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9D043C">
      <w:pPr>
        <w:pStyle w:val="21"/>
        <w:adjustRightInd w:val="0"/>
        <w:snapToGrid w:val="0"/>
        <w:spacing w:line="240" w:lineRule="atLeast"/>
        <w:jc w:val="center"/>
        <w:rPr>
          <w:rFonts w:hAnsi="宋体"/>
          <w:color w:val="auto"/>
        </w:rPr>
      </w:pPr>
    </w:p>
    <w:p w14:paraId="3CB862CA">
      <w:pPr>
        <w:pStyle w:val="21"/>
        <w:adjustRightInd w:val="0"/>
        <w:snapToGrid w:val="0"/>
        <w:spacing w:line="240" w:lineRule="atLeast"/>
        <w:jc w:val="center"/>
        <w:rPr>
          <w:rFonts w:hAnsi="宋体"/>
          <w:color w:val="auto"/>
        </w:rPr>
      </w:pPr>
    </w:p>
    <w:p w14:paraId="08B2B5EE">
      <w:pPr>
        <w:pStyle w:val="21"/>
        <w:adjustRightInd w:val="0"/>
        <w:snapToGrid w:val="0"/>
        <w:spacing w:line="240" w:lineRule="atLeast"/>
        <w:jc w:val="center"/>
        <w:rPr>
          <w:rFonts w:hAnsi="宋体"/>
          <w:color w:val="auto"/>
        </w:rPr>
      </w:pPr>
    </w:p>
    <w:p w14:paraId="4AFA1712">
      <w:pPr>
        <w:pStyle w:val="21"/>
        <w:adjustRightInd w:val="0"/>
        <w:snapToGrid w:val="0"/>
        <w:spacing w:line="240" w:lineRule="atLeast"/>
        <w:jc w:val="center"/>
        <w:rPr>
          <w:rFonts w:hAnsi="宋体"/>
          <w:color w:val="auto"/>
        </w:rPr>
      </w:pPr>
    </w:p>
    <w:p w14:paraId="7753DC6F">
      <w:pPr>
        <w:pStyle w:val="21"/>
        <w:adjustRightInd w:val="0"/>
        <w:snapToGrid w:val="0"/>
        <w:spacing w:line="240" w:lineRule="atLeast"/>
        <w:jc w:val="center"/>
        <w:rPr>
          <w:rFonts w:ascii="华文中宋" w:hAnsi="华文中宋" w:eastAsia="华文中宋"/>
          <w:bCs/>
          <w:color w:val="auto"/>
          <w:sz w:val="72"/>
          <w:szCs w:val="72"/>
        </w:rPr>
      </w:pPr>
      <w:r>
        <w:rPr>
          <w:rFonts w:hint="eastAsia" w:ascii="微软雅黑" w:hAnsi="微软雅黑" w:eastAsia="微软雅黑" w:cs="微软雅黑"/>
          <w:bCs/>
          <w:color w:val="auto"/>
          <w:sz w:val="72"/>
          <w:szCs w:val="72"/>
        </w:rPr>
        <w:t>政府采购</w:t>
      </w:r>
    </w:p>
    <w:p w14:paraId="673C98CA">
      <w:pPr>
        <w:pStyle w:val="21"/>
        <w:adjustRightInd w:val="0"/>
        <w:snapToGrid w:val="0"/>
        <w:spacing w:line="240" w:lineRule="atLeast"/>
        <w:jc w:val="center"/>
        <w:rPr>
          <w:rFonts w:ascii="华文中宋" w:hAnsi="华文中宋" w:eastAsia="华文中宋"/>
          <w:b/>
          <w:bCs/>
          <w:color w:val="auto"/>
          <w:sz w:val="84"/>
          <w:szCs w:val="84"/>
        </w:rPr>
      </w:pPr>
      <w:r>
        <w:rPr>
          <w:rFonts w:hint="eastAsia" w:ascii="微软雅黑" w:hAnsi="微软雅黑" w:eastAsia="微软雅黑" w:cs="微软雅黑"/>
          <w:b/>
          <w:bCs/>
          <w:color w:val="auto"/>
          <w:sz w:val="84"/>
          <w:szCs w:val="84"/>
        </w:rPr>
        <w:t>货物项目招标文件</w:t>
      </w:r>
    </w:p>
    <w:p w14:paraId="1ABE7100">
      <w:pPr>
        <w:pStyle w:val="21"/>
        <w:adjustRightInd w:val="0"/>
        <w:snapToGrid w:val="0"/>
        <w:spacing w:line="240" w:lineRule="atLeast"/>
        <w:jc w:val="center"/>
        <w:rPr>
          <w:rFonts w:ascii="华文中宋" w:hAnsi="华文中宋" w:eastAsia="华文中宋"/>
          <w:b/>
          <w:bCs/>
          <w:color w:val="auto"/>
          <w:sz w:val="44"/>
          <w:szCs w:val="44"/>
        </w:rPr>
      </w:pPr>
    </w:p>
    <w:p w14:paraId="1701CAE5">
      <w:pPr>
        <w:pStyle w:val="21"/>
        <w:adjustRightInd w:val="0"/>
        <w:snapToGrid w:val="0"/>
        <w:spacing w:line="240" w:lineRule="atLeast"/>
        <w:jc w:val="center"/>
        <w:rPr>
          <w:rFonts w:ascii="华文中宋" w:hAnsi="华文中宋" w:eastAsia="华文中宋"/>
          <w:b/>
          <w:bCs/>
          <w:color w:val="auto"/>
          <w:sz w:val="44"/>
          <w:szCs w:val="44"/>
        </w:rPr>
      </w:pPr>
    </w:p>
    <w:p w14:paraId="3AD16804">
      <w:pPr>
        <w:pStyle w:val="21"/>
        <w:adjustRightInd w:val="0"/>
        <w:snapToGrid w:val="0"/>
        <w:spacing w:line="240" w:lineRule="atLeast"/>
        <w:jc w:val="center"/>
        <w:rPr>
          <w:rFonts w:ascii="华文中宋" w:hAnsi="华文中宋" w:eastAsia="华文中宋"/>
          <w:bCs/>
          <w:color w:val="auto"/>
        </w:rPr>
      </w:pPr>
    </w:p>
    <w:p w14:paraId="5BBEF200">
      <w:pPr>
        <w:adjustRightInd w:val="0"/>
        <w:snapToGrid w:val="0"/>
        <w:spacing w:line="360" w:lineRule="auto"/>
        <w:ind w:firstLine="321" w:firstLineChars="100"/>
        <w:rPr>
          <w:rFonts w:hint="eastAsia" w:hAnsi="宋体"/>
          <w:b/>
          <w:color w:val="auto"/>
          <w:sz w:val="32"/>
          <w:szCs w:val="32"/>
          <w:lang w:eastAsia="zh-CN"/>
        </w:rPr>
      </w:pPr>
      <w:r>
        <w:rPr>
          <w:rFonts w:hint="eastAsia" w:hAnsi="宋体"/>
          <w:b/>
          <w:color w:val="auto"/>
          <w:sz w:val="32"/>
          <w:szCs w:val="32"/>
        </w:rPr>
        <w:t>采购项目名称：中南大学湘雅医院皮肤科</w:t>
      </w:r>
      <w:r>
        <w:rPr>
          <w:rFonts w:hint="eastAsia" w:hAnsi="宋体"/>
          <w:b/>
          <w:color w:val="auto"/>
          <w:sz w:val="32"/>
          <w:szCs w:val="32"/>
          <w:lang w:eastAsia="zh-CN"/>
        </w:rPr>
        <w:t>、人体器官获取</w:t>
      </w:r>
    </w:p>
    <w:p w14:paraId="0E903D78">
      <w:pPr>
        <w:adjustRightInd w:val="0"/>
        <w:snapToGrid w:val="0"/>
        <w:spacing w:line="360" w:lineRule="auto"/>
        <w:ind w:firstLine="2570" w:firstLineChars="800"/>
        <w:rPr>
          <w:rFonts w:hint="eastAsia" w:hAnsi="宋体"/>
          <w:b/>
          <w:color w:val="auto"/>
          <w:sz w:val="32"/>
          <w:szCs w:val="32"/>
          <w:lang w:eastAsia="zh-CN"/>
        </w:rPr>
      </w:pPr>
      <w:r>
        <w:rPr>
          <w:rFonts w:hint="eastAsia" w:hAnsi="宋体"/>
          <w:b/>
          <w:color w:val="auto"/>
          <w:sz w:val="32"/>
          <w:szCs w:val="32"/>
          <w:lang w:eastAsia="zh-CN"/>
        </w:rPr>
        <w:t>组织</w:t>
      </w:r>
      <w:r>
        <w:rPr>
          <w:rFonts w:hint="eastAsia" w:hAnsi="宋体"/>
          <w:b/>
          <w:color w:val="auto"/>
          <w:sz w:val="32"/>
          <w:szCs w:val="32"/>
        </w:rPr>
        <w:t>一批设备采购项目</w:t>
      </w:r>
      <w:r>
        <w:rPr>
          <w:rFonts w:hint="eastAsia" w:hAnsi="宋体"/>
          <w:b/>
          <w:color w:val="auto"/>
          <w:sz w:val="32"/>
          <w:szCs w:val="32"/>
          <w:lang w:eastAsia="zh-CN"/>
        </w:rPr>
        <w:t>（第二次）</w:t>
      </w:r>
    </w:p>
    <w:p w14:paraId="4E92DA2B">
      <w:pPr>
        <w:adjustRightInd w:val="0"/>
        <w:snapToGrid w:val="0"/>
        <w:spacing w:line="360" w:lineRule="auto"/>
        <w:ind w:firstLine="321" w:firstLineChars="100"/>
        <w:rPr>
          <w:rFonts w:hint="eastAsia" w:hAnsi="宋体"/>
          <w:b/>
          <w:color w:val="auto"/>
          <w:sz w:val="32"/>
          <w:szCs w:val="32"/>
          <w:lang w:eastAsia="zh-CN"/>
        </w:rPr>
      </w:pPr>
      <w:r>
        <w:rPr>
          <w:rFonts w:hint="eastAsia" w:hAnsi="宋体"/>
          <w:b/>
          <w:color w:val="auto"/>
          <w:sz w:val="32"/>
          <w:szCs w:val="32"/>
        </w:rPr>
        <w:t>采购人项目编号：YWHW202501001</w:t>
      </w:r>
      <w:r>
        <w:rPr>
          <w:rFonts w:hint="eastAsia" w:hAnsi="宋体"/>
          <w:b/>
          <w:color w:val="auto"/>
          <w:sz w:val="32"/>
          <w:szCs w:val="32"/>
          <w:lang w:eastAsia="zh-CN"/>
        </w:rPr>
        <w:t>、</w:t>
      </w:r>
      <w:r>
        <w:rPr>
          <w:rFonts w:hint="eastAsia" w:hAnsi="宋体"/>
          <w:b/>
          <w:color w:val="auto"/>
          <w:sz w:val="32"/>
          <w:szCs w:val="32"/>
        </w:rPr>
        <w:t>YWHW202501004</w:t>
      </w:r>
    </w:p>
    <w:p w14:paraId="72C87896">
      <w:pPr>
        <w:adjustRightInd w:val="0"/>
        <w:snapToGrid w:val="0"/>
        <w:spacing w:line="360" w:lineRule="auto"/>
        <w:ind w:firstLine="321" w:firstLineChars="100"/>
        <w:rPr>
          <w:rFonts w:hAnsi="宋体"/>
          <w:b/>
          <w:color w:val="auto"/>
          <w:sz w:val="32"/>
          <w:szCs w:val="32"/>
        </w:rPr>
      </w:pPr>
      <w:r>
        <w:rPr>
          <w:rFonts w:hint="eastAsia" w:hAnsi="宋体"/>
          <w:b/>
          <w:color w:val="auto"/>
          <w:sz w:val="32"/>
          <w:szCs w:val="32"/>
        </w:rPr>
        <w:t>采购代理编号：HXCG-HN-2501028</w:t>
      </w:r>
    </w:p>
    <w:p w14:paraId="0FC711F3">
      <w:pPr>
        <w:adjustRightInd w:val="0"/>
        <w:snapToGrid w:val="0"/>
        <w:spacing w:line="360" w:lineRule="auto"/>
        <w:ind w:firstLine="321" w:firstLineChars="100"/>
        <w:rPr>
          <w:rFonts w:hAnsi="宋体"/>
          <w:b/>
          <w:color w:val="auto"/>
          <w:sz w:val="32"/>
          <w:szCs w:val="32"/>
        </w:rPr>
      </w:pPr>
      <w:r>
        <w:rPr>
          <w:rFonts w:hint="eastAsia" w:hAnsi="宋体"/>
          <w:b/>
          <w:color w:val="auto"/>
          <w:sz w:val="32"/>
          <w:szCs w:val="32"/>
        </w:rPr>
        <w:t>采   购   人：中南大学湘雅医院</w:t>
      </w:r>
    </w:p>
    <w:p w14:paraId="630849B4">
      <w:pPr>
        <w:adjustRightInd w:val="0"/>
        <w:snapToGrid w:val="0"/>
        <w:spacing w:line="360" w:lineRule="auto"/>
        <w:ind w:firstLine="321" w:firstLineChars="100"/>
        <w:rPr>
          <w:rFonts w:hAnsi="宋体"/>
          <w:b/>
          <w:color w:val="auto"/>
          <w:sz w:val="32"/>
          <w:szCs w:val="32"/>
        </w:rPr>
      </w:pPr>
      <w:r>
        <w:rPr>
          <w:rFonts w:hint="eastAsia" w:hAnsi="宋体"/>
          <w:b/>
          <w:color w:val="auto"/>
          <w:sz w:val="32"/>
          <w:szCs w:val="32"/>
        </w:rPr>
        <w:t>采购代理机构：华新项目管理集团有限公司</w:t>
      </w:r>
    </w:p>
    <w:p w14:paraId="50006198">
      <w:pPr>
        <w:pStyle w:val="21"/>
        <w:adjustRightInd w:val="0"/>
        <w:snapToGrid w:val="0"/>
        <w:spacing w:line="360" w:lineRule="auto"/>
        <w:jc w:val="center"/>
        <w:rPr>
          <w:rFonts w:hAnsi="宋体"/>
          <w:bCs/>
          <w:color w:val="auto"/>
          <w:sz w:val="32"/>
          <w:szCs w:val="32"/>
        </w:rPr>
      </w:pPr>
    </w:p>
    <w:p w14:paraId="39ACF0F1">
      <w:pPr>
        <w:pStyle w:val="21"/>
        <w:adjustRightInd w:val="0"/>
        <w:snapToGrid w:val="0"/>
        <w:spacing w:line="240" w:lineRule="atLeast"/>
        <w:jc w:val="center"/>
        <w:rPr>
          <w:rFonts w:hAnsi="宋体"/>
          <w:bCs/>
          <w:color w:val="auto"/>
          <w:sz w:val="32"/>
          <w:szCs w:val="32"/>
        </w:rPr>
      </w:pPr>
    </w:p>
    <w:p w14:paraId="3AA41688">
      <w:pPr>
        <w:pStyle w:val="21"/>
        <w:adjustRightInd w:val="0"/>
        <w:snapToGrid w:val="0"/>
        <w:spacing w:line="240" w:lineRule="atLeast"/>
        <w:jc w:val="center"/>
        <w:rPr>
          <w:rFonts w:hAnsi="宋体"/>
          <w:bCs/>
          <w:color w:val="auto"/>
          <w:sz w:val="32"/>
          <w:szCs w:val="32"/>
        </w:rPr>
      </w:pPr>
    </w:p>
    <w:p w14:paraId="44013619">
      <w:pPr>
        <w:pStyle w:val="21"/>
        <w:adjustRightInd w:val="0"/>
        <w:snapToGrid w:val="0"/>
        <w:spacing w:line="240" w:lineRule="atLeast"/>
        <w:jc w:val="center"/>
        <w:rPr>
          <w:rFonts w:hAnsi="宋体"/>
          <w:bCs/>
          <w:color w:val="auto"/>
          <w:sz w:val="32"/>
          <w:szCs w:val="32"/>
        </w:rPr>
      </w:pPr>
    </w:p>
    <w:p w14:paraId="7D853CFD">
      <w:pPr>
        <w:pStyle w:val="21"/>
        <w:adjustRightInd w:val="0"/>
        <w:snapToGrid w:val="0"/>
        <w:spacing w:line="240" w:lineRule="atLeast"/>
        <w:jc w:val="center"/>
        <w:rPr>
          <w:rFonts w:hAnsi="宋体"/>
          <w:bCs/>
          <w:color w:val="auto"/>
          <w:sz w:val="32"/>
          <w:szCs w:val="32"/>
        </w:rPr>
      </w:pPr>
    </w:p>
    <w:p w14:paraId="7B81A2ED">
      <w:pPr>
        <w:pStyle w:val="21"/>
        <w:adjustRightInd w:val="0"/>
        <w:snapToGrid w:val="0"/>
        <w:spacing w:line="240" w:lineRule="atLeast"/>
        <w:jc w:val="center"/>
        <w:rPr>
          <w:rFonts w:hAnsi="宋体"/>
          <w:bCs/>
          <w:color w:val="auto"/>
          <w:sz w:val="32"/>
          <w:szCs w:val="32"/>
        </w:rPr>
      </w:pPr>
    </w:p>
    <w:p w14:paraId="37546964">
      <w:pPr>
        <w:pStyle w:val="21"/>
        <w:adjustRightInd w:val="0"/>
        <w:snapToGrid w:val="0"/>
        <w:spacing w:line="240" w:lineRule="atLeast"/>
        <w:jc w:val="center"/>
        <w:rPr>
          <w:rFonts w:hAnsi="宋体"/>
          <w:bCs/>
          <w:color w:val="auto"/>
          <w:sz w:val="32"/>
          <w:szCs w:val="32"/>
        </w:rPr>
      </w:pPr>
    </w:p>
    <w:p w14:paraId="3C5BEE94">
      <w:pPr>
        <w:pStyle w:val="21"/>
        <w:adjustRightInd w:val="0"/>
        <w:snapToGrid w:val="0"/>
        <w:spacing w:line="240" w:lineRule="atLeast"/>
        <w:jc w:val="center"/>
        <w:rPr>
          <w:rFonts w:hAnsi="宋体"/>
          <w:bCs/>
          <w:color w:val="auto"/>
          <w:sz w:val="32"/>
          <w:szCs w:val="32"/>
        </w:rPr>
      </w:pPr>
    </w:p>
    <w:p w14:paraId="2DDC8805">
      <w:pPr>
        <w:pStyle w:val="21"/>
        <w:adjustRightInd w:val="0"/>
        <w:snapToGrid w:val="0"/>
        <w:spacing w:line="240" w:lineRule="atLeast"/>
        <w:jc w:val="center"/>
        <w:rPr>
          <w:rFonts w:hAnsi="宋体"/>
          <w:b/>
          <w:bCs/>
          <w:color w:val="auto"/>
          <w:sz w:val="32"/>
          <w:szCs w:val="32"/>
        </w:rPr>
      </w:pPr>
      <w:r>
        <w:rPr>
          <w:rFonts w:hint="eastAsia" w:hAnsi="宋体"/>
          <w:b/>
          <w:color w:val="auto"/>
          <w:sz w:val="32"/>
        </w:rPr>
        <w:t>2025年</w:t>
      </w:r>
      <w:r>
        <w:rPr>
          <w:rFonts w:hint="eastAsia" w:hAnsi="宋体"/>
          <w:b/>
          <w:color w:val="auto"/>
          <w:sz w:val="32"/>
          <w:lang w:val="en-US" w:eastAsia="zh-CN"/>
        </w:rPr>
        <w:t>3</w:t>
      </w:r>
      <w:r>
        <w:rPr>
          <w:rFonts w:hint="eastAsia" w:hAnsi="宋体"/>
          <w:b/>
          <w:color w:val="auto"/>
          <w:sz w:val="32"/>
        </w:rPr>
        <w:t>月</w:t>
      </w:r>
    </w:p>
    <w:p w14:paraId="005B0302">
      <w:pPr>
        <w:pStyle w:val="21"/>
        <w:adjustRightInd w:val="0"/>
        <w:snapToGrid w:val="0"/>
        <w:spacing w:line="360" w:lineRule="auto"/>
        <w:jc w:val="center"/>
        <w:rPr>
          <w:rFonts w:ascii="华文中宋" w:hAnsi="华文中宋" w:eastAsia="华文中宋"/>
          <w:b/>
          <w:color w:val="auto"/>
          <w:spacing w:val="160"/>
          <w:sz w:val="36"/>
          <w:szCs w:val="36"/>
        </w:rPr>
      </w:pPr>
      <w:r>
        <w:rPr>
          <w:rFonts w:hint="eastAsia" w:ascii="华文中宋" w:hAnsi="华文中宋" w:eastAsia="华文中宋"/>
          <w:b/>
          <w:color w:val="auto"/>
          <w:spacing w:val="160"/>
          <w:sz w:val="36"/>
          <w:szCs w:val="36"/>
        </w:rPr>
        <w:br w:type="page"/>
      </w:r>
      <w:r>
        <w:rPr>
          <w:rFonts w:hint="eastAsia" w:ascii="华文中宋" w:hAnsi="华文中宋" w:eastAsia="华文中宋"/>
          <w:b/>
          <w:color w:val="auto"/>
          <w:spacing w:val="160"/>
          <w:sz w:val="36"/>
          <w:szCs w:val="36"/>
        </w:rPr>
        <w:t>目录</w:t>
      </w:r>
    </w:p>
    <w:p w14:paraId="3E8F1960">
      <w:pPr>
        <w:pStyle w:val="28"/>
        <w:tabs>
          <w:tab w:val="right" w:leader="dot" w:pos="8844"/>
        </w:tabs>
        <w:rPr>
          <w:color w:val="auto"/>
        </w:rPr>
      </w:pPr>
      <w:r>
        <w:rPr>
          <w:rStyle w:val="44"/>
          <w:b w:val="0"/>
          <w:color w:val="auto"/>
        </w:rPr>
        <w:fldChar w:fldCharType="begin"/>
      </w:r>
      <w:r>
        <w:rPr>
          <w:rStyle w:val="44"/>
          <w:b w:val="0"/>
          <w:color w:val="auto"/>
          <w:sz w:val="21"/>
        </w:rPr>
        <w:instrText xml:space="preserve"> TOC \o "1-6" \h \z \u </w:instrText>
      </w:r>
      <w:r>
        <w:rPr>
          <w:rStyle w:val="44"/>
          <w:b w:val="0"/>
          <w:color w:val="auto"/>
        </w:rPr>
        <w:fldChar w:fldCharType="separate"/>
      </w:r>
      <w:r>
        <w:rPr>
          <w:color w:val="auto"/>
        </w:rPr>
        <w:fldChar w:fldCharType="begin"/>
      </w:r>
      <w:r>
        <w:rPr>
          <w:color w:val="auto"/>
        </w:rPr>
        <w:instrText xml:space="preserve"> HYPERLINK \l "_Toc25605" </w:instrText>
      </w:r>
      <w:r>
        <w:rPr>
          <w:color w:val="auto"/>
        </w:rPr>
        <w:fldChar w:fldCharType="separate"/>
      </w:r>
      <w:r>
        <w:rPr>
          <w:rFonts w:hint="eastAsia" w:ascii="黑体" w:hAnsi="华文中宋" w:eastAsia="黑体"/>
          <w:color w:val="auto"/>
          <w:szCs w:val="32"/>
        </w:rPr>
        <w:t>第一章 投标邀请</w:t>
      </w:r>
      <w:r>
        <w:rPr>
          <w:color w:val="auto"/>
        </w:rPr>
        <w:tab/>
      </w:r>
      <w:r>
        <w:rPr>
          <w:color w:val="auto"/>
        </w:rPr>
        <w:fldChar w:fldCharType="begin"/>
      </w:r>
      <w:r>
        <w:rPr>
          <w:color w:val="auto"/>
        </w:rPr>
        <w:instrText xml:space="preserve"> PAGEREF _Toc25605 \h </w:instrText>
      </w:r>
      <w:r>
        <w:rPr>
          <w:color w:val="auto"/>
        </w:rPr>
        <w:fldChar w:fldCharType="separate"/>
      </w:r>
      <w:r>
        <w:rPr>
          <w:color w:val="auto"/>
        </w:rPr>
        <w:t>1</w:t>
      </w:r>
      <w:r>
        <w:rPr>
          <w:color w:val="auto"/>
        </w:rPr>
        <w:fldChar w:fldCharType="end"/>
      </w:r>
      <w:r>
        <w:rPr>
          <w:color w:val="auto"/>
        </w:rPr>
        <w:fldChar w:fldCharType="end"/>
      </w:r>
    </w:p>
    <w:p w14:paraId="12CD53D1">
      <w:pPr>
        <w:pStyle w:val="20"/>
        <w:tabs>
          <w:tab w:val="right" w:leader="dot" w:pos="8844"/>
        </w:tabs>
        <w:ind w:left="840"/>
        <w:rPr>
          <w:color w:val="auto"/>
        </w:rPr>
      </w:pPr>
      <w:r>
        <w:rPr>
          <w:color w:val="auto"/>
        </w:rPr>
        <w:fldChar w:fldCharType="begin"/>
      </w:r>
      <w:r>
        <w:rPr>
          <w:color w:val="auto"/>
        </w:rPr>
        <w:instrText xml:space="preserve"> HYPERLINK \l "_Toc22394" </w:instrText>
      </w:r>
      <w:r>
        <w:rPr>
          <w:color w:val="auto"/>
        </w:rPr>
        <w:fldChar w:fldCharType="separate"/>
      </w:r>
      <w:r>
        <w:rPr>
          <w:rFonts w:hint="eastAsia" w:ascii="微软雅黑" w:hAnsi="微软雅黑" w:eastAsia="微软雅黑" w:cs="微软雅黑"/>
          <w:color w:val="auto"/>
          <w:shd w:val="clear" w:color="auto" w:fill="FFFFFF"/>
        </w:rPr>
        <w:t>项目概况</w:t>
      </w:r>
      <w:r>
        <w:rPr>
          <w:color w:val="auto"/>
        </w:rPr>
        <w:tab/>
      </w:r>
      <w:r>
        <w:rPr>
          <w:color w:val="auto"/>
        </w:rPr>
        <w:fldChar w:fldCharType="begin"/>
      </w:r>
      <w:r>
        <w:rPr>
          <w:color w:val="auto"/>
        </w:rPr>
        <w:instrText xml:space="preserve"> PAGEREF _Toc22394 \h </w:instrText>
      </w:r>
      <w:r>
        <w:rPr>
          <w:color w:val="auto"/>
        </w:rPr>
        <w:fldChar w:fldCharType="separate"/>
      </w:r>
      <w:r>
        <w:rPr>
          <w:color w:val="auto"/>
        </w:rPr>
        <w:t>1</w:t>
      </w:r>
      <w:r>
        <w:rPr>
          <w:color w:val="auto"/>
        </w:rPr>
        <w:fldChar w:fldCharType="end"/>
      </w:r>
      <w:r>
        <w:rPr>
          <w:color w:val="auto"/>
        </w:rPr>
        <w:fldChar w:fldCharType="end"/>
      </w:r>
    </w:p>
    <w:p w14:paraId="6A1535EA">
      <w:pPr>
        <w:pStyle w:val="32"/>
        <w:tabs>
          <w:tab w:val="right" w:leader="dot" w:pos="8844"/>
        </w:tabs>
        <w:ind w:left="420"/>
        <w:rPr>
          <w:color w:val="auto"/>
        </w:rPr>
      </w:pPr>
      <w:r>
        <w:rPr>
          <w:color w:val="auto"/>
        </w:rPr>
        <w:fldChar w:fldCharType="begin"/>
      </w:r>
      <w:r>
        <w:rPr>
          <w:color w:val="auto"/>
        </w:rPr>
        <w:instrText xml:space="preserve"> HYPERLINK \l "_Toc13065" </w:instrText>
      </w:r>
      <w:r>
        <w:rPr>
          <w:color w:val="auto"/>
        </w:rPr>
        <w:fldChar w:fldCharType="separate"/>
      </w:r>
      <w:r>
        <w:rPr>
          <w:rFonts w:hint="eastAsia"/>
          <w:color w:val="auto"/>
        </w:rPr>
        <w:t>一、项目基本情况</w:t>
      </w:r>
      <w:r>
        <w:rPr>
          <w:color w:val="auto"/>
        </w:rPr>
        <w:tab/>
      </w:r>
      <w:r>
        <w:rPr>
          <w:color w:val="auto"/>
        </w:rPr>
        <w:fldChar w:fldCharType="begin"/>
      </w:r>
      <w:r>
        <w:rPr>
          <w:color w:val="auto"/>
        </w:rPr>
        <w:instrText xml:space="preserve"> PAGEREF _Toc13065 \h </w:instrText>
      </w:r>
      <w:r>
        <w:rPr>
          <w:color w:val="auto"/>
        </w:rPr>
        <w:fldChar w:fldCharType="separate"/>
      </w:r>
      <w:r>
        <w:rPr>
          <w:color w:val="auto"/>
        </w:rPr>
        <w:t>1</w:t>
      </w:r>
      <w:r>
        <w:rPr>
          <w:color w:val="auto"/>
        </w:rPr>
        <w:fldChar w:fldCharType="end"/>
      </w:r>
      <w:r>
        <w:rPr>
          <w:color w:val="auto"/>
        </w:rPr>
        <w:fldChar w:fldCharType="end"/>
      </w:r>
    </w:p>
    <w:p w14:paraId="4AC24CAA">
      <w:pPr>
        <w:pStyle w:val="32"/>
        <w:tabs>
          <w:tab w:val="right" w:leader="dot" w:pos="8844"/>
        </w:tabs>
        <w:ind w:left="420"/>
        <w:rPr>
          <w:color w:val="auto"/>
        </w:rPr>
      </w:pPr>
      <w:r>
        <w:rPr>
          <w:color w:val="auto"/>
        </w:rPr>
        <w:fldChar w:fldCharType="begin"/>
      </w:r>
      <w:r>
        <w:rPr>
          <w:color w:val="auto"/>
        </w:rPr>
        <w:instrText xml:space="preserve"> HYPERLINK \l "_Toc5255" </w:instrText>
      </w:r>
      <w:r>
        <w:rPr>
          <w:color w:val="auto"/>
        </w:rPr>
        <w:fldChar w:fldCharType="separate"/>
      </w:r>
      <w:r>
        <w:rPr>
          <w:rFonts w:hint="eastAsia"/>
          <w:color w:val="auto"/>
        </w:rPr>
        <w:t>二、投标人的资格要求</w:t>
      </w:r>
      <w:r>
        <w:rPr>
          <w:color w:val="auto"/>
        </w:rPr>
        <w:tab/>
      </w:r>
      <w:r>
        <w:rPr>
          <w:color w:val="auto"/>
        </w:rPr>
        <w:fldChar w:fldCharType="begin"/>
      </w:r>
      <w:r>
        <w:rPr>
          <w:color w:val="auto"/>
        </w:rPr>
        <w:instrText xml:space="preserve"> PAGEREF _Toc5255 \h </w:instrText>
      </w:r>
      <w:r>
        <w:rPr>
          <w:color w:val="auto"/>
        </w:rPr>
        <w:fldChar w:fldCharType="separate"/>
      </w:r>
      <w:r>
        <w:rPr>
          <w:color w:val="auto"/>
        </w:rPr>
        <w:t>1</w:t>
      </w:r>
      <w:r>
        <w:rPr>
          <w:color w:val="auto"/>
        </w:rPr>
        <w:fldChar w:fldCharType="end"/>
      </w:r>
      <w:r>
        <w:rPr>
          <w:color w:val="auto"/>
        </w:rPr>
        <w:fldChar w:fldCharType="end"/>
      </w:r>
    </w:p>
    <w:p w14:paraId="1B03FCDD">
      <w:pPr>
        <w:pStyle w:val="32"/>
        <w:tabs>
          <w:tab w:val="right" w:leader="dot" w:pos="8844"/>
        </w:tabs>
        <w:ind w:left="420"/>
        <w:rPr>
          <w:color w:val="auto"/>
        </w:rPr>
      </w:pPr>
      <w:r>
        <w:rPr>
          <w:color w:val="auto"/>
        </w:rPr>
        <w:fldChar w:fldCharType="begin"/>
      </w:r>
      <w:r>
        <w:rPr>
          <w:color w:val="auto"/>
        </w:rPr>
        <w:instrText xml:space="preserve"> HYPERLINK \l "_Toc4543" </w:instrText>
      </w:r>
      <w:r>
        <w:rPr>
          <w:color w:val="auto"/>
        </w:rPr>
        <w:fldChar w:fldCharType="separate"/>
      </w:r>
      <w:r>
        <w:rPr>
          <w:rFonts w:hint="eastAsia"/>
          <w:color w:val="auto"/>
        </w:rPr>
        <w:t>三、获取招标文件</w:t>
      </w:r>
      <w:r>
        <w:rPr>
          <w:color w:val="auto"/>
        </w:rPr>
        <w:tab/>
      </w:r>
      <w:r>
        <w:rPr>
          <w:color w:val="auto"/>
        </w:rPr>
        <w:fldChar w:fldCharType="begin"/>
      </w:r>
      <w:r>
        <w:rPr>
          <w:color w:val="auto"/>
        </w:rPr>
        <w:instrText xml:space="preserve"> PAGEREF _Toc4543 \h </w:instrText>
      </w:r>
      <w:r>
        <w:rPr>
          <w:color w:val="auto"/>
        </w:rPr>
        <w:fldChar w:fldCharType="separate"/>
      </w:r>
      <w:r>
        <w:rPr>
          <w:color w:val="auto"/>
        </w:rPr>
        <w:t>2</w:t>
      </w:r>
      <w:r>
        <w:rPr>
          <w:color w:val="auto"/>
        </w:rPr>
        <w:fldChar w:fldCharType="end"/>
      </w:r>
      <w:r>
        <w:rPr>
          <w:color w:val="auto"/>
        </w:rPr>
        <w:fldChar w:fldCharType="end"/>
      </w:r>
    </w:p>
    <w:p w14:paraId="03085B5E">
      <w:pPr>
        <w:pStyle w:val="32"/>
        <w:tabs>
          <w:tab w:val="right" w:leader="dot" w:pos="8844"/>
        </w:tabs>
        <w:ind w:left="420"/>
        <w:rPr>
          <w:color w:val="auto"/>
        </w:rPr>
      </w:pPr>
      <w:r>
        <w:rPr>
          <w:color w:val="auto"/>
        </w:rPr>
        <w:fldChar w:fldCharType="begin"/>
      </w:r>
      <w:r>
        <w:rPr>
          <w:color w:val="auto"/>
        </w:rPr>
        <w:instrText xml:space="preserve"> HYPERLINK \l "_Toc31343" </w:instrText>
      </w:r>
      <w:r>
        <w:rPr>
          <w:color w:val="auto"/>
        </w:rPr>
        <w:fldChar w:fldCharType="separate"/>
      </w:r>
      <w:r>
        <w:rPr>
          <w:rFonts w:hint="eastAsia"/>
          <w:color w:val="auto"/>
        </w:rPr>
        <w:t>四、提交投标文件截止时间、开标时间和地点</w:t>
      </w:r>
      <w:r>
        <w:rPr>
          <w:color w:val="auto"/>
        </w:rPr>
        <w:tab/>
      </w:r>
      <w:r>
        <w:rPr>
          <w:color w:val="auto"/>
        </w:rPr>
        <w:fldChar w:fldCharType="begin"/>
      </w:r>
      <w:r>
        <w:rPr>
          <w:color w:val="auto"/>
        </w:rPr>
        <w:instrText xml:space="preserve"> PAGEREF _Toc31343 \h </w:instrText>
      </w:r>
      <w:r>
        <w:rPr>
          <w:color w:val="auto"/>
        </w:rPr>
        <w:fldChar w:fldCharType="separate"/>
      </w:r>
      <w:r>
        <w:rPr>
          <w:color w:val="auto"/>
        </w:rPr>
        <w:t>2</w:t>
      </w:r>
      <w:r>
        <w:rPr>
          <w:color w:val="auto"/>
        </w:rPr>
        <w:fldChar w:fldCharType="end"/>
      </w:r>
      <w:r>
        <w:rPr>
          <w:color w:val="auto"/>
        </w:rPr>
        <w:fldChar w:fldCharType="end"/>
      </w:r>
    </w:p>
    <w:p w14:paraId="72A5D7A6">
      <w:pPr>
        <w:pStyle w:val="32"/>
        <w:tabs>
          <w:tab w:val="right" w:leader="dot" w:pos="8844"/>
        </w:tabs>
        <w:ind w:left="420"/>
        <w:rPr>
          <w:color w:val="auto"/>
        </w:rPr>
      </w:pPr>
      <w:r>
        <w:rPr>
          <w:color w:val="auto"/>
        </w:rPr>
        <w:fldChar w:fldCharType="begin"/>
      </w:r>
      <w:r>
        <w:rPr>
          <w:color w:val="auto"/>
        </w:rPr>
        <w:instrText xml:space="preserve"> HYPERLINK \l "_Toc3846" </w:instrText>
      </w:r>
      <w:r>
        <w:rPr>
          <w:color w:val="auto"/>
        </w:rPr>
        <w:fldChar w:fldCharType="separate"/>
      </w:r>
      <w:r>
        <w:rPr>
          <w:rFonts w:hint="eastAsia"/>
          <w:color w:val="auto"/>
        </w:rPr>
        <w:t>五、公告期限</w:t>
      </w:r>
      <w:r>
        <w:rPr>
          <w:color w:val="auto"/>
        </w:rPr>
        <w:tab/>
      </w:r>
      <w:r>
        <w:rPr>
          <w:color w:val="auto"/>
        </w:rPr>
        <w:fldChar w:fldCharType="begin"/>
      </w:r>
      <w:r>
        <w:rPr>
          <w:color w:val="auto"/>
        </w:rPr>
        <w:instrText xml:space="preserve"> PAGEREF _Toc3846 \h </w:instrText>
      </w:r>
      <w:r>
        <w:rPr>
          <w:color w:val="auto"/>
        </w:rPr>
        <w:fldChar w:fldCharType="separate"/>
      </w:r>
      <w:r>
        <w:rPr>
          <w:color w:val="auto"/>
        </w:rPr>
        <w:t>3</w:t>
      </w:r>
      <w:r>
        <w:rPr>
          <w:color w:val="auto"/>
        </w:rPr>
        <w:fldChar w:fldCharType="end"/>
      </w:r>
      <w:r>
        <w:rPr>
          <w:color w:val="auto"/>
        </w:rPr>
        <w:fldChar w:fldCharType="end"/>
      </w:r>
    </w:p>
    <w:p w14:paraId="5F4EE57B">
      <w:pPr>
        <w:pStyle w:val="32"/>
        <w:tabs>
          <w:tab w:val="right" w:leader="dot" w:pos="8844"/>
        </w:tabs>
        <w:ind w:left="420"/>
        <w:rPr>
          <w:color w:val="auto"/>
        </w:rPr>
      </w:pPr>
      <w:r>
        <w:rPr>
          <w:color w:val="auto"/>
        </w:rPr>
        <w:fldChar w:fldCharType="begin"/>
      </w:r>
      <w:r>
        <w:rPr>
          <w:color w:val="auto"/>
        </w:rPr>
        <w:instrText xml:space="preserve"> HYPERLINK \l "_Toc22075" </w:instrText>
      </w:r>
      <w:r>
        <w:rPr>
          <w:color w:val="auto"/>
        </w:rPr>
        <w:fldChar w:fldCharType="separate"/>
      </w:r>
      <w:r>
        <w:rPr>
          <w:rFonts w:hint="eastAsia"/>
          <w:color w:val="auto"/>
        </w:rPr>
        <w:t>六、其他补充事宜</w:t>
      </w:r>
      <w:r>
        <w:rPr>
          <w:color w:val="auto"/>
        </w:rPr>
        <w:tab/>
      </w:r>
      <w:r>
        <w:rPr>
          <w:color w:val="auto"/>
        </w:rPr>
        <w:fldChar w:fldCharType="begin"/>
      </w:r>
      <w:r>
        <w:rPr>
          <w:color w:val="auto"/>
        </w:rPr>
        <w:instrText xml:space="preserve"> PAGEREF _Toc22075 \h </w:instrText>
      </w:r>
      <w:r>
        <w:rPr>
          <w:color w:val="auto"/>
        </w:rPr>
        <w:fldChar w:fldCharType="separate"/>
      </w:r>
      <w:r>
        <w:rPr>
          <w:color w:val="auto"/>
        </w:rPr>
        <w:t>3</w:t>
      </w:r>
      <w:r>
        <w:rPr>
          <w:color w:val="auto"/>
        </w:rPr>
        <w:fldChar w:fldCharType="end"/>
      </w:r>
      <w:r>
        <w:rPr>
          <w:color w:val="auto"/>
        </w:rPr>
        <w:fldChar w:fldCharType="end"/>
      </w:r>
    </w:p>
    <w:p w14:paraId="70C678EC">
      <w:pPr>
        <w:pStyle w:val="32"/>
        <w:tabs>
          <w:tab w:val="right" w:leader="dot" w:pos="8844"/>
        </w:tabs>
        <w:ind w:left="420"/>
        <w:rPr>
          <w:color w:val="auto"/>
        </w:rPr>
      </w:pPr>
      <w:r>
        <w:rPr>
          <w:color w:val="auto"/>
        </w:rPr>
        <w:fldChar w:fldCharType="begin"/>
      </w:r>
      <w:r>
        <w:rPr>
          <w:color w:val="auto"/>
        </w:rPr>
        <w:instrText xml:space="preserve"> HYPERLINK \l "_Toc24288" </w:instrText>
      </w:r>
      <w:r>
        <w:rPr>
          <w:color w:val="auto"/>
        </w:rPr>
        <w:fldChar w:fldCharType="separate"/>
      </w:r>
      <w:r>
        <w:rPr>
          <w:rFonts w:hint="eastAsia"/>
          <w:color w:val="auto"/>
        </w:rPr>
        <w:t>七、疑问及质疑</w:t>
      </w:r>
      <w:r>
        <w:rPr>
          <w:color w:val="auto"/>
        </w:rPr>
        <w:tab/>
      </w:r>
      <w:r>
        <w:rPr>
          <w:color w:val="auto"/>
        </w:rPr>
        <w:fldChar w:fldCharType="begin"/>
      </w:r>
      <w:r>
        <w:rPr>
          <w:color w:val="auto"/>
        </w:rPr>
        <w:instrText xml:space="preserve"> PAGEREF _Toc24288 \h </w:instrText>
      </w:r>
      <w:r>
        <w:rPr>
          <w:color w:val="auto"/>
        </w:rPr>
        <w:fldChar w:fldCharType="separate"/>
      </w:r>
      <w:r>
        <w:rPr>
          <w:color w:val="auto"/>
        </w:rPr>
        <w:t>3</w:t>
      </w:r>
      <w:r>
        <w:rPr>
          <w:color w:val="auto"/>
        </w:rPr>
        <w:fldChar w:fldCharType="end"/>
      </w:r>
      <w:r>
        <w:rPr>
          <w:color w:val="auto"/>
        </w:rPr>
        <w:fldChar w:fldCharType="end"/>
      </w:r>
    </w:p>
    <w:p w14:paraId="0919DC64">
      <w:pPr>
        <w:pStyle w:val="32"/>
        <w:tabs>
          <w:tab w:val="right" w:leader="dot" w:pos="8844"/>
        </w:tabs>
        <w:ind w:left="420"/>
        <w:rPr>
          <w:color w:val="auto"/>
        </w:rPr>
      </w:pPr>
      <w:r>
        <w:rPr>
          <w:color w:val="auto"/>
        </w:rPr>
        <w:fldChar w:fldCharType="begin"/>
      </w:r>
      <w:r>
        <w:rPr>
          <w:color w:val="auto"/>
        </w:rPr>
        <w:instrText xml:space="preserve"> HYPERLINK \l "_Toc8854" </w:instrText>
      </w:r>
      <w:r>
        <w:rPr>
          <w:color w:val="auto"/>
        </w:rPr>
        <w:fldChar w:fldCharType="separate"/>
      </w:r>
      <w:r>
        <w:rPr>
          <w:rFonts w:hint="eastAsia" w:cs="宋体"/>
          <w:color w:val="auto"/>
        </w:rPr>
        <w:t>八、</w:t>
      </w:r>
      <w:r>
        <w:rPr>
          <w:rFonts w:hint="eastAsia"/>
          <w:color w:val="auto"/>
        </w:rPr>
        <w:t>采购项目及采购人、采购代理机构联系人姓名和电话</w:t>
      </w:r>
      <w:r>
        <w:rPr>
          <w:color w:val="auto"/>
        </w:rPr>
        <w:tab/>
      </w:r>
      <w:r>
        <w:rPr>
          <w:color w:val="auto"/>
        </w:rPr>
        <w:fldChar w:fldCharType="begin"/>
      </w:r>
      <w:r>
        <w:rPr>
          <w:color w:val="auto"/>
        </w:rPr>
        <w:instrText xml:space="preserve"> PAGEREF _Toc8854 \h </w:instrText>
      </w:r>
      <w:r>
        <w:rPr>
          <w:color w:val="auto"/>
        </w:rPr>
        <w:fldChar w:fldCharType="separate"/>
      </w:r>
      <w:r>
        <w:rPr>
          <w:color w:val="auto"/>
        </w:rPr>
        <w:t>3</w:t>
      </w:r>
      <w:r>
        <w:rPr>
          <w:color w:val="auto"/>
        </w:rPr>
        <w:fldChar w:fldCharType="end"/>
      </w:r>
      <w:r>
        <w:rPr>
          <w:color w:val="auto"/>
        </w:rPr>
        <w:fldChar w:fldCharType="end"/>
      </w:r>
    </w:p>
    <w:p w14:paraId="4028961C">
      <w:pPr>
        <w:pStyle w:val="32"/>
        <w:tabs>
          <w:tab w:val="right" w:leader="dot" w:pos="8844"/>
        </w:tabs>
        <w:ind w:left="420"/>
        <w:rPr>
          <w:color w:val="auto"/>
        </w:rPr>
      </w:pPr>
      <w:r>
        <w:rPr>
          <w:color w:val="auto"/>
        </w:rPr>
        <w:fldChar w:fldCharType="begin"/>
      </w:r>
      <w:r>
        <w:rPr>
          <w:color w:val="auto"/>
        </w:rPr>
        <w:instrText xml:space="preserve"> HYPERLINK \l "_Toc5427" </w:instrText>
      </w:r>
      <w:r>
        <w:rPr>
          <w:color w:val="auto"/>
        </w:rPr>
        <w:fldChar w:fldCharType="separate"/>
      </w:r>
      <w:r>
        <w:rPr>
          <w:rFonts w:hint="eastAsia" w:eastAsia="宋体" w:cs="宋体"/>
          <w:color w:val="auto"/>
        </w:rPr>
        <w:t>九、其他</w:t>
      </w:r>
      <w:r>
        <w:rPr>
          <w:color w:val="auto"/>
        </w:rPr>
        <w:tab/>
      </w:r>
      <w:r>
        <w:rPr>
          <w:color w:val="auto"/>
        </w:rPr>
        <w:fldChar w:fldCharType="begin"/>
      </w:r>
      <w:r>
        <w:rPr>
          <w:color w:val="auto"/>
        </w:rPr>
        <w:instrText xml:space="preserve"> PAGEREF _Toc5427 \h </w:instrText>
      </w:r>
      <w:r>
        <w:rPr>
          <w:color w:val="auto"/>
        </w:rPr>
        <w:fldChar w:fldCharType="separate"/>
      </w:r>
      <w:r>
        <w:rPr>
          <w:color w:val="auto"/>
        </w:rPr>
        <w:t>4</w:t>
      </w:r>
      <w:r>
        <w:rPr>
          <w:color w:val="auto"/>
        </w:rPr>
        <w:fldChar w:fldCharType="end"/>
      </w:r>
      <w:r>
        <w:rPr>
          <w:color w:val="auto"/>
        </w:rPr>
        <w:fldChar w:fldCharType="end"/>
      </w:r>
    </w:p>
    <w:p w14:paraId="70138955">
      <w:pPr>
        <w:pStyle w:val="28"/>
        <w:tabs>
          <w:tab w:val="right" w:leader="dot" w:pos="8844"/>
        </w:tabs>
        <w:rPr>
          <w:color w:val="auto"/>
        </w:rPr>
      </w:pPr>
      <w:r>
        <w:rPr>
          <w:color w:val="auto"/>
        </w:rPr>
        <w:fldChar w:fldCharType="begin"/>
      </w:r>
      <w:r>
        <w:rPr>
          <w:color w:val="auto"/>
        </w:rPr>
        <w:instrText xml:space="preserve"> HYPERLINK \l "_Toc16400" </w:instrText>
      </w:r>
      <w:r>
        <w:rPr>
          <w:color w:val="auto"/>
        </w:rPr>
        <w:fldChar w:fldCharType="separate"/>
      </w:r>
      <w:r>
        <w:rPr>
          <w:rFonts w:hint="eastAsia" w:ascii="黑体" w:hAnsi="华文中宋" w:eastAsia="黑体"/>
          <w:color w:val="auto"/>
          <w:szCs w:val="32"/>
        </w:rPr>
        <w:t>第二章 投标须知</w:t>
      </w:r>
      <w:r>
        <w:rPr>
          <w:color w:val="auto"/>
        </w:rPr>
        <w:tab/>
      </w:r>
      <w:r>
        <w:rPr>
          <w:color w:val="auto"/>
        </w:rPr>
        <w:fldChar w:fldCharType="begin"/>
      </w:r>
      <w:r>
        <w:rPr>
          <w:color w:val="auto"/>
        </w:rPr>
        <w:instrText xml:space="preserve"> PAGEREF _Toc16400 \h </w:instrText>
      </w:r>
      <w:r>
        <w:rPr>
          <w:color w:val="auto"/>
        </w:rPr>
        <w:fldChar w:fldCharType="separate"/>
      </w:r>
      <w:r>
        <w:rPr>
          <w:color w:val="auto"/>
        </w:rPr>
        <w:t>5</w:t>
      </w:r>
      <w:r>
        <w:rPr>
          <w:color w:val="auto"/>
        </w:rPr>
        <w:fldChar w:fldCharType="end"/>
      </w:r>
      <w:r>
        <w:rPr>
          <w:color w:val="auto"/>
        </w:rPr>
        <w:fldChar w:fldCharType="end"/>
      </w:r>
    </w:p>
    <w:p w14:paraId="388887ED">
      <w:pPr>
        <w:pStyle w:val="32"/>
        <w:tabs>
          <w:tab w:val="right" w:leader="dot" w:pos="8844"/>
        </w:tabs>
        <w:ind w:left="420"/>
        <w:rPr>
          <w:color w:val="auto"/>
        </w:rPr>
      </w:pPr>
      <w:r>
        <w:rPr>
          <w:color w:val="auto"/>
        </w:rPr>
        <w:fldChar w:fldCharType="begin"/>
      </w:r>
      <w:r>
        <w:rPr>
          <w:color w:val="auto"/>
        </w:rPr>
        <w:instrText xml:space="preserve"> HYPERLINK \l "_Toc17291" </w:instrText>
      </w:r>
      <w:r>
        <w:rPr>
          <w:color w:val="auto"/>
        </w:rPr>
        <w:fldChar w:fldCharType="separate"/>
      </w:r>
      <w:r>
        <w:rPr>
          <w:rFonts w:hint="eastAsia" w:ascii="黑体" w:hAnsi="华文中宋" w:eastAsia="黑体"/>
          <w:color w:val="auto"/>
          <w:szCs w:val="28"/>
        </w:rPr>
        <w:t>第一节 投标须知前附表</w:t>
      </w:r>
      <w:r>
        <w:rPr>
          <w:color w:val="auto"/>
        </w:rPr>
        <w:tab/>
      </w:r>
      <w:r>
        <w:rPr>
          <w:color w:val="auto"/>
        </w:rPr>
        <w:fldChar w:fldCharType="begin"/>
      </w:r>
      <w:r>
        <w:rPr>
          <w:color w:val="auto"/>
        </w:rPr>
        <w:instrText xml:space="preserve"> PAGEREF _Toc17291 \h </w:instrText>
      </w:r>
      <w:r>
        <w:rPr>
          <w:color w:val="auto"/>
        </w:rPr>
        <w:fldChar w:fldCharType="separate"/>
      </w:r>
      <w:r>
        <w:rPr>
          <w:color w:val="auto"/>
        </w:rPr>
        <w:t>5</w:t>
      </w:r>
      <w:r>
        <w:rPr>
          <w:color w:val="auto"/>
        </w:rPr>
        <w:fldChar w:fldCharType="end"/>
      </w:r>
      <w:r>
        <w:rPr>
          <w:color w:val="auto"/>
        </w:rPr>
        <w:fldChar w:fldCharType="end"/>
      </w:r>
    </w:p>
    <w:p w14:paraId="68D36749">
      <w:pPr>
        <w:pStyle w:val="32"/>
        <w:tabs>
          <w:tab w:val="right" w:leader="dot" w:pos="8844"/>
        </w:tabs>
        <w:ind w:left="420"/>
        <w:rPr>
          <w:color w:val="auto"/>
        </w:rPr>
      </w:pPr>
      <w:r>
        <w:rPr>
          <w:color w:val="auto"/>
        </w:rPr>
        <w:fldChar w:fldCharType="begin"/>
      </w:r>
      <w:r>
        <w:rPr>
          <w:color w:val="auto"/>
        </w:rPr>
        <w:instrText xml:space="preserve"> HYPERLINK \l "_Toc18520" </w:instrText>
      </w:r>
      <w:r>
        <w:rPr>
          <w:color w:val="auto"/>
        </w:rPr>
        <w:fldChar w:fldCharType="separate"/>
      </w:r>
      <w:r>
        <w:rPr>
          <w:rFonts w:hint="eastAsia" w:ascii="黑体" w:hAnsi="黑体" w:eastAsia="黑体"/>
          <w:color w:val="auto"/>
          <w:szCs w:val="28"/>
        </w:rPr>
        <w:t>第二节 投标须知</w:t>
      </w:r>
      <w:r>
        <w:rPr>
          <w:color w:val="auto"/>
        </w:rPr>
        <w:tab/>
      </w:r>
      <w:r>
        <w:rPr>
          <w:color w:val="auto"/>
        </w:rPr>
        <w:fldChar w:fldCharType="begin"/>
      </w:r>
      <w:r>
        <w:rPr>
          <w:color w:val="auto"/>
        </w:rPr>
        <w:instrText xml:space="preserve"> PAGEREF _Toc18520 \h </w:instrText>
      </w:r>
      <w:r>
        <w:rPr>
          <w:color w:val="auto"/>
        </w:rPr>
        <w:fldChar w:fldCharType="separate"/>
      </w:r>
      <w:r>
        <w:rPr>
          <w:color w:val="auto"/>
        </w:rPr>
        <w:t>9</w:t>
      </w:r>
      <w:r>
        <w:rPr>
          <w:color w:val="auto"/>
        </w:rPr>
        <w:fldChar w:fldCharType="end"/>
      </w:r>
      <w:r>
        <w:rPr>
          <w:color w:val="auto"/>
        </w:rPr>
        <w:fldChar w:fldCharType="end"/>
      </w:r>
    </w:p>
    <w:p w14:paraId="112E53B5">
      <w:pPr>
        <w:pStyle w:val="20"/>
        <w:tabs>
          <w:tab w:val="right" w:leader="dot" w:pos="8844"/>
        </w:tabs>
        <w:ind w:left="840"/>
        <w:rPr>
          <w:color w:val="auto"/>
        </w:rPr>
      </w:pPr>
      <w:r>
        <w:rPr>
          <w:color w:val="auto"/>
        </w:rPr>
        <w:fldChar w:fldCharType="begin"/>
      </w:r>
      <w:r>
        <w:rPr>
          <w:color w:val="auto"/>
        </w:rPr>
        <w:instrText xml:space="preserve"> HYPERLINK \l "_Toc31202" </w:instrText>
      </w:r>
      <w:r>
        <w:rPr>
          <w:color w:val="auto"/>
        </w:rPr>
        <w:fldChar w:fldCharType="separate"/>
      </w:r>
      <w:r>
        <w:rPr>
          <w:rFonts w:hint="eastAsia" w:ascii="黑体" w:hAnsi="黑体" w:eastAsia="黑体"/>
          <w:color w:val="auto"/>
          <w:szCs w:val="28"/>
        </w:rPr>
        <w:t>一、总则</w:t>
      </w:r>
      <w:r>
        <w:rPr>
          <w:color w:val="auto"/>
        </w:rPr>
        <w:tab/>
      </w:r>
      <w:r>
        <w:rPr>
          <w:color w:val="auto"/>
        </w:rPr>
        <w:fldChar w:fldCharType="begin"/>
      </w:r>
      <w:r>
        <w:rPr>
          <w:color w:val="auto"/>
        </w:rPr>
        <w:instrText xml:space="preserve"> PAGEREF _Toc31202 \h </w:instrText>
      </w:r>
      <w:r>
        <w:rPr>
          <w:color w:val="auto"/>
        </w:rPr>
        <w:fldChar w:fldCharType="separate"/>
      </w:r>
      <w:r>
        <w:rPr>
          <w:color w:val="auto"/>
        </w:rPr>
        <w:t>9</w:t>
      </w:r>
      <w:r>
        <w:rPr>
          <w:color w:val="auto"/>
        </w:rPr>
        <w:fldChar w:fldCharType="end"/>
      </w:r>
      <w:r>
        <w:rPr>
          <w:color w:val="auto"/>
        </w:rPr>
        <w:fldChar w:fldCharType="end"/>
      </w:r>
    </w:p>
    <w:p w14:paraId="394E07B8">
      <w:pPr>
        <w:pStyle w:val="29"/>
        <w:tabs>
          <w:tab w:val="right" w:leader="dot" w:pos="8844"/>
        </w:tabs>
        <w:ind w:left="1260"/>
        <w:rPr>
          <w:color w:val="auto"/>
        </w:rPr>
      </w:pPr>
      <w:r>
        <w:rPr>
          <w:color w:val="auto"/>
        </w:rPr>
        <w:fldChar w:fldCharType="begin"/>
      </w:r>
      <w:r>
        <w:rPr>
          <w:color w:val="auto"/>
        </w:rPr>
        <w:instrText xml:space="preserve"> HYPERLINK \l "_Toc7265" </w:instrText>
      </w:r>
      <w:r>
        <w:rPr>
          <w:color w:val="auto"/>
        </w:rPr>
        <w:fldChar w:fldCharType="separate"/>
      </w:r>
      <w:r>
        <w:rPr>
          <w:rFonts w:hint="eastAsia" w:asciiTheme="minorEastAsia" w:hAnsiTheme="minorEastAsia"/>
          <w:color w:val="auto"/>
          <w:szCs w:val="24"/>
        </w:rPr>
        <w:t>1.适用范围</w:t>
      </w:r>
      <w:r>
        <w:rPr>
          <w:color w:val="auto"/>
        </w:rPr>
        <w:tab/>
      </w:r>
      <w:r>
        <w:rPr>
          <w:color w:val="auto"/>
        </w:rPr>
        <w:fldChar w:fldCharType="begin"/>
      </w:r>
      <w:r>
        <w:rPr>
          <w:color w:val="auto"/>
        </w:rPr>
        <w:instrText xml:space="preserve"> PAGEREF _Toc7265 \h </w:instrText>
      </w:r>
      <w:r>
        <w:rPr>
          <w:color w:val="auto"/>
        </w:rPr>
        <w:fldChar w:fldCharType="separate"/>
      </w:r>
      <w:r>
        <w:rPr>
          <w:color w:val="auto"/>
        </w:rPr>
        <w:t>9</w:t>
      </w:r>
      <w:r>
        <w:rPr>
          <w:color w:val="auto"/>
        </w:rPr>
        <w:fldChar w:fldCharType="end"/>
      </w:r>
      <w:r>
        <w:rPr>
          <w:color w:val="auto"/>
        </w:rPr>
        <w:fldChar w:fldCharType="end"/>
      </w:r>
    </w:p>
    <w:p w14:paraId="018AE3D5">
      <w:pPr>
        <w:pStyle w:val="29"/>
        <w:tabs>
          <w:tab w:val="right" w:leader="dot" w:pos="8844"/>
        </w:tabs>
        <w:ind w:left="1260"/>
        <w:rPr>
          <w:color w:val="auto"/>
        </w:rPr>
      </w:pPr>
      <w:r>
        <w:rPr>
          <w:color w:val="auto"/>
        </w:rPr>
        <w:fldChar w:fldCharType="begin"/>
      </w:r>
      <w:r>
        <w:rPr>
          <w:color w:val="auto"/>
        </w:rPr>
        <w:instrText xml:space="preserve"> HYPERLINK \l "_Toc27326" </w:instrText>
      </w:r>
      <w:r>
        <w:rPr>
          <w:color w:val="auto"/>
        </w:rPr>
        <w:fldChar w:fldCharType="separate"/>
      </w:r>
      <w:r>
        <w:rPr>
          <w:rFonts w:hint="eastAsia" w:asciiTheme="minorEastAsia" w:hAnsiTheme="minorEastAsia"/>
          <w:color w:val="auto"/>
          <w:szCs w:val="24"/>
        </w:rPr>
        <w:t>2.定义</w:t>
      </w:r>
      <w:r>
        <w:rPr>
          <w:color w:val="auto"/>
        </w:rPr>
        <w:tab/>
      </w:r>
      <w:r>
        <w:rPr>
          <w:color w:val="auto"/>
        </w:rPr>
        <w:fldChar w:fldCharType="begin"/>
      </w:r>
      <w:r>
        <w:rPr>
          <w:color w:val="auto"/>
        </w:rPr>
        <w:instrText xml:space="preserve"> PAGEREF _Toc27326 \h </w:instrText>
      </w:r>
      <w:r>
        <w:rPr>
          <w:color w:val="auto"/>
        </w:rPr>
        <w:fldChar w:fldCharType="separate"/>
      </w:r>
      <w:r>
        <w:rPr>
          <w:color w:val="auto"/>
        </w:rPr>
        <w:t>9</w:t>
      </w:r>
      <w:r>
        <w:rPr>
          <w:color w:val="auto"/>
        </w:rPr>
        <w:fldChar w:fldCharType="end"/>
      </w:r>
      <w:r>
        <w:rPr>
          <w:color w:val="auto"/>
        </w:rPr>
        <w:fldChar w:fldCharType="end"/>
      </w:r>
    </w:p>
    <w:p w14:paraId="48530884">
      <w:pPr>
        <w:pStyle w:val="29"/>
        <w:tabs>
          <w:tab w:val="right" w:leader="dot" w:pos="8844"/>
        </w:tabs>
        <w:ind w:left="1260"/>
        <w:rPr>
          <w:color w:val="auto"/>
        </w:rPr>
      </w:pPr>
      <w:r>
        <w:rPr>
          <w:color w:val="auto"/>
        </w:rPr>
        <w:fldChar w:fldCharType="begin"/>
      </w:r>
      <w:r>
        <w:rPr>
          <w:color w:val="auto"/>
        </w:rPr>
        <w:instrText xml:space="preserve"> HYPERLINK \l "_Toc3212" </w:instrText>
      </w:r>
      <w:r>
        <w:rPr>
          <w:color w:val="auto"/>
        </w:rPr>
        <w:fldChar w:fldCharType="separate"/>
      </w:r>
      <w:r>
        <w:rPr>
          <w:rFonts w:hint="eastAsia" w:asciiTheme="minorEastAsia" w:hAnsiTheme="minorEastAsia"/>
          <w:color w:val="auto"/>
          <w:szCs w:val="24"/>
        </w:rPr>
        <w:t>3.投标人的资格要求</w:t>
      </w:r>
      <w:r>
        <w:rPr>
          <w:color w:val="auto"/>
        </w:rPr>
        <w:tab/>
      </w:r>
      <w:r>
        <w:rPr>
          <w:color w:val="auto"/>
        </w:rPr>
        <w:fldChar w:fldCharType="begin"/>
      </w:r>
      <w:r>
        <w:rPr>
          <w:color w:val="auto"/>
        </w:rPr>
        <w:instrText xml:space="preserve"> PAGEREF _Toc3212 \h </w:instrText>
      </w:r>
      <w:r>
        <w:rPr>
          <w:color w:val="auto"/>
        </w:rPr>
        <w:fldChar w:fldCharType="separate"/>
      </w:r>
      <w:r>
        <w:rPr>
          <w:color w:val="auto"/>
        </w:rPr>
        <w:t>9</w:t>
      </w:r>
      <w:r>
        <w:rPr>
          <w:color w:val="auto"/>
        </w:rPr>
        <w:fldChar w:fldCharType="end"/>
      </w:r>
      <w:r>
        <w:rPr>
          <w:color w:val="auto"/>
        </w:rPr>
        <w:fldChar w:fldCharType="end"/>
      </w:r>
    </w:p>
    <w:p w14:paraId="347A9B41">
      <w:pPr>
        <w:pStyle w:val="29"/>
        <w:tabs>
          <w:tab w:val="right" w:leader="dot" w:pos="8844"/>
        </w:tabs>
        <w:ind w:left="1260"/>
        <w:rPr>
          <w:color w:val="auto"/>
        </w:rPr>
      </w:pPr>
      <w:r>
        <w:rPr>
          <w:color w:val="auto"/>
        </w:rPr>
        <w:fldChar w:fldCharType="begin"/>
      </w:r>
      <w:r>
        <w:rPr>
          <w:color w:val="auto"/>
        </w:rPr>
        <w:instrText xml:space="preserve"> HYPERLINK \l "_Toc13603" </w:instrText>
      </w:r>
      <w:r>
        <w:rPr>
          <w:color w:val="auto"/>
        </w:rPr>
        <w:fldChar w:fldCharType="separate"/>
      </w:r>
      <w:r>
        <w:rPr>
          <w:rFonts w:hint="eastAsia" w:asciiTheme="minorEastAsia" w:hAnsiTheme="minorEastAsia"/>
          <w:color w:val="auto"/>
          <w:szCs w:val="24"/>
        </w:rPr>
        <w:t>4.投标费用</w:t>
      </w:r>
      <w:r>
        <w:rPr>
          <w:color w:val="auto"/>
        </w:rPr>
        <w:tab/>
      </w:r>
      <w:r>
        <w:rPr>
          <w:color w:val="auto"/>
        </w:rPr>
        <w:fldChar w:fldCharType="begin"/>
      </w:r>
      <w:r>
        <w:rPr>
          <w:color w:val="auto"/>
        </w:rPr>
        <w:instrText xml:space="preserve"> PAGEREF _Toc13603 \h </w:instrText>
      </w:r>
      <w:r>
        <w:rPr>
          <w:color w:val="auto"/>
        </w:rPr>
        <w:fldChar w:fldCharType="separate"/>
      </w:r>
      <w:r>
        <w:rPr>
          <w:color w:val="auto"/>
        </w:rPr>
        <w:t>9</w:t>
      </w:r>
      <w:r>
        <w:rPr>
          <w:color w:val="auto"/>
        </w:rPr>
        <w:fldChar w:fldCharType="end"/>
      </w:r>
      <w:r>
        <w:rPr>
          <w:color w:val="auto"/>
        </w:rPr>
        <w:fldChar w:fldCharType="end"/>
      </w:r>
    </w:p>
    <w:p w14:paraId="5EA2CFBF">
      <w:pPr>
        <w:pStyle w:val="29"/>
        <w:tabs>
          <w:tab w:val="right" w:leader="dot" w:pos="8844"/>
        </w:tabs>
        <w:ind w:left="1260"/>
        <w:rPr>
          <w:color w:val="auto"/>
        </w:rPr>
      </w:pPr>
      <w:r>
        <w:rPr>
          <w:color w:val="auto"/>
        </w:rPr>
        <w:fldChar w:fldCharType="begin"/>
      </w:r>
      <w:r>
        <w:rPr>
          <w:color w:val="auto"/>
        </w:rPr>
        <w:instrText xml:space="preserve"> HYPERLINK \l "_Toc13135" </w:instrText>
      </w:r>
      <w:r>
        <w:rPr>
          <w:color w:val="auto"/>
        </w:rPr>
        <w:fldChar w:fldCharType="separate"/>
      </w:r>
      <w:r>
        <w:rPr>
          <w:rFonts w:hint="eastAsia" w:asciiTheme="minorEastAsia" w:hAnsiTheme="minorEastAsia"/>
          <w:color w:val="auto"/>
          <w:szCs w:val="24"/>
        </w:rPr>
        <w:t>5．组织现场考察或者召开答疑会</w:t>
      </w:r>
      <w:r>
        <w:rPr>
          <w:color w:val="auto"/>
        </w:rPr>
        <w:tab/>
      </w:r>
      <w:r>
        <w:rPr>
          <w:color w:val="auto"/>
        </w:rPr>
        <w:fldChar w:fldCharType="begin"/>
      </w:r>
      <w:r>
        <w:rPr>
          <w:color w:val="auto"/>
        </w:rPr>
        <w:instrText xml:space="preserve"> PAGEREF _Toc13135 \h </w:instrText>
      </w:r>
      <w:r>
        <w:rPr>
          <w:color w:val="auto"/>
        </w:rPr>
        <w:fldChar w:fldCharType="separate"/>
      </w:r>
      <w:r>
        <w:rPr>
          <w:color w:val="auto"/>
        </w:rPr>
        <w:t>9</w:t>
      </w:r>
      <w:r>
        <w:rPr>
          <w:color w:val="auto"/>
        </w:rPr>
        <w:fldChar w:fldCharType="end"/>
      </w:r>
      <w:r>
        <w:rPr>
          <w:color w:val="auto"/>
        </w:rPr>
        <w:fldChar w:fldCharType="end"/>
      </w:r>
    </w:p>
    <w:p w14:paraId="2708C900">
      <w:pPr>
        <w:pStyle w:val="20"/>
        <w:tabs>
          <w:tab w:val="right" w:leader="dot" w:pos="8844"/>
        </w:tabs>
        <w:ind w:left="840"/>
        <w:rPr>
          <w:color w:val="auto"/>
        </w:rPr>
      </w:pPr>
      <w:r>
        <w:rPr>
          <w:color w:val="auto"/>
        </w:rPr>
        <w:fldChar w:fldCharType="begin"/>
      </w:r>
      <w:r>
        <w:rPr>
          <w:color w:val="auto"/>
        </w:rPr>
        <w:instrText xml:space="preserve"> HYPERLINK \l "_Toc11047" </w:instrText>
      </w:r>
      <w:r>
        <w:rPr>
          <w:color w:val="auto"/>
        </w:rPr>
        <w:fldChar w:fldCharType="separate"/>
      </w:r>
      <w:r>
        <w:rPr>
          <w:rFonts w:hint="eastAsia" w:ascii="黑体" w:hAnsi="黑体" w:eastAsia="黑体"/>
          <w:color w:val="auto"/>
          <w:szCs w:val="28"/>
        </w:rPr>
        <w:t>二、招标文件</w:t>
      </w:r>
      <w:r>
        <w:rPr>
          <w:color w:val="auto"/>
        </w:rPr>
        <w:tab/>
      </w:r>
      <w:r>
        <w:rPr>
          <w:color w:val="auto"/>
        </w:rPr>
        <w:fldChar w:fldCharType="begin"/>
      </w:r>
      <w:r>
        <w:rPr>
          <w:color w:val="auto"/>
        </w:rPr>
        <w:instrText xml:space="preserve"> PAGEREF _Toc11047 \h </w:instrText>
      </w:r>
      <w:r>
        <w:rPr>
          <w:color w:val="auto"/>
        </w:rPr>
        <w:fldChar w:fldCharType="separate"/>
      </w:r>
      <w:r>
        <w:rPr>
          <w:color w:val="auto"/>
        </w:rPr>
        <w:t>9</w:t>
      </w:r>
      <w:r>
        <w:rPr>
          <w:color w:val="auto"/>
        </w:rPr>
        <w:fldChar w:fldCharType="end"/>
      </w:r>
      <w:r>
        <w:rPr>
          <w:color w:val="auto"/>
        </w:rPr>
        <w:fldChar w:fldCharType="end"/>
      </w:r>
    </w:p>
    <w:p w14:paraId="1713CD15">
      <w:pPr>
        <w:pStyle w:val="29"/>
        <w:tabs>
          <w:tab w:val="right" w:leader="dot" w:pos="8844"/>
        </w:tabs>
        <w:ind w:left="1260"/>
        <w:rPr>
          <w:color w:val="auto"/>
        </w:rPr>
      </w:pPr>
      <w:r>
        <w:rPr>
          <w:color w:val="auto"/>
        </w:rPr>
        <w:fldChar w:fldCharType="begin"/>
      </w:r>
      <w:r>
        <w:rPr>
          <w:color w:val="auto"/>
        </w:rPr>
        <w:instrText xml:space="preserve"> HYPERLINK \l "_Toc7669" </w:instrText>
      </w:r>
      <w:r>
        <w:rPr>
          <w:color w:val="auto"/>
        </w:rPr>
        <w:fldChar w:fldCharType="separate"/>
      </w:r>
      <w:r>
        <w:rPr>
          <w:rFonts w:hint="eastAsia" w:asciiTheme="minorEastAsia" w:hAnsiTheme="minorEastAsia"/>
          <w:color w:val="auto"/>
          <w:szCs w:val="24"/>
        </w:rPr>
        <w:t>6.招标文件的构成</w:t>
      </w:r>
      <w:r>
        <w:rPr>
          <w:color w:val="auto"/>
        </w:rPr>
        <w:tab/>
      </w:r>
      <w:r>
        <w:rPr>
          <w:color w:val="auto"/>
        </w:rPr>
        <w:fldChar w:fldCharType="begin"/>
      </w:r>
      <w:r>
        <w:rPr>
          <w:color w:val="auto"/>
        </w:rPr>
        <w:instrText xml:space="preserve"> PAGEREF _Toc7669 \h </w:instrText>
      </w:r>
      <w:r>
        <w:rPr>
          <w:color w:val="auto"/>
        </w:rPr>
        <w:fldChar w:fldCharType="separate"/>
      </w:r>
      <w:r>
        <w:rPr>
          <w:color w:val="auto"/>
        </w:rPr>
        <w:t>9</w:t>
      </w:r>
      <w:r>
        <w:rPr>
          <w:color w:val="auto"/>
        </w:rPr>
        <w:fldChar w:fldCharType="end"/>
      </w:r>
      <w:r>
        <w:rPr>
          <w:color w:val="auto"/>
        </w:rPr>
        <w:fldChar w:fldCharType="end"/>
      </w:r>
    </w:p>
    <w:p w14:paraId="6DAF6E6D">
      <w:pPr>
        <w:pStyle w:val="29"/>
        <w:tabs>
          <w:tab w:val="right" w:leader="dot" w:pos="8844"/>
        </w:tabs>
        <w:ind w:left="1260"/>
        <w:rPr>
          <w:color w:val="auto"/>
        </w:rPr>
      </w:pPr>
      <w:r>
        <w:rPr>
          <w:color w:val="auto"/>
        </w:rPr>
        <w:fldChar w:fldCharType="begin"/>
      </w:r>
      <w:r>
        <w:rPr>
          <w:color w:val="auto"/>
        </w:rPr>
        <w:instrText xml:space="preserve"> HYPERLINK \l "_Toc25142" </w:instrText>
      </w:r>
      <w:r>
        <w:rPr>
          <w:color w:val="auto"/>
        </w:rPr>
        <w:fldChar w:fldCharType="separate"/>
      </w:r>
      <w:r>
        <w:rPr>
          <w:rFonts w:hint="eastAsia" w:asciiTheme="minorEastAsia" w:hAnsiTheme="minorEastAsia"/>
          <w:color w:val="auto"/>
          <w:szCs w:val="24"/>
        </w:rPr>
        <w:t>7．偏离与实质性响应</w:t>
      </w:r>
      <w:r>
        <w:rPr>
          <w:color w:val="auto"/>
        </w:rPr>
        <w:tab/>
      </w:r>
      <w:r>
        <w:rPr>
          <w:color w:val="auto"/>
        </w:rPr>
        <w:fldChar w:fldCharType="begin"/>
      </w:r>
      <w:r>
        <w:rPr>
          <w:color w:val="auto"/>
        </w:rPr>
        <w:instrText xml:space="preserve"> PAGEREF _Toc25142 \h </w:instrText>
      </w:r>
      <w:r>
        <w:rPr>
          <w:color w:val="auto"/>
        </w:rPr>
        <w:fldChar w:fldCharType="separate"/>
      </w:r>
      <w:r>
        <w:rPr>
          <w:color w:val="auto"/>
        </w:rPr>
        <w:t>10</w:t>
      </w:r>
      <w:r>
        <w:rPr>
          <w:color w:val="auto"/>
        </w:rPr>
        <w:fldChar w:fldCharType="end"/>
      </w:r>
      <w:r>
        <w:rPr>
          <w:color w:val="auto"/>
        </w:rPr>
        <w:fldChar w:fldCharType="end"/>
      </w:r>
    </w:p>
    <w:p w14:paraId="7E2C3697">
      <w:pPr>
        <w:pStyle w:val="29"/>
        <w:tabs>
          <w:tab w:val="right" w:leader="dot" w:pos="8844"/>
        </w:tabs>
        <w:ind w:left="1260"/>
        <w:rPr>
          <w:color w:val="auto"/>
        </w:rPr>
      </w:pPr>
      <w:r>
        <w:rPr>
          <w:color w:val="auto"/>
        </w:rPr>
        <w:fldChar w:fldCharType="begin"/>
      </w:r>
      <w:r>
        <w:rPr>
          <w:color w:val="auto"/>
        </w:rPr>
        <w:instrText xml:space="preserve"> HYPERLINK \l "_Toc31844" </w:instrText>
      </w:r>
      <w:r>
        <w:rPr>
          <w:color w:val="auto"/>
        </w:rPr>
        <w:fldChar w:fldCharType="separate"/>
      </w:r>
      <w:r>
        <w:rPr>
          <w:rFonts w:hint="eastAsia" w:asciiTheme="minorEastAsia" w:hAnsiTheme="minorEastAsia"/>
          <w:color w:val="auto"/>
          <w:szCs w:val="24"/>
        </w:rPr>
        <w:t>8.询问</w:t>
      </w:r>
      <w:r>
        <w:rPr>
          <w:color w:val="auto"/>
        </w:rPr>
        <w:tab/>
      </w:r>
      <w:r>
        <w:rPr>
          <w:color w:val="auto"/>
        </w:rPr>
        <w:fldChar w:fldCharType="begin"/>
      </w:r>
      <w:r>
        <w:rPr>
          <w:color w:val="auto"/>
        </w:rPr>
        <w:instrText xml:space="preserve"> PAGEREF _Toc31844 \h </w:instrText>
      </w:r>
      <w:r>
        <w:rPr>
          <w:color w:val="auto"/>
        </w:rPr>
        <w:fldChar w:fldCharType="separate"/>
      </w:r>
      <w:r>
        <w:rPr>
          <w:color w:val="auto"/>
        </w:rPr>
        <w:t>10</w:t>
      </w:r>
      <w:r>
        <w:rPr>
          <w:color w:val="auto"/>
        </w:rPr>
        <w:fldChar w:fldCharType="end"/>
      </w:r>
      <w:r>
        <w:rPr>
          <w:color w:val="auto"/>
        </w:rPr>
        <w:fldChar w:fldCharType="end"/>
      </w:r>
    </w:p>
    <w:p w14:paraId="01374DBF">
      <w:pPr>
        <w:pStyle w:val="29"/>
        <w:tabs>
          <w:tab w:val="right" w:leader="dot" w:pos="8844"/>
        </w:tabs>
        <w:ind w:left="1260"/>
        <w:rPr>
          <w:color w:val="auto"/>
        </w:rPr>
      </w:pPr>
      <w:r>
        <w:rPr>
          <w:color w:val="auto"/>
        </w:rPr>
        <w:fldChar w:fldCharType="begin"/>
      </w:r>
      <w:r>
        <w:rPr>
          <w:color w:val="auto"/>
        </w:rPr>
        <w:instrText xml:space="preserve"> HYPERLINK \l "_Toc570" </w:instrText>
      </w:r>
      <w:r>
        <w:rPr>
          <w:color w:val="auto"/>
        </w:rPr>
        <w:fldChar w:fldCharType="separate"/>
      </w:r>
      <w:r>
        <w:rPr>
          <w:rFonts w:hint="eastAsia" w:asciiTheme="minorEastAsia" w:hAnsiTheme="minorEastAsia"/>
          <w:color w:val="auto"/>
          <w:szCs w:val="24"/>
        </w:rPr>
        <w:t>9.招标文件的澄清或者修改</w:t>
      </w:r>
      <w:r>
        <w:rPr>
          <w:color w:val="auto"/>
        </w:rPr>
        <w:tab/>
      </w:r>
      <w:r>
        <w:rPr>
          <w:color w:val="auto"/>
        </w:rPr>
        <w:fldChar w:fldCharType="begin"/>
      </w:r>
      <w:r>
        <w:rPr>
          <w:color w:val="auto"/>
        </w:rPr>
        <w:instrText xml:space="preserve"> PAGEREF _Toc570 \h </w:instrText>
      </w:r>
      <w:r>
        <w:rPr>
          <w:color w:val="auto"/>
        </w:rPr>
        <w:fldChar w:fldCharType="separate"/>
      </w:r>
      <w:r>
        <w:rPr>
          <w:color w:val="auto"/>
        </w:rPr>
        <w:t>10</w:t>
      </w:r>
      <w:r>
        <w:rPr>
          <w:color w:val="auto"/>
        </w:rPr>
        <w:fldChar w:fldCharType="end"/>
      </w:r>
      <w:r>
        <w:rPr>
          <w:color w:val="auto"/>
        </w:rPr>
        <w:fldChar w:fldCharType="end"/>
      </w:r>
    </w:p>
    <w:p w14:paraId="41AE5AD9">
      <w:pPr>
        <w:pStyle w:val="20"/>
        <w:tabs>
          <w:tab w:val="right" w:leader="dot" w:pos="8844"/>
        </w:tabs>
        <w:ind w:left="840"/>
        <w:rPr>
          <w:color w:val="auto"/>
        </w:rPr>
      </w:pPr>
      <w:r>
        <w:rPr>
          <w:color w:val="auto"/>
        </w:rPr>
        <w:fldChar w:fldCharType="begin"/>
      </w:r>
      <w:r>
        <w:rPr>
          <w:color w:val="auto"/>
        </w:rPr>
        <w:instrText xml:space="preserve"> HYPERLINK \l "_Toc6156" </w:instrText>
      </w:r>
      <w:r>
        <w:rPr>
          <w:color w:val="auto"/>
        </w:rPr>
        <w:fldChar w:fldCharType="separate"/>
      </w:r>
      <w:r>
        <w:rPr>
          <w:rFonts w:hint="eastAsia" w:ascii="黑体" w:hAnsi="黑体" w:eastAsia="黑体"/>
          <w:color w:val="auto"/>
          <w:szCs w:val="28"/>
        </w:rPr>
        <w:t>三、投标文件</w:t>
      </w:r>
      <w:r>
        <w:rPr>
          <w:color w:val="auto"/>
        </w:rPr>
        <w:tab/>
      </w:r>
      <w:r>
        <w:rPr>
          <w:color w:val="auto"/>
        </w:rPr>
        <w:fldChar w:fldCharType="begin"/>
      </w:r>
      <w:r>
        <w:rPr>
          <w:color w:val="auto"/>
        </w:rPr>
        <w:instrText xml:space="preserve"> PAGEREF _Toc6156 \h </w:instrText>
      </w:r>
      <w:r>
        <w:rPr>
          <w:color w:val="auto"/>
        </w:rPr>
        <w:fldChar w:fldCharType="separate"/>
      </w:r>
      <w:r>
        <w:rPr>
          <w:color w:val="auto"/>
        </w:rPr>
        <w:t>10</w:t>
      </w:r>
      <w:r>
        <w:rPr>
          <w:color w:val="auto"/>
        </w:rPr>
        <w:fldChar w:fldCharType="end"/>
      </w:r>
      <w:r>
        <w:rPr>
          <w:color w:val="auto"/>
        </w:rPr>
        <w:fldChar w:fldCharType="end"/>
      </w:r>
    </w:p>
    <w:p w14:paraId="58E01517">
      <w:pPr>
        <w:pStyle w:val="29"/>
        <w:tabs>
          <w:tab w:val="right" w:leader="dot" w:pos="8844"/>
        </w:tabs>
        <w:ind w:left="1260"/>
        <w:rPr>
          <w:color w:val="auto"/>
        </w:rPr>
      </w:pPr>
      <w:r>
        <w:rPr>
          <w:color w:val="auto"/>
        </w:rPr>
        <w:fldChar w:fldCharType="begin"/>
      </w:r>
      <w:r>
        <w:rPr>
          <w:color w:val="auto"/>
        </w:rPr>
        <w:instrText xml:space="preserve"> HYPERLINK \l "_Toc13126" </w:instrText>
      </w:r>
      <w:r>
        <w:rPr>
          <w:color w:val="auto"/>
        </w:rPr>
        <w:fldChar w:fldCharType="separate"/>
      </w:r>
      <w:r>
        <w:rPr>
          <w:rFonts w:hint="eastAsia" w:asciiTheme="minorEastAsia" w:hAnsiTheme="minorEastAsia"/>
          <w:color w:val="auto"/>
          <w:szCs w:val="24"/>
        </w:rPr>
        <w:t>10.投标语言</w:t>
      </w:r>
      <w:r>
        <w:rPr>
          <w:color w:val="auto"/>
        </w:rPr>
        <w:tab/>
      </w:r>
      <w:r>
        <w:rPr>
          <w:color w:val="auto"/>
        </w:rPr>
        <w:fldChar w:fldCharType="begin"/>
      </w:r>
      <w:r>
        <w:rPr>
          <w:color w:val="auto"/>
        </w:rPr>
        <w:instrText xml:space="preserve"> PAGEREF _Toc13126 \h </w:instrText>
      </w:r>
      <w:r>
        <w:rPr>
          <w:color w:val="auto"/>
        </w:rPr>
        <w:fldChar w:fldCharType="separate"/>
      </w:r>
      <w:r>
        <w:rPr>
          <w:color w:val="auto"/>
        </w:rPr>
        <w:t>10</w:t>
      </w:r>
      <w:r>
        <w:rPr>
          <w:color w:val="auto"/>
        </w:rPr>
        <w:fldChar w:fldCharType="end"/>
      </w:r>
      <w:r>
        <w:rPr>
          <w:color w:val="auto"/>
        </w:rPr>
        <w:fldChar w:fldCharType="end"/>
      </w:r>
    </w:p>
    <w:p w14:paraId="27960BFE">
      <w:pPr>
        <w:pStyle w:val="29"/>
        <w:tabs>
          <w:tab w:val="right" w:leader="dot" w:pos="8844"/>
        </w:tabs>
        <w:ind w:left="1260"/>
        <w:rPr>
          <w:color w:val="auto"/>
        </w:rPr>
      </w:pPr>
      <w:r>
        <w:rPr>
          <w:color w:val="auto"/>
        </w:rPr>
        <w:fldChar w:fldCharType="begin"/>
      </w:r>
      <w:r>
        <w:rPr>
          <w:color w:val="auto"/>
        </w:rPr>
        <w:instrText xml:space="preserve"> HYPERLINK \l "_Toc4982" </w:instrText>
      </w:r>
      <w:r>
        <w:rPr>
          <w:color w:val="auto"/>
        </w:rPr>
        <w:fldChar w:fldCharType="separate"/>
      </w:r>
      <w:r>
        <w:rPr>
          <w:rFonts w:hint="eastAsia" w:asciiTheme="minorEastAsia" w:hAnsiTheme="minorEastAsia"/>
          <w:color w:val="auto"/>
          <w:szCs w:val="24"/>
        </w:rPr>
        <w:t>11.计量单位</w:t>
      </w:r>
      <w:r>
        <w:rPr>
          <w:color w:val="auto"/>
        </w:rPr>
        <w:tab/>
      </w:r>
      <w:r>
        <w:rPr>
          <w:color w:val="auto"/>
        </w:rPr>
        <w:fldChar w:fldCharType="begin"/>
      </w:r>
      <w:r>
        <w:rPr>
          <w:color w:val="auto"/>
        </w:rPr>
        <w:instrText xml:space="preserve"> PAGEREF _Toc4982 \h </w:instrText>
      </w:r>
      <w:r>
        <w:rPr>
          <w:color w:val="auto"/>
        </w:rPr>
        <w:fldChar w:fldCharType="separate"/>
      </w:r>
      <w:r>
        <w:rPr>
          <w:color w:val="auto"/>
        </w:rPr>
        <w:t>11</w:t>
      </w:r>
      <w:r>
        <w:rPr>
          <w:color w:val="auto"/>
        </w:rPr>
        <w:fldChar w:fldCharType="end"/>
      </w:r>
      <w:r>
        <w:rPr>
          <w:color w:val="auto"/>
        </w:rPr>
        <w:fldChar w:fldCharType="end"/>
      </w:r>
    </w:p>
    <w:p w14:paraId="4256D3AF">
      <w:pPr>
        <w:pStyle w:val="29"/>
        <w:tabs>
          <w:tab w:val="right" w:leader="dot" w:pos="8844"/>
        </w:tabs>
        <w:ind w:left="1260"/>
        <w:rPr>
          <w:color w:val="auto"/>
        </w:rPr>
      </w:pPr>
      <w:r>
        <w:rPr>
          <w:color w:val="auto"/>
        </w:rPr>
        <w:fldChar w:fldCharType="begin"/>
      </w:r>
      <w:r>
        <w:rPr>
          <w:color w:val="auto"/>
        </w:rPr>
        <w:instrText xml:space="preserve"> HYPERLINK \l "_Toc17792" </w:instrText>
      </w:r>
      <w:r>
        <w:rPr>
          <w:color w:val="auto"/>
        </w:rPr>
        <w:fldChar w:fldCharType="separate"/>
      </w:r>
      <w:r>
        <w:rPr>
          <w:rFonts w:hint="eastAsia" w:asciiTheme="minorEastAsia" w:hAnsiTheme="minorEastAsia"/>
          <w:color w:val="auto"/>
          <w:szCs w:val="24"/>
        </w:rPr>
        <w:t>12.投标文件的组成</w:t>
      </w:r>
      <w:r>
        <w:rPr>
          <w:color w:val="auto"/>
        </w:rPr>
        <w:tab/>
      </w:r>
      <w:r>
        <w:rPr>
          <w:color w:val="auto"/>
        </w:rPr>
        <w:fldChar w:fldCharType="begin"/>
      </w:r>
      <w:r>
        <w:rPr>
          <w:color w:val="auto"/>
        </w:rPr>
        <w:instrText xml:space="preserve"> PAGEREF _Toc17792 \h </w:instrText>
      </w:r>
      <w:r>
        <w:rPr>
          <w:color w:val="auto"/>
        </w:rPr>
        <w:fldChar w:fldCharType="separate"/>
      </w:r>
      <w:r>
        <w:rPr>
          <w:color w:val="auto"/>
        </w:rPr>
        <w:t>11</w:t>
      </w:r>
      <w:r>
        <w:rPr>
          <w:color w:val="auto"/>
        </w:rPr>
        <w:fldChar w:fldCharType="end"/>
      </w:r>
      <w:r>
        <w:rPr>
          <w:color w:val="auto"/>
        </w:rPr>
        <w:fldChar w:fldCharType="end"/>
      </w:r>
    </w:p>
    <w:p w14:paraId="1803B432">
      <w:pPr>
        <w:pStyle w:val="29"/>
        <w:tabs>
          <w:tab w:val="right" w:leader="dot" w:pos="8844"/>
        </w:tabs>
        <w:ind w:left="1260"/>
        <w:rPr>
          <w:color w:val="auto"/>
        </w:rPr>
      </w:pPr>
      <w:r>
        <w:rPr>
          <w:color w:val="auto"/>
        </w:rPr>
        <w:fldChar w:fldCharType="begin"/>
      </w:r>
      <w:r>
        <w:rPr>
          <w:color w:val="auto"/>
        </w:rPr>
        <w:instrText xml:space="preserve"> HYPERLINK \l "_Toc16128" </w:instrText>
      </w:r>
      <w:r>
        <w:rPr>
          <w:color w:val="auto"/>
        </w:rPr>
        <w:fldChar w:fldCharType="separate"/>
      </w:r>
      <w:r>
        <w:rPr>
          <w:rFonts w:hint="eastAsia" w:asciiTheme="minorEastAsia" w:hAnsiTheme="minorEastAsia"/>
          <w:color w:val="auto"/>
          <w:szCs w:val="24"/>
        </w:rPr>
        <w:t>13.投标报价</w:t>
      </w:r>
      <w:r>
        <w:rPr>
          <w:color w:val="auto"/>
        </w:rPr>
        <w:tab/>
      </w:r>
      <w:r>
        <w:rPr>
          <w:color w:val="auto"/>
        </w:rPr>
        <w:fldChar w:fldCharType="begin"/>
      </w:r>
      <w:r>
        <w:rPr>
          <w:color w:val="auto"/>
        </w:rPr>
        <w:instrText xml:space="preserve"> PAGEREF _Toc16128 \h </w:instrText>
      </w:r>
      <w:r>
        <w:rPr>
          <w:color w:val="auto"/>
        </w:rPr>
        <w:fldChar w:fldCharType="separate"/>
      </w:r>
      <w:r>
        <w:rPr>
          <w:color w:val="auto"/>
        </w:rPr>
        <w:t>11</w:t>
      </w:r>
      <w:r>
        <w:rPr>
          <w:color w:val="auto"/>
        </w:rPr>
        <w:fldChar w:fldCharType="end"/>
      </w:r>
      <w:r>
        <w:rPr>
          <w:color w:val="auto"/>
        </w:rPr>
        <w:fldChar w:fldCharType="end"/>
      </w:r>
    </w:p>
    <w:p w14:paraId="6124B0E9">
      <w:pPr>
        <w:pStyle w:val="29"/>
        <w:tabs>
          <w:tab w:val="right" w:leader="dot" w:pos="8844"/>
        </w:tabs>
        <w:ind w:left="1260"/>
        <w:rPr>
          <w:color w:val="auto"/>
        </w:rPr>
      </w:pPr>
      <w:r>
        <w:rPr>
          <w:color w:val="auto"/>
        </w:rPr>
        <w:fldChar w:fldCharType="begin"/>
      </w:r>
      <w:r>
        <w:rPr>
          <w:color w:val="auto"/>
        </w:rPr>
        <w:instrText xml:space="preserve"> HYPERLINK \l "_Toc19796" </w:instrText>
      </w:r>
      <w:r>
        <w:rPr>
          <w:color w:val="auto"/>
        </w:rPr>
        <w:fldChar w:fldCharType="separate"/>
      </w:r>
      <w:r>
        <w:rPr>
          <w:rFonts w:hint="eastAsia" w:asciiTheme="minorEastAsia" w:hAnsiTheme="minorEastAsia"/>
          <w:color w:val="auto"/>
          <w:szCs w:val="24"/>
        </w:rPr>
        <w:t>14.投标人的资格证明文件</w:t>
      </w:r>
      <w:r>
        <w:rPr>
          <w:color w:val="auto"/>
        </w:rPr>
        <w:tab/>
      </w:r>
      <w:r>
        <w:rPr>
          <w:color w:val="auto"/>
        </w:rPr>
        <w:fldChar w:fldCharType="begin"/>
      </w:r>
      <w:r>
        <w:rPr>
          <w:color w:val="auto"/>
        </w:rPr>
        <w:instrText xml:space="preserve"> PAGEREF _Toc19796 \h </w:instrText>
      </w:r>
      <w:r>
        <w:rPr>
          <w:color w:val="auto"/>
        </w:rPr>
        <w:fldChar w:fldCharType="separate"/>
      </w:r>
      <w:r>
        <w:rPr>
          <w:color w:val="auto"/>
        </w:rPr>
        <w:t>12</w:t>
      </w:r>
      <w:r>
        <w:rPr>
          <w:color w:val="auto"/>
        </w:rPr>
        <w:fldChar w:fldCharType="end"/>
      </w:r>
      <w:r>
        <w:rPr>
          <w:color w:val="auto"/>
        </w:rPr>
        <w:fldChar w:fldCharType="end"/>
      </w:r>
    </w:p>
    <w:p w14:paraId="57A3D72D">
      <w:pPr>
        <w:pStyle w:val="29"/>
        <w:tabs>
          <w:tab w:val="right" w:leader="dot" w:pos="8844"/>
        </w:tabs>
        <w:ind w:left="1260"/>
        <w:rPr>
          <w:color w:val="auto"/>
        </w:rPr>
      </w:pPr>
      <w:r>
        <w:rPr>
          <w:color w:val="auto"/>
        </w:rPr>
        <w:fldChar w:fldCharType="begin"/>
      </w:r>
      <w:r>
        <w:rPr>
          <w:color w:val="auto"/>
        </w:rPr>
        <w:instrText xml:space="preserve"> HYPERLINK \l "_Toc29902" </w:instrText>
      </w:r>
      <w:r>
        <w:rPr>
          <w:color w:val="auto"/>
        </w:rPr>
        <w:fldChar w:fldCharType="separate"/>
      </w:r>
      <w:r>
        <w:rPr>
          <w:rFonts w:hint="eastAsia" w:asciiTheme="minorEastAsia" w:hAnsiTheme="minorEastAsia"/>
          <w:color w:val="auto"/>
          <w:szCs w:val="24"/>
        </w:rPr>
        <w:t>15.投标货物及服务符合招标文件规定的证明文件</w:t>
      </w:r>
      <w:r>
        <w:rPr>
          <w:color w:val="auto"/>
        </w:rPr>
        <w:tab/>
      </w:r>
      <w:r>
        <w:rPr>
          <w:color w:val="auto"/>
        </w:rPr>
        <w:fldChar w:fldCharType="begin"/>
      </w:r>
      <w:r>
        <w:rPr>
          <w:color w:val="auto"/>
        </w:rPr>
        <w:instrText xml:space="preserve"> PAGEREF _Toc29902 \h </w:instrText>
      </w:r>
      <w:r>
        <w:rPr>
          <w:color w:val="auto"/>
        </w:rPr>
        <w:fldChar w:fldCharType="separate"/>
      </w:r>
      <w:r>
        <w:rPr>
          <w:color w:val="auto"/>
        </w:rPr>
        <w:t>12</w:t>
      </w:r>
      <w:r>
        <w:rPr>
          <w:color w:val="auto"/>
        </w:rPr>
        <w:fldChar w:fldCharType="end"/>
      </w:r>
      <w:r>
        <w:rPr>
          <w:color w:val="auto"/>
        </w:rPr>
        <w:fldChar w:fldCharType="end"/>
      </w:r>
    </w:p>
    <w:p w14:paraId="4382AED7">
      <w:pPr>
        <w:pStyle w:val="29"/>
        <w:tabs>
          <w:tab w:val="right" w:leader="dot" w:pos="8844"/>
        </w:tabs>
        <w:ind w:left="1260"/>
        <w:rPr>
          <w:color w:val="auto"/>
        </w:rPr>
      </w:pPr>
      <w:r>
        <w:rPr>
          <w:color w:val="auto"/>
        </w:rPr>
        <w:fldChar w:fldCharType="begin"/>
      </w:r>
      <w:r>
        <w:rPr>
          <w:color w:val="auto"/>
        </w:rPr>
        <w:instrText xml:space="preserve"> HYPERLINK \l "_Toc32306" </w:instrText>
      </w:r>
      <w:r>
        <w:rPr>
          <w:color w:val="auto"/>
        </w:rPr>
        <w:fldChar w:fldCharType="separate"/>
      </w:r>
      <w:r>
        <w:rPr>
          <w:rFonts w:hint="eastAsia" w:asciiTheme="minorEastAsia" w:hAnsiTheme="minorEastAsia"/>
          <w:color w:val="auto"/>
          <w:szCs w:val="24"/>
        </w:rPr>
        <w:t>16.投标有效期</w:t>
      </w:r>
      <w:r>
        <w:rPr>
          <w:color w:val="auto"/>
        </w:rPr>
        <w:tab/>
      </w:r>
      <w:r>
        <w:rPr>
          <w:color w:val="auto"/>
        </w:rPr>
        <w:fldChar w:fldCharType="begin"/>
      </w:r>
      <w:r>
        <w:rPr>
          <w:color w:val="auto"/>
        </w:rPr>
        <w:instrText xml:space="preserve"> PAGEREF _Toc32306 \h </w:instrText>
      </w:r>
      <w:r>
        <w:rPr>
          <w:color w:val="auto"/>
        </w:rPr>
        <w:fldChar w:fldCharType="separate"/>
      </w:r>
      <w:r>
        <w:rPr>
          <w:color w:val="auto"/>
        </w:rPr>
        <w:t>12</w:t>
      </w:r>
      <w:r>
        <w:rPr>
          <w:color w:val="auto"/>
        </w:rPr>
        <w:fldChar w:fldCharType="end"/>
      </w:r>
      <w:r>
        <w:rPr>
          <w:color w:val="auto"/>
        </w:rPr>
        <w:fldChar w:fldCharType="end"/>
      </w:r>
    </w:p>
    <w:p w14:paraId="077A519D">
      <w:pPr>
        <w:pStyle w:val="29"/>
        <w:tabs>
          <w:tab w:val="right" w:leader="dot" w:pos="8844"/>
        </w:tabs>
        <w:ind w:left="1260"/>
        <w:rPr>
          <w:color w:val="auto"/>
        </w:rPr>
      </w:pPr>
      <w:r>
        <w:rPr>
          <w:color w:val="auto"/>
        </w:rPr>
        <w:fldChar w:fldCharType="begin"/>
      </w:r>
      <w:r>
        <w:rPr>
          <w:color w:val="auto"/>
        </w:rPr>
        <w:instrText xml:space="preserve"> HYPERLINK \l "_Toc15612" </w:instrText>
      </w:r>
      <w:r>
        <w:rPr>
          <w:color w:val="auto"/>
        </w:rPr>
        <w:fldChar w:fldCharType="separate"/>
      </w:r>
      <w:r>
        <w:rPr>
          <w:rFonts w:hint="eastAsia" w:asciiTheme="minorEastAsia" w:hAnsiTheme="minorEastAsia"/>
          <w:color w:val="auto"/>
          <w:szCs w:val="24"/>
        </w:rPr>
        <w:t>17.投标保证金</w:t>
      </w:r>
      <w:r>
        <w:rPr>
          <w:color w:val="auto"/>
        </w:rPr>
        <w:tab/>
      </w:r>
      <w:r>
        <w:rPr>
          <w:color w:val="auto"/>
        </w:rPr>
        <w:fldChar w:fldCharType="begin"/>
      </w:r>
      <w:r>
        <w:rPr>
          <w:color w:val="auto"/>
        </w:rPr>
        <w:instrText xml:space="preserve"> PAGEREF _Toc15612 \h </w:instrText>
      </w:r>
      <w:r>
        <w:rPr>
          <w:color w:val="auto"/>
        </w:rPr>
        <w:fldChar w:fldCharType="separate"/>
      </w:r>
      <w:r>
        <w:rPr>
          <w:color w:val="auto"/>
        </w:rPr>
        <w:t>12</w:t>
      </w:r>
      <w:r>
        <w:rPr>
          <w:color w:val="auto"/>
        </w:rPr>
        <w:fldChar w:fldCharType="end"/>
      </w:r>
      <w:r>
        <w:rPr>
          <w:color w:val="auto"/>
        </w:rPr>
        <w:fldChar w:fldCharType="end"/>
      </w:r>
    </w:p>
    <w:p w14:paraId="7A99AFE6">
      <w:pPr>
        <w:pStyle w:val="29"/>
        <w:tabs>
          <w:tab w:val="right" w:leader="dot" w:pos="8844"/>
        </w:tabs>
        <w:ind w:left="1260"/>
        <w:rPr>
          <w:color w:val="auto"/>
        </w:rPr>
      </w:pPr>
      <w:r>
        <w:rPr>
          <w:color w:val="auto"/>
        </w:rPr>
        <w:fldChar w:fldCharType="begin"/>
      </w:r>
      <w:r>
        <w:rPr>
          <w:color w:val="auto"/>
        </w:rPr>
        <w:instrText xml:space="preserve"> HYPERLINK \l "_Toc8305" </w:instrText>
      </w:r>
      <w:r>
        <w:rPr>
          <w:color w:val="auto"/>
        </w:rPr>
        <w:fldChar w:fldCharType="separate"/>
      </w:r>
      <w:r>
        <w:rPr>
          <w:rFonts w:hint="eastAsia" w:asciiTheme="minorEastAsia" w:hAnsiTheme="minorEastAsia"/>
          <w:color w:val="auto"/>
          <w:szCs w:val="24"/>
        </w:rPr>
        <w:t>18.分包</w:t>
      </w:r>
      <w:r>
        <w:rPr>
          <w:color w:val="auto"/>
        </w:rPr>
        <w:tab/>
      </w:r>
      <w:r>
        <w:rPr>
          <w:color w:val="auto"/>
        </w:rPr>
        <w:fldChar w:fldCharType="begin"/>
      </w:r>
      <w:r>
        <w:rPr>
          <w:color w:val="auto"/>
        </w:rPr>
        <w:instrText xml:space="preserve"> PAGEREF _Toc8305 \h </w:instrText>
      </w:r>
      <w:r>
        <w:rPr>
          <w:color w:val="auto"/>
        </w:rPr>
        <w:fldChar w:fldCharType="separate"/>
      </w:r>
      <w:r>
        <w:rPr>
          <w:color w:val="auto"/>
        </w:rPr>
        <w:t>13</w:t>
      </w:r>
      <w:r>
        <w:rPr>
          <w:color w:val="auto"/>
        </w:rPr>
        <w:fldChar w:fldCharType="end"/>
      </w:r>
      <w:r>
        <w:rPr>
          <w:color w:val="auto"/>
        </w:rPr>
        <w:fldChar w:fldCharType="end"/>
      </w:r>
    </w:p>
    <w:p w14:paraId="74FE0FC6">
      <w:pPr>
        <w:pStyle w:val="29"/>
        <w:tabs>
          <w:tab w:val="right" w:leader="dot" w:pos="8844"/>
        </w:tabs>
        <w:ind w:left="1260"/>
        <w:rPr>
          <w:color w:val="auto"/>
        </w:rPr>
      </w:pPr>
      <w:r>
        <w:rPr>
          <w:color w:val="auto"/>
        </w:rPr>
        <w:fldChar w:fldCharType="begin"/>
      </w:r>
      <w:r>
        <w:rPr>
          <w:color w:val="auto"/>
        </w:rPr>
        <w:instrText xml:space="preserve"> HYPERLINK \l "_Toc17546" </w:instrText>
      </w:r>
      <w:r>
        <w:rPr>
          <w:color w:val="auto"/>
        </w:rPr>
        <w:fldChar w:fldCharType="separate"/>
      </w:r>
      <w:r>
        <w:rPr>
          <w:rFonts w:hint="eastAsia" w:asciiTheme="minorEastAsia" w:hAnsiTheme="minorEastAsia"/>
          <w:color w:val="auto"/>
          <w:szCs w:val="24"/>
        </w:rPr>
        <w:t>19.投标文件的签署及制作</w:t>
      </w:r>
      <w:r>
        <w:rPr>
          <w:color w:val="auto"/>
        </w:rPr>
        <w:tab/>
      </w:r>
      <w:r>
        <w:rPr>
          <w:color w:val="auto"/>
        </w:rPr>
        <w:fldChar w:fldCharType="begin"/>
      </w:r>
      <w:r>
        <w:rPr>
          <w:color w:val="auto"/>
        </w:rPr>
        <w:instrText xml:space="preserve"> PAGEREF _Toc17546 \h </w:instrText>
      </w:r>
      <w:r>
        <w:rPr>
          <w:color w:val="auto"/>
        </w:rPr>
        <w:fldChar w:fldCharType="separate"/>
      </w:r>
      <w:r>
        <w:rPr>
          <w:color w:val="auto"/>
        </w:rPr>
        <w:t>13</w:t>
      </w:r>
      <w:r>
        <w:rPr>
          <w:color w:val="auto"/>
        </w:rPr>
        <w:fldChar w:fldCharType="end"/>
      </w:r>
      <w:r>
        <w:rPr>
          <w:color w:val="auto"/>
        </w:rPr>
        <w:fldChar w:fldCharType="end"/>
      </w:r>
    </w:p>
    <w:p w14:paraId="51B01DA2">
      <w:pPr>
        <w:pStyle w:val="20"/>
        <w:tabs>
          <w:tab w:val="right" w:leader="dot" w:pos="8844"/>
        </w:tabs>
        <w:ind w:left="840"/>
        <w:rPr>
          <w:color w:val="auto"/>
        </w:rPr>
      </w:pPr>
      <w:r>
        <w:rPr>
          <w:color w:val="auto"/>
        </w:rPr>
        <w:fldChar w:fldCharType="begin"/>
      </w:r>
      <w:r>
        <w:rPr>
          <w:color w:val="auto"/>
        </w:rPr>
        <w:instrText xml:space="preserve"> HYPERLINK \l "_Toc8966" </w:instrText>
      </w:r>
      <w:r>
        <w:rPr>
          <w:color w:val="auto"/>
        </w:rPr>
        <w:fldChar w:fldCharType="separate"/>
      </w:r>
      <w:r>
        <w:rPr>
          <w:rFonts w:hint="eastAsia" w:ascii="黑体" w:hAnsi="黑体" w:eastAsia="黑体"/>
          <w:color w:val="auto"/>
          <w:szCs w:val="28"/>
        </w:rPr>
        <w:t>四、投标</w:t>
      </w:r>
      <w:r>
        <w:rPr>
          <w:color w:val="auto"/>
        </w:rPr>
        <w:tab/>
      </w:r>
      <w:r>
        <w:rPr>
          <w:color w:val="auto"/>
        </w:rPr>
        <w:fldChar w:fldCharType="begin"/>
      </w:r>
      <w:r>
        <w:rPr>
          <w:color w:val="auto"/>
        </w:rPr>
        <w:instrText xml:space="preserve"> PAGEREF _Toc8966 \h </w:instrText>
      </w:r>
      <w:r>
        <w:rPr>
          <w:color w:val="auto"/>
        </w:rPr>
        <w:fldChar w:fldCharType="separate"/>
      </w:r>
      <w:r>
        <w:rPr>
          <w:color w:val="auto"/>
        </w:rPr>
        <w:t>14</w:t>
      </w:r>
      <w:r>
        <w:rPr>
          <w:color w:val="auto"/>
        </w:rPr>
        <w:fldChar w:fldCharType="end"/>
      </w:r>
      <w:r>
        <w:rPr>
          <w:color w:val="auto"/>
        </w:rPr>
        <w:fldChar w:fldCharType="end"/>
      </w:r>
    </w:p>
    <w:p w14:paraId="6C6DAFAF">
      <w:pPr>
        <w:pStyle w:val="29"/>
        <w:tabs>
          <w:tab w:val="right" w:leader="dot" w:pos="8844"/>
        </w:tabs>
        <w:ind w:left="1260"/>
        <w:rPr>
          <w:color w:val="auto"/>
        </w:rPr>
      </w:pPr>
      <w:r>
        <w:rPr>
          <w:color w:val="auto"/>
        </w:rPr>
        <w:fldChar w:fldCharType="begin"/>
      </w:r>
      <w:r>
        <w:rPr>
          <w:color w:val="auto"/>
        </w:rPr>
        <w:instrText xml:space="preserve"> HYPERLINK \l "_Toc17576" </w:instrText>
      </w:r>
      <w:r>
        <w:rPr>
          <w:color w:val="auto"/>
        </w:rPr>
        <w:fldChar w:fldCharType="separate"/>
      </w:r>
      <w:r>
        <w:rPr>
          <w:rFonts w:hint="eastAsia" w:asciiTheme="minorEastAsia" w:hAnsiTheme="minorEastAsia"/>
          <w:color w:val="auto"/>
          <w:szCs w:val="24"/>
        </w:rPr>
        <w:t>20.投标文件的加密</w:t>
      </w:r>
      <w:r>
        <w:rPr>
          <w:color w:val="auto"/>
        </w:rPr>
        <w:tab/>
      </w:r>
      <w:r>
        <w:rPr>
          <w:color w:val="auto"/>
        </w:rPr>
        <w:fldChar w:fldCharType="begin"/>
      </w:r>
      <w:r>
        <w:rPr>
          <w:color w:val="auto"/>
        </w:rPr>
        <w:instrText xml:space="preserve"> PAGEREF _Toc17576 \h </w:instrText>
      </w:r>
      <w:r>
        <w:rPr>
          <w:color w:val="auto"/>
        </w:rPr>
        <w:fldChar w:fldCharType="separate"/>
      </w:r>
      <w:r>
        <w:rPr>
          <w:color w:val="auto"/>
        </w:rPr>
        <w:t>14</w:t>
      </w:r>
      <w:r>
        <w:rPr>
          <w:color w:val="auto"/>
        </w:rPr>
        <w:fldChar w:fldCharType="end"/>
      </w:r>
      <w:r>
        <w:rPr>
          <w:color w:val="auto"/>
        </w:rPr>
        <w:fldChar w:fldCharType="end"/>
      </w:r>
    </w:p>
    <w:p w14:paraId="46F9B2A0">
      <w:pPr>
        <w:pStyle w:val="29"/>
        <w:tabs>
          <w:tab w:val="right" w:leader="dot" w:pos="8844"/>
        </w:tabs>
        <w:ind w:left="1260"/>
        <w:rPr>
          <w:color w:val="auto"/>
        </w:rPr>
      </w:pPr>
      <w:r>
        <w:rPr>
          <w:color w:val="auto"/>
        </w:rPr>
        <w:fldChar w:fldCharType="begin"/>
      </w:r>
      <w:r>
        <w:rPr>
          <w:color w:val="auto"/>
        </w:rPr>
        <w:instrText xml:space="preserve"> HYPERLINK \l "_Toc4144" </w:instrText>
      </w:r>
      <w:r>
        <w:rPr>
          <w:color w:val="auto"/>
        </w:rPr>
        <w:fldChar w:fldCharType="separate"/>
      </w:r>
      <w:r>
        <w:rPr>
          <w:rFonts w:hint="eastAsia" w:asciiTheme="minorEastAsia" w:hAnsiTheme="minorEastAsia"/>
          <w:color w:val="auto"/>
          <w:szCs w:val="24"/>
        </w:rPr>
        <w:t>21.投标文件的递交</w:t>
      </w:r>
      <w:r>
        <w:rPr>
          <w:color w:val="auto"/>
        </w:rPr>
        <w:tab/>
      </w:r>
      <w:r>
        <w:rPr>
          <w:color w:val="auto"/>
        </w:rPr>
        <w:fldChar w:fldCharType="begin"/>
      </w:r>
      <w:r>
        <w:rPr>
          <w:color w:val="auto"/>
        </w:rPr>
        <w:instrText xml:space="preserve"> PAGEREF _Toc4144 \h </w:instrText>
      </w:r>
      <w:r>
        <w:rPr>
          <w:color w:val="auto"/>
        </w:rPr>
        <w:fldChar w:fldCharType="separate"/>
      </w:r>
      <w:r>
        <w:rPr>
          <w:color w:val="auto"/>
        </w:rPr>
        <w:t>14</w:t>
      </w:r>
      <w:r>
        <w:rPr>
          <w:color w:val="auto"/>
        </w:rPr>
        <w:fldChar w:fldCharType="end"/>
      </w:r>
      <w:r>
        <w:rPr>
          <w:color w:val="auto"/>
        </w:rPr>
        <w:fldChar w:fldCharType="end"/>
      </w:r>
    </w:p>
    <w:p w14:paraId="74468D3F">
      <w:pPr>
        <w:pStyle w:val="29"/>
        <w:tabs>
          <w:tab w:val="right" w:leader="dot" w:pos="8844"/>
        </w:tabs>
        <w:ind w:left="1260"/>
        <w:rPr>
          <w:color w:val="auto"/>
        </w:rPr>
      </w:pPr>
      <w:r>
        <w:rPr>
          <w:color w:val="auto"/>
        </w:rPr>
        <w:fldChar w:fldCharType="begin"/>
      </w:r>
      <w:r>
        <w:rPr>
          <w:color w:val="auto"/>
        </w:rPr>
        <w:instrText xml:space="preserve"> HYPERLINK \l "_Toc9536" </w:instrText>
      </w:r>
      <w:r>
        <w:rPr>
          <w:color w:val="auto"/>
        </w:rPr>
        <w:fldChar w:fldCharType="separate"/>
      </w:r>
      <w:r>
        <w:rPr>
          <w:rFonts w:hint="eastAsia" w:asciiTheme="minorEastAsia" w:hAnsiTheme="minorEastAsia"/>
          <w:color w:val="auto"/>
          <w:szCs w:val="24"/>
        </w:rPr>
        <w:t>22.投标文件的修改和撤回</w:t>
      </w:r>
      <w:r>
        <w:rPr>
          <w:color w:val="auto"/>
        </w:rPr>
        <w:tab/>
      </w:r>
      <w:r>
        <w:rPr>
          <w:color w:val="auto"/>
        </w:rPr>
        <w:fldChar w:fldCharType="begin"/>
      </w:r>
      <w:r>
        <w:rPr>
          <w:color w:val="auto"/>
        </w:rPr>
        <w:instrText xml:space="preserve"> PAGEREF _Toc9536 \h </w:instrText>
      </w:r>
      <w:r>
        <w:rPr>
          <w:color w:val="auto"/>
        </w:rPr>
        <w:fldChar w:fldCharType="separate"/>
      </w:r>
      <w:r>
        <w:rPr>
          <w:color w:val="auto"/>
        </w:rPr>
        <w:t>14</w:t>
      </w:r>
      <w:r>
        <w:rPr>
          <w:color w:val="auto"/>
        </w:rPr>
        <w:fldChar w:fldCharType="end"/>
      </w:r>
      <w:r>
        <w:rPr>
          <w:color w:val="auto"/>
        </w:rPr>
        <w:fldChar w:fldCharType="end"/>
      </w:r>
    </w:p>
    <w:p w14:paraId="51A5A405">
      <w:pPr>
        <w:pStyle w:val="29"/>
        <w:tabs>
          <w:tab w:val="right" w:leader="dot" w:pos="8844"/>
        </w:tabs>
        <w:ind w:left="1260"/>
        <w:rPr>
          <w:color w:val="auto"/>
        </w:rPr>
      </w:pPr>
      <w:r>
        <w:rPr>
          <w:color w:val="auto"/>
        </w:rPr>
        <w:fldChar w:fldCharType="begin"/>
      </w:r>
      <w:r>
        <w:rPr>
          <w:color w:val="auto"/>
        </w:rPr>
        <w:instrText xml:space="preserve"> HYPERLINK \l "_Toc9289" </w:instrText>
      </w:r>
      <w:r>
        <w:rPr>
          <w:color w:val="auto"/>
        </w:rPr>
        <w:fldChar w:fldCharType="separate"/>
      </w:r>
      <w:r>
        <w:rPr>
          <w:rFonts w:hint="eastAsia" w:asciiTheme="minorEastAsia" w:hAnsiTheme="minorEastAsia"/>
          <w:color w:val="auto"/>
          <w:szCs w:val="24"/>
        </w:rPr>
        <w:t>23.</w:t>
      </w:r>
      <w:r>
        <w:rPr>
          <w:rFonts w:hint="eastAsia" w:cs="Arial" w:asciiTheme="minorEastAsia" w:hAnsiTheme="minorEastAsia"/>
          <w:color w:val="auto"/>
          <w:szCs w:val="24"/>
        </w:rPr>
        <w:t>串通</w:t>
      </w:r>
      <w:r>
        <w:rPr>
          <w:rFonts w:hint="eastAsia" w:asciiTheme="minorEastAsia" w:hAnsiTheme="minorEastAsia"/>
          <w:color w:val="auto"/>
          <w:szCs w:val="24"/>
        </w:rPr>
        <w:t>投标行为</w:t>
      </w:r>
      <w:r>
        <w:rPr>
          <w:color w:val="auto"/>
        </w:rPr>
        <w:tab/>
      </w:r>
      <w:r>
        <w:rPr>
          <w:color w:val="auto"/>
        </w:rPr>
        <w:fldChar w:fldCharType="begin"/>
      </w:r>
      <w:r>
        <w:rPr>
          <w:color w:val="auto"/>
        </w:rPr>
        <w:instrText xml:space="preserve"> PAGEREF _Toc9289 \h </w:instrText>
      </w:r>
      <w:r>
        <w:rPr>
          <w:color w:val="auto"/>
        </w:rPr>
        <w:fldChar w:fldCharType="separate"/>
      </w:r>
      <w:r>
        <w:rPr>
          <w:color w:val="auto"/>
        </w:rPr>
        <w:t>14</w:t>
      </w:r>
      <w:r>
        <w:rPr>
          <w:color w:val="auto"/>
        </w:rPr>
        <w:fldChar w:fldCharType="end"/>
      </w:r>
      <w:r>
        <w:rPr>
          <w:color w:val="auto"/>
        </w:rPr>
        <w:fldChar w:fldCharType="end"/>
      </w:r>
    </w:p>
    <w:p w14:paraId="5A9230A7">
      <w:pPr>
        <w:pStyle w:val="20"/>
        <w:tabs>
          <w:tab w:val="right" w:leader="dot" w:pos="8844"/>
        </w:tabs>
        <w:ind w:left="840"/>
        <w:rPr>
          <w:color w:val="auto"/>
        </w:rPr>
      </w:pPr>
      <w:r>
        <w:rPr>
          <w:color w:val="auto"/>
        </w:rPr>
        <w:fldChar w:fldCharType="begin"/>
      </w:r>
      <w:r>
        <w:rPr>
          <w:color w:val="auto"/>
        </w:rPr>
        <w:instrText xml:space="preserve"> HYPERLINK \l "_Toc15602" </w:instrText>
      </w:r>
      <w:r>
        <w:rPr>
          <w:color w:val="auto"/>
        </w:rPr>
        <w:fldChar w:fldCharType="separate"/>
      </w:r>
      <w:r>
        <w:rPr>
          <w:rFonts w:hint="eastAsia" w:ascii="黑体" w:hAnsi="黑体" w:eastAsia="黑体"/>
          <w:color w:val="auto"/>
          <w:szCs w:val="28"/>
        </w:rPr>
        <w:t>五、开标，资格审查和评标</w:t>
      </w:r>
      <w:r>
        <w:rPr>
          <w:color w:val="auto"/>
        </w:rPr>
        <w:tab/>
      </w:r>
      <w:r>
        <w:rPr>
          <w:color w:val="auto"/>
        </w:rPr>
        <w:fldChar w:fldCharType="begin"/>
      </w:r>
      <w:r>
        <w:rPr>
          <w:color w:val="auto"/>
        </w:rPr>
        <w:instrText xml:space="preserve"> PAGEREF _Toc15602 \h </w:instrText>
      </w:r>
      <w:r>
        <w:rPr>
          <w:color w:val="auto"/>
        </w:rPr>
        <w:fldChar w:fldCharType="separate"/>
      </w:r>
      <w:r>
        <w:rPr>
          <w:color w:val="auto"/>
        </w:rPr>
        <w:t>15</w:t>
      </w:r>
      <w:r>
        <w:rPr>
          <w:color w:val="auto"/>
        </w:rPr>
        <w:fldChar w:fldCharType="end"/>
      </w:r>
      <w:r>
        <w:rPr>
          <w:color w:val="auto"/>
        </w:rPr>
        <w:fldChar w:fldCharType="end"/>
      </w:r>
    </w:p>
    <w:p w14:paraId="35615288">
      <w:pPr>
        <w:pStyle w:val="29"/>
        <w:tabs>
          <w:tab w:val="right" w:leader="dot" w:pos="8844"/>
        </w:tabs>
        <w:ind w:left="1260"/>
        <w:rPr>
          <w:color w:val="auto"/>
        </w:rPr>
      </w:pPr>
      <w:r>
        <w:rPr>
          <w:color w:val="auto"/>
        </w:rPr>
        <w:fldChar w:fldCharType="begin"/>
      </w:r>
      <w:r>
        <w:rPr>
          <w:color w:val="auto"/>
        </w:rPr>
        <w:instrText xml:space="preserve"> HYPERLINK \l "_Toc91" </w:instrText>
      </w:r>
      <w:r>
        <w:rPr>
          <w:color w:val="auto"/>
        </w:rPr>
        <w:fldChar w:fldCharType="separate"/>
      </w:r>
      <w:r>
        <w:rPr>
          <w:rFonts w:hint="eastAsia" w:asciiTheme="minorEastAsia" w:hAnsiTheme="minorEastAsia"/>
          <w:color w:val="auto"/>
          <w:szCs w:val="24"/>
        </w:rPr>
        <w:t>24.开标</w:t>
      </w:r>
      <w:r>
        <w:rPr>
          <w:color w:val="auto"/>
        </w:rPr>
        <w:tab/>
      </w:r>
      <w:r>
        <w:rPr>
          <w:color w:val="auto"/>
        </w:rPr>
        <w:fldChar w:fldCharType="begin"/>
      </w:r>
      <w:r>
        <w:rPr>
          <w:color w:val="auto"/>
        </w:rPr>
        <w:instrText xml:space="preserve"> PAGEREF _Toc91 \h </w:instrText>
      </w:r>
      <w:r>
        <w:rPr>
          <w:color w:val="auto"/>
        </w:rPr>
        <w:fldChar w:fldCharType="separate"/>
      </w:r>
      <w:r>
        <w:rPr>
          <w:color w:val="auto"/>
        </w:rPr>
        <w:t>15</w:t>
      </w:r>
      <w:r>
        <w:rPr>
          <w:color w:val="auto"/>
        </w:rPr>
        <w:fldChar w:fldCharType="end"/>
      </w:r>
      <w:r>
        <w:rPr>
          <w:color w:val="auto"/>
        </w:rPr>
        <w:fldChar w:fldCharType="end"/>
      </w:r>
    </w:p>
    <w:p w14:paraId="71A7F967">
      <w:pPr>
        <w:pStyle w:val="29"/>
        <w:tabs>
          <w:tab w:val="right" w:leader="dot" w:pos="8844"/>
        </w:tabs>
        <w:ind w:left="1260"/>
        <w:rPr>
          <w:color w:val="auto"/>
        </w:rPr>
      </w:pPr>
      <w:r>
        <w:rPr>
          <w:color w:val="auto"/>
        </w:rPr>
        <w:fldChar w:fldCharType="begin"/>
      </w:r>
      <w:r>
        <w:rPr>
          <w:color w:val="auto"/>
        </w:rPr>
        <w:instrText xml:space="preserve"> HYPERLINK \l "_Toc25060" </w:instrText>
      </w:r>
      <w:r>
        <w:rPr>
          <w:color w:val="auto"/>
        </w:rPr>
        <w:fldChar w:fldCharType="separate"/>
      </w:r>
      <w:r>
        <w:rPr>
          <w:rFonts w:hint="eastAsia" w:cs="Arial" w:asciiTheme="minorEastAsia" w:hAnsiTheme="minorEastAsia"/>
          <w:color w:val="auto"/>
          <w:szCs w:val="24"/>
        </w:rPr>
        <w:t>25.</w:t>
      </w:r>
      <w:r>
        <w:rPr>
          <w:rFonts w:hint="eastAsia" w:asciiTheme="minorEastAsia" w:hAnsiTheme="minorEastAsia"/>
          <w:color w:val="auto"/>
          <w:szCs w:val="24"/>
        </w:rPr>
        <w:t>资格审查</w:t>
      </w:r>
      <w:r>
        <w:rPr>
          <w:color w:val="auto"/>
        </w:rPr>
        <w:tab/>
      </w:r>
      <w:r>
        <w:rPr>
          <w:color w:val="auto"/>
        </w:rPr>
        <w:fldChar w:fldCharType="begin"/>
      </w:r>
      <w:r>
        <w:rPr>
          <w:color w:val="auto"/>
        </w:rPr>
        <w:instrText xml:space="preserve"> PAGEREF _Toc25060 \h </w:instrText>
      </w:r>
      <w:r>
        <w:rPr>
          <w:color w:val="auto"/>
        </w:rPr>
        <w:fldChar w:fldCharType="separate"/>
      </w:r>
      <w:r>
        <w:rPr>
          <w:color w:val="auto"/>
        </w:rPr>
        <w:t>15</w:t>
      </w:r>
      <w:r>
        <w:rPr>
          <w:color w:val="auto"/>
        </w:rPr>
        <w:fldChar w:fldCharType="end"/>
      </w:r>
      <w:r>
        <w:rPr>
          <w:color w:val="auto"/>
        </w:rPr>
        <w:fldChar w:fldCharType="end"/>
      </w:r>
    </w:p>
    <w:p w14:paraId="5417E7FE">
      <w:pPr>
        <w:pStyle w:val="29"/>
        <w:tabs>
          <w:tab w:val="right" w:leader="dot" w:pos="8844"/>
        </w:tabs>
        <w:ind w:left="1260"/>
        <w:rPr>
          <w:color w:val="auto"/>
        </w:rPr>
      </w:pPr>
      <w:r>
        <w:rPr>
          <w:color w:val="auto"/>
        </w:rPr>
        <w:fldChar w:fldCharType="begin"/>
      </w:r>
      <w:r>
        <w:rPr>
          <w:color w:val="auto"/>
        </w:rPr>
        <w:instrText xml:space="preserve"> HYPERLINK \l "_Toc32302" </w:instrText>
      </w:r>
      <w:r>
        <w:rPr>
          <w:color w:val="auto"/>
        </w:rPr>
        <w:fldChar w:fldCharType="separate"/>
      </w:r>
      <w:r>
        <w:rPr>
          <w:rFonts w:hint="eastAsia" w:asciiTheme="minorEastAsia" w:hAnsiTheme="minorEastAsia"/>
          <w:color w:val="auto"/>
          <w:szCs w:val="24"/>
        </w:rPr>
        <w:t>26.评标委员会</w:t>
      </w:r>
      <w:r>
        <w:rPr>
          <w:color w:val="auto"/>
        </w:rPr>
        <w:tab/>
      </w:r>
      <w:r>
        <w:rPr>
          <w:color w:val="auto"/>
        </w:rPr>
        <w:fldChar w:fldCharType="begin"/>
      </w:r>
      <w:r>
        <w:rPr>
          <w:color w:val="auto"/>
        </w:rPr>
        <w:instrText xml:space="preserve"> PAGEREF _Toc32302 \h </w:instrText>
      </w:r>
      <w:r>
        <w:rPr>
          <w:color w:val="auto"/>
        </w:rPr>
        <w:fldChar w:fldCharType="separate"/>
      </w:r>
      <w:r>
        <w:rPr>
          <w:color w:val="auto"/>
        </w:rPr>
        <w:t>15</w:t>
      </w:r>
      <w:r>
        <w:rPr>
          <w:color w:val="auto"/>
        </w:rPr>
        <w:fldChar w:fldCharType="end"/>
      </w:r>
      <w:r>
        <w:rPr>
          <w:color w:val="auto"/>
        </w:rPr>
        <w:fldChar w:fldCharType="end"/>
      </w:r>
    </w:p>
    <w:p w14:paraId="342BD39D">
      <w:pPr>
        <w:pStyle w:val="29"/>
        <w:tabs>
          <w:tab w:val="right" w:leader="dot" w:pos="8844"/>
        </w:tabs>
        <w:ind w:left="1260"/>
        <w:rPr>
          <w:color w:val="auto"/>
        </w:rPr>
      </w:pPr>
      <w:r>
        <w:rPr>
          <w:color w:val="auto"/>
        </w:rPr>
        <w:fldChar w:fldCharType="begin"/>
      </w:r>
      <w:r>
        <w:rPr>
          <w:color w:val="auto"/>
        </w:rPr>
        <w:instrText xml:space="preserve"> HYPERLINK \l "_Toc23054" </w:instrText>
      </w:r>
      <w:r>
        <w:rPr>
          <w:color w:val="auto"/>
        </w:rPr>
        <w:fldChar w:fldCharType="separate"/>
      </w:r>
      <w:r>
        <w:rPr>
          <w:rFonts w:hint="eastAsia" w:asciiTheme="minorEastAsia" w:hAnsiTheme="minorEastAsia"/>
          <w:color w:val="auto"/>
          <w:szCs w:val="24"/>
        </w:rPr>
        <w:t>27.评标</w:t>
      </w:r>
      <w:r>
        <w:rPr>
          <w:color w:val="auto"/>
        </w:rPr>
        <w:tab/>
      </w:r>
      <w:r>
        <w:rPr>
          <w:color w:val="auto"/>
        </w:rPr>
        <w:fldChar w:fldCharType="begin"/>
      </w:r>
      <w:r>
        <w:rPr>
          <w:color w:val="auto"/>
        </w:rPr>
        <w:instrText xml:space="preserve"> PAGEREF _Toc23054 \h </w:instrText>
      </w:r>
      <w:r>
        <w:rPr>
          <w:color w:val="auto"/>
        </w:rPr>
        <w:fldChar w:fldCharType="separate"/>
      </w:r>
      <w:r>
        <w:rPr>
          <w:color w:val="auto"/>
        </w:rPr>
        <w:t>16</w:t>
      </w:r>
      <w:r>
        <w:rPr>
          <w:color w:val="auto"/>
        </w:rPr>
        <w:fldChar w:fldCharType="end"/>
      </w:r>
      <w:r>
        <w:rPr>
          <w:color w:val="auto"/>
        </w:rPr>
        <w:fldChar w:fldCharType="end"/>
      </w:r>
    </w:p>
    <w:p w14:paraId="10620DCC">
      <w:pPr>
        <w:pStyle w:val="29"/>
        <w:tabs>
          <w:tab w:val="right" w:leader="dot" w:pos="8844"/>
        </w:tabs>
        <w:ind w:left="1260"/>
        <w:rPr>
          <w:color w:val="auto"/>
        </w:rPr>
      </w:pPr>
      <w:r>
        <w:rPr>
          <w:color w:val="auto"/>
        </w:rPr>
        <w:fldChar w:fldCharType="begin"/>
      </w:r>
      <w:r>
        <w:rPr>
          <w:color w:val="auto"/>
        </w:rPr>
        <w:instrText xml:space="preserve"> HYPERLINK \l "_Toc6629" </w:instrText>
      </w:r>
      <w:r>
        <w:rPr>
          <w:color w:val="auto"/>
        </w:rPr>
        <w:fldChar w:fldCharType="separate"/>
      </w:r>
      <w:r>
        <w:rPr>
          <w:rFonts w:hint="eastAsia" w:ascii="黑体" w:hAnsi="黑体"/>
          <w:color w:val="auto"/>
          <w:szCs w:val="24"/>
        </w:rPr>
        <w:t>28.保密</w:t>
      </w:r>
      <w:r>
        <w:rPr>
          <w:color w:val="auto"/>
        </w:rPr>
        <w:tab/>
      </w:r>
      <w:r>
        <w:rPr>
          <w:color w:val="auto"/>
        </w:rPr>
        <w:fldChar w:fldCharType="begin"/>
      </w:r>
      <w:r>
        <w:rPr>
          <w:color w:val="auto"/>
        </w:rPr>
        <w:instrText xml:space="preserve"> PAGEREF _Toc6629 \h </w:instrText>
      </w:r>
      <w:r>
        <w:rPr>
          <w:color w:val="auto"/>
        </w:rPr>
        <w:fldChar w:fldCharType="separate"/>
      </w:r>
      <w:r>
        <w:rPr>
          <w:color w:val="auto"/>
        </w:rPr>
        <w:t>16</w:t>
      </w:r>
      <w:r>
        <w:rPr>
          <w:color w:val="auto"/>
        </w:rPr>
        <w:fldChar w:fldCharType="end"/>
      </w:r>
      <w:r>
        <w:rPr>
          <w:color w:val="auto"/>
        </w:rPr>
        <w:fldChar w:fldCharType="end"/>
      </w:r>
    </w:p>
    <w:p w14:paraId="1CB803D5">
      <w:pPr>
        <w:pStyle w:val="20"/>
        <w:tabs>
          <w:tab w:val="right" w:leader="dot" w:pos="8844"/>
        </w:tabs>
        <w:ind w:left="840"/>
        <w:rPr>
          <w:color w:val="auto"/>
        </w:rPr>
      </w:pPr>
      <w:r>
        <w:rPr>
          <w:color w:val="auto"/>
        </w:rPr>
        <w:fldChar w:fldCharType="begin"/>
      </w:r>
      <w:r>
        <w:rPr>
          <w:color w:val="auto"/>
        </w:rPr>
        <w:instrText xml:space="preserve"> HYPERLINK \l "_Toc28396" </w:instrText>
      </w:r>
      <w:r>
        <w:rPr>
          <w:color w:val="auto"/>
        </w:rPr>
        <w:fldChar w:fldCharType="separate"/>
      </w:r>
      <w:r>
        <w:rPr>
          <w:rFonts w:hint="eastAsia" w:ascii="黑体" w:hAnsi="黑体" w:eastAsia="黑体"/>
          <w:color w:val="auto"/>
          <w:szCs w:val="28"/>
        </w:rPr>
        <w:t>六、中标信息公布</w:t>
      </w:r>
      <w:r>
        <w:rPr>
          <w:color w:val="auto"/>
        </w:rPr>
        <w:tab/>
      </w:r>
      <w:r>
        <w:rPr>
          <w:color w:val="auto"/>
        </w:rPr>
        <w:fldChar w:fldCharType="begin"/>
      </w:r>
      <w:r>
        <w:rPr>
          <w:color w:val="auto"/>
        </w:rPr>
        <w:instrText xml:space="preserve"> PAGEREF _Toc28396 \h </w:instrText>
      </w:r>
      <w:r>
        <w:rPr>
          <w:color w:val="auto"/>
        </w:rPr>
        <w:fldChar w:fldCharType="separate"/>
      </w:r>
      <w:r>
        <w:rPr>
          <w:color w:val="auto"/>
        </w:rPr>
        <w:t>16</w:t>
      </w:r>
      <w:r>
        <w:rPr>
          <w:color w:val="auto"/>
        </w:rPr>
        <w:fldChar w:fldCharType="end"/>
      </w:r>
      <w:r>
        <w:rPr>
          <w:color w:val="auto"/>
        </w:rPr>
        <w:fldChar w:fldCharType="end"/>
      </w:r>
    </w:p>
    <w:p w14:paraId="5A77C91C">
      <w:pPr>
        <w:pStyle w:val="29"/>
        <w:tabs>
          <w:tab w:val="right" w:leader="dot" w:pos="8844"/>
        </w:tabs>
        <w:ind w:left="1260"/>
        <w:rPr>
          <w:color w:val="auto"/>
        </w:rPr>
      </w:pPr>
      <w:r>
        <w:rPr>
          <w:color w:val="auto"/>
        </w:rPr>
        <w:fldChar w:fldCharType="begin"/>
      </w:r>
      <w:r>
        <w:rPr>
          <w:color w:val="auto"/>
        </w:rPr>
        <w:instrText xml:space="preserve"> HYPERLINK \l "_Toc17766" </w:instrText>
      </w:r>
      <w:r>
        <w:rPr>
          <w:color w:val="auto"/>
        </w:rPr>
        <w:fldChar w:fldCharType="separate"/>
      </w:r>
      <w:r>
        <w:rPr>
          <w:rFonts w:hint="eastAsia" w:asciiTheme="minorEastAsia" w:hAnsiTheme="minorEastAsia"/>
          <w:color w:val="auto"/>
          <w:szCs w:val="24"/>
        </w:rPr>
        <w:t>29.中标通知书与中标信息公布</w:t>
      </w:r>
      <w:r>
        <w:rPr>
          <w:color w:val="auto"/>
        </w:rPr>
        <w:tab/>
      </w:r>
      <w:r>
        <w:rPr>
          <w:color w:val="auto"/>
        </w:rPr>
        <w:fldChar w:fldCharType="begin"/>
      </w:r>
      <w:r>
        <w:rPr>
          <w:color w:val="auto"/>
        </w:rPr>
        <w:instrText xml:space="preserve"> PAGEREF _Toc17766 \h </w:instrText>
      </w:r>
      <w:r>
        <w:rPr>
          <w:color w:val="auto"/>
        </w:rPr>
        <w:fldChar w:fldCharType="separate"/>
      </w:r>
      <w:r>
        <w:rPr>
          <w:color w:val="auto"/>
        </w:rPr>
        <w:t>16</w:t>
      </w:r>
      <w:r>
        <w:rPr>
          <w:color w:val="auto"/>
        </w:rPr>
        <w:fldChar w:fldCharType="end"/>
      </w:r>
      <w:r>
        <w:rPr>
          <w:color w:val="auto"/>
        </w:rPr>
        <w:fldChar w:fldCharType="end"/>
      </w:r>
    </w:p>
    <w:p w14:paraId="406B22FE">
      <w:pPr>
        <w:pStyle w:val="29"/>
        <w:tabs>
          <w:tab w:val="right" w:leader="dot" w:pos="8844"/>
        </w:tabs>
        <w:ind w:left="1260"/>
        <w:rPr>
          <w:color w:val="auto"/>
        </w:rPr>
      </w:pPr>
      <w:r>
        <w:rPr>
          <w:color w:val="auto"/>
        </w:rPr>
        <w:fldChar w:fldCharType="begin"/>
      </w:r>
      <w:r>
        <w:rPr>
          <w:color w:val="auto"/>
        </w:rPr>
        <w:instrText xml:space="preserve"> HYPERLINK \l "_Toc18363" </w:instrText>
      </w:r>
      <w:r>
        <w:rPr>
          <w:color w:val="auto"/>
        </w:rPr>
        <w:fldChar w:fldCharType="separate"/>
      </w:r>
      <w:r>
        <w:rPr>
          <w:rFonts w:hint="eastAsia" w:asciiTheme="minorEastAsia" w:hAnsiTheme="minorEastAsia"/>
          <w:color w:val="auto"/>
          <w:szCs w:val="24"/>
        </w:rPr>
        <w:t>30.询问及质疑</w:t>
      </w:r>
      <w:r>
        <w:rPr>
          <w:color w:val="auto"/>
        </w:rPr>
        <w:tab/>
      </w:r>
      <w:r>
        <w:rPr>
          <w:color w:val="auto"/>
        </w:rPr>
        <w:fldChar w:fldCharType="begin"/>
      </w:r>
      <w:r>
        <w:rPr>
          <w:color w:val="auto"/>
        </w:rPr>
        <w:instrText xml:space="preserve"> PAGEREF _Toc18363 \h </w:instrText>
      </w:r>
      <w:r>
        <w:rPr>
          <w:color w:val="auto"/>
        </w:rPr>
        <w:fldChar w:fldCharType="separate"/>
      </w:r>
      <w:r>
        <w:rPr>
          <w:color w:val="auto"/>
        </w:rPr>
        <w:t>16</w:t>
      </w:r>
      <w:r>
        <w:rPr>
          <w:color w:val="auto"/>
        </w:rPr>
        <w:fldChar w:fldCharType="end"/>
      </w:r>
      <w:r>
        <w:rPr>
          <w:color w:val="auto"/>
        </w:rPr>
        <w:fldChar w:fldCharType="end"/>
      </w:r>
    </w:p>
    <w:p w14:paraId="692A52B9">
      <w:pPr>
        <w:pStyle w:val="20"/>
        <w:tabs>
          <w:tab w:val="right" w:leader="dot" w:pos="8844"/>
        </w:tabs>
        <w:ind w:left="840"/>
        <w:rPr>
          <w:color w:val="auto"/>
        </w:rPr>
      </w:pPr>
      <w:r>
        <w:rPr>
          <w:color w:val="auto"/>
        </w:rPr>
        <w:fldChar w:fldCharType="begin"/>
      </w:r>
      <w:r>
        <w:rPr>
          <w:color w:val="auto"/>
        </w:rPr>
        <w:instrText xml:space="preserve"> HYPERLINK \l "_Toc23584" </w:instrText>
      </w:r>
      <w:r>
        <w:rPr>
          <w:color w:val="auto"/>
        </w:rPr>
        <w:fldChar w:fldCharType="separate"/>
      </w:r>
      <w:r>
        <w:rPr>
          <w:rFonts w:hint="eastAsia" w:ascii="黑体" w:hAnsi="黑体" w:eastAsia="黑体"/>
          <w:color w:val="auto"/>
          <w:szCs w:val="28"/>
        </w:rPr>
        <w:t>七、合同签订</w:t>
      </w:r>
      <w:r>
        <w:rPr>
          <w:color w:val="auto"/>
        </w:rPr>
        <w:tab/>
      </w:r>
      <w:r>
        <w:rPr>
          <w:color w:val="auto"/>
        </w:rPr>
        <w:fldChar w:fldCharType="begin"/>
      </w:r>
      <w:r>
        <w:rPr>
          <w:color w:val="auto"/>
        </w:rPr>
        <w:instrText xml:space="preserve"> PAGEREF _Toc23584 \h </w:instrText>
      </w:r>
      <w:r>
        <w:rPr>
          <w:color w:val="auto"/>
        </w:rPr>
        <w:fldChar w:fldCharType="separate"/>
      </w:r>
      <w:r>
        <w:rPr>
          <w:color w:val="auto"/>
        </w:rPr>
        <w:t>17</w:t>
      </w:r>
      <w:r>
        <w:rPr>
          <w:color w:val="auto"/>
        </w:rPr>
        <w:fldChar w:fldCharType="end"/>
      </w:r>
      <w:r>
        <w:rPr>
          <w:color w:val="auto"/>
        </w:rPr>
        <w:fldChar w:fldCharType="end"/>
      </w:r>
    </w:p>
    <w:p w14:paraId="17B464FE">
      <w:pPr>
        <w:pStyle w:val="29"/>
        <w:tabs>
          <w:tab w:val="right" w:leader="dot" w:pos="8844"/>
        </w:tabs>
        <w:ind w:left="1260"/>
        <w:rPr>
          <w:color w:val="auto"/>
        </w:rPr>
      </w:pPr>
      <w:r>
        <w:rPr>
          <w:color w:val="auto"/>
        </w:rPr>
        <w:fldChar w:fldCharType="begin"/>
      </w:r>
      <w:r>
        <w:rPr>
          <w:color w:val="auto"/>
        </w:rPr>
        <w:instrText xml:space="preserve"> HYPERLINK \l "_Toc1713" </w:instrText>
      </w:r>
      <w:r>
        <w:rPr>
          <w:color w:val="auto"/>
        </w:rPr>
        <w:fldChar w:fldCharType="separate"/>
      </w:r>
      <w:r>
        <w:rPr>
          <w:rFonts w:hint="eastAsia" w:asciiTheme="minorEastAsia" w:hAnsiTheme="minorEastAsia"/>
          <w:color w:val="auto"/>
          <w:szCs w:val="24"/>
        </w:rPr>
        <w:t>31.签订合同</w:t>
      </w:r>
      <w:r>
        <w:rPr>
          <w:color w:val="auto"/>
        </w:rPr>
        <w:tab/>
      </w:r>
      <w:r>
        <w:rPr>
          <w:color w:val="auto"/>
        </w:rPr>
        <w:fldChar w:fldCharType="begin"/>
      </w:r>
      <w:r>
        <w:rPr>
          <w:color w:val="auto"/>
        </w:rPr>
        <w:instrText xml:space="preserve"> PAGEREF _Toc1713 \h </w:instrText>
      </w:r>
      <w:r>
        <w:rPr>
          <w:color w:val="auto"/>
        </w:rPr>
        <w:fldChar w:fldCharType="separate"/>
      </w:r>
      <w:r>
        <w:rPr>
          <w:color w:val="auto"/>
        </w:rPr>
        <w:t>17</w:t>
      </w:r>
      <w:r>
        <w:rPr>
          <w:color w:val="auto"/>
        </w:rPr>
        <w:fldChar w:fldCharType="end"/>
      </w:r>
      <w:r>
        <w:rPr>
          <w:color w:val="auto"/>
        </w:rPr>
        <w:fldChar w:fldCharType="end"/>
      </w:r>
    </w:p>
    <w:p w14:paraId="7E931952">
      <w:pPr>
        <w:pStyle w:val="29"/>
        <w:tabs>
          <w:tab w:val="right" w:leader="dot" w:pos="8844"/>
        </w:tabs>
        <w:ind w:left="1260"/>
        <w:rPr>
          <w:color w:val="auto"/>
        </w:rPr>
      </w:pPr>
      <w:r>
        <w:rPr>
          <w:color w:val="auto"/>
        </w:rPr>
        <w:fldChar w:fldCharType="begin"/>
      </w:r>
      <w:r>
        <w:rPr>
          <w:color w:val="auto"/>
        </w:rPr>
        <w:instrText xml:space="preserve"> HYPERLINK \l "_Toc25072" </w:instrText>
      </w:r>
      <w:r>
        <w:rPr>
          <w:color w:val="auto"/>
        </w:rPr>
        <w:fldChar w:fldCharType="separate"/>
      </w:r>
      <w:r>
        <w:rPr>
          <w:rFonts w:hint="eastAsia" w:asciiTheme="minorEastAsia" w:hAnsiTheme="minorEastAsia"/>
          <w:color w:val="auto"/>
          <w:szCs w:val="24"/>
        </w:rPr>
        <w:t>32.履约担保</w:t>
      </w:r>
      <w:r>
        <w:rPr>
          <w:color w:val="auto"/>
        </w:rPr>
        <w:tab/>
      </w:r>
      <w:r>
        <w:rPr>
          <w:color w:val="auto"/>
        </w:rPr>
        <w:fldChar w:fldCharType="begin"/>
      </w:r>
      <w:r>
        <w:rPr>
          <w:color w:val="auto"/>
        </w:rPr>
        <w:instrText xml:space="preserve"> PAGEREF _Toc25072 \h </w:instrText>
      </w:r>
      <w:r>
        <w:rPr>
          <w:color w:val="auto"/>
        </w:rPr>
        <w:fldChar w:fldCharType="separate"/>
      </w:r>
      <w:r>
        <w:rPr>
          <w:color w:val="auto"/>
        </w:rPr>
        <w:t>17</w:t>
      </w:r>
      <w:r>
        <w:rPr>
          <w:color w:val="auto"/>
        </w:rPr>
        <w:fldChar w:fldCharType="end"/>
      </w:r>
      <w:r>
        <w:rPr>
          <w:color w:val="auto"/>
        </w:rPr>
        <w:fldChar w:fldCharType="end"/>
      </w:r>
    </w:p>
    <w:p w14:paraId="6C3F4FB4">
      <w:pPr>
        <w:pStyle w:val="29"/>
        <w:tabs>
          <w:tab w:val="right" w:leader="dot" w:pos="8844"/>
        </w:tabs>
        <w:ind w:left="1260"/>
        <w:rPr>
          <w:color w:val="auto"/>
        </w:rPr>
      </w:pPr>
      <w:r>
        <w:rPr>
          <w:color w:val="auto"/>
        </w:rPr>
        <w:fldChar w:fldCharType="begin"/>
      </w:r>
      <w:r>
        <w:rPr>
          <w:color w:val="auto"/>
        </w:rPr>
        <w:instrText xml:space="preserve"> HYPERLINK \l "_Toc18633" </w:instrText>
      </w:r>
      <w:r>
        <w:rPr>
          <w:color w:val="auto"/>
        </w:rPr>
        <w:fldChar w:fldCharType="separate"/>
      </w:r>
      <w:r>
        <w:rPr>
          <w:rFonts w:hint="eastAsia" w:asciiTheme="minorEastAsia" w:hAnsiTheme="minorEastAsia"/>
          <w:color w:val="auto"/>
          <w:szCs w:val="24"/>
        </w:rPr>
        <w:t>33.政府采购合同履行中数量的变更</w:t>
      </w:r>
      <w:r>
        <w:rPr>
          <w:color w:val="auto"/>
        </w:rPr>
        <w:tab/>
      </w:r>
      <w:r>
        <w:rPr>
          <w:color w:val="auto"/>
        </w:rPr>
        <w:fldChar w:fldCharType="begin"/>
      </w:r>
      <w:r>
        <w:rPr>
          <w:color w:val="auto"/>
        </w:rPr>
        <w:instrText xml:space="preserve"> PAGEREF _Toc18633 \h </w:instrText>
      </w:r>
      <w:r>
        <w:rPr>
          <w:color w:val="auto"/>
        </w:rPr>
        <w:fldChar w:fldCharType="separate"/>
      </w:r>
      <w:r>
        <w:rPr>
          <w:color w:val="auto"/>
        </w:rPr>
        <w:t>17</w:t>
      </w:r>
      <w:r>
        <w:rPr>
          <w:color w:val="auto"/>
        </w:rPr>
        <w:fldChar w:fldCharType="end"/>
      </w:r>
      <w:r>
        <w:rPr>
          <w:color w:val="auto"/>
        </w:rPr>
        <w:fldChar w:fldCharType="end"/>
      </w:r>
    </w:p>
    <w:p w14:paraId="53E1A267">
      <w:pPr>
        <w:pStyle w:val="29"/>
        <w:tabs>
          <w:tab w:val="right" w:leader="dot" w:pos="8844"/>
        </w:tabs>
        <w:ind w:left="1260"/>
        <w:rPr>
          <w:color w:val="auto"/>
        </w:rPr>
      </w:pPr>
      <w:r>
        <w:rPr>
          <w:color w:val="auto"/>
        </w:rPr>
        <w:fldChar w:fldCharType="begin"/>
      </w:r>
      <w:r>
        <w:rPr>
          <w:color w:val="auto"/>
        </w:rPr>
        <w:instrText xml:space="preserve"> HYPERLINK \l "_Toc20016" </w:instrText>
      </w:r>
      <w:r>
        <w:rPr>
          <w:color w:val="auto"/>
        </w:rPr>
        <w:fldChar w:fldCharType="separate"/>
      </w:r>
      <w:r>
        <w:rPr>
          <w:rFonts w:hint="eastAsia" w:ascii="黑体" w:hAnsi="黑体"/>
          <w:color w:val="auto"/>
          <w:szCs w:val="24"/>
        </w:rPr>
        <w:t>34.禁止行为</w:t>
      </w:r>
      <w:r>
        <w:rPr>
          <w:color w:val="auto"/>
        </w:rPr>
        <w:tab/>
      </w:r>
      <w:r>
        <w:rPr>
          <w:color w:val="auto"/>
        </w:rPr>
        <w:fldChar w:fldCharType="begin"/>
      </w:r>
      <w:r>
        <w:rPr>
          <w:color w:val="auto"/>
        </w:rPr>
        <w:instrText xml:space="preserve"> PAGEREF _Toc20016 \h </w:instrText>
      </w:r>
      <w:r>
        <w:rPr>
          <w:color w:val="auto"/>
        </w:rPr>
        <w:fldChar w:fldCharType="separate"/>
      </w:r>
      <w:r>
        <w:rPr>
          <w:color w:val="auto"/>
        </w:rPr>
        <w:t>17</w:t>
      </w:r>
      <w:r>
        <w:rPr>
          <w:color w:val="auto"/>
        </w:rPr>
        <w:fldChar w:fldCharType="end"/>
      </w:r>
      <w:r>
        <w:rPr>
          <w:color w:val="auto"/>
        </w:rPr>
        <w:fldChar w:fldCharType="end"/>
      </w:r>
    </w:p>
    <w:p w14:paraId="1220268F">
      <w:pPr>
        <w:pStyle w:val="20"/>
        <w:tabs>
          <w:tab w:val="right" w:leader="dot" w:pos="8844"/>
        </w:tabs>
        <w:ind w:left="840"/>
        <w:rPr>
          <w:color w:val="auto"/>
        </w:rPr>
      </w:pPr>
      <w:r>
        <w:rPr>
          <w:color w:val="auto"/>
        </w:rPr>
        <w:fldChar w:fldCharType="begin"/>
      </w:r>
      <w:r>
        <w:rPr>
          <w:color w:val="auto"/>
        </w:rPr>
        <w:instrText xml:space="preserve"> HYPERLINK \l "_Toc25881" </w:instrText>
      </w:r>
      <w:r>
        <w:rPr>
          <w:color w:val="auto"/>
        </w:rPr>
        <w:fldChar w:fldCharType="separate"/>
      </w:r>
      <w:r>
        <w:rPr>
          <w:rFonts w:hint="eastAsia" w:ascii="黑体" w:hAnsi="黑体" w:eastAsia="黑体"/>
          <w:color w:val="auto"/>
          <w:szCs w:val="28"/>
        </w:rPr>
        <w:t>八、政府采购政策</w:t>
      </w:r>
      <w:r>
        <w:rPr>
          <w:color w:val="auto"/>
        </w:rPr>
        <w:tab/>
      </w:r>
      <w:r>
        <w:rPr>
          <w:color w:val="auto"/>
        </w:rPr>
        <w:fldChar w:fldCharType="begin"/>
      </w:r>
      <w:r>
        <w:rPr>
          <w:color w:val="auto"/>
        </w:rPr>
        <w:instrText xml:space="preserve"> PAGEREF _Toc25881 \h </w:instrText>
      </w:r>
      <w:r>
        <w:rPr>
          <w:color w:val="auto"/>
        </w:rPr>
        <w:fldChar w:fldCharType="separate"/>
      </w:r>
      <w:r>
        <w:rPr>
          <w:color w:val="auto"/>
        </w:rPr>
        <w:t>18</w:t>
      </w:r>
      <w:r>
        <w:rPr>
          <w:color w:val="auto"/>
        </w:rPr>
        <w:fldChar w:fldCharType="end"/>
      </w:r>
      <w:r>
        <w:rPr>
          <w:color w:val="auto"/>
        </w:rPr>
        <w:fldChar w:fldCharType="end"/>
      </w:r>
    </w:p>
    <w:p w14:paraId="7673E6F4">
      <w:pPr>
        <w:pStyle w:val="29"/>
        <w:tabs>
          <w:tab w:val="right" w:leader="dot" w:pos="8844"/>
        </w:tabs>
        <w:ind w:left="1260"/>
        <w:rPr>
          <w:color w:val="auto"/>
        </w:rPr>
      </w:pPr>
      <w:r>
        <w:rPr>
          <w:color w:val="auto"/>
        </w:rPr>
        <w:fldChar w:fldCharType="begin"/>
      </w:r>
      <w:r>
        <w:rPr>
          <w:color w:val="auto"/>
        </w:rPr>
        <w:instrText xml:space="preserve"> HYPERLINK \l "_Toc27699" </w:instrText>
      </w:r>
      <w:r>
        <w:rPr>
          <w:color w:val="auto"/>
        </w:rPr>
        <w:fldChar w:fldCharType="separate"/>
      </w:r>
      <w:r>
        <w:rPr>
          <w:rFonts w:hint="eastAsia" w:ascii="黑体" w:hAnsi="黑体"/>
          <w:color w:val="auto"/>
          <w:szCs w:val="24"/>
        </w:rPr>
        <w:t>35.预留采购份额</w:t>
      </w:r>
      <w:r>
        <w:rPr>
          <w:color w:val="auto"/>
        </w:rPr>
        <w:tab/>
      </w:r>
      <w:r>
        <w:rPr>
          <w:color w:val="auto"/>
        </w:rPr>
        <w:fldChar w:fldCharType="begin"/>
      </w:r>
      <w:r>
        <w:rPr>
          <w:color w:val="auto"/>
        </w:rPr>
        <w:instrText xml:space="preserve"> PAGEREF _Toc27699 \h </w:instrText>
      </w:r>
      <w:r>
        <w:rPr>
          <w:color w:val="auto"/>
        </w:rPr>
        <w:fldChar w:fldCharType="separate"/>
      </w:r>
      <w:r>
        <w:rPr>
          <w:color w:val="auto"/>
        </w:rPr>
        <w:t>18</w:t>
      </w:r>
      <w:r>
        <w:rPr>
          <w:color w:val="auto"/>
        </w:rPr>
        <w:fldChar w:fldCharType="end"/>
      </w:r>
      <w:r>
        <w:rPr>
          <w:color w:val="auto"/>
        </w:rPr>
        <w:fldChar w:fldCharType="end"/>
      </w:r>
    </w:p>
    <w:p w14:paraId="577028E2">
      <w:pPr>
        <w:pStyle w:val="29"/>
        <w:tabs>
          <w:tab w:val="right" w:leader="dot" w:pos="8844"/>
        </w:tabs>
        <w:ind w:left="1260"/>
        <w:rPr>
          <w:color w:val="auto"/>
        </w:rPr>
      </w:pPr>
      <w:r>
        <w:rPr>
          <w:color w:val="auto"/>
        </w:rPr>
        <w:fldChar w:fldCharType="begin"/>
      </w:r>
      <w:r>
        <w:rPr>
          <w:color w:val="auto"/>
        </w:rPr>
        <w:instrText xml:space="preserve"> HYPERLINK \l "_Toc28632" </w:instrText>
      </w:r>
      <w:r>
        <w:rPr>
          <w:color w:val="auto"/>
        </w:rPr>
        <w:fldChar w:fldCharType="separate"/>
      </w:r>
      <w:r>
        <w:rPr>
          <w:rFonts w:hint="eastAsia" w:ascii="黑体" w:hAnsi="黑体"/>
          <w:color w:val="auto"/>
          <w:szCs w:val="24"/>
        </w:rPr>
        <w:t>36.强制采购</w:t>
      </w:r>
      <w:r>
        <w:rPr>
          <w:color w:val="auto"/>
        </w:rPr>
        <w:tab/>
      </w:r>
      <w:r>
        <w:rPr>
          <w:color w:val="auto"/>
        </w:rPr>
        <w:fldChar w:fldCharType="begin"/>
      </w:r>
      <w:r>
        <w:rPr>
          <w:color w:val="auto"/>
        </w:rPr>
        <w:instrText xml:space="preserve"> PAGEREF _Toc28632 \h </w:instrText>
      </w:r>
      <w:r>
        <w:rPr>
          <w:color w:val="auto"/>
        </w:rPr>
        <w:fldChar w:fldCharType="separate"/>
      </w:r>
      <w:r>
        <w:rPr>
          <w:color w:val="auto"/>
        </w:rPr>
        <w:t>18</w:t>
      </w:r>
      <w:r>
        <w:rPr>
          <w:color w:val="auto"/>
        </w:rPr>
        <w:fldChar w:fldCharType="end"/>
      </w:r>
      <w:r>
        <w:rPr>
          <w:color w:val="auto"/>
        </w:rPr>
        <w:fldChar w:fldCharType="end"/>
      </w:r>
    </w:p>
    <w:p w14:paraId="04DD44E4">
      <w:pPr>
        <w:pStyle w:val="29"/>
        <w:tabs>
          <w:tab w:val="right" w:leader="dot" w:pos="8844"/>
        </w:tabs>
        <w:ind w:left="1260"/>
        <w:rPr>
          <w:color w:val="auto"/>
        </w:rPr>
      </w:pPr>
      <w:r>
        <w:rPr>
          <w:color w:val="auto"/>
        </w:rPr>
        <w:fldChar w:fldCharType="begin"/>
      </w:r>
      <w:r>
        <w:rPr>
          <w:color w:val="auto"/>
        </w:rPr>
        <w:instrText xml:space="preserve"> HYPERLINK \l "_Toc25792" </w:instrText>
      </w:r>
      <w:r>
        <w:rPr>
          <w:color w:val="auto"/>
        </w:rPr>
        <w:fldChar w:fldCharType="separate"/>
      </w:r>
      <w:r>
        <w:rPr>
          <w:rFonts w:hint="eastAsia" w:ascii="黑体" w:hAnsi="黑体"/>
          <w:color w:val="auto"/>
          <w:szCs w:val="24"/>
        </w:rPr>
        <w:t>37.优先采购</w:t>
      </w:r>
      <w:r>
        <w:rPr>
          <w:color w:val="auto"/>
        </w:rPr>
        <w:tab/>
      </w:r>
      <w:r>
        <w:rPr>
          <w:color w:val="auto"/>
        </w:rPr>
        <w:fldChar w:fldCharType="begin"/>
      </w:r>
      <w:r>
        <w:rPr>
          <w:color w:val="auto"/>
        </w:rPr>
        <w:instrText xml:space="preserve"> PAGEREF _Toc25792 \h </w:instrText>
      </w:r>
      <w:r>
        <w:rPr>
          <w:color w:val="auto"/>
        </w:rPr>
        <w:fldChar w:fldCharType="separate"/>
      </w:r>
      <w:r>
        <w:rPr>
          <w:color w:val="auto"/>
        </w:rPr>
        <w:t>18</w:t>
      </w:r>
      <w:r>
        <w:rPr>
          <w:color w:val="auto"/>
        </w:rPr>
        <w:fldChar w:fldCharType="end"/>
      </w:r>
      <w:r>
        <w:rPr>
          <w:color w:val="auto"/>
        </w:rPr>
        <w:fldChar w:fldCharType="end"/>
      </w:r>
    </w:p>
    <w:p w14:paraId="37A889B0">
      <w:pPr>
        <w:pStyle w:val="29"/>
        <w:tabs>
          <w:tab w:val="right" w:leader="dot" w:pos="8844"/>
        </w:tabs>
        <w:ind w:left="1260"/>
        <w:rPr>
          <w:color w:val="auto"/>
        </w:rPr>
      </w:pPr>
      <w:r>
        <w:rPr>
          <w:color w:val="auto"/>
        </w:rPr>
        <w:fldChar w:fldCharType="begin"/>
      </w:r>
      <w:r>
        <w:rPr>
          <w:color w:val="auto"/>
        </w:rPr>
        <w:instrText xml:space="preserve"> HYPERLINK \l "_Toc26227" </w:instrText>
      </w:r>
      <w:r>
        <w:rPr>
          <w:color w:val="auto"/>
        </w:rPr>
        <w:fldChar w:fldCharType="separate"/>
      </w:r>
      <w:r>
        <w:rPr>
          <w:rFonts w:hint="eastAsia" w:ascii="黑体" w:hAnsi="黑体"/>
          <w:color w:val="auto"/>
          <w:szCs w:val="24"/>
        </w:rPr>
        <w:t>38.价格评审优惠</w:t>
      </w:r>
      <w:r>
        <w:rPr>
          <w:color w:val="auto"/>
        </w:rPr>
        <w:tab/>
      </w:r>
      <w:r>
        <w:rPr>
          <w:color w:val="auto"/>
        </w:rPr>
        <w:fldChar w:fldCharType="begin"/>
      </w:r>
      <w:r>
        <w:rPr>
          <w:color w:val="auto"/>
        </w:rPr>
        <w:instrText xml:space="preserve"> PAGEREF _Toc26227 \h </w:instrText>
      </w:r>
      <w:r>
        <w:rPr>
          <w:color w:val="auto"/>
        </w:rPr>
        <w:fldChar w:fldCharType="separate"/>
      </w:r>
      <w:r>
        <w:rPr>
          <w:color w:val="auto"/>
        </w:rPr>
        <w:t>18</w:t>
      </w:r>
      <w:r>
        <w:rPr>
          <w:color w:val="auto"/>
        </w:rPr>
        <w:fldChar w:fldCharType="end"/>
      </w:r>
      <w:r>
        <w:rPr>
          <w:color w:val="auto"/>
        </w:rPr>
        <w:fldChar w:fldCharType="end"/>
      </w:r>
    </w:p>
    <w:p w14:paraId="57B6FAE1">
      <w:pPr>
        <w:pStyle w:val="29"/>
        <w:tabs>
          <w:tab w:val="right" w:leader="dot" w:pos="8844"/>
        </w:tabs>
        <w:ind w:left="1260"/>
        <w:rPr>
          <w:color w:val="auto"/>
        </w:rPr>
      </w:pPr>
      <w:r>
        <w:rPr>
          <w:color w:val="auto"/>
        </w:rPr>
        <w:fldChar w:fldCharType="begin"/>
      </w:r>
      <w:r>
        <w:rPr>
          <w:color w:val="auto"/>
        </w:rPr>
        <w:instrText xml:space="preserve"> HYPERLINK \l "_Toc24650" </w:instrText>
      </w:r>
      <w:r>
        <w:rPr>
          <w:color w:val="auto"/>
        </w:rPr>
        <w:fldChar w:fldCharType="separate"/>
      </w:r>
      <w:r>
        <w:rPr>
          <w:rFonts w:hint="eastAsia" w:ascii="黑体" w:hAnsi="黑体"/>
          <w:color w:val="auto"/>
          <w:szCs w:val="24"/>
        </w:rPr>
        <w:t>39.政府采购政策其他规定</w:t>
      </w:r>
      <w:r>
        <w:rPr>
          <w:color w:val="auto"/>
        </w:rPr>
        <w:tab/>
      </w:r>
      <w:r>
        <w:rPr>
          <w:color w:val="auto"/>
        </w:rPr>
        <w:fldChar w:fldCharType="begin"/>
      </w:r>
      <w:r>
        <w:rPr>
          <w:color w:val="auto"/>
        </w:rPr>
        <w:instrText xml:space="preserve"> PAGEREF _Toc24650 \h </w:instrText>
      </w:r>
      <w:r>
        <w:rPr>
          <w:color w:val="auto"/>
        </w:rPr>
        <w:fldChar w:fldCharType="separate"/>
      </w:r>
      <w:r>
        <w:rPr>
          <w:color w:val="auto"/>
        </w:rPr>
        <w:t>18</w:t>
      </w:r>
      <w:r>
        <w:rPr>
          <w:color w:val="auto"/>
        </w:rPr>
        <w:fldChar w:fldCharType="end"/>
      </w:r>
      <w:r>
        <w:rPr>
          <w:color w:val="auto"/>
        </w:rPr>
        <w:fldChar w:fldCharType="end"/>
      </w:r>
    </w:p>
    <w:p w14:paraId="21C370B1">
      <w:pPr>
        <w:pStyle w:val="29"/>
        <w:tabs>
          <w:tab w:val="right" w:leader="dot" w:pos="8844"/>
        </w:tabs>
        <w:ind w:left="1260"/>
        <w:rPr>
          <w:color w:val="auto"/>
        </w:rPr>
      </w:pPr>
      <w:r>
        <w:rPr>
          <w:color w:val="auto"/>
        </w:rPr>
        <w:fldChar w:fldCharType="begin"/>
      </w:r>
      <w:r>
        <w:rPr>
          <w:color w:val="auto"/>
        </w:rPr>
        <w:instrText xml:space="preserve"> HYPERLINK \l "_Toc21858" </w:instrText>
      </w:r>
      <w:r>
        <w:rPr>
          <w:color w:val="auto"/>
        </w:rPr>
        <w:fldChar w:fldCharType="separate"/>
      </w:r>
      <w:r>
        <w:rPr>
          <w:rFonts w:hint="eastAsia" w:ascii="黑体" w:hAnsi="黑体"/>
          <w:color w:val="auto"/>
          <w:szCs w:val="24"/>
        </w:rPr>
        <w:t>40.供应商应提供的政府采购政策证明资料</w:t>
      </w:r>
      <w:r>
        <w:rPr>
          <w:color w:val="auto"/>
        </w:rPr>
        <w:tab/>
      </w:r>
      <w:r>
        <w:rPr>
          <w:color w:val="auto"/>
        </w:rPr>
        <w:fldChar w:fldCharType="begin"/>
      </w:r>
      <w:r>
        <w:rPr>
          <w:color w:val="auto"/>
        </w:rPr>
        <w:instrText xml:space="preserve"> PAGEREF _Toc21858 \h </w:instrText>
      </w:r>
      <w:r>
        <w:rPr>
          <w:color w:val="auto"/>
        </w:rPr>
        <w:fldChar w:fldCharType="separate"/>
      </w:r>
      <w:r>
        <w:rPr>
          <w:color w:val="auto"/>
        </w:rPr>
        <w:t>19</w:t>
      </w:r>
      <w:r>
        <w:rPr>
          <w:color w:val="auto"/>
        </w:rPr>
        <w:fldChar w:fldCharType="end"/>
      </w:r>
      <w:r>
        <w:rPr>
          <w:color w:val="auto"/>
        </w:rPr>
        <w:fldChar w:fldCharType="end"/>
      </w:r>
    </w:p>
    <w:p w14:paraId="61C6FFCE">
      <w:pPr>
        <w:pStyle w:val="29"/>
        <w:tabs>
          <w:tab w:val="right" w:leader="dot" w:pos="8844"/>
        </w:tabs>
        <w:ind w:left="1260"/>
        <w:rPr>
          <w:color w:val="auto"/>
        </w:rPr>
      </w:pPr>
      <w:r>
        <w:rPr>
          <w:color w:val="auto"/>
        </w:rPr>
        <w:fldChar w:fldCharType="begin"/>
      </w:r>
      <w:r>
        <w:rPr>
          <w:color w:val="auto"/>
        </w:rPr>
        <w:instrText xml:space="preserve"> HYPERLINK \l "_Toc28659" </w:instrText>
      </w:r>
      <w:r>
        <w:rPr>
          <w:color w:val="auto"/>
        </w:rPr>
        <w:fldChar w:fldCharType="separate"/>
      </w:r>
      <w:r>
        <w:rPr>
          <w:rFonts w:hint="eastAsia" w:ascii="黑体" w:hAnsi="黑体"/>
          <w:color w:val="auto"/>
          <w:szCs w:val="24"/>
        </w:rPr>
        <w:t>41.进口产品</w:t>
      </w:r>
      <w:r>
        <w:rPr>
          <w:color w:val="auto"/>
        </w:rPr>
        <w:tab/>
      </w:r>
      <w:r>
        <w:rPr>
          <w:color w:val="auto"/>
        </w:rPr>
        <w:fldChar w:fldCharType="begin"/>
      </w:r>
      <w:r>
        <w:rPr>
          <w:color w:val="auto"/>
        </w:rPr>
        <w:instrText xml:space="preserve"> PAGEREF _Toc28659 \h </w:instrText>
      </w:r>
      <w:r>
        <w:rPr>
          <w:color w:val="auto"/>
        </w:rPr>
        <w:fldChar w:fldCharType="separate"/>
      </w:r>
      <w:r>
        <w:rPr>
          <w:color w:val="auto"/>
        </w:rPr>
        <w:t>19</w:t>
      </w:r>
      <w:r>
        <w:rPr>
          <w:color w:val="auto"/>
        </w:rPr>
        <w:fldChar w:fldCharType="end"/>
      </w:r>
      <w:r>
        <w:rPr>
          <w:color w:val="auto"/>
        </w:rPr>
        <w:fldChar w:fldCharType="end"/>
      </w:r>
    </w:p>
    <w:p w14:paraId="2A5062F2">
      <w:pPr>
        <w:pStyle w:val="29"/>
        <w:tabs>
          <w:tab w:val="right" w:leader="dot" w:pos="8844"/>
        </w:tabs>
        <w:ind w:left="1260"/>
        <w:rPr>
          <w:color w:val="auto"/>
        </w:rPr>
      </w:pPr>
      <w:r>
        <w:rPr>
          <w:color w:val="auto"/>
        </w:rPr>
        <w:fldChar w:fldCharType="begin"/>
      </w:r>
      <w:r>
        <w:rPr>
          <w:color w:val="auto"/>
        </w:rPr>
        <w:instrText xml:space="preserve"> HYPERLINK \l "_Toc3490" </w:instrText>
      </w:r>
      <w:r>
        <w:rPr>
          <w:color w:val="auto"/>
        </w:rPr>
        <w:fldChar w:fldCharType="separate"/>
      </w:r>
      <w:r>
        <w:rPr>
          <w:rFonts w:hint="eastAsia" w:ascii="黑体" w:hAnsi="黑体"/>
          <w:color w:val="auto"/>
          <w:szCs w:val="24"/>
        </w:rPr>
        <w:t>42. 融资、担保</w:t>
      </w:r>
      <w:r>
        <w:rPr>
          <w:color w:val="auto"/>
        </w:rPr>
        <w:tab/>
      </w:r>
      <w:r>
        <w:rPr>
          <w:color w:val="auto"/>
        </w:rPr>
        <w:fldChar w:fldCharType="begin"/>
      </w:r>
      <w:r>
        <w:rPr>
          <w:color w:val="auto"/>
        </w:rPr>
        <w:instrText xml:space="preserve"> PAGEREF _Toc3490 \h </w:instrText>
      </w:r>
      <w:r>
        <w:rPr>
          <w:color w:val="auto"/>
        </w:rPr>
        <w:fldChar w:fldCharType="separate"/>
      </w:r>
      <w:r>
        <w:rPr>
          <w:color w:val="auto"/>
        </w:rPr>
        <w:t>19</w:t>
      </w:r>
      <w:r>
        <w:rPr>
          <w:color w:val="auto"/>
        </w:rPr>
        <w:fldChar w:fldCharType="end"/>
      </w:r>
      <w:r>
        <w:rPr>
          <w:color w:val="auto"/>
        </w:rPr>
        <w:fldChar w:fldCharType="end"/>
      </w:r>
    </w:p>
    <w:p w14:paraId="68F0A0F9">
      <w:pPr>
        <w:pStyle w:val="20"/>
        <w:tabs>
          <w:tab w:val="right" w:leader="dot" w:pos="8844"/>
        </w:tabs>
        <w:ind w:left="840"/>
        <w:rPr>
          <w:color w:val="auto"/>
        </w:rPr>
      </w:pPr>
      <w:r>
        <w:rPr>
          <w:color w:val="auto"/>
        </w:rPr>
        <w:fldChar w:fldCharType="begin"/>
      </w:r>
      <w:r>
        <w:rPr>
          <w:color w:val="auto"/>
        </w:rPr>
        <w:instrText xml:space="preserve"> HYPERLINK \l "_Toc7071" </w:instrText>
      </w:r>
      <w:r>
        <w:rPr>
          <w:color w:val="auto"/>
        </w:rPr>
        <w:fldChar w:fldCharType="separate"/>
      </w:r>
      <w:r>
        <w:rPr>
          <w:rFonts w:hint="eastAsia" w:ascii="黑体" w:hAnsi="黑体" w:eastAsia="黑体"/>
          <w:color w:val="auto"/>
          <w:szCs w:val="28"/>
        </w:rPr>
        <w:t>九、其他规定</w:t>
      </w:r>
      <w:r>
        <w:rPr>
          <w:color w:val="auto"/>
        </w:rPr>
        <w:tab/>
      </w:r>
      <w:r>
        <w:rPr>
          <w:color w:val="auto"/>
        </w:rPr>
        <w:fldChar w:fldCharType="begin"/>
      </w:r>
      <w:r>
        <w:rPr>
          <w:color w:val="auto"/>
        </w:rPr>
        <w:instrText xml:space="preserve"> PAGEREF _Toc7071 \h </w:instrText>
      </w:r>
      <w:r>
        <w:rPr>
          <w:color w:val="auto"/>
        </w:rPr>
        <w:fldChar w:fldCharType="separate"/>
      </w:r>
      <w:r>
        <w:rPr>
          <w:color w:val="auto"/>
        </w:rPr>
        <w:t>19</w:t>
      </w:r>
      <w:r>
        <w:rPr>
          <w:color w:val="auto"/>
        </w:rPr>
        <w:fldChar w:fldCharType="end"/>
      </w:r>
      <w:r>
        <w:rPr>
          <w:color w:val="auto"/>
        </w:rPr>
        <w:fldChar w:fldCharType="end"/>
      </w:r>
    </w:p>
    <w:p w14:paraId="725C6019">
      <w:pPr>
        <w:pStyle w:val="29"/>
        <w:tabs>
          <w:tab w:val="right" w:leader="dot" w:pos="8844"/>
        </w:tabs>
        <w:ind w:left="1260"/>
        <w:rPr>
          <w:color w:val="auto"/>
        </w:rPr>
      </w:pPr>
      <w:r>
        <w:rPr>
          <w:color w:val="auto"/>
        </w:rPr>
        <w:fldChar w:fldCharType="begin"/>
      </w:r>
      <w:r>
        <w:rPr>
          <w:color w:val="auto"/>
        </w:rPr>
        <w:instrText xml:space="preserve"> HYPERLINK \l "_Toc28412" </w:instrText>
      </w:r>
      <w:r>
        <w:rPr>
          <w:color w:val="auto"/>
        </w:rPr>
        <w:fldChar w:fldCharType="separate"/>
      </w:r>
      <w:r>
        <w:rPr>
          <w:rFonts w:hint="eastAsia" w:asciiTheme="minorEastAsia" w:hAnsiTheme="minorEastAsia"/>
          <w:color w:val="auto"/>
          <w:szCs w:val="24"/>
        </w:rPr>
        <w:t>43.招标代理服务费</w:t>
      </w:r>
      <w:r>
        <w:rPr>
          <w:color w:val="auto"/>
        </w:rPr>
        <w:tab/>
      </w:r>
      <w:r>
        <w:rPr>
          <w:color w:val="auto"/>
        </w:rPr>
        <w:fldChar w:fldCharType="begin"/>
      </w:r>
      <w:r>
        <w:rPr>
          <w:color w:val="auto"/>
        </w:rPr>
        <w:instrText xml:space="preserve"> PAGEREF _Toc28412 \h </w:instrText>
      </w:r>
      <w:r>
        <w:rPr>
          <w:color w:val="auto"/>
        </w:rPr>
        <w:fldChar w:fldCharType="separate"/>
      </w:r>
      <w:r>
        <w:rPr>
          <w:color w:val="auto"/>
        </w:rPr>
        <w:t>19</w:t>
      </w:r>
      <w:r>
        <w:rPr>
          <w:color w:val="auto"/>
        </w:rPr>
        <w:fldChar w:fldCharType="end"/>
      </w:r>
      <w:r>
        <w:rPr>
          <w:color w:val="auto"/>
        </w:rPr>
        <w:fldChar w:fldCharType="end"/>
      </w:r>
    </w:p>
    <w:p w14:paraId="5CDF91A5">
      <w:pPr>
        <w:pStyle w:val="29"/>
        <w:tabs>
          <w:tab w:val="right" w:leader="dot" w:pos="8844"/>
        </w:tabs>
        <w:ind w:left="1260"/>
        <w:rPr>
          <w:color w:val="auto"/>
        </w:rPr>
      </w:pPr>
      <w:r>
        <w:rPr>
          <w:color w:val="auto"/>
        </w:rPr>
        <w:fldChar w:fldCharType="begin"/>
      </w:r>
      <w:r>
        <w:rPr>
          <w:color w:val="auto"/>
        </w:rPr>
        <w:instrText xml:space="preserve"> HYPERLINK \l "_Toc9629" </w:instrText>
      </w:r>
      <w:r>
        <w:rPr>
          <w:color w:val="auto"/>
        </w:rPr>
        <w:fldChar w:fldCharType="separate"/>
      </w:r>
      <w:r>
        <w:rPr>
          <w:rFonts w:hint="eastAsia" w:cs="宋体" w:asciiTheme="minorEastAsia" w:hAnsiTheme="minorEastAsia"/>
          <w:color w:val="auto"/>
          <w:kern w:val="0"/>
          <w:szCs w:val="24"/>
        </w:rPr>
        <w:t>44.</w:t>
      </w:r>
      <w:r>
        <w:rPr>
          <w:rFonts w:hint="eastAsia" w:asciiTheme="minorEastAsia" w:hAnsiTheme="minorEastAsia"/>
          <w:color w:val="auto"/>
          <w:szCs w:val="24"/>
        </w:rPr>
        <w:t>需要补充的其他内容</w:t>
      </w:r>
      <w:r>
        <w:rPr>
          <w:color w:val="auto"/>
        </w:rPr>
        <w:tab/>
      </w:r>
      <w:r>
        <w:rPr>
          <w:color w:val="auto"/>
        </w:rPr>
        <w:fldChar w:fldCharType="begin"/>
      </w:r>
      <w:r>
        <w:rPr>
          <w:color w:val="auto"/>
        </w:rPr>
        <w:instrText xml:space="preserve"> PAGEREF _Toc9629 \h </w:instrText>
      </w:r>
      <w:r>
        <w:rPr>
          <w:color w:val="auto"/>
        </w:rPr>
        <w:fldChar w:fldCharType="separate"/>
      </w:r>
      <w:r>
        <w:rPr>
          <w:color w:val="auto"/>
        </w:rPr>
        <w:t>19</w:t>
      </w:r>
      <w:r>
        <w:rPr>
          <w:color w:val="auto"/>
        </w:rPr>
        <w:fldChar w:fldCharType="end"/>
      </w:r>
      <w:r>
        <w:rPr>
          <w:color w:val="auto"/>
        </w:rPr>
        <w:fldChar w:fldCharType="end"/>
      </w:r>
    </w:p>
    <w:p w14:paraId="07E35CCF">
      <w:pPr>
        <w:pStyle w:val="28"/>
        <w:tabs>
          <w:tab w:val="right" w:leader="dot" w:pos="8844"/>
        </w:tabs>
        <w:rPr>
          <w:color w:val="auto"/>
        </w:rPr>
      </w:pPr>
      <w:r>
        <w:rPr>
          <w:color w:val="auto"/>
        </w:rPr>
        <w:fldChar w:fldCharType="begin"/>
      </w:r>
      <w:r>
        <w:rPr>
          <w:color w:val="auto"/>
        </w:rPr>
        <w:instrText xml:space="preserve"> HYPERLINK \l "_Toc13694" </w:instrText>
      </w:r>
      <w:r>
        <w:rPr>
          <w:color w:val="auto"/>
        </w:rPr>
        <w:fldChar w:fldCharType="separate"/>
      </w:r>
      <w:r>
        <w:rPr>
          <w:rFonts w:hint="eastAsia" w:ascii="黑体" w:hAnsi="黑体" w:eastAsia="黑体"/>
          <w:color w:val="auto"/>
          <w:szCs w:val="32"/>
        </w:rPr>
        <w:t>第三章 资格审查</w:t>
      </w:r>
      <w:r>
        <w:rPr>
          <w:color w:val="auto"/>
        </w:rPr>
        <w:tab/>
      </w:r>
      <w:r>
        <w:rPr>
          <w:color w:val="auto"/>
        </w:rPr>
        <w:fldChar w:fldCharType="begin"/>
      </w:r>
      <w:r>
        <w:rPr>
          <w:color w:val="auto"/>
        </w:rPr>
        <w:instrText xml:space="preserve"> PAGEREF _Toc13694 \h </w:instrText>
      </w:r>
      <w:r>
        <w:rPr>
          <w:color w:val="auto"/>
        </w:rPr>
        <w:fldChar w:fldCharType="separate"/>
      </w:r>
      <w:r>
        <w:rPr>
          <w:color w:val="auto"/>
        </w:rPr>
        <w:t>20</w:t>
      </w:r>
      <w:r>
        <w:rPr>
          <w:color w:val="auto"/>
        </w:rPr>
        <w:fldChar w:fldCharType="end"/>
      </w:r>
      <w:r>
        <w:rPr>
          <w:color w:val="auto"/>
        </w:rPr>
        <w:fldChar w:fldCharType="end"/>
      </w:r>
    </w:p>
    <w:p w14:paraId="386C19F6">
      <w:pPr>
        <w:pStyle w:val="20"/>
        <w:tabs>
          <w:tab w:val="right" w:leader="dot" w:pos="8844"/>
        </w:tabs>
        <w:ind w:left="840"/>
        <w:rPr>
          <w:color w:val="auto"/>
        </w:rPr>
      </w:pPr>
      <w:r>
        <w:rPr>
          <w:color w:val="auto"/>
        </w:rPr>
        <w:fldChar w:fldCharType="begin"/>
      </w:r>
      <w:r>
        <w:rPr>
          <w:color w:val="auto"/>
        </w:rPr>
        <w:instrText xml:space="preserve"> HYPERLINK \l "_Toc22715" </w:instrText>
      </w:r>
      <w:r>
        <w:rPr>
          <w:color w:val="auto"/>
        </w:rPr>
        <w:fldChar w:fldCharType="separate"/>
      </w:r>
      <w:r>
        <w:rPr>
          <w:rFonts w:hint="eastAsia" w:ascii="黑体" w:hAnsi="黑体" w:eastAsia="黑体"/>
          <w:color w:val="auto"/>
        </w:rPr>
        <w:t>1．资格审查主体</w:t>
      </w:r>
      <w:r>
        <w:rPr>
          <w:color w:val="auto"/>
        </w:rPr>
        <w:tab/>
      </w:r>
      <w:r>
        <w:rPr>
          <w:color w:val="auto"/>
        </w:rPr>
        <w:fldChar w:fldCharType="begin"/>
      </w:r>
      <w:r>
        <w:rPr>
          <w:color w:val="auto"/>
        </w:rPr>
        <w:instrText xml:space="preserve"> PAGEREF _Toc22715 \h </w:instrText>
      </w:r>
      <w:r>
        <w:rPr>
          <w:color w:val="auto"/>
        </w:rPr>
        <w:fldChar w:fldCharType="separate"/>
      </w:r>
      <w:r>
        <w:rPr>
          <w:color w:val="auto"/>
        </w:rPr>
        <w:t>20</w:t>
      </w:r>
      <w:r>
        <w:rPr>
          <w:color w:val="auto"/>
        </w:rPr>
        <w:fldChar w:fldCharType="end"/>
      </w:r>
      <w:r>
        <w:rPr>
          <w:color w:val="auto"/>
        </w:rPr>
        <w:fldChar w:fldCharType="end"/>
      </w:r>
    </w:p>
    <w:p w14:paraId="262CC504">
      <w:pPr>
        <w:pStyle w:val="20"/>
        <w:tabs>
          <w:tab w:val="right" w:leader="dot" w:pos="8844"/>
        </w:tabs>
        <w:ind w:left="840"/>
        <w:rPr>
          <w:color w:val="auto"/>
        </w:rPr>
      </w:pPr>
      <w:r>
        <w:rPr>
          <w:color w:val="auto"/>
        </w:rPr>
        <w:fldChar w:fldCharType="begin"/>
      </w:r>
      <w:r>
        <w:rPr>
          <w:color w:val="auto"/>
        </w:rPr>
        <w:instrText xml:space="preserve"> HYPERLINK \l "_Toc27608" </w:instrText>
      </w:r>
      <w:r>
        <w:rPr>
          <w:color w:val="auto"/>
        </w:rPr>
        <w:fldChar w:fldCharType="separate"/>
      </w:r>
      <w:r>
        <w:rPr>
          <w:rFonts w:hint="eastAsia" w:ascii="黑体" w:hAnsi="黑体" w:eastAsia="黑体"/>
          <w:color w:val="auto"/>
        </w:rPr>
        <w:t>2．资格审查</w:t>
      </w:r>
      <w:r>
        <w:rPr>
          <w:color w:val="auto"/>
        </w:rPr>
        <w:tab/>
      </w:r>
      <w:r>
        <w:rPr>
          <w:color w:val="auto"/>
        </w:rPr>
        <w:fldChar w:fldCharType="begin"/>
      </w:r>
      <w:r>
        <w:rPr>
          <w:color w:val="auto"/>
        </w:rPr>
        <w:instrText xml:space="preserve"> PAGEREF _Toc27608 \h </w:instrText>
      </w:r>
      <w:r>
        <w:rPr>
          <w:color w:val="auto"/>
        </w:rPr>
        <w:fldChar w:fldCharType="separate"/>
      </w:r>
      <w:r>
        <w:rPr>
          <w:color w:val="auto"/>
        </w:rPr>
        <w:t>20</w:t>
      </w:r>
      <w:r>
        <w:rPr>
          <w:color w:val="auto"/>
        </w:rPr>
        <w:fldChar w:fldCharType="end"/>
      </w:r>
      <w:r>
        <w:rPr>
          <w:color w:val="auto"/>
        </w:rPr>
        <w:fldChar w:fldCharType="end"/>
      </w:r>
    </w:p>
    <w:p w14:paraId="1E8EEB58">
      <w:pPr>
        <w:pStyle w:val="20"/>
        <w:tabs>
          <w:tab w:val="right" w:leader="dot" w:pos="8844"/>
        </w:tabs>
        <w:ind w:left="840"/>
        <w:rPr>
          <w:color w:val="auto"/>
        </w:rPr>
      </w:pPr>
      <w:r>
        <w:rPr>
          <w:color w:val="auto"/>
        </w:rPr>
        <w:fldChar w:fldCharType="begin"/>
      </w:r>
      <w:r>
        <w:rPr>
          <w:color w:val="auto"/>
        </w:rPr>
        <w:instrText xml:space="preserve"> HYPERLINK \l "_Toc7092" </w:instrText>
      </w:r>
      <w:r>
        <w:rPr>
          <w:color w:val="auto"/>
        </w:rPr>
        <w:fldChar w:fldCharType="separate"/>
      </w:r>
      <w:r>
        <w:rPr>
          <w:rFonts w:hint="eastAsia" w:ascii="黑体" w:hAnsi="黑体" w:eastAsia="黑体"/>
          <w:color w:val="auto"/>
        </w:rPr>
        <w:t>2.资格审查（已进行资格预审的，本项目不适用）</w:t>
      </w:r>
      <w:r>
        <w:rPr>
          <w:color w:val="auto"/>
        </w:rPr>
        <w:tab/>
      </w:r>
      <w:r>
        <w:rPr>
          <w:color w:val="auto"/>
        </w:rPr>
        <w:fldChar w:fldCharType="begin"/>
      </w:r>
      <w:r>
        <w:rPr>
          <w:color w:val="auto"/>
        </w:rPr>
        <w:instrText xml:space="preserve"> PAGEREF _Toc7092 \h </w:instrText>
      </w:r>
      <w:r>
        <w:rPr>
          <w:color w:val="auto"/>
        </w:rPr>
        <w:fldChar w:fldCharType="separate"/>
      </w:r>
      <w:r>
        <w:rPr>
          <w:color w:val="auto"/>
        </w:rPr>
        <w:t>20</w:t>
      </w:r>
      <w:r>
        <w:rPr>
          <w:color w:val="auto"/>
        </w:rPr>
        <w:fldChar w:fldCharType="end"/>
      </w:r>
      <w:r>
        <w:rPr>
          <w:color w:val="auto"/>
        </w:rPr>
        <w:fldChar w:fldCharType="end"/>
      </w:r>
    </w:p>
    <w:p w14:paraId="6BE74DFB">
      <w:pPr>
        <w:pStyle w:val="20"/>
        <w:tabs>
          <w:tab w:val="right" w:leader="dot" w:pos="8844"/>
        </w:tabs>
        <w:ind w:left="840"/>
        <w:rPr>
          <w:color w:val="auto"/>
        </w:rPr>
      </w:pPr>
      <w:r>
        <w:rPr>
          <w:color w:val="auto"/>
        </w:rPr>
        <w:fldChar w:fldCharType="begin"/>
      </w:r>
      <w:r>
        <w:rPr>
          <w:color w:val="auto"/>
        </w:rPr>
        <w:instrText xml:space="preserve"> HYPERLINK \l "_Toc29047" </w:instrText>
      </w:r>
      <w:r>
        <w:rPr>
          <w:color w:val="auto"/>
        </w:rPr>
        <w:fldChar w:fldCharType="separate"/>
      </w:r>
      <w:r>
        <w:rPr>
          <w:rFonts w:hint="eastAsia" w:ascii="黑体" w:hAnsi="黑体" w:eastAsia="黑体"/>
          <w:color w:val="auto"/>
        </w:rPr>
        <w:t>3．资格审查结果</w:t>
      </w:r>
      <w:r>
        <w:rPr>
          <w:color w:val="auto"/>
        </w:rPr>
        <w:tab/>
      </w:r>
      <w:r>
        <w:rPr>
          <w:color w:val="auto"/>
        </w:rPr>
        <w:fldChar w:fldCharType="begin"/>
      </w:r>
      <w:r>
        <w:rPr>
          <w:color w:val="auto"/>
        </w:rPr>
        <w:instrText xml:space="preserve"> PAGEREF _Toc29047 \h </w:instrText>
      </w:r>
      <w:r>
        <w:rPr>
          <w:color w:val="auto"/>
        </w:rPr>
        <w:fldChar w:fldCharType="separate"/>
      </w:r>
      <w:r>
        <w:rPr>
          <w:color w:val="auto"/>
        </w:rPr>
        <w:t>20</w:t>
      </w:r>
      <w:r>
        <w:rPr>
          <w:color w:val="auto"/>
        </w:rPr>
        <w:fldChar w:fldCharType="end"/>
      </w:r>
      <w:r>
        <w:rPr>
          <w:color w:val="auto"/>
        </w:rPr>
        <w:fldChar w:fldCharType="end"/>
      </w:r>
    </w:p>
    <w:p w14:paraId="23A78D2C">
      <w:pPr>
        <w:pStyle w:val="29"/>
        <w:tabs>
          <w:tab w:val="right" w:leader="dot" w:pos="8844"/>
        </w:tabs>
        <w:ind w:left="1260"/>
        <w:rPr>
          <w:color w:val="auto"/>
        </w:rPr>
      </w:pPr>
      <w:r>
        <w:rPr>
          <w:color w:val="auto"/>
        </w:rPr>
        <w:fldChar w:fldCharType="begin"/>
      </w:r>
      <w:r>
        <w:rPr>
          <w:color w:val="auto"/>
        </w:rPr>
        <w:instrText xml:space="preserve"> HYPERLINK \l "_Toc7516" </w:instrText>
      </w:r>
      <w:r>
        <w:rPr>
          <w:color w:val="auto"/>
        </w:rPr>
        <w:fldChar w:fldCharType="separate"/>
      </w:r>
      <w:r>
        <w:rPr>
          <w:rFonts w:hint="eastAsia" w:asciiTheme="minorEastAsia" w:hAnsiTheme="minorEastAsia"/>
          <w:color w:val="auto"/>
          <w:szCs w:val="21"/>
        </w:rPr>
        <w:t>附表1</w:t>
      </w:r>
      <w:r>
        <w:rPr>
          <w:rFonts w:asciiTheme="minorEastAsia" w:hAnsiTheme="minorEastAsia"/>
          <w:color w:val="auto"/>
          <w:szCs w:val="21"/>
        </w:rPr>
        <w:t>资格审查表</w:t>
      </w:r>
      <w:r>
        <w:rPr>
          <w:color w:val="auto"/>
        </w:rPr>
        <w:tab/>
      </w:r>
      <w:r>
        <w:rPr>
          <w:color w:val="auto"/>
        </w:rPr>
        <w:fldChar w:fldCharType="begin"/>
      </w:r>
      <w:r>
        <w:rPr>
          <w:color w:val="auto"/>
        </w:rPr>
        <w:instrText xml:space="preserve"> PAGEREF _Toc7516 \h </w:instrText>
      </w:r>
      <w:r>
        <w:rPr>
          <w:color w:val="auto"/>
        </w:rPr>
        <w:fldChar w:fldCharType="separate"/>
      </w:r>
      <w:r>
        <w:rPr>
          <w:color w:val="auto"/>
        </w:rPr>
        <w:t>20</w:t>
      </w:r>
      <w:r>
        <w:rPr>
          <w:color w:val="auto"/>
        </w:rPr>
        <w:fldChar w:fldCharType="end"/>
      </w:r>
      <w:r>
        <w:rPr>
          <w:color w:val="auto"/>
        </w:rPr>
        <w:fldChar w:fldCharType="end"/>
      </w:r>
    </w:p>
    <w:p w14:paraId="6DDF958B">
      <w:pPr>
        <w:pStyle w:val="29"/>
        <w:tabs>
          <w:tab w:val="right" w:leader="dot" w:pos="8844"/>
        </w:tabs>
        <w:ind w:left="1260"/>
        <w:rPr>
          <w:color w:val="auto"/>
        </w:rPr>
      </w:pPr>
      <w:r>
        <w:rPr>
          <w:color w:val="auto"/>
        </w:rPr>
        <w:fldChar w:fldCharType="begin"/>
      </w:r>
      <w:r>
        <w:rPr>
          <w:color w:val="auto"/>
        </w:rPr>
        <w:instrText xml:space="preserve"> HYPERLINK \l "_Toc14991" </w:instrText>
      </w:r>
      <w:r>
        <w:rPr>
          <w:color w:val="auto"/>
        </w:rPr>
        <w:fldChar w:fldCharType="separate"/>
      </w:r>
      <w:r>
        <w:rPr>
          <w:rFonts w:hint="eastAsia" w:ascii="黑体" w:hAnsi="黑体"/>
          <w:color w:val="auto"/>
          <w:szCs w:val="21"/>
        </w:rPr>
        <w:t>附表2 资格审查结果一览表</w:t>
      </w:r>
      <w:r>
        <w:rPr>
          <w:color w:val="auto"/>
        </w:rPr>
        <w:tab/>
      </w:r>
      <w:r>
        <w:rPr>
          <w:color w:val="auto"/>
        </w:rPr>
        <w:fldChar w:fldCharType="begin"/>
      </w:r>
      <w:r>
        <w:rPr>
          <w:color w:val="auto"/>
        </w:rPr>
        <w:instrText xml:space="preserve"> PAGEREF _Toc14991 \h </w:instrText>
      </w:r>
      <w:r>
        <w:rPr>
          <w:color w:val="auto"/>
        </w:rPr>
        <w:fldChar w:fldCharType="separate"/>
      </w:r>
      <w:r>
        <w:rPr>
          <w:color w:val="auto"/>
        </w:rPr>
        <w:t>21</w:t>
      </w:r>
      <w:r>
        <w:rPr>
          <w:color w:val="auto"/>
        </w:rPr>
        <w:fldChar w:fldCharType="end"/>
      </w:r>
      <w:r>
        <w:rPr>
          <w:color w:val="auto"/>
        </w:rPr>
        <w:fldChar w:fldCharType="end"/>
      </w:r>
    </w:p>
    <w:p w14:paraId="3578D70E">
      <w:pPr>
        <w:pStyle w:val="29"/>
        <w:tabs>
          <w:tab w:val="right" w:leader="dot" w:pos="8844"/>
        </w:tabs>
        <w:ind w:left="1260"/>
        <w:rPr>
          <w:color w:val="auto"/>
        </w:rPr>
      </w:pPr>
      <w:r>
        <w:rPr>
          <w:color w:val="auto"/>
        </w:rPr>
        <w:fldChar w:fldCharType="begin"/>
      </w:r>
      <w:r>
        <w:rPr>
          <w:color w:val="auto"/>
        </w:rPr>
        <w:instrText xml:space="preserve"> HYPERLINK \l "_Toc18177" </w:instrText>
      </w:r>
      <w:r>
        <w:rPr>
          <w:color w:val="auto"/>
        </w:rPr>
        <w:fldChar w:fldCharType="separate"/>
      </w:r>
      <w:r>
        <w:rPr>
          <w:rFonts w:hint="eastAsia" w:ascii="黑体" w:hAnsi="黑体"/>
          <w:color w:val="auto"/>
          <w:szCs w:val="21"/>
        </w:rPr>
        <w:t>附表3 资格审查合格投标人名单</w:t>
      </w:r>
      <w:r>
        <w:rPr>
          <w:color w:val="auto"/>
        </w:rPr>
        <w:tab/>
      </w:r>
      <w:r>
        <w:rPr>
          <w:color w:val="auto"/>
        </w:rPr>
        <w:fldChar w:fldCharType="begin"/>
      </w:r>
      <w:r>
        <w:rPr>
          <w:color w:val="auto"/>
        </w:rPr>
        <w:instrText xml:space="preserve"> PAGEREF _Toc18177 \h </w:instrText>
      </w:r>
      <w:r>
        <w:rPr>
          <w:color w:val="auto"/>
        </w:rPr>
        <w:fldChar w:fldCharType="separate"/>
      </w:r>
      <w:r>
        <w:rPr>
          <w:color w:val="auto"/>
        </w:rPr>
        <w:t>23</w:t>
      </w:r>
      <w:r>
        <w:rPr>
          <w:color w:val="auto"/>
        </w:rPr>
        <w:fldChar w:fldCharType="end"/>
      </w:r>
      <w:r>
        <w:rPr>
          <w:color w:val="auto"/>
        </w:rPr>
        <w:fldChar w:fldCharType="end"/>
      </w:r>
    </w:p>
    <w:p w14:paraId="77DEFABE">
      <w:pPr>
        <w:pStyle w:val="28"/>
        <w:tabs>
          <w:tab w:val="right" w:leader="dot" w:pos="8844"/>
        </w:tabs>
        <w:rPr>
          <w:color w:val="auto"/>
        </w:rPr>
      </w:pPr>
      <w:r>
        <w:rPr>
          <w:color w:val="auto"/>
        </w:rPr>
        <w:fldChar w:fldCharType="begin"/>
      </w:r>
      <w:r>
        <w:rPr>
          <w:color w:val="auto"/>
        </w:rPr>
        <w:instrText xml:space="preserve"> HYPERLINK \l "_Toc24956" </w:instrText>
      </w:r>
      <w:r>
        <w:rPr>
          <w:color w:val="auto"/>
        </w:rPr>
        <w:fldChar w:fldCharType="separate"/>
      </w:r>
      <w:r>
        <w:rPr>
          <w:rFonts w:hint="eastAsia" w:ascii="黑体" w:hAnsi="华文中宋" w:eastAsia="黑体"/>
          <w:color w:val="auto"/>
          <w:szCs w:val="32"/>
        </w:rPr>
        <w:t>第四章 评标方法及标准</w:t>
      </w:r>
      <w:r>
        <w:rPr>
          <w:color w:val="auto"/>
        </w:rPr>
        <w:tab/>
      </w:r>
      <w:r>
        <w:rPr>
          <w:color w:val="auto"/>
        </w:rPr>
        <w:fldChar w:fldCharType="begin"/>
      </w:r>
      <w:r>
        <w:rPr>
          <w:color w:val="auto"/>
        </w:rPr>
        <w:instrText xml:space="preserve"> PAGEREF _Toc24956 \h </w:instrText>
      </w:r>
      <w:r>
        <w:rPr>
          <w:color w:val="auto"/>
        </w:rPr>
        <w:fldChar w:fldCharType="separate"/>
      </w:r>
      <w:r>
        <w:rPr>
          <w:color w:val="auto"/>
        </w:rPr>
        <w:t>24</w:t>
      </w:r>
      <w:r>
        <w:rPr>
          <w:color w:val="auto"/>
        </w:rPr>
        <w:fldChar w:fldCharType="end"/>
      </w:r>
      <w:r>
        <w:rPr>
          <w:color w:val="auto"/>
        </w:rPr>
        <w:fldChar w:fldCharType="end"/>
      </w:r>
    </w:p>
    <w:p w14:paraId="40462FE1">
      <w:pPr>
        <w:pStyle w:val="32"/>
        <w:tabs>
          <w:tab w:val="right" w:leader="dot" w:pos="8844"/>
        </w:tabs>
        <w:ind w:left="420"/>
        <w:rPr>
          <w:color w:val="auto"/>
        </w:rPr>
      </w:pPr>
      <w:r>
        <w:rPr>
          <w:color w:val="auto"/>
        </w:rPr>
        <w:fldChar w:fldCharType="begin"/>
      </w:r>
      <w:r>
        <w:rPr>
          <w:color w:val="auto"/>
        </w:rPr>
        <w:instrText xml:space="preserve"> HYPERLINK \l "_Toc20168" </w:instrText>
      </w:r>
      <w:r>
        <w:rPr>
          <w:color w:val="auto"/>
        </w:rPr>
        <w:fldChar w:fldCharType="separate"/>
      </w:r>
      <w:r>
        <w:rPr>
          <w:rFonts w:hint="eastAsia" w:ascii="黑体" w:hAnsi="华文中宋" w:eastAsia="黑体"/>
          <w:color w:val="auto"/>
          <w:szCs w:val="28"/>
        </w:rPr>
        <w:t>第一节 评标方法及标准前附表</w:t>
      </w:r>
      <w:r>
        <w:rPr>
          <w:color w:val="auto"/>
        </w:rPr>
        <w:tab/>
      </w:r>
      <w:r>
        <w:rPr>
          <w:color w:val="auto"/>
        </w:rPr>
        <w:fldChar w:fldCharType="begin"/>
      </w:r>
      <w:r>
        <w:rPr>
          <w:color w:val="auto"/>
        </w:rPr>
        <w:instrText xml:space="preserve"> PAGEREF _Toc20168 \h </w:instrText>
      </w:r>
      <w:r>
        <w:rPr>
          <w:color w:val="auto"/>
        </w:rPr>
        <w:fldChar w:fldCharType="separate"/>
      </w:r>
      <w:r>
        <w:rPr>
          <w:color w:val="auto"/>
        </w:rPr>
        <w:t>24</w:t>
      </w:r>
      <w:r>
        <w:rPr>
          <w:color w:val="auto"/>
        </w:rPr>
        <w:fldChar w:fldCharType="end"/>
      </w:r>
      <w:r>
        <w:rPr>
          <w:color w:val="auto"/>
        </w:rPr>
        <w:fldChar w:fldCharType="end"/>
      </w:r>
    </w:p>
    <w:p w14:paraId="5FA79118">
      <w:pPr>
        <w:pStyle w:val="32"/>
        <w:tabs>
          <w:tab w:val="right" w:leader="dot" w:pos="8844"/>
        </w:tabs>
        <w:ind w:left="420"/>
        <w:rPr>
          <w:color w:val="auto"/>
        </w:rPr>
      </w:pPr>
      <w:r>
        <w:rPr>
          <w:color w:val="auto"/>
        </w:rPr>
        <w:fldChar w:fldCharType="begin"/>
      </w:r>
      <w:r>
        <w:rPr>
          <w:color w:val="auto"/>
        </w:rPr>
        <w:instrText xml:space="preserve"> HYPERLINK \l "_Toc7197" </w:instrText>
      </w:r>
      <w:r>
        <w:rPr>
          <w:color w:val="auto"/>
        </w:rPr>
        <w:fldChar w:fldCharType="separate"/>
      </w:r>
      <w:r>
        <w:rPr>
          <w:rFonts w:hint="eastAsia" w:ascii="黑体" w:hAnsi="华文中宋" w:eastAsia="黑体"/>
          <w:color w:val="auto"/>
          <w:szCs w:val="28"/>
        </w:rPr>
        <w:t>第二节 评标方法及标准</w:t>
      </w:r>
      <w:r>
        <w:rPr>
          <w:color w:val="auto"/>
        </w:rPr>
        <w:tab/>
      </w:r>
      <w:r>
        <w:rPr>
          <w:color w:val="auto"/>
        </w:rPr>
        <w:fldChar w:fldCharType="begin"/>
      </w:r>
      <w:r>
        <w:rPr>
          <w:color w:val="auto"/>
        </w:rPr>
        <w:instrText xml:space="preserve"> PAGEREF _Toc7197 \h </w:instrText>
      </w:r>
      <w:r>
        <w:rPr>
          <w:color w:val="auto"/>
        </w:rPr>
        <w:fldChar w:fldCharType="separate"/>
      </w:r>
      <w:r>
        <w:rPr>
          <w:color w:val="auto"/>
        </w:rPr>
        <w:t>26</w:t>
      </w:r>
      <w:r>
        <w:rPr>
          <w:color w:val="auto"/>
        </w:rPr>
        <w:fldChar w:fldCharType="end"/>
      </w:r>
      <w:r>
        <w:rPr>
          <w:color w:val="auto"/>
        </w:rPr>
        <w:fldChar w:fldCharType="end"/>
      </w:r>
    </w:p>
    <w:p w14:paraId="3A763510">
      <w:pPr>
        <w:pStyle w:val="20"/>
        <w:tabs>
          <w:tab w:val="right" w:leader="dot" w:pos="8844"/>
        </w:tabs>
        <w:ind w:left="840"/>
        <w:rPr>
          <w:color w:val="auto"/>
        </w:rPr>
      </w:pPr>
      <w:r>
        <w:rPr>
          <w:color w:val="auto"/>
        </w:rPr>
        <w:fldChar w:fldCharType="begin"/>
      </w:r>
      <w:r>
        <w:rPr>
          <w:color w:val="auto"/>
        </w:rPr>
        <w:instrText xml:space="preserve"> HYPERLINK \l "_Toc21019" </w:instrText>
      </w:r>
      <w:r>
        <w:rPr>
          <w:color w:val="auto"/>
        </w:rPr>
        <w:fldChar w:fldCharType="separate"/>
      </w:r>
      <w:r>
        <w:rPr>
          <w:rFonts w:hint="eastAsia" w:ascii="黑体" w:hAnsi="黑体" w:eastAsia="黑体"/>
          <w:color w:val="auto"/>
        </w:rPr>
        <w:t>1．评标方法</w:t>
      </w:r>
      <w:r>
        <w:rPr>
          <w:color w:val="auto"/>
        </w:rPr>
        <w:tab/>
      </w:r>
      <w:r>
        <w:rPr>
          <w:color w:val="auto"/>
        </w:rPr>
        <w:fldChar w:fldCharType="begin"/>
      </w:r>
      <w:r>
        <w:rPr>
          <w:color w:val="auto"/>
        </w:rPr>
        <w:instrText xml:space="preserve"> PAGEREF _Toc21019 \h </w:instrText>
      </w:r>
      <w:r>
        <w:rPr>
          <w:color w:val="auto"/>
        </w:rPr>
        <w:fldChar w:fldCharType="separate"/>
      </w:r>
      <w:r>
        <w:rPr>
          <w:color w:val="auto"/>
        </w:rPr>
        <w:t>26</w:t>
      </w:r>
      <w:r>
        <w:rPr>
          <w:color w:val="auto"/>
        </w:rPr>
        <w:fldChar w:fldCharType="end"/>
      </w:r>
      <w:r>
        <w:rPr>
          <w:color w:val="auto"/>
        </w:rPr>
        <w:fldChar w:fldCharType="end"/>
      </w:r>
    </w:p>
    <w:p w14:paraId="63DE7D81">
      <w:pPr>
        <w:pStyle w:val="20"/>
        <w:tabs>
          <w:tab w:val="right" w:leader="dot" w:pos="8844"/>
        </w:tabs>
        <w:ind w:left="840"/>
        <w:rPr>
          <w:color w:val="auto"/>
        </w:rPr>
      </w:pPr>
      <w:r>
        <w:rPr>
          <w:color w:val="auto"/>
        </w:rPr>
        <w:fldChar w:fldCharType="begin"/>
      </w:r>
      <w:r>
        <w:rPr>
          <w:color w:val="auto"/>
        </w:rPr>
        <w:instrText xml:space="preserve"> HYPERLINK \l "_Toc32027" </w:instrText>
      </w:r>
      <w:r>
        <w:rPr>
          <w:color w:val="auto"/>
        </w:rPr>
        <w:fldChar w:fldCharType="separate"/>
      </w:r>
      <w:r>
        <w:rPr>
          <w:rFonts w:hint="eastAsia" w:ascii="黑体" w:hAnsi="黑体" w:eastAsia="黑体"/>
          <w:color w:val="auto"/>
        </w:rPr>
        <w:t>2．评标程序</w:t>
      </w:r>
      <w:r>
        <w:rPr>
          <w:color w:val="auto"/>
        </w:rPr>
        <w:tab/>
      </w:r>
      <w:r>
        <w:rPr>
          <w:color w:val="auto"/>
        </w:rPr>
        <w:fldChar w:fldCharType="begin"/>
      </w:r>
      <w:r>
        <w:rPr>
          <w:color w:val="auto"/>
        </w:rPr>
        <w:instrText xml:space="preserve"> PAGEREF _Toc32027 \h </w:instrText>
      </w:r>
      <w:r>
        <w:rPr>
          <w:color w:val="auto"/>
        </w:rPr>
        <w:fldChar w:fldCharType="separate"/>
      </w:r>
      <w:r>
        <w:rPr>
          <w:color w:val="auto"/>
        </w:rPr>
        <w:t>26</w:t>
      </w:r>
      <w:r>
        <w:rPr>
          <w:color w:val="auto"/>
        </w:rPr>
        <w:fldChar w:fldCharType="end"/>
      </w:r>
      <w:r>
        <w:rPr>
          <w:color w:val="auto"/>
        </w:rPr>
        <w:fldChar w:fldCharType="end"/>
      </w:r>
    </w:p>
    <w:p w14:paraId="69819DC5">
      <w:pPr>
        <w:pStyle w:val="20"/>
        <w:tabs>
          <w:tab w:val="right" w:leader="dot" w:pos="8844"/>
        </w:tabs>
        <w:ind w:left="840"/>
        <w:rPr>
          <w:color w:val="auto"/>
        </w:rPr>
      </w:pPr>
      <w:r>
        <w:rPr>
          <w:color w:val="auto"/>
        </w:rPr>
        <w:fldChar w:fldCharType="begin"/>
      </w:r>
      <w:r>
        <w:rPr>
          <w:color w:val="auto"/>
        </w:rPr>
        <w:instrText xml:space="preserve"> HYPERLINK \l "_Toc24674" </w:instrText>
      </w:r>
      <w:r>
        <w:rPr>
          <w:color w:val="auto"/>
        </w:rPr>
        <w:fldChar w:fldCharType="separate"/>
      </w:r>
      <w:r>
        <w:rPr>
          <w:rFonts w:hint="eastAsia" w:ascii="黑体" w:hAnsi="黑体" w:eastAsia="黑体"/>
          <w:color w:val="auto"/>
        </w:rPr>
        <w:t>3．投标文件的符合性审查</w:t>
      </w:r>
      <w:r>
        <w:rPr>
          <w:color w:val="auto"/>
        </w:rPr>
        <w:tab/>
      </w:r>
      <w:r>
        <w:rPr>
          <w:color w:val="auto"/>
        </w:rPr>
        <w:fldChar w:fldCharType="begin"/>
      </w:r>
      <w:r>
        <w:rPr>
          <w:color w:val="auto"/>
        </w:rPr>
        <w:instrText xml:space="preserve"> PAGEREF _Toc24674 \h </w:instrText>
      </w:r>
      <w:r>
        <w:rPr>
          <w:color w:val="auto"/>
        </w:rPr>
        <w:fldChar w:fldCharType="separate"/>
      </w:r>
      <w:r>
        <w:rPr>
          <w:color w:val="auto"/>
        </w:rPr>
        <w:t>26</w:t>
      </w:r>
      <w:r>
        <w:rPr>
          <w:color w:val="auto"/>
        </w:rPr>
        <w:fldChar w:fldCharType="end"/>
      </w:r>
      <w:r>
        <w:rPr>
          <w:color w:val="auto"/>
        </w:rPr>
        <w:fldChar w:fldCharType="end"/>
      </w:r>
    </w:p>
    <w:p w14:paraId="2C8E7B97">
      <w:pPr>
        <w:pStyle w:val="20"/>
        <w:tabs>
          <w:tab w:val="right" w:leader="dot" w:pos="8844"/>
        </w:tabs>
        <w:ind w:left="840"/>
        <w:rPr>
          <w:color w:val="auto"/>
        </w:rPr>
      </w:pPr>
      <w:r>
        <w:rPr>
          <w:color w:val="auto"/>
        </w:rPr>
        <w:fldChar w:fldCharType="begin"/>
      </w:r>
      <w:r>
        <w:rPr>
          <w:color w:val="auto"/>
        </w:rPr>
        <w:instrText xml:space="preserve"> HYPERLINK \l "_Toc26669" </w:instrText>
      </w:r>
      <w:r>
        <w:rPr>
          <w:color w:val="auto"/>
        </w:rPr>
        <w:fldChar w:fldCharType="separate"/>
      </w:r>
      <w:r>
        <w:rPr>
          <w:rFonts w:hint="eastAsia" w:ascii="黑体" w:hAnsi="黑体" w:eastAsia="黑体"/>
          <w:color w:val="auto"/>
        </w:rPr>
        <w:t>4．投标文件的澄清</w:t>
      </w:r>
      <w:r>
        <w:rPr>
          <w:color w:val="auto"/>
        </w:rPr>
        <w:tab/>
      </w:r>
      <w:r>
        <w:rPr>
          <w:color w:val="auto"/>
        </w:rPr>
        <w:fldChar w:fldCharType="begin"/>
      </w:r>
      <w:r>
        <w:rPr>
          <w:color w:val="auto"/>
        </w:rPr>
        <w:instrText xml:space="preserve"> PAGEREF _Toc26669 \h </w:instrText>
      </w:r>
      <w:r>
        <w:rPr>
          <w:color w:val="auto"/>
        </w:rPr>
        <w:fldChar w:fldCharType="separate"/>
      </w:r>
      <w:r>
        <w:rPr>
          <w:color w:val="auto"/>
        </w:rPr>
        <w:t>26</w:t>
      </w:r>
      <w:r>
        <w:rPr>
          <w:color w:val="auto"/>
        </w:rPr>
        <w:fldChar w:fldCharType="end"/>
      </w:r>
      <w:r>
        <w:rPr>
          <w:color w:val="auto"/>
        </w:rPr>
        <w:fldChar w:fldCharType="end"/>
      </w:r>
    </w:p>
    <w:p w14:paraId="71280E58">
      <w:pPr>
        <w:pStyle w:val="20"/>
        <w:tabs>
          <w:tab w:val="right" w:leader="dot" w:pos="8844"/>
        </w:tabs>
        <w:ind w:left="840"/>
        <w:rPr>
          <w:color w:val="auto"/>
        </w:rPr>
      </w:pPr>
      <w:r>
        <w:rPr>
          <w:color w:val="auto"/>
        </w:rPr>
        <w:fldChar w:fldCharType="begin"/>
      </w:r>
      <w:r>
        <w:rPr>
          <w:color w:val="auto"/>
        </w:rPr>
        <w:instrText xml:space="preserve"> HYPERLINK \l "_Toc24726" </w:instrText>
      </w:r>
      <w:r>
        <w:rPr>
          <w:color w:val="auto"/>
        </w:rPr>
        <w:fldChar w:fldCharType="separate"/>
      </w:r>
      <w:r>
        <w:rPr>
          <w:rFonts w:hint="eastAsia" w:ascii="黑体" w:hAnsi="黑体" w:eastAsia="黑体"/>
          <w:color w:val="auto"/>
        </w:rPr>
        <w:t>5．投标文件的比较与评价</w:t>
      </w:r>
      <w:r>
        <w:rPr>
          <w:color w:val="auto"/>
        </w:rPr>
        <w:tab/>
      </w:r>
      <w:r>
        <w:rPr>
          <w:color w:val="auto"/>
        </w:rPr>
        <w:fldChar w:fldCharType="begin"/>
      </w:r>
      <w:r>
        <w:rPr>
          <w:color w:val="auto"/>
        </w:rPr>
        <w:instrText xml:space="preserve"> PAGEREF _Toc24726 \h </w:instrText>
      </w:r>
      <w:r>
        <w:rPr>
          <w:color w:val="auto"/>
        </w:rPr>
        <w:fldChar w:fldCharType="separate"/>
      </w:r>
      <w:r>
        <w:rPr>
          <w:color w:val="auto"/>
        </w:rPr>
        <w:t>27</w:t>
      </w:r>
      <w:r>
        <w:rPr>
          <w:color w:val="auto"/>
        </w:rPr>
        <w:fldChar w:fldCharType="end"/>
      </w:r>
      <w:r>
        <w:rPr>
          <w:color w:val="auto"/>
        </w:rPr>
        <w:fldChar w:fldCharType="end"/>
      </w:r>
    </w:p>
    <w:p w14:paraId="28BB328B">
      <w:pPr>
        <w:pStyle w:val="20"/>
        <w:tabs>
          <w:tab w:val="right" w:leader="dot" w:pos="8844"/>
        </w:tabs>
        <w:ind w:left="840"/>
        <w:rPr>
          <w:color w:val="auto"/>
        </w:rPr>
      </w:pPr>
      <w:r>
        <w:rPr>
          <w:color w:val="auto"/>
        </w:rPr>
        <w:fldChar w:fldCharType="begin"/>
      </w:r>
      <w:r>
        <w:rPr>
          <w:color w:val="auto"/>
        </w:rPr>
        <w:instrText xml:space="preserve"> HYPERLINK \l "_Toc6633" </w:instrText>
      </w:r>
      <w:r>
        <w:rPr>
          <w:color w:val="auto"/>
        </w:rPr>
        <w:fldChar w:fldCharType="separate"/>
      </w:r>
      <w:r>
        <w:rPr>
          <w:rFonts w:hint="eastAsia" w:ascii="黑体" w:hAnsi="黑体" w:eastAsia="黑体"/>
          <w:color w:val="auto"/>
        </w:rPr>
        <w:t>6．推荐中标候选人</w:t>
      </w:r>
      <w:r>
        <w:rPr>
          <w:color w:val="auto"/>
        </w:rPr>
        <w:tab/>
      </w:r>
      <w:r>
        <w:rPr>
          <w:color w:val="auto"/>
        </w:rPr>
        <w:fldChar w:fldCharType="begin"/>
      </w:r>
      <w:r>
        <w:rPr>
          <w:color w:val="auto"/>
        </w:rPr>
        <w:instrText xml:space="preserve"> PAGEREF _Toc6633 \h </w:instrText>
      </w:r>
      <w:r>
        <w:rPr>
          <w:color w:val="auto"/>
        </w:rPr>
        <w:fldChar w:fldCharType="separate"/>
      </w:r>
      <w:r>
        <w:rPr>
          <w:color w:val="auto"/>
        </w:rPr>
        <w:t>27</w:t>
      </w:r>
      <w:r>
        <w:rPr>
          <w:color w:val="auto"/>
        </w:rPr>
        <w:fldChar w:fldCharType="end"/>
      </w:r>
      <w:r>
        <w:rPr>
          <w:color w:val="auto"/>
        </w:rPr>
        <w:fldChar w:fldCharType="end"/>
      </w:r>
    </w:p>
    <w:p w14:paraId="308EB99E">
      <w:pPr>
        <w:pStyle w:val="20"/>
        <w:tabs>
          <w:tab w:val="right" w:leader="dot" w:pos="8844"/>
        </w:tabs>
        <w:ind w:left="840"/>
        <w:rPr>
          <w:color w:val="auto"/>
        </w:rPr>
      </w:pPr>
      <w:r>
        <w:rPr>
          <w:color w:val="auto"/>
        </w:rPr>
        <w:fldChar w:fldCharType="begin"/>
      </w:r>
      <w:r>
        <w:rPr>
          <w:color w:val="auto"/>
        </w:rPr>
        <w:instrText xml:space="preserve"> HYPERLINK \l "_Toc20603" </w:instrText>
      </w:r>
      <w:r>
        <w:rPr>
          <w:color w:val="auto"/>
        </w:rPr>
        <w:fldChar w:fldCharType="separate"/>
      </w:r>
      <w:r>
        <w:rPr>
          <w:rFonts w:hint="eastAsia" w:ascii="黑体" w:hAnsi="黑体" w:eastAsia="黑体"/>
          <w:color w:val="auto"/>
        </w:rPr>
        <w:t>7．编写评标报告</w:t>
      </w:r>
      <w:r>
        <w:rPr>
          <w:color w:val="auto"/>
        </w:rPr>
        <w:tab/>
      </w:r>
      <w:r>
        <w:rPr>
          <w:color w:val="auto"/>
        </w:rPr>
        <w:fldChar w:fldCharType="begin"/>
      </w:r>
      <w:r>
        <w:rPr>
          <w:color w:val="auto"/>
        </w:rPr>
        <w:instrText xml:space="preserve"> PAGEREF _Toc20603 \h </w:instrText>
      </w:r>
      <w:r>
        <w:rPr>
          <w:color w:val="auto"/>
        </w:rPr>
        <w:fldChar w:fldCharType="separate"/>
      </w:r>
      <w:r>
        <w:rPr>
          <w:color w:val="auto"/>
        </w:rPr>
        <w:t>27</w:t>
      </w:r>
      <w:r>
        <w:rPr>
          <w:color w:val="auto"/>
        </w:rPr>
        <w:fldChar w:fldCharType="end"/>
      </w:r>
      <w:r>
        <w:rPr>
          <w:color w:val="auto"/>
        </w:rPr>
        <w:fldChar w:fldCharType="end"/>
      </w:r>
    </w:p>
    <w:p w14:paraId="6E73A1EF">
      <w:pPr>
        <w:pStyle w:val="20"/>
        <w:tabs>
          <w:tab w:val="right" w:leader="dot" w:pos="8844"/>
        </w:tabs>
        <w:ind w:left="840"/>
        <w:rPr>
          <w:color w:val="auto"/>
        </w:rPr>
      </w:pPr>
      <w:r>
        <w:rPr>
          <w:color w:val="auto"/>
        </w:rPr>
        <w:fldChar w:fldCharType="begin"/>
      </w:r>
      <w:r>
        <w:rPr>
          <w:color w:val="auto"/>
        </w:rPr>
        <w:instrText xml:space="preserve"> HYPERLINK \l "_Toc26264" </w:instrText>
      </w:r>
      <w:r>
        <w:rPr>
          <w:color w:val="auto"/>
        </w:rPr>
        <w:fldChar w:fldCharType="separate"/>
      </w:r>
      <w:r>
        <w:rPr>
          <w:rFonts w:hint="eastAsia" w:ascii="黑体" w:hAnsi="黑体" w:eastAsia="黑体"/>
          <w:color w:val="auto"/>
        </w:rPr>
        <w:t>8．评标报告复核</w:t>
      </w:r>
      <w:r>
        <w:rPr>
          <w:color w:val="auto"/>
        </w:rPr>
        <w:tab/>
      </w:r>
      <w:r>
        <w:rPr>
          <w:color w:val="auto"/>
        </w:rPr>
        <w:fldChar w:fldCharType="begin"/>
      </w:r>
      <w:r>
        <w:rPr>
          <w:color w:val="auto"/>
        </w:rPr>
        <w:instrText xml:space="preserve"> PAGEREF _Toc26264 \h </w:instrText>
      </w:r>
      <w:r>
        <w:rPr>
          <w:color w:val="auto"/>
        </w:rPr>
        <w:fldChar w:fldCharType="separate"/>
      </w:r>
      <w:r>
        <w:rPr>
          <w:color w:val="auto"/>
        </w:rPr>
        <w:t>27</w:t>
      </w:r>
      <w:r>
        <w:rPr>
          <w:color w:val="auto"/>
        </w:rPr>
        <w:fldChar w:fldCharType="end"/>
      </w:r>
      <w:r>
        <w:rPr>
          <w:color w:val="auto"/>
        </w:rPr>
        <w:fldChar w:fldCharType="end"/>
      </w:r>
    </w:p>
    <w:p w14:paraId="65184F39">
      <w:pPr>
        <w:pStyle w:val="20"/>
        <w:tabs>
          <w:tab w:val="right" w:leader="dot" w:pos="8844"/>
        </w:tabs>
        <w:ind w:left="840"/>
        <w:rPr>
          <w:color w:val="auto"/>
        </w:rPr>
      </w:pPr>
      <w:r>
        <w:rPr>
          <w:color w:val="auto"/>
        </w:rPr>
        <w:fldChar w:fldCharType="begin"/>
      </w:r>
      <w:r>
        <w:rPr>
          <w:color w:val="auto"/>
        </w:rPr>
        <w:instrText xml:space="preserve"> HYPERLINK \l "_Toc4728" </w:instrText>
      </w:r>
      <w:r>
        <w:rPr>
          <w:color w:val="auto"/>
        </w:rPr>
        <w:fldChar w:fldCharType="separate"/>
      </w:r>
      <w:r>
        <w:rPr>
          <w:rFonts w:hint="eastAsia" w:ascii="黑体" w:hAnsi="黑体" w:eastAsia="黑体"/>
          <w:color w:val="auto"/>
        </w:rPr>
        <w:t>9．停止评标</w:t>
      </w:r>
      <w:r>
        <w:rPr>
          <w:color w:val="auto"/>
        </w:rPr>
        <w:tab/>
      </w:r>
      <w:r>
        <w:rPr>
          <w:color w:val="auto"/>
        </w:rPr>
        <w:fldChar w:fldCharType="begin"/>
      </w:r>
      <w:r>
        <w:rPr>
          <w:color w:val="auto"/>
        </w:rPr>
        <w:instrText xml:space="preserve"> PAGEREF _Toc4728 \h </w:instrText>
      </w:r>
      <w:r>
        <w:rPr>
          <w:color w:val="auto"/>
        </w:rPr>
        <w:fldChar w:fldCharType="separate"/>
      </w:r>
      <w:r>
        <w:rPr>
          <w:color w:val="auto"/>
        </w:rPr>
        <w:t>28</w:t>
      </w:r>
      <w:r>
        <w:rPr>
          <w:color w:val="auto"/>
        </w:rPr>
        <w:fldChar w:fldCharType="end"/>
      </w:r>
      <w:r>
        <w:rPr>
          <w:color w:val="auto"/>
        </w:rPr>
        <w:fldChar w:fldCharType="end"/>
      </w:r>
    </w:p>
    <w:p w14:paraId="70A43238">
      <w:pPr>
        <w:pStyle w:val="20"/>
        <w:tabs>
          <w:tab w:val="right" w:leader="dot" w:pos="8844"/>
        </w:tabs>
        <w:ind w:left="840"/>
        <w:rPr>
          <w:color w:val="auto"/>
        </w:rPr>
      </w:pPr>
      <w:r>
        <w:rPr>
          <w:color w:val="auto"/>
        </w:rPr>
        <w:fldChar w:fldCharType="begin"/>
      </w:r>
      <w:r>
        <w:rPr>
          <w:color w:val="auto"/>
        </w:rPr>
        <w:instrText xml:space="preserve"> HYPERLINK \l "_Toc12580" </w:instrText>
      </w:r>
      <w:r>
        <w:rPr>
          <w:color w:val="auto"/>
        </w:rPr>
        <w:fldChar w:fldCharType="separate"/>
      </w:r>
      <w:r>
        <w:rPr>
          <w:rFonts w:hint="eastAsia" w:ascii="黑体" w:hAnsi="黑体" w:eastAsia="黑体" w:cs="宋体"/>
          <w:color w:val="auto"/>
          <w:kern w:val="0"/>
        </w:rPr>
        <w:t>11．重新组建评标委员会进行评标</w:t>
      </w:r>
      <w:r>
        <w:rPr>
          <w:color w:val="auto"/>
        </w:rPr>
        <w:tab/>
      </w:r>
      <w:r>
        <w:rPr>
          <w:color w:val="auto"/>
        </w:rPr>
        <w:fldChar w:fldCharType="begin"/>
      </w:r>
      <w:r>
        <w:rPr>
          <w:color w:val="auto"/>
        </w:rPr>
        <w:instrText xml:space="preserve"> PAGEREF _Toc12580 \h </w:instrText>
      </w:r>
      <w:r>
        <w:rPr>
          <w:color w:val="auto"/>
        </w:rPr>
        <w:fldChar w:fldCharType="separate"/>
      </w:r>
      <w:r>
        <w:rPr>
          <w:color w:val="auto"/>
        </w:rPr>
        <w:t>28</w:t>
      </w:r>
      <w:r>
        <w:rPr>
          <w:color w:val="auto"/>
        </w:rPr>
        <w:fldChar w:fldCharType="end"/>
      </w:r>
      <w:r>
        <w:rPr>
          <w:color w:val="auto"/>
        </w:rPr>
        <w:fldChar w:fldCharType="end"/>
      </w:r>
    </w:p>
    <w:p w14:paraId="6627797D">
      <w:pPr>
        <w:pStyle w:val="32"/>
        <w:tabs>
          <w:tab w:val="right" w:leader="dot" w:pos="8844"/>
        </w:tabs>
        <w:ind w:left="420"/>
        <w:rPr>
          <w:color w:val="auto"/>
        </w:rPr>
      </w:pPr>
      <w:r>
        <w:rPr>
          <w:color w:val="auto"/>
        </w:rPr>
        <w:fldChar w:fldCharType="begin"/>
      </w:r>
      <w:r>
        <w:rPr>
          <w:color w:val="auto"/>
        </w:rPr>
        <w:instrText xml:space="preserve"> HYPERLINK \l "_Toc26474" </w:instrText>
      </w:r>
      <w:r>
        <w:rPr>
          <w:color w:val="auto"/>
        </w:rPr>
        <w:fldChar w:fldCharType="separate"/>
      </w:r>
      <w:r>
        <w:rPr>
          <w:rFonts w:hint="eastAsia" w:ascii="黑体" w:hAnsi="华文中宋" w:eastAsia="黑体"/>
          <w:color w:val="auto"/>
          <w:szCs w:val="28"/>
        </w:rPr>
        <w:t>第三节 投标文件的符合性审查</w:t>
      </w:r>
      <w:r>
        <w:rPr>
          <w:color w:val="auto"/>
        </w:rPr>
        <w:tab/>
      </w:r>
      <w:r>
        <w:rPr>
          <w:color w:val="auto"/>
        </w:rPr>
        <w:fldChar w:fldCharType="begin"/>
      </w:r>
      <w:r>
        <w:rPr>
          <w:color w:val="auto"/>
        </w:rPr>
        <w:instrText xml:space="preserve"> PAGEREF _Toc26474 \h </w:instrText>
      </w:r>
      <w:r>
        <w:rPr>
          <w:color w:val="auto"/>
        </w:rPr>
        <w:fldChar w:fldCharType="separate"/>
      </w:r>
      <w:r>
        <w:rPr>
          <w:color w:val="auto"/>
        </w:rPr>
        <w:t>29</w:t>
      </w:r>
      <w:r>
        <w:rPr>
          <w:color w:val="auto"/>
        </w:rPr>
        <w:fldChar w:fldCharType="end"/>
      </w:r>
      <w:r>
        <w:rPr>
          <w:color w:val="auto"/>
        </w:rPr>
        <w:fldChar w:fldCharType="end"/>
      </w:r>
    </w:p>
    <w:p w14:paraId="136CA706">
      <w:pPr>
        <w:pStyle w:val="20"/>
        <w:tabs>
          <w:tab w:val="right" w:leader="dot" w:pos="8844"/>
        </w:tabs>
        <w:ind w:left="840"/>
        <w:rPr>
          <w:color w:val="auto"/>
        </w:rPr>
      </w:pPr>
      <w:r>
        <w:rPr>
          <w:color w:val="auto"/>
        </w:rPr>
        <w:fldChar w:fldCharType="begin"/>
      </w:r>
      <w:r>
        <w:rPr>
          <w:color w:val="auto"/>
        </w:rPr>
        <w:instrText xml:space="preserve"> HYPERLINK \l "_Toc25128" </w:instrText>
      </w:r>
      <w:r>
        <w:rPr>
          <w:color w:val="auto"/>
        </w:rPr>
        <w:fldChar w:fldCharType="separate"/>
      </w:r>
      <w:r>
        <w:rPr>
          <w:rFonts w:hint="eastAsia"/>
          <w:color w:val="auto"/>
          <w:szCs w:val="21"/>
        </w:rPr>
        <w:t>附表1 符合性审查表</w:t>
      </w:r>
      <w:r>
        <w:rPr>
          <w:color w:val="auto"/>
        </w:rPr>
        <w:tab/>
      </w:r>
      <w:r>
        <w:rPr>
          <w:color w:val="auto"/>
        </w:rPr>
        <w:fldChar w:fldCharType="begin"/>
      </w:r>
      <w:r>
        <w:rPr>
          <w:color w:val="auto"/>
        </w:rPr>
        <w:instrText xml:space="preserve"> PAGEREF _Toc25128 \h </w:instrText>
      </w:r>
      <w:r>
        <w:rPr>
          <w:color w:val="auto"/>
        </w:rPr>
        <w:fldChar w:fldCharType="separate"/>
      </w:r>
      <w:r>
        <w:rPr>
          <w:color w:val="auto"/>
        </w:rPr>
        <w:t>30</w:t>
      </w:r>
      <w:r>
        <w:rPr>
          <w:color w:val="auto"/>
        </w:rPr>
        <w:fldChar w:fldCharType="end"/>
      </w:r>
      <w:r>
        <w:rPr>
          <w:color w:val="auto"/>
        </w:rPr>
        <w:fldChar w:fldCharType="end"/>
      </w:r>
    </w:p>
    <w:p w14:paraId="4A505943">
      <w:pPr>
        <w:pStyle w:val="20"/>
        <w:tabs>
          <w:tab w:val="right" w:leader="dot" w:pos="8844"/>
        </w:tabs>
        <w:ind w:left="840"/>
        <w:rPr>
          <w:color w:val="auto"/>
        </w:rPr>
      </w:pPr>
      <w:r>
        <w:rPr>
          <w:color w:val="auto"/>
        </w:rPr>
        <w:fldChar w:fldCharType="begin"/>
      </w:r>
      <w:r>
        <w:rPr>
          <w:color w:val="auto"/>
        </w:rPr>
        <w:instrText xml:space="preserve"> HYPERLINK \l "_Toc23532" </w:instrText>
      </w:r>
      <w:r>
        <w:rPr>
          <w:color w:val="auto"/>
        </w:rPr>
        <w:fldChar w:fldCharType="separate"/>
      </w:r>
      <w:r>
        <w:rPr>
          <w:rFonts w:hint="eastAsia"/>
          <w:color w:val="auto"/>
          <w:szCs w:val="21"/>
        </w:rPr>
        <w:t>附表2 符合性审查结果一览表</w:t>
      </w:r>
      <w:r>
        <w:rPr>
          <w:color w:val="auto"/>
        </w:rPr>
        <w:tab/>
      </w:r>
      <w:r>
        <w:rPr>
          <w:color w:val="auto"/>
        </w:rPr>
        <w:fldChar w:fldCharType="begin"/>
      </w:r>
      <w:r>
        <w:rPr>
          <w:color w:val="auto"/>
        </w:rPr>
        <w:instrText xml:space="preserve"> PAGEREF _Toc23532 \h </w:instrText>
      </w:r>
      <w:r>
        <w:rPr>
          <w:color w:val="auto"/>
        </w:rPr>
        <w:fldChar w:fldCharType="separate"/>
      </w:r>
      <w:r>
        <w:rPr>
          <w:color w:val="auto"/>
        </w:rPr>
        <w:t>31</w:t>
      </w:r>
      <w:r>
        <w:rPr>
          <w:color w:val="auto"/>
        </w:rPr>
        <w:fldChar w:fldCharType="end"/>
      </w:r>
      <w:r>
        <w:rPr>
          <w:color w:val="auto"/>
        </w:rPr>
        <w:fldChar w:fldCharType="end"/>
      </w:r>
    </w:p>
    <w:p w14:paraId="077D2F24">
      <w:pPr>
        <w:pStyle w:val="20"/>
        <w:tabs>
          <w:tab w:val="right" w:leader="dot" w:pos="8844"/>
        </w:tabs>
        <w:ind w:left="840"/>
        <w:rPr>
          <w:color w:val="auto"/>
        </w:rPr>
      </w:pPr>
      <w:r>
        <w:rPr>
          <w:color w:val="auto"/>
        </w:rPr>
        <w:fldChar w:fldCharType="begin"/>
      </w:r>
      <w:r>
        <w:rPr>
          <w:color w:val="auto"/>
        </w:rPr>
        <w:instrText xml:space="preserve"> HYPERLINK \l "_Toc10391" </w:instrText>
      </w:r>
      <w:r>
        <w:rPr>
          <w:color w:val="auto"/>
        </w:rPr>
        <w:fldChar w:fldCharType="separate"/>
      </w:r>
      <w:r>
        <w:rPr>
          <w:rFonts w:hint="eastAsia"/>
          <w:color w:val="auto"/>
          <w:szCs w:val="21"/>
        </w:rPr>
        <w:t>附表</w:t>
      </w:r>
      <w:r>
        <w:rPr>
          <w:color w:val="auto"/>
          <w:szCs w:val="21"/>
        </w:rPr>
        <w:t>3</w:t>
      </w:r>
      <w:r>
        <w:rPr>
          <w:rFonts w:hint="eastAsia"/>
          <w:color w:val="auto"/>
          <w:szCs w:val="21"/>
        </w:rPr>
        <w:t xml:space="preserve"> 符合性审查合格投标人名单</w:t>
      </w:r>
      <w:r>
        <w:rPr>
          <w:color w:val="auto"/>
        </w:rPr>
        <w:tab/>
      </w:r>
      <w:r>
        <w:rPr>
          <w:color w:val="auto"/>
        </w:rPr>
        <w:fldChar w:fldCharType="begin"/>
      </w:r>
      <w:r>
        <w:rPr>
          <w:color w:val="auto"/>
        </w:rPr>
        <w:instrText xml:space="preserve"> PAGEREF _Toc10391 \h </w:instrText>
      </w:r>
      <w:r>
        <w:rPr>
          <w:color w:val="auto"/>
        </w:rPr>
        <w:fldChar w:fldCharType="separate"/>
      </w:r>
      <w:r>
        <w:rPr>
          <w:color w:val="auto"/>
        </w:rPr>
        <w:t>32</w:t>
      </w:r>
      <w:r>
        <w:rPr>
          <w:color w:val="auto"/>
        </w:rPr>
        <w:fldChar w:fldCharType="end"/>
      </w:r>
      <w:r>
        <w:rPr>
          <w:color w:val="auto"/>
        </w:rPr>
        <w:fldChar w:fldCharType="end"/>
      </w:r>
    </w:p>
    <w:p w14:paraId="68863CB6">
      <w:pPr>
        <w:pStyle w:val="32"/>
        <w:tabs>
          <w:tab w:val="right" w:leader="dot" w:pos="8844"/>
        </w:tabs>
        <w:ind w:left="420"/>
        <w:rPr>
          <w:color w:val="auto"/>
        </w:rPr>
      </w:pPr>
      <w:r>
        <w:rPr>
          <w:color w:val="auto"/>
        </w:rPr>
        <w:fldChar w:fldCharType="begin"/>
      </w:r>
      <w:r>
        <w:rPr>
          <w:color w:val="auto"/>
        </w:rPr>
        <w:instrText xml:space="preserve"> HYPERLINK \l "_Toc27871" </w:instrText>
      </w:r>
      <w:r>
        <w:rPr>
          <w:color w:val="auto"/>
        </w:rPr>
        <w:fldChar w:fldCharType="separate"/>
      </w:r>
      <w:r>
        <w:rPr>
          <w:rFonts w:hint="eastAsia" w:ascii="黑体" w:hAnsi="华文中宋" w:eastAsia="黑体"/>
          <w:color w:val="auto"/>
          <w:szCs w:val="28"/>
        </w:rPr>
        <w:t>第四节 投标文件的比较与评价（综合评分法）</w:t>
      </w:r>
      <w:r>
        <w:rPr>
          <w:color w:val="auto"/>
        </w:rPr>
        <w:tab/>
      </w:r>
      <w:r>
        <w:rPr>
          <w:color w:val="auto"/>
        </w:rPr>
        <w:fldChar w:fldCharType="begin"/>
      </w:r>
      <w:r>
        <w:rPr>
          <w:color w:val="auto"/>
        </w:rPr>
        <w:instrText xml:space="preserve"> PAGEREF _Toc27871 \h </w:instrText>
      </w:r>
      <w:r>
        <w:rPr>
          <w:color w:val="auto"/>
        </w:rPr>
        <w:fldChar w:fldCharType="separate"/>
      </w:r>
      <w:r>
        <w:rPr>
          <w:color w:val="auto"/>
        </w:rPr>
        <w:t>33</w:t>
      </w:r>
      <w:r>
        <w:rPr>
          <w:color w:val="auto"/>
        </w:rPr>
        <w:fldChar w:fldCharType="end"/>
      </w:r>
      <w:r>
        <w:rPr>
          <w:color w:val="auto"/>
        </w:rPr>
        <w:fldChar w:fldCharType="end"/>
      </w:r>
    </w:p>
    <w:p w14:paraId="00D3FAA5">
      <w:pPr>
        <w:pStyle w:val="20"/>
        <w:tabs>
          <w:tab w:val="right" w:leader="dot" w:pos="8844"/>
        </w:tabs>
        <w:ind w:left="840"/>
        <w:rPr>
          <w:color w:val="auto"/>
        </w:rPr>
      </w:pPr>
      <w:r>
        <w:rPr>
          <w:color w:val="auto"/>
        </w:rPr>
        <w:fldChar w:fldCharType="begin"/>
      </w:r>
      <w:r>
        <w:rPr>
          <w:color w:val="auto"/>
        </w:rPr>
        <w:instrText xml:space="preserve"> HYPERLINK \l "_Toc22689" </w:instrText>
      </w:r>
      <w:r>
        <w:rPr>
          <w:color w:val="auto"/>
        </w:rPr>
        <w:fldChar w:fldCharType="separate"/>
      </w:r>
      <w:r>
        <w:rPr>
          <w:rFonts w:hint="eastAsia" w:ascii="黑体" w:hAnsi="黑体" w:eastAsia="黑体"/>
          <w:color w:val="auto"/>
        </w:rPr>
        <w:t>1. 综合评分法评标因素</w:t>
      </w:r>
      <w:r>
        <w:rPr>
          <w:color w:val="auto"/>
        </w:rPr>
        <w:tab/>
      </w:r>
      <w:r>
        <w:rPr>
          <w:color w:val="auto"/>
        </w:rPr>
        <w:fldChar w:fldCharType="begin"/>
      </w:r>
      <w:r>
        <w:rPr>
          <w:color w:val="auto"/>
        </w:rPr>
        <w:instrText xml:space="preserve"> PAGEREF _Toc22689 \h </w:instrText>
      </w:r>
      <w:r>
        <w:rPr>
          <w:color w:val="auto"/>
        </w:rPr>
        <w:fldChar w:fldCharType="separate"/>
      </w:r>
      <w:r>
        <w:rPr>
          <w:color w:val="auto"/>
        </w:rPr>
        <w:t>33</w:t>
      </w:r>
      <w:r>
        <w:rPr>
          <w:color w:val="auto"/>
        </w:rPr>
        <w:fldChar w:fldCharType="end"/>
      </w:r>
      <w:r>
        <w:rPr>
          <w:color w:val="auto"/>
        </w:rPr>
        <w:fldChar w:fldCharType="end"/>
      </w:r>
    </w:p>
    <w:p w14:paraId="5F434E54">
      <w:pPr>
        <w:pStyle w:val="20"/>
        <w:tabs>
          <w:tab w:val="right" w:leader="dot" w:pos="8844"/>
        </w:tabs>
        <w:ind w:left="840"/>
        <w:rPr>
          <w:color w:val="auto"/>
        </w:rPr>
      </w:pPr>
      <w:r>
        <w:rPr>
          <w:color w:val="auto"/>
        </w:rPr>
        <w:fldChar w:fldCharType="begin"/>
      </w:r>
      <w:r>
        <w:rPr>
          <w:color w:val="auto"/>
        </w:rPr>
        <w:instrText xml:space="preserve"> HYPERLINK \l "_Toc1339" </w:instrText>
      </w:r>
      <w:r>
        <w:rPr>
          <w:color w:val="auto"/>
        </w:rPr>
        <w:fldChar w:fldCharType="separate"/>
      </w:r>
      <w:r>
        <w:rPr>
          <w:rFonts w:hint="eastAsia" w:ascii="黑体" w:hAnsi="黑体" w:eastAsia="黑体"/>
          <w:color w:val="auto"/>
        </w:rPr>
        <w:t>2. 投标报价的算术修正及政府采购政策调整</w:t>
      </w:r>
      <w:r>
        <w:rPr>
          <w:color w:val="auto"/>
        </w:rPr>
        <w:tab/>
      </w:r>
      <w:r>
        <w:rPr>
          <w:color w:val="auto"/>
        </w:rPr>
        <w:fldChar w:fldCharType="begin"/>
      </w:r>
      <w:r>
        <w:rPr>
          <w:color w:val="auto"/>
        </w:rPr>
        <w:instrText xml:space="preserve"> PAGEREF _Toc1339 \h </w:instrText>
      </w:r>
      <w:r>
        <w:rPr>
          <w:color w:val="auto"/>
        </w:rPr>
        <w:fldChar w:fldCharType="separate"/>
      </w:r>
      <w:r>
        <w:rPr>
          <w:color w:val="auto"/>
        </w:rPr>
        <w:t>33</w:t>
      </w:r>
      <w:r>
        <w:rPr>
          <w:color w:val="auto"/>
        </w:rPr>
        <w:fldChar w:fldCharType="end"/>
      </w:r>
      <w:r>
        <w:rPr>
          <w:color w:val="auto"/>
        </w:rPr>
        <w:fldChar w:fldCharType="end"/>
      </w:r>
    </w:p>
    <w:p w14:paraId="3420C3CF">
      <w:pPr>
        <w:pStyle w:val="20"/>
        <w:tabs>
          <w:tab w:val="right" w:leader="dot" w:pos="8844"/>
        </w:tabs>
        <w:ind w:left="840"/>
        <w:rPr>
          <w:color w:val="auto"/>
        </w:rPr>
      </w:pPr>
      <w:r>
        <w:rPr>
          <w:color w:val="auto"/>
        </w:rPr>
        <w:fldChar w:fldCharType="begin"/>
      </w:r>
      <w:r>
        <w:rPr>
          <w:color w:val="auto"/>
        </w:rPr>
        <w:instrText xml:space="preserve"> HYPERLINK \l "_Toc8894" </w:instrText>
      </w:r>
      <w:r>
        <w:rPr>
          <w:color w:val="auto"/>
        </w:rPr>
        <w:fldChar w:fldCharType="separate"/>
      </w:r>
      <w:r>
        <w:rPr>
          <w:rFonts w:hint="eastAsia" w:ascii="黑体" w:hAnsi="黑体" w:eastAsia="黑体"/>
          <w:color w:val="auto"/>
        </w:rPr>
        <w:t>3. 投标报价评价</w:t>
      </w:r>
      <w:r>
        <w:rPr>
          <w:color w:val="auto"/>
        </w:rPr>
        <w:tab/>
      </w:r>
      <w:r>
        <w:rPr>
          <w:color w:val="auto"/>
        </w:rPr>
        <w:fldChar w:fldCharType="begin"/>
      </w:r>
      <w:r>
        <w:rPr>
          <w:color w:val="auto"/>
        </w:rPr>
        <w:instrText xml:space="preserve"> PAGEREF _Toc8894 \h </w:instrText>
      </w:r>
      <w:r>
        <w:rPr>
          <w:color w:val="auto"/>
        </w:rPr>
        <w:fldChar w:fldCharType="separate"/>
      </w:r>
      <w:r>
        <w:rPr>
          <w:color w:val="auto"/>
        </w:rPr>
        <w:t>33</w:t>
      </w:r>
      <w:r>
        <w:rPr>
          <w:color w:val="auto"/>
        </w:rPr>
        <w:fldChar w:fldCharType="end"/>
      </w:r>
      <w:r>
        <w:rPr>
          <w:color w:val="auto"/>
        </w:rPr>
        <w:fldChar w:fldCharType="end"/>
      </w:r>
    </w:p>
    <w:p w14:paraId="6804B297">
      <w:pPr>
        <w:pStyle w:val="20"/>
        <w:tabs>
          <w:tab w:val="right" w:leader="dot" w:pos="8844"/>
        </w:tabs>
        <w:ind w:left="840"/>
        <w:rPr>
          <w:color w:val="auto"/>
        </w:rPr>
      </w:pPr>
      <w:r>
        <w:rPr>
          <w:color w:val="auto"/>
        </w:rPr>
        <w:fldChar w:fldCharType="begin"/>
      </w:r>
      <w:r>
        <w:rPr>
          <w:color w:val="auto"/>
        </w:rPr>
        <w:instrText xml:space="preserve"> HYPERLINK \l "_Toc18292" </w:instrText>
      </w:r>
      <w:r>
        <w:rPr>
          <w:color w:val="auto"/>
        </w:rPr>
        <w:fldChar w:fldCharType="separate"/>
      </w:r>
      <w:r>
        <w:rPr>
          <w:rFonts w:hint="eastAsia" w:ascii="黑体" w:hAnsi="黑体" w:eastAsia="黑体"/>
          <w:color w:val="auto"/>
        </w:rPr>
        <w:t>4.技术、商务等评分项响应评价及政府采购政策加分</w:t>
      </w:r>
      <w:r>
        <w:rPr>
          <w:color w:val="auto"/>
        </w:rPr>
        <w:tab/>
      </w:r>
      <w:r>
        <w:rPr>
          <w:color w:val="auto"/>
        </w:rPr>
        <w:fldChar w:fldCharType="begin"/>
      </w:r>
      <w:r>
        <w:rPr>
          <w:color w:val="auto"/>
        </w:rPr>
        <w:instrText xml:space="preserve"> PAGEREF _Toc18292 \h </w:instrText>
      </w:r>
      <w:r>
        <w:rPr>
          <w:color w:val="auto"/>
        </w:rPr>
        <w:fldChar w:fldCharType="separate"/>
      </w:r>
      <w:r>
        <w:rPr>
          <w:color w:val="auto"/>
        </w:rPr>
        <w:t>33</w:t>
      </w:r>
      <w:r>
        <w:rPr>
          <w:color w:val="auto"/>
        </w:rPr>
        <w:fldChar w:fldCharType="end"/>
      </w:r>
      <w:r>
        <w:rPr>
          <w:color w:val="auto"/>
        </w:rPr>
        <w:fldChar w:fldCharType="end"/>
      </w:r>
    </w:p>
    <w:p w14:paraId="17443542">
      <w:pPr>
        <w:pStyle w:val="20"/>
        <w:tabs>
          <w:tab w:val="right" w:leader="dot" w:pos="8844"/>
        </w:tabs>
        <w:ind w:left="840"/>
        <w:rPr>
          <w:color w:val="auto"/>
        </w:rPr>
      </w:pPr>
      <w:r>
        <w:rPr>
          <w:color w:val="auto"/>
        </w:rPr>
        <w:fldChar w:fldCharType="begin"/>
      </w:r>
      <w:r>
        <w:rPr>
          <w:color w:val="auto"/>
        </w:rPr>
        <w:instrText xml:space="preserve"> HYPERLINK \l "_Toc27650" </w:instrText>
      </w:r>
      <w:r>
        <w:rPr>
          <w:color w:val="auto"/>
        </w:rPr>
        <w:fldChar w:fldCharType="separate"/>
      </w:r>
      <w:r>
        <w:rPr>
          <w:rFonts w:hint="eastAsia" w:ascii="黑体" w:hAnsi="黑体" w:eastAsia="黑体"/>
          <w:color w:val="auto"/>
        </w:rPr>
        <w:t>5.评标总得分</w:t>
      </w:r>
      <w:r>
        <w:rPr>
          <w:color w:val="auto"/>
        </w:rPr>
        <w:tab/>
      </w:r>
      <w:r>
        <w:rPr>
          <w:color w:val="auto"/>
        </w:rPr>
        <w:fldChar w:fldCharType="begin"/>
      </w:r>
      <w:r>
        <w:rPr>
          <w:color w:val="auto"/>
        </w:rPr>
        <w:instrText xml:space="preserve"> PAGEREF _Toc27650 \h </w:instrText>
      </w:r>
      <w:r>
        <w:rPr>
          <w:color w:val="auto"/>
        </w:rPr>
        <w:fldChar w:fldCharType="separate"/>
      </w:r>
      <w:r>
        <w:rPr>
          <w:color w:val="auto"/>
        </w:rPr>
        <w:t>33</w:t>
      </w:r>
      <w:r>
        <w:rPr>
          <w:color w:val="auto"/>
        </w:rPr>
        <w:fldChar w:fldCharType="end"/>
      </w:r>
      <w:r>
        <w:rPr>
          <w:color w:val="auto"/>
        </w:rPr>
        <w:fldChar w:fldCharType="end"/>
      </w:r>
    </w:p>
    <w:p w14:paraId="2EBBD5C2">
      <w:pPr>
        <w:pStyle w:val="20"/>
        <w:tabs>
          <w:tab w:val="right" w:leader="dot" w:pos="8844"/>
        </w:tabs>
        <w:ind w:left="840"/>
        <w:rPr>
          <w:color w:val="auto"/>
        </w:rPr>
      </w:pPr>
      <w:r>
        <w:rPr>
          <w:color w:val="auto"/>
        </w:rPr>
        <w:fldChar w:fldCharType="begin"/>
      </w:r>
      <w:r>
        <w:rPr>
          <w:color w:val="auto"/>
        </w:rPr>
        <w:instrText xml:space="preserve"> HYPERLINK \l "_Toc26359" </w:instrText>
      </w:r>
      <w:r>
        <w:rPr>
          <w:color w:val="auto"/>
        </w:rPr>
        <w:fldChar w:fldCharType="separate"/>
      </w:r>
      <w:r>
        <w:rPr>
          <w:rFonts w:hint="eastAsia" w:ascii="黑体" w:hAnsi="黑体" w:eastAsia="黑体"/>
          <w:color w:val="auto"/>
        </w:rPr>
        <w:t>6.中标候选人的推荐方法</w:t>
      </w:r>
      <w:r>
        <w:rPr>
          <w:color w:val="auto"/>
        </w:rPr>
        <w:tab/>
      </w:r>
      <w:r>
        <w:rPr>
          <w:color w:val="auto"/>
        </w:rPr>
        <w:fldChar w:fldCharType="begin"/>
      </w:r>
      <w:r>
        <w:rPr>
          <w:color w:val="auto"/>
        </w:rPr>
        <w:instrText xml:space="preserve"> PAGEREF _Toc26359 \h </w:instrText>
      </w:r>
      <w:r>
        <w:rPr>
          <w:color w:val="auto"/>
        </w:rPr>
        <w:fldChar w:fldCharType="separate"/>
      </w:r>
      <w:r>
        <w:rPr>
          <w:color w:val="auto"/>
        </w:rPr>
        <w:t>33</w:t>
      </w:r>
      <w:r>
        <w:rPr>
          <w:color w:val="auto"/>
        </w:rPr>
        <w:fldChar w:fldCharType="end"/>
      </w:r>
      <w:r>
        <w:rPr>
          <w:color w:val="auto"/>
        </w:rPr>
        <w:fldChar w:fldCharType="end"/>
      </w:r>
    </w:p>
    <w:p w14:paraId="77043077">
      <w:pPr>
        <w:pStyle w:val="29"/>
        <w:tabs>
          <w:tab w:val="right" w:leader="dot" w:pos="8844"/>
        </w:tabs>
        <w:ind w:left="1260"/>
        <w:rPr>
          <w:color w:val="auto"/>
        </w:rPr>
      </w:pPr>
      <w:r>
        <w:rPr>
          <w:color w:val="auto"/>
        </w:rPr>
        <w:fldChar w:fldCharType="begin"/>
      </w:r>
      <w:r>
        <w:rPr>
          <w:color w:val="auto"/>
        </w:rPr>
        <w:instrText xml:space="preserve"> HYPERLINK \l "_Toc6699" </w:instrText>
      </w:r>
      <w:r>
        <w:rPr>
          <w:color w:val="auto"/>
        </w:rPr>
        <w:fldChar w:fldCharType="separate"/>
      </w:r>
      <w:r>
        <w:rPr>
          <w:rFonts w:hint="eastAsia" w:ascii="黑体" w:hAnsi="黑体"/>
          <w:color w:val="auto"/>
          <w:szCs w:val="21"/>
        </w:rPr>
        <w:t>附页1 评标方法及标准表</w:t>
      </w:r>
      <w:r>
        <w:rPr>
          <w:color w:val="auto"/>
        </w:rPr>
        <w:tab/>
      </w:r>
      <w:r>
        <w:rPr>
          <w:color w:val="auto"/>
        </w:rPr>
        <w:fldChar w:fldCharType="begin"/>
      </w:r>
      <w:r>
        <w:rPr>
          <w:color w:val="auto"/>
        </w:rPr>
        <w:instrText xml:space="preserve"> PAGEREF _Toc6699 \h </w:instrText>
      </w:r>
      <w:r>
        <w:rPr>
          <w:color w:val="auto"/>
        </w:rPr>
        <w:fldChar w:fldCharType="separate"/>
      </w:r>
      <w:r>
        <w:rPr>
          <w:color w:val="auto"/>
        </w:rPr>
        <w:t>34</w:t>
      </w:r>
      <w:r>
        <w:rPr>
          <w:color w:val="auto"/>
        </w:rPr>
        <w:fldChar w:fldCharType="end"/>
      </w:r>
      <w:r>
        <w:rPr>
          <w:color w:val="auto"/>
        </w:rPr>
        <w:fldChar w:fldCharType="end"/>
      </w:r>
    </w:p>
    <w:p w14:paraId="76C43FE3">
      <w:pPr>
        <w:pStyle w:val="28"/>
        <w:tabs>
          <w:tab w:val="right" w:leader="dot" w:pos="8844"/>
        </w:tabs>
        <w:rPr>
          <w:color w:val="auto"/>
        </w:rPr>
      </w:pPr>
      <w:r>
        <w:rPr>
          <w:color w:val="auto"/>
        </w:rPr>
        <w:fldChar w:fldCharType="begin"/>
      </w:r>
      <w:r>
        <w:rPr>
          <w:color w:val="auto"/>
        </w:rPr>
        <w:instrText xml:space="preserve"> HYPERLINK \l "_Toc14981" </w:instrText>
      </w:r>
      <w:r>
        <w:rPr>
          <w:color w:val="auto"/>
        </w:rPr>
        <w:fldChar w:fldCharType="separate"/>
      </w:r>
      <w:r>
        <w:rPr>
          <w:rFonts w:hint="eastAsia" w:ascii="黑体" w:hAnsi="华文中宋" w:eastAsia="黑体"/>
          <w:color w:val="auto"/>
          <w:szCs w:val="32"/>
        </w:rPr>
        <w:t>第五章 采购需求</w:t>
      </w:r>
      <w:r>
        <w:rPr>
          <w:color w:val="auto"/>
        </w:rPr>
        <w:tab/>
      </w:r>
      <w:r>
        <w:rPr>
          <w:color w:val="auto"/>
        </w:rPr>
        <w:fldChar w:fldCharType="begin"/>
      </w:r>
      <w:r>
        <w:rPr>
          <w:color w:val="auto"/>
        </w:rPr>
        <w:instrText xml:space="preserve"> PAGEREF _Toc14981 \h </w:instrText>
      </w:r>
      <w:r>
        <w:rPr>
          <w:color w:val="auto"/>
        </w:rPr>
        <w:fldChar w:fldCharType="separate"/>
      </w:r>
      <w:r>
        <w:rPr>
          <w:color w:val="auto"/>
        </w:rPr>
        <w:t>36</w:t>
      </w:r>
      <w:r>
        <w:rPr>
          <w:color w:val="auto"/>
        </w:rPr>
        <w:fldChar w:fldCharType="end"/>
      </w:r>
      <w:r>
        <w:rPr>
          <w:color w:val="auto"/>
        </w:rPr>
        <w:fldChar w:fldCharType="end"/>
      </w:r>
    </w:p>
    <w:p w14:paraId="61D3CEA4">
      <w:pPr>
        <w:pStyle w:val="32"/>
        <w:tabs>
          <w:tab w:val="right" w:leader="dot" w:pos="8844"/>
        </w:tabs>
        <w:ind w:left="420"/>
        <w:rPr>
          <w:color w:val="auto"/>
        </w:rPr>
      </w:pPr>
      <w:r>
        <w:rPr>
          <w:color w:val="auto"/>
        </w:rPr>
        <w:fldChar w:fldCharType="begin"/>
      </w:r>
      <w:r>
        <w:rPr>
          <w:color w:val="auto"/>
        </w:rPr>
        <w:instrText xml:space="preserve"> HYPERLINK \l "_Toc30984" </w:instrText>
      </w:r>
      <w:r>
        <w:rPr>
          <w:color w:val="auto"/>
        </w:rPr>
        <w:fldChar w:fldCharType="separate"/>
      </w:r>
      <w:r>
        <w:rPr>
          <w:rFonts w:hint="eastAsia" w:ascii="黑体" w:hAnsi="黑体" w:eastAsia="黑体"/>
          <w:color w:val="auto"/>
          <w:szCs w:val="28"/>
        </w:rPr>
        <w:t>第一节 采购清单一览表</w:t>
      </w:r>
      <w:r>
        <w:rPr>
          <w:color w:val="auto"/>
        </w:rPr>
        <w:tab/>
      </w:r>
      <w:r>
        <w:rPr>
          <w:color w:val="auto"/>
        </w:rPr>
        <w:fldChar w:fldCharType="begin"/>
      </w:r>
      <w:r>
        <w:rPr>
          <w:color w:val="auto"/>
        </w:rPr>
        <w:instrText xml:space="preserve"> PAGEREF _Toc30984 \h </w:instrText>
      </w:r>
      <w:r>
        <w:rPr>
          <w:color w:val="auto"/>
        </w:rPr>
        <w:fldChar w:fldCharType="separate"/>
      </w:r>
      <w:r>
        <w:rPr>
          <w:color w:val="auto"/>
        </w:rPr>
        <w:t>36</w:t>
      </w:r>
      <w:r>
        <w:rPr>
          <w:color w:val="auto"/>
        </w:rPr>
        <w:fldChar w:fldCharType="end"/>
      </w:r>
      <w:r>
        <w:rPr>
          <w:color w:val="auto"/>
        </w:rPr>
        <w:fldChar w:fldCharType="end"/>
      </w:r>
    </w:p>
    <w:p w14:paraId="15AB4811">
      <w:pPr>
        <w:pStyle w:val="32"/>
        <w:tabs>
          <w:tab w:val="right" w:leader="dot" w:pos="8844"/>
        </w:tabs>
        <w:ind w:left="420"/>
        <w:rPr>
          <w:color w:val="auto"/>
        </w:rPr>
      </w:pPr>
      <w:r>
        <w:rPr>
          <w:color w:val="auto"/>
        </w:rPr>
        <w:fldChar w:fldCharType="begin"/>
      </w:r>
      <w:r>
        <w:rPr>
          <w:color w:val="auto"/>
        </w:rPr>
        <w:instrText xml:space="preserve"> HYPERLINK \l "_Toc13946" </w:instrText>
      </w:r>
      <w:r>
        <w:rPr>
          <w:color w:val="auto"/>
        </w:rPr>
        <w:fldChar w:fldCharType="separate"/>
      </w:r>
      <w:r>
        <w:rPr>
          <w:rFonts w:hint="eastAsia" w:ascii="黑体" w:hAnsi="黑体" w:eastAsia="黑体"/>
          <w:color w:val="auto"/>
          <w:szCs w:val="28"/>
        </w:rPr>
        <w:t xml:space="preserve">第二节 </w:t>
      </w:r>
      <w:r>
        <w:rPr>
          <w:rFonts w:ascii="黑体" w:hAnsi="黑体" w:eastAsia="黑体"/>
          <w:color w:val="auto"/>
          <w:szCs w:val="28"/>
        </w:rPr>
        <w:t>技术要求</w:t>
      </w:r>
      <w:r>
        <w:rPr>
          <w:color w:val="auto"/>
        </w:rPr>
        <w:tab/>
      </w:r>
      <w:r>
        <w:rPr>
          <w:color w:val="auto"/>
        </w:rPr>
        <w:fldChar w:fldCharType="begin"/>
      </w:r>
      <w:r>
        <w:rPr>
          <w:color w:val="auto"/>
        </w:rPr>
        <w:instrText xml:space="preserve"> PAGEREF _Toc13946 \h </w:instrText>
      </w:r>
      <w:r>
        <w:rPr>
          <w:color w:val="auto"/>
        </w:rPr>
        <w:fldChar w:fldCharType="separate"/>
      </w:r>
      <w:r>
        <w:rPr>
          <w:color w:val="auto"/>
        </w:rPr>
        <w:t>37</w:t>
      </w:r>
      <w:r>
        <w:rPr>
          <w:color w:val="auto"/>
        </w:rPr>
        <w:fldChar w:fldCharType="end"/>
      </w:r>
      <w:r>
        <w:rPr>
          <w:color w:val="auto"/>
        </w:rPr>
        <w:fldChar w:fldCharType="end"/>
      </w:r>
    </w:p>
    <w:p w14:paraId="66F86986">
      <w:pPr>
        <w:pStyle w:val="28"/>
        <w:tabs>
          <w:tab w:val="right" w:leader="dot" w:pos="8844"/>
        </w:tabs>
        <w:rPr>
          <w:color w:val="auto"/>
        </w:rPr>
      </w:pPr>
      <w:r>
        <w:rPr>
          <w:color w:val="auto"/>
        </w:rPr>
        <w:fldChar w:fldCharType="begin"/>
      </w:r>
      <w:r>
        <w:rPr>
          <w:color w:val="auto"/>
        </w:rPr>
        <w:instrText xml:space="preserve"> HYPERLINK \l "_Toc19496" </w:instrText>
      </w:r>
      <w:r>
        <w:rPr>
          <w:color w:val="auto"/>
        </w:rPr>
        <w:fldChar w:fldCharType="separate"/>
      </w:r>
      <w:r>
        <w:rPr>
          <w:rFonts w:hint="eastAsia" w:ascii="黑体" w:hAnsi="华文中宋" w:eastAsia="黑体"/>
          <w:color w:val="auto"/>
          <w:szCs w:val="32"/>
        </w:rPr>
        <w:t>第六章 政府采购合同</w:t>
      </w:r>
      <w:r>
        <w:rPr>
          <w:color w:val="auto"/>
        </w:rPr>
        <w:tab/>
      </w:r>
      <w:r>
        <w:rPr>
          <w:color w:val="auto"/>
        </w:rPr>
        <w:fldChar w:fldCharType="begin"/>
      </w:r>
      <w:r>
        <w:rPr>
          <w:color w:val="auto"/>
        </w:rPr>
        <w:instrText xml:space="preserve"> PAGEREF _Toc19496 \h </w:instrText>
      </w:r>
      <w:r>
        <w:rPr>
          <w:color w:val="auto"/>
        </w:rPr>
        <w:fldChar w:fldCharType="separate"/>
      </w:r>
      <w:r>
        <w:rPr>
          <w:color w:val="auto"/>
        </w:rPr>
        <w:t>45</w:t>
      </w:r>
      <w:r>
        <w:rPr>
          <w:color w:val="auto"/>
        </w:rPr>
        <w:fldChar w:fldCharType="end"/>
      </w:r>
      <w:r>
        <w:rPr>
          <w:color w:val="auto"/>
        </w:rPr>
        <w:fldChar w:fldCharType="end"/>
      </w:r>
    </w:p>
    <w:p w14:paraId="62F5201B">
      <w:pPr>
        <w:pStyle w:val="32"/>
        <w:tabs>
          <w:tab w:val="right" w:leader="dot" w:pos="8844"/>
        </w:tabs>
        <w:ind w:left="420"/>
        <w:rPr>
          <w:color w:val="auto"/>
        </w:rPr>
      </w:pPr>
      <w:r>
        <w:rPr>
          <w:color w:val="auto"/>
        </w:rPr>
        <w:fldChar w:fldCharType="begin"/>
      </w:r>
      <w:r>
        <w:rPr>
          <w:color w:val="auto"/>
        </w:rPr>
        <w:instrText xml:space="preserve"> HYPERLINK \l "_Toc13890" </w:instrText>
      </w:r>
      <w:r>
        <w:rPr>
          <w:color w:val="auto"/>
        </w:rPr>
        <w:fldChar w:fldCharType="separate"/>
      </w:r>
      <w:r>
        <w:rPr>
          <w:rFonts w:hint="eastAsia" w:ascii="黑体" w:hAnsi="华文中宋" w:eastAsia="黑体"/>
          <w:color w:val="auto"/>
          <w:szCs w:val="28"/>
        </w:rPr>
        <w:t>第一节 政府采购合同协议书</w:t>
      </w:r>
      <w:r>
        <w:rPr>
          <w:color w:val="auto"/>
        </w:rPr>
        <w:tab/>
      </w:r>
      <w:r>
        <w:rPr>
          <w:color w:val="auto"/>
        </w:rPr>
        <w:fldChar w:fldCharType="begin"/>
      </w:r>
      <w:r>
        <w:rPr>
          <w:color w:val="auto"/>
        </w:rPr>
        <w:instrText xml:space="preserve"> PAGEREF _Toc13890 \h </w:instrText>
      </w:r>
      <w:r>
        <w:rPr>
          <w:color w:val="auto"/>
        </w:rPr>
        <w:fldChar w:fldCharType="separate"/>
      </w:r>
      <w:r>
        <w:rPr>
          <w:color w:val="auto"/>
        </w:rPr>
        <w:t>45</w:t>
      </w:r>
      <w:r>
        <w:rPr>
          <w:color w:val="auto"/>
        </w:rPr>
        <w:fldChar w:fldCharType="end"/>
      </w:r>
      <w:r>
        <w:rPr>
          <w:color w:val="auto"/>
        </w:rPr>
        <w:fldChar w:fldCharType="end"/>
      </w:r>
    </w:p>
    <w:p w14:paraId="70DD9142">
      <w:pPr>
        <w:pStyle w:val="32"/>
        <w:tabs>
          <w:tab w:val="right" w:leader="dot" w:pos="8844"/>
        </w:tabs>
        <w:ind w:left="420"/>
        <w:rPr>
          <w:color w:val="auto"/>
        </w:rPr>
      </w:pPr>
      <w:r>
        <w:rPr>
          <w:color w:val="auto"/>
        </w:rPr>
        <w:fldChar w:fldCharType="begin"/>
      </w:r>
      <w:r>
        <w:rPr>
          <w:color w:val="auto"/>
        </w:rPr>
        <w:instrText xml:space="preserve"> HYPERLINK \l "_Toc30452" </w:instrText>
      </w:r>
      <w:r>
        <w:rPr>
          <w:color w:val="auto"/>
        </w:rPr>
        <w:fldChar w:fldCharType="separate"/>
      </w:r>
      <w:r>
        <w:rPr>
          <w:rFonts w:hint="eastAsia"/>
          <w:color w:val="auto"/>
        </w:rPr>
        <w:t>第二节 政府采购合同通用条款</w:t>
      </w:r>
      <w:r>
        <w:rPr>
          <w:color w:val="auto"/>
        </w:rPr>
        <w:tab/>
      </w:r>
      <w:r>
        <w:rPr>
          <w:color w:val="auto"/>
        </w:rPr>
        <w:fldChar w:fldCharType="begin"/>
      </w:r>
      <w:r>
        <w:rPr>
          <w:color w:val="auto"/>
        </w:rPr>
        <w:instrText xml:space="preserve"> PAGEREF _Toc30452 \h </w:instrText>
      </w:r>
      <w:r>
        <w:rPr>
          <w:color w:val="auto"/>
        </w:rPr>
        <w:fldChar w:fldCharType="separate"/>
      </w:r>
      <w:r>
        <w:rPr>
          <w:color w:val="auto"/>
        </w:rPr>
        <w:t>53</w:t>
      </w:r>
      <w:r>
        <w:rPr>
          <w:color w:val="auto"/>
        </w:rPr>
        <w:fldChar w:fldCharType="end"/>
      </w:r>
      <w:r>
        <w:rPr>
          <w:color w:val="auto"/>
        </w:rPr>
        <w:fldChar w:fldCharType="end"/>
      </w:r>
    </w:p>
    <w:p w14:paraId="7F1A8EED">
      <w:pPr>
        <w:pStyle w:val="20"/>
        <w:tabs>
          <w:tab w:val="right" w:leader="dot" w:pos="8844"/>
        </w:tabs>
        <w:ind w:left="840"/>
        <w:rPr>
          <w:color w:val="auto"/>
        </w:rPr>
      </w:pPr>
      <w:r>
        <w:rPr>
          <w:color w:val="auto"/>
        </w:rPr>
        <w:fldChar w:fldCharType="begin"/>
      </w:r>
      <w:r>
        <w:rPr>
          <w:color w:val="auto"/>
        </w:rPr>
        <w:instrText xml:space="preserve"> HYPERLINK \l "_Toc30351" </w:instrText>
      </w:r>
      <w:r>
        <w:rPr>
          <w:color w:val="auto"/>
        </w:rPr>
        <w:fldChar w:fldCharType="separate"/>
      </w:r>
      <w:r>
        <w:rPr>
          <w:rFonts w:hint="eastAsia" w:eastAsia="宋体"/>
          <w:bCs/>
          <w:color w:val="auto"/>
          <w:szCs w:val="32"/>
        </w:rPr>
        <w:t>1.定义</w:t>
      </w:r>
      <w:r>
        <w:rPr>
          <w:color w:val="auto"/>
        </w:rPr>
        <w:tab/>
      </w:r>
      <w:r>
        <w:rPr>
          <w:color w:val="auto"/>
        </w:rPr>
        <w:fldChar w:fldCharType="begin"/>
      </w:r>
      <w:r>
        <w:rPr>
          <w:color w:val="auto"/>
        </w:rPr>
        <w:instrText xml:space="preserve"> PAGEREF _Toc30351 \h </w:instrText>
      </w:r>
      <w:r>
        <w:rPr>
          <w:color w:val="auto"/>
        </w:rPr>
        <w:fldChar w:fldCharType="separate"/>
      </w:r>
      <w:r>
        <w:rPr>
          <w:color w:val="auto"/>
        </w:rPr>
        <w:t>53</w:t>
      </w:r>
      <w:r>
        <w:rPr>
          <w:color w:val="auto"/>
        </w:rPr>
        <w:fldChar w:fldCharType="end"/>
      </w:r>
      <w:r>
        <w:rPr>
          <w:color w:val="auto"/>
        </w:rPr>
        <w:fldChar w:fldCharType="end"/>
      </w:r>
    </w:p>
    <w:p w14:paraId="38EA2757">
      <w:pPr>
        <w:pStyle w:val="20"/>
        <w:tabs>
          <w:tab w:val="right" w:leader="dot" w:pos="8844"/>
        </w:tabs>
        <w:ind w:left="840"/>
        <w:rPr>
          <w:color w:val="auto"/>
        </w:rPr>
      </w:pPr>
      <w:r>
        <w:rPr>
          <w:color w:val="auto"/>
        </w:rPr>
        <w:fldChar w:fldCharType="begin"/>
      </w:r>
      <w:r>
        <w:rPr>
          <w:color w:val="auto"/>
        </w:rPr>
        <w:instrText xml:space="preserve"> HYPERLINK \l "_Toc13982" </w:instrText>
      </w:r>
      <w:r>
        <w:rPr>
          <w:color w:val="auto"/>
        </w:rPr>
        <w:fldChar w:fldCharType="separate"/>
      </w:r>
      <w:r>
        <w:rPr>
          <w:rFonts w:hint="eastAsia" w:eastAsia="宋体"/>
          <w:bCs/>
          <w:color w:val="auto"/>
          <w:szCs w:val="32"/>
        </w:rPr>
        <w:t>2.合同的适用范围</w:t>
      </w:r>
      <w:r>
        <w:rPr>
          <w:color w:val="auto"/>
        </w:rPr>
        <w:tab/>
      </w:r>
      <w:r>
        <w:rPr>
          <w:color w:val="auto"/>
        </w:rPr>
        <w:fldChar w:fldCharType="begin"/>
      </w:r>
      <w:r>
        <w:rPr>
          <w:color w:val="auto"/>
        </w:rPr>
        <w:instrText xml:space="preserve"> PAGEREF _Toc13982 \h </w:instrText>
      </w:r>
      <w:r>
        <w:rPr>
          <w:color w:val="auto"/>
        </w:rPr>
        <w:fldChar w:fldCharType="separate"/>
      </w:r>
      <w:r>
        <w:rPr>
          <w:color w:val="auto"/>
        </w:rPr>
        <w:t>53</w:t>
      </w:r>
      <w:r>
        <w:rPr>
          <w:color w:val="auto"/>
        </w:rPr>
        <w:fldChar w:fldCharType="end"/>
      </w:r>
      <w:r>
        <w:rPr>
          <w:color w:val="auto"/>
        </w:rPr>
        <w:fldChar w:fldCharType="end"/>
      </w:r>
    </w:p>
    <w:p w14:paraId="09F3F738">
      <w:pPr>
        <w:pStyle w:val="20"/>
        <w:tabs>
          <w:tab w:val="right" w:leader="dot" w:pos="8844"/>
        </w:tabs>
        <w:ind w:left="840"/>
        <w:rPr>
          <w:color w:val="auto"/>
        </w:rPr>
      </w:pPr>
      <w:r>
        <w:rPr>
          <w:color w:val="auto"/>
        </w:rPr>
        <w:fldChar w:fldCharType="begin"/>
      </w:r>
      <w:r>
        <w:rPr>
          <w:color w:val="auto"/>
        </w:rPr>
        <w:instrText xml:space="preserve"> HYPERLINK \l "_Toc28162" </w:instrText>
      </w:r>
      <w:r>
        <w:rPr>
          <w:color w:val="auto"/>
        </w:rPr>
        <w:fldChar w:fldCharType="separate"/>
      </w:r>
      <w:r>
        <w:rPr>
          <w:rFonts w:hint="eastAsia" w:eastAsia="宋体"/>
          <w:bCs/>
          <w:color w:val="auto"/>
          <w:szCs w:val="32"/>
        </w:rPr>
        <w:t>3.合同标的及金额</w:t>
      </w:r>
      <w:r>
        <w:rPr>
          <w:color w:val="auto"/>
        </w:rPr>
        <w:tab/>
      </w:r>
      <w:r>
        <w:rPr>
          <w:color w:val="auto"/>
        </w:rPr>
        <w:fldChar w:fldCharType="begin"/>
      </w:r>
      <w:r>
        <w:rPr>
          <w:color w:val="auto"/>
        </w:rPr>
        <w:instrText xml:space="preserve"> PAGEREF _Toc28162 \h </w:instrText>
      </w:r>
      <w:r>
        <w:rPr>
          <w:color w:val="auto"/>
        </w:rPr>
        <w:fldChar w:fldCharType="separate"/>
      </w:r>
      <w:r>
        <w:rPr>
          <w:color w:val="auto"/>
        </w:rPr>
        <w:t>53</w:t>
      </w:r>
      <w:r>
        <w:rPr>
          <w:color w:val="auto"/>
        </w:rPr>
        <w:fldChar w:fldCharType="end"/>
      </w:r>
      <w:r>
        <w:rPr>
          <w:color w:val="auto"/>
        </w:rPr>
        <w:fldChar w:fldCharType="end"/>
      </w:r>
    </w:p>
    <w:p w14:paraId="6F5FE52D">
      <w:pPr>
        <w:pStyle w:val="20"/>
        <w:tabs>
          <w:tab w:val="right" w:leader="dot" w:pos="8844"/>
        </w:tabs>
        <w:ind w:left="840"/>
        <w:rPr>
          <w:color w:val="auto"/>
        </w:rPr>
      </w:pPr>
      <w:r>
        <w:rPr>
          <w:color w:val="auto"/>
        </w:rPr>
        <w:fldChar w:fldCharType="begin"/>
      </w:r>
      <w:r>
        <w:rPr>
          <w:color w:val="auto"/>
        </w:rPr>
        <w:instrText xml:space="preserve"> HYPERLINK \l "_Toc1166" </w:instrText>
      </w:r>
      <w:r>
        <w:rPr>
          <w:color w:val="auto"/>
        </w:rPr>
        <w:fldChar w:fldCharType="separate"/>
      </w:r>
      <w:r>
        <w:rPr>
          <w:rFonts w:hint="eastAsia" w:eastAsia="宋体"/>
          <w:bCs/>
          <w:color w:val="auto"/>
          <w:szCs w:val="32"/>
        </w:rPr>
        <w:t>4.合同价款</w:t>
      </w:r>
      <w:r>
        <w:rPr>
          <w:color w:val="auto"/>
        </w:rPr>
        <w:tab/>
      </w:r>
      <w:r>
        <w:rPr>
          <w:color w:val="auto"/>
        </w:rPr>
        <w:fldChar w:fldCharType="begin"/>
      </w:r>
      <w:r>
        <w:rPr>
          <w:color w:val="auto"/>
        </w:rPr>
        <w:instrText xml:space="preserve"> PAGEREF _Toc1166 \h </w:instrText>
      </w:r>
      <w:r>
        <w:rPr>
          <w:color w:val="auto"/>
        </w:rPr>
        <w:fldChar w:fldCharType="separate"/>
      </w:r>
      <w:r>
        <w:rPr>
          <w:color w:val="auto"/>
        </w:rPr>
        <w:t>54</w:t>
      </w:r>
      <w:r>
        <w:rPr>
          <w:color w:val="auto"/>
        </w:rPr>
        <w:fldChar w:fldCharType="end"/>
      </w:r>
      <w:r>
        <w:rPr>
          <w:color w:val="auto"/>
        </w:rPr>
        <w:fldChar w:fldCharType="end"/>
      </w:r>
    </w:p>
    <w:p w14:paraId="4CE7D447">
      <w:pPr>
        <w:pStyle w:val="20"/>
        <w:tabs>
          <w:tab w:val="right" w:leader="dot" w:pos="8844"/>
        </w:tabs>
        <w:ind w:left="840"/>
        <w:rPr>
          <w:color w:val="auto"/>
        </w:rPr>
      </w:pPr>
      <w:r>
        <w:rPr>
          <w:color w:val="auto"/>
        </w:rPr>
        <w:fldChar w:fldCharType="begin"/>
      </w:r>
      <w:r>
        <w:rPr>
          <w:color w:val="auto"/>
        </w:rPr>
        <w:instrText xml:space="preserve"> HYPERLINK \l "_Toc24686" </w:instrText>
      </w:r>
      <w:r>
        <w:rPr>
          <w:color w:val="auto"/>
        </w:rPr>
        <w:fldChar w:fldCharType="separate"/>
      </w:r>
      <w:r>
        <w:rPr>
          <w:rFonts w:hint="eastAsia" w:eastAsia="宋体"/>
          <w:bCs/>
          <w:color w:val="auto"/>
          <w:szCs w:val="32"/>
        </w:rPr>
        <w:t>5.履行合同的时间、地点和方式</w:t>
      </w:r>
      <w:r>
        <w:rPr>
          <w:color w:val="auto"/>
        </w:rPr>
        <w:tab/>
      </w:r>
      <w:r>
        <w:rPr>
          <w:color w:val="auto"/>
        </w:rPr>
        <w:fldChar w:fldCharType="begin"/>
      </w:r>
      <w:r>
        <w:rPr>
          <w:color w:val="auto"/>
        </w:rPr>
        <w:instrText xml:space="preserve"> PAGEREF _Toc24686 \h </w:instrText>
      </w:r>
      <w:r>
        <w:rPr>
          <w:color w:val="auto"/>
        </w:rPr>
        <w:fldChar w:fldCharType="separate"/>
      </w:r>
      <w:r>
        <w:rPr>
          <w:color w:val="auto"/>
        </w:rPr>
        <w:t>54</w:t>
      </w:r>
      <w:r>
        <w:rPr>
          <w:color w:val="auto"/>
        </w:rPr>
        <w:fldChar w:fldCharType="end"/>
      </w:r>
      <w:r>
        <w:rPr>
          <w:color w:val="auto"/>
        </w:rPr>
        <w:fldChar w:fldCharType="end"/>
      </w:r>
    </w:p>
    <w:p w14:paraId="74C7750B">
      <w:pPr>
        <w:pStyle w:val="20"/>
        <w:tabs>
          <w:tab w:val="right" w:leader="dot" w:pos="8844"/>
        </w:tabs>
        <w:ind w:left="840"/>
        <w:rPr>
          <w:color w:val="auto"/>
        </w:rPr>
      </w:pPr>
      <w:r>
        <w:rPr>
          <w:color w:val="auto"/>
        </w:rPr>
        <w:fldChar w:fldCharType="begin"/>
      </w:r>
      <w:r>
        <w:rPr>
          <w:color w:val="auto"/>
        </w:rPr>
        <w:instrText xml:space="preserve"> HYPERLINK \l "_Toc11573" </w:instrText>
      </w:r>
      <w:r>
        <w:rPr>
          <w:color w:val="auto"/>
        </w:rPr>
        <w:fldChar w:fldCharType="separate"/>
      </w:r>
      <w:r>
        <w:rPr>
          <w:rFonts w:hint="eastAsia" w:eastAsia="宋体"/>
          <w:bCs/>
          <w:color w:val="auto"/>
          <w:szCs w:val="32"/>
        </w:rPr>
        <w:t>6.货物的验收</w:t>
      </w:r>
      <w:r>
        <w:rPr>
          <w:color w:val="auto"/>
        </w:rPr>
        <w:tab/>
      </w:r>
      <w:r>
        <w:rPr>
          <w:color w:val="auto"/>
        </w:rPr>
        <w:fldChar w:fldCharType="begin"/>
      </w:r>
      <w:r>
        <w:rPr>
          <w:color w:val="auto"/>
        </w:rPr>
        <w:instrText xml:space="preserve"> PAGEREF _Toc11573 \h </w:instrText>
      </w:r>
      <w:r>
        <w:rPr>
          <w:color w:val="auto"/>
        </w:rPr>
        <w:fldChar w:fldCharType="separate"/>
      </w:r>
      <w:r>
        <w:rPr>
          <w:color w:val="auto"/>
        </w:rPr>
        <w:t>54</w:t>
      </w:r>
      <w:r>
        <w:rPr>
          <w:color w:val="auto"/>
        </w:rPr>
        <w:fldChar w:fldCharType="end"/>
      </w:r>
      <w:r>
        <w:rPr>
          <w:color w:val="auto"/>
        </w:rPr>
        <w:fldChar w:fldCharType="end"/>
      </w:r>
    </w:p>
    <w:p w14:paraId="22E20B41">
      <w:pPr>
        <w:pStyle w:val="20"/>
        <w:tabs>
          <w:tab w:val="right" w:leader="dot" w:pos="8844"/>
        </w:tabs>
        <w:ind w:left="840"/>
        <w:rPr>
          <w:color w:val="auto"/>
        </w:rPr>
      </w:pPr>
      <w:r>
        <w:rPr>
          <w:color w:val="auto"/>
        </w:rPr>
        <w:fldChar w:fldCharType="begin"/>
      </w:r>
      <w:r>
        <w:rPr>
          <w:color w:val="auto"/>
        </w:rPr>
        <w:instrText xml:space="preserve"> HYPERLINK \l "_Toc10459" </w:instrText>
      </w:r>
      <w:r>
        <w:rPr>
          <w:color w:val="auto"/>
        </w:rPr>
        <w:fldChar w:fldCharType="separate"/>
      </w:r>
      <w:r>
        <w:rPr>
          <w:rFonts w:hint="eastAsia" w:eastAsia="宋体"/>
          <w:bCs/>
          <w:color w:val="auto"/>
          <w:szCs w:val="32"/>
        </w:rPr>
        <w:t>7.货物包装要求</w:t>
      </w:r>
      <w:r>
        <w:rPr>
          <w:color w:val="auto"/>
        </w:rPr>
        <w:tab/>
      </w:r>
      <w:r>
        <w:rPr>
          <w:color w:val="auto"/>
        </w:rPr>
        <w:fldChar w:fldCharType="begin"/>
      </w:r>
      <w:r>
        <w:rPr>
          <w:color w:val="auto"/>
        </w:rPr>
        <w:instrText xml:space="preserve"> PAGEREF _Toc10459 \h </w:instrText>
      </w:r>
      <w:r>
        <w:rPr>
          <w:color w:val="auto"/>
        </w:rPr>
        <w:fldChar w:fldCharType="separate"/>
      </w:r>
      <w:r>
        <w:rPr>
          <w:color w:val="auto"/>
        </w:rPr>
        <w:t>54</w:t>
      </w:r>
      <w:r>
        <w:rPr>
          <w:color w:val="auto"/>
        </w:rPr>
        <w:fldChar w:fldCharType="end"/>
      </w:r>
      <w:r>
        <w:rPr>
          <w:color w:val="auto"/>
        </w:rPr>
        <w:fldChar w:fldCharType="end"/>
      </w:r>
    </w:p>
    <w:p w14:paraId="54D67196">
      <w:pPr>
        <w:pStyle w:val="20"/>
        <w:tabs>
          <w:tab w:val="right" w:leader="dot" w:pos="8844"/>
        </w:tabs>
        <w:ind w:left="840"/>
        <w:rPr>
          <w:color w:val="auto"/>
        </w:rPr>
      </w:pPr>
      <w:r>
        <w:rPr>
          <w:color w:val="auto"/>
        </w:rPr>
        <w:fldChar w:fldCharType="begin"/>
      </w:r>
      <w:r>
        <w:rPr>
          <w:color w:val="auto"/>
        </w:rPr>
        <w:instrText xml:space="preserve"> HYPERLINK \l "_Toc18026" </w:instrText>
      </w:r>
      <w:r>
        <w:rPr>
          <w:color w:val="auto"/>
        </w:rPr>
        <w:fldChar w:fldCharType="separate"/>
      </w:r>
      <w:r>
        <w:rPr>
          <w:rFonts w:hint="eastAsia" w:eastAsia="宋体"/>
          <w:bCs/>
          <w:color w:val="auto"/>
          <w:szCs w:val="32"/>
        </w:rPr>
        <w:t>8.运输和保险</w:t>
      </w:r>
      <w:r>
        <w:rPr>
          <w:color w:val="auto"/>
        </w:rPr>
        <w:tab/>
      </w:r>
      <w:r>
        <w:rPr>
          <w:color w:val="auto"/>
        </w:rPr>
        <w:fldChar w:fldCharType="begin"/>
      </w:r>
      <w:r>
        <w:rPr>
          <w:color w:val="auto"/>
        </w:rPr>
        <w:instrText xml:space="preserve"> PAGEREF _Toc18026 \h </w:instrText>
      </w:r>
      <w:r>
        <w:rPr>
          <w:color w:val="auto"/>
        </w:rPr>
        <w:fldChar w:fldCharType="separate"/>
      </w:r>
      <w:r>
        <w:rPr>
          <w:color w:val="auto"/>
        </w:rPr>
        <w:t>55</w:t>
      </w:r>
      <w:r>
        <w:rPr>
          <w:color w:val="auto"/>
        </w:rPr>
        <w:fldChar w:fldCharType="end"/>
      </w:r>
      <w:r>
        <w:rPr>
          <w:color w:val="auto"/>
        </w:rPr>
        <w:fldChar w:fldCharType="end"/>
      </w:r>
    </w:p>
    <w:p w14:paraId="41D07171">
      <w:pPr>
        <w:pStyle w:val="20"/>
        <w:tabs>
          <w:tab w:val="right" w:leader="dot" w:pos="8844"/>
        </w:tabs>
        <w:ind w:left="840"/>
        <w:rPr>
          <w:color w:val="auto"/>
        </w:rPr>
      </w:pPr>
      <w:r>
        <w:rPr>
          <w:color w:val="auto"/>
        </w:rPr>
        <w:fldChar w:fldCharType="begin"/>
      </w:r>
      <w:r>
        <w:rPr>
          <w:color w:val="auto"/>
        </w:rPr>
        <w:instrText xml:space="preserve"> HYPERLINK \l "_Toc22766" </w:instrText>
      </w:r>
      <w:r>
        <w:rPr>
          <w:color w:val="auto"/>
        </w:rPr>
        <w:fldChar w:fldCharType="separate"/>
      </w:r>
      <w:r>
        <w:rPr>
          <w:rFonts w:hint="eastAsia" w:eastAsia="宋体"/>
          <w:bCs/>
          <w:color w:val="auto"/>
          <w:szCs w:val="32"/>
        </w:rPr>
        <w:t>9.质量标准和保证</w:t>
      </w:r>
      <w:r>
        <w:rPr>
          <w:color w:val="auto"/>
        </w:rPr>
        <w:tab/>
      </w:r>
      <w:r>
        <w:rPr>
          <w:color w:val="auto"/>
        </w:rPr>
        <w:fldChar w:fldCharType="begin"/>
      </w:r>
      <w:r>
        <w:rPr>
          <w:color w:val="auto"/>
        </w:rPr>
        <w:instrText xml:space="preserve"> PAGEREF _Toc22766 \h </w:instrText>
      </w:r>
      <w:r>
        <w:rPr>
          <w:color w:val="auto"/>
        </w:rPr>
        <w:fldChar w:fldCharType="separate"/>
      </w:r>
      <w:r>
        <w:rPr>
          <w:color w:val="auto"/>
        </w:rPr>
        <w:t>55</w:t>
      </w:r>
      <w:r>
        <w:rPr>
          <w:color w:val="auto"/>
        </w:rPr>
        <w:fldChar w:fldCharType="end"/>
      </w:r>
      <w:r>
        <w:rPr>
          <w:color w:val="auto"/>
        </w:rPr>
        <w:fldChar w:fldCharType="end"/>
      </w:r>
    </w:p>
    <w:p w14:paraId="749CCFBE">
      <w:pPr>
        <w:pStyle w:val="20"/>
        <w:tabs>
          <w:tab w:val="right" w:leader="dot" w:pos="8844"/>
        </w:tabs>
        <w:ind w:left="840"/>
        <w:rPr>
          <w:color w:val="auto"/>
        </w:rPr>
      </w:pPr>
      <w:r>
        <w:rPr>
          <w:color w:val="auto"/>
        </w:rPr>
        <w:fldChar w:fldCharType="begin"/>
      </w:r>
      <w:r>
        <w:rPr>
          <w:color w:val="auto"/>
        </w:rPr>
        <w:instrText xml:space="preserve"> HYPERLINK \l "_Toc18877" </w:instrText>
      </w:r>
      <w:r>
        <w:rPr>
          <w:color w:val="auto"/>
        </w:rPr>
        <w:fldChar w:fldCharType="separate"/>
      </w:r>
      <w:r>
        <w:rPr>
          <w:rFonts w:hint="eastAsia" w:eastAsia="宋体"/>
          <w:bCs/>
          <w:color w:val="auto"/>
          <w:szCs w:val="32"/>
        </w:rPr>
        <w:t>10.权利瑕疵担保</w:t>
      </w:r>
      <w:r>
        <w:rPr>
          <w:color w:val="auto"/>
        </w:rPr>
        <w:tab/>
      </w:r>
      <w:r>
        <w:rPr>
          <w:color w:val="auto"/>
        </w:rPr>
        <w:fldChar w:fldCharType="begin"/>
      </w:r>
      <w:r>
        <w:rPr>
          <w:color w:val="auto"/>
        </w:rPr>
        <w:instrText xml:space="preserve"> PAGEREF _Toc18877 \h </w:instrText>
      </w:r>
      <w:r>
        <w:rPr>
          <w:color w:val="auto"/>
        </w:rPr>
        <w:fldChar w:fldCharType="separate"/>
      </w:r>
      <w:r>
        <w:rPr>
          <w:color w:val="auto"/>
        </w:rPr>
        <w:t>55</w:t>
      </w:r>
      <w:r>
        <w:rPr>
          <w:color w:val="auto"/>
        </w:rPr>
        <w:fldChar w:fldCharType="end"/>
      </w:r>
      <w:r>
        <w:rPr>
          <w:color w:val="auto"/>
        </w:rPr>
        <w:fldChar w:fldCharType="end"/>
      </w:r>
    </w:p>
    <w:p w14:paraId="3EDAA81B">
      <w:pPr>
        <w:pStyle w:val="20"/>
        <w:tabs>
          <w:tab w:val="right" w:leader="dot" w:pos="8844"/>
        </w:tabs>
        <w:ind w:left="840"/>
        <w:rPr>
          <w:color w:val="auto"/>
        </w:rPr>
      </w:pPr>
      <w:r>
        <w:rPr>
          <w:color w:val="auto"/>
        </w:rPr>
        <w:fldChar w:fldCharType="begin"/>
      </w:r>
      <w:r>
        <w:rPr>
          <w:color w:val="auto"/>
        </w:rPr>
        <w:instrText xml:space="preserve"> HYPERLINK \l "_Toc111" </w:instrText>
      </w:r>
      <w:r>
        <w:rPr>
          <w:color w:val="auto"/>
        </w:rPr>
        <w:fldChar w:fldCharType="separate"/>
      </w:r>
      <w:r>
        <w:rPr>
          <w:rFonts w:hint="eastAsia" w:eastAsia="宋体"/>
          <w:bCs/>
          <w:color w:val="auto"/>
          <w:szCs w:val="32"/>
        </w:rPr>
        <w:t>11.知识产权保护</w:t>
      </w:r>
      <w:r>
        <w:rPr>
          <w:color w:val="auto"/>
        </w:rPr>
        <w:tab/>
      </w:r>
      <w:r>
        <w:rPr>
          <w:color w:val="auto"/>
        </w:rPr>
        <w:fldChar w:fldCharType="begin"/>
      </w:r>
      <w:r>
        <w:rPr>
          <w:color w:val="auto"/>
        </w:rPr>
        <w:instrText xml:space="preserve"> PAGEREF _Toc111 \h </w:instrText>
      </w:r>
      <w:r>
        <w:rPr>
          <w:color w:val="auto"/>
        </w:rPr>
        <w:fldChar w:fldCharType="separate"/>
      </w:r>
      <w:r>
        <w:rPr>
          <w:color w:val="auto"/>
        </w:rPr>
        <w:t>56</w:t>
      </w:r>
      <w:r>
        <w:rPr>
          <w:color w:val="auto"/>
        </w:rPr>
        <w:fldChar w:fldCharType="end"/>
      </w:r>
      <w:r>
        <w:rPr>
          <w:color w:val="auto"/>
        </w:rPr>
        <w:fldChar w:fldCharType="end"/>
      </w:r>
    </w:p>
    <w:p w14:paraId="656FE5DA">
      <w:pPr>
        <w:pStyle w:val="20"/>
        <w:tabs>
          <w:tab w:val="right" w:leader="dot" w:pos="8844"/>
        </w:tabs>
        <w:ind w:left="840"/>
        <w:rPr>
          <w:color w:val="auto"/>
        </w:rPr>
      </w:pPr>
      <w:r>
        <w:rPr>
          <w:color w:val="auto"/>
        </w:rPr>
        <w:fldChar w:fldCharType="begin"/>
      </w:r>
      <w:r>
        <w:rPr>
          <w:color w:val="auto"/>
        </w:rPr>
        <w:instrText xml:space="preserve"> HYPERLINK \l "_Toc31338" </w:instrText>
      </w:r>
      <w:r>
        <w:rPr>
          <w:color w:val="auto"/>
        </w:rPr>
        <w:fldChar w:fldCharType="separate"/>
      </w:r>
      <w:r>
        <w:rPr>
          <w:rFonts w:hint="eastAsia" w:eastAsia="宋体"/>
          <w:bCs/>
          <w:color w:val="auto"/>
          <w:szCs w:val="32"/>
        </w:rPr>
        <w:t>12.保密义务</w:t>
      </w:r>
      <w:r>
        <w:rPr>
          <w:color w:val="auto"/>
        </w:rPr>
        <w:tab/>
      </w:r>
      <w:r>
        <w:rPr>
          <w:color w:val="auto"/>
        </w:rPr>
        <w:fldChar w:fldCharType="begin"/>
      </w:r>
      <w:r>
        <w:rPr>
          <w:color w:val="auto"/>
        </w:rPr>
        <w:instrText xml:space="preserve"> PAGEREF _Toc31338 \h </w:instrText>
      </w:r>
      <w:r>
        <w:rPr>
          <w:color w:val="auto"/>
        </w:rPr>
        <w:fldChar w:fldCharType="separate"/>
      </w:r>
      <w:r>
        <w:rPr>
          <w:color w:val="auto"/>
        </w:rPr>
        <w:t>56</w:t>
      </w:r>
      <w:r>
        <w:rPr>
          <w:color w:val="auto"/>
        </w:rPr>
        <w:fldChar w:fldCharType="end"/>
      </w:r>
      <w:r>
        <w:rPr>
          <w:color w:val="auto"/>
        </w:rPr>
        <w:fldChar w:fldCharType="end"/>
      </w:r>
    </w:p>
    <w:p w14:paraId="10D1D86E">
      <w:pPr>
        <w:pStyle w:val="20"/>
        <w:tabs>
          <w:tab w:val="right" w:leader="dot" w:pos="8844"/>
        </w:tabs>
        <w:ind w:left="840"/>
        <w:rPr>
          <w:color w:val="auto"/>
        </w:rPr>
      </w:pPr>
      <w:r>
        <w:rPr>
          <w:color w:val="auto"/>
        </w:rPr>
        <w:fldChar w:fldCharType="begin"/>
      </w:r>
      <w:r>
        <w:rPr>
          <w:color w:val="auto"/>
        </w:rPr>
        <w:instrText xml:space="preserve"> HYPERLINK \l "_Toc17910" </w:instrText>
      </w:r>
      <w:r>
        <w:rPr>
          <w:color w:val="auto"/>
        </w:rPr>
        <w:fldChar w:fldCharType="separate"/>
      </w:r>
      <w:r>
        <w:rPr>
          <w:rFonts w:hint="eastAsia" w:eastAsia="宋体"/>
          <w:bCs/>
          <w:color w:val="auto"/>
          <w:szCs w:val="32"/>
        </w:rPr>
        <w:t>13.合同价款支付</w:t>
      </w:r>
      <w:r>
        <w:rPr>
          <w:color w:val="auto"/>
        </w:rPr>
        <w:tab/>
      </w:r>
      <w:r>
        <w:rPr>
          <w:color w:val="auto"/>
        </w:rPr>
        <w:fldChar w:fldCharType="begin"/>
      </w:r>
      <w:r>
        <w:rPr>
          <w:color w:val="auto"/>
        </w:rPr>
        <w:instrText xml:space="preserve"> PAGEREF _Toc17910 \h </w:instrText>
      </w:r>
      <w:r>
        <w:rPr>
          <w:color w:val="auto"/>
        </w:rPr>
        <w:fldChar w:fldCharType="separate"/>
      </w:r>
      <w:r>
        <w:rPr>
          <w:color w:val="auto"/>
        </w:rPr>
        <w:t>56</w:t>
      </w:r>
      <w:r>
        <w:rPr>
          <w:color w:val="auto"/>
        </w:rPr>
        <w:fldChar w:fldCharType="end"/>
      </w:r>
      <w:r>
        <w:rPr>
          <w:color w:val="auto"/>
        </w:rPr>
        <w:fldChar w:fldCharType="end"/>
      </w:r>
    </w:p>
    <w:p w14:paraId="5D68AD94">
      <w:pPr>
        <w:pStyle w:val="20"/>
        <w:tabs>
          <w:tab w:val="right" w:leader="dot" w:pos="8844"/>
        </w:tabs>
        <w:ind w:left="840"/>
        <w:rPr>
          <w:color w:val="auto"/>
        </w:rPr>
      </w:pPr>
      <w:r>
        <w:rPr>
          <w:color w:val="auto"/>
        </w:rPr>
        <w:fldChar w:fldCharType="begin"/>
      </w:r>
      <w:r>
        <w:rPr>
          <w:color w:val="auto"/>
        </w:rPr>
        <w:instrText xml:space="preserve"> HYPERLINK \l "_Toc15309" </w:instrText>
      </w:r>
      <w:r>
        <w:rPr>
          <w:color w:val="auto"/>
        </w:rPr>
        <w:fldChar w:fldCharType="separate"/>
      </w:r>
      <w:r>
        <w:rPr>
          <w:rFonts w:hint="eastAsia" w:eastAsia="宋体"/>
          <w:bCs/>
          <w:color w:val="auto"/>
          <w:szCs w:val="32"/>
        </w:rPr>
        <w:t>14.乙方应提供的服务</w:t>
      </w:r>
      <w:r>
        <w:rPr>
          <w:color w:val="auto"/>
        </w:rPr>
        <w:tab/>
      </w:r>
      <w:r>
        <w:rPr>
          <w:color w:val="auto"/>
        </w:rPr>
        <w:fldChar w:fldCharType="begin"/>
      </w:r>
      <w:r>
        <w:rPr>
          <w:color w:val="auto"/>
        </w:rPr>
        <w:instrText xml:space="preserve"> PAGEREF _Toc15309 \h </w:instrText>
      </w:r>
      <w:r>
        <w:rPr>
          <w:color w:val="auto"/>
        </w:rPr>
        <w:fldChar w:fldCharType="separate"/>
      </w:r>
      <w:r>
        <w:rPr>
          <w:color w:val="auto"/>
        </w:rPr>
        <w:t>56</w:t>
      </w:r>
      <w:r>
        <w:rPr>
          <w:color w:val="auto"/>
        </w:rPr>
        <w:fldChar w:fldCharType="end"/>
      </w:r>
      <w:r>
        <w:rPr>
          <w:color w:val="auto"/>
        </w:rPr>
        <w:fldChar w:fldCharType="end"/>
      </w:r>
    </w:p>
    <w:p w14:paraId="13D7FAC2">
      <w:pPr>
        <w:pStyle w:val="20"/>
        <w:tabs>
          <w:tab w:val="right" w:leader="dot" w:pos="8844"/>
        </w:tabs>
        <w:ind w:left="840"/>
        <w:rPr>
          <w:color w:val="auto"/>
        </w:rPr>
      </w:pPr>
      <w:r>
        <w:rPr>
          <w:color w:val="auto"/>
        </w:rPr>
        <w:fldChar w:fldCharType="begin"/>
      </w:r>
      <w:r>
        <w:rPr>
          <w:color w:val="auto"/>
        </w:rPr>
        <w:instrText xml:space="preserve"> HYPERLINK \l "_Toc520" </w:instrText>
      </w:r>
      <w:r>
        <w:rPr>
          <w:color w:val="auto"/>
        </w:rPr>
        <w:fldChar w:fldCharType="separate"/>
      </w:r>
      <w:r>
        <w:rPr>
          <w:rFonts w:hint="eastAsia" w:eastAsia="宋体"/>
          <w:color w:val="auto"/>
          <w:szCs w:val="32"/>
        </w:rPr>
        <w:t>1</w:t>
      </w:r>
      <w:r>
        <w:rPr>
          <w:rFonts w:hint="eastAsia" w:eastAsia="宋体"/>
          <w:bCs/>
          <w:color w:val="auto"/>
          <w:szCs w:val="32"/>
        </w:rPr>
        <w:t>5.违约责任</w:t>
      </w:r>
      <w:r>
        <w:rPr>
          <w:color w:val="auto"/>
        </w:rPr>
        <w:tab/>
      </w:r>
      <w:r>
        <w:rPr>
          <w:color w:val="auto"/>
        </w:rPr>
        <w:fldChar w:fldCharType="begin"/>
      </w:r>
      <w:r>
        <w:rPr>
          <w:color w:val="auto"/>
        </w:rPr>
        <w:instrText xml:space="preserve"> PAGEREF _Toc520 \h </w:instrText>
      </w:r>
      <w:r>
        <w:rPr>
          <w:color w:val="auto"/>
        </w:rPr>
        <w:fldChar w:fldCharType="separate"/>
      </w:r>
      <w:r>
        <w:rPr>
          <w:color w:val="auto"/>
        </w:rPr>
        <w:t>57</w:t>
      </w:r>
      <w:r>
        <w:rPr>
          <w:color w:val="auto"/>
        </w:rPr>
        <w:fldChar w:fldCharType="end"/>
      </w:r>
      <w:r>
        <w:rPr>
          <w:color w:val="auto"/>
        </w:rPr>
        <w:fldChar w:fldCharType="end"/>
      </w:r>
    </w:p>
    <w:p w14:paraId="5FBB9ED8">
      <w:pPr>
        <w:pStyle w:val="20"/>
        <w:tabs>
          <w:tab w:val="right" w:leader="dot" w:pos="8844"/>
        </w:tabs>
        <w:ind w:left="840"/>
        <w:rPr>
          <w:color w:val="auto"/>
        </w:rPr>
      </w:pPr>
      <w:r>
        <w:rPr>
          <w:color w:val="auto"/>
        </w:rPr>
        <w:fldChar w:fldCharType="begin"/>
      </w:r>
      <w:r>
        <w:rPr>
          <w:color w:val="auto"/>
        </w:rPr>
        <w:instrText xml:space="preserve"> HYPERLINK \l "_Toc25732" </w:instrText>
      </w:r>
      <w:r>
        <w:rPr>
          <w:color w:val="auto"/>
        </w:rPr>
        <w:fldChar w:fldCharType="separate"/>
      </w:r>
      <w:r>
        <w:rPr>
          <w:rFonts w:hint="eastAsia" w:eastAsia="宋体"/>
          <w:bCs/>
          <w:color w:val="auto"/>
          <w:szCs w:val="32"/>
        </w:rPr>
        <w:t>16.合同的变更</w:t>
      </w:r>
      <w:r>
        <w:rPr>
          <w:color w:val="auto"/>
        </w:rPr>
        <w:tab/>
      </w:r>
      <w:r>
        <w:rPr>
          <w:color w:val="auto"/>
        </w:rPr>
        <w:fldChar w:fldCharType="begin"/>
      </w:r>
      <w:r>
        <w:rPr>
          <w:color w:val="auto"/>
        </w:rPr>
        <w:instrText xml:space="preserve"> PAGEREF _Toc25732 \h </w:instrText>
      </w:r>
      <w:r>
        <w:rPr>
          <w:color w:val="auto"/>
        </w:rPr>
        <w:fldChar w:fldCharType="separate"/>
      </w:r>
      <w:r>
        <w:rPr>
          <w:color w:val="auto"/>
        </w:rPr>
        <w:t>58</w:t>
      </w:r>
      <w:r>
        <w:rPr>
          <w:color w:val="auto"/>
        </w:rPr>
        <w:fldChar w:fldCharType="end"/>
      </w:r>
      <w:r>
        <w:rPr>
          <w:color w:val="auto"/>
        </w:rPr>
        <w:fldChar w:fldCharType="end"/>
      </w:r>
    </w:p>
    <w:p w14:paraId="3BC9B16A">
      <w:pPr>
        <w:pStyle w:val="20"/>
        <w:tabs>
          <w:tab w:val="right" w:leader="dot" w:pos="8844"/>
        </w:tabs>
        <w:ind w:left="840"/>
        <w:rPr>
          <w:color w:val="auto"/>
        </w:rPr>
      </w:pPr>
      <w:r>
        <w:rPr>
          <w:color w:val="auto"/>
        </w:rPr>
        <w:fldChar w:fldCharType="begin"/>
      </w:r>
      <w:r>
        <w:rPr>
          <w:color w:val="auto"/>
        </w:rPr>
        <w:instrText xml:space="preserve"> HYPERLINK \l "_Toc22580" </w:instrText>
      </w:r>
      <w:r>
        <w:rPr>
          <w:color w:val="auto"/>
        </w:rPr>
        <w:fldChar w:fldCharType="separate"/>
      </w:r>
      <w:r>
        <w:rPr>
          <w:rFonts w:hint="eastAsia" w:eastAsia="宋体"/>
          <w:bCs/>
          <w:color w:val="auto"/>
          <w:szCs w:val="32"/>
        </w:rPr>
        <w:t>17.合同中止与终止</w:t>
      </w:r>
      <w:r>
        <w:rPr>
          <w:color w:val="auto"/>
        </w:rPr>
        <w:tab/>
      </w:r>
      <w:r>
        <w:rPr>
          <w:color w:val="auto"/>
        </w:rPr>
        <w:fldChar w:fldCharType="begin"/>
      </w:r>
      <w:r>
        <w:rPr>
          <w:color w:val="auto"/>
        </w:rPr>
        <w:instrText xml:space="preserve"> PAGEREF _Toc22580 \h </w:instrText>
      </w:r>
      <w:r>
        <w:rPr>
          <w:color w:val="auto"/>
        </w:rPr>
        <w:fldChar w:fldCharType="separate"/>
      </w:r>
      <w:r>
        <w:rPr>
          <w:color w:val="auto"/>
        </w:rPr>
        <w:t>58</w:t>
      </w:r>
      <w:r>
        <w:rPr>
          <w:color w:val="auto"/>
        </w:rPr>
        <w:fldChar w:fldCharType="end"/>
      </w:r>
      <w:r>
        <w:rPr>
          <w:color w:val="auto"/>
        </w:rPr>
        <w:fldChar w:fldCharType="end"/>
      </w:r>
    </w:p>
    <w:p w14:paraId="43A80D65">
      <w:pPr>
        <w:pStyle w:val="20"/>
        <w:tabs>
          <w:tab w:val="right" w:leader="dot" w:pos="8844"/>
        </w:tabs>
        <w:ind w:left="840"/>
        <w:rPr>
          <w:color w:val="auto"/>
        </w:rPr>
      </w:pPr>
      <w:r>
        <w:rPr>
          <w:color w:val="auto"/>
        </w:rPr>
        <w:fldChar w:fldCharType="begin"/>
      </w:r>
      <w:r>
        <w:rPr>
          <w:color w:val="auto"/>
        </w:rPr>
        <w:instrText xml:space="preserve"> HYPERLINK \l "_Toc15273" </w:instrText>
      </w:r>
      <w:r>
        <w:rPr>
          <w:color w:val="auto"/>
        </w:rPr>
        <w:fldChar w:fldCharType="separate"/>
      </w:r>
      <w:r>
        <w:rPr>
          <w:rFonts w:hint="eastAsia" w:eastAsia="宋体"/>
          <w:bCs/>
          <w:color w:val="auto"/>
          <w:szCs w:val="32"/>
        </w:rPr>
        <w:t>18.合同转让和分包</w:t>
      </w:r>
      <w:r>
        <w:rPr>
          <w:color w:val="auto"/>
        </w:rPr>
        <w:tab/>
      </w:r>
      <w:r>
        <w:rPr>
          <w:color w:val="auto"/>
        </w:rPr>
        <w:fldChar w:fldCharType="begin"/>
      </w:r>
      <w:r>
        <w:rPr>
          <w:color w:val="auto"/>
        </w:rPr>
        <w:instrText xml:space="preserve"> PAGEREF _Toc15273 \h </w:instrText>
      </w:r>
      <w:r>
        <w:rPr>
          <w:color w:val="auto"/>
        </w:rPr>
        <w:fldChar w:fldCharType="separate"/>
      </w:r>
      <w:r>
        <w:rPr>
          <w:color w:val="auto"/>
        </w:rPr>
        <w:t>58</w:t>
      </w:r>
      <w:r>
        <w:rPr>
          <w:color w:val="auto"/>
        </w:rPr>
        <w:fldChar w:fldCharType="end"/>
      </w:r>
      <w:r>
        <w:rPr>
          <w:color w:val="auto"/>
        </w:rPr>
        <w:fldChar w:fldCharType="end"/>
      </w:r>
    </w:p>
    <w:p w14:paraId="2116A606">
      <w:pPr>
        <w:pStyle w:val="20"/>
        <w:tabs>
          <w:tab w:val="right" w:leader="dot" w:pos="8844"/>
        </w:tabs>
        <w:ind w:left="840"/>
        <w:rPr>
          <w:color w:val="auto"/>
        </w:rPr>
      </w:pPr>
      <w:r>
        <w:rPr>
          <w:color w:val="auto"/>
        </w:rPr>
        <w:fldChar w:fldCharType="begin"/>
      </w:r>
      <w:r>
        <w:rPr>
          <w:color w:val="auto"/>
        </w:rPr>
        <w:instrText xml:space="preserve"> HYPERLINK \l "_Toc26088" </w:instrText>
      </w:r>
      <w:r>
        <w:rPr>
          <w:color w:val="auto"/>
        </w:rPr>
        <w:fldChar w:fldCharType="separate"/>
      </w:r>
      <w:r>
        <w:rPr>
          <w:rFonts w:hint="eastAsia" w:eastAsia="宋体"/>
          <w:bCs/>
          <w:color w:val="auto"/>
          <w:szCs w:val="32"/>
        </w:rPr>
        <w:t>19.不可抗力</w:t>
      </w:r>
      <w:r>
        <w:rPr>
          <w:color w:val="auto"/>
        </w:rPr>
        <w:tab/>
      </w:r>
      <w:r>
        <w:rPr>
          <w:color w:val="auto"/>
        </w:rPr>
        <w:fldChar w:fldCharType="begin"/>
      </w:r>
      <w:r>
        <w:rPr>
          <w:color w:val="auto"/>
        </w:rPr>
        <w:instrText xml:space="preserve"> PAGEREF _Toc26088 \h </w:instrText>
      </w:r>
      <w:r>
        <w:rPr>
          <w:color w:val="auto"/>
        </w:rPr>
        <w:fldChar w:fldCharType="separate"/>
      </w:r>
      <w:r>
        <w:rPr>
          <w:color w:val="auto"/>
        </w:rPr>
        <w:t>58</w:t>
      </w:r>
      <w:r>
        <w:rPr>
          <w:color w:val="auto"/>
        </w:rPr>
        <w:fldChar w:fldCharType="end"/>
      </w:r>
      <w:r>
        <w:rPr>
          <w:color w:val="auto"/>
        </w:rPr>
        <w:fldChar w:fldCharType="end"/>
      </w:r>
    </w:p>
    <w:p w14:paraId="7CEBEED8">
      <w:pPr>
        <w:pStyle w:val="20"/>
        <w:tabs>
          <w:tab w:val="right" w:leader="dot" w:pos="8844"/>
        </w:tabs>
        <w:ind w:left="840"/>
        <w:rPr>
          <w:color w:val="auto"/>
        </w:rPr>
      </w:pPr>
      <w:r>
        <w:rPr>
          <w:color w:val="auto"/>
        </w:rPr>
        <w:fldChar w:fldCharType="begin"/>
      </w:r>
      <w:r>
        <w:rPr>
          <w:color w:val="auto"/>
        </w:rPr>
        <w:instrText xml:space="preserve"> HYPERLINK \l "_Toc30917" </w:instrText>
      </w:r>
      <w:r>
        <w:rPr>
          <w:color w:val="auto"/>
        </w:rPr>
        <w:fldChar w:fldCharType="separate"/>
      </w:r>
      <w:r>
        <w:rPr>
          <w:rFonts w:hint="eastAsia" w:eastAsia="宋体"/>
          <w:bCs/>
          <w:color w:val="auto"/>
          <w:szCs w:val="32"/>
        </w:rPr>
        <w:t>20.解决争议的方法</w:t>
      </w:r>
      <w:r>
        <w:rPr>
          <w:color w:val="auto"/>
        </w:rPr>
        <w:tab/>
      </w:r>
      <w:r>
        <w:rPr>
          <w:color w:val="auto"/>
        </w:rPr>
        <w:fldChar w:fldCharType="begin"/>
      </w:r>
      <w:r>
        <w:rPr>
          <w:color w:val="auto"/>
        </w:rPr>
        <w:instrText xml:space="preserve"> PAGEREF _Toc30917 \h </w:instrText>
      </w:r>
      <w:r>
        <w:rPr>
          <w:color w:val="auto"/>
        </w:rPr>
        <w:fldChar w:fldCharType="separate"/>
      </w:r>
      <w:r>
        <w:rPr>
          <w:color w:val="auto"/>
        </w:rPr>
        <w:t>59</w:t>
      </w:r>
      <w:r>
        <w:rPr>
          <w:color w:val="auto"/>
        </w:rPr>
        <w:fldChar w:fldCharType="end"/>
      </w:r>
      <w:r>
        <w:rPr>
          <w:color w:val="auto"/>
        </w:rPr>
        <w:fldChar w:fldCharType="end"/>
      </w:r>
    </w:p>
    <w:p w14:paraId="0236DD4B">
      <w:pPr>
        <w:pStyle w:val="20"/>
        <w:tabs>
          <w:tab w:val="right" w:leader="dot" w:pos="8844"/>
        </w:tabs>
        <w:ind w:left="840"/>
        <w:rPr>
          <w:color w:val="auto"/>
        </w:rPr>
      </w:pPr>
      <w:r>
        <w:rPr>
          <w:color w:val="auto"/>
        </w:rPr>
        <w:fldChar w:fldCharType="begin"/>
      </w:r>
      <w:r>
        <w:rPr>
          <w:color w:val="auto"/>
        </w:rPr>
        <w:instrText xml:space="preserve"> HYPERLINK \l "_Toc7442" </w:instrText>
      </w:r>
      <w:r>
        <w:rPr>
          <w:color w:val="auto"/>
        </w:rPr>
        <w:fldChar w:fldCharType="separate"/>
      </w:r>
      <w:r>
        <w:rPr>
          <w:rFonts w:hint="eastAsia" w:eastAsia="宋体"/>
          <w:bCs/>
          <w:color w:val="auto"/>
          <w:szCs w:val="32"/>
        </w:rPr>
        <w:t>21.法律适用</w:t>
      </w:r>
      <w:r>
        <w:rPr>
          <w:color w:val="auto"/>
        </w:rPr>
        <w:tab/>
      </w:r>
      <w:r>
        <w:rPr>
          <w:color w:val="auto"/>
        </w:rPr>
        <w:fldChar w:fldCharType="begin"/>
      </w:r>
      <w:r>
        <w:rPr>
          <w:color w:val="auto"/>
        </w:rPr>
        <w:instrText xml:space="preserve"> PAGEREF _Toc7442 \h </w:instrText>
      </w:r>
      <w:r>
        <w:rPr>
          <w:color w:val="auto"/>
        </w:rPr>
        <w:fldChar w:fldCharType="separate"/>
      </w:r>
      <w:r>
        <w:rPr>
          <w:color w:val="auto"/>
        </w:rPr>
        <w:t>59</w:t>
      </w:r>
      <w:r>
        <w:rPr>
          <w:color w:val="auto"/>
        </w:rPr>
        <w:fldChar w:fldCharType="end"/>
      </w:r>
      <w:r>
        <w:rPr>
          <w:color w:val="auto"/>
        </w:rPr>
        <w:fldChar w:fldCharType="end"/>
      </w:r>
    </w:p>
    <w:p w14:paraId="0DD42D70">
      <w:pPr>
        <w:pStyle w:val="20"/>
        <w:tabs>
          <w:tab w:val="right" w:leader="dot" w:pos="8844"/>
        </w:tabs>
        <w:ind w:left="840"/>
        <w:rPr>
          <w:color w:val="auto"/>
        </w:rPr>
      </w:pPr>
      <w:r>
        <w:rPr>
          <w:color w:val="auto"/>
        </w:rPr>
        <w:fldChar w:fldCharType="begin"/>
      </w:r>
      <w:r>
        <w:rPr>
          <w:color w:val="auto"/>
        </w:rPr>
        <w:instrText xml:space="preserve"> HYPERLINK \l "_Toc9321" </w:instrText>
      </w:r>
      <w:r>
        <w:rPr>
          <w:color w:val="auto"/>
        </w:rPr>
        <w:fldChar w:fldCharType="separate"/>
      </w:r>
      <w:r>
        <w:rPr>
          <w:rFonts w:hint="eastAsia" w:eastAsia="宋体"/>
          <w:bCs/>
          <w:color w:val="auto"/>
          <w:szCs w:val="32"/>
        </w:rPr>
        <w:t>22.通知</w:t>
      </w:r>
      <w:r>
        <w:rPr>
          <w:color w:val="auto"/>
        </w:rPr>
        <w:tab/>
      </w:r>
      <w:r>
        <w:rPr>
          <w:color w:val="auto"/>
        </w:rPr>
        <w:fldChar w:fldCharType="begin"/>
      </w:r>
      <w:r>
        <w:rPr>
          <w:color w:val="auto"/>
        </w:rPr>
        <w:instrText xml:space="preserve"> PAGEREF _Toc9321 \h </w:instrText>
      </w:r>
      <w:r>
        <w:rPr>
          <w:color w:val="auto"/>
        </w:rPr>
        <w:fldChar w:fldCharType="separate"/>
      </w:r>
      <w:r>
        <w:rPr>
          <w:color w:val="auto"/>
        </w:rPr>
        <w:t>59</w:t>
      </w:r>
      <w:r>
        <w:rPr>
          <w:color w:val="auto"/>
        </w:rPr>
        <w:fldChar w:fldCharType="end"/>
      </w:r>
      <w:r>
        <w:rPr>
          <w:color w:val="auto"/>
        </w:rPr>
        <w:fldChar w:fldCharType="end"/>
      </w:r>
    </w:p>
    <w:p w14:paraId="1FDFD518">
      <w:pPr>
        <w:pStyle w:val="20"/>
        <w:tabs>
          <w:tab w:val="right" w:leader="dot" w:pos="8844"/>
        </w:tabs>
        <w:ind w:left="840"/>
        <w:rPr>
          <w:color w:val="auto"/>
        </w:rPr>
      </w:pPr>
      <w:r>
        <w:rPr>
          <w:color w:val="auto"/>
        </w:rPr>
        <w:fldChar w:fldCharType="begin"/>
      </w:r>
      <w:r>
        <w:rPr>
          <w:color w:val="auto"/>
        </w:rPr>
        <w:instrText xml:space="preserve"> HYPERLINK \l "_Toc20698" </w:instrText>
      </w:r>
      <w:r>
        <w:rPr>
          <w:color w:val="auto"/>
        </w:rPr>
        <w:fldChar w:fldCharType="separate"/>
      </w:r>
      <w:r>
        <w:rPr>
          <w:rFonts w:hint="eastAsia" w:eastAsia="宋体"/>
          <w:bCs/>
          <w:color w:val="auto"/>
          <w:szCs w:val="32"/>
        </w:rPr>
        <w:t>23.合同未尽事项</w:t>
      </w:r>
      <w:r>
        <w:rPr>
          <w:color w:val="auto"/>
        </w:rPr>
        <w:tab/>
      </w:r>
      <w:r>
        <w:rPr>
          <w:color w:val="auto"/>
        </w:rPr>
        <w:fldChar w:fldCharType="begin"/>
      </w:r>
      <w:r>
        <w:rPr>
          <w:color w:val="auto"/>
        </w:rPr>
        <w:instrText xml:space="preserve"> PAGEREF _Toc20698 \h </w:instrText>
      </w:r>
      <w:r>
        <w:rPr>
          <w:color w:val="auto"/>
        </w:rPr>
        <w:fldChar w:fldCharType="separate"/>
      </w:r>
      <w:r>
        <w:rPr>
          <w:color w:val="auto"/>
        </w:rPr>
        <w:t>59</w:t>
      </w:r>
      <w:r>
        <w:rPr>
          <w:color w:val="auto"/>
        </w:rPr>
        <w:fldChar w:fldCharType="end"/>
      </w:r>
      <w:r>
        <w:rPr>
          <w:color w:val="auto"/>
        </w:rPr>
        <w:fldChar w:fldCharType="end"/>
      </w:r>
    </w:p>
    <w:p w14:paraId="68FEB50F">
      <w:pPr>
        <w:pStyle w:val="20"/>
        <w:tabs>
          <w:tab w:val="right" w:leader="dot" w:pos="8844"/>
        </w:tabs>
        <w:ind w:left="840"/>
        <w:rPr>
          <w:color w:val="auto"/>
        </w:rPr>
      </w:pPr>
      <w:r>
        <w:rPr>
          <w:color w:val="auto"/>
        </w:rPr>
        <w:fldChar w:fldCharType="begin"/>
      </w:r>
      <w:r>
        <w:rPr>
          <w:color w:val="auto"/>
        </w:rPr>
        <w:instrText xml:space="preserve"> HYPERLINK \l "_Toc26262" </w:instrText>
      </w:r>
      <w:r>
        <w:rPr>
          <w:color w:val="auto"/>
        </w:rPr>
        <w:fldChar w:fldCharType="separate"/>
      </w:r>
      <w:r>
        <w:rPr>
          <w:rFonts w:hint="eastAsia" w:eastAsia="宋体"/>
          <w:bCs/>
          <w:color w:val="auto"/>
          <w:szCs w:val="32"/>
        </w:rPr>
        <w:t>24.合同生效</w:t>
      </w:r>
      <w:r>
        <w:rPr>
          <w:color w:val="auto"/>
        </w:rPr>
        <w:tab/>
      </w:r>
      <w:r>
        <w:rPr>
          <w:color w:val="auto"/>
        </w:rPr>
        <w:fldChar w:fldCharType="begin"/>
      </w:r>
      <w:r>
        <w:rPr>
          <w:color w:val="auto"/>
        </w:rPr>
        <w:instrText xml:space="preserve"> PAGEREF _Toc26262 \h </w:instrText>
      </w:r>
      <w:r>
        <w:rPr>
          <w:color w:val="auto"/>
        </w:rPr>
        <w:fldChar w:fldCharType="separate"/>
      </w:r>
      <w:r>
        <w:rPr>
          <w:color w:val="auto"/>
        </w:rPr>
        <w:t>59</w:t>
      </w:r>
      <w:r>
        <w:rPr>
          <w:color w:val="auto"/>
        </w:rPr>
        <w:fldChar w:fldCharType="end"/>
      </w:r>
      <w:r>
        <w:rPr>
          <w:color w:val="auto"/>
        </w:rPr>
        <w:fldChar w:fldCharType="end"/>
      </w:r>
    </w:p>
    <w:p w14:paraId="0E74FB43">
      <w:pPr>
        <w:pStyle w:val="32"/>
        <w:tabs>
          <w:tab w:val="right" w:leader="dot" w:pos="8844"/>
        </w:tabs>
        <w:ind w:left="420"/>
        <w:rPr>
          <w:color w:val="auto"/>
        </w:rPr>
      </w:pPr>
      <w:r>
        <w:rPr>
          <w:color w:val="auto"/>
        </w:rPr>
        <w:fldChar w:fldCharType="begin"/>
      </w:r>
      <w:r>
        <w:rPr>
          <w:color w:val="auto"/>
        </w:rPr>
        <w:instrText xml:space="preserve"> HYPERLINK \l "_Toc27878" </w:instrText>
      </w:r>
      <w:r>
        <w:rPr>
          <w:color w:val="auto"/>
        </w:rPr>
        <w:fldChar w:fldCharType="separate"/>
      </w:r>
      <w:r>
        <w:rPr>
          <w:rFonts w:hint="eastAsia" w:ascii="黑体" w:hAnsi="华文中宋" w:eastAsia="黑体"/>
          <w:bCs/>
          <w:color w:val="auto"/>
          <w:szCs w:val="28"/>
        </w:rPr>
        <w:t>第三节 政府采购合同专用条款</w:t>
      </w:r>
      <w:r>
        <w:rPr>
          <w:color w:val="auto"/>
        </w:rPr>
        <w:tab/>
      </w:r>
      <w:r>
        <w:rPr>
          <w:color w:val="auto"/>
        </w:rPr>
        <w:fldChar w:fldCharType="begin"/>
      </w:r>
      <w:r>
        <w:rPr>
          <w:color w:val="auto"/>
        </w:rPr>
        <w:instrText xml:space="preserve"> PAGEREF _Toc27878 \h </w:instrText>
      </w:r>
      <w:r>
        <w:rPr>
          <w:color w:val="auto"/>
        </w:rPr>
        <w:fldChar w:fldCharType="separate"/>
      </w:r>
      <w:r>
        <w:rPr>
          <w:color w:val="auto"/>
        </w:rPr>
        <w:t>60</w:t>
      </w:r>
      <w:r>
        <w:rPr>
          <w:color w:val="auto"/>
        </w:rPr>
        <w:fldChar w:fldCharType="end"/>
      </w:r>
      <w:r>
        <w:rPr>
          <w:color w:val="auto"/>
        </w:rPr>
        <w:fldChar w:fldCharType="end"/>
      </w:r>
    </w:p>
    <w:p w14:paraId="38D7E1A7">
      <w:pPr>
        <w:pStyle w:val="32"/>
        <w:tabs>
          <w:tab w:val="right" w:leader="dot" w:pos="8844"/>
        </w:tabs>
        <w:ind w:left="420"/>
        <w:rPr>
          <w:color w:val="auto"/>
        </w:rPr>
      </w:pPr>
      <w:r>
        <w:rPr>
          <w:color w:val="auto"/>
        </w:rPr>
        <w:fldChar w:fldCharType="begin"/>
      </w:r>
      <w:r>
        <w:rPr>
          <w:color w:val="auto"/>
        </w:rPr>
        <w:instrText xml:space="preserve"> HYPERLINK \l "_Toc31064" </w:instrText>
      </w:r>
      <w:r>
        <w:rPr>
          <w:color w:val="auto"/>
        </w:rPr>
        <w:fldChar w:fldCharType="separate"/>
      </w:r>
      <w:r>
        <w:rPr>
          <w:rFonts w:hint="eastAsia" w:ascii="黑体" w:hAnsi="黑体" w:eastAsia="黑体"/>
          <w:color w:val="auto"/>
          <w:szCs w:val="44"/>
        </w:rPr>
        <w:t>第一部分 资格证明文件</w:t>
      </w:r>
      <w:r>
        <w:rPr>
          <w:color w:val="auto"/>
        </w:rPr>
        <w:tab/>
      </w:r>
      <w:r>
        <w:rPr>
          <w:color w:val="auto"/>
        </w:rPr>
        <w:fldChar w:fldCharType="begin"/>
      </w:r>
      <w:r>
        <w:rPr>
          <w:color w:val="auto"/>
        </w:rPr>
        <w:instrText xml:space="preserve"> PAGEREF _Toc31064 \h </w:instrText>
      </w:r>
      <w:r>
        <w:rPr>
          <w:color w:val="auto"/>
        </w:rPr>
        <w:fldChar w:fldCharType="separate"/>
      </w:r>
      <w:r>
        <w:rPr>
          <w:color w:val="auto"/>
        </w:rPr>
        <w:t>62</w:t>
      </w:r>
      <w:r>
        <w:rPr>
          <w:color w:val="auto"/>
        </w:rPr>
        <w:fldChar w:fldCharType="end"/>
      </w:r>
      <w:r>
        <w:rPr>
          <w:color w:val="auto"/>
        </w:rPr>
        <w:fldChar w:fldCharType="end"/>
      </w:r>
    </w:p>
    <w:p w14:paraId="4CF892DE">
      <w:pPr>
        <w:pStyle w:val="29"/>
        <w:tabs>
          <w:tab w:val="right" w:leader="dot" w:pos="8844"/>
        </w:tabs>
        <w:ind w:left="1260"/>
        <w:rPr>
          <w:color w:val="auto"/>
        </w:rPr>
      </w:pPr>
      <w:r>
        <w:rPr>
          <w:color w:val="auto"/>
        </w:rPr>
        <w:fldChar w:fldCharType="begin"/>
      </w:r>
      <w:r>
        <w:rPr>
          <w:color w:val="auto"/>
        </w:rPr>
        <w:instrText xml:space="preserve"> HYPERLINK \l "_Toc21517" </w:instrText>
      </w:r>
      <w:r>
        <w:rPr>
          <w:color w:val="auto"/>
        </w:rPr>
        <w:fldChar w:fldCharType="separate"/>
      </w:r>
      <w:r>
        <w:rPr>
          <w:rFonts w:hint="eastAsia" w:ascii="黑体" w:hAnsi="黑体"/>
          <w:color w:val="auto"/>
          <w:szCs w:val="21"/>
        </w:rPr>
        <w:t>索引表1 资格审查索引表</w:t>
      </w:r>
      <w:r>
        <w:rPr>
          <w:color w:val="auto"/>
        </w:rPr>
        <w:tab/>
      </w:r>
      <w:r>
        <w:rPr>
          <w:color w:val="auto"/>
        </w:rPr>
        <w:fldChar w:fldCharType="begin"/>
      </w:r>
      <w:r>
        <w:rPr>
          <w:color w:val="auto"/>
        </w:rPr>
        <w:instrText xml:space="preserve"> PAGEREF _Toc21517 \h </w:instrText>
      </w:r>
      <w:r>
        <w:rPr>
          <w:color w:val="auto"/>
        </w:rPr>
        <w:fldChar w:fldCharType="separate"/>
      </w:r>
      <w:r>
        <w:rPr>
          <w:color w:val="auto"/>
        </w:rPr>
        <w:t>63</w:t>
      </w:r>
      <w:r>
        <w:rPr>
          <w:color w:val="auto"/>
        </w:rPr>
        <w:fldChar w:fldCharType="end"/>
      </w:r>
      <w:r>
        <w:rPr>
          <w:color w:val="auto"/>
        </w:rPr>
        <w:fldChar w:fldCharType="end"/>
      </w:r>
    </w:p>
    <w:p w14:paraId="77272842">
      <w:pPr>
        <w:pStyle w:val="20"/>
        <w:tabs>
          <w:tab w:val="right" w:leader="dot" w:pos="8844"/>
        </w:tabs>
        <w:ind w:left="840"/>
        <w:rPr>
          <w:color w:val="auto"/>
        </w:rPr>
      </w:pPr>
      <w:r>
        <w:rPr>
          <w:color w:val="auto"/>
        </w:rPr>
        <w:fldChar w:fldCharType="begin"/>
      </w:r>
      <w:r>
        <w:rPr>
          <w:color w:val="auto"/>
        </w:rPr>
        <w:instrText xml:space="preserve"> HYPERLINK \l "_Toc26943" </w:instrText>
      </w:r>
      <w:r>
        <w:rPr>
          <w:color w:val="auto"/>
        </w:rPr>
        <w:fldChar w:fldCharType="separate"/>
      </w:r>
      <w:r>
        <w:rPr>
          <w:rFonts w:hint="eastAsia" w:ascii="黑体" w:hAnsi="宋体" w:eastAsia="黑体"/>
          <w:color w:val="auto"/>
          <w:szCs w:val="28"/>
        </w:rPr>
        <w:t>一、开标一览表</w:t>
      </w:r>
      <w:r>
        <w:rPr>
          <w:color w:val="auto"/>
        </w:rPr>
        <w:tab/>
      </w:r>
      <w:r>
        <w:rPr>
          <w:color w:val="auto"/>
        </w:rPr>
        <w:fldChar w:fldCharType="begin"/>
      </w:r>
      <w:r>
        <w:rPr>
          <w:color w:val="auto"/>
        </w:rPr>
        <w:instrText xml:space="preserve"> PAGEREF _Toc26943 \h </w:instrText>
      </w:r>
      <w:r>
        <w:rPr>
          <w:color w:val="auto"/>
        </w:rPr>
        <w:fldChar w:fldCharType="separate"/>
      </w:r>
      <w:r>
        <w:rPr>
          <w:color w:val="auto"/>
        </w:rPr>
        <w:t>64</w:t>
      </w:r>
      <w:r>
        <w:rPr>
          <w:color w:val="auto"/>
        </w:rPr>
        <w:fldChar w:fldCharType="end"/>
      </w:r>
      <w:r>
        <w:rPr>
          <w:color w:val="auto"/>
        </w:rPr>
        <w:fldChar w:fldCharType="end"/>
      </w:r>
    </w:p>
    <w:p w14:paraId="34407579">
      <w:pPr>
        <w:pStyle w:val="20"/>
        <w:tabs>
          <w:tab w:val="right" w:leader="dot" w:pos="8844"/>
        </w:tabs>
        <w:ind w:left="840"/>
        <w:rPr>
          <w:color w:val="auto"/>
        </w:rPr>
      </w:pPr>
      <w:r>
        <w:rPr>
          <w:color w:val="auto"/>
        </w:rPr>
        <w:fldChar w:fldCharType="begin"/>
      </w:r>
      <w:r>
        <w:rPr>
          <w:color w:val="auto"/>
        </w:rPr>
        <w:instrText xml:space="preserve"> HYPERLINK \l "_Toc2409" </w:instrText>
      </w:r>
      <w:r>
        <w:rPr>
          <w:color w:val="auto"/>
        </w:rPr>
        <w:fldChar w:fldCharType="separate"/>
      </w:r>
      <w:r>
        <w:rPr>
          <w:rFonts w:hint="eastAsia" w:ascii="黑体" w:hAnsi="宋体" w:eastAsia="黑体"/>
          <w:color w:val="auto"/>
          <w:szCs w:val="28"/>
        </w:rPr>
        <w:t>二、投标保证金</w:t>
      </w:r>
      <w:r>
        <w:rPr>
          <w:color w:val="auto"/>
        </w:rPr>
        <w:tab/>
      </w:r>
      <w:r>
        <w:rPr>
          <w:color w:val="auto"/>
        </w:rPr>
        <w:fldChar w:fldCharType="begin"/>
      </w:r>
      <w:r>
        <w:rPr>
          <w:color w:val="auto"/>
        </w:rPr>
        <w:instrText xml:space="preserve"> PAGEREF _Toc2409 \h </w:instrText>
      </w:r>
      <w:r>
        <w:rPr>
          <w:color w:val="auto"/>
        </w:rPr>
        <w:fldChar w:fldCharType="separate"/>
      </w:r>
      <w:r>
        <w:rPr>
          <w:color w:val="auto"/>
        </w:rPr>
        <w:t>65</w:t>
      </w:r>
      <w:r>
        <w:rPr>
          <w:color w:val="auto"/>
        </w:rPr>
        <w:fldChar w:fldCharType="end"/>
      </w:r>
      <w:r>
        <w:rPr>
          <w:color w:val="auto"/>
        </w:rPr>
        <w:fldChar w:fldCharType="end"/>
      </w:r>
    </w:p>
    <w:p w14:paraId="27E7626C">
      <w:pPr>
        <w:pStyle w:val="29"/>
        <w:tabs>
          <w:tab w:val="right" w:leader="dot" w:pos="8844"/>
        </w:tabs>
        <w:ind w:left="1260"/>
        <w:rPr>
          <w:color w:val="auto"/>
        </w:rPr>
      </w:pPr>
      <w:r>
        <w:rPr>
          <w:color w:val="auto"/>
        </w:rPr>
        <w:fldChar w:fldCharType="begin"/>
      </w:r>
      <w:r>
        <w:rPr>
          <w:color w:val="auto"/>
        </w:rPr>
        <w:instrText xml:space="preserve"> HYPERLINK \l "_Toc23195" </w:instrText>
      </w:r>
      <w:r>
        <w:rPr>
          <w:color w:val="auto"/>
        </w:rPr>
        <w:fldChar w:fldCharType="separate"/>
      </w:r>
      <w:r>
        <w:rPr>
          <w:rFonts w:hint="eastAsia" w:ascii="黑体" w:hAnsi="黑体"/>
          <w:color w:val="auto"/>
          <w:szCs w:val="21"/>
        </w:rPr>
        <w:t>附件2-1投标保函（格式）</w:t>
      </w:r>
      <w:r>
        <w:rPr>
          <w:color w:val="auto"/>
        </w:rPr>
        <w:tab/>
      </w:r>
      <w:r>
        <w:rPr>
          <w:color w:val="auto"/>
        </w:rPr>
        <w:fldChar w:fldCharType="begin"/>
      </w:r>
      <w:r>
        <w:rPr>
          <w:color w:val="auto"/>
        </w:rPr>
        <w:instrText xml:space="preserve"> PAGEREF _Toc23195 \h </w:instrText>
      </w:r>
      <w:r>
        <w:rPr>
          <w:color w:val="auto"/>
        </w:rPr>
        <w:fldChar w:fldCharType="separate"/>
      </w:r>
      <w:r>
        <w:rPr>
          <w:color w:val="auto"/>
        </w:rPr>
        <w:t>65</w:t>
      </w:r>
      <w:r>
        <w:rPr>
          <w:color w:val="auto"/>
        </w:rPr>
        <w:fldChar w:fldCharType="end"/>
      </w:r>
      <w:r>
        <w:rPr>
          <w:color w:val="auto"/>
        </w:rPr>
        <w:fldChar w:fldCharType="end"/>
      </w:r>
    </w:p>
    <w:p w14:paraId="72B79D4D">
      <w:pPr>
        <w:pStyle w:val="20"/>
        <w:tabs>
          <w:tab w:val="right" w:leader="dot" w:pos="8844"/>
        </w:tabs>
        <w:ind w:left="840"/>
        <w:rPr>
          <w:color w:val="auto"/>
        </w:rPr>
      </w:pPr>
      <w:r>
        <w:rPr>
          <w:color w:val="auto"/>
        </w:rPr>
        <w:fldChar w:fldCharType="begin"/>
      </w:r>
      <w:r>
        <w:rPr>
          <w:color w:val="auto"/>
        </w:rPr>
        <w:instrText xml:space="preserve"> HYPERLINK \l "_Toc7970" </w:instrText>
      </w:r>
      <w:r>
        <w:rPr>
          <w:color w:val="auto"/>
        </w:rPr>
        <w:fldChar w:fldCharType="separate"/>
      </w:r>
      <w:r>
        <w:rPr>
          <w:rFonts w:hint="eastAsia" w:ascii="黑体" w:hAnsi="黑体" w:eastAsia="黑体"/>
          <w:color w:val="auto"/>
          <w:szCs w:val="28"/>
        </w:rPr>
        <w:t>三、法定代表人（单位负责人）身份证明</w:t>
      </w:r>
      <w:r>
        <w:rPr>
          <w:color w:val="auto"/>
        </w:rPr>
        <w:tab/>
      </w:r>
      <w:r>
        <w:rPr>
          <w:color w:val="auto"/>
        </w:rPr>
        <w:fldChar w:fldCharType="begin"/>
      </w:r>
      <w:r>
        <w:rPr>
          <w:color w:val="auto"/>
        </w:rPr>
        <w:instrText xml:space="preserve"> PAGEREF _Toc7970 \h </w:instrText>
      </w:r>
      <w:r>
        <w:rPr>
          <w:color w:val="auto"/>
        </w:rPr>
        <w:fldChar w:fldCharType="separate"/>
      </w:r>
      <w:r>
        <w:rPr>
          <w:color w:val="auto"/>
        </w:rPr>
        <w:t>66</w:t>
      </w:r>
      <w:r>
        <w:rPr>
          <w:color w:val="auto"/>
        </w:rPr>
        <w:fldChar w:fldCharType="end"/>
      </w:r>
      <w:r>
        <w:rPr>
          <w:color w:val="auto"/>
        </w:rPr>
        <w:fldChar w:fldCharType="end"/>
      </w:r>
    </w:p>
    <w:p w14:paraId="091A8B89">
      <w:pPr>
        <w:pStyle w:val="20"/>
        <w:tabs>
          <w:tab w:val="right" w:leader="dot" w:pos="8844"/>
        </w:tabs>
        <w:ind w:left="840"/>
        <w:rPr>
          <w:color w:val="auto"/>
        </w:rPr>
      </w:pPr>
      <w:r>
        <w:rPr>
          <w:color w:val="auto"/>
        </w:rPr>
        <w:fldChar w:fldCharType="begin"/>
      </w:r>
      <w:r>
        <w:rPr>
          <w:color w:val="auto"/>
        </w:rPr>
        <w:instrText xml:space="preserve"> HYPERLINK \l "_Toc425" </w:instrText>
      </w:r>
      <w:r>
        <w:rPr>
          <w:color w:val="auto"/>
        </w:rPr>
        <w:fldChar w:fldCharType="separate"/>
      </w:r>
      <w:r>
        <w:rPr>
          <w:rFonts w:hint="eastAsia" w:ascii="黑体" w:hAnsi="宋体" w:eastAsia="黑体"/>
          <w:color w:val="auto"/>
          <w:szCs w:val="28"/>
        </w:rPr>
        <w:t>三、授权委托书</w:t>
      </w:r>
      <w:r>
        <w:rPr>
          <w:color w:val="auto"/>
        </w:rPr>
        <w:tab/>
      </w:r>
      <w:r>
        <w:rPr>
          <w:color w:val="auto"/>
        </w:rPr>
        <w:fldChar w:fldCharType="begin"/>
      </w:r>
      <w:r>
        <w:rPr>
          <w:color w:val="auto"/>
        </w:rPr>
        <w:instrText xml:space="preserve"> PAGEREF _Toc425 \h </w:instrText>
      </w:r>
      <w:r>
        <w:rPr>
          <w:color w:val="auto"/>
        </w:rPr>
        <w:fldChar w:fldCharType="separate"/>
      </w:r>
      <w:r>
        <w:rPr>
          <w:color w:val="auto"/>
        </w:rPr>
        <w:t>67</w:t>
      </w:r>
      <w:r>
        <w:rPr>
          <w:color w:val="auto"/>
        </w:rPr>
        <w:fldChar w:fldCharType="end"/>
      </w:r>
      <w:r>
        <w:rPr>
          <w:color w:val="auto"/>
        </w:rPr>
        <w:fldChar w:fldCharType="end"/>
      </w:r>
    </w:p>
    <w:p w14:paraId="5A67C449">
      <w:pPr>
        <w:pStyle w:val="20"/>
        <w:tabs>
          <w:tab w:val="right" w:leader="dot" w:pos="8844"/>
        </w:tabs>
        <w:ind w:left="840"/>
        <w:rPr>
          <w:color w:val="auto"/>
        </w:rPr>
      </w:pPr>
      <w:r>
        <w:rPr>
          <w:color w:val="auto"/>
        </w:rPr>
        <w:fldChar w:fldCharType="begin"/>
      </w:r>
      <w:r>
        <w:rPr>
          <w:color w:val="auto"/>
        </w:rPr>
        <w:instrText xml:space="preserve"> HYPERLINK \l "_Toc107" </w:instrText>
      </w:r>
      <w:r>
        <w:rPr>
          <w:color w:val="auto"/>
        </w:rPr>
        <w:fldChar w:fldCharType="separate"/>
      </w:r>
      <w:r>
        <w:rPr>
          <w:rFonts w:hint="eastAsia" w:ascii="黑体" w:hAnsi="宋体" w:eastAsia="黑体"/>
          <w:color w:val="auto"/>
          <w:szCs w:val="28"/>
        </w:rPr>
        <w:t>四、投标人提供的资格证明文件</w:t>
      </w:r>
      <w:r>
        <w:rPr>
          <w:color w:val="auto"/>
        </w:rPr>
        <w:tab/>
      </w:r>
      <w:r>
        <w:rPr>
          <w:color w:val="auto"/>
        </w:rPr>
        <w:fldChar w:fldCharType="begin"/>
      </w:r>
      <w:r>
        <w:rPr>
          <w:color w:val="auto"/>
        </w:rPr>
        <w:instrText xml:space="preserve"> PAGEREF _Toc107 \h </w:instrText>
      </w:r>
      <w:r>
        <w:rPr>
          <w:color w:val="auto"/>
        </w:rPr>
        <w:fldChar w:fldCharType="separate"/>
      </w:r>
      <w:r>
        <w:rPr>
          <w:color w:val="auto"/>
        </w:rPr>
        <w:t>68</w:t>
      </w:r>
      <w:r>
        <w:rPr>
          <w:color w:val="auto"/>
        </w:rPr>
        <w:fldChar w:fldCharType="end"/>
      </w:r>
      <w:r>
        <w:rPr>
          <w:color w:val="auto"/>
        </w:rPr>
        <w:fldChar w:fldCharType="end"/>
      </w:r>
    </w:p>
    <w:p w14:paraId="59E2033A">
      <w:pPr>
        <w:pStyle w:val="29"/>
        <w:tabs>
          <w:tab w:val="right" w:leader="dot" w:pos="8844"/>
        </w:tabs>
        <w:ind w:left="1260"/>
        <w:rPr>
          <w:color w:val="auto"/>
        </w:rPr>
      </w:pPr>
      <w:r>
        <w:rPr>
          <w:color w:val="auto"/>
        </w:rPr>
        <w:fldChar w:fldCharType="begin"/>
      </w:r>
      <w:r>
        <w:rPr>
          <w:color w:val="auto"/>
        </w:rPr>
        <w:instrText xml:space="preserve"> HYPERLINK \l "_Toc11539" </w:instrText>
      </w:r>
      <w:r>
        <w:rPr>
          <w:color w:val="auto"/>
        </w:rPr>
        <w:fldChar w:fldCharType="separate"/>
      </w:r>
      <w:r>
        <w:rPr>
          <w:rFonts w:hint="eastAsia" w:ascii="黑体" w:hAnsi="黑体"/>
          <w:color w:val="auto"/>
          <w:szCs w:val="21"/>
        </w:rPr>
        <w:t>附件4-1 法人或者其他组织的营业执照等主体资格证明文件，自然人的身份证明</w:t>
      </w:r>
      <w:r>
        <w:rPr>
          <w:color w:val="auto"/>
        </w:rPr>
        <w:tab/>
      </w:r>
      <w:r>
        <w:rPr>
          <w:color w:val="auto"/>
        </w:rPr>
        <w:fldChar w:fldCharType="begin"/>
      </w:r>
      <w:r>
        <w:rPr>
          <w:color w:val="auto"/>
        </w:rPr>
        <w:instrText xml:space="preserve"> PAGEREF _Toc11539 \h </w:instrText>
      </w:r>
      <w:r>
        <w:rPr>
          <w:color w:val="auto"/>
        </w:rPr>
        <w:fldChar w:fldCharType="separate"/>
      </w:r>
      <w:r>
        <w:rPr>
          <w:color w:val="auto"/>
        </w:rPr>
        <w:t>69</w:t>
      </w:r>
      <w:r>
        <w:rPr>
          <w:color w:val="auto"/>
        </w:rPr>
        <w:fldChar w:fldCharType="end"/>
      </w:r>
      <w:r>
        <w:rPr>
          <w:color w:val="auto"/>
        </w:rPr>
        <w:fldChar w:fldCharType="end"/>
      </w:r>
    </w:p>
    <w:p w14:paraId="4EA2B8B0">
      <w:pPr>
        <w:pStyle w:val="29"/>
        <w:tabs>
          <w:tab w:val="right" w:leader="dot" w:pos="8844"/>
        </w:tabs>
        <w:ind w:left="1260"/>
        <w:rPr>
          <w:color w:val="auto"/>
        </w:rPr>
      </w:pPr>
      <w:r>
        <w:rPr>
          <w:color w:val="auto"/>
        </w:rPr>
        <w:fldChar w:fldCharType="begin"/>
      </w:r>
      <w:r>
        <w:rPr>
          <w:color w:val="auto"/>
        </w:rPr>
        <w:instrText xml:space="preserve"> HYPERLINK \l "_Toc6276" </w:instrText>
      </w:r>
      <w:r>
        <w:rPr>
          <w:color w:val="auto"/>
        </w:rPr>
        <w:fldChar w:fldCharType="separate"/>
      </w:r>
      <w:r>
        <w:rPr>
          <w:rFonts w:hint="eastAsia" w:ascii="黑体" w:hAnsi="黑体"/>
          <w:color w:val="auto"/>
          <w:szCs w:val="21"/>
        </w:rPr>
        <w:t>附件4-2 投标人资格声明（格式）</w:t>
      </w:r>
      <w:r>
        <w:rPr>
          <w:color w:val="auto"/>
        </w:rPr>
        <w:tab/>
      </w:r>
      <w:r>
        <w:rPr>
          <w:color w:val="auto"/>
        </w:rPr>
        <w:fldChar w:fldCharType="begin"/>
      </w:r>
      <w:r>
        <w:rPr>
          <w:color w:val="auto"/>
        </w:rPr>
        <w:instrText xml:space="preserve"> PAGEREF _Toc6276 \h </w:instrText>
      </w:r>
      <w:r>
        <w:rPr>
          <w:color w:val="auto"/>
        </w:rPr>
        <w:fldChar w:fldCharType="separate"/>
      </w:r>
      <w:r>
        <w:rPr>
          <w:color w:val="auto"/>
        </w:rPr>
        <w:t>70</w:t>
      </w:r>
      <w:r>
        <w:rPr>
          <w:color w:val="auto"/>
        </w:rPr>
        <w:fldChar w:fldCharType="end"/>
      </w:r>
      <w:r>
        <w:rPr>
          <w:color w:val="auto"/>
        </w:rPr>
        <w:fldChar w:fldCharType="end"/>
      </w:r>
    </w:p>
    <w:p w14:paraId="53941200">
      <w:pPr>
        <w:pStyle w:val="29"/>
        <w:tabs>
          <w:tab w:val="right" w:leader="dot" w:pos="8844"/>
        </w:tabs>
        <w:ind w:left="1260"/>
        <w:rPr>
          <w:color w:val="auto"/>
        </w:rPr>
      </w:pPr>
      <w:r>
        <w:rPr>
          <w:color w:val="auto"/>
        </w:rPr>
        <w:fldChar w:fldCharType="begin"/>
      </w:r>
      <w:r>
        <w:rPr>
          <w:color w:val="auto"/>
        </w:rPr>
        <w:instrText xml:space="preserve"> HYPERLINK \l "_Toc32104" </w:instrText>
      </w:r>
      <w:r>
        <w:rPr>
          <w:color w:val="auto"/>
        </w:rPr>
        <w:fldChar w:fldCharType="separate"/>
      </w:r>
      <w:r>
        <w:rPr>
          <w:rFonts w:hint="eastAsia" w:ascii="黑体" w:hAnsi="黑体"/>
          <w:color w:val="auto"/>
          <w:szCs w:val="21"/>
        </w:rPr>
        <w:t>附件4-3 符合特定资格条件证明材料复印件或者情况说明</w:t>
      </w:r>
      <w:r>
        <w:rPr>
          <w:color w:val="auto"/>
        </w:rPr>
        <w:tab/>
      </w:r>
      <w:r>
        <w:rPr>
          <w:color w:val="auto"/>
        </w:rPr>
        <w:fldChar w:fldCharType="begin"/>
      </w:r>
      <w:r>
        <w:rPr>
          <w:color w:val="auto"/>
        </w:rPr>
        <w:instrText xml:space="preserve"> PAGEREF _Toc32104 \h </w:instrText>
      </w:r>
      <w:r>
        <w:rPr>
          <w:color w:val="auto"/>
        </w:rPr>
        <w:fldChar w:fldCharType="separate"/>
      </w:r>
      <w:r>
        <w:rPr>
          <w:color w:val="auto"/>
        </w:rPr>
        <w:t>72</w:t>
      </w:r>
      <w:r>
        <w:rPr>
          <w:color w:val="auto"/>
        </w:rPr>
        <w:fldChar w:fldCharType="end"/>
      </w:r>
      <w:r>
        <w:rPr>
          <w:color w:val="auto"/>
        </w:rPr>
        <w:fldChar w:fldCharType="end"/>
      </w:r>
    </w:p>
    <w:p w14:paraId="72837093">
      <w:pPr>
        <w:pStyle w:val="29"/>
        <w:tabs>
          <w:tab w:val="right" w:leader="dot" w:pos="8844"/>
        </w:tabs>
        <w:ind w:left="1260"/>
        <w:rPr>
          <w:color w:val="auto"/>
        </w:rPr>
      </w:pPr>
      <w:r>
        <w:rPr>
          <w:color w:val="auto"/>
        </w:rPr>
        <w:fldChar w:fldCharType="begin"/>
      </w:r>
      <w:r>
        <w:rPr>
          <w:color w:val="auto"/>
        </w:rPr>
        <w:instrText xml:space="preserve"> HYPERLINK \l "_Toc9925" </w:instrText>
      </w:r>
      <w:r>
        <w:rPr>
          <w:color w:val="auto"/>
        </w:rPr>
        <w:fldChar w:fldCharType="separate"/>
      </w:r>
      <w:r>
        <w:rPr>
          <w:rFonts w:hint="eastAsia" w:ascii="黑体" w:hAnsi="黑体"/>
          <w:color w:val="auto"/>
          <w:szCs w:val="21"/>
        </w:rPr>
        <w:t>附件4-4 符合预留采购份额的证明文件</w:t>
      </w:r>
      <w:r>
        <w:rPr>
          <w:color w:val="auto"/>
        </w:rPr>
        <w:tab/>
      </w:r>
      <w:r>
        <w:rPr>
          <w:color w:val="auto"/>
        </w:rPr>
        <w:fldChar w:fldCharType="begin"/>
      </w:r>
      <w:r>
        <w:rPr>
          <w:color w:val="auto"/>
        </w:rPr>
        <w:instrText xml:space="preserve"> PAGEREF _Toc9925 \h </w:instrText>
      </w:r>
      <w:r>
        <w:rPr>
          <w:color w:val="auto"/>
        </w:rPr>
        <w:fldChar w:fldCharType="separate"/>
      </w:r>
      <w:r>
        <w:rPr>
          <w:color w:val="auto"/>
        </w:rPr>
        <w:t>72</w:t>
      </w:r>
      <w:r>
        <w:rPr>
          <w:color w:val="auto"/>
        </w:rPr>
        <w:fldChar w:fldCharType="end"/>
      </w:r>
      <w:r>
        <w:rPr>
          <w:color w:val="auto"/>
        </w:rPr>
        <w:fldChar w:fldCharType="end"/>
      </w:r>
    </w:p>
    <w:p w14:paraId="3782AACB">
      <w:pPr>
        <w:pStyle w:val="19"/>
        <w:tabs>
          <w:tab w:val="right" w:leader="dot" w:pos="8844"/>
        </w:tabs>
        <w:ind w:left="1680"/>
        <w:rPr>
          <w:color w:val="auto"/>
        </w:rPr>
      </w:pPr>
      <w:r>
        <w:rPr>
          <w:color w:val="auto"/>
        </w:rPr>
        <w:fldChar w:fldCharType="begin"/>
      </w:r>
      <w:r>
        <w:rPr>
          <w:color w:val="auto"/>
        </w:rPr>
        <w:instrText xml:space="preserve"> HYPERLINK \l "_Toc31108" </w:instrText>
      </w:r>
      <w:r>
        <w:rPr>
          <w:color w:val="auto"/>
        </w:rPr>
        <w:fldChar w:fldCharType="separate"/>
      </w:r>
      <w:r>
        <w:rPr>
          <w:rFonts w:hint="eastAsia" w:ascii="黑体" w:hAnsi="黑体" w:eastAsia="黑体"/>
          <w:color w:val="auto"/>
          <w:szCs w:val="21"/>
        </w:rPr>
        <w:t>附页1 《中小企业声明函》</w:t>
      </w:r>
      <w:r>
        <w:rPr>
          <w:color w:val="auto"/>
        </w:rPr>
        <w:tab/>
      </w:r>
      <w:r>
        <w:rPr>
          <w:color w:val="auto"/>
        </w:rPr>
        <w:fldChar w:fldCharType="begin"/>
      </w:r>
      <w:r>
        <w:rPr>
          <w:color w:val="auto"/>
        </w:rPr>
        <w:instrText xml:space="preserve"> PAGEREF _Toc31108 \h </w:instrText>
      </w:r>
      <w:r>
        <w:rPr>
          <w:color w:val="auto"/>
        </w:rPr>
        <w:fldChar w:fldCharType="separate"/>
      </w:r>
      <w:r>
        <w:rPr>
          <w:color w:val="auto"/>
        </w:rPr>
        <w:t>72</w:t>
      </w:r>
      <w:r>
        <w:rPr>
          <w:color w:val="auto"/>
        </w:rPr>
        <w:fldChar w:fldCharType="end"/>
      </w:r>
      <w:r>
        <w:rPr>
          <w:color w:val="auto"/>
        </w:rPr>
        <w:fldChar w:fldCharType="end"/>
      </w:r>
    </w:p>
    <w:p w14:paraId="2ADEFD19">
      <w:pPr>
        <w:pStyle w:val="19"/>
        <w:tabs>
          <w:tab w:val="right" w:leader="dot" w:pos="8844"/>
        </w:tabs>
        <w:ind w:left="1680"/>
        <w:rPr>
          <w:color w:val="auto"/>
        </w:rPr>
      </w:pPr>
      <w:r>
        <w:rPr>
          <w:color w:val="auto"/>
        </w:rPr>
        <w:fldChar w:fldCharType="begin"/>
      </w:r>
      <w:r>
        <w:rPr>
          <w:color w:val="auto"/>
        </w:rPr>
        <w:instrText xml:space="preserve"> HYPERLINK \l "_Toc20472" </w:instrText>
      </w:r>
      <w:r>
        <w:rPr>
          <w:color w:val="auto"/>
        </w:rPr>
        <w:fldChar w:fldCharType="separate"/>
      </w:r>
      <w:r>
        <w:rPr>
          <w:rFonts w:hint="eastAsia" w:ascii="黑体" w:hAnsi="黑体" w:eastAsia="黑体"/>
          <w:color w:val="auto"/>
          <w:szCs w:val="21"/>
        </w:rPr>
        <w:t>附页2 联合体协议书（格式）</w:t>
      </w:r>
      <w:r>
        <w:rPr>
          <w:color w:val="auto"/>
        </w:rPr>
        <w:tab/>
      </w:r>
      <w:r>
        <w:rPr>
          <w:color w:val="auto"/>
        </w:rPr>
        <w:fldChar w:fldCharType="begin"/>
      </w:r>
      <w:r>
        <w:rPr>
          <w:color w:val="auto"/>
        </w:rPr>
        <w:instrText xml:space="preserve"> PAGEREF _Toc20472 \h </w:instrText>
      </w:r>
      <w:r>
        <w:rPr>
          <w:color w:val="auto"/>
        </w:rPr>
        <w:fldChar w:fldCharType="separate"/>
      </w:r>
      <w:r>
        <w:rPr>
          <w:color w:val="auto"/>
        </w:rPr>
        <w:t>72</w:t>
      </w:r>
      <w:r>
        <w:rPr>
          <w:color w:val="auto"/>
        </w:rPr>
        <w:fldChar w:fldCharType="end"/>
      </w:r>
      <w:r>
        <w:rPr>
          <w:color w:val="auto"/>
        </w:rPr>
        <w:fldChar w:fldCharType="end"/>
      </w:r>
    </w:p>
    <w:p w14:paraId="47A06945">
      <w:pPr>
        <w:pStyle w:val="19"/>
        <w:tabs>
          <w:tab w:val="right" w:leader="dot" w:pos="8844"/>
        </w:tabs>
        <w:ind w:left="1680"/>
        <w:rPr>
          <w:color w:val="auto"/>
        </w:rPr>
      </w:pPr>
      <w:r>
        <w:rPr>
          <w:color w:val="auto"/>
        </w:rPr>
        <w:fldChar w:fldCharType="begin"/>
      </w:r>
      <w:r>
        <w:rPr>
          <w:color w:val="auto"/>
        </w:rPr>
        <w:instrText xml:space="preserve"> HYPERLINK \l "_Toc28408" </w:instrText>
      </w:r>
      <w:r>
        <w:rPr>
          <w:color w:val="auto"/>
        </w:rPr>
        <w:fldChar w:fldCharType="separate"/>
      </w:r>
      <w:r>
        <w:rPr>
          <w:rFonts w:hint="eastAsia" w:ascii="黑体" w:hAnsi="黑体" w:eastAsia="黑体"/>
          <w:color w:val="auto"/>
          <w:szCs w:val="21"/>
        </w:rPr>
        <w:t>附页3 分包意向协议书</w:t>
      </w:r>
      <w:r>
        <w:rPr>
          <w:color w:val="auto"/>
        </w:rPr>
        <w:tab/>
      </w:r>
      <w:r>
        <w:rPr>
          <w:color w:val="auto"/>
        </w:rPr>
        <w:fldChar w:fldCharType="begin"/>
      </w:r>
      <w:r>
        <w:rPr>
          <w:color w:val="auto"/>
        </w:rPr>
        <w:instrText xml:space="preserve"> PAGEREF _Toc28408 \h </w:instrText>
      </w:r>
      <w:r>
        <w:rPr>
          <w:color w:val="auto"/>
        </w:rPr>
        <w:fldChar w:fldCharType="separate"/>
      </w:r>
      <w:r>
        <w:rPr>
          <w:color w:val="auto"/>
        </w:rPr>
        <w:t>72</w:t>
      </w:r>
      <w:r>
        <w:rPr>
          <w:color w:val="auto"/>
        </w:rPr>
        <w:fldChar w:fldCharType="end"/>
      </w:r>
      <w:r>
        <w:rPr>
          <w:color w:val="auto"/>
        </w:rPr>
        <w:fldChar w:fldCharType="end"/>
      </w:r>
    </w:p>
    <w:p w14:paraId="6FF356F4">
      <w:pPr>
        <w:pStyle w:val="32"/>
        <w:tabs>
          <w:tab w:val="right" w:leader="dot" w:pos="8844"/>
        </w:tabs>
        <w:ind w:left="420"/>
        <w:rPr>
          <w:color w:val="auto"/>
        </w:rPr>
      </w:pPr>
      <w:r>
        <w:rPr>
          <w:color w:val="auto"/>
        </w:rPr>
        <w:fldChar w:fldCharType="begin"/>
      </w:r>
      <w:r>
        <w:rPr>
          <w:color w:val="auto"/>
        </w:rPr>
        <w:instrText xml:space="preserve"> HYPERLINK \l "_Toc16270" </w:instrText>
      </w:r>
      <w:r>
        <w:rPr>
          <w:color w:val="auto"/>
        </w:rPr>
        <w:fldChar w:fldCharType="separate"/>
      </w:r>
      <w:r>
        <w:rPr>
          <w:rFonts w:hint="eastAsia" w:ascii="黑体" w:hAnsi="黑体" w:eastAsia="黑体"/>
          <w:color w:val="auto"/>
          <w:szCs w:val="44"/>
        </w:rPr>
        <w:t>第二部分 商务技术文件</w:t>
      </w:r>
      <w:r>
        <w:rPr>
          <w:color w:val="auto"/>
        </w:rPr>
        <w:tab/>
      </w:r>
      <w:r>
        <w:rPr>
          <w:color w:val="auto"/>
        </w:rPr>
        <w:fldChar w:fldCharType="begin"/>
      </w:r>
      <w:r>
        <w:rPr>
          <w:color w:val="auto"/>
        </w:rPr>
        <w:instrText xml:space="preserve"> PAGEREF _Toc16270 \h </w:instrText>
      </w:r>
      <w:r>
        <w:rPr>
          <w:color w:val="auto"/>
        </w:rPr>
        <w:fldChar w:fldCharType="separate"/>
      </w:r>
      <w:r>
        <w:rPr>
          <w:color w:val="auto"/>
        </w:rPr>
        <w:t>73</w:t>
      </w:r>
      <w:r>
        <w:rPr>
          <w:color w:val="auto"/>
        </w:rPr>
        <w:fldChar w:fldCharType="end"/>
      </w:r>
      <w:r>
        <w:rPr>
          <w:color w:val="auto"/>
        </w:rPr>
        <w:fldChar w:fldCharType="end"/>
      </w:r>
    </w:p>
    <w:p w14:paraId="655BB524">
      <w:pPr>
        <w:pStyle w:val="29"/>
        <w:tabs>
          <w:tab w:val="right" w:leader="dot" w:pos="8844"/>
        </w:tabs>
        <w:ind w:left="1260"/>
        <w:rPr>
          <w:color w:val="auto"/>
        </w:rPr>
      </w:pPr>
      <w:r>
        <w:rPr>
          <w:color w:val="auto"/>
        </w:rPr>
        <w:fldChar w:fldCharType="begin"/>
      </w:r>
      <w:r>
        <w:rPr>
          <w:color w:val="auto"/>
        </w:rPr>
        <w:instrText xml:space="preserve"> HYPERLINK \l "_Toc18166" </w:instrText>
      </w:r>
      <w:r>
        <w:rPr>
          <w:color w:val="auto"/>
        </w:rPr>
        <w:fldChar w:fldCharType="separate"/>
      </w:r>
      <w:r>
        <w:rPr>
          <w:rFonts w:hint="eastAsia" w:ascii="黑体" w:hAnsi="黑体"/>
          <w:color w:val="auto"/>
          <w:szCs w:val="21"/>
        </w:rPr>
        <w:t>索引表2 符合性审查索引表</w:t>
      </w:r>
      <w:r>
        <w:rPr>
          <w:color w:val="auto"/>
        </w:rPr>
        <w:tab/>
      </w:r>
      <w:r>
        <w:rPr>
          <w:color w:val="auto"/>
        </w:rPr>
        <w:fldChar w:fldCharType="begin"/>
      </w:r>
      <w:r>
        <w:rPr>
          <w:color w:val="auto"/>
        </w:rPr>
        <w:instrText xml:space="preserve"> PAGEREF _Toc18166 \h </w:instrText>
      </w:r>
      <w:r>
        <w:rPr>
          <w:color w:val="auto"/>
        </w:rPr>
        <w:fldChar w:fldCharType="separate"/>
      </w:r>
      <w:r>
        <w:rPr>
          <w:color w:val="auto"/>
        </w:rPr>
        <w:t>74</w:t>
      </w:r>
      <w:r>
        <w:rPr>
          <w:color w:val="auto"/>
        </w:rPr>
        <w:fldChar w:fldCharType="end"/>
      </w:r>
      <w:r>
        <w:rPr>
          <w:color w:val="auto"/>
        </w:rPr>
        <w:fldChar w:fldCharType="end"/>
      </w:r>
    </w:p>
    <w:p w14:paraId="0A411281">
      <w:pPr>
        <w:pStyle w:val="29"/>
        <w:tabs>
          <w:tab w:val="right" w:leader="dot" w:pos="8844"/>
        </w:tabs>
        <w:ind w:left="1260"/>
        <w:rPr>
          <w:color w:val="auto"/>
        </w:rPr>
      </w:pPr>
      <w:r>
        <w:rPr>
          <w:color w:val="auto"/>
        </w:rPr>
        <w:fldChar w:fldCharType="begin"/>
      </w:r>
      <w:r>
        <w:rPr>
          <w:color w:val="auto"/>
        </w:rPr>
        <w:instrText xml:space="preserve"> HYPERLINK \l "_Toc32629" </w:instrText>
      </w:r>
      <w:r>
        <w:rPr>
          <w:color w:val="auto"/>
        </w:rPr>
        <w:fldChar w:fldCharType="separate"/>
      </w:r>
      <w:r>
        <w:rPr>
          <w:rFonts w:hint="eastAsia" w:ascii="黑体" w:hAnsi="黑体"/>
          <w:color w:val="auto"/>
          <w:szCs w:val="21"/>
        </w:rPr>
        <w:t>索引表3 评标索引表</w:t>
      </w:r>
      <w:r>
        <w:rPr>
          <w:color w:val="auto"/>
        </w:rPr>
        <w:tab/>
      </w:r>
      <w:r>
        <w:rPr>
          <w:color w:val="auto"/>
        </w:rPr>
        <w:fldChar w:fldCharType="begin"/>
      </w:r>
      <w:r>
        <w:rPr>
          <w:color w:val="auto"/>
        </w:rPr>
        <w:instrText xml:space="preserve"> PAGEREF _Toc32629 \h </w:instrText>
      </w:r>
      <w:r>
        <w:rPr>
          <w:color w:val="auto"/>
        </w:rPr>
        <w:fldChar w:fldCharType="separate"/>
      </w:r>
      <w:r>
        <w:rPr>
          <w:color w:val="auto"/>
        </w:rPr>
        <w:t>75</w:t>
      </w:r>
      <w:r>
        <w:rPr>
          <w:color w:val="auto"/>
        </w:rPr>
        <w:fldChar w:fldCharType="end"/>
      </w:r>
      <w:r>
        <w:rPr>
          <w:color w:val="auto"/>
        </w:rPr>
        <w:fldChar w:fldCharType="end"/>
      </w:r>
    </w:p>
    <w:p w14:paraId="7D6F8BF7">
      <w:pPr>
        <w:pStyle w:val="20"/>
        <w:tabs>
          <w:tab w:val="right" w:leader="dot" w:pos="8844"/>
        </w:tabs>
        <w:ind w:left="840"/>
        <w:rPr>
          <w:color w:val="auto"/>
        </w:rPr>
      </w:pPr>
      <w:r>
        <w:rPr>
          <w:color w:val="auto"/>
        </w:rPr>
        <w:fldChar w:fldCharType="begin"/>
      </w:r>
      <w:r>
        <w:rPr>
          <w:color w:val="auto"/>
        </w:rPr>
        <w:instrText xml:space="preserve"> HYPERLINK \l "_Toc31559" </w:instrText>
      </w:r>
      <w:r>
        <w:rPr>
          <w:color w:val="auto"/>
        </w:rPr>
        <w:fldChar w:fldCharType="separate"/>
      </w:r>
      <w:r>
        <w:rPr>
          <w:rFonts w:hint="eastAsia" w:ascii="黑体" w:hAnsi="宋体" w:eastAsia="黑体"/>
          <w:color w:val="auto"/>
          <w:szCs w:val="28"/>
        </w:rPr>
        <w:t>五</w:t>
      </w:r>
      <w:r>
        <w:rPr>
          <w:rFonts w:ascii="黑体" w:hAnsi="宋体" w:eastAsia="黑体"/>
          <w:color w:val="auto"/>
          <w:szCs w:val="28"/>
        </w:rPr>
        <w:t>、</w:t>
      </w:r>
      <w:r>
        <w:rPr>
          <w:rFonts w:hint="eastAsia" w:ascii="黑体" w:hAnsi="宋体" w:eastAsia="黑体"/>
          <w:color w:val="auto"/>
          <w:szCs w:val="28"/>
        </w:rPr>
        <w:t>投标函</w:t>
      </w:r>
      <w:r>
        <w:rPr>
          <w:color w:val="auto"/>
        </w:rPr>
        <w:tab/>
      </w:r>
      <w:r>
        <w:rPr>
          <w:color w:val="auto"/>
        </w:rPr>
        <w:fldChar w:fldCharType="begin"/>
      </w:r>
      <w:r>
        <w:rPr>
          <w:color w:val="auto"/>
        </w:rPr>
        <w:instrText xml:space="preserve"> PAGEREF _Toc31559 \h </w:instrText>
      </w:r>
      <w:r>
        <w:rPr>
          <w:color w:val="auto"/>
        </w:rPr>
        <w:fldChar w:fldCharType="separate"/>
      </w:r>
      <w:r>
        <w:rPr>
          <w:color w:val="auto"/>
        </w:rPr>
        <w:t>76</w:t>
      </w:r>
      <w:r>
        <w:rPr>
          <w:color w:val="auto"/>
        </w:rPr>
        <w:fldChar w:fldCharType="end"/>
      </w:r>
      <w:r>
        <w:rPr>
          <w:color w:val="auto"/>
        </w:rPr>
        <w:fldChar w:fldCharType="end"/>
      </w:r>
    </w:p>
    <w:p w14:paraId="3B599045">
      <w:pPr>
        <w:pStyle w:val="20"/>
        <w:tabs>
          <w:tab w:val="right" w:leader="dot" w:pos="8844"/>
        </w:tabs>
        <w:ind w:left="840"/>
        <w:rPr>
          <w:color w:val="auto"/>
        </w:rPr>
      </w:pPr>
      <w:r>
        <w:rPr>
          <w:color w:val="auto"/>
        </w:rPr>
        <w:fldChar w:fldCharType="begin"/>
      </w:r>
      <w:r>
        <w:rPr>
          <w:color w:val="auto"/>
        </w:rPr>
        <w:instrText xml:space="preserve"> HYPERLINK \l "_Toc9106" </w:instrText>
      </w:r>
      <w:r>
        <w:rPr>
          <w:color w:val="auto"/>
        </w:rPr>
        <w:fldChar w:fldCharType="separate"/>
      </w:r>
      <w:r>
        <w:rPr>
          <w:rFonts w:hint="eastAsia" w:ascii="黑体" w:hAnsi="宋体" w:eastAsia="黑体"/>
          <w:color w:val="auto"/>
          <w:szCs w:val="28"/>
        </w:rPr>
        <w:t>六、分项报价</w:t>
      </w:r>
      <w:r>
        <w:rPr>
          <w:color w:val="auto"/>
        </w:rPr>
        <w:tab/>
      </w:r>
      <w:r>
        <w:rPr>
          <w:color w:val="auto"/>
        </w:rPr>
        <w:fldChar w:fldCharType="begin"/>
      </w:r>
      <w:r>
        <w:rPr>
          <w:color w:val="auto"/>
        </w:rPr>
        <w:instrText xml:space="preserve"> PAGEREF _Toc9106 \h </w:instrText>
      </w:r>
      <w:r>
        <w:rPr>
          <w:color w:val="auto"/>
        </w:rPr>
        <w:fldChar w:fldCharType="separate"/>
      </w:r>
      <w:r>
        <w:rPr>
          <w:color w:val="auto"/>
        </w:rPr>
        <w:t>78</w:t>
      </w:r>
      <w:r>
        <w:rPr>
          <w:color w:val="auto"/>
        </w:rPr>
        <w:fldChar w:fldCharType="end"/>
      </w:r>
      <w:r>
        <w:rPr>
          <w:color w:val="auto"/>
        </w:rPr>
        <w:fldChar w:fldCharType="end"/>
      </w:r>
    </w:p>
    <w:p w14:paraId="7600858C">
      <w:pPr>
        <w:pStyle w:val="29"/>
        <w:tabs>
          <w:tab w:val="right" w:leader="dot" w:pos="8844"/>
        </w:tabs>
        <w:ind w:left="1260"/>
        <w:rPr>
          <w:color w:val="auto"/>
        </w:rPr>
      </w:pPr>
      <w:r>
        <w:rPr>
          <w:color w:val="auto"/>
        </w:rPr>
        <w:fldChar w:fldCharType="begin"/>
      </w:r>
      <w:r>
        <w:rPr>
          <w:color w:val="auto"/>
        </w:rPr>
        <w:instrText xml:space="preserve"> HYPERLINK \l "_Toc29787" </w:instrText>
      </w:r>
      <w:r>
        <w:rPr>
          <w:color w:val="auto"/>
        </w:rPr>
        <w:fldChar w:fldCharType="separate"/>
      </w:r>
      <w:r>
        <w:rPr>
          <w:rFonts w:hint="eastAsia" w:ascii="黑体" w:hAnsi="华文中宋" w:cs="宋体"/>
          <w:color w:val="auto"/>
          <w:spacing w:val="6"/>
          <w:kern w:val="0"/>
          <w:szCs w:val="21"/>
        </w:rPr>
        <w:t xml:space="preserve">附件6-1 </w:t>
      </w:r>
      <w:r>
        <w:rPr>
          <w:rFonts w:hint="eastAsia" w:ascii="黑体" w:cs="微软雅黑" w:hAnsiTheme="minorEastAsia"/>
          <w:color w:val="auto"/>
          <w:spacing w:val="-2"/>
          <w:kern w:val="0"/>
          <w:szCs w:val="21"/>
        </w:rPr>
        <w:t>分</w:t>
      </w:r>
      <w:r>
        <w:rPr>
          <w:rFonts w:hint="eastAsia" w:ascii="黑体" w:cs="微软雅黑" w:hAnsiTheme="minorEastAsia"/>
          <w:color w:val="auto"/>
          <w:kern w:val="0"/>
          <w:szCs w:val="21"/>
        </w:rPr>
        <w:t>项</w:t>
      </w:r>
      <w:r>
        <w:rPr>
          <w:rFonts w:hint="eastAsia" w:ascii="黑体" w:cs="微软雅黑" w:hAnsiTheme="minorEastAsia"/>
          <w:color w:val="auto"/>
          <w:spacing w:val="-2"/>
          <w:kern w:val="0"/>
          <w:szCs w:val="21"/>
        </w:rPr>
        <w:t>报</w:t>
      </w:r>
      <w:r>
        <w:rPr>
          <w:rFonts w:hint="eastAsia" w:ascii="黑体" w:cs="微软雅黑" w:hAnsiTheme="minorEastAsia"/>
          <w:color w:val="auto"/>
          <w:kern w:val="0"/>
          <w:szCs w:val="21"/>
        </w:rPr>
        <w:t>价说明</w:t>
      </w:r>
      <w:r>
        <w:rPr>
          <w:color w:val="auto"/>
        </w:rPr>
        <w:tab/>
      </w:r>
      <w:r>
        <w:rPr>
          <w:color w:val="auto"/>
        </w:rPr>
        <w:fldChar w:fldCharType="begin"/>
      </w:r>
      <w:r>
        <w:rPr>
          <w:color w:val="auto"/>
        </w:rPr>
        <w:instrText xml:space="preserve"> PAGEREF _Toc29787 \h </w:instrText>
      </w:r>
      <w:r>
        <w:rPr>
          <w:color w:val="auto"/>
        </w:rPr>
        <w:fldChar w:fldCharType="separate"/>
      </w:r>
      <w:r>
        <w:rPr>
          <w:color w:val="auto"/>
        </w:rPr>
        <w:t>78</w:t>
      </w:r>
      <w:r>
        <w:rPr>
          <w:color w:val="auto"/>
        </w:rPr>
        <w:fldChar w:fldCharType="end"/>
      </w:r>
      <w:r>
        <w:rPr>
          <w:color w:val="auto"/>
        </w:rPr>
        <w:fldChar w:fldCharType="end"/>
      </w:r>
    </w:p>
    <w:p w14:paraId="0D104DF0">
      <w:pPr>
        <w:pStyle w:val="29"/>
        <w:tabs>
          <w:tab w:val="right" w:leader="dot" w:pos="8844"/>
        </w:tabs>
        <w:ind w:left="1260"/>
        <w:rPr>
          <w:color w:val="auto"/>
        </w:rPr>
      </w:pPr>
      <w:r>
        <w:rPr>
          <w:color w:val="auto"/>
        </w:rPr>
        <w:fldChar w:fldCharType="begin"/>
      </w:r>
      <w:r>
        <w:rPr>
          <w:color w:val="auto"/>
        </w:rPr>
        <w:instrText xml:space="preserve"> HYPERLINK \l "_Toc3637" </w:instrText>
      </w:r>
      <w:r>
        <w:rPr>
          <w:color w:val="auto"/>
        </w:rPr>
        <w:fldChar w:fldCharType="separate"/>
      </w:r>
      <w:r>
        <w:rPr>
          <w:rFonts w:hint="eastAsia" w:ascii="黑体" w:hAnsi="华文中宋" w:cs="宋体"/>
          <w:color w:val="auto"/>
          <w:spacing w:val="6"/>
          <w:kern w:val="0"/>
          <w:szCs w:val="21"/>
        </w:rPr>
        <w:t xml:space="preserve">附件6-2 </w:t>
      </w:r>
      <w:r>
        <w:rPr>
          <w:rFonts w:hint="eastAsia" w:ascii="黑体" w:cs="微软雅黑" w:hAnsiTheme="minorEastAsia"/>
          <w:color w:val="auto"/>
          <w:spacing w:val="-2"/>
          <w:kern w:val="0"/>
          <w:position w:val="-3"/>
          <w:szCs w:val="21"/>
        </w:rPr>
        <w:t>分</w:t>
      </w:r>
      <w:r>
        <w:rPr>
          <w:rFonts w:hint="eastAsia" w:ascii="黑体" w:cs="微软雅黑" w:hAnsiTheme="minorEastAsia"/>
          <w:color w:val="auto"/>
          <w:kern w:val="0"/>
          <w:position w:val="-3"/>
          <w:szCs w:val="21"/>
        </w:rPr>
        <w:t>项</w:t>
      </w:r>
      <w:r>
        <w:rPr>
          <w:rFonts w:hint="eastAsia" w:ascii="黑体" w:cs="微软雅黑" w:hAnsiTheme="minorEastAsia"/>
          <w:color w:val="auto"/>
          <w:spacing w:val="-2"/>
          <w:kern w:val="0"/>
          <w:position w:val="-3"/>
          <w:szCs w:val="21"/>
        </w:rPr>
        <w:t>报</w:t>
      </w:r>
      <w:r>
        <w:rPr>
          <w:rFonts w:hint="eastAsia" w:ascii="黑体" w:cs="微软雅黑" w:hAnsiTheme="minorEastAsia"/>
          <w:color w:val="auto"/>
          <w:kern w:val="0"/>
          <w:position w:val="-3"/>
          <w:szCs w:val="21"/>
        </w:rPr>
        <w:t>价明细表</w:t>
      </w:r>
      <w:r>
        <w:rPr>
          <w:color w:val="auto"/>
        </w:rPr>
        <w:tab/>
      </w:r>
      <w:r>
        <w:rPr>
          <w:color w:val="auto"/>
        </w:rPr>
        <w:fldChar w:fldCharType="begin"/>
      </w:r>
      <w:r>
        <w:rPr>
          <w:color w:val="auto"/>
        </w:rPr>
        <w:instrText xml:space="preserve"> PAGEREF _Toc3637 \h </w:instrText>
      </w:r>
      <w:r>
        <w:rPr>
          <w:color w:val="auto"/>
        </w:rPr>
        <w:fldChar w:fldCharType="separate"/>
      </w:r>
      <w:r>
        <w:rPr>
          <w:color w:val="auto"/>
        </w:rPr>
        <w:t>78</w:t>
      </w:r>
      <w:r>
        <w:rPr>
          <w:color w:val="auto"/>
        </w:rPr>
        <w:fldChar w:fldCharType="end"/>
      </w:r>
      <w:r>
        <w:rPr>
          <w:color w:val="auto"/>
        </w:rPr>
        <w:fldChar w:fldCharType="end"/>
      </w:r>
    </w:p>
    <w:p w14:paraId="458AB040">
      <w:pPr>
        <w:pStyle w:val="20"/>
        <w:tabs>
          <w:tab w:val="right" w:leader="dot" w:pos="8844"/>
        </w:tabs>
        <w:ind w:left="840"/>
        <w:rPr>
          <w:color w:val="auto"/>
        </w:rPr>
      </w:pPr>
      <w:r>
        <w:rPr>
          <w:color w:val="auto"/>
        </w:rPr>
        <w:fldChar w:fldCharType="begin"/>
      </w:r>
      <w:r>
        <w:rPr>
          <w:color w:val="auto"/>
        </w:rPr>
        <w:instrText xml:space="preserve"> HYPERLINK \l "_Toc8308" </w:instrText>
      </w:r>
      <w:r>
        <w:rPr>
          <w:color w:val="auto"/>
        </w:rPr>
        <w:fldChar w:fldCharType="separate"/>
      </w:r>
      <w:r>
        <w:rPr>
          <w:rFonts w:hint="eastAsia" w:ascii="黑体" w:hAnsi="宋体" w:eastAsia="黑体"/>
          <w:color w:val="auto"/>
          <w:szCs w:val="28"/>
        </w:rPr>
        <w:t>七、采购需求响应</w:t>
      </w:r>
      <w:r>
        <w:rPr>
          <w:color w:val="auto"/>
        </w:rPr>
        <w:tab/>
      </w:r>
      <w:r>
        <w:rPr>
          <w:color w:val="auto"/>
        </w:rPr>
        <w:fldChar w:fldCharType="begin"/>
      </w:r>
      <w:r>
        <w:rPr>
          <w:color w:val="auto"/>
        </w:rPr>
        <w:instrText xml:space="preserve"> PAGEREF _Toc8308 \h </w:instrText>
      </w:r>
      <w:r>
        <w:rPr>
          <w:color w:val="auto"/>
        </w:rPr>
        <w:fldChar w:fldCharType="separate"/>
      </w:r>
      <w:r>
        <w:rPr>
          <w:color w:val="auto"/>
        </w:rPr>
        <w:t>79</w:t>
      </w:r>
      <w:r>
        <w:rPr>
          <w:color w:val="auto"/>
        </w:rPr>
        <w:fldChar w:fldCharType="end"/>
      </w:r>
      <w:r>
        <w:rPr>
          <w:color w:val="auto"/>
        </w:rPr>
        <w:fldChar w:fldCharType="end"/>
      </w:r>
    </w:p>
    <w:p w14:paraId="74986CB3">
      <w:pPr>
        <w:pStyle w:val="29"/>
        <w:tabs>
          <w:tab w:val="right" w:leader="dot" w:pos="8844"/>
        </w:tabs>
        <w:ind w:left="1260"/>
        <w:rPr>
          <w:color w:val="auto"/>
        </w:rPr>
      </w:pPr>
      <w:r>
        <w:rPr>
          <w:color w:val="auto"/>
        </w:rPr>
        <w:fldChar w:fldCharType="begin"/>
      </w:r>
      <w:r>
        <w:rPr>
          <w:color w:val="auto"/>
        </w:rPr>
        <w:instrText xml:space="preserve"> HYPERLINK \l "_Toc31999" </w:instrText>
      </w:r>
      <w:r>
        <w:rPr>
          <w:color w:val="auto"/>
        </w:rPr>
        <w:fldChar w:fldCharType="separate"/>
      </w:r>
      <w:r>
        <w:rPr>
          <w:rFonts w:hint="eastAsia" w:ascii="黑体" w:hAnsi="黑体" w:cs="宋体"/>
          <w:color w:val="auto"/>
          <w:spacing w:val="6"/>
          <w:kern w:val="0"/>
          <w:szCs w:val="21"/>
        </w:rPr>
        <w:t>附件7-1 响应</w:t>
      </w:r>
      <w:r>
        <w:rPr>
          <w:rFonts w:hint="eastAsia" w:ascii="黑体" w:hAnsi="黑体"/>
          <w:color w:val="auto"/>
          <w:szCs w:val="21"/>
        </w:rPr>
        <w:t>-览表</w:t>
      </w:r>
      <w:r>
        <w:rPr>
          <w:color w:val="auto"/>
        </w:rPr>
        <w:tab/>
      </w:r>
      <w:r>
        <w:rPr>
          <w:color w:val="auto"/>
        </w:rPr>
        <w:fldChar w:fldCharType="begin"/>
      </w:r>
      <w:r>
        <w:rPr>
          <w:color w:val="auto"/>
        </w:rPr>
        <w:instrText xml:space="preserve"> PAGEREF _Toc31999 \h </w:instrText>
      </w:r>
      <w:r>
        <w:rPr>
          <w:color w:val="auto"/>
        </w:rPr>
        <w:fldChar w:fldCharType="separate"/>
      </w:r>
      <w:r>
        <w:rPr>
          <w:color w:val="auto"/>
        </w:rPr>
        <w:t>79</w:t>
      </w:r>
      <w:r>
        <w:rPr>
          <w:color w:val="auto"/>
        </w:rPr>
        <w:fldChar w:fldCharType="end"/>
      </w:r>
      <w:r>
        <w:rPr>
          <w:color w:val="auto"/>
        </w:rPr>
        <w:fldChar w:fldCharType="end"/>
      </w:r>
    </w:p>
    <w:p w14:paraId="168F0CFC">
      <w:pPr>
        <w:pStyle w:val="20"/>
        <w:tabs>
          <w:tab w:val="right" w:leader="dot" w:pos="8844"/>
        </w:tabs>
        <w:ind w:left="840"/>
        <w:rPr>
          <w:color w:val="auto"/>
        </w:rPr>
      </w:pPr>
      <w:r>
        <w:rPr>
          <w:color w:val="auto"/>
        </w:rPr>
        <w:fldChar w:fldCharType="begin"/>
      </w:r>
      <w:r>
        <w:rPr>
          <w:color w:val="auto"/>
        </w:rPr>
        <w:instrText xml:space="preserve"> HYPERLINK \l "_Toc21875" </w:instrText>
      </w:r>
      <w:r>
        <w:rPr>
          <w:color w:val="auto"/>
        </w:rPr>
        <w:fldChar w:fldCharType="separate"/>
      </w:r>
      <w:r>
        <w:rPr>
          <w:rFonts w:hint="eastAsia" w:ascii="黑体" w:hAnsi="黑体" w:eastAsia="黑体"/>
          <w:color w:val="auto"/>
          <w:szCs w:val="28"/>
        </w:rPr>
        <w:t>八、合同条款偏离表</w:t>
      </w:r>
      <w:r>
        <w:rPr>
          <w:color w:val="auto"/>
        </w:rPr>
        <w:tab/>
      </w:r>
      <w:r>
        <w:rPr>
          <w:color w:val="auto"/>
        </w:rPr>
        <w:fldChar w:fldCharType="begin"/>
      </w:r>
      <w:r>
        <w:rPr>
          <w:color w:val="auto"/>
        </w:rPr>
        <w:instrText xml:space="preserve"> PAGEREF _Toc21875 \h </w:instrText>
      </w:r>
      <w:r>
        <w:rPr>
          <w:color w:val="auto"/>
        </w:rPr>
        <w:fldChar w:fldCharType="separate"/>
      </w:r>
      <w:r>
        <w:rPr>
          <w:color w:val="auto"/>
        </w:rPr>
        <w:t>80</w:t>
      </w:r>
      <w:r>
        <w:rPr>
          <w:color w:val="auto"/>
        </w:rPr>
        <w:fldChar w:fldCharType="end"/>
      </w:r>
      <w:r>
        <w:rPr>
          <w:color w:val="auto"/>
        </w:rPr>
        <w:fldChar w:fldCharType="end"/>
      </w:r>
    </w:p>
    <w:p w14:paraId="08F1E010">
      <w:pPr>
        <w:pStyle w:val="20"/>
        <w:tabs>
          <w:tab w:val="right" w:leader="dot" w:pos="8844"/>
        </w:tabs>
        <w:ind w:left="840"/>
        <w:rPr>
          <w:color w:val="auto"/>
        </w:rPr>
      </w:pPr>
      <w:r>
        <w:rPr>
          <w:color w:val="auto"/>
        </w:rPr>
        <w:fldChar w:fldCharType="begin"/>
      </w:r>
      <w:r>
        <w:rPr>
          <w:color w:val="auto"/>
        </w:rPr>
        <w:instrText xml:space="preserve"> HYPERLINK \l "_Toc18956" </w:instrText>
      </w:r>
      <w:r>
        <w:rPr>
          <w:color w:val="auto"/>
        </w:rPr>
        <w:fldChar w:fldCharType="separate"/>
      </w:r>
      <w:r>
        <w:rPr>
          <w:rFonts w:hint="eastAsia" w:ascii="黑体" w:hAnsi="宋体" w:eastAsia="黑体"/>
          <w:color w:val="auto"/>
          <w:szCs w:val="28"/>
        </w:rPr>
        <w:t>九、采购需求偏离表</w:t>
      </w:r>
      <w:r>
        <w:rPr>
          <w:color w:val="auto"/>
        </w:rPr>
        <w:tab/>
      </w:r>
      <w:r>
        <w:rPr>
          <w:color w:val="auto"/>
        </w:rPr>
        <w:fldChar w:fldCharType="begin"/>
      </w:r>
      <w:r>
        <w:rPr>
          <w:color w:val="auto"/>
        </w:rPr>
        <w:instrText xml:space="preserve"> PAGEREF _Toc18956 \h </w:instrText>
      </w:r>
      <w:r>
        <w:rPr>
          <w:color w:val="auto"/>
        </w:rPr>
        <w:fldChar w:fldCharType="separate"/>
      </w:r>
      <w:r>
        <w:rPr>
          <w:color w:val="auto"/>
        </w:rPr>
        <w:t>81</w:t>
      </w:r>
      <w:r>
        <w:rPr>
          <w:color w:val="auto"/>
        </w:rPr>
        <w:fldChar w:fldCharType="end"/>
      </w:r>
      <w:r>
        <w:rPr>
          <w:color w:val="auto"/>
        </w:rPr>
        <w:fldChar w:fldCharType="end"/>
      </w:r>
    </w:p>
    <w:p w14:paraId="422D8859">
      <w:pPr>
        <w:pStyle w:val="20"/>
        <w:tabs>
          <w:tab w:val="right" w:leader="dot" w:pos="8844"/>
        </w:tabs>
        <w:ind w:left="840"/>
        <w:rPr>
          <w:color w:val="auto"/>
        </w:rPr>
      </w:pPr>
      <w:r>
        <w:rPr>
          <w:color w:val="auto"/>
        </w:rPr>
        <w:fldChar w:fldCharType="begin"/>
      </w:r>
      <w:r>
        <w:rPr>
          <w:color w:val="auto"/>
        </w:rPr>
        <w:instrText xml:space="preserve"> HYPERLINK \l "_Toc22999" </w:instrText>
      </w:r>
      <w:r>
        <w:rPr>
          <w:color w:val="auto"/>
        </w:rPr>
        <w:fldChar w:fldCharType="separate"/>
      </w:r>
      <w:r>
        <w:rPr>
          <w:rFonts w:hint="eastAsia" w:ascii="黑体" w:hAnsi="宋体" w:eastAsia="黑体"/>
          <w:color w:val="auto"/>
          <w:szCs w:val="28"/>
        </w:rPr>
        <w:t>十、享受政府采购政策的证明资料</w:t>
      </w:r>
      <w:r>
        <w:rPr>
          <w:color w:val="auto"/>
        </w:rPr>
        <w:tab/>
      </w:r>
      <w:r>
        <w:rPr>
          <w:color w:val="auto"/>
        </w:rPr>
        <w:fldChar w:fldCharType="begin"/>
      </w:r>
      <w:r>
        <w:rPr>
          <w:color w:val="auto"/>
        </w:rPr>
        <w:instrText xml:space="preserve"> PAGEREF _Toc22999 \h </w:instrText>
      </w:r>
      <w:r>
        <w:rPr>
          <w:color w:val="auto"/>
        </w:rPr>
        <w:fldChar w:fldCharType="separate"/>
      </w:r>
      <w:r>
        <w:rPr>
          <w:color w:val="auto"/>
        </w:rPr>
        <w:t>82</w:t>
      </w:r>
      <w:r>
        <w:rPr>
          <w:color w:val="auto"/>
        </w:rPr>
        <w:fldChar w:fldCharType="end"/>
      </w:r>
      <w:r>
        <w:rPr>
          <w:color w:val="auto"/>
        </w:rPr>
        <w:fldChar w:fldCharType="end"/>
      </w:r>
    </w:p>
    <w:p w14:paraId="67D4A38F">
      <w:pPr>
        <w:pStyle w:val="29"/>
        <w:tabs>
          <w:tab w:val="right" w:leader="dot" w:pos="8844"/>
        </w:tabs>
        <w:ind w:left="1260"/>
        <w:rPr>
          <w:color w:val="auto"/>
        </w:rPr>
      </w:pPr>
      <w:r>
        <w:rPr>
          <w:color w:val="auto"/>
        </w:rPr>
        <w:fldChar w:fldCharType="begin"/>
      </w:r>
      <w:r>
        <w:rPr>
          <w:color w:val="auto"/>
        </w:rPr>
        <w:instrText xml:space="preserve"> HYPERLINK \l "_Toc27490" </w:instrText>
      </w:r>
      <w:r>
        <w:rPr>
          <w:color w:val="auto"/>
        </w:rPr>
        <w:fldChar w:fldCharType="separate"/>
      </w:r>
      <w:r>
        <w:rPr>
          <w:rFonts w:hint="eastAsia" w:ascii="黑体" w:hAnsi="黑体"/>
          <w:color w:val="auto"/>
          <w:szCs w:val="21"/>
        </w:rPr>
        <w:t>附件10-1 中小企业声明函（货物）</w:t>
      </w:r>
      <w:r>
        <w:rPr>
          <w:color w:val="auto"/>
        </w:rPr>
        <w:tab/>
      </w:r>
      <w:r>
        <w:rPr>
          <w:color w:val="auto"/>
        </w:rPr>
        <w:fldChar w:fldCharType="begin"/>
      </w:r>
      <w:r>
        <w:rPr>
          <w:color w:val="auto"/>
        </w:rPr>
        <w:instrText xml:space="preserve"> PAGEREF _Toc27490 \h </w:instrText>
      </w:r>
      <w:r>
        <w:rPr>
          <w:color w:val="auto"/>
        </w:rPr>
        <w:fldChar w:fldCharType="separate"/>
      </w:r>
      <w:r>
        <w:rPr>
          <w:color w:val="auto"/>
        </w:rPr>
        <w:t>82</w:t>
      </w:r>
      <w:r>
        <w:rPr>
          <w:color w:val="auto"/>
        </w:rPr>
        <w:fldChar w:fldCharType="end"/>
      </w:r>
      <w:r>
        <w:rPr>
          <w:color w:val="auto"/>
        </w:rPr>
        <w:fldChar w:fldCharType="end"/>
      </w:r>
    </w:p>
    <w:p w14:paraId="63938DFF">
      <w:pPr>
        <w:pStyle w:val="29"/>
        <w:tabs>
          <w:tab w:val="right" w:leader="dot" w:pos="8844"/>
        </w:tabs>
        <w:ind w:left="1260"/>
        <w:rPr>
          <w:color w:val="auto"/>
        </w:rPr>
      </w:pPr>
      <w:r>
        <w:rPr>
          <w:color w:val="auto"/>
        </w:rPr>
        <w:fldChar w:fldCharType="begin"/>
      </w:r>
      <w:r>
        <w:rPr>
          <w:color w:val="auto"/>
        </w:rPr>
        <w:instrText xml:space="preserve"> HYPERLINK \l "_Toc5869" </w:instrText>
      </w:r>
      <w:r>
        <w:rPr>
          <w:color w:val="auto"/>
        </w:rPr>
        <w:fldChar w:fldCharType="separate"/>
      </w:r>
      <w:r>
        <w:rPr>
          <w:rFonts w:hint="eastAsia" w:ascii="黑体" w:hAnsi="黑体" w:cs="宋体"/>
          <w:color w:val="auto"/>
          <w:kern w:val="0"/>
          <w:szCs w:val="21"/>
        </w:rPr>
        <w:t xml:space="preserve">附件10-3 </w:t>
      </w:r>
      <w:r>
        <w:rPr>
          <w:rFonts w:hint="eastAsia" w:ascii="黑体" w:hAnsi="黑体"/>
          <w:color w:val="auto"/>
          <w:szCs w:val="21"/>
        </w:rPr>
        <w:t>监狱企业证明资料</w:t>
      </w:r>
      <w:r>
        <w:rPr>
          <w:color w:val="auto"/>
        </w:rPr>
        <w:tab/>
      </w:r>
      <w:r>
        <w:rPr>
          <w:color w:val="auto"/>
        </w:rPr>
        <w:fldChar w:fldCharType="begin"/>
      </w:r>
      <w:r>
        <w:rPr>
          <w:color w:val="auto"/>
        </w:rPr>
        <w:instrText xml:space="preserve"> PAGEREF _Toc5869 \h </w:instrText>
      </w:r>
      <w:r>
        <w:rPr>
          <w:color w:val="auto"/>
        </w:rPr>
        <w:fldChar w:fldCharType="separate"/>
      </w:r>
      <w:r>
        <w:rPr>
          <w:color w:val="auto"/>
        </w:rPr>
        <w:t>86</w:t>
      </w:r>
      <w:r>
        <w:rPr>
          <w:color w:val="auto"/>
        </w:rPr>
        <w:fldChar w:fldCharType="end"/>
      </w:r>
      <w:r>
        <w:rPr>
          <w:color w:val="auto"/>
        </w:rPr>
        <w:fldChar w:fldCharType="end"/>
      </w:r>
    </w:p>
    <w:p w14:paraId="2EBB62CE">
      <w:pPr>
        <w:pStyle w:val="29"/>
        <w:tabs>
          <w:tab w:val="right" w:leader="dot" w:pos="8844"/>
        </w:tabs>
        <w:ind w:left="1260"/>
        <w:rPr>
          <w:color w:val="auto"/>
        </w:rPr>
      </w:pPr>
      <w:r>
        <w:rPr>
          <w:color w:val="auto"/>
        </w:rPr>
        <w:fldChar w:fldCharType="begin"/>
      </w:r>
      <w:r>
        <w:rPr>
          <w:color w:val="auto"/>
        </w:rPr>
        <w:instrText xml:space="preserve"> HYPERLINK \l "_Toc19193" </w:instrText>
      </w:r>
      <w:r>
        <w:rPr>
          <w:color w:val="auto"/>
        </w:rPr>
        <w:fldChar w:fldCharType="separate"/>
      </w:r>
      <w:r>
        <w:rPr>
          <w:rFonts w:hint="eastAsia" w:ascii="黑体" w:hAnsi="黑体" w:cs="宋体"/>
          <w:color w:val="auto"/>
          <w:spacing w:val="6"/>
          <w:kern w:val="0"/>
          <w:szCs w:val="21"/>
        </w:rPr>
        <w:t xml:space="preserve">附件10-4 </w:t>
      </w:r>
      <w:r>
        <w:rPr>
          <w:rFonts w:hint="eastAsia" w:ascii="黑体" w:hAnsi="黑体"/>
          <w:color w:val="auto"/>
          <w:szCs w:val="21"/>
        </w:rPr>
        <w:t>强制采购或者优先采购产品的证明材料</w:t>
      </w:r>
      <w:r>
        <w:rPr>
          <w:color w:val="auto"/>
        </w:rPr>
        <w:tab/>
      </w:r>
      <w:r>
        <w:rPr>
          <w:color w:val="auto"/>
        </w:rPr>
        <w:fldChar w:fldCharType="begin"/>
      </w:r>
      <w:r>
        <w:rPr>
          <w:color w:val="auto"/>
        </w:rPr>
        <w:instrText xml:space="preserve"> PAGEREF _Toc19193 \h </w:instrText>
      </w:r>
      <w:r>
        <w:rPr>
          <w:color w:val="auto"/>
        </w:rPr>
        <w:fldChar w:fldCharType="separate"/>
      </w:r>
      <w:r>
        <w:rPr>
          <w:color w:val="auto"/>
        </w:rPr>
        <w:t>87</w:t>
      </w:r>
      <w:r>
        <w:rPr>
          <w:color w:val="auto"/>
        </w:rPr>
        <w:fldChar w:fldCharType="end"/>
      </w:r>
      <w:r>
        <w:rPr>
          <w:color w:val="auto"/>
        </w:rPr>
        <w:fldChar w:fldCharType="end"/>
      </w:r>
    </w:p>
    <w:p w14:paraId="65CA3347">
      <w:pPr>
        <w:pStyle w:val="19"/>
        <w:tabs>
          <w:tab w:val="right" w:leader="dot" w:pos="8844"/>
        </w:tabs>
        <w:ind w:left="1680"/>
        <w:rPr>
          <w:color w:val="auto"/>
        </w:rPr>
      </w:pPr>
      <w:r>
        <w:rPr>
          <w:color w:val="auto"/>
        </w:rPr>
        <w:fldChar w:fldCharType="begin"/>
      </w:r>
      <w:r>
        <w:rPr>
          <w:color w:val="auto"/>
        </w:rPr>
        <w:instrText xml:space="preserve"> HYPERLINK \l "_Toc17729" </w:instrText>
      </w:r>
      <w:r>
        <w:rPr>
          <w:color w:val="auto"/>
        </w:rPr>
        <w:fldChar w:fldCharType="separate"/>
      </w:r>
      <w:r>
        <w:rPr>
          <w:rFonts w:hint="eastAsia" w:ascii="黑体" w:hAnsi="黑体" w:eastAsia="黑体" w:cs="宋体"/>
          <w:color w:val="auto"/>
          <w:spacing w:val="6"/>
          <w:szCs w:val="21"/>
        </w:rPr>
        <w:t xml:space="preserve">附页1 </w:t>
      </w:r>
      <w:r>
        <w:rPr>
          <w:rFonts w:hint="eastAsia" w:ascii="黑体" w:hAnsi="黑体" w:eastAsia="黑体"/>
          <w:color w:val="auto"/>
          <w:szCs w:val="21"/>
        </w:rPr>
        <w:t>优先采购产品清单</w:t>
      </w:r>
      <w:r>
        <w:rPr>
          <w:color w:val="auto"/>
        </w:rPr>
        <w:tab/>
      </w:r>
      <w:r>
        <w:rPr>
          <w:color w:val="auto"/>
        </w:rPr>
        <w:fldChar w:fldCharType="begin"/>
      </w:r>
      <w:r>
        <w:rPr>
          <w:color w:val="auto"/>
        </w:rPr>
        <w:instrText xml:space="preserve"> PAGEREF _Toc17729 \h </w:instrText>
      </w:r>
      <w:r>
        <w:rPr>
          <w:color w:val="auto"/>
        </w:rPr>
        <w:fldChar w:fldCharType="separate"/>
      </w:r>
      <w:r>
        <w:rPr>
          <w:color w:val="auto"/>
        </w:rPr>
        <w:t>88</w:t>
      </w:r>
      <w:r>
        <w:rPr>
          <w:color w:val="auto"/>
        </w:rPr>
        <w:fldChar w:fldCharType="end"/>
      </w:r>
      <w:r>
        <w:rPr>
          <w:color w:val="auto"/>
        </w:rPr>
        <w:fldChar w:fldCharType="end"/>
      </w:r>
    </w:p>
    <w:p w14:paraId="191E1EB6">
      <w:pPr>
        <w:pStyle w:val="29"/>
        <w:tabs>
          <w:tab w:val="right" w:leader="dot" w:pos="8844"/>
        </w:tabs>
        <w:ind w:left="1260"/>
        <w:rPr>
          <w:color w:val="auto"/>
        </w:rPr>
      </w:pPr>
      <w:r>
        <w:rPr>
          <w:color w:val="auto"/>
        </w:rPr>
        <w:fldChar w:fldCharType="begin"/>
      </w:r>
      <w:r>
        <w:rPr>
          <w:color w:val="auto"/>
        </w:rPr>
        <w:instrText xml:space="preserve"> HYPERLINK \l "_Toc9170" </w:instrText>
      </w:r>
      <w:r>
        <w:rPr>
          <w:color w:val="auto"/>
        </w:rPr>
        <w:fldChar w:fldCharType="separate"/>
      </w:r>
      <w:r>
        <w:rPr>
          <w:rFonts w:hint="eastAsia" w:ascii="黑体" w:hAnsi="黑体" w:cs="宋体"/>
          <w:color w:val="auto"/>
          <w:spacing w:val="6"/>
          <w:kern w:val="0"/>
          <w:szCs w:val="21"/>
        </w:rPr>
        <w:t xml:space="preserve">附件10-5 </w:t>
      </w:r>
      <w:r>
        <w:rPr>
          <w:rFonts w:hint="eastAsia" w:ascii="黑体" w:hAnsi="黑体"/>
          <w:color w:val="auto"/>
          <w:szCs w:val="21"/>
        </w:rPr>
        <w:t>联合体协议书（格式）</w:t>
      </w:r>
      <w:r>
        <w:rPr>
          <w:color w:val="auto"/>
        </w:rPr>
        <w:tab/>
      </w:r>
      <w:r>
        <w:rPr>
          <w:color w:val="auto"/>
        </w:rPr>
        <w:fldChar w:fldCharType="begin"/>
      </w:r>
      <w:r>
        <w:rPr>
          <w:color w:val="auto"/>
        </w:rPr>
        <w:instrText xml:space="preserve"> PAGEREF _Toc9170 \h </w:instrText>
      </w:r>
      <w:r>
        <w:rPr>
          <w:color w:val="auto"/>
        </w:rPr>
        <w:fldChar w:fldCharType="separate"/>
      </w:r>
      <w:r>
        <w:rPr>
          <w:color w:val="auto"/>
        </w:rPr>
        <w:t>89</w:t>
      </w:r>
      <w:r>
        <w:rPr>
          <w:color w:val="auto"/>
        </w:rPr>
        <w:fldChar w:fldCharType="end"/>
      </w:r>
      <w:r>
        <w:rPr>
          <w:color w:val="auto"/>
        </w:rPr>
        <w:fldChar w:fldCharType="end"/>
      </w:r>
    </w:p>
    <w:p w14:paraId="338CDF85">
      <w:pPr>
        <w:pStyle w:val="20"/>
        <w:tabs>
          <w:tab w:val="right" w:leader="dot" w:pos="8844"/>
        </w:tabs>
        <w:ind w:left="840"/>
        <w:rPr>
          <w:color w:val="auto"/>
        </w:rPr>
      </w:pPr>
      <w:r>
        <w:rPr>
          <w:color w:val="auto"/>
        </w:rPr>
        <w:fldChar w:fldCharType="begin"/>
      </w:r>
      <w:r>
        <w:rPr>
          <w:color w:val="auto"/>
        </w:rPr>
        <w:instrText xml:space="preserve"> HYPERLINK \l "_Toc13563" </w:instrText>
      </w:r>
      <w:r>
        <w:rPr>
          <w:color w:val="auto"/>
        </w:rPr>
        <w:fldChar w:fldCharType="separate"/>
      </w:r>
      <w:r>
        <w:rPr>
          <w:rFonts w:hint="eastAsia" w:ascii="黑体" w:hAnsi="宋体" w:eastAsia="黑体"/>
          <w:color w:val="auto"/>
          <w:szCs w:val="28"/>
        </w:rPr>
        <w:t>十一、投标货物符合招标文件规定的证明文件</w:t>
      </w:r>
      <w:r>
        <w:rPr>
          <w:color w:val="auto"/>
        </w:rPr>
        <w:tab/>
      </w:r>
      <w:r>
        <w:rPr>
          <w:color w:val="auto"/>
        </w:rPr>
        <w:fldChar w:fldCharType="begin"/>
      </w:r>
      <w:r>
        <w:rPr>
          <w:color w:val="auto"/>
        </w:rPr>
        <w:instrText xml:space="preserve"> PAGEREF _Toc13563 \h </w:instrText>
      </w:r>
      <w:r>
        <w:rPr>
          <w:color w:val="auto"/>
        </w:rPr>
        <w:fldChar w:fldCharType="separate"/>
      </w:r>
      <w:r>
        <w:rPr>
          <w:color w:val="auto"/>
        </w:rPr>
        <w:t>90</w:t>
      </w:r>
      <w:r>
        <w:rPr>
          <w:color w:val="auto"/>
        </w:rPr>
        <w:fldChar w:fldCharType="end"/>
      </w:r>
      <w:r>
        <w:rPr>
          <w:color w:val="auto"/>
        </w:rPr>
        <w:fldChar w:fldCharType="end"/>
      </w:r>
    </w:p>
    <w:p w14:paraId="3E67BC05">
      <w:pPr>
        <w:pStyle w:val="20"/>
        <w:tabs>
          <w:tab w:val="right" w:leader="dot" w:pos="8844"/>
        </w:tabs>
        <w:ind w:left="840"/>
        <w:rPr>
          <w:color w:val="auto"/>
        </w:rPr>
      </w:pPr>
      <w:r>
        <w:rPr>
          <w:color w:val="auto"/>
        </w:rPr>
        <w:fldChar w:fldCharType="begin"/>
      </w:r>
      <w:r>
        <w:rPr>
          <w:color w:val="auto"/>
        </w:rPr>
        <w:instrText xml:space="preserve"> HYPERLINK \l "_Toc11653" </w:instrText>
      </w:r>
      <w:r>
        <w:rPr>
          <w:color w:val="auto"/>
        </w:rPr>
        <w:fldChar w:fldCharType="separate"/>
      </w:r>
      <w:r>
        <w:rPr>
          <w:rFonts w:hint="eastAsia" w:ascii="黑体" w:hAnsi="宋体" w:eastAsia="黑体"/>
          <w:color w:val="auto"/>
          <w:szCs w:val="28"/>
        </w:rPr>
        <w:t>十二、投标人认为需提供的其他资料</w:t>
      </w:r>
      <w:r>
        <w:rPr>
          <w:color w:val="auto"/>
        </w:rPr>
        <w:tab/>
      </w:r>
      <w:r>
        <w:rPr>
          <w:color w:val="auto"/>
        </w:rPr>
        <w:fldChar w:fldCharType="begin"/>
      </w:r>
      <w:r>
        <w:rPr>
          <w:color w:val="auto"/>
        </w:rPr>
        <w:instrText xml:space="preserve"> PAGEREF _Toc11653 \h </w:instrText>
      </w:r>
      <w:r>
        <w:rPr>
          <w:color w:val="auto"/>
        </w:rPr>
        <w:fldChar w:fldCharType="separate"/>
      </w:r>
      <w:r>
        <w:rPr>
          <w:color w:val="auto"/>
        </w:rPr>
        <w:t>91</w:t>
      </w:r>
      <w:r>
        <w:rPr>
          <w:color w:val="auto"/>
        </w:rPr>
        <w:fldChar w:fldCharType="end"/>
      </w:r>
      <w:r>
        <w:rPr>
          <w:color w:val="auto"/>
        </w:rPr>
        <w:fldChar w:fldCharType="end"/>
      </w:r>
    </w:p>
    <w:p w14:paraId="2CA4E954">
      <w:pPr>
        <w:pStyle w:val="20"/>
        <w:tabs>
          <w:tab w:val="right" w:leader="dot" w:pos="8844"/>
        </w:tabs>
        <w:ind w:left="840"/>
        <w:rPr>
          <w:color w:val="auto"/>
        </w:rPr>
      </w:pPr>
      <w:r>
        <w:rPr>
          <w:color w:val="auto"/>
        </w:rPr>
        <w:fldChar w:fldCharType="begin"/>
      </w:r>
      <w:r>
        <w:rPr>
          <w:color w:val="auto"/>
        </w:rPr>
        <w:instrText xml:space="preserve"> HYPERLINK \l "_Toc24939" </w:instrText>
      </w:r>
      <w:r>
        <w:rPr>
          <w:color w:val="auto"/>
        </w:rPr>
        <w:fldChar w:fldCharType="separate"/>
      </w:r>
      <w:r>
        <w:rPr>
          <w:rFonts w:hint="eastAsia" w:ascii="黑体" w:hAnsi="宋体" w:eastAsia="黑体"/>
          <w:color w:val="auto"/>
          <w:szCs w:val="28"/>
        </w:rPr>
        <w:t>十三、中标服务费承诺书</w:t>
      </w:r>
      <w:r>
        <w:rPr>
          <w:color w:val="auto"/>
        </w:rPr>
        <w:tab/>
      </w:r>
      <w:r>
        <w:rPr>
          <w:color w:val="auto"/>
        </w:rPr>
        <w:fldChar w:fldCharType="begin"/>
      </w:r>
      <w:r>
        <w:rPr>
          <w:color w:val="auto"/>
        </w:rPr>
        <w:instrText xml:space="preserve"> PAGEREF _Toc24939 \h </w:instrText>
      </w:r>
      <w:r>
        <w:rPr>
          <w:color w:val="auto"/>
        </w:rPr>
        <w:fldChar w:fldCharType="separate"/>
      </w:r>
      <w:r>
        <w:rPr>
          <w:color w:val="auto"/>
        </w:rPr>
        <w:t>92</w:t>
      </w:r>
      <w:r>
        <w:rPr>
          <w:color w:val="auto"/>
        </w:rPr>
        <w:fldChar w:fldCharType="end"/>
      </w:r>
      <w:r>
        <w:rPr>
          <w:color w:val="auto"/>
        </w:rPr>
        <w:fldChar w:fldCharType="end"/>
      </w:r>
    </w:p>
    <w:p w14:paraId="1E442C92">
      <w:pPr>
        <w:pStyle w:val="21"/>
        <w:adjustRightInd w:val="0"/>
        <w:snapToGrid w:val="0"/>
        <w:spacing w:line="360" w:lineRule="auto"/>
        <w:outlineLvl w:val="0"/>
        <w:rPr>
          <w:rFonts w:hAnsi="宋体"/>
          <w:color w:val="auto"/>
        </w:rPr>
        <w:sectPr>
          <w:footerReference r:id="rId3" w:type="default"/>
          <w:pgSz w:w="11900" w:h="16838"/>
          <w:pgMar w:top="1134" w:right="1559" w:bottom="680" w:left="1678" w:header="879" w:footer="0" w:gutter="0"/>
          <w:cols w:space="0" w:num="1"/>
          <w:docGrid w:linePitch="312" w:charSpace="0"/>
        </w:sectPr>
      </w:pPr>
      <w:r>
        <w:rPr>
          <w:rFonts w:cs="Times New Roman" w:asciiTheme="minorEastAsia" w:hAnsiTheme="minorEastAsia" w:eastAsiaTheme="minorEastAsia"/>
          <w:color w:val="auto"/>
        </w:rPr>
        <w:fldChar w:fldCharType="end"/>
      </w:r>
    </w:p>
    <w:p w14:paraId="5CAC2A6C">
      <w:pPr>
        <w:pStyle w:val="2"/>
        <w:rPr>
          <w:rFonts w:ascii="黑体" w:hAnsi="华文中宋" w:eastAsia="黑体"/>
          <w:color w:val="auto"/>
          <w:sz w:val="32"/>
          <w:szCs w:val="32"/>
        </w:rPr>
      </w:pPr>
      <w:bookmarkStart w:id="0" w:name="_Toc25605"/>
      <w:bookmarkStart w:id="1" w:name="_Toc20816073"/>
      <w:bookmarkStart w:id="2" w:name="_Toc20642243"/>
      <w:bookmarkStart w:id="3" w:name="_Toc34720698"/>
      <w:bookmarkStart w:id="4" w:name="_Toc20988241"/>
      <w:bookmarkStart w:id="5" w:name="_Toc35421027"/>
      <w:bookmarkStart w:id="6" w:name="_Toc53472201"/>
      <w:bookmarkStart w:id="7" w:name="_Toc21001314"/>
      <w:bookmarkStart w:id="8" w:name="_Toc21000471"/>
      <w:r>
        <w:rPr>
          <w:rFonts w:hint="eastAsia" w:ascii="黑体" w:hAnsi="华文中宋" w:eastAsia="黑体"/>
          <w:color w:val="auto"/>
          <w:sz w:val="32"/>
          <w:szCs w:val="32"/>
        </w:rPr>
        <w:t>第一章 投标邀请</w:t>
      </w:r>
      <w:bookmarkEnd w:id="0"/>
    </w:p>
    <w:p w14:paraId="53E451D1">
      <w:pPr>
        <w:pStyle w:val="21"/>
        <w:adjustRightInd w:val="0"/>
        <w:snapToGrid w:val="0"/>
        <w:spacing w:line="360" w:lineRule="auto"/>
        <w:rPr>
          <w:rFonts w:hAnsi="宋体"/>
          <w:iCs/>
          <w:color w:val="auto"/>
        </w:rPr>
      </w:pPr>
    </w:p>
    <w:p w14:paraId="79239DEF">
      <w:pPr>
        <w:pStyle w:val="4"/>
        <w:keepNext w:val="0"/>
        <w:keepLines w:val="0"/>
        <w:widowControl/>
        <w:shd w:val="clear" w:color="auto" w:fill="FFFFFF"/>
        <w:spacing w:before="0" w:after="0"/>
        <w:textAlignment w:val="baseline"/>
        <w:rPr>
          <w:rFonts w:ascii="微软雅黑" w:hAnsi="微软雅黑" w:eastAsia="微软雅黑" w:cs="微软雅黑"/>
          <w:color w:val="auto"/>
        </w:rPr>
      </w:pPr>
      <w:bookmarkStart w:id="9" w:name="_Toc22394"/>
      <w:r>
        <w:rPr>
          <w:rFonts w:hint="eastAsia" w:ascii="微软雅黑" w:hAnsi="微软雅黑" w:eastAsia="微软雅黑" w:cs="微软雅黑"/>
          <w:color w:val="auto"/>
          <w:shd w:val="clear" w:color="auto" w:fill="FFFFFF"/>
        </w:rPr>
        <w:t>项目概况</w:t>
      </w:r>
      <w:bookmarkEnd w:id="9"/>
    </w:p>
    <w:p w14:paraId="666EBFF3">
      <w:pPr>
        <w:pStyle w:val="21"/>
        <w:adjustRightInd w:val="0"/>
        <w:snapToGrid w:val="0"/>
        <w:spacing w:line="340" w:lineRule="exact"/>
        <w:rPr>
          <w:rFonts w:cs="Times New Roman" w:asciiTheme="minorEastAsia" w:hAnsiTheme="minorEastAsia"/>
          <w:color w:val="auto"/>
        </w:rPr>
      </w:pPr>
      <w:r>
        <w:rPr>
          <w:rFonts w:hint="eastAsia" w:cs="Times New Roman" w:asciiTheme="minorEastAsia" w:hAnsiTheme="minorEastAsia"/>
          <w:color w:val="auto"/>
          <w:lang w:eastAsia="zh-CN"/>
        </w:rPr>
        <w:t>中南大学湘雅医院皮肤科、人体器官获取组织一批设备采购项目（第二次）</w:t>
      </w:r>
      <w:r>
        <w:rPr>
          <w:rFonts w:hint="eastAsia" w:cs="Times New Roman" w:asciiTheme="minorEastAsia" w:hAnsiTheme="minorEastAsia"/>
          <w:color w:val="auto"/>
        </w:rPr>
        <w:t xml:space="preserve"> 的潜在投标人应在华新管理电子招标采购平台（https://hxgl316.youzhicai.com/）成功注册后可在网上（下载）获取招标文件，并于</w:t>
      </w:r>
      <w:r>
        <w:rPr>
          <w:rFonts w:hint="eastAsia" w:asciiTheme="minorEastAsia" w:hAnsiTheme="minorEastAsia"/>
          <w:color w:val="auto"/>
        </w:rPr>
        <w:t>2025年</w:t>
      </w:r>
      <w:r>
        <w:rPr>
          <w:rFonts w:hint="eastAsia" w:asciiTheme="minorEastAsia" w:hAnsiTheme="minorEastAsia"/>
          <w:color w:val="auto"/>
          <w:lang w:val="en-US" w:eastAsia="zh-CN"/>
        </w:rPr>
        <w:t>4</w:t>
      </w:r>
      <w:r>
        <w:rPr>
          <w:rFonts w:hint="eastAsia" w:asciiTheme="minorEastAsia" w:hAnsiTheme="minorEastAsia"/>
          <w:color w:val="auto"/>
        </w:rPr>
        <w:t>月</w:t>
      </w:r>
      <w:r>
        <w:rPr>
          <w:rFonts w:hint="eastAsia" w:asciiTheme="minorEastAsia" w:hAnsiTheme="minorEastAsia"/>
          <w:color w:val="auto"/>
          <w:lang w:val="en-US" w:eastAsia="zh-CN"/>
        </w:rPr>
        <w:t>1</w:t>
      </w:r>
      <w:r>
        <w:rPr>
          <w:rFonts w:hint="eastAsia" w:asciiTheme="minorEastAsia" w:hAnsiTheme="minorEastAsia"/>
          <w:color w:val="auto"/>
        </w:rPr>
        <w:t>日</w:t>
      </w:r>
      <w:r>
        <w:rPr>
          <w:rFonts w:hint="eastAsia" w:cs="Times New Roman" w:asciiTheme="minorEastAsia" w:hAnsiTheme="minorEastAsia"/>
          <w:color w:val="auto"/>
        </w:rPr>
        <w:t>9点00分（北京时间）前递交投标文件。</w:t>
      </w:r>
    </w:p>
    <w:p w14:paraId="41C6BD4C">
      <w:pPr>
        <w:pStyle w:val="3"/>
        <w:adjustRightInd w:val="0"/>
        <w:snapToGrid w:val="0"/>
        <w:spacing w:before="120" w:beforeLines="50" w:line="340" w:lineRule="exact"/>
        <w:rPr>
          <w:color w:val="auto"/>
        </w:rPr>
      </w:pPr>
      <w:bookmarkStart w:id="10" w:name="_Toc35393621"/>
      <w:bookmarkStart w:id="11" w:name="_Toc28359002"/>
      <w:bookmarkStart w:id="12" w:name="_Toc13065"/>
      <w:bookmarkStart w:id="13" w:name="_Toc35393790"/>
      <w:bookmarkStart w:id="14" w:name="_Toc28359079"/>
      <w:bookmarkStart w:id="15" w:name="_Hlk24379207"/>
      <w:r>
        <w:rPr>
          <w:rFonts w:hint="eastAsia"/>
          <w:color w:val="auto"/>
        </w:rPr>
        <w:t>一、项目基本情况</w:t>
      </w:r>
      <w:bookmarkEnd w:id="10"/>
      <w:bookmarkEnd w:id="11"/>
      <w:bookmarkEnd w:id="12"/>
      <w:bookmarkEnd w:id="13"/>
      <w:bookmarkEnd w:id="14"/>
    </w:p>
    <w:bookmarkEnd w:id="15"/>
    <w:p w14:paraId="4DF76E79">
      <w:pPr>
        <w:adjustRightInd w:val="0"/>
        <w:snapToGrid w:val="0"/>
        <w:spacing w:before="50" w:line="340" w:lineRule="exact"/>
        <w:ind w:firstLine="420" w:firstLineChars="200"/>
        <w:rPr>
          <w:rFonts w:hint="eastAsia" w:asciiTheme="minorEastAsia" w:hAnsiTheme="minorEastAsia"/>
          <w:color w:val="auto"/>
          <w:szCs w:val="21"/>
          <w:lang w:eastAsia="zh-CN"/>
        </w:rPr>
      </w:pPr>
      <w:bookmarkStart w:id="16" w:name="_Toc28359080"/>
      <w:bookmarkStart w:id="17" w:name="_Toc35393622"/>
      <w:bookmarkStart w:id="18" w:name="_Toc35393791"/>
      <w:bookmarkStart w:id="19" w:name="_Toc28359003"/>
      <w:r>
        <w:rPr>
          <w:rFonts w:hint="eastAsia" w:asciiTheme="minorEastAsia" w:hAnsiTheme="minorEastAsia"/>
          <w:color w:val="auto"/>
          <w:szCs w:val="21"/>
        </w:rPr>
        <w:t>1、采购项目名称：</w:t>
      </w:r>
      <w:r>
        <w:rPr>
          <w:rFonts w:hint="eastAsia" w:asciiTheme="minorEastAsia" w:hAnsiTheme="minorEastAsia"/>
          <w:color w:val="auto"/>
          <w:szCs w:val="21"/>
          <w:lang w:eastAsia="zh-CN"/>
        </w:rPr>
        <w:t>中南大学湘雅医院皮肤科、人体器官获取组织一批设备采购项目</w:t>
      </w:r>
    </w:p>
    <w:p w14:paraId="0058D54B">
      <w:pPr>
        <w:adjustRightInd w:val="0"/>
        <w:snapToGrid w:val="0"/>
        <w:spacing w:before="50" w:line="340" w:lineRule="exact"/>
        <w:ind w:firstLine="2100" w:firstLineChars="1000"/>
        <w:rPr>
          <w:rFonts w:hint="eastAsia" w:eastAsia="宋体" w:asciiTheme="minorEastAsia" w:hAnsiTheme="minorEastAsia"/>
          <w:color w:val="auto"/>
          <w:szCs w:val="21"/>
          <w:lang w:eastAsia="zh-CN"/>
        </w:rPr>
      </w:pPr>
      <w:r>
        <w:rPr>
          <w:rFonts w:hint="eastAsia" w:asciiTheme="minorEastAsia" w:hAnsiTheme="minorEastAsia"/>
          <w:color w:val="auto"/>
          <w:szCs w:val="21"/>
          <w:lang w:eastAsia="zh-CN"/>
        </w:rPr>
        <w:t>（第二次）</w:t>
      </w:r>
    </w:p>
    <w:p w14:paraId="6AFB5910">
      <w:pPr>
        <w:adjustRightInd w:val="0"/>
        <w:snapToGrid w:val="0"/>
        <w:spacing w:before="50" w:line="340" w:lineRule="exact"/>
        <w:ind w:firstLine="420" w:firstLineChars="200"/>
        <w:rPr>
          <w:rFonts w:asciiTheme="minorEastAsia" w:hAnsiTheme="minorEastAsia"/>
          <w:color w:val="auto"/>
          <w:szCs w:val="21"/>
        </w:rPr>
      </w:pPr>
      <w:r>
        <w:rPr>
          <w:rFonts w:hint="eastAsia" w:asciiTheme="minorEastAsia" w:hAnsiTheme="minorEastAsia"/>
          <w:color w:val="auto"/>
          <w:szCs w:val="21"/>
        </w:rPr>
        <w:t>2、代理机构名称：华新项目管理集团有限公司</w:t>
      </w:r>
    </w:p>
    <w:p w14:paraId="4794AB35">
      <w:pPr>
        <w:adjustRightInd w:val="0"/>
        <w:snapToGrid w:val="0"/>
        <w:spacing w:before="50" w:line="340" w:lineRule="exact"/>
        <w:ind w:firstLine="420" w:firstLineChars="200"/>
        <w:rPr>
          <w:rFonts w:asciiTheme="minorEastAsia" w:hAnsiTheme="minorEastAsia"/>
          <w:color w:val="auto"/>
          <w:szCs w:val="21"/>
        </w:rPr>
      </w:pPr>
      <w:r>
        <w:rPr>
          <w:rFonts w:hint="eastAsia" w:asciiTheme="minorEastAsia" w:hAnsiTheme="minorEastAsia"/>
          <w:color w:val="auto"/>
          <w:szCs w:val="21"/>
        </w:rPr>
        <w:t>3、采购代理编号：HXCG-HN-2501028</w:t>
      </w:r>
    </w:p>
    <w:p w14:paraId="2D78E3CD">
      <w:pPr>
        <w:adjustRightInd w:val="0"/>
        <w:snapToGrid w:val="0"/>
        <w:spacing w:before="50" w:line="340" w:lineRule="exact"/>
        <w:ind w:firstLine="840" w:firstLineChars="400"/>
        <w:rPr>
          <w:rFonts w:asciiTheme="minorEastAsia" w:hAnsiTheme="minorEastAsia"/>
          <w:color w:val="auto"/>
          <w:szCs w:val="21"/>
        </w:rPr>
      </w:pPr>
      <w:r>
        <w:rPr>
          <w:rFonts w:hint="eastAsia" w:asciiTheme="minorEastAsia" w:hAnsiTheme="minorEastAsia"/>
          <w:color w:val="auto"/>
          <w:szCs w:val="21"/>
        </w:rPr>
        <w:t>采购人项目编号：</w:t>
      </w:r>
      <w:bookmarkStart w:id="20" w:name="OLE_LINK4"/>
      <w:r>
        <w:rPr>
          <w:rFonts w:hint="eastAsia" w:asciiTheme="minorEastAsia" w:hAnsiTheme="minorEastAsia"/>
          <w:color w:val="auto"/>
          <w:szCs w:val="21"/>
        </w:rPr>
        <w:t>YWHW202501001</w:t>
      </w:r>
      <w:r>
        <w:rPr>
          <w:rFonts w:hint="eastAsia" w:asciiTheme="minorEastAsia" w:hAnsiTheme="minorEastAsia"/>
          <w:color w:val="auto"/>
          <w:szCs w:val="21"/>
          <w:lang w:eastAsia="zh-CN"/>
        </w:rPr>
        <w:t>、</w:t>
      </w:r>
      <w:r>
        <w:rPr>
          <w:rFonts w:hint="eastAsia" w:asciiTheme="minorEastAsia" w:hAnsiTheme="minorEastAsia"/>
          <w:color w:val="auto"/>
          <w:szCs w:val="21"/>
        </w:rPr>
        <w:t>YWHW202501004</w:t>
      </w:r>
    </w:p>
    <w:bookmarkEnd w:id="20"/>
    <w:p w14:paraId="11C7F742">
      <w:pPr>
        <w:adjustRightInd w:val="0"/>
        <w:snapToGrid w:val="0"/>
        <w:spacing w:before="50" w:line="340" w:lineRule="exact"/>
        <w:ind w:firstLine="420" w:firstLineChars="200"/>
        <w:rPr>
          <w:rFonts w:asciiTheme="minorEastAsia" w:hAnsiTheme="minorEastAsia"/>
          <w:color w:val="auto"/>
          <w:szCs w:val="21"/>
        </w:rPr>
      </w:pPr>
      <w:r>
        <w:rPr>
          <w:rFonts w:hint="eastAsia" w:asciiTheme="minorEastAsia" w:hAnsiTheme="minorEastAsia"/>
          <w:color w:val="auto"/>
          <w:szCs w:val="21"/>
        </w:rPr>
        <w:t>4、采购项目总预算及最高限价：</w:t>
      </w:r>
      <w:r>
        <w:rPr>
          <w:rFonts w:hint="eastAsia" w:asciiTheme="minorEastAsia" w:hAnsiTheme="minorEastAsia"/>
          <w:color w:val="auto"/>
          <w:szCs w:val="21"/>
          <w:lang w:val="en-US" w:eastAsia="zh-CN"/>
        </w:rPr>
        <w:t>308</w:t>
      </w:r>
      <w:r>
        <w:rPr>
          <w:rFonts w:hint="eastAsia" w:asciiTheme="minorEastAsia" w:hAnsiTheme="minorEastAsia"/>
          <w:color w:val="auto"/>
          <w:szCs w:val="21"/>
        </w:rPr>
        <w:t>万元</w:t>
      </w:r>
    </w:p>
    <w:p w14:paraId="3F6552E7">
      <w:pPr>
        <w:adjustRightInd w:val="0"/>
        <w:snapToGrid w:val="0"/>
        <w:spacing w:before="50" w:line="340" w:lineRule="exact"/>
        <w:ind w:firstLine="420" w:firstLineChars="200"/>
        <w:rPr>
          <w:rFonts w:asciiTheme="minorEastAsia" w:hAnsiTheme="minorEastAsia"/>
          <w:color w:val="auto"/>
          <w:szCs w:val="21"/>
        </w:rPr>
      </w:pPr>
      <w:r>
        <w:rPr>
          <w:rFonts w:asciiTheme="minorEastAsia" w:hAnsiTheme="minorEastAsia"/>
          <w:color w:val="auto"/>
          <w:szCs w:val="21"/>
        </w:rPr>
        <w:t>5</w:t>
      </w:r>
      <w:r>
        <w:rPr>
          <w:rFonts w:hint="eastAsia" w:asciiTheme="minorEastAsia" w:hAnsiTheme="minorEastAsia"/>
          <w:color w:val="auto"/>
          <w:szCs w:val="21"/>
        </w:rPr>
        <w:t>、采购需求：</w:t>
      </w:r>
    </w:p>
    <w:tbl>
      <w:tblPr>
        <w:tblStyle w:val="41"/>
        <w:tblW w:w="0" w:type="auto"/>
        <w:tblInd w:w="0" w:type="dxa"/>
        <w:tblLayout w:type="fixed"/>
        <w:tblCellMar>
          <w:top w:w="0" w:type="dxa"/>
          <w:left w:w="108" w:type="dxa"/>
          <w:bottom w:w="0" w:type="dxa"/>
          <w:right w:w="108" w:type="dxa"/>
        </w:tblCellMar>
      </w:tblPr>
      <w:tblGrid>
        <w:gridCol w:w="465"/>
        <w:gridCol w:w="726"/>
        <w:gridCol w:w="1156"/>
        <w:gridCol w:w="1840"/>
        <w:gridCol w:w="1200"/>
        <w:gridCol w:w="584"/>
        <w:gridCol w:w="988"/>
        <w:gridCol w:w="1012"/>
        <w:gridCol w:w="803"/>
      </w:tblGrid>
      <w:tr w14:paraId="2FB8D767">
        <w:tblPrEx>
          <w:tblCellMar>
            <w:top w:w="0" w:type="dxa"/>
            <w:left w:w="108" w:type="dxa"/>
            <w:bottom w:w="0" w:type="dxa"/>
            <w:right w:w="108" w:type="dxa"/>
          </w:tblCellMar>
        </w:tblPrEx>
        <w:tc>
          <w:tcPr>
            <w:tcW w:w="4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2A3D0A">
            <w:pPr>
              <w:widowControl/>
              <w:wordWrap w:val="0"/>
              <w:topLinePunct/>
              <w:jc w:val="center"/>
              <w:textAlignment w:val="center"/>
              <w:rPr>
                <w:rFonts w:ascii="宋体" w:hAnsi="宋体" w:cs="宋体"/>
                <w:color w:val="auto"/>
                <w:szCs w:val="21"/>
              </w:rPr>
            </w:pPr>
            <w:r>
              <w:rPr>
                <w:rFonts w:hint="eastAsia" w:ascii="宋体" w:hAnsi="宋体" w:cs="宋体"/>
                <w:color w:val="auto"/>
                <w:kern w:val="0"/>
                <w:szCs w:val="21"/>
                <w:lang w:bidi="ar"/>
              </w:rPr>
              <w:t>包号</w:t>
            </w:r>
          </w:p>
        </w:tc>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74694C">
            <w:pPr>
              <w:widowControl/>
              <w:wordWrap w:val="0"/>
              <w:topLinePunct/>
              <w:jc w:val="center"/>
              <w:textAlignment w:val="center"/>
              <w:rPr>
                <w:rFonts w:ascii="宋体" w:hAnsi="宋体" w:cs="宋体"/>
                <w:color w:val="auto"/>
                <w:szCs w:val="21"/>
              </w:rPr>
            </w:pPr>
            <w:r>
              <w:rPr>
                <w:rFonts w:hint="eastAsia" w:ascii="宋体" w:hAnsi="宋体" w:cs="宋体"/>
                <w:color w:val="auto"/>
                <w:kern w:val="0"/>
                <w:szCs w:val="21"/>
                <w:lang w:bidi="ar"/>
              </w:rPr>
              <w:t>序号</w:t>
            </w:r>
          </w:p>
        </w:tc>
        <w:tc>
          <w:tcPr>
            <w:tcW w:w="11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85915">
            <w:pPr>
              <w:widowControl/>
              <w:wordWrap w:val="0"/>
              <w:topLinePunct/>
              <w:jc w:val="center"/>
              <w:textAlignment w:val="center"/>
              <w:rPr>
                <w:rFonts w:ascii="宋体" w:hAnsi="宋体" w:cs="宋体"/>
                <w:color w:val="auto"/>
                <w:szCs w:val="21"/>
              </w:rPr>
            </w:pPr>
            <w:r>
              <w:rPr>
                <w:rFonts w:hint="eastAsia" w:ascii="宋体" w:hAnsi="宋体" w:cs="宋体"/>
                <w:color w:val="auto"/>
                <w:kern w:val="0"/>
                <w:szCs w:val="21"/>
                <w:lang w:bidi="ar"/>
              </w:rPr>
              <w:t>申请科室</w:t>
            </w:r>
          </w:p>
        </w:tc>
        <w:tc>
          <w:tcPr>
            <w:tcW w:w="1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E579E">
            <w:pPr>
              <w:widowControl/>
              <w:wordWrap w:val="0"/>
              <w:topLinePunct/>
              <w:jc w:val="center"/>
              <w:textAlignment w:val="center"/>
              <w:rPr>
                <w:rFonts w:ascii="宋体" w:hAnsi="宋体" w:cs="宋体"/>
                <w:color w:val="auto"/>
                <w:szCs w:val="21"/>
              </w:rPr>
            </w:pPr>
            <w:r>
              <w:rPr>
                <w:rFonts w:hint="eastAsia" w:ascii="宋体" w:hAnsi="宋体" w:cs="宋体"/>
                <w:color w:val="auto"/>
                <w:kern w:val="0"/>
                <w:szCs w:val="21"/>
                <w:lang w:bidi="ar"/>
              </w:rPr>
              <w:t>仪器名称</w:t>
            </w:r>
          </w:p>
        </w:tc>
        <w:tc>
          <w:tcPr>
            <w:tcW w:w="1200"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14:paraId="27F40BD6">
            <w:pPr>
              <w:widowControl/>
              <w:wordWrap w:val="0"/>
              <w:topLinePunct/>
              <w:jc w:val="center"/>
              <w:textAlignment w:val="center"/>
              <w:rPr>
                <w:rFonts w:ascii="宋体" w:hAnsi="宋体" w:cs="宋体"/>
                <w:color w:val="auto"/>
                <w:szCs w:val="21"/>
              </w:rPr>
            </w:pPr>
            <w:r>
              <w:rPr>
                <w:rFonts w:hint="eastAsia" w:ascii="宋体" w:hAnsi="宋体" w:cs="宋体"/>
                <w:color w:val="auto"/>
                <w:kern w:val="0"/>
                <w:szCs w:val="21"/>
                <w:lang w:bidi="ar"/>
              </w:rPr>
              <w:t>是否需要专用耗材或试剂</w:t>
            </w:r>
          </w:p>
        </w:tc>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76D680">
            <w:pPr>
              <w:widowControl/>
              <w:wordWrap w:val="0"/>
              <w:topLinePunct/>
              <w:jc w:val="center"/>
              <w:textAlignment w:val="center"/>
              <w:rPr>
                <w:rFonts w:ascii="宋体" w:hAnsi="宋体" w:cs="宋体"/>
                <w:color w:val="auto"/>
                <w:szCs w:val="21"/>
              </w:rPr>
            </w:pPr>
            <w:r>
              <w:rPr>
                <w:rFonts w:hint="eastAsia" w:ascii="宋体" w:hAnsi="宋体" w:cs="宋体"/>
                <w:color w:val="auto"/>
                <w:kern w:val="0"/>
                <w:szCs w:val="21"/>
                <w:lang w:bidi="ar"/>
              </w:rPr>
              <w:t>数量</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FCA75">
            <w:pPr>
              <w:widowControl/>
              <w:wordWrap w:val="0"/>
              <w:topLinePunct/>
              <w:jc w:val="center"/>
              <w:textAlignment w:val="center"/>
              <w:rPr>
                <w:rFonts w:ascii="宋体" w:hAnsi="宋体" w:cs="宋体"/>
                <w:color w:val="auto"/>
                <w:kern w:val="0"/>
                <w:szCs w:val="21"/>
                <w:lang w:bidi="ar"/>
              </w:rPr>
            </w:pPr>
            <w:r>
              <w:rPr>
                <w:rFonts w:hint="eastAsia" w:ascii="宋体" w:hAnsi="宋体" w:cs="宋体"/>
                <w:color w:val="auto"/>
                <w:kern w:val="0"/>
                <w:szCs w:val="21"/>
                <w:lang w:bidi="ar"/>
              </w:rPr>
              <w:t>单价</w:t>
            </w:r>
          </w:p>
          <w:p w14:paraId="12D6E22B">
            <w:pPr>
              <w:widowControl/>
              <w:wordWrap w:val="0"/>
              <w:topLinePunct/>
              <w:jc w:val="center"/>
              <w:textAlignment w:val="center"/>
              <w:rPr>
                <w:rFonts w:ascii="宋体" w:hAnsi="宋体" w:cs="宋体"/>
                <w:color w:val="auto"/>
                <w:szCs w:val="21"/>
              </w:rPr>
            </w:pPr>
            <w:r>
              <w:rPr>
                <w:rFonts w:hint="eastAsia" w:ascii="宋体" w:hAnsi="宋体" w:cs="宋体"/>
                <w:color w:val="auto"/>
                <w:kern w:val="0"/>
                <w:szCs w:val="21"/>
                <w:lang w:bidi="ar"/>
              </w:rPr>
              <w:t>（万元）</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F422B">
            <w:pPr>
              <w:widowControl/>
              <w:wordWrap w:val="0"/>
              <w:topLinePunct/>
              <w:jc w:val="center"/>
              <w:textAlignment w:val="center"/>
              <w:rPr>
                <w:rFonts w:ascii="宋体" w:hAnsi="宋体" w:cs="宋体"/>
                <w:color w:val="auto"/>
                <w:kern w:val="0"/>
                <w:szCs w:val="21"/>
                <w:lang w:bidi="ar"/>
              </w:rPr>
            </w:pPr>
            <w:r>
              <w:rPr>
                <w:rFonts w:hint="eastAsia" w:ascii="宋体" w:hAnsi="宋体" w:cs="宋体"/>
                <w:color w:val="auto"/>
                <w:kern w:val="0"/>
                <w:szCs w:val="21"/>
                <w:lang w:bidi="ar"/>
              </w:rPr>
              <w:t>预算总金额</w:t>
            </w:r>
          </w:p>
          <w:p w14:paraId="568A4E73">
            <w:pPr>
              <w:widowControl/>
              <w:wordWrap w:val="0"/>
              <w:topLinePunct/>
              <w:jc w:val="center"/>
              <w:textAlignment w:val="center"/>
              <w:rPr>
                <w:rFonts w:ascii="宋体" w:hAnsi="宋体" w:cs="宋体"/>
                <w:color w:val="auto"/>
                <w:szCs w:val="21"/>
              </w:rPr>
            </w:pPr>
            <w:r>
              <w:rPr>
                <w:rFonts w:hint="eastAsia" w:ascii="宋体" w:hAnsi="宋体" w:cs="宋体"/>
                <w:color w:val="auto"/>
                <w:kern w:val="0"/>
                <w:szCs w:val="21"/>
                <w:lang w:bidi="ar"/>
              </w:rPr>
              <w:t>（万元）</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08206">
            <w:pPr>
              <w:widowControl/>
              <w:wordWrap w:val="0"/>
              <w:topLinePunct/>
              <w:jc w:val="center"/>
              <w:textAlignment w:val="center"/>
              <w:rPr>
                <w:rFonts w:ascii="宋体" w:hAnsi="宋体" w:cs="宋体"/>
                <w:color w:val="auto"/>
                <w:szCs w:val="21"/>
              </w:rPr>
            </w:pPr>
            <w:r>
              <w:rPr>
                <w:rFonts w:hint="eastAsia" w:ascii="宋体" w:hAnsi="宋体" w:cs="宋体"/>
                <w:color w:val="auto"/>
                <w:kern w:val="0"/>
                <w:szCs w:val="21"/>
                <w:lang w:bidi="ar"/>
              </w:rPr>
              <w:t>产地</w:t>
            </w:r>
          </w:p>
        </w:tc>
      </w:tr>
      <w:tr w14:paraId="4597C590">
        <w:tblPrEx>
          <w:tblCellMar>
            <w:top w:w="0" w:type="dxa"/>
            <w:left w:w="108" w:type="dxa"/>
            <w:bottom w:w="0" w:type="dxa"/>
            <w:right w:w="108" w:type="dxa"/>
          </w:tblCellMar>
        </w:tblPrEx>
        <w:tc>
          <w:tcPr>
            <w:tcW w:w="4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2C5F3C">
            <w:pPr>
              <w:widowControl/>
              <w:jc w:val="center"/>
              <w:textAlignment w:val="center"/>
              <w:rPr>
                <w:rFonts w:ascii="宋体" w:hAnsi="宋体" w:cs="宋体"/>
                <w:color w:val="auto"/>
                <w:szCs w:val="21"/>
              </w:rPr>
            </w:pPr>
            <w:r>
              <w:rPr>
                <w:rFonts w:hint="eastAsia" w:ascii="宋体" w:hAnsi="宋体" w:cs="宋体"/>
                <w:color w:val="auto"/>
                <w:kern w:val="0"/>
                <w:szCs w:val="21"/>
                <w:lang w:bidi="ar"/>
              </w:rPr>
              <w:t>1</w:t>
            </w:r>
          </w:p>
        </w:tc>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4E724F">
            <w:pPr>
              <w:widowControl/>
              <w:wordWrap w:val="0"/>
              <w:topLinePunct/>
              <w:jc w:val="center"/>
              <w:textAlignment w:val="center"/>
              <w:rPr>
                <w:rFonts w:ascii="宋体" w:hAnsi="宋体" w:cs="宋体"/>
                <w:color w:val="auto"/>
                <w:szCs w:val="21"/>
              </w:rPr>
            </w:pPr>
            <w:r>
              <w:rPr>
                <w:rFonts w:hint="eastAsia" w:ascii="宋体" w:hAnsi="宋体" w:cs="宋体"/>
                <w:color w:val="auto"/>
                <w:kern w:val="0"/>
                <w:szCs w:val="21"/>
                <w:lang w:bidi="ar"/>
              </w:rPr>
              <w:t>1-1</w:t>
            </w:r>
          </w:p>
        </w:tc>
        <w:tc>
          <w:tcPr>
            <w:tcW w:w="11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44806">
            <w:pPr>
              <w:widowControl/>
              <w:jc w:val="center"/>
              <w:textAlignment w:val="center"/>
              <w:rPr>
                <w:rFonts w:ascii="宋体" w:hAnsi="宋体" w:cs="宋体"/>
                <w:color w:val="auto"/>
                <w:szCs w:val="21"/>
              </w:rPr>
            </w:pPr>
            <w:r>
              <w:rPr>
                <w:rFonts w:hint="eastAsia" w:ascii="宋体" w:hAnsi="宋体" w:cs="宋体"/>
                <w:color w:val="auto"/>
                <w:kern w:val="0"/>
                <w:szCs w:val="21"/>
                <w:lang w:bidi="ar"/>
              </w:rPr>
              <w:t>皮肤科</w:t>
            </w:r>
          </w:p>
        </w:tc>
        <w:tc>
          <w:tcPr>
            <w:tcW w:w="1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BC374">
            <w:pPr>
              <w:widowControl/>
              <w:jc w:val="center"/>
              <w:textAlignment w:val="center"/>
              <w:rPr>
                <w:rFonts w:ascii="宋体" w:hAnsi="宋体" w:cs="宋体"/>
                <w:color w:val="auto"/>
                <w:szCs w:val="21"/>
              </w:rPr>
            </w:pPr>
            <w:r>
              <w:rPr>
                <w:rFonts w:hint="eastAsia" w:ascii="宋体" w:hAnsi="宋体" w:cs="宋体"/>
                <w:color w:val="auto"/>
                <w:kern w:val="0"/>
                <w:szCs w:val="21"/>
                <w:lang w:bidi="ar"/>
              </w:rPr>
              <w:t>CGF医用离心机</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tcMar>
              <w:top w:w="0" w:type="dxa"/>
              <w:left w:w="108" w:type="dxa"/>
              <w:bottom w:w="0" w:type="dxa"/>
              <w:right w:w="108" w:type="dxa"/>
            </w:tcMar>
            <w:vAlign w:val="center"/>
          </w:tcPr>
          <w:p w14:paraId="6F161899">
            <w:pPr>
              <w:widowControl/>
              <w:jc w:val="center"/>
              <w:textAlignment w:val="center"/>
              <w:rPr>
                <w:rFonts w:ascii="宋体" w:hAnsi="宋体" w:cs="宋体"/>
                <w:color w:val="auto"/>
                <w:szCs w:val="21"/>
              </w:rPr>
            </w:pPr>
            <w:r>
              <w:rPr>
                <w:rFonts w:hint="eastAsia" w:ascii="宋体" w:hAnsi="宋体" w:cs="宋体"/>
                <w:color w:val="auto"/>
                <w:szCs w:val="21"/>
              </w:rPr>
              <w:t>否</w:t>
            </w:r>
          </w:p>
        </w:tc>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BA8F28">
            <w:pPr>
              <w:widowControl/>
              <w:jc w:val="center"/>
              <w:textAlignment w:val="center"/>
              <w:rPr>
                <w:rFonts w:ascii="宋体" w:hAnsi="宋体" w:cs="宋体"/>
                <w:b/>
                <w:bCs/>
                <w:color w:val="auto"/>
                <w:szCs w:val="21"/>
              </w:rPr>
            </w:pPr>
            <w:r>
              <w:rPr>
                <w:rFonts w:hint="eastAsia" w:ascii="宋体" w:hAnsi="宋体" w:cs="宋体"/>
                <w:color w:val="auto"/>
                <w:kern w:val="0"/>
                <w:szCs w:val="21"/>
                <w:lang w:bidi="ar"/>
              </w:rPr>
              <w:t>1</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2C8D3">
            <w:pPr>
              <w:widowControl/>
              <w:jc w:val="center"/>
              <w:textAlignment w:val="center"/>
              <w:rPr>
                <w:rFonts w:ascii="宋体" w:hAnsi="宋体" w:cs="宋体"/>
                <w:color w:val="auto"/>
                <w:szCs w:val="21"/>
              </w:rPr>
            </w:pPr>
            <w:r>
              <w:rPr>
                <w:rFonts w:hint="eastAsia" w:ascii="宋体" w:hAnsi="宋体" w:cs="宋体"/>
                <w:color w:val="auto"/>
                <w:kern w:val="0"/>
                <w:szCs w:val="21"/>
                <w:lang w:bidi="ar"/>
              </w:rPr>
              <w:t>65</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F1195">
            <w:pPr>
              <w:widowControl/>
              <w:jc w:val="center"/>
              <w:textAlignment w:val="center"/>
              <w:rPr>
                <w:rFonts w:ascii="宋体" w:hAnsi="宋体" w:cs="宋体"/>
                <w:color w:val="auto"/>
                <w:szCs w:val="21"/>
              </w:rPr>
            </w:pPr>
            <w:r>
              <w:rPr>
                <w:rFonts w:hint="eastAsia" w:ascii="宋体" w:hAnsi="宋体" w:cs="宋体"/>
                <w:color w:val="auto"/>
                <w:kern w:val="0"/>
                <w:szCs w:val="21"/>
                <w:lang w:bidi="ar"/>
              </w:rPr>
              <w:t>65</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24D2E">
            <w:pPr>
              <w:widowControl/>
              <w:jc w:val="center"/>
              <w:textAlignment w:val="center"/>
              <w:rPr>
                <w:rFonts w:ascii="宋体" w:hAnsi="宋体" w:cs="宋体"/>
                <w:color w:val="auto"/>
                <w:szCs w:val="21"/>
              </w:rPr>
            </w:pPr>
            <w:r>
              <w:rPr>
                <w:rFonts w:hint="eastAsia" w:ascii="宋体" w:hAnsi="宋体" w:cs="宋体"/>
                <w:color w:val="auto"/>
                <w:kern w:val="0"/>
                <w:szCs w:val="21"/>
                <w:lang w:bidi="ar"/>
              </w:rPr>
              <w:t>接受进口</w:t>
            </w:r>
          </w:p>
        </w:tc>
      </w:tr>
      <w:tr w14:paraId="0A5071AA">
        <w:tblPrEx>
          <w:tblCellMar>
            <w:top w:w="0" w:type="dxa"/>
            <w:left w:w="108" w:type="dxa"/>
            <w:bottom w:w="0" w:type="dxa"/>
            <w:right w:w="108" w:type="dxa"/>
          </w:tblCellMar>
        </w:tblPrEx>
        <w:trPr>
          <w:trHeight w:val="522" w:hRule="atLeast"/>
        </w:trPr>
        <w:tc>
          <w:tcPr>
            <w:tcW w:w="465" w:type="dxa"/>
            <w:vMerge w:val="restart"/>
            <w:tcBorders>
              <w:top w:val="single" w:color="000000" w:sz="4" w:space="0"/>
              <w:left w:val="single" w:color="000000" w:sz="4" w:space="0"/>
              <w:right w:val="single" w:color="000000" w:sz="4" w:space="0"/>
            </w:tcBorders>
            <w:shd w:val="clear" w:color="auto" w:fill="auto"/>
            <w:noWrap/>
            <w:vAlign w:val="center"/>
          </w:tcPr>
          <w:p w14:paraId="6A82F5DC">
            <w:pPr>
              <w:widowControl/>
              <w:jc w:val="center"/>
              <w:textAlignment w:val="center"/>
              <w:rPr>
                <w:rFonts w:ascii="宋体" w:hAnsi="宋体" w:cs="宋体"/>
                <w:color w:val="auto"/>
                <w:szCs w:val="21"/>
              </w:rPr>
            </w:pPr>
            <w:r>
              <w:rPr>
                <w:rFonts w:hint="eastAsia" w:ascii="宋体" w:hAnsi="宋体" w:cs="宋体"/>
                <w:color w:val="auto"/>
                <w:szCs w:val="21"/>
              </w:rPr>
              <w:t>2</w:t>
            </w:r>
          </w:p>
        </w:tc>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1EDCE0">
            <w:pPr>
              <w:widowControl/>
              <w:wordWrap w:val="0"/>
              <w:topLinePunct/>
              <w:jc w:val="center"/>
              <w:textAlignment w:val="center"/>
              <w:rPr>
                <w:rFonts w:ascii="宋体" w:hAnsi="宋体" w:cs="宋体"/>
                <w:color w:val="auto"/>
                <w:szCs w:val="21"/>
              </w:rPr>
            </w:pPr>
            <w:r>
              <w:rPr>
                <w:rFonts w:hint="eastAsia" w:ascii="宋体" w:hAnsi="宋体" w:cs="宋体"/>
                <w:color w:val="auto"/>
                <w:kern w:val="0"/>
                <w:szCs w:val="21"/>
                <w:lang w:bidi="ar"/>
              </w:rPr>
              <w:t>2-1</w:t>
            </w:r>
          </w:p>
        </w:tc>
        <w:tc>
          <w:tcPr>
            <w:tcW w:w="11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C630D">
            <w:pPr>
              <w:widowControl/>
              <w:jc w:val="center"/>
              <w:textAlignment w:val="center"/>
              <w:rPr>
                <w:rFonts w:ascii="宋体" w:hAnsi="宋体" w:cs="宋体"/>
                <w:color w:val="auto"/>
                <w:szCs w:val="21"/>
              </w:rPr>
            </w:pPr>
            <w:r>
              <w:rPr>
                <w:rFonts w:hint="eastAsia" w:ascii="宋体" w:hAnsi="宋体" w:cs="宋体"/>
                <w:color w:val="auto"/>
                <w:kern w:val="0"/>
                <w:szCs w:val="21"/>
                <w:lang w:bidi="ar"/>
              </w:rPr>
              <w:t>皮肤科</w:t>
            </w:r>
          </w:p>
        </w:tc>
        <w:tc>
          <w:tcPr>
            <w:tcW w:w="1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0D638">
            <w:pPr>
              <w:widowControl/>
              <w:jc w:val="center"/>
              <w:textAlignment w:val="center"/>
              <w:rPr>
                <w:rFonts w:ascii="宋体" w:hAnsi="宋体" w:cs="宋体"/>
                <w:color w:val="auto"/>
                <w:szCs w:val="21"/>
              </w:rPr>
            </w:pPr>
            <w:r>
              <w:rPr>
                <w:rFonts w:hint="eastAsia" w:ascii="宋体" w:hAnsi="宋体" w:cs="宋体"/>
                <w:color w:val="auto"/>
                <w:kern w:val="0"/>
                <w:szCs w:val="21"/>
                <w:lang w:bidi="ar"/>
              </w:rPr>
              <w:t xml:space="preserve">LED光动力治疗仪 </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tcMar>
              <w:top w:w="0" w:type="dxa"/>
              <w:left w:w="108" w:type="dxa"/>
              <w:bottom w:w="0" w:type="dxa"/>
              <w:right w:w="108" w:type="dxa"/>
            </w:tcMar>
            <w:vAlign w:val="center"/>
          </w:tcPr>
          <w:p w14:paraId="3466FCC9">
            <w:pPr>
              <w:widowControl/>
              <w:jc w:val="center"/>
              <w:textAlignment w:val="center"/>
              <w:rPr>
                <w:rFonts w:ascii="宋体" w:hAnsi="宋体" w:cs="宋体"/>
                <w:color w:val="auto"/>
                <w:szCs w:val="21"/>
              </w:rPr>
            </w:pPr>
            <w:r>
              <w:rPr>
                <w:rFonts w:hint="eastAsia" w:ascii="宋体" w:hAnsi="宋体" w:cs="宋体"/>
                <w:color w:val="auto"/>
                <w:szCs w:val="21"/>
              </w:rPr>
              <w:t>否</w:t>
            </w:r>
          </w:p>
        </w:tc>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FC67B5">
            <w:pPr>
              <w:widowControl/>
              <w:jc w:val="center"/>
              <w:textAlignment w:val="center"/>
              <w:rPr>
                <w:rFonts w:ascii="宋体" w:hAnsi="宋体" w:cs="宋体"/>
                <w:color w:val="auto"/>
                <w:szCs w:val="21"/>
              </w:rPr>
            </w:pPr>
            <w:r>
              <w:rPr>
                <w:rFonts w:hint="eastAsia" w:ascii="宋体" w:hAnsi="宋体" w:cs="宋体"/>
                <w:color w:val="auto"/>
                <w:kern w:val="0"/>
                <w:szCs w:val="21"/>
                <w:lang w:bidi="ar"/>
              </w:rPr>
              <w:t>1</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38FE8">
            <w:pPr>
              <w:widowControl/>
              <w:jc w:val="center"/>
              <w:textAlignment w:val="center"/>
              <w:rPr>
                <w:rFonts w:ascii="宋体" w:hAnsi="宋体" w:cs="宋体"/>
                <w:color w:val="auto"/>
                <w:szCs w:val="21"/>
              </w:rPr>
            </w:pPr>
            <w:r>
              <w:rPr>
                <w:rFonts w:hint="eastAsia" w:ascii="宋体" w:hAnsi="宋体" w:cs="宋体"/>
                <w:color w:val="auto"/>
                <w:kern w:val="0"/>
                <w:szCs w:val="21"/>
                <w:lang w:bidi="ar"/>
              </w:rPr>
              <w:t>25</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546236">
            <w:pPr>
              <w:widowControl/>
              <w:jc w:val="center"/>
              <w:textAlignment w:val="center"/>
              <w:rPr>
                <w:rFonts w:ascii="宋体" w:hAnsi="宋体" w:cs="宋体"/>
                <w:color w:val="auto"/>
                <w:szCs w:val="21"/>
              </w:rPr>
            </w:pPr>
            <w:r>
              <w:rPr>
                <w:rFonts w:hint="eastAsia" w:ascii="宋体" w:hAnsi="宋体" w:cs="宋体"/>
                <w:color w:val="auto"/>
                <w:kern w:val="0"/>
                <w:szCs w:val="21"/>
                <w:lang w:bidi="ar"/>
              </w:rPr>
              <w:t>25</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8B4E5">
            <w:pPr>
              <w:widowControl/>
              <w:jc w:val="center"/>
              <w:textAlignment w:val="center"/>
              <w:rPr>
                <w:rFonts w:ascii="宋体" w:hAnsi="宋体" w:cs="宋体"/>
                <w:color w:val="auto"/>
                <w:szCs w:val="21"/>
              </w:rPr>
            </w:pPr>
            <w:r>
              <w:rPr>
                <w:rFonts w:hint="eastAsia" w:ascii="宋体" w:hAnsi="宋体" w:cs="宋体"/>
                <w:color w:val="auto"/>
                <w:kern w:val="0"/>
                <w:szCs w:val="21"/>
                <w:lang w:bidi="ar"/>
              </w:rPr>
              <w:t>国产</w:t>
            </w:r>
          </w:p>
        </w:tc>
      </w:tr>
      <w:tr w14:paraId="3E2041A7">
        <w:tblPrEx>
          <w:tblCellMar>
            <w:top w:w="0" w:type="dxa"/>
            <w:left w:w="108" w:type="dxa"/>
            <w:bottom w:w="0" w:type="dxa"/>
            <w:right w:w="108" w:type="dxa"/>
          </w:tblCellMar>
        </w:tblPrEx>
        <w:trPr>
          <w:trHeight w:val="658" w:hRule="atLeast"/>
        </w:trPr>
        <w:tc>
          <w:tcPr>
            <w:tcW w:w="465" w:type="dxa"/>
            <w:vMerge w:val="continue"/>
            <w:tcBorders>
              <w:left w:val="single" w:color="000000" w:sz="4" w:space="0"/>
              <w:right w:val="single" w:color="000000" w:sz="4" w:space="0"/>
            </w:tcBorders>
            <w:shd w:val="clear" w:color="auto" w:fill="auto"/>
            <w:noWrap/>
            <w:vAlign w:val="center"/>
          </w:tcPr>
          <w:p w14:paraId="4B252A46">
            <w:pPr>
              <w:widowControl/>
              <w:jc w:val="center"/>
              <w:textAlignment w:val="center"/>
              <w:rPr>
                <w:rFonts w:ascii="宋体" w:hAnsi="宋体" w:cs="宋体"/>
                <w:color w:val="auto"/>
                <w:szCs w:val="21"/>
              </w:rPr>
            </w:pPr>
          </w:p>
        </w:tc>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D39D03">
            <w:pPr>
              <w:widowControl/>
              <w:wordWrap w:val="0"/>
              <w:topLinePunct/>
              <w:jc w:val="center"/>
              <w:textAlignment w:val="center"/>
              <w:rPr>
                <w:rFonts w:ascii="宋体" w:hAnsi="宋体" w:cs="宋体"/>
                <w:color w:val="auto"/>
                <w:szCs w:val="21"/>
              </w:rPr>
            </w:pPr>
            <w:r>
              <w:rPr>
                <w:rFonts w:hint="eastAsia" w:ascii="宋体" w:hAnsi="宋体" w:cs="宋体"/>
                <w:color w:val="auto"/>
                <w:kern w:val="0"/>
                <w:szCs w:val="21"/>
                <w:lang w:bidi="ar"/>
              </w:rPr>
              <w:t>2-2</w:t>
            </w:r>
          </w:p>
        </w:tc>
        <w:tc>
          <w:tcPr>
            <w:tcW w:w="11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B7746">
            <w:pPr>
              <w:widowControl/>
              <w:jc w:val="center"/>
              <w:textAlignment w:val="center"/>
              <w:rPr>
                <w:rFonts w:ascii="宋体" w:hAnsi="宋体" w:cs="宋体"/>
                <w:color w:val="auto"/>
                <w:szCs w:val="21"/>
              </w:rPr>
            </w:pPr>
            <w:r>
              <w:rPr>
                <w:rFonts w:hint="eastAsia" w:ascii="宋体" w:hAnsi="宋体" w:cs="宋体"/>
                <w:color w:val="auto"/>
                <w:kern w:val="0"/>
                <w:szCs w:val="21"/>
                <w:lang w:bidi="ar"/>
              </w:rPr>
              <w:t>皮肤科</w:t>
            </w:r>
          </w:p>
        </w:tc>
        <w:tc>
          <w:tcPr>
            <w:tcW w:w="1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B8394">
            <w:pPr>
              <w:widowControl/>
              <w:jc w:val="center"/>
              <w:textAlignment w:val="center"/>
              <w:rPr>
                <w:rFonts w:ascii="宋体" w:hAnsi="宋体" w:cs="宋体"/>
                <w:color w:val="auto"/>
                <w:szCs w:val="21"/>
              </w:rPr>
            </w:pPr>
            <w:r>
              <w:rPr>
                <w:rFonts w:hint="eastAsia" w:ascii="宋体" w:hAnsi="宋体" w:cs="宋体"/>
                <w:color w:val="auto"/>
                <w:kern w:val="0"/>
                <w:szCs w:val="21"/>
                <w:lang w:bidi="ar"/>
              </w:rPr>
              <w:t xml:space="preserve">LED光动力治疗仪 </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tcMar>
              <w:top w:w="0" w:type="dxa"/>
              <w:left w:w="108" w:type="dxa"/>
              <w:bottom w:w="0" w:type="dxa"/>
              <w:right w:w="108" w:type="dxa"/>
            </w:tcMar>
            <w:vAlign w:val="center"/>
          </w:tcPr>
          <w:p w14:paraId="75D3CC15">
            <w:pPr>
              <w:widowControl/>
              <w:jc w:val="center"/>
              <w:textAlignment w:val="center"/>
              <w:rPr>
                <w:rFonts w:ascii="宋体" w:hAnsi="宋体" w:cs="宋体"/>
                <w:color w:val="auto"/>
                <w:szCs w:val="21"/>
              </w:rPr>
            </w:pPr>
            <w:r>
              <w:rPr>
                <w:rFonts w:hint="eastAsia" w:ascii="宋体" w:hAnsi="宋体" w:cs="宋体"/>
                <w:color w:val="auto"/>
                <w:szCs w:val="21"/>
              </w:rPr>
              <w:t>否</w:t>
            </w:r>
          </w:p>
        </w:tc>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4943A1">
            <w:pPr>
              <w:widowControl/>
              <w:jc w:val="center"/>
              <w:textAlignment w:val="center"/>
              <w:rPr>
                <w:rFonts w:ascii="宋体" w:hAnsi="宋体" w:cs="宋体"/>
                <w:color w:val="auto"/>
                <w:szCs w:val="21"/>
              </w:rPr>
            </w:pPr>
            <w:r>
              <w:rPr>
                <w:rFonts w:hint="eastAsia" w:ascii="宋体" w:hAnsi="宋体" w:cs="宋体"/>
                <w:color w:val="auto"/>
                <w:kern w:val="0"/>
                <w:szCs w:val="21"/>
                <w:lang w:bidi="ar"/>
              </w:rPr>
              <w:t>1</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45705">
            <w:pPr>
              <w:widowControl/>
              <w:jc w:val="center"/>
              <w:textAlignment w:val="center"/>
              <w:rPr>
                <w:rFonts w:ascii="宋体" w:hAnsi="宋体" w:cs="宋体"/>
                <w:color w:val="auto"/>
                <w:szCs w:val="21"/>
              </w:rPr>
            </w:pPr>
            <w:r>
              <w:rPr>
                <w:rFonts w:hint="eastAsia" w:ascii="宋体" w:hAnsi="宋体" w:cs="宋体"/>
                <w:color w:val="auto"/>
                <w:kern w:val="0"/>
                <w:szCs w:val="21"/>
                <w:lang w:bidi="ar"/>
              </w:rPr>
              <w:t>30</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B4B5C">
            <w:pPr>
              <w:widowControl/>
              <w:jc w:val="center"/>
              <w:textAlignment w:val="center"/>
              <w:rPr>
                <w:rFonts w:ascii="宋体" w:hAnsi="宋体" w:cs="宋体"/>
                <w:color w:val="auto"/>
                <w:szCs w:val="21"/>
              </w:rPr>
            </w:pPr>
            <w:r>
              <w:rPr>
                <w:rFonts w:hint="eastAsia" w:ascii="宋体" w:hAnsi="宋体" w:cs="宋体"/>
                <w:color w:val="auto"/>
                <w:kern w:val="0"/>
                <w:szCs w:val="21"/>
                <w:lang w:bidi="ar"/>
              </w:rPr>
              <w:t>30</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6DB84">
            <w:pPr>
              <w:widowControl/>
              <w:jc w:val="center"/>
              <w:textAlignment w:val="center"/>
              <w:rPr>
                <w:rFonts w:ascii="宋体" w:hAnsi="宋体" w:cs="宋体"/>
                <w:color w:val="auto"/>
                <w:szCs w:val="21"/>
              </w:rPr>
            </w:pPr>
            <w:r>
              <w:rPr>
                <w:rFonts w:hint="eastAsia" w:ascii="宋体" w:hAnsi="宋体" w:cs="宋体"/>
                <w:color w:val="auto"/>
                <w:kern w:val="0"/>
                <w:szCs w:val="21"/>
                <w:lang w:bidi="ar"/>
              </w:rPr>
              <w:t>国产</w:t>
            </w:r>
          </w:p>
        </w:tc>
      </w:tr>
      <w:tr w14:paraId="05F09355">
        <w:tblPrEx>
          <w:tblCellMar>
            <w:top w:w="0" w:type="dxa"/>
            <w:left w:w="108" w:type="dxa"/>
            <w:bottom w:w="0" w:type="dxa"/>
            <w:right w:w="108" w:type="dxa"/>
          </w:tblCellMar>
        </w:tblPrEx>
        <w:tc>
          <w:tcPr>
            <w:tcW w:w="465" w:type="dxa"/>
            <w:vMerge w:val="continue"/>
            <w:tcBorders>
              <w:left w:val="single" w:color="000000" w:sz="4" w:space="0"/>
              <w:bottom w:val="single" w:color="000000" w:sz="4" w:space="0"/>
              <w:right w:val="single" w:color="000000" w:sz="4" w:space="0"/>
            </w:tcBorders>
            <w:shd w:val="clear" w:color="auto" w:fill="auto"/>
            <w:noWrap/>
            <w:vAlign w:val="center"/>
          </w:tcPr>
          <w:p w14:paraId="76837051">
            <w:pPr>
              <w:widowControl/>
              <w:jc w:val="center"/>
              <w:textAlignment w:val="center"/>
              <w:rPr>
                <w:rFonts w:ascii="宋体" w:hAnsi="宋体" w:cs="宋体"/>
                <w:color w:val="auto"/>
                <w:szCs w:val="21"/>
              </w:rPr>
            </w:pPr>
          </w:p>
        </w:tc>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78CCA9">
            <w:pPr>
              <w:widowControl/>
              <w:wordWrap w:val="0"/>
              <w:topLinePunct/>
              <w:jc w:val="center"/>
              <w:textAlignment w:val="center"/>
              <w:rPr>
                <w:rFonts w:ascii="宋体" w:hAnsi="宋体" w:cs="宋体"/>
                <w:color w:val="auto"/>
                <w:szCs w:val="21"/>
              </w:rPr>
            </w:pPr>
            <w:r>
              <w:rPr>
                <w:rFonts w:hint="eastAsia" w:ascii="宋体" w:hAnsi="宋体" w:cs="宋体"/>
                <w:color w:val="auto"/>
                <w:kern w:val="0"/>
                <w:szCs w:val="21"/>
                <w:lang w:bidi="ar"/>
              </w:rPr>
              <w:t>2-3</w:t>
            </w:r>
          </w:p>
        </w:tc>
        <w:tc>
          <w:tcPr>
            <w:tcW w:w="11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04556">
            <w:pPr>
              <w:widowControl/>
              <w:jc w:val="center"/>
              <w:textAlignment w:val="center"/>
              <w:rPr>
                <w:rFonts w:ascii="宋体" w:hAnsi="宋体" w:cs="宋体"/>
                <w:color w:val="auto"/>
                <w:szCs w:val="21"/>
              </w:rPr>
            </w:pPr>
            <w:r>
              <w:rPr>
                <w:rFonts w:hint="eastAsia" w:ascii="宋体" w:hAnsi="宋体" w:cs="宋体"/>
                <w:color w:val="auto"/>
                <w:kern w:val="0"/>
                <w:szCs w:val="21"/>
                <w:lang w:bidi="ar"/>
              </w:rPr>
              <w:t>皮肤科</w:t>
            </w:r>
          </w:p>
        </w:tc>
        <w:tc>
          <w:tcPr>
            <w:tcW w:w="1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80DB32">
            <w:pPr>
              <w:widowControl/>
              <w:jc w:val="center"/>
              <w:textAlignment w:val="center"/>
              <w:rPr>
                <w:rFonts w:ascii="宋体" w:hAnsi="宋体" w:cs="宋体"/>
                <w:color w:val="auto"/>
                <w:szCs w:val="21"/>
              </w:rPr>
            </w:pPr>
            <w:r>
              <w:rPr>
                <w:rFonts w:hint="eastAsia" w:ascii="宋体" w:hAnsi="宋体" w:cs="宋体"/>
                <w:color w:val="auto"/>
                <w:kern w:val="0"/>
                <w:szCs w:val="21"/>
                <w:lang w:bidi="ar"/>
              </w:rPr>
              <w:t>半导体激光治疗仪</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tcMar>
              <w:top w:w="0" w:type="dxa"/>
              <w:left w:w="108" w:type="dxa"/>
              <w:bottom w:w="0" w:type="dxa"/>
              <w:right w:w="108" w:type="dxa"/>
            </w:tcMar>
            <w:vAlign w:val="center"/>
          </w:tcPr>
          <w:p w14:paraId="3865D6AB">
            <w:pPr>
              <w:widowControl/>
              <w:jc w:val="center"/>
              <w:textAlignment w:val="center"/>
              <w:rPr>
                <w:rFonts w:ascii="宋体" w:hAnsi="宋体" w:cs="宋体"/>
                <w:color w:val="auto"/>
                <w:szCs w:val="21"/>
              </w:rPr>
            </w:pPr>
            <w:r>
              <w:rPr>
                <w:rFonts w:hint="eastAsia" w:ascii="宋体" w:hAnsi="宋体" w:cs="宋体"/>
                <w:color w:val="auto"/>
                <w:szCs w:val="21"/>
              </w:rPr>
              <w:t>否</w:t>
            </w:r>
          </w:p>
        </w:tc>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E93F3B">
            <w:pPr>
              <w:widowControl/>
              <w:jc w:val="center"/>
              <w:textAlignment w:val="center"/>
              <w:rPr>
                <w:rFonts w:ascii="宋体" w:hAnsi="宋体" w:cs="宋体"/>
                <w:color w:val="auto"/>
                <w:szCs w:val="21"/>
              </w:rPr>
            </w:pPr>
            <w:r>
              <w:rPr>
                <w:rFonts w:hint="eastAsia" w:ascii="宋体" w:hAnsi="宋体" w:cs="宋体"/>
                <w:color w:val="auto"/>
                <w:kern w:val="0"/>
                <w:szCs w:val="21"/>
                <w:lang w:bidi="ar"/>
              </w:rPr>
              <w:t>1</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B7D7E">
            <w:pPr>
              <w:widowControl/>
              <w:jc w:val="center"/>
              <w:textAlignment w:val="center"/>
              <w:rPr>
                <w:rFonts w:ascii="宋体" w:hAnsi="宋体" w:cs="宋体"/>
                <w:color w:val="auto"/>
                <w:szCs w:val="21"/>
              </w:rPr>
            </w:pPr>
            <w:r>
              <w:rPr>
                <w:rFonts w:hint="eastAsia" w:ascii="宋体" w:hAnsi="宋体" w:cs="宋体"/>
                <w:color w:val="auto"/>
                <w:kern w:val="0"/>
                <w:szCs w:val="21"/>
                <w:lang w:bidi="ar"/>
              </w:rPr>
              <w:t>15</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A3A6B">
            <w:pPr>
              <w:widowControl/>
              <w:jc w:val="center"/>
              <w:textAlignment w:val="center"/>
              <w:rPr>
                <w:rFonts w:ascii="宋体" w:hAnsi="宋体" w:cs="宋体"/>
                <w:color w:val="auto"/>
                <w:szCs w:val="21"/>
              </w:rPr>
            </w:pPr>
            <w:r>
              <w:rPr>
                <w:rFonts w:hint="eastAsia" w:ascii="宋体" w:hAnsi="宋体" w:cs="宋体"/>
                <w:color w:val="auto"/>
                <w:kern w:val="0"/>
                <w:szCs w:val="21"/>
                <w:lang w:bidi="ar"/>
              </w:rPr>
              <w:t>15</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FE712">
            <w:pPr>
              <w:widowControl/>
              <w:jc w:val="center"/>
              <w:textAlignment w:val="center"/>
              <w:rPr>
                <w:rFonts w:ascii="宋体" w:hAnsi="宋体" w:cs="宋体"/>
                <w:color w:val="auto"/>
                <w:szCs w:val="21"/>
              </w:rPr>
            </w:pPr>
            <w:r>
              <w:rPr>
                <w:rFonts w:hint="eastAsia" w:ascii="宋体" w:hAnsi="宋体" w:cs="宋体"/>
                <w:color w:val="auto"/>
                <w:kern w:val="0"/>
                <w:szCs w:val="21"/>
                <w:lang w:bidi="ar"/>
              </w:rPr>
              <w:t>国产</w:t>
            </w:r>
          </w:p>
        </w:tc>
      </w:tr>
      <w:tr w14:paraId="7A1D5DC1">
        <w:tblPrEx>
          <w:tblCellMar>
            <w:top w:w="0" w:type="dxa"/>
            <w:left w:w="108" w:type="dxa"/>
            <w:bottom w:w="0" w:type="dxa"/>
            <w:right w:w="108" w:type="dxa"/>
          </w:tblCellMar>
        </w:tblPrEx>
        <w:tc>
          <w:tcPr>
            <w:tcW w:w="4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50C5AB">
            <w:pPr>
              <w:jc w:val="center"/>
              <w:rPr>
                <w:rFonts w:hint="eastAsia" w:ascii="宋体" w:hAnsi="宋体" w:eastAsia="宋体" w:cs="宋体"/>
                <w:color w:val="auto"/>
                <w:szCs w:val="21"/>
                <w:lang w:eastAsia="zh-CN"/>
              </w:rPr>
            </w:pPr>
            <w:r>
              <w:rPr>
                <w:rFonts w:hint="eastAsia"/>
                <w:color w:val="auto"/>
                <w:highlight w:val="none"/>
                <w:lang w:val="en-US" w:eastAsia="zh-CN"/>
              </w:rPr>
              <w:t>3</w:t>
            </w:r>
          </w:p>
        </w:tc>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BC2E41">
            <w:pPr>
              <w:jc w:val="center"/>
              <w:rPr>
                <w:rFonts w:ascii="宋体" w:hAnsi="宋体" w:cs="宋体"/>
                <w:color w:val="auto"/>
                <w:szCs w:val="21"/>
              </w:rPr>
            </w:pPr>
            <w:r>
              <w:rPr>
                <w:rFonts w:hint="eastAsia"/>
                <w:color w:val="auto"/>
                <w:highlight w:val="none"/>
                <w:lang w:val="en-US" w:eastAsia="zh-CN"/>
              </w:rPr>
              <w:t>3</w:t>
            </w:r>
            <w:r>
              <w:rPr>
                <w:color w:val="auto"/>
                <w:highlight w:val="none"/>
              </w:rPr>
              <w:t>-1</w:t>
            </w:r>
          </w:p>
        </w:tc>
        <w:tc>
          <w:tcPr>
            <w:tcW w:w="11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73448">
            <w:pPr>
              <w:jc w:val="center"/>
              <w:rPr>
                <w:rFonts w:ascii="宋体" w:hAnsi="宋体" w:cs="宋体"/>
                <w:color w:val="auto"/>
                <w:szCs w:val="21"/>
              </w:rPr>
            </w:pPr>
            <w:r>
              <w:rPr>
                <w:rFonts w:hint="eastAsia"/>
                <w:color w:val="auto"/>
                <w:highlight w:val="none"/>
              </w:rPr>
              <w:t xml:space="preserve"> 人体器官获取组织（OPO办公室）</w:t>
            </w:r>
          </w:p>
        </w:tc>
        <w:tc>
          <w:tcPr>
            <w:tcW w:w="1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D5845">
            <w:pPr>
              <w:jc w:val="center"/>
              <w:rPr>
                <w:rFonts w:ascii="宋体" w:hAnsi="宋体" w:cs="宋体"/>
                <w:color w:val="auto"/>
                <w:szCs w:val="21"/>
              </w:rPr>
            </w:pPr>
            <w:r>
              <w:rPr>
                <w:rFonts w:hint="eastAsia"/>
                <w:color w:val="auto"/>
                <w:highlight w:val="none"/>
              </w:rPr>
              <w:t>脑功能定量测量评估</w:t>
            </w:r>
            <w:r>
              <w:rPr>
                <w:rFonts w:hint="eastAsia"/>
                <w:color w:val="auto"/>
                <w:highlight w:val="none"/>
                <w:lang w:val="en-US" w:eastAsia="zh-CN"/>
              </w:rPr>
              <w:t>系统</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tcMar>
              <w:top w:w="0" w:type="dxa"/>
              <w:left w:w="108" w:type="dxa"/>
              <w:bottom w:w="0" w:type="dxa"/>
              <w:right w:w="108" w:type="dxa"/>
            </w:tcMar>
            <w:vAlign w:val="center"/>
          </w:tcPr>
          <w:p w14:paraId="132005B1">
            <w:pPr>
              <w:jc w:val="center"/>
              <w:rPr>
                <w:rFonts w:ascii="宋体" w:hAnsi="宋体" w:cs="宋体"/>
                <w:color w:val="auto"/>
                <w:szCs w:val="21"/>
              </w:rPr>
            </w:pPr>
            <w:r>
              <w:rPr>
                <w:rFonts w:hint="eastAsia"/>
                <w:color w:val="auto"/>
                <w:highlight w:val="none"/>
              </w:rPr>
              <w:t>否</w:t>
            </w:r>
          </w:p>
        </w:tc>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871ABC">
            <w:pPr>
              <w:jc w:val="center"/>
              <w:rPr>
                <w:rFonts w:ascii="宋体" w:hAnsi="宋体" w:cs="宋体"/>
                <w:color w:val="auto"/>
                <w:szCs w:val="21"/>
              </w:rPr>
            </w:pPr>
            <w:r>
              <w:rPr>
                <w:rFonts w:hint="eastAsia"/>
                <w:color w:val="auto"/>
                <w:highlight w:val="none"/>
              </w:rPr>
              <w:t>1</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98A6B">
            <w:pPr>
              <w:jc w:val="center"/>
              <w:rPr>
                <w:rFonts w:ascii="宋体" w:hAnsi="宋体" w:cs="宋体"/>
                <w:color w:val="auto"/>
                <w:szCs w:val="21"/>
              </w:rPr>
            </w:pPr>
            <w:r>
              <w:rPr>
                <w:rFonts w:hint="eastAsia"/>
                <w:color w:val="auto"/>
                <w:highlight w:val="none"/>
              </w:rPr>
              <w:t>97</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008D4">
            <w:pPr>
              <w:jc w:val="center"/>
              <w:rPr>
                <w:rFonts w:ascii="宋体" w:hAnsi="宋体" w:cs="宋体"/>
                <w:color w:val="auto"/>
                <w:szCs w:val="21"/>
              </w:rPr>
            </w:pPr>
            <w:r>
              <w:rPr>
                <w:rFonts w:hint="eastAsia"/>
                <w:color w:val="auto"/>
                <w:highlight w:val="none"/>
              </w:rPr>
              <w:t>97</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7DE44">
            <w:pPr>
              <w:jc w:val="center"/>
              <w:rPr>
                <w:color w:val="auto"/>
                <w:highlight w:val="none"/>
              </w:rPr>
            </w:pPr>
            <w:r>
              <w:rPr>
                <w:rFonts w:hint="eastAsia"/>
                <w:color w:val="auto"/>
                <w:highlight w:val="none"/>
              </w:rPr>
              <w:t>接受</w:t>
            </w:r>
          </w:p>
          <w:p w14:paraId="221A5508">
            <w:pPr>
              <w:jc w:val="center"/>
              <w:rPr>
                <w:rFonts w:ascii="宋体" w:hAnsi="宋体" w:cs="宋体"/>
                <w:color w:val="auto"/>
                <w:szCs w:val="21"/>
              </w:rPr>
            </w:pPr>
            <w:r>
              <w:rPr>
                <w:rFonts w:hint="eastAsia"/>
                <w:color w:val="auto"/>
                <w:highlight w:val="none"/>
              </w:rPr>
              <w:t>进口</w:t>
            </w:r>
          </w:p>
        </w:tc>
      </w:tr>
      <w:tr w14:paraId="6A5673AC">
        <w:tblPrEx>
          <w:tblCellMar>
            <w:top w:w="0" w:type="dxa"/>
            <w:left w:w="108" w:type="dxa"/>
            <w:bottom w:w="0" w:type="dxa"/>
            <w:right w:w="108" w:type="dxa"/>
          </w:tblCellMar>
        </w:tblPrEx>
        <w:trPr>
          <w:trHeight w:val="511" w:hRule="atLeast"/>
        </w:trPr>
        <w:tc>
          <w:tcPr>
            <w:tcW w:w="4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FB4E90">
            <w:pPr>
              <w:jc w:val="center"/>
              <w:rPr>
                <w:rFonts w:hint="eastAsia" w:ascii="宋体" w:hAnsi="宋体" w:eastAsia="宋体" w:cs="宋体"/>
                <w:color w:val="auto"/>
                <w:szCs w:val="21"/>
                <w:lang w:eastAsia="zh-CN"/>
              </w:rPr>
            </w:pPr>
            <w:r>
              <w:rPr>
                <w:rFonts w:hint="eastAsia"/>
                <w:color w:val="auto"/>
                <w:highlight w:val="none"/>
                <w:lang w:val="en-US" w:eastAsia="zh-CN"/>
              </w:rPr>
              <w:t>4</w:t>
            </w:r>
          </w:p>
        </w:tc>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019373">
            <w:pPr>
              <w:jc w:val="center"/>
              <w:rPr>
                <w:rFonts w:ascii="宋体" w:hAnsi="宋体" w:cs="宋体"/>
                <w:color w:val="auto"/>
                <w:szCs w:val="21"/>
              </w:rPr>
            </w:pPr>
            <w:r>
              <w:rPr>
                <w:rFonts w:hint="eastAsia"/>
                <w:color w:val="auto"/>
                <w:highlight w:val="none"/>
                <w:lang w:val="en-US" w:eastAsia="zh-CN"/>
              </w:rPr>
              <w:t>4</w:t>
            </w:r>
            <w:r>
              <w:rPr>
                <w:color w:val="auto"/>
                <w:highlight w:val="none"/>
              </w:rPr>
              <w:t>-1</w:t>
            </w:r>
          </w:p>
        </w:tc>
        <w:tc>
          <w:tcPr>
            <w:tcW w:w="11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271E6">
            <w:pPr>
              <w:jc w:val="center"/>
              <w:rPr>
                <w:rFonts w:ascii="宋体" w:hAnsi="宋体" w:cs="宋体"/>
                <w:color w:val="auto"/>
                <w:szCs w:val="21"/>
              </w:rPr>
            </w:pPr>
            <w:r>
              <w:rPr>
                <w:rFonts w:hint="eastAsia"/>
                <w:color w:val="auto"/>
                <w:highlight w:val="none"/>
              </w:rPr>
              <w:t xml:space="preserve"> 人体器官获取组织（OPO办公室）</w:t>
            </w:r>
          </w:p>
        </w:tc>
        <w:tc>
          <w:tcPr>
            <w:tcW w:w="1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87D90">
            <w:pPr>
              <w:jc w:val="center"/>
              <w:rPr>
                <w:rFonts w:ascii="宋体" w:hAnsi="宋体" w:cs="宋体"/>
                <w:color w:val="auto"/>
                <w:szCs w:val="21"/>
              </w:rPr>
            </w:pPr>
            <w:r>
              <w:rPr>
                <w:rFonts w:hint="eastAsia"/>
                <w:color w:val="auto"/>
                <w:highlight w:val="none"/>
              </w:rPr>
              <w:t>肾脏灌注运转箱</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tcMar>
              <w:top w:w="0" w:type="dxa"/>
              <w:left w:w="108" w:type="dxa"/>
              <w:bottom w:w="0" w:type="dxa"/>
              <w:right w:w="108" w:type="dxa"/>
            </w:tcMar>
            <w:vAlign w:val="center"/>
          </w:tcPr>
          <w:p w14:paraId="77D5E4A3">
            <w:pPr>
              <w:jc w:val="center"/>
              <w:rPr>
                <w:rFonts w:ascii="宋体" w:hAnsi="宋体" w:cs="宋体"/>
                <w:color w:val="auto"/>
                <w:szCs w:val="21"/>
              </w:rPr>
            </w:pPr>
            <w:r>
              <w:rPr>
                <w:rFonts w:hint="eastAsia"/>
                <w:color w:val="auto"/>
                <w:highlight w:val="none"/>
              </w:rPr>
              <w:t>否</w:t>
            </w:r>
          </w:p>
        </w:tc>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B12D8F">
            <w:pPr>
              <w:jc w:val="center"/>
              <w:rPr>
                <w:rFonts w:ascii="宋体" w:hAnsi="宋体" w:cs="宋体"/>
                <w:color w:val="auto"/>
                <w:szCs w:val="21"/>
              </w:rPr>
            </w:pPr>
            <w:r>
              <w:rPr>
                <w:rFonts w:hint="eastAsia"/>
                <w:color w:val="auto"/>
                <w:highlight w:val="none"/>
              </w:rPr>
              <w:t>1</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DB9F7">
            <w:pPr>
              <w:jc w:val="center"/>
              <w:rPr>
                <w:rFonts w:ascii="宋体" w:hAnsi="宋体" w:cs="宋体"/>
                <w:color w:val="auto"/>
                <w:szCs w:val="21"/>
              </w:rPr>
            </w:pPr>
            <w:r>
              <w:rPr>
                <w:rFonts w:hint="eastAsia"/>
                <w:color w:val="auto"/>
                <w:highlight w:val="none"/>
              </w:rPr>
              <w:t>76</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440B9A">
            <w:pPr>
              <w:jc w:val="center"/>
              <w:rPr>
                <w:rFonts w:ascii="宋体" w:hAnsi="宋体" w:cs="宋体"/>
                <w:color w:val="auto"/>
                <w:szCs w:val="21"/>
              </w:rPr>
            </w:pPr>
            <w:r>
              <w:rPr>
                <w:rFonts w:hint="eastAsia"/>
                <w:color w:val="auto"/>
                <w:highlight w:val="none"/>
              </w:rPr>
              <w:t>76</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B8343">
            <w:pPr>
              <w:jc w:val="center"/>
              <w:rPr>
                <w:color w:val="auto"/>
                <w:highlight w:val="none"/>
              </w:rPr>
            </w:pPr>
            <w:r>
              <w:rPr>
                <w:rFonts w:hint="eastAsia"/>
                <w:color w:val="auto"/>
                <w:highlight w:val="none"/>
              </w:rPr>
              <w:t>接受</w:t>
            </w:r>
          </w:p>
          <w:p w14:paraId="1B5A3EEE">
            <w:pPr>
              <w:jc w:val="center"/>
              <w:rPr>
                <w:rFonts w:ascii="宋体" w:hAnsi="宋体" w:cs="宋体"/>
                <w:color w:val="auto"/>
                <w:szCs w:val="21"/>
              </w:rPr>
            </w:pPr>
            <w:r>
              <w:rPr>
                <w:rFonts w:hint="eastAsia"/>
                <w:color w:val="auto"/>
                <w:highlight w:val="none"/>
              </w:rPr>
              <w:t>进口</w:t>
            </w:r>
          </w:p>
        </w:tc>
      </w:tr>
    </w:tbl>
    <w:p w14:paraId="10135783">
      <w:pPr>
        <w:adjustRightInd w:val="0"/>
        <w:snapToGrid w:val="0"/>
        <w:spacing w:before="50" w:line="352" w:lineRule="exact"/>
        <w:ind w:firstLine="420" w:firstLineChars="200"/>
        <w:rPr>
          <w:rFonts w:ascii="宋体" w:hAnsi="宋体" w:cs="宋体"/>
          <w:color w:val="auto"/>
          <w:szCs w:val="21"/>
        </w:rPr>
      </w:pPr>
      <w:r>
        <w:rPr>
          <w:rFonts w:hint="eastAsia" w:ascii="宋体" w:hAnsi="宋体" w:cs="宋体"/>
          <w:color w:val="auto"/>
          <w:szCs w:val="21"/>
        </w:rPr>
        <w:t>备注：本项目的最小投标单位为包，本项目按包分别确定中标人。投标人必须对包内所有品目进行投标，否则投标无效。</w:t>
      </w:r>
    </w:p>
    <w:p w14:paraId="5110FCBA">
      <w:pPr>
        <w:adjustRightInd w:val="0"/>
        <w:snapToGrid w:val="0"/>
        <w:spacing w:before="120" w:beforeLines="50" w:line="352" w:lineRule="exact"/>
        <w:ind w:firstLine="420" w:firstLineChars="200"/>
        <w:rPr>
          <w:rFonts w:ascii="宋体" w:hAnsi="宋体" w:cs="宋体"/>
          <w:color w:val="auto"/>
          <w:szCs w:val="21"/>
        </w:rPr>
      </w:pPr>
      <w:r>
        <w:rPr>
          <w:rFonts w:hint="eastAsia" w:ascii="宋体" w:hAnsi="宋体" w:cs="宋体"/>
          <w:color w:val="auto"/>
          <w:szCs w:val="21"/>
        </w:rPr>
        <w:t>采购进口产品：本项目的包中已载明（见上表“产地”），采购人已经财政部门审核同意购买进口产品，同时不限制满足招标文件要求的国内产品参与投标。</w:t>
      </w:r>
    </w:p>
    <w:p w14:paraId="13BC57FF">
      <w:pPr>
        <w:adjustRightInd w:val="0"/>
        <w:snapToGrid w:val="0"/>
        <w:spacing w:before="120" w:beforeLines="50" w:line="352" w:lineRule="exact"/>
        <w:ind w:firstLine="420" w:firstLineChars="200"/>
        <w:rPr>
          <w:rFonts w:asciiTheme="minorEastAsia" w:hAnsiTheme="minorEastAsia"/>
          <w:color w:val="auto"/>
          <w:szCs w:val="21"/>
        </w:rPr>
      </w:pPr>
      <w:r>
        <w:rPr>
          <w:rFonts w:hint="eastAsia" w:asciiTheme="minorEastAsia" w:hAnsiTheme="minorEastAsia"/>
          <w:color w:val="auto"/>
          <w:szCs w:val="21"/>
        </w:rPr>
        <w:t>合同履行期限：详见招标文件要求。</w:t>
      </w:r>
    </w:p>
    <w:p w14:paraId="3B887EBF">
      <w:pPr>
        <w:adjustRightInd w:val="0"/>
        <w:snapToGrid w:val="0"/>
        <w:spacing w:line="352" w:lineRule="exact"/>
        <w:ind w:firstLine="420" w:firstLineChars="200"/>
        <w:rPr>
          <w:rFonts w:asciiTheme="minorEastAsia" w:hAnsiTheme="minorEastAsia"/>
          <w:color w:val="auto"/>
          <w:szCs w:val="21"/>
          <w:u w:val="single"/>
        </w:rPr>
      </w:pPr>
      <w:r>
        <w:rPr>
          <w:rFonts w:hint="eastAsia" w:asciiTheme="minorEastAsia" w:hAnsiTheme="minorEastAsia"/>
          <w:color w:val="auto"/>
          <w:szCs w:val="21"/>
        </w:rPr>
        <w:t>本项目不接受联合体投标。</w:t>
      </w:r>
    </w:p>
    <w:p w14:paraId="7E732632">
      <w:pPr>
        <w:pStyle w:val="3"/>
        <w:adjustRightInd w:val="0"/>
        <w:snapToGrid w:val="0"/>
        <w:spacing w:before="120" w:beforeLines="50" w:line="352" w:lineRule="exact"/>
        <w:rPr>
          <w:color w:val="auto"/>
        </w:rPr>
      </w:pPr>
      <w:bookmarkStart w:id="21" w:name="_Toc5255"/>
      <w:r>
        <w:rPr>
          <w:rFonts w:hint="eastAsia"/>
          <w:color w:val="auto"/>
        </w:rPr>
        <w:t>二、投标人的资格要求</w:t>
      </w:r>
      <w:bookmarkEnd w:id="16"/>
      <w:bookmarkEnd w:id="17"/>
      <w:bookmarkEnd w:id="18"/>
      <w:bookmarkEnd w:id="19"/>
      <w:bookmarkEnd w:id="21"/>
    </w:p>
    <w:p w14:paraId="228D50F0">
      <w:pPr>
        <w:adjustRightInd w:val="0"/>
        <w:snapToGrid w:val="0"/>
        <w:spacing w:before="120" w:beforeLines="50" w:line="352" w:lineRule="exact"/>
        <w:ind w:firstLine="420" w:firstLineChars="200"/>
        <w:rPr>
          <w:rFonts w:asciiTheme="minorEastAsia" w:hAnsiTheme="minorEastAsia"/>
          <w:color w:val="auto"/>
          <w:szCs w:val="21"/>
        </w:rPr>
      </w:pPr>
      <w:bookmarkStart w:id="22" w:name="_Toc35393623"/>
      <w:bookmarkStart w:id="23" w:name="_Toc28359004"/>
      <w:bookmarkStart w:id="24" w:name="_Toc28359081"/>
      <w:bookmarkStart w:id="25" w:name="_Toc35393792"/>
      <w:r>
        <w:rPr>
          <w:rFonts w:hint="eastAsia" w:asciiTheme="minorEastAsia" w:hAnsiTheme="minorEastAsia"/>
          <w:color w:val="auto"/>
          <w:szCs w:val="21"/>
        </w:rPr>
        <w:t>1.满足《中华人民共和国政府采购法》第二十二条规定；</w:t>
      </w:r>
    </w:p>
    <w:p w14:paraId="2266DBEF">
      <w:pPr>
        <w:adjustRightInd w:val="0"/>
        <w:snapToGrid w:val="0"/>
        <w:spacing w:before="120" w:beforeLines="50" w:line="352" w:lineRule="exact"/>
        <w:ind w:firstLine="420" w:firstLineChars="200"/>
        <w:rPr>
          <w:rFonts w:asciiTheme="minorEastAsia" w:hAnsiTheme="minorEastAsia"/>
          <w:color w:val="auto"/>
          <w:szCs w:val="21"/>
        </w:rPr>
      </w:pPr>
      <w:r>
        <w:rPr>
          <w:rFonts w:asciiTheme="minorEastAsia" w:hAnsiTheme="minorEastAsia"/>
          <w:color w:val="auto"/>
          <w:szCs w:val="21"/>
        </w:rPr>
        <w:t>2</w:t>
      </w:r>
      <w:r>
        <w:rPr>
          <w:rFonts w:hint="eastAsia" w:asciiTheme="minorEastAsia" w:hAnsiTheme="minorEastAsia"/>
          <w:color w:val="auto"/>
          <w:szCs w:val="21"/>
        </w:rPr>
        <w:t>.落实政府采购政策需满足的资格要求：</w:t>
      </w:r>
    </w:p>
    <w:p w14:paraId="5F102402">
      <w:pPr>
        <w:adjustRightInd w:val="0"/>
        <w:snapToGrid w:val="0"/>
        <w:spacing w:before="120" w:beforeLines="50" w:line="352" w:lineRule="exact"/>
        <w:ind w:firstLine="420" w:firstLineChars="200"/>
        <w:rPr>
          <w:rFonts w:asciiTheme="minorEastAsia" w:hAnsiTheme="minorEastAsia"/>
          <w:color w:val="auto"/>
          <w:szCs w:val="21"/>
        </w:rPr>
      </w:pPr>
      <w:r>
        <w:rPr>
          <w:rFonts w:hint="eastAsia" w:asciiTheme="minorEastAsia" w:hAnsiTheme="minorEastAsia"/>
          <w:color w:val="auto"/>
          <w:szCs w:val="21"/>
        </w:rPr>
        <w:t>（1）</w:t>
      </w:r>
      <w:r>
        <w:rPr>
          <w:rFonts w:hint="eastAsia" w:ascii="宋体" w:hAnsi="宋体" w:cs="宋体"/>
          <w:color w:val="auto"/>
          <w:szCs w:val="21"/>
        </w:rPr>
        <w:t>列入财政部、国家发展改革委发布的最新一期《节能产品政府采购清单》且属于应当强制采购的节能产品</w:t>
      </w:r>
      <w:r>
        <w:rPr>
          <w:rFonts w:hint="eastAsia" w:asciiTheme="minorEastAsia" w:hAnsiTheme="minorEastAsia"/>
          <w:color w:val="auto"/>
          <w:szCs w:val="21"/>
        </w:rPr>
        <w:t>，实行强制采购。</w:t>
      </w:r>
    </w:p>
    <w:p w14:paraId="094245CF">
      <w:pPr>
        <w:adjustRightInd w:val="0"/>
        <w:snapToGrid w:val="0"/>
        <w:spacing w:before="120" w:beforeLines="50" w:line="352" w:lineRule="exact"/>
        <w:ind w:firstLine="420" w:firstLineChars="200"/>
        <w:rPr>
          <w:rFonts w:asciiTheme="minorEastAsia" w:hAnsiTheme="minorEastAsia"/>
          <w:color w:val="auto"/>
          <w:szCs w:val="21"/>
        </w:rPr>
      </w:pPr>
      <w:r>
        <w:rPr>
          <w:rFonts w:hint="eastAsia" w:asciiTheme="minorEastAsia" w:hAnsiTheme="minorEastAsia"/>
          <w:color w:val="auto"/>
          <w:szCs w:val="21"/>
        </w:rPr>
        <w:t>（2）优先采购：</w:t>
      </w:r>
      <w:r>
        <w:rPr>
          <w:rFonts w:hint="eastAsia" w:ascii="宋体" w:hAnsi="宋体" w:cs="宋体"/>
          <w:color w:val="auto"/>
          <w:szCs w:val="21"/>
        </w:rPr>
        <w:t>政府采购鼓励采购节能环保产品</w:t>
      </w:r>
      <w:r>
        <w:rPr>
          <w:rFonts w:hint="eastAsia" w:asciiTheme="minorEastAsia" w:hAnsiTheme="minorEastAsia"/>
          <w:color w:val="auto"/>
          <w:szCs w:val="21"/>
        </w:rPr>
        <w:t>，实行优先采购。</w:t>
      </w:r>
    </w:p>
    <w:p w14:paraId="4E7CCAF3">
      <w:pPr>
        <w:adjustRightInd w:val="0"/>
        <w:snapToGrid w:val="0"/>
        <w:spacing w:before="120" w:beforeLines="50" w:line="352" w:lineRule="exact"/>
        <w:ind w:firstLine="420" w:firstLineChars="200"/>
        <w:rPr>
          <w:rFonts w:asciiTheme="minorEastAsia" w:hAnsiTheme="minorEastAsia"/>
          <w:color w:val="auto"/>
          <w:szCs w:val="21"/>
        </w:rPr>
      </w:pPr>
      <w:r>
        <w:rPr>
          <w:rFonts w:hint="eastAsia" w:asciiTheme="minorEastAsia" w:hAnsiTheme="minorEastAsia"/>
          <w:color w:val="auto"/>
          <w:szCs w:val="21"/>
        </w:rPr>
        <w:t>（3）本项目为非专门面向中小企业采购。对小型、微型企业包括视同小型、微型企业的残疾人福利单位、监狱企业，给予价格评审优惠。</w:t>
      </w:r>
    </w:p>
    <w:p w14:paraId="2482A153">
      <w:pPr>
        <w:adjustRightInd w:val="0"/>
        <w:snapToGrid w:val="0"/>
        <w:spacing w:before="120" w:beforeLines="50" w:line="352" w:lineRule="exact"/>
        <w:ind w:firstLine="420" w:firstLineChars="200"/>
        <w:rPr>
          <w:rFonts w:asciiTheme="minorEastAsia" w:hAnsiTheme="minorEastAsia"/>
          <w:color w:val="auto"/>
          <w:szCs w:val="21"/>
        </w:rPr>
      </w:pPr>
      <w:r>
        <w:rPr>
          <w:rFonts w:hint="eastAsia" w:asciiTheme="minorEastAsia" w:hAnsiTheme="minorEastAsia"/>
          <w:color w:val="auto"/>
          <w:szCs w:val="21"/>
        </w:rPr>
        <w:t>3.本项目的特定资格要求：</w:t>
      </w:r>
    </w:p>
    <w:p w14:paraId="4273A6D9">
      <w:pPr>
        <w:adjustRightInd w:val="0"/>
        <w:snapToGrid w:val="0"/>
        <w:spacing w:before="120" w:beforeLines="50" w:line="352" w:lineRule="exact"/>
        <w:ind w:firstLine="420" w:firstLineChars="200"/>
        <w:rPr>
          <w:rFonts w:asciiTheme="minorEastAsia" w:hAnsiTheme="minorEastAsia"/>
          <w:color w:val="auto"/>
          <w:szCs w:val="21"/>
        </w:rPr>
      </w:pPr>
      <w:r>
        <w:rPr>
          <w:rFonts w:hint="eastAsia" w:asciiTheme="minorEastAsia" w:hAnsiTheme="minorEastAsia"/>
          <w:color w:val="auto"/>
          <w:szCs w:val="21"/>
        </w:rPr>
        <w:t>（1）所投货物如纳入医疗器械管理的，投标人须具有医疗器械生产或经营许可证（或相应的备案凭证）；</w:t>
      </w:r>
    </w:p>
    <w:p w14:paraId="69D4A76D">
      <w:pPr>
        <w:adjustRightInd w:val="0"/>
        <w:snapToGrid w:val="0"/>
        <w:spacing w:before="120" w:beforeLines="50" w:line="352" w:lineRule="exact"/>
        <w:ind w:firstLine="420" w:firstLineChars="200"/>
        <w:rPr>
          <w:rFonts w:asciiTheme="minorEastAsia" w:hAnsiTheme="minorEastAsia"/>
          <w:color w:val="auto"/>
          <w:szCs w:val="21"/>
        </w:rPr>
      </w:pPr>
      <w:r>
        <w:rPr>
          <w:rFonts w:hint="eastAsia" w:asciiTheme="minorEastAsia" w:hAnsiTheme="minorEastAsia"/>
          <w:color w:val="auto"/>
          <w:szCs w:val="21"/>
        </w:rPr>
        <w:t>（2）所投货物如纳入医疗器械管理的，货物须具有有效的医疗器械产品注册证（或备案凭证）；</w:t>
      </w:r>
    </w:p>
    <w:p w14:paraId="1E27DD36">
      <w:pPr>
        <w:adjustRightInd w:val="0"/>
        <w:snapToGrid w:val="0"/>
        <w:spacing w:before="120" w:beforeLines="50" w:line="352" w:lineRule="exact"/>
        <w:ind w:firstLine="420" w:firstLineChars="200"/>
        <w:rPr>
          <w:rFonts w:ascii="宋体" w:hAnsi="宋体"/>
          <w:color w:val="auto"/>
          <w:szCs w:val="21"/>
        </w:rPr>
      </w:pPr>
      <w:r>
        <w:rPr>
          <w:rFonts w:hint="eastAsia" w:asciiTheme="minorEastAsia" w:hAnsiTheme="minorEastAsia"/>
          <w:color w:val="auto"/>
          <w:szCs w:val="21"/>
        </w:rPr>
        <w:t>4.本项目不接受联合体投标。</w:t>
      </w:r>
    </w:p>
    <w:p w14:paraId="7A5E2792">
      <w:pPr>
        <w:adjustRightInd w:val="0"/>
        <w:snapToGrid w:val="0"/>
        <w:spacing w:before="120" w:beforeLines="50" w:line="352" w:lineRule="exact"/>
        <w:ind w:firstLine="420" w:firstLineChars="200"/>
        <w:rPr>
          <w:rFonts w:asciiTheme="minorEastAsia" w:hAnsiTheme="minorEastAsia"/>
          <w:color w:val="auto"/>
          <w:szCs w:val="21"/>
        </w:rPr>
      </w:pPr>
      <w:r>
        <w:rPr>
          <w:rFonts w:hint="eastAsia" w:asciiTheme="minorEastAsia" w:hAnsiTheme="minorEastAsia"/>
          <w:color w:val="auto"/>
          <w:szCs w:val="21"/>
        </w:rPr>
        <w:t>5.单位负责人为同一人或者存在直接控股、管理关系的不同供应商，不得参加同一合同项下的政府采购活动。</w:t>
      </w:r>
    </w:p>
    <w:p w14:paraId="09210CC5">
      <w:pPr>
        <w:adjustRightInd w:val="0"/>
        <w:snapToGrid w:val="0"/>
        <w:spacing w:before="120" w:beforeLines="50" w:line="352" w:lineRule="exact"/>
        <w:ind w:firstLine="420" w:firstLineChars="200"/>
        <w:rPr>
          <w:rFonts w:asciiTheme="minorEastAsia" w:hAnsiTheme="minorEastAsia"/>
          <w:color w:val="auto"/>
          <w:szCs w:val="21"/>
        </w:rPr>
      </w:pPr>
      <w:r>
        <w:rPr>
          <w:rFonts w:hint="eastAsia" w:asciiTheme="minorEastAsia" w:hAnsiTheme="minorEastAsia"/>
          <w:color w:val="auto"/>
          <w:szCs w:val="21"/>
        </w:rPr>
        <w:t>6.为本采购项目提供整体设计、规范编制或者项目管理、监理、检测等服务的，不得再参加此项目的其他采购活动。</w:t>
      </w:r>
    </w:p>
    <w:p w14:paraId="53F39770">
      <w:pPr>
        <w:adjustRightInd w:val="0"/>
        <w:snapToGrid w:val="0"/>
        <w:spacing w:before="120" w:beforeLines="50" w:line="352" w:lineRule="exact"/>
        <w:ind w:firstLine="420" w:firstLineChars="200"/>
        <w:rPr>
          <w:rFonts w:asciiTheme="minorEastAsia" w:hAnsiTheme="minorEastAsia"/>
          <w:i/>
          <w:iCs/>
          <w:color w:val="auto"/>
          <w:szCs w:val="21"/>
          <w:u w:val="single"/>
        </w:rPr>
      </w:pPr>
      <w:r>
        <w:rPr>
          <w:rFonts w:hint="eastAsia" w:asciiTheme="minorEastAsia" w:hAnsiTheme="minorEastAsia"/>
          <w:color w:val="auto"/>
          <w:szCs w:val="21"/>
        </w:rPr>
        <w:t>7.被“信用中国”（www.creditchina.gov.cn）、中国政府采购网（www.ccgp.gov.cn）列入失信被执行人、重大税收违法案件当事人名单、政府采购严重违法失信行为记录名单的。</w:t>
      </w:r>
    </w:p>
    <w:p w14:paraId="43059488">
      <w:pPr>
        <w:pStyle w:val="3"/>
        <w:adjustRightInd w:val="0"/>
        <w:snapToGrid w:val="0"/>
        <w:spacing w:before="120" w:beforeLines="50" w:line="352" w:lineRule="exact"/>
        <w:rPr>
          <w:color w:val="auto"/>
        </w:rPr>
      </w:pPr>
      <w:bookmarkStart w:id="26" w:name="_Toc4543"/>
      <w:r>
        <w:rPr>
          <w:rFonts w:hint="eastAsia"/>
          <w:color w:val="auto"/>
        </w:rPr>
        <w:t>三、获取招标文件</w:t>
      </w:r>
      <w:bookmarkEnd w:id="22"/>
      <w:bookmarkEnd w:id="23"/>
      <w:bookmarkEnd w:id="24"/>
      <w:bookmarkEnd w:id="25"/>
      <w:bookmarkEnd w:id="26"/>
    </w:p>
    <w:p w14:paraId="481FEE03">
      <w:pPr>
        <w:adjustRightInd w:val="0"/>
        <w:snapToGrid w:val="0"/>
        <w:spacing w:before="50" w:line="352" w:lineRule="exact"/>
        <w:ind w:firstLine="420" w:firstLineChars="200"/>
        <w:rPr>
          <w:rFonts w:asciiTheme="minorEastAsia" w:hAnsiTheme="minorEastAsia"/>
          <w:color w:val="auto"/>
          <w:szCs w:val="21"/>
        </w:rPr>
      </w:pPr>
      <w:r>
        <w:rPr>
          <w:rFonts w:hint="eastAsia" w:asciiTheme="minorEastAsia" w:hAnsiTheme="minorEastAsia"/>
          <w:color w:val="auto"/>
          <w:szCs w:val="21"/>
        </w:rPr>
        <w:t>时间：</w:t>
      </w:r>
      <w:r>
        <w:rPr>
          <w:rFonts w:hint="eastAsia" w:asciiTheme="minorEastAsia" w:hAnsiTheme="minorEastAsia"/>
          <w:color w:val="auto"/>
        </w:rPr>
        <w:t>2025年</w:t>
      </w:r>
      <w:r>
        <w:rPr>
          <w:rFonts w:hint="eastAsia" w:asciiTheme="minorEastAsia" w:hAnsiTheme="minorEastAsia"/>
          <w:color w:val="auto"/>
          <w:lang w:val="en-US" w:eastAsia="zh-CN"/>
        </w:rPr>
        <w:t>3</w:t>
      </w:r>
      <w:r>
        <w:rPr>
          <w:rFonts w:hint="eastAsia" w:asciiTheme="minorEastAsia" w:hAnsiTheme="minorEastAsia"/>
          <w:color w:val="auto"/>
        </w:rPr>
        <w:t>月</w:t>
      </w:r>
      <w:r>
        <w:rPr>
          <w:rFonts w:hint="eastAsia" w:asciiTheme="minorEastAsia" w:hAnsiTheme="minorEastAsia"/>
          <w:color w:val="auto"/>
          <w:lang w:val="en-US" w:eastAsia="zh-CN"/>
        </w:rPr>
        <w:t>7</w:t>
      </w:r>
      <w:r>
        <w:rPr>
          <w:rFonts w:hint="eastAsia" w:asciiTheme="minorEastAsia" w:hAnsiTheme="minorEastAsia"/>
          <w:color w:val="auto"/>
        </w:rPr>
        <w:t>日</w:t>
      </w:r>
      <w:r>
        <w:rPr>
          <w:rFonts w:hint="eastAsia" w:asciiTheme="minorEastAsia" w:hAnsiTheme="minorEastAsia"/>
          <w:color w:val="auto"/>
          <w:szCs w:val="21"/>
        </w:rPr>
        <w:t>至</w:t>
      </w:r>
      <w:r>
        <w:rPr>
          <w:rFonts w:hint="eastAsia" w:asciiTheme="minorEastAsia" w:hAnsiTheme="minorEastAsia"/>
          <w:color w:val="auto"/>
        </w:rPr>
        <w:t>2025年</w:t>
      </w:r>
      <w:r>
        <w:rPr>
          <w:rFonts w:hint="eastAsia" w:asciiTheme="minorEastAsia" w:hAnsiTheme="minorEastAsia"/>
          <w:color w:val="auto"/>
          <w:lang w:val="en-US" w:eastAsia="zh-CN"/>
        </w:rPr>
        <w:t>3</w:t>
      </w:r>
      <w:r>
        <w:rPr>
          <w:rFonts w:hint="eastAsia" w:asciiTheme="minorEastAsia" w:hAnsiTheme="minorEastAsia"/>
          <w:color w:val="auto"/>
        </w:rPr>
        <w:t>月</w:t>
      </w:r>
      <w:r>
        <w:rPr>
          <w:rFonts w:hint="eastAsia" w:asciiTheme="minorEastAsia" w:hAnsiTheme="minorEastAsia"/>
          <w:color w:val="auto"/>
          <w:lang w:val="en-US" w:eastAsia="zh-CN"/>
        </w:rPr>
        <w:t>17</w:t>
      </w:r>
      <w:r>
        <w:rPr>
          <w:rFonts w:hint="eastAsia" w:asciiTheme="minorEastAsia" w:hAnsiTheme="minorEastAsia"/>
          <w:color w:val="auto"/>
        </w:rPr>
        <w:t>日</w:t>
      </w:r>
      <w:r>
        <w:rPr>
          <w:rFonts w:hint="eastAsia" w:asciiTheme="minorEastAsia" w:hAnsiTheme="minorEastAsia"/>
          <w:color w:val="auto"/>
          <w:szCs w:val="21"/>
        </w:rPr>
        <w:t>，每天上午9:00至12:00，下午14:00至17:00（北京时间，</w:t>
      </w:r>
      <w:r>
        <w:rPr>
          <w:rFonts w:asciiTheme="minorEastAsia" w:hAnsiTheme="minorEastAsia"/>
          <w:color w:val="auto"/>
          <w:szCs w:val="21"/>
        </w:rPr>
        <w:t>法定节假日</w:t>
      </w:r>
      <w:r>
        <w:rPr>
          <w:rFonts w:hint="eastAsia" w:asciiTheme="minorEastAsia" w:hAnsiTheme="minorEastAsia"/>
          <w:color w:val="auto"/>
          <w:szCs w:val="21"/>
        </w:rPr>
        <w:t>除外）。</w:t>
      </w:r>
    </w:p>
    <w:p w14:paraId="0BFAC34F">
      <w:pPr>
        <w:wordWrap w:val="0"/>
        <w:adjustRightInd w:val="0"/>
        <w:snapToGrid w:val="0"/>
        <w:spacing w:before="50" w:line="352" w:lineRule="exact"/>
        <w:ind w:firstLine="420" w:firstLineChars="200"/>
        <w:rPr>
          <w:rFonts w:asciiTheme="minorEastAsia" w:hAnsiTheme="minorEastAsia"/>
          <w:color w:val="auto"/>
          <w:szCs w:val="21"/>
        </w:rPr>
      </w:pPr>
      <w:r>
        <w:rPr>
          <w:rFonts w:hint="eastAsia" w:asciiTheme="minorEastAsia" w:hAnsiTheme="minorEastAsia"/>
          <w:color w:val="auto"/>
          <w:szCs w:val="21"/>
        </w:rPr>
        <w:t>参与本项目的潜在投标人请在华新管理电子招标采购平台（https://hxgl316.youzhicai.com/）成功注册后可在网上获取招标文件（招标文件免费）。</w:t>
      </w:r>
    </w:p>
    <w:p w14:paraId="2E23557D">
      <w:pPr>
        <w:wordWrap w:val="0"/>
        <w:adjustRightInd w:val="0"/>
        <w:snapToGrid w:val="0"/>
        <w:spacing w:before="50" w:line="352" w:lineRule="exact"/>
        <w:ind w:firstLine="420" w:firstLineChars="200"/>
        <w:rPr>
          <w:rFonts w:asciiTheme="minorEastAsia" w:hAnsiTheme="minorEastAsia"/>
          <w:color w:val="auto"/>
          <w:szCs w:val="21"/>
        </w:rPr>
      </w:pPr>
      <w:bookmarkStart w:id="27" w:name="_Toc28359082"/>
      <w:bookmarkStart w:id="28" w:name="_Toc28359005"/>
      <w:bookmarkStart w:id="29" w:name="_Toc35393793"/>
      <w:bookmarkStart w:id="30" w:name="_Toc35393624"/>
      <w:r>
        <w:rPr>
          <w:rFonts w:hint="eastAsia" w:asciiTheme="minorEastAsia" w:hAnsiTheme="minorEastAsia"/>
          <w:color w:val="auto"/>
          <w:szCs w:val="21"/>
        </w:rPr>
        <w:t>获取方式：线上报名。（一）投标人需要在华新管理电子招标采购平台”（https://hxgl316.youzhicai.com/）注册帐号并参加报名，将报名资料（法定代表人身份证明或授权委托书(附法定代表人身份证明)、营业执照复印件，并加盖公章）扫描成完整的PDF资料上传至平台。（二）报名资料网上审核通过后，投标人可直接下载招标文件及其它资料（含澄清和补充通知文件，采购人/代理机构不再另行书通知供应商，供应商应及时关注、查阅华新管理电子招标采购平台发布的上述相关内容，否则责任自负，详见附件）。（三）用户注册成功后如因相关注册信息发生变更（注：与初始注册信息不一致均属），会员应及时网上提交变更申请（咨询电话：0551-62220046，400-0099-555），如因会员自身原因未及时变更导致不利后果者，会员责任自负。</w:t>
      </w:r>
    </w:p>
    <w:p w14:paraId="1C936132">
      <w:pPr>
        <w:pStyle w:val="3"/>
        <w:adjustRightInd w:val="0"/>
        <w:snapToGrid w:val="0"/>
        <w:spacing w:before="120" w:beforeLines="50" w:line="352" w:lineRule="exact"/>
        <w:rPr>
          <w:color w:val="auto"/>
        </w:rPr>
      </w:pPr>
      <w:bookmarkStart w:id="31" w:name="_Toc31343"/>
      <w:r>
        <w:rPr>
          <w:rFonts w:hint="eastAsia"/>
          <w:color w:val="auto"/>
        </w:rPr>
        <w:t>四、提交投标文件</w:t>
      </w:r>
      <w:bookmarkEnd w:id="27"/>
      <w:bookmarkEnd w:id="28"/>
      <w:r>
        <w:rPr>
          <w:rFonts w:hint="eastAsia"/>
          <w:color w:val="auto"/>
        </w:rPr>
        <w:t>截止时间、开标时间和地点</w:t>
      </w:r>
      <w:bookmarkEnd w:id="29"/>
      <w:bookmarkEnd w:id="30"/>
      <w:bookmarkEnd w:id="31"/>
    </w:p>
    <w:p w14:paraId="5D048B43">
      <w:pPr>
        <w:adjustRightInd w:val="0"/>
        <w:snapToGrid w:val="0"/>
        <w:spacing w:before="50" w:line="352" w:lineRule="exact"/>
        <w:ind w:firstLine="420" w:firstLineChars="200"/>
        <w:rPr>
          <w:rFonts w:asciiTheme="minorEastAsia" w:hAnsiTheme="minorEastAsia"/>
          <w:color w:val="auto"/>
          <w:szCs w:val="21"/>
        </w:rPr>
      </w:pPr>
      <w:r>
        <w:rPr>
          <w:rFonts w:hint="eastAsia" w:asciiTheme="minorEastAsia" w:hAnsiTheme="minorEastAsia"/>
          <w:color w:val="auto"/>
          <w:szCs w:val="21"/>
        </w:rPr>
        <w:t>1、提交投标文件截止时间：</w:t>
      </w:r>
      <w:r>
        <w:rPr>
          <w:rFonts w:hint="eastAsia" w:asciiTheme="minorEastAsia" w:hAnsiTheme="minorEastAsia"/>
          <w:color w:val="auto"/>
        </w:rPr>
        <w:t>2025年</w:t>
      </w:r>
      <w:r>
        <w:rPr>
          <w:rFonts w:hint="eastAsia" w:asciiTheme="minorEastAsia" w:hAnsiTheme="minorEastAsia"/>
          <w:color w:val="auto"/>
          <w:lang w:val="en-US" w:eastAsia="zh-CN"/>
        </w:rPr>
        <w:t>4</w:t>
      </w:r>
      <w:r>
        <w:rPr>
          <w:rFonts w:hint="eastAsia" w:asciiTheme="minorEastAsia" w:hAnsiTheme="minorEastAsia"/>
          <w:color w:val="auto"/>
        </w:rPr>
        <w:t>月</w:t>
      </w:r>
      <w:r>
        <w:rPr>
          <w:rFonts w:hint="eastAsia" w:asciiTheme="minorEastAsia" w:hAnsiTheme="minorEastAsia"/>
          <w:color w:val="auto"/>
          <w:lang w:val="en-US" w:eastAsia="zh-CN"/>
        </w:rPr>
        <w:t>1</w:t>
      </w:r>
      <w:r>
        <w:rPr>
          <w:rFonts w:hint="eastAsia" w:asciiTheme="minorEastAsia" w:hAnsiTheme="minorEastAsia"/>
          <w:color w:val="auto"/>
        </w:rPr>
        <w:t>日</w:t>
      </w:r>
      <w:r>
        <w:rPr>
          <w:rFonts w:hint="eastAsia" w:asciiTheme="minorEastAsia" w:hAnsiTheme="minorEastAsia"/>
          <w:color w:val="auto"/>
          <w:szCs w:val="21"/>
        </w:rPr>
        <w:t>9点00分（北京时间）。</w:t>
      </w:r>
    </w:p>
    <w:p w14:paraId="125F69DA">
      <w:pPr>
        <w:adjustRightInd w:val="0"/>
        <w:snapToGrid w:val="0"/>
        <w:spacing w:before="50" w:line="352" w:lineRule="exact"/>
        <w:ind w:firstLine="420" w:firstLineChars="200"/>
        <w:rPr>
          <w:rFonts w:asciiTheme="minorEastAsia" w:hAnsiTheme="minorEastAsia"/>
          <w:color w:val="auto"/>
          <w:szCs w:val="21"/>
        </w:rPr>
      </w:pPr>
      <w:r>
        <w:rPr>
          <w:rFonts w:hint="eastAsia" w:asciiTheme="minorEastAsia" w:hAnsiTheme="minorEastAsia"/>
          <w:color w:val="auto"/>
          <w:szCs w:val="21"/>
        </w:rPr>
        <w:t>2、开标时间：</w:t>
      </w:r>
      <w:r>
        <w:rPr>
          <w:rFonts w:hint="eastAsia" w:asciiTheme="minorEastAsia" w:hAnsiTheme="minorEastAsia"/>
          <w:color w:val="auto"/>
        </w:rPr>
        <w:t>2025年</w:t>
      </w:r>
      <w:r>
        <w:rPr>
          <w:rFonts w:hint="eastAsia" w:asciiTheme="minorEastAsia" w:hAnsiTheme="minorEastAsia"/>
          <w:color w:val="auto"/>
          <w:lang w:val="en-US" w:eastAsia="zh-CN"/>
        </w:rPr>
        <w:t>4</w:t>
      </w:r>
      <w:r>
        <w:rPr>
          <w:rFonts w:hint="eastAsia" w:asciiTheme="minorEastAsia" w:hAnsiTheme="minorEastAsia"/>
          <w:color w:val="auto"/>
        </w:rPr>
        <w:t>月</w:t>
      </w:r>
      <w:r>
        <w:rPr>
          <w:rFonts w:hint="eastAsia" w:asciiTheme="minorEastAsia" w:hAnsiTheme="minorEastAsia"/>
          <w:color w:val="auto"/>
          <w:lang w:val="en-US" w:eastAsia="zh-CN"/>
        </w:rPr>
        <w:t>1</w:t>
      </w:r>
      <w:r>
        <w:rPr>
          <w:rFonts w:hint="eastAsia" w:asciiTheme="minorEastAsia" w:hAnsiTheme="minorEastAsia"/>
          <w:color w:val="auto"/>
        </w:rPr>
        <w:t>日</w:t>
      </w:r>
      <w:r>
        <w:rPr>
          <w:rFonts w:hint="eastAsia" w:asciiTheme="minorEastAsia" w:hAnsiTheme="minorEastAsia"/>
          <w:color w:val="auto"/>
          <w:szCs w:val="21"/>
        </w:rPr>
        <w:t>9点00分（北京时间）。</w:t>
      </w:r>
    </w:p>
    <w:p w14:paraId="716C81DF">
      <w:pPr>
        <w:adjustRightInd w:val="0"/>
        <w:snapToGrid w:val="0"/>
        <w:spacing w:before="50" w:line="352" w:lineRule="exact"/>
        <w:ind w:firstLine="420" w:firstLineChars="200"/>
        <w:rPr>
          <w:rFonts w:ascii="宋体"/>
          <w:color w:val="auto"/>
        </w:rPr>
      </w:pPr>
      <w:r>
        <w:rPr>
          <w:rFonts w:asciiTheme="minorEastAsia" w:hAnsiTheme="minorEastAsia"/>
          <w:color w:val="auto"/>
          <w:szCs w:val="21"/>
        </w:rPr>
        <w:t>3</w:t>
      </w:r>
      <w:r>
        <w:rPr>
          <w:rFonts w:hint="eastAsia" w:asciiTheme="minorEastAsia" w:hAnsiTheme="minorEastAsia"/>
          <w:color w:val="auto"/>
          <w:szCs w:val="21"/>
        </w:rPr>
        <w:t>、</w:t>
      </w:r>
      <w:bookmarkStart w:id="32" w:name="_Toc28359007"/>
      <w:bookmarkStart w:id="33" w:name="_Toc35393794"/>
      <w:bookmarkStart w:id="34" w:name="_Toc35393625"/>
      <w:bookmarkStart w:id="35" w:name="_Toc28359084"/>
      <w:r>
        <w:rPr>
          <w:rFonts w:hint="eastAsia" w:ascii="宋体"/>
          <w:color w:val="auto"/>
        </w:rPr>
        <w:t>关于投标人在线投标和开标的具体说明</w:t>
      </w:r>
    </w:p>
    <w:p w14:paraId="6ABF3242">
      <w:pPr>
        <w:adjustRightInd w:val="0"/>
        <w:snapToGrid w:val="0"/>
        <w:spacing w:before="50" w:line="352" w:lineRule="exact"/>
        <w:ind w:firstLine="420" w:firstLineChars="200"/>
        <w:rPr>
          <w:rFonts w:ascii="宋体"/>
          <w:color w:val="auto"/>
        </w:rPr>
      </w:pPr>
      <w:r>
        <w:rPr>
          <w:rFonts w:ascii="宋体"/>
          <w:color w:val="auto"/>
        </w:rPr>
        <w:t xml:space="preserve">3.1 </w:t>
      </w:r>
      <w:r>
        <w:rPr>
          <w:rFonts w:hint="eastAsia" w:ascii="宋体"/>
          <w:color w:val="auto"/>
        </w:rPr>
        <w:t xml:space="preserve">投标人须知 </w:t>
      </w:r>
    </w:p>
    <w:p w14:paraId="43F7FDB2">
      <w:pPr>
        <w:adjustRightInd w:val="0"/>
        <w:snapToGrid w:val="0"/>
        <w:spacing w:before="50" w:line="352" w:lineRule="exact"/>
        <w:ind w:firstLine="420" w:firstLineChars="200"/>
        <w:rPr>
          <w:rFonts w:ascii="宋体"/>
          <w:color w:val="auto"/>
        </w:rPr>
      </w:pPr>
      <w:r>
        <w:rPr>
          <w:rFonts w:hint="eastAsia" w:ascii="宋体"/>
          <w:color w:val="auto"/>
        </w:rPr>
        <w:t>（</w:t>
      </w:r>
      <w:r>
        <w:rPr>
          <w:rFonts w:ascii="宋体"/>
          <w:color w:val="auto"/>
        </w:rPr>
        <w:t>1</w:t>
      </w:r>
      <w:r>
        <w:rPr>
          <w:rFonts w:hint="eastAsia" w:ascii="宋体"/>
          <w:color w:val="auto"/>
        </w:rPr>
        <w:t>）所有投标文件应于投标截止时间前使用CA证书加密上传至华新管理电子招标采购平台（https://hxgl316.youzhicai.com/）。</w:t>
      </w:r>
    </w:p>
    <w:p w14:paraId="1BCC68D6">
      <w:pPr>
        <w:adjustRightInd w:val="0"/>
        <w:snapToGrid w:val="0"/>
        <w:spacing w:before="50" w:line="352" w:lineRule="exact"/>
        <w:ind w:firstLine="420" w:firstLineChars="200"/>
        <w:rPr>
          <w:rFonts w:ascii="宋体"/>
          <w:color w:val="auto"/>
        </w:rPr>
      </w:pPr>
      <w:r>
        <w:rPr>
          <w:rFonts w:hint="eastAsia" w:ascii="宋体"/>
          <w:color w:val="auto"/>
        </w:rPr>
        <w:t>（2）投标地点：华新管理电子招标采购平台（https://hxgl316.youzhicai.com/）。</w:t>
      </w:r>
    </w:p>
    <w:p w14:paraId="0BDEA50C">
      <w:pPr>
        <w:adjustRightInd w:val="0"/>
        <w:snapToGrid w:val="0"/>
        <w:spacing w:before="50" w:line="352" w:lineRule="exact"/>
        <w:ind w:firstLine="420" w:firstLineChars="200"/>
        <w:rPr>
          <w:rFonts w:ascii="宋体"/>
          <w:color w:val="auto"/>
        </w:rPr>
      </w:pPr>
      <w:r>
        <w:rPr>
          <w:rFonts w:hint="eastAsia" w:ascii="宋体"/>
          <w:color w:val="auto"/>
        </w:rPr>
        <w:t>（3）开标地点：线上：华新管理电子招标采购平台（https://hxgl316.youzhicai.com/）开标大厅。</w:t>
      </w:r>
    </w:p>
    <w:p w14:paraId="776E85E3">
      <w:pPr>
        <w:adjustRightInd w:val="0"/>
        <w:snapToGrid w:val="0"/>
        <w:spacing w:before="50" w:line="352" w:lineRule="exact"/>
        <w:ind w:firstLine="420" w:firstLineChars="200"/>
        <w:rPr>
          <w:rFonts w:ascii="宋体"/>
          <w:color w:val="auto"/>
        </w:rPr>
      </w:pPr>
      <w:r>
        <w:rPr>
          <w:rFonts w:ascii="宋体"/>
          <w:color w:val="auto"/>
        </w:rPr>
        <w:t xml:space="preserve">3.2 </w:t>
      </w:r>
      <w:r>
        <w:rPr>
          <w:rFonts w:hint="eastAsia" w:ascii="宋体"/>
          <w:color w:val="auto"/>
        </w:rPr>
        <w:t>在线投标</w:t>
      </w:r>
    </w:p>
    <w:p w14:paraId="66134F12">
      <w:pPr>
        <w:adjustRightInd w:val="0"/>
        <w:snapToGrid w:val="0"/>
        <w:spacing w:before="50" w:line="352" w:lineRule="exact"/>
        <w:ind w:firstLine="420" w:firstLineChars="200"/>
        <w:rPr>
          <w:rFonts w:ascii="宋体"/>
          <w:color w:val="auto"/>
        </w:rPr>
      </w:pPr>
      <w:r>
        <w:rPr>
          <w:rFonts w:hint="eastAsia" w:ascii="宋体"/>
          <w:color w:val="auto"/>
        </w:rPr>
        <w:t>（1）本项目使用电子招投标，投标人在系统制作投标文件或将电子版PDF投标文件上传至华新管理电子招标采购平台（https://hxgl316.youzhicai.com/），并在线填写投标报价表，使用CA证书对投标信息进行签名加密。</w:t>
      </w:r>
    </w:p>
    <w:p w14:paraId="0DCD5E40">
      <w:pPr>
        <w:adjustRightInd w:val="0"/>
        <w:snapToGrid w:val="0"/>
        <w:spacing w:before="50" w:line="352" w:lineRule="exact"/>
        <w:ind w:firstLine="420" w:firstLineChars="200"/>
        <w:rPr>
          <w:rFonts w:ascii="宋体"/>
          <w:color w:val="auto"/>
        </w:rPr>
      </w:pPr>
      <w:r>
        <w:rPr>
          <w:rFonts w:hint="eastAsia" w:ascii="宋体"/>
          <w:color w:val="auto"/>
        </w:rPr>
        <w:t>注1：投标人在报名成功至开标截止时间前均可上传和修改投标文件，投标截止时间、开标时间到后不可以上传或修改文件。</w:t>
      </w:r>
    </w:p>
    <w:p w14:paraId="1AA588A1">
      <w:pPr>
        <w:adjustRightInd w:val="0"/>
        <w:snapToGrid w:val="0"/>
        <w:spacing w:before="50" w:line="352" w:lineRule="exact"/>
        <w:ind w:firstLine="420" w:firstLineChars="200"/>
        <w:rPr>
          <w:rFonts w:ascii="宋体"/>
          <w:color w:val="auto"/>
        </w:rPr>
      </w:pPr>
      <w:r>
        <w:rPr>
          <w:rFonts w:hint="eastAsia" w:ascii="宋体"/>
          <w:color w:val="auto"/>
        </w:rPr>
        <w:t>注2：请提前熟悉平台对于上传投标文件大小、格式等要求，避免因文件上传不成功导致投标失败。</w:t>
      </w:r>
    </w:p>
    <w:p w14:paraId="5B7757FC">
      <w:pPr>
        <w:adjustRightInd w:val="0"/>
        <w:snapToGrid w:val="0"/>
        <w:spacing w:before="50" w:line="352" w:lineRule="exact"/>
        <w:ind w:firstLine="420" w:firstLineChars="200"/>
        <w:rPr>
          <w:rFonts w:ascii="宋体"/>
          <w:color w:val="auto"/>
        </w:rPr>
      </w:pPr>
      <w:r>
        <w:rPr>
          <w:rFonts w:hint="eastAsia" w:ascii="宋体"/>
          <w:color w:val="auto"/>
        </w:rPr>
        <w:t>注3：请投标人充分考虑电子投标文件上传所需的时间成本，以免延误投标。迟于投标截止时间上传的投标文件将被视为无效投标文件拒绝接收。</w:t>
      </w:r>
    </w:p>
    <w:p w14:paraId="0C77540A">
      <w:pPr>
        <w:adjustRightInd w:val="0"/>
        <w:snapToGrid w:val="0"/>
        <w:spacing w:before="50" w:line="352" w:lineRule="exact"/>
        <w:ind w:firstLine="422" w:firstLineChars="200"/>
        <w:rPr>
          <w:rFonts w:ascii="宋体"/>
          <w:b/>
          <w:color w:val="auto"/>
        </w:rPr>
      </w:pPr>
      <w:r>
        <w:rPr>
          <w:rFonts w:ascii="宋体"/>
          <w:b/>
          <w:color w:val="auto"/>
        </w:rPr>
        <w:t xml:space="preserve">3.3 </w:t>
      </w:r>
      <w:r>
        <w:rPr>
          <w:rFonts w:hint="eastAsia" w:ascii="宋体"/>
          <w:b/>
          <w:color w:val="auto"/>
        </w:rPr>
        <w:t>在线开标</w:t>
      </w:r>
    </w:p>
    <w:p w14:paraId="58DFAFEA">
      <w:pPr>
        <w:adjustRightInd w:val="0"/>
        <w:snapToGrid w:val="0"/>
        <w:spacing w:before="50" w:line="352" w:lineRule="exact"/>
        <w:ind w:firstLine="422" w:firstLineChars="200"/>
        <w:rPr>
          <w:rFonts w:ascii="宋体"/>
          <w:b/>
          <w:color w:val="auto"/>
        </w:rPr>
      </w:pPr>
      <w:r>
        <w:rPr>
          <w:rFonts w:hint="eastAsia" w:ascii="宋体"/>
          <w:b/>
          <w:color w:val="auto"/>
        </w:rPr>
        <w:t>（1）本项目使用电子开标，投标人须在开标前登录到华新管理电子招标采购平台（https://hxgl316.youzhicai.com/）；开标时间到后，须在“开标大厅”完成签到，，在“开标大厅”的投标人接受主持人的邀请完成投标文件的解密。</w:t>
      </w:r>
    </w:p>
    <w:p w14:paraId="186C8B43">
      <w:pPr>
        <w:pStyle w:val="3"/>
        <w:adjustRightInd w:val="0"/>
        <w:snapToGrid w:val="0"/>
        <w:spacing w:before="120" w:beforeLines="50" w:line="352" w:lineRule="exact"/>
        <w:rPr>
          <w:color w:val="auto"/>
        </w:rPr>
      </w:pPr>
      <w:bookmarkStart w:id="36" w:name="_Toc3846"/>
      <w:r>
        <w:rPr>
          <w:rFonts w:hint="eastAsia"/>
          <w:color w:val="auto"/>
        </w:rPr>
        <w:t>五、公告期限</w:t>
      </w:r>
      <w:bookmarkEnd w:id="32"/>
      <w:bookmarkEnd w:id="33"/>
      <w:bookmarkEnd w:id="34"/>
      <w:bookmarkEnd w:id="35"/>
      <w:bookmarkEnd w:id="36"/>
    </w:p>
    <w:p w14:paraId="1727485B">
      <w:pPr>
        <w:adjustRightInd w:val="0"/>
        <w:snapToGrid w:val="0"/>
        <w:spacing w:line="352" w:lineRule="exact"/>
        <w:ind w:firstLine="420" w:firstLineChars="200"/>
        <w:rPr>
          <w:rFonts w:cs="宋体" w:asciiTheme="minorEastAsia" w:hAnsiTheme="minorEastAsia"/>
          <w:color w:val="auto"/>
          <w:kern w:val="0"/>
          <w:szCs w:val="21"/>
        </w:rPr>
      </w:pPr>
      <w:r>
        <w:rPr>
          <w:rFonts w:hint="eastAsia" w:asciiTheme="minorEastAsia" w:hAnsiTheme="minorEastAsia" w:eastAsiaTheme="minorEastAsia"/>
          <w:color w:val="auto"/>
          <w:szCs w:val="21"/>
        </w:rPr>
        <w:t>本招标公告在中国政府采购网（www.ccgp.gov.cn）、中南大学湘雅医院</w:t>
      </w:r>
      <w:r>
        <w:rPr>
          <w:rFonts w:hint="eastAsia" w:ascii="宋体" w:hAnsi="宋体" w:cs="宋体"/>
          <w:color w:val="auto"/>
          <w:szCs w:val="21"/>
        </w:rPr>
        <w:t>官网</w:t>
      </w:r>
      <w:r>
        <w:rPr>
          <w:rFonts w:hint="eastAsia" w:asciiTheme="minorEastAsia" w:hAnsiTheme="minorEastAsia" w:eastAsiaTheme="minorEastAsia"/>
          <w:color w:val="auto"/>
          <w:szCs w:val="21"/>
        </w:rPr>
        <w:t>（https://www.xiangya.com.cn/）、</w:t>
      </w:r>
      <w:r>
        <w:rPr>
          <w:rFonts w:hint="eastAsia" w:ascii="宋体" w:eastAsiaTheme="minorEastAsia"/>
          <w:color w:val="auto"/>
        </w:rPr>
        <w:t>华新管理电子招标采购平台</w:t>
      </w:r>
      <w:r>
        <w:rPr>
          <w:rFonts w:hint="eastAsia" w:ascii="宋体"/>
          <w:color w:val="auto"/>
        </w:rPr>
        <w:t>（https://hxgl316.youzhicai.com/）</w:t>
      </w:r>
      <w:r>
        <w:rPr>
          <w:rFonts w:hint="eastAsia" w:asciiTheme="minorEastAsia" w:hAnsiTheme="minorEastAsia" w:eastAsiaTheme="minorEastAsia"/>
          <w:color w:val="auto"/>
          <w:szCs w:val="21"/>
        </w:rPr>
        <w:t>发布。公告期限自本招标公告发布之日起5个工作日。</w:t>
      </w:r>
    </w:p>
    <w:p w14:paraId="590F9BAE">
      <w:pPr>
        <w:pStyle w:val="3"/>
        <w:adjustRightInd w:val="0"/>
        <w:snapToGrid w:val="0"/>
        <w:spacing w:before="120" w:beforeLines="50" w:line="352" w:lineRule="exact"/>
        <w:rPr>
          <w:color w:val="auto"/>
        </w:rPr>
      </w:pPr>
      <w:bookmarkStart w:id="37" w:name="_Toc35393626"/>
      <w:bookmarkStart w:id="38" w:name="_Toc35393795"/>
      <w:bookmarkStart w:id="39" w:name="_Toc22075"/>
      <w:r>
        <w:rPr>
          <w:rFonts w:hint="eastAsia"/>
          <w:color w:val="auto"/>
        </w:rPr>
        <w:t>六、其他补充事宜</w:t>
      </w:r>
      <w:bookmarkEnd w:id="37"/>
      <w:bookmarkEnd w:id="38"/>
      <w:bookmarkEnd w:id="39"/>
    </w:p>
    <w:p w14:paraId="46D44D22">
      <w:pPr>
        <w:adjustRightInd w:val="0"/>
        <w:snapToGrid w:val="0"/>
        <w:spacing w:line="352" w:lineRule="exact"/>
        <w:ind w:left="210" w:leftChars="100" w:firstLine="207" w:firstLineChars="99"/>
        <w:rPr>
          <w:rFonts w:ascii="宋体" w:hAnsi="宋体" w:cs="宋体"/>
          <w:color w:val="auto"/>
          <w:szCs w:val="21"/>
        </w:rPr>
      </w:pPr>
      <w:bookmarkStart w:id="40" w:name="_Toc28359008"/>
      <w:bookmarkStart w:id="41" w:name="_Toc35393627"/>
      <w:bookmarkStart w:id="42" w:name="_Toc28359085"/>
      <w:bookmarkStart w:id="43" w:name="_Toc35393796"/>
      <w:r>
        <w:rPr>
          <w:rFonts w:hint="eastAsia" w:ascii="宋体" w:hAnsi="宋体" w:cs="宋体"/>
          <w:color w:val="auto"/>
          <w:szCs w:val="21"/>
        </w:rPr>
        <w:t xml:space="preserve">投标保证金专用帐户： </w:t>
      </w:r>
    </w:p>
    <w:p w14:paraId="599FF2E8">
      <w:pPr>
        <w:adjustRightInd w:val="0"/>
        <w:snapToGrid w:val="0"/>
        <w:spacing w:line="352" w:lineRule="exact"/>
        <w:ind w:left="210" w:leftChars="100" w:firstLine="207" w:firstLineChars="99"/>
        <w:rPr>
          <w:rFonts w:ascii="宋体" w:hAnsi="宋体" w:cs="宋体"/>
          <w:color w:val="auto"/>
          <w:szCs w:val="21"/>
        </w:rPr>
      </w:pPr>
      <w:r>
        <w:rPr>
          <w:rFonts w:hint="eastAsia" w:ascii="宋体" w:hAnsi="宋体" w:cs="宋体"/>
          <w:color w:val="auto"/>
          <w:szCs w:val="21"/>
        </w:rPr>
        <w:t>户  名：华新项目管理集团有限公司政府采购保证金专户</w:t>
      </w:r>
    </w:p>
    <w:p w14:paraId="68369B26">
      <w:pPr>
        <w:adjustRightInd w:val="0"/>
        <w:snapToGrid w:val="0"/>
        <w:spacing w:line="352" w:lineRule="exact"/>
        <w:ind w:left="210" w:leftChars="100" w:firstLine="207" w:firstLineChars="99"/>
        <w:rPr>
          <w:rFonts w:ascii="宋体" w:hAnsi="宋体" w:cs="宋体"/>
          <w:color w:val="auto"/>
          <w:szCs w:val="21"/>
        </w:rPr>
      </w:pPr>
      <w:r>
        <w:rPr>
          <w:rFonts w:hint="eastAsia" w:ascii="宋体" w:hAnsi="宋体" w:cs="宋体"/>
          <w:color w:val="auto"/>
          <w:szCs w:val="21"/>
        </w:rPr>
        <w:t>帐  号：4305 0186 3836 0000 0011</w:t>
      </w:r>
    </w:p>
    <w:p w14:paraId="11EAFE17">
      <w:pPr>
        <w:adjustRightInd w:val="0"/>
        <w:snapToGrid w:val="0"/>
        <w:spacing w:line="352" w:lineRule="exact"/>
        <w:ind w:left="210" w:leftChars="100" w:firstLine="207" w:firstLineChars="99"/>
        <w:rPr>
          <w:rFonts w:ascii="宋体" w:hAnsi="宋体" w:cs="宋体"/>
          <w:color w:val="auto"/>
          <w:szCs w:val="21"/>
        </w:rPr>
      </w:pPr>
      <w:r>
        <w:rPr>
          <w:rFonts w:hint="eastAsia" w:ascii="宋体" w:hAnsi="宋体" w:cs="宋体"/>
          <w:color w:val="auto"/>
          <w:szCs w:val="21"/>
        </w:rPr>
        <w:t>开户行：中国建设银行长沙芙蓉中路支行</w:t>
      </w:r>
    </w:p>
    <w:p w14:paraId="7F226070">
      <w:pPr>
        <w:adjustRightInd w:val="0"/>
        <w:snapToGrid w:val="0"/>
        <w:spacing w:line="352" w:lineRule="exact"/>
        <w:ind w:left="210" w:leftChars="100" w:firstLine="207" w:firstLineChars="99"/>
        <w:rPr>
          <w:rFonts w:ascii="宋体" w:hAnsi="宋体" w:cs="宋体"/>
          <w:b/>
          <w:color w:val="auto"/>
          <w:szCs w:val="21"/>
        </w:rPr>
      </w:pPr>
      <w:r>
        <w:rPr>
          <w:rFonts w:hint="eastAsia" w:ascii="宋体" w:hAnsi="宋体" w:cs="宋体"/>
          <w:color w:val="auto"/>
          <w:szCs w:val="21"/>
        </w:rPr>
        <w:t>缴纳方式：从供应商基本账户以支票、汇票、本票等形式缴入到如下账户，并在进账单用途栏或备注栏中注明</w:t>
      </w:r>
      <w:r>
        <w:rPr>
          <w:rFonts w:hint="eastAsia" w:ascii="宋体" w:hAnsi="宋体" w:cs="宋体"/>
          <w:b/>
          <w:color w:val="auto"/>
          <w:szCs w:val="21"/>
        </w:rPr>
        <w:t>“采购代理机构编号/所投</w:t>
      </w:r>
      <w:r>
        <w:rPr>
          <w:rFonts w:hint="eastAsia" w:ascii="宋体" w:hAnsi="宋体" w:cs="宋体"/>
          <w:b/>
          <w:color w:val="auto"/>
          <w:szCs w:val="21"/>
          <w:u w:val="single"/>
        </w:rPr>
        <w:t xml:space="preserve">   </w:t>
      </w:r>
      <w:r>
        <w:rPr>
          <w:rFonts w:hint="eastAsia" w:ascii="宋体" w:hAnsi="宋体" w:cs="宋体"/>
          <w:b/>
          <w:color w:val="auto"/>
          <w:szCs w:val="21"/>
        </w:rPr>
        <w:t>包号”。查询已经到账，视为已缴纳。</w:t>
      </w:r>
    </w:p>
    <w:p w14:paraId="64DAAFB5">
      <w:pPr>
        <w:pStyle w:val="3"/>
        <w:adjustRightInd w:val="0"/>
        <w:snapToGrid w:val="0"/>
        <w:spacing w:before="120" w:beforeLines="50" w:line="352" w:lineRule="exact"/>
        <w:rPr>
          <w:color w:val="auto"/>
        </w:rPr>
      </w:pPr>
      <w:bookmarkStart w:id="44" w:name="_Toc24288"/>
      <w:r>
        <w:rPr>
          <w:rFonts w:hint="eastAsia"/>
          <w:color w:val="auto"/>
        </w:rPr>
        <w:t>七、疑问及质疑</w:t>
      </w:r>
      <w:bookmarkEnd w:id="40"/>
      <w:bookmarkEnd w:id="41"/>
      <w:bookmarkEnd w:id="42"/>
      <w:bookmarkEnd w:id="43"/>
      <w:bookmarkEnd w:id="44"/>
    </w:p>
    <w:p w14:paraId="349398E2">
      <w:pPr>
        <w:adjustRightInd w:val="0"/>
        <w:snapToGrid w:val="0"/>
        <w:spacing w:before="50" w:line="352" w:lineRule="exact"/>
        <w:ind w:firstLine="420" w:firstLineChars="200"/>
        <w:rPr>
          <w:rFonts w:asciiTheme="minorEastAsia" w:hAnsiTheme="minorEastAsia"/>
          <w:color w:val="auto"/>
          <w:szCs w:val="21"/>
        </w:rPr>
      </w:pPr>
      <w:r>
        <w:rPr>
          <w:rFonts w:hint="eastAsia" w:asciiTheme="minorEastAsia" w:hAnsiTheme="minorEastAsia"/>
          <w:color w:val="auto"/>
          <w:szCs w:val="21"/>
        </w:rPr>
        <w:t>1、潜在投标人对政府采购活动事项如有疑问的，可以向采购人或采购代理机构提出询问。</w:t>
      </w:r>
    </w:p>
    <w:p w14:paraId="1D5CDFAF">
      <w:pPr>
        <w:adjustRightInd w:val="0"/>
        <w:snapToGrid w:val="0"/>
        <w:spacing w:before="50" w:line="352" w:lineRule="exact"/>
        <w:ind w:firstLine="420" w:firstLineChars="200"/>
        <w:rPr>
          <w:rFonts w:asciiTheme="minorEastAsia" w:hAnsiTheme="minorEastAsia"/>
          <w:color w:val="auto"/>
          <w:szCs w:val="21"/>
        </w:rPr>
      </w:pPr>
      <w:r>
        <w:rPr>
          <w:rFonts w:hint="eastAsia" w:asciiTheme="minorEastAsia" w:hAnsiTheme="minorEastAsia"/>
          <w:color w:val="auto"/>
          <w:szCs w:val="21"/>
        </w:rPr>
        <w:t>2、潜在投标人认为招标文件或招标公告使自己的合法权益受到损害的，可以在收到招标文件之日或招标公告期限届满之日起7个工作日内，以书面形式向采购人、采购代理机构提出质疑。</w:t>
      </w:r>
    </w:p>
    <w:p w14:paraId="0EFDFE4A">
      <w:pPr>
        <w:pStyle w:val="3"/>
        <w:spacing w:line="352" w:lineRule="exact"/>
        <w:rPr>
          <w:color w:val="auto"/>
        </w:rPr>
      </w:pPr>
      <w:bookmarkStart w:id="45" w:name="_Toc8854"/>
      <w:r>
        <w:rPr>
          <w:rFonts w:hint="eastAsia" w:cs="宋体"/>
          <w:color w:val="auto"/>
        </w:rPr>
        <w:t>八、</w:t>
      </w:r>
      <w:r>
        <w:rPr>
          <w:rFonts w:hint="eastAsia"/>
          <w:color w:val="auto"/>
        </w:rPr>
        <w:t>采购项目及采购人、采购代理机构联系人姓名和电话</w:t>
      </w:r>
      <w:bookmarkEnd w:id="45"/>
    </w:p>
    <w:p w14:paraId="41111BD3">
      <w:pPr>
        <w:adjustRightInd w:val="0"/>
        <w:snapToGrid w:val="0"/>
        <w:spacing w:before="120" w:beforeLines="50" w:line="352" w:lineRule="exact"/>
        <w:rPr>
          <w:rFonts w:asciiTheme="minorEastAsia" w:hAnsiTheme="minorEastAsia"/>
          <w:b/>
          <w:color w:val="auto"/>
          <w:szCs w:val="21"/>
        </w:rPr>
      </w:pPr>
      <w:r>
        <w:rPr>
          <w:rFonts w:hint="eastAsia" w:asciiTheme="minorEastAsia" w:hAnsiTheme="minorEastAsia"/>
          <w:b/>
          <w:color w:val="auto"/>
          <w:szCs w:val="21"/>
        </w:rPr>
        <w:t>1.采购人信息</w:t>
      </w:r>
    </w:p>
    <w:p w14:paraId="4865374F">
      <w:pPr>
        <w:adjustRightInd w:val="0"/>
        <w:snapToGrid w:val="0"/>
        <w:spacing w:before="50" w:line="352" w:lineRule="exact"/>
        <w:rPr>
          <w:rFonts w:asciiTheme="minorEastAsia" w:hAnsiTheme="minorEastAsia"/>
          <w:bCs/>
          <w:color w:val="auto"/>
          <w:szCs w:val="21"/>
        </w:rPr>
      </w:pPr>
      <w:r>
        <w:rPr>
          <w:rFonts w:hint="eastAsia" w:asciiTheme="minorEastAsia" w:hAnsiTheme="minorEastAsia"/>
          <w:bCs/>
          <w:color w:val="auto"/>
          <w:szCs w:val="21"/>
        </w:rPr>
        <w:t>（1）名  称：</w:t>
      </w:r>
      <w:bookmarkStart w:id="46" w:name="OLE_LINK1"/>
      <w:r>
        <w:rPr>
          <w:rFonts w:hint="eastAsia" w:asciiTheme="minorEastAsia" w:hAnsiTheme="minorEastAsia"/>
          <w:bCs/>
          <w:color w:val="auto"/>
          <w:szCs w:val="21"/>
        </w:rPr>
        <w:t>中南大学湘雅医院</w:t>
      </w:r>
      <w:bookmarkEnd w:id="46"/>
    </w:p>
    <w:p w14:paraId="6E079A61">
      <w:pPr>
        <w:adjustRightInd w:val="0"/>
        <w:snapToGrid w:val="0"/>
        <w:spacing w:before="50" w:line="352" w:lineRule="exact"/>
        <w:rPr>
          <w:rFonts w:asciiTheme="minorEastAsia" w:hAnsiTheme="minorEastAsia"/>
          <w:bCs/>
          <w:color w:val="auto"/>
          <w:szCs w:val="21"/>
        </w:rPr>
      </w:pPr>
      <w:r>
        <w:rPr>
          <w:rFonts w:hint="eastAsia" w:asciiTheme="minorEastAsia" w:hAnsiTheme="minorEastAsia"/>
          <w:bCs/>
          <w:color w:val="auto"/>
          <w:szCs w:val="21"/>
        </w:rPr>
        <w:t>（2）地  址：长沙市湘雅路87号</w:t>
      </w:r>
    </w:p>
    <w:p w14:paraId="34BA5C6C">
      <w:pPr>
        <w:adjustRightInd w:val="0"/>
        <w:snapToGrid w:val="0"/>
        <w:spacing w:before="50" w:line="352" w:lineRule="exact"/>
        <w:rPr>
          <w:rFonts w:asciiTheme="minorEastAsia" w:hAnsiTheme="minorEastAsia"/>
          <w:bCs/>
          <w:color w:val="auto"/>
          <w:szCs w:val="21"/>
        </w:rPr>
      </w:pPr>
      <w:r>
        <w:rPr>
          <w:rFonts w:hint="eastAsia" w:asciiTheme="minorEastAsia" w:hAnsiTheme="minorEastAsia"/>
          <w:bCs/>
          <w:color w:val="auto"/>
          <w:szCs w:val="21"/>
        </w:rPr>
        <w:t>（3）联系人：欧阳老师</w:t>
      </w:r>
    </w:p>
    <w:p w14:paraId="6C786556">
      <w:pPr>
        <w:adjustRightInd w:val="0"/>
        <w:snapToGrid w:val="0"/>
        <w:spacing w:before="50" w:line="352" w:lineRule="exact"/>
        <w:rPr>
          <w:rFonts w:asciiTheme="minorEastAsia" w:hAnsiTheme="minorEastAsia"/>
          <w:bCs/>
          <w:color w:val="auto"/>
          <w:szCs w:val="21"/>
        </w:rPr>
      </w:pPr>
      <w:r>
        <w:rPr>
          <w:rFonts w:hint="eastAsia" w:asciiTheme="minorEastAsia" w:hAnsiTheme="minorEastAsia"/>
          <w:bCs/>
          <w:color w:val="auto"/>
          <w:szCs w:val="21"/>
        </w:rPr>
        <w:t>（4）电  话：0731-89752080</w:t>
      </w:r>
    </w:p>
    <w:p w14:paraId="61D486BB">
      <w:pPr>
        <w:adjustRightInd w:val="0"/>
        <w:snapToGrid w:val="0"/>
        <w:spacing w:before="120" w:beforeLines="50" w:line="352" w:lineRule="exact"/>
        <w:rPr>
          <w:rFonts w:asciiTheme="minorEastAsia" w:hAnsiTheme="minorEastAsia"/>
          <w:b/>
          <w:color w:val="auto"/>
          <w:szCs w:val="21"/>
        </w:rPr>
      </w:pPr>
      <w:r>
        <w:rPr>
          <w:rFonts w:hint="eastAsia" w:asciiTheme="minorEastAsia" w:hAnsiTheme="minorEastAsia"/>
          <w:b/>
          <w:color w:val="auto"/>
          <w:szCs w:val="21"/>
        </w:rPr>
        <w:t>2.采购代理机构信息</w:t>
      </w:r>
    </w:p>
    <w:p w14:paraId="3141A2C1">
      <w:pPr>
        <w:adjustRightInd w:val="0"/>
        <w:snapToGrid w:val="0"/>
        <w:spacing w:before="50" w:line="352" w:lineRule="exact"/>
        <w:rPr>
          <w:rFonts w:ascii="宋体" w:hAnsi="宋体" w:cs="宋体"/>
          <w:color w:val="auto"/>
          <w:szCs w:val="21"/>
        </w:rPr>
      </w:pPr>
      <w:r>
        <w:rPr>
          <w:rFonts w:hint="eastAsia" w:asciiTheme="minorEastAsia" w:hAnsiTheme="minorEastAsia"/>
          <w:bCs/>
          <w:color w:val="auto"/>
          <w:szCs w:val="21"/>
        </w:rPr>
        <w:t>（1）</w:t>
      </w:r>
      <w:r>
        <w:rPr>
          <w:rFonts w:hint="eastAsia" w:ascii="宋体" w:hAnsi="宋体" w:cs="宋体"/>
          <w:color w:val="auto"/>
          <w:szCs w:val="21"/>
        </w:rPr>
        <w:t>名 称：华新项目管理集团有限公司　　　　　　　　　　　　</w:t>
      </w:r>
    </w:p>
    <w:p w14:paraId="3E0D9264">
      <w:pPr>
        <w:adjustRightInd w:val="0"/>
        <w:snapToGrid w:val="0"/>
        <w:spacing w:before="50" w:line="352" w:lineRule="exact"/>
        <w:rPr>
          <w:rFonts w:ascii="宋体" w:hAnsi="宋体" w:cs="宋体"/>
          <w:color w:val="auto"/>
          <w:szCs w:val="21"/>
        </w:rPr>
      </w:pPr>
      <w:r>
        <w:rPr>
          <w:rFonts w:hint="eastAsia" w:asciiTheme="minorEastAsia" w:hAnsiTheme="minorEastAsia"/>
          <w:bCs/>
          <w:color w:val="auto"/>
          <w:szCs w:val="21"/>
        </w:rPr>
        <w:t>（2）</w:t>
      </w:r>
      <w:r>
        <w:rPr>
          <w:rFonts w:hint="eastAsia" w:ascii="宋体" w:hAnsi="宋体" w:cs="宋体"/>
          <w:color w:val="auto"/>
          <w:szCs w:val="21"/>
        </w:rPr>
        <w:t>地　址：长沙市天心区保利国际广场B3栋1801-1805室　　　　　　　　　　　　</w:t>
      </w:r>
    </w:p>
    <w:p w14:paraId="29B5DCB9">
      <w:pPr>
        <w:adjustRightInd w:val="0"/>
        <w:snapToGrid w:val="0"/>
        <w:spacing w:before="50" w:line="352" w:lineRule="exact"/>
        <w:rPr>
          <w:rFonts w:ascii="宋体" w:hAnsi="宋体" w:cs="宋体"/>
          <w:color w:val="auto"/>
          <w:szCs w:val="21"/>
        </w:rPr>
      </w:pPr>
      <w:r>
        <w:rPr>
          <w:rFonts w:hint="eastAsia" w:asciiTheme="minorEastAsia" w:hAnsiTheme="minorEastAsia"/>
          <w:bCs/>
          <w:color w:val="auto"/>
          <w:szCs w:val="21"/>
        </w:rPr>
        <w:t>（3）</w:t>
      </w:r>
      <w:r>
        <w:rPr>
          <w:rFonts w:hint="eastAsia" w:ascii="宋体" w:hAnsi="宋体" w:cs="宋体"/>
          <w:color w:val="auto"/>
          <w:szCs w:val="21"/>
        </w:rPr>
        <w:t xml:space="preserve">联系方式：张灵敏、罗婷、王玥、粟瑀 </w:t>
      </w:r>
    </w:p>
    <w:p w14:paraId="40E1693E">
      <w:pPr>
        <w:adjustRightInd w:val="0"/>
        <w:snapToGrid w:val="0"/>
        <w:spacing w:before="50" w:line="352" w:lineRule="exact"/>
        <w:rPr>
          <w:rFonts w:ascii="宋体" w:hAnsi="宋体" w:cs="宋体"/>
          <w:color w:val="auto"/>
          <w:szCs w:val="21"/>
        </w:rPr>
      </w:pPr>
      <w:r>
        <w:rPr>
          <w:rFonts w:hint="eastAsia" w:asciiTheme="minorEastAsia" w:hAnsiTheme="minorEastAsia"/>
          <w:bCs/>
          <w:color w:val="auto"/>
          <w:szCs w:val="21"/>
        </w:rPr>
        <w:t>（4）</w:t>
      </w:r>
      <w:r>
        <w:rPr>
          <w:rFonts w:hint="eastAsia" w:ascii="宋体" w:hAnsi="宋体" w:cs="宋体"/>
          <w:color w:val="auto"/>
          <w:szCs w:val="21"/>
        </w:rPr>
        <w:t>电　话：0731-85163777</w:t>
      </w:r>
    </w:p>
    <w:p w14:paraId="228F46AB">
      <w:pPr>
        <w:adjustRightInd w:val="0"/>
        <w:snapToGrid w:val="0"/>
        <w:spacing w:before="50" w:line="352" w:lineRule="exact"/>
        <w:rPr>
          <w:rFonts w:asciiTheme="minorEastAsia" w:hAnsiTheme="minorEastAsia"/>
          <w:bCs/>
          <w:color w:val="auto"/>
          <w:szCs w:val="21"/>
        </w:rPr>
      </w:pPr>
      <w:r>
        <w:rPr>
          <w:rFonts w:hint="eastAsia" w:asciiTheme="minorEastAsia" w:hAnsiTheme="minorEastAsia"/>
          <w:bCs/>
          <w:color w:val="auto"/>
          <w:szCs w:val="21"/>
        </w:rPr>
        <w:t>（5）</w:t>
      </w:r>
      <w:r>
        <w:rPr>
          <w:rFonts w:hint="eastAsia" w:ascii="宋体" w:hAnsi="宋体" w:cs="宋体"/>
          <w:color w:val="auto"/>
          <w:szCs w:val="21"/>
        </w:rPr>
        <w:t>邮箱：910057891@qq.com　　　</w:t>
      </w:r>
      <w:r>
        <w:rPr>
          <w:rFonts w:hint="eastAsia" w:asciiTheme="minorEastAsia" w:hAnsiTheme="minorEastAsia"/>
          <w:bCs/>
          <w:color w:val="auto"/>
          <w:szCs w:val="21"/>
        </w:rPr>
        <w:t>　　　　　　　　　</w:t>
      </w:r>
    </w:p>
    <w:p w14:paraId="6D96CB1C">
      <w:pPr>
        <w:pStyle w:val="3"/>
        <w:spacing w:line="352" w:lineRule="exact"/>
        <w:rPr>
          <w:rFonts w:cs="宋体"/>
          <w:color w:val="auto"/>
        </w:rPr>
      </w:pPr>
      <w:bookmarkStart w:id="47" w:name="_Toc5427"/>
      <w:r>
        <w:rPr>
          <w:rFonts w:hint="eastAsia" w:cs="宋体"/>
          <w:color w:val="auto"/>
        </w:rPr>
        <w:t>九、其他</w:t>
      </w:r>
      <w:bookmarkEnd w:id="47"/>
    </w:p>
    <w:p w14:paraId="4CFAEBD4">
      <w:pPr>
        <w:adjustRightInd w:val="0"/>
        <w:snapToGrid w:val="0"/>
        <w:spacing w:line="352" w:lineRule="exact"/>
        <w:ind w:firstLine="420" w:firstLineChars="200"/>
        <w:rPr>
          <w:rFonts w:ascii="宋体" w:hAnsi="宋体" w:cs="宋体"/>
          <w:color w:val="auto"/>
          <w:szCs w:val="21"/>
        </w:rPr>
      </w:pPr>
      <w:r>
        <w:rPr>
          <w:rFonts w:hint="eastAsia" w:ascii="宋体" w:hAnsi="宋体" w:cs="宋体"/>
          <w:color w:val="auto"/>
          <w:szCs w:val="21"/>
        </w:rPr>
        <w:t>1、招标公告发布媒介：中国政府采购网（http://www.ccgp.gov.cn/）、中南大学湘雅医院</w:t>
      </w:r>
      <w:bookmarkStart w:id="48" w:name="OLE_LINK21"/>
      <w:r>
        <w:rPr>
          <w:rFonts w:hint="eastAsia" w:ascii="宋体" w:hAnsi="宋体" w:cs="宋体"/>
          <w:color w:val="auto"/>
          <w:szCs w:val="21"/>
        </w:rPr>
        <w:t>官网</w:t>
      </w:r>
      <w:bookmarkEnd w:id="48"/>
      <w:r>
        <w:rPr>
          <w:rFonts w:hint="eastAsia" w:ascii="宋体" w:hAnsi="宋体" w:cs="宋体"/>
          <w:color w:val="auto"/>
          <w:szCs w:val="21"/>
        </w:rPr>
        <w:t>(https://www.xiangya.com.cn/)发布、华新管理电子招标采购平台（https://hxgl316.youzhicai.com/）。</w:t>
      </w:r>
    </w:p>
    <w:p w14:paraId="51360B31">
      <w:pPr>
        <w:adjustRightInd w:val="0"/>
        <w:snapToGrid w:val="0"/>
        <w:spacing w:line="352" w:lineRule="exact"/>
        <w:ind w:firstLine="420" w:firstLineChars="200"/>
        <w:rPr>
          <w:rFonts w:ascii="宋体" w:hAnsi="宋体" w:cs="宋体"/>
          <w:color w:val="auto"/>
          <w:szCs w:val="21"/>
        </w:rPr>
      </w:pPr>
      <w:r>
        <w:rPr>
          <w:rFonts w:hint="eastAsia" w:ascii="宋体" w:hAnsi="宋体" w:cs="宋体"/>
          <w:color w:val="auto"/>
          <w:szCs w:val="21"/>
        </w:rPr>
        <w:t>2、报名成功的投标人须登陆“华新管理电子招标采购平台”（网址：https://hxgl316.youzhicai.com/）参与本项目招标采购活动。请未注册的供应商及时注册，注册请登录https://hxgl316.youzhicai.com，在首页右上角点击“用户注册”。请务必注册为“投标人角色”方可正常参与响应。注册咨询电话：0551-62220046，400-0099-555。因未及时办理注册审核手续影响投标响应的，责任自负。</w:t>
      </w:r>
    </w:p>
    <w:p w14:paraId="21583536">
      <w:pPr>
        <w:adjustRightInd w:val="0"/>
        <w:snapToGrid w:val="0"/>
        <w:spacing w:line="352" w:lineRule="exact"/>
        <w:ind w:firstLine="420" w:firstLineChars="200"/>
        <w:rPr>
          <w:rFonts w:ascii="宋体" w:hAnsi="宋体" w:cs="宋体"/>
          <w:color w:val="auto"/>
          <w:szCs w:val="21"/>
        </w:rPr>
      </w:pPr>
      <w:r>
        <w:rPr>
          <w:rFonts w:hint="eastAsia" w:ascii="宋体" w:hAnsi="宋体" w:cs="宋体"/>
          <w:color w:val="auto"/>
          <w:szCs w:val="21"/>
        </w:rPr>
        <w:t>3、本项目开评标过程采用全流程电子化招标采购方式，报名成功的投标人须办理CA数字证书（以下简称CA），CA用于电子投标/响应文件的签章及上传（上传投标/响应文件需使用CA进行加密）；CA办理详见《CA数字证书办理说明》（http://www.youzhicai.com/ActivityTopic/AdviceDetail/8f80a7ec-911f-4c4d-a123-f8849880f045）；咨询热线：0551-62220046，400-0099-555。</w:t>
      </w:r>
    </w:p>
    <w:p w14:paraId="4FFE2D5C">
      <w:pPr>
        <w:adjustRightInd w:val="0"/>
        <w:snapToGrid w:val="0"/>
        <w:spacing w:line="352" w:lineRule="exact"/>
        <w:ind w:firstLine="420" w:firstLineChars="200"/>
        <w:rPr>
          <w:rFonts w:ascii="宋体" w:hAnsi="宋体" w:cs="宋体"/>
          <w:color w:val="auto"/>
          <w:szCs w:val="21"/>
        </w:rPr>
      </w:pPr>
      <w:r>
        <w:rPr>
          <w:rFonts w:hint="eastAsia" w:ascii="宋体" w:hAnsi="宋体" w:cs="宋体"/>
          <w:color w:val="auto"/>
          <w:szCs w:val="21"/>
        </w:rPr>
        <w:t>4、已注册的投标人若注册信息发生变更（如：与初始注册信息不一致），应及时网上提交变更申请。因未及时变更导致不利后果的，责任自负。项目的招标文件及其他资料（含澄清、答疑及相关补充文件）通过华新管理电子招标采购平台发布，委托人/代理机构不再另行书面通知，潜在投标人应及时关注、查阅华新管理电子招标采购平台。因未及时查看导致不利后果的，责任自负，咨询热线：0551-62220046，400-0099-555。</w:t>
      </w:r>
    </w:p>
    <w:p w14:paraId="651F0CF8">
      <w:pPr>
        <w:adjustRightInd w:val="0"/>
        <w:snapToGrid w:val="0"/>
        <w:spacing w:line="352" w:lineRule="exact"/>
        <w:ind w:firstLine="420" w:firstLineChars="200"/>
        <w:rPr>
          <w:rFonts w:ascii="宋体" w:hAnsi="宋体" w:cs="宋体"/>
          <w:color w:val="auto"/>
          <w:szCs w:val="21"/>
        </w:rPr>
      </w:pPr>
      <w:r>
        <w:rPr>
          <w:rFonts w:hint="eastAsia" w:ascii="宋体" w:hAnsi="宋体" w:cs="宋体"/>
          <w:color w:val="auto"/>
          <w:szCs w:val="21"/>
        </w:rPr>
        <w:t>5、电子投标文件必须使用“优质采投标工具客户端”制作生成并上传。下载地址：http://toolcdn.youzhicai.com/tools/BidderTools.zip，使用说明书及视频教程下载地址:  http://file.youzhicai.com/files/BidderHelp.rar，咨询热线：0551-62220046，400-0099-555。</w:t>
      </w:r>
    </w:p>
    <w:p w14:paraId="73416B2B">
      <w:pPr>
        <w:adjustRightInd w:val="0"/>
        <w:snapToGrid w:val="0"/>
        <w:spacing w:before="50" w:line="360" w:lineRule="auto"/>
        <w:ind w:firstLine="1285" w:firstLineChars="400"/>
        <w:rPr>
          <w:rFonts w:ascii="黑体" w:hAnsi="华文中宋" w:eastAsia="黑体"/>
          <w:b/>
          <w:color w:val="auto"/>
          <w:sz w:val="32"/>
          <w:szCs w:val="32"/>
        </w:rPr>
      </w:pPr>
      <w:r>
        <w:rPr>
          <w:rFonts w:ascii="黑体" w:hAnsi="华文中宋" w:eastAsia="黑体"/>
          <w:b/>
          <w:color w:val="auto"/>
          <w:sz w:val="32"/>
          <w:szCs w:val="32"/>
        </w:rPr>
        <w:br w:type="page"/>
      </w:r>
    </w:p>
    <w:p w14:paraId="2FB95219">
      <w:pPr>
        <w:pStyle w:val="21"/>
        <w:adjustRightInd w:val="0"/>
        <w:snapToGrid w:val="0"/>
        <w:spacing w:line="360" w:lineRule="auto"/>
        <w:jc w:val="center"/>
        <w:outlineLvl w:val="0"/>
        <w:rPr>
          <w:rFonts w:ascii="黑体" w:hAnsi="华文中宋" w:eastAsia="黑体"/>
          <w:b/>
          <w:color w:val="auto"/>
          <w:spacing w:val="100"/>
          <w:sz w:val="32"/>
          <w:szCs w:val="32"/>
        </w:rPr>
      </w:pPr>
      <w:bookmarkStart w:id="49" w:name="_Toc16400"/>
      <w:r>
        <w:rPr>
          <w:rFonts w:hint="eastAsia" w:ascii="黑体" w:hAnsi="华文中宋" w:eastAsia="黑体"/>
          <w:b/>
          <w:color w:val="auto"/>
          <w:sz w:val="32"/>
          <w:szCs w:val="32"/>
        </w:rPr>
        <w:t>第二章 投标须知</w:t>
      </w:r>
      <w:bookmarkEnd w:id="1"/>
      <w:bookmarkEnd w:id="2"/>
      <w:bookmarkEnd w:id="3"/>
      <w:bookmarkEnd w:id="4"/>
      <w:bookmarkEnd w:id="5"/>
      <w:bookmarkEnd w:id="6"/>
      <w:bookmarkEnd w:id="7"/>
      <w:bookmarkEnd w:id="8"/>
      <w:bookmarkEnd w:id="49"/>
    </w:p>
    <w:p w14:paraId="738F5E1F">
      <w:pPr>
        <w:pStyle w:val="3"/>
        <w:adjustRightInd w:val="0"/>
        <w:snapToGrid w:val="0"/>
        <w:jc w:val="center"/>
        <w:rPr>
          <w:rFonts w:ascii="黑体" w:hAnsi="华文中宋" w:eastAsia="黑体"/>
          <w:color w:val="auto"/>
          <w:spacing w:val="100"/>
          <w:sz w:val="28"/>
          <w:szCs w:val="28"/>
        </w:rPr>
      </w:pPr>
      <w:bookmarkStart w:id="50" w:name="_Toc17291"/>
      <w:r>
        <w:rPr>
          <w:rFonts w:hint="eastAsia" w:ascii="黑体" w:hAnsi="华文中宋" w:eastAsia="黑体"/>
          <w:color w:val="auto"/>
          <w:sz w:val="28"/>
          <w:szCs w:val="28"/>
        </w:rPr>
        <w:t>第一节 投标须知前附表</w:t>
      </w:r>
      <w:bookmarkEnd w:id="50"/>
    </w:p>
    <w:p w14:paraId="5E1AD1AE">
      <w:pPr>
        <w:adjustRightInd w:val="0"/>
        <w:snapToGrid w:val="0"/>
        <w:spacing w:line="360" w:lineRule="auto"/>
        <w:ind w:right="31" w:rightChars="15"/>
        <w:jc w:val="right"/>
        <w:rPr>
          <w:rFonts w:asciiTheme="minorEastAsia" w:hAnsiTheme="minorEastAsia" w:eastAsiaTheme="minorEastAsia"/>
          <w:i/>
          <w:color w:val="auto"/>
          <w:szCs w:val="21"/>
        </w:rPr>
      </w:pPr>
      <w:r>
        <w:rPr>
          <w:rFonts w:hint="eastAsia" w:asciiTheme="minorEastAsia" w:hAnsiTheme="minorEastAsia" w:eastAsiaTheme="minorEastAsia"/>
          <w:i/>
          <w:color w:val="auto"/>
          <w:szCs w:val="21"/>
        </w:rPr>
        <w:t>注：本项目启用的条款在“编列内容规定”栏内以“■”标注。</w:t>
      </w:r>
    </w:p>
    <w:tbl>
      <w:tblPr>
        <w:tblStyle w:val="41"/>
        <w:tblW w:w="8931"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560"/>
        <w:gridCol w:w="2268"/>
        <w:gridCol w:w="5103"/>
      </w:tblGrid>
      <w:tr w14:paraId="3B2FBFE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45" w:hRule="atLeast"/>
          <w:tblHeader/>
        </w:trPr>
        <w:tc>
          <w:tcPr>
            <w:tcW w:w="1560" w:type="dxa"/>
            <w:vAlign w:val="center"/>
          </w:tcPr>
          <w:p w14:paraId="45EAFB51">
            <w:pPr>
              <w:adjustRightInd w:val="0"/>
              <w:snapToGrid w:val="0"/>
              <w:spacing w:line="276" w:lineRule="auto"/>
              <w:jc w:val="center"/>
              <w:rPr>
                <w:rFonts w:asciiTheme="minorEastAsia" w:hAnsiTheme="minorEastAsia" w:eastAsiaTheme="minorEastAsia"/>
                <w:b/>
                <w:color w:val="auto"/>
                <w:szCs w:val="21"/>
              </w:rPr>
            </w:pPr>
            <w:r>
              <w:rPr>
                <w:rFonts w:hint="eastAsia" w:asciiTheme="minorEastAsia" w:hAnsiTheme="minorEastAsia" w:eastAsiaTheme="minorEastAsia"/>
                <w:b/>
                <w:color w:val="auto"/>
                <w:szCs w:val="21"/>
              </w:rPr>
              <w:t>条款号</w:t>
            </w:r>
          </w:p>
        </w:tc>
        <w:tc>
          <w:tcPr>
            <w:tcW w:w="2268" w:type="dxa"/>
            <w:vAlign w:val="center"/>
          </w:tcPr>
          <w:p w14:paraId="62B83CF9">
            <w:pPr>
              <w:adjustRightInd w:val="0"/>
              <w:snapToGrid w:val="0"/>
              <w:spacing w:line="276" w:lineRule="auto"/>
              <w:jc w:val="center"/>
              <w:rPr>
                <w:rFonts w:asciiTheme="minorEastAsia" w:hAnsiTheme="minorEastAsia" w:eastAsiaTheme="minorEastAsia"/>
                <w:b/>
                <w:color w:val="auto"/>
                <w:szCs w:val="21"/>
              </w:rPr>
            </w:pPr>
            <w:r>
              <w:rPr>
                <w:rFonts w:hint="eastAsia" w:asciiTheme="minorEastAsia" w:hAnsiTheme="minorEastAsia" w:eastAsiaTheme="minorEastAsia"/>
                <w:b/>
                <w:color w:val="auto"/>
                <w:szCs w:val="21"/>
              </w:rPr>
              <w:t>条款名称</w:t>
            </w:r>
          </w:p>
        </w:tc>
        <w:tc>
          <w:tcPr>
            <w:tcW w:w="5103" w:type="dxa"/>
            <w:vAlign w:val="center"/>
          </w:tcPr>
          <w:p w14:paraId="51080189">
            <w:pPr>
              <w:adjustRightInd w:val="0"/>
              <w:snapToGrid w:val="0"/>
              <w:spacing w:line="276" w:lineRule="auto"/>
              <w:jc w:val="center"/>
              <w:rPr>
                <w:rFonts w:asciiTheme="minorEastAsia" w:hAnsiTheme="minorEastAsia" w:eastAsiaTheme="minorEastAsia"/>
                <w:b/>
                <w:color w:val="auto"/>
                <w:szCs w:val="21"/>
              </w:rPr>
            </w:pPr>
            <w:r>
              <w:rPr>
                <w:rFonts w:hint="eastAsia" w:asciiTheme="minorEastAsia" w:hAnsiTheme="minorEastAsia" w:eastAsiaTheme="minorEastAsia"/>
                <w:b/>
                <w:color w:val="auto"/>
                <w:szCs w:val="21"/>
              </w:rPr>
              <w:t>编列内容规定</w:t>
            </w:r>
          </w:p>
        </w:tc>
      </w:tr>
      <w:tr w14:paraId="231B698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45" w:hRule="atLeast"/>
        </w:trPr>
        <w:tc>
          <w:tcPr>
            <w:tcW w:w="8931" w:type="dxa"/>
            <w:gridSpan w:val="3"/>
            <w:vAlign w:val="center"/>
          </w:tcPr>
          <w:p w14:paraId="31E11625">
            <w:pPr>
              <w:adjustRightInd w:val="0"/>
              <w:snapToGrid w:val="0"/>
              <w:spacing w:line="276" w:lineRule="auto"/>
              <w:rPr>
                <w:rFonts w:asciiTheme="minorEastAsia" w:hAnsiTheme="minorEastAsia" w:eastAsiaTheme="minorEastAsia"/>
                <w:color w:val="auto"/>
                <w:szCs w:val="21"/>
              </w:rPr>
            </w:pPr>
            <w:r>
              <w:rPr>
                <w:rFonts w:hint="eastAsia" w:asciiTheme="minorEastAsia" w:hAnsiTheme="minorEastAsia" w:eastAsiaTheme="minorEastAsia"/>
                <w:b/>
                <w:color w:val="auto"/>
                <w:szCs w:val="21"/>
              </w:rPr>
              <w:t>一、说明</w:t>
            </w:r>
          </w:p>
        </w:tc>
      </w:tr>
      <w:tr w14:paraId="41C8281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14:paraId="6DAB2817">
            <w:pPr>
              <w:adjustRightInd w:val="0"/>
              <w:snapToGrid w:val="0"/>
              <w:spacing w:line="276"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第1.1款</w:t>
            </w:r>
          </w:p>
        </w:tc>
        <w:tc>
          <w:tcPr>
            <w:tcW w:w="2268" w:type="dxa"/>
            <w:vAlign w:val="center"/>
          </w:tcPr>
          <w:p w14:paraId="5A2DFD54">
            <w:pPr>
              <w:adjustRightInd w:val="0"/>
              <w:snapToGrid w:val="0"/>
              <w:spacing w:line="276" w:lineRule="auto"/>
              <w:rPr>
                <w:rFonts w:hAnsi="宋体"/>
                <w:color w:val="auto"/>
                <w:szCs w:val="21"/>
              </w:rPr>
            </w:pPr>
            <w:r>
              <w:rPr>
                <w:rFonts w:hint="eastAsia" w:hAnsi="宋体"/>
                <w:color w:val="auto"/>
                <w:szCs w:val="21"/>
              </w:rPr>
              <w:t>采购项目</w:t>
            </w:r>
          </w:p>
        </w:tc>
        <w:tc>
          <w:tcPr>
            <w:tcW w:w="5103" w:type="dxa"/>
            <w:vAlign w:val="center"/>
          </w:tcPr>
          <w:p w14:paraId="315C6CD6">
            <w:pPr>
              <w:adjustRightInd w:val="0"/>
              <w:snapToGrid w:val="0"/>
              <w:spacing w:line="276" w:lineRule="auto"/>
              <w:jc w:val="left"/>
              <w:rPr>
                <w:rFonts w:hAnsi="宋体"/>
                <w:color w:val="auto"/>
                <w:szCs w:val="21"/>
              </w:rPr>
            </w:pPr>
            <w:r>
              <w:rPr>
                <w:rFonts w:hint="eastAsia" w:hAnsi="宋体"/>
                <w:color w:val="auto"/>
                <w:szCs w:val="21"/>
              </w:rPr>
              <w:t>见</w:t>
            </w:r>
            <w:r>
              <w:rPr>
                <w:rFonts w:hAnsi="宋体"/>
                <w:color w:val="auto"/>
                <w:szCs w:val="21"/>
              </w:rPr>
              <w:t>“</w:t>
            </w:r>
            <w:r>
              <w:rPr>
                <w:rFonts w:hint="eastAsia" w:hAnsi="宋体"/>
                <w:color w:val="auto"/>
                <w:szCs w:val="21"/>
              </w:rPr>
              <w:t>第一章 投标邀请</w:t>
            </w:r>
            <w:r>
              <w:rPr>
                <w:rFonts w:hAnsi="宋体"/>
                <w:color w:val="auto"/>
                <w:szCs w:val="21"/>
              </w:rPr>
              <w:t>”</w:t>
            </w:r>
          </w:p>
        </w:tc>
      </w:tr>
      <w:tr w14:paraId="402F75E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14:paraId="36B76FE5">
            <w:pPr>
              <w:adjustRightInd w:val="0"/>
              <w:snapToGrid w:val="0"/>
              <w:spacing w:line="276"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第2.1</w:t>
            </w:r>
            <w:r>
              <w:rPr>
                <w:rFonts w:hint="eastAsia" w:cs="宋体" w:asciiTheme="minorEastAsia" w:hAnsiTheme="minorEastAsia" w:eastAsiaTheme="minorEastAsia"/>
                <w:color w:val="auto"/>
                <w:kern w:val="0"/>
                <w:szCs w:val="21"/>
                <w:lang w:val="zh-CN"/>
              </w:rPr>
              <w:t>款</w:t>
            </w:r>
          </w:p>
        </w:tc>
        <w:tc>
          <w:tcPr>
            <w:tcW w:w="2268" w:type="dxa"/>
          </w:tcPr>
          <w:p w14:paraId="364C8719">
            <w:pPr>
              <w:adjustRightInd w:val="0"/>
              <w:snapToGrid w:val="0"/>
              <w:spacing w:line="276" w:lineRule="auto"/>
              <w:rPr>
                <w:rFonts w:asciiTheme="minorEastAsia" w:hAnsiTheme="minorEastAsia" w:eastAsiaTheme="minorEastAsia"/>
                <w:color w:val="auto"/>
                <w:szCs w:val="21"/>
              </w:rPr>
            </w:pPr>
            <w:r>
              <w:rPr>
                <w:rFonts w:hint="eastAsia" w:hAnsi="宋体"/>
                <w:color w:val="auto"/>
                <w:szCs w:val="21"/>
              </w:rPr>
              <w:t>采购项目联系人姓名和电话</w:t>
            </w:r>
          </w:p>
        </w:tc>
        <w:tc>
          <w:tcPr>
            <w:tcW w:w="5103" w:type="dxa"/>
            <w:vAlign w:val="center"/>
          </w:tcPr>
          <w:p w14:paraId="30E79AEE">
            <w:pPr>
              <w:adjustRightInd w:val="0"/>
              <w:snapToGrid w:val="0"/>
              <w:spacing w:line="276" w:lineRule="auto"/>
              <w:jc w:val="left"/>
              <w:rPr>
                <w:rFonts w:hAnsi="宋体"/>
                <w:color w:val="auto"/>
                <w:szCs w:val="21"/>
              </w:rPr>
            </w:pPr>
            <w:r>
              <w:rPr>
                <w:rFonts w:hint="eastAsia" w:hAnsi="宋体"/>
                <w:color w:val="auto"/>
                <w:szCs w:val="21"/>
              </w:rPr>
              <w:t>见</w:t>
            </w:r>
            <w:r>
              <w:rPr>
                <w:rFonts w:hAnsi="宋体"/>
                <w:color w:val="auto"/>
                <w:szCs w:val="21"/>
              </w:rPr>
              <w:t>“</w:t>
            </w:r>
            <w:r>
              <w:rPr>
                <w:rFonts w:hint="eastAsia" w:hAnsi="宋体"/>
                <w:color w:val="auto"/>
                <w:szCs w:val="21"/>
              </w:rPr>
              <w:t>第一章 投标邀请</w:t>
            </w:r>
            <w:r>
              <w:rPr>
                <w:rFonts w:hAnsi="宋体"/>
                <w:color w:val="auto"/>
                <w:szCs w:val="21"/>
              </w:rPr>
              <w:t>”</w:t>
            </w:r>
          </w:p>
        </w:tc>
      </w:tr>
      <w:tr w14:paraId="26A8A9B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14:paraId="77CBDA4A">
            <w:pPr>
              <w:adjustRightInd w:val="0"/>
              <w:snapToGrid w:val="0"/>
              <w:spacing w:line="276"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第2.2</w:t>
            </w:r>
            <w:r>
              <w:rPr>
                <w:rFonts w:hint="eastAsia" w:cs="宋体" w:asciiTheme="minorEastAsia" w:hAnsiTheme="minorEastAsia" w:eastAsiaTheme="minorEastAsia"/>
                <w:color w:val="auto"/>
                <w:kern w:val="0"/>
                <w:szCs w:val="21"/>
                <w:lang w:val="zh-CN"/>
              </w:rPr>
              <w:t>款</w:t>
            </w:r>
          </w:p>
        </w:tc>
        <w:tc>
          <w:tcPr>
            <w:tcW w:w="2268" w:type="dxa"/>
            <w:vAlign w:val="center"/>
          </w:tcPr>
          <w:p w14:paraId="628236E0">
            <w:pPr>
              <w:adjustRightInd w:val="0"/>
              <w:snapToGrid w:val="0"/>
              <w:spacing w:line="276" w:lineRule="auto"/>
              <w:jc w:val="left"/>
              <w:rPr>
                <w:rFonts w:asciiTheme="minorEastAsia" w:hAnsiTheme="minorEastAsia" w:eastAsiaTheme="minorEastAsia"/>
                <w:color w:val="auto"/>
                <w:szCs w:val="21"/>
              </w:rPr>
            </w:pPr>
            <w:r>
              <w:rPr>
                <w:rFonts w:hint="eastAsia" w:hAnsi="宋体"/>
                <w:color w:val="auto"/>
                <w:szCs w:val="21"/>
              </w:rPr>
              <w:t>采购人名称、地址、电话、联系人</w:t>
            </w:r>
          </w:p>
        </w:tc>
        <w:tc>
          <w:tcPr>
            <w:tcW w:w="5103" w:type="dxa"/>
            <w:vAlign w:val="center"/>
          </w:tcPr>
          <w:p w14:paraId="38802217">
            <w:pPr>
              <w:adjustRightInd w:val="0"/>
              <w:snapToGrid w:val="0"/>
              <w:spacing w:line="276" w:lineRule="auto"/>
              <w:jc w:val="left"/>
              <w:rPr>
                <w:rFonts w:hAnsi="宋体"/>
                <w:color w:val="auto"/>
                <w:szCs w:val="21"/>
              </w:rPr>
            </w:pPr>
            <w:r>
              <w:rPr>
                <w:rFonts w:hint="eastAsia" w:hAnsi="宋体"/>
                <w:color w:val="auto"/>
                <w:szCs w:val="21"/>
              </w:rPr>
              <w:t>见</w:t>
            </w:r>
            <w:r>
              <w:rPr>
                <w:rFonts w:hAnsi="宋体"/>
                <w:color w:val="auto"/>
                <w:szCs w:val="21"/>
              </w:rPr>
              <w:t>“</w:t>
            </w:r>
            <w:r>
              <w:rPr>
                <w:rFonts w:hint="eastAsia" w:hAnsi="宋体"/>
                <w:color w:val="auto"/>
                <w:szCs w:val="21"/>
              </w:rPr>
              <w:t>第一章 投标邀请</w:t>
            </w:r>
            <w:r>
              <w:rPr>
                <w:rFonts w:hAnsi="宋体"/>
                <w:color w:val="auto"/>
                <w:szCs w:val="21"/>
              </w:rPr>
              <w:t>”</w:t>
            </w:r>
          </w:p>
        </w:tc>
      </w:tr>
      <w:tr w14:paraId="51A9A5E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14:paraId="2F83B7C2">
            <w:pPr>
              <w:adjustRightInd w:val="0"/>
              <w:snapToGrid w:val="0"/>
              <w:spacing w:line="276"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第2.3</w:t>
            </w:r>
            <w:r>
              <w:rPr>
                <w:rFonts w:hint="eastAsia" w:cs="宋体" w:asciiTheme="minorEastAsia" w:hAnsiTheme="minorEastAsia" w:eastAsiaTheme="minorEastAsia"/>
                <w:color w:val="auto"/>
                <w:kern w:val="0"/>
                <w:szCs w:val="21"/>
                <w:lang w:val="zh-CN"/>
              </w:rPr>
              <w:t>款</w:t>
            </w:r>
          </w:p>
        </w:tc>
        <w:tc>
          <w:tcPr>
            <w:tcW w:w="2268" w:type="dxa"/>
            <w:vAlign w:val="center"/>
          </w:tcPr>
          <w:p w14:paraId="6B2D64FE">
            <w:pPr>
              <w:adjustRightInd w:val="0"/>
              <w:snapToGrid w:val="0"/>
              <w:spacing w:line="276" w:lineRule="auto"/>
              <w:jc w:val="left"/>
              <w:rPr>
                <w:rFonts w:asciiTheme="minorEastAsia" w:hAnsiTheme="minorEastAsia" w:eastAsiaTheme="minorEastAsia"/>
                <w:color w:val="auto"/>
                <w:szCs w:val="21"/>
              </w:rPr>
            </w:pPr>
            <w:r>
              <w:rPr>
                <w:rFonts w:hint="eastAsia" w:hAnsi="宋体"/>
                <w:color w:val="auto"/>
                <w:szCs w:val="21"/>
              </w:rPr>
              <w:t>采购代理机构名称、地址、电话、联系人</w:t>
            </w:r>
          </w:p>
        </w:tc>
        <w:tc>
          <w:tcPr>
            <w:tcW w:w="5103" w:type="dxa"/>
            <w:vAlign w:val="center"/>
          </w:tcPr>
          <w:p w14:paraId="4788441B">
            <w:pPr>
              <w:adjustRightInd w:val="0"/>
              <w:snapToGrid w:val="0"/>
              <w:spacing w:line="276" w:lineRule="auto"/>
              <w:jc w:val="left"/>
              <w:rPr>
                <w:rFonts w:hAnsi="宋体"/>
                <w:color w:val="auto"/>
                <w:szCs w:val="21"/>
              </w:rPr>
            </w:pPr>
            <w:r>
              <w:rPr>
                <w:rFonts w:hint="eastAsia" w:hAnsi="宋体"/>
                <w:color w:val="auto"/>
                <w:szCs w:val="21"/>
              </w:rPr>
              <w:t>见</w:t>
            </w:r>
            <w:r>
              <w:rPr>
                <w:rFonts w:hAnsi="宋体"/>
                <w:color w:val="auto"/>
                <w:szCs w:val="21"/>
              </w:rPr>
              <w:t>“</w:t>
            </w:r>
            <w:r>
              <w:rPr>
                <w:rFonts w:hint="eastAsia" w:hAnsi="宋体"/>
                <w:color w:val="auto"/>
                <w:szCs w:val="21"/>
              </w:rPr>
              <w:t>第一章 投标邀请</w:t>
            </w:r>
            <w:r>
              <w:rPr>
                <w:rFonts w:hAnsi="宋体"/>
                <w:color w:val="auto"/>
                <w:szCs w:val="21"/>
              </w:rPr>
              <w:t>”</w:t>
            </w:r>
          </w:p>
        </w:tc>
      </w:tr>
      <w:tr w14:paraId="5F69619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14:paraId="744FB1C4">
            <w:pPr>
              <w:adjustRightInd w:val="0"/>
              <w:snapToGrid w:val="0"/>
              <w:spacing w:line="276"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第3.1</w:t>
            </w:r>
            <w:r>
              <w:rPr>
                <w:rFonts w:hint="eastAsia" w:cs="宋体" w:asciiTheme="minorEastAsia" w:hAnsiTheme="minorEastAsia" w:eastAsiaTheme="minorEastAsia"/>
                <w:color w:val="auto"/>
                <w:kern w:val="0"/>
                <w:szCs w:val="21"/>
                <w:lang w:val="zh-CN"/>
              </w:rPr>
              <w:t>款</w:t>
            </w:r>
          </w:p>
        </w:tc>
        <w:tc>
          <w:tcPr>
            <w:tcW w:w="2268" w:type="dxa"/>
            <w:vAlign w:val="center"/>
          </w:tcPr>
          <w:p w14:paraId="30639448">
            <w:pPr>
              <w:adjustRightInd w:val="0"/>
              <w:snapToGrid w:val="0"/>
              <w:spacing w:line="276" w:lineRule="auto"/>
              <w:jc w:val="left"/>
              <w:rPr>
                <w:rFonts w:hAnsi="宋体"/>
                <w:color w:val="auto"/>
                <w:szCs w:val="21"/>
              </w:rPr>
            </w:pPr>
            <w:r>
              <w:rPr>
                <w:rFonts w:hint="eastAsia" w:asciiTheme="minorEastAsia" w:hAnsiTheme="minorEastAsia" w:eastAsiaTheme="minorEastAsia"/>
                <w:color w:val="auto"/>
                <w:szCs w:val="21"/>
              </w:rPr>
              <w:t>投标人资格条件</w:t>
            </w:r>
          </w:p>
        </w:tc>
        <w:tc>
          <w:tcPr>
            <w:tcW w:w="5103" w:type="dxa"/>
            <w:vAlign w:val="center"/>
          </w:tcPr>
          <w:p w14:paraId="773C4D2B">
            <w:pPr>
              <w:adjustRightInd w:val="0"/>
              <w:snapToGrid w:val="0"/>
              <w:spacing w:line="276" w:lineRule="auto"/>
              <w:jc w:val="left"/>
              <w:rPr>
                <w:rFonts w:asciiTheme="minorEastAsia" w:hAnsiTheme="minorEastAsia"/>
                <w:i/>
                <w:iCs/>
                <w:color w:val="auto"/>
                <w:szCs w:val="21"/>
                <w:u w:val="single"/>
              </w:rPr>
            </w:pPr>
            <w:r>
              <w:rPr>
                <w:rFonts w:hint="eastAsia" w:hAnsi="宋体"/>
                <w:color w:val="auto"/>
                <w:szCs w:val="21"/>
              </w:rPr>
              <w:t>见</w:t>
            </w:r>
            <w:r>
              <w:rPr>
                <w:rFonts w:hAnsi="宋体"/>
                <w:color w:val="auto"/>
                <w:szCs w:val="21"/>
              </w:rPr>
              <w:t>“</w:t>
            </w:r>
            <w:r>
              <w:rPr>
                <w:rFonts w:hint="eastAsia" w:hAnsi="宋体"/>
                <w:color w:val="auto"/>
                <w:szCs w:val="21"/>
              </w:rPr>
              <w:t>第一章 投标邀请</w:t>
            </w:r>
            <w:r>
              <w:rPr>
                <w:rFonts w:hAnsi="宋体"/>
                <w:color w:val="auto"/>
                <w:szCs w:val="21"/>
              </w:rPr>
              <w:t>”</w:t>
            </w:r>
          </w:p>
        </w:tc>
      </w:tr>
      <w:tr w14:paraId="4BF7EF9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14:paraId="68D2623B">
            <w:pPr>
              <w:adjustRightInd w:val="0"/>
              <w:snapToGrid w:val="0"/>
              <w:spacing w:line="276"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第3.2</w:t>
            </w:r>
            <w:r>
              <w:rPr>
                <w:rFonts w:hint="eastAsia" w:cs="宋体" w:asciiTheme="minorEastAsia" w:hAnsiTheme="minorEastAsia" w:eastAsiaTheme="minorEastAsia"/>
                <w:color w:val="auto"/>
                <w:kern w:val="0"/>
                <w:szCs w:val="21"/>
                <w:lang w:val="zh-CN"/>
              </w:rPr>
              <w:t>款</w:t>
            </w:r>
          </w:p>
        </w:tc>
        <w:tc>
          <w:tcPr>
            <w:tcW w:w="2268" w:type="dxa"/>
            <w:vAlign w:val="center"/>
          </w:tcPr>
          <w:p w14:paraId="6A0F52FD">
            <w:pPr>
              <w:adjustRightInd w:val="0"/>
              <w:snapToGrid w:val="0"/>
              <w:spacing w:line="276" w:lineRule="auto"/>
              <w:jc w:val="left"/>
              <w:rPr>
                <w:rFonts w:hAnsi="宋体"/>
                <w:color w:val="auto"/>
                <w:szCs w:val="21"/>
              </w:rPr>
            </w:pPr>
            <w:r>
              <w:rPr>
                <w:rFonts w:hint="eastAsia" w:hAnsi="宋体"/>
                <w:color w:val="auto"/>
                <w:szCs w:val="21"/>
              </w:rPr>
              <w:t>是否接受联合体投标</w:t>
            </w:r>
          </w:p>
        </w:tc>
        <w:tc>
          <w:tcPr>
            <w:tcW w:w="5103" w:type="dxa"/>
            <w:vAlign w:val="center"/>
          </w:tcPr>
          <w:p w14:paraId="68EFA0C7">
            <w:pPr>
              <w:adjustRightInd w:val="0"/>
              <w:snapToGrid w:val="0"/>
              <w:spacing w:line="276"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见</w:t>
            </w:r>
            <w:r>
              <w:rPr>
                <w:rFonts w:asciiTheme="minorEastAsia" w:hAnsiTheme="minorEastAsia" w:eastAsiaTheme="minorEastAsia"/>
                <w:color w:val="auto"/>
                <w:szCs w:val="21"/>
              </w:rPr>
              <w:t>“</w:t>
            </w:r>
            <w:r>
              <w:rPr>
                <w:rFonts w:hint="eastAsia" w:asciiTheme="minorEastAsia" w:hAnsiTheme="minorEastAsia" w:eastAsiaTheme="minorEastAsia"/>
                <w:color w:val="auto"/>
                <w:szCs w:val="21"/>
              </w:rPr>
              <w:t>第一章 投标邀请</w:t>
            </w:r>
            <w:r>
              <w:rPr>
                <w:rFonts w:asciiTheme="minorEastAsia" w:hAnsiTheme="minorEastAsia" w:eastAsiaTheme="minorEastAsia"/>
                <w:color w:val="auto"/>
                <w:szCs w:val="21"/>
              </w:rPr>
              <w:t>”</w:t>
            </w:r>
          </w:p>
        </w:tc>
      </w:tr>
      <w:tr w14:paraId="5D31A8F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14:paraId="01AEA8DB">
            <w:pPr>
              <w:adjustRightInd w:val="0"/>
              <w:snapToGrid w:val="0"/>
              <w:spacing w:line="276"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第5.1</w:t>
            </w:r>
            <w:r>
              <w:rPr>
                <w:rFonts w:hint="eastAsia" w:cs="宋体" w:asciiTheme="minorEastAsia" w:hAnsiTheme="minorEastAsia" w:eastAsiaTheme="minorEastAsia"/>
                <w:color w:val="auto"/>
                <w:kern w:val="0"/>
                <w:szCs w:val="21"/>
                <w:lang w:val="zh-CN"/>
              </w:rPr>
              <w:t>款</w:t>
            </w:r>
          </w:p>
        </w:tc>
        <w:tc>
          <w:tcPr>
            <w:tcW w:w="2268" w:type="dxa"/>
            <w:vAlign w:val="center"/>
          </w:tcPr>
          <w:p w14:paraId="249093DB">
            <w:pPr>
              <w:adjustRightInd w:val="0"/>
              <w:snapToGrid w:val="0"/>
              <w:spacing w:line="276" w:lineRule="auto"/>
              <w:jc w:val="left"/>
              <w:rPr>
                <w:rFonts w:hAnsi="宋体"/>
                <w:color w:val="auto"/>
                <w:szCs w:val="21"/>
              </w:rPr>
            </w:pPr>
            <w:r>
              <w:rPr>
                <w:rFonts w:hint="eastAsia" w:asciiTheme="minorEastAsia" w:hAnsiTheme="minorEastAsia" w:eastAsiaTheme="minorEastAsia"/>
                <w:color w:val="auto"/>
                <w:szCs w:val="21"/>
              </w:rPr>
              <w:t>招标文件提供期限</w:t>
            </w:r>
          </w:p>
        </w:tc>
        <w:tc>
          <w:tcPr>
            <w:tcW w:w="5103" w:type="dxa"/>
            <w:vAlign w:val="center"/>
          </w:tcPr>
          <w:p w14:paraId="5984F82C">
            <w:pPr>
              <w:adjustRightInd w:val="0"/>
              <w:snapToGrid w:val="0"/>
              <w:spacing w:line="276"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见</w:t>
            </w:r>
            <w:r>
              <w:rPr>
                <w:rFonts w:asciiTheme="minorEastAsia" w:hAnsiTheme="minorEastAsia" w:eastAsiaTheme="minorEastAsia"/>
                <w:color w:val="auto"/>
                <w:szCs w:val="21"/>
              </w:rPr>
              <w:t>“</w:t>
            </w:r>
            <w:r>
              <w:rPr>
                <w:rFonts w:hint="eastAsia" w:asciiTheme="minorEastAsia" w:hAnsiTheme="minorEastAsia" w:eastAsiaTheme="minorEastAsia"/>
                <w:color w:val="auto"/>
                <w:szCs w:val="21"/>
              </w:rPr>
              <w:t>第一章 投标邀请</w:t>
            </w:r>
            <w:r>
              <w:rPr>
                <w:rFonts w:asciiTheme="minorEastAsia" w:hAnsiTheme="minorEastAsia" w:eastAsiaTheme="minorEastAsia"/>
                <w:color w:val="auto"/>
                <w:szCs w:val="21"/>
              </w:rPr>
              <w:t>”</w:t>
            </w:r>
          </w:p>
        </w:tc>
      </w:tr>
      <w:tr w14:paraId="5577B27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14:paraId="552CFF86">
            <w:pPr>
              <w:adjustRightInd w:val="0"/>
              <w:snapToGrid w:val="0"/>
              <w:spacing w:line="276"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第5.2</w:t>
            </w:r>
            <w:r>
              <w:rPr>
                <w:rFonts w:hint="eastAsia" w:cs="宋体" w:asciiTheme="minorEastAsia" w:hAnsiTheme="minorEastAsia" w:eastAsiaTheme="minorEastAsia"/>
                <w:color w:val="auto"/>
                <w:kern w:val="0"/>
                <w:szCs w:val="21"/>
                <w:lang w:val="zh-CN"/>
              </w:rPr>
              <w:t>款</w:t>
            </w:r>
          </w:p>
        </w:tc>
        <w:tc>
          <w:tcPr>
            <w:tcW w:w="2268" w:type="dxa"/>
            <w:vAlign w:val="center"/>
          </w:tcPr>
          <w:p w14:paraId="3A539D0F">
            <w:pPr>
              <w:adjustRightInd w:val="0"/>
              <w:snapToGrid w:val="0"/>
              <w:spacing w:line="276" w:lineRule="auto"/>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组织现场考察或者召开答疑会</w:t>
            </w:r>
          </w:p>
        </w:tc>
        <w:tc>
          <w:tcPr>
            <w:tcW w:w="5103" w:type="dxa"/>
            <w:vAlign w:val="center"/>
          </w:tcPr>
          <w:p w14:paraId="34BD1913">
            <w:pPr>
              <w:adjustRightInd w:val="0"/>
              <w:snapToGrid w:val="0"/>
              <w:spacing w:line="276"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不组织</w:t>
            </w:r>
          </w:p>
        </w:tc>
      </w:tr>
      <w:tr w14:paraId="45FC2E1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931" w:type="dxa"/>
            <w:gridSpan w:val="3"/>
            <w:vAlign w:val="center"/>
          </w:tcPr>
          <w:p w14:paraId="6C063A6C">
            <w:pPr>
              <w:adjustRightInd w:val="0"/>
              <w:snapToGrid w:val="0"/>
              <w:spacing w:line="276" w:lineRule="auto"/>
              <w:rPr>
                <w:rFonts w:asciiTheme="minorEastAsia" w:hAnsiTheme="minorEastAsia" w:eastAsiaTheme="minorEastAsia"/>
                <w:b/>
                <w:color w:val="auto"/>
                <w:szCs w:val="21"/>
              </w:rPr>
            </w:pPr>
            <w:r>
              <w:rPr>
                <w:rFonts w:hint="eastAsia" w:asciiTheme="minorEastAsia" w:hAnsiTheme="minorEastAsia" w:eastAsiaTheme="minorEastAsia"/>
                <w:b/>
                <w:color w:val="auto"/>
                <w:szCs w:val="21"/>
              </w:rPr>
              <w:t>二、招标文件</w:t>
            </w:r>
          </w:p>
        </w:tc>
      </w:tr>
      <w:tr w14:paraId="7CCD0E2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14:paraId="768198CC">
            <w:pPr>
              <w:adjustRightInd w:val="0"/>
              <w:snapToGrid w:val="0"/>
              <w:spacing w:line="276"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第7.4</w:t>
            </w:r>
            <w:r>
              <w:rPr>
                <w:rFonts w:hint="eastAsia" w:cs="宋体" w:asciiTheme="minorEastAsia" w:hAnsiTheme="minorEastAsia" w:eastAsiaTheme="minorEastAsia"/>
                <w:color w:val="auto"/>
                <w:kern w:val="0"/>
                <w:szCs w:val="21"/>
                <w:lang w:val="zh-CN"/>
              </w:rPr>
              <w:t>款</w:t>
            </w:r>
          </w:p>
        </w:tc>
        <w:tc>
          <w:tcPr>
            <w:tcW w:w="2268" w:type="dxa"/>
            <w:vAlign w:val="center"/>
          </w:tcPr>
          <w:p w14:paraId="64CFC5E4">
            <w:pPr>
              <w:adjustRightInd w:val="0"/>
              <w:snapToGrid w:val="0"/>
              <w:spacing w:line="276" w:lineRule="auto"/>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非实质性偏离的范围和幅度</w:t>
            </w:r>
          </w:p>
        </w:tc>
        <w:tc>
          <w:tcPr>
            <w:tcW w:w="5103" w:type="dxa"/>
            <w:vAlign w:val="center"/>
          </w:tcPr>
          <w:p w14:paraId="11E7985E">
            <w:pPr>
              <w:adjustRightInd w:val="0"/>
              <w:snapToGrid w:val="0"/>
              <w:spacing w:line="276" w:lineRule="auto"/>
              <w:jc w:val="left"/>
              <w:rPr>
                <w:rFonts w:asciiTheme="minorEastAsia" w:hAnsiTheme="minorEastAsia" w:eastAsiaTheme="minorEastAsia"/>
                <w:color w:val="auto"/>
                <w:szCs w:val="21"/>
                <w:u w:val="single"/>
              </w:rPr>
            </w:pPr>
            <w:r>
              <w:rPr>
                <w:rFonts w:hint="eastAsia" w:ascii="宋体" w:hAnsi="宋体" w:cs="宋体"/>
                <w:color w:val="auto"/>
              </w:rPr>
              <w:t>每包</w:t>
            </w:r>
            <w:r>
              <w:rPr>
                <w:rFonts w:ascii="宋体" w:hAnsi="宋体" w:cs="宋体"/>
                <w:color w:val="auto"/>
              </w:rPr>
              <w:t>非实质性要求条款允许偏离的最多项数≥</w:t>
            </w:r>
            <w:r>
              <w:rPr>
                <w:rFonts w:hint="eastAsia" w:ascii="宋体" w:hAnsi="宋体" w:cs="宋体"/>
                <w:color w:val="auto"/>
                <w:u w:val="single"/>
              </w:rPr>
              <w:t>10</w:t>
            </w:r>
            <w:r>
              <w:rPr>
                <w:rFonts w:ascii="宋体" w:hAnsi="宋体" w:cs="宋体"/>
                <w:color w:val="auto"/>
              </w:rPr>
              <w:t>项将导致投标无效。</w:t>
            </w:r>
          </w:p>
        </w:tc>
      </w:tr>
      <w:tr w14:paraId="448CEAD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14:paraId="61A43333">
            <w:pPr>
              <w:adjustRightInd w:val="0"/>
              <w:snapToGrid w:val="0"/>
              <w:spacing w:line="276"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第9.1</w:t>
            </w:r>
            <w:r>
              <w:rPr>
                <w:rFonts w:hint="eastAsia" w:cs="宋体" w:asciiTheme="minorEastAsia" w:hAnsiTheme="minorEastAsia" w:eastAsiaTheme="minorEastAsia"/>
                <w:color w:val="auto"/>
                <w:kern w:val="0"/>
                <w:szCs w:val="21"/>
                <w:lang w:val="zh-CN"/>
              </w:rPr>
              <w:t>款</w:t>
            </w:r>
          </w:p>
        </w:tc>
        <w:tc>
          <w:tcPr>
            <w:tcW w:w="2268" w:type="dxa"/>
            <w:vAlign w:val="center"/>
          </w:tcPr>
          <w:p w14:paraId="734D0750">
            <w:pPr>
              <w:adjustRightInd w:val="0"/>
              <w:snapToGrid w:val="0"/>
              <w:spacing w:line="276" w:lineRule="auto"/>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指定媒体</w:t>
            </w:r>
          </w:p>
        </w:tc>
        <w:tc>
          <w:tcPr>
            <w:tcW w:w="5103" w:type="dxa"/>
            <w:vAlign w:val="center"/>
          </w:tcPr>
          <w:p w14:paraId="6D1E7575">
            <w:pPr>
              <w:adjustRightInd w:val="0"/>
              <w:snapToGrid w:val="0"/>
              <w:spacing w:line="276" w:lineRule="auto"/>
              <w:rPr>
                <w:rFonts w:hAnsi="宋体"/>
                <w:color w:val="auto"/>
                <w:szCs w:val="21"/>
              </w:rPr>
            </w:pPr>
            <w:r>
              <w:rPr>
                <w:rFonts w:hint="eastAsia" w:asciiTheme="minorEastAsia" w:hAnsiTheme="minorEastAsia" w:eastAsiaTheme="minorEastAsia"/>
                <w:color w:val="auto"/>
                <w:szCs w:val="21"/>
              </w:rPr>
              <w:t>见</w:t>
            </w:r>
            <w:r>
              <w:rPr>
                <w:rFonts w:asciiTheme="minorEastAsia" w:hAnsiTheme="minorEastAsia" w:eastAsiaTheme="minorEastAsia"/>
                <w:color w:val="auto"/>
                <w:szCs w:val="21"/>
              </w:rPr>
              <w:t>“</w:t>
            </w:r>
            <w:r>
              <w:rPr>
                <w:rFonts w:hint="eastAsia" w:asciiTheme="minorEastAsia" w:hAnsiTheme="minorEastAsia" w:eastAsiaTheme="minorEastAsia"/>
                <w:color w:val="auto"/>
                <w:szCs w:val="21"/>
              </w:rPr>
              <w:t>第一章 投标邀请</w:t>
            </w:r>
            <w:r>
              <w:rPr>
                <w:rFonts w:asciiTheme="minorEastAsia" w:hAnsiTheme="minorEastAsia" w:eastAsiaTheme="minorEastAsia"/>
                <w:color w:val="auto"/>
                <w:szCs w:val="21"/>
              </w:rPr>
              <w:t>”</w:t>
            </w:r>
          </w:p>
        </w:tc>
      </w:tr>
      <w:tr w14:paraId="167741E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45" w:hRule="atLeast"/>
        </w:trPr>
        <w:tc>
          <w:tcPr>
            <w:tcW w:w="8931" w:type="dxa"/>
            <w:gridSpan w:val="3"/>
            <w:vAlign w:val="center"/>
          </w:tcPr>
          <w:p w14:paraId="6D19EBC8">
            <w:pPr>
              <w:adjustRightInd w:val="0"/>
              <w:snapToGrid w:val="0"/>
              <w:spacing w:line="276" w:lineRule="auto"/>
              <w:rPr>
                <w:rFonts w:asciiTheme="minorEastAsia" w:hAnsiTheme="minorEastAsia" w:eastAsiaTheme="minorEastAsia"/>
                <w:color w:val="auto"/>
                <w:szCs w:val="21"/>
              </w:rPr>
            </w:pPr>
            <w:r>
              <w:rPr>
                <w:rFonts w:hint="eastAsia" w:asciiTheme="minorEastAsia" w:hAnsiTheme="minorEastAsia" w:eastAsiaTheme="minorEastAsia"/>
                <w:b/>
                <w:color w:val="auto"/>
                <w:szCs w:val="21"/>
              </w:rPr>
              <w:t>三、投标文件</w:t>
            </w:r>
          </w:p>
        </w:tc>
      </w:tr>
      <w:tr w14:paraId="76246E5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14:paraId="78282AA2">
            <w:pPr>
              <w:adjustRightInd w:val="0"/>
              <w:snapToGrid w:val="0"/>
              <w:spacing w:line="276"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第13.2</w:t>
            </w:r>
            <w:r>
              <w:rPr>
                <w:rFonts w:hint="eastAsia" w:cs="宋体" w:asciiTheme="minorEastAsia" w:hAnsiTheme="minorEastAsia" w:eastAsiaTheme="minorEastAsia"/>
                <w:color w:val="auto"/>
                <w:kern w:val="0"/>
                <w:szCs w:val="21"/>
                <w:lang w:val="zh-CN"/>
              </w:rPr>
              <w:t>款</w:t>
            </w:r>
          </w:p>
        </w:tc>
        <w:tc>
          <w:tcPr>
            <w:tcW w:w="2268" w:type="dxa"/>
            <w:vAlign w:val="center"/>
          </w:tcPr>
          <w:p w14:paraId="37F88263">
            <w:pPr>
              <w:adjustRightInd w:val="0"/>
              <w:snapToGrid w:val="0"/>
              <w:spacing w:line="276"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采购预算、最高限价</w:t>
            </w:r>
          </w:p>
        </w:tc>
        <w:tc>
          <w:tcPr>
            <w:tcW w:w="5103" w:type="dxa"/>
            <w:vAlign w:val="center"/>
          </w:tcPr>
          <w:p w14:paraId="53AEDB6B">
            <w:pPr>
              <w:spacing w:line="276" w:lineRule="auto"/>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见</w:t>
            </w:r>
            <w:r>
              <w:rPr>
                <w:rFonts w:asciiTheme="minorEastAsia" w:hAnsiTheme="minorEastAsia" w:eastAsiaTheme="minorEastAsia"/>
                <w:color w:val="auto"/>
                <w:szCs w:val="21"/>
              </w:rPr>
              <w:t>“</w:t>
            </w:r>
            <w:r>
              <w:rPr>
                <w:rFonts w:hint="eastAsia" w:asciiTheme="minorEastAsia" w:hAnsiTheme="minorEastAsia" w:eastAsiaTheme="minorEastAsia"/>
                <w:color w:val="auto"/>
                <w:szCs w:val="21"/>
              </w:rPr>
              <w:t>第一章 投标邀请</w:t>
            </w:r>
            <w:r>
              <w:rPr>
                <w:rFonts w:asciiTheme="minorEastAsia" w:hAnsiTheme="minorEastAsia" w:eastAsiaTheme="minorEastAsia"/>
                <w:color w:val="auto"/>
                <w:szCs w:val="21"/>
              </w:rPr>
              <w:t>”</w:t>
            </w:r>
          </w:p>
        </w:tc>
      </w:tr>
      <w:tr w14:paraId="580DDBF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14:paraId="6EA9CA9B">
            <w:pPr>
              <w:adjustRightInd w:val="0"/>
              <w:snapToGrid w:val="0"/>
              <w:spacing w:line="276"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第13.8款</w:t>
            </w:r>
          </w:p>
        </w:tc>
        <w:tc>
          <w:tcPr>
            <w:tcW w:w="2268" w:type="dxa"/>
            <w:vAlign w:val="center"/>
          </w:tcPr>
          <w:p w14:paraId="02CE95C5">
            <w:pPr>
              <w:adjustRightInd w:val="0"/>
              <w:snapToGrid w:val="0"/>
              <w:spacing w:line="276"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投标报价的其他要求</w:t>
            </w:r>
          </w:p>
        </w:tc>
        <w:tc>
          <w:tcPr>
            <w:tcW w:w="5103" w:type="dxa"/>
            <w:vAlign w:val="center"/>
          </w:tcPr>
          <w:p w14:paraId="4A546AFA">
            <w:pPr>
              <w:adjustRightInd w:val="0"/>
              <w:snapToGrid w:val="0"/>
              <w:spacing w:line="276" w:lineRule="auto"/>
              <w:jc w:val="left"/>
              <w:rPr>
                <w:rFonts w:asciiTheme="minorEastAsia" w:hAnsiTheme="minorEastAsia" w:eastAsiaTheme="minorEastAsia"/>
                <w:b/>
                <w:color w:val="auto"/>
                <w:szCs w:val="21"/>
              </w:rPr>
            </w:pPr>
            <w:r>
              <w:rPr>
                <w:rFonts w:hint="eastAsia" w:asciiTheme="minorEastAsia" w:hAnsiTheme="minorEastAsia" w:eastAsiaTheme="minorEastAsia"/>
                <w:b/>
                <w:color w:val="auto"/>
                <w:szCs w:val="21"/>
              </w:rPr>
              <w:t>单价和包总价及配套试剂（如果有）/耗材单价（如果有）</w:t>
            </w:r>
          </w:p>
          <w:p w14:paraId="2398CC72">
            <w:pPr>
              <w:adjustRightInd w:val="0"/>
              <w:snapToGrid w:val="0"/>
              <w:spacing w:line="276" w:lineRule="auto"/>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指定地点交货价，报价单位为元。</w:t>
            </w:r>
          </w:p>
          <w:p w14:paraId="37E7F0CE">
            <w:pPr>
              <w:adjustRightInd w:val="0"/>
              <w:snapToGrid w:val="0"/>
              <w:spacing w:line="276" w:lineRule="auto"/>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包括出厂价、货物到达最终目的地点的相关运输费、保险、进口环节税（如果有，进口免税货物则无）、商检费、消费税、增值税、仓储、装卸费、安装、检测、利润、税金、人员培训等伴随服务费和第五章采购需求、第六章合同条款的有关内容。</w:t>
            </w:r>
          </w:p>
        </w:tc>
      </w:tr>
      <w:tr w14:paraId="599DDA5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14:paraId="26BB5C82">
            <w:pPr>
              <w:adjustRightInd w:val="0"/>
              <w:snapToGrid w:val="0"/>
              <w:spacing w:line="276"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第14.1款</w:t>
            </w:r>
          </w:p>
        </w:tc>
        <w:tc>
          <w:tcPr>
            <w:tcW w:w="2268" w:type="dxa"/>
            <w:vAlign w:val="center"/>
          </w:tcPr>
          <w:p w14:paraId="7CD8A44A">
            <w:pPr>
              <w:adjustRightInd w:val="0"/>
              <w:snapToGrid w:val="0"/>
              <w:spacing w:line="276" w:lineRule="auto"/>
              <w:rPr>
                <w:rFonts w:asciiTheme="minorEastAsia" w:hAnsiTheme="minorEastAsia" w:eastAsiaTheme="minorEastAsia"/>
                <w:bCs/>
                <w:color w:val="auto"/>
                <w:szCs w:val="21"/>
              </w:rPr>
            </w:pPr>
            <w:r>
              <w:rPr>
                <w:rFonts w:hint="eastAsia" w:asciiTheme="minorEastAsia" w:hAnsiTheme="minorEastAsia" w:eastAsiaTheme="minorEastAsia"/>
                <w:color w:val="auto"/>
                <w:szCs w:val="21"/>
              </w:rPr>
              <w:t>投标人应提供资格审查资料</w:t>
            </w:r>
          </w:p>
        </w:tc>
        <w:tc>
          <w:tcPr>
            <w:tcW w:w="5103" w:type="dxa"/>
            <w:vAlign w:val="center"/>
          </w:tcPr>
          <w:p w14:paraId="1E23AC83">
            <w:pPr>
              <w:adjustRightInd w:val="0"/>
              <w:snapToGrid w:val="0"/>
              <w:spacing w:line="276"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详见投标须知正文和</w:t>
            </w:r>
            <w:r>
              <w:rPr>
                <w:rFonts w:asciiTheme="minorEastAsia" w:hAnsiTheme="minorEastAsia" w:eastAsiaTheme="minorEastAsia"/>
                <w:color w:val="auto"/>
                <w:szCs w:val="21"/>
              </w:rPr>
              <w:t>第</w:t>
            </w:r>
            <w:r>
              <w:rPr>
                <w:rFonts w:hint="eastAsia" w:asciiTheme="minorEastAsia" w:hAnsiTheme="minorEastAsia" w:eastAsiaTheme="minorEastAsia"/>
                <w:color w:val="auto"/>
                <w:szCs w:val="21"/>
              </w:rPr>
              <w:t>七</w:t>
            </w:r>
            <w:r>
              <w:rPr>
                <w:rFonts w:asciiTheme="minorEastAsia" w:hAnsiTheme="minorEastAsia" w:eastAsiaTheme="minorEastAsia"/>
                <w:color w:val="auto"/>
                <w:szCs w:val="21"/>
              </w:rPr>
              <w:t>章“</w:t>
            </w:r>
            <w:r>
              <w:rPr>
                <w:rFonts w:hint="eastAsia" w:asciiTheme="minorEastAsia" w:hAnsiTheme="minorEastAsia" w:eastAsiaTheme="minorEastAsia"/>
                <w:color w:val="auto"/>
                <w:szCs w:val="21"/>
              </w:rPr>
              <w:t>四、投标人提供的资格证明文件</w:t>
            </w:r>
            <w:r>
              <w:rPr>
                <w:rFonts w:asciiTheme="minorEastAsia" w:hAnsiTheme="minorEastAsia" w:eastAsiaTheme="minorEastAsia"/>
                <w:color w:val="auto"/>
                <w:szCs w:val="21"/>
              </w:rPr>
              <w:t>”</w:t>
            </w:r>
          </w:p>
        </w:tc>
      </w:tr>
      <w:tr w14:paraId="41D2265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14:paraId="17CEBAD0">
            <w:pPr>
              <w:adjustRightInd w:val="0"/>
              <w:snapToGrid w:val="0"/>
              <w:spacing w:line="276"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第14.1（3）项</w:t>
            </w:r>
          </w:p>
        </w:tc>
        <w:tc>
          <w:tcPr>
            <w:tcW w:w="2268" w:type="dxa"/>
            <w:vAlign w:val="center"/>
          </w:tcPr>
          <w:p w14:paraId="70E18AA9">
            <w:pPr>
              <w:adjustRightInd w:val="0"/>
              <w:snapToGrid w:val="0"/>
              <w:spacing w:line="276"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特定资格条件应提供的资格审查资料</w:t>
            </w:r>
          </w:p>
        </w:tc>
        <w:tc>
          <w:tcPr>
            <w:tcW w:w="5103" w:type="dxa"/>
            <w:vAlign w:val="center"/>
          </w:tcPr>
          <w:p w14:paraId="17917214">
            <w:pPr>
              <w:adjustRightInd w:val="0"/>
              <w:snapToGrid w:val="0"/>
              <w:spacing w:line="276"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见</w:t>
            </w:r>
            <w:r>
              <w:rPr>
                <w:rFonts w:asciiTheme="minorEastAsia" w:hAnsiTheme="minorEastAsia" w:eastAsiaTheme="minorEastAsia"/>
                <w:color w:val="auto"/>
                <w:szCs w:val="21"/>
              </w:rPr>
              <w:t>“</w:t>
            </w:r>
            <w:r>
              <w:rPr>
                <w:rFonts w:hint="eastAsia" w:asciiTheme="minorEastAsia" w:hAnsiTheme="minorEastAsia" w:eastAsiaTheme="minorEastAsia"/>
                <w:color w:val="auto"/>
                <w:szCs w:val="21"/>
              </w:rPr>
              <w:t>第一章 投标邀请</w:t>
            </w:r>
            <w:r>
              <w:rPr>
                <w:rFonts w:asciiTheme="minorEastAsia" w:hAnsiTheme="minorEastAsia" w:eastAsiaTheme="minorEastAsia"/>
                <w:color w:val="auto"/>
                <w:szCs w:val="21"/>
              </w:rPr>
              <w:t>”</w:t>
            </w:r>
          </w:p>
        </w:tc>
      </w:tr>
      <w:tr w14:paraId="7D99E70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14:paraId="36156624">
            <w:pPr>
              <w:adjustRightInd w:val="0"/>
              <w:snapToGrid w:val="0"/>
              <w:spacing w:line="276"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第16.1</w:t>
            </w:r>
            <w:r>
              <w:rPr>
                <w:rFonts w:hint="eastAsia" w:cs="宋体" w:asciiTheme="minorEastAsia" w:hAnsiTheme="minorEastAsia" w:eastAsiaTheme="minorEastAsia"/>
                <w:color w:val="auto"/>
                <w:kern w:val="0"/>
                <w:szCs w:val="21"/>
                <w:lang w:val="zh-CN"/>
              </w:rPr>
              <w:t>款</w:t>
            </w:r>
          </w:p>
        </w:tc>
        <w:tc>
          <w:tcPr>
            <w:tcW w:w="2268" w:type="dxa"/>
            <w:vAlign w:val="center"/>
          </w:tcPr>
          <w:p w14:paraId="6DFC560E">
            <w:pPr>
              <w:adjustRightInd w:val="0"/>
              <w:snapToGrid w:val="0"/>
              <w:spacing w:line="276" w:lineRule="auto"/>
              <w:jc w:val="left"/>
              <w:rPr>
                <w:rFonts w:asciiTheme="minorEastAsia" w:hAnsiTheme="minorEastAsia" w:eastAsiaTheme="minorEastAsia"/>
                <w:bCs/>
                <w:color w:val="auto"/>
                <w:szCs w:val="21"/>
              </w:rPr>
            </w:pPr>
            <w:r>
              <w:rPr>
                <w:rFonts w:hint="eastAsia" w:asciiTheme="minorEastAsia" w:hAnsiTheme="minorEastAsia" w:eastAsiaTheme="minorEastAsia"/>
                <w:bCs/>
                <w:color w:val="auto"/>
                <w:szCs w:val="21"/>
              </w:rPr>
              <w:t>投标有效期</w:t>
            </w:r>
          </w:p>
        </w:tc>
        <w:tc>
          <w:tcPr>
            <w:tcW w:w="5103" w:type="dxa"/>
            <w:vAlign w:val="center"/>
          </w:tcPr>
          <w:p w14:paraId="047E5545">
            <w:pPr>
              <w:adjustRightInd w:val="0"/>
              <w:snapToGrid w:val="0"/>
              <w:spacing w:line="276" w:lineRule="auto"/>
              <w:rPr>
                <w:rFonts w:asciiTheme="minorEastAsia" w:hAnsiTheme="minorEastAsia" w:eastAsiaTheme="minorEastAsia"/>
                <w:bCs/>
                <w:color w:val="auto"/>
                <w:szCs w:val="21"/>
              </w:rPr>
            </w:pPr>
            <w:r>
              <w:rPr>
                <w:rFonts w:hint="eastAsia" w:asciiTheme="minorEastAsia" w:hAnsiTheme="minorEastAsia" w:eastAsiaTheme="minorEastAsia"/>
                <w:bCs/>
                <w:color w:val="auto"/>
                <w:szCs w:val="21"/>
              </w:rPr>
              <w:t>90日历日</w:t>
            </w:r>
          </w:p>
        </w:tc>
      </w:tr>
      <w:tr w14:paraId="38959C1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14:paraId="14418CEE">
            <w:pPr>
              <w:adjustRightInd w:val="0"/>
              <w:snapToGrid w:val="0"/>
              <w:spacing w:line="276"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第17.1</w:t>
            </w:r>
            <w:r>
              <w:rPr>
                <w:rFonts w:hint="eastAsia" w:cs="宋体" w:asciiTheme="minorEastAsia" w:hAnsiTheme="minorEastAsia" w:eastAsiaTheme="minorEastAsia"/>
                <w:color w:val="auto"/>
                <w:kern w:val="0"/>
                <w:szCs w:val="21"/>
                <w:lang w:val="zh-CN"/>
              </w:rPr>
              <w:t>款</w:t>
            </w:r>
          </w:p>
        </w:tc>
        <w:tc>
          <w:tcPr>
            <w:tcW w:w="2268" w:type="dxa"/>
            <w:vAlign w:val="center"/>
          </w:tcPr>
          <w:p w14:paraId="31C84AB9">
            <w:pPr>
              <w:adjustRightInd w:val="0"/>
              <w:snapToGrid w:val="0"/>
              <w:spacing w:line="276" w:lineRule="auto"/>
              <w:ind w:left="-533" w:leftChars="-254" w:firstLine="533" w:firstLineChars="254"/>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投标保证金</w:t>
            </w:r>
          </w:p>
        </w:tc>
        <w:tc>
          <w:tcPr>
            <w:tcW w:w="5103" w:type="dxa"/>
            <w:vAlign w:val="center"/>
          </w:tcPr>
          <w:p w14:paraId="6BE760E3">
            <w:pPr>
              <w:spacing w:line="276" w:lineRule="auto"/>
              <w:jc w:val="left"/>
              <w:rPr>
                <w:rFonts w:ascii="宋体" w:hAnsi="宋体"/>
                <w:color w:val="auto"/>
              </w:rPr>
            </w:pPr>
            <w:r>
              <w:rPr>
                <w:rFonts w:ascii="宋体" w:hAnsi="宋体" w:cs="宋体"/>
                <w:color w:val="auto"/>
              </w:rPr>
              <w:t>□不要求提供</w:t>
            </w:r>
          </w:p>
          <w:p w14:paraId="267CE1D2">
            <w:pPr>
              <w:spacing w:line="276" w:lineRule="auto"/>
              <w:jc w:val="left"/>
              <w:rPr>
                <w:rFonts w:ascii="宋体" w:hAnsi="宋体"/>
                <w:color w:val="auto"/>
              </w:rPr>
            </w:pPr>
            <w:r>
              <w:rPr>
                <w:rFonts w:ascii="宋体" w:hAnsi="宋体" w:cs="宋体"/>
                <w:color w:val="auto"/>
              </w:rPr>
              <w:t>■要求提供，</w:t>
            </w:r>
          </w:p>
          <w:p w14:paraId="1FF00AC9">
            <w:pPr>
              <w:spacing w:line="276" w:lineRule="auto"/>
              <w:jc w:val="left"/>
              <w:rPr>
                <w:rFonts w:ascii="宋体" w:hAnsi="宋体" w:cs="宋体"/>
                <w:color w:val="auto"/>
              </w:rPr>
            </w:pPr>
            <w:r>
              <w:rPr>
                <w:rFonts w:ascii="宋体" w:hAnsi="宋体"/>
                <w:color w:val="auto"/>
              </w:rPr>
              <w:t>1</w:t>
            </w:r>
            <w:r>
              <w:rPr>
                <w:rFonts w:ascii="宋体" w:hAnsi="宋体" w:cs="宋体"/>
                <w:color w:val="auto"/>
              </w:rPr>
              <w:t>、缴纳数额：</w:t>
            </w:r>
          </w:p>
          <w:tbl>
            <w:tblPr>
              <w:tblStyle w:val="41"/>
              <w:tblW w:w="4059" w:type="dxa"/>
              <w:tblInd w:w="17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041"/>
              <w:gridCol w:w="3018"/>
            </w:tblGrid>
            <w:tr w14:paraId="4698237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16" w:hRule="atLeast"/>
              </w:trPr>
              <w:tc>
                <w:tcPr>
                  <w:tcW w:w="1041" w:type="dxa"/>
                  <w:vAlign w:val="center"/>
                </w:tcPr>
                <w:p w14:paraId="56DA7E29">
                  <w:pPr>
                    <w:jc w:val="center"/>
                    <w:rPr>
                      <w:rFonts w:ascii="宋体" w:hAnsi="宋体" w:cs="宋体"/>
                      <w:b/>
                      <w:color w:val="auto"/>
                      <w:szCs w:val="21"/>
                    </w:rPr>
                  </w:pPr>
                  <w:r>
                    <w:rPr>
                      <w:rFonts w:hint="eastAsia" w:ascii="宋体" w:hAnsi="宋体" w:cs="宋体"/>
                      <w:b/>
                      <w:color w:val="auto"/>
                      <w:szCs w:val="21"/>
                    </w:rPr>
                    <w:t>包号</w:t>
                  </w:r>
                </w:p>
              </w:tc>
              <w:tc>
                <w:tcPr>
                  <w:tcW w:w="3018" w:type="dxa"/>
                  <w:vAlign w:val="center"/>
                </w:tcPr>
                <w:p w14:paraId="1726CD21">
                  <w:pPr>
                    <w:jc w:val="center"/>
                    <w:rPr>
                      <w:rFonts w:ascii="宋体" w:hAnsi="宋体" w:cs="宋体"/>
                      <w:b/>
                      <w:color w:val="auto"/>
                      <w:szCs w:val="21"/>
                    </w:rPr>
                  </w:pPr>
                  <w:r>
                    <w:rPr>
                      <w:rFonts w:hint="eastAsia" w:ascii="宋体" w:hAnsi="宋体" w:cs="宋体"/>
                      <w:b/>
                      <w:color w:val="auto"/>
                      <w:szCs w:val="21"/>
                    </w:rPr>
                    <w:t>保证金数额（元）</w:t>
                  </w:r>
                </w:p>
              </w:tc>
            </w:tr>
            <w:tr w14:paraId="1C00C98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041" w:type="dxa"/>
                  <w:vAlign w:val="center"/>
                </w:tcPr>
                <w:p w14:paraId="5596243D">
                  <w:pPr>
                    <w:jc w:val="center"/>
                    <w:rPr>
                      <w:rFonts w:ascii="宋体" w:hAnsi="宋体" w:cs="宋体"/>
                      <w:b/>
                      <w:color w:val="auto"/>
                      <w:szCs w:val="21"/>
                    </w:rPr>
                  </w:pPr>
                  <w:r>
                    <w:rPr>
                      <w:rFonts w:hint="eastAsia" w:ascii="宋体" w:hAnsi="宋体" w:cs="宋体"/>
                      <w:b/>
                      <w:color w:val="auto"/>
                      <w:szCs w:val="21"/>
                    </w:rPr>
                    <w:t>1</w:t>
                  </w:r>
                </w:p>
              </w:tc>
              <w:tc>
                <w:tcPr>
                  <w:tcW w:w="3018" w:type="dxa"/>
                  <w:vAlign w:val="center"/>
                </w:tcPr>
                <w:p w14:paraId="7BF909FB">
                  <w:pPr>
                    <w:jc w:val="center"/>
                    <w:rPr>
                      <w:rFonts w:ascii="宋体" w:hAnsi="宋体" w:cs="宋体"/>
                      <w:b/>
                      <w:color w:val="auto"/>
                      <w:szCs w:val="21"/>
                    </w:rPr>
                  </w:pPr>
                  <w:r>
                    <w:rPr>
                      <w:rFonts w:hint="eastAsia" w:ascii="宋体" w:hAnsi="宋体" w:cs="宋体"/>
                      <w:b/>
                      <w:color w:val="auto"/>
                      <w:szCs w:val="21"/>
                    </w:rPr>
                    <w:t>13000</w:t>
                  </w:r>
                </w:p>
              </w:tc>
            </w:tr>
            <w:tr w14:paraId="75F6661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041" w:type="dxa"/>
                  <w:vAlign w:val="center"/>
                </w:tcPr>
                <w:p w14:paraId="653F6CA5">
                  <w:pPr>
                    <w:jc w:val="center"/>
                    <w:rPr>
                      <w:rFonts w:ascii="宋体" w:hAnsi="宋体" w:cs="宋体"/>
                      <w:b/>
                      <w:color w:val="auto"/>
                      <w:szCs w:val="21"/>
                    </w:rPr>
                  </w:pPr>
                  <w:r>
                    <w:rPr>
                      <w:rFonts w:hint="eastAsia" w:ascii="宋体" w:hAnsi="宋体" w:cs="宋体"/>
                      <w:b/>
                      <w:color w:val="auto"/>
                      <w:szCs w:val="21"/>
                    </w:rPr>
                    <w:t>2</w:t>
                  </w:r>
                </w:p>
              </w:tc>
              <w:tc>
                <w:tcPr>
                  <w:tcW w:w="3018" w:type="dxa"/>
                  <w:vAlign w:val="center"/>
                </w:tcPr>
                <w:p w14:paraId="4D37EFC6">
                  <w:pPr>
                    <w:jc w:val="center"/>
                    <w:rPr>
                      <w:rFonts w:ascii="宋体" w:hAnsi="宋体" w:cs="宋体"/>
                      <w:b/>
                      <w:color w:val="auto"/>
                      <w:szCs w:val="21"/>
                    </w:rPr>
                  </w:pPr>
                  <w:r>
                    <w:rPr>
                      <w:rFonts w:hint="eastAsia" w:ascii="宋体" w:hAnsi="宋体" w:cs="宋体"/>
                      <w:b/>
                      <w:color w:val="auto"/>
                      <w:szCs w:val="21"/>
                    </w:rPr>
                    <w:t>14000</w:t>
                  </w:r>
                </w:p>
              </w:tc>
            </w:tr>
            <w:tr w14:paraId="4AC5A38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041" w:type="dxa"/>
                  <w:vAlign w:val="center"/>
                </w:tcPr>
                <w:p w14:paraId="08B7F839">
                  <w:pPr>
                    <w:jc w:val="center"/>
                    <w:rPr>
                      <w:rFonts w:ascii="宋体" w:hAnsi="宋体" w:cs="宋体"/>
                      <w:b/>
                      <w:color w:val="auto"/>
                      <w:szCs w:val="21"/>
                    </w:rPr>
                  </w:pPr>
                  <w:r>
                    <w:rPr>
                      <w:rFonts w:hint="eastAsia" w:ascii="宋体" w:hAnsi="宋体" w:cs="宋体"/>
                      <w:b/>
                      <w:color w:val="auto"/>
                      <w:szCs w:val="21"/>
                    </w:rPr>
                    <w:t>3</w:t>
                  </w:r>
                </w:p>
              </w:tc>
              <w:tc>
                <w:tcPr>
                  <w:tcW w:w="3018" w:type="dxa"/>
                  <w:vAlign w:val="center"/>
                </w:tcPr>
                <w:p w14:paraId="14BA5117">
                  <w:pPr>
                    <w:jc w:val="center"/>
                    <w:rPr>
                      <w:rFonts w:hint="default" w:ascii="宋体" w:hAnsi="宋体" w:eastAsia="宋体" w:cs="宋体"/>
                      <w:b/>
                      <w:color w:val="auto"/>
                      <w:szCs w:val="21"/>
                      <w:lang w:val="en-US" w:eastAsia="zh-CN"/>
                    </w:rPr>
                  </w:pPr>
                  <w:r>
                    <w:rPr>
                      <w:rFonts w:hint="eastAsia" w:ascii="宋体" w:hAnsi="宋体" w:cs="宋体"/>
                      <w:b/>
                      <w:color w:val="auto"/>
                      <w:szCs w:val="21"/>
                      <w:lang w:val="en-US" w:eastAsia="zh-CN"/>
                    </w:rPr>
                    <w:t>18000</w:t>
                  </w:r>
                </w:p>
              </w:tc>
            </w:tr>
            <w:tr w14:paraId="07C85EF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041" w:type="dxa"/>
                  <w:vAlign w:val="center"/>
                </w:tcPr>
                <w:p w14:paraId="1B1FCA37">
                  <w:pPr>
                    <w:jc w:val="center"/>
                    <w:rPr>
                      <w:rFonts w:ascii="宋体" w:hAnsi="宋体" w:cs="宋体"/>
                      <w:b/>
                      <w:color w:val="auto"/>
                      <w:szCs w:val="21"/>
                    </w:rPr>
                  </w:pPr>
                  <w:r>
                    <w:rPr>
                      <w:rFonts w:hint="eastAsia" w:ascii="宋体" w:hAnsi="宋体" w:cs="宋体"/>
                      <w:b/>
                      <w:color w:val="auto"/>
                      <w:szCs w:val="21"/>
                    </w:rPr>
                    <w:t>4</w:t>
                  </w:r>
                </w:p>
              </w:tc>
              <w:tc>
                <w:tcPr>
                  <w:tcW w:w="3018" w:type="dxa"/>
                  <w:vAlign w:val="center"/>
                </w:tcPr>
                <w:p w14:paraId="2D9D54BB">
                  <w:pPr>
                    <w:jc w:val="center"/>
                    <w:rPr>
                      <w:rFonts w:hint="default" w:ascii="宋体" w:hAnsi="宋体" w:eastAsia="宋体" w:cs="宋体"/>
                      <w:b/>
                      <w:color w:val="auto"/>
                      <w:szCs w:val="21"/>
                      <w:lang w:val="en-US" w:eastAsia="zh-CN"/>
                    </w:rPr>
                  </w:pPr>
                  <w:r>
                    <w:rPr>
                      <w:rFonts w:hint="eastAsia" w:ascii="宋体" w:hAnsi="宋体" w:cs="宋体"/>
                      <w:b/>
                      <w:color w:val="auto"/>
                      <w:szCs w:val="21"/>
                      <w:lang w:val="en-US" w:eastAsia="zh-CN"/>
                    </w:rPr>
                    <w:t>14000</w:t>
                  </w:r>
                </w:p>
              </w:tc>
            </w:tr>
          </w:tbl>
          <w:p w14:paraId="268368A4">
            <w:pPr>
              <w:rPr>
                <w:rFonts w:ascii="宋体" w:hAnsi="宋体" w:cs="宋体"/>
                <w:b/>
                <w:color w:val="auto"/>
                <w:szCs w:val="21"/>
              </w:rPr>
            </w:pPr>
            <w:r>
              <w:rPr>
                <w:rFonts w:hint="eastAsia" w:ascii="宋体" w:hAnsi="宋体" w:cs="宋体"/>
                <w:b/>
                <w:color w:val="auto"/>
                <w:szCs w:val="21"/>
              </w:rPr>
              <w:t>2、缴纳方式：从供应商基本账户以支票、汇票、本票等形式缴入到如下账户，并在进账单用途栏或备注栏中注明“采购代理机构编号/所投</w:t>
            </w:r>
            <w:r>
              <w:rPr>
                <w:rFonts w:hint="eastAsia" w:ascii="宋体" w:hAnsi="宋体" w:cs="宋体"/>
                <w:b/>
                <w:color w:val="auto"/>
                <w:szCs w:val="21"/>
                <w:u w:val="single"/>
              </w:rPr>
              <w:t xml:space="preserve">   </w:t>
            </w:r>
            <w:r>
              <w:rPr>
                <w:rFonts w:hint="eastAsia" w:ascii="宋体" w:hAnsi="宋体" w:cs="宋体"/>
                <w:b/>
                <w:color w:val="auto"/>
                <w:szCs w:val="21"/>
              </w:rPr>
              <w:t>包号”。投标截止时间前，查询已经到账，视为已缴纳。</w:t>
            </w:r>
          </w:p>
          <w:p w14:paraId="1A522A41">
            <w:pPr>
              <w:spacing w:line="380" w:lineRule="exact"/>
              <w:rPr>
                <w:rFonts w:ascii="宋体" w:hAnsi="宋体" w:cs="宋体"/>
                <w:b/>
                <w:color w:val="auto"/>
                <w:szCs w:val="21"/>
              </w:rPr>
            </w:pPr>
            <w:r>
              <w:rPr>
                <w:rFonts w:hint="eastAsia" w:ascii="宋体" w:hAnsi="宋体" w:cs="宋体"/>
                <w:b/>
                <w:color w:val="auto"/>
                <w:szCs w:val="21"/>
              </w:rPr>
              <w:t xml:space="preserve">投标保证金专用帐户： </w:t>
            </w:r>
          </w:p>
          <w:p w14:paraId="5D2BCED0">
            <w:pPr>
              <w:spacing w:line="380" w:lineRule="exact"/>
              <w:rPr>
                <w:rFonts w:ascii="宋体" w:hAnsi="宋体" w:cs="宋体"/>
                <w:b/>
                <w:color w:val="auto"/>
                <w:szCs w:val="21"/>
              </w:rPr>
            </w:pPr>
            <w:r>
              <w:rPr>
                <w:rFonts w:hint="eastAsia" w:ascii="宋体" w:hAnsi="宋体" w:cs="宋体"/>
                <w:b/>
                <w:color w:val="auto"/>
                <w:szCs w:val="21"/>
              </w:rPr>
              <w:t>户名：华新项目管理集团有限公司政府采购保证金专户</w:t>
            </w:r>
          </w:p>
          <w:p w14:paraId="74A9DB2D">
            <w:pPr>
              <w:spacing w:line="380" w:lineRule="exact"/>
              <w:rPr>
                <w:rFonts w:ascii="宋体" w:hAnsi="宋体" w:cs="宋体"/>
                <w:b/>
                <w:color w:val="auto"/>
                <w:szCs w:val="21"/>
              </w:rPr>
            </w:pPr>
            <w:r>
              <w:rPr>
                <w:rFonts w:hint="eastAsia" w:ascii="宋体" w:hAnsi="宋体" w:cs="宋体"/>
                <w:b/>
                <w:color w:val="auto"/>
                <w:szCs w:val="21"/>
              </w:rPr>
              <w:t>帐号：4305 0186 3836 0000 0011</w:t>
            </w:r>
          </w:p>
          <w:p w14:paraId="334A307B">
            <w:pPr>
              <w:adjustRightInd w:val="0"/>
              <w:snapToGrid w:val="0"/>
              <w:spacing w:line="276" w:lineRule="auto"/>
              <w:rPr>
                <w:rFonts w:ascii="宋体" w:hAnsi="宋体" w:cs="宋体"/>
                <w:b/>
                <w:color w:val="auto"/>
                <w:szCs w:val="21"/>
              </w:rPr>
            </w:pPr>
            <w:r>
              <w:rPr>
                <w:rFonts w:hint="eastAsia" w:ascii="宋体" w:hAnsi="宋体" w:cs="宋体"/>
                <w:b/>
                <w:color w:val="auto"/>
                <w:szCs w:val="21"/>
              </w:rPr>
              <w:t>开户行：中国建设银行长沙芙蓉中路支行</w:t>
            </w:r>
          </w:p>
          <w:p w14:paraId="40329E26">
            <w:pPr>
              <w:adjustRightInd w:val="0"/>
              <w:snapToGrid w:val="0"/>
              <w:spacing w:line="276" w:lineRule="auto"/>
              <w:rPr>
                <w:rFonts w:ascii="宋体" w:hAnsi="宋体"/>
                <w:color w:val="auto"/>
                <w:szCs w:val="21"/>
              </w:rPr>
            </w:pPr>
            <w:r>
              <w:rPr>
                <w:rFonts w:hint="eastAsia" w:ascii="宋体" w:hAnsi="宋体"/>
                <w:color w:val="auto"/>
                <w:szCs w:val="21"/>
              </w:rPr>
              <w:t>3、金融机构、担保机构出具的保函形式的：</w:t>
            </w:r>
          </w:p>
          <w:p w14:paraId="70E9EBDF">
            <w:pPr>
              <w:adjustRightInd w:val="0"/>
              <w:snapToGrid w:val="0"/>
              <w:spacing w:line="276" w:lineRule="auto"/>
              <w:rPr>
                <w:rFonts w:ascii="宋体" w:hAnsi="宋体"/>
                <w:color w:val="auto"/>
                <w:szCs w:val="21"/>
              </w:rPr>
            </w:pPr>
            <w:r>
              <w:rPr>
                <w:rFonts w:hint="eastAsia" w:ascii="宋体" w:hAnsi="宋体"/>
                <w:color w:val="auto"/>
                <w:szCs w:val="21"/>
              </w:rPr>
              <w:t>①采用金融机构出具的保函形式的，保函必须由</w:t>
            </w:r>
            <w:r>
              <w:rPr>
                <w:rFonts w:hint="eastAsia" w:ascii="宋体" w:hAnsi="宋体"/>
                <w:bCs/>
                <w:color w:val="auto"/>
                <w:szCs w:val="21"/>
              </w:rPr>
              <w:t>投标人</w:t>
            </w:r>
            <w:r>
              <w:rPr>
                <w:rFonts w:hint="eastAsia" w:ascii="宋体" w:hAnsi="宋体"/>
                <w:color w:val="auto"/>
                <w:szCs w:val="21"/>
              </w:rPr>
              <w:t>基本账户开户行或授信银行出具。并随保函提供基本账户开户许可证或授信协议书复印件并加盖</w:t>
            </w:r>
            <w:r>
              <w:rPr>
                <w:rFonts w:hint="eastAsia" w:ascii="宋体" w:hAnsi="宋体"/>
                <w:bCs/>
                <w:color w:val="auto"/>
                <w:szCs w:val="21"/>
              </w:rPr>
              <w:t>投标人</w:t>
            </w:r>
            <w:r>
              <w:rPr>
                <w:rFonts w:hint="eastAsia" w:ascii="宋体" w:hAnsi="宋体"/>
                <w:color w:val="auto"/>
                <w:szCs w:val="21"/>
              </w:rPr>
              <w:t>单位章；</w:t>
            </w:r>
          </w:p>
          <w:p w14:paraId="590AC292">
            <w:pPr>
              <w:adjustRightInd w:val="0"/>
              <w:snapToGrid w:val="0"/>
              <w:spacing w:line="276" w:lineRule="auto"/>
              <w:rPr>
                <w:rFonts w:ascii="宋体" w:hAnsi="宋体"/>
                <w:color w:val="auto"/>
                <w:szCs w:val="21"/>
              </w:rPr>
            </w:pPr>
            <w:r>
              <w:rPr>
                <w:rFonts w:hint="eastAsia" w:ascii="宋体" w:hAnsi="宋体"/>
                <w:color w:val="auto"/>
                <w:szCs w:val="21"/>
              </w:rPr>
              <w:t>②采用担保机构出具的保函形式的，担保机构必须属于《湖南省政府采购信用担保试点工作的信用担保机构名单》内机构（可查询中国湖南省政府采购网相关栏目）。</w:t>
            </w:r>
          </w:p>
          <w:p w14:paraId="0CD73EEC">
            <w:pPr>
              <w:adjustRightInd w:val="0"/>
              <w:snapToGrid w:val="0"/>
              <w:spacing w:line="276" w:lineRule="auto"/>
              <w:rPr>
                <w:rFonts w:asciiTheme="minorEastAsia" w:hAnsiTheme="minorEastAsia" w:eastAsiaTheme="minorEastAsia"/>
                <w:color w:val="auto"/>
                <w:szCs w:val="21"/>
              </w:rPr>
            </w:pPr>
            <w:r>
              <w:rPr>
                <w:rFonts w:hint="eastAsia" w:ascii="宋体" w:hAnsi="宋体"/>
                <w:color w:val="auto"/>
                <w:szCs w:val="21"/>
              </w:rPr>
              <w:t>③保函格式为见索即付保函，不得设置兑取条件。</w:t>
            </w:r>
          </w:p>
        </w:tc>
      </w:tr>
      <w:tr w14:paraId="42E22AC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14:paraId="5E919BE2">
            <w:pPr>
              <w:adjustRightInd w:val="0"/>
              <w:snapToGrid w:val="0"/>
              <w:spacing w:line="276"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第18.1</w:t>
            </w:r>
            <w:r>
              <w:rPr>
                <w:rFonts w:hint="eastAsia" w:cs="宋体" w:asciiTheme="minorEastAsia" w:hAnsiTheme="minorEastAsia" w:eastAsiaTheme="minorEastAsia"/>
                <w:color w:val="auto"/>
                <w:kern w:val="0"/>
                <w:szCs w:val="21"/>
                <w:lang w:val="zh-CN"/>
              </w:rPr>
              <w:t>款</w:t>
            </w:r>
          </w:p>
        </w:tc>
        <w:tc>
          <w:tcPr>
            <w:tcW w:w="2268" w:type="dxa"/>
            <w:vAlign w:val="center"/>
          </w:tcPr>
          <w:p w14:paraId="1316072B">
            <w:pPr>
              <w:adjustRightInd w:val="0"/>
              <w:snapToGrid w:val="0"/>
              <w:spacing w:line="276" w:lineRule="auto"/>
              <w:jc w:val="left"/>
              <w:rPr>
                <w:rFonts w:asciiTheme="minorEastAsia" w:hAnsiTheme="minorEastAsia" w:eastAsiaTheme="minorEastAsia"/>
                <w:color w:val="auto"/>
                <w:szCs w:val="21"/>
              </w:rPr>
            </w:pPr>
            <w:r>
              <w:rPr>
                <w:rFonts w:hint="eastAsia" w:asciiTheme="minorEastAsia" w:hAnsiTheme="minorEastAsia" w:eastAsiaTheme="minorEastAsia"/>
                <w:bCs/>
                <w:color w:val="auto"/>
                <w:szCs w:val="21"/>
              </w:rPr>
              <w:t>分包</w:t>
            </w:r>
          </w:p>
        </w:tc>
        <w:tc>
          <w:tcPr>
            <w:tcW w:w="5103" w:type="dxa"/>
            <w:vAlign w:val="center"/>
          </w:tcPr>
          <w:p w14:paraId="4F1DBCD6">
            <w:pPr>
              <w:adjustRightInd w:val="0"/>
              <w:snapToGrid w:val="0"/>
              <w:spacing w:line="276" w:lineRule="auto"/>
              <w:rPr>
                <w:rFonts w:asciiTheme="minorEastAsia" w:hAnsiTheme="minorEastAsia" w:eastAsiaTheme="minorEastAsia"/>
                <w:bCs/>
                <w:color w:val="auto"/>
                <w:szCs w:val="21"/>
              </w:rPr>
            </w:pPr>
            <w:r>
              <w:rPr>
                <w:rFonts w:hint="eastAsia" w:asciiTheme="minorEastAsia" w:hAnsiTheme="minorEastAsia" w:eastAsiaTheme="minorEastAsia"/>
                <w:bCs/>
                <w:color w:val="auto"/>
                <w:szCs w:val="21"/>
              </w:rPr>
              <w:t>本项目不允许分包</w:t>
            </w:r>
          </w:p>
        </w:tc>
      </w:tr>
      <w:tr w14:paraId="061EF8E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14:paraId="798F96EA">
            <w:pPr>
              <w:adjustRightInd w:val="0"/>
              <w:snapToGrid w:val="0"/>
              <w:spacing w:line="276" w:lineRule="auto"/>
              <w:jc w:val="center"/>
              <w:rPr>
                <w:rFonts w:asciiTheme="minorEastAsia" w:hAnsiTheme="minorEastAsia" w:eastAsiaTheme="minorEastAsia"/>
                <w:b/>
                <w:color w:val="auto"/>
                <w:szCs w:val="21"/>
              </w:rPr>
            </w:pPr>
            <w:r>
              <w:rPr>
                <w:rFonts w:hint="eastAsia" w:asciiTheme="minorEastAsia" w:hAnsiTheme="minorEastAsia" w:eastAsiaTheme="minorEastAsia"/>
                <w:b/>
                <w:color w:val="auto"/>
                <w:szCs w:val="21"/>
              </w:rPr>
              <w:t>第19.4款</w:t>
            </w:r>
          </w:p>
        </w:tc>
        <w:tc>
          <w:tcPr>
            <w:tcW w:w="2268" w:type="dxa"/>
            <w:vAlign w:val="center"/>
          </w:tcPr>
          <w:p w14:paraId="149D7690">
            <w:pPr>
              <w:adjustRightInd w:val="0"/>
              <w:snapToGrid w:val="0"/>
              <w:spacing w:line="276" w:lineRule="auto"/>
              <w:jc w:val="left"/>
              <w:rPr>
                <w:rFonts w:asciiTheme="minorEastAsia" w:hAnsiTheme="minorEastAsia" w:eastAsiaTheme="minorEastAsia"/>
                <w:b/>
                <w:color w:val="auto"/>
                <w:szCs w:val="21"/>
              </w:rPr>
            </w:pPr>
            <w:r>
              <w:rPr>
                <w:rFonts w:hint="eastAsia" w:asciiTheme="minorEastAsia" w:hAnsiTheme="minorEastAsia" w:eastAsiaTheme="minorEastAsia"/>
                <w:b/>
                <w:color w:val="auto"/>
                <w:szCs w:val="21"/>
              </w:rPr>
              <w:t>投标文件份数及其他要求</w:t>
            </w:r>
          </w:p>
        </w:tc>
        <w:tc>
          <w:tcPr>
            <w:tcW w:w="5103" w:type="dxa"/>
            <w:vAlign w:val="center"/>
          </w:tcPr>
          <w:p w14:paraId="77DA26FC">
            <w:pPr>
              <w:adjustRightInd w:val="0"/>
              <w:snapToGrid w:val="0"/>
              <w:spacing w:line="288" w:lineRule="auto"/>
              <w:rPr>
                <w:rFonts w:ascii="宋体" w:hAnsi="宋体" w:cs="宋体"/>
                <w:color w:val="auto"/>
                <w:szCs w:val="21"/>
              </w:rPr>
            </w:pPr>
            <w:r>
              <w:rPr>
                <w:rFonts w:hint="eastAsia" w:ascii="宋体" w:hAnsi="宋体" w:cs="宋体"/>
                <w:color w:val="auto"/>
                <w:szCs w:val="21"/>
              </w:rPr>
              <w:t>投标人应提交的投标文件：</w:t>
            </w:r>
          </w:p>
          <w:p w14:paraId="071685FD">
            <w:pPr>
              <w:adjustRightInd w:val="0"/>
              <w:snapToGrid w:val="0"/>
              <w:spacing w:line="288" w:lineRule="auto"/>
              <w:rPr>
                <w:rFonts w:asciiTheme="minorEastAsia" w:hAnsiTheme="minorEastAsia" w:eastAsiaTheme="minorEastAsia"/>
                <w:bCs/>
                <w:color w:val="auto"/>
                <w:szCs w:val="21"/>
              </w:rPr>
            </w:pPr>
            <w:r>
              <w:rPr>
                <w:rFonts w:hint="eastAsia" w:ascii="宋体" w:hAnsi="宋体" w:cs="宋体"/>
                <w:color w:val="auto"/>
                <w:szCs w:val="21"/>
              </w:rPr>
              <w:t>（1）投标人应在投标截止时间前通过优质采云采购平台用户系统制作并上传加密的电子投标文件（在优质采云采购平台用户系统上传，否则其递交的投标文件不予接收）；</w:t>
            </w:r>
          </w:p>
        </w:tc>
      </w:tr>
      <w:tr w14:paraId="137BB84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931" w:type="dxa"/>
            <w:gridSpan w:val="3"/>
            <w:vAlign w:val="center"/>
          </w:tcPr>
          <w:p w14:paraId="6D3E8B87">
            <w:pPr>
              <w:adjustRightInd w:val="0"/>
              <w:snapToGrid w:val="0"/>
              <w:spacing w:line="276" w:lineRule="auto"/>
              <w:rPr>
                <w:rFonts w:asciiTheme="minorEastAsia" w:hAnsiTheme="minorEastAsia" w:eastAsiaTheme="minorEastAsia"/>
                <w:b/>
                <w:bCs/>
                <w:color w:val="auto"/>
                <w:szCs w:val="21"/>
              </w:rPr>
            </w:pPr>
            <w:r>
              <w:rPr>
                <w:rFonts w:hint="eastAsia" w:asciiTheme="minorEastAsia" w:hAnsiTheme="minorEastAsia" w:eastAsiaTheme="minorEastAsia"/>
                <w:b/>
                <w:color w:val="auto"/>
                <w:szCs w:val="21"/>
              </w:rPr>
              <w:t>四、投标</w:t>
            </w:r>
          </w:p>
        </w:tc>
      </w:tr>
      <w:tr w14:paraId="769D25D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14:paraId="0C5A1800">
            <w:pPr>
              <w:adjustRightInd w:val="0"/>
              <w:snapToGrid w:val="0"/>
              <w:spacing w:line="276"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第21.1</w:t>
            </w:r>
            <w:r>
              <w:rPr>
                <w:rFonts w:hint="eastAsia" w:cs="宋体" w:asciiTheme="minorEastAsia" w:hAnsiTheme="minorEastAsia" w:eastAsiaTheme="minorEastAsia"/>
                <w:color w:val="auto"/>
                <w:kern w:val="0"/>
                <w:szCs w:val="21"/>
                <w:lang w:val="zh-CN"/>
              </w:rPr>
              <w:t>款</w:t>
            </w:r>
          </w:p>
        </w:tc>
        <w:tc>
          <w:tcPr>
            <w:tcW w:w="2268" w:type="dxa"/>
            <w:vAlign w:val="center"/>
          </w:tcPr>
          <w:p w14:paraId="77576A0D">
            <w:pPr>
              <w:adjustRightInd w:val="0"/>
              <w:snapToGrid w:val="0"/>
              <w:spacing w:line="276" w:lineRule="auto"/>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投标截止时间</w:t>
            </w:r>
          </w:p>
        </w:tc>
        <w:tc>
          <w:tcPr>
            <w:tcW w:w="5103" w:type="dxa"/>
            <w:vAlign w:val="center"/>
          </w:tcPr>
          <w:p w14:paraId="6F8C5B72">
            <w:pPr>
              <w:adjustRightInd w:val="0"/>
              <w:snapToGrid w:val="0"/>
              <w:spacing w:line="276" w:lineRule="auto"/>
              <w:rPr>
                <w:rFonts w:asciiTheme="minorEastAsia" w:hAnsiTheme="minorEastAsia" w:eastAsiaTheme="minorEastAsia"/>
                <w:bCs/>
                <w:color w:val="auto"/>
                <w:szCs w:val="21"/>
              </w:rPr>
            </w:pPr>
            <w:r>
              <w:rPr>
                <w:rFonts w:hint="eastAsia" w:asciiTheme="minorEastAsia" w:hAnsiTheme="minorEastAsia" w:eastAsiaTheme="minorEastAsia"/>
                <w:color w:val="auto"/>
                <w:szCs w:val="21"/>
              </w:rPr>
              <w:t>见</w:t>
            </w:r>
            <w:r>
              <w:rPr>
                <w:rFonts w:asciiTheme="minorEastAsia" w:hAnsiTheme="minorEastAsia" w:eastAsiaTheme="minorEastAsia"/>
                <w:color w:val="auto"/>
                <w:szCs w:val="21"/>
              </w:rPr>
              <w:t>“</w:t>
            </w:r>
            <w:r>
              <w:rPr>
                <w:rFonts w:hint="eastAsia" w:asciiTheme="minorEastAsia" w:hAnsiTheme="minorEastAsia" w:eastAsiaTheme="minorEastAsia"/>
                <w:color w:val="auto"/>
                <w:szCs w:val="21"/>
              </w:rPr>
              <w:t>第一章 投标邀请</w:t>
            </w:r>
            <w:r>
              <w:rPr>
                <w:rFonts w:asciiTheme="minorEastAsia" w:hAnsiTheme="minorEastAsia" w:eastAsiaTheme="minorEastAsia"/>
                <w:color w:val="auto"/>
                <w:szCs w:val="21"/>
              </w:rPr>
              <w:t>”</w:t>
            </w:r>
          </w:p>
        </w:tc>
      </w:tr>
      <w:tr w14:paraId="478A712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931" w:type="dxa"/>
            <w:gridSpan w:val="3"/>
            <w:vAlign w:val="center"/>
          </w:tcPr>
          <w:p w14:paraId="05C09114">
            <w:pPr>
              <w:adjustRightInd w:val="0"/>
              <w:snapToGrid w:val="0"/>
              <w:spacing w:line="276" w:lineRule="auto"/>
              <w:rPr>
                <w:rFonts w:asciiTheme="minorEastAsia" w:hAnsiTheme="minorEastAsia" w:eastAsiaTheme="minorEastAsia"/>
                <w:color w:val="auto"/>
                <w:szCs w:val="21"/>
              </w:rPr>
            </w:pPr>
            <w:r>
              <w:rPr>
                <w:rFonts w:hint="eastAsia" w:asciiTheme="minorEastAsia" w:hAnsiTheme="minorEastAsia" w:eastAsiaTheme="minorEastAsia"/>
                <w:b/>
                <w:bCs/>
                <w:color w:val="auto"/>
                <w:szCs w:val="21"/>
              </w:rPr>
              <w:t>五、开标、资格审查和评标</w:t>
            </w:r>
          </w:p>
        </w:tc>
      </w:tr>
      <w:tr w14:paraId="5D55186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14:paraId="2522AFB2">
            <w:pPr>
              <w:adjustRightInd w:val="0"/>
              <w:snapToGrid w:val="0"/>
              <w:spacing w:line="276"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第24.1</w:t>
            </w:r>
            <w:r>
              <w:rPr>
                <w:rFonts w:hint="eastAsia" w:cs="宋体" w:asciiTheme="minorEastAsia" w:hAnsiTheme="minorEastAsia" w:eastAsiaTheme="minorEastAsia"/>
                <w:color w:val="auto"/>
                <w:kern w:val="0"/>
                <w:szCs w:val="21"/>
                <w:lang w:val="zh-CN"/>
              </w:rPr>
              <w:t>款</w:t>
            </w:r>
          </w:p>
        </w:tc>
        <w:tc>
          <w:tcPr>
            <w:tcW w:w="2268" w:type="dxa"/>
            <w:vAlign w:val="center"/>
          </w:tcPr>
          <w:p w14:paraId="3EBAF5B0">
            <w:pPr>
              <w:adjustRightInd w:val="0"/>
              <w:snapToGrid w:val="0"/>
              <w:spacing w:line="276" w:lineRule="auto"/>
              <w:jc w:val="left"/>
              <w:rPr>
                <w:rFonts w:asciiTheme="minorEastAsia" w:hAnsiTheme="minorEastAsia" w:eastAsiaTheme="minorEastAsia"/>
                <w:color w:val="auto"/>
                <w:szCs w:val="21"/>
              </w:rPr>
            </w:pPr>
            <w:r>
              <w:rPr>
                <w:rFonts w:hint="eastAsia" w:asciiTheme="minorEastAsia" w:hAnsiTheme="minorEastAsia" w:eastAsiaTheme="minorEastAsia"/>
                <w:bCs/>
                <w:color w:val="auto"/>
                <w:szCs w:val="21"/>
              </w:rPr>
              <w:t>开标地点</w:t>
            </w:r>
          </w:p>
        </w:tc>
        <w:tc>
          <w:tcPr>
            <w:tcW w:w="5103" w:type="dxa"/>
            <w:vAlign w:val="center"/>
          </w:tcPr>
          <w:p w14:paraId="2570395B">
            <w:pPr>
              <w:wordWrap w:val="0"/>
              <w:adjustRightInd w:val="0"/>
              <w:snapToGrid w:val="0"/>
              <w:spacing w:line="276" w:lineRule="auto"/>
              <w:rPr>
                <w:rFonts w:asciiTheme="minorEastAsia" w:hAnsiTheme="minorEastAsia" w:eastAsiaTheme="minorEastAsia"/>
                <w:color w:val="auto"/>
                <w:szCs w:val="21"/>
              </w:rPr>
            </w:pPr>
            <w:r>
              <w:rPr>
                <w:rFonts w:hint="eastAsia" w:ascii="宋体" w:hAnsi="宋体" w:cs="宋体"/>
                <w:color w:val="auto"/>
                <w:szCs w:val="21"/>
              </w:rPr>
              <w:t>采购人在招标文件规定的开标时间通过“华新管理电子招标采购平台”（https://hxgl316.youzhicai.com/）公开开标，所有投标人的法定代表人或其委托代理人应使用数字证书准时进行远程解密，无需到达开标现场。</w:t>
            </w:r>
          </w:p>
        </w:tc>
      </w:tr>
      <w:tr w14:paraId="0C178C0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4" w:hRule="atLeast"/>
        </w:trPr>
        <w:tc>
          <w:tcPr>
            <w:tcW w:w="1560" w:type="dxa"/>
            <w:vMerge w:val="restart"/>
            <w:vAlign w:val="center"/>
          </w:tcPr>
          <w:p w14:paraId="2496C233">
            <w:pPr>
              <w:adjustRightInd w:val="0"/>
              <w:snapToGrid w:val="0"/>
              <w:spacing w:line="276"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第24.2</w:t>
            </w:r>
            <w:r>
              <w:rPr>
                <w:rFonts w:hint="eastAsia" w:cs="宋体" w:asciiTheme="minorEastAsia" w:hAnsiTheme="minorEastAsia" w:eastAsiaTheme="minorEastAsia"/>
                <w:color w:val="auto"/>
                <w:kern w:val="0"/>
                <w:szCs w:val="21"/>
                <w:lang w:val="zh-CN"/>
              </w:rPr>
              <w:t>款</w:t>
            </w:r>
          </w:p>
        </w:tc>
        <w:tc>
          <w:tcPr>
            <w:tcW w:w="2268" w:type="dxa"/>
            <w:tcBorders>
              <w:bottom w:val="single" w:color="auto" w:sz="4" w:space="0"/>
            </w:tcBorders>
            <w:vAlign w:val="center"/>
          </w:tcPr>
          <w:p w14:paraId="46A4E5A2">
            <w:pPr>
              <w:adjustRightInd w:val="0"/>
              <w:snapToGrid w:val="0"/>
              <w:spacing w:line="276" w:lineRule="auto"/>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解密时长</w:t>
            </w:r>
          </w:p>
        </w:tc>
        <w:tc>
          <w:tcPr>
            <w:tcW w:w="5103" w:type="dxa"/>
            <w:tcBorders>
              <w:bottom w:val="single" w:color="auto" w:sz="4" w:space="0"/>
            </w:tcBorders>
            <w:vAlign w:val="center"/>
          </w:tcPr>
          <w:p w14:paraId="3F0A6027">
            <w:pPr>
              <w:adjustRightInd w:val="0"/>
              <w:snapToGrid w:val="0"/>
              <w:spacing w:line="276"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30分钟</w:t>
            </w:r>
          </w:p>
        </w:tc>
      </w:tr>
      <w:tr w14:paraId="5A50E2A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4" w:hRule="atLeast"/>
        </w:trPr>
        <w:tc>
          <w:tcPr>
            <w:tcW w:w="1560" w:type="dxa"/>
            <w:vMerge w:val="continue"/>
            <w:vAlign w:val="center"/>
          </w:tcPr>
          <w:p w14:paraId="7E6332BE">
            <w:pPr>
              <w:adjustRightInd w:val="0"/>
              <w:snapToGrid w:val="0"/>
              <w:spacing w:line="276" w:lineRule="auto"/>
              <w:jc w:val="center"/>
              <w:rPr>
                <w:rFonts w:asciiTheme="minorEastAsia" w:hAnsiTheme="minorEastAsia" w:eastAsiaTheme="minorEastAsia"/>
                <w:color w:val="auto"/>
                <w:szCs w:val="21"/>
              </w:rPr>
            </w:pPr>
          </w:p>
        </w:tc>
        <w:tc>
          <w:tcPr>
            <w:tcW w:w="2268" w:type="dxa"/>
            <w:tcBorders>
              <w:top w:val="single" w:color="auto" w:sz="4" w:space="0"/>
            </w:tcBorders>
            <w:vAlign w:val="center"/>
          </w:tcPr>
          <w:p w14:paraId="3E9E9331">
            <w:pPr>
              <w:adjustRightInd w:val="0"/>
              <w:snapToGrid w:val="0"/>
              <w:spacing w:line="276" w:lineRule="auto"/>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需要宣布的其他内容</w:t>
            </w:r>
          </w:p>
        </w:tc>
        <w:tc>
          <w:tcPr>
            <w:tcW w:w="5103" w:type="dxa"/>
            <w:tcBorders>
              <w:top w:val="single" w:color="auto" w:sz="4" w:space="0"/>
            </w:tcBorders>
            <w:vAlign w:val="center"/>
          </w:tcPr>
          <w:p w14:paraId="6481957E">
            <w:pPr>
              <w:adjustRightInd w:val="0"/>
              <w:snapToGrid w:val="0"/>
              <w:spacing w:line="276"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无</w:t>
            </w:r>
          </w:p>
        </w:tc>
      </w:tr>
      <w:tr w14:paraId="009C2E4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931" w:type="dxa"/>
            <w:gridSpan w:val="3"/>
            <w:vAlign w:val="center"/>
          </w:tcPr>
          <w:p w14:paraId="6C151A3B">
            <w:pPr>
              <w:adjustRightInd w:val="0"/>
              <w:snapToGrid w:val="0"/>
              <w:spacing w:line="276" w:lineRule="auto"/>
              <w:rPr>
                <w:rFonts w:asciiTheme="minorEastAsia" w:hAnsiTheme="minorEastAsia" w:eastAsiaTheme="minorEastAsia"/>
                <w:b/>
                <w:color w:val="auto"/>
                <w:szCs w:val="21"/>
              </w:rPr>
            </w:pPr>
            <w:r>
              <w:rPr>
                <w:rFonts w:hint="eastAsia" w:asciiTheme="minorEastAsia" w:hAnsiTheme="minorEastAsia" w:eastAsiaTheme="minorEastAsia"/>
                <w:b/>
                <w:color w:val="auto"/>
                <w:szCs w:val="21"/>
              </w:rPr>
              <w:t>六、中标信息公布</w:t>
            </w:r>
          </w:p>
        </w:tc>
      </w:tr>
      <w:tr w14:paraId="646BB5A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14:paraId="02A8933F">
            <w:pPr>
              <w:adjustRightInd w:val="0"/>
              <w:snapToGrid w:val="0"/>
              <w:spacing w:line="276"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第29.2</w:t>
            </w:r>
            <w:r>
              <w:rPr>
                <w:rFonts w:hint="eastAsia" w:cs="宋体" w:asciiTheme="minorEastAsia" w:hAnsiTheme="minorEastAsia" w:eastAsiaTheme="minorEastAsia"/>
                <w:color w:val="auto"/>
                <w:kern w:val="0"/>
                <w:szCs w:val="21"/>
                <w:lang w:val="zh-CN"/>
              </w:rPr>
              <w:t>款</w:t>
            </w:r>
          </w:p>
        </w:tc>
        <w:tc>
          <w:tcPr>
            <w:tcW w:w="2268" w:type="dxa"/>
            <w:vAlign w:val="center"/>
          </w:tcPr>
          <w:p w14:paraId="18257A82">
            <w:pPr>
              <w:adjustRightInd w:val="0"/>
              <w:snapToGrid w:val="0"/>
              <w:spacing w:line="276" w:lineRule="auto"/>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中标候选人并列的确定中标人的方式</w:t>
            </w:r>
          </w:p>
        </w:tc>
        <w:tc>
          <w:tcPr>
            <w:tcW w:w="5103" w:type="dxa"/>
            <w:vAlign w:val="center"/>
          </w:tcPr>
          <w:p w14:paraId="70D9890D">
            <w:pPr>
              <w:spacing w:line="276" w:lineRule="auto"/>
              <w:rPr>
                <w:rFonts w:asciiTheme="minorEastAsia" w:hAnsiTheme="minorEastAsia" w:eastAsiaTheme="minorEastAsia"/>
                <w:strike/>
                <w:color w:val="auto"/>
                <w:szCs w:val="21"/>
              </w:rPr>
            </w:pPr>
            <w:r>
              <w:rPr>
                <w:rFonts w:hint="eastAsia" w:ascii="宋体" w:hAnsi="宋体" w:cs="宋体"/>
                <w:color w:val="auto"/>
              </w:rPr>
              <w:t>见“第四章 评标方法及标准”</w:t>
            </w:r>
          </w:p>
        </w:tc>
      </w:tr>
      <w:tr w14:paraId="4A95BD2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501" w:hRule="atLeast"/>
        </w:trPr>
        <w:tc>
          <w:tcPr>
            <w:tcW w:w="1560" w:type="dxa"/>
            <w:vMerge w:val="restart"/>
            <w:vAlign w:val="center"/>
          </w:tcPr>
          <w:p w14:paraId="132424D4">
            <w:pPr>
              <w:adjustRightInd w:val="0"/>
              <w:snapToGrid w:val="0"/>
              <w:spacing w:line="276"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第30.3</w:t>
            </w:r>
            <w:r>
              <w:rPr>
                <w:rFonts w:hint="eastAsia" w:cs="宋体" w:asciiTheme="minorEastAsia" w:hAnsiTheme="minorEastAsia" w:eastAsiaTheme="minorEastAsia"/>
                <w:color w:val="auto"/>
                <w:kern w:val="0"/>
                <w:szCs w:val="21"/>
                <w:lang w:val="zh-CN"/>
              </w:rPr>
              <w:t>款</w:t>
            </w:r>
          </w:p>
        </w:tc>
        <w:tc>
          <w:tcPr>
            <w:tcW w:w="2268" w:type="dxa"/>
            <w:vMerge w:val="restart"/>
            <w:vAlign w:val="center"/>
          </w:tcPr>
          <w:p w14:paraId="6CA5A118">
            <w:pPr>
              <w:adjustRightInd w:val="0"/>
              <w:snapToGrid w:val="0"/>
              <w:spacing w:line="276" w:lineRule="auto"/>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接收质疑函的联系部门、联系电话和通讯地址</w:t>
            </w:r>
          </w:p>
        </w:tc>
        <w:tc>
          <w:tcPr>
            <w:tcW w:w="5103" w:type="dxa"/>
            <w:tcBorders>
              <w:bottom w:val="single" w:color="auto" w:sz="4" w:space="0"/>
            </w:tcBorders>
            <w:vAlign w:val="center"/>
          </w:tcPr>
          <w:p w14:paraId="29220BE2">
            <w:pPr>
              <w:spacing w:line="276" w:lineRule="auto"/>
              <w:rPr>
                <w:rFonts w:ascii="宋体" w:hAnsi="宋体" w:cs="宋体"/>
                <w:color w:val="auto"/>
              </w:rPr>
            </w:pPr>
            <w:r>
              <w:rPr>
                <w:rFonts w:hint="eastAsia" w:ascii="宋体" w:hAnsi="宋体" w:cs="宋体"/>
                <w:color w:val="auto"/>
              </w:rPr>
              <w:t>采购人：中南大学湘雅医院</w:t>
            </w:r>
          </w:p>
          <w:p w14:paraId="1A2EA1D0">
            <w:pPr>
              <w:spacing w:line="276" w:lineRule="auto"/>
              <w:rPr>
                <w:rFonts w:ascii="宋体" w:hAnsi="宋体" w:cs="宋体"/>
                <w:color w:val="auto"/>
              </w:rPr>
            </w:pPr>
            <w:r>
              <w:rPr>
                <w:rFonts w:hint="eastAsia" w:ascii="宋体" w:hAnsi="宋体" w:cs="宋体"/>
                <w:color w:val="auto"/>
              </w:rPr>
              <w:t>地址：</w:t>
            </w:r>
            <w:r>
              <w:rPr>
                <w:rFonts w:ascii="宋体" w:hAnsi="宋体" w:cs="宋体"/>
                <w:color w:val="auto"/>
              </w:rPr>
              <w:t>湖南省长沙市湘雅路87号</w:t>
            </w:r>
          </w:p>
          <w:p w14:paraId="0A0271B2">
            <w:pPr>
              <w:spacing w:line="276" w:lineRule="auto"/>
              <w:rPr>
                <w:rFonts w:ascii="宋体" w:hAnsi="宋体" w:cs="宋体"/>
                <w:color w:val="auto"/>
              </w:rPr>
            </w:pPr>
            <w:r>
              <w:rPr>
                <w:rFonts w:hint="eastAsia" w:ascii="宋体" w:hAnsi="宋体" w:cs="宋体"/>
                <w:color w:val="auto"/>
              </w:rPr>
              <w:t>联系人：欧阳老师（招标中心）</w:t>
            </w:r>
          </w:p>
          <w:p w14:paraId="1AD077EF">
            <w:pPr>
              <w:spacing w:line="276" w:lineRule="auto"/>
              <w:rPr>
                <w:rFonts w:ascii="宋体" w:hAnsi="宋体" w:cs="宋体"/>
                <w:color w:val="auto"/>
              </w:rPr>
            </w:pPr>
            <w:r>
              <w:rPr>
                <w:rFonts w:hint="eastAsia" w:ascii="宋体" w:hAnsi="宋体" w:cs="宋体"/>
                <w:color w:val="auto"/>
              </w:rPr>
              <w:t>联系电话：</w:t>
            </w:r>
            <w:r>
              <w:rPr>
                <w:rFonts w:ascii="宋体" w:hAnsi="宋体" w:cs="宋体"/>
                <w:color w:val="auto"/>
              </w:rPr>
              <w:t>0731-89752080</w:t>
            </w:r>
          </w:p>
        </w:tc>
      </w:tr>
      <w:tr w14:paraId="28FB0AF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732" w:hRule="atLeast"/>
        </w:trPr>
        <w:tc>
          <w:tcPr>
            <w:tcW w:w="1560" w:type="dxa"/>
            <w:vMerge w:val="continue"/>
            <w:vAlign w:val="center"/>
          </w:tcPr>
          <w:p w14:paraId="6D856264">
            <w:pPr>
              <w:adjustRightInd w:val="0"/>
              <w:snapToGrid w:val="0"/>
              <w:spacing w:line="276" w:lineRule="auto"/>
              <w:jc w:val="center"/>
              <w:rPr>
                <w:rFonts w:asciiTheme="minorEastAsia" w:hAnsiTheme="minorEastAsia" w:eastAsiaTheme="minorEastAsia"/>
                <w:color w:val="auto"/>
                <w:szCs w:val="21"/>
              </w:rPr>
            </w:pPr>
          </w:p>
        </w:tc>
        <w:tc>
          <w:tcPr>
            <w:tcW w:w="2268" w:type="dxa"/>
            <w:vMerge w:val="continue"/>
            <w:vAlign w:val="center"/>
          </w:tcPr>
          <w:p w14:paraId="311C9A81">
            <w:pPr>
              <w:adjustRightInd w:val="0"/>
              <w:snapToGrid w:val="0"/>
              <w:spacing w:line="276" w:lineRule="auto"/>
              <w:jc w:val="left"/>
              <w:rPr>
                <w:rFonts w:asciiTheme="minorEastAsia" w:hAnsiTheme="minorEastAsia" w:eastAsiaTheme="minorEastAsia"/>
                <w:color w:val="auto"/>
                <w:szCs w:val="21"/>
              </w:rPr>
            </w:pPr>
          </w:p>
        </w:tc>
        <w:tc>
          <w:tcPr>
            <w:tcW w:w="5103" w:type="dxa"/>
            <w:tcBorders>
              <w:top w:val="single" w:color="auto" w:sz="4" w:space="0"/>
            </w:tcBorders>
            <w:vAlign w:val="center"/>
          </w:tcPr>
          <w:p w14:paraId="31600A3A">
            <w:pPr>
              <w:spacing w:line="276" w:lineRule="auto"/>
              <w:rPr>
                <w:rFonts w:ascii="宋体" w:hAnsi="宋体" w:cs="宋体"/>
                <w:color w:val="auto"/>
              </w:rPr>
            </w:pPr>
            <w:r>
              <w:rPr>
                <w:rFonts w:hint="eastAsia" w:ascii="宋体" w:hAnsi="宋体" w:cs="宋体"/>
                <w:color w:val="auto"/>
              </w:rPr>
              <w:t>采购代理机构</w:t>
            </w:r>
            <w:r>
              <w:rPr>
                <w:rFonts w:ascii="宋体" w:hAnsi="宋体" w:cs="宋体"/>
                <w:color w:val="auto"/>
              </w:rPr>
              <w:t>：</w:t>
            </w:r>
            <w:r>
              <w:rPr>
                <w:rFonts w:hint="eastAsia" w:ascii="宋体" w:hAnsi="宋体" w:cs="宋体"/>
                <w:color w:val="auto"/>
              </w:rPr>
              <w:t>华新项目管理集团有限公司</w:t>
            </w:r>
            <w:r>
              <w:rPr>
                <w:rFonts w:ascii="宋体" w:hAnsi="宋体" w:cs="宋体"/>
                <w:color w:val="auto"/>
              </w:rPr>
              <w:t>政府采购部</w:t>
            </w:r>
          </w:p>
          <w:p w14:paraId="4C7511DC">
            <w:pPr>
              <w:spacing w:line="276" w:lineRule="auto"/>
              <w:rPr>
                <w:rFonts w:ascii="宋体" w:hAnsi="宋体" w:cs="宋体"/>
                <w:color w:val="auto"/>
              </w:rPr>
            </w:pPr>
            <w:r>
              <w:rPr>
                <w:rFonts w:ascii="宋体" w:hAnsi="宋体" w:cs="宋体"/>
                <w:color w:val="auto"/>
              </w:rPr>
              <w:t>地址：</w:t>
            </w:r>
            <w:r>
              <w:rPr>
                <w:rFonts w:hint="eastAsia" w:ascii="宋体" w:hAnsi="宋体" w:cs="宋体"/>
                <w:color w:val="auto"/>
                <w:szCs w:val="21"/>
              </w:rPr>
              <w:t>长沙市天心区保利国际广场B3栋1801-1805室</w:t>
            </w:r>
          </w:p>
          <w:p w14:paraId="423B0701">
            <w:pPr>
              <w:spacing w:line="276" w:lineRule="auto"/>
              <w:rPr>
                <w:rFonts w:ascii="宋体" w:hAnsi="宋体" w:cs="宋体"/>
                <w:color w:val="auto"/>
              </w:rPr>
            </w:pPr>
            <w:r>
              <w:rPr>
                <w:rFonts w:ascii="宋体" w:hAnsi="宋体" w:cs="宋体"/>
                <w:color w:val="auto"/>
              </w:rPr>
              <w:t>电话：</w:t>
            </w:r>
            <w:r>
              <w:rPr>
                <w:rFonts w:hint="eastAsia" w:ascii="宋体" w:hAnsi="宋体" w:cs="宋体"/>
                <w:color w:val="auto"/>
              </w:rPr>
              <w:t>0731-85163777</w:t>
            </w:r>
          </w:p>
          <w:p w14:paraId="6D888249">
            <w:pPr>
              <w:adjustRightInd w:val="0"/>
              <w:snapToGrid w:val="0"/>
              <w:spacing w:line="276" w:lineRule="auto"/>
              <w:rPr>
                <w:rFonts w:ascii="宋体" w:hAnsi="宋体" w:cs="宋体"/>
                <w:color w:val="auto"/>
              </w:rPr>
            </w:pPr>
            <w:r>
              <w:rPr>
                <w:rFonts w:ascii="宋体" w:hAnsi="宋体" w:cs="宋体"/>
                <w:color w:val="auto"/>
              </w:rPr>
              <w:t>联系人：</w:t>
            </w:r>
            <w:r>
              <w:rPr>
                <w:rFonts w:hint="eastAsia" w:ascii="宋体" w:hAnsi="宋体" w:cs="宋体"/>
                <w:color w:val="auto"/>
                <w:szCs w:val="21"/>
              </w:rPr>
              <w:t>张灵敏、罗婷、王玥、粟瑀</w:t>
            </w:r>
          </w:p>
        </w:tc>
      </w:tr>
      <w:tr w14:paraId="49FE2B5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931" w:type="dxa"/>
            <w:gridSpan w:val="3"/>
            <w:vAlign w:val="center"/>
          </w:tcPr>
          <w:p w14:paraId="41E003CA">
            <w:pPr>
              <w:adjustRightInd w:val="0"/>
              <w:snapToGrid w:val="0"/>
              <w:spacing w:line="276" w:lineRule="auto"/>
              <w:rPr>
                <w:rFonts w:asciiTheme="minorEastAsia" w:hAnsiTheme="minorEastAsia" w:eastAsiaTheme="minorEastAsia"/>
                <w:color w:val="auto"/>
                <w:szCs w:val="21"/>
              </w:rPr>
            </w:pPr>
            <w:r>
              <w:rPr>
                <w:rFonts w:hint="eastAsia" w:asciiTheme="minorEastAsia" w:hAnsiTheme="minorEastAsia" w:eastAsiaTheme="minorEastAsia"/>
                <w:b/>
                <w:color w:val="auto"/>
                <w:szCs w:val="21"/>
              </w:rPr>
              <w:t>七、合同签订</w:t>
            </w:r>
          </w:p>
        </w:tc>
      </w:tr>
      <w:tr w14:paraId="5339AED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14:paraId="36D22D22">
            <w:pPr>
              <w:adjustRightInd w:val="0"/>
              <w:snapToGrid w:val="0"/>
              <w:spacing w:line="276"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第32.1</w:t>
            </w:r>
            <w:r>
              <w:rPr>
                <w:rFonts w:hint="eastAsia" w:cs="宋体" w:asciiTheme="minorEastAsia" w:hAnsiTheme="minorEastAsia" w:eastAsiaTheme="minorEastAsia"/>
                <w:color w:val="auto"/>
                <w:kern w:val="0"/>
                <w:szCs w:val="21"/>
                <w:lang w:val="zh-CN"/>
              </w:rPr>
              <w:t>款</w:t>
            </w:r>
          </w:p>
        </w:tc>
        <w:tc>
          <w:tcPr>
            <w:tcW w:w="2268" w:type="dxa"/>
            <w:vAlign w:val="center"/>
          </w:tcPr>
          <w:p w14:paraId="381A3A7B">
            <w:pPr>
              <w:adjustRightInd w:val="0"/>
              <w:snapToGrid w:val="0"/>
              <w:spacing w:line="276" w:lineRule="auto"/>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履约担保</w:t>
            </w:r>
          </w:p>
        </w:tc>
        <w:tc>
          <w:tcPr>
            <w:tcW w:w="5103" w:type="dxa"/>
            <w:vAlign w:val="center"/>
          </w:tcPr>
          <w:p w14:paraId="61426550">
            <w:pPr>
              <w:adjustRightInd w:val="0"/>
              <w:snapToGrid w:val="0"/>
              <w:spacing w:line="360" w:lineRule="auto"/>
              <w:rPr>
                <w:rFonts w:ascii="宋体" w:hAnsi="宋体" w:cs="宋体"/>
                <w:color w:val="auto"/>
              </w:rPr>
            </w:pPr>
            <w:r>
              <w:rPr>
                <w:rFonts w:ascii="宋体" w:hAnsi="宋体" w:cs="宋体"/>
                <w:color w:val="auto"/>
              </w:rPr>
              <w:t>■需要</w:t>
            </w:r>
          </w:p>
          <w:p w14:paraId="4B3585BA">
            <w:pPr>
              <w:adjustRightInd w:val="0"/>
              <w:snapToGrid w:val="0"/>
              <w:spacing w:line="360" w:lineRule="auto"/>
              <w:rPr>
                <w:rFonts w:ascii="宋体" w:hAnsi="宋体" w:cs="宋体"/>
                <w:color w:val="auto"/>
              </w:rPr>
            </w:pPr>
            <w:r>
              <w:rPr>
                <w:rFonts w:ascii="宋体" w:hAnsi="宋体" w:cs="宋体"/>
                <w:color w:val="auto"/>
              </w:rPr>
              <w:t>□不需要</w:t>
            </w:r>
          </w:p>
          <w:p w14:paraId="5F581E57">
            <w:pPr>
              <w:spacing w:line="276" w:lineRule="auto"/>
              <w:rPr>
                <w:rFonts w:ascii="宋体" w:hAnsi="宋体" w:cs="宋体"/>
                <w:color w:val="auto"/>
              </w:rPr>
            </w:pPr>
            <w:r>
              <w:rPr>
                <w:rFonts w:hint="eastAsia" w:ascii="宋体" w:hAnsi="宋体" w:cs="宋体"/>
                <w:color w:val="auto"/>
              </w:rPr>
              <w:t>履约保证金：乙方领取中标通知书后签订合同前，向甲方缴纳成交总金额10%的履约保证金，合同期满后无质量问题和法律纠纷一次性全额无息退还。</w:t>
            </w:r>
          </w:p>
          <w:p w14:paraId="5290CD6A">
            <w:pPr>
              <w:spacing w:line="276" w:lineRule="auto"/>
              <w:rPr>
                <w:rFonts w:ascii="宋体" w:hAnsi="宋体" w:cs="宋体"/>
                <w:color w:val="auto"/>
              </w:rPr>
            </w:pPr>
            <w:r>
              <w:rPr>
                <w:rFonts w:hint="eastAsia" w:ascii="宋体" w:hAnsi="宋体" w:cs="宋体"/>
                <w:color w:val="auto"/>
              </w:rPr>
              <w:t>缴纳时间：供应商领取中标通知书后，按中标通知书上确定金额，在合同签订前向采购人足额缴纳。</w:t>
            </w:r>
          </w:p>
          <w:p w14:paraId="1825453C">
            <w:pPr>
              <w:spacing w:line="276" w:lineRule="auto"/>
              <w:rPr>
                <w:rFonts w:ascii="宋体" w:hAnsi="宋体" w:cs="宋体"/>
                <w:color w:val="auto"/>
              </w:rPr>
            </w:pPr>
            <w:r>
              <w:rPr>
                <w:rFonts w:hint="eastAsia" w:ascii="宋体" w:hAnsi="宋体" w:cs="宋体"/>
                <w:color w:val="auto"/>
              </w:rPr>
              <w:t>缴纳方式：  ☑转账   ☑银行保函</w:t>
            </w:r>
          </w:p>
          <w:p w14:paraId="68DDCD96">
            <w:pPr>
              <w:spacing w:line="276" w:lineRule="auto"/>
              <w:rPr>
                <w:rFonts w:ascii="宋体" w:hAnsi="宋体" w:cs="宋体"/>
                <w:color w:val="auto"/>
              </w:rPr>
            </w:pPr>
            <w:r>
              <w:rPr>
                <w:rFonts w:hint="eastAsia" w:ascii="宋体" w:hAnsi="宋体" w:cs="宋体"/>
                <w:color w:val="auto"/>
              </w:rPr>
              <w:t>户    名：中南大学湘雅医院</w:t>
            </w:r>
          </w:p>
          <w:p w14:paraId="2024D593">
            <w:pPr>
              <w:spacing w:line="276" w:lineRule="auto"/>
              <w:rPr>
                <w:rFonts w:ascii="宋体" w:hAnsi="宋体" w:cs="宋体"/>
                <w:color w:val="auto"/>
              </w:rPr>
            </w:pPr>
            <w:r>
              <w:rPr>
                <w:rFonts w:hint="eastAsia" w:ascii="宋体" w:hAnsi="宋体" w:cs="宋体"/>
                <w:color w:val="auto"/>
              </w:rPr>
              <w:t>开户银行：中国银行长沙市湘雅支行</w:t>
            </w:r>
          </w:p>
          <w:p w14:paraId="40223953">
            <w:pPr>
              <w:spacing w:line="276" w:lineRule="auto"/>
              <w:rPr>
                <w:rFonts w:ascii="宋体" w:hAnsi="宋体" w:cs="宋体"/>
                <w:color w:val="auto"/>
              </w:rPr>
            </w:pPr>
            <w:r>
              <w:rPr>
                <w:rFonts w:hint="eastAsia" w:ascii="宋体" w:hAnsi="宋体" w:cs="宋体"/>
                <w:color w:val="auto"/>
              </w:rPr>
              <w:t>银行账号：601557349900</w:t>
            </w:r>
          </w:p>
          <w:p w14:paraId="7BFE0595">
            <w:pPr>
              <w:spacing w:line="276" w:lineRule="auto"/>
              <w:rPr>
                <w:rFonts w:ascii="宋体" w:hAnsi="宋体" w:cs="宋体"/>
                <w:color w:val="auto"/>
              </w:rPr>
            </w:pPr>
            <w:r>
              <w:rPr>
                <w:rFonts w:hint="eastAsia" w:ascii="宋体" w:hAnsi="宋体" w:cs="宋体"/>
                <w:color w:val="auto"/>
              </w:rPr>
              <w:t>银行保函缴纳与开具收据地点：中南大学湘雅医院财务部225办公室</w:t>
            </w:r>
          </w:p>
          <w:p w14:paraId="5B291C90">
            <w:pPr>
              <w:spacing w:line="276" w:lineRule="auto"/>
              <w:rPr>
                <w:rFonts w:asciiTheme="minorEastAsia" w:hAnsiTheme="minorEastAsia" w:eastAsiaTheme="minorEastAsia"/>
                <w:color w:val="auto"/>
                <w:szCs w:val="21"/>
              </w:rPr>
            </w:pPr>
            <w:r>
              <w:rPr>
                <w:rFonts w:hint="eastAsia" w:ascii="宋体" w:hAnsi="宋体" w:cs="宋体"/>
                <w:color w:val="auto"/>
              </w:rPr>
              <w:t>履约保证金不予退还的情形：供应商不履行合同约定，致使合同无法执行的，履约保证金不予退还。</w:t>
            </w:r>
          </w:p>
        </w:tc>
      </w:tr>
      <w:tr w14:paraId="5EE08A5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931" w:type="dxa"/>
            <w:gridSpan w:val="3"/>
            <w:vAlign w:val="center"/>
          </w:tcPr>
          <w:p w14:paraId="66F4F825">
            <w:pPr>
              <w:adjustRightInd w:val="0"/>
              <w:snapToGrid w:val="0"/>
              <w:spacing w:line="276" w:lineRule="auto"/>
              <w:rPr>
                <w:rFonts w:asciiTheme="minorEastAsia" w:hAnsiTheme="minorEastAsia" w:eastAsiaTheme="minorEastAsia"/>
                <w:b/>
                <w:color w:val="auto"/>
                <w:szCs w:val="21"/>
              </w:rPr>
            </w:pPr>
            <w:r>
              <w:rPr>
                <w:rFonts w:hint="eastAsia" w:asciiTheme="minorEastAsia" w:hAnsiTheme="minorEastAsia" w:eastAsiaTheme="minorEastAsia"/>
                <w:b/>
                <w:color w:val="auto"/>
                <w:szCs w:val="21"/>
              </w:rPr>
              <w:t>八、政府采购政策</w:t>
            </w:r>
          </w:p>
        </w:tc>
      </w:tr>
      <w:tr w14:paraId="6C86DD1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14:paraId="67272E53">
            <w:pPr>
              <w:adjustRightInd w:val="0"/>
              <w:snapToGrid w:val="0"/>
              <w:spacing w:line="276"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第40.3（1）项</w:t>
            </w:r>
          </w:p>
        </w:tc>
        <w:tc>
          <w:tcPr>
            <w:tcW w:w="2268" w:type="dxa"/>
            <w:vAlign w:val="center"/>
          </w:tcPr>
          <w:p w14:paraId="65290B61">
            <w:pPr>
              <w:adjustRightInd w:val="0"/>
              <w:snapToGrid w:val="0"/>
              <w:spacing w:line="276" w:lineRule="auto"/>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采购标的对应的中小企业划分标准所属行业</w:t>
            </w:r>
          </w:p>
        </w:tc>
        <w:tc>
          <w:tcPr>
            <w:tcW w:w="5103" w:type="dxa"/>
            <w:vAlign w:val="center"/>
          </w:tcPr>
          <w:p w14:paraId="72A67149">
            <w:pPr>
              <w:adjustRightInd w:val="0"/>
              <w:snapToGrid w:val="0"/>
              <w:spacing w:line="276" w:lineRule="auto"/>
              <w:rPr>
                <w:rFonts w:asciiTheme="minorEastAsia" w:hAnsiTheme="minorEastAsia" w:eastAsiaTheme="minorEastAsia"/>
                <w:color w:val="auto"/>
                <w:szCs w:val="21"/>
              </w:rPr>
            </w:pPr>
            <w:r>
              <w:rPr>
                <w:rFonts w:hint="eastAsia" w:asciiTheme="minorEastAsia" w:hAnsiTheme="minorEastAsia"/>
                <w:color w:val="auto"/>
              </w:rPr>
              <w:t>按“关于印发中小企业划型标准规定的通知【工信部联企业〔2011〕300号】”执行，</w:t>
            </w:r>
            <w:r>
              <w:rPr>
                <w:rFonts w:hint="eastAsia" w:asciiTheme="minorEastAsia" w:hAnsiTheme="minorEastAsia" w:eastAsiaTheme="minorEastAsia"/>
                <w:color w:val="auto"/>
                <w:szCs w:val="21"/>
              </w:rPr>
              <w:t>本项目中小企业划分标准所属行业为：</w:t>
            </w:r>
            <w:r>
              <w:rPr>
                <w:rFonts w:hint="eastAsia" w:asciiTheme="minorEastAsia" w:hAnsiTheme="minorEastAsia" w:eastAsiaTheme="minorEastAsia"/>
                <w:b/>
                <w:color w:val="auto"/>
                <w:szCs w:val="21"/>
              </w:rPr>
              <w:t>（二）</w:t>
            </w:r>
          </w:p>
          <w:p w14:paraId="7654F0AE">
            <w:pPr>
              <w:adjustRightInd w:val="0"/>
              <w:snapToGrid w:val="0"/>
              <w:rPr>
                <w:rFonts w:asciiTheme="minorEastAsia" w:hAnsiTheme="minorEastAsia" w:eastAsiaTheme="minorEastAsia"/>
                <w:color w:val="auto"/>
                <w:szCs w:val="21"/>
              </w:rPr>
            </w:pPr>
            <w:r>
              <w:rPr>
                <w:rFonts w:hint="eastAsia" w:asciiTheme="minorEastAsia" w:hAnsiTheme="minorEastAsia" w:eastAsiaTheme="minorEastAsia"/>
                <w:color w:val="auto"/>
                <w:szCs w:val="21"/>
              </w:rPr>
              <w:t>（一）农、林、牧、渔业</w:t>
            </w:r>
          </w:p>
          <w:p w14:paraId="33A24A75">
            <w:pPr>
              <w:adjustRightInd w:val="0"/>
              <w:snapToGrid w:val="0"/>
              <w:rPr>
                <w:rFonts w:asciiTheme="minorEastAsia" w:hAnsiTheme="minorEastAsia" w:eastAsiaTheme="minorEastAsia"/>
                <w:b/>
                <w:color w:val="auto"/>
                <w:szCs w:val="21"/>
              </w:rPr>
            </w:pPr>
            <w:r>
              <w:rPr>
                <w:rFonts w:hint="eastAsia" w:asciiTheme="minorEastAsia" w:hAnsiTheme="minorEastAsia" w:eastAsiaTheme="minorEastAsia"/>
                <w:b/>
                <w:color w:val="auto"/>
                <w:szCs w:val="21"/>
              </w:rPr>
              <w:t>（二）工业</w:t>
            </w:r>
          </w:p>
          <w:p w14:paraId="740F3F18">
            <w:pPr>
              <w:adjustRightInd w:val="0"/>
              <w:snapToGrid w:val="0"/>
              <w:rPr>
                <w:rFonts w:asciiTheme="minorEastAsia" w:hAnsiTheme="minorEastAsia" w:eastAsiaTheme="minorEastAsia"/>
                <w:color w:val="auto"/>
                <w:szCs w:val="21"/>
              </w:rPr>
            </w:pPr>
            <w:r>
              <w:rPr>
                <w:rFonts w:hint="eastAsia" w:asciiTheme="minorEastAsia" w:hAnsiTheme="minorEastAsia" w:eastAsiaTheme="minorEastAsia"/>
                <w:color w:val="auto"/>
                <w:szCs w:val="21"/>
              </w:rPr>
              <w:t>（三）建筑业</w:t>
            </w:r>
          </w:p>
          <w:p w14:paraId="07F47EB2">
            <w:pPr>
              <w:adjustRightInd w:val="0"/>
              <w:snapToGrid w:val="0"/>
              <w:rPr>
                <w:rFonts w:asciiTheme="minorEastAsia" w:hAnsiTheme="minorEastAsia" w:eastAsiaTheme="minorEastAsia"/>
                <w:color w:val="auto"/>
                <w:szCs w:val="21"/>
              </w:rPr>
            </w:pPr>
            <w:r>
              <w:rPr>
                <w:rFonts w:hint="eastAsia" w:asciiTheme="minorEastAsia" w:hAnsiTheme="minorEastAsia" w:eastAsiaTheme="minorEastAsia"/>
                <w:color w:val="auto"/>
                <w:szCs w:val="21"/>
              </w:rPr>
              <w:t>（四）批发业</w:t>
            </w:r>
          </w:p>
          <w:p w14:paraId="49AD399F">
            <w:pPr>
              <w:adjustRightInd w:val="0"/>
              <w:snapToGrid w:val="0"/>
              <w:rPr>
                <w:rFonts w:asciiTheme="minorEastAsia" w:hAnsiTheme="minorEastAsia" w:eastAsiaTheme="minorEastAsia"/>
                <w:color w:val="auto"/>
                <w:szCs w:val="21"/>
              </w:rPr>
            </w:pPr>
            <w:r>
              <w:rPr>
                <w:rFonts w:hint="eastAsia" w:asciiTheme="minorEastAsia" w:hAnsiTheme="minorEastAsia" w:eastAsiaTheme="minorEastAsia"/>
                <w:color w:val="auto"/>
                <w:szCs w:val="21"/>
              </w:rPr>
              <w:t>（五）零售业</w:t>
            </w:r>
          </w:p>
          <w:p w14:paraId="15886321">
            <w:pPr>
              <w:adjustRightInd w:val="0"/>
              <w:snapToGrid w:val="0"/>
              <w:rPr>
                <w:rFonts w:asciiTheme="minorEastAsia" w:hAnsiTheme="minorEastAsia" w:eastAsiaTheme="minorEastAsia"/>
                <w:color w:val="auto"/>
                <w:szCs w:val="21"/>
              </w:rPr>
            </w:pPr>
            <w:r>
              <w:rPr>
                <w:rFonts w:hint="eastAsia" w:asciiTheme="minorEastAsia" w:hAnsiTheme="minorEastAsia" w:eastAsiaTheme="minorEastAsia"/>
                <w:color w:val="auto"/>
                <w:szCs w:val="21"/>
              </w:rPr>
              <w:t>（六）交通运输业</w:t>
            </w:r>
          </w:p>
          <w:p w14:paraId="2C4F9EB7">
            <w:pPr>
              <w:adjustRightInd w:val="0"/>
              <w:snapToGrid w:val="0"/>
              <w:rPr>
                <w:rFonts w:asciiTheme="minorEastAsia" w:hAnsiTheme="minorEastAsia" w:eastAsiaTheme="minorEastAsia"/>
                <w:color w:val="auto"/>
                <w:szCs w:val="21"/>
              </w:rPr>
            </w:pPr>
            <w:r>
              <w:rPr>
                <w:rFonts w:hint="eastAsia" w:asciiTheme="minorEastAsia" w:hAnsiTheme="minorEastAsia" w:eastAsiaTheme="minorEastAsia"/>
                <w:color w:val="auto"/>
                <w:szCs w:val="21"/>
              </w:rPr>
              <w:t>（七）仓储业</w:t>
            </w:r>
          </w:p>
          <w:p w14:paraId="05888F07">
            <w:pPr>
              <w:adjustRightInd w:val="0"/>
              <w:snapToGrid w:val="0"/>
              <w:rPr>
                <w:rFonts w:asciiTheme="minorEastAsia" w:hAnsiTheme="minorEastAsia" w:eastAsiaTheme="minorEastAsia"/>
                <w:color w:val="auto"/>
                <w:szCs w:val="21"/>
              </w:rPr>
            </w:pPr>
            <w:r>
              <w:rPr>
                <w:rFonts w:hint="eastAsia" w:asciiTheme="minorEastAsia" w:hAnsiTheme="minorEastAsia" w:eastAsiaTheme="minorEastAsia"/>
                <w:color w:val="auto"/>
                <w:szCs w:val="21"/>
              </w:rPr>
              <w:t>（八）邮政业</w:t>
            </w:r>
          </w:p>
          <w:p w14:paraId="62E3AA07">
            <w:pPr>
              <w:adjustRightInd w:val="0"/>
              <w:snapToGrid w:val="0"/>
              <w:rPr>
                <w:rFonts w:asciiTheme="minorEastAsia" w:hAnsiTheme="minorEastAsia" w:eastAsiaTheme="minorEastAsia"/>
                <w:color w:val="auto"/>
                <w:szCs w:val="21"/>
              </w:rPr>
            </w:pPr>
            <w:r>
              <w:rPr>
                <w:rFonts w:hint="eastAsia" w:asciiTheme="minorEastAsia" w:hAnsiTheme="minorEastAsia" w:eastAsiaTheme="minorEastAsia"/>
                <w:color w:val="auto"/>
                <w:szCs w:val="21"/>
              </w:rPr>
              <w:t>（九）住宿业</w:t>
            </w:r>
          </w:p>
          <w:p w14:paraId="52FEA802">
            <w:pPr>
              <w:adjustRightInd w:val="0"/>
              <w:snapToGrid w:val="0"/>
              <w:rPr>
                <w:rFonts w:asciiTheme="minorEastAsia" w:hAnsiTheme="minorEastAsia" w:eastAsiaTheme="minorEastAsia"/>
                <w:color w:val="auto"/>
                <w:szCs w:val="21"/>
              </w:rPr>
            </w:pPr>
            <w:r>
              <w:rPr>
                <w:rFonts w:hint="eastAsia" w:asciiTheme="minorEastAsia" w:hAnsiTheme="minorEastAsia" w:eastAsiaTheme="minorEastAsia"/>
                <w:color w:val="auto"/>
                <w:szCs w:val="21"/>
              </w:rPr>
              <w:t>（十）餐饮业</w:t>
            </w:r>
          </w:p>
          <w:p w14:paraId="0E8029EC">
            <w:pPr>
              <w:adjustRightInd w:val="0"/>
              <w:snapToGrid w:val="0"/>
              <w:rPr>
                <w:rFonts w:asciiTheme="minorEastAsia" w:hAnsiTheme="minorEastAsia" w:eastAsiaTheme="minorEastAsia"/>
                <w:color w:val="auto"/>
                <w:szCs w:val="21"/>
              </w:rPr>
            </w:pPr>
            <w:r>
              <w:rPr>
                <w:rFonts w:hint="eastAsia" w:asciiTheme="minorEastAsia" w:hAnsiTheme="minorEastAsia" w:eastAsiaTheme="minorEastAsia"/>
                <w:color w:val="auto"/>
                <w:szCs w:val="21"/>
              </w:rPr>
              <w:t>（十一）信息传输业</w:t>
            </w:r>
          </w:p>
          <w:p w14:paraId="65D50A5D">
            <w:pPr>
              <w:adjustRightInd w:val="0"/>
              <w:snapToGrid w:val="0"/>
              <w:rPr>
                <w:rFonts w:asciiTheme="minorEastAsia" w:hAnsiTheme="minorEastAsia" w:eastAsiaTheme="minorEastAsia"/>
                <w:color w:val="auto"/>
                <w:szCs w:val="21"/>
              </w:rPr>
            </w:pPr>
            <w:r>
              <w:rPr>
                <w:rFonts w:hint="eastAsia" w:asciiTheme="minorEastAsia" w:hAnsiTheme="minorEastAsia" w:eastAsiaTheme="minorEastAsia"/>
                <w:color w:val="auto"/>
                <w:szCs w:val="21"/>
              </w:rPr>
              <w:t>（十二）软件和信息技术服务业</w:t>
            </w:r>
          </w:p>
          <w:p w14:paraId="38FB8480">
            <w:pPr>
              <w:adjustRightInd w:val="0"/>
              <w:snapToGrid w:val="0"/>
              <w:rPr>
                <w:rFonts w:asciiTheme="minorEastAsia" w:hAnsiTheme="minorEastAsia" w:eastAsiaTheme="minorEastAsia"/>
                <w:color w:val="auto"/>
                <w:szCs w:val="21"/>
              </w:rPr>
            </w:pPr>
            <w:r>
              <w:rPr>
                <w:rFonts w:hint="eastAsia" w:asciiTheme="minorEastAsia" w:hAnsiTheme="minorEastAsia" w:eastAsiaTheme="minorEastAsia"/>
                <w:color w:val="auto"/>
                <w:szCs w:val="21"/>
              </w:rPr>
              <w:t>（十三）房地产开发经营</w:t>
            </w:r>
          </w:p>
          <w:p w14:paraId="2416FFDD">
            <w:pPr>
              <w:adjustRightInd w:val="0"/>
              <w:snapToGrid w:val="0"/>
              <w:rPr>
                <w:rFonts w:asciiTheme="minorEastAsia" w:hAnsiTheme="minorEastAsia" w:eastAsiaTheme="minorEastAsia"/>
                <w:color w:val="auto"/>
                <w:szCs w:val="21"/>
              </w:rPr>
            </w:pPr>
            <w:r>
              <w:rPr>
                <w:rFonts w:hint="eastAsia" w:asciiTheme="minorEastAsia" w:hAnsiTheme="minorEastAsia" w:eastAsiaTheme="minorEastAsia"/>
                <w:color w:val="auto"/>
                <w:szCs w:val="21"/>
              </w:rPr>
              <w:t>（十四）物业管理</w:t>
            </w:r>
          </w:p>
          <w:p w14:paraId="21628134">
            <w:pPr>
              <w:adjustRightInd w:val="0"/>
              <w:snapToGrid w:val="0"/>
              <w:rPr>
                <w:rFonts w:asciiTheme="minorEastAsia" w:hAnsiTheme="minorEastAsia" w:eastAsiaTheme="minorEastAsia"/>
                <w:color w:val="auto"/>
                <w:szCs w:val="21"/>
              </w:rPr>
            </w:pPr>
            <w:r>
              <w:rPr>
                <w:rFonts w:hint="eastAsia" w:asciiTheme="minorEastAsia" w:hAnsiTheme="minorEastAsia" w:eastAsiaTheme="minorEastAsia"/>
                <w:color w:val="auto"/>
                <w:szCs w:val="21"/>
              </w:rPr>
              <w:t>（十五）租赁和商务服务业</w:t>
            </w:r>
          </w:p>
          <w:p w14:paraId="5B03590B">
            <w:pPr>
              <w:adjustRightInd w:val="0"/>
              <w:snapToGrid w:val="0"/>
              <w:spacing w:line="276" w:lineRule="auto"/>
              <w:rPr>
                <w:rFonts w:asciiTheme="minorEastAsia" w:hAnsiTheme="minorEastAsia"/>
                <w:color w:val="auto"/>
              </w:rPr>
            </w:pPr>
            <w:r>
              <w:rPr>
                <w:rFonts w:hint="eastAsia" w:asciiTheme="minorEastAsia" w:hAnsiTheme="minorEastAsia" w:eastAsiaTheme="minorEastAsia"/>
                <w:color w:val="auto"/>
                <w:szCs w:val="21"/>
              </w:rPr>
              <w:t>（十六）其他未列明行业</w:t>
            </w:r>
          </w:p>
          <w:p w14:paraId="2A7BDAD5">
            <w:pPr>
              <w:adjustRightInd w:val="0"/>
              <w:snapToGrid w:val="0"/>
              <w:spacing w:line="276" w:lineRule="auto"/>
              <w:rPr>
                <w:rFonts w:asciiTheme="minorEastAsia" w:hAnsiTheme="minorEastAsia" w:eastAsiaTheme="minorEastAsia"/>
                <w:b/>
                <w:strike/>
                <w:color w:val="auto"/>
                <w:szCs w:val="21"/>
              </w:rPr>
            </w:pPr>
            <w:r>
              <w:rPr>
                <w:rFonts w:hint="eastAsia" w:asciiTheme="minorEastAsia" w:hAnsiTheme="minorEastAsia" w:eastAsiaTheme="minorEastAsia"/>
                <w:b/>
                <w:color w:val="auto"/>
                <w:szCs w:val="21"/>
              </w:rPr>
              <w:t>投标人自行登录工业和信息化部官网进行中小企业规模类型自测（查询网址https://www.miit.gov.cn/）</w:t>
            </w:r>
          </w:p>
        </w:tc>
      </w:tr>
      <w:tr w14:paraId="2FFC798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14:paraId="0CDBBE27">
            <w:pPr>
              <w:adjustRightInd w:val="0"/>
              <w:snapToGrid w:val="0"/>
              <w:spacing w:line="276"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第41.1</w:t>
            </w:r>
            <w:r>
              <w:rPr>
                <w:rFonts w:hint="eastAsia" w:cs="宋体" w:asciiTheme="minorEastAsia" w:hAnsiTheme="minorEastAsia" w:eastAsiaTheme="minorEastAsia"/>
                <w:color w:val="auto"/>
                <w:kern w:val="0"/>
                <w:szCs w:val="21"/>
                <w:lang w:val="zh-CN"/>
              </w:rPr>
              <w:t>款</w:t>
            </w:r>
          </w:p>
        </w:tc>
        <w:tc>
          <w:tcPr>
            <w:tcW w:w="2268" w:type="dxa"/>
            <w:vAlign w:val="center"/>
          </w:tcPr>
          <w:p w14:paraId="651AA413">
            <w:pPr>
              <w:adjustRightInd w:val="0"/>
              <w:snapToGrid w:val="0"/>
              <w:spacing w:line="276" w:lineRule="auto"/>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进口产品</w:t>
            </w:r>
          </w:p>
        </w:tc>
        <w:tc>
          <w:tcPr>
            <w:tcW w:w="5103" w:type="dxa"/>
            <w:vAlign w:val="center"/>
          </w:tcPr>
          <w:p w14:paraId="4A1558CC">
            <w:pPr>
              <w:adjustRightInd w:val="0"/>
              <w:snapToGrid w:val="0"/>
              <w:spacing w:line="276" w:lineRule="auto"/>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见</w:t>
            </w:r>
            <w:r>
              <w:rPr>
                <w:rFonts w:asciiTheme="minorEastAsia" w:hAnsiTheme="minorEastAsia" w:eastAsiaTheme="minorEastAsia"/>
                <w:color w:val="auto"/>
                <w:szCs w:val="21"/>
              </w:rPr>
              <w:t>“</w:t>
            </w:r>
            <w:r>
              <w:rPr>
                <w:rFonts w:hint="eastAsia" w:asciiTheme="minorEastAsia" w:hAnsiTheme="minorEastAsia" w:eastAsiaTheme="minorEastAsia"/>
                <w:color w:val="auto"/>
                <w:szCs w:val="21"/>
              </w:rPr>
              <w:t>第一章 投标邀请</w:t>
            </w:r>
            <w:r>
              <w:rPr>
                <w:rFonts w:asciiTheme="minorEastAsia" w:hAnsiTheme="minorEastAsia" w:eastAsiaTheme="minorEastAsia"/>
                <w:color w:val="auto"/>
                <w:szCs w:val="21"/>
              </w:rPr>
              <w:t>”</w:t>
            </w:r>
          </w:p>
        </w:tc>
      </w:tr>
      <w:tr w14:paraId="394D8E2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931" w:type="dxa"/>
            <w:gridSpan w:val="3"/>
            <w:vAlign w:val="center"/>
          </w:tcPr>
          <w:p w14:paraId="03CF0DB5">
            <w:pPr>
              <w:adjustRightInd w:val="0"/>
              <w:snapToGrid w:val="0"/>
              <w:spacing w:line="276" w:lineRule="auto"/>
              <w:rPr>
                <w:rFonts w:asciiTheme="minorEastAsia" w:hAnsiTheme="minorEastAsia" w:eastAsiaTheme="minorEastAsia"/>
                <w:color w:val="auto"/>
                <w:szCs w:val="21"/>
              </w:rPr>
            </w:pPr>
            <w:r>
              <w:rPr>
                <w:rFonts w:hint="eastAsia" w:asciiTheme="minorEastAsia" w:hAnsiTheme="minorEastAsia" w:eastAsiaTheme="minorEastAsia"/>
                <w:b/>
                <w:color w:val="auto"/>
                <w:szCs w:val="21"/>
              </w:rPr>
              <w:t>九、其他规定</w:t>
            </w:r>
          </w:p>
        </w:tc>
      </w:tr>
      <w:tr w14:paraId="7548475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14:paraId="6F5441BE">
            <w:pPr>
              <w:adjustRightInd w:val="0"/>
              <w:snapToGrid w:val="0"/>
              <w:spacing w:line="276"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第43.1</w:t>
            </w:r>
            <w:r>
              <w:rPr>
                <w:rFonts w:hint="eastAsia" w:cs="宋体" w:asciiTheme="minorEastAsia" w:hAnsiTheme="minorEastAsia" w:eastAsiaTheme="minorEastAsia"/>
                <w:color w:val="auto"/>
                <w:kern w:val="0"/>
                <w:szCs w:val="21"/>
                <w:lang w:val="zh-CN"/>
              </w:rPr>
              <w:t>款</w:t>
            </w:r>
          </w:p>
        </w:tc>
        <w:tc>
          <w:tcPr>
            <w:tcW w:w="2268" w:type="dxa"/>
            <w:vAlign w:val="center"/>
          </w:tcPr>
          <w:p w14:paraId="0E6AF75C">
            <w:pPr>
              <w:adjustRightInd w:val="0"/>
              <w:snapToGrid w:val="0"/>
              <w:spacing w:line="276" w:lineRule="auto"/>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招标代理服务费</w:t>
            </w:r>
          </w:p>
        </w:tc>
        <w:tc>
          <w:tcPr>
            <w:tcW w:w="5103" w:type="dxa"/>
            <w:vAlign w:val="center"/>
          </w:tcPr>
          <w:p w14:paraId="38A0361A">
            <w:pPr>
              <w:adjustRightInd w:val="0"/>
              <w:snapToGrid w:val="0"/>
              <w:spacing w:line="276" w:lineRule="auto"/>
              <w:rPr>
                <w:rFonts w:asciiTheme="minorEastAsia" w:hAnsiTheme="minorEastAsia" w:eastAsiaTheme="minorEastAsia"/>
                <w:color w:val="auto"/>
                <w:szCs w:val="21"/>
              </w:rPr>
            </w:pPr>
            <w:r>
              <w:rPr>
                <w:rFonts w:hint="eastAsia" w:ascii="宋体" w:hAnsi="宋体" w:cs="宋体"/>
                <w:color w:val="auto"/>
              </w:rPr>
              <w:t>招标代理费</w:t>
            </w:r>
            <w:r>
              <w:rPr>
                <w:rFonts w:hint="eastAsia" w:ascii="宋体" w:hAnsi="宋体"/>
                <w:color w:val="auto"/>
                <w:szCs w:val="21"/>
              </w:rPr>
              <w:t>以中标通知书的总金额为取费基数，</w:t>
            </w:r>
            <w:r>
              <w:rPr>
                <w:rFonts w:hint="eastAsia" w:ascii="宋体" w:hAnsi="宋体" w:cs="宋体"/>
                <w:color w:val="auto"/>
              </w:rPr>
              <w:t>参照《招标代理服务收费管理暂行办法》（计价格[2002]1980号）规定收费标准下浮20</w:t>
            </w:r>
            <w:r>
              <w:rPr>
                <w:rFonts w:ascii="宋体" w:hAnsi="宋体" w:cs="宋体"/>
                <w:color w:val="auto"/>
              </w:rPr>
              <w:t>%</w:t>
            </w:r>
            <w:r>
              <w:rPr>
                <w:rFonts w:hint="eastAsia" w:ascii="宋体" w:hAnsi="宋体" w:cs="宋体"/>
                <w:color w:val="auto"/>
              </w:rPr>
              <w:t>向中标单位收取。在领取中标通知书前向采购代理机构缴纳。</w:t>
            </w:r>
          </w:p>
        </w:tc>
      </w:tr>
      <w:tr w14:paraId="7BC3A0F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14:paraId="70E55115">
            <w:pPr>
              <w:adjustRightInd w:val="0"/>
              <w:snapToGrid w:val="0"/>
              <w:spacing w:line="276"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第44.1</w:t>
            </w:r>
            <w:r>
              <w:rPr>
                <w:rFonts w:hint="eastAsia" w:cs="宋体" w:asciiTheme="minorEastAsia" w:hAnsiTheme="minorEastAsia" w:eastAsiaTheme="minorEastAsia"/>
                <w:color w:val="auto"/>
                <w:kern w:val="0"/>
                <w:szCs w:val="21"/>
                <w:lang w:val="zh-CN"/>
              </w:rPr>
              <w:t>款</w:t>
            </w:r>
          </w:p>
        </w:tc>
        <w:tc>
          <w:tcPr>
            <w:tcW w:w="2268" w:type="dxa"/>
            <w:vAlign w:val="center"/>
          </w:tcPr>
          <w:p w14:paraId="28647E4D">
            <w:pPr>
              <w:adjustRightInd w:val="0"/>
              <w:snapToGrid w:val="0"/>
              <w:spacing w:line="276" w:lineRule="auto"/>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投标人CA证书的办理</w:t>
            </w:r>
          </w:p>
        </w:tc>
        <w:tc>
          <w:tcPr>
            <w:tcW w:w="5103" w:type="dxa"/>
            <w:vAlign w:val="center"/>
          </w:tcPr>
          <w:p w14:paraId="324E2A90">
            <w:pPr>
              <w:spacing w:line="276" w:lineRule="auto"/>
              <w:rPr>
                <w:rFonts w:ascii="宋体" w:hAnsi="宋体" w:cs="宋体"/>
                <w:color w:val="auto"/>
              </w:rPr>
            </w:pPr>
            <w:r>
              <w:rPr>
                <w:rFonts w:hint="eastAsia" w:ascii="宋体" w:hAnsi="宋体" w:cs="宋体"/>
                <w:color w:val="auto"/>
              </w:rPr>
              <w:t>见</w:t>
            </w:r>
            <w:r>
              <w:rPr>
                <w:rFonts w:ascii="宋体" w:hAnsi="宋体" w:cs="宋体"/>
                <w:color w:val="auto"/>
              </w:rPr>
              <w:t>“</w:t>
            </w:r>
            <w:r>
              <w:rPr>
                <w:rFonts w:hint="eastAsia" w:ascii="宋体" w:hAnsi="宋体" w:cs="宋体"/>
                <w:color w:val="auto"/>
              </w:rPr>
              <w:t>第一章 投标邀请</w:t>
            </w:r>
            <w:r>
              <w:rPr>
                <w:rFonts w:ascii="宋体" w:hAnsi="宋体" w:cs="宋体"/>
                <w:color w:val="auto"/>
              </w:rPr>
              <w:t>”</w:t>
            </w:r>
          </w:p>
        </w:tc>
      </w:tr>
      <w:tr w14:paraId="5412718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14:paraId="1B021418">
            <w:pPr>
              <w:adjustRightInd w:val="0"/>
              <w:snapToGrid w:val="0"/>
              <w:spacing w:line="276"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第44.1</w:t>
            </w:r>
            <w:r>
              <w:rPr>
                <w:rFonts w:hint="eastAsia" w:cs="宋体" w:asciiTheme="minorEastAsia" w:hAnsiTheme="minorEastAsia" w:eastAsiaTheme="minorEastAsia"/>
                <w:color w:val="auto"/>
                <w:kern w:val="0"/>
                <w:szCs w:val="21"/>
                <w:lang w:val="zh-CN"/>
              </w:rPr>
              <w:t>款</w:t>
            </w:r>
          </w:p>
        </w:tc>
        <w:tc>
          <w:tcPr>
            <w:tcW w:w="2268" w:type="dxa"/>
            <w:vAlign w:val="center"/>
          </w:tcPr>
          <w:p w14:paraId="39C9AEC4">
            <w:pPr>
              <w:adjustRightInd w:val="0"/>
              <w:snapToGrid w:val="0"/>
              <w:spacing w:line="276" w:lineRule="auto"/>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关于投标人在线投标的具体说明</w:t>
            </w:r>
          </w:p>
        </w:tc>
        <w:tc>
          <w:tcPr>
            <w:tcW w:w="5103" w:type="dxa"/>
            <w:vAlign w:val="center"/>
          </w:tcPr>
          <w:p w14:paraId="09426B13">
            <w:pPr>
              <w:spacing w:line="276" w:lineRule="auto"/>
              <w:rPr>
                <w:rFonts w:ascii="宋体" w:hAnsi="宋体" w:cs="宋体"/>
                <w:color w:val="auto"/>
              </w:rPr>
            </w:pPr>
            <w:r>
              <w:rPr>
                <w:rFonts w:hint="eastAsia" w:ascii="宋体" w:hAnsi="宋体" w:cs="宋体"/>
                <w:color w:val="auto"/>
              </w:rPr>
              <w:t>见</w:t>
            </w:r>
            <w:r>
              <w:rPr>
                <w:rFonts w:ascii="宋体" w:hAnsi="宋体" w:cs="宋体"/>
                <w:color w:val="auto"/>
              </w:rPr>
              <w:t>“</w:t>
            </w:r>
            <w:r>
              <w:rPr>
                <w:rFonts w:hint="eastAsia" w:ascii="宋体" w:hAnsi="宋体" w:cs="宋体"/>
                <w:color w:val="auto"/>
              </w:rPr>
              <w:t>第一章 投标邀请</w:t>
            </w:r>
            <w:r>
              <w:rPr>
                <w:rFonts w:ascii="宋体" w:hAnsi="宋体" w:cs="宋体"/>
                <w:color w:val="auto"/>
              </w:rPr>
              <w:t>”</w:t>
            </w:r>
          </w:p>
        </w:tc>
      </w:tr>
      <w:tr w14:paraId="00B6FC2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14:paraId="6299EF4E">
            <w:pPr>
              <w:adjustRightInd w:val="0"/>
              <w:snapToGrid w:val="0"/>
              <w:spacing w:line="276"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第44.1</w:t>
            </w:r>
            <w:r>
              <w:rPr>
                <w:rFonts w:hint="eastAsia" w:cs="宋体" w:asciiTheme="minorEastAsia" w:hAnsiTheme="minorEastAsia" w:eastAsiaTheme="minorEastAsia"/>
                <w:color w:val="auto"/>
                <w:kern w:val="0"/>
                <w:szCs w:val="21"/>
                <w:lang w:val="zh-CN"/>
              </w:rPr>
              <w:t>款</w:t>
            </w:r>
          </w:p>
        </w:tc>
        <w:tc>
          <w:tcPr>
            <w:tcW w:w="2268" w:type="dxa"/>
            <w:vAlign w:val="center"/>
          </w:tcPr>
          <w:p w14:paraId="467E6411">
            <w:pPr>
              <w:adjustRightInd w:val="0"/>
              <w:snapToGrid w:val="0"/>
              <w:spacing w:line="276"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关于投标人在线开标的具体说明</w:t>
            </w:r>
          </w:p>
        </w:tc>
        <w:tc>
          <w:tcPr>
            <w:tcW w:w="5103" w:type="dxa"/>
            <w:vAlign w:val="center"/>
          </w:tcPr>
          <w:p w14:paraId="79D1CD1E">
            <w:pPr>
              <w:spacing w:line="276" w:lineRule="auto"/>
              <w:rPr>
                <w:rFonts w:ascii="宋体" w:hAnsi="宋体" w:cs="宋体"/>
                <w:color w:val="auto"/>
              </w:rPr>
            </w:pPr>
            <w:r>
              <w:rPr>
                <w:rFonts w:hint="eastAsia" w:ascii="宋体" w:hAnsi="宋体" w:cs="宋体"/>
                <w:color w:val="auto"/>
              </w:rPr>
              <w:t>见</w:t>
            </w:r>
            <w:r>
              <w:rPr>
                <w:rFonts w:ascii="宋体" w:hAnsi="宋体" w:cs="宋体"/>
                <w:color w:val="auto"/>
              </w:rPr>
              <w:t>“</w:t>
            </w:r>
            <w:r>
              <w:rPr>
                <w:rFonts w:hint="eastAsia" w:ascii="宋体" w:hAnsi="宋体" w:cs="宋体"/>
                <w:color w:val="auto"/>
              </w:rPr>
              <w:t>第一章 投标邀请</w:t>
            </w:r>
            <w:r>
              <w:rPr>
                <w:rFonts w:ascii="宋体" w:hAnsi="宋体" w:cs="宋体"/>
                <w:color w:val="auto"/>
              </w:rPr>
              <w:t>”</w:t>
            </w:r>
          </w:p>
        </w:tc>
      </w:tr>
      <w:tr w14:paraId="3EBA4C3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2" w:hRule="atLeast"/>
        </w:trPr>
        <w:tc>
          <w:tcPr>
            <w:tcW w:w="1560" w:type="dxa"/>
            <w:vAlign w:val="center"/>
          </w:tcPr>
          <w:p w14:paraId="06F40836">
            <w:pPr>
              <w:adjustRightInd w:val="0"/>
              <w:snapToGrid w:val="0"/>
              <w:spacing w:line="276"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第44.1</w:t>
            </w:r>
            <w:r>
              <w:rPr>
                <w:rFonts w:hint="eastAsia" w:cs="宋体" w:asciiTheme="minorEastAsia" w:hAnsiTheme="minorEastAsia" w:eastAsiaTheme="minorEastAsia"/>
                <w:color w:val="auto"/>
                <w:kern w:val="0"/>
                <w:szCs w:val="21"/>
                <w:lang w:val="zh-CN"/>
              </w:rPr>
              <w:t>款</w:t>
            </w:r>
          </w:p>
        </w:tc>
        <w:tc>
          <w:tcPr>
            <w:tcW w:w="2268" w:type="dxa"/>
            <w:vAlign w:val="center"/>
          </w:tcPr>
          <w:p w14:paraId="5AEBC141">
            <w:pPr>
              <w:adjustRightInd w:val="0"/>
              <w:snapToGrid w:val="0"/>
              <w:spacing w:line="276"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其他规定</w:t>
            </w:r>
          </w:p>
        </w:tc>
        <w:tc>
          <w:tcPr>
            <w:tcW w:w="5103" w:type="dxa"/>
            <w:vAlign w:val="center"/>
          </w:tcPr>
          <w:p w14:paraId="2161C474">
            <w:pPr>
              <w:adjustRightInd w:val="0"/>
              <w:snapToGrid w:val="0"/>
              <w:spacing w:line="276" w:lineRule="auto"/>
              <w:rPr>
                <w:rFonts w:asciiTheme="minorEastAsia" w:hAnsiTheme="minorEastAsia" w:eastAsiaTheme="minorEastAsia"/>
                <w:color w:val="auto"/>
                <w:szCs w:val="21"/>
              </w:rPr>
            </w:pPr>
            <w:r>
              <w:rPr>
                <w:rFonts w:hint="eastAsia" w:ascii="宋体" w:hAnsi="宋体" w:cs="宋体"/>
                <w:color w:val="auto"/>
                <w:szCs w:val="21"/>
              </w:rPr>
              <w:t>报名成功的投标单位须登陆“华新管理电子招标采购平台”（网址：https://hxgl316.youzhicai.com/）进行注册，请未注册的投标单位务必在报名截止时间前注册。在开标截止时间一定要办理好CA数字证书，否则无法在华新管理电子招标采购平台递交电子版的投标文件，</w:t>
            </w:r>
            <w:r>
              <w:rPr>
                <w:rFonts w:hint="eastAsia" w:ascii="宋体" w:hAnsi="宋体" w:cs="宋体"/>
                <w:b/>
                <w:bCs/>
                <w:color w:val="auto"/>
                <w:szCs w:val="21"/>
              </w:rPr>
              <w:t>具体详见招标公告。</w:t>
            </w:r>
          </w:p>
        </w:tc>
      </w:tr>
    </w:tbl>
    <w:p w14:paraId="0C0B9F8C">
      <w:pPr>
        <w:adjustRightInd w:val="0"/>
        <w:snapToGrid w:val="0"/>
        <w:spacing w:line="360" w:lineRule="auto"/>
        <w:rPr>
          <w:rFonts w:ascii="宋体" w:hAnsi="宋体"/>
          <w:b/>
          <w:color w:val="auto"/>
          <w:szCs w:val="21"/>
        </w:rPr>
      </w:pPr>
      <w:r>
        <w:rPr>
          <w:rFonts w:ascii="宋体" w:hAnsi="宋体"/>
          <w:b/>
          <w:color w:val="auto"/>
          <w:szCs w:val="21"/>
        </w:rPr>
        <w:br w:type="page"/>
      </w:r>
    </w:p>
    <w:p w14:paraId="34F47A1A">
      <w:pPr>
        <w:pStyle w:val="3"/>
        <w:keepNext w:val="0"/>
        <w:keepLines w:val="0"/>
        <w:adjustRightInd w:val="0"/>
        <w:snapToGrid w:val="0"/>
        <w:spacing w:before="120" w:beforeLines="50" w:line="352" w:lineRule="exact"/>
        <w:jc w:val="center"/>
        <w:rPr>
          <w:rFonts w:ascii="黑体" w:hAnsi="黑体" w:eastAsia="黑体"/>
          <w:color w:val="auto"/>
          <w:sz w:val="28"/>
          <w:szCs w:val="28"/>
        </w:rPr>
      </w:pPr>
      <w:bookmarkStart w:id="51" w:name="_Toc18520"/>
      <w:r>
        <w:rPr>
          <w:rFonts w:hint="eastAsia" w:ascii="黑体" w:hAnsi="黑体" w:eastAsia="黑体"/>
          <w:color w:val="auto"/>
          <w:sz w:val="28"/>
          <w:szCs w:val="28"/>
        </w:rPr>
        <w:t>第二节 投标须知</w:t>
      </w:r>
      <w:bookmarkEnd w:id="51"/>
    </w:p>
    <w:p w14:paraId="21FD12C9">
      <w:pPr>
        <w:pStyle w:val="4"/>
        <w:keepNext w:val="0"/>
        <w:keepLines w:val="0"/>
        <w:adjustRightInd w:val="0"/>
        <w:snapToGrid w:val="0"/>
        <w:spacing w:before="120" w:beforeLines="50" w:after="0" w:line="352" w:lineRule="exact"/>
        <w:jc w:val="center"/>
        <w:rPr>
          <w:rFonts w:ascii="黑体" w:hAnsi="黑体" w:eastAsia="黑体"/>
          <w:b w:val="0"/>
          <w:color w:val="auto"/>
          <w:sz w:val="28"/>
          <w:szCs w:val="28"/>
        </w:rPr>
      </w:pPr>
      <w:bookmarkStart w:id="52" w:name="_Toc31202"/>
      <w:r>
        <w:rPr>
          <w:rFonts w:hint="eastAsia" w:ascii="黑体" w:hAnsi="黑体" w:eastAsia="黑体"/>
          <w:color w:val="auto"/>
          <w:sz w:val="28"/>
          <w:szCs w:val="28"/>
        </w:rPr>
        <w:t>一、总则</w:t>
      </w:r>
      <w:bookmarkEnd w:id="52"/>
    </w:p>
    <w:p w14:paraId="04C66C9C">
      <w:pPr>
        <w:pStyle w:val="5"/>
        <w:keepNext w:val="0"/>
        <w:keepLines w:val="0"/>
        <w:adjustRightInd w:val="0"/>
        <w:snapToGrid w:val="0"/>
        <w:spacing w:before="50" w:after="0" w:line="352" w:lineRule="exact"/>
        <w:rPr>
          <w:rFonts w:asciiTheme="minorEastAsia" w:hAnsiTheme="minorEastAsia" w:eastAsiaTheme="minorEastAsia"/>
          <w:color w:val="auto"/>
          <w:sz w:val="24"/>
          <w:szCs w:val="24"/>
        </w:rPr>
      </w:pPr>
      <w:bookmarkStart w:id="53" w:name="_Toc7265"/>
      <w:r>
        <w:rPr>
          <w:rFonts w:hint="eastAsia" w:asciiTheme="minorEastAsia" w:hAnsiTheme="minorEastAsia" w:eastAsiaTheme="minorEastAsia"/>
          <w:color w:val="auto"/>
          <w:sz w:val="24"/>
          <w:szCs w:val="24"/>
        </w:rPr>
        <w:t>1.适用范围</w:t>
      </w:r>
      <w:bookmarkEnd w:id="53"/>
    </w:p>
    <w:p w14:paraId="4B414A01">
      <w:pPr>
        <w:adjustRightInd w:val="0"/>
        <w:snapToGrid w:val="0"/>
        <w:spacing w:before="120" w:beforeLines="50" w:line="352"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1.1本招标文件仅适用于本章第一节“投标须知前附表”（以下简称</w:t>
      </w:r>
      <w:r>
        <w:rPr>
          <w:rFonts w:hint="eastAsia" w:asciiTheme="minorEastAsia" w:hAnsiTheme="minorEastAsia" w:eastAsiaTheme="minorEastAsia"/>
          <w:b/>
          <w:color w:val="auto"/>
          <w:szCs w:val="21"/>
        </w:rPr>
        <w:t>【投标须知前附表】</w:t>
      </w:r>
      <w:r>
        <w:rPr>
          <w:rFonts w:hint="eastAsia" w:asciiTheme="minorEastAsia" w:hAnsiTheme="minorEastAsia" w:eastAsiaTheme="minorEastAsia"/>
          <w:color w:val="auto"/>
          <w:szCs w:val="21"/>
        </w:rPr>
        <w:t>）中所叙述的采购项目。</w:t>
      </w:r>
    </w:p>
    <w:p w14:paraId="22C0DE15">
      <w:pPr>
        <w:pStyle w:val="5"/>
        <w:keepNext w:val="0"/>
        <w:keepLines w:val="0"/>
        <w:adjustRightInd w:val="0"/>
        <w:snapToGrid w:val="0"/>
        <w:spacing w:before="50" w:after="0" w:line="352" w:lineRule="exact"/>
        <w:rPr>
          <w:rFonts w:asciiTheme="minorEastAsia" w:hAnsiTheme="minorEastAsia" w:eastAsiaTheme="minorEastAsia"/>
          <w:color w:val="auto"/>
          <w:sz w:val="24"/>
          <w:szCs w:val="24"/>
        </w:rPr>
      </w:pPr>
      <w:bookmarkStart w:id="54" w:name="_Toc27326"/>
      <w:r>
        <w:rPr>
          <w:rFonts w:hint="eastAsia" w:asciiTheme="minorEastAsia" w:hAnsiTheme="minorEastAsia" w:eastAsiaTheme="minorEastAsia"/>
          <w:color w:val="auto"/>
          <w:sz w:val="24"/>
          <w:szCs w:val="24"/>
        </w:rPr>
        <w:t>2.定义</w:t>
      </w:r>
      <w:bookmarkEnd w:id="54"/>
    </w:p>
    <w:p w14:paraId="5C149DAD">
      <w:pPr>
        <w:adjustRightInd w:val="0"/>
        <w:snapToGrid w:val="0"/>
        <w:spacing w:before="120" w:beforeLines="50" w:line="352"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2.1采购项目联系人姓名和电话见</w:t>
      </w:r>
      <w:r>
        <w:rPr>
          <w:rFonts w:hint="eastAsia" w:asciiTheme="minorEastAsia" w:hAnsiTheme="minorEastAsia" w:eastAsiaTheme="minorEastAsia"/>
          <w:b/>
          <w:color w:val="auto"/>
          <w:szCs w:val="21"/>
        </w:rPr>
        <w:t>【投标须知前附表】</w:t>
      </w:r>
      <w:r>
        <w:rPr>
          <w:rFonts w:hint="eastAsia" w:asciiTheme="minorEastAsia" w:hAnsiTheme="minorEastAsia" w:eastAsiaTheme="minorEastAsia"/>
          <w:color w:val="auto"/>
          <w:szCs w:val="21"/>
        </w:rPr>
        <w:t>。</w:t>
      </w:r>
    </w:p>
    <w:p w14:paraId="1DF1CBB8">
      <w:pPr>
        <w:adjustRightInd w:val="0"/>
        <w:snapToGrid w:val="0"/>
        <w:spacing w:before="120" w:beforeLines="50" w:line="352"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2.2采购人名称、地址、电话、联系人见</w:t>
      </w:r>
      <w:r>
        <w:rPr>
          <w:rFonts w:hint="eastAsia" w:asciiTheme="minorEastAsia" w:hAnsiTheme="minorEastAsia" w:eastAsiaTheme="minorEastAsia"/>
          <w:b/>
          <w:color w:val="auto"/>
          <w:szCs w:val="21"/>
        </w:rPr>
        <w:t>【投标须知前附表】</w:t>
      </w:r>
      <w:r>
        <w:rPr>
          <w:rFonts w:hint="eastAsia" w:asciiTheme="minorEastAsia" w:hAnsiTheme="minorEastAsia" w:eastAsiaTheme="minorEastAsia"/>
          <w:color w:val="auto"/>
          <w:szCs w:val="21"/>
        </w:rPr>
        <w:t>。</w:t>
      </w:r>
    </w:p>
    <w:p w14:paraId="60210B76">
      <w:pPr>
        <w:adjustRightInd w:val="0"/>
        <w:snapToGrid w:val="0"/>
        <w:spacing w:before="120" w:beforeLines="50" w:line="352"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2.3采购代理机构名称、地址、电话、联系人见</w:t>
      </w:r>
      <w:r>
        <w:rPr>
          <w:rFonts w:hint="eastAsia" w:asciiTheme="minorEastAsia" w:hAnsiTheme="minorEastAsia" w:eastAsiaTheme="minorEastAsia"/>
          <w:b/>
          <w:color w:val="auto"/>
          <w:szCs w:val="21"/>
        </w:rPr>
        <w:t>【投标须知前附表】。</w:t>
      </w:r>
    </w:p>
    <w:p w14:paraId="6EC1A1DB">
      <w:pPr>
        <w:adjustRightInd w:val="0"/>
        <w:snapToGrid w:val="0"/>
        <w:spacing w:before="120" w:beforeLines="50" w:line="352" w:lineRule="exact"/>
        <w:ind w:firstLine="420" w:firstLineChars="200"/>
        <w:jc w:val="left"/>
        <w:rPr>
          <w:rFonts w:asciiTheme="minorEastAsia" w:hAnsiTheme="minorEastAsia" w:eastAsiaTheme="minorEastAsia"/>
          <w:b/>
          <w:color w:val="auto"/>
          <w:szCs w:val="21"/>
        </w:rPr>
      </w:pPr>
      <w:r>
        <w:rPr>
          <w:rFonts w:hint="eastAsia" w:asciiTheme="minorEastAsia" w:hAnsiTheme="minorEastAsia" w:eastAsiaTheme="minorEastAsia"/>
          <w:color w:val="auto"/>
          <w:szCs w:val="21"/>
        </w:rPr>
        <w:t>2.4投标人系指响应招标、参加投标竞争的法人、其他组织或自然人。</w:t>
      </w:r>
    </w:p>
    <w:p w14:paraId="156B2F4B">
      <w:pPr>
        <w:pStyle w:val="5"/>
        <w:keepNext w:val="0"/>
        <w:keepLines w:val="0"/>
        <w:adjustRightInd w:val="0"/>
        <w:snapToGrid w:val="0"/>
        <w:spacing w:before="50" w:after="0" w:line="352" w:lineRule="exact"/>
        <w:rPr>
          <w:rFonts w:asciiTheme="minorEastAsia" w:hAnsiTheme="minorEastAsia" w:eastAsiaTheme="minorEastAsia"/>
          <w:color w:val="auto"/>
          <w:sz w:val="24"/>
          <w:szCs w:val="24"/>
        </w:rPr>
      </w:pPr>
      <w:bookmarkStart w:id="55" w:name="_Toc3212"/>
      <w:r>
        <w:rPr>
          <w:rFonts w:hint="eastAsia" w:asciiTheme="minorEastAsia" w:hAnsiTheme="minorEastAsia" w:eastAsiaTheme="minorEastAsia"/>
          <w:color w:val="auto"/>
          <w:sz w:val="24"/>
          <w:szCs w:val="24"/>
        </w:rPr>
        <w:t>3.投标人的资格要求</w:t>
      </w:r>
      <w:bookmarkEnd w:id="55"/>
    </w:p>
    <w:p w14:paraId="4C0216E7">
      <w:pPr>
        <w:adjustRightInd w:val="0"/>
        <w:snapToGrid w:val="0"/>
        <w:spacing w:before="120" w:beforeLines="50" w:line="352"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3.1投标人应当符合</w:t>
      </w:r>
      <w:r>
        <w:rPr>
          <w:rFonts w:hint="eastAsia" w:asciiTheme="minorEastAsia" w:hAnsiTheme="minorEastAsia" w:eastAsiaTheme="minorEastAsia"/>
          <w:b/>
          <w:color w:val="auto"/>
          <w:szCs w:val="21"/>
        </w:rPr>
        <w:t>【投标须知前附表】</w:t>
      </w:r>
      <w:r>
        <w:rPr>
          <w:rFonts w:hint="eastAsia" w:asciiTheme="minorEastAsia" w:hAnsiTheme="minorEastAsia" w:eastAsiaTheme="minorEastAsia"/>
          <w:color w:val="auto"/>
          <w:szCs w:val="21"/>
        </w:rPr>
        <w:t>规定的投标人资格条件。</w:t>
      </w:r>
    </w:p>
    <w:p w14:paraId="073580C6">
      <w:pPr>
        <w:adjustRightInd w:val="0"/>
        <w:snapToGrid w:val="0"/>
        <w:spacing w:before="120" w:beforeLines="50" w:line="352"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3.2</w:t>
      </w:r>
      <w:r>
        <w:rPr>
          <w:rFonts w:hint="eastAsia" w:asciiTheme="minorEastAsia" w:hAnsiTheme="minorEastAsia" w:eastAsiaTheme="minorEastAsia"/>
          <w:b/>
          <w:color w:val="auto"/>
          <w:szCs w:val="21"/>
        </w:rPr>
        <w:t>【投标须知前附表】</w:t>
      </w:r>
      <w:r>
        <w:rPr>
          <w:rFonts w:hint="eastAsia" w:asciiTheme="minorEastAsia" w:hAnsiTheme="minorEastAsia" w:eastAsiaTheme="minorEastAsia"/>
          <w:color w:val="auto"/>
          <w:szCs w:val="21"/>
        </w:rPr>
        <w:t>规定接受联合体形式投标的，投标人除应符合本章第3.1</w:t>
      </w:r>
      <w:r>
        <w:rPr>
          <w:rFonts w:hint="eastAsia" w:cs="宋体" w:asciiTheme="minorEastAsia" w:hAnsiTheme="minorEastAsia" w:eastAsiaTheme="minorEastAsia"/>
          <w:color w:val="auto"/>
          <w:kern w:val="0"/>
          <w:szCs w:val="21"/>
          <w:lang w:val="zh-CN"/>
        </w:rPr>
        <w:t>款</w:t>
      </w:r>
      <w:r>
        <w:rPr>
          <w:rFonts w:hint="eastAsia" w:asciiTheme="minorEastAsia" w:hAnsiTheme="minorEastAsia" w:eastAsiaTheme="minorEastAsia"/>
          <w:color w:val="auto"/>
          <w:szCs w:val="21"/>
        </w:rPr>
        <w:t xml:space="preserve">规定外，还应遵守以下规定： </w:t>
      </w:r>
    </w:p>
    <w:p w14:paraId="2A99F224">
      <w:pPr>
        <w:adjustRightInd w:val="0"/>
        <w:snapToGrid w:val="0"/>
        <w:spacing w:before="120" w:beforeLines="50" w:line="352"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（l）联合体中有同类资质的供应商按照联合体分工承担相同工作的，应当按照资质等级较低的供应商确定资质等级。</w:t>
      </w:r>
    </w:p>
    <w:p w14:paraId="6EEB0A1E">
      <w:pPr>
        <w:adjustRightInd w:val="0"/>
        <w:snapToGrid w:val="0"/>
        <w:spacing w:before="120" w:beforeLines="50" w:line="352"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（2）联合体各方应按招标文件提供的格式签订联合体协议书，明确联合体牵头人和各方的权利义务、合同工作量比例；</w:t>
      </w:r>
    </w:p>
    <w:p w14:paraId="49F02632">
      <w:pPr>
        <w:adjustRightInd w:val="0"/>
        <w:snapToGrid w:val="0"/>
        <w:spacing w:before="120" w:beforeLines="50" w:line="352" w:lineRule="exact"/>
        <w:ind w:firstLine="420" w:firstLineChars="200"/>
        <w:jc w:val="left"/>
        <w:rPr>
          <w:rFonts w:cs="宋体" w:asciiTheme="minorEastAsia" w:hAnsiTheme="minorEastAsia" w:eastAsiaTheme="minorEastAsia"/>
          <w:color w:val="auto"/>
          <w:kern w:val="0"/>
          <w:szCs w:val="21"/>
          <w:lang w:val="zh-CN"/>
        </w:rPr>
      </w:pPr>
      <w:r>
        <w:rPr>
          <w:rFonts w:hint="eastAsia" w:asciiTheme="minorEastAsia" w:hAnsiTheme="minorEastAsia" w:eastAsiaTheme="minorEastAsia"/>
          <w:color w:val="auto"/>
          <w:szCs w:val="21"/>
        </w:rPr>
        <w:t>（3）联合体各方签订联合体协议书后，</w:t>
      </w:r>
      <w:r>
        <w:rPr>
          <w:rFonts w:hint="eastAsia" w:cs="宋体" w:asciiTheme="minorEastAsia" w:hAnsiTheme="minorEastAsia" w:eastAsiaTheme="minorEastAsia"/>
          <w:color w:val="auto"/>
          <w:kern w:val="0"/>
          <w:szCs w:val="21"/>
          <w:lang w:val="zh-CN"/>
        </w:rPr>
        <w:t>不得再单独参加或者与其他投标人组成新的联合体参加同一合同项下的采购活动。</w:t>
      </w:r>
    </w:p>
    <w:p w14:paraId="1CF62B66">
      <w:pPr>
        <w:pStyle w:val="5"/>
        <w:keepNext w:val="0"/>
        <w:keepLines w:val="0"/>
        <w:adjustRightInd w:val="0"/>
        <w:snapToGrid w:val="0"/>
        <w:spacing w:before="50" w:after="0" w:line="352" w:lineRule="exact"/>
        <w:rPr>
          <w:rFonts w:asciiTheme="minorEastAsia" w:hAnsiTheme="minorEastAsia" w:eastAsiaTheme="minorEastAsia"/>
          <w:color w:val="auto"/>
          <w:sz w:val="24"/>
          <w:szCs w:val="24"/>
        </w:rPr>
      </w:pPr>
      <w:bookmarkStart w:id="56" w:name="_Toc13603"/>
      <w:r>
        <w:rPr>
          <w:rFonts w:hint="eastAsia" w:asciiTheme="minorEastAsia" w:hAnsiTheme="minorEastAsia" w:eastAsiaTheme="minorEastAsia"/>
          <w:color w:val="auto"/>
          <w:sz w:val="24"/>
          <w:szCs w:val="24"/>
        </w:rPr>
        <w:t>4.投标费用</w:t>
      </w:r>
      <w:bookmarkEnd w:id="56"/>
    </w:p>
    <w:p w14:paraId="2AEBBCBA">
      <w:pPr>
        <w:adjustRightInd w:val="0"/>
        <w:snapToGrid w:val="0"/>
        <w:spacing w:before="120" w:beforeLines="50" w:line="352"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4.1投标人应自行承担所有参与投标的相关费用，不论投标的结果如何，采购人、采购代理机构均无义务和责任承担这些费用。</w:t>
      </w:r>
    </w:p>
    <w:p w14:paraId="30B3E8CA">
      <w:pPr>
        <w:pStyle w:val="5"/>
        <w:keepNext w:val="0"/>
        <w:keepLines w:val="0"/>
        <w:adjustRightInd w:val="0"/>
        <w:snapToGrid w:val="0"/>
        <w:spacing w:before="50" w:after="0" w:line="352" w:lineRule="exact"/>
        <w:rPr>
          <w:rFonts w:asciiTheme="minorEastAsia" w:hAnsiTheme="minorEastAsia" w:eastAsiaTheme="minorEastAsia"/>
          <w:color w:val="auto"/>
          <w:sz w:val="24"/>
          <w:szCs w:val="24"/>
        </w:rPr>
      </w:pPr>
      <w:bookmarkStart w:id="57" w:name="_Toc13135"/>
      <w:r>
        <w:rPr>
          <w:rFonts w:hint="eastAsia" w:asciiTheme="minorEastAsia" w:hAnsiTheme="minorEastAsia" w:eastAsiaTheme="minorEastAsia"/>
          <w:color w:val="auto"/>
          <w:sz w:val="24"/>
          <w:szCs w:val="24"/>
        </w:rPr>
        <w:t>5．组织现场考察或者召开答疑会</w:t>
      </w:r>
      <w:bookmarkEnd w:id="57"/>
    </w:p>
    <w:p w14:paraId="00F65039">
      <w:pPr>
        <w:adjustRightInd w:val="0"/>
        <w:snapToGrid w:val="0"/>
        <w:spacing w:before="120" w:beforeLines="50" w:line="352"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rPr>
        <w:t>5.1采购人、采购代理机构可以在</w:t>
      </w:r>
      <w:r>
        <w:rPr>
          <w:rFonts w:hint="eastAsia" w:asciiTheme="minorEastAsia" w:hAnsiTheme="minorEastAsia" w:eastAsiaTheme="minorEastAsia"/>
          <w:b/>
          <w:color w:val="auto"/>
          <w:szCs w:val="21"/>
        </w:rPr>
        <w:t>【投标须知前附表】</w:t>
      </w:r>
      <w:r>
        <w:rPr>
          <w:rFonts w:hint="eastAsia" w:asciiTheme="minorEastAsia" w:hAnsiTheme="minorEastAsia" w:eastAsiaTheme="minorEastAsia"/>
          <w:color w:val="auto"/>
          <w:szCs w:val="21"/>
        </w:rPr>
        <w:t>规定的招标文件提供期限截止后，组织已获取招标文件的潜在投标人现场考察或者召开开标前答疑会。</w:t>
      </w:r>
    </w:p>
    <w:p w14:paraId="04704F16">
      <w:pPr>
        <w:adjustRightInd w:val="0"/>
        <w:snapToGrid w:val="0"/>
        <w:spacing w:before="120" w:beforeLines="50" w:line="352"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5.2获取招标文件的潜在投标人应按</w:t>
      </w:r>
      <w:r>
        <w:rPr>
          <w:rFonts w:hint="eastAsia" w:asciiTheme="minorEastAsia" w:hAnsiTheme="minorEastAsia" w:eastAsiaTheme="minorEastAsia"/>
          <w:b/>
          <w:color w:val="auto"/>
          <w:szCs w:val="21"/>
        </w:rPr>
        <w:t>【投标须知前附表】</w:t>
      </w:r>
      <w:r>
        <w:rPr>
          <w:rFonts w:hint="eastAsia" w:asciiTheme="minorEastAsia" w:hAnsiTheme="minorEastAsia" w:eastAsiaTheme="minorEastAsia"/>
          <w:color w:val="auto"/>
          <w:szCs w:val="21"/>
        </w:rPr>
        <w:t>规定参加现场考察或者答疑会；如不参加，其风险由其自行承担。</w:t>
      </w:r>
    </w:p>
    <w:p w14:paraId="6396B132">
      <w:pPr>
        <w:adjustRightInd w:val="0"/>
        <w:snapToGrid w:val="0"/>
        <w:spacing w:before="120" w:beforeLines="50" w:line="352" w:lineRule="exact"/>
        <w:ind w:firstLine="420" w:firstLineChars="200"/>
        <w:jc w:val="left"/>
        <w:rPr>
          <w:rFonts w:asciiTheme="minorEastAsia" w:hAnsiTheme="minorEastAsia" w:eastAsiaTheme="minorEastAsia"/>
          <w:color w:val="auto"/>
        </w:rPr>
      </w:pPr>
      <w:r>
        <w:rPr>
          <w:rFonts w:hint="eastAsia" w:asciiTheme="minorEastAsia" w:hAnsiTheme="minorEastAsia" w:eastAsiaTheme="minorEastAsia"/>
          <w:color w:val="auto"/>
        </w:rPr>
        <w:t>5.3潜在投标人现场考察或者参加答疑会的费用由自己承担，现场考察期间所发生的人身伤害及财产损失由自己负责。</w:t>
      </w:r>
    </w:p>
    <w:p w14:paraId="2718A4F6">
      <w:pPr>
        <w:adjustRightInd w:val="0"/>
        <w:snapToGrid w:val="0"/>
        <w:spacing w:before="120" w:beforeLines="50" w:line="352" w:lineRule="exact"/>
        <w:ind w:firstLine="420" w:firstLineChars="200"/>
        <w:jc w:val="left"/>
        <w:rPr>
          <w:rFonts w:asciiTheme="minorEastAsia" w:hAnsiTheme="minorEastAsia" w:eastAsiaTheme="minorEastAsia"/>
          <w:color w:val="auto"/>
        </w:rPr>
      </w:pPr>
      <w:r>
        <w:rPr>
          <w:rFonts w:hint="eastAsia" w:asciiTheme="minorEastAsia" w:hAnsiTheme="minorEastAsia" w:eastAsiaTheme="minorEastAsia"/>
          <w:color w:val="auto"/>
        </w:rPr>
        <w:t>5.4采购人、采购代理机构不对投标人据此而做出的推论、理解和结论负责。投标人一旦中标，不得以任何借口，提出额外补偿，或延长合同期限的要求。</w:t>
      </w:r>
    </w:p>
    <w:p w14:paraId="777D4B21">
      <w:pPr>
        <w:pStyle w:val="4"/>
        <w:keepNext w:val="0"/>
        <w:keepLines w:val="0"/>
        <w:adjustRightInd w:val="0"/>
        <w:snapToGrid w:val="0"/>
        <w:spacing w:before="120" w:beforeLines="50" w:after="0" w:line="352" w:lineRule="exact"/>
        <w:jc w:val="center"/>
        <w:rPr>
          <w:rFonts w:ascii="黑体" w:hAnsi="黑体" w:eastAsia="黑体"/>
          <w:color w:val="auto"/>
          <w:sz w:val="28"/>
          <w:szCs w:val="28"/>
        </w:rPr>
      </w:pPr>
      <w:bookmarkStart w:id="58" w:name="_Toc11047"/>
      <w:r>
        <w:rPr>
          <w:rFonts w:hint="eastAsia" w:ascii="黑体" w:hAnsi="黑体" w:eastAsia="黑体"/>
          <w:color w:val="auto"/>
          <w:sz w:val="28"/>
          <w:szCs w:val="28"/>
        </w:rPr>
        <w:t>二、招标文件</w:t>
      </w:r>
      <w:bookmarkEnd w:id="58"/>
    </w:p>
    <w:p w14:paraId="1CB8220F">
      <w:pPr>
        <w:pStyle w:val="5"/>
        <w:keepNext w:val="0"/>
        <w:keepLines w:val="0"/>
        <w:adjustRightInd w:val="0"/>
        <w:snapToGrid w:val="0"/>
        <w:spacing w:before="50" w:after="0" w:line="352" w:lineRule="exact"/>
        <w:rPr>
          <w:rFonts w:asciiTheme="minorEastAsia" w:hAnsiTheme="minorEastAsia" w:eastAsiaTheme="minorEastAsia"/>
          <w:color w:val="auto"/>
          <w:sz w:val="24"/>
          <w:szCs w:val="24"/>
        </w:rPr>
      </w:pPr>
      <w:bookmarkStart w:id="59" w:name="_Toc7669"/>
      <w:r>
        <w:rPr>
          <w:rFonts w:hint="eastAsia" w:asciiTheme="minorEastAsia" w:hAnsiTheme="minorEastAsia" w:eastAsiaTheme="minorEastAsia"/>
          <w:color w:val="auto"/>
          <w:sz w:val="24"/>
          <w:szCs w:val="24"/>
        </w:rPr>
        <w:t>6.招标文件的构成</w:t>
      </w:r>
      <w:bookmarkEnd w:id="59"/>
    </w:p>
    <w:p w14:paraId="5EFF50AB">
      <w:pPr>
        <w:adjustRightInd w:val="0"/>
        <w:snapToGrid w:val="0"/>
        <w:spacing w:before="120" w:beforeLines="50" w:line="352"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6.1 招标文件共七章，各章内容如下：</w:t>
      </w:r>
    </w:p>
    <w:p w14:paraId="03C6AB4F">
      <w:pPr>
        <w:adjustRightInd w:val="0"/>
        <w:snapToGrid w:val="0"/>
        <w:spacing w:before="120" w:beforeLines="50" w:line="352"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第一章 投标邀请</w:t>
      </w:r>
    </w:p>
    <w:p w14:paraId="77A69A7C">
      <w:pPr>
        <w:adjustRightInd w:val="0"/>
        <w:snapToGrid w:val="0"/>
        <w:spacing w:before="120" w:beforeLines="50" w:line="352"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第二章 投标须知</w:t>
      </w:r>
    </w:p>
    <w:p w14:paraId="4D818E5E">
      <w:pPr>
        <w:adjustRightInd w:val="0"/>
        <w:snapToGrid w:val="0"/>
        <w:spacing w:before="120" w:beforeLines="50" w:line="352"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第三章 资格审查</w:t>
      </w:r>
    </w:p>
    <w:p w14:paraId="7E3F87C8">
      <w:pPr>
        <w:adjustRightInd w:val="0"/>
        <w:snapToGrid w:val="0"/>
        <w:spacing w:before="120" w:beforeLines="50" w:line="352"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第四章 评标方法及标准</w:t>
      </w:r>
    </w:p>
    <w:p w14:paraId="6649097A">
      <w:pPr>
        <w:adjustRightInd w:val="0"/>
        <w:snapToGrid w:val="0"/>
        <w:spacing w:before="120" w:beforeLines="50" w:line="352"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第五章 采购需求</w:t>
      </w:r>
    </w:p>
    <w:p w14:paraId="1AFD770C">
      <w:pPr>
        <w:adjustRightInd w:val="0"/>
        <w:snapToGrid w:val="0"/>
        <w:spacing w:before="120" w:beforeLines="50" w:line="352"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第六章 政府采购合同</w:t>
      </w:r>
    </w:p>
    <w:p w14:paraId="08CCC627">
      <w:pPr>
        <w:adjustRightInd w:val="0"/>
        <w:snapToGrid w:val="0"/>
        <w:spacing w:before="120" w:beforeLines="50" w:line="352"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第七章 投标文件的组成</w:t>
      </w:r>
    </w:p>
    <w:p w14:paraId="32DA81E3">
      <w:pPr>
        <w:adjustRightInd w:val="0"/>
        <w:snapToGrid w:val="0"/>
        <w:spacing w:before="120" w:beforeLines="50" w:line="352" w:lineRule="exact"/>
        <w:ind w:firstLine="420" w:firstLineChars="200"/>
        <w:jc w:val="left"/>
        <w:rPr>
          <w:rFonts w:cs="宋体" w:asciiTheme="minorEastAsia" w:hAnsiTheme="minorEastAsia" w:eastAsiaTheme="minorEastAsia"/>
          <w:b/>
          <w:color w:val="auto"/>
          <w:szCs w:val="21"/>
        </w:rPr>
      </w:pPr>
      <w:r>
        <w:rPr>
          <w:rFonts w:hint="eastAsia" w:asciiTheme="minorEastAsia" w:hAnsiTheme="minorEastAsia" w:eastAsiaTheme="minorEastAsia"/>
          <w:color w:val="auto"/>
          <w:szCs w:val="21"/>
        </w:rPr>
        <w:t>6.2采购人、采购代理机构在提交投标文件截止时间前</w:t>
      </w:r>
      <w:r>
        <w:rPr>
          <w:rFonts w:hint="eastAsia" w:cs="宋体" w:asciiTheme="minorEastAsia" w:hAnsiTheme="minorEastAsia" w:eastAsiaTheme="minorEastAsia"/>
          <w:color w:val="auto"/>
          <w:szCs w:val="21"/>
        </w:rPr>
        <w:t>对招标文件所作的澄清或者修改，构成招标文件的组成部分。</w:t>
      </w:r>
    </w:p>
    <w:p w14:paraId="03B5B264">
      <w:pPr>
        <w:pStyle w:val="5"/>
        <w:keepNext w:val="0"/>
        <w:keepLines w:val="0"/>
        <w:adjustRightInd w:val="0"/>
        <w:snapToGrid w:val="0"/>
        <w:spacing w:before="50" w:after="0" w:line="352" w:lineRule="exact"/>
        <w:rPr>
          <w:rFonts w:asciiTheme="minorEastAsia" w:hAnsiTheme="minorEastAsia" w:eastAsiaTheme="minorEastAsia"/>
          <w:color w:val="auto"/>
          <w:sz w:val="24"/>
          <w:szCs w:val="24"/>
        </w:rPr>
      </w:pPr>
      <w:bookmarkStart w:id="60" w:name="_Toc25142"/>
      <w:r>
        <w:rPr>
          <w:rFonts w:hint="eastAsia" w:asciiTheme="minorEastAsia" w:hAnsiTheme="minorEastAsia" w:eastAsiaTheme="minorEastAsia"/>
          <w:color w:val="auto"/>
          <w:sz w:val="24"/>
          <w:szCs w:val="24"/>
        </w:rPr>
        <w:t>7．偏离与实质性响应</w:t>
      </w:r>
      <w:bookmarkEnd w:id="60"/>
    </w:p>
    <w:p w14:paraId="6C896065">
      <w:pPr>
        <w:adjustRightInd w:val="0"/>
        <w:snapToGrid w:val="0"/>
        <w:spacing w:before="120" w:beforeLines="50" w:line="352" w:lineRule="exact"/>
        <w:ind w:firstLine="420" w:firstLineChars="200"/>
        <w:rPr>
          <w:rFonts w:asciiTheme="minorEastAsia" w:hAnsiTheme="minorEastAsia" w:eastAsiaTheme="minorEastAsia"/>
          <w:color w:val="auto"/>
        </w:rPr>
      </w:pPr>
      <w:r>
        <w:rPr>
          <w:rFonts w:hint="eastAsia" w:asciiTheme="minorEastAsia" w:hAnsiTheme="minorEastAsia" w:eastAsiaTheme="minorEastAsia"/>
          <w:color w:val="auto"/>
        </w:rPr>
        <w:t>7.1投标人应当按照招标文件的要求编制投标文件。投标文件应当对招标文件提出的要求和条件作出明确响应。</w:t>
      </w:r>
    </w:p>
    <w:p w14:paraId="6D43FA20">
      <w:pPr>
        <w:adjustRightInd w:val="0"/>
        <w:snapToGrid w:val="0"/>
        <w:spacing w:before="120" w:beforeLines="50" w:line="352" w:lineRule="exact"/>
        <w:ind w:firstLine="420" w:firstLineChars="200"/>
        <w:rPr>
          <w:rFonts w:asciiTheme="minorEastAsia" w:hAnsiTheme="minorEastAsia" w:eastAsiaTheme="minorEastAsia"/>
          <w:color w:val="auto"/>
        </w:rPr>
      </w:pPr>
      <w:r>
        <w:rPr>
          <w:rFonts w:hint="eastAsia" w:asciiTheme="minorEastAsia" w:hAnsiTheme="minorEastAsia" w:eastAsiaTheme="minorEastAsia"/>
          <w:color w:val="auto"/>
        </w:rPr>
        <w:t>7.2偏离是指投标文件不响应或者不满足招标文件提出的某些要求和条件，分为实质性偏离和非实质性偏离。</w:t>
      </w:r>
    </w:p>
    <w:p w14:paraId="63DF8C24">
      <w:pPr>
        <w:adjustRightInd w:val="0"/>
        <w:snapToGrid w:val="0"/>
        <w:spacing w:before="120" w:beforeLines="50" w:line="352" w:lineRule="exact"/>
        <w:ind w:firstLine="420" w:firstLineChars="200"/>
        <w:rPr>
          <w:rFonts w:asciiTheme="minorEastAsia" w:hAnsiTheme="minorEastAsia" w:eastAsiaTheme="minorEastAsia"/>
          <w:color w:val="auto"/>
        </w:rPr>
      </w:pPr>
      <w:r>
        <w:rPr>
          <w:rFonts w:hint="eastAsia" w:asciiTheme="minorEastAsia" w:hAnsiTheme="minorEastAsia" w:eastAsiaTheme="minorEastAsia"/>
          <w:color w:val="auto"/>
        </w:rPr>
        <w:t>7.3除法律、法规和招标文件规定的其他投标无效情形外，招标文件中用“★”符号标明的条款为实质性要求和条件，对其中任何一条的偏离，为实质性偏离，</w:t>
      </w:r>
      <w:r>
        <w:rPr>
          <w:rFonts w:hint="eastAsia" w:asciiTheme="minorEastAsia" w:hAnsiTheme="minorEastAsia" w:eastAsiaTheme="minorEastAsia"/>
          <w:b/>
          <w:color w:val="auto"/>
        </w:rPr>
        <w:t>其投标无效</w:t>
      </w:r>
      <w:r>
        <w:rPr>
          <w:rFonts w:hint="eastAsia" w:asciiTheme="minorEastAsia" w:hAnsiTheme="minorEastAsia" w:eastAsiaTheme="minorEastAsia"/>
          <w:color w:val="auto"/>
        </w:rPr>
        <w:t>。</w:t>
      </w:r>
    </w:p>
    <w:p w14:paraId="12103E49">
      <w:pPr>
        <w:adjustRightInd w:val="0"/>
        <w:snapToGrid w:val="0"/>
        <w:spacing w:before="120" w:beforeLines="50" w:line="352" w:lineRule="exact"/>
        <w:ind w:firstLine="420" w:firstLineChars="200"/>
        <w:jc w:val="left"/>
        <w:rPr>
          <w:rFonts w:asciiTheme="minorEastAsia" w:hAnsiTheme="minorEastAsia" w:eastAsiaTheme="minorEastAsia"/>
          <w:color w:val="auto"/>
        </w:rPr>
      </w:pPr>
      <w:r>
        <w:rPr>
          <w:rFonts w:hint="eastAsia" w:asciiTheme="minorEastAsia" w:hAnsiTheme="minorEastAsia" w:eastAsiaTheme="minorEastAsia"/>
          <w:color w:val="auto"/>
        </w:rPr>
        <w:t>7.4投标</w:t>
      </w:r>
      <w:r>
        <w:rPr>
          <w:rFonts w:hint="eastAsia" w:asciiTheme="minorEastAsia" w:hAnsiTheme="minorEastAsia" w:eastAsiaTheme="minorEastAsia"/>
          <w:color w:val="auto"/>
          <w:szCs w:val="21"/>
        </w:rPr>
        <w:t>文件偏离招标文件的非实质性要求和条件，为非实质性偏离。非实质性偏离的范围和幅度应当符合</w:t>
      </w:r>
      <w:r>
        <w:rPr>
          <w:rFonts w:hint="eastAsia" w:asciiTheme="minorEastAsia" w:hAnsiTheme="minorEastAsia" w:eastAsiaTheme="minorEastAsia"/>
          <w:b/>
          <w:color w:val="auto"/>
          <w:szCs w:val="21"/>
        </w:rPr>
        <w:t>【投标须知前附表】</w:t>
      </w:r>
      <w:r>
        <w:rPr>
          <w:rFonts w:hint="eastAsia" w:asciiTheme="minorEastAsia" w:hAnsiTheme="minorEastAsia" w:eastAsiaTheme="minorEastAsia"/>
          <w:color w:val="auto"/>
          <w:szCs w:val="21"/>
        </w:rPr>
        <w:t>的规定，</w:t>
      </w:r>
      <w:r>
        <w:rPr>
          <w:rFonts w:hint="eastAsia" w:asciiTheme="minorEastAsia" w:hAnsiTheme="minorEastAsia" w:eastAsiaTheme="minorEastAsia"/>
          <w:b/>
          <w:color w:val="auto"/>
          <w:szCs w:val="21"/>
        </w:rPr>
        <w:t>否</w:t>
      </w:r>
      <w:r>
        <w:rPr>
          <w:rFonts w:hint="eastAsia" w:asciiTheme="minorEastAsia" w:hAnsiTheme="minorEastAsia" w:eastAsiaTheme="minorEastAsia"/>
          <w:b/>
          <w:color w:val="auto"/>
        </w:rPr>
        <w:t>则其投标无效</w:t>
      </w:r>
      <w:r>
        <w:rPr>
          <w:rFonts w:hint="eastAsia" w:asciiTheme="minorEastAsia" w:hAnsiTheme="minorEastAsia" w:eastAsiaTheme="minorEastAsia"/>
          <w:color w:val="auto"/>
        </w:rPr>
        <w:t>。</w:t>
      </w:r>
    </w:p>
    <w:p w14:paraId="14323E01">
      <w:pPr>
        <w:pStyle w:val="5"/>
        <w:keepNext w:val="0"/>
        <w:keepLines w:val="0"/>
        <w:adjustRightInd w:val="0"/>
        <w:snapToGrid w:val="0"/>
        <w:spacing w:before="50" w:after="0" w:line="352" w:lineRule="exact"/>
        <w:rPr>
          <w:rFonts w:asciiTheme="minorEastAsia" w:hAnsiTheme="minorEastAsia" w:eastAsiaTheme="minorEastAsia"/>
          <w:color w:val="auto"/>
          <w:sz w:val="24"/>
          <w:szCs w:val="24"/>
        </w:rPr>
      </w:pPr>
      <w:bookmarkStart w:id="61" w:name="_Toc31844"/>
      <w:r>
        <w:rPr>
          <w:rFonts w:hint="eastAsia" w:asciiTheme="minorEastAsia" w:hAnsiTheme="minorEastAsia" w:eastAsiaTheme="minorEastAsia"/>
          <w:color w:val="auto"/>
          <w:sz w:val="24"/>
          <w:szCs w:val="24"/>
        </w:rPr>
        <w:t>8.询问</w:t>
      </w:r>
      <w:bookmarkEnd w:id="61"/>
    </w:p>
    <w:p w14:paraId="66816AC7">
      <w:pPr>
        <w:adjustRightInd w:val="0"/>
        <w:snapToGrid w:val="0"/>
        <w:spacing w:before="120" w:beforeLines="50" w:line="352" w:lineRule="exact"/>
        <w:ind w:firstLine="420" w:firstLineChars="200"/>
        <w:jc w:val="left"/>
        <w:rPr>
          <w:rFonts w:asciiTheme="minorEastAsia" w:hAnsiTheme="minorEastAsia" w:eastAsiaTheme="minorEastAsia"/>
          <w:color w:val="auto"/>
        </w:rPr>
      </w:pPr>
      <w:r>
        <w:rPr>
          <w:rFonts w:hint="eastAsia" w:asciiTheme="minorEastAsia" w:hAnsiTheme="minorEastAsia" w:eastAsiaTheme="minorEastAsia"/>
          <w:color w:val="auto"/>
        </w:rPr>
        <w:t>8.1潜在投标人应仔细阅读和检查招标文件的全部内容。如有疑问，可以向采购人或者采购代理机构提出询问。</w:t>
      </w:r>
    </w:p>
    <w:p w14:paraId="0DEA39E6">
      <w:pPr>
        <w:pStyle w:val="5"/>
        <w:keepNext w:val="0"/>
        <w:keepLines w:val="0"/>
        <w:adjustRightInd w:val="0"/>
        <w:snapToGrid w:val="0"/>
        <w:spacing w:before="50" w:after="0" w:line="352" w:lineRule="exact"/>
        <w:rPr>
          <w:rFonts w:asciiTheme="minorEastAsia" w:hAnsiTheme="minorEastAsia" w:eastAsiaTheme="minorEastAsia"/>
          <w:color w:val="auto"/>
          <w:sz w:val="24"/>
          <w:szCs w:val="24"/>
        </w:rPr>
      </w:pPr>
      <w:bookmarkStart w:id="62" w:name="_Toc570"/>
      <w:r>
        <w:rPr>
          <w:rFonts w:hint="eastAsia" w:asciiTheme="minorEastAsia" w:hAnsiTheme="minorEastAsia" w:eastAsiaTheme="minorEastAsia"/>
          <w:color w:val="auto"/>
          <w:sz w:val="24"/>
          <w:szCs w:val="24"/>
        </w:rPr>
        <w:t>9.招标文件的澄清或者修改</w:t>
      </w:r>
      <w:bookmarkEnd w:id="62"/>
    </w:p>
    <w:p w14:paraId="6DBBEBB7">
      <w:pPr>
        <w:adjustRightInd w:val="0"/>
        <w:snapToGrid w:val="0"/>
        <w:spacing w:before="120" w:beforeLines="50" w:line="352" w:lineRule="exact"/>
        <w:ind w:firstLine="420" w:firstLineChars="200"/>
        <w:jc w:val="left"/>
        <w:rPr>
          <w:rFonts w:asciiTheme="minorEastAsia" w:hAnsiTheme="minorEastAsia" w:eastAsiaTheme="minorEastAsia"/>
          <w:color w:val="auto"/>
        </w:rPr>
      </w:pPr>
      <w:r>
        <w:rPr>
          <w:rFonts w:hint="eastAsia" w:asciiTheme="minorEastAsia" w:hAnsiTheme="minorEastAsia" w:eastAsiaTheme="minorEastAsia"/>
          <w:color w:val="auto"/>
        </w:rPr>
        <w:t>9.1采购人、采购代理机构对已发出的招标文件进行必要澄清或者修改的，将在</w:t>
      </w:r>
      <w:r>
        <w:rPr>
          <w:rFonts w:hint="eastAsia" w:asciiTheme="minorEastAsia" w:hAnsiTheme="minorEastAsia" w:eastAsiaTheme="minorEastAsia"/>
          <w:b/>
          <w:color w:val="auto"/>
          <w:szCs w:val="21"/>
        </w:rPr>
        <w:t>【投标须知前附表】</w:t>
      </w:r>
      <w:r>
        <w:rPr>
          <w:rFonts w:hint="eastAsia" w:asciiTheme="minorEastAsia" w:hAnsiTheme="minorEastAsia" w:eastAsiaTheme="minorEastAsia"/>
          <w:color w:val="auto"/>
          <w:szCs w:val="21"/>
        </w:rPr>
        <w:t>规定的</w:t>
      </w:r>
      <w:r>
        <w:rPr>
          <w:rFonts w:hint="eastAsia" w:asciiTheme="minorEastAsia" w:hAnsiTheme="minorEastAsia" w:eastAsiaTheme="minorEastAsia"/>
          <w:color w:val="auto"/>
        </w:rPr>
        <w:t>指定媒体上发布更正公告 （澄清或者修改公告）。</w:t>
      </w:r>
    </w:p>
    <w:p w14:paraId="5D4ED067">
      <w:pPr>
        <w:adjustRightInd w:val="0"/>
        <w:snapToGrid w:val="0"/>
        <w:spacing w:before="120" w:beforeLines="50" w:line="352" w:lineRule="exact"/>
        <w:ind w:firstLine="420" w:firstLineChars="200"/>
        <w:jc w:val="left"/>
        <w:rPr>
          <w:rFonts w:asciiTheme="minorEastAsia" w:hAnsiTheme="minorEastAsia" w:eastAsiaTheme="minorEastAsia"/>
          <w:color w:val="auto"/>
        </w:rPr>
      </w:pPr>
      <w:r>
        <w:rPr>
          <w:rFonts w:hint="eastAsia" w:cs="宋体" w:asciiTheme="minorEastAsia" w:hAnsiTheme="minorEastAsia" w:eastAsiaTheme="minorEastAsia"/>
          <w:color w:val="auto"/>
          <w:kern w:val="0"/>
          <w:szCs w:val="21"/>
        </w:rPr>
        <w:t>9.2澄清或者修改</w:t>
      </w:r>
      <w:r>
        <w:rPr>
          <w:rFonts w:hint="eastAsia" w:asciiTheme="minorEastAsia" w:hAnsiTheme="minorEastAsia" w:eastAsiaTheme="minorEastAsia"/>
          <w:color w:val="auto"/>
        </w:rPr>
        <w:t>的</w:t>
      </w:r>
      <w:r>
        <w:rPr>
          <w:rFonts w:hint="eastAsia" w:cs="宋体" w:asciiTheme="minorEastAsia" w:hAnsiTheme="minorEastAsia" w:eastAsiaTheme="minorEastAsia"/>
          <w:color w:val="auto"/>
          <w:kern w:val="0"/>
          <w:szCs w:val="21"/>
        </w:rPr>
        <w:t>内容可能影响投标文件编制的，采购人、采购代理机构</w:t>
      </w:r>
      <w:r>
        <w:rPr>
          <w:rFonts w:hint="eastAsia" w:asciiTheme="minorEastAsia" w:hAnsiTheme="minorEastAsia" w:eastAsiaTheme="minorEastAsia"/>
          <w:color w:val="auto"/>
        </w:rPr>
        <w:t>将</w:t>
      </w:r>
      <w:r>
        <w:rPr>
          <w:rFonts w:hint="eastAsia" w:cs="宋体" w:asciiTheme="minorEastAsia" w:hAnsiTheme="minorEastAsia" w:eastAsiaTheme="minorEastAsia"/>
          <w:color w:val="auto"/>
          <w:kern w:val="0"/>
          <w:szCs w:val="21"/>
        </w:rPr>
        <w:t>在提交投标文件截止时间15日前，</w:t>
      </w:r>
      <w:r>
        <w:rPr>
          <w:rFonts w:hint="eastAsia" w:asciiTheme="minorEastAsia" w:hAnsiTheme="minorEastAsia" w:eastAsiaTheme="minorEastAsia"/>
          <w:color w:val="auto"/>
        </w:rPr>
        <w:t>以更正公告形式在上款指定媒体上发布；不足15日的，将相应延长提交投标文件的截止时间。</w:t>
      </w:r>
    </w:p>
    <w:p w14:paraId="339DE240">
      <w:pPr>
        <w:adjustRightInd w:val="0"/>
        <w:snapToGrid w:val="0"/>
        <w:spacing w:before="120" w:beforeLines="50" w:line="352" w:lineRule="exact"/>
        <w:ind w:firstLine="420" w:firstLineChars="200"/>
        <w:jc w:val="left"/>
        <w:rPr>
          <w:rFonts w:asciiTheme="minorEastAsia" w:hAnsiTheme="minorEastAsia" w:eastAsiaTheme="minorEastAsia"/>
          <w:color w:val="auto"/>
        </w:rPr>
      </w:pPr>
      <w:r>
        <w:rPr>
          <w:rFonts w:hint="eastAsia" w:asciiTheme="minorEastAsia" w:hAnsiTheme="minorEastAsia" w:eastAsiaTheme="minorEastAsia"/>
          <w:color w:val="auto"/>
        </w:rPr>
        <w:t>9</w:t>
      </w:r>
      <w:r>
        <w:rPr>
          <w:rFonts w:asciiTheme="minorEastAsia" w:hAnsiTheme="minorEastAsia" w:eastAsiaTheme="minorEastAsia"/>
          <w:color w:val="auto"/>
        </w:rPr>
        <w:t>.3</w:t>
      </w:r>
      <w:r>
        <w:rPr>
          <w:rFonts w:hint="eastAsia" w:asciiTheme="minorEastAsia" w:hAnsiTheme="minorEastAsia" w:eastAsiaTheme="minorEastAsia"/>
          <w:color w:val="auto"/>
        </w:rPr>
        <w:t>招标文件的提供期限届满后，获取招标文件的潜在投标人不足3家的，可以顺延提供期限，并在指定媒体上发布更正公告（修改公告）。</w:t>
      </w:r>
    </w:p>
    <w:p w14:paraId="4AFD7B21">
      <w:pPr>
        <w:adjustRightInd w:val="0"/>
        <w:snapToGrid w:val="0"/>
        <w:spacing w:before="120" w:beforeLines="50" w:line="352" w:lineRule="exact"/>
        <w:ind w:firstLine="420" w:firstLineChars="200"/>
        <w:jc w:val="left"/>
        <w:rPr>
          <w:rFonts w:asciiTheme="minorEastAsia" w:hAnsiTheme="minorEastAsia" w:eastAsiaTheme="minorEastAsia"/>
          <w:color w:val="auto"/>
        </w:rPr>
      </w:pPr>
      <w:r>
        <w:rPr>
          <w:rFonts w:hint="eastAsia" w:asciiTheme="minorEastAsia" w:hAnsiTheme="minorEastAsia" w:eastAsiaTheme="minorEastAsia"/>
          <w:color w:val="auto"/>
        </w:rPr>
        <w:t>9.4通过电子招标投标交易平台下载招标文件的，请获取招标文件的潜在投标人及时关注指定媒体发布的澄清或者修改公告，采购人、采购代理机构不再书面通知。因投标人自身原因未及时获知澄清或者修改内容而导致的任何后果将由投标人自行承担。</w:t>
      </w:r>
    </w:p>
    <w:p w14:paraId="79697E92">
      <w:pPr>
        <w:pStyle w:val="4"/>
        <w:keepNext w:val="0"/>
        <w:keepLines w:val="0"/>
        <w:adjustRightInd w:val="0"/>
        <w:snapToGrid w:val="0"/>
        <w:spacing w:before="120" w:beforeLines="50" w:after="0" w:line="352" w:lineRule="exact"/>
        <w:jc w:val="center"/>
        <w:rPr>
          <w:rFonts w:ascii="黑体" w:hAnsi="黑体" w:eastAsia="黑体"/>
          <w:color w:val="auto"/>
          <w:sz w:val="28"/>
          <w:szCs w:val="28"/>
        </w:rPr>
      </w:pPr>
      <w:bookmarkStart w:id="63" w:name="_Toc6156"/>
      <w:r>
        <w:rPr>
          <w:rFonts w:hint="eastAsia" w:ascii="黑体" w:hAnsi="黑体" w:eastAsia="黑体"/>
          <w:color w:val="auto"/>
          <w:sz w:val="28"/>
          <w:szCs w:val="28"/>
        </w:rPr>
        <w:t>三、投标文件</w:t>
      </w:r>
      <w:bookmarkEnd w:id="63"/>
    </w:p>
    <w:p w14:paraId="5F29A238">
      <w:pPr>
        <w:pStyle w:val="5"/>
        <w:keepNext w:val="0"/>
        <w:keepLines w:val="0"/>
        <w:adjustRightInd w:val="0"/>
        <w:snapToGrid w:val="0"/>
        <w:spacing w:before="50" w:after="0" w:line="352" w:lineRule="exact"/>
        <w:rPr>
          <w:rFonts w:asciiTheme="minorEastAsia" w:hAnsiTheme="minorEastAsia" w:eastAsiaTheme="minorEastAsia"/>
          <w:color w:val="auto"/>
          <w:sz w:val="24"/>
          <w:szCs w:val="24"/>
        </w:rPr>
      </w:pPr>
      <w:bookmarkStart w:id="64" w:name="_Toc13126"/>
      <w:r>
        <w:rPr>
          <w:rFonts w:hint="eastAsia" w:asciiTheme="minorEastAsia" w:hAnsiTheme="minorEastAsia" w:eastAsiaTheme="minorEastAsia"/>
          <w:color w:val="auto"/>
          <w:sz w:val="24"/>
          <w:szCs w:val="24"/>
        </w:rPr>
        <w:t>10.投标语言</w:t>
      </w:r>
      <w:bookmarkEnd w:id="64"/>
    </w:p>
    <w:p w14:paraId="5B412FDC">
      <w:pPr>
        <w:adjustRightInd w:val="0"/>
        <w:snapToGrid w:val="0"/>
        <w:spacing w:before="120" w:beforeLines="50" w:line="352"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10.1除专用术语外，投标人提交的投标文件及投标人与采购人、采购代理机构就有关投标的所有来往函电均使用中文。投标人可以提交其它语言的资料，但应附有中文注释，有差异时以中文为准。</w:t>
      </w:r>
    </w:p>
    <w:p w14:paraId="6ED5EBE0">
      <w:pPr>
        <w:pStyle w:val="5"/>
        <w:keepNext w:val="0"/>
        <w:keepLines w:val="0"/>
        <w:adjustRightInd w:val="0"/>
        <w:snapToGrid w:val="0"/>
        <w:spacing w:before="50" w:after="0" w:line="352" w:lineRule="exact"/>
        <w:rPr>
          <w:rFonts w:asciiTheme="minorEastAsia" w:hAnsiTheme="minorEastAsia" w:eastAsiaTheme="minorEastAsia"/>
          <w:color w:val="auto"/>
          <w:sz w:val="24"/>
          <w:szCs w:val="24"/>
        </w:rPr>
      </w:pPr>
      <w:bookmarkStart w:id="65" w:name="_Toc4982"/>
      <w:r>
        <w:rPr>
          <w:rFonts w:hint="eastAsia" w:asciiTheme="minorEastAsia" w:hAnsiTheme="minorEastAsia" w:eastAsiaTheme="minorEastAsia"/>
          <w:color w:val="auto"/>
          <w:sz w:val="24"/>
          <w:szCs w:val="24"/>
        </w:rPr>
        <w:t>11.计量单位</w:t>
      </w:r>
      <w:bookmarkEnd w:id="65"/>
    </w:p>
    <w:p w14:paraId="1FC6F23A">
      <w:pPr>
        <w:adjustRightInd w:val="0"/>
        <w:snapToGrid w:val="0"/>
        <w:spacing w:before="120" w:beforeLines="50" w:line="352"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11.1所有计量均采用中华人民共和国法定计量单位。</w:t>
      </w:r>
    </w:p>
    <w:p w14:paraId="2E476CAB">
      <w:pPr>
        <w:pStyle w:val="5"/>
        <w:keepNext w:val="0"/>
        <w:keepLines w:val="0"/>
        <w:adjustRightInd w:val="0"/>
        <w:snapToGrid w:val="0"/>
        <w:spacing w:before="50" w:after="0" w:line="352" w:lineRule="exact"/>
        <w:rPr>
          <w:rFonts w:asciiTheme="minorEastAsia" w:hAnsiTheme="minorEastAsia" w:eastAsiaTheme="minorEastAsia"/>
          <w:color w:val="auto"/>
          <w:sz w:val="24"/>
          <w:szCs w:val="24"/>
        </w:rPr>
      </w:pPr>
      <w:bookmarkStart w:id="66" w:name="_Toc17792"/>
      <w:r>
        <w:rPr>
          <w:rFonts w:hint="eastAsia" w:asciiTheme="minorEastAsia" w:hAnsiTheme="minorEastAsia" w:eastAsiaTheme="minorEastAsia"/>
          <w:color w:val="auto"/>
          <w:sz w:val="24"/>
          <w:szCs w:val="24"/>
        </w:rPr>
        <w:t>12.投标文件的组成</w:t>
      </w:r>
      <w:bookmarkEnd w:id="66"/>
    </w:p>
    <w:p w14:paraId="0520AE8C">
      <w:pPr>
        <w:adjustRightInd w:val="0"/>
        <w:snapToGrid w:val="0"/>
        <w:spacing w:before="120" w:beforeLines="50" w:line="352"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12.1投标文件由如下内容组成：</w:t>
      </w:r>
    </w:p>
    <w:p w14:paraId="51D4DCD7">
      <w:pPr>
        <w:adjustRightInd w:val="0"/>
        <w:snapToGrid w:val="0"/>
        <w:spacing w:before="120" w:beforeLines="50" w:line="352" w:lineRule="exact"/>
        <w:ind w:firstLine="422" w:firstLineChars="200"/>
        <w:jc w:val="left"/>
        <w:rPr>
          <w:rFonts w:asciiTheme="minorEastAsia" w:hAnsiTheme="minorEastAsia" w:eastAsiaTheme="minorEastAsia"/>
          <w:b/>
          <w:color w:val="auto"/>
          <w:szCs w:val="21"/>
        </w:rPr>
      </w:pPr>
      <w:r>
        <w:rPr>
          <w:rFonts w:hint="eastAsia" w:asciiTheme="minorEastAsia" w:hAnsiTheme="minorEastAsia" w:eastAsiaTheme="minorEastAsia"/>
          <w:b/>
          <w:color w:val="auto"/>
          <w:szCs w:val="21"/>
        </w:rPr>
        <w:t>第一部分 资格证明文件</w:t>
      </w:r>
    </w:p>
    <w:p w14:paraId="6E2915D8">
      <w:pPr>
        <w:adjustRightInd w:val="0"/>
        <w:snapToGrid w:val="0"/>
        <w:spacing w:before="120" w:beforeLines="50" w:line="352"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（1）开标一览表</w:t>
      </w:r>
    </w:p>
    <w:p w14:paraId="3937F555">
      <w:pPr>
        <w:adjustRightInd w:val="0"/>
        <w:snapToGrid w:val="0"/>
        <w:spacing w:before="120" w:beforeLines="50" w:line="352"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（2）投标保</w:t>
      </w:r>
      <w:r>
        <w:rPr>
          <w:rFonts w:hint="eastAsia" w:asciiTheme="minorEastAsia" w:hAnsiTheme="minorEastAsia" w:eastAsiaTheme="minorEastAsia"/>
          <w:bCs/>
          <w:color w:val="auto"/>
          <w:szCs w:val="21"/>
        </w:rPr>
        <w:t>证金</w:t>
      </w:r>
    </w:p>
    <w:p w14:paraId="32CB8D14">
      <w:pPr>
        <w:adjustRightInd w:val="0"/>
        <w:snapToGrid w:val="0"/>
        <w:spacing w:before="120" w:beforeLines="50" w:line="352"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（3）法定代表人（单位负责人）身份证明或授权委托书</w:t>
      </w:r>
    </w:p>
    <w:p w14:paraId="45F011E1">
      <w:pPr>
        <w:adjustRightInd w:val="0"/>
        <w:snapToGrid w:val="0"/>
        <w:spacing w:before="120" w:beforeLines="50" w:line="352"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（4）投标人提供的资格证明文件</w:t>
      </w:r>
    </w:p>
    <w:p w14:paraId="25EAC7DF">
      <w:pPr>
        <w:adjustRightInd w:val="0"/>
        <w:snapToGrid w:val="0"/>
        <w:spacing w:before="120" w:beforeLines="50" w:line="352" w:lineRule="exact"/>
        <w:ind w:firstLine="422" w:firstLineChars="200"/>
        <w:jc w:val="left"/>
        <w:rPr>
          <w:rFonts w:asciiTheme="minorEastAsia" w:hAnsiTheme="minorEastAsia" w:eastAsiaTheme="minorEastAsia"/>
          <w:b/>
          <w:color w:val="auto"/>
          <w:szCs w:val="21"/>
        </w:rPr>
      </w:pPr>
      <w:r>
        <w:rPr>
          <w:rFonts w:hint="eastAsia" w:asciiTheme="minorEastAsia" w:hAnsiTheme="minorEastAsia" w:eastAsiaTheme="minorEastAsia"/>
          <w:b/>
          <w:color w:val="auto"/>
          <w:szCs w:val="21"/>
        </w:rPr>
        <w:t>第二部分 商务和技术文件</w:t>
      </w:r>
    </w:p>
    <w:p w14:paraId="3B027567">
      <w:pPr>
        <w:adjustRightInd w:val="0"/>
        <w:snapToGrid w:val="0"/>
        <w:spacing w:before="120" w:beforeLines="50" w:line="352"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（5）投标函</w:t>
      </w:r>
    </w:p>
    <w:p w14:paraId="685EBD84">
      <w:pPr>
        <w:adjustRightInd w:val="0"/>
        <w:snapToGrid w:val="0"/>
        <w:spacing w:before="120" w:beforeLines="50" w:line="352"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（6）分项报价</w:t>
      </w:r>
    </w:p>
    <w:p w14:paraId="15996DA3">
      <w:pPr>
        <w:adjustRightInd w:val="0"/>
        <w:snapToGrid w:val="0"/>
        <w:spacing w:before="120" w:beforeLines="50" w:line="352"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（7）采购需求响应</w:t>
      </w:r>
    </w:p>
    <w:p w14:paraId="3A0FC348">
      <w:pPr>
        <w:adjustRightInd w:val="0"/>
        <w:snapToGrid w:val="0"/>
        <w:spacing w:before="120" w:beforeLines="50" w:line="352"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（8）合同条款偏离表</w:t>
      </w:r>
    </w:p>
    <w:p w14:paraId="09C37C6C">
      <w:pPr>
        <w:adjustRightInd w:val="0"/>
        <w:snapToGrid w:val="0"/>
        <w:spacing w:before="120" w:beforeLines="50" w:line="352"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（9）采购需求偏离表</w:t>
      </w:r>
    </w:p>
    <w:p w14:paraId="2B88F7DA">
      <w:pPr>
        <w:adjustRightInd w:val="0"/>
        <w:snapToGrid w:val="0"/>
        <w:spacing w:before="120" w:beforeLines="50" w:line="352"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（10）享受政府采购政策优惠的证明资料</w:t>
      </w:r>
    </w:p>
    <w:p w14:paraId="40993E03">
      <w:pPr>
        <w:adjustRightInd w:val="0"/>
        <w:snapToGrid w:val="0"/>
        <w:spacing w:before="120" w:beforeLines="50" w:line="352"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（11）投标货物符合招标文件规定的证明文件</w:t>
      </w:r>
    </w:p>
    <w:p w14:paraId="51ECCE6F">
      <w:pPr>
        <w:adjustRightInd w:val="0"/>
        <w:snapToGrid w:val="0"/>
        <w:spacing w:before="120" w:beforeLines="50" w:line="352"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（12）投标人认为需提供的其他资料</w:t>
      </w:r>
    </w:p>
    <w:p w14:paraId="04B84DE5">
      <w:pPr>
        <w:adjustRightInd w:val="0"/>
        <w:snapToGrid w:val="0"/>
        <w:spacing w:before="120" w:beforeLines="50" w:line="352"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（13）中标服务费承诺书</w:t>
      </w:r>
    </w:p>
    <w:p w14:paraId="2D910E4D">
      <w:pPr>
        <w:adjustRightInd w:val="0"/>
        <w:snapToGrid w:val="0"/>
        <w:spacing w:before="120" w:beforeLines="50" w:line="352"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12.2投标人可以编制资格审查索引表、符合性审查索引表、评审索引表，以方便采购人、采购代理机构、评标委员会在资格审查及评审时查阅。</w:t>
      </w:r>
    </w:p>
    <w:p w14:paraId="30DE7E15">
      <w:pPr>
        <w:adjustRightInd w:val="0"/>
        <w:snapToGrid w:val="0"/>
        <w:spacing w:before="120" w:beforeLines="50" w:line="352"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12.3根据《政府采购法》第四十二条的规定，投标人无论中标与否，其投标文件不予退还。</w:t>
      </w:r>
    </w:p>
    <w:p w14:paraId="6297CADC">
      <w:pPr>
        <w:pStyle w:val="5"/>
        <w:keepNext w:val="0"/>
        <w:keepLines w:val="0"/>
        <w:adjustRightInd w:val="0"/>
        <w:snapToGrid w:val="0"/>
        <w:spacing w:before="50" w:after="0" w:line="352" w:lineRule="exact"/>
        <w:rPr>
          <w:rFonts w:asciiTheme="minorEastAsia" w:hAnsiTheme="minorEastAsia" w:eastAsiaTheme="minorEastAsia"/>
          <w:color w:val="auto"/>
          <w:sz w:val="24"/>
          <w:szCs w:val="24"/>
        </w:rPr>
      </w:pPr>
      <w:bookmarkStart w:id="67" w:name="_Toc16128"/>
      <w:r>
        <w:rPr>
          <w:rFonts w:hint="eastAsia" w:asciiTheme="minorEastAsia" w:hAnsiTheme="minorEastAsia" w:eastAsiaTheme="minorEastAsia"/>
          <w:color w:val="auto"/>
          <w:sz w:val="24"/>
          <w:szCs w:val="24"/>
        </w:rPr>
        <w:t>13.投标报价</w:t>
      </w:r>
      <w:bookmarkEnd w:id="67"/>
    </w:p>
    <w:p w14:paraId="744E54F4">
      <w:pPr>
        <w:adjustRightInd w:val="0"/>
        <w:snapToGrid w:val="0"/>
        <w:spacing w:before="120" w:beforeLines="50" w:line="352"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13.1投标人应以招标文件规定的供货及服务要求、责任范围和合同条件为基础，按第七章“投标文件的组成”的有关规定进行报价。投标人的报价应包括为完成本项目所要求的全部内容可能发生的全部费用和税费、规费、保险费（如果有）等，采购人将不再支付报价以外的任何费用。</w:t>
      </w:r>
    </w:p>
    <w:p w14:paraId="7C1DF838">
      <w:pPr>
        <w:adjustRightInd w:val="0"/>
        <w:snapToGrid w:val="0"/>
        <w:spacing w:before="120" w:beforeLines="50" w:line="352" w:lineRule="exact"/>
        <w:ind w:firstLine="420" w:firstLineChars="200"/>
        <w:jc w:val="left"/>
        <w:rPr>
          <w:rFonts w:asciiTheme="minorEastAsia" w:hAnsiTheme="minorEastAsia" w:eastAsiaTheme="minorEastAsia"/>
          <w:color w:val="auto"/>
          <w:szCs w:val="21"/>
        </w:rPr>
      </w:pPr>
      <w:r>
        <w:rPr>
          <w:rFonts w:asciiTheme="minorEastAsia" w:hAnsiTheme="minorEastAsia" w:eastAsiaTheme="minorEastAsia"/>
          <w:color w:val="auto"/>
          <w:szCs w:val="21"/>
        </w:rPr>
        <w:t>1</w:t>
      </w:r>
      <w:r>
        <w:rPr>
          <w:rFonts w:hint="eastAsia" w:asciiTheme="minorEastAsia" w:hAnsiTheme="minorEastAsia" w:eastAsiaTheme="minorEastAsia"/>
          <w:color w:val="auto"/>
          <w:szCs w:val="21"/>
        </w:rPr>
        <w:t>3</w:t>
      </w:r>
      <w:r>
        <w:rPr>
          <w:rFonts w:asciiTheme="minorEastAsia" w:hAnsiTheme="minorEastAsia" w:eastAsiaTheme="minorEastAsia"/>
          <w:color w:val="auto"/>
          <w:szCs w:val="21"/>
        </w:rPr>
        <w:t>.</w:t>
      </w:r>
      <w:r>
        <w:rPr>
          <w:rFonts w:hint="eastAsia" w:asciiTheme="minorEastAsia" w:hAnsiTheme="minorEastAsia" w:eastAsiaTheme="minorEastAsia"/>
          <w:color w:val="auto"/>
          <w:szCs w:val="21"/>
        </w:rPr>
        <w:t>2投标人的投标报价不得超过采购预算，也不得超过最高限价（如果设定），否则其</w:t>
      </w:r>
      <w:r>
        <w:rPr>
          <w:rFonts w:hint="eastAsia" w:asciiTheme="minorEastAsia" w:hAnsiTheme="minorEastAsia" w:eastAsiaTheme="minorEastAsia"/>
          <w:b/>
          <w:color w:val="auto"/>
          <w:szCs w:val="21"/>
        </w:rPr>
        <w:t>投标无效</w:t>
      </w:r>
      <w:r>
        <w:rPr>
          <w:rFonts w:hint="eastAsia" w:asciiTheme="minorEastAsia" w:hAnsiTheme="minorEastAsia" w:eastAsiaTheme="minorEastAsia"/>
          <w:color w:val="auto"/>
          <w:szCs w:val="21"/>
        </w:rPr>
        <w:t>。采购项目预算、最高限价见</w:t>
      </w:r>
      <w:r>
        <w:rPr>
          <w:rFonts w:hint="eastAsia" w:asciiTheme="minorEastAsia" w:hAnsiTheme="minorEastAsia" w:eastAsiaTheme="minorEastAsia"/>
          <w:b/>
          <w:color w:val="auto"/>
          <w:szCs w:val="21"/>
        </w:rPr>
        <w:t>【投标须知前附表】</w:t>
      </w:r>
      <w:r>
        <w:rPr>
          <w:rFonts w:hint="eastAsia" w:asciiTheme="minorEastAsia" w:hAnsiTheme="minorEastAsia" w:eastAsiaTheme="minorEastAsia"/>
          <w:color w:val="auto"/>
          <w:szCs w:val="21"/>
        </w:rPr>
        <w:t>。</w:t>
      </w:r>
    </w:p>
    <w:p w14:paraId="24C8659F">
      <w:pPr>
        <w:adjustRightInd w:val="0"/>
        <w:snapToGrid w:val="0"/>
        <w:spacing w:before="120" w:beforeLines="50" w:line="352" w:lineRule="exact"/>
        <w:ind w:firstLine="420" w:firstLineChars="200"/>
        <w:jc w:val="left"/>
        <w:rPr>
          <w:rFonts w:asciiTheme="minorEastAsia" w:hAnsiTheme="minorEastAsia" w:eastAsiaTheme="minorEastAsia"/>
          <w:color w:val="auto"/>
        </w:rPr>
      </w:pPr>
      <w:r>
        <w:rPr>
          <w:rFonts w:hint="eastAsia" w:asciiTheme="minorEastAsia" w:hAnsiTheme="minorEastAsia" w:eastAsiaTheme="minorEastAsia"/>
          <w:color w:val="auto"/>
          <w:szCs w:val="21"/>
        </w:rPr>
        <w:t>13.3 投标人应在分项报价明细表中对每项内容给予详细分项</w:t>
      </w:r>
      <w:r>
        <w:rPr>
          <w:rFonts w:hint="eastAsia" w:asciiTheme="minorEastAsia" w:hAnsiTheme="minorEastAsia" w:eastAsiaTheme="minorEastAsia"/>
          <w:color w:val="auto"/>
        </w:rPr>
        <w:t>报价。</w:t>
      </w:r>
    </w:p>
    <w:p w14:paraId="36EF402E">
      <w:pPr>
        <w:adjustRightInd w:val="0"/>
        <w:snapToGrid w:val="0"/>
        <w:spacing w:before="120" w:beforeLines="50" w:line="352" w:lineRule="exact"/>
        <w:ind w:firstLine="420" w:firstLineChars="200"/>
        <w:jc w:val="left"/>
        <w:rPr>
          <w:rFonts w:asciiTheme="minorEastAsia" w:hAnsiTheme="minorEastAsia" w:eastAsiaTheme="minorEastAsia"/>
          <w:color w:val="auto"/>
        </w:rPr>
      </w:pPr>
      <w:r>
        <w:rPr>
          <w:rFonts w:hint="eastAsia" w:asciiTheme="minorEastAsia" w:hAnsiTheme="minorEastAsia" w:eastAsiaTheme="minorEastAsia"/>
          <w:color w:val="auto"/>
        </w:rPr>
        <w:t>13.4投标人对采购项目内容只允许有一个投标报价，否则其</w:t>
      </w:r>
      <w:r>
        <w:rPr>
          <w:rFonts w:hint="eastAsia" w:asciiTheme="minorEastAsia" w:hAnsiTheme="minorEastAsia" w:eastAsiaTheme="minorEastAsia"/>
          <w:b/>
          <w:color w:val="auto"/>
        </w:rPr>
        <w:t>投标无效</w:t>
      </w:r>
      <w:r>
        <w:rPr>
          <w:rFonts w:hint="eastAsia" w:asciiTheme="minorEastAsia" w:hAnsiTheme="minorEastAsia" w:eastAsiaTheme="minorEastAsia"/>
          <w:color w:val="auto"/>
        </w:rPr>
        <w:t>。</w:t>
      </w:r>
    </w:p>
    <w:p w14:paraId="137E0020">
      <w:pPr>
        <w:adjustRightInd w:val="0"/>
        <w:snapToGrid w:val="0"/>
        <w:spacing w:before="120" w:beforeLines="50" w:line="352" w:lineRule="exact"/>
        <w:ind w:firstLine="420" w:firstLineChars="200"/>
        <w:jc w:val="left"/>
        <w:rPr>
          <w:rFonts w:asciiTheme="minorEastAsia" w:hAnsiTheme="minorEastAsia" w:eastAsiaTheme="minorEastAsia"/>
          <w:color w:val="auto"/>
        </w:rPr>
      </w:pPr>
      <w:r>
        <w:rPr>
          <w:rFonts w:hint="eastAsia" w:asciiTheme="minorEastAsia" w:hAnsiTheme="minorEastAsia" w:eastAsiaTheme="minorEastAsia"/>
          <w:color w:val="auto"/>
        </w:rPr>
        <w:t>13.5采购人不接受投标人给予的赠品、回扣或者与采购无关的其他商品、服务。如有赠与行为，其</w:t>
      </w:r>
      <w:r>
        <w:rPr>
          <w:rFonts w:hint="eastAsia" w:asciiTheme="minorEastAsia" w:hAnsiTheme="minorEastAsia" w:eastAsiaTheme="minorEastAsia"/>
          <w:b/>
          <w:color w:val="auto"/>
        </w:rPr>
        <w:t>投标无效</w:t>
      </w:r>
      <w:r>
        <w:rPr>
          <w:rFonts w:hint="eastAsia" w:asciiTheme="minorEastAsia" w:hAnsiTheme="minorEastAsia" w:eastAsiaTheme="minorEastAsia"/>
          <w:color w:val="auto"/>
        </w:rPr>
        <w:t>。</w:t>
      </w:r>
    </w:p>
    <w:p w14:paraId="63D7962D">
      <w:pPr>
        <w:adjustRightInd w:val="0"/>
        <w:snapToGrid w:val="0"/>
        <w:spacing w:before="120" w:beforeLines="50" w:line="352"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13.6</w:t>
      </w:r>
      <w:r>
        <w:rPr>
          <w:rFonts w:hint="eastAsia" w:asciiTheme="minorEastAsia" w:hAnsiTheme="minorEastAsia" w:eastAsiaTheme="minorEastAsia"/>
          <w:color w:val="auto"/>
        </w:rPr>
        <w:t>投标文件中标明的价格在合同执行过程中是固定不变的，不得以任何理由予以变更。任何包含价格调整要求和条件的投标，其</w:t>
      </w:r>
      <w:r>
        <w:rPr>
          <w:rFonts w:hint="eastAsia" w:asciiTheme="minorEastAsia" w:hAnsiTheme="minorEastAsia" w:eastAsiaTheme="minorEastAsia"/>
          <w:b/>
          <w:color w:val="auto"/>
        </w:rPr>
        <w:t>投标无效</w:t>
      </w:r>
      <w:r>
        <w:rPr>
          <w:rFonts w:hint="eastAsia" w:asciiTheme="minorEastAsia" w:hAnsiTheme="minorEastAsia" w:eastAsiaTheme="minorEastAsia"/>
          <w:color w:val="auto"/>
        </w:rPr>
        <w:t>。</w:t>
      </w:r>
    </w:p>
    <w:p w14:paraId="60A93248">
      <w:pPr>
        <w:adjustRightInd w:val="0"/>
        <w:snapToGrid w:val="0"/>
        <w:spacing w:before="120" w:beforeLines="50" w:line="352" w:lineRule="exact"/>
        <w:ind w:firstLine="420" w:firstLineChars="200"/>
        <w:jc w:val="left"/>
        <w:rPr>
          <w:rFonts w:asciiTheme="minorEastAsia" w:hAnsiTheme="minorEastAsia" w:eastAsiaTheme="minorEastAsia"/>
          <w:color w:val="auto"/>
        </w:rPr>
      </w:pPr>
      <w:r>
        <w:rPr>
          <w:rFonts w:hint="eastAsia" w:asciiTheme="minorEastAsia" w:hAnsiTheme="minorEastAsia" w:eastAsiaTheme="minorEastAsia"/>
          <w:color w:val="auto"/>
        </w:rPr>
        <w:t>13.7投标人在投标截止时间前修改“开标一览表”中的投标报价的，应同时修改投标文件“分项报价明细表”“享受政府采购政策优惠的证明资料”以及“联合体协议书”（如果影响）等相关内容。此修改须符合本章第22.1款的有关要求。</w:t>
      </w:r>
    </w:p>
    <w:p w14:paraId="55FAF09C">
      <w:pPr>
        <w:adjustRightInd w:val="0"/>
        <w:snapToGrid w:val="0"/>
        <w:spacing w:before="120" w:beforeLines="50" w:line="352" w:lineRule="exact"/>
        <w:ind w:firstLine="420" w:firstLineChars="200"/>
        <w:jc w:val="left"/>
        <w:rPr>
          <w:rFonts w:asciiTheme="minorEastAsia" w:hAnsiTheme="minorEastAsia" w:eastAsiaTheme="minorEastAsia"/>
          <w:color w:val="auto"/>
        </w:rPr>
      </w:pPr>
      <w:r>
        <w:rPr>
          <w:rFonts w:hint="eastAsia" w:asciiTheme="minorEastAsia" w:hAnsiTheme="minorEastAsia" w:eastAsiaTheme="minorEastAsia"/>
          <w:color w:val="auto"/>
        </w:rPr>
        <w:t>13.8投标报价的其他要求见</w:t>
      </w:r>
      <w:r>
        <w:rPr>
          <w:rFonts w:hint="eastAsia" w:asciiTheme="minorEastAsia" w:hAnsiTheme="minorEastAsia"/>
          <w:b/>
          <w:color w:val="auto"/>
          <w:szCs w:val="21"/>
        </w:rPr>
        <w:t>【投标须知前附表】</w:t>
      </w:r>
      <w:r>
        <w:rPr>
          <w:rFonts w:hint="eastAsia" w:asciiTheme="minorEastAsia" w:hAnsiTheme="minorEastAsia" w:eastAsiaTheme="minorEastAsia"/>
          <w:color w:val="auto"/>
        </w:rPr>
        <w:t xml:space="preserve">。 </w:t>
      </w:r>
    </w:p>
    <w:p w14:paraId="16ED8590">
      <w:pPr>
        <w:pStyle w:val="5"/>
        <w:keepNext w:val="0"/>
        <w:keepLines w:val="0"/>
        <w:adjustRightInd w:val="0"/>
        <w:snapToGrid w:val="0"/>
        <w:spacing w:before="50" w:after="0" w:line="352" w:lineRule="exact"/>
        <w:rPr>
          <w:rFonts w:asciiTheme="minorEastAsia" w:hAnsiTheme="minorEastAsia" w:eastAsiaTheme="minorEastAsia"/>
          <w:color w:val="auto"/>
          <w:sz w:val="24"/>
          <w:szCs w:val="24"/>
        </w:rPr>
      </w:pPr>
      <w:bookmarkStart w:id="68" w:name="_Toc19796"/>
      <w:r>
        <w:rPr>
          <w:rFonts w:hint="eastAsia" w:asciiTheme="minorEastAsia" w:hAnsiTheme="minorEastAsia" w:eastAsiaTheme="minorEastAsia"/>
          <w:color w:val="auto"/>
          <w:sz w:val="24"/>
          <w:szCs w:val="24"/>
        </w:rPr>
        <w:t>14.投标人的资格证明文件</w:t>
      </w:r>
      <w:bookmarkEnd w:id="68"/>
    </w:p>
    <w:p w14:paraId="3129A694">
      <w:pPr>
        <w:adjustRightInd w:val="0"/>
        <w:snapToGrid w:val="0"/>
        <w:spacing w:before="120" w:beforeLines="50" w:line="352" w:lineRule="exact"/>
        <w:ind w:firstLine="420" w:firstLineChars="200"/>
        <w:rPr>
          <w:rFonts w:asciiTheme="minorEastAsia" w:hAnsiTheme="minorEastAsia" w:eastAsiaTheme="minorEastAsia"/>
          <w:color w:val="auto"/>
        </w:rPr>
      </w:pPr>
      <w:r>
        <w:rPr>
          <w:rFonts w:hint="eastAsia" w:asciiTheme="minorEastAsia" w:hAnsiTheme="minorEastAsia"/>
          <w:color w:val="auto"/>
        </w:rPr>
        <w:t>14.1</w:t>
      </w:r>
      <w:r>
        <w:rPr>
          <w:rFonts w:hint="eastAsia" w:asciiTheme="minorEastAsia" w:hAnsiTheme="minorEastAsia" w:eastAsiaTheme="minorEastAsia"/>
          <w:color w:val="auto"/>
          <w:szCs w:val="21"/>
        </w:rPr>
        <w:t>除</w:t>
      </w:r>
      <w:r>
        <w:rPr>
          <w:rFonts w:hint="eastAsia" w:asciiTheme="minorEastAsia" w:hAnsiTheme="minorEastAsia"/>
          <w:b/>
          <w:color w:val="auto"/>
          <w:szCs w:val="21"/>
        </w:rPr>
        <w:t>【投标须知前附表】</w:t>
      </w:r>
      <w:r>
        <w:rPr>
          <w:rFonts w:hint="eastAsia" w:asciiTheme="minorEastAsia" w:hAnsiTheme="minorEastAsia" w:eastAsiaTheme="minorEastAsia"/>
          <w:color w:val="auto"/>
          <w:szCs w:val="21"/>
        </w:rPr>
        <w:t>另有规</w:t>
      </w:r>
      <w:r>
        <w:rPr>
          <w:rFonts w:hint="eastAsia" w:asciiTheme="minorEastAsia" w:hAnsiTheme="minorEastAsia" w:eastAsiaTheme="minorEastAsia"/>
          <w:color w:val="auto"/>
        </w:rPr>
        <w:t>定外，投标人应按下列规定提供资格证明文件。</w:t>
      </w:r>
    </w:p>
    <w:p w14:paraId="25E83743">
      <w:pPr>
        <w:adjustRightInd w:val="0"/>
        <w:snapToGrid w:val="0"/>
        <w:spacing w:before="120" w:beforeLines="50" w:line="352" w:lineRule="exact"/>
        <w:ind w:firstLine="420" w:firstLineChars="200"/>
        <w:rPr>
          <w:rFonts w:asciiTheme="minorEastAsia" w:hAnsiTheme="minorEastAsia"/>
          <w:color w:val="auto"/>
        </w:rPr>
      </w:pPr>
      <w:r>
        <w:rPr>
          <w:rFonts w:hint="eastAsia" w:asciiTheme="minorEastAsia" w:hAnsiTheme="minorEastAsia"/>
          <w:color w:val="auto"/>
        </w:rPr>
        <w:t>（1）</w:t>
      </w:r>
      <w:r>
        <w:rPr>
          <w:rFonts w:hint="eastAsia" w:asciiTheme="minorEastAsia" w:hAnsiTheme="minorEastAsia"/>
          <w:b/>
          <w:color w:val="auto"/>
        </w:rPr>
        <w:t>法人或者其他组织的营业执照等主体资格证明文件，自然人的身份证明</w:t>
      </w:r>
      <w:r>
        <w:rPr>
          <w:rFonts w:hint="eastAsia" w:asciiTheme="minorEastAsia" w:hAnsiTheme="minorEastAsia"/>
          <w:color w:val="auto"/>
        </w:rPr>
        <w:t>：投标人为法人的，应提交营业执照或法人登记证书的复印件；投标人为非法人组织的，应提交依法登记证书复印件；投标人为个体工商户的，应提交个体工商户营业执照复印件；投标人为自然人的，应提交自然人的身份证明复印件。</w:t>
      </w:r>
    </w:p>
    <w:p w14:paraId="589CC15B">
      <w:pPr>
        <w:adjustRightInd w:val="0"/>
        <w:snapToGrid w:val="0"/>
        <w:spacing w:before="120" w:beforeLines="50" w:line="352" w:lineRule="exact"/>
        <w:ind w:firstLine="420" w:firstLineChars="200"/>
        <w:rPr>
          <w:rFonts w:asciiTheme="minorEastAsia" w:hAnsiTheme="minorEastAsia"/>
          <w:color w:val="auto"/>
        </w:rPr>
      </w:pPr>
      <w:r>
        <w:rPr>
          <w:rFonts w:hint="eastAsia" w:asciiTheme="minorEastAsia" w:hAnsiTheme="minorEastAsia"/>
          <w:color w:val="auto"/>
        </w:rPr>
        <w:t>（2）</w:t>
      </w:r>
      <w:r>
        <w:rPr>
          <w:rFonts w:hint="eastAsia" w:asciiTheme="minorEastAsia" w:hAnsiTheme="minorEastAsia" w:eastAsiaTheme="minorEastAsia"/>
          <w:b/>
          <w:color w:val="auto"/>
        </w:rPr>
        <w:t>投标人资格声明（格式）</w:t>
      </w:r>
    </w:p>
    <w:p w14:paraId="10B2ACDC">
      <w:pPr>
        <w:adjustRightInd w:val="0"/>
        <w:snapToGrid w:val="0"/>
        <w:spacing w:before="120" w:beforeLines="50" w:line="352" w:lineRule="exact"/>
        <w:ind w:firstLine="420" w:firstLineChars="200"/>
        <w:rPr>
          <w:rFonts w:asciiTheme="minorEastAsia" w:hAnsiTheme="minorEastAsia"/>
          <w:color w:val="auto"/>
          <w:szCs w:val="21"/>
        </w:rPr>
      </w:pPr>
      <w:r>
        <w:rPr>
          <w:rFonts w:hint="eastAsia" w:asciiTheme="minorEastAsia" w:hAnsiTheme="minorEastAsia"/>
          <w:color w:val="auto"/>
        </w:rPr>
        <w:t>（3）</w:t>
      </w:r>
      <w:r>
        <w:rPr>
          <w:rFonts w:hint="eastAsia" w:asciiTheme="minorEastAsia" w:hAnsiTheme="minorEastAsia"/>
          <w:b/>
          <w:color w:val="auto"/>
        </w:rPr>
        <w:t>符合特定资格条件证明材料复印件或者情况说明原件</w:t>
      </w:r>
      <w:r>
        <w:rPr>
          <w:rFonts w:hint="eastAsia" w:asciiTheme="minorEastAsia" w:hAnsiTheme="minorEastAsia"/>
          <w:color w:val="auto"/>
        </w:rPr>
        <w:t>。详</w:t>
      </w:r>
      <w:r>
        <w:rPr>
          <w:rFonts w:hint="eastAsia" w:asciiTheme="minorEastAsia" w:hAnsiTheme="minorEastAsia"/>
          <w:color w:val="auto"/>
          <w:szCs w:val="21"/>
        </w:rPr>
        <w:t>见</w:t>
      </w:r>
      <w:r>
        <w:rPr>
          <w:rFonts w:hint="eastAsia" w:asciiTheme="minorEastAsia" w:hAnsiTheme="minorEastAsia"/>
          <w:b/>
          <w:color w:val="auto"/>
          <w:szCs w:val="21"/>
        </w:rPr>
        <w:t>【投标须知前附表】</w:t>
      </w:r>
      <w:r>
        <w:rPr>
          <w:rFonts w:hint="eastAsia" w:asciiTheme="minorEastAsia" w:hAnsiTheme="minorEastAsia"/>
          <w:color w:val="auto"/>
          <w:szCs w:val="21"/>
        </w:rPr>
        <w:t>。</w:t>
      </w:r>
    </w:p>
    <w:p w14:paraId="319E1D82">
      <w:pPr>
        <w:adjustRightInd w:val="0"/>
        <w:snapToGrid w:val="0"/>
        <w:spacing w:before="120" w:beforeLines="50" w:line="352" w:lineRule="exact"/>
        <w:ind w:firstLine="420" w:firstLineChars="200"/>
        <w:rPr>
          <w:rFonts w:asciiTheme="minorEastAsia" w:hAnsiTheme="minorEastAsia"/>
          <w:color w:val="auto"/>
        </w:rPr>
      </w:pPr>
      <w:r>
        <w:rPr>
          <w:rFonts w:hint="eastAsia" w:asciiTheme="minorEastAsia" w:hAnsiTheme="minorEastAsia"/>
          <w:color w:val="auto"/>
        </w:rPr>
        <w:t>14.2投标人以联合体形式投标的，除应提交联合协议（格式）外，参加联合体的各方均应提交上款资格证明材料。</w:t>
      </w:r>
    </w:p>
    <w:p w14:paraId="19DED6CD">
      <w:pPr>
        <w:adjustRightInd w:val="0"/>
        <w:snapToGrid w:val="0"/>
        <w:spacing w:before="120" w:beforeLines="50" w:line="352" w:lineRule="exact"/>
        <w:ind w:firstLine="420" w:firstLineChars="200"/>
        <w:rPr>
          <w:rFonts w:asciiTheme="minorEastAsia" w:hAnsiTheme="minorEastAsia"/>
          <w:color w:val="auto"/>
        </w:rPr>
      </w:pPr>
      <w:r>
        <w:rPr>
          <w:rFonts w:hint="eastAsia" w:asciiTheme="minorEastAsia" w:hAnsiTheme="minorEastAsia"/>
          <w:color w:val="auto"/>
        </w:rPr>
        <w:t>14.3本章第3.1款规定采购项目或者采购包属于</w:t>
      </w:r>
      <w:r>
        <w:rPr>
          <w:rFonts w:hint="eastAsia" w:ascii="宋体" w:hAnsi="宋体"/>
          <w:color w:val="auto"/>
        </w:rPr>
        <w:t>“</w:t>
      </w:r>
      <w:r>
        <w:rPr>
          <w:rFonts w:hint="eastAsia" w:asciiTheme="minorEastAsia" w:hAnsiTheme="minorEastAsia"/>
          <w:color w:val="auto"/>
        </w:rPr>
        <w:t>预留采购份额</w:t>
      </w:r>
      <w:r>
        <w:rPr>
          <w:rFonts w:hint="eastAsia" w:ascii="宋体" w:hAnsi="宋体"/>
          <w:color w:val="auto"/>
        </w:rPr>
        <w:t>”</w:t>
      </w:r>
      <w:r>
        <w:rPr>
          <w:rFonts w:hint="eastAsia" w:asciiTheme="minorEastAsia" w:hAnsiTheme="minorEastAsia"/>
          <w:color w:val="auto"/>
        </w:rPr>
        <w:t>的，投标人应按本章第</w:t>
      </w:r>
      <w:r>
        <w:rPr>
          <w:rFonts w:asciiTheme="minorEastAsia" w:hAnsiTheme="minorEastAsia"/>
          <w:color w:val="auto"/>
        </w:rPr>
        <w:t>40.2</w:t>
      </w:r>
      <w:r>
        <w:rPr>
          <w:rFonts w:hint="eastAsia" w:asciiTheme="minorEastAsia" w:hAnsiTheme="minorEastAsia"/>
          <w:color w:val="auto"/>
        </w:rPr>
        <w:t>款或者第40.</w:t>
      </w:r>
      <w:r>
        <w:rPr>
          <w:rFonts w:asciiTheme="minorEastAsia" w:hAnsiTheme="minorEastAsia"/>
          <w:color w:val="auto"/>
        </w:rPr>
        <w:t>3</w:t>
      </w:r>
      <w:r>
        <w:rPr>
          <w:rFonts w:hint="eastAsia" w:asciiTheme="minorEastAsia" w:hAnsiTheme="minorEastAsia"/>
          <w:color w:val="auto"/>
        </w:rPr>
        <w:t>款或者第40.</w:t>
      </w:r>
      <w:r>
        <w:rPr>
          <w:rFonts w:asciiTheme="minorEastAsia" w:hAnsiTheme="minorEastAsia"/>
          <w:color w:val="auto"/>
        </w:rPr>
        <w:t>4</w:t>
      </w:r>
      <w:r>
        <w:rPr>
          <w:rFonts w:hint="eastAsia" w:asciiTheme="minorEastAsia" w:hAnsiTheme="minorEastAsia"/>
          <w:color w:val="auto"/>
        </w:rPr>
        <w:t>款规定提交证明材料。</w:t>
      </w:r>
    </w:p>
    <w:p w14:paraId="14E33065">
      <w:pPr>
        <w:adjustRightInd w:val="0"/>
        <w:snapToGrid w:val="0"/>
        <w:spacing w:before="120" w:beforeLines="50" w:line="352" w:lineRule="exact"/>
        <w:ind w:firstLine="420" w:firstLineChars="200"/>
        <w:rPr>
          <w:rFonts w:asciiTheme="minorEastAsia" w:hAnsiTheme="minorEastAsia"/>
          <w:color w:val="auto"/>
        </w:rPr>
      </w:pPr>
      <w:r>
        <w:rPr>
          <w:rFonts w:hint="eastAsia" w:asciiTheme="minorEastAsia" w:hAnsiTheme="minorEastAsia"/>
          <w:color w:val="auto"/>
        </w:rPr>
        <w:t>14.4投标人的资格证明文件均应为有效文件并加盖投标人单位章，并按招标文件规定签署。</w:t>
      </w:r>
    </w:p>
    <w:p w14:paraId="6AC455D3">
      <w:pPr>
        <w:pStyle w:val="5"/>
        <w:keepNext w:val="0"/>
        <w:keepLines w:val="0"/>
        <w:adjustRightInd w:val="0"/>
        <w:snapToGrid w:val="0"/>
        <w:spacing w:before="50" w:after="0" w:line="352" w:lineRule="exact"/>
        <w:rPr>
          <w:rFonts w:asciiTheme="minorEastAsia" w:hAnsiTheme="minorEastAsia" w:eastAsiaTheme="minorEastAsia"/>
          <w:color w:val="auto"/>
          <w:sz w:val="24"/>
          <w:szCs w:val="24"/>
        </w:rPr>
      </w:pPr>
      <w:bookmarkStart w:id="69" w:name="_Toc29902"/>
      <w:r>
        <w:rPr>
          <w:rFonts w:hint="eastAsia" w:asciiTheme="minorEastAsia" w:hAnsiTheme="minorEastAsia" w:eastAsiaTheme="minorEastAsia"/>
          <w:color w:val="auto"/>
          <w:sz w:val="24"/>
          <w:szCs w:val="24"/>
        </w:rPr>
        <w:t>15.投标货物及服务符合招标文件规定的证明文件</w:t>
      </w:r>
      <w:bookmarkEnd w:id="69"/>
    </w:p>
    <w:p w14:paraId="091D7644">
      <w:pPr>
        <w:adjustRightInd w:val="0"/>
        <w:snapToGrid w:val="0"/>
        <w:spacing w:before="120" w:beforeLines="50" w:line="352"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15.1投标人应当提交其拟供的合同项下货物及其服务符合招标文件规定的证明文件，该证明文件作为投标文件的一部分。</w:t>
      </w:r>
    </w:p>
    <w:p w14:paraId="4A4ED6DC">
      <w:pPr>
        <w:adjustRightInd w:val="0"/>
        <w:snapToGrid w:val="0"/>
        <w:spacing w:before="120" w:beforeLines="50" w:line="352"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15.2上述证明文件可以是文字资料、图表、数据、证书等资料，包括但不限于：</w:t>
      </w:r>
    </w:p>
    <w:p w14:paraId="4D958CB0">
      <w:pPr>
        <w:adjustRightInd w:val="0"/>
        <w:snapToGrid w:val="0"/>
        <w:spacing w:before="120" w:beforeLines="50" w:line="352"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（1）货物主要技术指标和性能的详细说明。对有具体参数要求的指标，投标人应提供具体参数值；</w:t>
      </w:r>
    </w:p>
    <w:p w14:paraId="7D4322D0">
      <w:pPr>
        <w:adjustRightInd w:val="0"/>
        <w:snapToGrid w:val="0"/>
        <w:spacing w:before="120" w:beforeLines="50" w:line="352"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（2）货物的品牌型号、制造商及原产地等说明；</w:t>
      </w:r>
    </w:p>
    <w:p w14:paraId="139B6E77">
      <w:pPr>
        <w:adjustRightInd w:val="0"/>
        <w:snapToGrid w:val="0"/>
        <w:spacing w:before="120" w:beforeLines="50" w:line="352"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（3）招标文件第五章“采购需求”要求的其它文件。</w:t>
      </w:r>
    </w:p>
    <w:p w14:paraId="4CE98A18">
      <w:pPr>
        <w:pStyle w:val="5"/>
        <w:keepNext w:val="0"/>
        <w:keepLines w:val="0"/>
        <w:adjustRightInd w:val="0"/>
        <w:snapToGrid w:val="0"/>
        <w:spacing w:before="50" w:after="0" w:line="352" w:lineRule="exact"/>
        <w:rPr>
          <w:rFonts w:asciiTheme="minorEastAsia" w:hAnsiTheme="minorEastAsia" w:eastAsiaTheme="minorEastAsia"/>
          <w:color w:val="auto"/>
          <w:sz w:val="24"/>
          <w:szCs w:val="24"/>
        </w:rPr>
      </w:pPr>
      <w:bookmarkStart w:id="70" w:name="_Toc32306"/>
      <w:r>
        <w:rPr>
          <w:rFonts w:hint="eastAsia" w:asciiTheme="minorEastAsia" w:hAnsiTheme="minorEastAsia" w:eastAsiaTheme="minorEastAsia"/>
          <w:color w:val="auto"/>
          <w:sz w:val="24"/>
          <w:szCs w:val="24"/>
        </w:rPr>
        <w:t>16.投标有效期</w:t>
      </w:r>
      <w:bookmarkEnd w:id="70"/>
    </w:p>
    <w:p w14:paraId="3663A3C5">
      <w:pPr>
        <w:adjustRightInd w:val="0"/>
        <w:snapToGrid w:val="0"/>
        <w:spacing w:before="120" w:beforeLines="50" w:line="352"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16.1投标有效期从提交投标文件的截止之日起算。投标文件中承诺的投标有效期应当不少于</w:t>
      </w:r>
      <w:r>
        <w:rPr>
          <w:rFonts w:hint="eastAsia" w:asciiTheme="minorEastAsia" w:hAnsiTheme="minorEastAsia" w:eastAsiaTheme="minorEastAsia"/>
          <w:b/>
          <w:color w:val="auto"/>
          <w:szCs w:val="21"/>
        </w:rPr>
        <w:t>【投标须知前附表】</w:t>
      </w:r>
      <w:r>
        <w:rPr>
          <w:rFonts w:hint="eastAsia" w:asciiTheme="minorEastAsia" w:hAnsiTheme="minorEastAsia" w:eastAsiaTheme="minorEastAsia"/>
          <w:color w:val="auto"/>
          <w:szCs w:val="21"/>
        </w:rPr>
        <w:t>中载明的投标有效期。投标有效期不满足要求的，其</w:t>
      </w:r>
      <w:r>
        <w:rPr>
          <w:rFonts w:hint="eastAsia" w:asciiTheme="minorEastAsia" w:hAnsiTheme="minorEastAsia" w:eastAsiaTheme="minorEastAsia"/>
          <w:b/>
          <w:color w:val="auto"/>
          <w:szCs w:val="21"/>
        </w:rPr>
        <w:t>投标无效</w:t>
      </w:r>
      <w:r>
        <w:rPr>
          <w:rFonts w:hint="eastAsia" w:asciiTheme="minorEastAsia" w:hAnsiTheme="minorEastAsia" w:eastAsiaTheme="minorEastAsia"/>
          <w:color w:val="auto"/>
          <w:szCs w:val="21"/>
        </w:rPr>
        <w:t>。</w:t>
      </w:r>
    </w:p>
    <w:p w14:paraId="278E895F">
      <w:pPr>
        <w:adjustRightInd w:val="0"/>
        <w:snapToGrid w:val="0"/>
        <w:spacing w:before="120" w:beforeLines="50" w:line="352"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16.2投标有效期内投标人撤销投标文件的，投标人应承担招标文件和法律规定的责任。</w:t>
      </w:r>
    </w:p>
    <w:p w14:paraId="2238BBF5">
      <w:pPr>
        <w:pStyle w:val="5"/>
        <w:keepNext w:val="0"/>
        <w:keepLines w:val="0"/>
        <w:adjustRightInd w:val="0"/>
        <w:snapToGrid w:val="0"/>
        <w:spacing w:before="50" w:after="0" w:line="352" w:lineRule="exact"/>
        <w:rPr>
          <w:rFonts w:asciiTheme="minorEastAsia" w:hAnsiTheme="minorEastAsia" w:eastAsiaTheme="minorEastAsia"/>
          <w:color w:val="auto"/>
          <w:sz w:val="24"/>
          <w:szCs w:val="24"/>
        </w:rPr>
      </w:pPr>
      <w:bookmarkStart w:id="71" w:name="_Toc15612"/>
      <w:r>
        <w:rPr>
          <w:rFonts w:hint="eastAsia" w:asciiTheme="minorEastAsia" w:hAnsiTheme="minorEastAsia" w:eastAsiaTheme="minorEastAsia"/>
          <w:color w:val="auto"/>
          <w:sz w:val="24"/>
          <w:szCs w:val="24"/>
        </w:rPr>
        <w:t>17.投标保证金</w:t>
      </w:r>
      <w:bookmarkEnd w:id="71"/>
    </w:p>
    <w:p w14:paraId="758F738D">
      <w:pPr>
        <w:adjustRightInd w:val="0"/>
        <w:snapToGrid w:val="0"/>
        <w:spacing w:before="120" w:beforeLines="50" w:line="352"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17.1招标文件要求投标人提交投标保证金的，</w:t>
      </w:r>
      <w:r>
        <w:rPr>
          <w:rFonts w:hint="eastAsia" w:asciiTheme="minorEastAsia" w:hAnsiTheme="minorEastAsia" w:eastAsiaTheme="minorEastAsia"/>
          <w:bCs/>
          <w:color w:val="auto"/>
          <w:szCs w:val="21"/>
        </w:rPr>
        <w:t>投标人</w:t>
      </w:r>
      <w:r>
        <w:rPr>
          <w:rFonts w:hint="eastAsia" w:asciiTheme="minorEastAsia" w:hAnsiTheme="minorEastAsia" w:eastAsiaTheme="minorEastAsia"/>
          <w:color w:val="auto"/>
          <w:szCs w:val="21"/>
        </w:rPr>
        <w:t>应按</w:t>
      </w:r>
      <w:r>
        <w:rPr>
          <w:rFonts w:hint="eastAsia" w:asciiTheme="minorEastAsia" w:hAnsiTheme="minorEastAsia" w:eastAsiaTheme="minorEastAsia"/>
          <w:b/>
          <w:color w:val="auto"/>
          <w:szCs w:val="21"/>
        </w:rPr>
        <w:t>【投标须知前附表】</w:t>
      </w:r>
      <w:r>
        <w:rPr>
          <w:rFonts w:hint="eastAsia" w:asciiTheme="minorEastAsia" w:hAnsiTheme="minorEastAsia" w:eastAsiaTheme="minorEastAsia"/>
          <w:color w:val="auto"/>
          <w:szCs w:val="21"/>
        </w:rPr>
        <w:t>规定，</w:t>
      </w:r>
      <w:r>
        <w:rPr>
          <w:rFonts w:hint="eastAsia" w:asciiTheme="minorEastAsia" w:hAnsiTheme="minorEastAsia" w:eastAsiaTheme="minorEastAsia"/>
          <w:bCs/>
          <w:color w:val="auto"/>
          <w:szCs w:val="21"/>
        </w:rPr>
        <w:t>在</w:t>
      </w:r>
      <w:r>
        <w:rPr>
          <w:rFonts w:hint="eastAsia" w:asciiTheme="minorEastAsia" w:hAnsiTheme="minorEastAsia" w:eastAsiaTheme="minorEastAsia"/>
          <w:color w:val="auto"/>
          <w:szCs w:val="21"/>
        </w:rPr>
        <w:t>提交投标文件的截止时间</w:t>
      </w:r>
      <w:r>
        <w:rPr>
          <w:rFonts w:hint="eastAsia" w:asciiTheme="minorEastAsia" w:hAnsiTheme="minorEastAsia" w:eastAsiaTheme="minorEastAsia"/>
          <w:bCs/>
          <w:color w:val="auto"/>
          <w:szCs w:val="21"/>
        </w:rPr>
        <w:t>前提交投标保证金</w:t>
      </w:r>
      <w:r>
        <w:rPr>
          <w:rFonts w:hint="eastAsia" w:asciiTheme="minorEastAsia" w:hAnsiTheme="minorEastAsia" w:eastAsiaTheme="minorEastAsia"/>
          <w:color w:val="auto"/>
          <w:szCs w:val="21"/>
        </w:rPr>
        <w:t>。</w:t>
      </w:r>
    </w:p>
    <w:p w14:paraId="1B50E85A">
      <w:pPr>
        <w:adjustRightInd w:val="0"/>
        <w:snapToGrid w:val="0"/>
        <w:spacing w:before="120" w:beforeLines="50" w:line="352"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17.2联合体投标的，可以由联合体中的一方或者共同提交投标保证金。以一方名义提交投标保证金的，对联合体各方均具有约束力。</w:t>
      </w:r>
    </w:p>
    <w:p w14:paraId="09EE8F8D">
      <w:pPr>
        <w:adjustRightInd w:val="0"/>
        <w:snapToGrid w:val="0"/>
        <w:spacing w:before="120" w:beforeLines="50" w:line="352"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17.3投标保证金的退还按以下规定办理：</w:t>
      </w:r>
    </w:p>
    <w:p w14:paraId="2005D94F">
      <w:pPr>
        <w:adjustRightInd w:val="0"/>
        <w:snapToGrid w:val="0"/>
        <w:spacing w:before="120" w:beforeLines="50" w:line="352"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（1）中标投标人的投标保证金，将在政府采购合同签订后5个工作日内退还。</w:t>
      </w:r>
    </w:p>
    <w:p w14:paraId="1B6E714F">
      <w:pPr>
        <w:adjustRightInd w:val="0"/>
        <w:snapToGrid w:val="0"/>
        <w:spacing w:before="120" w:beforeLines="50" w:line="352"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（2）未中标的投标人的投标保证金，将在中标通知书发出后5个工作日内退还。</w:t>
      </w:r>
    </w:p>
    <w:p w14:paraId="76FDB3B8">
      <w:pPr>
        <w:adjustRightInd w:val="0"/>
        <w:snapToGrid w:val="0"/>
        <w:spacing w:before="120" w:beforeLines="50" w:line="352"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（3）终止招标的。对于已递交投标保证金的，采购人、采购代理机构在终止招标公告发布后5个工作日内退还。</w:t>
      </w:r>
    </w:p>
    <w:p w14:paraId="7DE499BE">
      <w:pPr>
        <w:adjustRightInd w:val="0"/>
        <w:snapToGrid w:val="0"/>
        <w:spacing w:before="120" w:beforeLines="50" w:line="352"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17.4有以下情形之一的，投标保证金将不予退还，上交国库：</w:t>
      </w:r>
    </w:p>
    <w:p w14:paraId="45EB10A0">
      <w:pPr>
        <w:adjustRightInd w:val="0"/>
        <w:snapToGrid w:val="0"/>
        <w:spacing w:before="120" w:beforeLines="50" w:line="352"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（1）投标人在招标文件中规定的投标有效期内撤销其投标；</w:t>
      </w:r>
    </w:p>
    <w:p w14:paraId="65E994AD">
      <w:pPr>
        <w:adjustRightInd w:val="0"/>
        <w:snapToGrid w:val="0"/>
        <w:spacing w:before="120" w:beforeLines="50" w:line="352"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（2）中标人无正当理由不与采购人订立合同，在签订合同时向采购人提出附加条件，或者不按照招标文件要求提交履约保证金。</w:t>
      </w:r>
    </w:p>
    <w:p w14:paraId="4CF9A6C9">
      <w:pPr>
        <w:pStyle w:val="5"/>
        <w:keepNext w:val="0"/>
        <w:keepLines w:val="0"/>
        <w:adjustRightInd w:val="0"/>
        <w:snapToGrid w:val="0"/>
        <w:spacing w:before="50" w:after="0" w:line="352" w:lineRule="exact"/>
        <w:rPr>
          <w:rFonts w:asciiTheme="minorEastAsia" w:hAnsiTheme="minorEastAsia" w:eastAsiaTheme="minorEastAsia"/>
          <w:color w:val="auto"/>
          <w:sz w:val="24"/>
          <w:szCs w:val="24"/>
        </w:rPr>
      </w:pPr>
      <w:bookmarkStart w:id="72" w:name="_Toc8305"/>
      <w:r>
        <w:rPr>
          <w:rFonts w:hint="eastAsia" w:asciiTheme="minorEastAsia" w:hAnsiTheme="minorEastAsia" w:eastAsiaTheme="minorEastAsia"/>
          <w:color w:val="auto"/>
          <w:sz w:val="24"/>
          <w:szCs w:val="24"/>
        </w:rPr>
        <w:t>18.分包</w:t>
      </w:r>
      <w:bookmarkEnd w:id="72"/>
    </w:p>
    <w:p w14:paraId="2080431D">
      <w:pPr>
        <w:adjustRightInd w:val="0"/>
        <w:snapToGrid w:val="0"/>
        <w:spacing w:before="120" w:beforeLines="50" w:line="352" w:lineRule="exact"/>
        <w:ind w:firstLine="420" w:firstLineChars="200"/>
        <w:jc w:val="left"/>
        <w:rPr>
          <w:rFonts w:ascii="宋体" w:hAnsi="宋体"/>
          <w:color w:val="auto"/>
        </w:rPr>
      </w:pPr>
      <w:r>
        <w:rPr>
          <w:rFonts w:hint="eastAsia" w:ascii="宋体" w:hAnsi="宋体"/>
          <w:color w:val="auto"/>
        </w:rPr>
        <w:t>18.1</w:t>
      </w:r>
      <w:r>
        <w:rPr>
          <w:rFonts w:hint="eastAsia" w:hAnsi="宋体"/>
          <w:b/>
          <w:bCs/>
          <w:color w:val="auto"/>
        </w:rPr>
        <w:t>【投标须知前附表】</w:t>
      </w:r>
      <w:r>
        <w:rPr>
          <w:rFonts w:hint="eastAsia" w:ascii="宋体" w:hAnsi="宋体"/>
          <w:color w:val="auto"/>
        </w:rPr>
        <w:t>规定投标人可以采用分包方式履行合同的，中标供应商可以依法采取分包方式履行合同，并在投标文件中提供分包方案，且分包供应商不得再次分包。</w:t>
      </w:r>
    </w:p>
    <w:p w14:paraId="739B7E0F">
      <w:pPr>
        <w:adjustRightInd w:val="0"/>
        <w:snapToGrid w:val="0"/>
        <w:spacing w:before="120" w:beforeLines="50" w:line="352" w:lineRule="exact"/>
        <w:ind w:firstLine="420" w:firstLineChars="200"/>
        <w:jc w:val="left"/>
        <w:rPr>
          <w:rFonts w:ascii="宋体" w:hAnsi="宋体"/>
          <w:color w:val="auto"/>
        </w:rPr>
      </w:pPr>
      <w:r>
        <w:rPr>
          <w:rFonts w:hint="eastAsia" w:ascii="宋体" w:hAnsi="宋体"/>
          <w:color w:val="auto"/>
        </w:rPr>
        <w:t>18.2政府采购合同分包履行的，中标</w:t>
      </w:r>
      <w:r>
        <w:rPr>
          <w:rFonts w:hint="eastAsia" w:ascii="宋体" w:hAnsi="宋体"/>
          <w:color w:val="auto"/>
          <w:szCs w:val="21"/>
        </w:rPr>
        <w:t>供应商</w:t>
      </w:r>
      <w:r>
        <w:rPr>
          <w:rFonts w:hint="eastAsia" w:ascii="宋体" w:hAnsi="宋体"/>
          <w:color w:val="auto"/>
        </w:rPr>
        <w:t>应当就采购项目和分包项目向采购人负责，分包供应商就分包项目承担责任。</w:t>
      </w:r>
    </w:p>
    <w:p w14:paraId="2F3FED14">
      <w:pPr>
        <w:adjustRightInd w:val="0"/>
        <w:snapToGrid w:val="0"/>
        <w:spacing w:before="120" w:beforeLines="50" w:line="352" w:lineRule="exact"/>
        <w:ind w:firstLine="420" w:firstLineChars="200"/>
        <w:jc w:val="left"/>
        <w:rPr>
          <w:rFonts w:ascii="宋体" w:hAnsi="宋体"/>
          <w:color w:val="auto"/>
        </w:rPr>
      </w:pPr>
      <w:r>
        <w:rPr>
          <w:rFonts w:hint="eastAsia" w:ascii="宋体" w:hAnsi="宋体"/>
          <w:color w:val="auto"/>
        </w:rPr>
        <w:t>18.3中标供应商享受扶持政策获得政府采购合同的，小型、微型企业不得将合同分包给大型、中型企业；中型企业不得将合同分包给大型企业。</w:t>
      </w:r>
    </w:p>
    <w:p w14:paraId="4276D3D5">
      <w:pPr>
        <w:adjustRightInd w:val="0"/>
        <w:snapToGrid w:val="0"/>
        <w:spacing w:before="120" w:beforeLines="50" w:line="352" w:lineRule="exact"/>
        <w:ind w:firstLine="420" w:firstLineChars="200"/>
        <w:jc w:val="left"/>
        <w:rPr>
          <w:rFonts w:asciiTheme="minorEastAsia" w:hAnsiTheme="minorEastAsia" w:eastAsiaTheme="minorEastAsia"/>
          <w:color w:val="auto"/>
        </w:rPr>
      </w:pPr>
      <w:r>
        <w:rPr>
          <w:rFonts w:hint="eastAsia" w:asciiTheme="minorEastAsia" w:hAnsiTheme="minorEastAsia" w:eastAsiaTheme="minorEastAsia"/>
          <w:color w:val="auto"/>
        </w:rPr>
        <w:t>18.5不符合招标文件中有关分包规定的，其</w:t>
      </w:r>
      <w:r>
        <w:rPr>
          <w:rFonts w:hint="eastAsia" w:asciiTheme="minorEastAsia" w:hAnsiTheme="minorEastAsia" w:eastAsiaTheme="minorEastAsia"/>
          <w:b/>
          <w:color w:val="auto"/>
        </w:rPr>
        <w:t>投标无效</w:t>
      </w:r>
      <w:r>
        <w:rPr>
          <w:rFonts w:hint="eastAsia" w:asciiTheme="minorEastAsia" w:hAnsiTheme="minorEastAsia" w:eastAsiaTheme="minorEastAsia"/>
          <w:color w:val="auto"/>
        </w:rPr>
        <w:t>。</w:t>
      </w:r>
    </w:p>
    <w:p w14:paraId="63A97BBA">
      <w:pPr>
        <w:pStyle w:val="5"/>
        <w:keepNext w:val="0"/>
        <w:keepLines w:val="0"/>
        <w:adjustRightInd w:val="0"/>
        <w:snapToGrid w:val="0"/>
        <w:spacing w:before="50" w:after="0" w:line="352" w:lineRule="exact"/>
        <w:rPr>
          <w:rFonts w:asciiTheme="minorEastAsia" w:hAnsiTheme="minorEastAsia" w:eastAsiaTheme="minorEastAsia"/>
          <w:color w:val="auto"/>
          <w:sz w:val="24"/>
          <w:szCs w:val="24"/>
        </w:rPr>
      </w:pPr>
      <w:bookmarkStart w:id="73" w:name="_Toc17546"/>
      <w:r>
        <w:rPr>
          <w:rFonts w:hint="eastAsia" w:asciiTheme="minorEastAsia" w:hAnsiTheme="minorEastAsia" w:eastAsiaTheme="minorEastAsia"/>
          <w:color w:val="auto"/>
          <w:sz w:val="24"/>
          <w:szCs w:val="24"/>
        </w:rPr>
        <w:t>19.投标文件的签署及制作</w:t>
      </w:r>
      <w:bookmarkEnd w:id="73"/>
    </w:p>
    <w:p w14:paraId="77FC773E">
      <w:pPr>
        <w:widowControl/>
        <w:adjustRightInd w:val="0"/>
        <w:snapToGrid w:val="0"/>
        <w:spacing w:line="352" w:lineRule="exact"/>
        <w:ind w:firstLine="420" w:firstLineChars="200"/>
        <w:rPr>
          <w:rFonts w:ascii="宋体" w:hAnsi="宋体" w:cs="宋体"/>
          <w:color w:val="auto"/>
          <w:szCs w:val="21"/>
        </w:rPr>
      </w:pPr>
      <w:r>
        <w:rPr>
          <w:rFonts w:hint="eastAsia" w:ascii="宋体" w:hAnsi="宋体" w:cs="宋体"/>
          <w:color w:val="auto"/>
          <w:szCs w:val="21"/>
        </w:rPr>
        <w:t>19.1 投标文件应按</w:t>
      </w:r>
      <w:r>
        <w:rPr>
          <w:rFonts w:hint="eastAsia" w:ascii="宋体" w:hAnsi="宋体" w:cs="宋体"/>
          <w:color w:val="auto"/>
        </w:rPr>
        <w:t>招标文件</w:t>
      </w:r>
      <w:r>
        <w:rPr>
          <w:rFonts w:hint="eastAsia" w:ascii="宋体" w:hAnsi="宋体" w:cs="宋体"/>
          <w:color w:val="auto"/>
          <w:szCs w:val="21"/>
        </w:rPr>
        <w:t>规定格式进行编写，如有必要，可以增加附页、扩展表格，作为投标文件的组成部分。</w:t>
      </w:r>
    </w:p>
    <w:p w14:paraId="2B777C36">
      <w:pPr>
        <w:widowControl/>
        <w:adjustRightInd w:val="0"/>
        <w:snapToGrid w:val="0"/>
        <w:spacing w:line="352" w:lineRule="exact"/>
        <w:ind w:firstLine="420" w:firstLineChars="200"/>
        <w:rPr>
          <w:rFonts w:ascii="宋体" w:hAnsi="宋体" w:cs="宋体"/>
          <w:color w:val="auto"/>
          <w:szCs w:val="21"/>
        </w:rPr>
      </w:pPr>
      <w:r>
        <w:rPr>
          <w:rFonts w:hint="eastAsia" w:ascii="宋体" w:hAnsi="宋体" w:cs="宋体"/>
          <w:color w:val="auto"/>
          <w:szCs w:val="21"/>
        </w:rPr>
        <w:t>19.2 投标文件应当对招标文件有关采购需求、交货期、质保期、技术与服务要求、投标报价要求、投标有效期、付款方式、合同条款等实质性</w:t>
      </w:r>
      <w:r>
        <w:rPr>
          <w:rFonts w:hint="eastAsia" w:ascii="宋体" w:hAnsi="宋体" w:cs="宋体"/>
          <w:color w:val="auto"/>
        </w:rPr>
        <w:t>内容</w:t>
      </w:r>
      <w:r>
        <w:rPr>
          <w:rFonts w:hint="eastAsia" w:ascii="宋体" w:hAnsi="宋体" w:cs="宋体"/>
          <w:color w:val="auto"/>
          <w:szCs w:val="21"/>
        </w:rPr>
        <w:t>做出响应。投标文件在满足招标文件实质性要求的基础上，可以提出比招标文件要求更有利于采购人的承诺。</w:t>
      </w:r>
    </w:p>
    <w:p w14:paraId="21E4F2AB">
      <w:pPr>
        <w:widowControl/>
        <w:adjustRightInd w:val="0"/>
        <w:snapToGrid w:val="0"/>
        <w:spacing w:line="352" w:lineRule="exact"/>
        <w:ind w:firstLine="420" w:firstLineChars="200"/>
        <w:rPr>
          <w:rFonts w:ascii="宋体" w:hAnsi="宋体" w:cs="宋体"/>
          <w:color w:val="auto"/>
          <w:szCs w:val="21"/>
        </w:rPr>
      </w:pPr>
      <w:r>
        <w:rPr>
          <w:rFonts w:hint="eastAsia" w:ascii="宋体" w:hAnsi="宋体" w:cs="宋体"/>
          <w:color w:val="auto"/>
          <w:szCs w:val="21"/>
        </w:rPr>
        <w:t>19.3 投标人必须对其提交的资料的真实性负责，并接受采购人对其中任何资料进一步审查的要求。</w:t>
      </w:r>
    </w:p>
    <w:p w14:paraId="673E55CC">
      <w:pPr>
        <w:widowControl/>
        <w:adjustRightInd w:val="0"/>
        <w:snapToGrid w:val="0"/>
        <w:spacing w:line="352" w:lineRule="exact"/>
        <w:ind w:firstLine="420" w:firstLineChars="200"/>
        <w:rPr>
          <w:rFonts w:ascii="宋体" w:hAnsi="宋体" w:cs="宋体"/>
          <w:color w:val="auto"/>
        </w:rPr>
      </w:pPr>
      <w:r>
        <w:rPr>
          <w:rFonts w:hint="eastAsia" w:ascii="宋体" w:hAnsi="宋体" w:cs="宋体"/>
          <w:color w:val="auto"/>
          <w:szCs w:val="21"/>
        </w:rPr>
        <w:t>19.</w:t>
      </w:r>
      <w:r>
        <w:rPr>
          <w:rFonts w:hint="eastAsia" w:ascii="宋体" w:hAnsi="宋体" w:cs="宋体"/>
          <w:color w:val="auto"/>
        </w:rPr>
        <w:t>4投标文件的制作应满足以下规定：</w:t>
      </w:r>
    </w:p>
    <w:p w14:paraId="5D6E5E7B">
      <w:pPr>
        <w:widowControl/>
        <w:adjustRightInd w:val="0"/>
        <w:snapToGrid w:val="0"/>
        <w:spacing w:line="352" w:lineRule="exact"/>
        <w:ind w:firstLine="420" w:firstLineChars="200"/>
        <w:rPr>
          <w:rFonts w:ascii="宋体" w:hAnsi="宋体" w:cs="宋体"/>
          <w:color w:val="auto"/>
        </w:rPr>
      </w:pPr>
      <w:r>
        <w:rPr>
          <w:rFonts w:hint="eastAsia" w:ascii="宋体" w:hAnsi="宋体" w:cs="宋体"/>
          <w:color w:val="auto"/>
        </w:rPr>
        <w:t>（1）投标文件由投标人使用“电子交易平台”自带的“投标文件制作工具”制作生成，详见投标人须知前附表规定。</w:t>
      </w:r>
    </w:p>
    <w:p w14:paraId="6E2B79AF">
      <w:pPr>
        <w:widowControl/>
        <w:adjustRightInd w:val="0"/>
        <w:snapToGrid w:val="0"/>
        <w:spacing w:line="352" w:lineRule="exact"/>
        <w:ind w:firstLine="420" w:firstLineChars="200"/>
        <w:rPr>
          <w:rFonts w:ascii="宋体" w:hAnsi="宋体" w:cs="宋体"/>
          <w:color w:val="auto"/>
        </w:rPr>
      </w:pPr>
      <w:r>
        <w:rPr>
          <w:rFonts w:hint="eastAsia" w:ascii="宋体" w:hAnsi="宋体" w:cs="宋体"/>
          <w:color w:val="auto"/>
        </w:rPr>
        <w:t>（2）投标人在编制投标文件时应建立分级目录，并按照标签提示导入相关内容。</w:t>
      </w:r>
    </w:p>
    <w:p w14:paraId="14E82916">
      <w:pPr>
        <w:widowControl/>
        <w:adjustRightInd w:val="0"/>
        <w:snapToGrid w:val="0"/>
        <w:spacing w:line="352" w:lineRule="exact"/>
        <w:ind w:firstLine="420" w:firstLineChars="200"/>
        <w:rPr>
          <w:rFonts w:ascii="宋体" w:hAnsi="宋体" w:cs="宋体"/>
          <w:color w:val="auto"/>
        </w:rPr>
      </w:pPr>
      <w:r>
        <w:rPr>
          <w:rFonts w:hint="eastAsia" w:ascii="宋体" w:hAnsi="宋体" w:cs="宋体"/>
          <w:color w:val="auto"/>
        </w:rPr>
        <w:t>（3）除投标人须知前附表另有规定外，投标文件中证明资料的“复印件”均为原件扫描件。</w:t>
      </w:r>
    </w:p>
    <w:p w14:paraId="297CE3DF">
      <w:pPr>
        <w:widowControl/>
        <w:adjustRightInd w:val="0"/>
        <w:snapToGrid w:val="0"/>
        <w:spacing w:line="352" w:lineRule="exact"/>
        <w:ind w:firstLine="420" w:firstLineChars="200"/>
        <w:rPr>
          <w:rFonts w:ascii="宋体" w:hAnsi="宋体" w:cs="宋体"/>
          <w:color w:val="auto"/>
        </w:rPr>
      </w:pPr>
      <w:r>
        <w:rPr>
          <w:rFonts w:hint="eastAsia" w:ascii="宋体" w:hAnsi="宋体" w:cs="宋体"/>
          <w:color w:val="auto"/>
        </w:rPr>
        <w:t>（4）“投标文件格式”中要求盖单位章和（或）签字的地方，投标人均应使用CA 数字证书加盖投标人的单位电子印章和（或）法定代表人的个人电子印章或电子签名章。联合体投标的，投标文件由联合体牵头人按上述规定加盖联合体牵头人单位电子印章和（或）法定代表人的个人电子印章或电子签名章。</w:t>
      </w:r>
    </w:p>
    <w:p w14:paraId="373EA24D">
      <w:pPr>
        <w:widowControl/>
        <w:adjustRightInd w:val="0"/>
        <w:snapToGrid w:val="0"/>
        <w:spacing w:line="352" w:lineRule="exact"/>
        <w:ind w:firstLine="420" w:firstLineChars="200"/>
        <w:rPr>
          <w:rFonts w:ascii="宋体" w:hAnsi="宋体" w:cs="宋体"/>
          <w:color w:val="auto"/>
        </w:rPr>
      </w:pPr>
      <w:r>
        <w:rPr>
          <w:rFonts w:hint="eastAsia" w:ascii="宋体" w:hAnsi="宋体" w:cs="宋体"/>
          <w:color w:val="auto"/>
        </w:rPr>
        <w:t>（5）投标文件制作完成后，投标人应使用CA 数字证书对投标文件进行文件加密，形成加密的投标文件、非加密的投标文件，非加密的投标文件的份数和形式见投标人须知前附表规定。</w:t>
      </w:r>
    </w:p>
    <w:p w14:paraId="78E537F7">
      <w:pPr>
        <w:widowControl/>
        <w:adjustRightInd w:val="0"/>
        <w:snapToGrid w:val="0"/>
        <w:spacing w:line="352" w:lineRule="exact"/>
        <w:ind w:firstLine="420" w:firstLineChars="200"/>
        <w:rPr>
          <w:rFonts w:ascii="宋体" w:hAnsi="宋体" w:cs="宋体"/>
          <w:color w:val="auto"/>
        </w:rPr>
      </w:pPr>
      <w:r>
        <w:rPr>
          <w:rFonts w:hint="eastAsia" w:ascii="宋体" w:hAnsi="宋体" w:cs="宋体"/>
          <w:color w:val="auto"/>
        </w:rPr>
        <w:t>（6）本招标项目采用全流程电子化采购方式，须供应商制作电子投标文件；“投标文件制作工具”下载地址：</w:t>
      </w:r>
    </w:p>
    <w:p w14:paraId="0CA0F053">
      <w:pPr>
        <w:widowControl/>
        <w:adjustRightInd w:val="0"/>
        <w:snapToGrid w:val="0"/>
        <w:spacing w:line="352" w:lineRule="exact"/>
        <w:ind w:firstLine="420" w:firstLineChars="200"/>
        <w:rPr>
          <w:rFonts w:ascii="宋体" w:hAnsi="宋体" w:cs="宋体"/>
          <w:color w:val="auto"/>
        </w:rPr>
      </w:pPr>
      <w:r>
        <w:rPr>
          <w:rFonts w:hint="eastAsia" w:ascii="宋体" w:hAnsi="宋体" w:cs="宋体"/>
          <w:color w:val="auto"/>
        </w:rPr>
        <w:t>http://toolcdn.youzhicai.com/tools/BidderTools.zip，</w:t>
      </w:r>
    </w:p>
    <w:p w14:paraId="153061B8">
      <w:pPr>
        <w:widowControl/>
        <w:adjustRightInd w:val="0"/>
        <w:snapToGrid w:val="0"/>
        <w:spacing w:line="352" w:lineRule="exact"/>
        <w:ind w:firstLine="420" w:firstLineChars="200"/>
        <w:rPr>
          <w:rFonts w:ascii="宋体" w:hAnsi="宋体" w:cs="宋体"/>
          <w:color w:val="auto"/>
        </w:rPr>
      </w:pPr>
      <w:r>
        <w:rPr>
          <w:rFonts w:hint="eastAsia" w:ascii="宋体" w:hAnsi="宋体" w:cs="宋体"/>
          <w:color w:val="auto"/>
        </w:rPr>
        <w:t>“投标文件制作工具”使用说明书及视频教程下载地址:</w:t>
      </w:r>
    </w:p>
    <w:p w14:paraId="7C2180D8">
      <w:pPr>
        <w:widowControl/>
        <w:adjustRightInd w:val="0"/>
        <w:snapToGrid w:val="0"/>
        <w:spacing w:line="352" w:lineRule="exact"/>
        <w:ind w:firstLine="420" w:firstLineChars="200"/>
        <w:rPr>
          <w:rFonts w:ascii="宋体" w:hAnsi="宋体" w:cs="宋体"/>
          <w:color w:val="auto"/>
        </w:rPr>
      </w:pPr>
      <w:r>
        <w:rPr>
          <w:color w:val="auto"/>
        </w:rPr>
        <w:fldChar w:fldCharType="begin"/>
      </w:r>
      <w:r>
        <w:rPr>
          <w:color w:val="auto"/>
        </w:rPr>
        <w:instrText xml:space="preserve"> HYPERLINK "http://file.youzhicai.com/files/BidderHelp.rar" </w:instrText>
      </w:r>
      <w:r>
        <w:rPr>
          <w:color w:val="auto"/>
        </w:rPr>
        <w:fldChar w:fldCharType="separate"/>
      </w:r>
      <w:r>
        <w:rPr>
          <w:rFonts w:hint="eastAsia" w:ascii="宋体" w:hAnsi="宋体" w:cs="宋体"/>
          <w:color w:val="auto"/>
        </w:rPr>
        <w:t>http://file.youzhicai.com/files/BidderHelp.rar</w:t>
      </w:r>
      <w:r>
        <w:rPr>
          <w:rFonts w:hint="eastAsia" w:ascii="宋体" w:hAnsi="宋体" w:cs="宋体"/>
          <w:color w:val="auto"/>
        </w:rPr>
        <w:fldChar w:fldCharType="end"/>
      </w:r>
    </w:p>
    <w:p w14:paraId="2C58D6BB">
      <w:pPr>
        <w:widowControl/>
        <w:adjustRightInd w:val="0"/>
        <w:snapToGrid w:val="0"/>
        <w:spacing w:line="352" w:lineRule="exact"/>
        <w:ind w:firstLine="420" w:firstLineChars="200"/>
        <w:rPr>
          <w:rFonts w:ascii="宋体" w:hAnsi="宋体" w:cs="宋体"/>
          <w:color w:val="auto"/>
        </w:rPr>
      </w:pPr>
      <w:r>
        <w:rPr>
          <w:rFonts w:hint="eastAsia" w:ascii="宋体" w:hAnsi="宋体" w:cs="宋体"/>
          <w:color w:val="auto"/>
        </w:rPr>
        <w:t>（7）投标人应提交的投标文件：投标人应在投标截止时间前通过优质采云采购平台用户系统制作并上传加密的电子投标文件（在优质采云采购平台用户系统上传，否则其递交的投标文件不予接收）；</w:t>
      </w:r>
    </w:p>
    <w:p w14:paraId="67328BF0">
      <w:pPr>
        <w:widowControl/>
        <w:adjustRightInd w:val="0"/>
        <w:snapToGrid w:val="0"/>
        <w:spacing w:line="352" w:lineRule="exact"/>
        <w:ind w:firstLine="420" w:firstLineChars="200"/>
        <w:rPr>
          <w:rFonts w:ascii="宋体" w:hAnsi="宋体" w:cs="宋体"/>
          <w:color w:val="auto"/>
        </w:rPr>
      </w:pPr>
      <w:r>
        <w:rPr>
          <w:rFonts w:hint="eastAsia" w:ascii="宋体" w:hAnsi="宋体" w:cs="宋体"/>
          <w:color w:val="auto"/>
          <w:szCs w:val="21"/>
        </w:rPr>
        <w:t>19.</w:t>
      </w:r>
      <w:r>
        <w:rPr>
          <w:rFonts w:hint="eastAsia" w:ascii="宋体" w:hAnsi="宋体" w:cs="宋体"/>
          <w:color w:val="auto"/>
        </w:rPr>
        <w:t>5 因投标人自身原因而导致投标文件无法导入“电子交易平台”电子开标、评标系统，该投标视为无效投标，投标人自行承担由此导致的全部责任。</w:t>
      </w:r>
    </w:p>
    <w:p w14:paraId="192F6562">
      <w:pPr>
        <w:pStyle w:val="4"/>
        <w:keepNext w:val="0"/>
        <w:keepLines w:val="0"/>
        <w:adjustRightInd w:val="0"/>
        <w:snapToGrid w:val="0"/>
        <w:spacing w:before="120" w:beforeLines="50" w:after="0" w:line="352" w:lineRule="exact"/>
        <w:jc w:val="center"/>
        <w:rPr>
          <w:rFonts w:ascii="黑体" w:hAnsi="黑体" w:eastAsia="黑体"/>
          <w:color w:val="auto"/>
          <w:sz w:val="28"/>
          <w:szCs w:val="28"/>
        </w:rPr>
      </w:pPr>
      <w:bookmarkStart w:id="74" w:name="_Toc8966"/>
      <w:r>
        <w:rPr>
          <w:rFonts w:hint="eastAsia" w:ascii="黑体" w:hAnsi="黑体" w:eastAsia="黑体"/>
          <w:color w:val="auto"/>
          <w:sz w:val="28"/>
          <w:szCs w:val="28"/>
        </w:rPr>
        <w:t>四、投标</w:t>
      </w:r>
      <w:bookmarkEnd w:id="74"/>
    </w:p>
    <w:p w14:paraId="4A51295B">
      <w:pPr>
        <w:pStyle w:val="5"/>
        <w:keepNext w:val="0"/>
        <w:keepLines w:val="0"/>
        <w:adjustRightInd w:val="0"/>
        <w:snapToGrid w:val="0"/>
        <w:spacing w:before="50" w:after="0" w:line="352" w:lineRule="exact"/>
        <w:rPr>
          <w:rFonts w:asciiTheme="minorEastAsia" w:hAnsiTheme="minorEastAsia" w:eastAsiaTheme="minorEastAsia"/>
          <w:color w:val="auto"/>
          <w:sz w:val="24"/>
          <w:szCs w:val="24"/>
        </w:rPr>
      </w:pPr>
      <w:bookmarkStart w:id="75" w:name="_Toc17576"/>
      <w:r>
        <w:rPr>
          <w:rFonts w:hint="eastAsia" w:asciiTheme="minorEastAsia" w:hAnsiTheme="minorEastAsia" w:eastAsiaTheme="minorEastAsia"/>
          <w:color w:val="auto"/>
          <w:sz w:val="24"/>
          <w:szCs w:val="24"/>
        </w:rPr>
        <w:t>20.投标文件的加密</w:t>
      </w:r>
      <w:bookmarkEnd w:id="75"/>
    </w:p>
    <w:p w14:paraId="26AC7036">
      <w:pPr>
        <w:adjustRightInd w:val="0"/>
        <w:snapToGrid w:val="0"/>
        <w:spacing w:before="120" w:beforeLines="50" w:line="352"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20.1未按要求加密的投标文件，采购人、采购代理机构将拒绝接收并提示。</w:t>
      </w:r>
    </w:p>
    <w:p w14:paraId="40598D87">
      <w:pPr>
        <w:pStyle w:val="5"/>
        <w:keepNext w:val="0"/>
        <w:keepLines w:val="0"/>
        <w:adjustRightInd w:val="0"/>
        <w:snapToGrid w:val="0"/>
        <w:spacing w:before="50" w:after="0" w:line="352" w:lineRule="exact"/>
        <w:rPr>
          <w:rFonts w:asciiTheme="minorEastAsia" w:hAnsiTheme="minorEastAsia" w:eastAsiaTheme="minorEastAsia"/>
          <w:color w:val="auto"/>
          <w:sz w:val="24"/>
          <w:szCs w:val="24"/>
        </w:rPr>
      </w:pPr>
      <w:bookmarkStart w:id="76" w:name="_Toc4144"/>
      <w:r>
        <w:rPr>
          <w:rFonts w:hint="eastAsia" w:asciiTheme="minorEastAsia" w:hAnsiTheme="minorEastAsia" w:eastAsiaTheme="minorEastAsia"/>
          <w:color w:val="auto"/>
          <w:sz w:val="24"/>
          <w:szCs w:val="24"/>
        </w:rPr>
        <w:t>21.投标文件的递交</w:t>
      </w:r>
      <w:bookmarkEnd w:id="76"/>
    </w:p>
    <w:p w14:paraId="46973994">
      <w:pPr>
        <w:adjustRightInd w:val="0"/>
        <w:snapToGrid w:val="0"/>
        <w:spacing w:before="120" w:beforeLines="50" w:line="352"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21.1投标人应在【投标须知前附表】规定的投标截止时间前，将投标文件加密上传至华新管理电子招标采购平台（https://hxgl316.youzhicai.com/）。</w:t>
      </w:r>
    </w:p>
    <w:p w14:paraId="3288ABD2">
      <w:pPr>
        <w:adjustRightInd w:val="0"/>
        <w:snapToGrid w:val="0"/>
        <w:spacing w:line="352"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21.2逾期送达的投标文件，采购人、采购代理机构将予以拒收。</w:t>
      </w:r>
    </w:p>
    <w:p w14:paraId="403474F3">
      <w:pPr>
        <w:adjustRightInd w:val="0"/>
        <w:snapToGrid w:val="0"/>
        <w:spacing w:line="352"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21.3如果投标文件通过邮寄等物流方式递交，投标人应将投标文件密封，并符合以下要求：</w:t>
      </w:r>
    </w:p>
    <w:p w14:paraId="37776A11">
      <w:pPr>
        <w:adjustRightInd w:val="0"/>
        <w:snapToGrid w:val="0"/>
        <w:spacing w:line="352"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注明代理编号、项目名称、采购代理机构收件人姓名、地址、邮政编码。同时应写明投标人的名称、地址、邮政编码、邮寄人，以便将迟交的投标文件原封退还。</w:t>
      </w:r>
    </w:p>
    <w:p w14:paraId="7B2CD534">
      <w:pPr>
        <w:widowControl/>
        <w:adjustRightInd w:val="0"/>
        <w:snapToGrid w:val="0"/>
        <w:spacing w:line="352" w:lineRule="exact"/>
        <w:ind w:firstLine="420" w:firstLineChars="200"/>
        <w:rPr>
          <w:color w:val="auto"/>
        </w:rPr>
      </w:pPr>
      <w:r>
        <w:rPr>
          <w:rFonts w:hint="eastAsia" w:ascii="宋体" w:hAnsi="宋体" w:cs="宋体"/>
          <w:color w:val="auto"/>
          <w:szCs w:val="21"/>
        </w:rPr>
        <w:t>20.4 未按照上述要求加密的投标文件，电子交易平台将予以拒收。</w:t>
      </w:r>
    </w:p>
    <w:p w14:paraId="01FC3397">
      <w:pPr>
        <w:pStyle w:val="5"/>
        <w:keepNext w:val="0"/>
        <w:keepLines w:val="0"/>
        <w:adjustRightInd w:val="0"/>
        <w:snapToGrid w:val="0"/>
        <w:spacing w:before="50" w:after="0" w:line="352" w:lineRule="exact"/>
        <w:rPr>
          <w:rFonts w:asciiTheme="minorEastAsia" w:hAnsiTheme="minorEastAsia" w:eastAsiaTheme="minorEastAsia"/>
          <w:color w:val="auto"/>
          <w:sz w:val="24"/>
          <w:szCs w:val="24"/>
        </w:rPr>
      </w:pPr>
      <w:bookmarkStart w:id="77" w:name="_Toc9536"/>
      <w:r>
        <w:rPr>
          <w:rFonts w:hint="eastAsia" w:asciiTheme="minorEastAsia" w:hAnsiTheme="minorEastAsia" w:eastAsiaTheme="minorEastAsia"/>
          <w:color w:val="auto"/>
          <w:sz w:val="24"/>
          <w:szCs w:val="24"/>
        </w:rPr>
        <w:t>22.投标文件的修改和撤回</w:t>
      </w:r>
      <w:bookmarkEnd w:id="77"/>
    </w:p>
    <w:p w14:paraId="4353D988">
      <w:pPr>
        <w:adjustRightInd w:val="0"/>
        <w:snapToGrid w:val="0"/>
        <w:spacing w:before="120" w:beforeLines="50" w:line="352" w:lineRule="exact"/>
        <w:ind w:firstLine="420" w:firstLineChars="200"/>
        <w:jc w:val="left"/>
        <w:rPr>
          <w:rFonts w:asciiTheme="minorEastAsia" w:hAnsiTheme="minorEastAsia" w:eastAsiaTheme="minorEastAsia"/>
          <w:color w:val="auto"/>
          <w:szCs w:val="21"/>
        </w:rPr>
      </w:pPr>
      <w:r>
        <w:rPr>
          <w:rFonts w:asciiTheme="minorEastAsia" w:hAnsiTheme="minorEastAsia" w:eastAsiaTheme="minorEastAsia"/>
          <w:color w:val="auto"/>
          <w:szCs w:val="21"/>
        </w:rPr>
        <w:t>22.1</w:t>
      </w:r>
      <w:r>
        <w:rPr>
          <w:rFonts w:hint="eastAsia" w:asciiTheme="minorEastAsia" w:hAnsiTheme="minorEastAsia" w:eastAsiaTheme="minorEastAsia"/>
          <w:color w:val="auto"/>
          <w:szCs w:val="21"/>
        </w:rPr>
        <w:t>投标人在投标截止时间前，可以对所提交的投标文件进行修改或者撤回，并书面通知采购人或者采购代理机构。修改或撤回通知应当按招标文件规定编制、签署、密封和标记（在密封袋上注明“修改”字样，以及修改的时间），作为投标文件的组成部分，且只需提供一份，并在提交投标文件的截止时间前递交。</w:t>
      </w:r>
    </w:p>
    <w:p w14:paraId="02CD20A9">
      <w:pPr>
        <w:adjustRightInd w:val="0"/>
        <w:snapToGrid w:val="0"/>
        <w:spacing w:before="120" w:beforeLines="50" w:line="352"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22.2投标人对已加密上传的投标文件进行撤回的，应在华新管理电子招标采购平台（https://hxgl316.youzhicai.com/）直接进行撤回操作；投标人对已加密上传的投标文件进行补充、修改的，应先在华新管理电子招标采购平台（https://hxgl316.youzhicai.com/）将已加密上传的投标文件撤回，再补充、修改投标文件，按本章第19条规定签署及制作，并使用CA数字证书进行加密，在投标截止时间前上传。</w:t>
      </w:r>
    </w:p>
    <w:p w14:paraId="126AAD3E">
      <w:pPr>
        <w:adjustRightInd w:val="0"/>
        <w:snapToGrid w:val="0"/>
        <w:spacing w:before="120" w:beforeLines="50" w:line="352"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22.3投标人在</w:t>
      </w:r>
      <w:r>
        <w:rPr>
          <w:rFonts w:hint="eastAsia" w:asciiTheme="minorEastAsia" w:hAnsiTheme="minorEastAsia" w:eastAsiaTheme="minorEastAsia"/>
          <w:bCs/>
          <w:color w:val="auto"/>
          <w:szCs w:val="21"/>
        </w:rPr>
        <w:t>提交投标文件的截止时间</w:t>
      </w:r>
      <w:r>
        <w:rPr>
          <w:rFonts w:hint="eastAsia" w:asciiTheme="minorEastAsia" w:hAnsiTheme="minorEastAsia" w:eastAsiaTheme="minorEastAsia"/>
          <w:color w:val="auto"/>
          <w:szCs w:val="21"/>
        </w:rPr>
        <w:t>前撤回已提交的投标文件的，采购人、采购代理机构应当自收到投标人书面撤回通知之日起５个工作日内，退还已收取的投标保证金，但因投标人自身原因导致无法及时退还的除外。</w:t>
      </w:r>
    </w:p>
    <w:p w14:paraId="2184DFB2">
      <w:pPr>
        <w:pStyle w:val="5"/>
        <w:keepNext w:val="0"/>
        <w:keepLines w:val="0"/>
        <w:adjustRightInd w:val="0"/>
        <w:snapToGrid w:val="0"/>
        <w:spacing w:before="50" w:after="0" w:line="352" w:lineRule="exact"/>
        <w:rPr>
          <w:rFonts w:cs="Arial" w:asciiTheme="minorEastAsia" w:hAnsiTheme="minorEastAsia" w:eastAsiaTheme="minorEastAsia"/>
          <w:color w:val="auto"/>
          <w:sz w:val="24"/>
          <w:szCs w:val="24"/>
        </w:rPr>
      </w:pPr>
      <w:bookmarkStart w:id="78" w:name="_Toc9289"/>
      <w:r>
        <w:rPr>
          <w:rFonts w:hint="eastAsia" w:asciiTheme="minorEastAsia" w:hAnsiTheme="minorEastAsia" w:eastAsiaTheme="minorEastAsia"/>
          <w:color w:val="auto"/>
          <w:sz w:val="24"/>
          <w:szCs w:val="24"/>
        </w:rPr>
        <w:t>23.</w:t>
      </w:r>
      <w:r>
        <w:rPr>
          <w:rFonts w:hint="eastAsia" w:cs="Arial" w:asciiTheme="minorEastAsia" w:hAnsiTheme="minorEastAsia" w:eastAsiaTheme="minorEastAsia"/>
          <w:color w:val="auto"/>
          <w:sz w:val="24"/>
          <w:szCs w:val="24"/>
        </w:rPr>
        <w:t>串通</w:t>
      </w:r>
      <w:r>
        <w:rPr>
          <w:rFonts w:hint="eastAsia" w:asciiTheme="minorEastAsia" w:hAnsiTheme="minorEastAsia" w:eastAsiaTheme="minorEastAsia"/>
          <w:color w:val="auto"/>
          <w:sz w:val="24"/>
          <w:szCs w:val="24"/>
        </w:rPr>
        <w:t>投标行为</w:t>
      </w:r>
      <w:bookmarkEnd w:id="78"/>
    </w:p>
    <w:p w14:paraId="018674AD">
      <w:pPr>
        <w:adjustRightInd w:val="0"/>
        <w:snapToGrid w:val="0"/>
        <w:spacing w:before="120" w:beforeLines="50" w:line="352" w:lineRule="exact"/>
        <w:ind w:firstLine="396" w:firstLineChars="200"/>
        <w:jc w:val="left"/>
        <w:rPr>
          <w:rFonts w:asciiTheme="minorEastAsia" w:hAnsiTheme="minorEastAsia" w:eastAsiaTheme="minorEastAsia"/>
          <w:color w:val="auto"/>
          <w:spacing w:val="-6"/>
          <w:szCs w:val="21"/>
        </w:rPr>
      </w:pPr>
      <w:r>
        <w:rPr>
          <w:rFonts w:hint="eastAsia" w:asciiTheme="minorEastAsia" w:hAnsiTheme="minorEastAsia" w:eastAsiaTheme="minorEastAsia"/>
          <w:color w:val="auto"/>
          <w:spacing w:val="-6"/>
          <w:szCs w:val="21"/>
        </w:rPr>
        <w:t>23.1有下列情形之一的，属于恶意串通，对投标人依照政府采购法第七十七条第一款的规定追究法律责任：</w:t>
      </w:r>
    </w:p>
    <w:p w14:paraId="1E36CF7D">
      <w:pPr>
        <w:adjustRightInd w:val="0"/>
        <w:snapToGrid w:val="0"/>
        <w:spacing w:before="120" w:beforeLines="50" w:line="352" w:lineRule="exact"/>
        <w:ind w:firstLine="396" w:firstLineChars="200"/>
        <w:jc w:val="left"/>
        <w:rPr>
          <w:rFonts w:asciiTheme="minorEastAsia" w:hAnsiTheme="minorEastAsia" w:eastAsiaTheme="minorEastAsia"/>
          <w:color w:val="auto"/>
          <w:spacing w:val="-6"/>
          <w:szCs w:val="21"/>
        </w:rPr>
      </w:pPr>
      <w:r>
        <w:rPr>
          <w:rFonts w:hint="eastAsia" w:asciiTheme="minorEastAsia" w:hAnsiTheme="minorEastAsia" w:eastAsiaTheme="minorEastAsia"/>
          <w:color w:val="auto"/>
          <w:spacing w:val="-6"/>
          <w:szCs w:val="21"/>
        </w:rPr>
        <w:t>（1）投标人直接或者间接从采购人或者采购代理机构处获得其他投标人的相关情况并修改其投标文件；</w:t>
      </w:r>
    </w:p>
    <w:p w14:paraId="37C2C28E">
      <w:pPr>
        <w:adjustRightInd w:val="0"/>
        <w:snapToGrid w:val="0"/>
        <w:spacing w:before="120" w:beforeLines="50" w:line="352" w:lineRule="exact"/>
        <w:ind w:firstLine="396" w:firstLineChars="200"/>
        <w:jc w:val="left"/>
        <w:rPr>
          <w:rFonts w:asciiTheme="minorEastAsia" w:hAnsiTheme="minorEastAsia" w:eastAsiaTheme="minorEastAsia"/>
          <w:color w:val="auto"/>
          <w:spacing w:val="-6"/>
          <w:szCs w:val="21"/>
        </w:rPr>
      </w:pPr>
      <w:r>
        <w:rPr>
          <w:rFonts w:hint="eastAsia" w:asciiTheme="minorEastAsia" w:hAnsiTheme="minorEastAsia" w:eastAsiaTheme="minorEastAsia"/>
          <w:color w:val="auto"/>
          <w:spacing w:val="-6"/>
          <w:szCs w:val="21"/>
        </w:rPr>
        <w:t>（2）投标人按照采购人或者采购代理机构的授意撤换、修改投标文件；</w:t>
      </w:r>
    </w:p>
    <w:p w14:paraId="45AEA641">
      <w:pPr>
        <w:adjustRightInd w:val="0"/>
        <w:snapToGrid w:val="0"/>
        <w:spacing w:before="120" w:beforeLines="50" w:line="352" w:lineRule="exact"/>
        <w:ind w:firstLine="396" w:firstLineChars="200"/>
        <w:jc w:val="left"/>
        <w:rPr>
          <w:rFonts w:asciiTheme="minorEastAsia" w:hAnsiTheme="minorEastAsia" w:eastAsiaTheme="minorEastAsia"/>
          <w:color w:val="auto"/>
          <w:spacing w:val="-6"/>
          <w:szCs w:val="21"/>
        </w:rPr>
      </w:pPr>
      <w:r>
        <w:rPr>
          <w:rFonts w:hint="eastAsia" w:asciiTheme="minorEastAsia" w:hAnsiTheme="minorEastAsia" w:eastAsiaTheme="minorEastAsia"/>
          <w:color w:val="auto"/>
          <w:spacing w:val="-6"/>
          <w:szCs w:val="21"/>
        </w:rPr>
        <w:t>（3）投标人之间协商报价、技术方案等投标文件的实质性内容；</w:t>
      </w:r>
    </w:p>
    <w:p w14:paraId="582CD38B">
      <w:pPr>
        <w:adjustRightInd w:val="0"/>
        <w:snapToGrid w:val="0"/>
        <w:spacing w:before="120" w:beforeLines="50" w:line="352" w:lineRule="exact"/>
        <w:ind w:firstLine="396" w:firstLineChars="200"/>
        <w:jc w:val="left"/>
        <w:rPr>
          <w:rFonts w:asciiTheme="minorEastAsia" w:hAnsiTheme="minorEastAsia" w:eastAsiaTheme="minorEastAsia"/>
          <w:color w:val="auto"/>
          <w:spacing w:val="-6"/>
          <w:szCs w:val="21"/>
        </w:rPr>
      </w:pPr>
      <w:r>
        <w:rPr>
          <w:rFonts w:hint="eastAsia" w:asciiTheme="minorEastAsia" w:hAnsiTheme="minorEastAsia" w:eastAsiaTheme="minorEastAsia"/>
          <w:color w:val="auto"/>
          <w:spacing w:val="-6"/>
          <w:szCs w:val="21"/>
        </w:rPr>
        <w:t>（4）属于同一集团、协会、商会等组织成员的投标人按照该组织要求协同参加政府采购活动；</w:t>
      </w:r>
    </w:p>
    <w:p w14:paraId="4ABC63B9">
      <w:pPr>
        <w:adjustRightInd w:val="0"/>
        <w:snapToGrid w:val="0"/>
        <w:spacing w:before="120" w:beforeLines="50" w:line="352" w:lineRule="exact"/>
        <w:ind w:firstLine="396" w:firstLineChars="200"/>
        <w:jc w:val="left"/>
        <w:rPr>
          <w:rFonts w:asciiTheme="minorEastAsia" w:hAnsiTheme="minorEastAsia" w:eastAsiaTheme="minorEastAsia"/>
          <w:color w:val="auto"/>
          <w:spacing w:val="-6"/>
          <w:szCs w:val="21"/>
        </w:rPr>
      </w:pPr>
      <w:r>
        <w:rPr>
          <w:rFonts w:hint="eastAsia" w:asciiTheme="minorEastAsia" w:hAnsiTheme="minorEastAsia" w:eastAsiaTheme="minorEastAsia"/>
          <w:color w:val="auto"/>
          <w:spacing w:val="-6"/>
          <w:szCs w:val="21"/>
        </w:rPr>
        <w:t>（5）投标人之间事先约定由某一特定投标人中标；</w:t>
      </w:r>
    </w:p>
    <w:p w14:paraId="384A7D16">
      <w:pPr>
        <w:adjustRightInd w:val="0"/>
        <w:snapToGrid w:val="0"/>
        <w:spacing w:before="120" w:beforeLines="50" w:line="352" w:lineRule="exact"/>
        <w:ind w:firstLine="396" w:firstLineChars="200"/>
        <w:jc w:val="left"/>
        <w:rPr>
          <w:rFonts w:asciiTheme="minorEastAsia" w:hAnsiTheme="minorEastAsia" w:eastAsiaTheme="minorEastAsia"/>
          <w:color w:val="auto"/>
          <w:spacing w:val="-6"/>
          <w:szCs w:val="21"/>
        </w:rPr>
      </w:pPr>
      <w:r>
        <w:rPr>
          <w:rFonts w:hint="eastAsia" w:asciiTheme="minorEastAsia" w:hAnsiTheme="minorEastAsia" w:eastAsiaTheme="minorEastAsia"/>
          <w:color w:val="auto"/>
          <w:spacing w:val="-6"/>
          <w:szCs w:val="21"/>
        </w:rPr>
        <w:t>（6）投标人之间商定部分投标人放弃参加政府采购活动或者放弃中标；</w:t>
      </w:r>
    </w:p>
    <w:p w14:paraId="1CAD7668">
      <w:pPr>
        <w:adjustRightInd w:val="0"/>
        <w:snapToGrid w:val="0"/>
        <w:spacing w:before="120" w:beforeLines="50" w:line="352" w:lineRule="exact"/>
        <w:ind w:firstLine="396" w:firstLineChars="200"/>
        <w:jc w:val="left"/>
        <w:rPr>
          <w:rFonts w:asciiTheme="minorEastAsia" w:hAnsiTheme="minorEastAsia" w:eastAsiaTheme="minorEastAsia"/>
          <w:color w:val="auto"/>
          <w:spacing w:val="-6"/>
          <w:szCs w:val="21"/>
        </w:rPr>
      </w:pPr>
      <w:r>
        <w:rPr>
          <w:rFonts w:hint="eastAsia" w:asciiTheme="minorEastAsia" w:hAnsiTheme="minorEastAsia" w:eastAsiaTheme="minorEastAsia"/>
          <w:color w:val="auto"/>
          <w:spacing w:val="-6"/>
          <w:szCs w:val="21"/>
        </w:rPr>
        <w:t>（7）投标人与采购人或者采购代理机构之间、投标人相互之间，为谋求特定投标人中标或者排斥其他投标人的其他串通行为。</w:t>
      </w:r>
    </w:p>
    <w:p w14:paraId="45A43D36">
      <w:pPr>
        <w:adjustRightInd w:val="0"/>
        <w:snapToGrid w:val="0"/>
        <w:spacing w:before="120" w:beforeLines="50" w:line="352"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23.2有下列情形之一的，视为投标人串通投标，其</w:t>
      </w:r>
      <w:r>
        <w:rPr>
          <w:rFonts w:hint="eastAsia" w:asciiTheme="minorEastAsia" w:hAnsiTheme="minorEastAsia" w:eastAsiaTheme="minorEastAsia"/>
          <w:b/>
          <w:color w:val="auto"/>
          <w:szCs w:val="21"/>
        </w:rPr>
        <w:t>投标无效</w:t>
      </w:r>
      <w:r>
        <w:rPr>
          <w:rFonts w:hint="eastAsia" w:asciiTheme="minorEastAsia" w:hAnsiTheme="minorEastAsia" w:eastAsiaTheme="minorEastAsia"/>
          <w:color w:val="auto"/>
          <w:szCs w:val="21"/>
        </w:rPr>
        <w:t>：</w:t>
      </w:r>
    </w:p>
    <w:p w14:paraId="48CD1AC1">
      <w:pPr>
        <w:adjustRightInd w:val="0"/>
        <w:snapToGrid w:val="0"/>
        <w:spacing w:before="120" w:beforeLines="50" w:line="352"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（1）不同投标人的投标文件由同一单位或者个人编制；</w:t>
      </w:r>
    </w:p>
    <w:p w14:paraId="7F884BA8">
      <w:pPr>
        <w:adjustRightInd w:val="0"/>
        <w:snapToGrid w:val="0"/>
        <w:spacing w:before="120" w:beforeLines="50" w:line="352"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（2）不同投标人委托同一单位或者个人办理投标事宜；</w:t>
      </w:r>
    </w:p>
    <w:p w14:paraId="2ACB5B4D">
      <w:pPr>
        <w:adjustRightInd w:val="0"/>
        <w:snapToGrid w:val="0"/>
        <w:spacing w:before="120" w:beforeLines="50" w:line="352"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（3）不同投标人的投标文件载明的项目管理成员或者联系人员为同一人；</w:t>
      </w:r>
    </w:p>
    <w:p w14:paraId="567A68C5">
      <w:pPr>
        <w:adjustRightInd w:val="0"/>
        <w:snapToGrid w:val="0"/>
        <w:spacing w:before="120" w:beforeLines="50" w:line="352"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（4）不同投标人的投标文件异常一致或者投标报价呈规律性差异；</w:t>
      </w:r>
    </w:p>
    <w:p w14:paraId="31123891">
      <w:pPr>
        <w:adjustRightInd w:val="0"/>
        <w:snapToGrid w:val="0"/>
        <w:spacing w:before="120" w:beforeLines="50" w:line="352"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（5）不同投标人的投标文件相互混装；</w:t>
      </w:r>
    </w:p>
    <w:p w14:paraId="2310D4D7">
      <w:pPr>
        <w:adjustRightInd w:val="0"/>
        <w:snapToGrid w:val="0"/>
        <w:spacing w:before="120" w:beforeLines="50" w:line="352"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（6）不同投标人的投标保证金从同一单位或者个人的账户转出。</w:t>
      </w:r>
    </w:p>
    <w:p w14:paraId="57C1FE7E">
      <w:pPr>
        <w:pStyle w:val="4"/>
        <w:keepNext w:val="0"/>
        <w:keepLines w:val="0"/>
        <w:adjustRightInd w:val="0"/>
        <w:snapToGrid w:val="0"/>
        <w:spacing w:before="120" w:beforeLines="50" w:after="0" w:line="352" w:lineRule="exact"/>
        <w:jc w:val="center"/>
        <w:rPr>
          <w:rFonts w:ascii="黑体" w:hAnsi="黑体" w:eastAsia="黑体"/>
          <w:color w:val="auto"/>
          <w:sz w:val="28"/>
          <w:szCs w:val="28"/>
        </w:rPr>
      </w:pPr>
      <w:bookmarkStart w:id="79" w:name="_Toc15602"/>
      <w:r>
        <w:rPr>
          <w:rFonts w:hint="eastAsia" w:ascii="黑体" w:hAnsi="黑体" w:eastAsia="黑体"/>
          <w:color w:val="auto"/>
          <w:sz w:val="28"/>
          <w:szCs w:val="28"/>
        </w:rPr>
        <w:t>五、开标，资格审查和评标</w:t>
      </w:r>
      <w:bookmarkEnd w:id="79"/>
    </w:p>
    <w:p w14:paraId="484CFF11">
      <w:pPr>
        <w:pStyle w:val="5"/>
        <w:keepNext w:val="0"/>
        <w:keepLines w:val="0"/>
        <w:adjustRightInd w:val="0"/>
        <w:snapToGrid w:val="0"/>
        <w:spacing w:before="50" w:after="0" w:line="352" w:lineRule="exact"/>
        <w:rPr>
          <w:rFonts w:asciiTheme="minorEastAsia" w:hAnsiTheme="minorEastAsia" w:eastAsiaTheme="minorEastAsia"/>
          <w:color w:val="auto"/>
          <w:sz w:val="24"/>
          <w:szCs w:val="24"/>
        </w:rPr>
      </w:pPr>
      <w:bookmarkStart w:id="80" w:name="_Toc91"/>
      <w:r>
        <w:rPr>
          <w:rFonts w:hint="eastAsia" w:asciiTheme="minorEastAsia" w:hAnsiTheme="minorEastAsia" w:eastAsiaTheme="minorEastAsia"/>
          <w:color w:val="auto"/>
          <w:sz w:val="24"/>
          <w:szCs w:val="24"/>
        </w:rPr>
        <w:t>24.开标</w:t>
      </w:r>
      <w:bookmarkEnd w:id="80"/>
    </w:p>
    <w:p w14:paraId="4CE1FA1B">
      <w:pPr>
        <w:adjustRightInd w:val="0"/>
        <w:snapToGrid w:val="0"/>
        <w:spacing w:before="120" w:beforeLines="50" w:line="352"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24.1采购人、采购代理机构将在</w:t>
      </w:r>
      <w:r>
        <w:rPr>
          <w:rFonts w:hint="eastAsia" w:asciiTheme="minorEastAsia" w:hAnsiTheme="minorEastAsia" w:eastAsiaTheme="minorEastAsia"/>
          <w:b/>
          <w:color w:val="auto"/>
          <w:szCs w:val="21"/>
        </w:rPr>
        <w:t>【投标须知前附表】</w:t>
      </w:r>
      <w:r>
        <w:rPr>
          <w:rFonts w:hint="eastAsia" w:asciiTheme="minorEastAsia" w:hAnsiTheme="minorEastAsia" w:eastAsiaTheme="minorEastAsia"/>
          <w:color w:val="auto"/>
          <w:szCs w:val="21"/>
        </w:rPr>
        <w:t>规定的开标地点通过华新管理电子招标采购平台（https://hxgl316.youzhicai.com/）组织开标。</w:t>
      </w:r>
    </w:p>
    <w:p w14:paraId="1444A9DD">
      <w:pPr>
        <w:adjustRightInd w:val="0"/>
        <w:snapToGrid w:val="0"/>
        <w:spacing w:before="120" w:beforeLines="50" w:line="352"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本项目使用电子开标，投标人须在开标前登录到华新管理电子招标采购平台（https://hxgl316.youzhicai.com/）；开标时间前，在“开标大厅”完成签到，开标时间到后，在“开标大厅”投标人接受主持人的邀请完成投标文件的解密。</w:t>
      </w:r>
    </w:p>
    <w:p w14:paraId="293544C6">
      <w:pPr>
        <w:adjustRightInd w:val="0"/>
        <w:snapToGrid w:val="0"/>
        <w:spacing w:before="120" w:beforeLines="50" w:line="352"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24.2投标截止时间到达以后，投标人在</w:t>
      </w:r>
      <w:r>
        <w:rPr>
          <w:rFonts w:hint="eastAsia" w:asciiTheme="minorEastAsia" w:hAnsiTheme="minorEastAsia" w:eastAsiaTheme="minorEastAsia"/>
          <w:b/>
          <w:color w:val="auto"/>
          <w:szCs w:val="21"/>
        </w:rPr>
        <w:t>【投标须知前附表】</w:t>
      </w:r>
      <w:r>
        <w:rPr>
          <w:rFonts w:hint="eastAsia" w:asciiTheme="minorEastAsia" w:hAnsiTheme="minorEastAsia" w:eastAsiaTheme="minorEastAsia"/>
          <w:color w:val="auto"/>
          <w:szCs w:val="21"/>
        </w:rPr>
        <w:t>规定</w:t>
      </w:r>
      <w:r>
        <w:rPr>
          <w:rFonts w:hint="eastAsia" w:asciiTheme="minorEastAsia" w:hAnsiTheme="minorEastAsia" w:eastAsiaTheme="minorEastAsia"/>
          <w:b/>
          <w:color w:val="auto"/>
          <w:szCs w:val="21"/>
        </w:rPr>
        <w:t>“解密时长”</w:t>
      </w:r>
      <w:r>
        <w:rPr>
          <w:rFonts w:hint="eastAsia" w:asciiTheme="minorEastAsia" w:hAnsiTheme="minorEastAsia" w:eastAsiaTheme="minorEastAsia"/>
          <w:color w:val="auto"/>
          <w:szCs w:val="21"/>
        </w:rPr>
        <w:t>内在线对投标文件进行解密；公布投标人名称、投标价格和</w:t>
      </w:r>
      <w:r>
        <w:rPr>
          <w:rFonts w:hint="eastAsia" w:asciiTheme="minorEastAsia" w:hAnsiTheme="minorEastAsia" w:eastAsiaTheme="minorEastAsia"/>
          <w:b/>
          <w:color w:val="auto"/>
          <w:szCs w:val="21"/>
        </w:rPr>
        <w:t>【投标须知前附表】</w:t>
      </w:r>
      <w:r>
        <w:rPr>
          <w:rFonts w:hint="eastAsia" w:asciiTheme="minorEastAsia" w:hAnsiTheme="minorEastAsia" w:eastAsiaTheme="minorEastAsia"/>
          <w:color w:val="auto"/>
          <w:szCs w:val="21"/>
        </w:rPr>
        <w:t>规定需要宣布的其他内容。投标人不足3家的，不得开标。</w:t>
      </w:r>
    </w:p>
    <w:p w14:paraId="7B9C3053">
      <w:pPr>
        <w:adjustRightInd w:val="0"/>
        <w:snapToGrid w:val="0"/>
        <w:spacing w:before="120" w:beforeLines="50" w:line="352"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24.3投标人代表对开标过程和开标记录有疑义，以及认为采购人、采购代理机构相关工作人员有《政府采购法实施条例》第九条第一款需要回避的情形的，应当场提出询问或者回避申请。</w:t>
      </w:r>
    </w:p>
    <w:p w14:paraId="31F6DC89">
      <w:pPr>
        <w:adjustRightInd w:val="0"/>
        <w:snapToGrid w:val="0"/>
        <w:spacing w:before="120" w:beforeLines="50" w:line="352"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24.4采购人、采购代理机构对投标人代表当场提出的询问或者回避申请，按《政府采购法实施条例》有关规定及时处理。</w:t>
      </w:r>
    </w:p>
    <w:p w14:paraId="66773B53">
      <w:pPr>
        <w:pStyle w:val="5"/>
        <w:keepNext w:val="0"/>
        <w:keepLines w:val="0"/>
        <w:adjustRightInd w:val="0"/>
        <w:snapToGrid w:val="0"/>
        <w:spacing w:before="50" w:after="0" w:line="352" w:lineRule="exact"/>
        <w:rPr>
          <w:rFonts w:asciiTheme="minorEastAsia" w:hAnsiTheme="minorEastAsia" w:eastAsiaTheme="minorEastAsia"/>
          <w:color w:val="auto"/>
          <w:sz w:val="24"/>
          <w:szCs w:val="24"/>
        </w:rPr>
      </w:pPr>
      <w:bookmarkStart w:id="81" w:name="_Toc25060"/>
      <w:r>
        <w:rPr>
          <w:rStyle w:val="44"/>
          <w:rFonts w:hint="eastAsia" w:cs="Arial" w:asciiTheme="minorEastAsia" w:hAnsiTheme="minorEastAsia" w:eastAsiaTheme="minorEastAsia"/>
          <w:b w:val="0"/>
          <w:bCs w:val="0"/>
          <w:color w:val="auto"/>
          <w:sz w:val="24"/>
          <w:szCs w:val="24"/>
        </w:rPr>
        <w:t>25.</w:t>
      </w:r>
      <w:r>
        <w:rPr>
          <w:rFonts w:hint="eastAsia" w:asciiTheme="minorEastAsia" w:hAnsiTheme="minorEastAsia" w:eastAsiaTheme="minorEastAsia"/>
          <w:color w:val="auto"/>
          <w:sz w:val="24"/>
          <w:szCs w:val="24"/>
        </w:rPr>
        <w:t>资格审查</w:t>
      </w:r>
      <w:bookmarkEnd w:id="81"/>
    </w:p>
    <w:p w14:paraId="072BCAE7">
      <w:pPr>
        <w:adjustRightInd w:val="0"/>
        <w:snapToGrid w:val="0"/>
        <w:spacing w:before="120" w:beforeLines="50" w:line="352"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25.1开标结束后，采购人、采购代理机构依法按照第三章</w:t>
      </w:r>
      <w:r>
        <w:rPr>
          <w:rFonts w:hint="eastAsia" w:ascii="华文宋体" w:hAnsi="华文宋体" w:eastAsia="华文宋体"/>
          <w:color w:val="auto"/>
          <w:szCs w:val="21"/>
        </w:rPr>
        <w:t>“</w:t>
      </w:r>
      <w:r>
        <w:rPr>
          <w:rFonts w:hint="eastAsia" w:asciiTheme="minorEastAsia" w:hAnsiTheme="minorEastAsia" w:eastAsiaTheme="minorEastAsia"/>
          <w:color w:val="auto"/>
          <w:szCs w:val="21"/>
        </w:rPr>
        <w:t>资格审查</w:t>
      </w:r>
      <w:r>
        <w:rPr>
          <w:rFonts w:hint="eastAsia" w:ascii="华文宋体" w:hAnsi="华文宋体" w:eastAsia="华文宋体"/>
          <w:color w:val="auto"/>
          <w:szCs w:val="21"/>
        </w:rPr>
        <w:t>”</w:t>
      </w:r>
      <w:r>
        <w:rPr>
          <w:rFonts w:hint="eastAsia" w:asciiTheme="minorEastAsia" w:hAnsiTheme="minorEastAsia" w:eastAsiaTheme="minorEastAsia"/>
          <w:color w:val="auto"/>
          <w:szCs w:val="21"/>
        </w:rPr>
        <w:t>规定组织资格审查。</w:t>
      </w:r>
    </w:p>
    <w:p w14:paraId="3613BB0A">
      <w:pPr>
        <w:adjustRightInd w:val="0"/>
        <w:snapToGrid w:val="0"/>
        <w:spacing w:before="120" w:beforeLines="50" w:line="352"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25.2资格审查结束后，采购人、采购代理机构应将资格审查结果告知评标委员会。资格审查不合格投标人不进入评标；资格审查合格投标人少于3家的，不得评标。</w:t>
      </w:r>
    </w:p>
    <w:p w14:paraId="2DFB2E2C">
      <w:pPr>
        <w:pStyle w:val="5"/>
        <w:keepNext w:val="0"/>
        <w:keepLines w:val="0"/>
        <w:adjustRightInd w:val="0"/>
        <w:snapToGrid w:val="0"/>
        <w:spacing w:before="50" w:after="0" w:line="352" w:lineRule="exact"/>
        <w:rPr>
          <w:rFonts w:asciiTheme="minorEastAsia" w:hAnsiTheme="minorEastAsia" w:eastAsiaTheme="minorEastAsia"/>
          <w:color w:val="auto"/>
          <w:sz w:val="24"/>
          <w:szCs w:val="24"/>
        </w:rPr>
      </w:pPr>
      <w:bookmarkStart w:id="82" w:name="_Toc32302"/>
      <w:r>
        <w:rPr>
          <w:rFonts w:hint="eastAsia" w:asciiTheme="minorEastAsia" w:hAnsiTheme="minorEastAsia" w:eastAsiaTheme="minorEastAsia"/>
          <w:color w:val="auto"/>
          <w:sz w:val="24"/>
          <w:szCs w:val="24"/>
        </w:rPr>
        <w:t>26.评标委员会</w:t>
      </w:r>
      <w:bookmarkEnd w:id="82"/>
    </w:p>
    <w:p w14:paraId="18272906">
      <w:pPr>
        <w:adjustRightInd w:val="0"/>
        <w:snapToGrid w:val="0"/>
        <w:spacing w:before="120" w:beforeLines="50" w:line="352"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26.1评标由依法组建的评标委员会负责，评标委员会由采购人代表和评审专家组成。</w:t>
      </w:r>
    </w:p>
    <w:p w14:paraId="315D9942">
      <w:pPr>
        <w:adjustRightInd w:val="0"/>
        <w:snapToGrid w:val="0"/>
        <w:spacing w:before="120" w:beforeLines="50" w:line="352"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26.2评标委员会成员有下列情形之一的，应当回避：</w:t>
      </w:r>
    </w:p>
    <w:p w14:paraId="6ECD36CA">
      <w:pPr>
        <w:adjustRightInd w:val="0"/>
        <w:snapToGrid w:val="0"/>
        <w:spacing w:before="120" w:beforeLines="50" w:line="352"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（1）参加采购活动前三年内，与投标人存在劳动关系，或者担任过投标人的董事、监事，或者是投标人的控股股东或实际控制人；</w:t>
      </w:r>
    </w:p>
    <w:p w14:paraId="51BBDDF7">
      <w:pPr>
        <w:adjustRightInd w:val="0"/>
        <w:snapToGrid w:val="0"/>
        <w:spacing w:before="120" w:beforeLines="50" w:line="352"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（2）与投标人的法定代表人或者负责人有夫妻、直系血亲、三代以内旁系血亲或者近姻亲关系；</w:t>
      </w:r>
    </w:p>
    <w:p w14:paraId="2F3F2CDD">
      <w:pPr>
        <w:adjustRightInd w:val="0"/>
        <w:snapToGrid w:val="0"/>
        <w:spacing w:before="120" w:beforeLines="50" w:line="352"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（3）与投标人有其他可能影响政府采购活动公平、公正进行的关系。</w:t>
      </w:r>
    </w:p>
    <w:p w14:paraId="25A8F5D9">
      <w:pPr>
        <w:adjustRightInd w:val="0"/>
        <w:snapToGrid w:val="0"/>
        <w:spacing w:before="120" w:beforeLines="50" w:line="352"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26.3评标委员会负责具体评标事务，并独立履行下列职责：</w:t>
      </w:r>
    </w:p>
    <w:p w14:paraId="5DEC5E52">
      <w:pPr>
        <w:adjustRightInd w:val="0"/>
        <w:snapToGrid w:val="0"/>
        <w:spacing w:before="120" w:beforeLines="50" w:line="352"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（1）审查、评价投标文件是否符合招标文件的商务、技术等实质性要求；</w:t>
      </w:r>
    </w:p>
    <w:p w14:paraId="4FEB5D7C">
      <w:pPr>
        <w:adjustRightInd w:val="0"/>
        <w:snapToGrid w:val="0"/>
        <w:spacing w:before="120" w:beforeLines="50" w:line="352"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（2）要求投标人对投标文件有关事项作出澄清或者说明；</w:t>
      </w:r>
    </w:p>
    <w:p w14:paraId="136E34E4">
      <w:pPr>
        <w:adjustRightInd w:val="0"/>
        <w:snapToGrid w:val="0"/>
        <w:spacing w:before="120" w:beforeLines="50" w:line="352"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（3）对投标文件进行比较和评价；</w:t>
      </w:r>
    </w:p>
    <w:p w14:paraId="05EFD650">
      <w:pPr>
        <w:adjustRightInd w:val="0"/>
        <w:snapToGrid w:val="0"/>
        <w:spacing w:before="120" w:beforeLines="50" w:line="352"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（4）确定中标候选人名单，以及根据采购人委托直接确定中标人。</w:t>
      </w:r>
    </w:p>
    <w:p w14:paraId="5CFD797A">
      <w:pPr>
        <w:pStyle w:val="5"/>
        <w:keepNext w:val="0"/>
        <w:keepLines w:val="0"/>
        <w:adjustRightInd w:val="0"/>
        <w:snapToGrid w:val="0"/>
        <w:spacing w:before="50" w:after="0" w:line="352" w:lineRule="exact"/>
        <w:rPr>
          <w:rFonts w:asciiTheme="minorEastAsia" w:hAnsiTheme="minorEastAsia" w:eastAsiaTheme="minorEastAsia"/>
          <w:color w:val="auto"/>
          <w:sz w:val="24"/>
          <w:szCs w:val="24"/>
        </w:rPr>
      </w:pPr>
      <w:bookmarkStart w:id="83" w:name="_Toc23054"/>
      <w:r>
        <w:rPr>
          <w:rFonts w:hint="eastAsia" w:asciiTheme="minorEastAsia" w:hAnsiTheme="minorEastAsia" w:eastAsiaTheme="minorEastAsia"/>
          <w:color w:val="auto"/>
          <w:sz w:val="24"/>
          <w:szCs w:val="24"/>
        </w:rPr>
        <w:t>27.评标</w:t>
      </w:r>
      <w:bookmarkEnd w:id="83"/>
    </w:p>
    <w:p w14:paraId="032A22ED">
      <w:pPr>
        <w:adjustRightInd w:val="0"/>
        <w:snapToGrid w:val="0"/>
        <w:spacing w:before="120" w:beforeLines="50" w:line="352" w:lineRule="exact"/>
        <w:ind w:firstLine="420" w:firstLineChars="200"/>
        <w:jc w:val="left"/>
        <w:rPr>
          <w:rFonts w:asciiTheme="minorEastAsia" w:hAnsiTheme="minorEastAsia" w:eastAsiaTheme="minorEastAsia"/>
          <w:color w:val="auto"/>
        </w:rPr>
      </w:pPr>
      <w:r>
        <w:rPr>
          <w:rFonts w:hint="eastAsia" w:asciiTheme="minorEastAsia" w:hAnsiTheme="minorEastAsia" w:eastAsiaTheme="minorEastAsia"/>
          <w:color w:val="auto"/>
        </w:rPr>
        <w:t>27.1评标委员会按照</w:t>
      </w:r>
      <w:r>
        <w:rPr>
          <w:rFonts w:hint="eastAsia" w:asciiTheme="minorEastAsia" w:hAnsiTheme="minorEastAsia" w:eastAsiaTheme="minorEastAsia"/>
          <w:bCs/>
          <w:color w:val="auto"/>
        </w:rPr>
        <w:t>第四章</w:t>
      </w:r>
      <w:r>
        <w:rPr>
          <w:rFonts w:hint="eastAsia" w:ascii="华文宋体" w:hAnsi="华文宋体" w:eastAsia="华文宋体"/>
          <w:bCs/>
          <w:color w:val="auto"/>
        </w:rPr>
        <w:t>“</w:t>
      </w:r>
      <w:r>
        <w:rPr>
          <w:rFonts w:hint="eastAsia" w:asciiTheme="minorEastAsia" w:hAnsiTheme="minorEastAsia" w:eastAsiaTheme="minorEastAsia"/>
          <w:bCs/>
          <w:color w:val="auto"/>
        </w:rPr>
        <w:t>评标方法及标准</w:t>
      </w:r>
      <w:r>
        <w:rPr>
          <w:rFonts w:hint="eastAsia" w:ascii="华文宋体" w:hAnsi="华文宋体" w:eastAsia="华文宋体"/>
          <w:bCs/>
          <w:color w:val="auto"/>
        </w:rPr>
        <w:t>”</w:t>
      </w:r>
      <w:r>
        <w:rPr>
          <w:rFonts w:hint="eastAsia" w:asciiTheme="minorEastAsia" w:hAnsiTheme="minorEastAsia" w:eastAsiaTheme="minorEastAsia"/>
          <w:color w:val="auto"/>
        </w:rPr>
        <w:t>规定的评标方法、评审因素、标准和程序以及有关法律、法规及规章对投标文件进行评审。</w:t>
      </w:r>
    </w:p>
    <w:p w14:paraId="028A9D44">
      <w:pPr>
        <w:pStyle w:val="5"/>
        <w:keepNext w:val="0"/>
        <w:keepLines w:val="0"/>
        <w:adjustRightInd w:val="0"/>
        <w:snapToGrid w:val="0"/>
        <w:spacing w:before="50" w:after="0" w:line="352" w:lineRule="exact"/>
        <w:rPr>
          <w:rFonts w:ascii="黑体" w:hAnsi="黑体"/>
          <w:color w:val="auto"/>
          <w:sz w:val="24"/>
          <w:szCs w:val="24"/>
        </w:rPr>
      </w:pPr>
      <w:bookmarkStart w:id="84" w:name="_Toc62206152"/>
      <w:bookmarkStart w:id="85" w:name="_Toc6629"/>
      <w:r>
        <w:rPr>
          <w:rFonts w:hint="eastAsia" w:ascii="黑体" w:hAnsi="黑体"/>
          <w:color w:val="auto"/>
          <w:sz w:val="24"/>
          <w:szCs w:val="24"/>
        </w:rPr>
        <w:t>28.保密</w:t>
      </w:r>
      <w:bookmarkEnd w:id="84"/>
      <w:bookmarkEnd w:id="85"/>
    </w:p>
    <w:p w14:paraId="1ABFF1E7">
      <w:pPr>
        <w:adjustRightInd w:val="0"/>
        <w:snapToGrid w:val="0"/>
        <w:spacing w:before="120" w:beforeLines="50" w:line="352" w:lineRule="exact"/>
        <w:ind w:firstLine="420" w:firstLineChars="200"/>
        <w:rPr>
          <w:rFonts w:ascii="宋体" w:hAnsi="宋体"/>
          <w:color w:val="auto"/>
        </w:rPr>
      </w:pPr>
      <w:r>
        <w:rPr>
          <w:rFonts w:hint="eastAsia" w:ascii="宋体" w:hAnsi="宋体"/>
          <w:color w:val="auto"/>
        </w:rPr>
        <w:t>28.1评标委员会成员以及与评标工作有关的人员不得泄露评审情况以及评审过程中获悉的国家秘密、商业秘密。</w:t>
      </w:r>
    </w:p>
    <w:p w14:paraId="50AFFE3C">
      <w:pPr>
        <w:pStyle w:val="4"/>
        <w:keepNext w:val="0"/>
        <w:keepLines w:val="0"/>
        <w:adjustRightInd w:val="0"/>
        <w:snapToGrid w:val="0"/>
        <w:spacing w:before="120" w:beforeLines="50" w:after="0" w:line="352" w:lineRule="exact"/>
        <w:jc w:val="center"/>
        <w:rPr>
          <w:rFonts w:ascii="黑体" w:hAnsi="黑体" w:eastAsia="黑体"/>
          <w:color w:val="auto"/>
          <w:sz w:val="28"/>
          <w:szCs w:val="28"/>
        </w:rPr>
      </w:pPr>
      <w:bookmarkStart w:id="86" w:name="_Toc28396"/>
      <w:r>
        <w:rPr>
          <w:rFonts w:hint="eastAsia" w:ascii="黑体" w:hAnsi="黑体" w:eastAsia="黑体"/>
          <w:color w:val="auto"/>
          <w:sz w:val="28"/>
          <w:szCs w:val="28"/>
        </w:rPr>
        <w:t>六、中标信息公布</w:t>
      </w:r>
      <w:bookmarkEnd w:id="86"/>
    </w:p>
    <w:p w14:paraId="0AB91566">
      <w:pPr>
        <w:pStyle w:val="5"/>
        <w:keepNext w:val="0"/>
        <w:keepLines w:val="0"/>
        <w:adjustRightInd w:val="0"/>
        <w:snapToGrid w:val="0"/>
        <w:spacing w:before="50" w:after="0" w:line="352" w:lineRule="exact"/>
        <w:rPr>
          <w:rFonts w:asciiTheme="minorEastAsia" w:hAnsiTheme="minorEastAsia" w:eastAsiaTheme="minorEastAsia"/>
          <w:color w:val="auto"/>
          <w:sz w:val="24"/>
          <w:szCs w:val="24"/>
        </w:rPr>
      </w:pPr>
      <w:bookmarkStart w:id="87" w:name="_Toc17766"/>
      <w:r>
        <w:rPr>
          <w:rFonts w:hint="eastAsia" w:asciiTheme="minorEastAsia" w:hAnsiTheme="minorEastAsia" w:eastAsiaTheme="minorEastAsia"/>
          <w:color w:val="auto"/>
          <w:sz w:val="24"/>
          <w:szCs w:val="24"/>
        </w:rPr>
        <w:t>29.中标通知书与中标信息公布</w:t>
      </w:r>
      <w:bookmarkEnd w:id="87"/>
    </w:p>
    <w:p w14:paraId="7976961C">
      <w:pPr>
        <w:adjustRightInd w:val="0"/>
        <w:snapToGrid w:val="0"/>
        <w:spacing w:before="120" w:beforeLines="50" w:line="352"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29.1采购代理机构应当在评标结束后2个工作日内将评标报告送采购人。</w:t>
      </w:r>
    </w:p>
    <w:p w14:paraId="5569A8E1">
      <w:pPr>
        <w:adjustRightInd w:val="0"/>
        <w:snapToGrid w:val="0"/>
        <w:spacing w:before="120" w:beforeLines="50" w:line="352"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29.2采购人应当自收到评标报告之日起5个工作日内，在评标报告确定的中标候选人名单中按顺序确定中标人。中标候选人并列的，按照</w:t>
      </w:r>
      <w:r>
        <w:rPr>
          <w:rFonts w:hint="eastAsia" w:asciiTheme="minorEastAsia" w:hAnsiTheme="minorEastAsia" w:eastAsiaTheme="minorEastAsia"/>
          <w:b/>
          <w:color w:val="auto"/>
          <w:szCs w:val="21"/>
        </w:rPr>
        <w:t>【投标须知前附表】</w:t>
      </w:r>
      <w:r>
        <w:rPr>
          <w:rFonts w:hint="eastAsia" w:asciiTheme="minorEastAsia" w:hAnsiTheme="minorEastAsia" w:eastAsiaTheme="minorEastAsia"/>
          <w:color w:val="auto"/>
          <w:szCs w:val="21"/>
        </w:rPr>
        <w:t>规定的方式确定中标人；招标文件未规定的，采取随机抽取的方式确定。</w:t>
      </w:r>
    </w:p>
    <w:p w14:paraId="5180B18E">
      <w:pPr>
        <w:adjustRightInd w:val="0"/>
        <w:snapToGrid w:val="0"/>
        <w:spacing w:before="120" w:beforeLines="50" w:line="352"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29.3采购人、采购代理机构应当自采购人确定中标供应商之日起2个工作日内，发出中标通知书，并在</w:t>
      </w:r>
      <w:r>
        <w:rPr>
          <w:rFonts w:hint="eastAsia" w:hAnsi="宋体"/>
          <w:color w:val="auto"/>
        </w:rPr>
        <w:t>本章第9.1款</w:t>
      </w:r>
      <w:r>
        <w:rPr>
          <w:rFonts w:hint="eastAsia" w:asciiTheme="minorEastAsia" w:hAnsiTheme="minorEastAsia" w:eastAsiaTheme="minorEastAsia"/>
          <w:color w:val="auto"/>
          <w:szCs w:val="21"/>
        </w:rPr>
        <w:t>指定媒体上公告中标结果，招标文件和中标供应商的《中小企业声明函》随中标结果同时公告，中标结果公告期限为１个工作日。</w:t>
      </w:r>
    </w:p>
    <w:p w14:paraId="51286B0D">
      <w:pPr>
        <w:pStyle w:val="5"/>
        <w:keepNext w:val="0"/>
        <w:keepLines w:val="0"/>
        <w:adjustRightInd w:val="0"/>
        <w:snapToGrid w:val="0"/>
        <w:spacing w:before="50" w:after="0" w:line="352" w:lineRule="exact"/>
        <w:rPr>
          <w:rFonts w:asciiTheme="minorEastAsia" w:hAnsiTheme="minorEastAsia" w:eastAsiaTheme="minorEastAsia"/>
          <w:color w:val="auto"/>
          <w:sz w:val="24"/>
          <w:szCs w:val="24"/>
        </w:rPr>
      </w:pPr>
      <w:bookmarkStart w:id="88" w:name="_Toc18363"/>
      <w:r>
        <w:rPr>
          <w:rFonts w:hint="eastAsia" w:asciiTheme="minorEastAsia" w:hAnsiTheme="minorEastAsia" w:eastAsiaTheme="minorEastAsia"/>
          <w:color w:val="auto"/>
          <w:sz w:val="24"/>
          <w:szCs w:val="24"/>
        </w:rPr>
        <w:t>30.询问及质疑</w:t>
      </w:r>
      <w:bookmarkEnd w:id="88"/>
    </w:p>
    <w:p w14:paraId="169FC318">
      <w:pPr>
        <w:adjustRightInd w:val="0"/>
        <w:snapToGrid w:val="0"/>
        <w:spacing w:before="120" w:beforeLines="50" w:line="352"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30.1投标人对政府采购活动事项有疑问的，可以向采购人、采购代理机构提出询问。采购人或采购代理机构将在3个工作日内作出答复。</w:t>
      </w:r>
    </w:p>
    <w:p w14:paraId="0A0C1C61">
      <w:pPr>
        <w:adjustRightInd w:val="0"/>
        <w:snapToGrid w:val="0"/>
        <w:spacing w:before="120" w:beforeLines="50" w:line="352"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30.2投标人认为招标文件、采购过程和中标结果使自己的权益受到损害的，可以在知道或者应知其权益受到损害之日起7个工作日内，按照《湖南省财政厅关于印发＜政府采购质疑答复和投诉处理操作规程＞的通知》（湘财购〔2019〕20号）规定，以纸质书面形式向采购人、采购代理机构提出质疑。</w:t>
      </w:r>
    </w:p>
    <w:p w14:paraId="0DA9729C">
      <w:pPr>
        <w:adjustRightInd w:val="0"/>
        <w:snapToGrid w:val="0"/>
        <w:spacing w:before="120" w:beforeLines="50" w:line="352"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30.3投标人提出质疑的，应按照《湖南省财政厅关于印发＜政府采购质疑答复和投诉处理操作规程＞的通知》规定制作、签署、送达。采购人、采购代理机构接收质疑函的联系部门、联系电话和通讯地址见</w:t>
      </w:r>
      <w:r>
        <w:rPr>
          <w:rFonts w:hint="eastAsia" w:asciiTheme="minorEastAsia" w:hAnsiTheme="minorEastAsia" w:eastAsiaTheme="minorEastAsia"/>
          <w:b/>
          <w:color w:val="auto"/>
          <w:szCs w:val="21"/>
        </w:rPr>
        <w:t>【投标须知前附表】</w:t>
      </w:r>
      <w:r>
        <w:rPr>
          <w:rFonts w:hint="eastAsia" w:asciiTheme="minorEastAsia" w:hAnsiTheme="minorEastAsia" w:eastAsiaTheme="minorEastAsia"/>
          <w:color w:val="auto"/>
          <w:szCs w:val="21"/>
        </w:rPr>
        <w:t xml:space="preserve">。  </w:t>
      </w:r>
    </w:p>
    <w:p w14:paraId="389E7515">
      <w:pPr>
        <w:adjustRightInd w:val="0"/>
        <w:snapToGrid w:val="0"/>
        <w:spacing w:before="120" w:beforeLines="50" w:line="352"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30.4采购人、采购代理机构按照《湖南省财政厅关于印发＜政府采购质疑答复和投诉处理操作规程＞的通知》规定进行质疑答复。</w:t>
      </w:r>
    </w:p>
    <w:p w14:paraId="31FE7920">
      <w:pPr>
        <w:adjustRightInd w:val="0"/>
        <w:snapToGrid w:val="0"/>
        <w:spacing w:before="120" w:beforeLines="50" w:line="352" w:lineRule="exact"/>
        <w:ind w:firstLine="420" w:firstLineChars="200"/>
        <w:jc w:val="left"/>
        <w:rPr>
          <w:rFonts w:asciiTheme="minorEastAsia" w:hAnsiTheme="minorEastAsia" w:eastAsiaTheme="minorEastAsia"/>
          <w:b/>
          <w:bCs/>
          <w:color w:val="auto"/>
        </w:rPr>
      </w:pPr>
      <w:r>
        <w:rPr>
          <w:rFonts w:hint="eastAsia" w:asciiTheme="minorEastAsia" w:hAnsiTheme="minorEastAsia" w:eastAsiaTheme="minorEastAsia"/>
          <w:color w:val="auto"/>
          <w:szCs w:val="21"/>
        </w:rPr>
        <w:t>30</w:t>
      </w:r>
      <w:r>
        <w:rPr>
          <w:rFonts w:asciiTheme="minorEastAsia" w:hAnsiTheme="minorEastAsia" w:eastAsiaTheme="minorEastAsia"/>
          <w:color w:val="auto"/>
          <w:szCs w:val="21"/>
        </w:rPr>
        <w:t>.</w:t>
      </w:r>
      <w:r>
        <w:rPr>
          <w:rFonts w:hint="eastAsia" w:asciiTheme="minorEastAsia" w:hAnsiTheme="minorEastAsia" w:eastAsiaTheme="minorEastAsia"/>
          <w:color w:val="auto"/>
          <w:szCs w:val="21"/>
        </w:rPr>
        <w:t>5投标人对采购人、采购代理机构的答复不满意，或采购人或采购代理机构未在规定的期限作出答复的，可在答复期满后15个工作日内，按照《湖南省财政厅关于印发＜政府采购质疑答复和投诉处理操作规程＞的通知》规定向采购人同级财政部门提出投诉。</w:t>
      </w:r>
    </w:p>
    <w:p w14:paraId="0A7999F1">
      <w:pPr>
        <w:pStyle w:val="4"/>
        <w:keepNext w:val="0"/>
        <w:keepLines w:val="0"/>
        <w:adjustRightInd w:val="0"/>
        <w:snapToGrid w:val="0"/>
        <w:spacing w:before="120" w:beforeLines="50" w:after="0" w:line="352" w:lineRule="exact"/>
        <w:jc w:val="center"/>
        <w:rPr>
          <w:rFonts w:ascii="黑体" w:hAnsi="黑体" w:eastAsia="黑体"/>
          <w:color w:val="auto"/>
          <w:sz w:val="28"/>
          <w:szCs w:val="28"/>
        </w:rPr>
      </w:pPr>
      <w:bookmarkStart w:id="89" w:name="_Toc23584"/>
      <w:r>
        <w:rPr>
          <w:rFonts w:hint="eastAsia" w:ascii="黑体" w:hAnsi="黑体" w:eastAsia="黑体"/>
          <w:color w:val="auto"/>
          <w:sz w:val="28"/>
          <w:szCs w:val="28"/>
        </w:rPr>
        <w:t>七、合同签订</w:t>
      </w:r>
      <w:bookmarkEnd w:id="89"/>
    </w:p>
    <w:p w14:paraId="761379CE">
      <w:pPr>
        <w:pStyle w:val="5"/>
        <w:keepNext w:val="0"/>
        <w:keepLines w:val="0"/>
        <w:adjustRightInd w:val="0"/>
        <w:snapToGrid w:val="0"/>
        <w:spacing w:before="50" w:after="0" w:line="352" w:lineRule="exact"/>
        <w:rPr>
          <w:rFonts w:asciiTheme="minorEastAsia" w:hAnsiTheme="minorEastAsia" w:eastAsiaTheme="minorEastAsia"/>
          <w:color w:val="auto"/>
          <w:sz w:val="24"/>
          <w:szCs w:val="24"/>
        </w:rPr>
      </w:pPr>
      <w:bookmarkStart w:id="90" w:name="_Toc1713"/>
      <w:r>
        <w:rPr>
          <w:rFonts w:hint="eastAsia" w:asciiTheme="minorEastAsia" w:hAnsiTheme="minorEastAsia" w:eastAsiaTheme="minorEastAsia"/>
          <w:color w:val="auto"/>
          <w:sz w:val="24"/>
          <w:szCs w:val="24"/>
        </w:rPr>
        <w:t>31.签订合同</w:t>
      </w:r>
      <w:bookmarkEnd w:id="90"/>
    </w:p>
    <w:p w14:paraId="6434CA12">
      <w:pPr>
        <w:adjustRightInd w:val="0"/>
        <w:snapToGrid w:val="0"/>
        <w:spacing w:before="120" w:beforeLines="50" w:line="352"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31.1采购人应自中标通知书发出之日起30日内，按中标通知书指定的时间、地点与中标人签订政府采购合同。所签订的合同不得对招标文件确定的事项和中标人投标文件作实质性修改。</w:t>
      </w:r>
    </w:p>
    <w:p w14:paraId="583906A7">
      <w:pPr>
        <w:adjustRightInd w:val="0"/>
        <w:snapToGrid w:val="0"/>
        <w:spacing w:before="120" w:beforeLines="50" w:line="352"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31.2招标文件、中标人的投标文件均为签订合同的依据。</w:t>
      </w:r>
    </w:p>
    <w:p w14:paraId="1EC12703">
      <w:pPr>
        <w:adjustRightInd w:val="0"/>
        <w:snapToGrid w:val="0"/>
        <w:spacing w:before="120" w:beforeLines="50" w:line="352" w:lineRule="exact"/>
        <w:ind w:firstLine="420" w:firstLineChars="200"/>
        <w:jc w:val="left"/>
        <w:rPr>
          <w:rFonts w:cs="微软雅黑" w:asciiTheme="minorEastAsia" w:hAnsiTheme="minorEastAsia" w:eastAsiaTheme="minorEastAsia"/>
          <w:color w:val="auto"/>
          <w:kern w:val="0"/>
          <w:szCs w:val="21"/>
        </w:rPr>
      </w:pPr>
      <w:r>
        <w:rPr>
          <w:rFonts w:hint="eastAsia" w:cs="微软雅黑" w:asciiTheme="minorEastAsia" w:hAnsiTheme="minorEastAsia" w:eastAsiaTheme="minorEastAsia"/>
          <w:color w:val="auto"/>
          <w:kern w:val="0"/>
          <w:szCs w:val="21"/>
        </w:rPr>
        <w:t>31.3联</w:t>
      </w:r>
      <w:r>
        <w:rPr>
          <w:rFonts w:hint="eastAsia" w:cs="微软雅黑" w:asciiTheme="minorEastAsia" w:hAnsiTheme="minorEastAsia" w:eastAsiaTheme="minorEastAsia"/>
          <w:color w:val="auto"/>
          <w:spacing w:val="-2"/>
          <w:kern w:val="0"/>
          <w:szCs w:val="21"/>
        </w:rPr>
        <w:t>合</w:t>
      </w:r>
      <w:r>
        <w:rPr>
          <w:rFonts w:hint="eastAsia" w:cs="微软雅黑" w:asciiTheme="minorEastAsia" w:hAnsiTheme="minorEastAsia" w:eastAsiaTheme="minorEastAsia"/>
          <w:color w:val="auto"/>
          <w:kern w:val="0"/>
          <w:szCs w:val="21"/>
        </w:rPr>
        <w:t>体</w:t>
      </w:r>
      <w:r>
        <w:rPr>
          <w:rFonts w:hint="eastAsia" w:cs="微软雅黑" w:asciiTheme="minorEastAsia" w:hAnsiTheme="minorEastAsia" w:eastAsiaTheme="minorEastAsia"/>
          <w:color w:val="auto"/>
          <w:spacing w:val="-2"/>
          <w:kern w:val="0"/>
          <w:szCs w:val="21"/>
        </w:rPr>
        <w:t>中</w:t>
      </w:r>
      <w:r>
        <w:rPr>
          <w:rFonts w:hint="eastAsia" w:cs="微软雅黑" w:asciiTheme="minorEastAsia" w:hAnsiTheme="minorEastAsia" w:eastAsiaTheme="minorEastAsia"/>
          <w:color w:val="auto"/>
          <w:kern w:val="0"/>
          <w:szCs w:val="21"/>
        </w:rPr>
        <w:t>标的</w:t>
      </w:r>
      <w:r>
        <w:rPr>
          <w:rFonts w:hint="eastAsia" w:cs="微软雅黑" w:asciiTheme="minorEastAsia" w:hAnsiTheme="minorEastAsia" w:eastAsiaTheme="minorEastAsia"/>
          <w:color w:val="auto"/>
          <w:spacing w:val="-14"/>
          <w:kern w:val="0"/>
          <w:szCs w:val="21"/>
        </w:rPr>
        <w:t>，</w:t>
      </w:r>
      <w:r>
        <w:rPr>
          <w:rFonts w:hint="eastAsia" w:cs="微软雅黑" w:asciiTheme="minorEastAsia" w:hAnsiTheme="minorEastAsia" w:eastAsiaTheme="minorEastAsia"/>
          <w:color w:val="auto"/>
          <w:kern w:val="0"/>
          <w:szCs w:val="21"/>
        </w:rPr>
        <w:t>联</w:t>
      </w:r>
      <w:r>
        <w:rPr>
          <w:rFonts w:hint="eastAsia" w:cs="微软雅黑" w:asciiTheme="minorEastAsia" w:hAnsiTheme="minorEastAsia" w:eastAsiaTheme="minorEastAsia"/>
          <w:color w:val="auto"/>
          <w:spacing w:val="-2"/>
          <w:kern w:val="0"/>
          <w:szCs w:val="21"/>
        </w:rPr>
        <w:t>合</w:t>
      </w:r>
      <w:r>
        <w:rPr>
          <w:rFonts w:hint="eastAsia" w:cs="微软雅黑" w:asciiTheme="minorEastAsia" w:hAnsiTheme="minorEastAsia" w:eastAsiaTheme="minorEastAsia"/>
          <w:color w:val="auto"/>
          <w:kern w:val="0"/>
          <w:szCs w:val="21"/>
        </w:rPr>
        <w:t>体各</w:t>
      </w:r>
      <w:r>
        <w:rPr>
          <w:rFonts w:hint="eastAsia" w:cs="微软雅黑" w:asciiTheme="minorEastAsia" w:hAnsiTheme="minorEastAsia" w:eastAsiaTheme="minorEastAsia"/>
          <w:color w:val="auto"/>
          <w:spacing w:val="-2"/>
          <w:kern w:val="0"/>
          <w:szCs w:val="21"/>
        </w:rPr>
        <w:t>方</w:t>
      </w:r>
      <w:r>
        <w:rPr>
          <w:rFonts w:hint="eastAsia" w:cs="微软雅黑" w:asciiTheme="minorEastAsia" w:hAnsiTheme="minorEastAsia" w:eastAsiaTheme="minorEastAsia"/>
          <w:color w:val="auto"/>
          <w:kern w:val="0"/>
          <w:szCs w:val="21"/>
        </w:rPr>
        <w:t>应</w:t>
      </w:r>
      <w:r>
        <w:rPr>
          <w:rFonts w:hint="eastAsia" w:cs="微软雅黑" w:asciiTheme="minorEastAsia" w:hAnsiTheme="minorEastAsia" w:eastAsiaTheme="minorEastAsia"/>
          <w:color w:val="auto"/>
          <w:spacing w:val="-2"/>
          <w:kern w:val="0"/>
          <w:szCs w:val="21"/>
        </w:rPr>
        <w:t>当</w:t>
      </w:r>
      <w:r>
        <w:rPr>
          <w:rFonts w:hint="eastAsia" w:cs="微软雅黑" w:asciiTheme="minorEastAsia" w:hAnsiTheme="minorEastAsia" w:eastAsiaTheme="minorEastAsia"/>
          <w:color w:val="auto"/>
          <w:kern w:val="0"/>
          <w:szCs w:val="21"/>
        </w:rPr>
        <w:t>共</w:t>
      </w:r>
      <w:r>
        <w:rPr>
          <w:rFonts w:hint="eastAsia" w:cs="微软雅黑" w:asciiTheme="minorEastAsia" w:hAnsiTheme="minorEastAsia" w:eastAsiaTheme="minorEastAsia"/>
          <w:color w:val="auto"/>
          <w:spacing w:val="-2"/>
          <w:kern w:val="0"/>
          <w:szCs w:val="21"/>
        </w:rPr>
        <w:t>同</w:t>
      </w:r>
      <w:r>
        <w:rPr>
          <w:rFonts w:hint="eastAsia" w:cs="微软雅黑" w:asciiTheme="minorEastAsia" w:hAnsiTheme="minorEastAsia" w:eastAsiaTheme="minorEastAsia"/>
          <w:color w:val="auto"/>
          <w:kern w:val="0"/>
          <w:szCs w:val="21"/>
        </w:rPr>
        <w:t>与</w:t>
      </w:r>
      <w:r>
        <w:rPr>
          <w:rFonts w:hint="eastAsia" w:cs="微软雅黑" w:asciiTheme="minorEastAsia" w:hAnsiTheme="minorEastAsia" w:eastAsiaTheme="minorEastAsia"/>
          <w:color w:val="auto"/>
          <w:spacing w:val="-2"/>
          <w:kern w:val="0"/>
          <w:szCs w:val="21"/>
        </w:rPr>
        <w:t>采购人</w:t>
      </w:r>
      <w:r>
        <w:rPr>
          <w:rFonts w:hint="eastAsia" w:cs="微软雅黑" w:asciiTheme="minorEastAsia" w:hAnsiTheme="minorEastAsia" w:eastAsiaTheme="minorEastAsia"/>
          <w:color w:val="auto"/>
          <w:kern w:val="0"/>
          <w:szCs w:val="21"/>
        </w:rPr>
        <w:t>签订</w:t>
      </w:r>
      <w:r>
        <w:rPr>
          <w:rFonts w:hint="eastAsia" w:cs="微软雅黑" w:asciiTheme="minorEastAsia" w:hAnsiTheme="minorEastAsia" w:eastAsiaTheme="minorEastAsia"/>
          <w:color w:val="auto"/>
          <w:spacing w:val="-2"/>
          <w:kern w:val="0"/>
          <w:szCs w:val="21"/>
        </w:rPr>
        <w:t>合</w:t>
      </w:r>
      <w:r>
        <w:rPr>
          <w:rFonts w:hint="eastAsia" w:cs="微软雅黑" w:asciiTheme="minorEastAsia" w:hAnsiTheme="minorEastAsia" w:eastAsiaTheme="minorEastAsia"/>
          <w:color w:val="auto"/>
          <w:kern w:val="0"/>
          <w:szCs w:val="21"/>
        </w:rPr>
        <w:t>同</w:t>
      </w:r>
      <w:r>
        <w:rPr>
          <w:rFonts w:hint="eastAsia" w:cs="微软雅黑" w:asciiTheme="minorEastAsia" w:hAnsiTheme="minorEastAsia" w:eastAsiaTheme="minorEastAsia"/>
          <w:color w:val="auto"/>
          <w:spacing w:val="-14"/>
          <w:kern w:val="0"/>
          <w:szCs w:val="21"/>
        </w:rPr>
        <w:t>，</w:t>
      </w:r>
      <w:r>
        <w:rPr>
          <w:rFonts w:hint="eastAsia" w:cs="微软雅黑" w:asciiTheme="minorEastAsia" w:hAnsiTheme="minorEastAsia" w:eastAsiaTheme="minorEastAsia"/>
          <w:color w:val="auto"/>
          <w:kern w:val="0"/>
          <w:szCs w:val="21"/>
        </w:rPr>
        <w:t>就</w:t>
      </w:r>
      <w:r>
        <w:rPr>
          <w:rFonts w:hint="eastAsia" w:cs="微软雅黑" w:asciiTheme="minorEastAsia" w:hAnsiTheme="minorEastAsia" w:eastAsiaTheme="minorEastAsia"/>
          <w:color w:val="auto"/>
          <w:spacing w:val="-2"/>
          <w:kern w:val="0"/>
          <w:szCs w:val="21"/>
        </w:rPr>
        <w:t>中</w:t>
      </w:r>
      <w:r>
        <w:rPr>
          <w:rFonts w:hint="eastAsia" w:cs="微软雅黑" w:asciiTheme="minorEastAsia" w:hAnsiTheme="minorEastAsia" w:eastAsiaTheme="minorEastAsia"/>
          <w:color w:val="auto"/>
          <w:kern w:val="0"/>
          <w:szCs w:val="21"/>
        </w:rPr>
        <w:t>标</w:t>
      </w:r>
      <w:r>
        <w:rPr>
          <w:rFonts w:hint="eastAsia" w:cs="微软雅黑" w:asciiTheme="minorEastAsia" w:hAnsiTheme="minorEastAsia" w:eastAsiaTheme="minorEastAsia"/>
          <w:color w:val="auto"/>
          <w:spacing w:val="-2"/>
          <w:kern w:val="0"/>
          <w:szCs w:val="21"/>
        </w:rPr>
        <w:t>项</w:t>
      </w:r>
      <w:r>
        <w:rPr>
          <w:rFonts w:hint="eastAsia" w:cs="微软雅黑" w:asciiTheme="minorEastAsia" w:hAnsiTheme="minorEastAsia" w:eastAsiaTheme="minorEastAsia"/>
          <w:color w:val="auto"/>
          <w:kern w:val="0"/>
          <w:szCs w:val="21"/>
        </w:rPr>
        <w:t>目</w:t>
      </w:r>
      <w:r>
        <w:rPr>
          <w:rFonts w:hint="eastAsia" w:cs="微软雅黑" w:asciiTheme="minorEastAsia" w:hAnsiTheme="minorEastAsia" w:eastAsiaTheme="minorEastAsia"/>
          <w:color w:val="auto"/>
          <w:spacing w:val="-2"/>
          <w:kern w:val="0"/>
          <w:szCs w:val="21"/>
        </w:rPr>
        <w:t>向</w:t>
      </w:r>
      <w:r>
        <w:rPr>
          <w:rFonts w:hint="eastAsia" w:cs="微软雅黑" w:asciiTheme="minorEastAsia" w:hAnsiTheme="minorEastAsia" w:eastAsiaTheme="minorEastAsia"/>
          <w:color w:val="auto"/>
          <w:kern w:val="0"/>
          <w:szCs w:val="21"/>
        </w:rPr>
        <w:t>采购人承</w:t>
      </w:r>
      <w:r>
        <w:rPr>
          <w:rFonts w:hint="eastAsia" w:cs="微软雅黑" w:asciiTheme="minorEastAsia" w:hAnsiTheme="minorEastAsia" w:eastAsiaTheme="minorEastAsia"/>
          <w:color w:val="auto"/>
          <w:spacing w:val="-2"/>
          <w:kern w:val="0"/>
          <w:szCs w:val="21"/>
        </w:rPr>
        <w:t>担</w:t>
      </w:r>
      <w:r>
        <w:rPr>
          <w:rFonts w:hint="eastAsia" w:cs="微软雅黑" w:asciiTheme="minorEastAsia" w:hAnsiTheme="minorEastAsia" w:eastAsiaTheme="minorEastAsia"/>
          <w:color w:val="auto"/>
          <w:kern w:val="0"/>
          <w:szCs w:val="21"/>
        </w:rPr>
        <w:t>连带责</w:t>
      </w:r>
      <w:r>
        <w:rPr>
          <w:rFonts w:hint="eastAsia" w:cs="微软雅黑" w:asciiTheme="minorEastAsia" w:hAnsiTheme="minorEastAsia" w:eastAsiaTheme="minorEastAsia"/>
          <w:color w:val="auto"/>
          <w:spacing w:val="-2"/>
          <w:kern w:val="0"/>
          <w:szCs w:val="21"/>
        </w:rPr>
        <w:t>任</w:t>
      </w:r>
      <w:r>
        <w:rPr>
          <w:rFonts w:hint="eastAsia" w:cs="微软雅黑" w:asciiTheme="minorEastAsia" w:hAnsiTheme="minorEastAsia" w:eastAsiaTheme="minorEastAsia"/>
          <w:color w:val="auto"/>
          <w:kern w:val="0"/>
          <w:szCs w:val="21"/>
        </w:rPr>
        <w:t>。</w:t>
      </w:r>
    </w:p>
    <w:p w14:paraId="7302589B">
      <w:pPr>
        <w:adjustRightInd w:val="0"/>
        <w:snapToGrid w:val="0"/>
        <w:spacing w:before="120" w:beforeLines="50" w:line="352" w:lineRule="exact"/>
        <w:ind w:firstLine="420" w:firstLineChars="200"/>
        <w:jc w:val="left"/>
        <w:rPr>
          <w:rFonts w:asciiTheme="minorEastAsia" w:hAnsiTheme="minorEastAsia" w:eastAsiaTheme="minorEastAsia"/>
          <w:color w:val="auto"/>
          <w:szCs w:val="21"/>
        </w:rPr>
      </w:pPr>
      <w:r>
        <w:rPr>
          <w:rFonts w:asciiTheme="minorEastAsia" w:hAnsiTheme="minorEastAsia" w:eastAsiaTheme="minorEastAsia"/>
          <w:color w:val="auto"/>
          <w:szCs w:val="21"/>
        </w:rPr>
        <w:t>3</w:t>
      </w:r>
      <w:r>
        <w:rPr>
          <w:rFonts w:hint="eastAsia" w:asciiTheme="minorEastAsia" w:hAnsiTheme="minorEastAsia" w:eastAsiaTheme="minorEastAsia"/>
          <w:color w:val="auto"/>
          <w:szCs w:val="21"/>
        </w:rPr>
        <w:t>1</w:t>
      </w:r>
      <w:r>
        <w:rPr>
          <w:rFonts w:asciiTheme="minorEastAsia" w:hAnsiTheme="minorEastAsia" w:eastAsiaTheme="minorEastAsia"/>
          <w:color w:val="auto"/>
          <w:szCs w:val="21"/>
        </w:rPr>
        <w:t>.4</w:t>
      </w:r>
      <w:r>
        <w:rPr>
          <w:rFonts w:hint="eastAsia" w:asciiTheme="minorEastAsia" w:hAnsiTheme="minorEastAsia" w:eastAsiaTheme="minorEastAsia"/>
          <w:color w:val="auto"/>
          <w:szCs w:val="21"/>
        </w:rPr>
        <w:t>中标合同将在招标公告指定媒体上公告，但合同中涉及国家秘密、商业秘密的内容除外。</w:t>
      </w:r>
    </w:p>
    <w:p w14:paraId="3C0E2D31">
      <w:pPr>
        <w:adjustRightInd w:val="0"/>
        <w:snapToGrid w:val="0"/>
        <w:spacing w:before="120" w:beforeLines="50" w:line="352" w:lineRule="exact"/>
        <w:ind w:firstLine="420" w:firstLineChars="200"/>
        <w:jc w:val="left"/>
        <w:rPr>
          <w:rFonts w:asciiTheme="minorEastAsia" w:hAnsiTheme="minorEastAsia" w:eastAsiaTheme="minorEastAsia"/>
          <w:bCs/>
          <w:color w:val="auto"/>
          <w:szCs w:val="21"/>
        </w:rPr>
      </w:pPr>
      <w:r>
        <w:rPr>
          <w:rFonts w:hint="eastAsia" w:asciiTheme="minorEastAsia" w:hAnsiTheme="minorEastAsia" w:eastAsiaTheme="minorEastAsia"/>
          <w:color w:val="auto"/>
          <w:szCs w:val="21"/>
        </w:rPr>
        <w:t>31.5中标人</w:t>
      </w:r>
      <w:r>
        <w:rPr>
          <w:rFonts w:hint="eastAsia" w:asciiTheme="minorEastAsia" w:hAnsiTheme="minorEastAsia" w:eastAsiaTheme="minorEastAsia"/>
          <w:bCs/>
          <w:color w:val="auto"/>
          <w:szCs w:val="21"/>
        </w:rPr>
        <w:t>应当按照合同约定依法履行合同义务。政府采购合同的履行、违约责任和解决争议的方法等适用《中华人民共和国民法典》。</w:t>
      </w:r>
    </w:p>
    <w:p w14:paraId="06E88673">
      <w:pPr>
        <w:pStyle w:val="5"/>
        <w:keepNext w:val="0"/>
        <w:keepLines w:val="0"/>
        <w:adjustRightInd w:val="0"/>
        <w:snapToGrid w:val="0"/>
        <w:spacing w:before="50" w:after="0" w:line="352" w:lineRule="exact"/>
        <w:rPr>
          <w:rFonts w:asciiTheme="minorEastAsia" w:hAnsiTheme="minorEastAsia" w:eastAsiaTheme="minorEastAsia"/>
          <w:color w:val="auto"/>
          <w:sz w:val="24"/>
          <w:szCs w:val="24"/>
        </w:rPr>
      </w:pPr>
      <w:bookmarkStart w:id="91" w:name="_Toc25072"/>
      <w:r>
        <w:rPr>
          <w:rFonts w:hint="eastAsia" w:asciiTheme="minorEastAsia" w:hAnsiTheme="minorEastAsia" w:eastAsiaTheme="minorEastAsia"/>
          <w:color w:val="auto"/>
          <w:sz w:val="24"/>
          <w:szCs w:val="24"/>
        </w:rPr>
        <w:t>32.履约担保</w:t>
      </w:r>
      <w:bookmarkEnd w:id="91"/>
    </w:p>
    <w:p w14:paraId="217A8E7F">
      <w:pPr>
        <w:adjustRightInd w:val="0"/>
        <w:snapToGrid w:val="0"/>
        <w:spacing w:before="120" w:beforeLines="50" w:line="352" w:lineRule="exact"/>
        <w:ind w:firstLine="420" w:firstLineChars="200"/>
        <w:jc w:val="left"/>
        <w:rPr>
          <w:rFonts w:asciiTheme="minorEastAsia" w:hAnsiTheme="minorEastAsia" w:eastAsiaTheme="minorEastAsia"/>
          <w:color w:val="auto"/>
          <w:szCs w:val="21"/>
        </w:rPr>
      </w:pPr>
      <w:r>
        <w:rPr>
          <w:rFonts w:hint="eastAsia" w:cs="宋体" w:asciiTheme="minorEastAsia" w:hAnsiTheme="minorEastAsia" w:eastAsiaTheme="minorEastAsia"/>
          <w:color w:val="auto"/>
          <w:kern w:val="0"/>
          <w:szCs w:val="21"/>
        </w:rPr>
        <w:t>32.1</w:t>
      </w:r>
      <w:r>
        <w:rPr>
          <w:rFonts w:hint="eastAsia" w:asciiTheme="minorEastAsia" w:hAnsiTheme="minorEastAsia" w:eastAsiaTheme="minorEastAsia"/>
          <w:color w:val="auto"/>
          <w:szCs w:val="21"/>
        </w:rPr>
        <w:t>招标文件要求中标人向采购人提交履约担保的，中标人应按照</w:t>
      </w:r>
      <w:r>
        <w:rPr>
          <w:rFonts w:hint="eastAsia" w:asciiTheme="minorEastAsia" w:hAnsiTheme="minorEastAsia" w:eastAsiaTheme="minorEastAsia"/>
          <w:b/>
          <w:color w:val="auto"/>
          <w:szCs w:val="21"/>
        </w:rPr>
        <w:t>【投标须知前附表】</w:t>
      </w:r>
      <w:r>
        <w:rPr>
          <w:rFonts w:hint="eastAsia" w:asciiTheme="minorEastAsia" w:hAnsiTheme="minorEastAsia" w:eastAsiaTheme="minorEastAsia"/>
          <w:color w:val="auto"/>
          <w:szCs w:val="21"/>
        </w:rPr>
        <w:t>的规定提交。联合体中标的，履约担保由联合体各方或联合体中牵头人的名义提交。</w:t>
      </w:r>
    </w:p>
    <w:p w14:paraId="75B951C2">
      <w:pPr>
        <w:adjustRightInd w:val="0"/>
        <w:snapToGrid w:val="0"/>
        <w:spacing w:before="120" w:beforeLines="50" w:line="352"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32.2中标人</w:t>
      </w:r>
      <w:r>
        <w:rPr>
          <w:rFonts w:hint="eastAsia" w:asciiTheme="minorEastAsia" w:hAnsiTheme="minorEastAsia" w:eastAsiaTheme="minorEastAsia"/>
          <w:color w:val="auto"/>
          <w:spacing w:val="4"/>
          <w:szCs w:val="21"/>
        </w:rPr>
        <w:t>没有按照本章第32.1</w:t>
      </w:r>
      <w:r>
        <w:rPr>
          <w:rFonts w:hint="eastAsia" w:cs="宋体" w:asciiTheme="minorEastAsia" w:hAnsiTheme="minorEastAsia" w:eastAsiaTheme="minorEastAsia"/>
          <w:color w:val="auto"/>
          <w:kern w:val="0"/>
          <w:szCs w:val="21"/>
          <w:lang w:val="zh-CN"/>
        </w:rPr>
        <w:t>款</w:t>
      </w:r>
      <w:r>
        <w:rPr>
          <w:rFonts w:hint="eastAsia" w:asciiTheme="minorEastAsia" w:hAnsiTheme="minorEastAsia" w:eastAsiaTheme="minorEastAsia"/>
          <w:color w:val="auto"/>
          <w:spacing w:val="4"/>
          <w:szCs w:val="21"/>
        </w:rPr>
        <w:t>规定</w:t>
      </w:r>
      <w:r>
        <w:rPr>
          <w:rFonts w:hint="eastAsia" w:asciiTheme="minorEastAsia" w:hAnsiTheme="minorEastAsia" w:eastAsiaTheme="minorEastAsia"/>
          <w:color w:val="auto"/>
          <w:szCs w:val="21"/>
        </w:rPr>
        <w:t>提交履约担保的</w:t>
      </w:r>
      <w:r>
        <w:rPr>
          <w:rFonts w:hint="eastAsia" w:asciiTheme="minorEastAsia" w:hAnsiTheme="minorEastAsia" w:eastAsiaTheme="minorEastAsia"/>
          <w:color w:val="auto"/>
          <w:spacing w:val="4"/>
          <w:szCs w:val="21"/>
        </w:rPr>
        <w:t>，视为</w:t>
      </w:r>
      <w:r>
        <w:rPr>
          <w:rFonts w:hint="eastAsia" w:asciiTheme="minorEastAsia" w:hAnsiTheme="minorEastAsia" w:eastAsiaTheme="minorEastAsia"/>
          <w:b/>
          <w:color w:val="auto"/>
          <w:spacing w:val="4"/>
          <w:szCs w:val="21"/>
        </w:rPr>
        <w:t>放弃中标</w:t>
      </w:r>
      <w:r>
        <w:rPr>
          <w:rFonts w:hint="eastAsia" w:asciiTheme="minorEastAsia" w:hAnsiTheme="minorEastAsia" w:eastAsiaTheme="minorEastAsia"/>
          <w:color w:val="auto"/>
          <w:spacing w:val="4"/>
          <w:szCs w:val="21"/>
        </w:rPr>
        <w:t>，</w:t>
      </w:r>
      <w:r>
        <w:rPr>
          <w:rFonts w:hint="eastAsia" w:asciiTheme="minorEastAsia" w:hAnsiTheme="minorEastAsia" w:eastAsiaTheme="minorEastAsia"/>
          <w:color w:val="auto"/>
          <w:spacing w:val="2"/>
          <w:szCs w:val="21"/>
        </w:rPr>
        <w:t>其投标保证金不予退还。</w:t>
      </w:r>
    </w:p>
    <w:p w14:paraId="61828572">
      <w:pPr>
        <w:pStyle w:val="5"/>
        <w:keepNext w:val="0"/>
        <w:keepLines w:val="0"/>
        <w:adjustRightInd w:val="0"/>
        <w:snapToGrid w:val="0"/>
        <w:spacing w:before="50" w:after="0" w:line="352" w:lineRule="exact"/>
        <w:rPr>
          <w:rFonts w:asciiTheme="minorEastAsia" w:hAnsiTheme="minorEastAsia" w:eastAsiaTheme="minorEastAsia"/>
          <w:color w:val="auto"/>
          <w:sz w:val="24"/>
          <w:szCs w:val="24"/>
        </w:rPr>
      </w:pPr>
      <w:bookmarkStart w:id="92" w:name="_Toc18633"/>
      <w:r>
        <w:rPr>
          <w:rFonts w:hint="eastAsia" w:asciiTheme="minorEastAsia" w:hAnsiTheme="minorEastAsia" w:eastAsiaTheme="minorEastAsia"/>
          <w:color w:val="auto"/>
          <w:sz w:val="24"/>
          <w:szCs w:val="24"/>
        </w:rPr>
        <w:t>33.政府采购合同履行中数量的变更</w:t>
      </w:r>
      <w:bookmarkEnd w:id="92"/>
    </w:p>
    <w:p w14:paraId="67465DEC">
      <w:pPr>
        <w:adjustRightInd w:val="0"/>
        <w:snapToGrid w:val="0"/>
        <w:spacing w:before="120" w:beforeLines="50" w:line="352" w:lineRule="exact"/>
        <w:ind w:firstLine="420" w:firstLineChars="200"/>
        <w:jc w:val="left"/>
        <w:rPr>
          <w:rFonts w:asciiTheme="minorEastAsia" w:hAnsiTheme="minorEastAsia" w:eastAsiaTheme="minorEastAsia"/>
          <w:color w:val="auto"/>
        </w:rPr>
      </w:pPr>
      <w:r>
        <w:rPr>
          <w:rFonts w:hint="eastAsia" w:asciiTheme="minorEastAsia" w:hAnsiTheme="minorEastAsia" w:eastAsiaTheme="minorEastAsia"/>
          <w:color w:val="auto"/>
        </w:rPr>
        <w:t>33.1政府采购合同履行中，采购人需追加与合同标的相同的货物服务的，在不改变合同其他条款的前提下，可以与中标人协商签订补充合同，但所有补充合同的采购金额不得超过原合同采购金额的百分之十。</w:t>
      </w:r>
    </w:p>
    <w:p w14:paraId="118E1C13">
      <w:pPr>
        <w:pStyle w:val="5"/>
        <w:spacing w:line="352" w:lineRule="exact"/>
        <w:rPr>
          <w:rFonts w:ascii="黑体" w:hAnsi="黑体"/>
          <w:color w:val="auto"/>
          <w:sz w:val="24"/>
          <w:szCs w:val="24"/>
        </w:rPr>
      </w:pPr>
      <w:bookmarkStart w:id="93" w:name="_Toc62206159"/>
      <w:bookmarkStart w:id="94" w:name="_Toc20016"/>
      <w:r>
        <w:rPr>
          <w:rFonts w:hint="eastAsia" w:ascii="黑体" w:hAnsi="黑体"/>
          <w:color w:val="auto"/>
          <w:sz w:val="24"/>
          <w:szCs w:val="24"/>
        </w:rPr>
        <w:t>34.禁止行为</w:t>
      </w:r>
      <w:bookmarkEnd w:id="93"/>
      <w:bookmarkEnd w:id="94"/>
    </w:p>
    <w:p w14:paraId="13D7C99D">
      <w:pPr>
        <w:pStyle w:val="21"/>
        <w:adjustRightInd w:val="0"/>
        <w:snapToGrid w:val="0"/>
        <w:spacing w:before="120" w:beforeLines="50" w:line="352" w:lineRule="exact"/>
        <w:ind w:firstLine="420" w:firstLineChars="200"/>
        <w:rPr>
          <w:rFonts w:hAnsi="宋体"/>
          <w:color w:val="auto"/>
        </w:rPr>
      </w:pPr>
      <w:r>
        <w:rPr>
          <w:rFonts w:hint="eastAsia" w:hAnsi="宋体"/>
          <w:color w:val="auto"/>
        </w:rPr>
        <w:t>34.1 供应商不得与采购人、采购代理机构、其他供应商恶意串通；不得向采购人、采购代理机构或者评标委员会成员行贿或者提供其他不正当利益；不得提供虚假材料谋取中标；不得以任何方式干扰、影响采购工作。</w:t>
      </w:r>
    </w:p>
    <w:p w14:paraId="585E552A">
      <w:pPr>
        <w:pStyle w:val="21"/>
        <w:adjustRightInd w:val="0"/>
        <w:snapToGrid w:val="0"/>
        <w:spacing w:before="120" w:beforeLines="50" w:line="352" w:lineRule="exact"/>
        <w:ind w:firstLine="420" w:firstLineChars="200"/>
        <w:rPr>
          <w:rFonts w:hAnsi="宋体"/>
          <w:color w:val="auto"/>
        </w:rPr>
      </w:pPr>
      <w:r>
        <w:rPr>
          <w:rFonts w:hint="eastAsia" w:hAnsi="宋体"/>
          <w:color w:val="auto"/>
        </w:rPr>
        <w:t>34.2中标供应商有下列情形之一的，责令限期改正，情节严重的，列入不良行为记录名单，在1至3年内禁止参加政府采购活动，并予以通报：</w:t>
      </w:r>
    </w:p>
    <w:p w14:paraId="35F610E3">
      <w:pPr>
        <w:pStyle w:val="21"/>
        <w:adjustRightInd w:val="0"/>
        <w:snapToGrid w:val="0"/>
        <w:spacing w:before="120" w:beforeLines="50" w:line="352" w:lineRule="exact"/>
        <w:ind w:firstLine="420" w:firstLineChars="200"/>
        <w:rPr>
          <w:rFonts w:hAnsi="宋体"/>
          <w:color w:val="auto"/>
        </w:rPr>
      </w:pPr>
      <w:r>
        <w:rPr>
          <w:rFonts w:hint="eastAsia" w:hAnsi="宋体"/>
          <w:color w:val="auto"/>
        </w:rPr>
        <w:t>（1）中标后无正当理由不与采购人签订合同的；</w:t>
      </w:r>
    </w:p>
    <w:p w14:paraId="3BF2AC22">
      <w:pPr>
        <w:pStyle w:val="21"/>
        <w:adjustRightInd w:val="0"/>
        <w:snapToGrid w:val="0"/>
        <w:spacing w:before="120" w:beforeLines="50" w:line="352" w:lineRule="exact"/>
        <w:ind w:firstLine="420" w:firstLineChars="200"/>
        <w:rPr>
          <w:rFonts w:hAnsi="宋体"/>
          <w:color w:val="auto"/>
        </w:rPr>
      </w:pPr>
      <w:r>
        <w:rPr>
          <w:rFonts w:hint="eastAsia" w:hAnsi="宋体"/>
          <w:color w:val="auto"/>
        </w:rPr>
        <w:t>（2）未按照招标文件确定的事项签订政府采购合同，或者与采购人另行订立背离合同实质性内容的协议的；</w:t>
      </w:r>
    </w:p>
    <w:p w14:paraId="67C25BC2">
      <w:pPr>
        <w:pStyle w:val="21"/>
        <w:adjustRightInd w:val="0"/>
        <w:snapToGrid w:val="0"/>
        <w:spacing w:before="120" w:beforeLines="50" w:line="352" w:lineRule="exact"/>
        <w:ind w:firstLine="420" w:firstLineChars="200"/>
        <w:rPr>
          <w:rFonts w:hAnsi="宋体"/>
          <w:color w:val="auto"/>
        </w:rPr>
      </w:pPr>
      <w:r>
        <w:rPr>
          <w:rFonts w:hint="eastAsia" w:hAnsi="宋体"/>
          <w:color w:val="auto"/>
        </w:rPr>
        <w:t>（3）拒绝履行合同义务的；</w:t>
      </w:r>
    </w:p>
    <w:p w14:paraId="2646FF4A">
      <w:pPr>
        <w:pStyle w:val="21"/>
        <w:adjustRightInd w:val="0"/>
        <w:snapToGrid w:val="0"/>
        <w:spacing w:before="120" w:beforeLines="50" w:line="352" w:lineRule="exact"/>
        <w:ind w:firstLine="420" w:firstLineChars="200"/>
        <w:rPr>
          <w:rFonts w:asciiTheme="minorEastAsia" w:hAnsiTheme="minorEastAsia" w:eastAsiaTheme="minorEastAsia"/>
          <w:color w:val="auto"/>
          <w:sz w:val="28"/>
          <w:szCs w:val="28"/>
        </w:rPr>
      </w:pPr>
      <w:r>
        <w:rPr>
          <w:rFonts w:hint="eastAsia" w:hAnsi="宋体"/>
          <w:color w:val="auto"/>
        </w:rPr>
        <w:t>（4）</w:t>
      </w:r>
      <w:r>
        <w:rPr>
          <w:rFonts w:hint="eastAsia" w:hAnsi="宋体" w:cs="宋体"/>
          <w:color w:val="auto"/>
          <w:kern w:val="0"/>
        </w:rPr>
        <w:t>违反法律、规章、规范性文件规定的。</w:t>
      </w:r>
    </w:p>
    <w:p w14:paraId="0CBC7D3F">
      <w:pPr>
        <w:pStyle w:val="4"/>
        <w:keepNext w:val="0"/>
        <w:keepLines w:val="0"/>
        <w:adjustRightInd w:val="0"/>
        <w:snapToGrid w:val="0"/>
        <w:spacing w:before="120" w:beforeLines="50" w:after="0" w:line="352" w:lineRule="exact"/>
        <w:jc w:val="center"/>
        <w:rPr>
          <w:rFonts w:ascii="黑体" w:hAnsi="黑体" w:eastAsia="黑体"/>
          <w:color w:val="auto"/>
          <w:sz w:val="28"/>
          <w:szCs w:val="28"/>
        </w:rPr>
      </w:pPr>
      <w:bookmarkStart w:id="95" w:name="_Toc25881"/>
      <w:r>
        <w:rPr>
          <w:rFonts w:hint="eastAsia" w:ascii="黑体" w:hAnsi="黑体" w:eastAsia="黑体"/>
          <w:color w:val="auto"/>
          <w:sz w:val="28"/>
          <w:szCs w:val="28"/>
        </w:rPr>
        <w:t>八、政府采购政策</w:t>
      </w:r>
      <w:bookmarkEnd w:id="95"/>
    </w:p>
    <w:p w14:paraId="361D98AD">
      <w:pPr>
        <w:pStyle w:val="5"/>
        <w:keepNext w:val="0"/>
        <w:keepLines w:val="0"/>
        <w:adjustRightInd w:val="0"/>
        <w:snapToGrid w:val="0"/>
        <w:spacing w:before="50" w:after="0" w:line="352" w:lineRule="exact"/>
        <w:rPr>
          <w:rFonts w:ascii="黑体" w:hAnsi="黑体"/>
          <w:color w:val="auto"/>
          <w:sz w:val="24"/>
          <w:szCs w:val="24"/>
        </w:rPr>
      </w:pPr>
      <w:bookmarkStart w:id="96" w:name="_Toc27699"/>
      <w:bookmarkStart w:id="97" w:name="_Toc62206161"/>
      <w:bookmarkStart w:id="98" w:name="_Toc23243974"/>
      <w:r>
        <w:rPr>
          <w:rFonts w:hint="eastAsia" w:ascii="黑体" w:hAnsi="黑体"/>
          <w:color w:val="auto"/>
          <w:sz w:val="24"/>
          <w:szCs w:val="24"/>
        </w:rPr>
        <w:t>35.预留采购份额</w:t>
      </w:r>
      <w:bookmarkEnd w:id="96"/>
      <w:bookmarkEnd w:id="97"/>
    </w:p>
    <w:p w14:paraId="287706EE">
      <w:pPr>
        <w:adjustRightInd w:val="0"/>
        <w:snapToGrid w:val="0"/>
        <w:spacing w:before="120" w:beforeLines="50" w:line="352"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35.1本章第3.1款规定采购项目或者采购包属于“预留采购份额”的，投标人有下列情形之一的，</w:t>
      </w:r>
      <w:r>
        <w:rPr>
          <w:rFonts w:hint="eastAsia" w:cs="宋体" w:asciiTheme="minorEastAsia" w:hAnsiTheme="minorEastAsia" w:eastAsiaTheme="minorEastAsia"/>
          <w:color w:val="auto"/>
          <w:kern w:val="0"/>
        </w:rPr>
        <w:t>其</w:t>
      </w:r>
      <w:r>
        <w:rPr>
          <w:rFonts w:hint="eastAsia" w:cs="宋体" w:asciiTheme="minorEastAsia" w:hAnsiTheme="minorEastAsia" w:eastAsiaTheme="minorEastAsia"/>
          <w:b/>
          <w:color w:val="auto"/>
          <w:kern w:val="0"/>
        </w:rPr>
        <w:t>投标</w:t>
      </w:r>
      <w:r>
        <w:rPr>
          <w:rFonts w:hint="eastAsia" w:cs="宋体" w:asciiTheme="minorEastAsia" w:hAnsiTheme="minorEastAsia" w:eastAsiaTheme="minorEastAsia"/>
          <w:b/>
          <w:color w:val="auto"/>
          <w:kern w:val="0"/>
          <w:szCs w:val="21"/>
        </w:rPr>
        <w:t>无效</w:t>
      </w:r>
      <w:r>
        <w:rPr>
          <w:rFonts w:hint="eastAsia" w:cs="宋体" w:asciiTheme="minorEastAsia" w:hAnsiTheme="minorEastAsia" w:eastAsiaTheme="minorEastAsia"/>
          <w:color w:val="auto"/>
          <w:kern w:val="0"/>
        </w:rPr>
        <w:t>。</w:t>
      </w:r>
    </w:p>
    <w:p w14:paraId="7951A961">
      <w:pPr>
        <w:adjustRightInd w:val="0"/>
        <w:snapToGrid w:val="0"/>
        <w:spacing w:before="120" w:beforeLines="50" w:line="352" w:lineRule="exact"/>
        <w:ind w:firstLine="420" w:firstLineChars="200"/>
        <w:jc w:val="left"/>
        <w:rPr>
          <w:rFonts w:cs="宋体" w:asciiTheme="minorEastAsia" w:hAnsiTheme="minorEastAsia" w:eastAsiaTheme="minorEastAsia"/>
          <w:color w:val="auto"/>
          <w:kern w:val="0"/>
        </w:rPr>
      </w:pPr>
      <w:r>
        <w:rPr>
          <w:rFonts w:hint="eastAsia" w:asciiTheme="minorEastAsia" w:hAnsiTheme="minorEastAsia" w:eastAsiaTheme="minorEastAsia"/>
          <w:color w:val="auto"/>
        </w:rPr>
        <w:t>（1）</w:t>
      </w:r>
      <w:r>
        <w:rPr>
          <w:rFonts w:hint="eastAsia" w:asciiTheme="minorEastAsia" w:hAnsiTheme="minorEastAsia" w:eastAsiaTheme="minorEastAsia"/>
          <w:color w:val="auto"/>
          <w:szCs w:val="21"/>
        </w:rPr>
        <w:t>投标人提交的落实政府采购政策需满足的资格要求证明材料不符合本章第14.3款规定；</w:t>
      </w:r>
    </w:p>
    <w:p w14:paraId="4CDBF509">
      <w:pPr>
        <w:adjustRightInd w:val="0"/>
        <w:snapToGrid w:val="0"/>
        <w:spacing w:before="120" w:beforeLines="50" w:line="352"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rPr>
        <w:t>（2）</w:t>
      </w:r>
      <w:r>
        <w:rPr>
          <w:rFonts w:hint="eastAsia" w:asciiTheme="minorEastAsia" w:hAnsiTheme="minorEastAsia" w:eastAsiaTheme="minorEastAsia"/>
          <w:color w:val="auto"/>
          <w:szCs w:val="21"/>
        </w:rPr>
        <w:t>组成联合体或者接受分包合同的中小企业与联合体内其他企业（成员）、分包企业（投标人）之间存在直接控股、管理关系。</w:t>
      </w:r>
    </w:p>
    <w:p w14:paraId="2D542B6B">
      <w:pPr>
        <w:pStyle w:val="5"/>
        <w:keepNext w:val="0"/>
        <w:keepLines w:val="0"/>
        <w:adjustRightInd w:val="0"/>
        <w:snapToGrid w:val="0"/>
        <w:spacing w:before="50" w:after="0" w:line="352" w:lineRule="exact"/>
        <w:rPr>
          <w:rFonts w:ascii="黑体" w:hAnsi="黑体"/>
          <w:color w:val="auto"/>
          <w:sz w:val="24"/>
          <w:szCs w:val="24"/>
        </w:rPr>
      </w:pPr>
      <w:bookmarkStart w:id="99" w:name="_Toc62206162"/>
      <w:bookmarkStart w:id="100" w:name="_Toc28632"/>
      <w:r>
        <w:rPr>
          <w:rFonts w:hint="eastAsia" w:ascii="黑体" w:hAnsi="黑体"/>
          <w:color w:val="auto"/>
          <w:sz w:val="24"/>
          <w:szCs w:val="24"/>
        </w:rPr>
        <w:t>36.强制采购</w:t>
      </w:r>
      <w:bookmarkEnd w:id="99"/>
      <w:bookmarkEnd w:id="100"/>
    </w:p>
    <w:p w14:paraId="111276D9">
      <w:pPr>
        <w:adjustRightInd w:val="0"/>
        <w:snapToGrid w:val="0"/>
        <w:spacing w:before="120" w:beforeLines="50" w:line="352" w:lineRule="exact"/>
        <w:ind w:firstLine="420" w:firstLineChars="200"/>
        <w:jc w:val="left"/>
        <w:rPr>
          <w:rFonts w:cs="宋体" w:asciiTheme="minorEastAsia" w:hAnsiTheme="minorEastAsia" w:eastAsiaTheme="minorEastAsia"/>
          <w:color w:val="auto"/>
          <w:kern w:val="0"/>
        </w:rPr>
      </w:pPr>
      <w:r>
        <w:rPr>
          <w:rFonts w:hint="eastAsia" w:cs="宋体" w:asciiTheme="minorEastAsia" w:hAnsiTheme="minorEastAsia" w:eastAsiaTheme="minorEastAsia"/>
          <w:color w:val="auto"/>
          <w:kern w:val="0"/>
        </w:rPr>
        <w:t>36.1纳入财政部会同国务院有关部门发布的节能产品政府采购品目清单（品目清单中标注</w:t>
      </w:r>
      <w:r>
        <w:rPr>
          <w:rFonts w:hint="eastAsia" w:cs="宋体" w:asciiTheme="minorEastAsia" w:hAnsiTheme="minorEastAsia" w:eastAsiaTheme="minorEastAsia"/>
          <w:color w:val="auto"/>
          <w:kern w:val="0"/>
        </w:rPr>
        <w:sym w:font="Wingdings" w:char="F0AB"/>
      </w:r>
      <w:r>
        <w:rPr>
          <w:rFonts w:hint="eastAsia" w:cs="宋体" w:asciiTheme="minorEastAsia" w:hAnsiTheme="minorEastAsia" w:eastAsiaTheme="minorEastAsia"/>
          <w:color w:val="auto"/>
          <w:kern w:val="0"/>
        </w:rPr>
        <w:t>符号产品），实施政府强制采购的，投标人提供的产品不符合强制采购规定，其</w:t>
      </w:r>
      <w:r>
        <w:rPr>
          <w:rFonts w:hint="eastAsia" w:cs="宋体" w:asciiTheme="minorEastAsia" w:hAnsiTheme="minorEastAsia" w:eastAsiaTheme="minorEastAsia"/>
          <w:b/>
          <w:color w:val="auto"/>
          <w:kern w:val="0"/>
        </w:rPr>
        <w:t>投标</w:t>
      </w:r>
      <w:r>
        <w:rPr>
          <w:rFonts w:hint="eastAsia" w:cs="宋体" w:asciiTheme="minorEastAsia" w:hAnsiTheme="minorEastAsia" w:eastAsiaTheme="minorEastAsia"/>
          <w:b/>
          <w:color w:val="auto"/>
          <w:kern w:val="0"/>
          <w:szCs w:val="21"/>
        </w:rPr>
        <w:t>无效</w:t>
      </w:r>
      <w:r>
        <w:rPr>
          <w:rFonts w:hint="eastAsia" w:cs="宋体" w:asciiTheme="minorEastAsia" w:hAnsiTheme="minorEastAsia" w:eastAsiaTheme="minorEastAsia"/>
          <w:color w:val="auto"/>
          <w:kern w:val="0"/>
        </w:rPr>
        <w:t>。</w:t>
      </w:r>
    </w:p>
    <w:p w14:paraId="0C66278B">
      <w:pPr>
        <w:pStyle w:val="5"/>
        <w:keepNext w:val="0"/>
        <w:keepLines w:val="0"/>
        <w:adjustRightInd w:val="0"/>
        <w:snapToGrid w:val="0"/>
        <w:spacing w:before="50" w:after="0" w:line="352" w:lineRule="exact"/>
        <w:rPr>
          <w:rFonts w:ascii="黑体" w:hAnsi="黑体"/>
          <w:color w:val="auto"/>
          <w:sz w:val="24"/>
          <w:szCs w:val="24"/>
        </w:rPr>
      </w:pPr>
      <w:bookmarkStart w:id="101" w:name="_Toc62206163"/>
      <w:bookmarkStart w:id="102" w:name="_Toc25792"/>
      <w:r>
        <w:rPr>
          <w:rFonts w:hint="eastAsia" w:ascii="黑体" w:hAnsi="黑体"/>
          <w:color w:val="auto"/>
          <w:sz w:val="24"/>
          <w:szCs w:val="24"/>
        </w:rPr>
        <w:t>37.优先采购</w:t>
      </w:r>
      <w:bookmarkEnd w:id="101"/>
      <w:bookmarkEnd w:id="102"/>
    </w:p>
    <w:p w14:paraId="4607C8A0">
      <w:pPr>
        <w:adjustRightInd w:val="0"/>
        <w:snapToGrid w:val="0"/>
        <w:spacing w:before="120" w:beforeLines="50" w:line="352" w:lineRule="exact"/>
        <w:ind w:firstLine="420" w:firstLineChars="200"/>
        <w:jc w:val="left"/>
        <w:rPr>
          <w:rFonts w:asciiTheme="minorEastAsia" w:hAnsiTheme="minorEastAsia" w:eastAsiaTheme="minorEastAsia"/>
          <w:color w:val="auto"/>
        </w:rPr>
      </w:pPr>
      <w:r>
        <w:rPr>
          <w:rFonts w:hint="eastAsia" w:asciiTheme="minorEastAsia" w:hAnsiTheme="minorEastAsia" w:eastAsiaTheme="minorEastAsia"/>
          <w:color w:val="auto"/>
        </w:rPr>
        <w:t>37.1</w:t>
      </w:r>
      <w:r>
        <w:rPr>
          <w:rFonts w:hint="eastAsia" w:ascii="宋体" w:hAnsi="宋体"/>
          <w:color w:val="auto"/>
        </w:rPr>
        <w:t>对</w:t>
      </w:r>
      <w:r>
        <w:rPr>
          <w:rFonts w:hint="eastAsia" w:ascii="宋体" w:hAnsi="宋体"/>
          <w:color w:val="auto"/>
          <w:szCs w:val="21"/>
        </w:rPr>
        <w:t>纳入财政部会同国务院有关部门发布的节能产品（未</w:t>
      </w:r>
      <w:r>
        <w:rPr>
          <w:rFonts w:hint="eastAsia" w:cs="宋体" w:asciiTheme="minorEastAsia" w:hAnsiTheme="minorEastAsia" w:eastAsiaTheme="minorEastAsia"/>
          <w:color w:val="auto"/>
          <w:kern w:val="0"/>
        </w:rPr>
        <w:t>标注</w:t>
      </w:r>
      <w:r>
        <w:rPr>
          <w:rFonts w:hint="eastAsia" w:cs="宋体" w:asciiTheme="minorEastAsia" w:hAnsiTheme="minorEastAsia" w:eastAsiaTheme="minorEastAsia"/>
          <w:color w:val="auto"/>
          <w:kern w:val="0"/>
        </w:rPr>
        <w:sym w:font="Wingdings" w:char="F0AB"/>
      </w:r>
      <w:r>
        <w:rPr>
          <w:rFonts w:hint="eastAsia" w:cs="宋体" w:asciiTheme="minorEastAsia" w:hAnsiTheme="minorEastAsia" w:eastAsiaTheme="minorEastAsia"/>
          <w:color w:val="auto"/>
          <w:kern w:val="0"/>
        </w:rPr>
        <w:t>符号产品</w:t>
      </w:r>
      <w:r>
        <w:rPr>
          <w:rFonts w:hint="eastAsia" w:ascii="宋体" w:hAnsi="宋体"/>
          <w:color w:val="auto"/>
          <w:szCs w:val="21"/>
        </w:rPr>
        <w:t>）、环境标志产品政府采购品目清单，实施政府优先采购的，评审时按“第四章评标方法及标准”规定给予价格折扣；</w:t>
      </w:r>
    </w:p>
    <w:p w14:paraId="33A886C1">
      <w:pPr>
        <w:pStyle w:val="5"/>
        <w:keepNext w:val="0"/>
        <w:keepLines w:val="0"/>
        <w:adjustRightInd w:val="0"/>
        <w:snapToGrid w:val="0"/>
        <w:spacing w:before="50" w:after="0" w:line="352" w:lineRule="exact"/>
        <w:rPr>
          <w:rFonts w:ascii="黑体" w:hAnsi="黑体"/>
          <w:color w:val="auto"/>
          <w:sz w:val="24"/>
          <w:szCs w:val="24"/>
        </w:rPr>
      </w:pPr>
      <w:bookmarkStart w:id="103" w:name="_Toc62206164"/>
      <w:bookmarkStart w:id="104" w:name="_Toc26227"/>
      <w:r>
        <w:rPr>
          <w:rFonts w:hint="eastAsia" w:ascii="黑体" w:hAnsi="黑体"/>
          <w:color w:val="auto"/>
          <w:sz w:val="24"/>
          <w:szCs w:val="24"/>
        </w:rPr>
        <w:t>38.价格评审优惠</w:t>
      </w:r>
      <w:bookmarkEnd w:id="103"/>
      <w:bookmarkEnd w:id="104"/>
    </w:p>
    <w:p w14:paraId="634671C7">
      <w:pPr>
        <w:adjustRightInd w:val="0"/>
        <w:snapToGrid w:val="0"/>
        <w:spacing w:before="120" w:beforeLines="50" w:line="352" w:lineRule="exact"/>
        <w:ind w:firstLine="420" w:firstLineChars="200"/>
        <w:jc w:val="left"/>
        <w:rPr>
          <w:rFonts w:asciiTheme="minorEastAsia" w:hAnsiTheme="minorEastAsia" w:eastAsiaTheme="minorEastAsia"/>
          <w:color w:val="auto"/>
        </w:rPr>
      </w:pPr>
      <w:r>
        <w:rPr>
          <w:rFonts w:hint="eastAsia" w:ascii="宋体" w:hAnsi="宋体"/>
          <w:color w:val="auto"/>
        </w:rPr>
        <w:t>38.1</w:t>
      </w:r>
      <w:r>
        <w:rPr>
          <w:rFonts w:hint="eastAsia" w:asciiTheme="minorEastAsia" w:hAnsiTheme="minorEastAsia"/>
          <w:bCs/>
          <w:color w:val="auto"/>
          <w:szCs w:val="21"/>
        </w:rPr>
        <w:t>本章第3.1款规定采购项目或者采购包属于“预留采购份额”的，不再执行“价格评审优惠”的小微企业扶持政策。</w:t>
      </w:r>
    </w:p>
    <w:p w14:paraId="2087CD11">
      <w:pPr>
        <w:adjustRightInd w:val="0"/>
        <w:snapToGrid w:val="0"/>
        <w:spacing w:before="120" w:beforeLines="50" w:line="352"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rPr>
        <w:t>38.2</w:t>
      </w:r>
      <w:r>
        <w:rPr>
          <w:rFonts w:hint="eastAsia" w:asciiTheme="minorEastAsia" w:hAnsiTheme="minorEastAsia" w:eastAsiaTheme="minorEastAsia"/>
          <w:color w:val="auto"/>
          <w:szCs w:val="21"/>
        </w:rPr>
        <w:t>采购项目或者采购包属于“非预留采购份额”的，享受“价格评审优惠”小微企业扶持政策，价格评审优惠如下：</w:t>
      </w:r>
    </w:p>
    <w:p w14:paraId="14D2BCA0">
      <w:pPr>
        <w:adjustRightInd w:val="0"/>
        <w:snapToGrid w:val="0"/>
        <w:spacing w:before="120" w:beforeLines="50" w:line="352" w:lineRule="exact"/>
        <w:ind w:firstLine="420" w:firstLineChars="200"/>
        <w:jc w:val="left"/>
        <w:rPr>
          <w:rFonts w:asciiTheme="minorEastAsia" w:hAnsiTheme="minorEastAsia" w:eastAsiaTheme="minorEastAsia"/>
          <w:color w:val="auto"/>
        </w:rPr>
      </w:pPr>
      <w:r>
        <w:rPr>
          <w:rFonts w:hint="eastAsia" w:asciiTheme="minorEastAsia" w:hAnsiTheme="minorEastAsia" w:eastAsiaTheme="minorEastAsia"/>
          <w:color w:val="auto"/>
          <w:szCs w:val="21"/>
        </w:rPr>
        <w:t>（1）</w:t>
      </w:r>
      <w:r>
        <w:rPr>
          <w:rFonts w:hint="eastAsia" w:asciiTheme="minorEastAsia" w:hAnsiTheme="minorEastAsia" w:eastAsiaTheme="minorEastAsia"/>
          <w:color w:val="auto"/>
        </w:rPr>
        <w:t>投标人提供的货物全部由符合政策要求的小型、微型企业制造，评审时按“第四章评标方法及标准”规定给予价格折扣，用扣除后的价格参与评审；</w:t>
      </w:r>
    </w:p>
    <w:p w14:paraId="739B097C">
      <w:pPr>
        <w:adjustRightInd w:val="0"/>
        <w:snapToGrid w:val="0"/>
        <w:spacing w:before="120" w:beforeLines="50" w:line="352" w:lineRule="exact"/>
        <w:ind w:firstLine="420" w:firstLineChars="200"/>
        <w:jc w:val="left"/>
        <w:rPr>
          <w:rFonts w:asciiTheme="minorEastAsia" w:hAnsiTheme="minorEastAsia" w:eastAsiaTheme="minorEastAsia"/>
          <w:color w:val="auto"/>
        </w:rPr>
      </w:pPr>
      <w:r>
        <w:rPr>
          <w:rFonts w:hint="eastAsia" w:asciiTheme="minorEastAsia" w:hAnsiTheme="minorEastAsia" w:eastAsiaTheme="minorEastAsia"/>
          <w:color w:val="auto"/>
        </w:rPr>
        <w:t>（2）招标文件接受大中型企业与小型、微型企业组成联合体或者允许大中型企业向一家或者多家小型、微型企业分包的采购项目或者采购包，对于联合协议或者分包意向协议约定小型、微型企业的合同份额占到合同总金额30%以上的，评审时按“第四章评标方法及标准”规定给予价格折扣，用扣除后的价格参与评审。</w:t>
      </w:r>
    </w:p>
    <w:p w14:paraId="1DC7BF34">
      <w:pPr>
        <w:adjustRightInd w:val="0"/>
        <w:snapToGrid w:val="0"/>
        <w:spacing w:before="120" w:beforeLines="50" w:line="352" w:lineRule="exact"/>
        <w:ind w:firstLine="420" w:firstLineChars="200"/>
        <w:jc w:val="left"/>
        <w:rPr>
          <w:rFonts w:asciiTheme="minorEastAsia" w:hAnsiTheme="minorEastAsia"/>
          <w:bCs/>
          <w:color w:val="auto"/>
          <w:szCs w:val="21"/>
        </w:rPr>
      </w:pPr>
      <w:r>
        <w:rPr>
          <w:rFonts w:hint="eastAsia" w:asciiTheme="minorEastAsia" w:hAnsiTheme="minorEastAsia" w:eastAsiaTheme="minorEastAsia"/>
          <w:color w:val="auto"/>
        </w:rPr>
        <w:t>38.3</w:t>
      </w:r>
      <w:r>
        <w:rPr>
          <w:rFonts w:hint="eastAsia" w:asciiTheme="minorEastAsia" w:hAnsiTheme="minorEastAsia"/>
          <w:bCs/>
          <w:color w:val="auto"/>
          <w:szCs w:val="21"/>
        </w:rPr>
        <w:t>组成联合体或者接受分包的小微企业与联合体内其他企业、分包企业之间存在直接控股、管理关系的，不享受价格扣除优惠政策。</w:t>
      </w:r>
    </w:p>
    <w:p w14:paraId="12FEE9C3">
      <w:pPr>
        <w:pStyle w:val="5"/>
        <w:keepNext w:val="0"/>
        <w:keepLines w:val="0"/>
        <w:adjustRightInd w:val="0"/>
        <w:snapToGrid w:val="0"/>
        <w:spacing w:before="50" w:after="0" w:line="352" w:lineRule="exact"/>
        <w:rPr>
          <w:rFonts w:ascii="黑体" w:hAnsi="黑体"/>
          <w:color w:val="auto"/>
          <w:sz w:val="24"/>
          <w:szCs w:val="24"/>
        </w:rPr>
      </w:pPr>
      <w:bookmarkStart w:id="105" w:name="_Toc62206165"/>
      <w:bookmarkStart w:id="106" w:name="_Toc24650"/>
      <w:r>
        <w:rPr>
          <w:rFonts w:hint="eastAsia" w:ascii="黑体" w:hAnsi="黑体"/>
          <w:color w:val="auto"/>
          <w:sz w:val="24"/>
          <w:szCs w:val="24"/>
        </w:rPr>
        <w:t>39.政府采购政策其他规定</w:t>
      </w:r>
      <w:bookmarkEnd w:id="105"/>
      <w:bookmarkEnd w:id="106"/>
    </w:p>
    <w:p w14:paraId="585A9656">
      <w:pPr>
        <w:adjustRightInd w:val="0"/>
        <w:snapToGrid w:val="0"/>
        <w:spacing w:before="120" w:beforeLines="50" w:line="352" w:lineRule="exact"/>
        <w:ind w:firstLine="420" w:firstLineChars="200"/>
        <w:jc w:val="left"/>
        <w:rPr>
          <w:rFonts w:ascii="宋体" w:hAnsi="宋体"/>
          <w:color w:val="auto"/>
          <w:szCs w:val="21"/>
        </w:rPr>
      </w:pPr>
      <w:r>
        <w:rPr>
          <w:rFonts w:hint="eastAsia" w:asciiTheme="minorEastAsia" w:hAnsiTheme="minorEastAsia" w:eastAsiaTheme="minorEastAsia"/>
          <w:color w:val="auto"/>
        </w:rPr>
        <w:t>39.1</w:t>
      </w:r>
      <w:r>
        <w:rPr>
          <w:rFonts w:hint="eastAsia" w:ascii="宋体" w:hAnsi="宋体"/>
          <w:color w:val="auto"/>
          <w:szCs w:val="21"/>
        </w:rPr>
        <w:t>视同小型、微型企业的</w:t>
      </w:r>
      <w:r>
        <w:rPr>
          <w:rFonts w:hint="eastAsia" w:ascii="宋体" w:hAnsi="宋体"/>
          <w:color w:val="auto"/>
        </w:rPr>
        <w:t>监狱企业、残</w:t>
      </w:r>
      <w:r>
        <w:rPr>
          <w:rFonts w:hint="eastAsia" w:ascii="宋体" w:hAnsi="宋体"/>
          <w:color w:val="auto"/>
          <w:szCs w:val="21"/>
        </w:rPr>
        <w:t>疾人福利性单位，享受《关于印发＜政府采购促进中小企业发展办法＞的通知》规定的小微企业扶持政策。监狱企业、残疾人福利性单位属于小型、微型企业的，不重复享受小微企业扶持政策。</w:t>
      </w:r>
    </w:p>
    <w:p w14:paraId="2646396F">
      <w:pPr>
        <w:adjustRightInd w:val="0"/>
        <w:snapToGrid w:val="0"/>
        <w:spacing w:before="120" w:beforeLines="50" w:line="352" w:lineRule="exact"/>
        <w:ind w:firstLine="420" w:firstLineChars="200"/>
        <w:jc w:val="left"/>
        <w:rPr>
          <w:rFonts w:asciiTheme="minorEastAsia" w:hAnsiTheme="minorEastAsia" w:eastAsiaTheme="minorEastAsia"/>
          <w:color w:val="auto"/>
        </w:rPr>
      </w:pPr>
      <w:r>
        <w:rPr>
          <w:rFonts w:hint="eastAsia" w:asciiTheme="minorEastAsia" w:hAnsiTheme="minorEastAsia" w:eastAsiaTheme="minorEastAsia"/>
          <w:color w:val="auto"/>
        </w:rPr>
        <w:t>39.2联合体投标，联合体各方均为中小企业的，联合体视同中小企业。其中，联合体各方均为小微企业的，联合体视同小微企业。</w:t>
      </w:r>
    </w:p>
    <w:p w14:paraId="6F162925">
      <w:pPr>
        <w:adjustRightInd w:val="0"/>
        <w:snapToGrid w:val="0"/>
        <w:spacing w:before="120" w:beforeLines="50" w:line="352" w:lineRule="exact"/>
        <w:ind w:firstLine="420" w:firstLineChars="200"/>
        <w:jc w:val="left"/>
        <w:rPr>
          <w:rFonts w:asciiTheme="minorEastAsia" w:hAnsiTheme="minorEastAsia" w:eastAsiaTheme="minorEastAsia"/>
          <w:color w:val="auto"/>
        </w:rPr>
      </w:pPr>
      <w:r>
        <w:rPr>
          <w:rFonts w:hint="eastAsia" w:asciiTheme="minorEastAsia" w:hAnsiTheme="minorEastAsia" w:eastAsiaTheme="minorEastAsia"/>
          <w:color w:val="auto"/>
        </w:rPr>
        <w:t>39.3在货物采购项目中，投标人提供的货物既有中小企业制造货物，也有大型企业制造货物的，不享受中小企业扶持政策；投标人提供的货物既有中型企业制造，也有小微企业制造的，不享受小微企业扶持政策。</w:t>
      </w:r>
    </w:p>
    <w:p w14:paraId="403557C5">
      <w:pPr>
        <w:adjustRightInd w:val="0"/>
        <w:snapToGrid w:val="0"/>
        <w:spacing w:before="120" w:beforeLines="50" w:line="352" w:lineRule="exact"/>
        <w:ind w:firstLine="420" w:firstLineChars="200"/>
        <w:jc w:val="left"/>
        <w:rPr>
          <w:rFonts w:asciiTheme="minorEastAsia" w:hAnsiTheme="minorEastAsia" w:eastAsiaTheme="minorEastAsia"/>
          <w:color w:val="auto"/>
        </w:rPr>
      </w:pPr>
      <w:r>
        <w:rPr>
          <w:rFonts w:hint="eastAsia" w:asciiTheme="minorEastAsia" w:hAnsiTheme="minorEastAsia" w:eastAsiaTheme="minorEastAsia"/>
          <w:color w:val="auto"/>
        </w:rPr>
        <w:t>39.4投标人提供的产品取得两个及以上优先采购产品认证的，评审时只有其中一项产品能够享受优先采购优惠（投标人自行选择，并在投标文件中并填报相关信息及数据）。</w:t>
      </w:r>
    </w:p>
    <w:p w14:paraId="5974E6A0">
      <w:pPr>
        <w:adjustRightInd w:val="0"/>
        <w:snapToGrid w:val="0"/>
        <w:spacing w:before="120" w:beforeLines="50" w:line="352" w:lineRule="exact"/>
        <w:ind w:firstLine="420" w:firstLineChars="200"/>
        <w:jc w:val="left"/>
        <w:rPr>
          <w:rFonts w:ascii="宋体" w:hAnsi="宋体"/>
          <w:color w:val="auto"/>
        </w:rPr>
      </w:pPr>
      <w:r>
        <w:rPr>
          <w:rFonts w:hint="eastAsia" w:asciiTheme="minorEastAsia" w:hAnsiTheme="minorEastAsia" w:eastAsiaTheme="minorEastAsia"/>
          <w:color w:val="auto"/>
        </w:rPr>
        <w:t>39.5“</w:t>
      </w:r>
      <w:r>
        <w:rPr>
          <w:rFonts w:hint="eastAsia" w:ascii="宋体" w:hAnsi="宋体"/>
          <w:color w:val="auto"/>
        </w:rPr>
        <w:t>价格评审优惠”可以与同时属于“节能产品”、“环境标志产品”中的一项“优先采购”累加计算。</w:t>
      </w:r>
    </w:p>
    <w:p w14:paraId="74C05B98">
      <w:pPr>
        <w:adjustRightInd w:val="0"/>
        <w:snapToGrid w:val="0"/>
        <w:spacing w:before="120" w:beforeLines="50" w:line="352" w:lineRule="exact"/>
        <w:ind w:firstLine="420" w:firstLineChars="200"/>
        <w:jc w:val="left"/>
        <w:rPr>
          <w:rFonts w:ascii="宋体" w:hAnsi="宋体"/>
          <w:color w:val="auto"/>
        </w:rPr>
      </w:pPr>
      <w:r>
        <w:rPr>
          <w:rFonts w:hint="eastAsia" w:ascii="宋体" w:hAnsi="宋体"/>
          <w:color w:val="auto"/>
        </w:rPr>
        <w:t>39.6</w:t>
      </w:r>
      <w:r>
        <w:rPr>
          <w:rFonts w:hint="eastAsia" w:ascii="宋体" w:hAnsi="宋体"/>
          <w:b/>
          <w:color w:val="auto"/>
        </w:rPr>
        <w:t>【投标须知前附表】</w:t>
      </w:r>
      <w:r>
        <w:rPr>
          <w:rFonts w:hint="eastAsia" w:ascii="宋体" w:hAnsi="宋体"/>
          <w:color w:val="auto"/>
        </w:rPr>
        <w:t>规定的其他事项。</w:t>
      </w:r>
    </w:p>
    <w:p w14:paraId="1286BD66">
      <w:pPr>
        <w:pStyle w:val="5"/>
        <w:keepNext w:val="0"/>
        <w:keepLines w:val="0"/>
        <w:adjustRightInd w:val="0"/>
        <w:snapToGrid w:val="0"/>
        <w:spacing w:before="50" w:after="0" w:line="352" w:lineRule="exact"/>
        <w:rPr>
          <w:rFonts w:ascii="黑体" w:hAnsi="黑体"/>
          <w:color w:val="auto"/>
          <w:sz w:val="24"/>
          <w:szCs w:val="24"/>
        </w:rPr>
      </w:pPr>
      <w:bookmarkStart w:id="107" w:name="_Toc21858"/>
      <w:bookmarkStart w:id="108" w:name="_Toc23255846"/>
      <w:bookmarkStart w:id="109" w:name="_Toc62206166"/>
      <w:r>
        <w:rPr>
          <w:rFonts w:hint="eastAsia" w:ascii="黑体" w:hAnsi="黑体"/>
          <w:color w:val="auto"/>
          <w:sz w:val="24"/>
          <w:szCs w:val="24"/>
        </w:rPr>
        <w:t>40.供应商应提供的政府采购政策证明资料</w:t>
      </w:r>
      <w:bookmarkEnd w:id="107"/>
      <w:bookmarkEnd w:id="108"/>
      <w:bookmarkEnd w:id="109"/>
    </w:p>
    <w:p w14:paraId="561CAA2D">
      <w:pPr>
        <w:adjustRightInd w:val="0"/>
        <w:snapToGrid w:val="0"/>
        <w:spacing w:before="120" w:beforeLines="50" w:line="352" w:lineRule="exact"/>
        <w:ind w:firstLine="420" w:firstLineChars="200"/>
        <w:jc w:val="left"/>
        <w:rPr>
          <w:rFonts w:asciiTheme="minorEastAsia" w:hAnsiTheme="minorEastAsia" w:eastAsiaTheme="minorEastAsia"/>
          <w:color w:val="auto"/>
        </w:rPr>
      </w:pPr>
      <w:r>
        <w:rPr>
          <w:rFonts w:hint="eastAsia" w:asciiTheme="minorEastAsia" w:hAnsiTheme="minorEastAsia" w:eastAsiaTheme="minorEastAsia"/>
          <w:color w:val="auto"/>
        </w:rPr>
        <w:t>40.1</w:t>
      </w:r>
      <w:r>
        <w:rPr>
          <w:rFonts w:hint="eastAsia" w:ascii="宋体" w:hAnsi="宋体"/>
          <w:color w:val="auto"/>
        </w:rPr>
        <w:t>节能产品或者环境标志产品：提供国家确定的认证机构出具的、处于有效期之内的节能产品或者环境标志产品认证证书（复印件）。</w:t>
      </w:r>
    </w:p>
    <w:p w14:paraId="24B95C10">
      <w:pPr>
        <w:adjustRightInd w:val="0"/>
        <w:snapToGrid w:val="0"/>
        <w:spacing w:before="120" w:beforeLines="50" w:line="352" w:lineRule="exact"/>
        <w:ind w:firstLine="420" w:firstLineChars="200"/>
        <w:jc w:val="left"/>
        <w:rPr>
          <w:rFonts w:ascii="宋体" w:hAnsi="宋体"/>
          <w:color w:val="auto"/>
        </w:rPr>
      </w:pPr>
      <w:r>
        <w:rPr>
          <w:rFonts w:hint="eastAsia" w:ascii="宋体" w:hAnsi="宋体"/>
          <w:color w:val="auto"/>
        </w:rPr>
        <w:t>40.</w:t>
      </w:r>
      <w:r>
        <w:rPr>
          <w:rFonts w:ascii="宋体" w:hAnsi="宋体"/>
          <w:color w:val="auto"/>
        </w:rPr>
        <w:t>2</w:t>
      </w:r>
      <w:r>
        <w:rPr>
          <w:rFonts w:hint="eastAsia" w:ascii="宋体" w:hAnsi="宋体"/>
          <w:color w:val="auto"/>
        </w:rPr>
        <w:t>中小企业：按《关于印发＜政府采购促进中小企业发展办法＞的通知》（财库[2020]46号）和《关于印发中小企业划型标准规定的通知》（工信部联企业〔2011〕300号）文件规定，如实填写并提交《中小企业声明函》（格式）（可通过信息化部网站上的自测小程序进行自查）。</w:t>
      </w:r>
    </w:p>
    <w:p w14:paraId="760D91E0">
      <w:pPr>
        <w:adjustRightInd w:val="0"/>
        <w:snapToGrid w:val="0"/>
        <w:spacing w:before="120" w:beforeLines="50" w:line="352" w:lineRule="exact"/>
        <w:ind w:firstLine="420" w:firstLineChars="200"/>
        <w:jc w:val="left"/>
        <w:rPr>
          <w:rFonts w:ascii="宋体" w:hAnsi="宋体"/>
          <w:color w:val="auto"/>
        </w:rPr>
      </w:pPr>
      <w:r>
        <w:rPr>
          <w:rFonts w:hint="eastAsia" w:asciiTheme="minorEastAsia" w:hAnsiTheme="minorEastAsia" w:eastAsiaTheme="minorEastAsia"/>
          <w:color w:val="auto"/>
          <w:szCs w:val="21"/>
        </w:rPr>
        <w:t>（1）</w:t>
      </w:r>
      <w:r>
        <w:rPr>
          <w:rFonts w:hint="eastAsia" w:ascii="宋体" w:hAnsi="宋体"/>
          <w:color w:val="auto"/>
        </w:rPr>
        <w:t>《中小企业声明函》（格式）中采购标的对应的中小企业划分标准所属行业见</w:t>
      </w:r>
      <w:r>
        <w:rPr>
          <w:rFonts w:hint="eastAsia" w:ascii="宋体" w:hAnsi="宋体"/>
          <w:b/>
          <w:color w:val="auto"/>
        </w:rPr>
        <w:t>【投标须知前附表】</w:t>
      </w:r>
      <w:r>
        <w:rPr>
          <w:rFonts w:hint="eastAsia" w:ascii="宋体" w:hAnsi="宋体"/>
          <w:color w:val="auto"/>
        </w:rPr>
        <w:t>。</w:t>
      </w:r>
    </w:p>
    <w:p w14:paraId="01A223D5">
      <w:pPr>
        <w:adjustRightInd w:val="0"/>
        <w:snapToGrid w:val="0"/>
        <w:spacing w:before="120" w:beforeLines="50" w:line="352" w:lineRule="exact"/>
        <w:ind w:firstLine="420" w:firstLineChars="200"/>
        <w:jc w:val="left"/>
        <w:rPr>
          <w:rFonts w:ascii="宋体" w:hAnsi="宋体"/>
          <w:color w:val="auto"/>
        </w:rPr>
      </w:pPr>
      <w:r>
        <w:rPr>
          <w:rFonts w:hint="eastAsia" w:asciiTheme="minorEastAsia" w:hAnsiTheme="minorEastAsia" w:eastAsiaTheme="minorEastAsia"/>
          <w:color w:val="auto"/>
          <w:szCs w:val="21"/>
        </w:rPr>
        <w:t>（2）</w:t>
      </w:r>
      <w:r>
        <w:rPr>
          <w:rFonts w:hint="eastAsia" w:ascii="宋体" w:hAnsi="宋体"/>
          <w:color w:val="auto"/>
        </w:rPr>
        <w:t>招标文件要求或者接受联合体形式投标，或者要求或者允许投标人向中小企业分包的，还应当提供联合协议或者分包意向协议，联合协议或者分包意向协议中中小企业或者小型、微型企业合同金额应当达到的比例应当符合招标文件规定。</w:t>
      </w:r>
    </w:p>
    <w:p w14:paraId="444553C2">
      <w:pPr>
        <w:adjustRightInd w:val="0"/>
        <w:snapToGrid w:val="0"/>
        <w:spacing w:before="120" w:beforeLines="50" w:line="352" w:lineRule="exact"/>
        <w:ind w:firstLine="420" w:firstLineChars="200"/>
        <w:jc w:val="left"/>
        <w:rPr>
          <w:rFonts w:asciiTheme="minorEastAsia" w:hAnsiTheme="minorEastAsia" w:eastAsiaTheme="minorEastAsia"/>
          <w:color w:val="auto"/>
        </w:rPr>
      </w:pPr>
      <w:r>
        <w:rPr>
          <w:rFonts w:hint="eastAsia" w:asciiTheme="minorEastAsia" w:hAnsiTheme="minorEastAsia" w:eastAsiaTheme="minorEastAsia"/>
          <w:color w:val="auto"/>
        </w:rPr>
        <w:t>40.</w:t>
      </w:r>
      <w:r>
        <w:rPr>
          <w:rFonts w:asciiTheme="minorEastAsia" w:hAnsiTheme="minorEastAsia" w:eastAsiaTheme="minorEastAsia"/>
          <w:color w:val="auto"/>
        </w:rPr>
        <w:t>3</w:t>
      </w:r>
      <w:r>
        <w:rPr>
          <w:rFonts w:hint="eastAsia" w:asciiTheme="minorEastAsia" w:hAnsiTheme="minorEastAsia" w:eastAsiaTheme="minorEastAsia"/>
          <w:color w:val="auto"/>
        </w:rPr>
        <w:t>监狱企业：按《关于政府采购支持监狱企业发展有关问题的通知》（财库〔2014〕68号）文件规定提供证明文件（复印件）。</w:t>
      </w:r>
    </w:p>
    <w:p w14:paraId="32AB07DB">
      <w:pPr>
        <w:adjustRightInd w:val="0"/>
        <w:snapToGrid w:val="0"/>
        <w:spacing w:before="120" w:beforeLines="50" w:line="352" w:lineRule="exact"/>
        <w:ind w:firstLine="420" w:firstLineChars="200"/>
        <w:jc w:val="left"/>
        <w:rPr>
          <w:rFonts w:asciiTheme="minorEastAsia" w:hAnsiTheme="minorEastAsia" w:eastAsiaTheme="minorEastAsia"/>
          <w:color w:val="auto"/>
        </w:rPr>
      </w:pPr>
      <w:r>
        <w:rPr>
          <w:rFonts w:hint="eastAsia" w:asciiTheme="minorEastAsia" w:hAnsiTheme="minorEastAsia" w:eastAsiaTheme="minorEastAsia"/>
          <w:color w:val="auto"/>
        </w:rPr>
        <w:t>40.</w:t>
      </w:r>
      <w:r>
        <w:rPr>
          <w:rFonts w:asciiTheme="minorEastAsia" w:hAnsiTheme="minorEastAsia" w:eastAsiaTheme="minorEastAsia"/>
          <w:color w:val="auto"/>
        </w:rPr>
        <w:t>4</w:t>
      </w:r>
      <w:r>
        <w:rPr>
          <w:rFonts w:hint="eastAsia" w:asciiTheme="minorEastAsia" w:hAnsiTheme="minorEastAsia" w:eastAsiaTheme="minorEastAsia"/>
          <w:color w:val="auto"/>
        </w:rPr>
        <w:t>残疾人福利性单位：按《关于促进残疾人就业政府采购政策的通知》（财库〔2017〕141号）文件规定提供《残疾人福利性单位声明函》（格式）。</w:t>
      </w:r>
    </w:p>
    <w:p w14:paraId="66591B59">
      <w:pPr>
        <w:pStyle w:val="5"/>
        <w:keepNext w:val="0"/>
        <w:keepLines w:val="0"/>
        <w:adjustRightInd w:val="0"/>
        <w:snapToGrid w:val="0"/>
        <w:spacing w:before="50" w:after="0" w:line="352" w:lineRule="exact"/>
        <w:rPr>
          <w:rFonts w:ascii="黑体" w:hAnsi="黑体"/>
          <w:color w:val="auto"/>
          <w:sz w:val="24"/>
          <w:szCs w:val="24"/>
        </w:rPr>
      </w:pPr>
      <w:bookmarkStart w:id="110" w:name="_Toc62206167"/>
      <w:bookmarkStart w:id="111" w:name="_Toc28659"/>
      <w:r>
        <w:rPr>
          <w:rFonts w:hint="eastAsia" w:ascii="黑体" w:hAnsi="黑体"/>
          <w:color w:val="auto"/>
          <w:sz w:val="24"/>
          <w:szCs w:val="24"/>
        </w:rPr>
        <w:t>41.进口产品</w:t>
      </w:r>
      <w:bookmarkEnd w:id="110"/>
      <w:bookmarkEnd w:id="111"/>
    </w:p>
    <w:p w14:paraId="037B076B">
      <w:pPr>
        <w:adjustRightInd w:val="0"/>
        <w:snapToGrid w:val="0"/>
        <w:spacing w:before="120" w:beforeLines="50" w:line="352" w:lineRule="exact"/>
        <w:ind w:firstLine="420" w:firstLineChars="200"/>
        <w:jc w:val="left"/>
        <w:rPr>
          <w:rFonts w:asciiTheme="minorEastAsia" w:hAnsiTheme="minorEastAsia" w:eastAsiaTheme="minorEastAsia"/>
          <w:color w:val="auto"/>
        </w:rPr>
      </w:pPr>
      <w:r>
        <w:rPr>
          <w:rFonts w:hint="eastAsia" w:asciiTheme="minorEastAsia" w:hAnsiTheme="minorEastAsia" w:eastAsiaTheme="minorEastAsia"/>
          <w:color w:val="auto"/>
        </w:rPr>
        <w:t>41.1进口产品是指符合《政府采购进口产品管理办法》（财库〔2007〕119号）和《关于政府采购进口产品管理有关问题的通知》（财办库〔2008〕248号）文件规定的产品。除</w:t>
      </w:r>
      <w:r>
        <w:rPr>
          <w:rFonts w:hint="eastAsia" w:asciiTheme="minorEastAsia" w:hAnsiTheme="minorEastAsia" w:eastAsiaTheme="minorEastAsia"/>
          <w:b/>
          <w:color w:val="auto"/>
        </w:rPr>
        <w:t>【投标须知前附表】</w:t>
      </w:r>
      <w:r>
        <w:rPr>
          <w:rFonts w:hint="eastAsia" w:asciiTheme="minorEastAsia" w:hAnsiTheme="minorEastAsia" w:eastAsiaTheme="minorEastAsia"/>
          <w:color w:val="auto"/>
        </w:rPr>
        <w:t>另有规定外，采购项目拒绝进口产品参加投标。本款规定同意购买进口产品的，不限制满足招标文件要求的国内产品参与投标竞争。</w:t>
      </w:r>
    </w:p>
    <w:p w14:paraId="21D83E6F">
      <w:pPr>
        <w:pStyle w:val="5"/>
        <w:keepNext w:val="0"/>
        <w:keepLines w:val="0"/>
        <w:adjustRightInd w:val="0"/>
        <w:snapToGrid w:val="0"/>
        <w:spacing w:before="50" w:after="0" w:line="352" w:lineRule="exact"/>
        <w:rPr>
          <w:rFonts w:ascii="黑体" w:hAnsi="黑体"/>
          <w:color w:val="auto"/>
          <w:sz w:val="24"/>
          <w:szCs w:val="24"/>
        </w:rPr>
      </w:pPr>
      <w:bookmarkStart w:id="112" w:name="_Toc3490"/>
      <w:bookmarkStart w:id="113" w:name="_Toc62206168"/>
      <w:r>
        <w:rPr>
          <w:rFonts w:hint="eastAsia" w:ascii="黑体" w:hAnsi="黑体"/>
          <w:color w:val="auto"/>
          <w:sz w:val="24"/>
          <w:szCs w:val="24"/>
        </w:rPr>
        <w:t>42. 融资、担保</w:t>
      </w:r>
      <w:bookmarkEnd w:id="112"/>
      <w:bookmarkEnd w:id="113"/>
    </w:p>
    <w:p w14:paraId="7FDFE264">
      <w:pPr>
        <w:adjustRightInd w:val="0"/>
        <w:snapToGrid w:val="0"/>
        <w:spacing w:before="120" w:beforeLines="50" w:line="352" w:lineRule="exact"/>
        <w:ind w:firstLine="420" w:firstLineChars="200"/>
        <w:jc w:val="left"/>
        <w:rPr>
          <w:rFonts w:ascii="宋体" w:hAnsi="宋体"/>
          <w:color w:val="auto"/>
          <w:sz w:val="24"/>
        </w:rPr>
      </w:pPr>
      <w:r>
        <w:rPr>
          <w:rFonts w:hint="eastAsia" w:asciiTheme="minorEastAsia" w:hAnsiTheme="minorEastAsia" w:eastAsiaTheme="minorEastAsia"/>
          <w:color w:val="auto"/>
        </w:rPr>
        <w:t>42.1投标人有融资、担保需求的，可登陆中国湖南政府采购网查询相关银行、担保机构业务。</w:t>
      </w:r>
    </w:p>
    <w:bookmarkEnd w:id="98"/>
    <w:p w14:paraId="4AFD0DC3">
      <w:pPr>
        <w:pStyle w:val="4"/>
        <w:keepNext w:val="0"/>
        <w:keepLines w:val="0"/>
        <w:adjustRightInd w:val="0"/>
        <w:snapToGrid w:val="0"/>
        <w:spacing w:before="120" w:beforeLines="50" w:after="0" w:line="352" w:lineRule="exact"/>
        <w:jc w:val="center"/>
        <w:rPr>
          <w:rFonts w:ascii="黑体" w:hAnsi="黑体" w:eastAsia="黑体"/>
          <w:color w:val="auto"/>
          <w:sz w:val="28"/>
          <w:szCs w:val="28"/>
        </w:rPr>
      </w:pPr>
      <w:bookmarkStart w:id="114" w:name="_Toc7071"/>
      <w:r>
        <w:rPr>
          <w:rFonts w:hint="eastAsia" w:ascii="黑体" w:hAnsi="黑体" w:eastAsia="黑体"/>
          <w:color w:val="auto"/>
          <w:sz w:val="28"/>
          <w:szCs w:val="28"/>
        </w:rPr>
        <w:t>九、其他规定</w:t>
      </w:r>
      <w:bookmarkEnd w:id="114"/>
    </w:p>
    <w:p w14:paraId="6905E05B">
      <w:pPr>
        <w:pStyle w:val="5"/>
        <w:keepNext w:val="0"/>
        <w:keepLines w:val="0"/>
        <w:adjustRightInd w:val="0"/>
        <w:snapToGrid w:val="0"/>
        <w:spacing w:before="50" w:after="0" w:line="352" w:lineRule="exact"/>
        <w:rPr>
          <w:rFonts w:asciiTheme="minorEastAsia" w:hAnsiTheme="minorEastAsia" w:eastAsiaTheme="minorEastAsia"/>
          <w:color w:val="auto"/>
          <w:sz w:val="24"/>
          <w:szCs w:val="24"/>
        </w:rPr>
      </w:pPr>
      <w:bookmarkStart w:id="115" w:name="_Toc28412"/>
      <w:r>
        <w:rPr>
          <w:rFonts w:hint="eastAsia" w:asciiTheme="minorEastAsia" w:hAnsiTheme="minorEastAsia" w:eastAsiaTheme="minorEastAsia"/>
          <w:color w:val="auto"/>
          <w:sz w:val="24"/>
          <w:szCs w:val="24"/>
        </w:rPr>
        <w:t>43.招标代理服务费</w:t>
      </w:r>
      <w:bookmarkEnd w:id="115"/>
    </w:p>
    <w:p w14:paraId="217D0031">
      <w:pPr>
        <w:adjustRightInd w:val="0"/>
        <w:snapToGrid w:val="0"/>
        <w:spacing w:before="120" w:beforeLines="50" w:line="352"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43.1招标代理服务费由中标人支付的，投标人应按</w:t>
      </w:r>
      <w:r>
        <w:rPr>
          <w:rFonts w:hint="eastAsia" w:asciiTheme="minorEastAsia" w:hAnsiTheme="minorEastAsia" w:eastAsiaTheme="minorEastAsia"/>
          <w:b/>
          <w:color w:val="auto"/>
          <w:szCs w:val="21"/>
        </w:rPr>
        <w:t>【投标须知前附表】</w:t>
      </w:r>
      <w:r>
        <w:rPr>
          <w:rFonts w:hint="eastAsia" w:asciiTheme="minorEastAsia" w:hAnsiTheme="minorEastAsia" w:eastAsiaTheme="minorEastAsia"/>
          <w:color w:val="auto"/>
          <w:szCs w:val="21"/>
        </w:rPr>
        <w:t>规定向采购代理机构交纳招标代理服务费，并在投标文件中提供中标服务费承诺书。</w:t>
      </w:r>
    </w:p>
    <w:p w14:paraId="537D1850">
      <w:pPr>
        <w:pStyle w:val="5"/>
        <w:keepNext w:val="0"/>
        <w:keepLines w:val="0"/>
        <w:adjustRightInd w:val="0"/>
        <w:snapToGrid w:val="0"/>
        <w:spacing w:before="50" w:after="0" w:line="352" w:lineRule="exact"/>
        <w:rPr>
          <w:rFonts w:asciiTheme="minorEastAsia" w:hAnsiTheme="minorEastAsia" w:eastAsiaTheme="minorEastAsia"/>
          <w:color w:val="auto"/>
          <w:sz w:val="24"/>
          <w:szCs w:val="24"/>
        </w:rPr>
      </w:pPr>
      <w:bookmarkStart w:id="116" w:name="_Toc9629"/>
      <w:r>
        <w:rPr>
          <w:rFonts w:hint="eastAsia" w:cs="宋体" w:asciiTheme="minorEastAsia" w:hAnsiTheme="minorEastAsia" w:eastAsiaTheme="minorEastAsia"/>
          <w:color w:val="auto"/>
          <w:kern w:val="0"/>
          <w:sz w:val="24"/>
          <w:szCs w:val="24"/>
        </w:rPr>
        <w:t>44.</w:t>
      </w:r>
      <w:r>
        <w:rPr>
          <w:rFonts w:hint="eastAsia" w:asciiTheme="minorEastAsia" w:hAnsiTheme="minorEastAsia" w:eastAsiaTheme="minorEastAsia"/>
          <w:color w:val="auto"/>
          <w:sz w:val="24"/>
          <w:szCs w:val="24"/>
        </w:rPr>
        <w:t>需要补充的其他内容</w:t>
      </w:r>
      <w:bookmarkEnd w:id="116"/>
    </w:p>
    <w:p w14:paraId="011A9DF7">
      <w:pPr>
        <w:adjustRightInd w:val="0"/>
        <w:snapToGrid w:val="0"/>
        <w:spacing w:before="120" w:beforeLines="50" w:line="352" w:lineRule="exact"/>
        <w:ind w:firstLine="420" w:firstLineChars="200"/>
        <w:jc w:val="left"/>
        <w:rPr>
          <w:rFonts w:ascii="黑体" w:hAnsi="华文中宋" w:eastAsia="黑体"/>
          <w:bCs/>
          <w:color w:val="auto"/>
          <w:w w:val="90"/>
          <w:sz w:val="32"/>
          <w:szCs w:val="32"/>
        </w:rPr>
      </w:pPr>
      <w:r>
        <w:rPr>
          <w:rFonts w:hint="eastAsia" w:asciiTheme="minorEastAsia" w:hAnsiTheme="minorEastAsia" w:eastAsiaTheme="minorEastAsia"/>
          <w:color w:val="auto"/>
        </w:rPr>
        <w:t>44.1招标文件需要补充的其</w:t>
      </w:r>
      <w:r>
        <w:rPr>
          <w:rFonts w:hint="eastAsia" w:asciiTheme="minorEastAsia" w:hAnsiTheme="minorEastAsia" w:eastAsiaTheme="minorEastAsia"/>
          <w:color w:val="auto"/>
          <w:szCs w:val="21"/>
        </w:rPr>
        <w:t>他内容见</w:t>
      </w:r>
      <w:r>
        <w:rPr>
          <w:rFonts w:hint="eastAsia" w:asciiTheme="minorEastAsia" w:hAnsiTheme="minorEastAsia" w:eastAsiaTheme="minorEastAsia"/>
          <w:b/>
          <w:color w:val="auto"/>
          <w:szCs w:val="21"/>
        </w:rPr>
        <w:t>【投标须知前附表】</w:t>
      </w:r>
      <w:r>
        <w:rPr>
          <w:rFonts w:hint="eastAsia" w:asciiTheme="minorEastAsia" w:hAnsiTheme="minorEastAsia" w:eastAsiaTheme="minorEastAsia"/>
          <w:color w:val="auto"/>
          <w:szCs w:val="21"/>
        </w:rPr>
        <w:t>。</w:t>
      </w:r>
      <w:r>
        <w:rPr>
          <w:rFonts w:hAnsi="宋体"/>
          <w:color w:val="auto"/>
        </w:rPr>
        <w:br w:type="page"/>
      </w:r>
    </w:p>
    <w:p w14:paraId="752ACB98">
      <w:pPr>
        <w:pStyle w:val="2"/>
        <w:spacing w:line="352" w:lineRule="exact"/>
        <w:rPr>
          <w:rFonts w:ascii="黑体" w:hAnsi="黑体" w:eastAsia="黑体"/>
          <w:color w:val="auto"/>
          <w:sz w:val="32"/>
          <w:szCs w:val="32"/>
        </w:rPr>
      </w:pPr>
      <w:bookmarkStart w:id="117" w:name="_Toc13694"/>
      <w:r>
        <w:rPr>
          <w:rFonts w:hint="eastAsia" w:ascii="黑体" w:hAnsi="黑体" w:eastAsia="黑体"/>
          <w:color w:val="auto"/>
          <w:sz w:val="32"/>
          <w:szCs w:val="32"/>
        </w:rPr>
        <w:t>第三章 资格审查</w:t>
      </w:r>
      <w:bookmarkEnd w:id="117"/>
    </w:p>
    <w:p w14:paraId="05D16F46">
      <w:pPr>
        <w:pStyle w:val="4"/>
        <w:adjustRightInd w:val="0"/>
        <w:snapToGrid w:val="0"/>
        <w:spacing w:before="120" w:beforeLines="50" w:after="0" w:line="352" w:lineRule="exact"/>
        <w:rPr>
          <w:rFonts w:ascii="黑体" w:hAnsi="黑体" w:eastAsia="黑体"/>
          <w:color w:val="auto"/>
          <w:sz w:val="24"/>
          <w:szCs w:val="24"/>
        </w:rPr>
      </w:pPr>
      <w:bookmarkStart w:id="118" w:name="_Toc22715"/>
      <w:r>
        <w:rPr>
          <w:rFonts w:hint="eastAsia" w:ascii="黑体" w:hAnsi="黑体" w:eastAsia="黑体"/>
          <w:color w:val="auto"/>
          <w:sz w:val="24"/>
          <w:szCs w:val="24"/>
        </w:rPr>
        <w:t>1．资格审查主体</w:t>
      </w:r>
      <w:bookmarkEnd w:id="118"/>
    </w:p>
    <w:p w14:paraId="4EA68268">
      <w:pPr>
        <w:adjustRightInd w:val="0"/>
        <w:snapToGrid w:val="0"/>
        <w:spacing w:before="120" w:beforeLines="50" w:line="352" w:lineRule="exact"/>
        <w:ind w:firstLine="417" w:firstLineChars="199"/>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1.1资格审查主体：采购人、采购代理机构负责资格审查。</w:t>
      </w:r>
    </w:p>
    <w:p w14:paraId="64E5AF8A">
      <w:pPr>
        <w:pStyle w:val="4"/>
        <w:adjustRightInd w:val="0"/>
        <w:snapToGrid w:val="0"/>
        <w:spacing w:before="120" w:beforeLines="50" w:after="0" w:line="352" w:lineRule="exact"/>
        <w:rPr>
          <w:rFonts w:ascii="黑体" w:hAnsi="黑体" w:eastAsia="黑体"/>
          <w:color w:val="auto"/>
          <w:sz w:val="24"/>
          <w:szCs w:val="24"/>
        </w:rPr>
      </w:pPr>
      <w:bookmarkStart w:id="119" w:name="_Toc27608"/>
      <w:r>
        <w:rPr>
          <w:rFonts w:hint="eastAsia" w:ascii="黑体" w:hAnsi="黑体" w:eastAsia="黑体"/>
          <w:color w:val="auto"/>
          <w:sz w:val="24"/>
          <w:szCs w:val="24"/>
        </w:rPr>
        <w:t>2．资格审查</w:t>
      </w:r>
      <w:bookmarkEnd w:id="119"/>
    </w:p>
    <w:p w14:paraId="5A8C2037">
      <w:pPr>
        <w:adjustRightInd w:val="0"/>
        <w:snapToGrid w:val="0"/>
        <w:spacing w:before="120" w:beforeLines="50" w:line="352"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2.1资格审查依据法律法规和招标文件的规定，对投标文件中的资格证明文件、投标保证金、投标报价等进行审查，以确定投标供应商是否具备投标资格。</w:t>
      </w:r>
    </w:p>
    <w:p w14:paraId="4CBCCB13">
      <w:pPr>
        <w:adjustRightInd w:val="0"/>
        <w:snapToGrid w:val="0"/>
        <w:spacing w:before="120" w:beforeLines="50" w:line="352"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2.2采购人、采购代理机构按本章附表1“资格审查表”所列审查项目及审查标准，对投标人资格进行审查。</w:t>
      </w:r>
    </w:p>
    <w:p w14:paraId="01C783BA">
      <w:pPr>
        <w:adjustRightInd w:val="0"/>
        <w:snapToGrid w:val="0"/>
        <w:spacing w:before="120" w:beforeLines="50" w:line="352"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2.3在资格审查时，投标人存在下列情况之一的，资格审查不合格，其投标无效：</w:t>
      </w:r>
    </w:p>
    <w:p w14:paraId="5E1538A8">
      <w:pPr>
        <w:adjustRightInd w:val="0"/>
        <w:snapToGrid w:val="0"/>
        <w:spacing w:before="120" w:beforeLines="50" w:line="352"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（1）不具备招标文件中规定的资格要求的，或提交的资格证明文件不符合招标文件要求的；</w:t>
      </w:r>
    </w:p>
    <w:p w14:paraId="6F2B66D0">
      <w:pPr>
        <w:adjustRightInd w:val="0"/>
        <w:snapToGrid w:val="0"/>
        <w:spacing w:before="120" w:beforeLines="50" w:line="352"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（2）联合体投标未提交联合体协议书，或未提交联合体各方资格证明文件的；</w:t>
      </w:r>
    </w:p>
    <w:p w14:paraId="6F142BFA">
      <w:pPr>
        <w:adjustRightInd w:val="0"/>
        <w:snapToGrid w:val="0"/>
        <w:spacing w:before="120" w:beforeLines="50" w:line="352"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（3）投标文件的资格证明文件未按照招标文件要求签署、盖章的；</w:t>
      </w:r>
    </w:p>
    <w:p w14:paraId="73E7FDBE">
      <w:pPr>
        <w:adjustRightInd w:val="0"/>
        <w:snapToGrid w:val="0"/>
        <w:spacing w:before="120" w:beforeLines="50" w:line="352"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（4）未按照招标文件的规定提交投标保证金的。</w:t>
      </w:r>
    </w:p>
    <w:p w14:paraId="25FE5FD4">
      <w:pPr>
        <w:adjustRightInd w:val="0"/>
        <w:snapToGrid w:val="0"/>
        <w:spacing w:before="120" w:beforeLines="50" w:line="352"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（5）投标报价超过招标文件中规定的预算金额或者最高限价的；</w:t>
      </w:r>
    </w:p>
    <w:p w14:paraId="2AAF20F5">
      <w:pPr>
        <w:adjustRightInd w:val="0"/>
        <w:snapToGrid w:val="0"/>
        <w:spacing w:before="120" w:beforeLines="50" w:line="352"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（6）法律、法规和招标文件规定的其他投标无效情形的。</w:t>
      </w:r>
    </w:p>
    <w:p w14:paraId="1B9021C9">
      <w:pPr>
        <w:adjustRightInd w:val="0"/>
        <w:snapToGrid w:val="0"/>
        <w:spacing w:before="120" w:beforeLines="50" w:line="352" w:lineRule="exact"/>
        <w:ind w:firstLine="420" w:firstLineChars="200"/>
        <w:jc w:val="left"/>
        <w:rPr>
          <w:rFonts w:asciiTheme="minorEastAsia" w:hAnsiTheme="minorEastAsia" w:eastAsiaTheme="minorEastAsia"/>
          <w:b/>
          <w:color w:val="auto"/>
          <w:sz w:val="32"/>
          <w:szCs w:val="32"/>
        </w:rPr>
      </w:pPr>
      <w:r>
        <w:rPr>
          <w:rFonts w:hint="eastAsia" w:asciiTheme="minorEastAsia" w:hAnsiTheme="minorEastAsia" w:eastAsiaTheme="minorEastAsia"/>
          <w:color w:val="auto"/>
        </w:rPr>
        <w:t>2.4信用记录。开标结束后</w:t>
      </w:r>
      <w:r>
        <w:rPr>
          <w:rFonts w:hint="eastAsia" w:asciiTheme="minorEastAsia" w:hAnsiTheme="minorEastAsia" w:eastAsiaTheme="minorEastAsia"/>
          <w:color w:val="auto"/>
          <w:szCs w:val="21"/>
        </w:rPr>
        <w:t>资格审查时，采购人、采购代理机构将对投标人信用记录进行甄别。</w:t>
      </w:r>
    </w:p>
    <w:p w14:paraId="036CDA24">
      <w:pPr>
        <w:adjustRightInd w:val="0"/>
        <w:snapToGrid w:val="0"/>
        <w:spacing w:before="120" w:beforeLines="50" w:line="352"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（1）信用信息查询的查询渠道：信用中国网（www.creditchina.gov.cn）、中国政府采购网（www.ccgp.gov.cn）、</w:t>
      </w:r>
      <w:r>
        <w:rPr>
          <w:rFonts w:asciiTheme="minorEastAsia" w:hAnsiTheme="minorEastAsia"/>
          <w:color w:val="auto"/>
          <w:szCs w:val="21"/>
        </w:rPr>
        <w:t>中华人民共和国国家医疗保障局</w:t>
      </w:r>
      <w:r>
        <w:rPr>
          <w:rFonts w:hint="eastAsia" w:asciiTheme="minorEastAsia" w:hAnsiTheme="minorEastAsia" w:eastAsiaTheme="minorEastAsia"/>
          <w:color w:val="auto"/>
          <w:szCs w:val="21"/>
        </w:rPr>
        <w:t>（</w:t>
      </w:r>
      <w:r>
        <w:rPr>
          <w:color w:val="auto"/>
        </w:rPr>
        <w:fldChar w:fldCharType="begin"/>
      </w:r>
      <w:r>
        <w:rPr>
          <w:color w:val="auto"/>
        </w:rPr>
        <w:instrText xml:space="preserve"> HYPERLINK "http://www.nhsa.gov.cn/" </w:instrText>
      </w:r>
      <w:r>
        <w:rPr>
          <w:color w:val="auto"/>
        </w:rPr>
        <w:fldChar w:fldCharType="separate"/>
      </w:r>
      <w:r>
        <w:rPr>
          <w:rFonts w:asciiTheme="minorEastAsia" w:hAnsiTheme="minorEastAsia" w:eastAsiaTheme="minorEastAsia"/>
          <w:color w:val="auto"/>
          <w:szCs w:val="21"/>
        </w:rPr>
        <w:t>http://www.nhsa.gov.cn</w:t>
      </w:r>
      <w:r>
        <w:rPr>
          <w:rFonts w:asciiTheme="minorEastAsia" w:hAnsiTheme="minorEastAsia" w:eastAsiaTheme="minorEastAsia"/>
          <w:color w:val="auto"/>
          <w:szCs w:val="21"/>
        </w:rPr>
        <w:fldChar w:fldCharType="end"/>
      </w:r>
      <w:r>
        <w:rPr>
          <w:rFonts w:hint="eastAsia" w:asciiTheme="minorEastAsia" w:hAnsiTheme="minorEastAsia" w:eastAsiaTheme="minorEastAsia"/>
          <w:color w:val="auto"/>
          <w:szCs w:val="21"/>
        </w:rPr>
        <w:t>）；</w:t>
      </w:r>
    </w:p>
    <w:p w14:paraId="01F93A73">
      <w:pPr>
        <w:adjustRightInd w:val="0"/>
        <w:snapToGrid w:val="0"/>
        <w:spacing w:before="120" w:beforeLines="50" w:line="352"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（2）不良信用记录是指：投标人在“信用中国”网站被列入失信被执行人和重大税收违法案件当事人名单，或在“中国政府采购网”网站被列入政府采购严重违法失信行为记录名单。</w:t>
      </w:r>
    </w:p>
    <w:p w14:paraId="5143F710">
      <w:pPr>
        <w:adjustRightInd w:val="0"/>
        <w:snapToGrid w:val="0"/>
        <w:spacing w:before="120" w:beforeLines="50" w:line="352"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（3）联合体形式投标的，联合体成员存在不良信用记录的，视同联合体存在不良信用记录。</w:t>
      </w:r>
    </w:p>
    <w:p w14:paraId="3769FDE0">
      <w:pPr>
        <w:adjustRightInd w:val="0"/>
        <w:snapToGrid w:val="0"/>
        <w:spacing w:before="120" w:beforeLines="50" w:line="352"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（4）信用信息查询记录和证据留存具体方式：</w:t>
      </w:r>
      <w:r>
        <w:rPr>
          <w:rFonts w:hint="eastAsia" w:ascii="宋体" w:hAnsi="宋体"/>
          <w:color w:val="auto"/>
          <w:szCs w:val="21"/>
        </w:rPr>
        <w:t>采购人、采购代理机构</w:t>
      </w:r>
      <w:r>
        <w:rPr>
          <w:rFonts w:ascii="宋体" w:hAnsi="宋体"/>
          <w:color w:val="auto"/>
          <w:szCs w:val="21"/>
        </w:rPr>
        <w:t>经办人将查询网页</w:t>
      </w:r>
      <w:r>
        <w:rPr>
          <w:rFonts w:hint="eastAsia" w:ascii="宋体" w:hAnsi="宋体"/>
          <w:color w:val="auto"/>
          <w:szCs w:val="21"/>
        </w:rPr>
        <w:t>截图、</w:t>
      </w:r>
      <w:r>
        <w:rPr>
          <w:rFonts w:ascii="宋体" w:hAnsi="宋体"/>
          <w:color w:val="auto"/>
          <w:szCs w:val="21"/>
        </w:rPr>
        <w:t>打印、签字</w:t>
      </w:r>
      <w:r>
        <w:rPr>
          <w:rFonts w:hint="eastAsia" w:ascii="宋体" w:hAnsi="宋体"/>
          <w:color w:val="auto"/>
          <w:szCs w:val="21"/>
        </w:rPr>
        <w:t>，作为查询记录和证据，与其他采购文件一并保存。</w:t>
      </w:r>
      <w:r>
        <w:rPr>
          <w:rFonts w:ascii="宋体" w:hAnsi="宋体"/>
          <w:color w:val="auto"/>
          <w:szCs w:val="21"/>
        </w:rPr>
        <w:t>投标人不良信用记录以</w:t>
      </w:r>
      <w:r>
        <w:rPr>
          <w:rFonts w:hint="eastAsia" w:ascii="宋体" w:hAnsi="宋体"/>
          <w:color w:val="auto"/>
          <w:szCs w:val="21"/>
        </w:rPr>
        <w:t>采购人、采购代理机构</w:t>
      </w:r>
      <w:r>
        <w:rPr>
          <w:rFonts w:ascii="宋体" w:hAnsi="宋体"/>
          <w:color w:val="auto"/>
          <w:szCs w:val="21"/>
        </w:rPr>
        <w:t>查询结果为准</w:t>
      </w:r>
      <w:r>
        <w:rPr>
          <w:rFonts w:hint="eastAsia" w:ascii="宋体" w:hAnsi="宋体"/>
          <w:color w:val="auto"/>
          <w:szCs w:val="21"/>
        </w:rPr>
        <w:t>。</w:t>
      </w:r>
    </w:p>
    <w:p w14:paraId="783D5BC7">
      <w:pPr>
        <w:pStyle w:val="4"/>
        <w:spacing w:line="352" w:lineRule="exact"/>
        <w:rPr>
          <w:rFonts w:ascii="黑体" w:hAnsi="黑体" w:eastAsia="黑体"/>
          <w:color w:val="auto"/>
          <w:sz w:val="24"/>
          <w:szCs w:val="24"/>
        </w:rPr>
      </w:pPr>
      <w:bookmarkStart w:id="120" w:name="_Toc81305417"/>
      <w:bookmarkStart w:id="121" w:name="_Toc7092"/>
      <w:bookmarkStart w:id="122" w:name="_Toc62206176"/>
      <w:r>
        <w:rPr>
          <w:rFonts w:hint="eastAsia" w:ascii="黑体" w:hAnsi="黑体" w:eastAsia="黑体"/>
          <w:color w:val="auto"/>
          <w:sz w:val="24"/>
          <w:szCs w:val="24"/>
        </w:rPr>
        <w:t>2.资格审查（已进行资格预审的，本项目不适用）</w:t>
      </w:r>
      <w:bookmarkEnd w:id="120"/>
      <w:bookmarkEnd w:id="121"/>
      <w:bookmarkEnd w:id="122"/>
    </w:p>
    <w:p w14:paraId="64F6E697">
      <w:pPr>
        <w:adjustRightInd w:val="0"/>
        <w:snapToGrid w:val="0"/>
        <w:spacing w:before="120" w:beforeLines="50" w:line="352" w:lineRule="exact"/>
        <w:ind w:firstLine="420" w:firstLineChars="200"/>
        <w:rPr>
          <w:rFonts w:cs="宋体" w:asciiTheme="minorEastAsia" w:hAnsiTheme="minorEastAsia" w:eastAsiaTheme="minorEastAsia"/>
          <w:color w:val="auto"/>
          <w:kern w:val="0"/>
          <w:lang w:val="zh-CN"/>
        </w:rPr>
      </w:pPr>
      <w:r>
        <w:rPr>
          <w:rFonts w:hint="eastAsia" w:asciiTheme="minorEastAsia" w:hAnsiTheme="minorEastAsia" w:eastAsiaTheme="minorEastAsia"/>
          <w:color w:val="auto"/>
        </w:rPr>
        <w:t>2.1供应商若有第二章第</w:t>
      </w:r>
      <w:r>
        <w:rPr>
          <w:rFonts w:asciiTheme="minorEastAsia" w:hAnsiTheme="minorEastAsia" w:eastAsiaTheme="minorEastAsia"/>
          <w:color w:val="auto"/>
        </w:rPr>
        <w:t>1</w:t>
      </w:r>
      <w:r>
        <w:rPr>
          <w:rFonts w:hint="eastAsia" w:asciiTheme="minorEastAsia" w:hAnsiTheme="minorEastAsia" w:eastAsiaTheme="minorEastAsia"/>
          <w:color w:val="auto"/>
        </w:rPr>
        <w:t>4</w:t>
      </w:r>
      <w:r>
        <w:rPr>
          <w:rFonts w:asciiTheme="minorEastAsia" w:hAnsiTheme="minorEastAsia" w:eastAsiaTheme="minorEastAsia"/>
          <w:color w:val="auto"/>
        </w:rPr>
        <w:t>.1</w:t>
      </w:r>
      <w:r>
        <w:rPr>
          <w:rFonts w:hint="eastAsia" w:asciiTheme="minorEastAsia" w:hAnsiTheme="minorEastAsia" w:eastAsiaTheme="minorEastAsia"/>
          <w:color w:val="auto"/>
        </w:rPr>
        <w:t>款规定情形，采购人、采购代理机构按该款规定进行审查。</w:t>
      </w:r>
      <w:r>
        <w:rPr>
          <w:rFonts w:hint="eastAsia" w:ascii="宋体" w:hAnsi="宋体"/>
          <w:color w:val="auto"/>
          <w:szCs w:val="21"/>
        </w:rPr>
        <w:t>除本</w:t>
      </w:r>
      <w:r>
        <w:rPr>
          <w:rFonts w:hint="eastAsia" w:ascii="宋体" w:hAnsi="宋体" w:cs="宋体"/>
          <w:color w:val="auto"/>
          <w:kern w:val="0"/>
          <w:szCs w:val="21"/>
          <w:lang w:val="zh-CN"/>
        </w:rPr>
        <w:t>款规定的</w:t>
      </w:r>
      <w:r>
        <w:rPr>
          <w:rFonts w:hint="eastAsia" w:ascii="宋体" w:hAnsi="宋体"/>
          <w:color w:val="auto"/>
        </w:rPr>
        <w:t>情形外，采购人、采购代理机构</w:t>
      </w:r>
      <w:r>
        <w:rPr>
          <w:rFonts w:hint="eastAsia" w:hAnsi="宋体"/>
          <w:color w:val="auto"/>
        </w:rPr>
        <w:t>不再对供应商进行资格审查。</w:t>
      </w:r>
    </w:p>
    <w:p w14:paraId="6EF90E16">
      <w:pPr>
        <w:pStyle w:val="4"/>
        <w:adjustRightInd w:val="0"/>
        <w:snapToGrid w:val="0"/>
        <w:spacing w:before="120" w:beforeLines="50" w:after="0" w:line="352" w:lineRule="exact"/>
        <w:rPr>
          <w:rFonts w:ascii="黑体" w:hAnsi="黑体" w:eastAsia="黑体"/>
          <w:color w:val="auto"/>
          <w:sz w:val="24"/>
          <w:szCs w:val="24"/>
        </w:rPr>
      </w:pPr>
      <w:bookmarkStart w:id="123" w:name="_Toc29047"/>
      <w:r>
        <w:rPr>
          <w:rFonts w:hint="eastAsia" w:ascii="黑体" w:hAnsi="黑体" w:eastAsia="黑体"/>
          <w:color w:val="auto"/>
          <w:sz w:val="24"/>
          <w:szCs w:val="24"/>
        </w:rPr>
        <w:t>3．资格审查结果</w:t>
      </w:r>
      <w:bookmarkEnd w:id="123"/>
    </w:p>
    <w:p w14:paraId="639E5D06">
      <w:pPr>
        <w:adjustRightInd w:val="0"/>
        <w:snapToGrid w:val="0"/>
        <w:spacing w:before="120" w:beforeLines="50" w:line="352"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3.1未通过资格审查的投标人，采购人、采购代理机构应当告知其未通过的原因。</w:t>
      </w:r>
    </w:p>
    <w:p w14:paraId="4D6392E9">
      <w:pPr>
        <w:adjustRightInd w:val="0"/>
        <w:snapToGrid w:val="0"/>
        <w:spacing w:before="120" w:beforeLines="50" w:line="352"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3.2资格审查结束后，采购人、采购代理机构应将资格审查结果告知评标委员会。</w:t>
      </w:r>
    </w:p>
    <w:p w14:paraId="0007C56C">
      <w:pPr>
        <w:pStyle w:val="5"/>
        <w:adjustRightInd w:val="0"/>
        <w:snapToGrid w:val="0"/>
        <w:spacing w:before="0" w:after="0" w:line="360" w:lineRule="auto"/>
        <w:rPr>
          <w:rFonts w:asciiTheme="minorEastAsia" w:hAnsiTheme="minorEastAsia" w:eastAsiaTheme="minorEastAsia"/>
          <w:color w:val="auto"/>
          <w:sz w:val="21"/>
          <w:szCs w:val="21"/>
        </w:rPr>
      </w:pPr>
      <w:bookmarkStart w:id="124" w:name="_Toc7516"/>
      <w:r>
        <w:rPr>
          <w:rFonts w:hint="eastAsia" w:asciiTheme="minorEastAsia" w:hAnsiTheme="minorEastAsia" w:eastAsiaTheme="minorEastAsia"/>
          <w:color w:val="auto"/>
          <w:sz w:val="21"/>
          <w:szCs w:val="21"/>
        </w:rPr>
        <w:t>附表1</w:t>
      </w:r>
      <w:r>
        <w:rPr>
          <w:rFonts w:asciiTheme="minorEastAsia" w:hAnsiTheme="minorEastAsia" w:eastAsiaTheme="minorEastAsia"/>
          <w:color w:val="auto"/>
          <w:sz w:val="21"/>
          <w:szCs w:val="21"/>
        </w:rPr>
        <w:t>资格审查表</w:t>
      </w:r>
      <w:bookmarkEnd w:id="124"/>
    </w:p>
    <w:p w14:paraId="452D6C5E">
      <w:pPr>
        <w:adjustRightInd w:val="0"/>
        <w:snapToGrid w:val="0"/>
        <w:spacing w:line="360" w:lineRule="auto"/>
        <w:jc w:val="center"/>
        <w:rPr>
          <w:rFonts w:ascii="黑体" w:hAnsi="黑体" w:eastAsia="黑体"/>
          <w:b/>
          <w:color w:val="auto"/>
          <w:sz w:val="28"/>
          <w:szCs w:val="28"/>
        </w:rPr>
      </w:pPr>
      <w:r>
        <w:rPr>
          <w:rFonts w:ascii="黑体" w:hAnsi="黑体" w:eastAsia="黑体"/>
          <w:b/>
          <w:color w:val="auto"/>
          <w:sz w:val="28"/>
          <w:szCs w:val="28"/>
        </w:rPr>
        <w:t>资格审查表</w:t>
      </w:r>
    </w:p>
    <w:p w14:paraId="7AA32B76">
      <w:pPr>
        <w:adjustRightInd w:val="0"/>
        <w:snapToGrid w:val="0"/>
        <w:spacing w:line="360" w:lineRule="auto"/>
        <w:rPr>
          <w:rFonts w:ascii="黑体" w:hAnsi="黑体" w:eastAsia="黑体"/>
          <w:color w:val="auto"/>
          <w:sz w:val="28"/>
          <w:szCs w:val="28"/>
        </w:rPr>
      </w:pPr>
      <w:r>
        <w:rPr>
          <w:rFonts w:hint="eastAsia" w:asciiTheme="minorEastAsia" w:hAnsiTheme="minorEastAsia" w:eastAsiaTheme="minorEastAsia"/>
          <w:color w:val="auto"/>
          <w:szCs w:val="21"/>
        </w:rPr>
        <w:t>项目名称：                                          采购代理编号：</w:t>
      </w:r>
    </w:p>
    <w:tbl>
      <w:tblPr>
        <w:tblStyle w:val="42"/>
        <w:tblW w:w="9060"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83"/>
        <w:gridCol w:w="3404"/>
        <w:gridCol w:w="2260"/>
        <w:gridCol w:w="1291"/>
        <w:gridCol w:w="1422"/>
      </w:tblGrid>
      <w:tr w14:paraId="51B40B3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32" w:hRule="atLeast"/>
        </w:trPr>
        <w:tc>
          <w:tcPr>
            <w:tcW w:w="683" w:type="dxa"/>
            <w:vAlign w:val="center"/>
          </w:tcPr>
          <w:p w14:paraId="60C7491F">
            <w:pPr>
              <w:adjustRightInd w:val="0"/>
              <w:snapToGrid w:val="0"/>
              <w:spacing w:before="120" w:beforeLines="50" w:line="360" w:lineRule="auto"/>
              <w:jc w:val="center"/>
              <w:rPr>
                <w:rFonts w:ascii="宋体" w:hAnsi="宋体" w:cs="宋体"/>
                <w:b/>
                <w:color w:val="auto"/>
                <w:kern w:val="0"/>
                <w:szCs w:val="21"/>
              </w:rPr>
            </w:pPr>
            <w:bookmarkStart w:id="125" w:name="_Toc14991"/>
            <w:r>
              <w:rPr>
                <w:rFonts w:hint="eastAsia" w:ascii="宋体" w:hAnsi="宋体" w:cs="宋体"/>
                <w:b/>
                <w:color w:val="auto"/>
                <w:kern w:val="0"/>
                <w:szCs w:val="21"/>
              </w:rPr>
              <w:t>序号</w:t>
            </w:r>
          </w:p>
        </w:tc>
        <w:tc>
          <w:tcPr>
            <w:tcW w:w="3404" w:type="dxa"/>
            <w:vAlign w:val="center"/>
          </w:tcPr>
          <w:p w14:paraId="584D22D2">
            <w:pPr>
              <w:adjustRightInd w:val="0"/>
              <w:snapToGrid w:val="0"/>
              <w:spacing w:before="120" w:beforeLines="50" w:line="360" w:lineRule="auto"/>
              <w:jc w:val="center"/>
              <w:rPr>
                <w:rFonts w:ascii="宋体" w:hAnsi="宋体" w:cs="宋体"/>
                <w:b/>
                <w:color w:val="auto"/>
                <w:kern w:val="0"/>
                <w:szCs w:val="21"/>
              </w:rPr>
            </w:pPr>
            <w:r>
              <w:rPr>
                <w:rFonts w:hint="eastAsia" w:ascii="宋体" w:hAnsi="宋体" w:cs="宋体"/>
                <w:b/>
                <w:color w:val="auto"/>
                <w:kern w:val="0"/>
                <w:szCs w:val="21"/>
              </w:rPr>
              <w:t>审查项目</w:t>
            </w:r>
          </w:p>
        </w:tc>
        <w:tc>
          <w:tcPr>
            <w:tcW w:w="2260" w:type="dxa"/>
            <w:tcBorders>
              <w:right w:val="single" w:color="auto" w:sz="4" w:space="0"/>
            </w:tcBorders>
            <w:vAlign w:val="center"/>
          </w:tcPr>
          <w:p w14:paraId="223DB618">
            <w:pPr>
              <w:adjustRightInd w:val="0"/>
              <w:snapToGrid w:val="0"/>
              <w:spacing w:before="120" w:beforeLines="50" w:line="360" w:lineRule="auto"/>
              <w:jc w:val="center"/>
              <w:rPr>
                <w:rFonts w:ascii="宋体" w:hAnsi="宋体" w:cs="宋体"/>
                <w:b/>
                <w:color w:val="auto"/>
                <w:kern w:val="0"/>
                <w:szCs w:val="21"/>
              </w:rPr>
            </w:pPr>
            <w:r>
              <w:rPr>
                <w:rFonts w:hint="eastAsia" w:ascii="宋体" w:hAnsi="宋体" w:cs="宋体"/>
                <w:b/>
                <w:color w:val="auto"/>
                <w:kern w:val="0"/>
                <w:szCs w:val="21"/>
              </w:rPr>
              <w:t>审查标准</w:t>
            </w:r>
          </w:p>
        </w:tc>
        <w:tc>
          <w:tcPr>
            <w:tcW w:w="1291" w:type="dxa"/>
            <w:tcBorders>
              <w:left w:val="single" w:color="auto" w:sz="4" w:space="0"/>
              <w:right w:val="single" w:color="auto" w:sz="4" w:space="0"/>
            </w:tcBorders>
            <w:vAlign w:val="center"/>
          </w:tcPr>
          <w:p w14:paraId="347F8E76">
            <w:pPr>
              <w:adjustRightInd w:val="0"/>
              <w:snapToGrid w:val="0"/>
              <w:spacing w:before="120" w:beforeLines="50" w:line="360" w:lineRule="auto"/>
              <w:jc w:val="center"/>
              <w:rPr>
                <w:rFonts w:ascii="宋体" w:hAnsi="宋体" w:cs="宋体"/>
                <w:b/>
                <w:color w:val="auto"/>
                <w:kern w:val="0"/>
                <w:szCs w:val="21"/>
              </w:rPr>
            </w:pPr>
            <w:r>
              <w:rPr>
                <w:rFonts w:hint="eastAsia" w:ascii="宋体" w:hAnsi="宋体" w:cs="宋体"/>
                <w:b/>
                <w:color w:val="auto"/>
                <w:kern w:val="0"/>
                <w:szCs w:val="21"/>
              </w:rPr>
              <w:t>投标人名称</w:t>
            </w:r>
          </w:p>
        </w:tc>
        <w:tc>
          <w:tcPr>
            <w:tcW w:w="1422" w:type="dxa"/>
            <w:tcBorders>
              <w:left w:val="single" w:color="auto" w:sz="4" w:space="0"/>
            </w:tcBorders>
            <w:vAlign w:val="center"/>
          </w:tcPr>
          <w:p w14:paraId="1C89133F">
            <w:pPr>
              <w:adjustRightInd w:val="0"/>
              <w:snapToGrid w:val="0"/>
              <w:spacing w:before="120" w:beforeLines="50" w:line="360" w:lineRule="auto"/>
              <w:jc w:val="center"/>
              <w:rPr>
                <w:rFonts w:ascii="宋体" w:hAnsi="宋体" w:cs="宋体"/>
                <w:b/>
                <w:color w:val="auto"/>
                <w:kern w:val="0"/>
                <w:szCs w:val="21"/>
              </w:rPr>
            </w:pPr>
            <w:r>
              <w:rPr>
                <w:rFonts w:hint="eastAsia" w:ascii="宋体" w:hAnsi="宋体" w:cs="宋体"/>
                <w:b/>
                <w:color w:val="auto"/>
                <w:kern w:val="0"/>
                <w:szCs w:val="21"/>
              </w:rPr>
              <w:t>投标人名称</w:t>
            </w:r>
          </w:p>
        </w:tc>
      </w:tr>
      <w:tr w14:paraId="3B3C307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14:paraId="031F00B8">
            <w:pPr>
              <w:adjustRightInd w:val="0"/>
              <w:snapToGrid w:val="0"/>
              <w:spacing w:before="120" w:beforeLines="50" w:line="276" w:lineRule="auto"/>
              <w:jc w:val="center"/>
              <w:rPr>
                <w:rFonts w:ascii="宋体" w:hAnsi="宋体" w:cs="宋体"/>
                <w:color w:val="auto"/>
                <w:kern w:val="0"/>
                <w:szCs w:val="21"/>
              </w:rPr>
            </w:pPr>
            <w:r>
              <w:rPr>
                <w:rFonts w:hint="eastAsia" w:ascii="宋体" w:hAnsi="宋体" w:cs="宋体"/>
                <w:color w:val="auto"/>
                <w:kern w:val="0"/>
                <w:szCs w:val="21"/>
              </w:rPr>
              <w:t>1</w:t>
            </w:r>
          </w:p>
        </w:tc>
        <w:tc>
          <w:tcPr>
            <w:tcW w:w="3404" w:type="dxa"/>
            <w:vAlign w:val="center"/>
          </w:tcPr>
          <w:p w14:paraId="576B4E1C">
            <w:pPr>
              <w:adjustRightInd w:val="0"/>
              <w:snapToGrid w:val="0"/>
              <w:spacing w:before="120" w:beforeLines="50" w:line="276" w:lineRule="auto"/>
              <w:jc w:val="center"/>
              <w:rPr>
                <w:rFonts w:ascii="宋体" w:hAnsi="宋体" w:cs="宋体"/>
                <w:color w:val="auto"/>
                <w:kern w:val="0"/>
                <w:szCs w:val="21"/>
              </w:rPr>
            </w:pPr>
            <w:r>
              <w:rPr>
                <w:rFonts w:hint="eastAsia" w:ascii="宋体" w:hAnsi="宋体" w:cs="宋体"/>
                <w:color w:val="auto"/>
                <w:kern w:val="0"/>
                <w:szCs w:val="21"/>
              </w:rPr>
              <w:t>投标保证金</w:t>
            </w:r>
          </w:p>
        </w:tc>
        <w:tc>
          <w:tcPr>
            <w:tcW w:w="2260" w:type="dxa"/>
            <w:tcBorders>
              <w:right w:val="single" w:color="auto" w:sz="4" w:space="0"/>
            </w:tcBorders>
            <w:vAlign w:val="center"/>
          </w:tcPr>
          <w:p w14:paraId="4AA07C03">
            <w:pPr>
              <w:adjustRightInd w:val="0"/>
              <w:snapToGrid w:val="0"/>
              <w:spacing w:before="120" w:beforeLines="50" w:line="276" w:lineRule="auto"/>
              <w:jc w:val="center"/>
              <w:rPr>
                <w:rFonts w:ascii="宋体" w:hAnsi="宋体" w:cs="宋体"/>
                <w:color w:val="auto"/>
                <w:kern w:val="0"/>
                <w:szCs w:val="21"/>
              </w:rPr>
            </w:pPr>
            <w:r>
              <w:rPr>
                <w:rFonts w:hint="eastAsia" w:ascii="宋体" w:hAnsi="宋体" w:cs="宋体"/>
                <w:color w:val="auto"/>
                <w:kern w:val="0"/>
                <w:szCs w:val="21"/>
              </w:rPr>
              <w:t>第二章第17.1款</w:t>
            </w:r>
          </w:p>
        </w:tc>
        <w:tc>
          <w:tcPr>
            <w:tcW w:w="1291" w:type="dxa"/>
            <w:tcBorders>
              <w:left w:val="single" w:color="auto" w:sz="4" w:space="0"/>
              <w:right w:val="single" w:color="auto" w:sz="4" w:space="0"/>
            </w:tcBorders>
            <w:vAlign w:val="center"/>
          </w:tcPr>
          <w:p w14:paraId="09C268E4">
            <w:pPr>
              <w:adjustRightInd w:val="0"/>
              <w:snapToGrid w:val="0"/>
              <w:spacing w:before="120" w:beforeLines="50" w:line="276" w:lineRule="auto"/>
              <w:jc w:val="center"/>
              <w:rPr>
                <w:rFonts w:ascii="宋体" w:hAnsi="宋体" w:cs="宋体"/>
                <w:color w:val="auto"/>
                <w:kern w:val="0"/>
                <w:szCs w:val="21"/>
              </w:rPr>
            </w:pPr>
          </w:p>
        </w:tc>
        <w:tc>
          <w:tcPr>
            <w:tcW w:w="1422" w:type="dxa"/>
            <w:tcBorders>
              <w:left w:val="single" w:color="auto" w:sz="4" w:space="0"/>
            </w:tcBorders>
            <w:vAlign w:val="center"/>
          </w:tcPr>
          <w:p w14:paraId="023EB897">
            <w:pPr>
              <w:adjustRightInd w:val="0"/>
              <w:snapToGrid w:val="0"/>
              <w:spacing w:before="120" w:beforeLines="50" w:line="276" w:lineRule="auto"/>
              <w:jc w:val="center"/>
              <w:rPr>
                <w:rFonts w:ascii="宋体" w:hAnsi="宋体" w:cs="宋体"/>
                <w:color w:val="auto"/>
                <w:kern w:val="0"/>
                <w:szCs w:val="21"/>
              </w:rPr>
            </w:pPr>
          </w:p>
        </w:tc>
      </w:tr>
      <w:tr w14:paraId="0138FB5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14:paraId="0F1BA372">
            <w:pPr>
              <w:adjustRightInd w:val="0"/>
              <w:snapToGrid w:val="0"/>
              <w:spacing w:before="120" w:beforeLines="50" w:line="276" w:lineRule="auto"/>
              <w:jc w:val="center"/>
              <w:rPr>
                <w:rFonts w:ascii="宋体" w:hAnsi="宋体" w:cs="宋体"/>
                <w:color w:val="auto"/>
                <w:kern w:val="0"/>
                <w:szCs w:val="21"/>
              </w:rPr>
            </w:pPr>
            <w:r>
              <w:rPr>
                <w:rFonts w:hint="eastAsia" w:ascii="宋体" w:hAnsi="宋体" w:cs="宋体"/>
                <w:color w:val="auto"/>
                <w:kern w:val="0"/>
                <w:szCs w:val="21"/>
              </w:rPr>
              <w:t>2</w:t>
            </w:r>
          </w:p>
        </w:tc>
        <w:tc>
          <w:tcPr>
            <w:tcW w:w="3404" w:type="dxa"/>
            <w:vAlign w:val="center"/>
          </w:tcPr>
          <w:p w14:paraId="3259F39A">
            <w:pPr>
              <w:adjustRightInd w:val="0"/>
              <w:snapToGrid w:val="0"/>
              <w:spacing w:before="120" w:beforeLines="50" w:line="276" w:lineRule="auto"/>
              <w:jc w:val="center"/>
              <w:rPr>
                <w:rFonts w:ascii="宋体" w:hAnsi="宋体" w:cs="宋体"/>
                <w:color w:val="auto"/>
                <w:kern w:val="0"/>
                <w:szCs w:val="21"/>
              </w:rPr>
            </w:pPr>
            <w:r>
              <w:rPr>
                <w:rFonts w:hint="eastAsia" w:ascii="宋体" w:hAnsi="宋体" w:cs="宋体"/>
                <w:color w:val="auto"/>
                <w:kern w:val="0"/>
                <w:szCs w:val="21"/>
              </w:rPr>
              <w:t>法定代表人身份证明或授权委托书</w:t>
            </w:r>
          </w:p>
        </w:tc>
        <w:tc>
          <w:tcPr>
            <w:tcW w:w="2260" w:type="dxa"/>
            <w:tcBorders>
              <w:right w:val="single" w:color="auto" w:sz="4" w:space="0"/>
            </w:tcBorders>
            <w:vAlign w:val="center"/>
          </w:tcPr>
          <w:p w14:paraId="3FE334B6">
            <w:pPr>
              <w:adjustRightInd w:val="0"/>
              <w:snapToGrid w:val="0"/>
              <w:spacing w:before="120" w:beforeLines="50" w:line="276" w:lineRule="auto"/>
              <w:jc w:val="center"/>
              <w:rPr>
                <w:rFonts w:ascii="宋体" w:hAnsi="宋体" w:cs="宋体"/>
                <w:color w:val="auto"/>
                <w:kern w:val="0"/>
                <w:szCs w:val="21"/>
              </w:rPr>
            </w:pPr>
            <w:r>
              <w:rPr>
                <w:rFonts w:hint="eastAsia" w:ascii="宋体" w:hAnsi="宋体" w:cs="宋体"/>
                <w:color w:val="auto"/>
                <w:kern w:val="0"/>
                <w:szCs w:val="21"/>
              </w:rPr>
              <w:t>第二章第19.2款</w:t>
            </w:r>
          </w:p>
        </w:tc>
        <w:tc>
          <w:tcPr>
            <w:tcW w:w="1291" w:type="dxa"/>
            <w:tcBorders>
              <w:left w:val="single" w:color="auto" w:sz="4" w:space="0"/>
              <w:right w:val="single" w:color="auto" w:sz="4" w:space="0"/>
            </w:tcBorders>
            <w:vAlign w:val="center"/>
          </w:tcPr>
          <w:p w14:paraId="0A69F4D3">
            <w:pPr>
              <w:adjustRightInd w:val="0"/>
              <w:snapToGrid w:val="0"/>
              <w:spacing w:before="120" w:beforeLines="50" w:line="276" w:lineRule="auto"/>
              <w:jc w:val="center"/>
              <w:rPr>
                <w:rFonts w:ascii="宋体" w:hAnsi="宋体" w:cs="宋体"/>
                <w:color w:val="auto"/>
                <w:kern w:val="0"/>
                <w:szCs w:val="21"/>
              </w:rPr>
            </w:pPr>
          </w:p>
        </w:tc>
        <w:tc>
          <w:tcPr>
            <w:tcW w:w="1422" w:type="dxa"/>
            <w:tcBorders>
              <w:left w:val="single" w:color="auto" w:sz="4" w:space="0"/>
            </w:tcBorders>
            <w:vAlign w:val="center"/>
          </w:tcPr>
          <w:p w14:paraId="1DE1F9CD">
            <w:pPr>
              <w:adjustRightInd w:val="0"/>
              <w:snapToGrid w:val="0"/>
              <w:spacing w:before="120" w:beforeLines="50" w:line="276" w:lineRule="auto"/>
              <w:jc w:val="center"/>
              <w:rPr>
                <w:rFonts w:ascii="宋体" w:hAnsi="宋体" w:cs="宋体"/>
                <w:color w:val="auto"/>
                <w:kern w:val="0"/>
                <w:szCs w:val="21"/>
              </w:rPr>
            </w:pPr>
          </w:p>
        </w:tc>
      </w:tr>
      <w:tr w14:paraId="61285FD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14:paraId="020E6E6E">
            <w:pPr>
              <w:adjustRightInd w:val="0"/>
              <w:snapToGrid w:val="0"/>
              <w:spacing w:before="120" w:beforeLines="50" w:line="276" w:lineRule="auto"/>
              <w:jc w:val="center"/>
              <w:rPr>
                <w:rFonts w:ascii="宋体" w:hAnsi="宋体" w:cs="宋体"/>
                <w:color w:val="auto"/>
                <w:kern w:val="0"/>
                <w:szCs w:val="21"/>
              </w:rPr>
            </w:pPr>
            <w:r>
              <w:rPr>
                <w:rFonts w:hint="eastAsia" w:ascii="宋体" w:hAnsi="宋体" w:cs="宋体"/>
                <w:color w:val="auto"/>
                <w:kern w:val="0"/>
                <w:szCs w:val="21"/>
              </w:rPr>
              <w:t>3</w:t>
            </w:r>
          </w:p>
        </w:tc>
        <w:tc>
          <w:tcPr>
            <w:tcW w:w="3404" w:type="dxa"/>
            <w:vAlign w:val="center"/>
          </w:tcPr>
          <w:p w14:paraId="7EAF2C2E">
            <w:pPr>
              <w:adjustRightInd w:val="0"/>
              <w:snapToGrid w:val="0"/>
              <w:spacing w:before="120" w:beforeLines="50" w:line="276" w:lineRule="auto"/>
              <w:jc w:val="center"/>
              <w:rPr>
                <w:rFonts w:ascii="宋体" w:hAnsi="宋体" w:cs="宋体"/>
                <w:color w:val="auto"/>
                <w:kern w:val="0"/>
                <w:szCs w:val="21"/>
              </w:rPr>
            </w:pPr>
            <w:r>
              <w:rPr>
                <w:rFonts w:hint="eastAsia" w:ascii="宋体" w:hAnsi="宋体" w:cs="宋体"/>
                <w:color w:val="auto"/>
                <w:kern w:val="0"/>
                <w:szCs w:val="21"/>
              </w:rPr>
              <w:t>法人或者其他组织的营业执照等主体资格证明文件，自然人的身份证明</w:t>
            </w:r>
          </w:p>
        </w:tc>
        <w:tc>
          <w:tcPr>
            <w:tcW w:w="2260" w:type="dxa"/>
            <w:tcBorders>
              <w:right w:val="single" w:color="auto" w:sz="4" w:space="0"/>
            </w:tcBorders>
            <w:vAlign w:val="center"/>
          </w:tcPr>
          <w:p w14:paraId="213ECB39">
            <w:pPr>
              <w:adjustRightInd w:val="0"/>
              <w:snapToGrid w:val="0"/>
              <w:spacing w:before="120" w:beforeLines="50" w:line="276" w:lineRule="auto"/>
              <w:jc w:val="center"/>
              <w:rPr>
                <w:rFonts w:ascii="宋体" w:hAnsi="宋体" w:cs="宋体"/>
                <w:color w:val="auto"/>
                <w:kern w:val="0"/>
                <w:szCs w:val="21"/>
              </w:rPr>
            </w:pPr>
            <w:r>
              <w:rPr>
                <w:rFonts w:hint="eastAsia" w:ascii="宋体" w:hAnsi="宋体" w:cs="宋体"/>
                <w:color w:val="auto"/>
                <w:kern w:val="0"/>
                <w:szCs w:val="21"/>
              </w:rPr>
              <w:t>第二章第14.1（1）项</w:t>
            </w:r>
          </w:p>
        </w:tc>
        <w:tc>
          <w:tcPr>
            <w:tcW w:w="1291" w:type="dxa"/>
            <w:tcBorders>
              <w:left w:val="single" w:color="auto" w:sz="4" w:space="0"/>
              <w:right w:val="single" w:color="auto" w:sz="4" w:space="0"/>
            </w:tcBorders>
            <w:vAlign w:val="center"/>
          </w:tcPr>
          <w:p w14:paraId="0107013C">
            <w:pPr>
              <w:adjustRightInd w:val="0"/>
              <w:snapToGrid w:val="0"/>
              <w:spacing w:before="120" w:beforeLines="50" w:line="276" w:lineRule="auto"/>
              <w:jc w:val="center"/>
              <w:rPr>
                <w:rFonts w:ascii="宋体" w:hAnsi="宋体" w:cs="宋体"/>
                <w:color w:val="auto"/>
                <w:kern w:val="0"/>
                <w:szCs w:val="21"/>
              </w:rPr>
            </w:pPr>
          </w:p>
        </w:tc>
        <w:tc>
          <w:tcPr>
            <w:tcW w:w="1422" w:type="dxa"/>
            <w:tcBorders>
              <w:left w:val="single" w:color="auto" w:sz="4" w:space="0"/>
            </w:tcBorders>
            <w:vAlign w:val="center"/>
          </w:tcPr>
          <w:p w14:paraId="04C6FEC4">
            <w:pPr>
              <w:adjustRightInd w:val="0"/>
              <w:snapToGrid w:val="0"/>
              <w:spacing w:before="120" w:beforeLines="50" w:line="276" w:lineRule="auto"/>
              <w:jc w:val="center"/>
              <w:rPr>
                <w:rFonts w:ascii="宋体" w:hAnsi="宋体" w:cs="宋体"/>
                <w:color w:val="auto"/>
                <w:kern w:val="0"/>
                <w:szCs w:val="21"/>
              </w:rPr>
            </w:pPr>
          </w:p>
        </w:tc>
      </w:tr>
      <w:tr w14:paraId="59DC1D5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14:paraId="64F2DBF6">
            <w:pPr>
              <w:adjustRightInd w:val="0"/>
              <w:snapToGrid w:val="0"/>
              <w:spacing w:before="120" w:beforeLines="50" w:line="276" w:lineRule="auto"/>
              <w:jc w:val="center"/>
              <w:rPr>
                <w:rFonts w:ascii="宋体" w:hAnsi="宋体" w:cs="宋体"/>
                <w:color w:val="auto"/>
                <w:kern w:val="0"/>
                <w:szCs w:val="21"/>
              </w:rPr>
            </w:pPr>
            <w:r>
              <w:rPr>
                <w:rFonts w:hint="eastAsia" w:ascii="宋体" w:hAnsi="宋体" w:cs="宋体"/>
                <w:color w:val="auto"/>
                <w:kern w:val="0"/>
                <w:szCs w:val="21"/>
              </w:rPr>
              <w:t>4</w:t>
            </w:r>
          </w:p>
        </w:tc>
        <w:tc>
          <w:tcPr>
            <w:tcW w:w="3404" w:type="dxa"/>
            <w:vAlign w:val="center"/>
          </w:tcPr>
          <w:p w14:paraId="53ED672C">
            <w:pPr>
              <w:adjustRightInd w:val="0"/>
              <w:snapToGrid w:val="0"/>
              <w:spacing w:before="120" w:beforeLines="50" w:line="276" w:lineRule="auto"/>
              <w:jc w:val="center"/>
              <w:rPr>
                <w:rFonts w:ascii="宋体" w:hAnsi="宋体" w:cs="宋体"/>
                <w:color w:val="auto"/>
                <w:kern w:val="0"/>
                <w:szCs w:val="21"/>
              </w:rPr>
            </w:pPr>
            <w:r>
              <w:rPr>
                <w:rFonts w:hint="eastAsia" w:ascii="宋体" w:hAnsi="宋体" w:cs="宋体"/>
                <w:color w:val="auto"/>
                <w:kern w:val="0"/>
                <w:szCs w:val="21"/>
              </w:rPr>
              <w:t>投标人资格声明（格式4-2）</w:t>
            </w:r>
          </w:p>
        </w:tc>
        <w:tc>
          <w:tcPr>
            <w:tcW w:w="2260" w:type="dxa"/>
            <w:tcBorders>
              <w:right w:val="single" w:color="auto" w:sz="4" w:space="0"/>
            </w:tcBorders>
            <w:vAlign w:val="center"/>
          </w:tcPr>
          <w:p w14:paraId="559BF805">
            <w:pPr>
              <w:adjustRightInd w:val="0"/>
              <w:snapToGrid w:val="0"/>
              <w:spacing w:before="120" w:beforeLines="50" w:line="276" w:lineRule="auto"/>
              <w:jc w:val="center"/>
              <w:rPr>
                <w:rFonts w:ascii="宋体" w:hAnsi="宋体" w:cs="宋体"/>
                <w:color w:val="auto"/>
                <w:kern w:val="0"/>
                <w:szCs w:val="21"/>
              </w:rPr>
            </w:pPr>
            <w:r>
              <w:rPr>
                <w:rFonts w:hint="eastAsia" w:ascii="宋体" w:hAnsi="宋体" w:cs="宋体"/>
                <w:color w:val="auto"/>
                <w:kern w:val="0"/>
                <w:szCs w:val="21"/>
              </w:rPr>
              <w:t>第二章第14.1（2）项</w:t>
            </w:r>
          </w:p>
        </w:tc>
        <w:tc>
          <w:tcPr>
            <w:tcW w:w="1291" w:type="dxa"/>
            <w:tcBorders>
              <w:left w:val="single" w:color="auto" w:sz="4" w:space="0"/>
              <w:right w:val="single" w:color="auto" w:sz="4" w:space="0"/>
            </w:tcBorders>
            <w:vAlign w:val="center"/>
          </w:tcPr>
          <w:p w14:paraId="5B86CD61">
            <w:pPr>
              <w:adjustRightInd w:val="0"/>
              <w:snapToGrid w:val="0"/>
              <w:spacing w:before="120" w:beforeLines="50" w:line="276" w:lineRule="auto"/>
              <w:jc w:val="center"/>
              <w:rPr>
                <w:rFonts w:ascii="宋体" w:hAnsi="宋体" w:cs="宋体"/>
                <w:color w:val="auto"/>
                <w:kern w:val="0"/>
                <w:szCs w:val="21"/>
              </w:rPr>
            </w:pPr>
          </w:p>
        </w:tc>
        <w:tc>
          <w:tcPr>
            <w:tcW w:w="1422" w:type="dxa"/>
            <w:tcBorders>
              <w:left w:val="single" w:color="auto" w:sz="4" w:space="0"/>
            </w:tcBorders>
            <w:vAlign w:val="center"/>
          </w:tcPr>
          <w:p w14:paraId="5D81DBDA">
            <w:pPr>
              <w:adjustRightInd w:val="0"/>
              <w:snapToGrid w:val="0"/>
              <w:spacing w:before="120" w:beforeLines="50" w:line="276" w:lineRule="auto"/>
              <w:jc w:val="center"/>
              <w:rPr>
                <w:rFonts w:ascii="宋体" w:hAnsi="宋体" w:cs="宋体"/>
                <w:color w:val="auto"/>
                <w:kern w:val="0"/>
                <w:szCs w:val="21"/>
              </w:rPr>
            </w:pPr>
          </w:p>
        </w:tc>
      </w:tr>
      <w:tr w14:paraId="789EB07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14:paraId="6C5DDEE7">
            <w:pPr>
              <w:adjustRightInd w:val="0"/>
              <w:snapToGrid w:val="0"/>
              <w:spacing w:before="120" w:beforeLines="50" w:line="276" w:lineRule="auto"/>
              <w:jc w:val="center"/>
              <w:rPr>
                <w:rFonts w:ascii="宋体" w:hAnsi="宋体" w:cs="宋体"/>
                <w:color w:val="auto"/>
                <w:kern w:val="0"/>
                <w:szCs w:val="21"/>
              </w:rPr>
            </w:pPr>
            <w:r>
              <w:rPr>
                <w:rFonts w:hint="eastAsia" w:ascii="宋体" w:hAnsi="宋体" w:cs="宋体"/>
                <w:color w:val="auto"/>
                <w:kern w:val="0"/>
                <w:szCs w:val="21"/>
              </w:rPr>
              <w:t>5</w:t>
            </w:r>
          </w:p>
        </w:tc>
        <w:tc>
          <w:tcPr>
            <w:tcW w:w="3404" w:type="dxa"/>
            <w:vAlign w:val="center"/>
          </w:tcPr>
          <w:p w14:paraId="683D3761">
            <w:pPr>
              <w:adjustRightInd w:val="0"/>
              <w:snapToGrid w:val="0"/>
              <w:spacing w:before="120" w:beforeLines="50" w:line="276" w:lineRule="auto"/>
              <w:jc w:val="center"/>
              <w:rPr>
                <w:rFonts w:ascii="宋体" w:hAnsi="宋体" w:cs="宋体"/>
                <w:color w:val="auto"/>
                <w:kern w:val="0"/>
                <w:szCs w:val="21"/>
              </w:rPr>
            </w:pPr>
            <w:r>
              <w:rPr>
                <w:rFonts w:hint="eastAsia" w:ascii="宋体" w:hAnsi="宋体" w:cs="宋体"/>
                <w:color w:val="auto"/>
                <w:kern w:val="0"/>
                <w:szCs w:val="21"/>
              </w:rPr>
              <w:t>依法缴纳税收的相关材料、依法缴纳社会保障资金的相关材料或者资格审查文件中提供了投标人资格声明（格式4-2）视同投标人具有良好的依法缴纳社会保险记录</w:t>
            </w:r>
            <w:r>
              <w:rPr>
                <w:rFonts w:hint="eastAsia" w:ascii="宋体" w:hAnsi="宋体" w:cs="宋体"/>
                <w:color w:val="auto"/>
                <w:szCs w:val="21"/>
              </w:rPr>
              <w:t>。</w:t>
            </w:r>
          </w:p>
        </w:tc>
        <w:tc>
          <w:tcPr>
            <w:tcW w:w="2260" w:type="dxa"/>
            <w:tcBorders>
              <w:right w:val="single" w:color="auto" w:sz="4" w:space="0"/>
            </w:tcBorders>
            <w:vAlign w:val="center"/>
          </w:tcPr>
          <w:p w14:paraId="0F8280FF">
            <w:pPr>
              <w:adjustRightInd w:val="0"/>
              <w:snapToGrid w:val="0"/>
              <w:spacing w:before="120" w:beforeLines="50" w:line="276" w:lineRule="auto"/>
              <w:jc w:val="center"/>
              <w:rPr>
                <w:rFonts w:ascii="宋体" w:hAnsi="宋体" w:cs="宋体"/>
                <w:color w:val="auto"/>
                <w:kern w:val="0"/>
                <w:szCs w:val="21"/>
              </w:rPr>
            </w:pPr>
            <w:r>
              <w:rPr>
                <w:rFonts w:hint="eastAsia" w:ascii="宋体" w:hAnsi="宋体" w:cs="宋体"/>
                <w:color w:val="auto"/>
                <w:kern w:val="0"/>
                <w:szCs w:val="21"/>
              </w:rPr>
              <w:t>第二章第14.1（2）项</w:t>
            </w:r>
          </w:p>
        </w:tc>
        <w:tc>
          <w:tcPr>
            <w:tcW w:w="1291" w:type="dxa"/>
            <w:tcBorders>
              <w:left w:val="single" w:color="auto" w:sz="4" w:space="0"/>
              <w:right w:val="single" w:color="auto" w:sz="4" w:space="0"/>
            </w:tcBorders>
            <w:vAlign w:val="center"/>
          </w:tcPr>
          <w:p w14:paraId="1C9B7AAD">
            <w:pPr>
              <w:adjustRightInd w:val="0"/>
              <w:snapToGrid w:val="0"/>
              <w:spacing w:before="120" w:beforeLines="50" w:line="276" w:lineRule="auto"/>
              <w:jc w:val="center"/>
              <w:rPr>
                <w:rFonts w:ascii="宋体" w:hAnsi="宋体" w:cs="宋体"/>
                <w:color w:val="auto"/>
                <w:kern w:val="0"/>
                <w:szCs w:val="21"/>
              </w:rPr>
            </w:pPr>
          </w:p>
        </w:tc>
        <w:tc>
          <w:tcPr>
            <w:tcW w:w="1422" w:type="dxa"/>
            <w:tcBorders>
              <w:left w:val="single" w:color="auto" w:sz="4" w:space="0"/>
            </w:tcBorders>
            <w:vAlign w:val="center"/>
          </w:tcPr>
          <w:p w14:paraId="13BDEFA1">
            <w:pPr>
              <w:adjustRightInd w:val="0"/>
              <w:snapToGrid w:val="0"/>
              <w:spacing w:before="120" w:beforeLines="50" w:line="276" w:lineRule="auto"/>
              <w:jc w:val="center"/>
              <w:rPr>
                <w:rFonts w:ascii="宋体" w:hAnsi="宋体" w:cs="宋体"/>
                <w:color w:val="auto"/>
                <w:kern w:val="0"/>
                <w:szCs w:val="21"/>
              </w:rPr>
            </w:pPr>
          </w:p>
        </w:tc>
      </w:tr>
      <w:tr w14:paraId="0685818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14:paraId="7AE532FA">
            <w:pPr>
              <w:adjustRightInd w:val="0"/>
              <w:snapToGrid w:val="0"/>
              <w:spacing w:before="120" w:beforeLines="50" w:line="276" w:lineRule="auto"/>
              <w:jc w:val="center"/>
              <w:rPr>
                <w:rFonts w:ascii="宋体" w:hAnsi="宋体" w:cs="宋体"/>
                <w:color w:val="auto"/>
                <w:kern w:val="0"/>
                <w:szCs w:val="21"/>
              </w:rPr>
            </w:pPr>
            <w:r>
              <w:rPr>
                <w:rFonts w:hint="eastAsia" w:ascii="宋体" w:hAnsi="宋体" w:cs="宋体"/>
                <w:color w:val="auto"/>
                <w:kern w:val="0"/>
                <w:szCs w:val="21"/>
              </w:rPr>
              <w:t>6</w:t>
            </w:r>
          </w:p>
        </w:tc>
        <w:tc>
          <w:tcPr>
            <w:tcW w:w="3404" w:type="dxa"/>
            <w:vAlign w:val="center"/>
          </w:tcPr>
          <w:p w14:paraId="45E187FF">
            <w:pPr>
              <w:adjustRightInd w:val="0"/>
              <w:snapToGrid w:val="0"/>
              <w:spacing w:before="120" w:beforeLines="50" w:line="276" w:lineRule="auto"/>
              <w:jc w:val="center"/>
              <w:rPr>
                <w:rFonts w:ascii="宋体" w:hAnsi="宋体" w:cs="宋体"/>
                <w:color w:val="auto"/>
                <w:kern w:val="0"/>
                <w:szCs w:val="21"/>
              </w:rPr>
            </w:pPr>
            <w:r>
              <w:rPr>
                <w:rFonts w:hint="eastAsia" w:ascii="宋体" w:hAnsi="宋体" w:cs="宋体"/>
                <w:color w:val="auto"/>
                <w:kern w:val="0"/>
                <w:szCs w:val="21"/>
              </w:rPr>
              <w:t>具备履行合同所必需的设备和专业技术能力的书面承诺或者资格审查文件中提供了投标人资格声明（格式4-2）视同投标人具有履行能力</w:t>
            </w:r>
          </w:p>
        </w:tc>
        <w:tc>
          <w:tcPr>
            <w:tcW w:w="2260" w:type="dxa"/>
            <w:tcBorders>
              <w:right w:val="single" w:color="auto" w:sz="4" w:space="0"/>
            </w:tcBorders>
            <w:vAlign w:val="center"/>
          </w:tcPr>
          <w:p w14:paraId="782B201E">
            <w:pPr>
              <w:adjustRightInd w:val="0"/>
              <w:snapToGrid w:val="0"/>
              <w:spacing w:before="120" w:beforeLines="50" w:line="276" w:lineRule="auto"/>
              <w:jc w:val="center"/>
              <w:rPr>
                <w:rFonts w:ascii="宋体" w:hAnsi="宋体" w:cs="宋体"/>
                <w:color w:val="auto"/>
                <w:kern w:val="0"/>
                <w:szCs w:val="21"/>
              </w:rPr>
            </w:pPr>
            <w:r>
              <w:rPr>
                <w:rFonts w:hint="eastAsia" w:ascii="宋体" w:hAnsi="宋体" w:cs="宋体"/>
                <w:color w:val="auto"/>
                <w:kern w:val="0"/>
                <w:szCs w:val="21"/>
              </w:rPr>
              <w:t>第二章第14.1（2）项</w:t>
            </w:r>
          </w:p>
        </w:tc>
        <w:tc>
          <w:tcPr>
            <w:tcW w:w="1291" w:type="dxa"/>
            <w:tcBorders>
              <w:left w:val="single" w:color="auto" w:sz="4" w:space="0"/>
              <w:right w:val="single" w:color="auto" w:sz="4" w:space="0"/>
            </w:tcBorders>
            <w:vAlign w:val="center"/>
          </w:tcPr>
          <w:p w14:paraId="297C20FA">
            <w:pPr>
              <w:adjustRightInd w:val="0"/>
              <w:snapToGrid w:val="0"/>
              <w:spacing w:before="120" w:beforeLines="50" w:line="276" w:lineRule="auto"/>
              <w:jc w:val="center"/>
              <w:rPr>
                <w:rFonts w:ascii="宋体" w:hAnsi="宋体" w:cs="宋体"/>
                <w:color w:val="auto"/>
                <w:kern w:val="0"/>
                <w:szCs w:val="21"/>
              </w:rPr>
            </w:pPr>
          </w:p>
        </w:tc>
        <w:tc>
          <w:tcPr>
            <w:tcW w:w="1422" w:type="dxa"/>
            <w:tcBorders>
              <w:left w:val="single" w:color="auto" w:sz="4" w:space="0"/>
            </w:tcBorders>
            <w:vAlign w:val="center"/>
          </w:tcPr>
          <w:p w14:paraId="1A09D6E3">
            <w:pPr>
              <w:adjustRightInd w:val="0"/>
              <w:snapToGrid w:val="0"/>
              <w:spacing w:before="120" w:beforeLines="50" w:line="276" w:lineRule="auto"/>
              <w:jc w:val="center"/>
              <w:rPr>
                <w:rFonts w:ascii="宋体" w:hAnsi="宋体" w:cs="宋体"/>
                <w:color w:val="auto"/>
                <w:kern w:val="0"/>
                <w:szCs w:val="21"/>
              </w:rPr>
            </w:pPr>
          </w:p>
        </w:tc>
      </w:tr>
      <w:tr w14:paraId="04BB1EC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shd w:val="clear" w:color="auto" w:fill="auto"/>
            <w:vAlign w:val="center"/>
          </w:tcPr>
          <w:p w14:paraId="4AC7FC2D">
            <w:pPr>
              <w:adjustRightInd w:val="0"/>
              <w:snapToGrid w:val="0"/>
              <w:spacing w:before="120" w:beforeLines="50" w:line="276" w:lineRule="auto"/>
              <w:jc w:val="center"/>
              <w:rPr>
                <w:rFonts w:ascii="宋体" w:hAnsi="宋体" w:cs="宋体"/>
                <w:color w:val="auto"/>
                <w:kern w:val="0"/>
                <w:szCs w:val="21"/>
              </w:rPr>
            </w:pPr>
            <w:r>
              <w:rPr>
                <w:rFonts w:hint="eastAsia" w:ascii="宋体" w:hAnsi="宋体" w:cs="宋体"/>
                <w:color w:val="auto"/>
                <w:kern w:val="0"/>
                <w:szCs w:val="21"/>
              </w:rPr>
              <w:t>7</w:t>
            </w:r>
          </w:p>
        </w:tc>
        <w:tc>
          <w:tcPr>
            <w:tcW w:w="3404" w:type="dxa"/>
            <w:vAlign w:val="center"/>
          </w:tcPr>
          <w:p w14:paraId="75223125">
            <w:pPr>
              <w:adjustRightInd w:val="0"/>
              <w:snapToGrid w:val="0"/>
              <w:spacing w:before="120" w:beforeLines="50" w:line="276" w:lineRule="auto"/>
              <w:jc w:val="center"/>
              <w:rPr>
                <w:rFonts w:ascii="宋体" w:hAnsi="宋体" w:cs="宋体"/>
                <w:color w:val="auto"/>
                <w:kern w:val="0"/>
                <w:szCs w:val="21"/>
              </w:rPr>
            </w:pPr>
            <w:r>
              <w:rPr>
                <w:rFonts w:hint="eastAsia" w:ascii="宋体" w:hAnsi="宋体" w:cs="宋体"/>
                <w:color w:val="auto"/>
                <w:kern w:val="0"/>
                <w:szCs w:val="21"/>
              </w:rPr>
              <w:t>提供2023年度经会计师事务所审计的财务报告（至少包含资产负债表、利润表和现金流量表）复印件，或银行出具的资信证明复印件,或资格审查文件中提供了投标人资格声明（格式4-2）视同投标人具有良好的商业信誉和健全的财务会计制度。</w:t>
            </w:r>
          </w:p>
        </w:tc>
        <w:tc>
          <w:tcPr>
            <w:tcW w:w="2260" w:type="dxa"/>
            <w:tcBorders>
              <w:right w:val="single" w:color="auto" w:sz="4" w:space="0"/>
            </w:tcBorders>
            <w:vAlign w:val="center"/>
          </w:tcPr>
          <w:p w14:paraId="3BC460BD">
            <w:pPr>
              <w:adjustRightInd w:val="0"/>
              <w:snapToGrid w:val="0"/>
              <w:spacing w:before="120" w:beforeLines="50" w:line="276" w:lineRule="auto"/>
              <w:jc w:val="center"/>
              <w:rPr>
                <w:rFonts w:ascii="宋体" w:hAnsi="宋体" w:cs="宋体"/>
                <w:color w:val="auto"/>
                <w:kern w:val="0"/>
                <w:szCs w:val="21"/>
              </w:rPr>
            </w:pPr>
            <w:r>
              <w:rPr>
                <w:rFonts w:hint="eastAsia" w:ascii="宋体" w:hAnsi="宋体" w:cs="宋体"/>
                <w:color w:val="auto"/>
                <w:kern w:val="0"/>
                <w:szCs w:val="21"/>
              </w:rPr>
              <w:t>第二章第14.1（2）项</w:t>
            </w:r>
          </w:p>
        </w:tc>
        <w:tc>
          <w:tcPr>
            <w:tcW w:w="1291" w:type="dxa"/>
            <w:tcBorders>
              <w:left w:val="single" w:color="auto" w:sz="4" w:space="0"/>
              <w:right w:val="single" w:color="auto" w:sz="4" w:space="0"/>
            </w:tcBorders>
            <w:vAlign w:val="center"/>
          </w:tcPr>
          <w:p w14:paraId="77BFF5B8">
            <w:pPr>
              <w:adjustRightInd w:val="0"/>
              <w:snapToGrid w:val="0"/>
              <w:spacing w:before="120" w:beforeLines="50" w:line="276" w:lineRule="auto"/>
              <w:jc w:val="center"/>
              <w:rPr>
                <w:rFonts w:ascii="宋体" w:hAnsi="宋体" w:cs="宋体"/>
                <w:color w:val="auto"/>
                <w:kern w:val="0"/>
                <w:szCs w:val="21"/>
              </w:rPr>
            </w:pPr>
          </w:p>
        </w:tc>
        <w:tc>
          <w:tcPr>
            <w:tcW w:w="1422" w:type="dxa"/>
            <w:tcBorders>
              <w:left w:val="single" w:color="auto" w:sz="4" w:space="0"/>
            </w:tcBorders>
            <w:vAlign w:val="center"/>
          </w:tcPr>
          <w:p w14:paraId="1A42837D">
            <w:pPr>
              <w:adjustRightInd w:val="0"/>
              <w:snapToGrid w:val="0"/>
              <w:spacing w:before="120" w:beforeLines="50" w:line="276" w:lineRule="auto"/>
              <w:jc w:val="center"/>
              <w:rPr>
                <w:rFonts w:ascii="宋体" w:hAnsi="宋体" w:cs="宋体"/>
                <w:color w:val="auto"/>
                <w:kern w:val="0"/>
                <w:szCs w:val="21"/>
              </w:rPr>
            </w:pPr>
          </w:p>
        </w:tc>
      </w:tr>
      <w:tr w14:paraId="28B73EB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shd w:val="clear" w:color="auto" w:fill="auto"/>
            <w:vAlign w:val="center"/>
          </w:tcPr>
          <w:p w14:paraId="1997FC34">
            <w:pPr>
              <w:adjustRightInd w:val="0"/>
              <w:snapToGrid w:val="0"/>
              <w:spacing w:before="120" w:beforeLines="50" w:line="276" w:lineRule="auto"/>
              <w:jc w:val="center"/>
              <w:rPr>
                <w:rFonts w:ascii="宋体" w:hAnsi="宋体" w:cs="宋体"/>
                <w:color w:val="auto"/>
                <w:kern w:val="0"/>
                <w:szCs w:val="21"/>
              </w:rPr>
            </w:pPr>
            <w:r>
              <w:rPr>
                <w:rFonts w:hint="eastAsia" w:ascii="宋体" w:hAnsi="宋体" w:cs="宋体"/>
                <w:color w:val="auto"/>
                <w:kern w:val="0"/>
                <w:szCs w:val="21"/>
              </w:rPr>
              <w:t>8</w:t>
            </w:r>
          </w:p>
        </w:tc>
        <w:tc>
          <w:tcPr>
            <w:tcW w:w="3404" w:type="dxa"/>
            <w:vAlign w:val="center"/>
          </w:tcPr>
          <w:p w14:paraId="76B316CD">
            <w:pPr>
              <w:adjustRightInd w:val="0"/>
              <w:snapToGrid w:val="0"/>
              <w:spacing w:before="120" w:beforeLines="50" w:line="276" w:lineRule="auto"/>
              <w:jc w:val="center"/>
              <w:rPr>
                <w:rFonts w:ascii="宋体" w:hAnsi="宋体" w:cs="宋体"/>
                <w:color w:val="auto"/>
                <w:kern w:val="0"/>
                <w:szCs w:val="21"/>
              </w:rPr>
            </w:pPr>
            <w:r>
              <w:rPr>
                <w:rFonts w:hint="eastAsia" w:ascii="宋体" w:hAnsi="宋体" w:cs="宋体"/>
                <w:color w:val="auto"/>
                <w:kern w:val="0"/>
                <w:szCs w:val="21"/>
              </w:rPr>
              <w:t>符合特定资格条件证明材料复印件或者情况说明</w:t>
            </w:r>
          </w:p>
        </w:tc>
        <w:tc>
          <w:tcPr>
            <w:tcW w:w="2260" w:type="dxa"/>
            <w:tcBorders>
              <w:right w:val="single" w:color="auto" w:sz="4" w:space="0"/>
            </w:tcBorders>
            <w:vAlign w:val="center"/>
          </w:tcPr>
          <w:p w14:paraId="4F7EB45A">
            <w:pPr>
              <w:adjustRightInd w:val="0"/>
              <w:snapToGrid w:val="0"/>
              <w:spacing w:before="120" w:beforeLines="50" w:line="276" w:lineRule="auto"/>
              <w:jc w:val="center"/>
              <w:rPr>
                <w:rFonts w:ascii="宋体" w:hAnsi="宋体" w:cs="宋体"/>
                <w:color w:val="auto"/>
                <w:kern w:val="0"/>
                <w:szCs w:val="21"/>
              </w:rPr>
            </w:pPr>
            <w:r>
              <w:rPr>
                <w:rFonts w:hint="eastAsia" w:ascii="宋体" w:hAnsi="宋体" w:cs="宋体"/>
                <w:color w:val="auto"/>
                <w:kern w:val="0"/>
                <w:szCs w:val="21"/>
              </w:rPr>
              <w:t>第二章第14.1（3）项</w:t>
            </w:r>
          </w:p>
        </w:tc>
        <w:tc>
          <w:tcPr>
            <w:tcW w:w="1291" w:type="dxa"/>
            <w:tcBorders>
              <w:left w:val="single" w:color="auto" w:sz="4" w:space="0"/>
              <w:right w:val="single" w:color="auto" w:sz="4" w:space="0"/>
            </w:tcBorders>
            <w:vAlign w:val="center"/>
          </w:tcPr>
          <w:p w14:paraId="4AD9C087">
            <w:pPr>
              <w:adjustRightInd w:val="0"/>
              <w:snapToGrid w:val="0"/>
              <w:spacing w:before="120" w:beforeLines="50" w:line="276" w:lineRule="auto"/>
              <w:jc w:val="center"/>
              <w:rPr>
                <w:rFonts w:ascii="宋体" w:hAnsi="宋体" w:cs="宋体"/>
                <w:color w:val="auto"/>
                <w:kern w:val="0"/>
                <w:szCs w:val="21"/>
              </w:rPr>
            </w:pPr>
          </w:p>
        </w:tc>
        <w:tc>
          <w:tcPr>
            <w:tcW w:w="1422" w:type="dxa"/>
            <w:tcBorders>
              <w:left w:val="single" w:color="auto" w:sz="4" w:space="0"/>
            </w:tcBorders>
            <w:vAlign w:val="center"/>
          </w:tcPr>
          <w:p w14:paraId="1EBBE119">
            <w:pPr>
              <w:adjustRightInd w:val="0"/>
              <w:snapToGrid w:val="0"/>
              <w:spacing w:before="120" w:beforeLines="50" w:line="276" w:lineRule="auto"/>
              <w:jc w:val="center"/>
              <w:rPr>
                <w:rFonts w:ascii="宋体" w:hAnsi="宋体" w:cs="宋体"/>
                <w:color w:val="auto"/>
                <w:kern w:val="0"/>
                <w:szCs w:val="21"/>
              </w:rPr>
            </w:pPr>
          </w:p>
        </w:tc>
      </w:tr>
      <w:tr w14:paraId="44057C6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shd w:val="clear" w:color="auto" w:fill="auto"/>
            <w:vAlign w:val="center"/>
          </w:tcPr>
          <w:p w14:paraId="18ECF880">
            <w:pPr>
              <w:adjustRightInd w:val="0"/>
              <w:snapToGrid w:val="0"/>
              <w:spacing w:before="120" w:beforeLines="50" w:line="276" w:lineRule="auto"/>
              <w:jc w:val="center"/>
              <w:rPr>
                <w:rFonts w:ascii="宋体" w:hAnsi="宋体" w:cs="宋体"/>
                <w:color w:val="auto"/>
                <w:kern w:val="0"/>
                <w:szCs w:val="21"/>
              </w:rPr>
            </w:pPr>
            <w:r>
              <w:rPr>
                <w:rFonts w:hint="eastAsia" w:ascii="宋体" w:hAnsi="宋体" w:cs="宋体"/>
                <w:color w:val="auto"/>
                <w:kern w:val="0"/>
                <w:szCs w:val="21"/>
              </w:rPr>
              <w:t>9</w:t>
            </w:r>
          </w:p>
        </w:tc>
        <w:tc>
          <w:tcPr>
            <w:tcW w:w="3404" w:type="dxa"/>
            <w:vAlign w:val="center"/>
          </w:tcPr>
          <w:p w14:paraId="56060510">
            <w:pPr>
              <w:adjustRightInd w:val="0"/>
              <w:snapToGrid w:val="0"/>
              <w:spacing w:before="120" w:beforeLines="50" w:line="276" w:lineRule="auto"/>
              <w:jc w:val="center"/>
              <w:rPr>
                <w:rFonts w:ascii="宋体" w:hAnsi="宋体" w:cs="宋体"/>
                <w:color w:val="auto"/>
                <w:kern w:val="0"/>
                <w:szCs w:val="21"/>
              </w:rPr>
            </w:pPr>
            <w:r>
              <w:rPr>
                <w:rFonts w:hint="eastAsia" w:ascii="宋体" w:hAnsi="宋体" w:cs="宋体"/>
                <w:color w:val="auto"/>
                <w:kern w:val="0"/>
                <w:szCs w:val="21"/>
              </w:rPr>
              <w:t>联合体协议书（联合体形式投标的）</w:t>
            </w:r>
          </w:p>
        </w:tc>
        <w:tc>
          <w:tcPr>
            <w:tcW w:w="2260" w:type="dxa"/>
            <w:tcBorders>
              <w:right w:val="single" w:color="auto" w:sz="4" w:space="0"/>
            </w:tcBorders>
            <w:vAlign w:val="center"/>
          </w:tcPr>
          <w:p w14:paraId="3FFD2A5A">
            <w:pPr>
              <w:adjustRightInd w:val="0"/>
              <w:snapToGrid w:val="0"/>
              <w:spacing w:before="120" w:beforeLines="50" w:line="276" w:lineRule="auto"/>
              <w:jc w:val="center"/>
              <w:rPr>
                <w:rFonts w:ascii="宋体" w:hAnsi="宋体" w:cs="宋体"/>
                <w:color w:val="auto"/>
                <w:kern w:val="0"/>
                <w:szCs w:val="21"/>
              </w:rPr>
            </w:pPr>
            <w:r>
              <w:rPr>
                <w:rFonts w:hint="eastAsia" w:ascii="宋体" w:hAnsi="宋体" w:cs="宋体"/>
                <w:color w:val="auto"/>
                <w:kern w:val="0"/>
                <w:szCs w:val="21"/>
              </w:rPr>
              <w:t>第二章第14.2款、本章第2.4（3）项</w:t>
            </w:r>
          </w:p>
        </w:tc>
        <w:tc>
          <w:tcPr>
            <w:tcW w:w="1291" w:type="dxa"/>
            <w:tcBorders>
              <w:left w:val="single" w:color="auto" w:sz="4" w:space="0"/>
              <w:right w:val="single" w:color="auto" w:sz="4" w:space="0"/>
            </w:tcBorders>
            <w:vAlign w:val="center"/>
          </w:tcPr>
          <w:p w14:paraId="6E4E9BFB">
            <w:pPr>
              <w:adjustRightInd w:val="0"/>
              <w:snapToGrid w:val="0"/>
              <w:spacing w:before="120" w:beforeLines="50" w:line="276" w:lineRule="auto"/>
              <w:jc w:val="center"/>
              <w:rPr>
                <w:rFonts w:ascii="宋体" w:hAnsi="宋体" w:cs="宋体"/>
                <w:color w:val="auto"/>
                <w:kern w:val="0"/>
                <w:szCs w:val="21"/>
              </w:rPr>
            </w:pPr>
          </w:p>
        </w:tc>
        <w:tc>
          <w:tcPr>
            <w:tcW w:w="1422" w:type="dxa"/>
            <w:tcBorders>
              <w:left w:val="single" w:color="auto" w:sz="4" w:space="0"/>
            </w:tcBorders>
            <w:vAlign w:val="center"/>
          </w:tcPr>
          <w:p w14:paraId="58C2CB7E">
            <w:pPr>
              <w:adjustRightInd w:val="0"/>
              <w:snapToGrid w:val="0"/>
              <w:spacing w:before="120" w:beforeLines="50" w:line="276" w:lineRule="auto"/>
              <w:jc w:val="center"/>
              <w:rPr>
                <w:rFonts w:ascii="宋体" w:hAnsi="宋体" w:cs="宋体"/>
                <w:color w:val="auto"/>
                <w:kern w:val="0"/>
                <w:szCs w:val="21"/>
              </w:rPr>
            </w:pPr>
          </w:p>
        </w:tc>
      </w:tr>
      <w:tr w14:paraId="1D7E954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shd w:val="clear" w:color="auto" w:fill="auto"/>
            <w:vAlign w:val="center"/>
          </w:tcPr>
          <w:p w14:paraId="2182A79B">
            <w:pPr>
              <w:adjustRightInd w:val="0"/>
              <w:snapToGrid w:val="0"/>
              <w:spacing w:before="120" w:beforeLines="50" w:line="276" w:lineRule="auto"/>
              <w:jc w:val="center"/>
              <w:rPr>
                <w:rFonts w:ascii="宋体" w:hAnsi="宋体" w:cs="宋体"/>
                <w:color w:val="auto"/>
                <w:kern w:val="0"/>
                <w:szCs w:val="21"/>
              </w:rPr>
            </w:pPr>
            <w:r>
              <w:rPr>
                <w:rFonts w:hint="eastAsia" w:ascii="宋体" w:hAnsi="宋体" w:cs="宋体"/>
                <w:color w:val="auto"/>
                <w:kern w:val="0"/>
                <w:szCs w:val="21"/>
              </w:rPr>
              <w:t>10</w:t>
            </w:r>
          </w:p>
        </w:tc>
        <w:tc>
          <w:tcPr>
            <w:tcW w:w="3404" w:type="dxa"/>
            <w:vAlign w:val="center"/>
          </w:tcPr>
          <w:p w14:paraId="2C64A885">
            <w:pPr>
              <w:adjustRightInd w:val="0"/>
              <w:snapToGrid w:val="0"/>
              <w:spacing w:before="120" w:beforeLines="50" w:line="276" w:lineRule="auto"/>
              <w:jc w:val="center"/>
              <w:rPr>
                <w:rFonts w:ascii="宋体" w:hAnsi="宋体" w:cs="宋体"/>
                <w:color w:val="auto"/>
                <w:kern w:val="0"/>
                <w:szCs w:val="21"/>
              </w:rPr>
            </w:pPr>
            <w:r>
              <w:rPr>
                <w:rFonts w:hint="eastAsia" w:ascii="宋体" w:hAnsi="宋体" w:cs="宋体"/>
                <w:color w:val="auto"/>
                <w:kern w:val="0"/>
                <w:szCs w:val="21"/>
              </w:rPr>
              <w:t>资格证明文件的签署、盖章</w:t>
            </w:r>
          </w:p>
        </w:tc>
        <w:tc>
          <w:tcPr>
            <w:tcW w:w="2260" w:type="dxa"/>
            <w:tcBorders>
              <w:right w:val="single" w:color="auto" w:sz="4" w:space="0"/>
            </w:tcBorders>
            <w:vAlign w:val="center"/>
          </w:tcPr>
          <w:p w14:paraId="2CA1CD89">
            <w:pPr>
              <w:adjustRightInd w:val="0"/>
              <w:snapToGrid w:val="0"/>
              <w:spacing w:before="120" w:beforeLines="50" w:line="276" w:lineRule="auto"/>
              <w:jc w:val="center"/>
              <w:rPr>
                <w:rFonts w:ascii="宋体" w:hAnsi="宋体" w:cs="宋体"/>
                <w:color w:val="auto"/>
                <w:kern w:val="0"/>
                <w:szCs w:val="21"/>
              </w:rPr>
            </w:pPr>
            <w:r>
              <w:rPr>
                <w:rFonts w:hint="eastAsia" w:ascii="宋体" w:hAnsi="宋体" w:cs="宋体"/>
                <w:color w:val="auto"/>
                <w:kern w:val="0"/>
                <w:szCs w:val="21"/>
              </w:rPr>
              <w:t>第二章第12.2款、第19.2款</w:t>
            </w:r>
          </w:p>
        </w:tc>
        <w:tc>
          <w:tcPr>
            <w:tcW w:w="1291" w:type="dxa"/>
            <w:tcBorders>
              <w:left w:val="single" w:color="auto" w:sz="4" w:space="0"/>
              <w:right w:val="single" w:color="auto" w:sz="4" w:space="0"/>
            </w:tcBorders>
            <w:vAlign w:val="center"/>
          </w:tcPr>
          <w:p w14:paraId="5656C4BA">
            <w:pPr>
              <w:adjustRightInd w:val="0"/>
              <w:snapToGrid w:val="0"/>
              <w:spacing w:before="120" w:beforeLines="50" w:line="276" w:lineRule="auto"/>
              <w:jc w:val="center"/>
              <w:rPr>
                <w:rFonts w:ascii="宋体" w:hAnsi="宋体" w:cs="宋体"/>
                <w:color w:val="auto"/>
                <w:kern w:val="0"/>
                <w:szCs w:val="21"/>
              </w:rPr>
            </w:pPr>
          </w:p>
        </w:tc>
        <w:tc>
          <w:tcPr>
            <w:tcW w:w="1422" w:type="dxa"/>
            <w:tcBorders>
              <w:left w:val="single" w:color="auto" w:sz="4" w:space="0"/>
            </w:tcBorders>
            <w:vAlign w:val="center"/>
          </w:tcPr>
          <w:p w14:paraId="59C60A1B">
            <w:pPr>
              <w:adjustRightInd w:val="0"/>
              <w:snapToGrid w:val="0"/>
              <w:spacing w:before="120" w:beforeLines="50" w:line="276" w:lineRule="auto"/>
              <w:jc w:val="center"/>
              <w:rPr>
                <w:rFonts w:ascii="宋体" w:hAnsi="宋体" w:cs="宋体"/>
                <w:color w:val="auto"/>
                <w:kern w:val="0"/>
                <w:szCs w:val="21"/>
              </w:rPr>
            </w:pPr>
          </w:p>
        </w:tc>
      </w:tr>
      <w:tr w14:paraId="1D63C39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shd w:val="clear" w:color="auto" w:fill="auto"/>
            <w:vAlign w:val="center"/>
          </w:tcPr>
          <w:p w14:paraId="1C31E571">
            <w:pPr>
              <w:adjustRightInd w:val="0"/>
              <w:snapToGrid w:val="0"/>
              <w:spacing w:before="120" w:beforeLines="50" w:line="276" w:lineRule="auto"/>
              <w:jc w:val="center"/>
              <w:rPr>
                <w:rFonts w:ascii="宋体" w:hAnsi="宋体" w:cs="宋体"/>
                <w:color w:val="auto"/>
                <w:kern w:val="0"/>
                <w:szCs w:val="21"/>
              </w:rPr>
            </w:pPr>
            <w:r>
              <w:rPr>
                <w:rFonts w:hint="eastAsia" w:ascii="宋体" w:hAnsi="宋体" w:cs="宋体"/>
                <w:color w:val="auto"/>
                <w:kern w:val="0"/>
                <w:szCs w:val="21"/>
              </w:rPr>
              <w:t>11</w:t>
            </w:r>
          </w:p>
        </w:tc>
        <w:tc>
          <w:tcPr>
            <w:tcW w:w="3404" w:type="dxa"/>
            <w:vAlign w:val="center"/>
          </w:tcPr>
          <w:p w14:paraId="413BE450">
            <w:pPr>
              <w:adjustRightInd w:val="0"/>
              <w:snapToGrid w:val="0"/>
              <w:spacing w:before="120" w:beforeLines="50" w:line="276" w:lineRule="auto"/>
              <w:jc w:val="center"/>
              <w:rPr>
                <w:rFonts w:ascii="宋体" w:hAnsi="宋体" w:cs="宋体"/>
                <w:color w:val="auto"/>
                <w:kern w:val="0"/>
                <w:szCs w:val="21"/>
              </w:rPr>
            </w:pPr>
            <w:r>
              <w:rPr>
                <w:rFonts w:hint="eastAsia" w:ascii="宋体" w:hAnsi="宋体" w:cs="宋体"/>
                <w:color w:val="auto"/>
                <w:kern w:val="0"/>
                <w:szCs w:val="21"/>
              </w:rPr>
              <w:t>不良信用记录查询</w:t>
            </w:r>
          </w:p>
        </w:tc>
        <w:tc>
          <w:tcPr>
            <w:tcW w:w="2260" w:type="dxa"/>
            <w:tcBorders>
              <w:right w:val="single" w:color="auto" w:sz="4" w:space="0"/>
            </w:tcBorders>
            <w:vAlign w:val="center"/>
          </w:tcPr>
          <w:p w14:paraId="31B296BF">
            <w:pPr>
              <w:adjustRightInd w:val="0"/>
              <w:snapToGrid w:val="0"/>
              <w:spacing w:before="120" w:beforeLines="50" w:line="276" w:lineRule="auto"/>
              <w:jc w:val="center"/>
              <w:rPr>
                <w:rFonts w:ascii="宋体" w:hAnsi="宋体" w:cs="宋体"/>
                <w:color w:val="auto"/>
                <w:kern w:val="0"/>
                <w:szCs w:val="21"/>
              </w:rPr>
            </w:pPr>
            <w:r>
              <w:rPr>
                <w:rFonts w:hint="eastAsia" w:ascii="宋体" w:hAnsi="宋体" w:cs="宋体"/>
                <w:color w:val="auto"/>
                <w:kern w:val="0"/>
                <w:szCs w:val="21"/>
              </w:rPr>
              <w:t>本章第2.4（2）项</w:t>
            </w:r>
          </w:p>
        </w:tc>
        <w:tc>
          <w:tcPr>
            <w:tcW w:w="1291" w:type="dxa"/>
            <w:tcBorders>
              <w:left w:val="single" w:color="auto" w:sz="4" w:space="0"/>
              <w:right w:val="single" w:color="auto" w:sz="4" w:space="0"/>
            </w:tcBorders>
            <w:vAlign w:val="center"/>
          </w:tcPr>
          <w:p w14:paraId="2B4DF461">
            <w:pPr>
              <w:adjustRightInd w:val="0"/>
              <w:snapToGrid w:val="0"/>
              <w:spacing w:before="120" w:beforeLines="50" w:line="276" w:lineRule="auto"/>
              <w:jc w:val="center"/>
              <w:rPr>
                <w:rFonts w:ascii="宋体" w:hAnsi="宋体" w:cs="宋体"/>
                <w:color w:val="auto"/>
                <w:kern w:val="0"/>
                <w:szCs w:val="21"/>
              </w:rPr>
            </w:pPr>
          </w:p>
        </w:tc>
        <w:tc>
          <w:tcPr>
            <w:tcW w:w="1422" w:type="dxa"/>
            <w:tcBorders>
              <w:left w:val="single" w:color="auto" w:sz="4" w:space="0"/>
            </w:tcBorders>
            <w:vAlign w:val="center"/>
          </w:tcPr>
          <w:p w14:paraId="68A502A8">
            <w:pPr>
              <w:adjustRightInd w:val="0"/>
              <w:snapToGrid w:val="0"/>
              <w:spacing w:before="120" w:beforeLines="50" w:line="276" w:lineRule="auto"/>
              <w:jc w:val="center"/>
              <w:rPr>
                <w:rFonts w:ascii="宋体" w:hAnsi="宋体" w:cs="宋体"/>
                <w:color w:val="auto"/>
                <w:kern w:val="0"/>
                <w:szCs w:val="21"/>
              </w:rPr>
            </w:pPr>
          </w:p>
        </w:tc>
      </w:tr>
      <w:tr w14:paraId="4E0C139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47" w:hRule="atLeast"/>
        </w:trPr>
        <w:tc>
          <w:tcPr>
            <w:tcW w:w="683" w:type="dxa"/>
            <w:shd w:val="clear" w:color="auto" w:fill="auto"/>
            <w:vAlign w:val="center"/>
          </w:tcPr>
          <w:p w14:paraId="17527808">
            <w:pPr>
              <w:adjustRightInd w:val="0"/>
              <w:snapToGrid w:val="0"/>
              <w:spacing w:before="120" w:beforeLines="50" w:line="276" w:lineRule="auto"/>
              <w:jc w:val="center"/>
              <w:rPr>
                <w:rFonts w:ascii="宋体" w:hAnsi="宋体" w:cs="宋体"/>
                <w:color w:val="auto"/>
                <w:kern w:val="0"/>
                <w:szCs w:val="21"/>
              </w:rPr>
            </w:pPr>
            <w:r>
              <w:rPr>
                <w:rFonts w:hint="eastAsia" w:ascii="宋体" w:hAnsi="宋体" w:cs="宋体"/>
                <w:color w:val="auto"/>
                <w:kern w:val="0"/>
                <w:szCs w:val="21"/>
              </w:rPr>
              <w:t>12</w:t>
            </w:r>
          </w:p>
        </w:tc>
        <w:tc>
          <w:tcPr>
            <w:tcW w:w="3404" w:type="dxa"/>
            <w:vAlign w:val="center"/>
          </w:tcPr>
          <w:p w14:paraId="51D38307">
            <w:pPr>
              <w:adjustRightInd w:val="0"/>
              <w:snapToGrid w:val="0"/>
              <w:spacing w:before="120" w:beforeLines="50" w:line="276" w:lineRule="auto"/>
              <w:jc w:val="center"/>
              <w:rPr>
                <w:rFonts w:ascii="宋体" w:hAnsi="宋体" w:cs="宋体"/>
                <w:color w:val="auto"/>
                <w:kern w:val="0"/>
                <w:szCs w:val="21"/>
              </w:rPr>
            </w:pPr>
            <w:r>
              <w:rPr>
                <w:rFonts w:hint="eastAsia" w:ascii="宋体" w:hAnsi="宋体" w:cs="宋体"/>
                <w:color w:val="auto"/>
                <w:kern w:val="0"/>
                <w:szCs w:val="21"/>
              </w:rPr>
              <w:t>投标报价</w:t>
            </w:r>
          </w:p>
        </w:tc>
        <w:tc>
          <w:tcPr>
            <w:tcW w:w="2260" w:type="dxa"/>
            <w:tcBorders>
              <w:right w:val="single" w:color="auto" w:sz="4" w:space="0"/>
            </w:tcBorders>
            <w:vAlign w:val="center"/>
          </w:tcPr>
          <w:p w14:paraId="3A567F42">
            <w:pPr>
              <w:adjustRightInd w:val="0"/>
              <w:snapToGrid w:val="0"/>
              <w:spacing w:before="120" w:beforeLines="50" w:line="276" w:lineRule="auto"/>
              <w:jc w:val="center"/>
              <w:rPr>
                <w:rFonts w:ascii="宋体" w:hAnsi="宋体" w:cs="宋体"/>
                <w:color w:val="auto"/>
                <w:kern w:val="0"/>
                <w:szCs w:val="21"/>
              </w:rPr>
            </w:pPr>
            <w:r>
              <w:rPr>
                <w:rFonts w:hint="eastAsia" w:ascii="宋体" w:hAnsi="宋体" w:cs="宋体"/>
                <w:color w:val="auto"/>
                <w:kern w:val="0"/>
                <w:szCs w:val="21"/>
              </w:rPr>
              <w:t>第二章第13.2款</w:t>
            </w:r>
          </w:p>
        </w:tc>
        <w:tc>
          <w:tcPr>
            <w:tcW w:w="1291" w:type="dxa"/>
            <w:tcBorders>
              <w:left w:val="single" w:color="auto" w:sz="4" w:space="0"/>
              <w:right w:val="single" w:color="auto" w:sz="4" w:space="0"/>
            </w:tcBorders>
            <w:vAlign w:val="center"/>
          </w:tcPr>
          <w:p w14:paraId="235CC70B">
            <w:pPr>
              <w:adjustRightInd w:val="0"/>
              <w:snapToGrid w:val="0"/>
              <w:spacing w:before="120" w:beforeLines="50" w:line="276" w:lineRule="auto"/>
              <w:jc w:val="center"/>
              <w:rPr>
                <w:rFonts w:ascii="宋体" w:hAnsi="宋体" w:cs="宋体"/>
                <w:color w:val="auto"/>
                <w:kern w:val="0"/>
                <w:szCs w:val="21"/>
              </w:rPr>
            </w:pPr>
          </w:p>
        </w:tc>
        <w:tc>
          <w:tcPr>
            <w:tcW w:w="1422" w:type="dxa"/>
            <w:tcBorders>
              <w:left w:val="single" w:color="auto" w:sz="4" w:space="0"/>
            </w:tcBorders>
            <w:vAlign w:val="center"/>
          </w:tcPr>
          <w:p w14:paraId="394CB016">
            <w:pPr>
              <w:adjustRightInd w:val="0"/>
              <w:snapToGrid w:val="0"/>
              <w:spacing w:before="120" w:beforeLines="50" w:line="276" w:lineRule="auto"/>
              <w:jc w:val="center"/>
              <w:rPr>
                <w:rFonts w:ascii="宋体" w:hAnsi="宋体" w:cs="宋体"/>
                <w:color w:val="auto"/>
                <w:kern w:val="0"/>
                <w:szCs w:val="21"/>
              </w:rPr>
            </w:pPr>
          </w:p>
        </w:tc>
      </w:tr>
      <w:tr w14:paraId="0B41978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347" w:type="dxa"/>
            <w:gridSpan w:val="3"/>
            <w:tcBorders>
              <w:right w:val="single" w:color="auto" w:sz="4" w:space="0"/>
            </w:tcBorders>
            <w:vAlign w:val="center"/>
          </w:tcPr>
          <w:p w14:paraId="405821EE">
            <w:pPr>
              <w:adjustRightInd w:val="0"/>
              <w:snapToGrid w:val="0"/>
              <w:spacing w:before="120" w:beforeLines="50" w:line="276" w:lineRule="auto"/>
              <w:jc w:val="center"/>
              <w:rPr>
                <w:rFonts w:ascii="宋体" w:hAnsi="宋体" w:cs="宋体"/>
                <w:color w:val="auto"/>
                <w:kern w:val="0"/>
                <w:szCs w:val="21"/>
              </w:rPr>
            </w:pPr>
            <w:r>
              <w:rPr>
                <w:rFonts w:hint="eastAsia" w:ascii="宋体" w:hAnsi="宋体" w:cs="宋体"/>
                <w:color w:val="auto"/>
                <w:kern w:val="0"/>
                <w:szCs w:val="21"/>
              </w:rPr>
              <w:t>合格/不合格</w:t>
            </w:r>
          </w:p>
        </w:tc>
        <w:tc>
          <w:tcPr>
            <w:tcW w:w="1291" w:type="dxa"/>
            <w:tcBorders>
              <w:left w:val="single" w:color="auto" w:sz="4" w:space="0"/>
              <w:right w:val="single" w:color="auto" w:sz="4" w:space="0"/>
            </w:tcBorders>
            <w:vAlign w:val="center"/>
          </w:tcPr>
          <w:p w14:paraId="101A8965">
            <w:pPr>
              <w:adjustRightInd w:val="0"/>
              <w:snapToGrid w:val="0"/>
              <w:spacing w:before="120" w:beforeLines="50" w:line="276" w:lineRule="auto"/>
              <w:jc w:val="center"/>
              <w:rPr>
                <w:rFonts w:ascii="宋体" w:hAnsi="宋体" w:cs="宋体"/>
                <w:color w:val="auto"/>
                <w:kern w:val="0"/>
                <w:szCs w:val="21"/>
              </w:rPr>
            </w:pPr>
          </w:p>
        </w:tc>
        <w:tc>
          <w:tcPr>
            <w:tcW w:w="1422" w:type="dxa"/>
            <w:tcBorders>
              <w:left w:val="single" w:color="auto" w:sz="4" w:space="0"/>
            </w:tcBorders>
            <w:vAlign w:val="center"/>
          </w:tcPr>
          <w:p w14:paraId="6515AAAD">
            <w:pPr>
              <w:adjustRightInd w:val="0"/>
              <w:snapToGrid w:val="0"/>
              <w:spacing w:before="120" w:beforeLines="50" w:line="276" w:lineRule="auto"/>
              <w:jc w:val="center"/>
              <w:rPr>
                <w:rFonts w:ascii="宋体" w:hAnsi="宋体" w:cs="宋体"/>
                <w:color w:val="auto"/>
                <w:kern w:val="0"/>
                <w:szCs w:val="21"/>
              </w:rPr>
            </w:pPr>
          </w:p>
        </w:tc>
      </w:tr>
      <w:tr w14:paraId="37546F4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92" w:hRule="atLeast"/>
        </w:trPr>
        <w:tc>
          <w:tcPr>
            <w:tcW w:w="6347" w:type="dxa"/>
            <w:gridSpan w:val="3"/>
            <w:tcBorders>
              <w:right w:val="single" w:color="auto" w:sz="4" w:space="0"/>
            </w:tcBorders>
            <w:vAlign w:val="center"/>
          </w:tcPr>
          <w:p w14:paraId="6E5EC000">
            <w:pPr>
              <w:adjustRightInd w:val="0"/>
              <w:snapToGrid w:val="0"/>
              <w:spacing w:before="120" w:beforeLines="50" w:line="276" w:lineRule="auto"/>
              <w:jc w:val="center"/>
              <w:rPr>
                <w:rFonts w:ascii="宋体" w:hAnsi="宋体" w:cs="宋体"/>
                <w:color w:val="auto"/>
                <w:kern w:val="0"/>
                <w:szCs w:val="21"/>
              </w:rPr>
            </w:pPr>
            <w:r>
              <w:rPr>
                <w:rFonts w:hint="eastAsia" w:ascii="宋体" w:hAnsi="宋体" w:cs="宋体"/>
                <w:color w:val="auto"/>
                <w:kern w:val="0"/>
                <w:szCs w:val="21"/>
              </w:rPr>
              <w:t>结论</w:t>
            </w:r>
          </w:p>
        </w:tc>
        <w:tc>
          <w:tcPr>
            <w:tcW w:w="2713" w:type="dxa"/>
            <w:gridSpan w:val="2"/>
            <w:tcBorders>
              <w:left w:val="single" w:color="auto" w:sz="4" w:space="0"/>
            </w:tcBorders>
            <w:vAlign w:val="center"/>
          </w:tcPr>
          <w:p w14:paraId="43F8B56A">
            <w:pPr>
              <w:adjustRightInd w:val="0"/>
              <w:snapToGrid w:val="0"/>
              <w:spacing w:before="120" w:beforeLines="50" w:line="276" w:lineRule="auto"/>
              <w:jc w:val="center"/>
              <w:rPr>
                <w:rFonts w:ascii="宋体" w:hAnsi="宋体" w:cs="宋体"/>
                <w:color w:val="auto"/>
                <w:kern w:val="0"/>
                <w:szCs w:val="21"/>
              </w:rPr>
            </w:pPr>
          </w:p>
        </w:tc>
      </w:tr>
    </w:tbl>
    <w:p w14:paraId="401D22D4">
      <w:pPr>
        <w:pStyle w:val="5"/>
        <w:adjustRightInd w:val="0"/>
        <w:snapToGrid w:val="0"/>
        <w:spacing w:before="0" w:after="0" w:line="360" w:lineRule="auto"/>
        <w:rPr>
          <w:rFonts w:ascii="黑体" w:hAnsi="黑体"/>
          <w:b w:val="0"/>
          <w:color w:val="auto"/>
          <w:sz w:val="21"/>
          <w:szCs w:val="21"/>
        </w:rPr>
        <w:sectPr>
          <w:headerReference r:id="rId4" w:type="default"/>
          <w:footerReference r:id="rId5" w:type="default"/>
          <w:pgSz w:w="11900" w:h="16838"/>
          <w:pgMar w:top="1134" w:right="1559" w:bottom="680" w:left="1678" w:header="879" w:footer="227" w:gutter="0"/>
          <w:pgNumType w:start="1"/>
          <w:cols w:space="0" w:num="1"/>
        </w:sectPr>
      </w:pPr>
    </w:p>
    <w:p w14:paraId="6E66E94E">
      <w:pPr>
        <w:pStyle w:val="5"/>
        <w:adjustRightInd w:val="0"/>
        <w:snapToGrid w:val="0"/>
        <w:spacing w:before="0" w:after="0" w:line="360" w:lineRule="auto"/>
        <w:rPr>
          <w:rFonts w:ascii="黑体" w:hAnsi="黑体"/>
          <w:b w:val="0"/>
          <w:color w:val="auto"/>
          <w:sz w:val="21"/>
          <w:szCs w:val="21"/>
        </w:rPr>
      </w:pPr>
      <w:r>
        <w:rPr>
          <w:rFonts w:hint="eastAsia" w:ascii="黑体" w:hAnsi="黑体"/>
          <w:b w:val="0"/>
          <w:color w:val="auto"/>
          <w:sz w:val="21"/>
          <w:szCs w:val="21"/>
        </w:rPr>
        <w:t>附表2 资格审查结果一览表</w:t>
      </w:r>
      <w:bookmarkEnd w:id="125"/>
    </w:p>
    <w:p w14:paraId="7D115037">
      <w:pPr>
        <w:adjustRightInd w:val="0"/>
        <w:snapToGrid w:val="0"/>
        <w:spacing w:line="360" w:lineRule="auto"/>
        <w:jc w:val="center"/>
        <w:rPr>
          <w:rFonts w:ascii="黑体" w:hAnsi="黑体" w:eastAsia="黑体"/>
          <w:b/>
          <w:color w:val="auto"/>
          <w:sz w:val="28"/>
          <w:szCs w:val="28"/>
        </w:rPr>
      </w:pPr>
      <w:r>
        <w:rPr>
          <w:rFonts w:hint="eastAsia" w:ascii="黑体" w:hAnsi="黑体" w:eastAsia="黑体"/>
          <w:b/>
          <w:color w:val="auto"/>
          <w:sz w:val="28"/>
          <w:szCs w:val="28"/>
        </w:rPr>
        <w:t>资格审查结果一览表</w:t>
      </w:r>
    </w:p>
    <w:p w14:paraId="1C3F49FD">
      <w:pPr>
        <w:adjustRightInd w:val="0"/>
        <w:snapToGrid w:val="0"/>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项目名称：                                           采购代理编号：</w:t>
      </w:r>
    </w:p>
    <w:tbl>
      <w:tblPr>
        <w:tblStyle w:val="42"/>
        <w:tblW w:w="9060"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97"/>
        <w:gridCol w:w="2963"/>
        <w:gridCol w:w="2439"/>
        <w:gridCol w:w="2961"/>
      </w:tblGrid>
      <w:tr w14:paraId="4BCF152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vAlign w:val="center"/>
          </w:tcPr>
          <w:p w14:paraId="43063A10">
            <w:pPr>
              <w:jc w:val="center"/>
              <w:rPr>
                <w:rFonts w:asciiTheme="minorEastAsia" w:hAnsiTheme="minorEastAsia" w:eastAsiaTheme="minorEastAsia"/>
                <w:b/>
                <w:color w:val="auto"/>
                <w:kern w:val="0"/>
                <w:szCs w:val="21"/>
              </w:rPr>
            </w:pPr>
            <w:r>
              <w:rPr>
                <w:rFonts w:hint="eastAsia" w:asciiTheme="minorEastAsia" w:hAnsiTheme="minorEastAsia" w:eastAsiaTheme="minorEastAsia"/>
                <w:b/>
                <w:color w:val="auto"/>
                <w:kern w:val="0"/>
                <w:szCs w:val="21"/>
              </w:rPr>
              <w:t>序号</w:t>
            </w:r>
          </w:p>
        </w:tc>
        <w:tc>
          <w:tcPr>
            <w:tcW w:w="2963" w:type="dxa"/>
            <w:vAlign w:val="center"/>
          </w:tcPr>
          <w:p w14:paraId="60EE58C5">
            <w:pPr>
              <w:jc w:val="center"/>
              <w:rPr>
                <w:rFonts w:asciiTheme="minorEastAsia" w:hAnsiTheme="minorEastAsia" w:eastAsiaTheme="minorEastAsia"/>
                <w:b/>
                <w:color w:val="auto"/>
                <w:kern w:val="0"/>
                <w:szCs w:val="21"/>
              </w:rPr>
            </w:pPr>
            <w:r>
              <w:rPr>
                <w:rFonts w:hint="eastAsia" w:asciiTheme="minorEastAsia" w:hAnsiTheme="minorEastAsia" w:eastAsiaTheme="minorEastAsia"/>
                <w:b/>
                <w:color w:val="auto"/>
                <w:kern w:val="0"/>
                <w:szCs w:val="21"/>
              </w:rPr>
              <w:t>投标人名称</w:t>
            </w:r>
          </w:p>
        </w:tc>
        <w:tc>
          <w:tcPr>
            <w:tcW w:w="2439" w:type="dxa"/>
            <w:vAlign w:val="center"/>
          </w:tcPr>
          <w:p w14:paraId="32D0590E">
            <w:pPr>
              <w:jc w:val="center"/>
              <w:rPr>
                <w:rFonts w:asciiTheme="minorEastAsia" w:hAnsiTheme="minorEastAsia" w:eastAsiaTheme="minorEastAsia"/>
                <w:b/>
                <w:color w:val="auto"/>
                <w:kern w:val="0"/>
                <w:szCs w:val="21"/>
              </w:rPr>
            </w:pPr>
            <w:r>
              <w:rPr>
                <w:rFonts w:hint="eastAsia" w:asciiTheme="minorEastAsia" w:hAnsiTheme="minorEastAsia" w:eastAsiaTheme="minorEastAsia"/>
                <w:b/>
                <w:color w:val="auto"/>
                <w:kern w:val="0"/>
                <w:szCs w:val="21"/>
              </w:rPr>
              <w:t>资格审查结果</w:t>
            </w:r>
          </w:p>
          <w:p w14:paraId="7DF53F9B">
            <w:pPr>
              <w:jc w:val="center"/>
              <w:rPr>
                <w:rFonts w:asciiTheme="minorEastAsia" w:hAnsiTheme="minorEastAsia" w:eastAsiaTheme="minorEastAsia"/>
                <w:b/>
                <w:color w:val="auto"/>
                <w:kern w:val="0"/>
                <w:szCs w:val="21"/>
              </w:rPr>
            </w:pPr>
            <w:r>
              <w:rPr>
                <w:rFonts w:hint="eastAsia" w:asciiTheme="minorEastAsia" w:hAnsiTheme="minorEastAsia" w:eastAsiaTheme="minorEastAsia"/>
                <w:b/>
                <w:color w:val="auto"/>
                <w:kern w:val="0"/>
                <w:szCs w:val="21"/>
              </w:rPr>
              <w:t>（合格/不合格）</w:t>
            </w:r>
          </w:p>
        </w:tc>
        <w:tc>
          <w:tcPr>
            <w:tcW w:w="2961" w:type="dxa"/>
            <w:vAlign w:val="center"/>
          </w:tcPr>
          <w:p w14:paraId="44960F20">
            <w:pPr>
              <w:jc w:val="center"/>
              <w:rPr>
                <w:rFonts w:asciiTheme="minorEastAsia" w:hAnsiTheme="minorEastAsia" w:eastAsiaTheme="minorEastAsia"/>
                <w:b/>
                <w:color w:val="auto"/>
                <w:kern w:val="0"/>
                <w:szCs w:val="21"/>
              </w:rPr>
            </w:pPr>
            <w:r>
              <w:rPr>
                <w:rFonts w:hint="eastAsia" w:asciiTheme="minorEastAsia" w:hAnsiTheme="minorEastAsia" w:eastAsiaTheme="minorEastAsia"/>
                <w:b/>
                <w:color w:val="auto"/>
                <w:kern w:val="0"/>
                <w:szCs w:val="21"/>
              </w:rPr>
              <w:t>资格审查不合格原因</w:t>
            </w:r>
          </w:p>
        </w:tc>
      </w:tr>
      <w:tr w14:paraId="085B7F4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14:paraId="626BE497">
            <w:pPr>
              <w:adjustRightInd w:val="0"/>
              <w:snapToGrid w:val="0"/>
              <w:spacing w:line="360" w:lineRule="auto"/>
              <w:rPr>
                <w:rFonts w:asciiTheme="minorEastAsia" w:hAnsiTheme="minorEastAsia" w:eastAsiaTheme="minorEastAsia"/>
                <w:color w:val="auto"/>
                <w:kern w:val="0"/>
                <w:sz w:val="24"/>
              </w:rPr>
            </w:pPr>
          </w:p>
        </w:tc>
        <w:tc>
          <w:tcPr>
            <w:tcW w:w="2963" w:type="dxa"/>
          </w:tcPr>
          <w:p w14:paraId="602D6A1E">
            <w:pPr>
              <w:adjustRightInd w:val="0"/>
              <w:snapToGrid w:val="0"/>
              <w:spacing w:line="360" w:lineRule="auto"/>
              <w:rPr>
                <w:rFonts w:asciiTheme="minorEastAsia" w:hAnsiTheme="minorEastAsia" w:eastAsiaTheme="minorEastAsia"/>
                <w:color w:val="auto"/>
                <w:kern w:val="0"/>
                <w:sz w:val="24"/>
              </w:rPr>
            </w:pPr>
          </w:p>
        </w:tc>
        <w:tc>
          <w:tcPr>
            <w:tcW w:w="2439" w:type="dxa"/>
          </w:tcPr>
          <w:p w14:paraId="494CE501">
            <w:pPr>
              <w:adjustRightInd w:val="0"/>
              <w:snapToGrid w:val="0"/>
              <w:spacing w:line="360" w:lineRule="auto"/>
              <w:rPr>
                <w:rFonts w:asciiTheme="minorEastAsia" w:hAnsiTheme="minorEastAsia" w:eastAsiaTheme="minorEastAsia"/>
                <w:color w:val="auto"/>
                <w:kern w:val="0"/>
                <w:sz w:val="24"/>
              </w:rPr>
            </w:pPr>
          </w:p>
        </w:tc>
        <w:tc>
          <w:tcPr>
            <w:tcW w:w="2961" w:type="dxa"/>
          </w:tcPr>
          <w:p w14:paraId="25FA249E">
            <w:pPr>
              <w:adjustRightInd w:val="0"/>
              <w:snapToGrid w:val="0"/>
              <w:spacing w:line="360" w:lineRule="auto"/>
              <w:rPr>
                <w:rFonts w:asciiTheme="minorEastAsia" w:hAnsiTheme="minorEastAsia" w:eastAsiaTheme="minorEastAsia"/>
                <w:color w:val="auto"/>
                <w:kern w:val="0"/>
                <w:sz w:val="24"/>
              </w:rPr>
            </w:pPr>
          </w:p>
        </w:tc>
      </w:tr>
      <w:tr w14:paraId="63A1FC5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14:paraId="392F1512">
            <w:pPr>
              <w:adjustRightInd w:val="0"/>
              <w:snapToGrid w:val="0"/>
              <w:spacing w:line="360" w:lineRule="auto"/>
              <w:rPr>
                <w:rFonts w:asciiTheme="minorEastAsia" w:hAnsiTheme="minorEastAsia" w:eastAsiaTheme="minorEastAsia"/>
                <w:color w:val="auto"/>
                <w:kern w:val="0"/>
                <w:sz w:val="24"/>
              </w:rPr>
            </w:pPr>
          </w:p>
        </w:tc>
        <w:tc>
          <w:tcPr>
            <w:tcW w:w="2963" w:type="dxa"/>
          </w:tcPr>
          <w:p w14:paraId="5E482F8D">
            <w:pPr>
              <w:adjustRightInd w:val="0"/>
              <w:snapToGrid w:val="0"/>
              <w:spacing w:line="360" w:lineRule="auto"/>
              <w:rPr>
                <w:rFonts w:asciiTheme="minorEastAsia" w:hAnsiTheme="minorEastAsia" w:eastAsiaTheme="minorEastAsia"/>
                <w:color w:val="auto"/>
                <w:kern w:val="0"/>
                <w:sz w:val="24"/>
              </w:rPr>
            </w:pPr>
          </w:p>
        </w:tc>
        <w:tc>
          <w:tcPr>
            <w:tcW w:w="2439" w:type="dxa"/>
          </w:tcPr>
          <w:p w14:paraId="1255102A">
            <w:pPr>
              <w:adjustRightInd w:val="0"/>
              <w:snapToGrid w:val="0"/>
              <w:spacing w:line="360" w:lineRule="auto"/>
              <w:rPr>
                <w:rFonts w:asciiTheme="minorEastAsia" w:hAnsiTheme="minorEastAsia" w:eastAsiaTheme="minorEastAsia"/>
                <w:color w:val="auto"/>
                <w:kern w:val="0"/>
                <w:sz w:val="24"/>
              </w:rPr>
            </w:pPr>
          </w:p>
        </w:tc>
        <w:tc>
          <w:tcPr>
            <w:tcW w:w="2961" w:type="dxa"/>
          </w:tcPr>
          <w:p w14:paraId="6459C9DC">
            <w:pPr>
              <w:adjustRightInd w:val="0"/>
              <w:snapToGrid w:val="0"/>
              <w:spacing w:line="360" w:lineRule="auto"/>
              <w:rPr>
                <w:rFonts w:asciiTheme="minorEastAsia" w:hAnsiTheme="minorEastAsia" w:eastAsiaTheme="minorEastAsia"/>
                <w:color w:val="auto"/>
                <w:kern w:val="0"/>
                <w:sz w:val="24"/>
              </w:rPr>
            </w:pPr>
          </w:p>
        </w:tc>
      </w:tr>
      <w:tr w14:paraId="67F82E9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14:paraId="585BC797">
            <w:pPr>
              <w:adjustRightInd w:val="0"/>
              <w:snapToGrid w:val="0"/>
              <w:spacing w:line="360" w:lineRule="auto"/>
              <w:rPr>
                <w:rFonts w:asciiTheme="minorEastAsia" w:hAnsiTheme="minorEastAsia" w:eastAsiaTheme="minorEastAsia"/>
                <w:color w:val="auto"/>
                <w:kern w:val="0"/>
                <w:sz w:val="24"/>
              </w:rPr>
            </w:pPr>
          </w:p>
        </w:tc>
        <w:tc>
          <w:tcPr>
            <w:tcW w:w="2963" w:type="dxa"/>
          </w:tcPr>
          <w:p w14:paraId="5404C817">
            <w:pPr>
              <w:adjustRightInd w:val="0"/>
              <w:snapToGrid w:val="0"/>
              <w:spacing w:line="360" w:lineRule="auto"/>
              <w:rPr>
                <w:rFonts w:asciiTheme="minorEastAsia" w:hAnsiTheme="minorEastAsia" w:eastAsiaTheme="minorEastAsia"/>
                <w:color w:val="auto"/>
                <w:kern w:val="0"/>
                <w:sz w:val="24"/>
              </w:rPr>
            </w:pPr>
          </w:p>
        </w:tc>
        <w:tc>
          <w:tcPr>
            <w:tcW w:w="2439" w:type="dxa"/>
          </w:tcPr>
          <w:p w14:paraId="567D0B32">
            <w:pPr>
              <w:adjustRightInd w:val="0"/>
              <w:snapToGrid w:val="0"/>
              <w:spacing w:line="360" w:lineRule="auto"/>
              <w:rPr>
                <w:rFonts w:asciiTheme="minorEastAsia" w:hAnsiTheme="minorEastAsia" w:eastAsiaTheme="minorEastAsia"/>
                <w:color w:val="auto"/>
                <w:kern w:val="0"/>
                <w:sz w:val="24"/>
              </w:rPr>
            </w:pPr>
          </w:p>
        </w:tc>
        <w:tc>
          <w:tcPr>
            <w:tcW w:w="2961" w:type="dxa"/>
          </w:tcPr>
          <w:p w14:paraId="16236C23">
            <w:pPr>
              <w:adjustRightInd w:val="0"/>
              <w:snapToGrid w:val="0"/>
              <w:spacing w:line="360" w:lineRule="auto"/>
              <w:rPr>
                <w:rFonts w:asciiTheme="minorEastAsia" w:hAnsiTheme="minorEastAsia" w:eastAsiaTheme="minorEastAsia"/>
                <w:color w:val="auto"/>
                <w:kern w:val="0"/>
                <w:sz w:val="24"/>
              </w:rPr>
            </w:pPr>
          </w:p>
        </w:tc>
      </w:tr>
      <w:tr w14:paraId="205802E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14:paraId="371F3ED4">
            <w:pPr>
              <w:adjustRightInd w:val="0"/>
              <w:snapToGrid w:val="0"/>
              <w:spacing w:line="360" w:lineRule="auto"/>
              <w:rPr>
                <w:rFonts w:asciiTheme="minorEastAsia" w:hAnsiTheme="minorEastAsia" w:eastAsiaTheme="minorEastAsia"/>
                <w:color w:val="auto"/>
                <w:kern w:val="0"/>
                <w:sz w:val="24"/>
              </w:rPr>
            </w:pPr>
          </w:p>
        </w:tc>
        <w:tc>
          <w:tcPr>
            <w:tcW w:w="2963" w:type="dxa"/>
          </w:tcPr>
          <w:p w14:paraId="44BA0FCD">
            <w:pPr>
              <w:adjustRightInd w:val="0"/>
              <w:snapToGrid w:val="0"/>
              <w:spacing w:line="360" w:lineRule="auto"/>
              <w:rPr>
                <w:rFonts w:asciiTheme="minorEastAsia" w:hAnsiTheme="minorEastAsia" w:eastAsiaTheme="minorEastAsia"/>
                <w:color w:val="auto"/>
                <w:kern w:val="0"/>
                <w:sz w:val="24"/>
              </w:rPr>
            </w:pPr>
          </w:p>
        </w:tc>
        <w:tc>
          <w:tcPr>
            <w:tcW w:w="2439" w:type="dxa"/>
          </w:tcPr>
          <w:p w14:paraId="30FCFB92">
            <w:pPr>
              <w:adjustRightInd w:val="0"/>
              <w:snapToGrid w:val="0"/>
              <w:spacing w:line="360" w:lineRule="auto"/>
              <w:rPr>
                <w:rFonts w:asciiTheme="minorEastAsia" w:hAnsiTheme="minorEastAsia" w:eastAsiaTheme="minorEastAsia"/>
                <w:color w:val="auto"/>
                <w:kern w:val="0"/>
                <w:sz w:val="24"/>
              </w:rPr>
            </w:pPr>
          </w:p>
        </w:tc>
        <w:tc>
          <w:tcPr>
            <w:tcW w:w="2961" w:type="dxa"/>
          </w:tcPr>
          <w:p w14:paraId="744BF08B">
            <w:pPr>
              <w:adjustRightInd w:val="0"/>
              <w:snapToGrid w:val="0"/>
              <w:spacing w:line="360" w:lineRule="auto"/>
              <w:rPr>
                <w:rFonts w:asciiTheme="minorEastAsia" w:hAnsiTheme="minorEastAsia" w:eastAsiaTheme="minorEastAsia"/>
                <w:color w:val="auto"/>
                <w:kern w:val="0"/>
                <w:sz w:val="24"/>
              </w:rPr>
            </w:pPr>
          </w:p>
        </w:tc>
      </w:tr>
      <w:tr w14:paraId="308D281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14:paraId="6B741BE0">
            <w:pPr>
              <w:adjustRightInd w:val="0"/>
              <w:snapToGrid w:val="0"/>
              <w:spacing w:line="360" w:lineRule="auto"/>
              <w:rPr>
                <w:rFonts w:asciiTheme="minorEastAsia" w:hAnsiTheme="minorEastAsia" w:eastAsiaTheme="minorEastAsia"/>
                <w:color w:val="auto"/>
                <w:kern w:val="0"/>
                <w:sz w:val="24"/>
              </w:rPr>
            </w:pPr>
          </w:p>
        </w:tc>
        <w:tc>
          <w:tcPr>
            <w:tcW w:w="2963" w:type="dxa"/>
          </w:tcPr>
          <w:p w14:paraId="605E56E9">
            <w:pPr>
              <w:adjustRightInd w:val="0"/>
              <w:snapToGrid w:val="0"/>
              <w:spacing w:line="360" w:lineRule="auto"/>
              <w:rPr>
                <w:rFonts w:asciiTheme="minorEastAsia" w:hAnsiTheme="minorEastAsia" w:eastAsiaTheme="minorEastAsia"/>
                <w:color w:val="auto"/>
                <w:kern w:val="0"/>
                <w:sz w:val="24"/>
              </w:rPr>
            </w:pPr>
          </w:p>
        </w:tc>
        <w:tc>
          <w:tcPr>
            <w:tcW w:w="2439" w:type="dxa"/>
          </w:tcPr>
          <w:p w14:paraId="1E391046">
            <w:pPr>
              <w:adjustRightInd w:val="0"/>
              <w:snapToGrid w:val="0"/>
              <w:spacing w:line="360" w:lineRule="auto"/>
              <w:rPr>
                <w:rFonts w:asciiTheme="minorEastAsia" w:hAnsiTheme="minorEastAsia" w:eastAsiaTheme="minorEastAsia"/>
                <w:color w:val="auto"/>
                <w:kern w:val="0"/>
                <w:sz w:val="24"/>
              </w:rPr>
            </w:pPr>
          </w:p>
        </w:tc>
        <w:tc>
          <w:tcPr>
            <w:tcW w:w="2961" w:type="dxa"/>
          </w:tcPr>
          <w:p w14:paraId="0E3208ED">
            <w:pPr>
              <w:adjustRightInd w:val="0"/>
              <w:snapToGrid w:val="0"/>
              <w:spacing w:line="360" w:lineRule="auto"/>
              <w:rPr>
                <w:rFonts w:asciiTheme="minorEastAsia" w:hAnsiTheme="minorEastAsia" w:eastAsiaTheme="minorEastAsia"/>
                <w:color w:val="auto"/>
                <w:kern w:val="0"/>
                <w:sz w:val="24"/>
              </w:rPr>
            </w:pPr>
          </w:p>
        </w:tc>
      </w:tr>
      <w:tr w14:paraId="79A5EF8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14:paraId="3248CD55">
            <w:pPr>
              <w:adjustRightInd w:val="0"/>
              <w:snapToGrid w:val="0"/>
              <w:spacing w:line="360" w:lineRule="auto"/>
              <w:rPr>
                <w:rFonts w:asciiTheme="minorEastAsia" w:hAnsiTheme="minorEastAsia" w:eastAsiaTheme="minorEastAsia"/>
                <w:color w:val="auto"/>
                <w:kern w:val="0"/>
                <w:sz w:val="24"/>
              </w:rPr>
            </w:pPr>
          </w:p>
        </w:tc>
        <w:tc>
          <w:tcPr>
            <w:tcW w:w="2963" w:type="dxa"/>
          </w:tcPr>
          <w:p w14:paraId="2DFA05D4">
            <w:pPr>
              <w:adjustRightInd w:val="0"/>
              <w:snapToGrid w:val="0"/>
              <w:spacing w:line="360" w:lineRule="auto"/>
              <w:rPr>
                <w:rFonts w:asciiTheme="minorEastAsia" w:hAnsiTheme="minorEastAsia" w:eastAsiaTheme="minorEastAsia"/>
                <w:color w:val="auto"/>
                <w:kern w:val="0"/>
                <w:sz w:val="24"/>
              </w:rPr>
            </w:pPr>
          </w:p>
        </w:tc>
        <w:tc>
          <w:tcPr>
            <w:tcW w:w="2439" w:type="dxa"/>
          </w:tcPr>
          <w:p w14:paraId="6BBE6896">
            <w:pPr>
              <w:adjustRightInd w:val="0"/>
              <w:snapToGrid w:val="0"/>
              <w:spacing w:line="360" w:lineRule="auto"/>
              <w:rPr>
                <w:rFonts w:asciiTheme="minorEastAsia" w:hAnsiTheme="minorEastAsia" w:eastAsiaTheme="minorEastAsia"/>
                <w:color w:val="auto"/>
                <w:kern w:val="0"/>
                <w:sz w:val="24"/>
              </w:rPr>
            </w:pPr>
          </w:p>
        </w:tc>
        <w:tc>
          <w:tcPr>
            <w:tcW w:w="2961" w:type="dxa"/>
          </w:tcPr>
          <w:p w14:paraId="02BF22C7">
            <w:pPr>
              <w:adjustRightInd w:val="0"/>
              <w:snapToGrid w:val="0"/>
              <w:spacing w:line="360" w:lineRule="auto"/>
              <w:rPr>
                <w:rFonts w:asciiTheme="minorEastAsia" w:hAnsiTheme="minorEastAsia" w:eastAsiaTheme="minorEastAsia"/>
                <w:color w:val="auto"/>
                <w:kern w:val="0"/>
                <w:sz w:val="24"/>
              </w:rPr>
            </w:pPr>
          </w:p>
        </w:tc>
      </w:tr>
      <w:tr w14:paraId="3320951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14:paraId="6DE1FF14">
            <w:pPr>
              <w:adjustRightInd w:val="0"/>
              <w:snapToGrid w:val="0"/>
              <w:spacing w:line="360" w:lineRule="auto"/>
              <w:rPr>
                <w:rFonts w:asciiTheme="minorEastAsia" w:hAnsiTheme="minorEastAsia" w:eastAsiaTheme="minorEastAsia"/>
                <w:color w:val="auto"/>
                <w:kern w:val="0"/>
                <w:sz w:val="24"/>
              </w:rPr>
            </w:pPr>
          </w:p>
        </w:tc>
        <w:tc>
          <w:tcPr>
            <w:tcW w:w="2963" w:type="dxa"/>
          </w:tcPr>
          <w:p w14:paraId="1203A3AB">
            <w:pPr>
              <w:adjustRightInd w:val="0"/>
              <w:snapToGrid w:val="0"/>
              <w:spacing w:line="360" w:lineRule="auto"/>
              <w:rPr>
                <w:rFonts w:asciiTheme="minorEastAsia" w:hAnsiTheme="minorEastAsia" w:eastAsiaTheme="minorEastAsia"/>
                <w:color w:val="auto"/>
                <w:kern w:val="0"/>
                <w:sz w:val="24"/>
              </w:rPr>
            </w:pPr>
          </w:p>
        </w:tc>
        <w:tc>
          <w:tcPr>
            <w:tcW w:w="2439" w:type="dxa"/>
          </w:tcPr>
          <w:p w14:paraId="30AAA546">
            <w:pPr>
              <w:adjustRightInd w:val="0"/>
              <w:snapToGrid w:val="0"/>
              <w:spacing w:line="360" w:lineRule="auto"/>
              <w:rPr>
                <w:rFonts w:asciiTheme="minorEastAsia" w:hAnsiTheme="minorEastAsia" w:eastAsiaTheme="minorEastAsia"/>
                <w:color w:val="auto"/>
                <w:kern w:val="0"/>
                <w:sz w:val="24"/>
              </w:rPr>
            </w:pPr>
          </w:p>
        </w:tc>
        <w:tc>
          <w:tcPr>
            <w:tcW w:w="2961" w:type="dxa"/>
          </w:tcPr>
          <w:p w14:paraId="1D933337">
            <w:pPr>
              <w:adjustRightInd w:val="0"/>
              <w:snapToGrid w:val="0"/>
              <w:spacing w:line="360" w:lineRule="auto"/>
              <w:rPr>
                <w:rFonts w:asciiTheme="minorEastAsia" w:hAnsiTheme="minorEastAsia" w:eastAsiaTheme="minorEastAsia"/>
                <w:color w:val="auto"/>
                <w:kern w:val="0"/>
                <w:sz w:val="24"/>
              </w:rPr>
            </w:pPr>
          </w:p>
        </w:tc>
      </w:tr>
      <w:tr w14:paraId="27FF3B9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14:paraId="040400C7">
            <w:pPr>
              <w:adjustRightInd w:val="0"/>
              <w:snapToGrid w:val="0"/>
              <w:spacing w:line="360" w:lineRule="auto"/>
              <w:rPr>
                <w:rFonts w:asciiTheme="minorEastAsia" w:hAnsiTheme="minorEastAsia" w:eastAsiaTheme="minorEastAsia"/>
                <w:color w:val="auto"/>
                <w:kern w:val="0"/>
                <w:sz w:val="24"/>
              </w:rPr>
            </w:pPr>
          </w:p>
        </w:tc>
        <w:tc>
          <w:tcPr>
            <w:tcW w:w="2963" w:type="dxa"/>
          </w:tcPr>
          <w:p w14:paraId="289E83F9">
            <w:pPr>
              <w:adjustRightInd w:val="0"/>
              <w:snapToGrid w:val="0"/>
              <w:spacing w:line="360" w:lineRule="auto"/>
              <w:rPr>
                <w:rFonts w:asciiTheme="minorEastAsia" w:hAnsiTheme="minorEastAsia" w:eastAsiaTheme="minorEastAsia"/>
                <w:color w:val="auto"/>
                <w:kern w:val="0"/>
                <w:sz w:val="24"/>
              </w:rPr>
            </w:pPr>
          </w:p>
        </w:tc>
        <w:tc>
          <w:tcPr>
            <w:tcW w:w="2439" w:type="dxa"/>
          </w:tcPr>
          <w:p w14:paraId="6439AB57">
            <w:pPr>
              <w:adjustRightInd w:val="0"/>
              <w:snapToGrid w:val="0"/>
              <w:spacing w:line="360" w:lineRule="auto"/>
              <w:rPr>
                <w:rFonts w:asciiTheme="minorEastAsia" w:hAnsiTheme="minorEastAsia" w:eastAsiaTheme="minorEastAsia"/>
                <w:color w:val="auto"/>
                <w:kern w:val="0"/>
                <w:sz w:val="24"/>
              </w:rPr>
            </w:pPr>
          </w:p>
        </w:tc>
        <w:tc>
          <w:tcPr>
            <w:tcW w:w="2961" w:type="dxa"/>
          </w:tcPr>
          <w:p w14:paraId="136F182D">
            <w:pPr>
              <w:adjustRightInd w:val="0"/>
              <w:snapToGrid w:val="0"/>
              <w:spacing w:line="360" w:lineRule="auto"/>
              <w:rPr>
                <w:rFonts w:asciiTheme="minorEastAsia" w:hAnsiTheme="minorEastAsia" w:eastAsiaTheme="minorEastAsia"/>
                <w:color w:val="auto"/>
                <w:kern w:val="0"/>
                <w:sz w:val="24"/>
              </w:rPr>
            </w:pPr>
          </w:p>
        </w:tc>
      </w:tr>
      <w:tr w14:paraId="4E62922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14:paraId="059D96AE">
            <w:pPr>
              <w:adjustRightInd w:val="0"/>
              <w:snapToGrid w:val="0"/>
              <w:spacing w:line="360" w:lineRule="auto"/>
              <w:rPr>
                <w:rFonts w:asciiTheme="minorEastAsia" w:hAnsiTheme="minorEastAsia" w:eastAsiaTheme="minorEastAsia"/>
                <w:color w:val="auto"/>
                <w:kern w:val="0"/>
                <w:sz w:val="24"/>
              </w:rPr>
            </w:pPr>
          </w:p>
        </w:tc>
        <w:tc>
          <w:tcPr>
            <w:tcW w:w="2963" w:type="dxa"/>
          </w:tcPr>
          <w:p w14:paraId="09AA32A2">
            <w:pPr>
              <w:adjustRightInd w:val="0"/>
              <w:snapToGrid w:val="0"/>
              <w:spacing w:line="360" w:lineRule="auto"/>
              <w:rPr>
                <w:rFonts w:asciiTheme="minorEastAsia" w:hAnsiTheme="minorEastAsia" w:eastAsiaTheme="minorEastAsia"/>
                <w:color w:val="auto"/>
                <w:kern w:val="0"/>
                <w:sz w:val="24"/>
              </w:rPr>
            </w:pPr>
          </w:p>
        </w:tc>
        <w:tc>
          <w:tcPr>
            <w:tcW w:w="2439" w:type="dxa"/>
          </w:tcPr>
          <w:p w14:paraId="616524C6">
            <w:pPr>
              <w:adjustRightInd w:val="0"/>
              <w:snapToGrid w:val="0"/>
              <w:spacing w:line="360" w:lineRule="auto"/>
              <w:rPr>
                <w:rFonts w:asciiTheme="minorEastAsia" w:hAnsiTheme="minorEastAsia" w:eastAsiaTheme="minorEastAsia"/>
                <w:color w:val="auto"/>
                <w:kern w:val="0"/>
                <w:sz w:val="24"/>
              </w:rPr>
            </w:pPr>
          </w:p>
        </w:tc>
        <w:tc>
          <w:tcPr>
            <w:tcW w:w="2961" w:type="dxa"/>
          </w:tcPr>
          <w:p w14:paraId="0040BB6A">
            <w:pPr>
              <w:adjustRightInd w:val="0"/>
              <w:snapToGrid w:val="0"/>
              <w:spacing w:line="360" w:lineRule="auto"/>
              <w:rPr>
                <w:rFonts w:asciiTheme="minorEastAsia" w:hAnsiTheme="minorEastAsia" w:eastAsiaTheme="minorEastAsia"/>
                <w:color w:val="auto"/>
                <w:kern w:val="0"/>
                <w:sz w:val="24"/>
              </w:rPr>
            </w:pPr>
          </w:p>
        </w:tc>
      </w:tr>
    </w:tbl>
    <w:p w14:paraId="368E7276">
      <w:pPr>
        <w:adjustRightInd w:val="0"/>
        <w:snapToGrid w:val="0"/>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采购人（签字）：</w:t>
      </w:r>
    </w:p>
    <w:p w14:paraId="11C9DDE1">
      <w:pPr>
        <w:adjustRightInd w:val="0"/>
        <w:snapToGrid w:val="0"/>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采购代理机构（签字）：</w:t>
      </w:r>
    </w:p>
    <w:p w14:paraId="0851BF62">
      <w:pPr>
        <w:adjustRightInd w:val="0"/>
        <w:snapToGrid w:val="0"/>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日 </w:t>
      </w:r>
      <w:r>
        <w:rPr>
          <w:rFonts w:asciiTheme="minorEastAsia" w:hAnsiTheme="minorEastAsia" w:eastAsiaTheme="minorEastAsia"/>
          <w:color w:val="auto"/>
          <w:szCs w:val="21"/>
        </w:rPr>
        <w:t xml:space="preserve"> </w:t>
      </w:r>
      <w:r>
        <w:rPr>
          <w:rFonts w:hint="eastAsia" w:asciiTheme="minorEastAsia" w:hAnsiTheme="minorEastAsia" w:eastAsiaTheme="minorEastAsia"/>
          <w:color w:val="auto"/>
          <w:szCs w:val="21"/>
        </w:rPr>
        <w:t xml:space="preserve">期： </w:t>
      </w:r>
      <w:r>
        <w:rPr>
          <w:rFonts w:asciiTheme="minorEastAsia" w:hAnsiTheme="minorEastAsia" w:eastAsiaTheme="minorEastAsia"/>
          <w:color w:val="auto"/>
          <w:szCs w:val="21"/>
        </w:rPr>
        <w:t xml:space="preserve">    </w:t>
      </w:r>
      <w:r>
        <w:rPr>
          <w:rFonts w:hint="eastAsia" w:asciiTheme="minorEastAsia" w:hAnsiTheme="minorEastAsia" w:eastAsiaTheme="minorEastAsia"/>
          <w:color w:val="auto"/>
          <w:szCs w:val="21"/>
        </w:rPr>
        <w:t xml:space="preserve">年 </w:t>
      </w:r>
      <w:r>
        <w:rPr>
          <w:rFonts w:asciiTheme="minorEastAsia" w:hAnsiTheme="minorEastAsia" w:eastAsiaTheme="minorEastAsia"/>
          <w:color w:val="auto"/>
          <w:szCs w:val="21"/>
        </w:rPr>
        <w:t xml:space="preserve">  </w:t>
      </w:r>
      <w:r>
        <w:rPr>
          <w:rFonts w:hint="eastAsia" w:asciiTheme="minorEastAsia" w:hAnsiTheme="minorEastAsia" w:eastAsiaTheme="minorEastAsia"/>
          <w:color w:val="auto"/>
          <w:szCs w:val="21"/>
        </w:rPr>
        <w:t xml:space="preserve">月 </w:t>
      </w:r>
      <w:r>
        <w:rPr>
          <w:rFonts w:asciiTheme="minorEastAsia" w:hAnsiTheme="minorEastAsia" w:eastAsiaTheme="minorEastAsia"/>
          <w:color w:val="auto"/>
          <w:szCs w:val="21"/>
        </w:rPr>
        <w:t xml:space="preserve">  </w:t>
      </w:r>
      <w:r>
        <w:rPr>
          <w:rFonts w:hint="eastAsia" w:asciiTheme="minorEastAsia" w:hAnsiTheme="minorEastAsia" w:eastAsiaTheme="minorEastAsia"/>
          <w:color w:val="auto"/>
          <w:szCs w:val="21"/>
        </w:rPr>
        <w:t>日</w:t>
      </w:r>
    </w:p>
    <w:p w14:paraId="4327C062">
      <w:pPr>
        <w:widowControl/>
        <w:jc w:val="left"/>
        <w:rPr>
          <w:rFonts w:asciiTheme="minorEastAsia" w:hAnsiTheme="minorEastAsia" w:eastAsiaTheme="minorEastAsia"/>
          <w:color w:val="auto"/>
          <w:sz w:val="24"/>
        </w:rPr>
      </w:pPr>
      <w:r>
        <w:rPr>
          <w:rFonts w:asciiTheme="minorEastAsia" w:hAnsiTheme="minorEastAsia" w:eastAsiaTheme="minorEastAsia"/>
          <w:color w:val="auto"/>
          <w:sz w:val="24"/>
        </w:rPr>
        <w:br w:type="page"/>
      </w:r>
    </w:p>
    <w:p w14:paraId="670C48C4">
      <w:pPr>
        <w:pStyle w:val="5"/>
        <w:adjustRightInd w:val="0"/>
        <w:snapToGrid w:val="0"/>
        <w:spacing w:before="0" w:after="0" w:line="360" w:lineRule="auto"/>
        <w:rPr>
          <w:rFonts w:ascii="黑体" w:hAnsi="黑体"/>
          <w:b w:val="0"/>
          <w:color w:val="auto"/>
          <w:sz w:val="21"/>
          <w:szCs w:val="21"/>
        </w:rPr>
      </w:pPr>
      <w:bookmarkStart w:id="126" w:name="_Toc18177"/>
      <w:r>
        <w:rPr>
          <w:rFonts w:hint="eastAsia" w:ascii="黑体" w:hAnsi="黑体"/>
          <w:b w:val="0"/>
          <w:color w:val="auto"/>
          <w:sz w:val="21"/>
          <w:szCs w:val="21"/>
        </w:rPr>
        <w:t>附表3 资格审查合格投标人名单</w:t>
      </w:r>
      <w:bookmarkEnd w:id="126"/>
    </w:p>
    <w:p w14:paraId="5D5066E3">
      <w:pPr>
        <w:adjustRightInd w:val="0"/>
        <w:snapToGrid w:val="0"/>
        <w:spacing w:line="360" w:lineRule="auto"/>
        <w:jc w:val="center"/>
        <w:rPr>
          <w:rFonts w:ascii="黑体" w:hAnsi="黑体" w:eastAsia="黑体"/>
          <w:b/>
          <w:color w:val="auto"/>
          <w:sz w:val="28"/>
          <w:szCs w:val="28"/>
        </w:rPr>
      </w:pPr>
      <w:r>
        <w:rPr>
          <w:rFonts w:hint="eastAsia" w:ascii="黑体" w:hAnsi="黑体" w:eastAsia="黑体"/>
          <w:b/>
          <w:color w:val="auto"/>
          <w:sz w:val="28"/>
          <w:szCs w:val="28"/>
        </w:rPr>
        <w:t>资格审查合格投标人名单</w:t>
      </w:r>
    </w:p>
    <w:p w14:paraId="7087EA94">
      <w:pPr>
        <w:adjustRightInd w:val="0"/>
        <w:snapToGrid w:val="0"/>
        <w:spacing w:line="360" w:lineRule="auto"/>
        <w:rPr>
          <w:rFonts w:ascii="华文中宋" w:hAnsi="华文中宋" w:eastAsia="华文中宋"/>
          <w:color w:val="auto"/>
          <w:sz w:val="32"/>
          <w:szCs w:val="32"/>
        </w:rPr>
      </w:pPr>
      <w:r>
        <w:rPr>
          <w:rFonts w:hint="eastAsia" w:asciiTheme="minorEastAsia" w:hAnsiTheme="minorEastAsia" w:eastAsiaTheme="minorEastAsia"/>
          <w:color w:val="auto"/>
          <w:szCs w:val="21"/>
        </w:rPr>
        <w:t>项目名称：                                        采购代理编号：</w:t>
      </w:r>
    </w:p>
    <w:tbl>
      <w:tblPr>
        <w:tblStyle w:val="42"/>
        <w:tblW w:w="878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993"/>
        <w:gridCol w:w="7796"/>
      </w:tblGrid>
      <w:tr w14:paraId="59E3745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vAlign w:val="center"/>
          </w:tcPr>
          <w:p w14:paraId="293F20FC">
            <w:pPr>
              <w:jc w:val="center"/>
              <w:rPr>
                <w:b/>
                <w:color w:val="auto"/>
                <w:kern w:val="0"/>
                <w:szCs w:val="21"/>
              </w:rPr>
            </w:pPr>
            <w:r>
              <w:rPr>
                <w:rFonts w:hint="eastAsia"/>
                <w:b/>
                <w:color w:val="auto"/>
                <w:kern w:val="0"/>
                <w:szCs w:val="21"/>
              </w:rPr>
              <w:t>序号</w:t>
            </w:r>
          </w:p>
        </w:tc>
        <w:tc>
          <w:tcPr>
            <w:tcW w:w="7796" w:type="dxa"/>
            <w:vAlign w:val="center"/>
          </w:tcPr>
          <w:p w14:paraId="75E128B4">
            <w:pPr>
              <w:jc w:val="center"/>
              <w:rPr>
                <w:b/>
                <w:color w:val="auto"/>
                <w:kern w:val="0"/>
                <w:szCs w:val="21"/>
              </w:rPr>
            </w:pPr>
            <w:r>
              <w:rPr>
                <w:rFonts w:hint="eastAsia"/>
                <w:b/>
                <w:color w:val="auto"/>
                <w:kern w:val="0"/>
                <w:szCs w:val="21"/>
              </w:rPr>
              <w:t>合格投标人名称</w:t>
            </w:r>
          </w:p>
        </w:tc>
      </w:tr>
      <w:tr w14:paraId="59EEE37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tcPr>
          <w:p w14:paraId="05F2ACEF">
            <w:pPr>
              <w:adjustRightInd w:val="0"/>
              <w:snapToGrid w:val="0"/>
              <w:spacing w:line="360" w:lineRule="auto"/>
              <w:rPr>
                <w:rFonts w:asciiTheme="minorEastAsia" w:hAnsiTheme="minorEastAsia" w:eastAsiaTheme="minorEastAsia"/>
                <w:color w:val="auto"/>
                <w:kern w:val="0"/>
                <w:szCs w:val="21"/>
              </w:rPr>
            </w:pPr>
          </w:p>
        </w:tc>
        <w:tc>
          <w:tcPr>
            <w:tcW w:w="7796" w:type="dxa"/>
          </w:tcPr>
          <w:p w14:paraId="49E10E50">
            <w:pPr>
              <w:adjustRightInd w:val="0"/>
              <w:snapToGrid w:val="0"/>
              <w:spacing w:line="360" w:lineRule="auto"/>
              <w:rPr>
                <w:rFonts w:asciiTheme="minorEastAsia" w:hAnsiTheme="minorEastAsia" w:eastAsiaTheme="minorEastAsia"/>
                <w:color w:val="auto"/>
                <w:kern w:val="0"/>
                <w:szCs w:val="21"/>
              </w:rPr>
            </w:pPr>
          </w:p>
        </w:tc>
      </w:tr>
      <w:tr w14:paraId="37C1DA9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tcPr>
          <w:p w14:paraId="3C98FBE3">
            <w:pPr>
              <w:adjustRightInd w:val="0"/>
              <w:snapToGrid w:val="0"/>
              <w:spacing w:line="360" w:lineRule="auto"/>
              <w:rPr>
                <w:rFonts w:asciiTheme="minorEastAsia" w:hAnsiTheme="minorEastAsia" w:eastAsiaTheme="minorEastAsia"/>
                <w:color w:val="auto"/>
                <w:kern w:val="0"/>
                <w:sz w:val="24"/>
              </w:rPr>
            </w:pPr>
          </w:p>
        </w:tc>
        <w:tc>
          <w:tcPr>
            <w:tcW w:w="7796" w:type="dxa"/>
          </w:tcPr>
          <w:p w14:paraId="5403FB05">
            <w:pPr>
              <w:adjustRightInd w:val="0"/>
              <w:snapToGrid w:val="0"/>
              <w:spacing w:line="360" w:lineRule="auto"/>
              <w:rPr>
                <w:rFonts w:asciiTheme="minorEastAsia" w:hAnsiTheme="minorEastAsia" w:eastAsiaTheme="minorEastAsia"/>
                <w:color w:val="auto"/>
                <w:kern w:val="0"/>
                <w:sz w:val="24"/>
              </w:rPr>
            </w:pPr>
          </w:p>
        </w:tc>
      </w:tr>
      <w:tr w14:paraId="2870475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tcPr>
          <w:p w14:paraId="22EAA7CC">
            <w:pPr>
              <w:adjustRightInd w:val="0"/>
              <w:snapToGrid w:val="0"/>
              <w:spacing w:line="360" w:lineRule="auto"/>
              <w:rPr>
                <w:rFonts w:asciiTheme="minorEastAsia" w:hAnsiTheme="minorEastAsia" w:eastAsiaTheme="minorEastAsia"/>
                <w:color w:val="auto"/>
                <w:kern w:val="0"/>
                <w:sz w:val="24"/>
              </w:rPr>
            </w:pPr>
          </w:p>
        </w:tc>
        <w:tc>
          <w:tcPr>
            <w:tcW w:w="7796" w:type="dxa"/>
          </w:tcPr>
          <w:p w14:paraId="1F33FCA7">
            <w:pPr>
              <w:adjustRightInd w:val="0"/>
              <w:snapToGrid w:val="0"/>
              <w:spacing w:line="360" w:lineRule="auto"/>
              <w:rPr>
                <w:rFonts w:asciiTheme="minorEastAsia" w:hAnsiTheme="minorEastAsia" w:eastAsiaTheme="minorEastAsia"/>
                <w:color w:val="auto"/>
                <w:kern w:val="0"/>
                <w:sz w:val="24"/>
              </w:rPr>
            </w:pPr>
          </w:p>
        </w:tc>
      </w:tr>
      <w:tr w14:paraId="186F85A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tcPr>
          <w:p w14:paraId="766DC90B">
            <w:pPr>
              <w:adjustRightInd w:val="0"/>
              <w:snapToGrid w:val="0"/>
              <w:spacing w:line="360" w:lineRule="auto"/>
              <w:rPr>
                <w:rFonts w:asciiTheme="minorEastAsia" w:hAnsiTheme="minorEastAsia" w:eastAsiaTheme="minorEastAsia"/>
                <w:color w:val="auto"/>
                <w:kern w:val="0"/>
                <w:sz w:val="24"/>
              </w:rPr>
            </w:pPr>
          </w:p>
        </w:tc>
        <w:tc>
          <w:tcPr>
            <w:tcW w:w="7796" w:type="dxa"/>
          </w:tcPr>
          <w:p w14:paraId="6CC68F2C">
            <w:pPr>
              <w:adjustRightInd w:val="0"/>
              <w:snapToGrid w:val="0"/>
              <w:spacing w:line="360" w:lineRule="auto"/>
              <w:rPr>
                <w:rFonts w:asciiTheme="minorEastAsia" w:hAnsiTheme="minorEastAsia" w:eastAsiaTheme="minorEastAsia"/>
                <w:color w:val="auto"/>
                <w:kern w:val="0"/>
                <w:sz w:val="24"/>
              </w:rPr>
            </w:pPr>
          </w:p>
        </w:tc>
      </w:tr>
      <w:tr w14:paraId="67DFAE6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tcPr>
          <w:p w14:paraId="0966CBC2">
            <w:pPr>
              <w:adjustRightInd w:val="0"/>
              <w:snapToGrid w:val="0"/>
              <w:spacing w:line="360" w:lineRule="auto"/>
              <w:rPr>
                <w:rFonts w:asciiTheme="minorEastAsia" w:hAnsiTheme="minorEastAsia" w:eastAsiaTheme="minorEastAsia"/>
                <w:color w:val="auto"/>
                <w:kern w:val="0"/>
                <w:sz w:val="24"/>
              </w:rPr>
            </w:pPr>
          </w:p>
        </w:tc>
        <w:tc>
          <w:tcPr>
            <w:tcW w:w="7796" w:type="dxa"/>
          </w:tcPr>
          <w:p w14:paraId="47A38986">
            <w:pPr>
              <w:adjustRightInd w:val="0"/>
              <w:snapToGrid w:val="0"/>
              <w:spacing w:line="360" w:lineRule="auto"/>
              <w:rPr>
                <w:rFonts w:asciiTheme="minorEastAsia" w:hAnsiTheme="minorEastAsia" w:eastAsiaTheme="minorEastAsia"/>
                <w:color w:val="auto"/>
                <w:kern w:val="0"/>
                <w:sz w:val="24"/>
              </w:rPr>
            </w:pPr>
          </w:p>
        </w:tc>
      </w:tr>
      <w:tr w14:paraId="7425576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tcPr>
          <w:p w14:paraId="0B334FC9">
            <w:pPr>
              <w:adjustRightInd w:val="0"/>
              <w:snapToGrid w:val="0"/>
              <w:spacing w:line="360" w:lineRule="auto"/>
              <w:rPr>
                <w:rFonts w:asciiTheme="minorEastAsia" w:hAnsiTheme="minorEastAsia" w:eastAsiaTheme="minorEastAsia"/>
                <w:color w:val="auto"/>
                <w:kern w:val="0"/>
                <w:sz w:val="24"/>
              </w:rPr>
            </w:pPr>
          </w:p>
        </w:tc>
        <w:tc>
          <w:tcPr>
            <w:tcW w:w="7796" w:type="dxa"/>
          </w:tcPr>
          <w:p w14:paraId="4A8890BC">
            <w:pPr>
              <w:adjustRightInd w:val="0"/>
              <w:snapToGrid w:val="0"/>
              <w:spacing w:line="360" w:lineRule="auto"/>
              <w:rPr>
                <w:rFonts w:asciiTheme="minorEastAsia" w:hAnsiTheme="minorEastAsia" w:eastAsiaTheme="minorEastAsia"/>
                <w:color w:val="auto"/>
                <w:kern w:val="0"/>
                <w:sz w:val="24"/>
              </w:rPr>
            </w:pPr>
          </w:p>
        </w:tc>
      </w:tr>
    </w:tbl>
    <w:p w14:paraId="57972C30">
      <w:pPr>
        <w:adjustRightInd w:val="0"/>
        <w:snapToGrid w:val="0"/>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采购人（签字）：</w:t>
      </w:r>
    </w:p>
    <w:p w14:paraId="5D870D92">
      <w:pPr>
        <w:adjustRightInd w:val="0"/>
        <w:snapToGrid w:val="0"/>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采购代理机构（签字）：</w:t>
      </w:r>
    </w:p>
    <w:p w14:paraId="2120759B">
      <w:pPr>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日 </w:t>
      </w:r>
      <w:r>
        <w:rPr>
          <w:rFonts w:asciiTheme="minorEastAsia" w:hAnsiTheme="minorEastAsia" w:eastAsiaTheme="minorEastAsia"/>
          <w:color w:val="auto"/>
          <w:szCs w:val="21"/>
        </w:rPr>
        <w:t xml:space="preserve"> </w:t>
      </w:r>
      <w:r>
        <w:rPr>
          <w:rFonts w:hint="eastAsia" w:asciiTheme="minorEastAsia" w:hAnsiTheme="minorEastAsia" w:eastAsiaTheme="minorEastAsia"/>
          <w:color w:val="auto"/>
          <w:szCs w:val="21"/>
        </w:rPr>
        <w:t xml:space="preserve">期： </w:t>
      </w:r>
      <w:r>
        <w:rPr>
          <w:rFonts w:asciiTheme="minorEastAsia" w:hAnsiTheme="minorEastAsia" w:eastAsiaTheme="minorEastAsia"/>
          <w:color w:val="auto"/>
          <w:szCs w:val="21"/>
        </w:rPr>
        <w:t xml:space="preserve">    </w:t>
      </w:r>
      <w:r>
        <w:rPr>
          <w:rFonts w:hint="eastAsia" w:asciiTheme="minorEastAsia" w:hAnsiTheme="minorEastAsia" w:eastAsiaTheme="minorEastAsia"/>
          <w:color w:val="auto"/>
          <w:szCs w:val="21"/>
        </w:rPr>
        <w:t xml:space="preserve">年 </w:t>
      </w:r>
      <w:r>
        <w:rPr>
          <w:rFonts w:asciiTheme="minorEastAsia" w:hAnsiTheme="minorEastAsia" w:eastAsiaTheme="minorEastAsia"/>
          <w:color w:val="auto"/>
          <w:szCs w:val="21"/>
        </w:rPr>
        <w:t xml:space="preserve">  </w:t>
      </w:r>
      <w:r>
        <w:rPr>
          <w:rFonts w:hint="eastAsia" w:asciiTheme="minorEastAsia" w:hAnsiTheme="minorEastAsia" w:eastAsiaTheme="minorEastAsia"/>
          <w:color w:val="auto"/>
          <w:szCs w:val="21"/>
        </w:rPr>
        <w:t xml:space="preserve">月 </w:t>
      </w:r>
      <w:r>
        <w:rPr>
          <w:rFonts w:asciiTheme="minorEastAsia" w:hAnsiTheme="minorEastAsia" w:eastAsiaTheme="minorEastAsia"/>
          <w:color w:val="auto"/>
          <w:szCs w:val="21"/>
        </w:rPr>
        <w:t xml:space="preserve">  </w:t>
      </w:r>
      <w:r>
        <w:rPr>
          <w:rFonts w:hint="eastAsia" w:asciiTheme="minorEastAsia" w:hAnsiTheme="minorEastAsia" w:eastAsiaTheme="minorEastAsia"/>
          <w:color w:val="auto"/>
          <w:szCs w:val="21"/>
        </w:rPr>
        <w:t>日</w:t>
      </w:r>
    </w:p>
    <w:p w14:paraId="754C6D6F">
      <w:pPr>
        <w:rPr>
          <w:rFonts w:ascii="黑体" w:hAnsi="华文中宋" w:eastAsia="黑体"/>
          <w:b/>
          <w:color w:val="auto"/>
          <w:sz w:val="32"/>
          <w:szCs w:val="32"/>
        </w:rPr>
      </w:pPr>
      <w:r>
        <w:rPr>
          <w:rFonts w:ascii="宋体" w:hAnsi="宋体"/>
          <w:color w:val="auto"/>
        </w:rPr>
        <w:br w:type="page"/>
      </w:r>
    </w:p>
    <w:p w14:paraId="100F2906">
      <w:pPr>
        <w:pStyle w:val="21"/>
        <w:adjustRightInd w:val="0"/>
        <w:snapToGrid w:val="0"/>
        <w:spacing w:line="360" w:lineRule="auto"/>
        <w:jc w:val="center"/>
        <w:outlineLvl w:val="0"/>
        <w:rPr>
          <w:rFonts w:ascii="黑体" w:hAnsi="华文中宋" w:eastAsia="黑体"/>
          <w:b/>
          <w:color w:val="auto"/>
          <w:sz w:val="28"/>
          <w:szCs w:val="28"/>
        </w:rPr>
      </w:pPr>
      <w:bookmarkStart w:id="127" w:name="_Toc24956"/>
      <w:r>
        <w:rPr>
          <w:rFonts w:hint="eastAsia" w:ascii="黑体" w:hAnsi="华文中宋" w:eastAsia="黑体"/>
          <w:b/>
          <w:color w:val="auto"/>
          <w:sz w:val="32"/>
          <w:szCs w:val="32"/>
        </w:rPr>
        <w:t>第四章 评标方法及标准</w:t>
      </w:r>
      <w:bookmarkEnd w:id="127"/>
    </w:p>
    <w:p w14:paraId="30A57BA9">
      <w:pPr>
        <w:pStyle w:val="3"/>
        <w:adjustRightInd w:val="0"/>
        <w:snapToGrid w:val="0"/>
        <w:jc w:val="center"/>
        <w:rPr>
          <w:rFonts w:ascii="黑体" w:hAnsi="华文中宋" w:eastAsia="黑体"/>
          <w:color w:val="auto"/>
          <w:sz w:val="28"/>
          <w:szCs w:val="28"/>
        </w:rPr>
      </w:pPr>
      <w:bookmarkStart w:id="128" w:name="_Toc20168"/>
      <w:r>
        <w:rPr>
          <w:rFonts w:hint="eastAsia" w:ascii="黑体" w:hAnsi="华文中宋" w:eastAsia="黑体"/>
          <w:color w:val="auto"/>
          <w:sz w:val="28"/>
          <w:szCs w:val="28"/>
        </w:rPr>
        <w:t>第一节 评标方法及标准前附表</w:t>
      </w:r>
      <w:bookmarkEnd w:id="128"/>
    </w:p>
    <w:p w14:paraId="5785C9E0">
      <w:pPr>
        <w:adjustRightInd w:val="0"/>
        <w:snapToGrid w:val="0"/>
        <w:spacing w:line="360" w:lineRule="auto"/>
        <w:jc w:val="right"/>
        <w:rPr>
          <w:rFonts w:asciiTheme="minorEastAsia" w:hAnsiTheme="minorEastAsia" w:eastAsiaTheme="minorEastAsia"/>
          <w:bCs/>
          <w:i/>
          <w:color w:val="auto"/>
          <w:szCs w:val="21"/>
        </w:rPr>
      </w:pPr>
      <w:r>
        <w:rPr>
          <w:rFonts w:hint="eastAsia" w:asciiTheme="minorEastAsia" w:hAnsiTheme="minorEastAsia" w:eastAsiaTheme="minorEastAsia"/>
          <w:bCs/>
          <w:i/>
          <w:color w:val="auto"/>
          <w:szCs w:val="21"/>
        </w:rPr>
        <w:t>本项目启用的条款在“编列内容规定”栏内以“■”标注。</w:t>
      </w:r>
    </w:p>
    <w:tbl>
      <w:tblPr>
        <w:tblStyle w:val="41"/>
        <w:tblW w:w="878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709"/>
        <w:gridCol w:w="1559"/>
        <w:gridCol w:w="4820"/>
      </w:tblGrid>
      <w:tr w14:paraId="5DCB224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01" w:type="dxa"/>
            <w:tcBorders>
              <w:top w:val="double" w:color="auto" w:sz="4" w:space="0"/>
              <w:bottom w:val="single" w:color="auto" w:sz="6" w:space="0"/>
            </w:tcBorders>
          </w:tcPr>
          <w:p w14:paraId="429E7B27">
            <w:pPr>
              <w:adjustRightInd w:val="0"/>
              <w:snapToGrid w:val="0"/>
              <w:spacing w:before="120" w:beforeLines="50"/>
              <w:jc w:val="center"/>
              <w:rPr>
                <w:b/>
                <w:color w:val="auto"/>
              </w:rPr>
            </w:pPr>
            <w:r>
              <w:rPr>
                <w:rFonts w:hint="eastAsia"/>
                <w:b/>
                <w:color w:val="auto"/>
              </w:rPr>
              <w:t>条款号</w:t>
            </w:r>
          </w:p>
        </w:tc>
        <w:tc>
          <w:tcPr>
            <w:tcW w:w="2268" w:type="dxa"/>
            <w:gridSpan w:val="2"/>
            <w:tcBorders>
              <w:top w:val="double" w:color="auto" w:sz="4" w:space="0"/>
              <w:bottom w:val="single" w:color="auto" w:sz="6" w:space="0"/>
            </w:tcBorders>
          </w:tcPr>
          <w:p w14:paraId="54E76CC5">
            <w:pPr>
              <w:adjustRightInd w:val="0"/>
              <w:snapToGrid w:val="0"/>
              <w:spacing w:before="120" w:beforeLines="50"/>
              <w:jc w:val="center"/>
              <w:rPr>
                <w:b/>
                <w:color w:val="auto"/>
              </w:rPr>
            </w:pPr>
            <w:r>
              <w:rPr>
                <w:rFonts w:hint="eastAsia"/>
                <w:b/>
                <w:color w:val="auto"/>
              </w:rPr>
              <w:t>条款名称</w:t>
            </w:r>
          </w:p>
        </w:tc>
        <w:tc>
          <w:tcPr>
            <w:tcW w:w="4820" w:type="dxa"/>
            <w:tcBorders>
              <w:top w:val="double" w:color="auto" w:sz="4" w:space="0"/>
              <w:bottom w:val="single" w:color="auto" w:sz="6" w:space="0"/>
            </w:tcBorders>
          </w:tcPr>
          <w:p w14:paraId="4D44A718">
            <w:pPr>
              <w:adjustRightInd w:val="0"/>
              <w:snapToGrid w:val="0"/>
              <w:spacing w:before="120" w:beforeLines="50"/>
              <w:jc w:val="center"/>
              <w:rPr>
                <w:b/>
                <w:color w:val="auto"/>
              </w:rPr>
            </w:pPr>
            <w:r>
              <w:rPr>
                <w:rFonts w:hint="eastAsia"/>
                <w:b/>
                <w:color w:val="auto"/>
              </w:rPr>
              <w:t>编列内容规定</w:t>
            </w:r>
          </w:p>
        </w:tc>
      </w:tr>
      <w:tr w14:paraId="6F00F9C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01" w:type="dxa"/>
            <w:tcBorders>
              <w:top w:val="single" w:color="auto" w:sz="6" w:space="0"/>
              <w:bottom w:val="single" w:color="auto" w:sz="6" w:space="0"/>
            </w:tcBorders>
            <w:vAlign w:val="center"/>
          </w:tcPr>
          <w:p w14:paraId="54EEE079">
            <w:pPr>
              <w:adjustRightInd w:val="0"/>
              <w:snapToGrid w:val="0"/>
              <w:spacing w:before="120" w:beforeLines="50"/>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第1.3</w:t>
            </w:r>
            <w:r>
              <w:rPr>
                <w:rFonts w:hint="eastAsia" w:cs="宋体" w:asciiTheme="minorEastAsia" w:hAnsiTheme="minorEastAsia" w:eastAsiaTheme="minorEastAsia"/>
                <w:color w:val="auto"/>
                <w:kern w:val="0"/>
                <w:szCs w:val="21"/>
                <w:lang w:val="zh-CN"/>
              </w:rPr>
              <w:t>款</w:t>
            </w:r>
          </w:p>
        </w:tc>
        <w:tc>
          <w:tcPr>
            <w:tcW w:w="2268" w:type="dxa"/>
            <w:gridSpan w:val="2"/>
            <w:tcBorders>
              <w:top w:val="single" w:color="auto" w:sz="6" w:space="0"/>
              <w:bottom w:val="single" w:color="auto" w:sz="6" w:space="0"/>
            </w:tcBorders>
            <w:vAlign w:val="center"/>
          </w:tcPr>
          <w:p w14:paraId="6B266443">
            <w:pPr>
              <w:adjustRightInd w:val="0"/>
              <w:snapToGrid w:val="0"/>
              <w:spacing w:before="120" w:beforeLines="50"/>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评标方法</w:t>
            </w:r>
          </w:p>
        </w:tc>
        <w:tc>
          <w:tcPr>
            <w:tcW w:w="4820" w:type="dxa"/>
            <w:tcBorders>
              <w:top w:val="single" w:color="auto" w:sz="6" w:space="0"/>
              <w:bottom w:val="single" w:color="auto" w:sz="6" w:space="0"/>
            </w:tcBorders>
            <w:vAlign w:val="center"/>
          </w:tcPr>
          <w:p w14:paraId="3AE1442B">
            <w:pPr>
              <w:adjustRightInd w:val="0"/>
              <w:snapToGrid w:val="0"/>
              <w:rPr>
                <w:color w:val="auto"/>
                <w:szCs w:val="21"/>
              </w:rPr>
            </w:pPr>
            <w:r>
              <w:rPr>
                <w:rFonts w:hint="eastAsia"/>
                <w:color w:val="auto"/>
                <w:szCs w:val="21"/>
              </w:rPr>
              <w:t>综合评分法</w:t>
            </w:r>
          </w:p>
        </w:tc>
      </w:tr>
      <w:tr w14:paraId="15E27DC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01" w:type="dxa"/>
            <w:tcBorders>
              <w:top w:val="single" w:color="auto" w:sz="6" w:space="0"/>
              <w:bottom w:val="single" w:color="auto" w:sz="6" w:space="0"/>
            </w:tcBorders>
            <w:vAlign w:val="center"/>
          </w:tcPr>
          <w:p w14:paraId="137AAD5F">
            <w:pPr>
              <w:adjustRightInd w:val="0"/>
              <w:snapToGrid w:val="0"/>
              <w:spacing w:before="120" w:beforeLines="50"/>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第3.4</w:t>
            </w:r>
            <w:r>
              <w:rPr>
                <w:rFonts w:hint="eastAsia" w:cs="宋体" w:asciiTheme="minorEastAsia" w:hAnsiTheme="minorEastAsia" w:eastAsiaTheme="minorEastAsia"/>
                <w:color w:val="auto"/>
                <w:kern w:val="0"/>
                <w:szCs w:val="21"/>
                <w:lang w:val="zh-CN"/>
              </w:rPr>
              <w:t>款</w:t>
            </w:r>
          </w:p>
        </w:tc>
        <w:tc>
          <w:tcPr>
            <w:tcW w:w="2268" w:type="dxa"/>
            <w:gridSpan w:val="2"/>
            <w:tcBorders>
              <w:top w:val="single" w:color="auto" w:sz="6" w:space="0"/>
              <w:bottom w:val="single" w:color="auto" w:sz="6" w:space="0"/>
            </w:tcBorders>
            <w:vAlign w:val="center"/>
          </w:tcPr>
          <w:p w14:paraId="6459CEFB">
            <w:pPr>
              <w:adjustRightInd w:val="0"/>
              <w:snapToGrid w:val="0"/>
              <w:spacing w:before="120" w:beforeLines="50"/>
              <w:jc w:val="center"/>
              <w:rPr>
                <w:rFonts w:asciiTheme="minorEastAsia" w:hAnsiTheme="minorEastAsia" w:eastAsiaTheme="minorEastAsia"/>
                <w:b/>
                <w:bCs/>
                <w:color w:val="auto"/>
                <w:szCs w:val="21"/>
              </w:rPr>
            </w:pPr>
            <w:r>
              <w:rPr>
                <w:rFonts w:hint="eastAsia" w:asciiTheme="minorEastAsia" w:hAnsiTheme="minorEastAsia" w:eastAsiaTheme="minorEastAsia"/>
                <w:color w:val="auto"/>
                <w:szCs w:val="21"/>
              </w:rPr>
              <w:t>非单一产品采购项目的核心产品</w:t>
            </w:r>
          </w:p>
        </w:tc>
        <w:tc>
          <w:tcPr>
            <w:tcW w:w="4820" w:type="dxa"/>
            <w:tcBorders>
              <w:top w:val="single" w:color="auto" w:sz="6" w:space="0"/>
              <w:bottom w:val="single" w:color="auto" w:sz="6" w:space="0"/>
            </w:tcBorders>
            <w:vAlign w:val="center"/>
          </w:tcPr>
          <w:p w14:paraId="6466593C">
            <w:pPr>
              <w:adjustRightInd w:val="0"/>
              <w:snapToGrid w:val="0"/>
              <w:rPr>
                <w:color w:val="auto"/>
                <w:szCs w:val="21"/>
              </w:rPr>
            </w:pPr>
            <w:r>
              <w:rPr>
                <w:rFonts w:hint="eastAsia"/>
                <w:color w:val="auto"/>
                <w:szCs w:val="21"/>
              </w:rPr>
              <w:t>□核心产品：\</w:t>
            </w:r>
          </w:p>
          <w:p w14:paraId="457A3BC5">
            <w:pPr>
              <w:adjustRightInd w:val="0"/>
              <w:snapToGrid w:val="0"/>
              <w:rPr>
                <w:color w:val="auto"/>
                <w:szCs w:val="21"/>
              </w:rPr>
            </w:pPr>
            <w:r>
              <w:rPr>
                <w:rFonts w:hint="eastAsia"/>
                <w:color w:val="auto"/>
                <w:szCs w:val="21"/>
              </w:rPr>
              <w:t>任一核心产品出现品牌相同的，按一家投标人认定，根据本章5.2款规定处理。</w:t>
            </w:r>
          </w:p>
          <w:p w14:paraId="7D53E0C2">
            <w:pPr>
              <w:adjustRightInd w:val="0"/>
              <w:snapToGrid w:val="0"/>
              <w:rPr>
                <w:color w:val="auto"/>
                <w:szCs w:val="21"/>
              </w:rPr>
            </w:pPr>
            <w:r>
              <w:rPr>
                <w:rFonts w:hint="eastAsia"/>
                <w:color w:val="auto"/>
                <w:szCs w:val="21"/>
              </w:rPr>
              <w:t>□相同品牌产品的价格总和均超过该项目包各自投标总价60%的，按一家投标人认定，根据本章5.2款规定处理。</w:t>
            </w:r>
          </w:p>
        </w:tc>
      </w:tr>
      <w:tr w14:paraId="086E510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01" w:type="dxa"/>
            <w:tcBorders>
              <w:top w:val="single" w:color="auto" w:sz="6" w:space="0"/>
              <w:bottom w:val="single" w:color="auto" w:sz="6" w:space="0"/>
            </w:tcBorders>
            <w:vAlign w:val="center"/>
          </w:tcPr>
          <w:p w14:paraId="2CFFBBD2">
            <w:pPr>
              <w:adjustRightInd w:val="0"/>
              <w:snapToGrid w:val="0"/>
              <w:spacing w:before="120" w:beforeLines="50"/>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第4.2</w:t>
            </w:r>
            <w:r>
              <w:rPr>
                <w:rFonts w:hint="eastAsia" w:cs="宋体" w:asciiTheme="minorEastAsia" w:hAnsiTheme="minorEastAsia" w:eastAsiaTheme="minorEastAsia"/>
                <w:color w:val="auto"/>
                <w:kern w:val="0"/>
                <w:szCs w:val="21"/>
                <w:lang w:val="zh-CN"/>
              </w:rPr>
              <w:t>款</w:t>
            </w:r>
          </w:p>
        </w:tc>
        <w:tc>
          <w:tcPr>
            <w:tcW w:w="2268" w:type="dxa"/>
            <w:gridSpan w:val="2"/>
            <w:tcBorders>
              <w:top w:val="single" w:color="auto" w:sz="6" w:space="0"/>
              <w:bottom w:val="single" w:color="auto" w:sz="6" w:space="0"/>
            </w:tcBorders>
            <w:vAlign w:val="center"/>
          </w:tcPr>
          <w:p w14:paraId="69D5252D">
            <w:pPr>
              <w:adjustRightInd w:val="0"/>
              <w:snapToGrid w:val="0"/>
              <w:spacing w:before="120" w:beforeLines="50"/>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投标文件报价出现前后不一致的修正</w:t>
            </w:r>
          </w:p>
        </w:tc>
        <w:tc>
          <w:tcPr>
            <w:tcW w:w="4820" w:type="dxa"/>
            <w:tcBorders>
              <w:top w:val="single" w:color="auto" w:sz="6" w:space="0"/>
              <w:bottom w:val="single" w:color="auto" w:sz="6" w:space="0"/>
            </w:tcBorders>
            <w:vAlign w:val="center"/>
          </w:tcPr>
          <w:p w14:paraId="310030E6">
            <w:pPr>
              <w:adjustRightInd w:val="0"/>
              <w:snapToGrid w:val="0"/>
              <w:rPr>
                <w:color w:val="auto"/>
                <w:szCs w:val="21"/>
              </w:rPr>
            </w:pPr>
            <w:r>
              <w:rPr>
                <w:rFonts w:hint="eastAsia"/>
                <w:color w:val="auto"/>
                <w:szCs w:val="21"/>
              </w:rPr>
              <w:t>根据《政府采购货物和服务招标投标管理办法》（财政部令第87号）第五十九条的规定予以修正：</w:t>
            </w:r>
          </w:p>
          <w:p w14:paraId="6F60C390">
            <w:pPr>
              <w:adjustRightInd w:val="0"/>
              <w:snapToGrid w:val="0"/>
              <w:rPr>
                <w:color w:val="auto"/>
                <w:szCs w:val="21"/>
              </w:rPr>
            </w:pPr>
            <w:r>
              <w:rPr>
                <w:rFonts w:hint="eastAsia"/>
                <w:color w:val="auto"/>
                <w:szCs w:val="21"/>
              </w:rPr>
              <w:t>第五十九条投标文件报价出现前后不一致的，除招标文件另有规定外，按照下列规定修正：</w:t>
            </w:r>
          </w:p>
          <w:p w14:paraId="6E3B6D9C">
            <w:pPr>
              <w:adjustRightInd w:val="0"/>
              <w:snapToGrid w:val="0"/>
              <w:rPr>
                <w:color w:val="auto"/>
                <w:szCs w:val="21"/>
              </w:rPr>
            </w:pPr>
            <w:r>
              <w:rPr>
                <w:rFonts w:hint="eastAsia"/>
                <w:color w:val="auto"/>
                <w:szCs w:val="21"/>
              </w:rPr>
              <w:t>（1）投标文件中开标一览表内容与投标文件中相应内容不一致的，以开标一览表为准；</w:t>
            </w:r>
          </w:p>
          <w:p w14:paraId="78E8F513">
            <w:pPr>
              <w:adjustRightInd w:val="0"/>
              <w:snapToGrid w:val="0"/>
              <w:rPr>
                <w:color w:val="auto"/>
                <w:szCs w:val="21"/>
              </w:rPr>
            </w:pPr>
            <w:r>
              <w:rPr>
                <w:rFonts w:hint="eastAsia"/>
                <w:color w:val="auto"/>
                <w:szCs w:val="21"/>
              </w:rPr>
              <w:t>（2）大写金额和小写金额不一致的，以大写金额为准；</w:t>
            </w:r>
          </w:p>
          <w:p w14:paraId="1C0EE067">
            <w:pPr>
              <w:adjustRightInd w:val="0"/>
              <w:snapToGrid w:val="0"/>
              <w:rPr>
                <w:color w:val="auto"/>
                <w:szCs w:val="21"/>
              </w:rPr>
            </w:pPr>
            <w:r>
              <w:rPr>
                <w:rFonts w:hint="eastAsia"/>
                <w:color w:val="auto"/>
                <w:szCs w:val="21"/>
              </w:rPr>
              <w:t>（3）单价金额小数点或者百分比有明显错位的，以开标一览表的总价为准，并修改单价；</w:t>
            </w:r>
          </w:p>
          <w:p w14:paraId="01C384B2">
            <w:pPr>
              <w:adjustRightInd w:val="0"/>
              <w:snapToGrid w:val="0"/>
              <w:rPr>
                <w:color w:val="auto"/>
                <w:szCs w:val="21"/>
              </w:rPr>
            </w:pPr>
            <w:r>
              <w:rPr>
                <w:rFonts w:hint="eastAsia"/>
                <w:color w:val="auto"/>
                <w:szCs w:val="21"/>
              </w:rPr>
              <w:t>（4）总价金额与按单价汇总金额不一致的，以单价金额计算结果为准。</w:t>
            </w:r>
          </w:p>
          <w:p w14:paraId="44C659C2">
            <w:pPr>
              <w:adjustRightInd w:val="0"/>
              <w:snapToGrid w:val="0"/>
              <w:rPr>
                <w:color w:val="auto"/>
                <w:szCs w:val="21"/>
              </w:rPr>
            </w:pPr>
            <w:r>
              <w:rPr>
                <w:rFonts w:hint="eastAsia"/>
                <w:color w:val="auto"/>
                <w:szCs w:val="21"/>
              </w:rPr>
              <w:t>同时出现两种以上不一致的，按照前款规定的顺序修正。修正后的报价按照本办法第五十一条第二款的规定经投标人确认后产生约束力，投标人不确认的，其投标无效。</w:t>
            </w:r>
          </w:p>
        </w:tc>
      </w:tr>
      <w:tr w14:paraId="586615D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01" w:type="dxa"/>
            <w:tcBorders>
              <w:top w:val="single" w:color="auto" w:sz="6" w:space="0"/>
              <w:bottom w:val="single" w:color="auto" w:sz="6" w:space="0"/>
            </w:tcBorders>
            <w:vAlign w:val="center"/>
          </w:tcPr>
          <w:p w14:paraId="0B284DF2">
            <w:pPr>
              <w:adjustRightInd w:val="0"/>
              <w:snapToGrid w:val="0"/>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第5.2（1）</w:t>
            </w:r>
            <w:r>
              <w:rPr>
                <w:rFonts w:hint="eastAsia" w:cs="宋体" w:asciiTheme="minorEastAsia" w:hAnsiTheme="minorEastAsia" w:eastAsiaTheme="minorEastAsia"/>
                <w:color w:val="auto"/>
                <w:kern w:val="0"/>
                <w:szCs w:val="21"/>
                <w:lang w:val="zh-CN"/>
              </w:rPr>
              <w:t>项</w:t>
            </w:r>
          </w:p>
        </w:tc>
        <w:tc>
          <w:tcPr>
            <w:tcW w:w="2268" w:type="dxa"/>
            <w:gridSpan w:val="2"/>
            <w:tcBorders>
              <w:top w:val="single" w:color="auto" w:sz="6" w:space="0"/>
              <w:bottom w:val="single" w:color="auto" w:sz="6" w:space="0"/>
            </w:tcBorders>
            <w:vAlign w:val="center"/>
          </w:tcPr>
          <w:p w14:paraId="2442F7CF">
            <w:pPr>
              <w:adjustRightInd w:val="0"/>
              <w:snapToGrid w:val="0"/>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相同品牌产品投标报价相同的</w:t>
            </w:r>
          </w:p>
          <w:p w14:paraId="38299133">
            <w:pPr>
              <w:adjustRightInd w:val="0"/>
              <w:snapToGrid w:val="0"/>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（最低评标价适用）</w:t>
            </w:r>
          </w:p>
        </w:tc>
        <w:tc>
          <w:tcPr>
            <w:tcW w:w="4820" w:type="dxa"/>
            <w:tcBorders>
              <w:top w:val="single" w:color="auto" w:sz="6" w:space="0"/>
              <w:bottom w:val="single" w:color="auto" w:sz="6" w:space="0"/>
            </w:tcBorders>
            <w:vAlign w:val="center"/>
          </w:tcPr>
          <w:p w14:paraId="2DB41291">
            <w:pPr>
              <w:adjustRightInd w:val="0"/>
              <w:snapToGrid w:val="0"/>
              <w:rPr>
                <w:color w:val="auto"/>
                <w:szCs w:val="21"/>
              </w:rPr>
            </w:pPr>
            <w:r>
              <w:rPr>
                <w:rFonts w:hint="eastAsia"/>
                <w:color w:val="auto"/>
                <w:szCs w:val="21"/>
              </w:rPr>
              <w:t>□扣除后的投标报价相同时，按投标报价由低至高排序；投标报价相同的，按优先采购排列；无法区分的，按技术指标优劣排序。（本项目不适用）</w:t>
            </w:r>
          </w:p>
          <w:p w14:paraId="703911A0">
            <w:pPr>
              <w:adjustRightInd w:val="0"/>
              <w:snapToGrid w:val="0"/>
              <w:rPr>
                <w:color w:val="auto"/>
                <w:szCs w:val="21"/>
              </w:rPr>
            </w:pPr>
            <w:r>
              <w:rPr>
                <w:rFonts w:hint="eastAsia"/>
                <w:color w:val="auto"/>
                <w:szCs w:val="21"/>
              </w:rPr>
              <w:t>□随机抽取</w:t>
            </w:r>
          </w:p>
        </w:tc>
      </w:tr>
      <w:tr w14:paraId="7016D74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01" w:type="dxa"/>
            <w:tcBorders>
              <w:top w:val="single" w:color="auto" w:sz="6" w:space="0"/>
              <w:bottom w:val="single" w:color="auto" w:sz="6" w:space="0"/>
            </w:tcBorders>
            <w:vAlign w:val="center"/>
          </w:tcPr>
          <w:p w14:paraId="5F61D178">
            <w:pPr>
              <w:adjustRightInd w:val="0"/>
              <w:snapToGrid w:val="0"/>
              <w:spacing w:before="120" w:beforeLines="50"/>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第5.2（2）</w:t>
            </w:r>
            <w:r>
              <w:rPr>
                <w:rFonts w:hint="eastAsia" w:cs="宋体" w:asciiTheme="minorEastAsia" w:hAnsiTheme="minorEastAsia" w:eastAsiaTheme="minorEastAsia"/>
                <w:color w:val="auto"/>
                <w:kern w:val="0"/>
                <w:szCs w:val="21"/>
                <w:lang w:val="zh-CN"/>
              </w:rPr>
              <w:t>项</w:t>
            </w:r>
          </w:p>
        </w:tc>
        <w:tc>
          <w:tcPr>
            <w:tcW w:w="2268" w:type="dxa"/>
            <w:gridSpan w:val="2"/>
            <w:tcBorders>
              <w:top w:val="single" w:color="auto" w:sz="6" w:space="0"/>
              <w:bottom w:val="single" w:color="auto" w:sz="6" w:space="0"/>
            </w:tcBorders>
            <w:vAlign w:val="center"/>
          </w:tcPr>
          <w:p w14:paraId="46ADD10B">
            <w:pPr>
              <w:adjustRightInd w:val="0"/>
              <w:snapToGrid w:val="0"/>
              <w:spacing w:before="120" w:beforeLines="50"/>
              <w:jc w:val="center"/>
              <w:rPr>
                <w:rFonts w:asciiTheme="minorEastAsia" w:hAnsiTheme="minorEastAsia" w:eastAsiaTheme="minorEastAsia"/>
                <w:bCs/>
                <w:color w:val="auto"/>
                <w:szCs w:val="21"/>
              </w:rPr>
            </w:pPr>
            <w:r>
              <w:rPr>
                <w:rFonts w:hint="eastAsia" w:asciiTheme="minorEastAsia" w:hAnsiTheme="minorEastAsia" w:eastAsiaTheme="minorEastAsia"/>
                <w:bCs/>
                <w:color w:val="auto"/>
                <w:szCs w:val="21"/>
              </w:rPr>
              <w:t>相同品牌产品评审得分相同的规定</w:t>
            </w:r>
          </w:p>
          <w:p w14:paraId="153974C8">
            <w:pPr>
              <w:adjustRightInd w:val="0"/>
              <w:snapToGrid w:val="0"/>
              <w:spacing w:before="120" w:beforeLines="50"/>
              <w:jc w:val="center"/>
              <w:rPr>
                <w:rFonts w:asciiTheme="minorEastAsia" w:hAnsiTheme="minorEastAsia" w:eastAsiaTheme="minorEastAsia"/>
                <w:bCs/>
                <w:color w:val="auto"/>
                <w:szCs w:val="21"/>
              </w:rPr>
            </w:pPr>
            <w:r>
              <w:rPr>
                <w:rFonts w:hint="eastAsia" w:asciiTheme="minorEastAsia" w:hAnsiTheme="minorEastAsia" w:eastAsiaTheme="minorEastAsia"/>
                <w:color w:val="auto"/>
                <w:szCs w:val="21"/>
              </w:rPr>
              <w:t>（综合评分法适用）</w:t>
            </w:r>
          </w:p>
        </w:tc>
        <w:tc>
          <w:tcPr>
            <w:tcW w:w="4820" w:type="dxa"/>
            <w:tcBorders>
              <w:top w:val="single" w:color="auto" w:sz="6" w:space="0"/>
              <w:bottom w:val="single" w:color="auto" w:sz="6" w:space="0"/>
            </w:tcBorders>
            <w:vAlign w:val="center"/>
          </w:tcPr>
          <w:p w14:paraId="5841D1B4">
            <w:pPr>
              <w:adjustRightInd w:val="0"/>
              <w:snapToGrid w:val="0"/>
              <w:rPr>
                <w:b/>
                <w:bCs/>
                <w:color w:val="auto"/>
                <w:szCs w:val="21"/>
              </w:rPr>
            </w:pPr>
            <w:r>
              <w:rPr>
                <w:rFonts w:hint="eastAsia"/>
                <w:b/>
                <w:bCs/>
                <w:color w:val="auto"/>
                <w:szCs w:val="21"/>
              </w:rPr>
              <w:t>综合评分法：提供相同品牌产品且通过资格审查、符合性审查的不同投标人参加同一合同项下投标的，评审后得分最高的同品牌投标人获得中标人推荐资格，投标报价也相同的，采取随机抽取方式确定，其他同品牌投标人不作为中标候选人。</w:t>
            </w:r>
          </w:p>
        </w:tc>
      </w:tr>
      <w:tr w14:paraId="6F8F234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01" w:type="dxa"/>
            <w:tcBorders>
              <w:top w:val="single" w:color="auto" w:sz="6" w:space="0"/>
              <w:bottom w:val="single" w:color="auto" w:sz="6" w:space="0"/>
            </w:tcBorders>
            <w:vAlign w:val="center"/>
          </w:tcPr>
          <w:p w14:paraId="374EC146">
            <w:pPr>
              <w:adjustRightInd w:val="0"/>
              <w:snapToGrid w:val="0"/>
              <w:spacing w:before="120" w:beforeLines="50"/>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第5.3（1）</w:t>
            </w:r>
            <w:r>
              <w:rPr>
                <w:rFonts w:hint="eastAsia" w:cs="宋体" w:asciiTheme="minorEastAsia" w:hAnsiTheme="minorEastAsia" w:eastAsiaTheme="minorEastAsia"/>
                <w:color w:val="auto"/>
                <w:kern w:val="0"/>
                <w:szCs w:val="21"/>
                <w:lang w:val="zh-CN"/>
              </w:rPr>
              <w:t>项</w:t>
            </w:r>
          </w:p>
        </w:tc>
        <w:tc>
          <w:tcPr>
            <w:tcW w:w="2268" w:type="dxa"/>
            <w:gridSpan w:val="2"/>
            <w:tcBorders>
              <w:top w:val="single" w:color="auto" w:sz="6" w:space="0"/>
              <w:bottom w:val="single" w:color="auto" w:sz="6" w:space="0"/>
            </w:tcBorders>
            <w:vAlign w:val="center"/>
          </w:tcPr>
          <w:p w14:paraId="635970AC">
            <w:pPr>
              <w:adjustRightInd w:val="0"/>
              <w:snapToGrid w:val="0"/>
              <w:spacing w:before="120" w:beforeLines="50"/>
              <w:jc w:val="center"/>
              <w:rPr>
                <w:rFonts w:asciiTheme="minorEastAsia" w:hAnsiTheme="minorEastAsia" w:eastAsiaTheme="minorEastAsia"/>
                <w:bCs/>
                <w:color w:val="auto"/>
                <w:szCs w:val="21"/>
              </w:rPr>
            </w:pPr>
            <w:r>
              <w:rPr>
                <w:rFonts w:hint="eastAsia" w:asciiTheme="minorEastAsia" w:hAnsiTheme="minorEastAsia" w:eastAsiaTheme="minorEastAsia"/>
                <w:color w:val="auto"/>
                <w:szCs w:val="21"/>
              </w:rPr>
              <w:t>价格评审优惠</w:t>
            </w:r>
          </w:p>
        </w:tc>
        <w:tc>
          <w:tcPr>
            <w:tcW w:w="4820" w:type="dxa"/>
            <w:tcBorders>
              <w:top w:val="single" w:color="auto" w:sz="6" w:space="0"/>
              <w:bottom w:val="single" w:color="auto" w:sz="6" w:space="0"/>
            </w:tcBorders>
            <w:vAlign w:val="center"/>
          </w:tcPr>
          <w:p w14:paraId="794452F1">
            <w:pPr>
              <w:adjustRightInd w:val="0"/>
              <w:snapToGrid w:val="0"/>
              <w:rPr>
                <w:rFonts w:asciiTheme="minorEastAsia" w:hAnsiTheme="minorEastAsia" w:eastAsiaTheme="minorEastAsia"/>
                <w:color w:val="auto"/>
                <w:szCs w:val="21"/>
              </w:rPr>
            </w:pPr>
            <w:r>
              <w:rPr>
                <w:rFonts w:asciiTheme="minorEastAsia" w:hAnsiTheme="minorEastAsia" w:eastAsiaTheme="minorEastAsia"/>
                <w:color w:val="auto"/>
                <w:szCs w:val="21"/>
              </w:rPr>
              <w:t>1</w:t>
            </w:r>
            <w:r>
              <w:rPr>
                <w:rFonts w:hint="eastAsia" w:asciiTheme="minorEastAsia" w:hAnsiTheme="minorEastAsia" w:eastAsiaTheme="minorEastAsia"/>
                <w:color w:val="auto"/>
                <w:szCs w:val="21"/>
              </w:rPr>
              <w:t>、在货物采购项目中，供应商提供产品均为小、微企业制造的，价格给予</w:t>
            </w:r>
            <w:r>
              <w:rPr>
                <w:rFonts w:asciiTheme="minorEastAsia" w:hAnsiTheme="minorEastAsia" w:eastAsiaTheme="minorEastAsia"/>
                <w:color w:val="auto"/>
                <w:szCs w:val="21"/>
              </w:rPr>
              <w:t>10%-20%</w:t>
            </w:r>
            <w:r>
              <w:rPr>
                <w:rFonts w:hint="eastAsia" w:asciiTheme="minorEastAsia" w:hAnsiTheme="minorEastAsia" w:eastAsiaTheme="minorEastAsia"/>
                <w:color w:val="auto"/>
                <w:szCs w:val="21"/>
              </w:rPr>
              <w:t>的扣除，用扣除后的价格参与评审，本项目具体扣除比例为：价格部分</w:t>
            </w:r>
            <w:r>
              <w:rPr>
                <w:rFonts w:hint="eastAsia" w:asciiTheme="minorEastAsia" w:hAnsiTheme="minorEastAsia" w:eastAsiaTheme="minorEastAsia"/>
                <w:color w:val="auto"/>
                <w:szCs w:val="21"/>
                <w:u w:val="single"/>
              </w:rPr>
              <w:t xml:space="preserve"> 10% </w:t>
            </w:r>
            <w:r>
              <w:rPr>
                <w:rFonts w:hint="eastAsia" w:asciiTheme="minorEastAsia" w:hAnsiTheme="minorEastAsia" w:eastAsiaTheme="minorEastAsia"/>
                <w:color w:val="auto"/>
                <w:szCs w:val="21"/>
              </w:rPr>
              <w:t>。其中提供产品有大中型企业制造的，不享受扶持政策。</w:t>
            </w:r>
          </w:p>
          <w:p w14:paraId="4D2EED4C">
            <w:pPr>
              <w:adjustRightInd w:val="0"/>
              <w:snapToGrid w:val="0"/>
              <w:rPr>
                <w:rFonts w:asciiTheme="minorEastAsia" w:hAnsiTheme="minorEastAsia" w:eastAsiaTheme="minorEastAsia"/>
                <w:color w:val="auto"/>
                <w:szCs w:val="21"/>
              </w:rPr>
            </w:pPr>
            <w:r>
              <w:rPr>
                <w:rFonts w:asciiTheme="minorEastAsia" w:hAnsiTheme="minorEastAsia" w:eastAsiaTheme="minorEastAsia"/>
                <w:color w:val="auto"/>
                <w:szCs w:val="21"/>
              </w:rPr>
              <w:t>2</w:t>
            </w:r>
            <w:r>
              <w:rPr>
                <w:rFonts w:hint="eastAsia" w:asciiTheme="minorEastAsia" w:hAnsiTheme="minorEastAsia" w:eastAsiaTheme="minorEastAsia"/>
                <w:color w:val="auto"/>
                <w:szCs w:val="21"/>
              </w:rPr>
              <w:t>、以上企业不属于大企业的分支机构，不存在控股股东为大企业的情形，也不存在于大企业的负责人为同一人的情形。</w:t>
            </w:r>
          </w:p>
          <w:p w14:paraId="1C525F4B">
            <w:pPr>
              <w:adjustRightInd w:val="0"/>
              <w:snapToGrid w:val="0"/>
              <w:rPr>
                <w:rFonts w:asciiTheme="minorEastAsia" w:hAnsiTheme="minorEastAsia" w:eastAsiaTheme="minorEastAsia"/>
                <w:color w:val="auto"/>
                <w:szCs w:val="21"/>
              </w:rPr>
            </w:pPr>
            <w:r>
              <w:rPr>
                <w:rFonts w:asciiTheme="minorEastAsia" w:hAnsiTheme="minorEastAsia" w:eastAsiaTheme="minorEastAsia"/>
                <w:color w:val="auto"/>
                <w:szCs w:val="21"/>
              </w:rPr>
              <w:t>3</w:t>
            </w:r>
            <w:r>
              <w:rPr>
                <w:rFonts w:hint="eastAsia" w:asciiTheme="minorEastAsia" w:hAnsiTheme="minorEastAsia" w:eastAsiaTheme="minorEastAsia"/>
                <w:color w:val="auto"/>
                <w:szCs w:val="21"/>
              </w:rPr>
              <w:t>、投标文件必须按招标文件要求提供</w:t>
            </w:r>
            <w:r>
              <w:rPr>
                <w:rFonts w:asciiTheme="minorEastAsia" w:hAnsiTheme="minorEastAsia" w:eastAsiaTheme="minorEastAsia"/>
                <w:color w:val="auto"/>
                <w:szCs w:val="21"/>
              </w:rPr>
              <w:t>“</w:t>
            </w:r>
            <w:r>
              <w:rPr>
                <w:rFonts w:hint="eastAsia" w:asciiTheme="minorEastAsia" w:hAnsiTheme="minorEastAsia" w:eastAsiaTheme="minorEastAsia"/>
                <w:color w:val="auto"/>
                <w:szCs w:val="21"/>
              </w:rPr>
              <w:t>享受政府采购政策优惠的证明材料</w:t>
            </w:r>
            <w:r>
              <w:rPr>
                <w:rFonts w:asciiTheme="minorEastAsia" w:hAnsiTheme="minorEastAsia" w:eastAsiaTheme="minorEastAsia"/>
                <w:color w:val="auto"/>
                <w:szCs w:val="21"/>
              </w:rPr>
              <w:t>”</w:t>
            </w:r>
            <w:r>
              <w:rPr>
                <w:rFonts w:hint="eastAsia" w:asciiTheme="minorEastAsia" w:hAnsiTheme="minorEastAsia" w:eastAsiaTheme="minorEastAsia"/>
                <w:color w:val="auto"/>
                <w:szCs w:val="21"/>
              </w:rPr>
              <w:t>，否则评审时不予以考虑。</w:t>
            </w:r>
          </w:p>
          <w:p w14:paraId="1F1E7C31">
            <w:pPr>
              <w:adjustRightInd w:val="0"/>
              <w:snapToGrid w:val="0"/>
              <w:rPr>
                <w:color w:val="auto"/>
                <w:szCs w:val="21"/>
              </w:rPr>
            </w:pPr>
            <w:r>
              <w:rPr>
                <w:rFonts w:asciiTheme="minorEastAsia" w:hAnsiTheme="minorEastAsia" w:eastAsiaTheme="minorEastAsia"/>
                <w:color w:val="auto"/>
                <w:szCs w:val="21"/>
              </w:rPr>
              <w:t>4</w:t>
            </w:r>
            <w:r>
              <w:rPr>
                <w:rFonts w:hint="eastAsia" w:asciiTheme="minorEastAsia" w:hAnsiTheme="minorEastAsia" w:eastAsiaTheme="minorEastAsia"/>
                <w:color w:val="auto"/>
                <w:szCs w:val="21"/>
              </w:rPr>
              <w:t>、监狱企业、残疾人福利性单位视同小型、微型企业。</w:t>
            </w:r>
          </w:p>
        </w:tc>
      </w:tr>
      <w:tr w14:paraId="3394703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245" w:hRule="atLeast"/>
        </w:trPr>
        <w:tc>
          <w:tcPr>
            <w:tcW w:w="1701" w:type="dxa"/>
            <w:vMerge w:val="restart"/>
            <w:tcBorders>
              <w:top w:val="single" w:color="auto" w:sz="6" w:space="0"/>
              <w:right w:val="single" w:color="auto" w:sz="6" w:space="0"/>
            </w:tcBorders>
            <w:vAlign w:val="center"/>
          </w:tcPr>
          <w:p w14:paraId="6148BBC5">
            <w:pPr>
              <w:adjustRightInd w:val="0"/>
              <w:snapToGrid w:val="0"/>
              <w:spacing w:before="120" w:beforeLines="50"/>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第5.3（2）</w:t>
            </w:r>
            <w:r>
              <w:rPr>
                <w:rFonts w:hint="eastAsia" w:cs="宋体" w:asciiTheme="minorEastAsia" w:hAnsiTheme="minorEastAsia" w:eastAsiaTheme="minorEastAsia"/>
                <w:color w:val="auto"/>
                <w:kern w:val="0"/>
                <w:szCs w:val="21"/>
                <w:lang w:val="zh-CN"/>
              </w:rPr>
              <w:t>项</w:t>
            </w:r>
          </w:p>
        </w:tc>
        <w:tc>
          <w:tcPr>
            <w:tcW w:w="709" w:type="dxa"/>
            <w:vMerge w:val="restart"/>
            <w:tcBorders>
              <w:top w:val="single" w:color="auto" w:sz="6" w:space="0"/>
              <w:left w:val="single" w:color="auto" w:sz="6" w:space="0"/>
              <w:right w:val="single" w:color="auto" w:sz="6" w:space="0"/>
            </w:tcBorders>
            <w:vAlign w:val="center"/>
          </w:tcPr>
          <w:p w14:paraId="3E586D47">
            <w:pPr>
              <w:adjustRightInd w:val="0"/>
              <w:snapToGrid w:val="0"/>
              <w:spacing w:before="120" w:beforeLines="50"/>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优先采购</w:t>
            </w:r>
          </w:p>
        </w:tc>
        <w:tc>
          <w:tcPr>
            <w:tcW w:w="1559" w:type="dxa"/>
            <w:vMerge w:val="restart"/>
            <w:tcBorders>
              <w:top w:val="single" w:color="auto" w:sz="6" w:space="0"/>
              <w:left w:val="single" w:color="auto" w:sz="6" w:space="0"/>
              <w:right w:val="single" w:color="auto" w:sz="6" w:space="0"/>
            </w:tcBorders>
            <w:vAlign w:val="center"/>
          </w:tcPr>
          <w:p w14:paraId="6165082B">
            <w:pPr>
              <w:adjustRightInd w:val="0"/>
              <w:snapToGrid w:val="0"/>
              <w:spacing w:before="120" w:beforeLines="50"/>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节能产品或环境标志产品</w:t>
            </w:r>
          </w:p>
        </w:tc>
        <w:tc>
          <w:tcPr>
            <w:tcW w:w="4820" w:type="dxa"/>
            <w:tcBorders>
              <w:top w:val="single" w:color="auto" w:sz="6" w:space="0"/>
              <w:left w:val="single" w:color="auto" w:sz="6" w:space="0"/>
              <w:bottom w:val="single" w:color="auto" w:sz="4" w:space="0"/>
            </w:tcBorders>
            <w:vAlign w:val="center"/>
          </w:tcPr>
          <w:p w14:paraId="7BF74F7B">
            <w:pPr>
              <w:adjustRightInd w:val="0"/>
              <w:snapToGrid w:val="0"/>
              <w:rPr>
                <w:rFonts w:asciiTheme="minorEastAsia" w:hAnsiTheme="minorEastAsia" w:eastAsiaTheme="minorEastAsia"/>
                <w:color w:val="auto"/>
                <w:szCs w:val="21"/>
              </w:rPr>
            </w:pPr>
            <w:r>
              <w:rPr>
                <w:rFonts w:asciiTheme="minorEastAsia" w:hAnsiTheme="minorEastAsia" w:eastAsiaTheme="minorEastAsia"/>
                <w:color w:val="auto"/>
                <w:szCs w:val="21"/>
              </w:rPr>
              <w:t>①非强制采购节能产品：</w:t>
            </w:r>
            <w:r>
              <w:rPr>
                <w:rFonts w:hint="eastAsia" w:asciiTheme="minorEastAsia" w:hAnsiTheme="minorEastAsia" w:eastAsiaTheme="minorEastAsia"/>
                <w:color w:val="auto"/>
                <w:szCs w:val="21"/>
              </w:rPr>
              <w:t>对于技术和价格分，应分别给予4%-8%的加分。本项目具体加分比例分别为：技术4%、价格4%。</w:t>
            </w:r>
          </w:p>
          <w:p w14:paraId="59B1172B">
            <w:pPr>
              <w:adjustRightInd w:val="0"/>
              <w:snapToGrid w:val="0"/>
              <w:rPr>
                <w:rFonts w:asciiTheme="minorEastAsia" w:hAnsiTheme="minorEastAsia" w:eastAsiaTheme="minorEastAsia"/>
                <w:color w:val="auto"/>
                <w:szCs w:val="21"/>
              </w:rPr>
            </w:pPr>
            <w:r>
              <w:rPr>
                <w:rFonts w:hint="eastAsia" w:asciiTheme="minorEastAsia" w:hAnsiTheme="minorEastAsia" w:eastAsiaTheme="minorEastAsia"/>
                <w:color w:val="auto"/>
                <w:szCs w:val="21"/>
              </w:rPr>
              <w:t>价格加分＝价格分值×加分比例×（节能产品报价÷总报价）</w:t>
            </w:r>
          </w:p>
          <w:p w14:paraId="79D2C5A1">
            <w:pPr>
              <w:adjustRightInd w:val="0"/>
              <w:snapToGrid w:val="0"/>
              <w:rPr>
                <w:rFonts w:asciiTheme="minorEastAsia" w:hAnsiTheme="minorEastAsia" w:eastAsiaTheme="minorEastAsia"/>
                <w:color w:val="auto"/>
                <w:szCs w:val="21"/>
              </w:rPr>
            </w:pPr>
            <w:r>
              <w:rPr>
                <w:rFonts w:hint="eastAsia" w:asciiTheme="minorEastAsia" w:hAnsiTheme="minorEastAsia" w:eastAsiaTheme="minorEastAsia"/>
                <w:color w:val="auto"/>
                <w:szCs w:val="21"/>
              </w:rPr>
              <w:t>投标人须如实填写并提供“节能产品”清单提供清单中该产品所在页复印件或相应证书。</w:t>
            </w:r>
          </w:p>
          <w:p w14:paraId="25F498BE">
            <w:pPr>
              <w:adjustRightInd w:val="0"/>
              <w:snapToGrid w:val="0"/>
              <w:rPr>
                <w:rFonts w:asciiTheme="minorEastAsia" w:hAnsiTheme="minorEastAsia" w:eastAsiaTheme="minorEastAsia"/>
                <w:color w:val="auto"/>
                <w:szCs w:val="21"/>
              </w:rPr>
            </w:pPr>
            <w:r>
              <w:rPr>
                <w:rFonts w:hint="eastAsia" w:asciiTheme="minorEastAsia" w:hAnsiTheme="minorEastAsia" w:eastAsiaTheme="minorEastAsia"/>
                <w:color w:val="auto"/>
                <w:szCs w:val="21"/>
              </w:rPr>
              <w:t>注：非强制采购节能产品：提供国家确定的认证机构出具的、处于有效期之内的节能产品认证证书（复印件）。</w:t>
            </w:r>
          </w:p>
        </w:tc>
      </w:tr>
      <w:tr w14:paraId="04DBC4E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3" w:hRule="atLeast"/>
        </w:trPr>
        <w:tc>
          <w:tcPr>
            <w:tcW w:w="1701" w:type="dxa"/>
            <w:vMerge w:val="continue"/>
            <w:tcBorders>
              <w:right w:val="single" w:color="auto" w:sz="6" w:space="0"/>
            </w:tcBorders>
            <w:vAlign w:val="center"/>
          </w:tcPr>
          <w:p w14:paraId="60A0BFFF">
            <w:pPr>
              <w:adjustRightInd w:val="0"/>
              <w:snapToGrid w:val="0"/>
              <w:spacing w:before="120" w:beforeLines="50"/>
              <w:jc w:val="center"/>
              <w:rPr>
                <w:rFonts w:asciiTheme="minorEastAsia" w:hAnsiTheme="minorEastAsia" w:eastAsiaTheme="minorEastAsia"/>
                <w:color w:val="auto"/>
                <w:szCs w:val="21"/>
              </w:rPr>
            </w:pPr>
          </w:p>
        </w:tc>
        <w:tc>
          <w:tcPr>
            <w:tcW w:w="709" w:type="dxa"/>
            <w:vMerge w:val="continue"/>
            <w:tcBorders>
              <w:left w:val="single" w:color="auto" w:sz="6" w:space="0"/>
              <w:right w:val="single" w:color="auto" w:sz="6" w:space="0"/>
            </w:tcBorders>
            <w:vAlign w:val="center"/>
          </w:tcPr>
          <w:p w14:paraId="11F27C52">
            <w:pPr>
              <w:adjustRightInd w:val="0"/>
              <w:snapToGrid w:val="0"/>
              <w:spacing w:before="120" w:beforeLines="50"/>
              <w:jc w:val="center"/>
              <w:rPr>
                <w:rFonts w:asciiTheme="minorEastAsia" w:hAnsiTheme="minorEastAsia" w:eastAsiaTheme="minorEastAsia"/>
                <w:color w:val="auto"/>
                <w:szCs w:val="21"/>
              </w:rPr>
            </w:pPr>
          </w:p>
        </w:tc>
        <w:tc>
          <w:tcPr>
            <w:tcW w:w="1559" w:type="dxa"/>
            <w:vMerge w:val="continue"/>
            <w:tcBorders>
              <w:left w:val="single" w:color="auto" w:sz="6" w:space="0"/>
              <w:right w:val="single" w:color="auto" w:sz="6" w:space="0"/>
            </w:tcBorders>
            <w:vAlign w:val="center"/>
          </w:tcPr>
          <w:p w14:paraId="1E9811BC">
            <w:pPr>
              <w:adjustRightInd w:val="0"/>
              <w:snapToGrid w:val="0"/>
              <w:spacing w:before="120" w:beforeLines="50"/>
              <w:jc w:val="center"/>
              <w:rPr>
                <w:rFonts w:asciiTheme="minorEastAsia" w:hAnsiTheme="minorEastAsia" w:eastAsiaTheme="minorEastAsia"/>
                <w:color w:val="auto"/>
                <w:szCs w:val="21"/>
              </w:rPr>
            </w:pPr>
          </w:p>
        </w:tc>
        <w:tc>
          <w:tcPr>
            <w:tcW w:w="4820" w:type="dxa"/>
            <w:tcBorders>
              <w:top w:val="single" w:color="auto" w:sz="4" w:space="0"/>
              <w:left w:val="single" w:color="auto" w:sz="6" w:space="0"/>
              <w:bottom w:val="single" w:color="auto" w:sz="4" w:space="0"/>
            </w:tcBorders>
            <w:vAlign w:val="center"/>
          </w:tcPr>
          <w:p w14:paraId="4AED18C3">
            <w:pPr>
              <w:adjustRightInd w:val="0"/>
              <w:snapToGrid w:val="0"/>
              <w:rPr>
                <w:rFonts w:asciiTheme="minorEastAsia" w:hAnsiTheme="minorEastAsia" w:eastAsiaTheme="minorEastAsia"/>
                <w:color w:val="auto"/>
                <w:szCs w:val="21"/>
              </w:rPr>
            </w:pPr>
            <w:r>
              <w:rPr>
                <w:rFonts w:asciiTheme="minorEastAsia" w:hAnsiTheme="minorEastAsia" w:eastAsiaTheme="minorEastAsia"/>
                <w:color w:val="auto"/>
                <w:szCs w:val="21"/>
              </w:rPr>
              <w:t>②环境标志产品：</w:t>
            </w:r>
            <w:r>
              <w:rPr>
                <w:rFonts w:hint="eastAsia" w:asciiTheme="minorEastAsia" w:hAnsiTheme="minorEastAsia" w:eastAsiaTheme="minorEastAsia"/>
                <w:color w:val="auto"/>
                <w:szCs w:val="21"/>
              </w:rPr>
              <w:t>对于技术和价格分，应分别给予4%-8%的加分。本项目具体加分比例分别为：技术4 %、价格4 %。投标人须如实填写并提供“环境标志产品”清单并提供清单中该产品所在页复印件或相应证书。</w:t>
            </w:r>
          </w:p>
        </w:tc>
      </w:tr>
      <w:tr w14:paraId="34CC7C9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 w:hRule="atLeast"/>
        </w:trPr>
        <w:tc>
          <w:tcPr>
            <w:tcW w:w="1701" w:type="dxa"/>
            <w:vMerge w:val="continue"/>
            <w:tcBorders>
              <w:bottom w:val="single" w:color="auto" w:sz="6" w:space="0"/>
              <w:right w:val="single" w:color="auto" w:sz="6" w:space="0"/>
            </w:tcBorders>
            <w:vAlign w:val="center"/>
          </w:tcPr>
          <w:p w14:paraId="7E1DF0D6">
            <w:pPr>
              <w:adjustRightInd w:val="0"/>
              <w:snapToGrid w:val="0"/>
              <w:spacing w:before="120" w:beforeLines="50"/>
              <w:jc w:val="center"/>
              <w:rPr>
                <w:rFonts w:asciiTheme="minorEastAsia" w:hAnsiTheme="minorEastAsia" w:eastAsiaTheme="minorEastAsia"/>
                <w:color w:val="auto"/>
                <w:szCs w:val="21"/>
              </w:rPr>
            </w:pPr>
          </w:p>
        </w:tc>
        <w:tc>
          <w:tcPr>
            <w:tcW w:w="709" w:type="dxa"/>
            <w:vMerge w:val="continue"/>
            <w:tcBorders>
              <w:left w:val="single" w:color="auto" w:sz="6" w:space="0"/>
              <w:bottom w:val="single" w:color="auto" w:sz="6" w:space="0"/>
              <w:right w:val="single" w:color="auto" w:sz="6" w:space="0"/>
            </w:tcBorders>
            <w:vAlign w:val="center"/>
          </w:tcPr>
          <w:p w14:paraId="5DAD4BE9">
            <w:pPr>
              <w:adjustRightInd w:val="0"/>
              <w:snapToGrid w:val="0"/>
              <w:spacing w:before="120" w:beforeLines="50"/>
              <w:jc w:val="center"/>
              <w:rPr>
                <w:rFonts w:asciiTheme="minorEastAsia" w:hAnsiTheme="minorEastAsia" w:eastAsiaTheme="minorEastAsia"/>
                <w:color w:val="auto"/>
                <w:szCs w:val="21"/>
              </w:rPr>
            </w:pPr>
          </w:p>
        </w:tc>
        <w:tc>
          <w:tcPr>
            <w:tcW w:w="1559" w:type="dxa"/>
            <w:vMerge w:val="continue"/>
            <w:tcBorders>
              <w:left w:val="single" w:color="auto" w:sz="6" w:space="0"/>
              <w:right w:val="single" w:color="auto" w:sz="6" w:space="0"/>
            </w:tcBorders>
            <w:vAlign w:val="center"/>
          </w:tcPr>
          <w:p w14:paraId="5C460162">
            <w:pPr>
              <w:adjustRightInd w:val="0"/>
              <w:snapToGrid w:val="0"/>
              <w:spacing w:before="120" w:beforeLines="50"/>
              <w:jc w:val="center"/>
              <w:rPr>
                <w:rFonts w:asciiTheme="minorEastAsia" w:hAnsiTheme="minorEastAsia" w:eastAsiaTheme="minorEastAsia"/>
                <w:color w:val="auto"/>
                <w:szCs w:val="21"/>
              </w:rPr>
            </w:pPr>
          </w:p>
        </w:tc>
        <w:tc>
          <w:tcPr>
            <w:tcW w:w="4820" w:type="dxa"/>
            <w:tcBorders>
              <w:top w:val="single" w:color="auto" w:sz="4" w:space="0"/>
              <w:left w:val="single" w:color="auto" w:sz="6" w:space="0"/>
            </w:tcBorders>
            <w:vAlign w:val="center"/>
          </w:tcPr>
          <w:p w14:paraId="04B00158">
            <w:pPr>
              <w:adjustRightInd w:val="0"/>
              <w:snapToGrid w:val="0"/>
              <w:rPr>
                <w:rFonts w:asciiTheme="minorEastAsia" w:hAnsiTheme="minorEastAsia" w:eastAsiaTheme="minorEastAsia"/>
                <w:color w:val="auto"/>
                <w:szCs w:val="21"/>
              </w:rPr>
            </w:pPr>
            <w:r>
              <w:rPr>
                <w:rFonts w:hint="eastAsia" w:asciiTheme="minorEastAsia" w:hAnsiTheme="minorEastAsia" w:eastAsiaTheme="minorEastAsia"/>
                <w:color w:val="auto"/>
                <w:szCs w:val="21"/>
              </w:rPr>
              <w:t>具体加分计算公式为：</w:t>
            </w:r>
          </w:p>
          <w:p w14:paraId="6F30404B">
            <w:pPr>
              <w:adjustRightInd w:val="0"/>
              <w:snapToGrid w:val="0"/>
              <w:rPr>
                <w:rFonts w:asciiTheme="minorEastAsia" w:hAnsiTheme="minorEastAsia" w:eastAsiaTheme="minorEastAsia"/>
                <w:color w:val="auto"/>
                <w:szCs w:val="21"/>
              </w:rPr>
            </w:pPr>
            <w:r>
              <w:rPr>
                <w:rFonts w:hint="eastAsia" w:asciiTheme="minorEastAsia" w:hAnsiTheme="minorEastAsia" w:eastAsiaTheme="minorEastAsia"/>
                <w:color w:val="auto"/>
                <w:szCs w:val="21"/>
              </w:rPr>
              <w:t>价格加分＝价格分值×加分比例×（环境标志产品报价÷总报价）。</w:t>
            </w:r>
          </w:p>
          <w:p w14:paraId="291F6759">
            <w:pPr>
              <w:adjustRightInd w:val="0"/>
              <w:snapToGrid w:val="0"/>
              <w:rPr>
                <w:rFonts w:asciiTheme="minorEastAsia" w:hAnsiTheme="minorEastAsia" w:eastAsiaTheme="minorEastAsia"/>
                <w:color w:val="auto"/>
                <w:szCs w:val="21"/>
              </w:rPr>
            </w:pPr>
            <w:r>
              <w:rPr>
                <w:rFonts w:hint="eastAsia" w:asciiTheme="minorEastAsia" w:hAnsiTheme="minorEastAsia" w:eastAsiaTheme="minorEastAsia"/>
                <w:color w:val="auto"/>
                <w:szCs w:val="21"/>
              </w:rPr>
              <w:t>注：环境标志产品：提供国家确定的认证机构出具的、处于有效期之内的环境标志产品证书（复印件）。</w:t>
            </w:r>
          </w:p>
        </w:tc>
      </w:tr>
      <w:tr w14:paraId="16AE906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01" w:type="dxa"/>
            <w:tcBorders>
              <w:top w:val="single" w:color="auto" w:sz="6" w:space="0"/>
              <w:bottom w:val="single" w:color="auto" w:sz="6" w:space="0"/>
            </w:tcBorders>
            <w:vAlign w:val="center"/>
          </w:tcPr>
          <w:p w14:paraId="23D4ED6C">
            <w:pPr>
              <w:adjustRightInd w:val="0"/>
              <w:snapToGrid w:val="0"/>
              <w:spacing w:before="120" w:beforeLines="50"/>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第6.1</w:t>
            </w:r>
            <w:r>
              <w:rPr>
                <w:rFonts w:hint="eastAsia" w:cs="宋体" w:asciiTheme="minorEastAsia" w:hAnsiTheme="minorEastAsia" w:eastAsiaTheme="minorEastAsia"/>
                <w:color w:val="auto"/>
                <w:kern w:val="0"/>
                <w:szCs w:val="21"/>
                <w:lang w:val="zh-CN"/>
              </w:rPr>
              <w:t>款</w:t>
            </w:r>
          </w:p>
        </w:tc>
        <w:tc>
          <w:tcPr>
            <w:tcW w:w="2268" w:type="dxa"/>
            <w:gridSpan w:val="2"/>
            <w:tcBorders>
              <w:top w:val="single" w:color="auto" w:sz="6" w:space="0"/>
              <w:bottom w:val="single" w:color="auto" w:sz="6" w:space="0"/>
              <w:right w:val="single" w:color="auto" w:sz="6" w:space="0"/>
            </w:tcBorders>
            <w:vAlign w:val="center"/>
          </w:tcPr>
          <w:p w14:paraId="3AA51B08">
            <w:pPr>
              <w:adjustRightInd w:val="0"/>
              <w:snapToGrid w:val="0"/>
              <w:spacing w:before="120" w:beforeLines="50"/>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中标候选人并列的确定中标人的方式</w:t>
            </w:r>
          </w:p>
          <w:p w14:paraId="6B0AD0BA">
            <w:pPr>
              <w:adjustRightInd w:val="0"/>
              <w:snapToGrid w:val="0"/>
              <w:spacing w:before="120" w:beforeLines="50"/>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（最低评标价法适用）</w:t>
            </w:r>
          </w:p>
        </w:tc>
        <w:tc>
          <w:tcPr>
            <w:tcW w:w="4820" w:type="dxa"/>
            <w:tcBorders>
              <w:top w:val="single" w:color="auto" w:sz="6" w:space="0"/>
              <w:left w:val="single" w:color="auto" w:sz="6" w:space="0"/>
              <w:bottom w:val="single" w:color="auto" w:sz="6" w:space="0"/>
              <w:right w:val="double" w:color="auto" w:sz="4" w:space="0"/>
            </w:tcBorders>
            <w:vAlign w:val="center"/>
          </w:tcPr>
          <w:p w14:paraId="18F67312">
            <w:pPr>
              <w:autoSpaceDE w:val="0"/>
              <w:autoSpaceDN w:val="0"/>
              <w:adjustRightInd w:val="0"/>
              <w:rPr>
                <w:rFonts w:ascii="宋体" w:hAnsi="宋体"/>
                <w:color w:val="auto"/>
                <w:kern w:val="0"/>
                <w:szCs w:val="21"/>
              </w:rPr>
            </w:pPr>
            <w:r>
              <w:rPr>
                <w:rFonts w:hint="eastAsia" w:ascii="宋体" w:hAnsi="宋体" w:cs="宋体"/>
                <w:color w:val="auto"/>
                <w:kern w:val="0"/>
                <w:szCs w:val="21"/>
                <w:lang w:val="zh-CN"/>
              </w:rPr>
              <w:t>□最低评标价：按第</w:t>
            </w:r>
            <w:r>
              <w:rPr>
                <w:rFonts w:ascii="宋体" w:hAnsi="宋体"/>
                <w:color w:val="auto"/>
                <w:kern w:val="0"/>
                <w:szCs w:val="21"/>
              </w:rPr>
              <w:t>5.2</w:t>
            </w:r>
            <w:r>
              <w:rPr>
                <w:rFonts w:hint="eastAsia" w:ascii="宋体" w:hAnsi="宋体" w:cs="宋体"/>
                <w:color w:val="auto"/>
                <w:kern w:val="0"/>
                <w:szCs w:val="21"/>
                <w:lang w:val="zh-CN"/>
              </w:rPr>
              <w:t>（</w:t>
            </w:r>
            <w:r>
              <w:rPr>
                <w:rFonts w:ascii="宋体" w:hAnsi="宋体"/>
                <w:color w:val="auto"/>
                <w:kern w:val="0"/>
                <w:szCs w:val="21"/>
              </w:rPr>
              <w:t>1</w:t>
            </w:r>
            <w:r>
              <w:rPr>
                <w:rFonts w:hint="eastAsia" w:ascii="宋体" w:hAnsi="宋体" w:cs="宋体"/>
                <w:color w:val="auto"/>
                <w:kern w:val="0"/>
                <w:szCs w:val="21"/>
                <w:lang w:val="zh-CN"/>
              </w:rPr>
              <w:t>）项规定</w:t>
            </w:r>
          </w:p>
          <w:p w14:paraId="41A94AFD">
            <w:pPr>
              <w:adjustRightInd w:val="0"/>
              <w:snapToGrid w:val="0"/>
              <w:rPr>
                <w:rFonts w:asciiTheme="minorEastAsia" w:hAnsiTheme="minorEastAsia" w:eastAsiaTheme="minorEastAsia"/>
                <w:color w:val="auto"/>
                <w:szCs w:val="21"/>
              </w:rPr>
            </w:pPr>
            <w:r>
              <w:rPr>
                <w:rFonts w:hint="eastAsia" w:ascii="宋体" w:hAnsi="宋体" w:cs="宋体"/>
                <w:color w:val="auto"/>
                <w:kern w:val="0"/>
                <w:szCs w:val="21"/>
                <w:lang w:val="zh-CN"/>
              </w:rPr>
              <w:t>□随机抽取</w:t>
            </w:r>
          </w:p>
        </w:tc>
      </w:tr>
      <w:tr w14:paraId="6D6BEB6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27" w:hRule="atLeast"/>
        </w:trPr>
        <w:tc>
          <w:tcPr>
            <w:tcW w:w="1701" w:type="dxa"/>
            <w:tcBorders>
              <w:top w:val="single" w:color="auto" w:sz="6" w:space="0"/>
              <w:bottom w:val="double" w:color="auto" w:sz="4" w:space="0"/>
            </w:tcBorders>
            <w:vAlign w:val="center"/>
          </w:tcPr>
          <w:p w14:paraId="41E64D48">
            <w:pPr>
              <w:adjustRightInd w:val="0"/>
              <w:snapToGrid w:val="0"/>
              <w:spacing w:before="120" w:beforeLines="50"/>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第6.2</w:t>
            </w:r>
            <w:r>
              <w:rPr>
                <w:rFonts w:hint="eastAsia" w:cs="宋体" w:asciiTheme="minorEastAsia" w:hAnsiTheme="minorEastAsia" w:eastAsiaTheme="minorEastAsia"/>
                <w:color w:val="auto"/>
                <w:kern w:val="0"/>
                <w:szCs w:val="21"/>
                <w:lang w:val="zh-CN"/>
              </w:rPr>
              <w:t>款</w:t>
            </w:r>
          </w:p>
        </w:tc>
        <w:tc>
          <w:tcPr>
            <w:tcW w:w="2268" w:type="dxa"/>
            <w:gridSpan w:val="2"/>
            <w:tcBorders>
              <w:top w:val="single" w:color="auto" w:sz="6" w:space="0"/>
              <w:bottom w:val="double" w:color="auto" w:sz="4" w:space="0"/>
              <w:right w:val="single" w:color="auto" w:sz="6" w:space="0"/>
            </w:tcBorders>
            <w:vAlign w:val="center"/>
          </w:tcPr>
          <w:p w14:paraId="3B2F8DC9">
            <w:pPr>
              <w:adjustRightInd w:val="0"/>
              <w:snapToGrid w:val="0"/>
              <w:spacing w:before="120" w:beforeLines="50"/>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中标候选人并列的确定中标人的方式</w:t>
            </w:r>
          </w:p>
          <w:p w14:paraId="2A5F2E90">
            <w:pPr>
              <w:adjustRightInd w:val="0"/>
              <w:snapToGrid w:val="0"/>
              <w:spacing w:before="120" w:beforeLines="50"/>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（综合评分法适用）</w:t>
            </w:r>
          </w:p>
        </w:tc>
        <w:tc>
          <w:tcPr>
            <w:tcW w:w="4820" w:type="dxa"/>
            <w:tcBorders>
              <w:top w:val="single" w:color="auto" w:sz="6" w:space="0"/>
              <w:left w:val="single" w:color="auto" w:sz="6" w:space="0"/>
              <w:bottom w:val="double" w:color="auto" w:sz="4" w:space="0"/>
              <w:right w:val="double" w:color="auto" w:sz="4" w:space="0"/>
            </w:tcBorders>
            <w:vAlign w:val="center"/>
          </w:tcPr>
          <w:p w14:paraId="208A1C49">
            <w:pPr>
              <w:adjustRightInd w:val="0"/>
              <w:snapToGrid w:val="0"/>
              <w:rPr>
                <w:rFonts w:asciiTheme="minorEastAsia" w:hAnsiTheme="minorEastAsia" w:eastAsiaTheme="minorEastAsia"/>
                <w:b/>
                <w:bCs/>
                <w:color w:val="auto"/>
                <w:szCs w:val="21"/>
              </w:rPr>
            </w:pPr>
            <w:r>
              <w:rPr>
                <w:rFonts w:hint="eastAsia" w:asciiTheme="minorEastAsia" w:hAnsiTheme="minorEastAsia" w:eastAsiaTheme="minorEastAsia"/>
                <w:b/>
                <w:bCs/>
                <w:color w:val="auto"/>
                <w:szCs w:val="21"/>
              </w:rPr>
              <w:t>评标结果按评审后得分由高到低顺序排列。得分相同的，按投标报价由低到高的顺序排列；得分且投标报价相同的并列，按技术指标优劣顺序排列，技术指标也相同时，采取随机抽取的方式确定。</w:t>
            </w:r>
          </w:p>
        </w:tc>
      </w:tr>
    </w:tbl>
    <w:p w14:paraId="60334BF9">
      <w:pPr>
        <w:adjustRightInd w:val="0"/>
        <w:snapToGrid w:val="0"/>
        <w:spacing w:before="120" w:beforeLines="50" w:line="360" w:lineRule="auto"/>
        <w:ind w:firstLine="420" w:firstLineChars="200"/>
        <w:jc w:val="left"/>
        <w:rPr>
          <w:rFonts w:ascii="黑体" w:hAnsi="华文中宋" w:eastAsia="黑体"/>
          <w:b/>
          <w:color w:val="auto"/>
          <w:sz w:val="28"/>
          <w:szCs w:val="28"/>
        </w:rPr>
      </w:pPr>
      <w:r>
        <w:rPr>
          <w:rFonts w:asciiTheme="minorEastAsia" w:hAnsiTheme="minorEastAsia" w:eastAsiaTheme="minorEastAsia"/>
          <w:color w:val="auto"/>
        </w:rPr>
        <w:br w:type="page"/>
      </w:r>
    </w:p>
    <w:p w14:paraId="2AF68313">
      <w:pPr>
        <w:pStyle w:val="3"/>
        <w:keepNext w:val="0"/>
        <w:keepLines w:val="0"/>
        <w:adjustRightInd w:val="0"/>
        <w:snapToGrid w:val="0"/>
        <w:spacing w:before="120" w:beforeLines="50"/>
        <w:jc w:val="center"/>
        <w:rPr>
          <w:rFonts w:ascii="黑体" w:hAnsi="华文中宋" w:eastAsia="黑体"/>
          <w:color w:val="auto"/>
          <w:sz w:val="28"/>
          <w:szCs w:val="28"/>
        </w:rPr>
      </w:pPr>
      <w:bookmarkStart w:id="129" w:name="_Toc7197"/>
      <w:r>
        <w:rPr>
          <w:rFonts w:hint="eastAsia" w:ascii="黑体" w:hAnsi="华文中宋" w:eastAsia="黑体"/>
          <w:color w:val="auto"/>
          <w:sz w:val="28"/>
          <w:szCs w:val="28"/>
        </w:rPr>
        <w:t>第二节 评标方法及标准</w:t>
      </w:r>
      <w:bookmarkEnd w:id="129"/>
    </w:p>
    <w:p w14:paraId="4E0F2DCB">
      <w:pPr>
        <w:pStyle w:val="4"/>
        <w:keepNext w:val="0"/>
        <w:keepLines w:val="0"/>
        <w:adjustRightInd w:val="0"/>
        <w:snapToGrid w:val="0"/>
        <w:spacing w:before="120" w:beforeLines="50" w:after="0" w:line="360" w:lineRule="exact"/>
        <w:rPr>
          <w:rFonts w:ascii="黑体" w:hAnsi="黑体" w:eastAsia="黑体"/>
          <w:color w:val="auto"/>
          <w:sz w:val="24"/>
          <w:szCs w:val="24"/>
        </w:rPr>
      </w:pPr>
      <w:bookmarkStart w:id="130" w:name="_Toc21019"/>
      <w:r>
        <w:rPr>
          <w:rFonts w:hint="eastAsia" w:ascii="黑体" w:hAnsi="黑体" w:eastAsia="黑体"/>
          <w:color w:val="auto"/>
          <w:sz w:val="24"/>
          <w:szCs w:val="24"/>
        </w:rPr>
        <w:t>1．评标方法</w:t>
      </w:r>
      <w:bookmarkEnd w:id="130"/>
    </w:p>
    <w:p w14:paraId="375C9FEF">
      <w:pPr>
        <w:adjustRightInd w:val="0"/>
        <w:snapToGrid w:val="0"/>
        <w:spacing w:before="120" w:beforeLines="50" w:line="360"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1.1综合评分法，指投标文件满足招标文件全部实质性要求，且按照评审因素的量化指标评审得分最高的投标人为中标候选人的评标方法。</w:t>
      </w:r>
    </w:p>
    <w:p w14:paraId="77706FD5">
      <w:pPr>
        <w:adjustRightInd w:val="0"/>
        <w:snapToGrid w:val="0"/>
        <w:spacing w:before="120" w:beforeLines="50" w:line="360" w:lineRule="exact"/>
        <w:ind w:firstLine="420" w:firstLineChars="200"/>
        <w:jc w:val="left"/>
        <w:rPr>
          <w:rFonts w:asciiTheme="minorEastAsia" w:hAnsiTheme="minorEastAsia" w:eastAsiaTheme="minorEastAsia"/>
          <w:bCs/>
          <w:color w:val="auto"/>
          <w:szCs w:val="21"/>
        </w:rPr>
      </w:pPr>
      <w:r>
        <w:rPr>
          <w:rFonts w:hint="eastAsia" w:asciiTheme="minorEastAsia" w:hAnsiTheme="minorEastAsia" w:eastAsiaTheme="minorEastAsia"/>
          <w:bCs/>
          <w:color w:val="auto"/>
          <w:szCs w:val="21"/>
        </w:rPr>
        <w:t>1.2最低评标价法，是指投标文件满足招标文件全部实质性要求，且投标报价最低的投标人为中标候选人的评标方法。</w:t>
      </w:r>
    </w:p>
    <w:p w14:paraId="2F7F40AE">
      <w:pPr>
        <w:adjustRightInd w:val="0"/>
        <w:snapToGrid w:val="0"/>
        <w:spacing w:before="120" w:beforeLines="50" w:line="360" w:lineRule="exact"/>
        <w:ind w:firstLine="420" w:firstLineChars="200"/>
        <w:jc w:val="left"/>
        <w:rPr>
          <w:rFonts w:asciiTheme="minorEastAsia" w:hAnsiTheme="minorEastAsia" w:eastAsiaTheme="minorEastAsia"/>
          <w:bCs/>
          <w:color w:val="auto"/>
          <w:szCs w:val="21"/>
        </w:rPr>
      </w:pPr>
      <w:r>
        <w:rPr>
          <w:rFonts w:hint="eastAsia" w:asciiTheme="minorEastAsia" w:hAnsiTheme="minorEastAsia" w:eastAsiaTheme="minorEastAsia"/>
          <w:bCs/>
          <w:color w:val="auto"/>
          <w:szCs w:val="21"/>
        </w:rPr>
        <w:t>1.3本采购项目评标方法见本章第一节“评标方法及标准前附表”</w:t>
      </w:r>
      <w:r>
        <w:rPr>
          <w:rFonts w:hint="eastAsia" w:ascii="华文中宋" w:hAnsi="华文中宋" w:eastAsia="华文中宋"/>
          <w:bCs/>
          <w:color w:val="auto"/>
          <w:szCs w:val="21"/>
        </w:rPr>
        <w:t>（</w:t>
      </w:r>
      <w:r>
        <w:rPr>
          <w:rFonts w:hint="eastAsia" w:asciiTheme="minorEastAsia" w:hAnsiTheme="minorEastAsia" w:eastAsiaTheme="minorEastAsia"/>
          <w:bCs/>
          <w:color w:val="auto"/>
          <w:szCs w:val="21"/>
        </w:rPr>
        <w:t>以下简称</w:t>
      </w:r>
      <w:r>
        <w:rPr>
          <w:rFonts w:hint="eastAsia" w:asciiTheme="minorEastAsia" w:hAnsiTheme="minorEastAsia" w:eastAsiaTheme="minorEastAsia"/>
          <w:b/>
          <w:color w:val="auto"/>
          <w:szCs w:val="21"/>
        </w:rPr>
        <w:t>【评标方法及标准前附表】）</w:t>
      </w:r>
      <w:r>
        <w:rPr>
          <w:rFonts w:hint="eastAsia" w:asciiTheme="minorEastAsia" w:hAnsiTheme="minorEastAsia" w:eastAsiaTheme="minorEastAsia"/>
          <w:color w:val="auto"/>
          <w:szCs w:val="21"/>
        </w:rPr>
        <w:t>。</w:t>
      </w:r>
    </w:p>
    <w:p w14:paraId="3FE12841">
      <w:pPr>
        <w:pStyle w:val="4"/>
        <w:keepNext w:val="0"/>
        <w:keepLines w:val="0"/>
        <w:adjustRightInd w:val="0"/>
        <w:snapToGrid w:val="0"/>
        <w:spacing w:before="120" w:beforeLines="50" w:after="0" w:line="360" w:lineRule="exact"/>
        <w:rPr>
          <w:rFonts w:ascii="黑体" w:hAnsi="黑体" w:eastAsia="黑体"/>
          <w:bCs w:val="0"/>
          <w:color w:val="auto"/>
          <w:sz w:val="24"/>
          <w:szCs w:val="24"/>
        </w:rPr>
      </w:pPr>
      <w:bookmarkStart w:id="131" w:name="_Toc32027"/>
      <w:r>
        <w:rPr>
          <w:rFonts w:hint="eastAsia" w:ascii="黑体" w:hAnsi="黑体" w:eastAsia="黑体"/>
          <w:bCs w:val="0"/>
          <w:color w:val="auto"/>
          <w:sz w:val="24"/>
          <w:szCs w:val="24"/>
        </w:rPr>
        <w:t>2．评标程序</w:t>
      </w:r>
      <w:bookmarkEnd w:id="131"/>
    </w:p>
    <w:p w14:paraId="3BD225AC">
      <w:pPr>
        <w:adjustRightInd w:val="0"/>
        <w:snapToGrid w:val="0"/>
        <w:spacing w:before="120" w:beforeLines="50" w:line="360" w:lineRule="exact"/>
        <w:ind w:firstLine="420" w:firstLineChars="200"/>
        <w:jc w:val="left"/>
        <w:rPr>
          <w:rFonts w:asciiTheme="minorEastAsia" w:hAnsiTheme="minorEastAsia" w:eastAsiaTheme="minorEastAsia"/>
          <w:bCs/>
          <w:color w:val="auto"/>
          <w:szCs w:val="21"/>
        </w:rPr>
      </w:pPr>
      <w:r>
        <w:rPr>
          <w:rFonts w:hint="eastAsia" w:asciiTheme="minorEastAsia" w:hAnsiTheme="minorEastAsia" w:eastAsiaTheme="minorEastAsia"/>
          <w:bCs/>
          <w:color w:val="auto"/>
          <w:szCs w:val="21"/>
        </w:rPr>
        <w:t>2.1评标程序分为投标文件符合性审查、澄清有关问题、比较和评价、推荐中标候选人。</w:t>
      </w:r>
    </w:p>
    <w:p w14:paraId="07FC0C15">
      <w:pPr>
        <w:pStyle w:val="4"/>
        <w:keepNext w:val="0"/>
        <w:keepLines w:val="0"/>
        <w:adjustRightInd w:val="0"/>
        <w:snapToGrid w:val="0"/>
        <w:spacing w:before="120" w:beforeLines="50" w:after="0" w:line="360" w:lineRule="exact"/>
        <w:rPr>
          <w:rFonts w:ascii="黑体" w:hAnsi="黑体" w:eastAsia="黑体"/>
          <w:bCs w:val="0"/>
          <w:color w:val="auto"/>
          <w:sz w:val="24"/>
          <w:szCs w:val="24"/>
        </w:rPr>
      </w:pPr>
      <w:bookmarkStart w:id="132" w:name="_Toc24674"/>
      <w:r>
        <w:rPr>
          <w:rFonts w:hint="eastAsia" w:ascii="黑体" w:hAnsi="黑体" w:eastAsia="黑体"/>
          <w:bCs w:val="0"/>
          <w:color w:val="auto"/>
          <w:sz w:val="24"/>
          <w:szCs w:val="24"/>
        </w:rPr>
        <w:t>3．投标文件的符合性审查</w:t>
      </w:r>
      <w:bookmarkEnd w:id="132"/>
    </w:p>
    <w:p w14:paraId="6B6837E0">
      <w:pPr>
        <w:adjustRightInd w:val="0"/>
        <w:snapToGrid w:val="0"/>
        <w:spacing w:before="120" w:beforeLines="50" w:line="360"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3.1资格审查结束后，评标委员会依法按照本章第三节“投标文件的符合性审查”规定进行投标文件符合性。</w:t>
      </w:r>
    </w:p>
    <w:p w14:paraId="183479B3">
      <w:pPr>
        <w:adjustRightInd w:val="0"/>
        <w:snapToGrid w:val="0"/>
        <w:spacing w:before="120" w:beforeLines="50" w:line="360"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3.2符合性审查合格投标人少于3家的，应予废标。</w:t>
      </w:r>
    </w:p>
    <w:p w14:paraId="302D7C1B">
      <w:pPr>
        <w:adjustRightInd w:val="0"/>
        <w:snapToGrid w:val="0"/>
        <w:spacing w:before="120" w:beforeLines="50" w:line="360"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3.3单一产品采购项目：提供相同品牌产品的不同投标人参加同一合同项下投标的，按一家投标人计算。提供不同品牌产品的投标人不足三家的，应予废标。</w:t>
      </w:r>
    </w:p>
    <w:p w14:paraId="5BFED480">
      <w:pPr>
        <w:adjustRightInd w:val="0"/>
        <w:snapToGrid w:val="0"/>
        <w:spacing w:before="120" w:beforeLines="50" w:line="360"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3.4非单一产品采购项目：采购人、采购代理机构将在</w:t>
      </w:r>
      <w:r>
        <w:rPr>
          <w:rFonts w:hint="eastAsia" w:asciiTheme="minorEastAsia" w:hAnsiTheme="minorEastAsia" w:eastAsiaTheme="minorEastAsia"/>
          <w:b/>
          <w:color w:val="auto"/>
          <w:szCs w:val="21"/>
        </w:rPr>
        <w:t>【评标方法及标准前附表】</w:t>
      </w:r>
      <w:r>
        <w:rPr>
          <w:rFonts w:hint="eastAsia" w:asciiTheme="minorEastAsia" w:hAnsiTheme="minorEastAsia" w:eastAsiaTheme="minorEastAsia"/>
          <w:color w:val="auto"/>
          <w:szCs w:val="21"/>
        </w:rPr>
        <w:t>中载明核心产品。多家投标人提供的核心产品品牌相同的，视为相同品牌，按本章本节第3.3款规定处理。</w:t>
      </w:r>
    </w:p>
    <w:p w14:paraId="5A2B1148">
      <w:pPr>
        <w:pStyle w:val="4"/>
        <w:keepNext w:val="0"/>
        <w:keepLines w:val="0"/>
        <w:adjustRightInd w:val="0"/>
        <w:snapToGrid w:val="0"/>
        <w:spacing w:before="120" w:beforeLines="50" w:after="0" w:line="360" w:lineRule="exact"/>
        <w:rPr>
          <w:rFonts w:ascii="黑体" w:hAnsi="黑体" w:eastAsia="黑体"/>
          <w:bCs w:val="0"/>
          <w:color w:val="auto"/>
          <w:sz w:val="24"/>
          <w:szCs w:val="24"/>
        </w:rPr>
      </w:pPr>
      <w:bookmarkStart w:id="133" w:name="_Toc26669"/>
      <w:r>
        <w:rPr>
          <w:rFonts w:hint="eastAsia" w:ascii="黑体" w:hAnsi="黑体" w:eastAsia="黑体"/>
          <w:bCs w:val="0"/>
          <w:color w:val="auto"/>
          <w:sz w:val="24"/>
          <w:szCs w:val="24"/>
        </w:rPr>
        <w:t>4．投标文件的澄清</w:t>
      </w:r>
      <w:bookmarkEnd w:id="133"/>
    </w:p>
    <w:p w14:paraId="4142EEBE">
      <w:pPr>
        <w:adjustRightInd w:val="0"/>
        <w:snapToGrid w:val="0"/>
        <w:spacing w:before="120" w:beforeLines="50" w:line="360"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4.1对于投标文件中含义不明确、同类问题表述不一致或者有明显文字和计算错误的内容，评标委员会应当以书面形式要求投标人作出必要的澄清、说明或者补正。</w:t>
      </w:r>
    </w:p>
    <w:p w14:paraId="3FCDC4F7">
      <w:pPr>
        <w:adjustRightInd w:val="0"/>
        <w:snapToGrid w:val="0"/>
        <w:spacing w:before="120" w:beforeLines="50" w:line="360"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4.2投标文件的投标报价出现前后不一致的，除</w:t>
      </w:r>
      <w:r>
        <w:rPr>
          <w:rFonts w:hint="eastAsia" w:asciiTheme="minorEastAsia" w:hAnsiTheme="minorEastAsia" w:eastAsiaTheme="minorEastAsia"/>
          <w:b/>
          <w:color w:val="auto"/>
          <w:szCs w:val="21"/>
        </w:rPr>
        <w:t>【评标方法及标准前附表】</w:t>
      </w:r>
      <w:r>
        <w:rPr>
          <w:rFonts w:hint="eastAsia" w:asciiTheme="minorEastAsia" w:hAnsiTheme="minorEastAsia" w:eastAsiaTheme="minorEastAsia"/>
          <w:color w:val="auto"/>
          <w:szCs w:val="21"/>
        </w:rPr>
        <w:t>另有规定外，按照下列规定修正：</w:t>
      </w:r>
    </w:p>
    <w:p w14:paraId="540A1EAE">
      <w:pPr>
        <w:adjustRightInd w:val="0"/>
        <w:snapToGrid w:val="0"/>
        <w:spacing w:before="120" w:beforeLines="50" w:line="360"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（1）投标文件中开标一览表内容与投标文件中相应内容不一致的，以开标一览表为准；</w:t>
      </w:r>
    </w:p>
    <w:p w14:paraId="2347E915">
      <w:pPr>
        <w:adjustRightInd w:val="0"/>
        <w:snapToGrid w:val="0"/>
        <w:spacing w:before="120" w:beforeLines="50" w:line="360"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（2）大写金额和小写金额不一致的，以大写金额为准；</w:t>
      </w:r>
    </w:p>
    <w:p w14:paraId="18C58560">
      <w:pPr>
        <w:adjustRightInd w:val="0"/>
        <w:snapToGrid w:val="0"/>
        <w:spacing w:before="120" w:beforeLines="50" w:line="360"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（3）单价金额小数点或者百分比有明显错位的，以开标一览表的总价为准，并修改单价；</w:t>
      </w:r>
    </w:p>
    <w:p w14:paraId="6C9A76EF">
      <w:pPr>
        <w:adjustRightInd w:val="0"/>
        <w:snapToGrid w:val="0"/>
        <w:spacing w:before="120" w:beforeLines="50" w:line="360"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（4）总价金额与按单价汇总金额不一致的，以单价金额计算结果为准。</w:t>
      </w:r>
    </w:p>
    <w:p w14:paraId="7CD19E77">
      <w:pPr>
        <w:adjustRightInd w:val="0"/>
        <w:snapToGrid w:val="0"/>
        <w:spacing w:before="120" w:beforeLines="50" w:line="360"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4.3投标文件报价同时出现两种以上不一致的，按照前款规定的顺序修正。修正后的报价由投标人代表签字或者加盖单位章确认后产生约束力，投标人不确认的，其投标无效。</w:t>
      </w:r>
    </w:p>
    <w:p w14:paraId="10B92DF3">
      <w:pPr>
        <w:adjustRightInd w:val="0"/>
        <w:snapToGrid w:val="0"/>
        <w:spacing w:before="120" w:beforeLines="50" w:line="360"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4.4投标人的澄清、说明或者补正应当采用书面形式，并加盖公章，或者由法定代表人或其授权的代表签字，并按评标委员会的通知要求递交。投标人的澄清、说明或者补正不得超出投标文件的范围或者改变投标文件的实质性内容。</w:t>
      </w:r>
    </w:p>
    <w:p w14:paraId="2B247A5A">
      <w:pPr>
        <w:adjustRightInd w:val="0"/>
        <w:snapToGrid w:val="0"/>
        <w:spacing w:before="120" w:beforeLines="50" w:line="360"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4.5有效的书面澄清材料，是投标文件的补充材料，成为投标文件的组成部分。</w:t>
      </w:r>
    </w:p>
    <w:p w14:paraId="31769594">
      <w:pPr>
        <w:adjustRightInd w:val="0"/>
        <w:snapToGrid w:val="0"/>
        <w:spacing w:before="120" w:beforeLines="50" w:line="360"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4.6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投标无效处理。</w:t>
      </w:r>
    </w:p>
    <w:p w14:paraId="2D55222A">
      <w:pPr>
        <w:pStyle w:val="4"/>
        <w:keepNext w:val="0"/>
        <w:keepLines w:val="0"/>
        <w:adjustRightInd w:val="0"/>
        <w:snapToGrid w:val="0"/>
        <w:spacing w:before="120" w:beforeLines="50" w:after="0" w:line="360" w:lineRule="exact"/>
        <w:rPr>
          <w:rFonts w:ascii="黑体" w:hAnsi="黑体" w:eastAsia="黑体"/>
          <w:bCs w:val="0"/>
          <w:color w:val="auto"/>
          <w:sz w:val="24"/>
          <w:szCs w:val="24"/>
        </w:rPr>
      </w:pPr>
      <w:bookmarkStart w:id="134" w:name="_Toc24726"/>
      <w:r>
        <w:rPr>
          <w:rFonts w:hint="eastAsia" w:ascii="黑体" w:hAnsi="黑体" w:eastAsia="黑体"/>
          <w:bCs w:val="0"/>
          <w:color w:val="auto"/>
          <w:sz w:val="24"/>
          <w:szCs w:val="24"/>
        </w:rPr>
        <w:t>5．投标文件的比较与评价</w:t>
      </w:r>
      <w:bookmarkEnd w:id="134"/>
    </w:p>
    <w:p w14:paraId="360C5F1A">
      <w:pPr>
        <w:adjustRightInd w:val="0"/>
        <w:snapToGrid w:val="0"/>
        <w:spacing w:before="120" w:beforeLines="50" w:line="360" w:lineRule="exact"/>
        <w:ind w:firstLine="420" w:firstLineChars="200"/>
        <w:jc w:val="left"/>
        <w:rPr>
          <w:rFonts w:asciiTheme="minorEastAsia" w:hAnsiTheme="minorEastAsia" w:eastAsiaTheme="minorEastAsia"/>
          <w:bCs/>
          <w:color w:val="auto"/>
          <w:szCs w:val="21"/>
        </w:rPr>
      </w:pPr>
      <w:r>
        <w:rPr>
          <w:rFonts w:hint="eastAsia" w:asciiTheme="minorEastAsia" w:hAnsiTheme="minorEastAsia" w:eastAsiaTheme="minorEastAsia"/>
          <w:bCs/>
          <w:color w:val="auto"/>
          <w:szCs w:val="21"/>
        </w:rPr>
        <w:t>5.1评标委员会依法按照本章第三节“投标文件的比较与评价”规定，对资格性审查和符合性审查合格的投标文件进行比较和评价。</w:t>
      </w:r>
    </w:p>
    <w:p w14:paraId="13A94AFB">
      <w:pPr>
        <w:adjustRightInd w:val="0"/>
        <w:snapToGrid w:val="0"/>
        <w:spacing w:before="120" w:beforeLines="50" w:line="360" w:lineRule="exact"/>
        <w:ind w:firstLine="420" w:firstLineChars="200"/>
        <w:jc w:val="left"/>
        <w:rPr>
          <w:rFonts w:asciiTheme="minorEastAsia" w:hAnsiTheme="minorEastAsia" w:eastAsiaTheme="minorEastAsia"/>
          <w:bCs/>
          <w:color w:val="auto"/>
          <w:szCs w:val="21"/>
        </w:rPr>
      </w:pPr>
      <w:r>
        <w:rPr>
          <w:rFonts w:hint="eastAsia" w:asciiTheme="minorEastAsia" w:hAnsiTheme="minorEastAsia" w:eastAsiaTheme="minorEastAsia"/>
          <w:bCs/>
          <w:color w:val="auto"/>
          <w:szCs w:val="21"/>
        </w:rPr>
        <w:t>5.2单一产品采购项目：</w:t>
      </w:r>
    </w:p>
    <w:p w14:paraId="60AE2D30">
      <w:pPr>
        <w:adjustRightInd w:val="0"/>
        <w:snapToGrid w:val="0"/>
        <w:spacing w:before="120" w:beforeLines="50" w:line="360" w:lineRule="exact"/>
        <w:ind w:firstLine="420" w:firstLineChars="200"/>
        <w:jc w:val="left"/>
        <w:rPr>
          <w:rFonts w:asciiTheme="minorEastAsia" w:hAnsiTheme="minorEastAsia" w:eastAsiaTheme="minorEastAsia"/>
          <w:bCs/>
          <w:color w:val="auto"/>
          <w:szCs w:val="21"/>
        </w:rPr>
      </w:pPr>
      <w:r>
        <w:rPr>
          <w:rFonts w:hint="eastAsia" w:asciiTheme="minorEastAsia" w:hAnsiTheme="minorEastAsia" w:eastAsiaTheme="minorEastAsia"/>
          <w:color w:val="auto"/>
          <w:szCs w:val="21"/>
        </w:rPr>
        <w:t>（1）最低评标价法：</w:t>
      </w:r>
      <w:r>
        <w:rPr>
          <w:rFonts w:hint="eastAsia" w:asciiTheme="minorEastAsia" w:hAnsiTheme="minorEastAsia" w:eastAsiaTheme="minorEastAsia"/>
          <w:bCs/>
          <w:color w:val="auto"/>
          <w:szCs w:val="21"/>
        </w:rPr>
        <w:t>提供相同品牌产品的不同投标人参加同一合同项下投标的，以其中通过资格审查、符合性审查且报价最低的参加评标，其他投标无效；报价相同的，按照</w:t>
      </w:r>
      <w:r>
        <w:rPr>
          <w:rFonts w:hint="eastAsia" w:asciiTheme="minorEastAsia" w:hAnsiTheme="minorEastAsia" w:eastAsiaTheme="minorEastAsia"/>
          <w:b/>
          <w:bCs/>
          <w:color w:val="auto"/>
          <w:szCs w:val="21"/>
        </w:rPr>
        <w:t>【评标方法及标准前附表】</w:t>
      </w:r>
      <w:r>
        <w:rPr>
          <w:rFonts w:hint="eastAsia" w:asciiTheme="minorEastAsia" w:hAnsiTheme="minorEastAsia" w:eastAsiaTheme="minorEastAsia"/>
          <w:bCs/>
          <w:color w:val="auto"/>
          <w:szCs w:val="21"/>
        </w:rPr>
        <w:t>规定的方式确定一个参加评标的投标人，招标文件未规定的采取随机抽取方式确定，其他</w:t>
      </w:r>
      <w:r>
        <w:rPr>
          <w:rFonts w:hint="eastAsia" w:asciiTheme="minorEastAsia" w:hAnsiTheme="minorEastAsia" w:eastAsiaTheme="minorEastAsia"/>
          <w:b/>
          <w:bCs/>
          <w:color w:val="auto"/>
          <w:szCs w:val="21"/>
        </w:rPr>
        <w:t>投标无效</w:t>
      </w:r>
      <w:r>
        <w:rPr>
          <w:rFonts w:hint="eastAsia" w:asciiTheme="minorEastAsia" w:hAnsiTheme="minorEastAsia" w:eastAsiaTheme="minorEastAsia"/>
          <w:bCs/>
          <w:color w:val="auto"/>
          <w:szCs w:val="21"/>
        </w:rPr>
        <w:t>。</w:t>
      </w:r>
    </w:p>
    <w:p w14:paraId="15087883">
      <w:pPr>
        <w:adjustRightInd w:val="0"/>
        <w:snapToGrid w:val="0"/>
        <w:spacing w:before="120" w:beforeLines="50" w:line="360"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（2）综合评分法：提供相同品牌产品且通过资格审查、符合性审查的不同投标人参加同一合同项下投标的，评审后得分最高的同品牌投标人获得中标人推荐资格；评审得分相同的，按照</w:t>
      </w:r>
      <w:r>
        <w:rPr>
          <w:rFonts w:hint="eastAsia" w:asciiTheme="minorEastAsia" w:hAnsiTheme="minorEastAsia" w:eastAsiaTheme="minorEastAsia"/>
          <w:b/>
          <w:color w:val="auto"/>
          <w:szCs w:val="21"/>
        </w:rPr>
        <w:t>【评标方法及标准前附表】</w:t>
      </w:r>
      <w:r>
        <w:rPr>
          <w:rFonts w:hint="eastAsia" w:asciiTheme="minorEastAsia" w:hAnsiTheme="minorEastAsia" w:eastAsiaTheme="minorEastAsia"/>
          <w:color w:val="auto"/>
          <w:szCs w:val="21"/>
        </w:rPr>
        <w:t>规定的方式确定一个投标人获得中标人推荐资格，招标文件未规定的采取随机抽取方式确定，其他同品牌投标人</w:t>
      </w:r>
      <w:r>
        <w:rPr>
          <w:rFonts w:hint="eastAsia" w:asciiTheme="minorEastAsia" w:hAnsiTheme="minorEastAsia" w:eastAsiaTheme="minorEastAsia"/>
          <w:b/>
          <w:color w:val="auto"/>
          <w:szCs w:val="21"/>
        </w:rPr>
        <w:t>不作为中标候选人</w:t>
      </w:r>
      <w:r>
        <w:rPr>
          <w:rFonts w:hint="eastAsia" w:asciiTheme="minorEastAsia" w:hAnsiTheme="minorEastAsia" w:eastAsiaTheme="minorEastAsia"/>
          <w:color w:val="auto"/>
          <w:szCs w:val="21"/>
        </w:rPr>
        <w:t>。</w:t>
      </w:r>
    </w:p>
    <w:p w14:paraId="0103E68D">
      <w:pPr>
        <w:adjustRightInd w:val="0"/>
        <w:snapToGrid w:val="0"/>
        <w:spacing w:before="120" w:beforeLines="50" w:line="360" w:lineRule="exact"/>
        <w:ind w:firstLine="420" w:firstLineChars="200"/>
        <w:jc w:val="left"/>
        <w:rPr>
          <w:rFonts w:asciiTheme="minorEastAsia" w:hAnsiTheme="minorEastAsia" w:eastAsiaTheme="minorEastAsia"/>
          <w:bCs/>
          <w:color w:val="auto"/>
          <w:szCs w:val="21"/>
        </w:rPr>
      </w:pPr>
      <w:r>
        <w:rPr>
          <w:rFonts w:hint="eastAsia" w:asciiTheme="minorEastAsia" w:hAnsiTheme="minorEastAsia" w:eastAsiaTheme="minorEastAsia"/>
          <w:bCs/>
          <w:color w:val="auto"/>
          <w:szCs w:val="21"/>
        </w:rPr>
        <w:t>5.3非单一产品采购项目：多家投标人提供的核心产品品牌相同的，视为相同品牌，按本章本节第 5.2 款规定处理。</w:t>
      </w:r>
    </w:p>
    <w:p w14:paraId="0DB0621A">
      <w:pPr>
        <w:adjustRightInd w:val="0"/>
        <w:snapToGrid w:val="0"/>
        <w:spacing w:before="120" w:beforeLines="50" w:line="360" w:lineRule="exact"/>
        <w:ind w:firstLine="420" w:firstLineChars="200"/>
        <w:jc w:val="left"/>
        <w:rPr>
          <w:rFonts w:asciiTheme="minorEastAsia" w:hAnsiTheme="minorEastAsia" w:eastAsiaTheme="minorEastAsia"/>
          <w:bCs/>
          <w:color w:val="auto"/>
          <w:szCs w:val="21"/>
        </w:rPr>
      </w:pPr>
      <w:r>
        <w:rPr>
          <w:rFonts w:hint="eastAsia" w:asciiTheme="minorEastAsia" w:hAnsiTheme="minorEastAsia" w:eastAsiaTheme="minorEastAsia"/>
          <w:bCs/>
          <w:color w:val="auto"/>
          <w:szCs w:val="21"/>
        </w:rPr>
        <w:t>5.4政府采购政策：</w:t>
      </w:r>
    </w:p>
    <w:p w14:paraId="42B03FBC">
      <w:pPr>
        <w:adjustRightInd w:val="0"/>
        <w:snapToGrid w:val="0"/>
        <w:spacing w:before="120" w:beforeLines="50" w:line="360" w:lineRule="exact"/>
        <w:ind w:firstLine="420" w:firstLineChars="200"/>
        <w:jc w:val="left"/>
        <w:rPr>
          <w:rFonts w:asciiTheme="minorEastAsia" w:hAnsiTheme="minorEastAsia" w:eastAsiaTheme="minorEastAsia"/>
          <w:bCs/>
          <w:color w:val="auto"/>
          <w:szCs w:val="21"/>
        </w:rPr>
      </w:pPr>
      <w:r>
        <w:rPr>
          <w:rFonts w:hint="eastAsia" w:asciiTheme="minorEastAsia" w:hAnsiTheme="minorEastAsia" w:eastAsiaTheme="minorEastAsia"/>
          <w:color w:val="auto"/>
          <w:szCs w:val="21"/>
        </w:rPr>
        <w:t>（1）</w:t>
      </w:r>
      <w:r>
        <w:rPr>
          <w:rFonts w:hint="eastAsia" w:asciiTheme="minorEastAsia" w:hAnsiTheme="minorEastAsia" w:eastAsiaTheme="minorEastAsia"/>
          <w:bCs/>
          <w:color w:val="auto"/>
          <w:szCs w:val="21"/>
        </w:rPr>
        <w:t>价格评审优惠：</w:t>
      </w:r>
      <w:r>
        <w:rPr>
          <w:rFonts w:hint="eastAsia" w:asciiTheme="minorEastAsia" w:hAnsiTheme="minorEastAsia" w:eastAsiaTheme="minorEastAsia"/>
          <w:color w:val="auto"/>
          <w:szCs w:val="21"/>
        </w:rPr>
        <w:t>按</w:t>
      </w:r>
      <w:r>
        <w:rPr>
          <w:rFonts w:hint="eastAsia" w:asciiTheme="minorEastAsia" w:hAnsiTheme="minorEastAsia" w:eastAsiaTheme="minorEastAsia"/>
          <w:b/>
          <w:color w:val="auto"/>
          <w:szCs w:val="21"/>
        </w:rPr>
        <w:t>【评标方法及标准前附表】</w:t>
      </w:r>
      <w:r>
        <w:rPr>
          <w:rFonts w:hint="eastAsia" w:asciiTheme="minorEastAsia" w:hAnsiTheme="minorEastAsia" w:eastAsiaTheme="minorEastAsia"/>
          <w:color w:val="auto"/>
          <w:szCs w:val="21"/>
        </w:rPr>
        <w:t>及第二章“投标须知”的相关规定给予一定的价格折扣。</w:t>
      </w:r>
    </w:p>
    <w:p w14:paraId="7E89EECA">
      <w:pPr>
        <w:adjustRightInd w:val="0"/>
        <w:snapToGrid w:val="0"/>
        <w:spacing w:before="120" w:beforeLines="50" w:line="360" w:lineRule="exact"/>
        <w:ind w:firstLine="420" w:firstLineChars="200"/>
        <w:jc w:val="left"/>
        <w:rPr>
          <w:rFonts w:asciiTheme="minorEastAsia" w:hAnsiTheme="minorEastAsia" w:eastAsiaTheme="minorEastAsia"/>
          <w:bCs/>
          <w:color w:val="auto"/>
          <w:szCs w:val="21"/>
        </w:rPr>
      </w:pPr>
      <w:r>
        <w:rPr>
          <w:rFonts w:hint="eastAsia" w:asciiTheme="minorEastAsia" w:hAnsiTheme="minorEastAsia" w:eastAsiaTheme="minorEastAsia"/>
          <w:color w:val="auto"/>
          <w:szCs w:val="21"/>
        </w:rPr>
        <w:t>（2）优先采购：</w:t>
      </w:r>
      <w:r>
        <w:rPr>
          <w:rFonts w:hint="eastAsia" w:asciiTheme="minorEastAsia" w:hAnsiTheme="minorEastAsia" w:eastAsiaTheme="minorEastAsia"/>
          <w:bCs/>
          <w:color w:val="auto"/>
          <w:szCs w:val="21"/>
        </w:rPr>
        <w:t>评审时按</w:t>
      </w:r>
      <w:r>
        <w:rPr>
          <w:rFonts w:hint="eastAsia" w:asciiTheme="minorEastAsia" w:hAnsiTheme="minorEastAsia" w:eastAsiaTheme="minorEastAsia"/>
          <w:b/>
          <w:color w:val="auto"/>
          <w:szCs w:val="21"/>
        </w:rPr>
        <w:t>【评标方法及标准前附表】</w:t>
      </w:r>
      <w:r>
        <w:rPr>
          <w:rFonts w:hint="eastAsia" w:asciiTheme="minorEastAsia" w:hAnsiTheme="minorEastAsia" w:eastAsiaTheme="minorEastAsia"/>
          <w:bCs/>
          <w:color w:val="auto"/>
          <w:szCs w:val="21"/>
        </w:rPr>
        <w:t>及第二章</w:t>
      </w:r>
      <w:r>
        <w:rPr>
          <w:rFonts w:hint="eastAsia" w:asciiTheme="minorEastAsia" w:hAnsiTheme="minorEastAsia" w:eastAsiaTheme="minorEastAsia"/>
          <w:color w:val="auto"/>
          <w:szCs w:val="21"/>
        </w:rPr>
        <w:t>“投标须知”</w:t>
      </w:r>
      <w:r>
        <w:rPr>
          <w:rFonts w:hint="eastAsia" w:asciiTheme="minorEastAsia" w:hAnsiTheme="minorEastAsia" w:eastAsiaTheme="minorEastAsia"/>
          <w:bCs/>
          <w:color w:val="auto"/>
          <w:szCs w:val="21"/>
        </w:rPr>
        <w:t>的相关规定给予价格折扣或者加分。</w:t>
      </w:r>
    </w:p>
    <w:p w14:paraId="0C9ABBAA">
      <w:pPr>
        <w:pStyle w:val="4"/>
        <w:keepNext w:val="0"/>
        <w:keepLines w:val="0"/>
        <w:adjustRightInd w:val="0"/>
        <w:snapToGrid w:val="0"/>
        <w:spacing w:before="120" w:beforeLines="50" w:after="0" w:line="360" w:lineRule="exact"/>
        <w:rPr>
          <w:rFonts w:ascii="黑体" w:hAnsi="黑体" w:eastAsia="黑体"/>
          <w:color w:val="auto"/>
          <w:sz w:val="24"/>
          <w:szCs w:val="24"/>
        </w:rPr>
      </w:pPr>
      <w:bookmarkStart w:id="135" w:name="_Toc6633"/>
      <w:r>
        <w:rPr>
          <w:rFonts w:hint="eastAsia" w:ascii="黑体" w:hAnsi="黑体" w:eastAsia="黑体"/>
          <w:bCs w:val="0"/>
          <w:color w:val="auto"/>
          <w:sz w:val="24"/>
          <w:szCs w:val="24"/>
        </w:rPr>
        <w:t>6．</w:t>
      </w:r>
      <w:r>
        <w:rPr>
          <w:rFonts w:hint="eastAsia" w:ascii="黑体" w:hAnsi="黑体" w:eastAsia="黑体"/>
          <w:color w:val="auto"/>
          <w:sz w:val="24"/>
          <w:szCs w:val="24"/>
        </w:rPr>
        <w:t>推荐中标候选人</w:t>
      </w:r>
      <w:bookmarkEnd w:id="135"/>
    </w:p>
    <w:p w14:paraId="271E1B09">
      <w:pPr>
        <w:adjustRightInd w:val="0"/>
        <w:snapToGrid w:val="0"/>
        <w:spacing w:before="120" w:beforeLines="50" w:line="360" w:lineRule="exact"/>
        <w:ind w:firstLine="420" w:firstLineChars="200"/>
        <w:jc w:val="left"/>
        <w:rPr>
          <w:rFonts w:asciiTheme="minorEastAsia" w:hAnsiTheme="minorEastAsia" w:eastAsiaTheme="minorEastAsia"/>
          <w:bCs/>
          <w:color w:val="auto"/>
          <w:szCs w:val="21"/>
        </w:rPr>
      </w:pPr>
      <w:r>
        <w:rPr>
          <w:rFonts w:hint="eastAsia" w:asciiTheme="minorEastAsia" w:hAnsiTheme="minorEastAsia" w:eastAsiaTheme="minorEastAsia"/>
          <w:color w:val="auto"/>
          <w:szCs w:val="21"/>
        </w:rPr>
        <w:t>6.1最低评标价法：</w:t>
      </w:r>
      <w:r>
        <w:rPr>
          <w:rFonts w:hint="eastAsia" w:asciiTheme="minorEastAsia" w:hAnsiTheme="minorEastAsia" w:eastAsiaTheme="minorEastAsia"/>
          <w:bCs/>
          <w:color w:val="auto"/>
          <w:szCs w:val="21"/>
        </w:rPr>
        <w:t>评标结果按算术修正和落实政府采购政策需进行的价格扣除后的投标报价由低到高顺序排列。报价相同的并列，按</w:t>
      </w:r>
      <w:r>
        <w:rPr>
          <w:rFonts w:hint="eastAsia" w:asciiTheme="minorEastAsia" w:hAnsiTheme="minorEastAsia" w:eastAsiaTheme="minorEastAsia"/>
          <w:b/>
          <w:color w:val="auto"/>
          <w:szCs w:val="21"/>
        </w:rPr>
        <w:t>【评标方法及标准前附表】</w:t>
      </w:r>
      <w:r>
        <w:rPr>
          <w:rFonts w:hint="eastAsia" w:asciiTheme="minorEastAsia" w:hAnsiTheme="minorEastAsia" w:eastAsiaTheme="minorEastAsia"/>
          <w:color w:val="auto"/>
          <w:szCs w:val="21"/>
        </w:rPr>
        <w:t>规定的方式确定中标人；</w:t>
      </w:r>
      <w:r>
        <w:rPr>
          <w:rFonts w:hint="eastAsia" w:asciiTheme="minorEastAsia" w:hAnsiTheme="minorEastAsia" w:eastAsiaTheme="minorEastAsia"/>
          <w:bCs/>
          <w:color w:val="auto"/>
          <w:szCs w:val="21"/>
        </w:rPr>
        <w:t>招标文件未规定的，采取随机抽取的方式确定。</w:t>
      </w:r>
    </w:p>
    <w:p w14:paraId="48FFFD8A">
      <w:pPr>
        <w:adjustRightInd w:val="0"/>
        <w:snapToGrid w:val="0"/>
        <w:spacing w:before="120" w:beforeLines="50" w:line="360" w:lineRule="exact"/>
        <w:ind w:firstLine="420" w:firstLineChars="200"/>
        <w:jc w:val="left"/>
        <w:rPr>
          <w:rFonts w:asciiTheme="minorEastAsia" w:hAnsiTheme="minorEastAsia" w:eastAsiaTheme="minorEastAsia"/>
          <w:bCs/>
          <w:color w:val="auto"/>
          <w:szCs w:val="21"/>
        </w:rPr>
      </w:pPr>
      <w:r>
        <w:rPr>
          <w:rFonts w:hint="eastAsia" w:asciiTheme="minorEastAsia" w:hAnsiTheme="minorEastAsia" w:eastAsiaTheme="minorEastAsia"/>
          <w:bCs/>
          <w:color w:val="auto"/>
          <w:szCs w:val="21"/>
        </w:rPr>
        <w:t>6.2综合评分法：评标结果按评审后得分由高到低顺序排列。得分相同的，按投标报价由低到高顺序排列。得分且投标报价相同的并列，按</w:t>
      </w:r>
      <w:r>
        <w:rPr>
          <w:rFonts w:hint="eastAsia" w:asciiTheme="minorEastAsia" w:hAnsiTheme="minorEastAsia" w:eastAsiaTheme="minorEastAsia"/>
          <w:b/>
          <w:bCs/>
          <w:color w:val="auto"/>
          <w:szCs w:val="21"/>
        </w:rPr>
        <w:t>【评标方法及标准前附表】</w:t>
      </w:r>
      <w:r>
        <w:rPr>
          <w:rFonts w:hint="eastAsia" w:asciiTheme="minorEastAsia" w:hAnsiTheme="minorEastAsia" w:eastAsiaTheme="minorEastAsia"/>
          <w:bCs/>
          <w:color w:val="auto"/>
          <w:szCs w:val="21"/>
        </w:rPr>
        <w:t>规定的方式确定中标人；招标文件未规定的，采取随机抽取的方式确定。</w:t>
      </w:r>
    </w:p>
    <w:p w14:paraId="1FAE65BC">
      <w:pPr>
        <w:pStyle w:val="4"/>
        <w:keepNext w:val="0"/>
        <w:keepLines w:val="0"/>
        <w:adjustRightInd w:val="0"/>
        <w:snapToGrid w:val="0"/>
        <w:spacing w:before="120" w:beforeLines="50" w:after="0" w:line="360" w:lineRule="exact"/>
        <w:rPr>
          <w:rFonts w:ascii="黑体" w:hAnsi="黑体" w:eastAsia="黑体"/>
          <w:color w:val="auto"/>
          <w:sz w:val="24"/>
          <w:szCs w:val="24"/>
        </w:rPr>
      </w:pPr>
      <w:bookmarkStart w:id="136" w:name="_Toc20603"/>
      <w:r>
        <w:rPr>
          <w:rFonts w:hint="eastAsia" w:ascii="黑体" w:hAnsi="黑体" w:eastAsia="黑体"/>
          <w:bCs w:val="0"/>
          <w:color w:val="auto"/>
          <w:sz w:val="24"/>
          <w:szCs w:val="24"/>
        </w:rPr>
        <w:t>7．</w:t>
      </w:r>
      <w:r>
        <w:rPr>
          <w:rFonts w:hint="eastAsia" w:ascii="黑体" w:hAnsi="黑体" w:eastAsia="黑体"/>
          <w:color w:val="auto"/>
          <w:sz w:val="24"/>
          <w:szCs w:val="24"/>
        </w:rPr>
        <w:t>编写评标报告</w:t>
      </w:r>
      <w:bookmarkEnd w:id="136"/>
    </w:p>
    <w:p w14:paraId="0081A588">
      <w:pPr>
        <w:adjustRightInd w:val="0"/>
        <w:snapToGrid w:val="0"/>
        <w:spacing w:before="120" w:beforeLines="50" w:line="360"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7.1评标</w:t>
      </w:r>
      <w:r>
        <w:rPr>
          <w:rFonts w:hint="eastAsia" w:asciiTheme="minorEastAsia" w:hAnsiTheme="minorEastAsia" w:eastAsiaTheme="minorEastAsia"/>
          <w:bCs/>
          <w:color w:val="auto"/>
          <w:szCs w:val="21"/>
        </w:rPr>
        <w:t>委员会</w:t>
      </w:r>
      <w:r>
        <w:rPr>
          <w:rFonts w:hint="eastAsia" w:asciiTheme="minorEastAsia" w:hAnsiTheme="minorEastAsia" w:eastAsiaTheme="minorEastAsia"/>
          <w:color w:val="auto"/>
          <w:szCs w:val="21"/>
        </w:rPr>
        <w:t>根据全体评标成员签字的原始评标记录和评标结果编写评标报告。</w:t>
      </w:r>
    </w:p>
    <w:p w14:paraId="08B809C8">
      <w:pPr>
        <w:adjustRightInd w:val="0"/>
        <w:snapToGrid w:val="0"/>
        <w:spacing w:before="120" w:beforeLines="50" w:line="360" w:lineRule="exact"/>
        <w:ind w:firstLine="420" w:firstLineChars="200"/>
        <w:jc w:val="left"/>
        <w:rPr>
          <w:rFonts w:asciiTheme="minorEastAsia" w:hAnsiTheme="minorEastAsia" w:eastAsiaTheme="minorEastAsia"/>
          <w:bCs/>
          <w:color w:val="auto"/>
          <w:szCs w:val="21"/>
        </w:rPr>
      </w:pPr>
      <w:r>
        <w:rPr>
          <w:rFonts w:hint="eastAsia" w:asciiTheme="minorEastAsia" w:hAnsiTheme="minorEastAsia" w:eastAsiaTheme="minorEastAsia"/>
          <w:color w:val="auto"/>
          <w:szCs w:val="21"/>
        </w:rPr>
        <w:t>7.2</w:t>
      </w:r>
      <w:r>
        <w:rPr>
          <w:rFonts w:hint="eastAsia" w:asciiTheme="minorEastAsia" w:hAnsiTheme="minorEastAsia" w:eastAsiaTheme="minorEastAsia"/>
          <w:bCs/>
          <w:color w:val="auto"/>
          <w:szCs w:val="21"/>
        </w:rPr>
        <w:t>评标委员会成员对需要共同认定的事项存在争议的，应当按照少数服从多数的原则作出结论。持不同意见的评标委员会成员应当在评标报告上签署不同意见及理由，否则视为同意评标报告。</w:t>
      </w:r>
    </w:p>
    <w:p w14:paraId="175BFA0D">
      <w:pPr>
        <w:pStyle w:val="4"/>
        <w:keepNext w:val="0"/>
        <w:keepLines w:val="0"/>
        <w:adjustRightInd w:val="0"/>
        <w:snapToGrid w:val="0"/>
        <w:spacing w:before="120" w:beforeLines="50" w:after="0" w:line="360" w:lineRule="exact"/>
        <w:rPr>
          <w:rFonts w:ascii="黑体" w:hAnsi="黑体" w:eastAsia="黑体"/>
          <w:bCs w:val="0"/>
          <w:color w:val="auto"/>
          <w:sz w:val="24"/>
          <w:szCs w:val="24"/>
        </w:rPr>
      </w:pPr>
      <w:bookmarkStart w:id="137" w:name="_Toc26264"/>
      <w:r>
        <w:rPr>
          <w:rFonts w:hint="eastAsia" w:ascii="黑体" w:hAnsi="黑体" w:eastAsia="黑体"/>
          <w:bCs w:val="0"/>
          <w:color w:val="auto"/>
          <w:sz w:val="24"/>
          <w:szCs w:val="24"/>
        </w:rPr>
        <w:t>8．</w:t>
      </w:r>
      <w:r>
        <w:rPr>
          <w:rFonts w:hint="eastAsia" w:ascii="黑体" w:hAnsi="黑体" w:eastAsia="黑体"/>
          <w:color w:val="auto"/>
          <w:sz w:val="24"/>
          <w:szCs w:val="24"/>
        </w:rPr>
        <w:t>评标报告</w:t>
      </w:r>
      <w:r>
        <w:rPr>
          <w:rFonts w:hint="eastAsia" w:ascii="黑体" w:hAnsi="黑体" w:eastAsia="黑体"/>
          <w:bCs w:val="0"/>
          <w:color w:val="auto"/>
          <w:sz w:val="24"/>
          <w:szCs w:val="24"/>
        </w:rPr>
        <w:t>复核</w:t>
      </w:r>
      <w:bookmarkEnd w:id="137"/>
    </w:p>
    <w:p w14:paraId="3E949323">
      <w:pPr>
        <w:adjustRightInd w:val="0"/>
        <w:snapToGrid w:val="0"/>
        <w:spacing w:before="120" w:beforeLines="50" w:line="360" w:lineRule="exact"/>
        <w:ind w:firstLine="420" w:firstLineChars="200"/>
        <w:jc w:val="left"/>
        <w:rPr>
          <w:rFonts w:asciiTheme="minorEastAsia" w:hAnsiTheme="minorEastAsia" w:eastAsiaTheme="minorEastAsia"/>
          <w:bCs/>
          <w:color w:val="auto"/>
          <w:szCs w:val="21"/>
        </w:rPr>
      </w:pPr>
      <w:r>
        <w:rPr>
          <w:rFonts w:hint="eastAsia" w:asciiTheme="minorEastAsia" w:hAnsiTheme="minorEastAsia" w:eastAsiaTheme="minorEastAsia"/>
          <w:bCs/>
          <w:color w:val="auto"/>
          <w:szCs w:val="21"/>
        </w:rPr>
        <w:t>8.1汇总结束后，评标委员会应当进行复核，特别要对拟推荐为中标候选供应商的、报价最低的、投标文件被认定为无效的进行重点复核。</w:t>
      </w:r>
    </w:p>
    <w:p w14:paraId="64DD6FB4">
      <w:pPr>
        <w:adjustRightInd w:val="0"/>
        <w:snapToGrid w:val="0"/>
        <w:spacing w:before="120" w:beforeLines="50" w:line="360" w:lineRule="exact"/>
        <w:ind w:firstLine="420" w:firstLineChars="200"/>
        <w:jc w:val="left"/>
        <w:rPr>
          <w:rFonts w:asciiTheme="minorEastAsia" w:hAnsiTheme="minorEastAsia" w:eastAsiaTheme="minorEastAsia"/>
          <w:bCs/>
          <w:color w:val="auto"/>
          <w:szCs w:val="21"/>
        </w:rPr>
      </w:pPr>
      <w:r>
        <w:rPr>
          <w:rFonts w:hint="eastAsia" w:asciiTheme="minorEastAsia" w:hAnsiTheme="minorEastAsia" w:eastAsiaTheme="minorEastAsia"/>
          <w:bCs/>
          <w:color w:val="auto"/>
          <w:szCs w:val="21"/>
        </w:rPr>
        <w:t>8.2汇总完成后，除下列情形外，任何人不得修改评标结果：</w:t>
      </w:r>
    </w:p>
    <w:p w14:paraId="1E134793">
      <w:pPr>
        <w:adjustRightInd w:val="0"/>
        <w:snapToGrid w:val="0"/>
        <w:spacing w:before="120" w:beforeLines="50" w:line="360" w:lineRule="exact"/>
        <w:ind w:firstLine="420" w:firstLineChars="200"/>
        <w:jc w:val="left"/>
        <w:rPr>
          <w:rFonts w:cs="宋体"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（1）分值汇总计算错误的；</w:t>
      </w:r>
    </w:p>
    <w:p w14:paraId="64AD9D8E">
      <w:pPr>
        <w:adjustRightInd w:val="0"/>
        <w:snapToGrid w:val="0"/>
        <w:spacing w:before="120" w:beforeLines="50" w:line="360" w:lineRule="exact"/>
        <w:ind w:firstLine="420" w:firstLineChars="200"/>
        <w:jc w:val="left"/>
        <w:rPr>
          <w:rFonts w:cs="宋体"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（2）分项评分超出评分标准范围的；</w:t>
      </w:r>
    </w:p>
    <w:p w14:paraId="7382318A">
      <w:pPr>
        <w:adjustRightInd w:val="0"/>
        <w:snapToGrid w:val="0"/>
        <w:spacing w:before="120" w:beforeLines="50" w:line="360" w:lineRule="exact"/>
        <w:ind w:firstLine="420" w:firstLineChars="200"/>
        <w:jc w:val="left"/>
        <w:rPr>
          <w:rFonts w:cs="宋体"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（3）评标委员会成员对客观评审因素评分不一致的；</w:t>
      </w:r>
    </w:p>
    <w:p w14:paraId="64B37CFB">
      <w:pPr>
        <w:adjustRightInd w:val="0"/>
        <w:snapToGrid w:val="0"/>
        <w:spacing w:before="120" w:beforeLines="50" w:line="360" w:lineRule="exact"/>
        <w:ind w:firstLine="420" w:firstLineChars="200"/>
        <w:jc w:val="left"/>
        <w:rPr>
          <w:rFonts w:cs="宋体"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（4）经评标委员会认定评分畸高、畸低的。</w:t>
      </w:r>
    </w:p>
    <w:p w14:paraId="54CEA125">
      <w:pPr>
        <w:adjustRightInd w:val="0"/>
        <w:snapToGrid w:val="0"/>
        <w:spacing w:before="120" w:beforeLines="50" w:line="360" w:lineRule="exact"/>
        <w:ind w:firstLine="420" w:firstLineChars="200"/>
        <w:jc w:val="left"/>
        <w:rPr>
          <w:rFonts w:asciiTheme="minorEastAsia" w:hAnsiTheme="minorEastAsia" w:eastAsiaTheme="minorEastAsia"/>
          <w:b/>
          <w:bCs/>
          <w:color w:val="auto"/>
          <w:szCs w:val="21"/>
        </w:rPr>
      </w:pPr>
      <w:r>
        <w:rPr>
          <w:rFonts w:hint="eastAsia" w:asciiTheme="minorEastAsia" w:hAnsiTheme="minorEastAsia" w:eastAsiaTheme="minorEastAsia"/>
          <w:bCs/>
          <w:color w:val="auto"/>
          <w:szCs w:val="21"/>
        </w:rPr>
        <w:t>8.3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p>
    <w:p w14:paraId="1608DADE">
      <w:pPr>
        <w:pStyle w:val="4"/>
        <w:keepNext w:val="0"/>
        <w:keepLines w:val="0"/>
        <w:adjustRightInd w:val="0"/>
        <w:snapToGrid w:val="0"/>
        <w:spacing w:before="120" w:beforeLines="50" w:after="0" w:line="360" w:lineRule="exact"/>
        <w:rPr>
          <w:rFonts w:ascii="黑体" w:hAnsi="黑体" w:eastAsia="黑体"/>
          <w:bCs w:val="0"/>
          <w:color w:val="auto"/>
          <w:sz w:val="24"/>
          <w:szCs w:val="24"/>
        </w:rPr>
      </w:pPr>
      <w:bookmarkStart w:id="138" w:name="_Toc4728"/>
      <w:r>
        <w:rPr>
          <w:rFonts w:hint="eastAsia" w:ascii="黑体" w:hAnsi="黑体" w:eastAsia="黑体"/>
          <w:color w:val="auto"/>
          <w:sz w:val="24"/>
          <w:szCs w:val="24"/>
        </w:rPr>
        <w:t>9．</w:t>
      </w:r>
      <w:r>
        <w:rPr>
          <w:rFonts w:hint="eastAsia" w:ascii="黑体" w:hAnsi="黑体" w:eastAsia="黑体"/>
          <w:bCs w:val="0"/>
          <w:color w:val="auto"/>
          <w:sz w:val="24"/>
          <w:szCs w:val="24"/>
        </w:rPr>
        <w:t>停止评标</w:t>
      </w:r>
      <w:bookmarkEnd w:id="138"/>
    </w:p>
    <w:p w14:paraId="6CC122A1">
      <w:pPr>
        <w:adjustRightInd w:val="0"/>
        <w:snapToGrid w:val="0"/>
        <w:spacing w:before="120" w:beforeLines="50" w:line="360" w:lineRule="exact"/>
        <w:ind w:firstLine="420" w:firstLineChars="200"/>
        <w:jc w:val="left"/>
        <w:rPr>
          <w:rFonts w:cs="宋体" w:asciiTheme="minorEastAsia" w:hAnsiTheme="minorEastAsia" w:eastAsiaTheme="minorEastAsia"/>
          <w:color w:val="auto"/>
          <w:kern w:val="0"/>
          <w:szCs w:val="21"/>
        </w:rPr>
      </w:pPr>
      <w:r>
        <w:rPr>
          <w:rFonts w:hint="eastAsia" w:asciiTheme="minorEastAsia" w:hAnsiTheme="minorEastAsia" w:eastAsiaTheme="minorEastAsia"/>
          <w:bCs/>
          <w:color w:val="auto"/>
          <w:szCs w:val="21"/>
        </w:rPr>
        <w:t>9.1</w:t>
      </w:r>
      <w:r>
        <w:rPr>
          <w:rFonts w:hint="eastAsia" w:cs="宋体" w:asciiTheme="minorEastAsia" w:hAnsiTheme="minorEastAsia" w:eastAsiaTheme="minorEastAsia"/>
          <w:color w:val="auto"/>
          <w:kern w:val="0"/>
          <w:szCs w:val="21"/>
        </w:rPr>
        <w:t>评标委员会发现招标文件存在歧义、重大缺陷导致评标工作无法进行，或者招标文件内容违反国家有关强制性规定的，应当停止评标工作，与采购人、采购代理机构沟通并作书面记录。采购人、采购代理机构确认后，应当修改招标文件，重新组织采购活动。</w:t>
      </w:r>
    </w:p>
    <w:p w14:paraId="485A6C3B">
      <w:pPr>
        <w:adjustRightInd w:val="0"/>
        <w:snapToGrid w:val="0"/>
        <w:spacing w:before="120" w:beforeLines="50" w:line="360" w:lineRule="exact"/>
        <w:jc w:val="left"/>
        <w:rPr>
          <w:rFonts w:ascii="黑体" w:hAnsi="黑体" w:eastAsia="黑体"/>
          <w:b/>
          <w:color w:val="auto"/>
          <w:sz w:val="24"/>
        </w:rPr>
      </w:pPr>
      <w:r>
        <w:rPr>
          <w:rFonts w:hint="eastAsia" w:ascii="黑体" w:hAnsi="黑体" w:eastAsia="黑体"/>
          <w:b/>
          <w:color w:val="auto"/>
          <w:sz w:val="24"/>
        </w:rPr>
        <w:t>10.废标</w:t>
      </w:r>
    </w:p>
    <w:p w14:paraId="4FF6E315">
      <w:pPr>
        <w:adjustRightInd w:val="0"/>
        <w:snapToGrid w:val="0"/>
        <w:spacing w:before="120" w:beforeLines="50" w:line="360"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10.1 根据有关法律法规和招标文件的有关规定，如出现下列情况之一的，应予以废标：</w:t>
      </w:r>
    </w:p>
    <w:p w14:paraId="4D7279B0">
      <w:pPr>
        <w:adjustRightInd w:val="0"/>
        <w:snapToGrid w:val="0"/>
        <w:spacing w:before="120" w:beforeLines="50" w:line="360"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（1）符合专业条件的投标人或者对招标文件作实质响应的投标人不足三家的；</w:t>
      </w:r>
    </w:p>
    <w:p w14:paraId="3BB345B5">
      <w:pPr>
        <w:adjustRightInd w:val="0"/>
        <w:snapToGrid w:val="0"/>
        <w:spacing w:before="120" w:beforeLines="50" w:line="360"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（2）出现影响采购公正的违法、违规行为的；</w:t>
      </w:r>
    </w:p>
    <w:p w14:paraId="6785F264">
      <w:pPr>
        <w:adjustRightInd w:val="0"/>
        <w:snapToGrid w:val="0"/>
        <w:spacing w:before="120" w:beforeLines="50" w:line="360"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（3）投标人的报价均超过采购人项目采购预算，采购人不能支付的；</w:t>
      </w:r>
    </w:p>
    <w:p w14:paraId="18B0C4AA">
      <w:pPr>
        <w:adjustRightInd w:val="0"/>
        <w:snapToGrid w:val="0"/>
        <w:spacing w:before="120" w:beforeLines="50" w:line="360"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（4）因重大变故，采购任务取消的。</w:t>
      </w:r>
    </w:p>
    <w:p w14:paraId="50757B88">
      <w:pPr>
        <w:pStyle w:val="4"/>
        <w:keepNext w:val="0"/>
        <w:keepLines w:val="0"/>
        <w:adjustRightInd w:val="0"/>
        <w:snapToGrid w:val="0"/>
        <w:spacing w:before="120" w:beforeLines="50" w:after="0" w:line="360" w:lineRule="exact"/>
        <w:rPr>
          <w:rFonts w:ascii="黑体" w:hAnsi="黑体" w:eastAsia="黑体"/>
          <w:bCs w:val="0"/>
          <w:color w:val="auto"/>
          <w:sz w:val="24"/>
          <w:szCs w:val="24"/>
        </w:rPr>
      </w:pPr>
      <w:bookmarkStart w:id="139" w:name="_Toc12580"/>
      <w:r>
        <w:rPr>
          <w:rFonts w:hint="eastAsia" w:ascii="黑体" w:hAnsi="黑体" w:eastAsia="黑体" w:cs="宋体"/>
          <w:color w:val="auto"/>
          <w:kern w:val="0"/>
          <w:sz w:val="24"/>
          <w:szCs w:val="24"/>
        </w:rPr>
        <w:t>11．重新组建评标委员会进行评标</w:t>
      </w:r>
      <w:bookmarkEnd w:id="139"/>
    </w:p>
    <w:p w14:paraId="4610FF13">
      <w:pPr>
        <w:adjustRightInd w:val="0"/>
        <w:snapToGrid w:val="0"/>
        <w:spacing w:before="120" w:beforeLines="50" w:line="360"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11.1评标委员会或者其成员存在下列情形导致评标结果无效的，采购人、采购代理机构可以重新组建评标委员会进行评标，并书面报告本级财政部门，但采购合同已经履行的除外：</w:t>
      </w:r>
    </w:p>
    <w:p w14:paraId="1516609C">
      <w:pPr>
        <w:adjustRightInd w:val="0"/>
        <w:snapToGrid w:val="0"/>
        <w:spacing w:before="120" w:beforeLines="50" w:line="360"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（1）评标委员会组成不符合《政府采购货物和服务招标投标管理办法》规定的；</w:t>
      </w:r>
    </w:p>
    <w:p w14:paraId="1684F8F2">
      <w:pPr>
        <w:adjustRightInd w:val="0"/>
        <w:snapToGrid w:val="0"/>
        <w:spacing w:before="120" w:beforeLines="50" w:line="360"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（2）有《政府采购货物和服务招标投标管理办法》第六十二条第一至五项情形的；</w:t>
      </w:r>
    </w:p>
    <w:p w14:paraId="064F1F34">
      <w:pPr>
        <w:adjustRightInd w:val="0"/>
        <w:snapToGrid w:val="0"/>
        <w:spacing w:before="120" w:beforeLines="50" w:line="360"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（3）评标委员会及其成员独立评标受到非法干预的；</w:t>
      </w:r>
    </w:p>
    <w:p w14:paraId="246CC5B7">
      <w:pPr>
        <w:adjustRightInd w:val="0"/>
        <w:snapToGrid w:val="0"/>
        <w:spacing w:before="120" w:beforeLines="50" w:line="360"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（4）有政府采购法实施条例第七十五条规定的违法行为的。</w:t>
      </w:r>
    </w:p>
    <w:p w14:paraId="7BE9BD51">
      <w:pPr>
        <w:adjustRightInd w:val="0"/>
        <w:snapToGrid w:val="0"/>
        <w:spacing w:before="120" w:beforeLines="50" w:line="360" w:lineRule="exact"/>
        <w:ind w:firstLine="420" w:firstLineChars="200"/>
        <w:jc w:val="left"/>
        <w:rPr>
          <w:rFonts w:ascii="黑体" w:hAnsi="华文中宋" w:eastAsia="黑体"/>
          <w:b/>
          <w:color w:val="auto"/>
          <w:sz w:val="32"/>
          <w:szCs w:val="32"/>
        </w:rPr>
      </w:pPr>
      <w:r>
        <w:rPr>
          <w:rFonts w:hint="eastAsia" w:asciiTheme="minorEastAsia" w:hAnsiTheme="minorEastAsia" w:eastAsiaTheme="minorEastAsia"/>
          <w:color w:val="auto"/>
          <w:szCs w:val="21"/>
        </w:rPr>
        <w:t>11.2有违法违规行为的原评标委员会成员不得参加重新组建的评标委员会。</w:t>
      </w:r>
      <w:r>
        <w:rPr>
          <w:rFonts w:ascii="黑体" w:hAnsi="华文中宋" w:eastAsia="黑体"/>
          <w:b/>
          <w:color w:val="auto"/>
          <w:sz w:val="32"/>
          <w:szCs w:val="32"/>
        </w:rPr>
        <w:br w:type="page"/>
      </w:r>
    </w:p>
    <w:p w14:paraId="5110C356">
      <w:pPr>
        <w:pStyle w:val="3"/>
        <w:adjustRightInd w:val="0"/>
        <w:snapToGrid w:val="0"/>
        <w:jc w:val="center"/>
        <w:rPr>
          <w:rFonts w:ascii="黑体" w:hAnsi="华文中宋" w:eastAsia="黑体"/>
          <w:color w:val="auto"/>
          <w:sz w:val="28"/>
          <w:szCs w:val="28"/>
        </w:rPr>
      </w:pPr>
      <w:bookmarkStart w:id="140" w:name="_Toc26474"/>
      <w:r>
        <w:rPr>
          <w:rFonts w:hint="eastAsia" w:ascii="黑体" w:hAnsi="华文中宋" w:eastAsia="黑体"/>
          <w:color w:val="auto"/>
          <w:sz w:val="28"/>
          <w:szCs w:val="28"/>
        </w:rPr>
        <w:t>第三节 投标文件的符合性审查</w:t>
      </w:r>
      <w:bookmarkEnd w:id="140"/>
    </w:p>
    <w:p w14:paraId="0B229E46">
      <w:pPr>
        <w:adjustRightInd w:val="0"/>
        <w:snapToGrid w:val="0"/>
        <w:spacing w:before="120" w:beforeLines="50" w:line="360" w:lineRule="auto"/>
        <w:rPr>
          <w:rFonts w:ascii="黑体" w:hAnsi="黑体" w:eastAsia="黑体"/>
          <w:b/>
          <w:color w:val="auto"/>
          <w:sz w:val="24"/>
        </w:rPr>
      </w:pPr>
      <w:r>
        <w:rPr>
          <w:rFonts w:hint="eastAsia" w:ascii="黑体" w:hAnsi="黑体" w:eastAsia="黑体"/>
          <w:b/>
          <w:color w:val="auto"/>
          <w:sz w:val="24"/>
        </w:rPr>
        <w:t>1.符合性审查</w:t>
      </w:r>
    </w:p>
    <w:p w14:paraId="4A1EA9B6">
      <w:pPr>
        <w:adjustRightInd w:val="0"/>
        <w:snapToGrid w:val="0"/>
        <w:spacing w:before="120" w:beforeLines="50" w:line="360" w:lineRule="auto"/>
        <w:ind w:firstLine="420" w:firstLineChars="200"/>
        <w:rPr>
          <w:rFonts w:asciiTheme="minorEastAsia" w:hAnsiTheme="minorEastAsia" w:eastAsiaTheme="minorEastAsia"/>
          <w:color w:val="auto"/>
        </w:rPr>
      </w:pPr>
      <w:r>
        <w:rPr>
          <w:rFonts w:hint="eastAsia" w:asciiTheme="minorEastAsia" w:hAnsiTheme="minorEastAsia" w:eastAsiaTheme="minorEastAsia"/>
          <w:color w:val="auto"/>
        </w:rPr>
        <w:t>1.1</w:t>
      </w:r>
      <w:r>
        <w:rPr>
          <w:rFonts w:hint="eastAsia" w:asciiTheme="minorEastAsia" w:hAnsiTheme="minorEastAsia" w:eastAsiaTheme="minorEastAsia"/>
          <w:color w:val="auto"/>
          <w:szCs w:val="21"/>
        </w:rPr>
        <w:t>评标委员会应按本章本节附表1“符合性审查表”所列审查项目及审查标准，</w:t>
      </w:r>
      <w:r>
        <w:rPr>
          <w:rFonts w:hint="eastAsia" w:asciiTheme="minorEastAsia" w:hAnsiTheme="minorEastAsia" w:eastAsiaTheme="minorEastAsia"/>
          <w:color w:val="auto"/>
        </w:rPr>
        <w:t>对符合资格条件的投标人的投标文件进行符合性审查，以确定其是否满足招标文件的实质性要求。</w:t>
      </w:r>
    </w:p>
    <w:p w14:paraId="1561937F">
      <w:pPr>
        <w:adjustRightInd w:val="0"/>
        <w:snapToGrid w:val="0"/>
        <w:spacing w:before="120"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依据招标文件的规定，从投标文件的有效性、完整性和对招标文件的响应程度进行审查，以确定是否对招标文件的实质性要求作出响应。评标委员会判断投标文件的响应性只根据投标文件的内容，而不依据外部的证据。</w:t>
      </w:r>
    </w:p>
    <w:p w14:paraId="5B642396">
      <w:pPr>
        <w:adjustRightInd w:val="0"/>
        <w:snapToGrid w:val="0"/>
        <w:spacing w:before="120"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（2）投标人不得通过修正或撤销不合要求的偏离从而使其投标成为实质上响应的投标。</w:t>
      </w:r>
    </w:p>
    <w:p w14:paraId="2BB61107">
      <w:pPr>
        <w:adjustRightInd w:val="0"/>
        <w:snapToGrid w:val="0"/>
        <w:spacing w:before="120" w:beforeLines="50" w:line="360" w:lineRule="auto"/>
        <w:ind w:firstLine="420" w:firstLineChars="200"/>
        <w:jc w:val="left"/>
        <w:rPr>
          <w:rFonts w:asciiTheme="minorEastAsia" w:hAnsiTheme="minorEastAsia" w:eastAsiaTheme="minorEastAsia"/>
          <w:color w:val="auto"/>
        </w:rPr>
      </w:pPr>
      <w:r>
        <w:rPr>
          <w:rFonts w:hint="eastAsia" w:asciiTheme="minorEastAsia" w:hAnsiTheme="minorEastAsia" w:eastAsiaTheme="minorEastAsia"/>
          <w:color w:val="auto"/>
          <w:kern w:val="0"/>
          <w:szCs w:val="21"/>
        </w:rPr>
        <w:t>1.2</w:t>
      </w:r>
      <w:r>
        <w:rPr>
          <w:rFonts w:hint="eastAsia" w:asciiTheme="minorEastAsia" w:hAnsiTheme="minorEastAsia" w:eastAsiaTheme="minorEastAsia"/>
          <w:color w:val="auto"/>
        </w:rPr>
        <w:t>未通过符合性审查的投标人，其投标将被认定为投标无效，不能进入下一阶段评审。通过符合性审查的投标人数量不足 3 家的，不得作进一步的比较和评价。</w:t>
      </w:r>
    </w:p>
    <w:p w14:paraId="02B803BA">
      <w:pPr>
        <w:adjustRightInd w:val="0"/>
        <w:snapToGrid w:val="0"/>
        <w:spacing w:before="120" w:beforeLines="50" w:line="360" w:lineRule="auto"/>
        <w:jc w:val="left"/>
        <w:rPr>
          <w:rFonts w:ascii="黑体" w:hAnsi="黑体" w:eastAsia="黑体"/>
          <w:b/>
          <w:color w:val="auto"/>
          <w:sz w:val="24"/>
        </w:rPr>
      </w:pPr>
      <w:r>
        <w:rPr>
          <w:rFonts w:hint="eastAsia" w:ascii="黑体" w:hAnsi="黑体" w:eastAsia="黑体"/>
          <w:b/>
          <w:color w:val="auto"/>
          <w:sz w:val="24"/>
        </w:rPr>
        <w:t>2.投标无效</w:t>
      </w:r>
    </w:p>
    <w:p w14:paraId="6873A34D">
      <w:pPr>
        <w:adjustRightInd w:val="0"/>
        <w:snapToGrid w:val="0"/>
        <w:spacing w:before="120"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2.1投标人存在下列情况之一的，符合性审查不合格，投标无效：</w:t>
      </w:r>
    </w:p>
    <w:p w14:paraId="374CABAC">
      <w:pPr>
        <w:adjustRightInd w:val="0"/>
        <w:snapToGrid w:val="0"/>
        <w:spacing w:before="120"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（1）投标文件中商务技术文件未按照招标文件规定要求签署、盖章的；</w:t>
      </w:r>
    </w:p>
    <w:p w14:paraId="1362C924">
      <w:pPr>
        <w:adjustRightInd w:val="0"/>
        <w:snapToGrid w:val="0"/>
        <w:spacing w:before="120"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（2）投标文件没有对招标文件的实质性要求和条件作出响应，或者对招标文件的偏离超出招标文件规定的偏离</w:t>
      </w:r>
      <w:r>
        <w:rPr>
          <w:rFonts w:hint="eastAsia" w:asciiTheme="minorEastAsia" w:hAnsiTheme="minorEastAsia" w:eastAsiaTheme="minorEastAsia"/>
          <w:color w:val="auto"/>
        </w:rPr>
        <w:t>范围和幅度</w:t>
      </w:r>
      <w:r>
        <w:rPr>
          <w:rFonts w:hint="eastAsia" w:asciiTheme="minorEastAsia" w:hAnsiTheme="minorEastAsia" w:eastAsiaTheme="minorEastAsia"/>
          <w:color w:val="auto"/>
          <w:szCs w:val="21"/>
        </w:rPr>
        <w:t>；</w:t>
      </w:r>
    </w:p>
    <w:p w14:paraId="4FCB33E2">
      <w:pPr>
        <w:adjustRightInd w:val="0"/>
        <w:snapToGrid w:val="0"/>
        <w:spacing w:before="120"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（3）投标有效期不足的；</w:t>
      </w:r>
    </w:p>
    <w:p w14:paraId="41923BB8">
      <w:pPr>
        <w:adjustRightInd w:val="0"/>
        <w:snapToGrid w:val="0"/>
        <w:spacing w:before="120"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（4）投标文件含有采购人不能接受的附加条件的；</w:t>
      </w:r>
    </w:p>
    <w:p w14:paraId="2209DAC9">
      <w:pPr>
        <w:adjustRightInd w:val="0"/>
        <w:snapToGrid w:val="0"/>
        <w:spacing w:before="120"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（5）不符合本节第1.1款规定符合性审查标准的；</w:t>
      </w:r>
    </w:p>
    <w:p w14:paraId="6F1B1BCC">
      <w:pPr>
        <w:adjustRightInd w:val="0"/>
        <w:snapToGrid w:val="0"/>
        <w:spacing w:before="120"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（6）法律、法规和招标文件规定的其他投标无效情形的。</w:t>
      </w:r>
    </w:p>
    <w:p w14:paraId="7E064596">
      <w:pPr>
        <w:adjustRightInd w:val="0"/>
        <w:snapToGrid w:val="0"/>
        <w:spacing w:before="120" w:beforeLines="50" w:line="360" w:lineRule="auto"/>
        <w:ind w:firstLine="420" w:firstLineChars="200"/>
        <w:jc w:val="left"/>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2.2在评标过程中发现投标人有不遵循公平竞争的原则，恶意串通，妨碍其他投标人的竞争行为，损害采购人或者其他投标人的合法权益的，评标委员会应当认定其</w:t>
      </w:r>
      <w:r>
        <w:rPr>
          <w:rFonts w:hint="eastAsia" w:asciiTheme="minorEastAsia" w:hAnsiTheme="minorEastAsia" w:eastAsiaTheme="minorEastAsia"/>
          <w:b/>
          <w:color w:val="auto"/>
          <w:kern w:val="0"/>
          <w:szCs w:val="21"/>
        </w:rPr>
        <w:t>投标无效</w:t>
      </w:r>
      <w:r>
        <w:rPr>
          <w:rFonts w:hint="eastAsia" w:asciiTheme="minorEastAsia" w:hAnsiTheme="minorEastAsia" w:eastAsiaTheme="minorEastAsia"/>
          <w:color w:val="auto"/>
          <w:kern w:val="0"/>
          <w:szCs w:val="21"/>
        </w:rPr>
        <w:t>，并书面报告本级财政部门。</w:t>
      </w:r>
    </w:p>
    <w:p w14:paraId="51A87BA9">
      <w:pPr>
        <w:rPr>
          <w:color w:val="auto"/>
        </w:rPr>
      </w:pPr>
    </w:p>
    <w:p w14:paraId="479CD916">
      <w:pPr>
        <w:rPr>
          <w:color w:val="auto"/>
        </w:rPr>
      </w:pPr>
    </w:p>
    <w:p w14:paraId="674100E6">
      <w:pPr>
        <w:widowControl/>
        <w:jc w:val="left"/>
        <w:rPr>
          <w:rFonts w:ascii="黑体" w:hAnsi="黑体"/>
          <w:b/>
          <w:color w:val="auto"/>
          <w:szCs w:val="21"/>
        </w:rPr>
      </w:pPr>
      <w:r>
        <w:rPr>
          <w:rFonts w:ascii="黑体" w:hAnsi="黑体"/>
          <w:b/>
          <w:color w:val="auto"/>
          <w:szCs w:val="21"/>
        </w:rPr>
        <w:br w:type="page"/>
      </w:r>
    </w:p>
    <w:p w14:paraId="43CC6493">
      <w:pPr>
        <w:pStyle w:val="4"/>
        <w:adjustRightInd w:val="0"/>
        <w:snapToGrid w:val="0"/>
        <w:spacing w:before="120" w:beforeLines="50" w:after="0" w:line="360" w:lineRule="auto"/>
        <w:rPr>
          <w:color w:val="auto"/>
          <w:sz w:val="21"/>
          <w:szCs w:val="21"/>
        </w:rPr>
      </w:pPr>
      <w:bookmarkStart w:id="141" w:name="_Toc25128"/>
      <w:r>
        <w:rPr>
          <w:rFonts w:hint="eastAsia"/>
          <w:color w:val="auto"/>
          <w:sz w:val="21"/>
          <w:szCs w:val="21"/>
        </w:rPr>
        <w:t>附表1 符合性审查表</w:t>
      </w:r>
      <w:bookmarkEnd w:id="141"/>
    </w:p>
    <w:p w14:paraId="133B4042">
      <w:pPr>
        <w:adjustRightInd w:val="0"/>
        <w:snapToGrid w:val="0"/>
        <w:spacing w:before="120" w:beforeLines="50" w:line="360" w:lineRule="auto"/>
        <w:jc w:val="center"/>
        <w:rPr>
          <w:rFonts w:ascii="黑体" w:hAnsi="黑体" w:eastAsia="黑体"/>
          <w:b/>
          <w:color w:val="auto"/>
          <w:sz w:val="28"/>
          <w:szCs w:val="28"/>
        </w:rPr>
      </w:pPr>
      <w:r>
        <w:rPr>
          <w:rFonts w:hint="eastAsia" w:ascii="黑体" w:hAnsi="黑体" w:eastAsia="黑体"/>
          <w:b/>
          <w:color w:val="auto"/>
          <w:sz w:val="28"/>
          <w:szCs w:val="28"/>
        </w:rPr>
        <w:t>符合性审查表</w:t>
      </w:r>
    </w:p>
    <w:p w14:paraId="631CEA2F">
      <w:pPr>
        <w:adjustRightInd w:val="0"/>
        <w:snapToGrid w:val="0"/>
        <w:spacing w:before="120" w:beforeLines="50"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项目名称：                                           采购代理编号： </w:t>
      </w:r>
    </w:p>
    <w:tbl>
      <w:tblPr>
        <w:tblStyle w:val="42"/>
        <w:tblW w:w="9060"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83"/>
        <w:gridCol w:w="2686"/>
        <w:gridCol w:w="5691"/>
      </w:tblGrid>
      <w:tr w14:paraId="272232A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32" w:hRule="atLeast"/>
        </w:trPr>
        <w:tc>
          <w:tcPr>
            <w:tcW w:w="683" w:type="dxa"/>
            <w:vAlign w:val="center"/>
          </w:tcPr>
          <w:p w14:paraId="6750EE7B">
            <w:pPr>
              <w:adjustRightInd w:val="0"/>
              <w:snapToGrid w:val="0"/>
              <w:spacing w:before="120" w:beforeLines="50" w:line="360" w:lineRule="auto"/>
              <w:jc w:val="center"/>
              <w:rPr>
                <w:rFonts w:cs="宋体" w:asciiTheme="minorEastAsia" w:hAnsiTheme="minorEastAsia" w:eastAsiaTheme="minorEastAsia"/>
                <w:b/>
                <w:color w:val="auto"/>
                <w:kern w:val="0"/>
                <w:szCs w:val="21"/>
              </w:rPr>
            </w:pPr>
            <w:r>
              <w:rPr>
                <w:rFonts w:hint="eastAsia" w:cs="宋体" w:asciiTheme="minorEastAsia" w:hAnsiTheme="minorEastAsia" w:eastAsiaTheme="minorEastAsia"/>
                <w:b/>
                <w:color w:val="auto"/>
                <w:kern w:val="0"/>
                <w:szCs w:val="21"/>
              </w:rPr>
              <w:t>序号</w:t>
            </w:r>
          </w:p>
        </w:tc>
        <w:tc>
          <w:tcPr>
            <w:tcW w:w="2686" w:type="dxa"/>
            <w:vAlign w:val="center"/>
          </w:tcPr>
          <w:p w14:paraId="26D9C39F">
            <w:pPr>
              <w:adjustRightInd w:val="0"/>
              <w:snapToGrid w:val="0"/>
              <w:spacing w:before="120" w:beforeLines="50" w:line="360" w:lineRule="auto"/>
              <w:jc w:val="center"/>
              <w:rPr>
                <w:rFonts w:cs="宋体" w:asciiTheme="minorEastAsia" w:hAnsiTheme="minorEastAsia" w:eastAsiaTheme="minorEastAsia"/>
                <w:b/>
                <w:color w:val="auto"/>
                <w:kern w:val="0"/>
                <w:szCs w:val="21"/>
              </w:rPr>
            </w:pPr>
            <w:r>
              <w:rPr>
                <w:rFonts w:hint="eastAsia" w:cs="宋体" w:asciiTheme="minorEastAsia" w:hAnsiTheme="minorEastAsia" w:eastAsiaTheme="minorEastAsia"/>
                <w:b/>
                <w:color w:val="auto"/>
                <w:kern w:val="0"/>
                <w:szCs w:val="21"/>
              </w:rPr>
              <w:t>审查项目</w:t>
            </w:r>
          </w:p>
        </w:tc>
        <w:tc>
          <w:tcPr>
            <w:tcW w:w="5691" w:type="dxa"/>
            <w:vAlign w:val="center"/>
          </w:tcPr>
          <w:p w14:paraId="0B326390">
            <w:pPr>
              <w:adjustRightInd w:val="0"/>
              <w:snapToGrid w:val="0"/>
              <w:spacing w:before="120" w:beforeLines="50" w:line="360" w:lineRule="auto"/>
              <w:jc w:val="center"/>
              <w:rPr>
                <w:rFonts w:cs="宋体" w:asciiTheme="minorEastAsia" w:hAnsiTheme="minorEastAsia" w:eastAsiaTheme="minorEastAsia"/>
                <w:b/>
                <w:color w:val="auto"/>
                <w:kern w:val="0"/>
                <w:szCs w:val="21"/>
              </w:rPr>
            </w:pPr>
            <w:r>
              <w:rPr>
                <w:rFonts w:hint="eastAsia" w:cs="宋体" w:asciiTheme="minorEastAsia" w:hAnsiTheme="minorEastAsia" w:eastAsiaTheme="minorEastAsia"/>
                <w:b/>
                <w:color w:val="auto"/>
                <w:kern w:val="0"/>
                <w:szCs w:val="21"/>
              </w:rPr>
              <w:t>审查标准</w:t>
            </w:r>
          </w:p>
        </w:tc>
      </w:tr>
      <w:tr w14:paraId="57048DD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14:paraId="65FDF201">
            <w:pPr>
              <w:adjustRightInd w:val="0"/>
              <w:snapToGrid w:val="0"/>
              <w:spacing w:before="120" w:beforeLines="50" w:line="360" w:lineRule="auto"/>
              <w:jc w:val="center"/>
              <w:rPr>
                <w:rFonts w:cs="宋体"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1</w:t>
            </w:r>
          </w:p>
        </w:tc>
        <w:tc>
          <w:tcPr>
            <w:tcW w:w="2686" w:type="dxa"/>
          </w:tcPr>
          <w:p w14:paraId="5A39F930">
            <w:pPr>
              <w:adjustRightInd w:val="0"/>
              <w:snapToGrid w:val="0"/>
              <w:spacing w:before="120" w:beforeLines="50" w:line="360" w:lineRule="auto"/>
              <w:jc w:val="center"/>
              <w:rPr>
                <w:rFonts w:cs="宋体" w:asciiTheme="minorEastAsia" w:hAnsiTheme="minorEastAsia" w:eastAsiaTheme="minorEastAsia"/>
                <w:color w:val="auto"/>
                <w:kern w:val="0"/>
                <w:szCs w:val="21"/>
              </w:rPr>
            </w:pPr>
            <w:r>
              <w:rPr>
                <w:rFonts w:cs="宋体" w:asciiTheme="minorEastAsia" w:hAnsiTheme="minorEastAsia" w:eastAsiaTheme="minorEastAsia"/>
                <w:color w:val="auto"/>
                <w:kern w:val="0"/>
                <w:szCs w:val="21"/>
              </w:rPr>
              <w:t>投标函</w:t>
            </w:r>
          </w:p>
        </w:tc>
        <w:tc>
          <w:tcPr>
            <w:tcW w:w="5691" w:type="dxa"/>
            <w:vAlign w:val="center"/>
          </w:tcPr>
          <w:p w14:paraId="7D1984B2">
            <w:pPr>
              <w:adjustRightInd w:val="0"/>
              <w:snapToGrid w:val="0"/>
              <w:spacing w:before="120" w:beforeLines="50" w:line="360" w:lineRule="auto"/>
              <w:jc w:val="center"/>
              <w:rPr>
                <w:rFonts w:cs="宋体" w:asciiTheme="minorEastAsia" w:hAnsiTheme="minorEastAsia" w:eastAsiaTheme="minorEastAsia"/>
                <w:color w:val="auto"/>
                <w:kern w:val="0"/>
                <w:szCs w:val="21"/>
              </w:rPr>
            </w:pPr>
            <w:r>
              <w:rPr>
                <w:rFonts w:cs="宋体" w:asciiTheme="minorEastAsia" w:hAnsiTheme="minorEastAsia" w:eastAsiaTheme="minorEastAsia"/>
                <w:color w:val="auto"/>
                <w:kern w:val="0"/>
                <w:szCs w:val="21"/>
              </w:rPr>
              <w:t>按第七章第五节格式填写、签署、盖章</w:t>
            </w:r>
          </w:p>
        </w:tc>
      </w:tr>
      <w:tr w14:paraId="524B966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14:paraId="64C2173E">
            <w:pPr>
              <w:adjustRightInd w:val="0"/>
              <w:snapToGrid w:val="0"/>
              <w:spacing w:before="120" w:beforeLines="50" w:line="360" w:lineRule="auto"/>
              <w:jc w:val="center"/>
              <w:rPr>
                <w:rFonts w:cs="宋体"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2</w:t>
            </w:r>
          </w:p>
        </w:tc>
        <w:tc>
          <w:tcPr>
            <w:tcW w:w="2686" w:type="dxa"/>
          </w:tcPr>
          <w:p w14:paraId="050290D3">
            <w:pPr>
              <w:adjustRightInd w:val="0"/>
              <w:snapToGrid w:val="0"/>
              <w:spacing w:before="120" w:beforeLines="50" w:line="360" w:lineRule="auto"/>
              <w:jc w:val="center"/>
              <w:rPr>
                <w:rFonts w:cs="宋体" w:asciiTheme="minorEastAsia" w:hAnsiTheme="minorEastAsia" w:eastAsiaTheme="minorEastAsia"/>
                <w:color w:val="auto"/>
                <w:kern w:val="0"/>
                <w:szCs w:val="21"/>
              </w:rPr>
            </w:pPr>
            <w:r>
              <w:rPr>
                <w:rFonts w:cs="宋体" w:asciiTheme="minorEastAsia" w:hAnsiTheme="minorEastAsia" w:eastAsiaTheme="minorEastAsia"/>
                <w:color w:val="auto"/>
                <w:kern w:val="0"/>
                <w:szCs w:val="21"/>
              </w:rPr>
              <w:t>投标有效期</w:t>
            </w:r>
          </w:p>
        </w:tc>
        <w:tc>
          <w:tcPr>
            <w:tcW w:w="5691" w:type="dxa"/>
            <w:vAlign w:val="center"/>
          </w:tcPr>
          <w:p w14:paraId="4E7AA653">
            <w:pPr>
              <w:adjustRightInd w:val="0"/>
              <w:snapToGrid w:val="0"/>
              <w:spacing w:before="120" w:beforeLines="50" w:line="360" w:lineRule="auto"/>
              <w:jc w:val="center"/>
              <w:rPr>
                <w:rFonts w:cs="宋体" w:asciiTheme="minorEastAsia" w:hAnsiTheme="minorEastAsia" w:eastAsiaTheme="minorEastAsia"/>
                <w:color w:val="auto"/>
                <w:kern w:val="0"/>
                <w:szCs w:val="21"/>
              </w:rPr>
            </w:pPr>
            <w:r>
              <w:rPr>
                <w:rFonts w:cs="宋体" w:asciiTheme="minorEastAsia" w:hAnsiTheme="minorEastAsia" w:eastAsiaTheme="minorEastAsia"/>
                <w:color w:val="auto"/>
                <w:kern w:val="0"/>
                <w:szCs w:val="21"/>
              </w:rPr>
              <w:t>第二章第16.1款</w:t>
            </w:r>
          </w:p>
        </w:tc>
      </w:tr>
      <w:tr w14:paraId="7DC0EC5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14:paraId="38D65FA9">
            <w:pPr>
              <w:adjustRightInd w:val="0"/>
              <w:snapToGrid w:val="0"/>
              <w:spacing w:before="120" w:beforeLines="50" w:line="360" w:lineRule="auto"/>
              <w:jc w:val="center"/>
              <w:rPr>
                <w:rFonts w:cs="宋体"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3</w:t>
            </w:r>
          </w:p>
        </w:tc>
        <w:tc>
          <w:tcPr>
            <w:tcW w:w="2686" w:type="dxa"/>
          </w:tcPr>
          <w:p w14:paraId="1320B99A">
            <w:pPr>
              <w:adjustRightInd w:val="0"/>
              <w:snapToGrid w:val="0"/>
              <w:spacing w:before="120" w:beforeLines="50" w:line="360" w:lineRule="auto"/>
              <w:jc w:val="center"/>
              <w:rPr>
                <w:rFonts w:cs="宋体" w:asciiTheme="minorEastAsia" w:hAnsiTheme="minorEastAsia" w:eastAsiaTheme="minorEastAsia"/>
                <w:color w:val="auto"/>
                <w:kern w:val="0"/>
                <w:szCs w:val="21"/>
              </w:rPr>
            </w:pPr>
            <w:r>
              <w:rPr>
                <w:rFonts w:cs="宋体" w:asciiTheme="minorEastAsia" w:hAnsiTheme="minorEastAsia" w:eastAsiaTheme="minorEastAsia"/>
                <w:color w:val="auto"/>
                <w:kern w:val="0"/>
                <w:szCs w:val="21"/>
              </w:rPr>
              <w:t>投标文件的签署、盖章</w:t>
            </w:r>
          </w:p>
        </w:tc>
        <w:tc>
          <w:tcPr>
            <w:tcW w:w="5691" w:type="dxa"/>
            <w:vAlign w:val="center"/>
          </w:tcPr>
          <w:p w14:paraId="697D0F4D">
            <w:pPr>
              <w:adjustRightInd w:val="0"/>
              <w:snapToGrid w:val="0"/>
              <w:spacing w:before="120" w:beforeLines="50" w:line="360" w:lineRule="auto"/>
              <w:jc w:val="center"/>
              <w:rPr>
                <w:rFonts w:cs="宋体" w:asciiTheme="minorEastAsia" w:hAnsiTheme="minorEastAsia" w:eastAsiaTheme="minorEastAsia"/>
                <w:color w:val="auto"/>
                <w:kern w:val="0"/>
                <w:szCs w:val="21"/>
              </w:rPr>
            </w:pPr>
            <w:r>
              <w:rPr>
                <w:rFonts w:cs="宋体" w:asciiTheme="minorEastAsia" w:hAnsiTheme="minorEastAsia" w:eastAsiaTheme="minorEastAsia"/>
                <w:color w:val="auto"/>
                <w:kern w:val="0"/>
                <w:szCs w:val="21"/>
              </w:rPr>
              <w:t>第四章第</w:t>
            </w:r>
            <w:r>
              <w:rPr>
                <w:rFonts w:hint="eastAsia" w:cs="宋体" w:asciiTheme="minorEastAsia" w:hAnsiTheme="minorEastAsia" w:eastAsiaTheme="minorEastAsia"/>
                <w:color w:val="auto"/>
                <w:kern w:val="0"/>
                <w:szCs w:val="21"/>
              </w:rPr>
              <w:t>三</w:t>
            </w:r>
            <w:r>
              <w:rPr>
                <w:rFonts w:cs="宋体" w:asciiTheme="minorEastAsia" w:hAnsiTheme="minorEastAsia" w:eastAsiaTheme="minorEastAsia"/>
                <w:color w:val="auto"/>
                <w:kern w:val="0"/>
                <w:szCs w:val="21"/>
              </w:rPr>
              <w:t>节第2.1（1）项</w:t>
            </w:r>
          </w:p>
        </w:tc>
      </w:tr>
      <w:tr w14:paraId="7FCC1B2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14:paraId="6D36B61E">
            <w:pPr>
              <w:adjustRightInd w:val="0"/>
              <w:snapToGrid w:val="0"/>
              <w:spacing w:before="120" w:beforeLines="50" w:line="360" w:lineRule="auto"/>
              <w:jc w:val="center"/>
              <w:rPr>
                <w:rFonts w:cs="宋体"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4</w:t>
            </w:r>
          </w:p>
        </w:tc>
        <w:tc>
          <w:tcPr>
            <w:tcW w:w="2686" w:type="dxa"/>
          </w:tcPr>
          <w:p w14:paraId="66F57CE1">
            <w:pPr>
              <w:adjustRightInd w:val="0"/>
              <w:snapToGrid w:val="0"/>
              <w:spacing w:before="120" w:beforeLines="50" w:line="360" w:lineRule="auto"/>
              <w:jc w:val="center"/>
              <w:rPr>
                <w:rFonts w:cs="宋体" w:asciiTheme="minorEastAsia" w:hAnsiTheme="minorEastAsia" w:eastAsiaTheme="minorEastAsia"/>
                <w:color w:val="auto"/>
                <w:kern w:val="0"/>
                <w:szCs w:val="21"/>
              </w:rPr>
            </w:pPr>
            <w:r>
              <w:rPr>
                <w:rFonts w:cs="宋体" w:asciiTheme="minorEastAsia" w:hAnsiTheme="minorEastAsia" w:eastAsiaTheme="minorEastAsia"/>
                <w:color w:val="auto"/>
                <w:kern w:val="0"/>
                <w:szCs w:val="21"/>
              </w:rPr>
              <w:t>招标范围</w:t>
            </w:r>
          </w:p>
        </w:tc>
        <w:tc>
          <w:tcPr>
            <w:tcW w:w="5691" w:type="dxa"/>
            <w:vAlign w:val="center"/>
          </w:tcPr>
          <w:p w14:paraId="72C4B7CD">
            <w:pPr>
              <w:adjustRightInd w:val="0"/>
              <w:snapToGrid w:val="0"/>
              <w:spacing w:before="120" w:beforeLines="50" w:line="360" w:lineRule="auto"/>
              <w:jc w:val="center"/>
              <w:rPr>
                <w:rFonts w:cs="宋体" w:asciiTheme="minorEastAsia" w:hAnsiTheme="minorEastAsia" w:eastAsiaTheme="minorEastAsia"/>
                <w:color w:val="auto"/>
                <w:kern w:val="0"/>
                <w:szCs w:val="21"/>
              </w:rPr>
            </w:pPr>
            <w:r>
              <w:rPr>
                <w:rFonts w:cs="宋体" w:asciiTheme="minorEastAsia" w:hAnsiTheme="minorEastAsia" w:eastAsiaTheme="minorEastAsia"/>
                <w:color w:val="auto"/>
                <w:kern w:val="0"/>
                <w:szCs w:val="21"/>
              </w:rPr>
              <w:t>第五章第一节注2、注4</w:t>
            </w:r>
          </w:p>
        </w:tc>
      </w:tr>
      <w:tr w14:paraId="19C86A2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14:paraId="543B4FCF">
            <w:pPr>
              <w:adjustRightInd w:val="0"/>
              <w:snapToGrid w:val="0"/>
              <w:spacing w:before="120" w:beforeLines="50" w:line="360" w:lineRule="auto"/>
              <w:jc w:val="center"/>
              <w:rPr>
                <w:rFonts w:cs="宋体"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5</w:t>
            </w:r>
          </w:p>
        </w:tc>
        <w:tc>
          <w:tcPr>
            <w:tcW w:w="2686" w:type="dxa"/>
          </w:tcPr>
          <w:p w14:paraId="0271968A">
            <w:pPr>
              <w:adjustRightInd w:val="0"/>
              <w:snapToGrid w:val="0"/>
              <w:spacing w:before="120" w:beforeLines="50" w:line="360" w:lineRule="auto"/>
              <w:jc w:val="center"/>
              <w:rPr>
                <w:rFonts w:cs="宋体" w:asciiTheme="minorEastAsia" w:hAnsiTheme="minorEastAsia" w:eastAsiaTheme="minorEastAsia"/>
                <w:color w:val="auto"/>
                <w:kern w:val="0"/>
                <w:szCs w:val="21"/>
              </w:rPr>
            </w:pPr>
            <w:r>
              <w:rPr>
                <w:rFonts w:cs="宋体" w:asciiTheme="minorEastAsia" w:hAnsiTheme="minorEastAsia" w:eastAsiaTheme="minorEastAsia"/>
                <w:color w:val="auto"/>
                <w:kern w:val="0"/>
                <w:szCs w:val="21"/>
              </w:rPr>
              <w:t>对招标文件的实质性响应</w:t>
            </w:r>
          </w:p>
        </w:tc>
        <w:tc>
          <w:tcPr>
            <w:tcW w:w="5691" w:type="dxa"/>
            <w:vAlign w:val="center"/>
          </w:tcPr>
          <w:p w14:paraId="5AA8D38B">
            <w:pPr>
              <w:adjustRightInd w:val="0"/>
              <w:snapToGrid w:val="0"/>
              <w:spacing w:before="120" w:beforeLines="50" w:line="360" w:lineRule="auto"/>
              <w:jc w:val="center"/>
              <w:rPr>
                <w:rFonts w:cs="宋体" w:asciiTheme="minorEastAsia" w:hAnsiTheme="minorEastAsia" w:eastAsiaTheme="minorEastAsia"/>
                <w:color w:val="auto"/>
                <w:kern w:val="0"/>
                <w:szCs w:val="21"/>
              </w:rPr>
            </w:pPr>
            <w:r>
              <w:rPr>
                <w:rFonts w:cs="宋体" w:asciiTheme="minorEastAsia" w:hAnsiTheme="minorEastAsia" w:eastAsiaTheme="minorEastAsia"/>
                <w:color w:val="auto"/>
                <w:kern w:val="0"/>
                <w:szCs w:val="21"/>
              </w:rPr>
              <w:t>第二章第7.3款、第7.4款、第四章第</w:t>
            </w:r>
            <w:r>
              <w:rPr>
                <w:rFonts w:hint="eastAsia" w:cs="宋体" w:asciiTheme="minorEastAsia" w:hAnsiTheme="minorEastAsia" w:eastAsiaTheme="minorEastAsia"/>
                <w:color w:val="auto"/>
                <w:kern w:val="0"/>
                <w:szCs w:val="21"/>
              </w:rPr>
              <w:t>三</w:t>
            </w:r>
            <w:r>
              <w:rPr>
                <w:rFonts w:cs="宋体" w:asciiTheme="minorEastAsia" w:hAnsiTheme="minorEastAsia" w:eastAsiaTheme="minorEastAsia"/>
                <w:color w:val="auto"/>
                <w:kern w:val="0"/>
                <w:szCs w:val="21"/>
              </w:rPr>
              <w:t>节第2.1（2）项</w:t>
            </w:r>
          </w:p>
        </w:tc>
      </w:tr>
      <w:tr w14:paraId="5425A2B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14:paraId="389DC8F7">
            <w:pPr>
              <w:adjustRightInd w:val="0"/>
              <w:snapToGrid w:val="0"/>
              <w:spacing w:before="120" w:beforeLines="50" w:line="360" w:lineRule="auto"/>
              <w:jc w:val="center"/>
              <w:rPr>
                <w:rFonts w:cs="宋体"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6</w:t>
            </w:r>
          </w:p>
        </w:tc>
        <w:tc>
          <w:tcPr>
            <w:tcW w:w="2686" w:type="dxa"/>
          </w:tcPr>
          <w:p w14:paraId="1833814D">
            <w:pPr>
              <w:adjustRightInd w:val="0"/>
              <w:snapToGrid w:val="0"/>
              <w:spacing w:before="120" w:beforeLines="50" w:line="360" w:lineRule="auto"/>
              <w:jc w:val="center"/>
              <w:rPr>
                <w:rFonts w:cs="宋体" w:asciiTheme="minorEastAsia" w:hAnsiTheme="minorEastAsia" w:eastAsiaTheme="minorEastAsia"/>
                <w:color w:val="auto"/>
                <w:kern w:val="0"/>
                <w:szCs w:val="21"/>
              </w:rPr>
            </w:pPr>
            <w:r>
              <w:rPr>
                <w:rFonts w:cs="宋体" w:asciiTheme="minorEastAsia" w:hAnsiTheme="minorEastAsia" w:eastAsiaTheme="minorEastAsia"/>
                <w:color w:val="auto"/>
                <w:kern w:val="0"/>
                <w:szCs w:val="21"/>
              </w:rPr>
              <w:t>商务、合同条款偏离表</w:t>
            </w:r>
          </w:p>
        </w:tc>
        <w:tc>
          <w:tcPr>
            <w:tcW w:w="5691" w:type="dxa"/>
            <w:vAlign w:val="center"/>
          </w:tcPr>
          <w:p w14:paraId="0AF42B16">
            <w:pPr>
              <w:adjustRightInd w:val="0"/>
              <w:snapToGrid w:val="0"/>
              <w:spacing w:before="120" w:beforeLines="50" w:line="360" w:lineRule="auto"/>
              <w:jc w:val="center"/>
              <w:rPr>
                <w:rFonts w:cs="宋体" w:asciiTheme="minorEastAsia" w:hAnsiTheme="minorEastAsia" w:eastAsiaTheme="minorEastAsia"/>
                <w:color w:val="auto"/>
                <w:kern w:val="0"/>
                <w:szCs w:val="21"/>
              </w:rPr>
            </w:pPr>
            <w:r>
              <w:rPr>
                <w:rFonts w:cs="宋体" w:asciiTheme="minorEastAsia" w:hAnsiTheme="minorEastAsia" w:eastAsiaTheme="minorEastAsia"/>
                <w:color w:val="auto"/>
                <w:kern w:val="0"/>
                <w:szCs w:val="21"/>
              </w:rPr>
              <w:t>第七章第八节</w:t>
            </w:r>
          </w:p>
        </w:tc>
      </w:tr>
      <w:tr w14:paraId="3A9CEAB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14:paraId="42E10BE5">
            <w:pPr>
              <w:adjustRightInd w:val="0"/>
              <w:snapToGrid w:val="0"/>
              <w:spacing w:before="120" w:beforeLines="50" w:line="360" w:lineRule="auto"/>
              <w:jc w:val="center"/>
              <w:rPr>
                <w:rFonts w:cs="宋体"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7</w:t>
            </w:r>
          </w:p>
        </w:tc>
        <w:tc>
          <w:tcPr>
            <w:tcW w:w="2686" w:type="dxa"/>
          </w:tcPr>
          <w:p w14:paraId="4E9224DC">
            <w:pPr>
              <w:adjustRightInd w:val="0"/>
              <w:snapToGrid w:val="0"/>
              <w:spacing w:before="120" w:beforeLines="50" w:line="360" w:lineRule="auto"/>
              <w:jc w:val="center"/>
              <w:rPr>
                <w:rFonts w:cs="宋体" w:asciiTheme="minorEastAsia" w:hAnsiTheme="minorEastAsia" w:eastAsiaTheme="minorEastAsia"/>
                <w:color w:val="auto"/>
                <w:kern w:val="0"/>
                <w:szCs w:val="21"/>
              </w:rPr>
            </w:pPr>
            <w:r>
              <w:rPr>
                <w:rFonts w:cs="宋体" w:asciiTheme="minorEastAsia" w:hAnsiTheme="minorEastAsia" w:eastAsiaTheme="minorEastAsia"/>
                <w:color w:val="auto"/>
                <w:kern w:val="0"/>
                <w:szCs w:val="21"/>
              </w:rPr>
              <w:t>采购需求偏离表</w:t>
            </w:r>
          </w:p>
        </w:tc>
        <w:tc>
          <w:tcPr>
            <w:tcW w:w="5691" w:type="dxa"/>
            <w:vAlign w:val="center"/>
          </w:tcPr>
          <w:p w14:paraId="579CEF80">
            <w:pPr>
              <w:adjustRightInd w:val="0"/>
              <w:snapToGrid w:val="0"/>
              <w:spacing w:before="120" w:beforeLines="50" w:line="360" w:lineRule="auto"/>
              <w:jc w:val="center"/>
              <w:rPr>
                <w:rFonts w:cs="宋体" w:asciiTheme="minorEastAsia" w:hAnsiTheme="minorEastAsia" w:eastAsiaTheme="minorEastAsia"/>
                <w:color w:val="auto"/>
                <w:kern w:val="0"/>
                <w:szCs w:val="21"/>
              </w:rPr>
            </w:pPr>
            <w:r>
              <w:rPr>
                <w:rFonts w:cs="宋体" w:asciiTheme="minorEastAsia" w:hAnsiTheme="minorEastAsia" w:eastAsiaTheme="minorEastAsia"/>
                <w:color w:val="auto"/>
                <w:kern w:val="0"/>
                <w:szCs w:val="21"/>
              </w:rPr>
              <w:t>第七章第九节</w:t>
            </w:r>
          </w:p>
        </w:tc>
      </w:tr>
      <w:tr w14:paraId="23CFD85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14:paraId="30E4AFC4">
            <w:pPr>
              <w:adjustRightInd w:val="0"/>
              <w:snapToGrid w:val="0"/>
              <w:spacing w:before="120" w:beforeLines="50" w:line="360" w:lineRule="auto"/>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8</w:t>
            </w:r>
          </w:p>
        </w:tc>
        <w:tc>
          <w:tcPr>
            <w:tcW w:w="2686" w:type="dxa"/>
          </w:tcPr>
          <w:p w14:paraId="5037CAC5">
            <w:pPr>
              <w:adjustRightInd w:val="0"/>
              <w:snapToGrid w:val="0"/>
              <w:spacing w:before="120" w:beforeLines="50" w:line="360" w:lineRule="auto"/>
              <w:jc w:val="center"/>
              <w:rPr>
                <w:rFonts w:cs="宋体" w:asciiTheme="minorEastAsia" w:hAnsiTheme="minorEastAsia" w:eastAsiaTheme="minorEastAsia"/>
                <w:color w:val="auto"/>
                <w:kern w:val="0"/>
                <w:szCs w:val="21"/>
              </w:rPr>
            </w:pPr>
            <w:r>
              <w:rPr>
                <w:rFonts w:cs="宋体" w:asciiTheme="minorEastAsia" w:hAnsiTheme="minorEastAsia" w:eastAsiaTheme="minorEastAsia"/>
                <w:color w:val="auto"/>
                <w:kern w:val="0"/>
                <w:szCs w:val="21"/>
              </w:rPr>
              <w:t>强制采购的节能产品</w:t>
            </w:r>
          </w:p>
        </w:tc>
        <w:tc>
          <w:tcPr>
            <w:tcW w:w="5691" w:type="dxa"/>
            <w:vAlign w:val="center"/>
          </w:tcPr>
          <w:p w14:paraId="076AB5DF">
            <w:pPr>
              <w:adjustRightInd w:val="0"/>
              <w:snapToGrid w:val="0"/>
              <w:spacing w:before="120" w:beforeLines="50" w:line="360" w:lineRule="auto"/>
              <w:jc w:val="center"/>
              <w:rPr>
                <w:rFonts w:cs="宋体" w:asciiTheme="minorEastAsia" w:hAnsiTheme="minorEastAsia" w:eastAsiaTheme="minorEastAsia"/>
                <w:color w:val="auto"/>
                <w:kern w:val="0"/>
                <w:szCs w:val="21"/>
              </w:rPr>
            </w:pPr>
            <w:r>
              <w:rPr>
                <w:rFonts w:cs="宋体" w:asciiTheme="minorEastAsia" w:hAnsiTheme="minorEastAsia" w:eastAsiaTheme="minorEastAsia"/>
                <w:color w:val="auto"/>
                <w:kern w:val="0"/>
                <w:szCs w:val="21"/>
              </w:rPr>
              <w:t>第二章第</w:t>
            </w:r>
            <w:r>
              <w:rPr>
                <w:rFonts w:hint="eastAsia" w:cs="宋体" w:asciiTheme="minorEastAsia" w:hAnsiTheme="minorEastAsia" w:eastAsiaTheme="minorEastAsia"/>
                <w:color w:val="auto"/>
                <w:kern w:val="0"/>
                <w:szCs w:val="21"/>
              </w:rPr>
              <w:t>36</w:t>
            </w:r>
            <w:r>
              <w:rPr>
                <w:rFonts w:cs="宋体" w:asciiTheme="minorEastAsia" w:hAnsiTheme="minorEastAsia" w:eastAsiaTheme="minorEastAsia"/>
                <w:color w:val="auto"/>
                <w:kern w:val="0"/>
                <w:szCs w:val="21"/>
              </w:rPr>
              <w:t>款</w:t>
            </w:r>
          </w:p>
        </w:tc>
      </w:tr>
      <w:tr w14:paraId="706AE26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14:paraId="77AC7C5D">
            <w:pPr>
              <w:adjustRightInd w:val="0"/>
              <w:snapToGrid w:val="0"/>
              <w:spacing w:before="120" w:beforeLines="50" w:line="360" w:lineRule="auto"/>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9</w:t>
            </w:r>
          </w:p>
        </w:tc>
        <w:tc>
          <w:tcPr>
            <w:tcW w:w="2686" w:type="dxa"/>
          </w:tcPr>
          <w:p w14:paraId="2F2C0368">
            <w:pPr>
              <w:adjustRightInd w:val="0"/>
              <w:snapToGrid w:val="0"/>
              <w:spacing w:before="120" w:beforeLines="50" w:line="360" w:lineRule="auto"/>
              <w:jc w:val="center"/>
              <w:rPr>
                <w:rFonts w:cs="宋体" w:asciiTheme="minorEastAsia" w:hAnsiTheme="minorEastAsia" w:eastAsiaTheme="minorEastAsia"/>
                <w:color w:val="auto"/>
                <w:kern w:val="0"/>
                <w:szCs w:val="21"/>
              </w:rPr>
            </w:pPr>
            <w:r>
              <w:rPr>
                <w:rFonts w:cs="宋体" w:asciiTheme="minorEastAsia" w:hAnsiTheme="minorEastAsia" w:eastAsiaTheme="minorEastAsia"/>
                <w:color w:val="auto"/>
                <w:kern w:val="0"/>
                <w:szCs w:val="21"/>
              </w:rPr>
              <w:t>提供进口产品</w:t>
            </w:r>
          </w:p>
        </w:tc>
        <w:tc>
          <w:tcPr>
            <w:tcW w:w="5691" w:type="dxa"/>
            <w:vAlign w:val="center"/>
          </w:tcPr>
          <w:p w14:paraId="468B7DEE">
            <w:pPr>
              <w:adjustRightInd w:val="0"/>
              <w:snapToGrid w:val="0"/>
              <w:spacing w:before="120" w:beforeLines="50" w:line="360" w:lineRule="auto"/>
              <w:jc w:val="center"/>
              <w:rPr>
                <w:rFonts w:cs="宋体" w:asciiTheme="minorEastAsia" w:hAnsiTheme="minorEastAsia" w:eastAsiaTheme="minorEastAsia"/>
                <w:color w:val="auto"/>
                <w:kern w:val="0"/>
                <w:szCs w:val="21"/>
              </w:rPr>
            </w:pPr>
            <w:r>
              <w:rPr>
                <w:rFonts w:ascii="宋体" w:hAnsi="宋体" w:cs="宋体"/>
                <w:color w:val="auto"/>
                <w:szCs w:val="21"/>
              </w:rPr>
              <w:t>第二章第</w:t>
            </w:r>
            <w:r>
              <w:rPr>
                <w:rFonts w:hint="eastAsia" w:ascii="宋体" w:hAnsi="宋体"/>
                <w:color w:val="auto"/>
                <w:szCs w:val="21"/>
              </w:rPr>
              <w:t>41</w:t>
            </w:r>
            <w:r>
              <w:rPr>
                <w:rFonts w:ascii="宋体" w:hAnsi="宋体" w:cs="宋体"/>
                <w:color w:val="auto"/>
                <w:szCs w:val="21"/>
              </w:rPr>
              <w:t>款</w:t>
            </w:r>
          </w:p>
        </w:tc>
      </w:tr>
      <w:tr w14:paraId="226672F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14:paraId="4F7DA765">
            <w:pPr>
              <w:adjustRightInd w:val="0"/>
              <w:snapToGrid w:val="0"/>
              <w:spacing w:before="120" w:beforeLines="50" w:line="360" w:lineRule="auto"/>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10</w:t>
            </w:r>
          </w:p>
        </w:tc>
        <w:tc>
          <w:tcPr>
            <w:tcW w:w="2686" w:type="dxa"/>
          </w:tcPr>
          <w:p w14:paraId="228BBD43">
            <w:pPr>
              <w:adjustRightInd w:val="0"/>
              <w:snapToGrid w:val="0"/>
              <w:spacing w:before="120" w:beforeLines="50" w:line="360" w:lineRule="auto"/>
              <w:jc w:val="center"/>
              <w:rPr>
                <w:rFonts w:cs="宋体" w:asciiTheme="minorEastAsia" w:hAnsiTheme="minorEastAsia" w:eastAsiaTheme="minorEastAsia"/>
                <w:color w:val="auto"/>
                <w:kern w:val="0"/>
                <w:szCs w:val="21"/>
              </w:rPr>
            </w:pPr>
            <w:r>
              <w:rPr>
                <w:rFonts w:cs="宋体" w:asciiTheme="minorEastAsia" w:hAnsiTheme="minorEastAsia" w:eastAsiaTheme="minorEastAsia"/>
                <w:color w:val="auto"/>
                <w:kern w:val="0"/>
                <w:szCs w:val="21"/>
              </w:rPr>
              <w:t>不遵循公平竞争的原则</w:t>
            </w:r>
          </w:p>
        </w:tc>
        <w:tc>
          <w:tcPr>
            <w:tcW w:w="5691" w:type="dxa"/>
            <w:vAlign w:val="center"/>
          </w:tcPr>
          <w:p w14:paraId="65E87892">
            <w:pPr>
              <w:adjustRightInd w:val="0"/>
              <w:snapToGrid w:val="0"/>
              <w:spacing w:before="120" w:beforeLines="50" w:line="360" w:lineRule="auto"/>
              <w:jc w:val="center"/>
              <w:rPr>
                <w:rFonts w:cs="宋体" w:asciiTheme="minorEastAsia" w:hAnsiTheme="minorEastAsia" w:eastAsiaTheme="minorEastAsia"/>
                <w:color w:val="auto"/>
                <w:kern w:val="0"/>
                <w:szCs w:val="21"/>
              </w:rPr>
            </w:pPr>
            <w:r>
              <w:rPr>
                <w:rFonts w:cs="宋体" w:asciiTheme="minorEastAsia" w:hAnsiTheme="minorEastAsia" w:eastAsiaTheme="minorEastAsia"/>
                <w:color w:val="auto"/>
                <w:kern w:val="0"/>
                <w:szCs w:val="21"/>
              </w:rPr>
              <w:t>第四章第</w:t>
            </w:r>
            <w:r>
              <w:rPr>
                <w:rFonts w:hint="eastAsia" w:cs="宋体" w:asciiTheme="minorEastAsia" w:hAnsiTheme="minorEastAsia" w:eastAsiaTheme="minorEastAsia"/>
                <w:color w:val="auto"/>
                <w:kern w:val="0"/>
                <w:szCs w:val="21"/>
              </w:rPr>
              <w:t>三</w:t>
            </w:r>
            <w:r>
              <w:rPr>
                <w:rFonts w:cs="宋体" w:asciiTheme="minorEastAsia" w:hAnsiTheme="minorEastAsia" w:eastAsiaTheme="minorEastAsia"/>
                <w:color w:val="auto"/>
                <w:kern w:val="0"/>
                <w:szCs w:val="21"/>
              </w:rPr>
              <w:t>节第2.2款</w:t>
            </w:r>
          </w:p>
        </w:tc>
      </w:tr>
      <w:tr w14:paraId="5ABE915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14:paraId="4F549C0F">
            <w:pPr>
              <w:adjustRightInd w:val="0"/>
              <w:snapToGrid w:val="0"/>
              <w:spacing w:before="120" w:beforeLines="50" w:line="360" w:lineRule="auto"/>
              <w:jc w:val="center"/>
              <w:rPr>
                <w:rFonts w:cs="宋体"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11</w:t>
            </w:r>
          </w:p>
        </w:tc>
        <w:tc>
          <w:tcPr>
            <w:tcW w:w="2686" w:type="dxa"/>
          </w:tcPr>
          <w:p w14:paraId="7BF3C5BC">
            <w:pPr>
              <w:adjustRightInd w:val="0"/>
              <w:snapToGrid w:val="0"/>
              <w:spacing w:before="120" w:beforeLines="50" w:line="360" w:lineRule="auto"/>
              <w:jc w:val="center"/>
              <w:rPr>
                <w:rFonts w:cs="宋体" w:asciiTheme="minorEastAsia" w:hAnsiTheme="minorEastAsia" w:eastAsiaTheme="minorEastAsia"/>
                <w:color w:val="auto"/>
                <w:kern w:val="0"/>
                <w:szCs w:val="21"/>
              </w:rPr>
            </w:pPr>
            <w:r>
              <w:rPr>
                <w:rFonts w:cs="宋体" w:asciiTheme="minorEastAsia" w:hAnsiTheme="minorEastAsia" w:eastAsiaTheme="minorEastAsia"/>
                <w:color w:val="auto"/>
                <w:kern w:val="0"/>
                <w:szCs w:val="21"/>
              </w:rPr>
              <w:t>开标一览表</w:t>
            </w:r>
          </w:p>
        </w:tc>
        <w:tc>
          <w:tcPr>
            <w:tcW w:w="5691" w:type="dxa"/>
            <w:vAlign w:val="center"/>
          </w:tcPr>
          <w:p w14:paraId="51F5B8C7">
            <w:pPr>
              <w:adjustRightInd w:val="0"/>
              <w:snapToGrid w:val="0"/>
              <w:spacing w:before="120" w:beforeLines="50" w:line="360" w:lineRule="auto"/>
              <w:jc w:val="center"/>
              <w:rPr>
                <w:rFonts w:cs="宋体" w:asciiTheme="minorEastAsia" w:hAnsiTheme="minorEastAsia" w:eastAsiaTheme="minorEastAsia"/>
                <w:color w:val="auto"/>
                <w:kern w:val="0"/>
                <w:szCs w:val="21"/>
              </w:rPr>
            </w:pPr>
            <w:r>
              <w:rPr>
                <w:rFonts w:cs="宋体" w:asciiTheme="minorEastAsia" w:hAnsiTheme="minorEastAsia" w:eastAsiaTheme="minorEastAsia"/>
                <w:color w:val="auto"/>
                <w:kern w:val="0"/>
                <w:szCs w:val="21"/>
              </w:rPr>
              <w:t>第七章第一节备注1、备注2</w:t>
            </w:r>
          </w:p>
        </w:tc>
      </w:tr>
      <w:tr w14:paraId="30DBED6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14:paraId="5BD9C743">
            <w:pPr>
              <w:adjustRightInd w:val="0"/>
              <w:snapToGrid w:val="0"/>
              <w:spacing w:before="120" w:beforeLines="50" w:line="360" w:lineRule="auto"/>
              <w:jc w:val="center"/>
              <w:rPr>
                <w:rFonts w:cs="宋体" w:asciiTheme="minorEastAsia" w:hAnsiTheme="minorEastAsia" w:eastAsiaTheme="minorEastAsia"/>
                <w:color w:val="auto"/>
                <w:kern w:val="0"/>
                <w:sz w:val="20"/>
                <w:szCs w:val="21"/>
              </w:rPr>
            </w:pPr>
            <w:r>
              <w:rPr>
                <w:rFonts w:hint="eastAsia" w:cs="宋体" w:asciiTheme="minorEastAsia" w:hAnsiTheme="minorEastAsia" w:eastAsiaTheme="minorEastAsia"/>
                <w:color w:val="auto"/>
                <w:kern w:val="0"/>
                <w:sz w:val="20"/>
                <w:szCs w:val="21"/>
              </w:rPr>
              <w:t>12</w:t>
            </w:r>
          </w:p>
        </w:tc>
        <w:tc>
          <w:tcPr>
            <w:tcW w:w="2686" w:type="dxa"/>
          </w:tcPr>
          <w:p w14:paraId="4CBE3253">
            <w:pPr>
              <w:adjustRightInd w:val="0"/>
              <w:snapToGrid w:val="0"/>
              <w:spacing w:before="120" w:beforeLines="50" w:line="360" w:lineRule="auto"/>
              <w:jc w:val="center"/>
              <w:rPr>
                <w:rFonts w:cs="宋体" w:asciiTheme="minorEastAsia" w:hAnsiTheme="minorEastAsia" w:eastAsiaTheme="minorEastAsia"/>
                <w:color w:val="auto"/>
                <w:kern w:val="0"/>
                <w:szCs w:val="21"/>
              </w:rPr>
            </w:pPr>
            <w:r>
              <w:rPr>
                <w:rFonts w:cs="宋体" w:asciiTheme="minorEastAsia" w:hAnsiTheme="minorEastAsia" w:eastAsiaTheme="minorEastAsia"/>
                <w:color w:val="auto"/>
                <w:kern w:val="0"/>
                <w:szCs w:val="21"/>
              </w:rPr>
              <w:t>投标分项报价表</w:t>
            </w:r>
          </w:p>
        </w:tc>
        <w:tc>
          <w:tcPr>
            <w:tcW w:w="5691" w:type="dxa"/>
            <w:vAlign w:val="center"/>
          </w:tcPr>
          <w:p w14:paraId="379D83F4">
            <w:pPr>
              <w:adjustRightInd w:val="0"/>
              <w:snapToGrid w:val="0"/>
              <w:spacing w:before="120" w:beforeLines="50" w:line="360" w:lineRule="auto"/>
              <w:jc w:val="center"/>
              <w:rPr>
                <w:rFonts w:cs="宋体" w:asciiTheme="minorEastAsia" w:hAnsiTheme="minorEastAsia" w:eastAsiaTheme="minorEastAsia"/>
                <w:color w:val="auto"/>
                <w:kern w:val="0"/>
                <w:szCs w:val="21"/>
              </w:rPr>
            </w:pPr>
            <w:r>
              <w:rPr>
                <w:rFonts w:cs="宋体" w:asciiTheme="minorEastAsia" w:hAnsiTheme="minorEastAsia" w:eastAsiaTheme="minorEastAsia"/>
                <w:color w:val="auto"/>
                <w:kern w:val="0"/>
                <w:szCs w:val="21"/>
              </w:rPr>
              <w:t>第七章第六节备注1、备注2</w:t>
            </w:r>
          </w:p>
        </w:tc>
      </w:tr>
      <w:tr w14:paraId="0D08989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14:paraId="002F4005">
            <w:pPr>
              <w:adjustRightInd w:val="0"/>
              <w:snapToGrid w:val="0"/>
              <w:spacing w:before="120" w:beforeLines="50" w:line="360" w:lineRule="auto"/>
              <w:jc w:val="center"/>
              <w:rPr>
                <w:rFonts w:cs="宋体" w:asciiTheme="minorEastAsia" w:hAnsiTheme="minorEastAsia" w:eastAsiaTheme="minorEastAsia"/>
                <w:color w:val="auto"/>
                <w:kern w:val="0"/>
                <w:sz w:val="20"/>
                <w:szCs w:val="21"/>
              </w:rPr>
            </w:pPr>
            <w:r>
              <w:rPr>
                <w:rFonts w:hint="eastAsia" w:cs="宋体" w:asciiTheme="minorEastAsia" w:hAnsiTheme="minorEastAsia" w:eastAsiaTheme="minorEastAsia"/>
                <w:color w:val="auto"/>
                <w:kern w:val="0"/>
                <w:sz w:val="20"/>
                <w:szCs w:val="21"/>
              </w:rPr>
              <w:t>13</w:t>
            </w:r>
          </w:p>
        </w:tc>
        <w:tc>
          <w:tcPr>
            <w:tcW w:w="2686" w:type="dxa"/>
            <w:vAlign w:val="center"/>
          </w:tcPr>
          <w:p w14:paraId="2FB7AAC0">
            <w:pPr>
              <w:adjustRightInd w:val="0"/>
              <w:snapToGrid w:val="0"/>
              <w:spacing w:before="120" w:beforeLines="50" w:line="360" w:lineRule="auto"/>
              <w:jc w:val="center"/>
              <w:rPr>
                <w:rFonts w:cs="宋体" w:asciiTheme="minorEastAsia" w:hAnsiTheme="minorEastAsia" w:eastAsiaTheme="minorEastAsia"/>
                <w:color w:val="auto"/>
                <w:kern w:val="0"/>
                <w:szCs w:val="21"/>
              </w:rPr>
            </w:pPr>
            <w:r>
              <w:rPr>
                <w:rFonts w:cs="宋体" w:asciiTheme="minorEastAsia" w:hAnsiTheme="minorEastAsia" w:eastAsiaTheme="minorEastAsia"/>
                <w:color w:val="auto"/>
                <w:kern w:val="0"/>
                <w:szCs w:val="21"/>
              </w:rPr>
              <w:t>选择性报价</w:t>
            </w:r>
          </w:p>
        </w:tc>
        <w:tc>
          <w:tcPr>
            <w:tcW w:w="5691" w:type="dxa"/>
            <w:vAlign w:val="center"/>
          </w:tcPr>
          <w:p w14:paraId="341E64AA">
            <w:pPr>
              <w:adjustRightInd w:val="0"/>
              <w:snapToGrid w:val="0"/>
              <w:spacing w:before="120" w:beforeLines="50" w:line="360" w:lineRule="auto"/>
              <w:jc w:val="center"/>
              <w:rPr>
                <w:rFonts w:cs="宋体" w:asciiTheme="minorEastAsia" w:hAnsiTheme="minorEastAsia" w:eastAsiaTheme="minorEastAsia"/>
                <w:color w:val="auto"/>
                <w:kern w:val="0"/>
                <w:szCs w:val="21"/>
              </w:rPr>
            </w:pPr>
            <w:r>
              <w:rPr>
                <w:rFonts w:cs="宋体" w:asciiTheme="minorEastAsia" w:hAnsiTheme="minorEastAsia" w:eastAsiaTheme="minorEastAsia"/>
                <w:color w:val="auto"/>
                <w:kern w:val="0"/>
                <w:szCs w:val="21"/>
              </w:rPr>
              <w:t>第二章第13.4款</w:t>
            </w:r>
          </w:p>
        </w:tc>
      </w:tr>
      <w:tr w14:paraId="29CB6FC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14:paraId="1DD3841F">
            <w:pPr>
              <w:adjustRightInd w:val="0"/>
              <w:snapToGrid w:val="0"/>
              <w:spacing w:before="120" w:beforeLines="50" w:line="360" w:lineRule="auto"/>
              <w:jc w:val="center"/>
              <w:rPr>
                <w:rFonts w:cs="宋体" w:asciiTheme="minorEastAsia" w:hAnsiTheme="minorEastAsia" w:eastAsiaTheme="minorEastAsia"/>
                <w:color w:val="auto"/>
                <w:kern w:val="0"/>
                <w:sz w:val="20"/>
                <w:szCs w:val="21"/>
              </w:rPr>
            </w:pPr>
            <w:r>
              <w:rPr>
                <w:rFonts w:hint="eastAsia" w:cs="宋体" w:asciiTheme="minorEastAsia" w:hAnsiTheme="minorEastAsia" w:eastAsiaTheme="minorEastAsia"/>
                <w:color w:val="auto"/>
                <w:kern w:val="0"/>
                <w:sz w:val="20"/>
                <w:szCs w:val="21"/>
              </w:rPr>
              <w:t>14</w:t>
            </w:r>
          </w:p>
        </w:tc>
        <w:tc>
          <w:tcPr>
            <w:tcW w:w="2686" w:type="dxa"/>
          </w:tcPr>
          <w:p w14:paraId="56805EDE">
            <w:pPr>
              <w:adjustRightInd w:val="0"/>
              <w:snapToGrid w:val="0"/>
              <w:spacing w:before="120" w:beforeLines="50" w:line="360" w:lineRule="auto"/>
              <w:jc w:val="center"/>
              <w:rPr>
                <w:rFonts w:cs="宋体" w:asciiTheme="minorEastAsia" w:hAnsiTheme="minorEastAsia" w:eastAsiaTheme="minorEastAsia"/>
                <w:color w:val="auto"/>
                <w:kern w:val="0"/>
                <w:szCs w:val="21"/>
              </w:rPr>
            </w:pPr>
            <w:r>
              <w:rPr>
                <w:rFonts w:cs="宋体" w:asciiTheme="minorEastAsia" w:hAnsiTheme="minorEastAsia" w:eastAsiaTheme="minorEastAsia"/>
                <w:color w:val="auto"/>
                <w:kern w:val="0"/>
                <w:szCs w:val="21"/>
              </w:rPr>
              <w:t>投标文件含有采购人不能接受的附加条件的</w:t>
            </w:r>
          </w:p>
        </w:tc>
        <w:tc>
          <w:tcPr>
            <w:tcW w:w="5691" w:type="dxa"/>
            <w:vAlign w:val="center"/>
          </w:tcPr>
          <w:p w14:paraId="15C4610A">
            <w:pPr>
              <w:adjustRightInd w:val="0"/>
              <w:snapToGrid w:val="0"/>
              <w:spacing w:before="120" w:beforeLines="50" w:line="360" w:lineRule="auto"/>
              <w:jc w:val="center"/>
              <w:rPr>
                <w:rFonts w:cs="宋体" w:asciiTheme="minorEastAsia" w:hAnsiTheme="minorEastAsia" w:eastAsiaTheme="minorEastAsia"/>
                <w:color w:val="auto"/>
                <w:kern w:val="0"/>
                <w:szCs w:val="21"/>
              </w:rPr>
            </w:pPr>
            <w:r>
              <w:rPr>
                <w:rFonts w:cs="宋体" w:asciiTheme="minorEastAsia" w:hAnsiTheme="minorEastAsia" w:eastAsiaTheme="minorEastAsia"/>
                <w:color w:val="auto"/>
                <w:kern w:val="0"/>
                <w:szCs w:val="21"/>
              </w:rPr>
              <w:t>第四章第</w:t>
            </w:r>
            <w:r>
              <w:rPr>
                <w:rFonts w:hint="eastAsia" w:cs="宋体" w:asciiTheme="minorEastAsia" w:hAnsiTheme="minorEastAsia" w:eastAsiaTheme="minorEastAsia"/>
                <w:color w:val="auto"/>
                <w:kern w:val="0"/>
                <w:szCs w:val="21"/>
              </w:rPr>
              <w:t>三</w:t>
            </w:r>
            <w:r>
              <w:rPr>
                <w:rFonts w:cs="宋体" w:asciiTheme="minorEastAsia" w:hAnsiTheme="minorEastAsia" w:eastAsiaTheme="minorEastAsia"/>
                <w:color w:val="auto"/>
                <w:kern w:val="0"/>
                <w:szCs w:val="21"/>
              </w:rPr>
              <w:t>节第2.1（4）项</w:t>
            </w:r>
          </w:p>
        </w:tc>
      </w:tr>
      <w:tr w14:paraId="30859BF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14:paraId="7C8D345C">
            <w:pPr>
              <w:adjustRightInd w:val="0"/>
              <w:snapToGrid w:val="0"/>
              <w:spacing w:before="120" w:beforeLines="50" w:line="360" w:lineRule="auto"/>
              <w:jc w:val="center"/>
              <w:rPr>
                <w:rFonts w:cs="宋体" w:asciiTheme="minorEastAsia" w:hAnsiTheme="minorEastAsia" w:eastAsiaTheme="minorEastAsia"/>
                <w:color w:val="auto"/>
                <w:kern w:val="0"/>
                <w:sz w:val="20"/>
                <w:szCs w:val="21"/>
              </w:rPr>
            </w:pPr>
            <w:r>
              <w:rPr>
                <w:rFonts w:hint="eastAsia" w:cs="宋体" w:asciiTheme="minorEastAsia" w:hAnsiTheme="minorEastAsia" w:eastAsiaTheme="minorEastAsia"/>
                <w:color w:val="auto"/>
                <w:kern w:val="0"/>
                <w:sz w:val="20"/>
                <w:szCs w:val="21"/>
              </w:rPr>
              <w:t>15</w:t>
            </w:r>
          </w:p>
        </w:tc>
        <w:tc>
          <w:tcPr>
            <w:tcW w:w="2686" w:type="dxa"/>
          </w:tcPr>
          <w:p w14:paraId="501E974B">
            <w:pPr>
              <w:adjustRightInd w:val="0"/>
              <w:snapToGrid w:val="0"/>
              <w:spacing w:before="120" w:beforeLines="50" w:line="360" w:lineRule="auto"/>
              <w:jc w:val="center"/>
              <w:rPr>
                <w:rFonts w:cs="宋体" w:asciiTheme="minorEastAsia" w:hAnsiTheme="minorEastAsia" w:eastAsiaTheme="minorEastAsia"/>
                <w:color w:val="auto"/>
                <w:kern w:val="0"/>
                <w:szCs w:val="21"/>
              </w:rPr>
            </w:pPr>
            <w:r>
              <w:rPr>
                <w:rFonts w:cs="宋体" w:asciiTheme="minorEastAsia" w:hAnsiTheme="minorEastAsia" w:eastAsiaTheme="minorEastAsia"/>
                <w:color w:val="auto"/>
                <w:kern w:val="0"/>
                <w:szCs w:val="21"/>
              </w:rPr>
              <w:t>法律、法规和招标文件规定的其他投标无效情形的</w:t>
            </w:r>
          </w:p>
        </w:tc>
        <w:tc>
          <w:tcPr>
            <w:tcW w:w="5691" w:type="dxa"/>
            <w:vAlign w:val="center"/>
          </w:tcPr>
          <w:p w14:paraId="409F0B69">
            <w:pPr>
              <w:adjustRightInd w:val="0"/>
              <w:snapToGrid w:val="0"/>
              <w:spacing w:before="120" w:beforeLines="50" w:line="360" w:lineRule="auto"/>
              <w:jc w:val="center"/>
              <w:rPr>
                <w:rFonts w:cs="宋体" w:asciiTheme="minorEastAsia" w:hAnsiTheme="minorEastAsia" w:eastAsiaTheme="minorEastAsia"/>
                <w:color w:val="auto"/>
                <w:kern w:val="0"/>
                <w:szCs w:val="21"/>
              </w:rPr>
            </w:pPr>
            <w:r>
              <w:rPr>
                <w:rFonts w:cs="宋体" w:asciiTheme="minorEastAsia" w:hAnsiTheme="minorEastAsia" w:eastAsiaTheme="minorEastAsia"/>
                <w:color w:val="auto"/>
                <w:kern w:val="0"/>
                <w:szCs w:val="21"/>
              </w:rPr>
              <w:t>第四章第</w:t>
            </w:r>
            <w:r>
              <w:rPr>
                <w:rFonts w:hint="eastAsia" w:cs="宋体" w:asciiTheme="minorEastAsia" w:hAnsiTheme="minorEastAsia" w:eastAsiaTheme="minorEastAsia"/>
                <w:color w:val="auto"/>
                <w:kern w:val="0"/>
                <w:szCs w:val="21"/>
              </w:rPr>
              <w:t>三</w:t>
            </w:r>
            <w:r>
              <w:rPr>
                <w:rFonts w:cs="宋体" w:asciiTheme="minorEastAsia" w:hAnsiTheme="minorEastAsia" w:eastAsiaTheme="minorEastAsia"/>
                <w:color w:val="auto"/>
                <w:kern w:val="0"/>
                <w:szCs w:val="21"/>
              </w:rPr>
              <w:t>节第2.1（6）项</w:t>
            </w:r>
          </w:p>
        </w:tc>
      </w:tr>
      <w:tr w14:paraId="739B276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14:paraId="10BCAD32">
            <w:pPr>
              <w:adjustRightInd w:val="0"/>
              <w:snapToGrid w:val="0"/>
              <w:spacing w:before="120" w:beforeLines="50" w:line="360" w:lineRule="auto"/>
              <w:jc w:val="center"/>
              <w:rPr>
                <w:rFonts w:cs="宋体" w:asciiTheme="minorEastAsia" w:hAnsiTheme="minorEastAsia" w:eastAsiaTheme="minorEastAsia"/>
                <w:color w:val="auto"/>
                <w:kern w:val="0"/>
                <w:sz w:val="20"/>
                <w:szCs w:val="21"/>
              </w:rPr>
            </w:pPr>
            <w:r>
              <w:rPr>
                <w:rFonts w:hint="eastAsia" w:cs="宋体" w:asciiTheme="minorEastAsia" w:hAnsiTheme="minorEastAsia" w:eastAsiaTheme="minorEastAsia"/>
                <w:color w:val="auto"/>
                <w:kern w:val="0"/>
                <w:sz w:val="20"/>
                <w:szCs w:val="21"/>
              </w:rPr>
              <w:t>结论</w:t>
            </w:r>
          </w:p>
        </w:tc>
        <w:tc>
          <w:tcPr>
            <w:tcW w:w="8377" w:type="dxa"/>
            <w:gridSpan w:val="2"/>
            <w:vAlign w:val="center"/>
          </w:tcPr>
          <w:p w14:paraId="314D0A91">
            <w:pPr>
              <w:adjustRightInd w:val="0"/>
              <w:snapToGrid w:val="0"/>
              <w:spacing w:before="120" w:beforeLines="50" w:line="360" w:lineRule="auto"/>
              <w:jc w:val="center"/>
              <w:rPr>
                <w:rFonts w:cs="宋体" w:asciiTheme="minorEastAsia" w:hAnsiTheme="minorEastAsia" w:eastAsiaTheme="minorEastAsia"/>
                <w:color w:val="auto"/>
                <w:kern w:val="0"/>
                <w:sz w:val="20"/>
                <w:szCs w:val="21"/>
              </w:rPr>
            </w:pPr>
          </w:p>
        </w:tc>
      </w:tr>
    </w:tbl>
    <w:p w14:paraId="224291C0">
      <w:pPr>
        <w:adjustRightInd w:val="0"/>
        <w:snapToGrid w:val="0"/>
        <w:spacing w:line="360" w:lineRule="auto"/>
        <w:rPr>
          <w:rFonts w:asciiTheme="minorEastAsia" w:hAnsiTheme="minorEastAsia" w:eastAsiaTheme="minorEastAsia"/>
          <w:color w:val="auto"/>
          <w:szCs w:val="21"/>
        </w:rPr>
      </w:pPr>
    </w:p>
    <w:p w14:paraId="6EDE4099">
      <w:pPr>
        <w:widowControl/>
        <w:jc w:val="left"/>
        <w:rPr>
          <w:rFonts w:asciiTheme="minorEastAsia" w:hAnsiTheme="minorEastAsia" w:eastAsiaTheme="minorEastAsia"/>
          <w:color w:val="auto"/>
          <w:szCs w:val="21"/>
        </w:rPr>
      </w:pPr>
      <w:r>
        <w:rPr>
          <w:rFonts w:asciiTheme="minorEastAsia" w:hAnsiTheme="minorEastAsia" w:eastAsiaTheme="minorEastAsia"/>
          <w:color w:val="auto"/>
          <w:szCs w:val="21"/>
        </w:rPr>
        <w:br w:type="page"/>
      </w:r>
    </w:p>
    <w:p w14:paraId="5F612338">
      <w:pPr>
        <w:pStyle w:val="4"/>
        <w:rPr>
          <w:color w:val="auto"/>
          <w:sz w:val="21"/>
          <w:szCs w:val="21"/>
        </w:rPr>
      </w:pPr>
      <w:bookmarkStart w:id="142" w:name="_Toc23532"/>
      <w:r>
        <w:rPr>
          <w:rFonts w:hint="eastAsia"/>
          <w:color w:val="auto"/>
          <w:sz w:val="21"/>
          <w:szCs w:val="21"/>
        </w:rPr>
        <w:t>附表2 符合性审查结果一览表</w:t>
      </w:r>
      <w:bookmarkEnd w:id="142"/>
    </w:p>
    <w:p w14:paraId="2C90FC14">
      <w:pPr>
        <w:adjustRightInd w:val="0"/>
        <w:snapToGrid w:val="0"/>
        <w:spacing w:before="120" w:beforeLines="50" w:line="360" w:lineRule="auto"/>
        <w:jc w:val="center"/>
        <w:rPr>
          <w:rFonts w:ascii="黑体" w:hAnsi="黑体" w:eastAsia="黑体"/>
          <w:b/>
          <w:color w:val="auto"/>
          <w:sz w:val="28"/>
          <w:szCs w:val="28"/>
        </w:rPr>
      </w:pPr>
      <w:r>
        <w:rPr>
          <w:rFonts w:hint="eastAsia" w:ascii="黑体" w:hAnsi="黑体" w:eastAsia="黑体"/>
          <w:b/>
          <w:color w:val="auto"/>
          <w:sz w:val="28"/>
          <w:szCs w:val="28"/>
        </w:rPr>
        <w:t>符合性审查结果一览表</w:t>
      </w:r>
    </w:p>
    <w:p w14:paraId="512351D9">
      <w:pPr>
        <w:adjustRightInd w:val="0"/>
        <w:snapToGrid w:val="0"/>
        <w:spacing w:before="120" w:beforeLines="50"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项目名称：                                           采购代理编号：</w:t>
      </w:r>
    </w:p>
    <w:tbl>
      <w:tblPr>
        <w:tblStyle w:val="42"/>
        <w:tblW w:w="9060"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97"/>
        <w:gridCol w:w="2963"/>
        <w:gridCol w:w="2439"/>
        <w:gridCol w:w="2961"/>
      </w:tblGrid>
      <w:tr w14:paraId="43E65A1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vAlign w:val="center"/>
          </w:tcPr>
          <w:p w14:paraId="5307CFB7">
            <w:pPr>
              <w:jc w:val="center"/>
              <w:rPr>
                <w:rFonts w:asciiTheme="minorEastAsia" w:hAnsiTheme="minorEastAsia" w:eastAsiaTheme="minorEastAsia"/>
                <w:b/>
                <w:color w:val="auto"/>
                <w:kern w:val="0"/>
                <w:szCs w:val="21"/>
              </w:rPr>
            </w:pPr>
            <w:r>
              <w:rPr>
                <w:rFonts w:hint="eastAsia" w:asciiTheme="minorEastAsia" w:hAnsiTheme="minorEastAsia" w:eastAsiaTheme="minorEastAsia"/>
                <w:b/>
                <w:color w:val="auto"/>
                <w:kern w:val="0"/>
                <w:szCs w:val="21"/>
              </w:rPr>
              <w:t>序号</w:t>
            </w:r>
          </w:p>
        </w:tc>
        <w:tc>
          <w:tcPr>
            <w:tcW w:w="2963" w:type="dxa"/>
            <w:vAlign w:val="center"/>
          </w:tcPr>
          <w:p w14:paraId="6DB8902C">
            <w:pPr>
              <w:jc w:val="center"/>
              <w:rPr>
                <w:rFonts w:asciiTheme="minorEastAsia" w:hAnsiTheme="minorEastAsia" w:eastAsiaTheme="minorEastAsia"/>
                <w:b/>
                <w:color w:val="auto"/>
                <w:kern w:val="0"/>
                <w:szCs w:val="21"/>
              </w:rPr>
            </w:pPr>
            <w:r>
              <w:rPr>
                <w:rFonts w:hint="eastAsia" w:asciiTheme="minorEastAsia" w:hAnsiTheme="minorEastAsia" w:eastAsiaTheme="minorEastAsia"/>
                <w:b/>
                <w:color w:val="auto"/>
                <w:kern w:val="0"/>
                <w:szCs w:val="21"/>
              </w:rPr>
              <w:t>投标人名称</w:t>
            </w:r>
          </w:p>
        </w:tc>
        <w:tc>
          <w:tcPr>
            <w:tcW w:w="2439" w:type="dxa"/>
            <w:vAlign w:val="center"/>
          </w:tcPr>
          <w:p w14:paraId="5C7FC904">
            <w:pPr>
              <w:jc w:val="center"/>
              <w:rPr>
                <w:rFonts w:asciiTheme="minorEastAsia" w:hAnsiTheme="minorEastAsia" w:eastAsiaTheme="minorEastAsia"/>
                <w:b/>
                <w:color w:val="auto"/>
                <w:kern w:val="0"/>
                <w:szCs w:val="21"/>
              </w:rPr>
            </w:pPr>
            <w:r>
              <w:rPr>
                <w:rFonts w:hint="eastAsia" w:asciiTheme="minorEastAsia" w:hAnsiTheme="minorEastAsia" w:eastAsiaTheme="minorEastAsia"/>
                <w:b/>
                <w:color w:val="auto"/>
                <w:kern w:val="0"/>
                <w:szCs w:val="21"/>
              </w:rPr>
              <w:t>符合性审查结果</w:t>
            </w:r>
          </w:p>
          <w:p w14:paraId="2D4F80FC">
            <w:pPr>
              <w:jc w:val="center"/>
              <w:rPr>
                <w:rFonts w:asciiTheme="minorEastAsia" w:hAnsiTheme="minorEastAsia" w:eastAsiaTheme="minorEastAsia"/>
                <w:b/>
                <w:color w:val="auto"/>
                <w:kern w:val="0"/>
                <w:szCs w:val="21"/>
              </w:rPr>
            </w:pPr>
            <w:r>
              <w:rPr>
                <w:rFonts w:hint="eastAsia" w:asciiTheme="minorEastAsia" w:hAnsiTheme="minorEastAsia" w:eastAsiaTheme="minorEastAsia"/>
                <w:b/>
                <w:color w:val="auto"/>
                <w:kern w:val="0"/>
                <w:szCs w:val="21"/>
              </w:rPr>
              <w:t>（合格/不合格）</w:t>
            </w:r>
          </w:p>
        </w:tc>
        <w:tc>
          <w:tcPr>
            <w:tcW w:w="2961" w:type="dxa"/>
            <w:vAlign w:val="center"/>
          </w:tcPr>
          <w:p w14:paraId="5E1417EA">
            <w:pPr>
              <w:jc w:val="center"/>
              <w:rPr>
                <w:rFonts w:asciiTheme="minorEastAsia" w:hAnsiTheme="minorEastAsia" w:eastAsiaTheme="minorEastAsia"/>
                <w:b/>
                <w:color w:val="auto"/>
                <w:kern w:val="0"/>
                <w:szCs w:val="21"/>
              </w:rPr>
            </w:pPr>
            <w:r>
              <w:rPr>
                <w:rFonts w:hint="eastAsia" w:asciiTheme="minorEastAsia" w:hAnsiTheme="minorEastAsia" w:eastAsiaTheme="minorEastAsia"/>
                <w:b/>
                <w:color w:val="auto"/>
                <w:kern w:val="0"/>
                <w:szCs w:val="21"/>
              </w:rPr>
              <w:t>符合性审查不合格原因</w:t>
            </w:r>
          </w:p>
        </w:tc>
      </w:tr>
      <w:tr w14:paraId="3174F58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14:paraId="771A8495">
            <w:pPr>
              <w:adjustRightInd w:val="0"/>
              <w:snapToGrid w:val="0"/>
              <w:spacing w:line="360" w:lineRule="auto"/>
              <w:rPr>
                <w:rFonts w:asciiTheme="minorEastAsia" w:hAnsiTheme="minorEastAsia" w:eastAsiaTheme="minorEastAsia"/>
                <w:color w:val="auto"/>
                <w:kern w:val="0"/>
                <w:sz w:val="24"/>
              </w:rPr>
            </w:pPr>
          </w:p>
        </w:tc>
        <w:tc>
          <w:tcPr>
            <w:tcW w:w="2963" w:type="dxa"/>
          </w:tcPr>
          <w:p w14:paraId="4F5D47BB">
            <w:pPr>
              <w:adjustRightInd w:val="0"/>
              <w:snapToGrid w:val="0"/>
              <w:spacing w:line="360" w:lineRule="auto"/>
              <w:rPr>
                <w:rFonts w:asciiTheme="minorEastAsia" w:hAnsiTheme="minorEastAsia" w:eastAsiaTheme="minorEastAsia"/>
                <w:color w:val="auto"/>
                <w:kern w:val="0"/>
                <w:sz w:val="24"/>
              </w:rPr>
            </w:pPr>
          </w:p>
        </w:tc>
        <w:tc>
          <w:tcPr>
            <w:tcW w:w="2439" w:type="dxa"/>
          </w:tcPr>
          <w:p w14:paraId="4895B7A9">
            <w:pPr>
              <w:adjustRightInd w:val="0"/>
              <w:snapToGrid w:val="0"/>
              <w:spacing w:line="360" w:lineRule="auto"/>
              <w:rPr>
                <w:rFonts w:asciiTheme="minorEastAsia" w:hAnsiTheme="minorEastAsia" w:eastAsiaTheme="minorEastAsia"/>
                <w:color w:val="auto"/>
                <w:kern w:val="0"/>
                <w:sz w:val="24"/>
              </w:rPr>
            </w:pPr>
          </w:p>
        </w:tc>
        <w:tc>
          <w:tcPr>
            <w:tcW w:w="2961" w:type="dxa"/>
          </w:tcPr>
          <w:p w14:paraId="32B3A95C">
            <w:pPr>
              <w:adjustRightInd w:val="0"/>
              <w:snapToGrid w:val="0"/>
              <w:spacing w:line="360" w:lineRule="auto"/>
              <w:rPr>
                <w:rFonts w:asciiTheme="minorEastAsia" w:hAnsiTheme="minorEastAsia" w:eastAsiaTheme="minorEastAsia"/>
                <w:color w:val="auto"/>
                <w:kern w:val="0"/>
                <w:sz w:val="24"/>
              </w:rPr>
            </w:pPr>
          </w:p>
        </w:tc>
      </w:tr>
      <w:tr w14:paraId="73B8E27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14:paraId="6EFC2457">
            <w:pPr>
              <w:adjustRightInd w:val="0"/>
              <w:snapToGrid w:val="0"/>
              <w:spacing w:line="360" w:lineRule="auto"/>
              <w:rPr>
                <w:rFonts w:asciiTheme="minorEastAsia" w:hAnsiTheme="minorEastAsia" w:eastAsiaTheme="minorEastAsia"/>
                <w:color w:val="auto"/>
                <w:kern w:val="0"/>
                <w:sz w:val="24"/>
              </w:rPr>
            </w:pPr>
          </w:p>
        </w:tc>
        <w:tc>
          <w:tcPr>
            <w:tcW w:w="2963" w:type="dxa"/>
          </w:tcPr>
          <w:p w14:paraId="5A0B17D0">
            <w:pPr>
              <w:adjustRightInd w:val="0"/>
              <w:snapToGrid w:val="0"/>
              <w:spacing w:line="360" w:lineRule="auto"/>
              <w:rPr>
                <w:rFonts w:asciiTheme="minorEastAsia" w:hAnsiTheme="minorEastAsia" w:eastAsiaTheme="minorEastAsia"/>
                <w:color w:val="auto"/>
                <w:kern w:val="0"/>
                <w:sz w:val="24"/>
              </w:rPr>
            </w:pPr>
          </w:p>
        </w:tc>
        <w:tc>
          <w:tcPr>
            <w:tcW w:w="2439" w:type="dxa"/>
          </w:tcPr>
          <w:p w14:paraId="769D6A4A">
            <w:pPr>
              <w:adjustRightInd w:val="0"/>
              <w:snapToGrid w:val="0"/>
              <w:spacing w:line="360" w:lineRule="auto"/>
              <w:rPr>
                <w:rFonts w:asciiTheme="minorEastAsia" w:hAnsiTheme="minorEastAsia" w:eastAsiaTheme="minorEastAsia"/>
                <w:color w:val="auto"/>
                <w:kern w:val="0"/>
                <w:sz w:val="24"/>
              </w:rPr>
            </w:pPr>
          </w:p>
        </w:tc>
        <w:tc>
          <w:tcPr>
            <w:tcW w:w="2961" w:type="dxa"/>
          </w:tcPr>
          <w:p w14:paraId="10039006">
            <w:pPr>
              <w:adjustRightInd w:val="0"/>
              <w:snapToGrid w:val="0"/>
              <w:spacing w:line="360" w:lineRule="auto"/>
              <w:rPr>
                <w:rFonts w:asciiTheme="minorEastAsia" w:hAnsiTheme="minorEastAsia" w:eastAsiaTheme="minorEastAsia"/>
                <w:color w:val="auto"/>
                <w:kern w:val="0"/>
                <w:sz w:val="24"/>
              </w:rPr>
            </w:pPr>
          </w:p>
        </w:tc>
      </w:tr>
      <w:tr w14:paraId="2398EEA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14:paraId="16D4B01F">
            <w:pPr>
              <w:adjustRightInd w:val="0"/>
              <w:snapToGrid w:val="0"/>
              <w:spacing w:line="360" w:lineRule="auto"/>
              <w:rPr>
                <w:rFonts w:asciiTheme="minorEastAsia" w:hAnsiTheme="minorEastAsia" w:eastAsiaTheme="minorEastAsia"/>
                <w:color w:val="auto"/>
                <w:kern w:val="0"/>
                <w:sz w:val="24"/>
              </w:rPr>
            </w:pPr>
          </w:p>
        </w:tc>
        <w:tc>
          <w:tcPr>
            <w:tcW w:w="2963" w:type="dxa"/>
          </w:tcPr>
          <w:p w14:paraId="7875546C">
            <w:pPr>
              <w:adjustRightInd w:val="0"/>
              <w:snapToGrid w:val="0"/>
              <w:spacing w:line="360" w:lineRule="auto"/>
              <w:rPr>
                <w:rFonts w:asciiTheme="minorEastAsia" w:hAnsiTheme="minorEastAsia" w:eastAsiaTheme="minorEastAsia"/>
                <w:color w:val="auto"/>
                <w:kern w:val="0"/>
                <w:sz w:val="24"/>
              </w:rPr>
            </w:pPr>
          </w:p>
        </w:tc>
        <w:tc>
          <w:tcPr>
            <w:tcW w:w="2439" w:type="dxa"/>
          </w:tcPr>
          <w:p w14:paraId="4834B828">
            <w:pPr>
              <w:adjustRightInd w:val="0"/>
              <w:snapToGrid w:val="0"/>
              <w:spacing w:line="360" w:lineRule="auto"/>
              <w:rPr>
                <w:rFonts w:asciiTheme="minorEastAsia" w:hAnsiTheme="minorEastAsia" w:eastAsiaTheme="minorEastAsia"/>
                <w:color w:val="auto"/>
                <w:kern w:val="0"/>
                <w:sz w:val="24"/>
              </w:rPr>
            </w:pPr>
          </w:p>
        </w:tc>
        <w:tc>
          <w:tcPr>
            <w:tcW w:w="2961" w:type="dxa"/>
          </w:tcPr>
          <w:p w14:paraId="2989B95D">
            <w:pPr>
              <w:adjustRightInd w:val="0"/>
              <w:snapToGrid w:val="0"/>
              <w:spacing w:line="360" w:lineRule="auto"/>
              <w:rPr>
                <w:rFonts w:asciiTheme="minorEastAsia" w:hAnsiTheme="minorEastAsia" w:eastAsiaTheme="minorEastAsia"/>
                <w:color w:val="auto"/>
                <w:kern w:val="0"/>
                <w:sz w:val="24"/>
              </w:rPr>
            </w:pPr>
          </w:p>
        </w:tc>
      </w:tr>
      <w:tr w14:paraId="20A7840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14:paraId="3D08CD58">
            <w:pPr>
              <w:adjustRightInd w:val="0"/>
              <w:snapToGrid w:val="0"/>
              <w:spacing w:line="360" w:lineRule="auto"/>
              <w:rPr>
                <w:rFonts w:asciiTheme="minorEastAsia" w:hAnsiTheme="minorEastAsia" w:eastAsiaTheme="minorEastAsia"/>
                <w:color w:val="auto"/>
                <w:kern w:val="0"/>
                <w:sz w:val="24"/>
              </w:rPr>
            </w:pPr>
          </w:p>
        </w:tc>
        <w:tc>
          <w:tcPr>
            <w:tcW w:w="2963" w:type="dxa"/>
          </w:tcPr>
          <w:p w14:paraId="15BA7DCA">
            <w:pPr>
              <w:adjustRightInd w:val="0"/>
              <w:snapToGrid w:val="0"/>
              <w:spacing w:line="360" w:lineRule="auto"/>
              <w:rPr>
                <w:rFonts w:asciiTheme="minorEastAsia" w:hAnsiTheme="minorEastAsia" w:eastAsiaTheme="minorEastAsia"/>
                <w:color w:val="auto"/>
                <w:kern w:val="0"/>
                <w:sz w:val="24"/>
              </w:rPr>
            </w:pPr>
          </w:p>
        </w:tc>
        <w:tc>
          <w:tcPr>
            <w:tcW w:w="2439" w:type="dxa"/>
          </w:tcPr>
          <w:p w14:paraId="2E78798A">
            <w:pPr>
              <w:adjustRightInd w:val="0"/>
              <w:snapToGrid w:val="0"/>
              <w:spacing w:line="360" w:lineRule="auto"/>
              <w:rPr>
                <w:rFonts w:asciiTheme="minorEastAsia" w:hAnsiTheme="minorEastAsia" w:eastAsiaTheme="minorEastAsia"/>
                <w:color w:val="auto"/>
                <w:kern w:val="0"/>
                <w:sz w:val="24"/>
              </w:rPr>
            </w:pPr>
          </w:p>
        </w:tc>
        <w:tc>
          <w:tcPr>
            <w:tcW w:w="2961" w:type="dxa"/>
          </w:tcPr>
          <w:p w14:paraId="5EDB5DBA">
            <w:pPr>
              <w:adjustRightInd w:val="0"/>
              <w:snapToGrid w:val="0"/>
              <w:spacing w:line="360" w:lineRule="auto"/>
              <w:rPr>
                <w:rFonts w:asciiTheme="minorEastAsia" w:hAnsiTheme="minorEastAsia" w:eastAsiaTheme="minorEastAsia"/>
                <w:color w:val="auto"/>
                <w:kern w:val="0"/>
                <w:sz w:val="24"/>
              </w:rPr>
            </w:pPr>
          </w:p>
        </w:tc>
      </w:tr>
      <w:tr w14:paraId="21624BE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14:paraId="558204F8">
            <w:pPr>
              <w:adjustRightInd w:val="0"/>
              <w:snapToGrid w:val="0"/>
              <w:spacing w:line="360" w:lineRule="auto"/>
              <w:rPr>
                <w:rFonts w:asciiTheme="minorEastAsia" w:hAnsiTheme="minorEastAsia" w:eastAsiaTheme="minorEastAsia"/>
                <w:color w:val="auto"/>
                <w:kern w:val="0"/>
                <w:sz w:val="24"/>
              </w:rPr>
            </w:pPr>
          </w:p>
        </w:tc>
        <w:tc>
          <w:tcPr>
            <w:tcW w:w="2963" w:type="dxa"/>
          </w:tcPr>
          <w:p w14:paraId="78058FE8">
            <w:pPr>
              <w:adjustRightInd w:val="0"/>
              <w:snapToGrid w:val="0"/>
              <w:spacing w:line="360" w:lineRule="auto"/>
              <w:rPr>
                <w:rFonts w:asciiTheme="minorEastAsia" w:hAnsiTheme="minorEastAsia" w:eastAsiaTheme="minorEastAsia"/>
                <w:color w:val="auto"/>
                <w:kern w:val="0"/>
                <w:sz w:val="24"/>
              </w:rPr>
            </w:pPr>
          </w:p>
        </w:tc>
        <w:tc>
          <w:tcPr>
            <w:tcW w:w="2439" w:type="dxa"/>
          </w:tcPr>
          <w:p w14:paraId="086EB41E">
            <w:pPr>
              <w:adjustRightInd w:val="0"/>
              <w:snapToGrid w:val="0"/>
              <w:spacing w:line="360" w:lineRule="auto"/>
              <w:rPr>
                <w:rFonts w:asciiTheme="minorEastAsia" w:hAnsiTheme="minorEastAsia" w:eastAsiaTheme="minorEastAsia"/>
                <w:color w:val="auto"/>
                <w:kern w:val="0"/>
                <w:sz w:val="24"/>
              </w:rPr>
            </w:pPr>
          </w:p>
        </w:tc>
        <w:tc>
          <w:tcPr>
            <w:tcW w:w="2961" w:type="dxa"/>
          </w:tcPr>
          <w:p w14:paraId="1A0087B1">
            <w:pPr>
              <w:adjustRightInd w:val="0"/>
              <w:snapToGrid w:val="0"/>
              <w:spacing w:line="360" w:lineRule="auto"/>
              <w:rPr>
                <w:rFonts w:asciiTheme="minorEastAsia" w:hAnsiTheme="minorEastAsia" w:eastAsiaTheme="minorEastAsia"/>
                <w:color w:val="auto"/>
                <w:kern w:val="0"/>
                <w:sz w:val="24"/>
              </w:rPr>
            </w:pPr>
          </w:p>
        </w:tc>
      </w:tr>
      <w:tr w14:paraId="140C995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14:paraId="53066BAE">
            <w:pPr>
              <w:adjustRightInd w:val="0"/>
              <w:snapToGrid w:val="0"/>
              <w:spacing w:line="360" w:lineRule="auto"/>
              <w:rPr>
                <w:rFonts w:asciiTheme="minorEastAsia" w:hAnsiTheme="minorEastAsia" w:eastAsiaTheme="minorEastAsia"/>
                <w:color w:val="auto"/>
                <w:kern w:val="0"/>
                <w:sz w:val="24"/>
              </w:rPr>
            </w:pPr>
          </w:p>
        </w:tc>
        <w:tc>
          <w:tcPr>
            <w:tcW w:w="2963" w:type="dxa"/>
          </w:tcPr>
          <w:p w14:paraId="385DC3BC">
            <w:pPr>
              <w:adjustRightInd w:val="0"/>
              <w:snapToGrid w:val="0"/>
              <w:spacing w:line="360" w:lineRule="auto"/>
              <w:rPr>
                <w:rFonts w:asciiTheme="minorEastAsia" w:hAnsiTheme="minorEastAsia" w:eastAsiaTheme="minorEastAsia"/>
                <w:color w:val="auto"/>
                <w:kern w:val="0"/>
                <w:sz w:val="24"/>
              </w:rPr>
            </w:pPr>
          </w:p>
        </w:tc>
        <w:tc>
          <w:tcPr>
            <w:tcW w:w="2439" w:type="dxa"/>
          </w:tcPr>
          <w:p w14:paraId="002ACEC1">
            <w:pPr>
              <w:adjustRightInd w:val="0"/>
              <w:snapToGrid w:val="0"/>
              <w:spacing w:line="360" w:lineRule="auto"/>
              <w:rPr>
                <w:rFonts w:asciiTheme="minorEastAsia" w:hAnsiTheme="minorEastAsia" w:eastAsiaTheme="minorEastAsia"/>
                <w:color w:val="auto"/>
                <w:kern w:val="0"/>
                <w:sz w:val="24"/>
              </w:rPr>
            </w:pPr>
          </w:p>
        </w:tc>
        <w:tc>
          <w:tcPr>
            <w:tcW w:w="2961" w:type="dxa"/>
          </w:tcPr>
          <w:p w14:paraId="054A7239">
            <w:pPr>
              <w:adjustRightInd w:val="0"/>
              <w:snapToGrid w:val="0"/>
              <w:spacing w:line="360" w:lineRule="auto"/>
              <w:rPr>
                <w:rFonts w:asciiTheme="minorEastAsia" w:hAnsiTheme="minorEastAsia" w:eastAsiaTheme="minorEastAsia"/>
                <w:color w:val="auto"/>
                <w:kern w:val="0"/>
                <w:sz w:val="24"/>
              </w:rPr>
            </w:pPr>
          </w:p>
        </w:tc>
      </w:tr>
      <w:tr w14:paraId="407BD18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14:paraId="4263CCBA">
            <w:pPr>
              <w:adjustRightInd w:val="0"/>
              <w:snapToGrid w:val="0"/>
              <w:spacing w:line="360" w:lineRule="auto"/>
              <w:rPr>
                <w:rFonts w:asciiTheme="minorEastAsia" w:hAnsiTheme="minorEastAsia" w:eastAsiaTheme="minorEastAsia"/>
                <w:color w:val="auto"/>
                <w:kern w:val="0"/>
                <w:sz w:val="24"/>
              </w:rPr>
            </w:pPr>
          </w:p>
        </w:tc>
        <w:tc>
          <w:tcPr>
            <w:tcW w:w="2963" w:type="dxa"/>
          </w:tcPr>
          <w:p w14:paraId="09B1C39E">
            <w:pPr>
              <w:adjustRightInd w:val="0"/>
              <w:snapToGrid w:val="0"/>
              <w:spacing w:line="360" w:lineRule="auto"/>
              <w:rPr>
                <w:rFonts w:asciiTheme="minorEastAsia" w:hAnsiTheme="minorEastAsia" w:eastAsiaTheme="minorEastAsia"/>
                <w:color w:val="auto"/>
                <w:kern w:val="0"/>
                <w:sz w:val="24"/>
              </w:rPr>
            </w:pPr>
          </w:p>
        </w:tc>
        <w:tc>
          <w:tcPr>
            <w:tcW w:w="2439" w:type="dxa"/>
          </w:tcPr>
          <w:p w14:paraId="03AA3D7F">
            <w:pPr>
              <w:adjustRightInd w:val="0"/>
              <w:snapToGrid w:val="0"/>
              <w:spacing w:line="360" w:lineRule="auto"/>
              <w:rPr>
                <w:rFonts w:asciiTheme="minorEastAsia" w:hAnsiTheme="minorEastAsia" w:eastAsiaTheme="minorEastAsia"/>
                <w:color w:val="auto"/>
                <w:kern w:val="0"/>
                <w:sz w:val="24"/>
              </w:rPr>
            </w:pPr>
          </w:p>
        </w:tc>
        <w:tc>
          <w:tcPr>
            <w:tcW w:w="2961" w:type="dxa"/>
          </w:tcPr>
          <w:p w14:paraId="3505F459">
            <w:pPr>
              <w:adjustRightInd w:val="0"/>
              <w:snapToGrid w:val="0"/>
              <w:spacing w:line="360" w:lineRule="auto"/>
              <w:rPr>
                <w:rFonts w:asciiTheme="minorEastAsia" w:hAnsiTheme="minorEastAsia" w:eastAsiaTheme="minorEastAsia"/>
                <w:color w:val="auto"/>
                <w:kern w:val="0"/>
                <w:sz w:val="24"/>
              </w:rPr>
            </w:pPr>
          </w:p>
        </w:tc>
      </w:tr>
      <w:tr w14:paraId="7BBF6BE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14:paraId="6922D22E">
            <w:pPr>
              <w:adjustRightInd w:val="0"/>
              <w:snapToGrid w:val="0"/>
              <w:spacing w:line="360" w:lineRule="auto"/>
              <w:rPr>
                <w:rFonts w:asciiTheme="minorEastAsia" w:hAnsiTheme="minorEastAsia" w:eastAsiaTheme="minorEastAsia"/>
                <w:color w:val="auto"/>
                <w:kern w:val="0"/>
                <w:sz w:val="24"/>
              </w:rPr>
            </w:pPr>
          </w:p>
        </w:tc>
        <w:tc>
          <w:tcPr>
            <w:tcW w:w="2963" w:type="dxa"/>
          </w:tcPr>
          <w:p w14:paraId="77E6253F">
            <w:pPr>
              <w:adjustRightInd w:val="0"/>
              <w:snapToGrid w:val="0"/>
              <w:spacing w:line="360" w:lineRule="auto"/>
              <w:rPr>
                <w:rFonts w:asciiTheme="minorEastAsia" w:hAnsiTheme="minorEastAsia" w:eastAsiaTheme="minorEastAsia"/>
                <w:color w:val="auto"/>
                <w:kern w:val="0"/>
                <w:sz w:val="24"/>
              </w:rPr>
            </w:pPr>
          </w:p>
        </w:tc>
        <w:tc>
          <w:tcPr>
            <w:tcW w:w="2439" w:type="dxa"/>
          </w:tcPr>
          <w:p w14:paraId="532FC95D">
            <w:pPr>
              <w:adjustRightInd w:val="0"/>
              <w:snapToGrid w:val="0"/>
              <w:spacing w:line="360" w:lineRule="auto"/>
              <w:rPr>
                <w:rFonts w:asciiTheme="minorEastAsia" w:hAnsiTheme="minorEastAsia" w:eastAsiaTheme="minorEastAsia"/>
                <w:color w:val="auto"/>
                <w:kern w:val="0"/>
                <w:sz w:val="24"/>
              </w:rPr>
            </w:pPr>
          </w:p>
        </w:tc>
        <w:tc>
          <w:tcPr>
            <w:tcW w:w="2961" w:type="dxa"/>
          </w:tcPr>
          <w:p w14:paraId="6B4CC8C7">
            <w:pPr>
              <w:adjustRightInd w:val="0"/>
              <w:snapToGrid w:val="0"/>
              <w:spacing w:line="360" w:lineRule="auto"/>
              <w:rPr>
                <w:rFonts w:asciiTheme="minorEastAsia" w:hAnsiTheme="minorEastAsia" w:eastAsiaTheme="minorEastAsia"/>
                <w:color w:val="auto"/>
                <w:kern w:val="0"/>
                <w:sz w:val="24"/>
              </w:rPr>
            </w:pPr>
          </w:p>
        </w:tc>
      </w:tr>
      <w:tr w14:paraId="589563E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14:paraId="799AA506">
            <w:pPr>
              <w:adjustRightInd w:val="0"/>
              <w:snapToGrid w:val="0"/>
              <w:spacing w:line="360" w:lineRule="auto"/>
              <w:rPr>
                <w:rFonts w:asciiTheme="minorEastAsia" w:hAnsiTheme="minorEastAsia" w:eastAsiaTheme="minorEastAsia"/>
                <w:color w:val="auto"/>
                <w:kern w:val="0"/>
                <w:sz w:val="24"/>
              </w:rPr>
            </w:pPr>
          </w:p>
        </w:tc>
        <w:tc>
          <w:tcPr>
            <w:tcW w:w="2963" w:type="dxa"/>
          </w:tcPr>
          <w:p w14:paraId="3CB9D4FC">
            <w:pPr>
              <w:adjustRightInd w:val="0"/>
              <w:snapToGrid w:val="0"/>
              <w:spacing w:line="360" w:lineRule="auto"/>
              <w:rPr>
                <w:rFonts w:asciiTheme="minorEastAsia" w:hAnsiTheme="minorEastAsia" w:eastAsiaTheme="minorEastAsia"/>
                <w:color w:val="auto"/>
                <w:kern w:val="0"/>
                <w:sz w:val="24"/>
              </w:rPr>
            </w:pPr>
          </w:p>
        </w:tc>
        <w:tc>
          <w:tcPr>
            <w:tcW w:w="2439" w:type="dxa"/>
          </w:tcPr>
          <w:p w14:paraId="402CA07D">
            <w:pPr>
              <w:adjustRightInd w:val="0"/>
              <w:snapToGrid w:val="0"/>
              <w:spacing w:line="360" w:lineRule="auto"/>
              <w:rPr>
                <w:rFonts w:asciiTheme="minorEastAsia" w:hAnsiTheme="minorEastAsia" w:eastAsiaTheme="minorEastAsia"/>
                <w:color w:val="auto"/>
                <w:kern w:val="0"/>
                <w:sz w:val="24"/>
              </w:rPr>
            </w:pPr>
          </w:p>
        </w:tc>
        <w:tc>
          <w:tcPr>
            <w:tcW w:w="2961" w:type="dxa"/>
          </w:tcPr>
          <w:p w14:paraId="0B15A631">
            <w:pPr>
              <w:adjustRightInd w:val="0"/>
              <w:snapToGrid w:val="0"/>
              <w:spacing w:line="360" w:lineRule="auto"/>
              <w:rPr>
                <w:rFonts w:asciiTheme="minorEastAsia" w:hAnsiTheme="minorEastAsia" w:eastAsiaTheme="minorEastAsia"/>
                <w:color w:val="auto"/>
                <w:kern w:val="0"/>
                <w:sz w:val="24"/>
              </w:rPr>
            </w:pPr>
          </w:p>
        </w:tc>
      </w:tr>
    </w:tbl>
    <w:p w14:paraId="7626F819">
      <w:pPr>
        <w:widowControl/>
        <w:jc w:val="left"/>
        <w:rPr>
          <w:rFonts w:ascii="黑体" w:hAnsi="黑体" w:eastAsia="黑体"/>
          <w:bCs/>
          <w:color w:val="auto"/>
          <w:szCs w:val="21"/>
        </w:rPr>
      </w:pPr>
      <w:r>
        <w:rPr>
          <w:rFonts w:ascii="黑体" w:hAnsi="黑体"/>
          <w:b/>
          <w:color w:val="auto"/>
          <w:szCs w:val="21"/>
        </w:rPr>
        <w:br w:type="page"/>
      </w:r>
    </w:p>
    <w:p w14:paraId="5008CD18">
      <w:pPr>
        <w:pStyle w:val="4"/>
        <w:rPr>
          <w:color w:val="auto"/>
          <w:sz w:val="21"/>
          <w:szCs w:val="21"/>
        </w:rPr>
      </w:pPr>
      <w:bookmarkStart w:id="143" w:name="_Toc10391"/>
      <w:r>
        <w:rPr>
          <w:rFonts w:hint="eastAsia"/>
          <w:color w:val="auto"/>
          <w:sz w:val="21"/>
          <w:szCs w:val="21"/>
        </w:rPr>
        <w:t>附表</w:t>
      </w:r>
      <w:r>
        <w:rPr>
          <w:color w:val="auto"/>
          <w:sz w:val="21"/>
          <w:szCs w:val="21"/>
        </w:rPr>
        <w:t>3</w:t>
      </w:r>
      <w:r>
        <w:rPr>
          <w:rFonts w:hint="eastAsia"/>
          <w:color w:val="auto"/>
          <w:sz w:val="21"/>
          <w:szCs w:val="21"/>
        </w:rPr>
        <w:t xml:space="preserve"> 符合性审查合格投标人名单</w:t>
      </w:r>
      <w:bookmarkEnd w:id="143"/>
    </w:p>
    <w:p w14:paraId="7CB0EEDA">
      <w:pPr>
        <w:adjustRightInd w:val="0"/>
        <w:snapToGrid w:val="0"/>
        <w:spacing w:before="120" w:beforeLines="50" w:line="360" w:lineRule="auto"/>
        <w:jc w:val="center"/>
        <w:rPr>
          <w:rFonts w:ascii="黑体" w:hAnsi="黑体" w:eastAsia="黑体"/>
          <w:b/>
          <w:color w:val="auto"/>
          <w:sz w:val="28"/>
          <w:szCs w:val="28"/>
        </w:rPr>
      </w:pPr>
      <w:r>
        <w:rPr>
          <w:rFonts w:hint="eastAsia" w:ascii="黑体" w:hAnsi="黑体" w:eastAsia="黑体"/>
          <w:b/>
          <w:color w:val="auto"/>
          <w:sz w:val="28"/>
          <w:szCs w:val="28"/>
        </w:rPr>
        <w:t>符合性审查合格投标人名单</w:t>
      </w:r>
    </w:p>
    <w:p w14:paraId="2AC818EF">
      <w:pPr>
        <w:adjustRightInd w:val="0"/>
        <w:snapToGrid w:val="0"/>
        <w:spacing w:before="120" w:beforeLines="50" w:line="360" w:lineRule="auto"/>
        <w:rPr>
          <w:rFonts w:ascii="华文中宋" w:hAnsi="华文中宋" w:eastAsia="华文中宋"/>
          <w:color w:val="auto"/>
          <w:sz w:val="32"/>
          <w:szCs w:val="32"/>
        </w:rPr>
      </w:pPr>
      <w:r>
        <w:rPr>
          <w:rFonts w:hint="eastAsia" w:asciiTheme="minorEastAsia" w:hAnsiTheme="minorEastAsia" w:eastAsiaTheme="minorEastAsia"/>
          <w:color w:val="auto"/>
          <w:szCs w:val="21"/>
        </w:rPr>
        <w:t>项目名称：                                        采购代理编号：</w:t>
      </w:r>
    </w:p>
    <w:tbl>
      <w:tblPr>
        <w:tblStyle w:val="42"/>
        <w:tblW w:w="878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993"/>
        <w:gridCol w:w="7796"/>
      </w:tblGrid>
      <w:tr w14:paraId="3D1CFF7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vAlign w:val="center"/>
          </w:tcPr>
          <w:p w14:paraId="5971467D">
            <w:pPr>
              <w:jc w:val="center"/>
              <w:rPr>
                <w:b/>
                <w:color w:val="auto"/>
                <w:kern w:val="0"/>
                <w:szCs w:val="21"/>
              </w:rPr>
            </w:pPr>
            <w:r>
              <w:rPr>
                <w:rFonts w:hint="eastAsia"/>
                <w:b/>
                <w:color w:val="auto"/>
                <w:kern w:val="0"/>
                <w:szCs w:val="21"/>
              </w:rPr>
              <w:t>序号</w:t>
            </w:r>
          </w:p>
        </w:tc>
        <w:tc>
          <w:tcPr>
            <w:tcW w:w="7796" w:type="dxa"/>
            <w:vAlign w:val="center"/>
          </w:tcPr>
          <w:p w14:paraId="69AA160E">
            <w:pPr>
              <w:jc w:val="center"/>
              <w:rPr>
                <w:b/>
                <w:color w:val="auto"/>
                <w:kern w:val="0"/>
                <w:szCs w:val="21"/>
              </w:rPr>
            </w:pPr>
            <w:r>
              <w:rPr>
                <w:rFonts w:hint="eastAsia"/>
                <w:b/>
                <w:color w:val="auto"/>
                <w:kern w:val="0"/>
                <w:szCs w:val="21"/>
              </w:rPr>
              <w:t>合格投标人名称</w:t>
            </w:r>
          </w:p>
        </w:tc>
      </w:tr>
      <w:tr w14:paraId="5322DF9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tcPr>
          <w:p w14:paraId="1C812CAF">
            <w:pPr>
              <w:adjustRightInd w:val="0"/>
              <w:snapToGrid w:val="0"/>
              <w:spacing w:line="360" w:lineRule="auto"/>
              <w:rPr>
                <w:rFonts w:asciiTheme="minorEastAsia" w:hAnsiTheme="minorEastAsia" w:eastAsiaTheme="minorEastAsia"/>
                <w:color w:val="auto"/>
                <w:kern w:val="0"/>
                <w:szCs w:val="21"/>
              </w:rPr>
            </w:pPr>
          </w:p>
        </w:tc>
        <w:tc>
          <w:tcPr>
            <w:tcW w:w="7796" w:type="dxa"/>
          </w:tcPr>
          <w:p w14:paraId="229BEEBF">
            <w:pPr>
              <w:adjustRightInd w:val="0"/>
              <w:snapToGrid w:val="0"/>
              <w:spacing w:line="360" w:lineRule="auto"/>
              <w:rPr>
                <w:rFonts w:asciiTheme="minorEastAsia" w:hAnsiTheme="minorEastAsia" w:eastAsiaTheme="minorEastAsia"/>
                <w:color w:val="auto"/>
                <w:kern w:val="0"/>
                <w:szCs w:val="21"/>
              </w:rPr>
            </w:pPr>
          </w:p>
        </w:tc>
      </w:tr>
      <w:tr w14:paraId="7441BD5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tcPr>
          <w:p w14:paraId="7BE790C5">
            <w:pPr>
              <w:adjustRightInd w:val="0"/>
              <w:snapToGrid w:val="0"/>
              <w:spacing w:line="360" w:lineRule="auto"/>
              <w:rPr>
                <w:rFonts w:asciiTheme="minorEastAsia" w:hAnsiTheme="minorEastAsia" w:eastAsiaTheme="minorEastAsia"/>
                <w:color w:val="auto"/>
                <w:kern w:val="0"/>
                <w:sz w:val="24"/>
              </w:rPr>
            </w:pPr>
          </w:p>
        </w:tc>
        <w:tc>
          <w:tcPr>
            <w:tcW w:w="7796" w:type="dxa"/>
          </w:tcPr>
          <w:p w14:paraId="7DA9C043">
            <w:pPr>
              <w:adjustRightInd w:val="0"/>
              <w:snapToGrid w:val="0"/>
              <w:spacing w:line="360" w:lineRule="auto"/>
              <w:rPr>
                <w:rFonts w:asciiTheme="minorEastAsia" w:hAnsiTheme="minorEastAsia" w:eastAsiaTheme="minorEastAsia"/>
                <w:color w:val="auto"/>
                <w:kern w:val="0"/>
                <w:sz w:val="24"/>
              </w:rPr>
            </w:pPr>
          </w:p>
        </w:tc>
      </w:tr>
      <w:tr w14:paraId="2015EE6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tcPr>
          <w:p w14:paraId="190A1F02">
            <w:pPr>
              <w:adjustRightInd w:val="0"/>
              <w:snapToGrid w:val="0"/>
              <w:spacing w:line="360" w:lineRule="auto"/>
              <w:rPr>
                <w:rFonts w:asciiTheme="minorEastAsia" w:hAnsiTheme="minorEastAsia" w:eastAsiaTheme="minorEastAsia"/>
                <w:color w:val="auto"/>
                <w:kern w:val="0"/>
                <w:sz w:val="24"/>
              </w:rPr>
            </w:pPr>
          </w:p>
        </w:tc>
        <w:tc>
          <w:tcPr>
            <w:tcW w:w="7796" w:type="dxa"/>
          </w:tcPr>
          <w:p w14:paraId="34544633">
            <w:pPr>
              <w:adjustRightInd w:val="0"/>
              <w:snapToGrid w:val="0"/>
              <w:spacing w:line="360" w:lineRule="auto"/>
              <w:rPr>
                <w:rFonts w:asciiTheme="minorEastAsia" w:hAnsiTheme="minorEastAsia" w:eastAsiaTheme="minorEastAsia"/>
                <w:color w:val="auto"/>
                <w:kern w:val="0"/>
                <w:sz w:val="24"/>
              </w:rPr>
            </w:pPr>
          </w:p>
        </w:tc>
      </w:tr>
      <w:tr w14:paraId="29CABEE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tcPr>
          <w:p w14:paraId="04674055">
            <w:pPr>
              <w:adjustRightInd w:val="0"/>
              <w:snapToGrid w:val="0"/>
              <w:spacing w:line="360" w:lineRule="auto"/>
              <w:rPr>
                <w:rFonts w:asciiTheme="minorEastAsia" w:hAnsiTheme="minorEastAsia" w:eastAsiaTheme="minorEastAsia"/>
                <w:color w:val="auto"/>
                <w:kern w:val="0"/>
                <w:sz w:val="24"/>
              </w:rPr>
            </w:pPr>
          </w:p>
        </w:tc>
        <w:tc>
          <w:tcPr>
            <w:tcW w:w="7796" w:type="dxa"/>
          </w:tcPr>
          <w:p w14:paraId="081BB3BB">
            <w:pPr>
              <w:adjustRightInd w:val="0"/>
              <w:snapToGrid w:val="0"/>
              <w:spacing w:line="360" w:lineRule="auto"/>
              <w:rPr>
                <w:rFonts w:asciiTheme="minorEastAsia" w:hAnsiTheme="minorEastAsia" w:eastAsiaTheme="minorEastAsia"/>
                <w:color w:val="auto"/>
                <w:kern w:val="0"/>
                <w:sz w:val="24"/>
              </w:rPr>
            </w:pPr>
          </w:p>
        </w:tc>
      </w:tr>
      <w:tr w14:paraId="4E09C19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tcPr>
          <w:p w14:paraId="620AD067">
            <w:pPr>
              <w:adjustRightInd w:val="0"/>
              <w:snapToGrid w:val="0"/>
              <w:spacing w:line="360" w:lineRule="auto"/>
              <w:rPr>
                <w:rFonts w:asciiTheme="minorEastAsia" w:hAnsiTheme="minorEastAsia" w:eastAsiaTheme="minorEastAsia"/>
                <w:color w:val="auto"/>
                <w:kern w:val="0"/>
                <w:sz w:val="24"/>
              </w:rPr>
            </w:pPr>
          </w:p>
        </w:tc>
        <w:tc>
          <w:tcPr>
            <w:tcW w:w="7796" w:type="dxa"/>
          </w:tcPr>
          <w:p w14:paraId="53E9DE80">
            <w:pPr>
              <w:adjustRightInd w:val="0"/>
              <w:snapToGrid w:val="0"/>
              <w:spacing w:line="360" w:lineRule="auto"/>
              <w:rPr>
                <w:rFonts w:asciiTheme="minorEastAsia" w:hAnsiTheme="minorEastAsia" w:eastAsiaTheme="minorEastAsia"/>
                <w:color w:val="auto"/>
                <w:kern w:val="0"/>
                <w:sz w:val="24"/>
              </w:rPr>
            </w:pPr>
          </w:p>
        </w:tc>
      </w:tr>
      <w:tr w14:paraId="01E31F6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tcPr>
          <w:p w14:paraId="6754D00A">
            <w:pPr>
              <w:adjustRightInd w:val="0"/>
              <w:snapToGrid w:val="0"/>
              <w:spacing w:line="360" w:lineRule="auto"/>
              <w:rPr>
                <w:rFonts w:asciiTheme="minorEastAsia" w:hAnsiTheme="minorEastAsia" w:eastAsiaTheme="minorEastAsia"/>
                <w:color w:val="auto"/>
                <w:kern w:val="0"/>
                <w:sz w:val="24"/>
              </w:rPr>
            </w:pPr>
          </w:p>
        </w:tc>
        <w:tc>
          <w:tcPr>
            <w:tcW w:w="7796" w:type="dxa"/>
          </w:tcPr>
          <w:p w14:paraId="3BBDF815">
            <w:pPr>
              <w:adjustRightInd w:val="0"/>
              <w:snapToGrid w:val="0"/>
              <w:spacing w:line="360" w:lineRule="auto"/>
              <w:rPr>
                <w:rFonts w:asciiTheme="minorEastAsia" w:hAnsiTheme="minorEastAsia" w:eastAsiaTheme="minorEastAsia"/>
                <w:color w:val="auto"/>
                <w:kern w:val="0"/>
                <w:sz w:val="24"/>
              </w:rPr>
            </w:pPr>
          </w:p>
        </w:tc>
      </w:tr>
    </w:tbl>
    <w:p w14:paraId="0138DA90">
      <w:pPr>
        <w:rPr>
          <w:color w:val="auto"/>
          <w:w w:val="90"/>
        </w:rPr>
      </w:pPr>
    </w:p>
    <w:p w14:paraId="7D256A80">
      <w:pPr>
        <w:rPr>
          <w:rFonts w:ascii="黑体" w:hAnsi="黑体" w:eastAsia="黑体"/>
          <w:b/>
          <w:color w:val="auto"/>
          <w:sz w:val="32"/>
          <w:szCs w:val="32"/>
        </w:rPr>
      </w:pPr>
    </w:p>
    <w:p w14:paraId="1F73BD70">
      <w:pPr>
        <w:pStyle w:val="3"/>
        <w:adjustRightInd w:val="0"/>
        <w:snapToGrid w:val="0"/>
        <w:spacing w:line="360" w:lineRule="exact"/>
        <w:jc w:val="center"/>
        <w:rPr>
          <w:rFonts w:ascii="黑体" w:hAnsi="华文中宋" w:eastAsia="黑体"/>
          <w:color w:val="auto"/>
          <w:sz w:val="28"/>
          <w:szCs w:val="28"/>
        </w:rPr>
      </w:pPr>
      <w:r>
        <w:rPr>
          <w:rFonts w:ascii="黑体" w:hAnsi="黑体" w:eastAsia="黑体"/>
          <w:b w:val="0"/>
          <w:color w:val="auto"/>
          <w:sz w:val="32"/>
        </w:rPr>
        <w:br w:type="page"/>
      </w:r>
      <w:bookmarkStart w:id="144" w:name="_Toc27871"/>
      <w:r>
        <w:rPr>
          <w:rFonts w:hint="eastAsia" w:ascii="黑体" w:hAnsi="华文中宋" w:eastAsia="黑体"/>
          <w:color w:val="auto"/>
          <w:sz w:val="28"/>
          <w:szCs w:val="28"/>
        </w:rPr>
        <w:t>第四节 投标文件的比较与评价（综合评分法）</w:t>
      </w:r>
      <w:bookmarkEnd w:id="144"/>
    </w:p>
    <w:p w14:paraId="36372B9C">
      <w:pPr>
        <w:pStyle w:val="4"/>
        <w:adjustRightInd w:val="0"/>
        <w:snapToGrid w:val="0"/>
        <w:spacing w:before="120" w:beforeLines="50" w:after="0" w:line="360" w:lineRule="exact"/>
        <w:rPr>
          <w:rFonts w:ascii="黑体" w:hAnsi="黑体" w:eastAsia="黑体"/>
          <w:color w:val="auto"/>
          <w:sz w:val="24"/>
          <w:szCs w:val="24"/>
        </w:rPr>
      </w:pPr>
      <w:bookmarkStart w:id="145" w:name="_Toc22689"/>
      <w:r>
        <w:rPr>
          <w:rFonts w:hint="eastAsia" w:ascii="黑体" w:hAnsi="黑体" w:eastAsia="黑体"/>
          <w:color w:val="auto"/>
          <w:sz w:val="24"/>
          <w:szCs w:val="24"/>
        </w:rPr>
        <w:t>1. 综合评分法评标因素</w:t>
      </w:r>
      <w:bookmarkEnd w:id="145"/>
    </w:p>
    <w:p w14:paraId="7D90C2CE">
      <w:pPr>
        <w:adjustRightInd w:val="0"/>
        <w:snapToGrid w:val="0"/>
        <w:spacing w:before="120" w:beforeLines="50" w:line="360" w:lineRule="exact"/>
        <w:ind w:firstLine="420" w:firstLineChars="200"/>
        <w:jc w:val="left"/>
        <w:rPr>
          <w:rFonts w:asciiTheme="minorEastAsia" w:hAnsiTheme="minorEastAsia" w:eastAsiaTheme="minorEastAsia"/>
          <w:bCs/>
          <w:color w:val="auto"/>
          <w:szCs w:val="21"/>
        </w:rPr>
      </w:pPr>
      <w:r>
        <w:rPr>
          <w:rFonts w:hint="eastAsia" w:asciiTheme="minorEastAsia" w:hAnsiTheme="minorEastAsia" w:eastAsiaTheme="minorEastAsia"/>
          <w:bCs/>
          <w:color w:val="auto"/>
          <w:szCs w:val="21"/>
        </w:rPr>
        <w:t>1.1评标因素：评审因素的设定应当与投标人所提供货物服务的质量相关，包括投标报价、技术或者服务水平、履约能力、售后服务等，但不包括第一章投标人的资格要求。本采购项目的评标因素和标准见本章本节附页1“评标方法及标准表”。</w:t>
      </w:r>
    </w:p>
    <w:p w14:paraId="358E4F73">
      <w:pPr>
        <w:pStyle w:val="4"/>
        <w:adjustRightInd w:val="0"/>
        <w:snapToGrid w:val="0"/>
        <w:spacing w:before="120" w:beforeLines="50" w:after="0" w:line="360" w:lineRule="exact"/>
        <w:rPr>
          <w:rFonts w:ascii="黑体" w:hAnsi="黑体" w:eastAsia="黑体"/>
          <w:color w:val="auto"/>
          <w:sz w:val="24"/>
          <w:szCs w:val="24"/>
        </w:rPr>
      </w:pPr>
      <w:bookmarkStart w:id="146" w:name="_Toc1339"/>
      <w:r>
        <w:rPr>
          <w:rFonts w:hint="eastAsia" w:ascii="黑体" w:hAnsi="黑体" w:eastAsia="黑体"/>
          <w:color w:val="auto"/>
          <w:sz w:val="24"/>
          <w:szCs w:val="24"/>
        </w:rPr>
        <w:t>2. 投标报价的算术修正及政府采购政策调整</w:t>
      </w:r>
      <w:bookmarkEnd w:id="146"/>
    </w:p>
    <w:p w14:paraId="2F8AB6EF">
      <w:pPr>
        <w:adjustRightInd w:val="0"/>
        <w:snapToGrid w:val="0"/>
        <w:spacing w:before="120" w:beforeLines="50" w:line="360" w:lineRule="exact"/>
        <w:ind w:firstLine="420" w:firstLineChars="200"/>
        <w:jc w:val="left"/>
        <w:rPr>
          <w:rFonts w:asciiTheme="minorEastAsia" w:hAnsiTheme="minorEastAsia" w:eastAsiaTheme="minorEastAsia"/>
          <w:bCs/>
          <w:color w:val="auto"/>
          <w:szCs w:val="21"/>
        </w:rPr>
      </w:pPr>
      <w:r>
        <w:rPr>
          <w:rFonts w:hint="eastAsia" w:asciiTheme="minorEastAsia" w:hAnsiTheme="minorEastAsia" w:eastAsiaTheme="minorEastAsia"/>
          <w:bCs/>
          <w:color w:val="auto"/>
          <w:szCs w:val="21"/>
        </w:rPr>
        <w:t>2.1如果有算术错误，投标报价将按本章第二节第4.2款、第4.3款规定进行算术修正。</w:t>
      </w:r>
    </w:p>
    <w:p w14:paraId="7798C597">
      <w:pPr>
        <w:adjustRightInd w:val="0"/>
        <w:snapToGrid w:val="0"/>
        <w:spacing w:before="120" w:beforeLines="50" w:line="360" w:lineRule="exact"/>
        <w:ind w:firstLine="420" w:firstLineChars="200"/>
        <w:jc w:val="left"/>
        <w:rPr>
          <w:rFonts w:asciiTheme="minorEastAsia" w:hAnsiTheme="minorEastAsia" w:eastAsiaTheme="minorEastAsia"/>
          <w:bCs/>
          <w:color w:val="auto"/>
          <w:szCs w:val="21"/>
        </w:rPr>
      </w:pPr>
      <w:r>
        <w:rPr>
          <w:rFonts w:hint="eastAsia" w:asciiTheme="minorEastAsia" w:hAnsiTheme="minorEastAsia" w:eastAsiaTheme="minorEastAsia"/>
          <w:bCs/>
          <w:color w:val="auto"/>
          <w:szCs w:val="21"/>
        </w:rPr>
        <w:t>2.2需落实政府采购政策（价格评审优惠）的，按第二章“投标须知”及本章第二节第</w:t>
      </w:r>
      <w:r>
        <w:rPr>
          <w:rFonts w:asciiTheme="minorEastAsia" w:hAnsiTheme="minorEastAsia" w:eastAsiaTheme="minorEastAsia"/>
          <w:bCs/>
          <w:color w:val="auto"/>
          <w:szCs w:val="21"/>
        </w:rPr>
        <w:t>5.3</w:t>
      </w:r>
      <w:r>
        <w:rPr>
          <w:rFonts w:hint="eastAsia" w:asciiTheme="minorEastAsia" w:hAnsiTheme="minorEastAsia" w:eastAsiaTheme="minorEastAsia"/>
          <w:bCs/>
          <w:color w:val="auto"/>
          <w:szCs w:val="21"/>
        </w:rPr>
        <w:t>（1）项的相关规定进行价格调整。</w:t>
      </w:r>
    </w:p>
    <w:p w14:paraId="3AE118BC">
      <w:pPr>
        <w:adjustRightInd w:val="0"/>
        <w:snapToGrid w:val="0"/>
        <w:spacing w:before="120" w:beforeLines="50" w:line="360" w:lineRule="exact"/>
        <w:ind w:firstLine="420" w:firstLineChars="200"/>
        <w:jc w:val="left"/>
        <w:rPr>
          <w:rFonts w:asciiTheme="minorEastAsia" w:hAnsiTheme="minorEastAsia" w:eastAsiaTheme="minorEastAsia"/>
          <w:bCs/>
          <w:color w:val="auto"/>
          <w:szCs w:val="21"/>
        </w:rPr>
      </w:pPr>
      <w:r>
        <w:rPr>
          <w:rFonts w:hint="eastAsia" w:asciiTheme="minorEastAsia" w:hAnsiTheme="minorEastAsia" w:eastAsiaTheme="minorEastAsia"/>
          <w:bCs/>
          <w:color w:val="auto"/>
          <w:szCs w:val="21"/>
        </w:rPr>
        <w:t>2.3按本章本节第2.1款、第2.2款规定，以修正或调整后的价格确定投标人的投标报价和评标基准价，用于投标报价评价。</w:t>
      </w:r>
    </w:p>
    <w:p w14:paraId="687EA6E8">
      <w:pPr>
        <w:pStyle w:val="4"/>
        <w:adjustRightInd w:val="0"/>
        <w:snapToGrid w:val="0"/>
        <w:spacing w:before="120" w:beforeLines="50" w:after="0" w:line="360" w:lineRule="exact"/>
        <w:rPr>
          <w:rFonts w:ascii="黑体" w:hAnsi="黑体" w:eastAsia="黑体"/>
          <w:color w:val="auto"/>
          <w:sz w:val="24"/>
          <w:szCs w:val="24"/>
        </w:rPr>
      </w:pPr>
      <w:bookmarkStart w:id="147" w:name="_Toc8894"/>
      <w:r>
        <w:rPr>
          <w:rFonts w:hint="eastAsia" w:ascii="黑体" w:hAnsi="黑体" w:eastAsia="黑体"/>
          <w:color w:val="auto"/>
          <w:sz w:val="24"/>
          <w:szCs w:val="24"/>
        </w:rPr>
        <w:t>3. 投标报价评价</w:t>
      </w:r>
      <w:bookmarkEnd w:id="147"/>
    </w:p>
    <w:p w14:paraId="5DD5FE7A">
      <w:pPr>
        <w:adjustRightInd w:val="0"/>
        <w:snapToGrid w:val="0"/>
        <w:spacing w:before="120" w:beforeLines="50" w:line="360"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3.1投标报价评价：价格分应当采用低价优先法计算，即满足招标文件要求且投标价格最低的投标报价为评标基准价，其价格分为满分（报价权重分）。其他投标人的价格分统一按照下列公式计算：</w:t>
      </w:r>
    </w:p>
    <w:p w14:paraId="7590733F">
      <w:pPr>
        <w:adjustRightInd w:val="0"/>
        <w:snapToGrid w:val="0"/>
        <w:spacing w:before="120" w:beforeLines="50" w:line="360"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投标报价得分=（评标基准价</w:t>
      </w:r>
      <w:r>
        <w:rPr>
          <w:rFonts w:hint="eastAsia" w:asciiTheme="minorEastAsia" w:hAnsiTheme="minorEastAsia" w:eastAsiaTheme="minorEastAsia"/>
          <w:color w:val="auto"/>
          <w:szCs w:val="21"/>
          <w:vertAlign w:val="subscript"/>
        </w:rPr>
        <w:t>修正或调整</w:t>
      </w:r>
      <w:r>
        <w:rPr>
          <w:rFonts w:hint="eastAsia" w:asciiTheme="minorEastAsia" w:hAnsiTheme="minorEastAsia" w:eastAsiaTheme="minorEastAsia"/>
          <w:color w:val="auto"/>
          <w:szCs w:val="21"/>
        </w:rPr>
        <w:t>／投标报价</w:t>
      </w:r>
      <w:r>
        <w:rPr>
          <w:rFonts w:hint="eastAsia" w:asciiTheme="minorEastAsia" w:hAnsiTheme="minorEastAsia" w:eastAsiaTheme="minorEastAsia"/>
          <w:color w:val="auto"/>
          <w:szCs w:val="21"/>
          <w:vertAlign w:val="subscript"/>
        </w:rPr>
        <w:t>修正或调整</w:t>
      </w:r>
      <w:r>
        <w:rPr>
          <w:rFonts w:hint="eastAsia" w:asciiTheme="minorEastAsia" w:hAnsiTheme="minorEastAsia" w:eastAsiaTheme="minorEastAsia"/>
          <w:color w:val="auto"/>
          <w:szCs w:val="21"/>
        </w:rPr>
        <w:t>） × 报价权重分</w:t>
      </w:r>
    </w:p>
    <w:p w14:paraId="41A22B6D">
      <w:pPr>
        <w:pStyle w:val="4"/>
        <w:adjustRightInd w:val="0"/>
        <w:snapToGrid w:val="0"/>
        <w:spacing w:before="120" w:beforeLines="50" w:after="0" w:line="360" w:lineRule="exact"/>
        <w:rPr>
          <w:rFonts w:ascii="黑体" w:hAnsi="黑体" w:eastAsia="黑体"/>
          <w:color w:val="auto"/>
          <w:sz w:val="24"/>
          <w:szCs w:val="24"/>
        </w:rPr>
      </w:pPr>
      <w:bookmarkStart w:id="148" w:name="_Toc18292"/>
      <w:r>
        <w:rPr>
          <w:rFonts w:hint="eastAsia" w:ascii="黑体" w:hAnsi="黑体" w:eastAsia="黑体"/>
          <w:color w:val="auto"/>
          <w:sz w:val="24"/>
          <w:szCs w:val="24"/>
        </w:rPr>
        <w:t>4.技术、商务等评分项响应评价及政府采购政策加分</w:t>
      </w:r>
      <w:bookmarkEnd w:id="148"/>
    </w:p>
    <w:p w14:paraId="0568D20A">
      <w:pPr>
        <w:adjustRightInd w:val="0"/>
        <w:snapToGrid w:val="0"/>
        <w:spacing w:before="120" w:beforeLines="50" w:line="360"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4.1技术、商务等评分项响应评分。按</w:t>
      </w:r>
      <w:r>
        <w:rPr>
          <w:rFonts w:hint="eastAsia" w:asciiTheme="minorEastAsia" w:hAnsiTheme="minorEastAsia" w:eastAsiaTheme="minorEastAsia"/>
          <w:bCs/>
          <w:color w:val="auto"/>
          <w:szCs w:val="21"/>
        </w:rPr>
        <w:t>本章</w:t>
      </w:r>
      <w:r>
        <w:rPr>
          <w:rFonts w:hint="eastAsia" w:asciiTheme="minorEastAsia" w:hAnsiTheme="minorEastAsia" w:eastAsiaTheme="minorEastAsia"/>
          <w:color w:val="auto"/>
          <w:szCs w:val="21"/>
        </w:rPr>
        <w:t>本节附页1“评标方法及标准表”规定的评标因素和标准，对技术、商务等评分项计算得分。</w:t>
      </w:r>
    </w:p>
    <w:p w14:paraId="214E6A27">
      <w:pPr>
        <w:adjustRightInd w:val="0"/>
        <w:snapToGrid w:val="0"/>
        <w:spacing w:before="120" w:beforeLines="50" w:line="360"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4.2需落实政府采购政策（优先采购）的，按第二章、本章第二节第5.3（2）项以及本节附页1“评标方法及标准表”的相关规定进行技术、价格、商务项得分（加分）计算。</w:t>
      </w:r>
    </w:p>
    <w:p w14:paraId="584B2D90">
      <w:pPr>
        <w:pStyle w:val="4"/>
        <w:adjustRightInd w:val="0"/>
        <w:snapToGrid w:val="0"/>
        <w:spacing w:before="120" w:beforeLines="50" w:after="0" w:line="360" w:lineRule="exact"/>
        <w:rPr>
          <w:rFonts w:ascii="黑体" w:hAnsi="黑体" w:eastAsia="黑体"/>
          <w:color w:val="auto"/>
          <w:sz w:val="24"/>
          <w:szCs w:val="24"/>
        </w:rPr>
      </w:pPr>
      <w:bookmarkStart w:id="149" w:name="_Toc27650"/>
      <w:r>
        <w:rPr>
          <w:rFonts w:hint="eastAsia" w:ascii="黑体" w:hAnsi="黑体" w:eastAsia="黑体"/>
          <w:color w:val="auto"/>
          <w:sz w:val="24"/>
          <w:szCs w:val="24"/>
        </w:rPr>
        <w:t>5.评标总得分</w:t>
      </w:r>
      <w:bookmarkEnd w:id="149"/>
    </w:p>
    <w:p w14:paraId="571FCD85">
      <w:pPr>
        <w:adjustRightInd w:val="0"/>
        <w:snapToGrid w:val="0"/>
        <w:spacing w:before="120" w:beforeLines="50" w:line="360"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5.1评标总得分为投标报价、技术、商务等评分项得分（含优先采购政策加分）之和。</w:t>
      </w:r>
    </w:p>
    <w:p w14:paraId="7A1C49D8">
      <w:pPr>
        <w:adjustRightInd w:val="0"/>
        <w:snapToGrid w:val="0"/>
        <w:spacing w:before="120" w:beforeLines="50" w:line="360"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评标总得分＝A</w:t>
      </w:r>
      <w:r>
        <w:rPr>
          <w:rFonts w:hint="eastAsia" w:asciiTheme="minorEastAsia" w:hAnsiTheme="minorEastAsia" w:eastAsiaTheme="minorEastAsia"/>
          <w:color w:val="auto"/>
          <w:szCs w:val="21"/>
          <w:vertAlign w:val="subscript"/>
        </w:rPr>
        <w:t>投标报价得分</w:t>
      </w:r>
      <w:r>
        <w:rPr>
          <w:rFonts w:hint="eastAsia" w:asciiTheme="minorEastAsia" w:hAnsiTheme="minorEastAsia" w:eastAsiaTheme="minorEastAsia"/>
          <w:color w:val="auto"/>
          <w:szCs w:val="21"/>
        </w:rPr>
        <w:t>＋A</w:t>
      </w:r>
      <w:r>
        <w:rPr>
          <w:rFonts w:hint="eastAsia" w:asciiTheme="minorEastAsia" w:hAnsiTheme="minorEastAsia" w:eastAsiaTheme="minorEastAsia"/>
          <w:color w:val="auto"/>
          <w:szCs w:val="21"/>
          <w:vertAlign w:val="subscript"/>
        </w:rPr>
        <w:t>技术项得分</w:t>
      </w:r>
      <w:r>
        <w:rPr>
          <w:rFonts w:hint="eastAsia" w:asciiTheme="minorEastAsia" w:hAnsiTheme="minorEastAsia" w:eastAsiaTheme="minorEastAsia"/>
          <w:color w:val="auto"/>
          <w:szCs w:val="21"/>
        </w:rPr>
        <w:t>＋A</w:t>
      </w:r>
      <w:r>
        <w:rPr>
          <w:rFonts w:hint="eastAsia" w:asciiTheme="minorEastAsia" w:hAnsiTheme="minorEastAsia" w:eastAsiaTheme="minorEastAsia"/>
          <w:color w:val="auto"/>
          <w:szCs w:val="21"/>
          <w:vertAlign w:val="subscript"/>
        </w:rPr>
        <w:t>商务项得分</w:t>
      </w:r>
      <w:r>
        <w:rPr>
          <w:rFonts w:hint="eastAsia" w:asciiTheme="minorEastAsia" w:hAnsiTheme="minorEastAsia" w:eastAsiaTheme="minorEastAsia"/>
          <w:color w:val="auto"/>
          <w:szCs w:val="21"/>
        </w:rPr>
        <w:t>＋A</w:t>
      </w:r>
      <w:r>
        <w:rPr>
          <w:rFonts w:hint="eastAsia" w:asciiTheme="minorEastAsia" w:hAnsiTheme="minorEastAsia" w:eastAsiaTheme="minorEastAsia"/>
          <w:color w:val="auto"/>
          <w:szCs w:val="21"/>
          <w:vertAlign w:val="subscript"/>
        </w:rPr>
        <w:t>优先采购加分</w:t>
      </w:r>
    </w:p>
    <w:p w14:paraId="2A49DE34">
      <w:pPr>
        <w:adjustRightInd w:val="0"/>
        <w:snapToGrid w:val="0"/>
        <w:spacing w:before="120" w:beforeLines="50" w:line="360" w:lineRule="exact"/>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5.2评分分值计算保留小数点后两位，小数点后第三位“四舍五入”。</w:t>
      </w:r>
    </w:p>
    <w:p w14:paraId="6EDE38BF">
      <w:pPr>
        <w:adjustRightInd w:val="0"/>
        <w:snapToGrid w:val="0"/>
        <w:spacing w:before="120" w:beforeLines="50" w:line="360" w:lineRule="exact"/>
        <w:ind w:firstLine="420" w:firstLineChars="200"/>
        <w:jc w:val="left"/>
        <w:rPr>
          <w:rFonts w:asciiTheme="minorEastAsia" w:hAnsiTheme="minorEastAsia" w:eastAsiaTheme="minorEastAsia"/>
          <w:color w:val="auto"/>
          <w:szCs w:val="21"/>
        </w:rPr>
      </w:pPr>
      <w:r>
        <w:rPr>
          <w:rFonts w:hint="eastAsia" w:cs="宋体" w:asciiTheme="minorEastAsia" w:hAnsiTheme="minorEastAsia" w:eastAsiaTheme="minorEastAsia"/>
          <w:color w:val="auto"/>
          <w:kern w:val="0"/>
          <w:szCs w:val="21"/>
        </w:rPr>
        <w:t>5.3</w:t>
      </w:r>
      <w:r>
        <w:rPr>
          <w:rFonts w:hint="eastAsia" w:asciiTheme="minorEastAsia" w:hAnsiTheme="minorEastAsia" w:eastAsiaTheme="minorEastAsia"/>
          <w:color w:val="auto"/>
          <w:szCs w:val="21"/>
        </w:rPr>
        <w:t>评标时，评标委员会成员应当独立对满足招标文件全部实质性要求投标人的</w:t>
      </w:r>
      <w:r>
        <w:rPr>
          <w:rFonts w:hint="eastAsia" w:asciiTheme="minorEastAsia" w:hAnsiTheme="minorEastAsia" w:eastAsiaTheme="minorEastAsia"/>
          <w:bCs/>
          <w:color w:val="auto"/>
          <w:szCs w:val="21"/>
        </w:rPr>
        <w:t>投标文件</w:t>
      </w:r>
      <w:r>
        <w:rPr>
          <w:rFonts w:hint="eastAsia" w:asciiTheme="minorEastAsia" w:hAnsiTheme="minorEastAsia" w:eastAsiaTheme="minorEastAsia"/>
          <w:color w:val="auto"/>
          <w:szCs w:val="21"/>
        </w:rPr>
        <w:t>进行评价、评分，然后汇总每个投标人每项评分因素的得分。每个投标人的最终得分为所有评标委员会成员评分之和的算术平均值。</w:t>
      </w:r>
    </w:p>
    <w:p w14:paraId="5E33D8A4">
      <w:pPr>
        <w:pStyle w:val="4"/>
        <w:adjustRightInd w:val="0"/>
        <w:snapToGrid w:val="0"/>
        <w:spacing w:before="120" w:beforeLines="50" w:after="0" w:line="360" w:lineRule="exact"/>
        <w:rPr>
          <w:rFonts w:ascii="黑体" w:hAnsi="黑体" w:eastAsia="黑体"/>
          <w:color w:val="auto"/>
          <w:sz w:val="24"/>
          <w:szCs w:val="24"/>
        </w:rPr>
      </w:pPr>
      <w:bookmarkStart w:id="150" w:name="_Toc26359"/>
      <w:r>
        <w:rPr>
          <w:rFonts w:hint="eastAsia" w:ascii="黑体" w:hAnsi="黑体" w:eastAsia="黑体"/>
          <w:color w:val="auto"/>
          <w:sz w:val="24"/>
          <w:szCs w:val="24"/>
        </w:rPr>
        <w:t>6.中标候选人的推荐方法</w:t>
      </w:r>
      <w:bookmarkEnd w:id="150"/>
    </w:p>
    <w:p w14:paraId="060B0318">
      <w:pPr>
        <w:adjustRightInd w:val="0"/>
        <w:snapToGrid w:val="0"/>
        <w:spacing w:before="120" w:beforeLines="50" w:line="360" w:lineRule="exact"/>
        <w:ind w:firstLine="420" w:firstLineChars="200"/>
        <w:jc w:val="left"/>
        <w:rPr>
          <w:rFonts w:asciiTheme="minorEastAsia" w:hAnsiTheme="minorEastAsia" w:eastAsiaTheme="minorEastAsia"/>
          <w:bCs/>
          <w:color w:val="auto"/>
          <w:szCs w:val="21"/>
        </w:rPr>
      </w:pPr>
      <w:r>
        <w:rPr>
          <w:rFonts w:hint="eastAsia" w:asciiTheme="minorEastAsia" w:hAnsiTheme="minorEastAsia" w:eastAsiaTheme="minorEastAsia"/>
          <w:bCs/>
          <w:color w:val="auto"/>
          <w:szCs w:val="21"/>
        </w:rPr>
        <w:t>6.1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6F825854">
      <w:pPr>
        <w:adjustRightInd w:val="0"/>
        <w:snapToGrid w:val="0"/>
        <w:spacing w:before="120" w:beforeLines="50" w:line="360" w:lineRule="exact"/>
        <w:ind w:firstLine="420" w:firstLineChars="200"/>
        <w:jc w:val="left"/>
        <w:rPr>
          <w:rFonts w:asciiTheme="minorEastAsia" w:hAnsiTheme="minorEastAsia" w:eastAsiaTheme="minorEastAsia"/>
          <w:bCs/>
          <w:color w:val="auto"/>
          <w:szCs w:val="21"/>
        </w:rPr>
      </w:pPr>
      <w:r>
        <w:rPr>
          <w:rFonts w:hint="eastAsia" w:asciiTheme="minorEastAsia" w:hAnsiTheme="minorEastAsia" w:eastAsiaTheme="minorEastAsia"/>
          <w:bCs/>
          <w:color w:val="auto"/>
          <w:szCs w:val="21"/>
        </w:rPr>
        <w:t>6.2得分且投标报价相同的并列，按本章第二节规定确定中标侯选人。</w:t>
      </w:r>
    </w:p>
    <w:p w14:paraId="76837996">
      <w:pPr>
        <w:widowControl/>
        <w:jc w:val="left"/>
        <w:rPr>
          <w:rFonts w:asciiTheme="minorEastAsia" w:hAnsiTheme="minorEastAsia" w:eastAsiaTheme="minorEastAsia"/>
          <w:bCs/>
          <w:color w:val="auto"/>
          <w:szCs w:val="21"/>
        </w:rPr>
      </w:pPr>
    </w:p>
    <w:p w14:paraId="2CDC5F10">
      <w:pPr>
        <w:pStyle w:val="2"/>
        <w:jc w:val="left"/>
        <w:rPr>
          <w:rFonts w:ascii="黑体" w:hAnsi="黑体"/>
          <w:color w:val="auto"/>
          <w:sz w:val="21"/>
          <w:szCs w:val="21"/>
        </w:rPr>
      </w:pPr>
      <w:bookmarkStart w:id="151" w:name="_Toc6699"/>
      <w:r>
        <w:rPr>
          <w:rFonts w:hint="eastAsia" w:ascii="黑体" w:hAnsi="黑体"/>
          <w:color w:val="auto"/>
          <w:sz w:val="21"/>
          <w:szCs w:val="21"/>
        </w:rPr>
        <w:t>附页1 评标方法及标准表</w:t>
      </w:r>
      <w:bookmarkEnd w:id="151"/>
    </w:p>
    <w:p w14:paraId="1D37AE20">
      <w:pPr>
        <w:rPr>
          <w:color w:val="auto"/>
        </w:rPr>
      </w:pPr>
    </w:p>
    <w:tbl>
      <w:tblPr>
        <w:tblStyle w:val="41"/>
        <w:tblW w:w="5000" w:type="pct"/>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606"/>
        <w:gridCol w:w="1273"/>
        <w:gridCol w:w="1161"/>
        <w:gridCol w:w="5359"/>
        <w:gridCol w:w="480"/>
      </w:tblGrid>
      <w:tr w14:paraId="5046606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24" w:hRule="atLeast"/>
        </w:trPr>
        <w:tc>
          <w:tcPr>
            <w:tcW w:w="341" w:type="pct"/>
            <w:tcBorders>
              <w:right w:val="single" w:color="auto" w:sz="4" w:space="0"/>
            </w:tcBorders>
            <w:vAlign w:val="center"/>
          </w:tcPr>
          <w:p w14:paraId="7C1FB5C6">
            <w:pPr>
              <w:adjustRightInd w:val="0"/>
              <w:snapToGrid w:val="0"/>
              <w:spacing w:line="420" w:lineRule="exact"/>
              <w:jc w:val="center"/>
              <w:rPr>
                <w:rFonts w:ascii="宋体" w:hAnsi="宋体" w:cs="宋体"/>
                <w:b/>
                <w:color w:val="auto"/>
                <w:szCs w:val="21"/>
              </w:rPr>
            </w:pPr>
            <w:r>
              <w:rPr>
                <w:rFonts w:hint="eastAsia" w:ascii="宋体" w:hAnsi="宋体" w:cs="宋体"/>
                <w:b/>
                <w:color w:val="auto"/>
                <w:szCs w:val="21"/>
              </w:rPr>
              <w:t>序号</w:t>
            </w:r>
          </w:p>
        </w:tc>
        <w:tc>
          <w:tcPr>
            <w:tcW w:w="717" w:type="pct"/>
            <w:tcBorders>
              <w:left w:val="single" w:color="auto" w:sz="4" w:space="0"/>
              <w:right w:val="single" w:color="auto" w:sz="4" w:space="0"/>
            </w:tcBorders>
            <w:vAlign w:val="center"/>
          </w:tcPr>
          <w:p w14:paraId="678D56F3">
            <w:pPr>
              <w:adjustRightInd w:val="0"/>
              <w:snapToGrid w:val="0"/>
              <w:spacing w:line="420" w:lineRule="exact"/>
              <w:jc w:val="center"/>
              <w:rPr>
                <w:rFonts w:ascii="宋体" w:hAnsi="宋体" w:cs="宋体"/>
                <w:b/>
                <w:color w:val="auto"/>
                <w:szCs w:val="21"/>
              </w:rPr>
            </w:pPr>
            <w:r>
              <w:rPr>
                <w:rFonts w:hint="eastAsia" w:ascii="宋体" w:hAnsi="宋体" w:cs="宋体"/>
                <w:b/>
                <w:color w:val="auto"/>
                <w:szCs w:val="21"/>
              </w:rPr>
              <w:t>评标因素</w:t>
            </w:r>
          </w:p>
          <w:p w14:paraId="344DA961">
            <w:pPr>
              <w:adjustRightInd w:val="0"/>
              <w:snapToGrid w:val="0"/>
              <w:spacing w:line="420" w:lineRule="exact"/>
              <w:jc w:val="center"/>
              <w:rPr>
                <w:rFonts w:ascii="宋体" w:hAnsi="宋体" w:cs="宋体"/>
                <w:b/>
                <w:color w:val="auto"/>
                <w:szCs w:val="21"/>
              </w:rPr>
            </w:pPr>
            <w:r>
              <w:rPr>
                <w:rFonts w:hint="eastAsia" w:ascii="宋体" w:hAnsi="宋体" w:cs="宋体"/>
                <w:b/>
                <w:color w:val="auto"/>
                <w:szCs w:val="21"/>
              </w:rPr>
              <w:t>（权重分）</w:t>
            </w:r>
          </w:p>
        </w:tc>
        <w:tc>
          <w:tcPr>
            <w:tcW w:w="3672" w:type="pct"/>
            <w:gridSpan w:val="2"/>
            <w:tcBorders>
              <w:left w:val="single" w:color="auto" w:sz="4" w:space="0"/>
              <w:right w:val="single" w:color="auto" w:sz="4" w:space="0"/>
            </w:tcBorders>
            <w:vAlign w:val="center"/>
          </w:tcPr>
          <w:p w14:paraId="2267C6CE">
            <w:pPr>
              <w:adjustRightInd w:val="0"/>
              <w:snapToGrid w:val="0"/>
              <w:spacing w:line="420" w:lineRule="exact"/>
              <w:jc w:val="center"/>
              <w:rPr>
                <w:rFonts w:ascii="宋体" w:hAnsi="宋体" w:cs="宋体"/>
                <w:b/>
                <w:color w:val="auto"/>
                <w:szCs w:val="21"/>
              </w:rPr>
            </w:pPr>
            <w:r>
              <w:rPr>
                <w:rFonts w:hint="eastAsia" w:ascii="宋体" w:hAnsi="宋体" w:cs="宋体"/>
                <w:b/>
                <w:color w:val="auto"/>
                <w:szCs w:val="21"/>
              </w:rPr>
              <w:t>评标标准</w:t>
            </w:r>
          </w:p>
        </w:tc>
        <w:tc>
          <w:tcPr>
            <w:tcW w:w="269" w:type="pct"/>
            <w:tcBorders>
              <w:left w:val="single" w:color="auto" w:sz="4" w:space="0"/>
            </w:tcBorders>
            <w:vAlign w:val="center"/>
          </w:tcPr>
          <w:p w14:paraId="02429B24">
            <w:pPr>
              <w:adjustRightInd w:val="0"/>
              <w:snapToGrid w:val="0"/>
              <w:spacing w:line="420" w:lineRule="exact"/>
              <w:jc w:val="center"/>
              <w:rPr>
                <w:rFonts w:ascii="宋体" w:hAnsi="宋体" w:cs="宋体"/>
                <w:b/>
                <w:color w:val="auto"/>
                <w:szCs w:val="21"/>
              </w:rPr>
            </w:pPr>
            <w:r>
              <w:rPr>
                <w:rFonts w:hint="eastAsia" w:ascii="宋体" w:hAnsi="宋体" w:cs="宋体"/>
                <w:b/>
                <w:color w:val="auto"/>
                <w:szCs w:val="21"/>
              </w:rPr>
              <w:t>分值</w:t>
            </w:r>
          </w:p>
        </w:tc>
      </w:tr>
      <w:tr w14:paraId="1378DD5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1" w:hRule="atLeast"/>
        </w:trPr>
        <w:tc>
          <w:tcPr>
            <w:tcW w:w="341" w:type="pct"/>
            <w:tcBorders>
              <w:right w:val="single" w:color="auto" w:sz="4" w:space="0"/>
            </w:tcBorders>
            <w:vAlign w:val="center"/>
          </w:tcPr>
          <w:p w14:paraId="36EE708C">
            <w:pPr>
              <w:adjustRightInd w:val="0"/>
              <w:snapToGrid w:val="0"/>
              <w:spacing w:line="420" w:lineRule="exact"/>
              <w:jc w:val="center"/>
              <w:rPr>
                <w:rFonts w:ascii="宋体" w:hAnsi="宋体" w:cs="宋体"/>
                <w:color w:val="auto"/>
                <w:szCs w:val="21"/>
              </w:rPr>
            </w:pPr>
            <w:r>
              <w:rPr>
                <w:rFonts w:hint="eastAsia" w:ascii="宋体" w:hAnsi="宋体" w:cs="宋体"/>
                <w:color w:val="auto"/>
                <w:szCs w:val="21"/>
              </w:rPr>
              <w:t>1</w:t>
            </w:r>
          </w:p>
        </w:tc>
        <w:tc>
          <w:tcPr>
            <w:tcW w:w="717" w:type="pct"/>
            <w:tcBorders>
              <w:left w:val="single" w:color="auto" w:sz="4" w:space="0"/>
              <w:right w:val="single" w:color="auto" w:sz="4" w:space="0"/>
            </w:tcBorders>
            <w:vAlign w:val="center"/>
          </w:tcPr>
          <w:p w14:paraId="74607CC1">
            <w:pPr>
              <w:adjustRightInd w:val="0"/>
              <w:snapToGrid w:val="0"/>
              <w:spacing w:line="420" w:lineRule="exact"/>
              <w:jc w:val="center"/>
              <w:rPr>
                <w:rFonts w:ascii="宋体" w:hAnsi="宋体" w:cs="宋体"/>
                <w:color w:val="auto"/>
                <w:szCs w:val="21"/>
              </w:rPr>
            </w:pPr>
            <w:r>
              <w:rPr>
                <w:rFonts w:hint="eastAsia" w:ascii="宋体" w:hAnsi="宋体" w:cs="宋体"/>
                <w:color w:val="auto"/>
                <w:szCs w:val="21"/>
              </w:rPr>
              <w:t>价格评价项</w:t>
            </w:r>
          </w:p>
          <w:p w14:paraId="349EE669">
            <w:pPr>
              <w:adjustRightInd w:val="0"/>
              <w:snapToGrid w:val="0"/>
              <w:spacing w:line="420" w:lineRule="exact"/>
              <w:rPr>
                <w:rFonts w:ascii="宋体" w:hAnsi="宋体" w:cs="宋体"/>
                <w:color w:val="auto"/>
                <w:szCs w:val="21"/>
              </w:rPr>
            </w:pPr>
            <w:r>
              <w:rPr>
                <w:rFonts w:hint="eastAsia" w:ascii="宋体" w:hAnsi="宋体" w:cs="宋体"/>
                <w:color w:val="auto"/>
                <w:szCs w:val="21"/>
              </w:rPr>
              <w:t>（A1=30分）</w:t>
            </w:r>
          </w:p>
        </w:tc>
        <w:tc>
          <w:tcPr>
            <w:tcW w:w="654" w:type="pct"/>
            <w:tcBorders>
              <w:left w:val="single" w:color="auto" w:sz="4" w:space="0"/>
              <w:right w:val="single" w:color="auto" w:sz="4" w:space="0"/>
            </w:tcBorders>
            <w:vAlign w:val="center"/>
          </w:tcPr>
          <w:p w14:paraId="4EFA0C02">
            <w:pPr>
              <w:spacing w:line="420" w:lineRule="exact"/>
              <w:jc w:val="center"/>
              <w:rPr>
                <w:rFonts w:ascii="宋体" w:hAnsi="宋体" w:cs="宋体"/>
                <w:color w:val="auto"/>
                <w:szCs w:val="21"/>
              </w:rPr>
            </w:pPr>
            <w:r>
              <w:rPr>
                <w:rFonts w:hint="eastAsia" w:ascii="宋体" w:hAnsi="宋体" w:cs="宋体"/>
                <w:color w:val="auto"/>
                <w:szCs w:val="21"/>
              </w:rPr>
              <w:t>设备</w:t>
            </w:r>
          </w:p>
          <w:p w14:paraId="69AB759A">
            <w:pPr>
              <w:spacing w:line="420" w:lineRule="exact"/>
              <w:jc w:val="center"/>
              <w:rPr>
                <w:rFonts w:ascii="宋体" w:hAnsi="宋体" w:cs="宋体"/>
                <w:color w:val="auto"/>
                <w:szCs w:val="21"/>
              </w:rPr>
            </w:pPr>
            <w:r>
              <w:rPr>
                <w:rFonts w:hint="eastAsia" w:ascii="宋体" w:hAnsi="宋体" w:cs="宋体"/>
                <w:color w:val="auto"/>
                <w:szCs w:val="21"/>
              </w:rPr>
              <w:t>价格分</w:t>
            </w:r>
          </w:p>
        </w:tc>
        <w:tc>
          <w:tcPr>
            <w:tcW w:w="3017" w:type="pct"/>
            <w:tcBorders>
              <w:left w:val="single" w:color="auto" w:sz="4" w:space="0"/>
              <w:right w:val="single" w:color="auto" w:sz="4" w:space="0"/>
            </w:tcBorders>
            <w:vAlign w:val="center"/>
          </w:tcPr>
          <w:p w14:paraId="71CB7CB8">
            <w:pPr>
              <w:spacing w:line="420" w:lineRule="exact"/>
              <w:rPr>
                <w:rFonts w:ascii="宋体" w:hAnsi="宋体" w:cs="宋体"/>
                <w:color w:val="auto"/>
                <w:szCs w:val="21"/>
              </w:rPr>
            </w:pPr>
            <w:r>
              <w:rPr>
                <w:rFonts w:hint="eastAsia" w:ascii="宋体" w:hAnsi="宋体" w:cs="宋体"/>
                <w:color w:val="auto"/>
                <w:szCs w:val="21"/>
              </w:rPr>
              <w:t>满足招标文件要求且投标价格最低的投标报价为评标基准价，其价格分为满分，其他有效投标人的价格分按照下列公式计算：投标报价得分=（评标基准价／投标报价）×30</w:t>
            </w:r>
          </w:p>
        </w:tc>
        <w:tc>
          <w:tcPr>
            <w:tcW w:w="269" w:type="pct"/>
            <w:tcBorders>
              <w:left w:val="single" w:color="auto" w:sz="4" w:space="0"/>
            </w:tcBorders>
            <w:vAlign w:val="center"/>
          </w:tcPr>
          <w:p w14:paraId="267C8EA3">
            <w:pPr>
              <w:spacing w:line="420" w:lineRule="exact"/>
              <w:rPr>
                <w:rFonts w:ascii="宋体" w:hAnsi="宋体" w:cs="宋体"/>
                <w:color w:val="auto"/>
                <w:szCs w:val="21"/>
              </w:rPr>
            </w:pPr>
            <w:r>
              <w:rPr>
                <w:rFonts w:hint="eastAsia" w:ascii="宋体" w:hAnsi="宋体" w:cs="宋体"/>
                <w:color w:val="auto"/>
                <w:szCs w:val="21"/>
              </w:rPr>
              <w:t>30</w:t>
            </w:r>
          </w:p>
        </w:tc>
      </w:tr>
      <w:tr w14:paraId="34EA131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1" w:hRule="atLeast"/>
        </w:trPr>
        <w:tc>
          <w:tcPr>
            <w:tcW w:w="341" w:type="pct"/>
            <w:tcBorders>
              <w:right w:val="single" w:color="auto" w:sz="4" w:space="0"/>
            </w:tcBorders>
            <w:vAlign w:val="center"/>
          </w:tcPr>
          <w:p w14:paraId="1ED0B33E">
            <w:pPr>
              <w:adjustRightInd w:val="0"/>
              <w:snapToGrid w:val="0"/>
              <w:spacing w:line="420" w:lineRule="exact"/>
              <w:jc w:val="center"/>
              <w:rPr>
                <w:rFonts w:ascii="宋体" w:hAnsi="宋体" w:cs="宋体"/>
                <w:color w:val="auto"/>
                <w:szCs w:val="21"/>
              </w:rPr>
            </w:pPr>
            <w:r>
              <w:rPr>
                <w:rFonts w:hint="eastAsia" w:ascii="宋体" w:hAnsi="宋体" w:cs="宋体"/>
                <w:color w:val="auto"/>
                <w:szCs w:val="21"/>
              </w:rPr>
              <w:t>2</w:t>
            </w:r>
          </w:p>
        </w:tc>
        <w:tc>
          <w:tcPr>
            <w:tcW w:w="717" w:type="pct"/>
            <w:tcBorders>
              <w:left w:val="single" w:color="auto" w:sz="4" w:space="0"/>
              <w:right w:val="single" w:color="auto" w:sz="4" w:space="0"/>
            </w:tcBorders>
            <w:vAlign w:val="center"/>
          </w:tcPr>
          <w:p w14:paraId="47791A6E">
            <w:pPr>
              <w:adjustRightInd w:val="0"/>
              <w:snapToGrid w:val="0"/>
              <w:spacing w:line="420" w:lineRule="exact"/>
              <w:jc w:val="center"/>
              <w:rPr>
                <w:rFonts w:ascii="宋体" w:hAnsi="宋体" w:cs="宋体"/>
                <w:color w:val="auto"/>
                <w:szCs w:val="21"/>
              </w:rPr>
            </w:pPr>
            <w:r>
              <w:rPr>
                <w:rFonts w:hint="eastAsia" w:ascii="宋体" w:hAnsi="宋体" w:cs="宋体"/>
                <w:color w:val="auto"/>
                <w:szCs w:val="21"/>
              </w:rPr>
              <w:t>技术评价项</w:t>
            </w:r>
          </w:p>
          <w:p w14:paraId="0BF7BDB0">
            <w:pPr>
              <w:adjustRightInd w:val="0"/>
              <w:snapToGrid w:val="0"/>
              <w:spacing w:line="420" w:lineRule="exact"/>
              <w:rPr>
                <w:rFonts w:ascii="宋体" w:hAnsi="宋体" w:cs="宋体"/>
                <w:color w:val="auto"/>
                <w:szCs w:val="21"/>
              </w:rPr>
            </w:pPr>
            <w:r>
              <w:rPr>
                <w:rFonts w:hint="eastAsia" w:ascii="宋体" w:hAnsi="宋体" w:cs="宋体"/>
                <w:color w:val="auto"/>
                <w:szCs w:val="21"/>
              </w:rPr>
              <w:t>（A3=30分）</w:t>
            </w:r>
          </w:p>
        </w:tc>
        <w:tc>
          <w:tcPr>
            <w:tcW w:w="654" w:type="pct"/>
            <w:tcBorders>
              <w:left w:val="single" w:color="auto" w:sz="4" w:space="0"/>
              <w:right w:val="single" w:color="auto" w:sz="4" w:space="0"/>
            </w:tcBorders>
            <w:vAlign w:val="center"/>
          </w:tcPr>
          <w:p w14:paraId="3A34C69B">
            <w:pPr>
              <w:spacing w:line="420" w:lineRule="exact"/>
              <w:jc w:val="center"/>
              <w:rPr>
                <w:rFonts w:ascii="宋体" w:hAnsi="宋体" w:cs="宋体"/>
                <w:color w:val="auto"/>
                <w:szCs w:val="21"/>
              </w:rPr>
            </w:pPr>
            <w:r>
              <w:rPr>
                <w:rFonts w:hint="eastAsia" w:ascii="宋体" w:hAnsi="宋体" w:cs="宋体"/>
                <w:color w:val="auto"/>
                <w:szCs w:val="21"/>
              </w:rPr>
              <w:t>技术指标</w:t>
            </w:r>
          </w:p>
          <w:p w14:paraId="15B3EE98">
            <w:pPr>
              <w:spacing w:line="420" w:lineRule="exact"/>
              <w:jc w:val="center"/>
              <w:rPr>
                <w:rFonts w:ascii="宋体" w:hAnsi="宋体" w:cs="宋体"/>
                <w:color w:val="auto"/>
                <w:szCs w:val="21"/>
              </w:rPr>
            </w:pPr>
            <w:r>
              <w:rPr>
                <w:rFonts w:hint="eastAsia" w:ascii="宋体" w:hAnsi="宋体" w:cs="宋体"/>
                <w:color w:val="auto"/>
                <w:szCs w:val="21"/>
              </w:rPr>
              <w:t>响应程度</w:t>
            </w:r>
          </w:p>
        </w:tc>
        <w:tc>
          <w:tcPr>
            <w:tcW w:w="3017" w:type="pct"/>
            <w:tcBorders>
              <w:left w:val="single" w:color="auto" w:sz="4" w:space="0"/>
              <w:right w:val="single" w:color="auto" w:sz="4" w:space="0"/>
            </w:tcBorders>
            <w:vAlign w:val="center"/>
          </w:tcPr>
          <w:p w14:paraId="32D4FF3B">
            <w:pPr>
              <w:spacing w:line="420" w:lineRule="exact"/>
              <w:rPr>
                <w:rFonts w:ascii="宋体" w:hAnsi="宋体" w:cs="宋体"/>
                <w:color w:val="auto"/>
                <w:szCs w:val="21"/>
              </w:rPr>
            </w:pPr>
            <w:r>
              <w:rPr>
                <w:rFonts w:hint="eastAsia" w:ascii="宋体" w:hAnsi="宋体" w:cs="宋体"/>
                <w:color w:val="auto"/>
                <w:szCs w:val="21"/>
              </w:rPr>
              <w:t>所投产品完全符合招标文件第五章第二节【技术要求】内容要求的，计30分；一般技术参数（非标“★”参数、非标“▲”参数）有偏离的，每一项扣1.5分；标“▲”参数有偏离的，每一项扣3分</w:t>
            </w:r>
            <w:r>
              <w:rPr>
                <w:rFonts w:hint="eastAsia" w:ascii="宋体" w:hAnsi="宋体"/>
                <w:color w:val="auto"/>
                <w:szCs w:val="21"/>
              </w:rPr>
              <w:t>，</w:t>
            </w:r>
            <w:r>
              <w:rPr>
                <w:rFonts w:hint="eastAsia" w:ascii="宋体" w:hAnsi="宋体" w:cs="宋体"/>
                <w:color w:val="auto"/>
                <w:szCs w:val="21"/>
              </w:rPr>
              <w:t>扣完为止。</w:t>
            </w:r>
          </w:p>
          <w:p w14:paraId="3050553F">
            <w:pPr>
              <w:spacing w:line="420" w:lineRule="exact"/>
              <w:rPr>
                <w:rFonts w:ascii="宋体" w:hAnsi="宋体" w:cs="宋体"/>
                <w:color w:val="auto"/>
                <w:szCs w:val="21"/>
              </w:rPr>
            </w:pPr>
            <w:r>
              <w:rPr>
                <w:rFonts w:hint="eastAsia" w:ascii="宋体" w:hAnsi="宋体" w:cs="宋体"/>
                <w:color w:val="auto"/>
                <w:szCs w:val="21"/>
              </w:rPr>
              <w:t>注：</w:t>
            </w:r>
          </w:p>
          <w:p w14:paraId="14E3316C">
            <w:pPr>
              <w:numPr>
                <w:ilvl w:val="0"/>
                <w:numId w:val="1"/>
              </w:numPr>
              <w:spacing w:line="420" w:lineRule="exact"/>
              <w:rPr>
                <w:color w:val="auto"/>
              </w:rPr>
            </w:pPr>
            <w:r>
              <w:rPr>
                <w:rFonts w:hint="eastAsia" w:ascii="宋体" w:hAnsi="宋体" w:cs="宋体"/>
                <w:color w:val="auto"/>
                <w:szCs w:val="21"/>
              </w:rPr>
              <w:t>投标文件对于采购需求技术参数的实质响应条款（★条款）、重要条款（▲条款）和有指定要求的技术条款，需提供技术证明文件（加盖投标人公章）。</w:t>
            </w:r>
          </w:p>
          <w:p w14:paraId="6AEBC669">
            <w:pPr>
              <w:spacing w:line="420" w:lineRule="exact"/>
              <w:rPr>
                <w:rFonts w:ascii="宋体" w:hAnsi="宋体" w:cs="宋体"/>
                <w:color w:val="auto"/>
                <w:szCs w:val="21"/>
              </w:rPr>
            </w:pPr>
            <w:r>
              <w:rPr>
                <w:rFonts w:hint="eastAsia" w:ascii="宋体" w:hAnsi="宋体" w:cs="宋体"/>
                <w:color w:val="auto"/>
                <w:szCs w:val="21"/>
              </w:rPr>
              <w:t>（2）技术证明文件指制造商公开发布的印刷资料、</w:t>
            </w:r>
            <w:r>
              <w:rPr>
                <w:rFonts w:hint="eastAsia" w:ascii="宋体" w:hAnsi="宋体"/>
                <w:color w:val="auto"/>
                <w:szCs w:val="21"/>
              </w:rPr>
              <w:t>产品彩页或产品白皮书、</w:t>
            </w:r>
            <w:r>
              <w:rPr>
                <w:rFonts w:hint="eastAsia" w:ascii="宋体" w:hAnsi="宋体" w:cs="宋体"/>
                <w:color w:val="auto"/>
                <w:szCs w:val="21"/>
              </w:rPr>
              <w:t>检测机构出具的检测报告或招标文件中允许的其他形式为准，凡不符合上述要求的，应当视为无效技术支持资料。</w:t>
            </w:r>
          </w:p>
          <w:p w14:paraId="7227A39A">
            <w:pPr>
              <w:spacing w:line="420" w:lineRule="exact"/>
              <w:rPr>
                <w:rFonts w:ascii="宋体" w:hAnsi="宋体" w:cs="宋体"/>
                <w:color w:val="auto"/>
                <w:szCs w:val="21"/>
              </w:rPr>
            </w:pPr>
            <w:r>
              <w:rPr>
                <w:rFonts w:hint="eastAsia" w:ascii="宋体" w:hAnsi="宋体" w:cs="宋体"/>
                <w:color w:val="auto"/>
                <w:szCs w:val="21"/>
              </w:rPr>
              <w:t>（3）投标文件对于采购需求技术参数的实质响应条款（★条款）无有效技术支持资料支撑的，视为不响应，将导致废标；重要条款（▲条款）和有指定要求的技术条款无有效技术支持资料支撑的，视为偏离，评标委员会按上述评标标准评审。投标响应与技术支持资料不一致的，以技术支持资料描述或数据为准。</w:t>
            </w:r>
          </w:p>
          <w:p w14:paraId="75BC35B7">
            <w:pPr>
              <w:spacing w:line="420" w:lineRule="exact"/>
              <w:rPr>
                <w:rFonts w:ascii="宋体" w:hAnsi="宋体" w:cs="宋体"/>
                <w:color w:val="auto"/>
                <w:szCs w:val="21"/>
              </w:rPr>
            </w:pPr>
            <w:r>
              <w:rPr>
                <w:rFonts w:hint="eastAsia" w:ascii="宋体" w:hAnsi="宋体" w:cs="宋体"/>
                <w:color w:val="auto"/>
                <w:szCs w:val="21"/>
              </w:rPr>
              <w:t>（4）偏离包括但不限于：响应缺项、漏项、响应的前后不一致、或响应模糊导致无法评定。</w:t>
            </w:r>
          </w:p>
          <w:p w14:paraId="5065A78A">
            <w:pPr>
              <w:spacing w:line="420" w:lineRule="exact"/>
              <w:rPr>
                <w:rFonts w:ascii="宋体" w:hAnsi="宋体" w:cs="宋体"/>
                <w:color w:val="auto"/>
                <w:szCs w:val="21"/>
              </w:rPr>
            </w:pPr>
            <w:r>
              <w:rPr>
                <w:rFonts w:hint="eastAsia" w:ascii="宋体" w:hAnsi="宋体"/>
                <w:color w:val="auto"/>
                <w:szCs w:val="21"/>
              </w:rPr>
              <w:t>（5）技术证明文件需在</w:t>
            </w:r>
            <w:r>
              <w:rPr>
                <w:rFonts w:hint="eastAsia" w:ascii="等线" w:hAnsi="等线" w:eastAsia="等线"/>
                <w:color w:val="auto"/>
                <w:szCs w:val="21"/>
              </w:rPr>
              <w:t>评审索引表</w:t>
            </w:r>
            <w:r>
              <w:rPr>
                <w:rFonts w:hint="eastAsia" w:ascii="宋体" w:hAnsi="宋体"/>
                <w:color w:val="auto"/>
                <w:szCs w:val="21"/>
              </w:rPr>
              <w:t>中标注页码，对技术要求的响应部分在投标产品的技术资料中相对应的地方建议使用下划线作出明显标记。</w:t>
            </w:r>
          </w:p>
        </w:tc>
        <w:tc>
          <w:tcPr>
            <w:tcW w:w="269" w:type="pct"/>
            <w:tcBorders>
              <w:left w:val="single" w:color="auto" w:sz="4" w:space="0"/>
            </w:tcBorders>
            <w:vAlign w:val="center"/>
          </w:tcPr>
          <w:p w14:paraId="66D92EEC">
            <w:pPr>
              <w:spacing w:line="420" w:lineRule="exact"/>
              <w:rPr>
                <w:rFonts w:ascii="宋体" w:hAnsi="宋体" w:cs="宋体"/>
                <w:color w:val="auto"/>
                <w:szCs w:val="21"/>
              </w:rPr>
            </w:pPr>
            <w:r>
              <w:rPr>
                <w:rFonts w:hint="eastAsia" w:ascii="宋体" w:hAnsi="宋体" w:cs="宋体"/>
                <w:color w:val="auto"/>
                <w:szCs w:val="21"/>
              </w:rPr>
              <w:t>30</w:t>
            </w:r>
          </w:p>
        </w:tc>
      </w:tr>
      <w:tr w14:paraId="2885EE9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341" w:type="pct"/>
            <w:vMerge w:val="restart"/>
            <w:tcBorders>
              <w:right w:val="single" w:color="auto" w:sz="4" w:space="0"/>
            </w:tcBorders>
            <w:vAlign w:val="center"/>
          </w:tcPr>
          <w:p w14:paraId="12EC1149">
            <w:pPr>
              <w:adjustRightInd w:val="0"/>
              <w:snapToGrid w:val="0"/>
              <w:spacing w:line="420" w:lineRule="exact"/>
              <w:jc w:val="center"/>
              <w:rPr>
                <w:rFonts w:ascii="宋体" w:hAnsi="宋体" w:cs="宋体"/>
                <w:color w:val="auto"/>
                <w:szCs w:val="21"/>
              </w:rPr>
            </w:pPr>
            <w:r>
              <w:rPr>
                <w:rFonts w:hint="eastAsia" w:ascii="宋体" w:hAnsi="宋体" w:cs="宋体"/>
                <w:color w:val="auto"/>
                <w:szCs w:val="21"/>
              </w:rPr>
              <w:t>3</w:t>
            </w:r>
          </w:p>
        </w:tc>
        <w:tc>
          <w:tcPr>
            <w:tcW w:w="717" w:type="pct"/>
            <w:vMerge w:val="restart"/>
            <w:tcBorders>
              <w:left w:val="single" w:color="auto" w:sz="4" w:space="0"/>
            </w:tcBorders>
            <w:vAlign w:val="center"/>
          </w:tcPr>
          <w:p w14:paraId="055FD785">
            <w:pPr>
              <w:spacing w:line="420" w:lineRule="exact"/>
              <w:jc w:val="center"/>
              <w:rPr>
                <w:rFonts w:ascii="宋体" w:hAnsi="宋体" w:cs="宋体"/>
                <w:color w:val="auto"/>
                <w:szCs w:val="21"/>
              </w:rPr>
            </w:pPr>
            <w:r>
              <w:rPr>
                <w:rFonts w:hint="eastAsia" w:ascii="宋体" w:hAnsi="宋体" w:cs="宋体"/>
                <w:color w:val="auto"/>
                <w:szCs w:val="21"/>
              </w:rPr>
              <w:t>商务评价项</w:t>
            </w:r>
          </w:p>
          <w:p w14:paraId="48DBAD0F">
            <w:pPr>
              <w:adjustRightInd w:val="0"/>
              <w:snapToGrid w:val="0"/>
              <w:spacing w:line="420" w:lineRule="exact"/>
              <w:rPr>
                <w:rFonts w:ascii="宋体" w:hAnsi="宋体" w:cs="宋体"/>
                <w:color w:val="auto"/>
                <w:szCs w:val="21"/>
              </w:rPr>
            </w:pPr>
            <w:r>
              <w:rPr>
                <w:rFonts w:hint="eastAsia" w:ascii="宋体" w:hAnsi="宋体" w:cs="宋体"/>
                <w:color w:val="auto"/>
                <w:szCs w:val="21"/>
              </w:rPr>
              <w:t>（A2=40分）</w:t>
            </w:r>
          </w:p>
        </w:tc>
        <w:tc>
          <w:tcPr>
            <w:tcW w:w="654" w:type="pct"/>
            <w:vAlign w:val="center"/>
          </w:tcPr>
          <w:p w14:paraId="2E8AE494">
            <w:pPr>
              <w:spacing w:line="420" w:lineRule="exact"/>
              <w:jc w:val="center"/>
              <w:rPr>
                <w:rFonts w:ascii="宋体" w:hAnsi="宋体" w:cs="宋体"/>
                <w:color w:val="auto"/>
                <w:szCs w:val="21"/>
              </w:rPr>
            </w:pPr>
            <w:r>
              <w:rPr>
                <w:rFonts w:hint="eastAsia" w:ascii="宋体" w:hAnsi="宋体" w:cs="宋体"/>
                <w:color w:val="auto"/>
                <w:szCs w:val="21"/>
              </w:rPr>
              <w:t>商务指标</w:t>
            </w:r>
          </w:p>
          <w:p w14:paraId="216FCA39">
            <w:pPr>
              <w:spacing w:line="420" w:lineRule="exact"/>
              <w:jc w:val="center"/>
              <w:rPr>
                <w:rFonts w:ascii="宋体" w:hAnsi="宋体" w:cs="宋体"/>
                <w:color w:val="auto"/>
                <w:szCs w:val="21"/>
              </w:rPr>
            </w:pPr>
            <w:r>
              <w:rPr>
                <w:rFonts w:hint="eastAsia" w:ascii="宋体" w:hAnsi="宋体" w:cs="宋体"/>
                <w:color w:val="auto"/>
                <w:szCs w:val="21"/>
              </w:rPr>
              <w:t>响应程度</w:t>
            </w:r>
          </w:p>
        </w:tc>
        <w:tc>
          <w:tcPr>
            <w:tcW w:w="3017" w:type="pct"/>
            <w:vAlign w:val="center"/>
          </w:tcPr>
          <w:p w14:paraId="58ADB8FC">
            <w:pPr>
              <w:spacing w:line="420" w:lineRule="exact"/>
              <w:rPr>
                <w:rFonts w:ascii="宋体" w:hAnsi="宋体" w:cs="宋体"/>
                <w:color w:val="auto"/>
                <w:szCs w:val="21"/>
              </w:rPr>
            </w:pPr>
            <w:r>
              <w:rPr>
                <w:rFonts w:hint="eastAsia" w:ascii="宋体" w:hAnsi="宋体" w:cs="宋体"/>
                <w:color w:val="auto"/>
                <w:szCs w:val="21"/>
              </w:rPr>
              <w:t>完全符合招标文件要求的得满分；每偏离招标文件要求一项扣1分，扣完为止</w:t>
            </w:r>
          </w:p>
        </w:tc>
        <w:tc>
          <w:tcPr>
            <w:tcW w:w="269" w:type="pct"/>
            <w:vAlign w:val="center"/>
          </w:tcPr>
          <w:p w14:paraId="1B9E71F1">
            <w:pPr>
              <w:spacing w:line="420" w:lineRule="exact"/>
              <w:rPr>
                <w:rFonts w:ascii="宋体" w:hAnsi="宋体" w:cs="宋体"/>
                <w:color w:val="auto"/>
                <w:szCs w:val="21"/>
              </w:rPr>
            </w:pPr>
            <w:r>
              <w:rPr>
                <w:rFonts w:hint="eastAsia" w:ascii="宋体" w:hAnsi="宋体" w:cs="宋体"/>
                <w:color w:val="auto"/>
                <w:szCs w:val="21"/>
              </w:rPr>
              <w:t>5</w:t>
            </w:r>
          </w:p>
        </w:tc>
      </w:tr>
      <w:tr w14:paraId="021EB2F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1" w:hRule="atLeast"/>
        </w:trPr>
        <w:tc>
          <w:tcPr>
            <w:tcW w:w="341" w:type="pct"/>
            <w:vMerge w:val="continue"/>
            <w:tcBorders>
              <w:right w:val="single" w:color="auto" w:sz="4" w:space="0"/>
            </w:tcBorders>
            <w:vAlign w:val="center"/>
          </w:tcPr>
          <w:p w14:paraId="351EC7A3">
            <w:pPr>
              <w:adjustRightInd w:val="0"/>
              <w:snapToGrid w:val="0"/>
              <w:spacing w:line="420" w:lineRule="exact"/>
              <w:jc w:val="center"/>
              <w:rPr>
                <w:rFonts w:ascii="宋体" w:hAnsi="宋体" w:cs="宋体"/>
                <w:color w:val="auto"/>
                <w:szCs w:val="21"/>
              </w:rPr>
            </w:pPr>
          </w:p>
        </w:tc>
        <w:tc>
          <w:tcPr>
            <w:tcW w:w="717" w:type="pct"/>
            <w:vMerge w:val="continue"/>
            <w:tcBorders>
              <w:left w:val="single" w:color="auto" w:sz="4" w:space="0"/>
            </w:tcBorders>
            <w:vAlign w:val="center"/>
          </w:tcPr>
          <w:p w14:paraId="78DD7534">
            <w:pPr>
              <w:adjustRightInd w:val="0"/>
              <w:snapToGrid w:val="0"/>
              <w:spacing w:line="420" w:lineRule="exact"/>
              <w:jc w:val="center"/>
              <w:rPr>
                <w:rFonts w:ascii="宋体" w:hAnsi="宋体" w:cs="宋体"/>
                <w:color w:val="auto"/>
                <w:szCs w:val="21"/>
              </w:rPr>
            </w:pPr>
          </w:p>
        </w:tc>
        <w:tc>
          <w:tcPr>
            <w:tcW w:w="654" w:type="pct"/>
            <w:vAlign w:val="center"/>
          </w:tcPr>
          <w:p w14:paraId="62E6468C">
            <w:pPr>
              <w:spacing w:line="420" w:lineRule="exact"/>
              <w:jc w:val="center"/>
              <w:rPr>
                <w:rFonts w:ascii="宋体" w:hAnsi="宋体" w:cs="宋体"/>
                <w:color w:val="auto"/>
                <w:szCs w:val="21"/>
              </w:rPr>
            </w:pPr>
            <w:r>
              <w:rPr>
                <w:rFonts w:hint="eastAsia" w:ascii="宋体" w:hAnsi="宋体" w:cs="宋体"/>
                <w:color w:val="auto"/>
                <w:szCs w:val="21"/>
              </w:rPr>
              <w:t>产品来源</w:t>
            </w:r>
          </w:p>
        </w:tc>
        <w:tc>
          <w:tcPr>
            <w:tcW w:w="3017" w:type="pct"/>
            <w:vAlign w:val="center"/>
          </w:tcPr>
          <w:p w14:paraId="372D5009">
            <w:pPr>
              <w:spacing w:line="420" w:lineRule="exact"/>
              <w:rPr>
                <w:rFonts w:ascii="宋体" w:hAnsi="宋体" w:cs="宋体"/>
                <w:color w:val="auto"/>
                <w:szCs w:val="21"/>
              </w:rPr>
            </w:pPr>
            <w:r>
              <w:rPr>
                <w:rFonts w:hint="eastAsia" w:ascii="宋体" w:hAnsi="宋体" w:cs="宋体"/>
                <w:color w:val="auto"/>
                <w:szCs w:val="21"/>
              </w:rPr>
              <w:t>所投设备（核心产品）制造商（国产）或国内总代理（进口）直接投标的，计5分。其他情形计2分。</w:t>
            </w:r>
          </w:p>
        </w:tc>
        <w:tc>
          <w:tcPr>
            <w:tcW w:w="269" w:type="pct"/>
            <w:vAlign w:val="center"/>
          </w:tcPr>
          <w:p w14:paraId="606447AD">
            <w:pPr>
              <w:spacing w:line="420" w:lineRule="exact"/>
              <w:rPr>
                <w:rFonts w:ascii="宋体" w:hAnsi="宋体" w:cs="宋体"/>
                <w:color w:val="auto"/>
                <w:szCs w:val="21"/>
              </w:rPr>
            </w:pPr>
            <w:r>
              <w:rPr>
                <w:rFonts w:hint="eastAsia" w:ascii="宋体" w:hAnsi="宋体" w:cs="宋体"/>
                <w:color w:val="auto"/>
                <w:szCs w:val="21"/>
              </w:rPr>
              <w:t>5</w:t>
            </w:r>
          </w:p>
        </w:tc>
      </w:tr>
      <w:tr w14:paraId="02661F2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1" w:hRule="atLeast"/>
        </w:trPr>
        <w:tc>
          <w:tcPr>
            <w:tcW w:w="341" w:type="pct"/>
            <w:vMerge w:val="continue"/>
            <w:tcBorders>
              <w:right w:val="single" w:color="auto" w:sz="4" w:space="0"/>
            </w:tcBorders>
            <w:vAlign w:val="center"/>
          </w:tcPr>
          <w:p w14:paraId="6EC42530">
            <w:pPr>
              <w:adjustRightInd w:val="0"/>
              <w:snapToGrid w:val="0"/>
              <w:spacing w:line="420" w:lineRule="exact"/>
              <w:jc w:val="center"/>
              <w:rPr>
                <w:rFonts w:ascii="宋体" w:hAnsi="宋体" w:cs="宋体"/>
                <w:color w:val="auto"/>
                <w:szCs w:val="21"/>
              </w:rPr>
            </w:pPr>
          </w:p>
        </w:tc>
        <w:tc>
          <w:tcPr>
            <w:tcW w:w="717" w:type="pct"/>
            <w:vMerge w:val="continue"/>
            <w:tcBorders>
              <w:left w:val="single" w:color="auto" w:sz="4" w:space="0"/>
            </w:tcBorders>
            <w:vAlign w:val="center"/>
          </w:tcPr>
          <w:p w14:paraId="75D38784">
            <w:pPr>
              <w:adjustRightInd w:val="0"/>
              <w:snapToGrid w:val="0"/>
              <w:spacing w:line="420" w:lineRule="exact"/>
              <w:jc w:val="center"/>
              <w:rPr>
                <w:rFonts w:ascii="宋体" w:hAnsi="宋体" w:cs="宋体"/>
                <w:color w:val="auto"/>
                <w:szCs w:val="21"/>
              </w:rPr>
            </w:pPr>
          </w:p>
        </w:tc>
        <w:tc>
          <w:tcPr>
            <w:tcW w:w="654" w:type="pct"/>
            <w:vAlign w:val="center"/>
          </w:tcPr>
          <w:p w14:paraId="4F02C511">
            <w:pPr>
              <w:spacing w:line="420" w:lineRule="exact"/>
              <w:jc w:val="center"/>
              <w:rPr>
                <w:rFonts w:ascii="宋体" w:hAnsi="宋体" w:cs="宋体"/>
                <w:color w:val="auto"/>
                <w:szCs w:val="21"/>
              </w:rPr>
            </w:pPr>
            <w:r>
              <w:rPr>
                <w:rFonts w:hint="eastAsia" w:ascii="宋体" w:hAnsi="宋体" w:cs="宋体"/>
                <w:color w:val="auto"/>
                <w:szCs w:val="21"/>
              </w:rPr>
              <w:t>业绩</w:t>
            </w:r>
          </w:p>
        </w:tc>
        <w:tc>
          <w:tcPr>
            <w:tcW w:w="3017" w:type="pct"/>
            <w:vAlign w:val="center"/>
          </w:tcPr>
          <w:p w14:paraId="384F0F98">
            <w:pPr>
              <w:spacing w:line="420" w:lineRule="exact"/>
              <w:rPr>
                <w:rFonts w:ascii="宋体" w:hAnsi="宋体" w:cs="宋体"/>
                <w:color w:val="auto"/>
                <w:szCs w:val="21"/>
              </w:rPr>
            </w:pPr>
            <w:r>
              <w:rPr>
                <w:rFonts w:hint="eastAsia" w:ascii="宋体" w:hAnsi="宋体" w:cs="宋体"/>
                <w:color w:val="auto"/>
                <w:szCs w:val="21"/>
              </w:rPr>
              <w:t>本项目公告发布日前36个月内（以合同签订时间为准），投标人所投同型号设备（核心产品）具备终端业绩，每提供一份供货合同复印件计2分，满分10分。（备注：投标人所投同型号设备与同一客户签订多份供货合同仅算一份有效的供货合同，不重复计分）</w:t>
            </w:r>
          </w:p>
        </w:tc>
        <w:tc>
          <w:tcPr>
            <w:tcW w:w="269" w:type="pct"/>
            <w:vAlign w:val="center"/>
          </w:tcPr>
          <w:p w14:paraId="4C15FBB5">
            <w:pPr>
              <w:spacing w:line="420" w:lineRule="exact"/>
              <w:rPr>
                <w:rFonts w:ascii="宋体" w:hAnsi="宋体" w:cs="宋体"/>
                <w:color w:val="auto"/>
                <w:szCs w:val="21"/>
              </w:rPr>
            </w:pPr>
            <w:r>
              <w:rPr>
                <w:rFonts w:hint="eastAsia" w:ascii="宋体" w:hAnsi="宋体" w:cs="宋体"/>
                <w:color w:val="auto"/>
                <w:szCs w:val="21"/>
              </w:rPr>
              <w:t>10</w:t>
            </w:r>
          </w:p>
        </w:tc>
      </w:tr>
      <w:tr w14:paraId="000E19E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1" w:hRule="atLeast"/>
        </w:trPr>
        <w:tc>
          <w:tcPr>
            <w:tcW w:w="341" w:type="pct"/>
            <w:vMerge w:val="continue"/>
            <w:tcBorders>
              <w:right w:val="single" w:color="auto" w:sz="4" w:space="0"/>
            </w:tcBorders>
            <w:vAlign w:val="center"/>
          </w:tcPr>
          <w:p w14:paraId="22C5F130">
            <w:pPr>
              <w:adjustRightInd w:val="0"/>
              <w:snapToGrid w:val="0"/>
              <w:spacing w:line="420" w:lineRule="exact"/>
              <w:jc w:val="center"/>
              <w:rPr>
                <w:rFonts w:ascii="宋体" w:hAnsi="宋体" w:cs="宋体"/>
                <w:color w:val="auto"/>
                <w:szCs w:val="21"/>
              </w:rPr>
            </w:pPr>
          </w:p>
        </w:tc>
        <w:tc>
          <w:tcPr>
            <w:tcW w:w="717" w:type="pct"/>
            <w:vMerge w:val="continue"/>
            <w:tcBorders>
              <w:left w:val="single" w:color="auto" w:sz="4" w:space="0"/>
            </w:tcBorders>
            <w:vAlign w:val="center"/>
          </w:tcPr>
          <w:p w14:paraId="1EC28600">
            <w:pPr>
              <w:adjustRightInd w:val="0"/>
              <w:snapToGrid w:val="0"/>
              <w:spacing w:line="420" w:lineRule="exact"/>
              <w:jc w:val="center"/>
              <w:rPr>
                <w:rFonts w:ascii="宋体" w:hAnsi="宋体" w:cs="宋体"/>
                <w:color w:val="auto"/>
                <w:szCs w:val="21"/>
              </w:rPr>
            </w:pPr>
          </w:p>
        </w:tc>
        <w:tc>
          <w:tcPr>
            <w:tcW w:w="654" w:type="pct"/>
            <w:vAlign w:val="center"/>
          </w:tcPr>
          <w:p w14:paraId="279B6406">
            <w:pPr>
              <w:spacing w:line="420" w:lineRule="exact"/>
              <w:jc w:val="center"/>
              <w:rPr>
                <w:rFonts w:ascii="宋体" w:hAnsi="宋体" w:cs="宋体"/>
                <w:color w:val="auto"/>
                <w:szCs w:val="21"/>
              </w:rPr>
            </w:pPr>
            <w:r>
              <w:rPr>
                <w:rFonts w:hint="eastAsia" w:ascii="宋体" w:hAnsi="宋体" w:cs="宋体"/>
                <w:color w:val="auto"/>
                <w:szCs w:val="21"/>
              </w:rPr>
              <w:t>质保期</w:t>
            </w:r>
          </w:p>
        </w:tc>
        <w:tc>
          <w:tcPr>
            <w:tcW w:w="3017" w:type="pct"/>
            <w:vAlign w:val="center"/>
          </w:tcPr>
          <w:p w14:paraId="0F591299">
            <w:pPr>
              <w:spacing w:line="420" w:lineRule="exact"/>
              <w:rPr>
                <w:rFonts w:ascii="宋体" w:hAnsi="宋体" w:cs="宋体"/>
                <w:color w:val="auto"/>
                <w:szCs w:val="21"/>
              </w:rPr>
            </w:pPr>
            <w:r>
              <w:rPr>
                <w:rFonts w:hint="eastAsia" w:ascii="宋体" w:hAnsi="宋体" w:cs="宋体"/>
                <w:color w:val="auto"/>
                <w:szCs w:val="21"/>
              </w:rPr>
              <w:t>在满足招标文件要求前提下，所投</w:t>
            </w:r>
            <w:r>
              <w:rPr>
                <w:rFonts w:hint="eastAsia" w:ascii="宋体" w:hAnsi="宋体" w:cs="宋体"/>
                <w:color w:val="auto"/>
                <w:szCs w:val="21"/>
                <w:lang w:val="en-US" w:eastAsia="zh-CN"/>
              </w:rPr>
              <w:t>全部</w:t>
            </w:r>
            <w:r>
              <w:rPr>
                <w:rFonts w:hint="eastAsia" w:ascii="宋体" w:hAnsi="宋体" w:cs="宋体"/>
                <w:color w:val="auto"/>
                <w:szCs w:val="21"/>
              </w:rPr>
              <w:t>产品每延长一年投标设备生产厂家整机全保的计2.5分，最多计5分。投标响应文件中须提供相关承诺或投标人购买原厂保修的证明材料。</w:t>
            </w:r>
          </w:p>
        </w:tc>
        <w:tc>
          <w:tcPr>
            <w:tcW w:w="269" w:type="pct"/>
            <w:vAlign w:val="center"/>
          </w:tcPr>
          <w:p w14:paraId="672B37F2">
            <w:pPr>
              <w:spacing w:line="420" w:lineRule="exact"/>
              <w:jc w:val="center"/>
              <w:rPr>
                <w:rFonts w:ascii="宋体" w:hAnsi="宋体" w:cs="宋体"/>
                <w:color w:val="auto"/>
                <w:szCs w:val="21"/>
              </w:rPr>
            </w:pPr>
            <w:r>
              <w:rPr>
                <w:rFonts w:hint="eastAsia" w:ascii="宋体" w:hAnsi="宋体" w:cs="宋体"/>
                <w:color w:val="auto"/>
                <w:szCs w:val="21"/>
              </w:rPr>
              <w:t>5</w:t>
            </w:r>
          </w:p>
        </w:tc>
      </w:tr>
      <w:tr w14:paraId="1766B46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1" w:hRule="atLeast"/>
        </w:trPr>
        <w:tc>
          <w:tcPr>
            <w:tcW w:w="341" w:type="pct"/>
            <w:vMerge w:val="continue"/>
            <w:tcBorders>
              <w:right w:val="single" w:color="auto" w:sz="4" w:space="0"/>
            </w:tcBorders>
            <w:vAlign w:val="center"/>
          </w:tcPr>
          <w:p w14:paraId="380393D9">
            <w:pPr>
              <w:adjustRightInd w:val="0"/>
              <w:snapToGrid w:val="0"/>
              <w:spacing w:line="420" w:lineRule="exact"/>
              <w:jc w:val="center"/>
              <w:rPr>
                <w:rFonts w:ascii="宋体" w:hAnsi="宋体" w:cs="宋体"/>
                <w:color w:val="auto"/>
                <w:szCs w:val="21"/>
              </w:rPr>
            </w:pPr>
          </w:p>
        </w:tc>
        <w:tc>
          <w:tcPr>
            <w:tcW w:w="717" w:type="pct"/>
            <w:vMerge w:val="continue"/>
            <w:tcBorders>
              <w:left w:val="single" w:color="auto" w:sz="4" w:space="0"/>
            </w:tcBorders>
            <w:vAlign w:val="center"/>
          </w:tcPr>
          <w:p w14:paraId="7C4BADC4">
            <w:pPr>
              <w:adjustRightInd w:val="0"/>
              <w:snapToGrid w:val="0"/>
              <w:spacing w:line="420" w:lineRule="exact"/>
              <w:jc w:val="center"/>
              <w:rPr>
                <w:rFonts w:ascii="宋体" w:hAnsi="宋体" w:cs="宋体"/>
                <w:color w:val="auto"/>
                <w:szCs w:val="21"/>
              </w:rPr>
            </w:pPr>
          </w:p>
        </w:tc>
        <w:tc>
          <w:tcPr>
            <w:tcW w:w="654" w:type="pct"/>
            <w:vAlign w:val="center"/>
          </w:tcPr>
          <w:p w14:paraId="7E56400B">
            <w:pPr>
              <w:spacing w:line="420" w:lineRule="exact"/>
              <w:jc w:val="center"/>
              <w:rPr>
                <w:rFonts w:ascii="宋体" w:hAnsi="宋体" w:cs="宋体"/>
                <w:color w:val="auto"/>
                <w:szCs w:val="21"/>
              </w:rPr>
            </w:pPr>
            <w:r>
              <w:rPr>
                <w:rFonts w:hint="eastAsia" w:ascii="宋体" w:hAnsi="宋体" w:cs="宋体"/>
                <w:color w:val="auto"/>
                <w:szCs w:val="21"/>
              </w:rPr>
              <w:t>服务</w:t>
            </w:r>
          </w:p>
          <w:p w14:paraId="4DE3F256">
            <w:pPr>
              <w:spacing w:line="420" w:lineRule="exact"/>
              <w:jc w:val="center"/>
              <w:rPr>
                <w:rFonts w:ascii="宋体" w:hAnsi="宋体" w:cs="宋体"/>
                <w:color w:val="auto"/>
                <w:szCs w:val="21"/>
              </w:rPr>
            </w:pPr>
            <w:r>
              <w:rPr>
                <w:rFonts w:hint="eastAsia" w:ascii="宋体" w:hAnsi="宋体" w:cs="宋体"/>
                <w:color w:val="auto"/>
                <w:szCs w:val="21"/>
              </w:rPr>
              <w:t>方案</w:t>
            </w:r>
          </w:p>
        </w:tc>
        <w:tc>
          <w:tcPr>
            <w:tcW w:w="3017" w:type="pct"/>
            <w:vAlign w:val="center"/>
          </w:tcPr>
          <w:p w14:paraId="3CD4AF53">
            <w:pPr>
              <w:spacing w:line="420" w:lineRule="exact"/>
              <w:rPr>
                <w:rFonts w:ascii="宋体" w:hAnsi="宋体" w:cs="宋体"/>
                <w:color w:val="auto"/>
                <w:szCs w:val="21"/>
              </w:rPr>
            </w:pPr>
            <w:r>
              <w:rPr>
                <w:rFonts w:hint="eastAsia" w:ascii="宋体" w:hAnsi="宋体" w:cs="宋体"/>
                <w:color w:val="auto"/>
                <w:szCs w:val="21"/>
              </w:rPr>
              <w:t>配置及售后服务方案：评标委员会对投标人提供的所投产品的售后服务方案，包括但不仅限于①设备（含第三方产品）配置清单；②售后服务计划；③售后服务人员配备及培训方案；④应急预案；⑤配送及安装等内容进行评价。</w:t>
            </w:r>
          </w:p>
          <w:p w14:paraId="4656D413">
            <w:pPr>
              <w:spacing w:line="420" w:lineRule="exact"/>
              <w:rPr>
                <w:rFonts w:ascii="宋体" w:hAnsi="宋体" w:cs="宋体"/>
                <w:color w:val="auto"/>
                <w:szCs w:val="21"/>
              </w:rPr>
            </w:pPr>
            <w:r>
              <w:rPr>
                <w:rFonts w:hint="eastAsia" w:ascii="宋体" w:hAnsi="宋体" w:cs="宋体"/>
                <w:color w:val="auto"/>
                <w:szCs w:val="21"/>
              </w:rPr>
              <w:t>完全满足本项目采购需求的，计15分。每有一处缺漏项的，扣3分，每有一处缺陷的，扣2分，扣完为止。</w:t>
            </w:r>
          </w:p>
          <w:p w14:paraId="0C12BD57">
            <w:pPr>
              <w:spacing w:line="420" w:lineRule="exact"/>
              <w:jc w:val="left"/>
              <w:rPr>
                <w:rFonts w:ascii="宋体" w:hAnsi="宋体" w:cs="宋体"/>
                <w:color w:val="auto"/>
                <w:szCs w:val="21"/>
              </w:rPr>
            </w:pPr>
            <w:r>
              <w:rPr>
                <w:rFonts w:hint="eastAsia" w:ascii="宋体" w:hAnsi="宋体" w:cs="宋体"/>
                <w:color w:val="auto"/>
                <w:szCs w:val="21"/>
              </w:rPr>
              <w:t>（缺陷是指：非专门针对本项目或不适用项目特性的情形、内容不完整或缺少关键节点、套用其他项目方案，内容前后矛盾，规范及标准错误，不利于项目实施，不可能实现的情形等任意一种情形）。</w:t>
            </w:r>
          </w:p>
        </w:tc>
        <w:tc>
          <w:tcPr>
            <w:tcW w:w="269" w:type="pct"/>
            <w:vAlign w:val="center"/>
          </w:tcPr>
          <w:p w14:paraId="45F65D51">
            <w:pPr>
              <w:spacing w:line="420" w:lineRule="exact"/>
              <w:jc w:val="center"/>
              <w:rPr>
                <w:rFonts w:ascii="宋体" w:hAnsi="宋体" w:cs="宋体"/>
                <w:color w:val="auto"/>
              </w:rPr>
            </w:pPr>
            <w:r>
              <w:rPr>
                <w:rFonts w:hint="eastAsia" w:ascii="宋体" w:hAnsi="宋体" w:cs="宋体"/>
                <w:color w:val="auto"/>
                <w:szCs w:val="21"/>
              </w:rPr>
              <w:t>15</w:t>
            </w:r>
          </w:p>
        </w:tc>
      </w:tr>
      <w:tr w14:paraId="1F2DAAA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4" w:hRule="atLeast"/>
        </w:trPr>
        <w:tc>
          <w:tcPr>
            <w:tcW w:w="341" w:type="pct"/>
            <w:tcBorders>
              <w:right w:val="single" w:color="auto" w:sz="4" w:space="0"/>
            </w:tcBorders>
            <w:vAlign w:val="center"/>
          </w:tcPr>
          <w:p w14:paraId="5A24CF27">
            <w:pPr>
              <w:adjustRightInd w:val="0"/>
              <w:snapToGrid w:val="0"/>
              <w:spacing w:line="420" w:lineRule="exact"/>
              <w:jc w:val="center"/>
              <w:rPr>
                <w:rFonts w:ascii="宋体" w:hAnsi="宋体" w:cs="宋体"/>
                <w:color w:val="auto"/>
                <w:szCs w:val="21"/>
              </w:rPr>
            </w:pPr>
            <w:r>
              <w:rPr>
                <w:rFonts w:hint="eastAsia" w:ascii="宋体" w:hAnsi="宋体" w:cs="宋体"/>
                <w:color w:val="auto"/>
                <w:szCs w:val="21"/>
              </w:rPr>
              <w:t>∑</w:t>
            </w:r>
          </w:p>
        </w:tc>
        <w:tc>
          <w:tcPr>
            <w:tcW w:w="4658" w:type="pct"/>
            <w:gridSpan w:val="4"/>
            <w:tcBorders>
              <w:left w:val="single" w:color="auto" w:sz="4" w:space="0"/>
            </w:tcBorders>
            <w:vAlign w:val="center"/>
          </w:tcPr>
          <w:p w14:paraId="512BFA49">
            <w:pPr>
              <w:adjustRightInd w:val="0"/>
              <w:snapToGrid w:val="0"/>
              <w:spacing w:line="420" w:lineRule="exact"/>
              <w:rPr>
                <w:rFonts w:ascii="宋体" w:hAnsi="宋体" w:cs="宋体"/>
                <w:color w:val="auto"/>
                <w:szCs w:val="21"/>
              </w:rPr>
            </w:pPr>
            <w:r>
              <w:rPr>
                <w:rFonts w:hint="eastAsia" w:ascii="宋体" w:hAnsi="宋体" w:cs="宋体"/>
                <w:color w:val="auto"/>
                <w:szCs w:val="21"/>
              </w:rPr>
              <w:t>A1+A2+A3=100分</w:t>
            </w:r>
          </w:p>
        </w:tc>
      </w:tr>
    </w:tbl>
    <w:p w14:paraId="35F94E65">
      <w:pPr>
        <w:widowControl/>
        <w:tabs>
          <w:tab w:val="left" w:pos="1616"/>
        </w:tabs>
        <w:adjustRightInd w:val="0"/>
        <w:snapToGrid w:val="0"/>
        <w:spacing w:before="120" w:beforeLines="50" w:line="360" w:lineRule="auto"/>
        <w:ind w:firstLine="420" w:firstLineChars="200"/>
        <w:jc w:val="left"/>
        <w:rPr>
          <w:rFonts w:asciiTheme="minorEastAsia" w:hAnsiTheme="minorEastAsia" w:eastAsiaTheme="minorEastAsia"/>
          <w:bCs/>
          <w:color w:val="auto"/>
          <w:szCs w:val="21"/>
        </w:rPr>
      </w:pPr>
      <w:r>
        <w:rPr>
          <w:rFonts w:hint="eastAsia" w:asciiTheme="minorEastAsia" w:hAnsiTheme="minorEastAsia" w:eastAsiaTheme="minorEastAsia"/>
          <w:bCs/>
          <w:color w:val="auto"/>
          <w:szCs w:val="21"/>
        </w:rPr>
        <w:t>1、投标人须在投标文件中提供上述评标因素和标准有关的证照、证明资料等复印件并加盖投标人公章，未提供证照、证明资料、文本和图片模糊无法辨识的均不予计分。</w:t>
      </w:r>
    </w:p>
    <w:p w14:paraId="38413E3A">
      <w:pPr>
        <w:adjustRightInd w:val="0"/>
        <w:snapToGrid w:val="0"/>
        <w:spacing w:before="120" w:beforeLines="50"/>
        <w:ind w:firstLine="420" w:firstLineChars="200"/>
        <w:jc w:val="left"/>
        <w:rPr>
          <w:rFonts w:asciiTheme="minorEastAsia" w:hAnsiTheme="minorEastAsia" w:eastAsiaTheme="minorEastAsia"/>
          <w:bCs/>
          <w:color w:val="auto"/>
          <w:szCs w:val="21"/>
        </w:rPr>
      </w:pPr>
      <w:r>
        <w:rPr>
          <w:rFonts w:hint="eastAsia" w:asciiTheme="minorEastAsia" w:hAnsiTheme="minorEastAsia" w:eastAsiaTheme="minorEastAsia"/>
          <w:bCs/>
          <w:color w:val="auto"/>
          <w:szCs w:val="21"/>
        </w:rPr>
        <w:t>2、评标时，评标委员会各成员应当独立对每个投标人的投标文件进行评价、评分，然后汇总每个投标人每项评分因素的得分。</w:t>
      </w:r>
    </w:p>
    <w:p w14:paraId="39FD0020">
      <w:pPr>
        <w:adjustRightInd w:val="0"/>
        <w:snapToGrid w:val="0"/>
        <w:spacing w:before="120" w:beforeLines="50"/>
        <w:ind w:firstLine="420" w:firstLineChars="200"/>
        <w:jc w:val="left"/>
        <w:rPr>
          <w:rFonts w:asciiTheme="minorEastAsia" w:hAnsiTheme="minorEastAsia" w:eastAsiaTheme="minorEastAsia"/>
          <w:bCs/>
          <w:color w:val="auto"/>
          <w:szCs w:val="21"/>
        </w:rPr>
      </w:pPr>
      <w:r>
        <w:rPr>
          <w:rFonts w:hint="eastAsia" w:asciiTheme="minorEastAsia" w:hAnsiTheme="minorEastAsia" w:eastAsiaTheme="minorEastAsia"/>
          <w:bCs/>
          <w:color w:val="auto"/>
          <w:szCs w:val="21"/>
        </w:rPr>
        <w:t>3、综合得分为评标委员会成员个人评审计分的算术平均值。</w:t>
      </w:r>
    </w:p>
    <w:p w14:paraId="39FAA949">
      <w:pPr>
        <w:adjustRightInd w:val="0"/>
        <w:snapToGrid w:val="0"/>
        <w:spacing w:before="120" w:beforeLines="50"/>
        <w:ind w:firstLine="420" w:firstLineChars="200"/>
        <w:jc w:val="left"/>
        <w:rPr>
          <w:rFonts w:asciiTheme="minorEastAsia" w:hAnsiTheme="minorEastAsia" w:eastAsiaTheme="minorEastAsia"/>
          <w:bCs/>
          <w:color w:val="auto"/>
          <w:szCs w:val="21"/>
        </w:rPr>
      </w:pPr>
      <w:r>
        <w:rPr>
          <w:rFonts w:hint="eastAsia" w:asciiTheme="minorEastAsia" w:hAnsiTheme="minorEastAsia" w:eastAsiaTheme="minorEastAsia"/>
          <w:bCs/>
          <w:color w:val="auto"/>
          <w:szCs w:val="21"/>
        </w:rPr>
        <w:t>4、综合得分计算保留2位小数，第3位小数四舍五入。</w:t>
      </w:r>
    </w:p>
    <w:p w14:paraId="603D314E">
      <w:pPr>
        <w:adjustRightInd w:val="0"/>
        <w:snapToGrid w:val="0"/>
        <w:spacing w:before="120" w:beforeLines="50"/>
        <w:ind w:firstLine="420" w:firstLineChars="200"/>
        <w:jc w:val="left"/>
        <w:rPr>
          <w:rFonts w:asciiTheme="minorEastAsia" w:hAnsiTheme="minorEastAsia" w:eastAsiaTheme="minorEastAsia"/>
          <w:bCs/>
          <w:color w:val="auto"/>
          <w:szCs w:val="21"/>
        </w:rPr>
      </w:pPr>
      <w:r>
        <w:rPr>
          <w:rFonts w:hint="eastAsia" w:asciiTheme="minorEastAsia" w:hAnsiTheme="minorEastAsia" w:eastAsiaTheme="minorEastAsia"/>
          <w:bCs/>
          <w:color w:val="auto"/>
          <w:szCs w:val="21"/>
        </w:rPr>
        <w:t>5、如出现评委主观分完全一致的情况，评标专家需提供书面说明。</w:t>
      </w:r>
    </w:p>
    <w:p w14:paraId="26996ABC">
      <w:pPr>
        <w:widowControl/>
        <w:jc w:val="left"/>
        <w:rPr>
          <w:rFonts w:ascii="黑体" w:hAnsi="华文中宋" w:eastAsia="黑体"/>
          <w:color w:val="auto"/>
          <w:sz w:val="28"/>
          <w:szCs w:val="28"/>
        </w:rPr>
      </w:pPr>
      <w:r>
        <w:rPr>
          <w:rFonts w:ascii="黑体" w:hAnsi="华文中宋" w:eastAsia="黑体"/>
          <w:color w:val="auto"/>
          <w:sz w:val="28"/>
          <w:szCs w:val="28"/>
        </w:rPr>
        <w:br w:type="page"/>
      </w:r>
    </w:p>
    <w:p w14:paraId="66A06943">
      <w:pPr>
        <w:pStyle w:val="2"/>
        <w:keepNext w:val="0"/>
        <w:adjustRightInd w:val="0"/>
        <w:snapToGrid w:val="0"/>
        <w:spacing w:before="120" w:beforeLines="50" w:line="360" w:lineRule="auto"/>
        <w:rPr>
          <w:rFonts w:ascii="黑体" w:hAnsi="华文中宋" w:eastAsia="黑体"/>
          <w:color w:val="auto"/>
          <w:sz w:val="32"/>
          <w:szCs w:val="32"/>
        </w:rPr>
      </w:pPr>
      <w:bookmarkStart w:id="152" w:name="_Toc14981"/>
      <w:r>
        <w:rPr>
          <w:rFonts w:hint="eastAsia" w:ascii="黑体" w:hAnsi="华文中宋" w:eastAsia="黑体"/>
          <w:color w:val="auto"/>
          <w:sz w:val="32"/>
          <w:szCs w:val="32"/>
        </w:rPr>
        <w:t>第五章 采购需求</w:t>
      </w:r>
      <w:bookmarkEnd w:id="152"/>
    </w:p>
    <w:p w14:paraId="32F32DAC">
      <w:pPr>
        <w:pStyle w:val="3"/>
        <w:adjustRightInd w:val="0"/>
        <w:snapToGrid w:val="0"/>
        <w:spacing w:before="120" w:beforeLines="50"/>
        <w:jc w:val="center"/>
        <w:rPr>
          <w:rFonts w:hint="eastAsia" w:ascii="黑体" w:hAnsi="黑体" w:eastAsia="黑体"/>
          <w:color w:val="auto"/>
          <w:sz w:val="28"/>
          <w:szCs w:val="28"/>
        </w:rPr>
      </w:pPr>
      <w:bookmarkStart w:id="153" w:name="_Toc30984"/>
      <w:r>
        <w:rPr>
          <w:rFonts w:hint="eastAsia" w:ascii="黑体" w:hAnsi="黑体" w:eastAsia="黑体"/>
          <w:color w:val="auto"/>
          <w:sz w:val="28"/>
          <w:szCs w:val="28"/>
        </w:rPr>
        <w:t>第一节 采购清单一览表</w:t>
      </w:r>
      <w:bookmarkEnd w:id="153"/>
    </w:p>
    <w:tbl>
      <w:tblPr>
        <w:tblStyle w:val="41"/>
        <w:tblW w:w="9577" w:type="dxa"/>
        <w:tblInd w:w="0" w:type="dxa"/>
        <w:tblLayout w:type="fixed"/>
        <w:tblCellMar>
          <w:top w:w="0" w:type="dxa"/>
          <w:left w:w="108" w:type="dxa"/>
          <w:bottom w:w="0" w:type="dxa"/>
          <w:right w:w="108" w:type="dxa"/>
        </w:tblCellMar>
      </w:tblPr>
      <w:tblGrid>
        <w:gridCol w:w="465"/>
        <w:gridCol w:w="726"/>
        <w:gridCol w:w="1156"/>
        <w:gridCol w:w="1840"/>
        <w:gridCol w:w="1200"/>
        <w:gridCol w:w="584"/>
        <w:gridCol w:w="988"/>
        <w:gridCol w:w="1012"/>
        <w:gridCol w:w="803"/>
        <w:gridCol w:w="803"/>
      </w:tblGrid>
      <w:tr w14:paraId="7E78B3B9">
        <w:tblPrEx>
          <w:tblCellMar>
            <w:top w:w="0" w:type="dxa"/>
            <w:left w:w="108" w:type="dxa"/>
            <w:bottom w:w="0" w:type="dxa"/>
            <w:right w:w="108" w:type="dxa"/>
          </w:tblCellMar>
        </w:tblPrEx>
        <w:tc>
          <w:tcPr>
            <w:tcW w:w="4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7C04B2">
            <w:pPr>
              <w:widowControl/>
              <w:wordWrap w:val="0"/>
              <w:topLinePunct/>
              <w:jc w:val="center"/>
              <w:textAlignment w:val="center"/>
              <w:rPr>
                <w:rFonts w:ascii="宋体" w:hAnsi="宋体" w:cs="宋体"/>
                <w:color w:val="auto"/>
                <w:szCs w:val="21"/>
              </w:rPr>
            </w:pPr>
            <w:r>
              <w:rPr>
                <w:rFonts w:hint="eastAsia" w:ascii="宋体" w:hAnsi="宋体" w:cs="宋体"/>
                <w:color w:val="auto"/>
                <w:kern w:val="0"/>
                <w:szCs w:val="21"/>
                <w:lang w:bidi="ar"/>
              </w:rPr>
              <w:t>包号</w:t>
            </w:r>
          </w:p>
        </w:tc>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5E73E6">
            <w:pPr>
              <w:widowControl/>
              <w:wordWrap w:val="0"/>
              <w:topLinePunct/>
              <w:jc w:val="center"/>
              <w:textAlignment w:val="center"/>
              <w:rPr>
                <w:rFonts w:ascii="宋体" w:hAnsi="宋体" w:cs="宋体"/>
                <w:color w:val="auto"/>
                <w:szCs w:val="21"/>
              </w:rPr>
            </w:pPr>
            <w:r>
              <w:rPr>
                <w:rFonts w:hint="eastAsia" w:ascii="宋体" w:hAnsi="宋体" w:cs="宋体"/>
                <w:color w:val="auto"/>
                <w:kern w:val="0"/>
                <w:szCs w:val="21"/>
                <w:lang w:bidi="ar"/>
              </w:rPr>
              <w:t>序号</w:t>
            </w:r>
          </w:p>
        </w:tc>
        <w:tc>
          <w:tcPr>
            <w:tcW w:w="11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554FC">
            <w:pPr>
              <w:widowControl/>
              <w:wordWrap w:val="0"/>
              <w:topLinePunct/>
              <w:jc w:val="center"/>
              <w:textAlignment w:val="center"/>
              <w:rPr>
                <w:rFonts w:ascii="宋体" w:hAnsi="宋体" w:cs="宋体"/>
                <w:color w:val="auto"/>
                <w:szCs w:val="21"/>
              </w:rPr>
            </w:pPr>
            <w:r>
              <w:rPr>
                <w:rFonts w:hint="eastAsia" w:ascii="宋体" w:hAnsi="宋体" w:cs="宋体"/>
                <w:color w:val="auto"/>
                <w:kern w:val="0"/>
                <w:szCs w:val="21"/>
                <w:lang w:bidi="ar"/>
              </w:rPr>
              <w:t>申请科室</w:t>
            </w:r>
          </w:p>
        </w:tc>
        <w:tc>
          <w:tcPr>
            <w:tcW w:w="1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34115">
            <w:pPr>
              <w:widowControl/>
              <w:wordWrap w:val="0"/>
              <w:topLinePunct/>
              <w:jc w:val="center"/>
              <w:textAlignment w:val="center"/>
              <w:rPr>
                <w:rFonts w:ascii="宋体" w:hAnsi="宋体" w:cs="宋体"/>
                <w:color w:val="auto"/>
                <w:szCs w:val="21"/>
              </w:rPr>
            </w:pPr>
            <w:r>
              <w:rPr>
                <w:rFonts w:hint="eastAsia" w:ascii="宋体" w:hAnsi="宋体" w:cs="宋体"/>
                <w:color w:val="auto"/>
                <w:kern w:val="0"/>
                <w:szCs w:val="21"/>
                <w:lang w:bidi="ar"/>
              </w:rPr>
              <w:t>仪器名称</w:t>
            </w:r>
          </w:p>
        </w:tc>
        <w:tc>
          <w:tcPr>
            <w:tcW w:w="1200"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14:paraId="5DD407DE">
            <w:pPr>
              <w:widowControl/>
              <w:wordWrap w:val="0"/>
              <w:topLinePunct/>
              <w:jc w:val="center"/>
              <w:textAlignment w:val="center"/>
              <w:rPr>
                <w:rFonts w:ascii="宋体" w:hAnsi="宋体" w:cs="宋体"/>
                <w:color w:val="auto"/>
                <w:szCs w:val="21"/>
              </w:rPr>
            </w:pPr>
            <w:r>
              <w:rPr>
                <w:rFonts w:hint="eastAsia" w:ascii="宋体" w:hAnsi="宋体" w:cs="宋体"/>
                <w:color w:val="auto"/>
                <w:kern w:val="0"/>
                <w:szCs w:val="21"/>
                <w:lang w:bidi="ar"/>
              </w:rPr>
              <w:t>是否需要专用耗材或试剂</w:t>
            </w:r>
          </w:p>
        </w:tc>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9BAD1F">
            <w:pPr>
              <w:widowControl/>
              <w:wordWrap w:val="0"/>
              <w:topLinePunct/>
              <w:jc w:val="center"/>
              <w:textAlignment w:val="center"/>
              <w:rPr>
                <w:rFonts w:ascii="宋体" w:hAnsi="宋体" w:cs="宋体"/>
                <w:color w:val="auto"/>
                <w:szCs w:val="21"/>
              </w:rPr>
            </w:pPr>
            <w:r>
              <w:rPr>
                <w:rFonts w:hint="eastAsia" w:ascii="宋体" w:hAnsi="宋体" w:cs="宋体"/>
                <w:color w:val="auto"/>
                <w:kern w:val="0"/>
                <w:szCs w:val="21"/>
                <w:lang w:bidi="ar"/>
              </w:rPr>
              <w:t>数量</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44DA8">
            <w:pPr>
              <w:widowControl/>
              <w:wordWrap w:val="0"/>
              <w:topLinePunct/>
              <w:jc w:val="center"/>
              <w:textAlignment w:val="center"/>
              <w:rPr>
                <w:rFonts w:ascii="宋体" w:hAnsi="宋体" w:cs="宋体"/>
                <w:color w:val="auto"/>
                <w:kern w:val="0"/>
                <w:szCs w:val="21"/>
                <w:lang w:bidi="ar"/>
              </w:rPr>
            </w:pPr>
            <w:r>
              <w:rPr>
                <w:rFonts w:hint="eastAsia" w:ascii="宋体" w:hAnsi="宋体" w:cs="宋体"/>
                <w:color w:val="auto"/>
                <w:kern w:val="0"/>
                <w:szCs w:val="21"/>
                <w:lang w:bidi="ar"/>
              </w:rPr>
              <w:t>单价</w:t>
            </w:r>
          </w:p>
          <w:p w14:paraId="161553A4">
            <w:pPr>
              <w:widowControl/>
              <w:wordWrap w:val="0"/>
              <w:topLinePunct/>
              <w:jc w:val="center"/>
              <w:textAlignment w:val="center"/>
              <w:rPr>
                <w:rFonts w:ascii="宋体" w:hAnsi="宋体" w:cs="宋体"/>
                <w:color w:val="auto"/>
                <w:szCs w:val="21"/>
              </w:rPr>
            </w:pPr>
            <w:r>
              <w:rPr>
                <w:rFonts w:hint="eastAsia" w:ascii="宋体" w:hAnsi="宋体" w:cs="宋体"/>
                <w:color w:val="auto"/>
                <w:kern w:val="0"/>
                <w:szCs w:val="21"/>
                <w:lang w:bidi="ar"/>
              </w:rPr>
              <w:t>（万元）</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57441">
            <w:pPr>
              <w:widowControl/>
              <w:wordWrap w:val="0"/>
              <w:topLinePunct/>
              <w:jc w:val="center"/>
              <w:textAlignment w:val="center"/>
              <w:rPr>
                <w:rFonts w:ascii="宋体" w:hAnsi="宋体" w:cs="宋体"/>
                <w:color w:val="auto"/>
                <w:kern w:val="0"/>
                <w:szCs w:val="21"/>
                <w:lang w:bidi="ar"/>
              </w:rPr>
            </w:pPr>
            <w:r>
              <w:rPr>
                <w:rFonts w:hint="eastAsia" w:ascii="宋体" w:hAnsi="宋体" w:cs="宋体"/>
                <w:color w:val="auto"/>
                <w:kern w:val="0"/>
                <w:szCs w:val="21"/>
                <w:lang w:bidi="ar"/>
              </w:rPr>
              <w:t>预算总金额</w:t>
            </w:r>
          </w:p>
          <w:p w14:paraId="5F54A15B">
            <w:pPr>
              <w:widowControl/>
              <w:wordWrap w:val="0"/>
              <w:topLinePunct/>
              <w:jc w:val="center"/>
              <w:textAlignment w:val="center"/>
              <w:rPr>
                <w:rFonts w:ascii="宋体" w:hAnsi="宋体" w:cs="宋体"/>
                <w:color w:val="auto"/>
                <w:szCs w:val="21"/>
              </w:rPr>
            </w:pPr>
            <w:r>
              <w:rPr>
                <w:rFonts w:hint="eastAsia" w:ascii="宋体" w:hAnsi="宋体" w:cs="宋体"/>
                <w:color w:val="auto"/>
                <w:kern w:val="0"/>
                <w:szCs w:val="21"/>
                <w:lang w:bidi="ar"/>
              </w:rPr>
              <w:t>（万元）</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4BFE6">
            <w:pPr>
              <w:widowControl/>
              <w:wordWrap w:val="0"/>
              <w:topLinePunct/>
              <w:jc w:val="center"/>
              <w:textAlignment w:val="center"/>
              <w:rPr>
                <w:rFonts w:ascii="宋体" w:hAnsi="宋体" w:cs="宋体"/>
                <w:color w:val="auto"/>
                <w:szCs w:val="21"/>
              </w:rPr>
            </w:pPr>
            <w:r>
              <w:rPr>
                <w:rFonts w:hint="eastAsia" w:ascii="宋体" w:hAnsi="宋体" w:cs="宋体"/>
                <w:color w:val="auto"/>
                <w:kern w:val="0"/>
                <w:szCs w:val="21"/>
                <w:lang w:bidi="ar"/>
              </w:rPr>
              <w:t>产地</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2167D">
            <w:pPr>
              <w:widowControl/>
              <w:wordWrap w:val="0"/>
              <w:topLinePunct/>
              <w:jc w:val="center"/>
              <w:textAlignment w:val="center"/>
              <w:rPr>
                <w:rFonts w:hint="eastAsia" w:ascii="宋体" w:hAnsi="宋体" w:eastAsia="宋体" w:cs="宋体"/>
                <w:color w:val="auto"/>
                <w:kern w:val="0"/>
                <w:sz w:val="21"/>
                <w:szCs w:val="21"/>
                <w:lang w:val="en-US" w:eastAsia="zh-CN" w:bidi="ar"/>
              </w:rPr>
            </w:pPr>
            <w:r>
              <w:rPr>
                <w:rFonts w:hint="eastAsia" w:ascii="宋体" w:hAnsi="宋体" w:cs="宋体"/>
                <w:color w:val="auto"/>
                <w:kern w:val="0"/>
                <w:szCs w:val="21"/>
                <w:lang w:bidi="ar"/>
              </w:rPr>
              <w:t>是否核心产品</w:t>
            </w:r>
          </w:p>
        </w:tc>
      </w:tr>
      <w:tr w14:paraId="6DDFF112">
        <w:tblPrEx>
          <w:tblCellMar>
            <w:top w:w="0" w:type="dxa"/>
            <w:left w:w="108" w:type="dxa"/>
            <w:bottom w:w="0" w:type="dxa"/>
            <w:right w:w="108" w:type="dxa"/>
          </w:tblCellMar>
        </w:tblPrEx>
        <w:tc>
          <w:tcPr>
            <w:tcW w:w="4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279F47">
            <w:pPr>
              <w:widowControl/>
              <w:jc w:val="center"/>
              <w:textAlignment w:val="center"/>
              <w:rPr>
                <w:rFonts w:ascii="宋体" w:hAnsi="宋体" w:cs="宋体"/>
                <w:color w:val="auto"/>
                <w:szCs w:val="21"/>
              </w:rPr>
            </w:pPr>
            <w:r>
              <w:rPr>
                <w:rFonts w:hint="eastAsia" w:ascii="宋体" w:hAnsi="宋体" w:cs="宋体"/>
                <w:color w:val="auto"/>
                <w:kern w:val="0"/>
                <w:szCs w:val="21"/>
                <w:lang w:bidi="ar"/>
              </w:rPr>
              <w:t>1</w:t>
            </w:r>
          </w:p>
        </w:tc>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D61228">
            <w:pPr>
              <w:widowControl/>
              <w:wordWrap w:val="0"/>
              <w:topLinePunct/>
              <w:jc w:val="center"/>
              <w:textAlignment w:val="center"/>
              <w:rPr>
                <w:rFonts w:ascii="宋体" w:hAnsi="宋体" w:cs="宋体"/>
                <w:color w:val="auto"/>
                <w:szCs w:val="21"/>
              </w:rPr>
            </w:pPr>
            <w:r>
              <w:rPr>
                <w:rFonts w:hint="eastAsia" w:ascii="宋体" w:hAnsi="宋体" w:cs="宋体"/>
                <w:color w:val="auto"/>
                <w:kern w:val="0"/>
                <w:szCs w:val="21"/>
                <w:lang w:bidi="ar"/>
              </w:rPr>
              <w:t>1-1</w:t>
            </w:r>
          </w:p>
        </w:tc>
        <w:tc>
          <w:tcPr>
            <w:tcW w:w="11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3D85C">
            <w:pPr>
              <w:widowControl/>
              <w:jc w:val="center"/>
              <w:textAlignment w:val="center"/>
              <w:rPr>
                <w:rFonts w:ascii="宋体" w:hAnsi="宋体" w:cs="宋体"/>
                <w:color w:val="auto"/>
                <w:szCs w:val="21"/>
              </w:rPr>
            </w:pPr>
            <w:r>
              <w:rPr>
                <w:rFonts w:hint="eastAsia" w:ascii="宋体" w:hAnsi="宋体" w:cs="宋体"/>
                <w:color w:val="auto"/>
                <w:kern w:val="0"/>
                <w:szCs w:val="21"/>
                <w:lang w:bidi="ar"/>
              </w:rPr>
              <w:t>皮肤科</w:t>
            </w:r>
          </w:p>
        </w:tc>
        <w:tc>
          <w:tcPr>
            <w:tcW w:w="1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9DAC2">
            <w:pPr>
              <w:widowControl/>
              <w:jc w:val="center"/>
              <w:textAlignment w:val="center"/>
              <w:rPr>
                <w:rFonts w:ascii="宋体" w:hAnsi="宋体" w:cs="宋体"/>
                <w:color w:val="auto"/>
                <w:szCs w:val="21"/>
              </w:rPr>
            </w:pPr>
            <w:r>
              <w:rPr>
                <w:rFonts w:hint="eastAsia" w:ascii="宋体" w:hAnsi="宋体" w:cs="宋体"/>
                <w:color w:val="auto"/>
                <w:kern w:val="0"/>
                <w:szCs w:val="21"/>
                <w:lang w:bidi="ar"/>
              </w:rPr>
              <w:t>CGF医用离心机</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tcMar>
              <w:top w:w="0" w:type="dxa"/>
              <w:left w:w="108" w:type="dxa"/>
              <w:bottom w:w="0" w:type="dxa"/>
              <w:right w:w="108" w:type="dxa"/>
            </w:tcMar>
            <w:vAlign w:val="center"/>
          </w:tcPr>
          <w:p w14:paraId="61AA7C25">
            <w:pPr>
              <w:widowControl/>
              <w:jc w:val="center"/>
              <w:textAlignment w:val="center"/>
              <w:rPr>
                <w:rFonts w:ascii="宋体" w:hAnsi="宋体" w:cs="宋体"/>
                <w:color w:val="auto"/>
                <w:szCs w:val="21"/>
              </w:rPr>
            </w:pPr>
            <w:r>
              <w:rPr>
                <w:rFonts w:hint="eastAsia" w:ascii="宋体" w:hAnsi="宋体" w:cs="宋体"/>
                <w:color w:val="auto"/>
                <w:szCs w:val="21"/>
              </w:rPr>
              <w:t>否</w:t>
            </w:r>
          </w:p>
        </w:tc>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61BF1A">
            <w:pPr>
              <w:widowControl/>
              <w:jc w:val="center"/>
              <w:textAlignment w:val="center"/>
              <w:rPr>
                <w:rFonts w:ascii="宋体" w:hAnsi="宋体" w:cs="宋体"/>
                <w:b/>
                <w:bCs/>
                <w:color w:val="auto"/>
                <w:szCs w:val="21"/>
              </w:rPr>
            </w:pPr>
            <w:r>
              <w:rPr>
                <w:rFonts w:hint="eastAsia" w:ascii="宋体" w:hAnsi="宋体" w:cs="宋体"/>
                <w:color w:val="auto"/>
                <w:kern w:val="0"/>
                <w:szCs w:val="21"/>
                <w:lang w:bidi="ar"/>
              </w:rPr>
              <w:t>1</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4DC23">
            <w:pPr>
              <w:widowControl/>
              <w:jc w:val="center"/>
              <w:textAlignment w:val="center"/>
              <w:rPr>
                <w:rFonts w:ascii="宋体" w:hAnsi="宋体" w:cs="宋体"/>
                <w:color w:val="auto"/>
                <w:szCs w:val="21"/>
              </w:rPr>
            </w:pPr>
            <w:r>
              <w:rPr>
                <w:rFonts w:hint="eastAsia" w:ascii="宋体" w:hAnsi="宋体" w:cs="宋体"/>
                <w:color w:val="auto"/>
                <w:kern w:val="0"/>
                <w:szCs w:val="21"/>
                <w:lang w:bidi="ar"/>
              </w:rPr>
              <w:t>65</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DD60D">
            <w:pPr>
              <w:widowControl/>
              <w:jc w:val="center"/>
              <w:textAlignment w:val="center"/>
              <w:rPr>
                <w:rFonts w:ascii="宋体" w:hAnsi="宋体" w:cs="宋体"/>
                <w:color w:val="auto"/>
                <w:szCs w:val="21"/>
              </w:rPr>
            </w:pPr>
            <w:r>
              <w:rPr>
                <w:rFonts w:hint="eastAsia" w:ascii="宋体" w:hAnsi="宋体" w:cs="宋体"/>
                <w:color w:val="auto"/>
                <w:kern w:val="0"/>
                <w:szCs w:val="21"/>
                <w:lang w:bidi="ar"/>
              </w:rPr>
              <w:t>65</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9EE53A">
            <w:pPr>
              <w:widowControl/>
              <w:jc w:val="center"/>
              <w:textAlignment w:val="center"/>
              <w:rPr>
                <w:rFonts w:ascii="宋体" w:hAnsi="宋体" w:cs="宋体"/>
                <w:color w:val="auto"/>
                <w:szCs w:val="21"/>
              </w:rPr>
            </w:pPr>
            <w:r>
              <w:rPr>
                <w:rFonts w:hint="eastAsia" w:ascii="宋体" w:hAnsi="宋体" w:cs="宋体"/>
                <w:color w:val="auto"/>
                <w:kern w:val="0"/>
                <w:szCs w:val="21"/>
                <w:lang w:bidi="ar"/>
              </w:rPr>
              <w:t>接受进口</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835BD">
            <w:pPr>
              <w:widowControl/>
              <w:jc w:val="center"/>
              <w:textAlignment w:val="center"/>
              <w:rPr>
                <w:rFonts w:hint="eastAsia" w:ascii="宋体" w:hAnsi="宋体" w:eastAsia="宋体" w:cs="宋体"/>
                <w:color w:val="auto"/>
                <w:kern w:val="0"/>
                <w:sz w:val="21"/>
                <w:szCs w:val="21"/>
                <w:lang w:val="en-US" w:eastAsia="zh-CN" w:bidi="ar"/>
              </w:rPr>
            </w:pPr>
            <w:r>
              <w:rPr>
                <w:rFonts w:hint="eastAsia" w:ascii="宋体" w:hAnsi="宋体" w:cs="宋体"/>
                <w:color w:val="auto"/>
                <w:kern w:val="0"/>
                <w:szCs w:val="21"/>
                <w:lang w:bidi="ar"/>
              </w:rPr>
              <w:t>/</w:t>
            </w:r>
          </w:p>
        </w:tc>
      </w:tr>
      <w:tr w14:paraId="1CF70685">
        <w:tblPrEx>
          <w:tblCellMar>
            <w:top w:w="0" w:type="dxa"/>
            <w:left w:w="108" w:type="dxa"/>
            <w:bottom w:w="0" w:type="dxa"/>
            <w:right w:w="108" w:type="dxa"/>
          </w:tblCellMar>
        </w:tblPrEx>
        <w:trPr>
          <w:trHeight w:val="522" w:hRule="atLeast"/>
        </w:trPr>
        <w:tc>
          <w:tcPr>
            <w:tcW w:w="465" w:type="dxa"/>
            <w:vMerge w:val="restart"/>
            <w:tcBorders>
              <w:top w:val="single" w:color="000000" w:sz="4" w:space="0"/>
              <w:left w:val="single" w:color="000000" w:sz="4" w:space="0"/>
              <w:right w:val="single" w:color="000000" w:sz="4" w:space="0"/>
            </w:tcBorders>
            <w:shd w:val="clear" w:color="auto" w:fill="auto"/>
            <w:noWrap/>
            <w:vAlign w:val="center"/>
          </w:tcPr>
          <w:p w14:paraId="5D78A13C">
            <w:pPr>
              <w:widowControl/>
              <w:jc w:val="center"/>
              <w:textAlignment w:val="center"/>
              <w:rPr>
                <w:rFonts w:ascii="宋体" w:hAnsi="宋体" w:cs="宋体"/>
                <w:color w:val="auto"/>
                <w:szCs w:val="21"/>
              </w:rPr>
            </w:pPr>
            <w:r>
              <w:rPr>
                <w:rFonts w:hint="eastAsia" w:ascii="宋体" w:hAnsi="宋体" w:cs="宋体"/>
                <w:color w:val="auto"/>
                <w:szCs w:val="21"/>
              </w:rPr>
              <w:t>2</w:t>
            </w:r>
          </w:p>
        </w:tc>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914553">
            <w:pPr>
              <w:widowControl/>
              <w:wordWrap w:val="0"/>
              <w:topLinePunct/>
              <w:jc w:val="center"/>
              <w:textAlignment w:val="center"/>
              <w:rPr>
                <w:rFonts w:ascii="宋体" w:hAnsi="宋体" w:cs="宋体"/>
                <w:color w:val="auto"/>
                <w:szCs w:val="21"/>
              </w:rPr>
            </w:pPr>
            <w:r>
              <w:rPr>
                <w:rFonts w:hint="eastAsia" w:ascii="宋体" w:hAnsi="宋体" w:cs="宋体"/>
                <w:color w:val="auto"/>
                <w:kern w:val="0"/>
                <w:szCs w:val="21"/>
                <w:lang w:bidi="ar"/>
              </w:rPr>
              <w:t>2-1</w:t>
            </w:r>
          </w:p>
        </w:tc>
        <w:tc>
          <w:tcPr>
            <w:tcW w:w="11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264E3">
            <w:pPr>
              <w:widowControl/>
              <w:jc w:val="center"/>
              <w:textAlignment w:val="center"/>
              <w:rPr>
                <w:rFonts w:ascii="宋体" w:hAnsi="宋体" w:cs="宋体"/>
                <w:color w:val="auto"/>
                <w:szCs w:val="21"/>
              </w:rPr>
            </w:pPr>
            <w:r>
              <w:rPr>
                <w:rFonts w:hint="eastAsia" w:ascii="宋体" w:hAnsi="宋体" w:cs="宋体"/>
                <w:color w:val="auto"/>
                <w:kern w:val="0"/>
                <w:szCs w:val="21"/>
                <w:lang w:bidi="ar"/>
              </w:rPr>
              <w:t>皮肤科</w:t>
            </w:r>
          </w:p>
        </w:tc>
        <w:tc>
          <w:tcPr>
            <w:tcW w:w="1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3CA9F">
            <w:pPr>
              <w:widowControl/>
              <w:jc w:val="center"/>
              <w:textAlignment w:val="center"/>
              <w:rPr>
                <w:rFonts w:ascii="宋体" w:hAnsi="宋体" w:cs="宋体"/>
                <w:color w:val="auto"/>
                <w:szCs w:val="21"/>
              </w:rPr>
            </w:pPr>
            <w:r>
              <w:rPr>
                <w:rFonts w:hint="eastAsia" w:ascii="宋体" w:hAnsi="宋体" w:cs="宋体"/>
                <w:color w:val="auto"/>
                <w:kern w:val="0"/>
                <w:szCs w:val="21"/>
                <w:lang w:bidi="ar"/>
              </w:rPr>
              <w:t xml:space="preserve">LED光动力治疗仪 </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tcMar>
              <w:top w:w="0" w:type="dxa"/>
              <w:left w:w="108" w:type="dxa"/>
              <w:bottom w:w="0" w:type="dxa"/>
              <w:right w:w="108" w:type="dxa"/>
            </w:tcMar>
            <w:vAlign w:val="center"/>
          </w:tcPr>
          <w:p w14:paraId="69E59F45">
            <w:pPr>
              <w:widowControl/>
              <w:jc w:val="center"/>
              <w:textAlignment w:val="center"/>
              <w:rPr>
                <w:rFonts w:ascii="宋体" w:hAnsi="宋体" w:cs="宋体"/>
                <w:color w:val="auto"/>
                <w:szCs w:val="21"/>
              </w:rPr>
            </w:pPr>
            <w:r>
              <w:rPr>
                <w:rFonts w:hint="eastAsia" w:ascii="宋体" w:hAnsi="宋体" w:cs="宋体"/>
                <w:color w:val="auto"/>
                <w:szCs w:val="21"/>
              </w:rPr>
              <w:t>否</w:t>
            </w:r>
          </w:p>
        </w:tc>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D501DD">
            <w:pPr>
              <w:widowControl/>
              <w:jc w:val="center"/>
              <w:textAlignment w:val="center"/>
              <w:rPr>
                <w:rFonts w:ascii="宋体" w:hAnsi="宋体" w:cs="宋体"/>
                <w:color w:val="auto"/>
                <w:szCs w:val="21"/>
              </w:rPr>
            </w:pPr>
            <w:r>
              <w:rPr>
                <w:rFonts w:hint="eastAsia" w:ascii="宋体" w:hAnsi="宋体" w:cs="宋体"/>
                <w:color w:val="auto"/>
                <w:kern w:val="0"/>
                <w:szCs w:val="21"/>
                <w:lang w:bidi="ar"/>
              </w:rPr>
              <w:t>1</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2B617">
            <w:pPr>
              <w:widowControl/>
              <w:jc w:val="center"/>
              <w:textAlignment w:val="center"/>
              <w:rPr>
                <w:rFonts w:ascii="宋体" w:hAnsi="宋体" w:cs="宋体"/>
                <w:color w:val="auto"/>
                <w:szCs w:val="21"/>
              </w:rPr>
            </w:pPr>
            <w:r>
              <w:rPr>
                <w:rFonts w:hint="eastAsia" w:ascii="宋体" w:hAnsi="宋体" w:cs="宋体"/>
                <w:color w:val="auto"/>
                <w:kern w:val="0"/>
                <w:szCs w:val="21"/>
                <w:lang w:bidi="ar"/>
              </w:rPr>
              <w:t>25</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D15CC">
            <w:pPr>
              <w:widowControl/>
              <w:jc w:val="center"/>
              <w:textAlignment w:val="center"/>
              <w:rPr>
                <w:rFonts w:ascii="宋体" w:hAnsi="宋体" w:cs="宋体"/>
                <w:color w:val="auto"/>
                <w:szCs w:val="21"/>
              </w:rPr>
            </w:pPr>
            <w:r>
              <w:rPr>
                <w:rFonts w:hint="eastAsia" w:ascii="宋体" w:hAnsi="宋体" w:cs="宋体"/>
                <w:color w:val="auto"/>
                <w:kern w:val="0"/>
                <w:szCs w:val="21"/>
                <w:lang w:bidi="ar"/>
              </w:rPr>
              <w:t>25</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A7E5C">
            <w:pPr>
              <w:widowControl/>
              <w:jc w:val="center"/>
              <w:textAlignment w:val="center"/>
              <w:rPr>
                <w:rFonts w:ascii="宋体" w:hAnsi="宋体" w:cs="宋体"/>
                <w:color w:val="auto"/>
                <w:szCs w:val="21"/>
              </w:rPr>
            </w:pPr>
            <w:r>
              <w:rPr>
                <w:rFonts w:hint="eastAsia" w:ascii="宋体" w:hAnsi="宋体" w:cs="宋体"/>
                <w:color w:val="auto"/>
                <w:kern w:val="0"/>
                <w:szCs w:val="21"/>
                <w:lang w:bidi="ar"/>
              </w:rPr>
              <w:t>国产</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DEEDB">
            <w:pPr>
              <w:widowControl/>
              <w:jc w:val="center"/>
              <w:textAlignment w:val="center"/>
              <w:rPr>
                <w:rFonts w:hint="eastAsia" w:ascii="宋体" w:hAnsi="宋体" w:eastAsia="宋体" w:cs="宋体"/>
                <w:color w:val="auto"/>
                <w:kern w:val="0"/>
                <w:sz w:val="21"/>
                <w:szCs w:val="21"/>
                <w:lang w:val="en-US" w:eastAsia="zh-CN" w:bidi="ar"/>
              </w:rPr>
            </w:pPr>
            <w:r>
              <w:rPr>
                <w:rFonts w:hint="eastAsia" w:ascii="宋体" w:hAnsi="宋体" w:cs="宋体"/>
                <w:color w:val="auto"/>
                <w:kern w:val="0"/>
                <w:szCs w:val="21"/>
                <w:lang w:bidi="ar"/>
              </w:rPr>
              <w:t>否</w:t>
            </w:r>
          </w:p>
        </w:tc>
      </w:tr>
      <w:tr w14:paraId="118CE8E7">
        <w:tblPrEx>
          <w:tblCellMar>
            <w:top w:w="0" w:type="dxa"/>
            <w:left w:w="108" w:type="dxa"/>
            <w:bottom w:w="0" w:type="dxa"/>
            <w:right w:w="108" w:type="dxa"/>
          </w:tblCellMar>
        </w:tblPrEx>
        <w:trPr>
          <w:trHeight w:val="658" w:hRule="atLeast"/>
        </w:trPr>
        <w:tc>
          <w:tcPr>
            <w:tcW w:w="465" w:type="dxa"/>
            <w:vMerge w:val="continue"/>
            <w:tcBorders>
              <w:left w:val="single" w:color="000000" w:sz="4" w:space="0"/>
              <w:right w:val="single" w:color="000000" w:sz="4" w:space="0"/>
            </w:tcBorders>
            <w:shd w:val="clear" w:color="auto" w:fill="auto"/>
            <w:noWrap/>
            <w:vAlign w:val="center"/>
          </w:tcPr>
          <w:p w14:paraId="7AF292D7">
            <w:pPr>
              <w:widowControl/>
              <w:jc w:val="center"/>
              <w:textAlignment w:val="center"/>
              <w:rPr>
                <w:rFonts w:ascii="宋体" w:hAnsi="宋体" w:cs="宋体"/>
                <w:color w:val="auto"/>
                <w:szCs w:val="21"/>
              </w:rPr>
            </w:pPr>
          </w:p>
        </w:tc>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1B30A5">
            <w:pPr>
              <w:widowControl/>
              <w:wordWrap w:val="0"/>
              <w:topLinePunct/>
              <w:jc w:val="center"/>
              <w:textAlignment w:val="center"/>
              <w:rPr>
                <w:rFonts w:ascii="宋体" w:hAnsi="宋体" w:cs="宋体"/>
                <w:color w:val="auto"/>
                <w:szCs w:val="21"/>
              </w:rPr>
            </w:pPr>
            <w:r>
              <w:rPr>
                <w:rFonts w:hint="eastAsia" w:ascii="宋体" w:hAnsi="宋体" w:cs="宋体"/>
                <w:color w:val="auto"/>
                <w:kern w:val="0"/>
                <w:szCs w:val="21"/>
                <w:lang w:bidi="ar"/>
              </w:rPr>
              <w:t>2-2</w:t>
            </w:r>
          </w:p>
        </w:tc>
        <w:tc>
          <w:tcPr>
            <w:tcW w:w="11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5EE09">
            <w:pPr>
              <w:widowControl/>
              <w:jc w:val="center"/>
              <w:textAlignment w:val="center"/>
              <w:rPr>
                <w:rFonts w:ascii="宋体" w:hAnsi="宋体" w:cs="宋体"/>
                <w:color w:val="auto"/>
                <w:szCs w:val="21"/>
              </w:rPr>
            </w:pPr>
            <w:r>
              <w:rPr>
                <w:rFonts w:hint="eastAsia" w:ascii="宋体" w:hAnsi="宋体" w:cs="宋体"/>
                <w:color w:val="auto"/>
                <w:kern w:val="0"/>
                <w:szCs w:val="21"/>
                <w:lang w:bidi="ar"/>
              </w:rPr>
              <w:t>皮肤科</w:t>
            </w:r>
          </w:p>
        </w:tc>
        <w:tc>
          <w:tcPr>
            <w:tcW w:w="1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1DB4F">
            <w:pPr>
              <w:widowControl/>
              <w:jc w:val="center"/>
              <w:textAlignment w:val="center"/>
              <w:rPr>
                <w:rFonts w:ascii="宋体" w:hAnsi="宋体" w:cs="宋体"/>
                <w:color w:val="auto"/>
                <w:szCs w:val="21"/>
              </w:rPr>
            </w:pPr>
            <w:r>
              <w:rPr>
                <w:rFonts w:hint="eastAsia" w:ascii="宋体" w:hAnsi="宋体" w:cs="宋体"/>
                <w:color w:val="auto"/>
                <w:kern w:val="0"/>
                <w:szCs w:val="21"/>
                <w:lang w:bidi="ar"/>
              </w:rPr>
              <w:sym w:font="Wingdings" w:char="00AB"/>
            </w:r>
            <w:r>
              <w:rPr>
                <w:rFonts w:hint="eastAsia" w:ascii="宋体" w:hAnsi="宋体" w:cs="宋体"/>
                <w:color w:val="auto"/>
                <w:kern w:val="0"/>
                <w:szCs w:val="21"/>
                <w:lang w:bidi="ar"/>
              </w:rPr>
              <w:t xml:space="preserve">LED光动力治疗仪 </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tcMar>
              <w:top w:w="0" w:type="dxa"/>
              <w:left w:w="108" w:type="dxa"/>
              <w:bottom w:w="0" w:type="dxa"/>
              <w:right w:w="108" w:type="dxa"/>
            </w:tcMar>
            <w:vAlign w:val="center"/>
          </w:tcPr>
          <w:p w14:paraId="54642224">
            <w:pPr>
              <w:widowControl/>
              <w:jc w:val="center"/>
              <w:textAlignment w:val="center"/>
              <w:rPr>
                <w:rFonts w:ascii="宋体" w:hAnsi="宋体" w:cs="宋体"/>
                <w:color w:val="auto"/>
                <w:szCs w:val="21"/>
              </w:rPr>
            </w:pPr>
            <w:r>
              <w:rPr>
                <w:rFonts w:hint="eastAsia" w:ascii="宋体" w:hAnsi="宋体" w:cs="宋体"/>
                <w:color w:val="auto"/>
                <w:szCs w:val="21"/>
              </w:rPr>
              <w:t>否</w:t>
            </w:r>
          </w:p>
        </w:tc>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00427F">
            <w:pPr>
              <w:widowControl/>
              <w:jc w:val="center"/>
              <w:textAlignment w:val="center"/>
              <w:rPr>
                <w:rFonts w:ascii="宋体" w:hAnsi="宋体" w:cs="宋体"/>
                <w:color w:val="auto"/>
                <w:szCs w:val="21"/>
              </w:rPr>
            </w:pPr>
            <w:r>
              <w:rPr>
                <w:rFonts w:hint="eastAsia" w:ascii="宋体" w:hAnsi="宋体" w:cs="宋体"/>
                <w:color w:val="auto"/>
                <w:kern w:val="0"/>
                <w:szCs w:val="21"/>
                <w:lang w:bidi="ar"/>
              </w:rPr>
              <w:t>1</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4283A">
            <w:pPr>
              <w:widowControl/>
              <w:jc w:val="center"/>
              <w:textAlignment w:val="center"/>
              <w:rPr>
                <w:rFonts w:ascii="宋体" w:hAnsi="宋体" w:cs="宋体"/>
                <w:color w:val="auto"/>
                <w:szCs w:val="21"/>
              </w:rPr>
            </w:pPr>
            <w:r>
              <w:rPr>
                <w:rFonts w:hint="eastAsia" w:ascii="宋体" w:hAnsi="宋体" w:cs="宋体"/>
                <w:color w:val="auto"/>
                <w:kern w:val="0"/>
                <w:szCs w:val="21"/>
                <w:lang w:bidi="ar"/>
              </w:rPr>
              <w:t>30</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A0190D">
            <w:pPr>
              <w:widowControl/>
              <w:jc w:val="center"/>
              <w:textAlignment w:val="center"/>
              <w:rPr>
                <w:rFonts w:ascii="宋体" w:hAnsi="宋体" w:cs="宋体"/>
                <w:color w:val="auto"/>
                <w:szCs w:val="21"/>
              </w:rPr>
            </w:pPr>
            <w:r>
              <w:rPr>
                <w:rFonts w:hint="eastAsia" w:ascii="宋体" w:hAnsi="宋体" w:cs="宋体"/>
                <w:color w:val="auto"/>
                <w:kern w:val="0"/>
                <w:szCs w:val="21"/>
                <w:lang w:bidi="ar"/>
              </w:rPr>
              <w:t>30</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03AFB">
            <w:pPr>
              <w:widowControl/>
              <w:jc w:val="center"/>
              <w:textAlignment w:val="center"/>
              <w:rPr>
                <w:rFonts w:ascii="宋体" w:hAnsi="宋体" w:cs="宋体"/>
                <w:color w:val="auto"/>
                <w:szCs w:val="21"/>
              </w:rPr>
            </w:pPr>
            <w:r>
              <w:rPr>
                <w:rFonts w:hint="eastAsia" w:ascii="宋体" w:hAnsi="宋体" w:cs="宋体"/>
                <w:color w:val="auto"/>
                <w:kern w:val="0"/>
                <w:szCs w:val="21"/>
                <w:lang w:bidi="ar"/>
              </w:rPr>
              <w:t>国产</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E46C22">
            <w:pPr>
              <w:widowControl/>
              <w:jc w:val="center"/>
              <w:textAlignment w:val="center"/>
              <w:rPr>
                <w:rFonts w:hint="eastAsia" w:ascii="宋体" w:hAnsi="宋体" w:eastAsia="宋体" w:cs="宋体"/>
                <w:color w:val="auto"/>
                <w:kern w:val="0"/>
                <w:sz w:val="21"/>
                <w:szCs w:val="21"/>
                <w:lang w:val="en-US" w:eastAsia="zh-CN" w:bidi="ar"/>
              </w:rPr>
            </w:pPr>
            <w:r>
              <w:rPr>
                <w:rFonts w:hint="eastAsia" w:ascii="宋体" w:hAnsi="宋体" w:cs="宋体"/>
                <w:color w:val="auto"/>
                <w:kern w:val="0"/>
                <w:szCs w:val="21"/>
                <w:lang w:bidi="ar"/>
              </w:rPr>
              <w:t>是</w:t>
            </w:r>
          </w:p>
        </w:tc>
      </w:tr>
      <w:tr w14:paraId="05E759F0">
        <w:tblPrEx>
          <w:tblCellMar>
            <w:top w:w="0" w:type="dxa"/>
            <w:left w:w="108" w:type="dxa"/>
            <w:bottom w:w="0" w:type="dxa"/>
            <w:right w:w="108" w:type="dxa"/>
          </w:tblCellMar>
        </w:tblPrEx>
        <w:tc>
          <w:tcPr>
            <w:tcW w:w="465" w:type="dxa"/>
            <w:vMerge w:val="continue"/>
            <w:tcBorders>
              <w:left w:val="single" w:color="000000" w:sz="4" w:space="0"/>
              <w:bottom w:val="single" w:color="000000" w:sz="4" w:space="0"/>
              <w:right w:val="single" w:color="000000" w:sz="4" w:space="0"/>
            </w:tcBorders>
            <w:shd w:val="clear" w:color="auto" w:fill="auto"/>
            <w:noWrap/>
            <w:vAlign w:val="center"/>
          </w:tcPr>
          <w:p w14:paraId="599156F8">
            <w:pPr>
              <w:widowControl/>
              <w:jc w:val="center"/>
              <w:textAlignment w:val="center"/>
              <w:rPr>
                <w:rFonts w:ascii="宋体" w:hAnsi="宋体" w:cs="宋体"/>
                <w:color w:val="auto"/>
                <w:szCs w:val="21"/>
              </w:rPr>
            </w:pPr>
          </w:p>
        </w:tc>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C75FAE">
            <w:pPr>
              <w:widowControl/>
              <w:wordWrap w:val="0"/>
              <w:topLinePunct/>
              <w:jc w:val="center"/>
              <w:textAlignment w:val="center"/>
              <w:rPr>
                <w:rFonts w:ascii="宋体" w:hAnsi="宋体" w:cs="宋体"/>
                <w:color w:val="auto"/>
                <w:szCs w:val="21"/>
              </w:rPr>
            </w:pPr>
            <w:r>
              <w:rPr>
                <w:rFonts w:hint="eastAsia" w:ascii="宋体" w:hAnsi="宋体" w:cs="宋体"/>
                <w:color w:val="auto"/>
                <w:kern w:val="0"/>
                <w:szCs w:val="21"/>
                <w:lang w:bidi="ar"/>
              </w:rPr>
              <w:t>2-3</w:t>
            </w:r>
          </w:p>
        </w:tc>
        <w:tc>
          <w:tcPr>
            <w:tcW w:w="11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BEB70B">
            <w:pPr>
              <w:widowControl/>
              <w:jc w:val="center"/>
              <w:textAlignment w:val="center"/>
              <w:rPr>
                <w:rFonts w:ascii="宋体" w:hAnsi="宋体" w:cs="宋体"/>
                <w:color w:val="auto"/>
                <w:szCs w:val="21"/>
              </w:rPr>
            </w:pPr>
            <w:r>
              <w:rPr>
                <w:rFonts w:hint="eastAsia" w:ascii="宋体" w:hAnsi="宋体" w:cs="宋体"/>
                <w:color w:val="auto"/>
                <w:kern w:val="0"/>
                <w:szCs w:val="21"/>
                <w:lang w:bidi="ar"/>
              </w:rPr>
              <w:t>皮肤科</w:t>
            </w:r>
          </w:p>
        </w:tc>
        <w:tc>
          <w:tcPr>
            <w:tcW w:w="1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2F1B5">
            <w:pPr>
              <w:widowControl/>
              <w:jc w:val="center"/>
              <w:textAlignment w:val="center"/>
              <w:rPr>
                <w:rFonts w:ascii="宋体" w:hAnsi="宋体" w:cs="宋体"/>
                <w:color w:val="auto"/>
                <w:szCs w:val="21"/>
              </w:rPr>
            </w:pPr>
            <w:r>
              <w:rPr>
                <w:rFonts w:hint="eastAsia" w:ascii="宋体" w:hAnsi="宋体" w:cs="宋体"/>
                <w:color w:val="auto"/>
                <w:kern w:val="0"/>
                <w:szCs w:val="21"/>
                <w:lang w:bidi="ar"/>
              </w:rPr>
              <w:t>半导体激光治疗仪</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tcMar>
              <w:top w:w="0" w:type="dxa"/>
              <w:left w:w="108" w:type="dxa"/>
              <w:bottom w:w="0" w:type="dxa"/>
              <w:right w:w="108" w:type="dxa"/>
            </w:tcMar>
            <w:vAlign w:val="center"/>
          </w:tcPr>
          <w:p w14:paraId="37C79724">
            <w:pPr>
              <w:widowControl/>
              <w:jc w:val="center"/>
              <w:textAlignment w:val="center"/>
              <w:rPr>
                <w:rFonts w:ascii="宋体" w:hAnsi="宋体" w:cs="宋体"/>
                <w:color w:val="auto"/>
                <w:szCs w:val="21"/>
              </w:rPr>
            </w:pPr>
            <w:r>
              <w:rPr>
                <w:rFonts w:hint="eastAsia" w:ascii="宋体" w:hAnsi="宋体" w:cs="宋体"/>
                <w:color w:val="auto"/>
                <w:szCs w:val="21"/>
              </w:rPr>
              <w:t>否</w:t>
            </w:r>
          </w:p>
        </w:tc>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3AC0BD">
            <w:pPr>
              <w:widowControl/>
              <w:jc w:val="center"/>
              <w:textAlignment w:val="center"/>
              <w:rPr>
                <w:rFonts w:ascii="宋体" w:hAnsi="宋体" w:cs="宋体"/>
                <w:color w:val="auto"/>
                <w:szCs w:val="21"/>
              </w:rPr>
            </w:pPr>
            <w:r>
              <w:rPr>
                <w:rFonts w:hint="eastAsia" w:ascii="宋体" w:hAnsi="宋体" w:cs="宋体"/>
                <w:color w:val="auto"/>
                <w:kern w:val="0"/>
                <w:szCs w:val="21"/>
                <w:lang w:bidi="ar"/>
              </w:rPr>
              <w:t>1</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4111D">
            <w:pPr>
              <w:widowControl/>
              <w:jc w:val="center"/>
              <w:textAlignment w:val="center"/>
              <w:rPr>
                <w:rFonts w:ascii="宋体" w:hAnsi="宋体" w:cs="宋体"/>
                <w:color w:val="auto"/>
                <w:szCs w:val="21"/>
              </w:rPr>
            </w:pPr>
            <w:r>
              <w:rPr>
                <w:rFonts w:hint="eastAsia" w:ascii="宋体" w:hAnsi="宋体" w:cs="宋体"/>
                <w:color w:val="auto"/>
                <w:kern w:val="0"/>
                <w:szCs w:val="21"/>
                <w:lang w:bidi="ar"/>
              </w:rPr>
              <w:t>15</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5A60B">
            <w:pPr>
              <w:widowControl/>
              <w:jc w:val="center"/>
              <w:textAlignment w:val="center"/>
              <w:rPr>
                <w:rFonts w:ascii="宋体" w:hAnsi="宋体" w:cs="宋体"/>
                <w:color w:val="auto"/>
                <w:szCs w:val="21"/>
              </w:rPr>
            </w:pPr>
            <w:r>
              <w:rPr>
                <w:rFonts w:hint="eastAsia" w:ascii="宋体" w:hAnsi="宋体" w:cs="宋体"/>
                <w:color w:val="auto"/>
                <w:kern w:val="0"/>
                <w:szCs w:val="21"/>
                <w:lang w:bidi="ar"/>
              </w:rPr>
              <w:t>15</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DEAF4">
            <w:pPr>
              <w:widowControl/>
              <w:jc w:val="center"/>
              <w:textAlignment w:val="center"/>
              <w:rPr>
                <w:rFonts w:ascii="宋体" w:hAnsi="宋体" w:cs="宋体"/>
                <w:color w:val="auto"/>
                <w:szCs w:val="21"/>
              </w:rPr>
            </w:pPr>
            <w:r>
              <w:rPr>
                <w:rFonts w:hint="eastAsia" w:ascii="宋体" w:hAnsi="宋体" w:cs="宋体"/>
                <w:color w:val="auto"/>
                <w:kern w:val="0"/>
                <w:szCs w:val="21"/>
                <w:lang w:bidi="ar"/>
              </w:rPr>
              <w:t>国产</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E796F">
            <w:pPr>
              <w:widowControl/>
              <w:jc w:val="center"/>
              <w:textAlignment w:val="center"/>
              <w:rPr>
                <w:rFonts w:hint="eastAsia" w:ascii="宋体" w:hAnsi="宋体" w:eastAsia="宋体" w:cs="宋体"/>
                <w:color w:val="auto"/>
                <w:kern w:val="0"/>
                <w:sz w:val="21"/>
                <w:szCs w:val="21"/>
                <w:lang w:val="en-US" w:eastAsia="zh-CN" w:bidi="ar"/>
              </w:rPr>
            </w:pPr>
            <w:r>
              <w:rPr>
                <w:rFonts w:hint="eastAsia" w:ascii="宋体" w:hAnsi="宋体" w:cs="宋体"/>
                <w:color w:val="auto"/>
                <w:kern w:val="0"/>
                <w:szCs w:val="21"/>
                <w:lang w:bidi="ar"/>
              </w:rPr>
              <w:t>否</w:t>
            </w:r>
          </w:p>
        </w:tc>
      </w:tr>
      <w:tr w14:paraId="6C1DEBE9">
        <w:tblPrEx>
          <w:tblCellMar>
            <w:top w:w="0" w:type="dxa"/>
            <w:left w:w="108" w:type="dxa"/>
            <w:bottom w:w="0" w:type="dxa"/>
            <w:right w:w="108" w:type="dxa"/>
          </w:tblCellMar>
        </w:tblPrEx>
        <w:tc>
          <w:tcPr>
            <w:tcW w:w="4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22CD84">
            <w:pPr>
              <w:jc w:val="center"/>
              <w:rPr>
                <w:rFonts w:hint="eastAsia" w:ascii="宋体" w:hAnsi="宋体" w:eastAsia="宋体" w:cs="宋体"/>
                <w:color w:val="auto"/>
                <w:szCs w:val="21"/>
                <w:lang w:eastAsia="zh-CN"/>
              </w:rPr>
            </w:pPr>
            <w:r>
              <w:rPr>
                <w:rFonts w:hint="eastAsia"/>
                <w:color w:val="auto"/>
                <w:highlight w:val="none"/>
                <w:lang w:val="en-US" w:eastAsia="zh-CN"/>
              </w:rPr>
              <w:t>3</w:t>
            </w:r>
          </w:p>
        </w:tc>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354F05">
            <w:pPr>
              <w:jc w:val="center"/>
              <w:rPr>
                <w:rFonts w:ascii="宋体" w:hAnsi="宋体" w:cs="宋体"/>
                <w:color w:val="auto"/>
                <w:szCs w:val="21"/>
              </w:rPr>
            </w:pPr>
            <w:r>
              <w:rPr>
                <w:rFonts w:hint="eastAsia"/>
                <w:color w:val="auto"/>
                <w:highlight w:val="none"/>
                <w:lang w:val="en-US" w:eastAsia="zh-CN"/>
              </w:rPr>
              <w:t>3</w:t>
            </w:r>
            <w:r>
              <w:rPr>
                <w:color w:val="auto"/>
                <w:highlight w:val="none"/>
              </w:rPr>
              <w:t>-1</w:t>
            </w:r>
          </w:p>
        </w:tc>
        <w:tc>
          <w:tcPr>
            <w:tcW w:w="11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CD6AD">
            <w:pPr>
              <w:jc w:val="center"/>
              <w:rPr>
                <w:rFonts w:ascii="宋体" w:hAnsi="宋体" w:cs="宋体"/>
                <w:color w:val="auto"/>
                <w:szCs w:val="21"/>
              </w:rPr>
            </w:pPr>
            <w:r>
              <w:rPr>
                <w:rFonts w:hint="eastAsia"/>
                <w:color w:val="auto"/>
                <w:highlight w:val="none"/>
              </w:rPr>
              <w:t xml:space="preserve"> 人体器官获取组织（OPO办公室）</w:t>
            </w:r>
          </w:p>
        </w:tc>
        <w:tc>
          <w:tcPr>
            <w:tcW w:w="1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C2F11">
            <w:pPr>
              <w:jc w:val="center"/>
              <w:rPr>
                <w:rFonts w:ascii="宋体" w:hAnsi="宋体" w:cs="宋体"/>
                <w:color w:val="auto"/>
                <w:szCs w:val="21"/>
              </w:rPr>
            </w:pPr>
            <w:r>
              <w:rPr>
                <w:rFonts w:hint="eastAsia"/>
                <w:color w:val="auto"/>
                <w:highlight w:val="none"/>
              </w:rPr>
              <w:t>脑功能定量测量评估</w:t>
            </w:r>
            <w:r>
              <w:rPr>
                <w:rFonts w:hint="eastAsia"/>
                <w:color w:val="auto"/>
                <w:highlight w:val="none"/>
                <w:lang w:val="en-US" w:eastAsia="zh-CN"/>
              </w:rPr>
              <w:t>系统</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tcMar>
              <w:top w:w="0" w:type="dxa"/>
              <w:left w:w="108" w:type="dxa"/>
              <w:bottom w:w="0" w:type="dxa"/>
              <w:right w:w="108" w:type="dxa"/>
            </w:tcMar>
            <w:vAlign w:val="center"/>
          </w:tcPr>
          <w:p w14:paraId="1F20D006">
            <w:pPr>
              <w:jc w:val="center"/>
              <w:rPr>
                <w:rFonts w:ascii="宋体" w:hAnsi="宋体" w:cs="宋体"/>
                <w:color w:val="auto"/>
                <w:szCs w:val="21"/>
              </w:rPr>
            </w:pPr>
            <w:r>
              <w:rPr>
                <w:rFonts w:hint="eastAsia"/>
                <w:color w:val="auto"/>
                <w:highlight w:val="none"/>
              </w:rPr>
              <w:t>否</w:t>
            </w:r>
          </w:p>
        </w:tc>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779993">
            <w:pPr>
              <w:jc w:val="center"/>
              <w:rPr>
                <w:rFonts w:ascii="宋体" w:hAnsi="宋体" w:cs="宋体"/>
                <w:color w:val="auto"/>
                <w:szCs w:val="21"/>
              </w:rPr>
            </w:pPr>
            <w:r>
              <w:rPr>
                <w:rFonts w:hint="eastAsia"/>
                <w:color w:val="auto"/>
                <w:highlight w:val="none"/>
              </w:rPr>
              <w:t>1</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B9ECB">
            <w:pPr>
              <w:jc w:val="center"/>
              <w:rPr>
                <w:rFonts w:ascii="宋体" w:hAnsi="宋体" w:cs="宋体"/>
                <w:color w:val="auto"/>
                <w:szCs w:val="21"/>
              </w:rPr>
            </w:pPr>
            <w:r>
              <w:rPr>
                <w:rFonts w:hint="eastAsia"/>
                <w:color w:val="auto"/>
                <w:highlight w:val="none"/>
              </w:rPr>
              <w:t>97</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9CB0F">
            <w:pPr>
              <w:jc w:val="center"/>
              <w:rPr>
                <w:rFonts w:ascii="宋体" w:hAnsi="宋体" w:cs="宋体"/>
                <w:color w:val="auto"/>
                <w:szCs w:val="21"/>
              </w:rPr>
            </w:pPr>
            <w:r>
              <w:rPr>
                <w:rFonts w:hint="eastAsia"/>
                <w:color w:val="auto"/>
                <w:highlight w:val="none"/>
              </w:rPr>
              <w:t>97</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25FEA">
            <w:pPr>
              <w:jc w:val="center"/>
              <w:rPr>
                <w:color w:val="auto"/>
                <w:highlight w:val="none"/>
              </w:rPr>
            </w:pPr>
            <w:r>
              <w:rPr>
                <w:rFonts w:hint="eastAsia"/>
                <w:color w:val="auto"/>
                <w:highlight w:val="none"/>
              </w:rPr>
              <w:t>接受</w:t>
            </w:r>
          </w:p>
          <w:p w14:paraId="73C67181">
            <w:pPr>
              <w:jc w:val="center"/>
              <w:rPr>
                <w:rFonts w:ascii="宋体" w:hAnsi="宋体" w:cs="宋体"/>
                <w:color w:val="auto"/>
                <w:szCs w:val="21"/>
              </w:rPr>
            </w:pPr>
            <w:r>
              <w:rPr>
                <w:rFonts w:hint="eastAsia"/>
                <w:color w:val="auto"/>
                <w:highlight w:val="none"/>
              </w:rPr>
              <w:t>进口</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5D261">
            <w:pPr>
              <w:jc w:val="center"/>
              <w:rPr>
                <w:rFonts w:hint="eastAsia" w:eastAsia="宋体"/>
                <w:color w:val="auto"/>
                <w:highlight w:val="none"/>
                <w:lang w:val="en-US" w:eastAsia="zh-CN"/>
              </w:rPr>
            </w:pPr>
            <w:r>
              <w:rPr>
                <w:rFonts w:hint="eastAsia"/>
                <w:color w:val="auto"/>
                <w:highlight w:val="none"/>
                <w:lang w:val="en-US" w:eastAsia="zh-CN"/>
              </w:rPr>
              <w:t>/</w:t>
            </w:r>
          </w:p>
        </w:tc>
      </w:tr>
      <w:tr w14:paraId="4D798756">
        <w:tblPrEx>
          <w:tblCellMar>
            <w:top w:w="0" w:type="dxa"/>
            <w:left w:w="108" w:type="dxa"/>
            <w:bottom w:w="0" w:type="dxa"/>
            <w:right w:w="108" w:type="dxa"/>
          </w:tblCellMar>
        </w:tblPrEx>
        <w:trPr>
          <w:trHeight w:val="511" w:hRule="atLeast"/>
        </w:trPr>
        <w:tc>
          <w:tcPr>
            <w:tcW w:w="4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E23A05">
            <w:pPr>
              <w:jc w:val="center"/>
              <w:rPr>
                <w:rFonts w:hint="eastAsia" w:ascii="宋体" w:hAnsi="宋体" w:eastAsia="宋体" w:cs="宋体"/>
                <w:color w:val="auto"/>
                <w:szCs w:val="21"/>
                <w:lang w:eastAsia="zh-CN"/>
              </w:rPr>
            </w:pPr>
            <w:r>
              <w:rPr>
                <w:rFonts w:hint="eastAsia"/>
                <w:color w:val="auto"/>
                <w:highlight w:val="none"/>
                <w:lang w:val="en-US" w:eastAsia="zh-CN"/>
              </w:rPr>
              <w:t>4</w:t>
            </w:r>
          </w:p>
        </w:tc>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EC1794">
            <w:pPr>
              <w:jc w:val="center"/>
              <w:rPr>
                <w:rFonts w:ascii="宋体" w:hAnsi="宋体" w:cs="宋体"/>
                <w:color w:val="auto"/>
                <w:szCs w:val="21"/>
              </w:rPr>
            </w:pPr>
            <w:r>
              <w:rPr>
                <w:rFonts w:hint="eastAsia"/>
                <w:color w:val="auto"/>
                <w:highlight w:val="none"/>
                <w:lang w:val="en-US" w:eastAsia="zh-CN"/>
              </w:rPr>
              <w:t>4</w:t>
            </w:r>
            <w:r>
              <w:rPr>
                <w:color w:val="auto"/>
                <w:highlight w:val="none"/>
              </w:rPr>
              <w:t>-1</w:t>
            </w:r>
          </w:p>
        </w:tc>
        <w:tc>
          <w:tcPr>
            <w:tcW w:w="11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02E062">
            <w:pPr>
              <w:jc w:val="center"/>
              <w:rPr>
                <w:rFonts w:ascii="宋体" w:hAnsi="宋体" w:cs="宋体"/>
                <w:color w:val="auto"/>
                <w:szCs w:val="21"/>
              </w:rPr>
            </w:pPr>
            <w:r>
              <w:rPr>
                <w:rFonts w:hint="eastAsia"/>
                <w:color w:val="auto"/>
                <w:highlight w:val="none"/>
              </w:rPr>
              <w:t xml:space="preserve"> 人体器官获取组织（OPO办公室）</w:t>
            </w:r>
          </w:p>
        </w:tc>
        <w:tc>
          <w:tcPr>
            <w:tcW w:w="1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9B3E88">
            <w:pPr>
              <w:jc w:val="center"/>
              <w:rPr>
                <w:rFonts w:ascii="宋体" w:hAnsi="宋体" w:cs="宋体"/>
                <w:color w:val="auto"/>
                <w:szCs w:val="21"/>
              </w:rPr>
            </w:pPr>
            <w:r>
              <w:rPr>
                <w:rFonts w:hint="eastAsia"/>
                <w:color w:val="auto"/>
                <w:highlight w:val="none"/>
              </w:rPr>
              <w:t>肾脏灌注运转箱</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tcMar>
              <w:top w:w="0" w:type="dxa"/>
              <w:left w:w="108" w:type="dxa"/>
              <w:bottom w:w="0" w:type="dxa"/>
              <w:right w:w="108" w:type="dxa"/>
            </w:tcMar>
            <w:vAlign w:val="center"/>
          </w:tcPr>
          <w:p w14:paraId="6B3062DA">
            <w:pPr>
              <w:jc w:val="center"/>
              <w:rPr>
                <w:rFonts w:ascii="宋体" w:hAnsi="宋体" w:cs="宋体"/>
                <w:color w:val="auto"/>
                <w:szCs w:val="21"/>
              </w:rPr>
            </w:pPr>
            <w:r>
              <w:rPr>
                <w:rFonts w:hint="eastAsia"/>
                <w:color w:val="auto"/>
                <w:highlight w:val="none"/>
              </w:rPr>
              <w:t>否</w:t>
            </w:r>
          </w:p>
        </w:tc>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7E7334">
            <w:pPr>
              <w:jc w:val="center"/>
              <w:rPr>
                <w:rFonts w:ascii="宋体" w:hAnsi="宋体" w:cs="宋体"/>
                <w:color w:val="auto"/>
                <w:szCs w:val="21"/>
              </w:rPr>
            </w:pPr>
            <w:r>
              <w:rPr>
                <w:rFonts w:hint="eastAsia"/>
                <w:color w:val="auto"/>
                <w:highlight w:val="none"/>
              </w:rPr>
              <w:t>1</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1165D">
            <w:pPr>
              <w:jc w:val="center"/>
              <w:rPr>
                <w:rFonts w:ascii="宋体" w:hAnsi="宋体" w:cs="宋体"/>
                <w:color w:val="auto"/>
                <w:szCs w:val="21"/>
              </w:rPr>
            </w:pPr>
            <w:r>
              <w:rPr>
                <w:rFonts w:hint="eastAsia"/>
                <w:color w:val="auto"/>
                <w:highlight w:val="none"/>
              </w:rPr>
              <w:t>76</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D4873E">
            <w:pPr>
              <w:jc w:val="center"/>
              <w:rPr>
                <w:rFonts w:ascii="宋体" w:hAnsi="宋体" w:cs="宋体"/>
                <w:color w:val="auto"/>
                <w:szCs w:val="21"/>
              </w:rPr>
            </w:pPr>
            <w:r>
              <w:rPr>
                <w:rFonts w:hint="eastAsia"/>
                <w:color w:val="auto"/>
                <w:highlight w:val="none"/>
              </w:rPr>
              <w:t>76</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193DA">
            <w:pPr>
              <w:jc w:val="center"/>
              <w:rPr>
                <w:color w:val="auto"/>
                <w:highlight w:val="none"/>
              </w:rPr>
            </w:pPr>
            <w:r>
              <w:rPr>
                <w:rFonts w:hint="eastAsia"/>
                <w:color w:val="auto"/>
                <w:highlight w:val="none"/>
              </w:rPr>
              <w:t>接受</w:t>
            </w:r>
          </w:p>
          <w:p w14:paraId="066FE187">
            <w:pPr>
              <w:jc w:val="center"/>
              <w:rPr>
                <w:rFonts w:ascii="宋体" w:hAnsi="宋体" w:cs="宋体"/>
                <w:color w:val="auto"/>
                <w:szCs w:val="21"/>
              </w:rPr>
            </w:pPr>
            <w:r>
              <w:rPr>
                <w:rFonts w:hint="eastAsia"/>
                <w:color w:val="auto"/>
                <w:highlight w:val="none"/>
              </w:rPr>
              <w:t>进口</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E004C0">
            <w:pPr>
              <w:jc w:val="center"/>
              <w:rPr>
                <w:rFonts w:hint="eastAsia" w:eastAsia="宋体"/>
                <w:color w:val="auto"/>
                <w:highlight w:val="none"/>
                <w:lang w:val="en-US" w:eastAsia="zh-CN"/>
              </w:rPr>
            </w:pPr>
            <w:r>
              <w:rPr>
                <w:rFonts w:hint="eastAsia"/>
                <w:color w:val="auto"/>
                <w:highlight w:val="none"/>
                <w:lang w:val="en-US" w:eastAsia="zh-CN"/>
              </w:rPr>
              <w:t>/</w:t>
            </w:r>
          </w:p>
        </w:tc>
      </w:tr>
    </w:tbl>
    <w:p w14:paraId="7F4ADF64"/>
    <w:p w14:paraId="445C41C0">
      <w:pPr>
        <w:adjustRightInd w:val="0"/>
        <w:snapToGrid w:val="0"/>
        <w:spacing w:before="120" w:beforeLines="50" w:line="310" w:lineRule="exact"/>
        <w:rPr>
          <w:rFonts w:asciiTheme="minorEastAsia" w:hAnsiTheme="minorEastAsia" w:eastAsiaTheme="minorEastAsia"/>
          <w:color w:val="auto"/>
          <w:szCs w:val="21"/>
        </w:rPr>
      </w:pPr>
      <w:r>
        <w:rPr>
          <w:rFonts w:hint="eastAsia" w:asciiTheme="minorEastAsia" w:hAnsiTheme="minorEastAsia" w:eastAsiaTheme="minorEastAsia"/>
          <w:color w:val="auto"/>
          <w:szCs w:val="21"/>
        </w:rPr>
        <w:t>注：1、“包”为最小合同单位（最小投标单位）。每“包”内容应细化到“品目”（如果分品目的）。</w:t>
      </w:r>
    </w:p>
    <w:p w14:paraId="22532F54">
      <w:pPr>
        <w:adjustRightInd w:val="0"/>
        <w:snapToGrid w:val="0"/>
        <w:spacing w:before="120" w:beforeLines="50" w:line="310" w:lineRule="exact"/>
        <w:ind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2、投标人必须对一个完整、独立的包进行投标，不得仅对一个包中的部分品目投标，否则</w:t>
      </w:r>
      <w:r>
        <w:rPr>
          <w:rFonts w:hint="eastAsia" w:asciiTheme="minorEastAsia" w:hAnsiTheme="minorEastAsia" w:eastAsiaTheme="minorEastAsia"/>
          <w:b/>
          <w:color w:val="auto"/>
          <w:szCs w:val="21"/>
        </w:rPr>
        <w:t>投标无效。</w:t>
      </w:r>
    </w:p>
    <w:p w14:paraId="6C4B756A">
      <w:pPr>
        <w:adjustRightInd w:val="0"/>
        <w:snapToGrid w:val="0"/>
        <w:spacing w:before="120" w:beforeLines="50" w:line="310" w:lineRule="exact"/>
        <w:ind w:firstLine="420" w:firstLineChars="200"/>
        <w:rPr>
          <w:rFonts w:cs="宋体" w:asciiTheme="minorEastAsia" w:hAnsiTheme="minorEastAsia" w:eastAsiaTheme="minorEastAsia"/>
          <w:color w:val="auto"/>
          <w:kern w:val="0"/>
          <w:szCs w:val="21"/>
        </w:rPr>
      </w:pPr>
      <w:r>
        <w:rPr>
          <w:rFonts w:hint="eastAsia" w:asciiTheme="minorEastAsia" w:hAnsiTheme="minorEastAsia" w:eastAsiaTheme="minorEastAsia"/>
          <w:color w:val="auto"/>
          <w:szCs w:val="21"/>
        </w:rPr>
        <w:t>3、货物的主要技术参数或规格：</w:t>
      </w:r>
      <w:r>
        <w:rPr>
          <w:rFonts w:cs="宋体" w:asciiTheme="minorEastAsia" w:hAnsiTheme="minorEastAsia" w:eastAsiaTheme="minorEastAsia"/>
          <w:color w:val="auto"/>
          <w:kern w:val="0"/>
          <w:szCs w:val="21"/>
        </w:rPr>
        <w:t>详见“技术要求”中的具体技术参数</w:t>
      </w:r>
      <w:r>
        <w:rPr>
          <w:rFonts w:hint="eastAsia" w:cs="宋体" w:asciiTheme="minorEastAsia" w:hAnsiTheme="minorEastAsia" w:eastAsiaTheme="minorEastAsia"/>
          <w:color w:val="auto"/>
          <w:kern w:val="0"/>
          <w:szCs w:val="21"/>
        </w:rPr>
        <w:t>。</w:t>
      </w:r>
    </w:p>
    <w:p w14:paraId="25E463C9">
      <w:pPr>
        <w:adjustRightInd w:val="0"/>
        <w:snapToGrid w:val="0"/>
        <w:spacing w:before="120" w:beforeLines="50" w:line="310" w:lineRule="exact"/>
        <w:ind w:firstLine="396" w:firstLineChars="200"/>
        <w:rPr>
          <w:rFonts w:ascii="宋体" w:hAnsi="宋体" w:cs="宋体"/>
          <w:color w:val="auto"/>
          <w:spacing w:val="-6"/>
          <w:kern w:val="0"/>
          <w:szCs w:val="21"/>
        </w:rPr>
      </w:pPr>
      <w:r>
        <w:rPr>
          <w:rFonts w:hint="eastAsia" w:ascii="宋体" w:hAnsi="宋体" w:cs="宋体"/>
          <w:color w:val="auto"/>
          <w:spacing w:val="-6"/>
          <w:kern w:val="0"/>
          <w:szCs w:val="21"/>
        </w:rPr>
        <w:t>4、投标人应在投标文件《分项报价明细表》中按分项项目名称（包括条目号/品目名称）顺序逐项填写，且每个品目中的条目均需按招标文件规定报价。如有缺项、漏项，</w:t>
      </w:r>
      <w:r>
        <w:rPr>
          <w:rFonts w:hint="eastAsia" w:ascii="宋体" w:hAnsi="宋体" w:cs="宋体"/>
          <w:b/>
          <w:color w:val="auto"/>
          <w:spacing w:val="-6"/>
          <w:kern w:val="0"/>
          <w:szCs w:val="21"/>
        </w:rPr>
        <w:t>其投标无效</w:t>
      </w:r>
      <w:r>
        <w:rPr>
          <w:rFonts w:hint="eastAsia" w:ascii="宋体" w:hAnsi="宋体" w:cs="宋体"/>
          <w:color w:val="auto"/>
          <w:spacing w:val="-6"/>
          <w:kern w:val="0"/>
          <w:szCs w:val="21"/>
        </w:rPr>
        <w:t>。</w:t>
      </w:r>
    </w:p>
    <w:p w14:paraId="45D4EEA9">
      <w:pPr>
        <w:adjustRightInd w:val="0"/>
        <w:snapToGrid w:val="0"/>
        <w:spacing w:before="120" w:beforeLines="50" w:line="310" w:lineRule="exact"/>
        <w:ind w:firstLine="420" w:firstLineChars="200"/>
        <w:rPr>
          <w:rFonts w:ascii="宋体" w:hAnsi="宋体" w:cs="宋体"/>
          <w:color w:val="auto"/>
          <w:kern w:val="0"/>
          <w:szCs w:val="21"/>
        </w:rPr>
      </w:pPr>
      <w:r>
        <w:rPr>
          <w:rFonts w:ascii="宋体" w:hAnsi="宋体" w:cs="宋体"/>
          <w:color w:val="auto"/>
          <w:kern w:val="0"/>
          <w:szCs w:val="21"/>
        </w:rPr>
        <w:t>5</w:t>
      </w:r>
      <w:r>
        <w:rPr>
          <w:rFonts w:hint="eastAsia" w:ascii="宋体" w:hAnsi="宋体" w:cs="宋体"/>
          <w:color w:val="auto"/>
          <w:kern w:val="0"/>
          <w:szCs w:val="21"/>
        </w:rPr>
        <w:t>、所投产品报价须符合固定资产管理相关规定（《事业单位财务规则》（财政部令第108号），</w:t>
      </w:r>
      <w:r>
        <w:rPr>
          <w:rFonts w:hint="eastAsia" w:ascii="宋体" w:hAnsi="宋体" w:cs="宋体"/>
          <w:b/>
          <w:color w:val="auto"/>
          <w:kern w:val="0"/>
          <w:szCs w:val="21"/>
        </w:rPr>
        <w:t>否则其投标无效</w:t>
      </w:r>
      <w:r>
        <w:rPr>
          <w:rFonts w:hint="eastAsia" w:ascii="宋体" w:hAnsi="宋体" w:cs="宋体"/>
          <w:color w:val="auto"/>
          <w:kern w:val="0"/>
          <w:szCs w:val="21"/>
        </w:rPr>
        <w:t>。</w:t>
      </w:r>
    </w:p>
    <w:p w14:paraId="14D49EAA">
      <w:pPr>
        <w:adjustRightInd w:val="0"/>
        <w:snapToGrid w:val="0"/>
        <w:spacing w:before="120" w:beforeLines="50" w:line="310" w:lineRule="exact"/>
        <w:ind w:firstLine="422" w:firstLineChars="200"/>
        <w:rPr>
          <w:rFonts w:ascii="宋体" w:hAnsi="宋体" w:cs="宋体"/>
          <w:b/>
          <w:bCs/>
          <w:color w:val="auto"/>
          <w:kern w:val="0"/>
          <w:szCs w:val="21"/>
        </w:rPr>
      </w:pPr>
      <w:r>
        <w:rPr>
          <w:rFonts w:hint="eastAsia" w:ascii="宋体" w:hAnsi="宋体" w:cs="宋体"/>
          <w:b/>
          <w:bCs/>
          <w:color w:val="auto"/>
          <w:kern w:val="0"/>
          <w:szCs w:val="21"/>
        </w:rPr>
        <w:t>★6、投标人或制造商凡</w:t>
      </w:r>
      <w:r>
        <w:rPr>
          <w:rFonts w:hint="eastAsia" w:asciiTheme="minorEastAsia" w:hAnsiTheme="minorEastAsia"/>
          <w:b/>
          <w:bCs/>
          <w:color w:val="auto"/>
          <w:szCs w:val="21"/>
        </w:rPr>
        <w:t>在《全国医药价格和招采失信企业风险警示名单》被列入医药价格和招采信用评级等级为“中等”、“严重”及"特别严重”企业名单的，其投标无效。</w:t>
      </w:r>
    </w:p>
    <w:p w14:paraId="3BD7AE5C">
      <w:pPr>
        <w:rPr>
          <w:rFonts w:ascii="黑体" w:hAnsi="黑体" w:eastAsia="黑体"/>
          <w:color w:val="auto"/>
          <w:sz w:val="28"/>
          <w:szCs w:val="28"/>
        </w:rPr>
      </w:pPr>
      <w:bookmarkStart w:id="154" w:name="_Toc13946"/>
      <w:r>
        <w:rPr>
          <w:rFonts w:hint="eastAsia" w:ascii="黑体" w:hAnsi="黑体" w:eastAsia="黑体"/>
          <w:color w:val="auto"/>
          <w:sz w:val="28"/>
          <w:szCs w:val="28"/>
        </w:rPr>
        <w:br w:type="page"/>
      </w:r>
    </w:p>
    <w:p w14:paraId="5C48C7A7">
      <w:pPr>
        <w:pStyle w:val="3"/>
        <w:adjustRightInd w:val="0"/>
        <w:snapToGrid w:val="0"/>
        <w:spacing w:before="120" w:beforeLines="50" w:line="420" w:lineRule="exact"/>
        <w:jc w:val="center"/>
        <w:rPr>
          <w:rFonts w:ascii="黑体" w:hAnsi="黑体" w:eastAsia="黑体"/>
          <w:color w:val="auto"/>
          <w:sz w:val="28"/>
          <w:szCs w:val="28"/>
        </w:rPr>
      </w:pPr>
      <w:r>
        <w:rPr>
          <w:rFonts w:hint="eastAsia" w:ascii="黑体" w:hAnsi="黑体" w:eastAsia="黑体"/>
          <w:color w:val="auto"/>
          <w:sz w:val="28"/>
          <w:szCs w:val="28"/>
        </w:rPr>
        <w:t xml:space="preserve">第二节 </w:t>
      </w:r>
      <w:r>
        <w:rPr>
          <w:rFonts w:ascii="黑体" w:hAnsi="黑体" w:eastAsia="黑体"/>
          <w:color w:val="auto"/>
          <w:sz w:val="28"/>
          <w:szCs w:val="28"/>
        </w:rPr>
        <w:t>技术要求</w:t>
      </w:r>
      <w:bookmarkEnd w:id="154"/>
    </w:p>
    <w:p w14:paraId="6F202F67">
      <w:pPr>
        <w:spacing w:line="420" w:lineRule="exact"/>
        <w:rPr>
          <w:rFonts w:ascii="宋体" w:hAnsi="宋体"/>
          <w:b/>
          <w:bCs/>
          <w:color w:val="auto"/>
          <w:sz w:val="28"/>
          <w:szCs w:val="28"/>
        </w:rPr>
      </w:pPr>
      <w:r>
        <w:rPr>
          <w:rFonts w:ascii="宋体" w:hAnsi="宋体"/>
          <w:b/>
          <w:bCs/>
          <w:color w:val="auto"/>
          <w:sz w:val="28"/>
          <w:szCs w:val="28"/>
        </w:rPr>
        <w:t>一、</w:t>
      </w:r>
      <w:r>
        <w:rPr>
          <w:rFonts w:hint="eastAsia" w:ascii="宋体" w:hAnsi="宋体"/>
          <w:b/>
          <w:bCs/>
          <w:color w:val="auto"/>
          <w:sz w:val="28"/>
          <w:szCs w:val="28"/>
        </w:rPr>
        <w:t>设备及技术要求</w:t>
      </w:r>
      <w:bookmarkStart w:id="155" w:name="_Toc74007431"/>
    </w:p>
    <w:p w14:paraId="40C7652C">
      <w:pPr>
        <w:spacing w:line="420" w:lineRule="exact"/>
        <w:jc w:val="center"/>
        <w:rPr>
          <w:rFonts w:ascii="宋体" w:hAnsi="宋体"/>
          <w:color w:val="auto"/>
          <w:szCs w:val="21"/>
        </w:rPr>
      </w:pPr>
      <w:r>
        <w:rPr>
          <w:rFonts w:hint="eastAsia" w:asciiTheme="minorEastAsia" w:hAnsiTheme="minorEastAsia" w:eastAsiaTheme="minorEastAsia"/>
          <w:b/>
          <w:color w:val="auto"/>
          <w:szCs w:val="21"/>
        </w:rPr>
        <w:t>包1：</w:t>
      </w:r>
      <w:r>
        <w:rPr>
          <w:rFonts w:asciiTheme="minorEastAsia" w:hAnsiTheme="minorEastAsia" w:eastAsiaTheme="minorEastAsia"/>
          <w:b/>
          <w:color w:val="auto"/>
          <w:szCs w:val="21"/>
        </w:rPr>
        <w:t>CGF医用离心机</w:t>
      </w:r>
    </w:p>
    <w:p w14:paraId="3C813269">
      <w:pPr>
        <w:widowControl/>
        <w:spacing w:line="420" w:lineRule="exact"/>
        <w:jc w:val="left"/>
        <w:rPr>
          <w:rFonts w:ascii="宋体" w:hAnsi="宋体"/>
          <w:color w:val="auto"/>
          <w:szCs w:val="21"/>
        </w:rPr>
      </w:pPr>
      <w:r>
        <w:rPr>
          <w:rFonts w:hint="eastAsia" w:ascii="宋体" w:hAnsi="宋体"/>
          <w:color w:val="auto"/>
          <w:szCs w:val="21"/>
        </w:rPr>
        <w:t>一、技术参数要求                                                                                      1、用于软组织填充                                                                                       2、有很强的刺激胶原再生能力,可用于皱纹去除。</w:t>
      </w:r>
    </w:p>
    <w:p w14:paraId="4377AF6D">
      <w:pPr>
        <w:widowControl/>
        <w:spacing w:line="420" w:lineRule="exact"/>
        <w:jc w:val="left"/>
        <w:rPr>
          <w:rFonts w:ascii="宋体" w:hAnsi="宋体"/>
          <w:color w:val="auto"/>
          <w:szCs w:val="21"/>
        </w:rPr>
      </w:pPr>
      <w:r>
        <w:rPr>
          <w:rFonts w:hint="eastAsia" w:ascii="宋体" w:hAnsi="宋体"/>
          <w:color w:val="auto"/>
          <w:szCs w:val="21"/>
        </w:rPr>
        <w:t>3、电脑控制变速离心系统内置自动通风温度控制设计,保持恒温15℃的低温环境,避免血液样本受到热损伤。                                                                              4、机器密闭设计和采血管套管保护放置设计，保证生物安全性。</w:t>
      </w:r>
    </w:p>
    <w:p w14:paraId="6191B4CC">
      <w:pPr>
        <w:widowControl/>
        <w:spacing w:line="420" w:lineRule="exact"/>
        <w:jc w:val="left"/>
        <w:rPr>
          <w:rFonts w:ascii="宋体" w:hAnsi="宋体"/>
          <w:color w:val="auto"/>
          <w:szCs w:val="21"/>
        </w:rPr>
      </w:pPr>
      <w:r>
        <w:rPr>
          <w:rFonts w:hint="eastAsia" w:ascii="宋体" w:hAnsi="宋体"/>
          <w:color w:val="auto"/>
          <w:szCs w:val="21"/>
        </w:rPr>
        <w:t>5、可同时使用 8个试管制备CGF,单试管制备容量为9 ml。</w:t>
      </w:r>
    </w:p>
    <w:p w14:paraId="2DD1EBE6">
      <w:pPr>
        <w:widowControl/>
        <w:spacing w:line="420" w:lineRule="exact"/>
        <w:jc w:val="left"/>
        <w:rPr>
          <w:rFonts w:ascii="宋体" w:hAnsi="宋体"/>
          <w:color w:val="auto"/>
          <w:szCs w:val="21"/>
        </w:rPr>
      </w:pPr>
      <w:r>
        <w:rPr>
          <w:rFonts w:hint="eastAsia" w:ascii="宋体" w:hAnsi="宋体"/>
          <w:color w:val="auto"/>
          <w:szCs w:val="21"/>
        </w:rPr>
        <w:t>6、采用3种试管分别可离心出胶状和液体两种形态的CGF，适用不同临床用途。</w:t>
      </w:r>
    </w:p>
    <w:p w14:paraId="69539EB5">
      <w:pPr>
        <w:spacing w:line="420" w:lineRule="exact"/>
        <w:rPr>
          <w:rFonts w:hint="eastAsia" w:ascii="宋体" w:hAnsi="宋体"/>
          <w:color w:val="auto"/>
          <w:szCs w:val="21"/>
        </w:rPr>
      </w:pPr>
      <w:r>
        <w:rPr>
          <w:rFonts w:hint="eastAsia" w:ascii="宋体" w:hAnsi="宋体"/>
          <w:color w:val="auto"/>
          <w:szCs w:val="21"/>
        </w:rPr>
        <w:t>7、预设CGF（高度浓缩生长因子纤维蛋白离心制造程序）及PRP（富血小板血浆离心制造程序）两种制备程序,一键式操作，CGF制备完全自动化。</w:t>
      </w:r>
    </w:p>
    <w:p w14:paraId="56C9340E">
      <w:pPr>
        <w:spacing w:line="420" w:lineRule="exact"/>
        <w:rPr>
          <w:rFonts w:hint="eastAsia" w:ascii="宋体" w:hAnsi="宋体"/>
          <w:color w:val="auto"/>
          <w:szCs w:val="21"/>
          <w:lang w:val="en-US" w:eastAsia="zh-CN"/>
        </w:rPr>
      </w:pPr>
      <w:r>
        <w:rPr>
          <w:rFonts w:hint="eastAsia" w:ascii="宋体" w:hAnsi="宋体"/>
          <w:color w:val="auto"/>
          <w:szCs w:val="21"/>
          <w:lang w:val="en-US" w:eastAsia="zh-CN"/>
        </w:rPr>
        <w:t>8、整机质保三年</w:t>
      </w:r>
    </w:p>
    <w:p w14:paraId="47FC82E2">
      <w:pPr>
        <w:spacing w:line="420" w:lineRule="exact"/>
        <w:jc w:val="center"/>
        <w:rPr>
          <w:rFonts w:asciiTheme="minorEastAsia" w:hAnsiTheme="minorEastAsia" w:eastAsiaTheme="minorEastAsia"/>
          <w:b/>
          <w:color w:val="auto"/>
          <w:szCs w:val="21"/>
        </w:rPr>
      </w:pPr>
    </w:p>
    <w:p w14:paraId="3D35FEFB">
      <w:pPr>
        <w:keepNext w:val="0"/>
        <w:keepLines w:val="0"/>
        <w:pageBreakBefore w:val="0"/>
        <w:kinsoku/>
        <w:wordWrap/>
        <w:overflowPunct/>
        <w:topLinePunct w:val="0"/>
        <w:autoSpaceDE/>
        <w:autoSpaceDN/>
        <w:bidi w:val="0"/>
        <w:adjustRightInd/>
        <w:snapToGrid/>
        <w:spacing w:line="410" w:lineRule="exact"/>
        <w:jc w:val="center"/>
        <w:textAlignment w:val="auto"/>
        <w:rPr>
          <w:rFonts w:asciiTheme="minorEastAsia" w:hAnsiTheme="minorEastAsia" w:eastAsiaTheme="minorEastAsia"/>
          <w:b/>
          <w:color w:val="auto"/>
          <w:szCs w:val="21"/>
        </w:rPr>
      </w:pPr>
      <w:r>
        <w:rPr>
          <w:rFonts w:hint="eastAsia" w:asciiTheme="minorEastAsia" w:hAnsiTheme="minorEastAsia" w:eastAsiaTheme="minorEastAsia"/>
          <w:b/>
          <w:color w:val="auto"/>
          <w:szCs w:val="21"/>
        </w:rPr>
        <w:t>包2：</w:t>
      </w:r>
      <w:r>
        <w:rPr>
          <w:rFonts w:asciiTheme="minorEastAsia" w:hAnsiTheme="minorEastAsia" w:eastAsiaTheme="minorEastAsia"/>
          <w:b/>
          <w:color w:val="auto"/>
          <w:szCs w:val="21"/>
        </w:rPr>
        <w:t>LED光动力治疗仪</w:t>
      </w:r>
      <w:r>
        <w:rPr>
          <w:rFonts w:hint="eastAsia" w:asciiTheme="minorEastAsia" w:hAnsiTheme="minorEastAsia" w:eastAsiaTheme="minorEastAsia"/>
          <w:b/>
          <w:color w:val="auto"/>
          <w:szCs w:val="21"/>
        </w:rPr>
        <w:t>（2-1）</w:t>
      </w:r>
    </w:p>
    <w:p w14:paraId="5B83A5B8">
      <w:pPr>
        <w:keepNext w:val="0"/>
        <w:keepLines w:val="0"/>
        <w:pageBreakBefore w:val="0"/>
        <w:widowControl/>
        <w:kinsoku/>
        <w:wordWrap/>
        <w:overflowPunct/>
        <w:topLinePunct w:val="0"/>
        <w:autoSpaceDE/>
        <w:autoSpaceDN/>
        <w:bidi w:val="0"/>
        <w:adjustRightInd/>
        <w:snapToGrid/>
        <w:spacing w:line="410" w:lineRule="exact"/>
        <w:jc w:val="left"/>
        <w:textAlignment w:val="auto"/>
        <w:rPr>
          <w:rFonts w:ascii="宋体" w:hAnsi="宋体"/>
          <w:color w:val="auto"/>
          <w:szCs w:val="21"/>
        </w:rPr>
      </w:pPr>
      <w:r>
        <w:rPr>
          <w:rFonts w:hint="eastAsia" w:ascii="宋体" w:hAnsi="宋体"/>
          <w:color w:val="auto"/>
          <w:szCs w:val="21"/>
        </w:rPr>
        <w:t>一、总体要求：</w:t>
      </w:r>
    </w:p>
    <w:p w14:paraId="64796912">
      <w:pPr>
        <w:keepNext w:val="0"/>
        <w:keepLines w:val="0"/>
        <w:pageBreakBefore w:val="0"/>
        <w:widowControl/>
        <w:kinsoku/>
        <w:wordWrap/>
        <w:overflowPunct/>
        <w:topLinePunct w:val="0"/>
        <w:autoSpaceDE/>
        <w:autoSpaceDN/>
        <w:bidi w:val="0"/>
        <w:adjustRightInd/>
        <w:snapToGrid/>
        <w:spacing w:line="410" w:lineRule="exact"/>
        <w:jc w:val="left"/>
        <w:textAlignment w:val="auto"/>
        <w:rPr>
          <w:rFonts w:ascii="宋体" w:hAnsi="宋体"/>
          <w:color w:val="auto"/>
          <w:szCs w:val="21"/>
        </w:rPr>
      </w:pPr>
      <w:r>
        <w:rPr>
          <w:rFonts w:hint="eastAsia" w:ascii="宋体" w:hAnsi="宋体"/>
          <w:color w:val="auto"/>
          <w:szCs w:val="21"/>
        </w:rPr>
        <w:t>1、适应症：（1）消除炎症；（2）促进伤口愈合；（3）联合ALA治疗外阴尖锐湿疣</w:t>
      </w:r>
    </w:p>
    <w:p w14:paraId="20C0C097">
      <w:pPr>
        <w:keepNext w:val="0"/>
        <w:keepLines w:val="0"/>
        <w:pageBreakBefore w:val="0"/>
        <w:widowControl/>
        <w:kinsoku/>
        <w:wordWrap/>
        <w:overflowPunct/>
        <w:topLinePunct w:val="0"/>
        <w:autoSpaceDE/>
        <w:autoSpaceDN/>
        <w:bidi w:val="0"/>
        <w:adjustRightInd/>
        <w:snapToGrid/>
        <w:spacing w:line="410" w:lineRule="exact"/>
        <w:jc w:val="left"/>
        <w:textAlignment w:val="auto"/>
        <w:rPr>
          <w:rFonts w:ascii="宋体" w:hAnsi="宋体"/>
          <w:color w:val="auto"/>
          <w:szCs w:val="21"/>
        </w:rPr>
      </w:pPr>
      <w:r>
        <w:rPr>
          <w:rFonts w:hint="eastAsia" w:ascii="宋体" w:hAnsi="宋体"/>
          <w:color w:val="auto"/>
          <w:szCs w:val="21"/>
        </w:rPr>
        <w:t>二、主要技术要求：</w:t>
      </w:r>
    </w:p>
    <w:p w14:paraId="1DA92DA9">
      <w:pPr>
        <w:keepNext w:val="0"/>
        <w:keepLines w:val="0"/>
        <w:pageBreakBefore w:val="0"/>
        <w:widowControl/>
        <w:kinsoku/>
        <w:wordWrap/>
        <w:overflowPunct/>
        <w:topLinePunct w:val="0"/>
        <w:autoSpaceDE/>
        <w:autoSpaceDN/>
        <w:bidi w:val="0"/>
        <w:adjustRightInd/>
        <w:snapToGrid/>
        <w:spacing w:line="410" w:lineRule="exact"/>
        <w:jc w:val="left"/>
        <w:textAlignment w:val="auto"/>
        <w:rPr>
          <w:rFonts w:ascii="宋体" w:hAnsi="宋体"/>
          <w:color w:val="auto"/>
          <w:szCs w:val="21"/>
        </w:rPr>
      </w:pPr>
      <w:r>
        <w:rPr>
          <w:rFonts w:hint="eastAsia" w:ascii="宋体" w:hAnsi="宋体"/>
          <w:color w:val="auto"/>
          <w:szCs w:val="21"/>
        </w:rPr>
        <w:t>1、设备组成：该产品由主机、圆筒式治疗头、悬臂升降支架组成；</w:t>
      </w:r>
    </w:p>
    <w:p w14:paraId="7E4966D6">
      <w:pPr>
        <w:keepNext w:val="0"/>
        <w:keepLines w:val="0"/>
        <w:pageBreakBefore w:val="0"/>
        <w:widowControl/>
        <w:kinsoku/>
        <w:wordWrap/>
        <w:overflowPunct/>
        <w:topLinePunct w:val="0"/>
        <w:autoSpaceDE/>
        <w:autoSpaceDN/>
        <w:bidi w:val="0"/>
        <w:adjustRightInd/>
        <w:snapToGrid/>
        <w:spacing w:line="410" w:lineRule="exact"/>
        <w:jc w:val="left"/>
        <w:textAlignment w:val="auto"/>
        <w:rPr>
          <w:rFonts w:ascii="宋体" w:hAnsi="宋体"/>
          <w:color w:val="auto"/>
          <w:szCs w:val="21"/>
        </w:rPr>
      </w:pPr>
      <w:r>
        <w:rPr>
          <w:rFonts w:hint="eastAsia" w:ascii="宋体" w:hAnsi="宋体"/>
          <w:color w:val="auto"/>
          <w:szCs w:val="21"/>
        </w:rPr>
        <w:t>2、设备特点：圆筒式治疗头可任意方向转动，并达到高功率局部均匀照射患部的特殊效果；</w:t>
      </w:r>
    </w:p>
    <w:p w14:paraId="60FB13A8">
      <w:pPr>
        <w:keepNext w:val="0"/>
        <w:keepLines w:val="0"/>
        <w:pageBreakBefore w:val="0"/>
        <w:widowControl/>
        <w:kinsoku/>
        <w:wordWrap/>
        <w:overflowPunct/>
        <w:topLinePunct w:val="0"/>
        <w:autoSpaceDE/>
        <w:autoSpaceDN/>
        <w:bidi w:val="0"/>
        <w:adjustRightInd/>
        <w:snapToGrid/>
        <w:spacing w:line="410" w:lineRule="exact"/>
        <w:jc w:val="left"/>
        <w:textAlignment w:val="auto"/>
        <w:rPr>
          <w:rFonts w:ascii="宋体" w:hAnsi="宋体"/>
          <w:color w:val="auto"/>
          <w:szCs w:val="21"/>
        </w:rPr>
      </w:pPr>
      <w:r>
        <w:rPr>
          <w:rFonts w:hint="eastAsia" w:ascii="宋体" w:hAnsi="宋体"/>
          <w:color w:val="auto"/>
          <w:szCs w:val="21"/>
        </w:rPr>
        <w:t>3、选用波长：红光633±10nm；</w:t>
      </w:r>
    </w:p>
    <w:p w14:paraId="1B2DEDDF">
      <w:pPr>
        <w:keepNext w:val="0"/>
        <w:keepLines w:val="0"/>
        <w:pageBreakBefore w:val="0"/>
        <w:widowControl/>
        <w:kinsoku/>
        <w:wordWrap/>
        <w:overflowPunct/>
        <w:topLinePunct w:val="0"/>
        <w:autoSpaceDE/>
        <w:autoSpaceDN/>
        <w:bidi w:val="0"/>
        <w:adjustRightInd/>
        <w:snapToGrid/>
        <w:spacing w:line="410" w:lineRule="exact"/>
        <w:jc w:val="left"/>
        <w:textAlignment w:val="auto"/>
        <w:rPr>
          <w:rFonts w:ascii="宋体" w:hAnsi="宋体"/>
          <w:color w:val="auto"/>
          <w:szCs w:val="21"/>
        </w:rPr>
      </w:pPr>
      <w:r>
        <w:rPr>
          <w:rFonts w:hint="eastAsia" w:ascii="宋体" w:hAnsi="宋体"/>
          <w:color w:val="auto"/>
          <w:szCs w:val="21"/>
        </w:rPr>
        <w:t>4、光输出功率密度20mW/cm2-100mW/cm2（距离出光口10cm处）；</w:t>
      </w:r>
    </w:p>
    <w:p w14:paraId="4C0B55AF">
      <w:pPr>
        <w:keepNext w:val="0"/>
        <w:keepLines w:val="0"/>
        <w:pageBreakBefore w:val="0"/>
        <w:widowControl/>
        <w:kinsoku/>
        <w:wordWrap/>
        <w:overflowPunct/>
        <w:topLinePunct w:val="0"/>
        <w:autoSpaceDE/>
        <w:autoSpaceDN/>
        <w:bidi w:val="0"/>
        <w:adjustRightInd/>
        <w:snapToGrid/>
        <w:spacing w:line="410" w:lineRule="exact"/>
        <w:jc w:val="left"/>
        <w:textAlignment w:val="auto"/>
        <w:rPr>
          <w:rFonts w:ascii="宋体" w:hAnsi="宋体"/>
          <w:color w:val="auto"/>
          <w:szCs w:val="21"/>
        </w:rPr>
      </w:pPr>
      <w:r>
        <w:rPr>
          <w:rFonts w:hint="eastAsia" w:ascii="宋体" w:hAnsi="宋体"/>
          <w:color w:val="auto"/>
          <w:szCs w:val="21"/>
        </w:rPr>
        <w:t>5、特有治疗光栏进行局部照射；</w:t>
      </w:r>
    </w:p>
    <w:p w14:paraId="69E2F3F6">
      <w:pPr>
        <w:keepNext w:val="0"/>
        <w:keepLines w:val="0"/>
        <w:pageBreakBefore w:val="0"/>
        <w:widowControl/>
        <w:kinsoku/>
        <w:wordWrap/>
        <w:overflowPunct/>
        <w:topLinePunct w:val="0"/>
        <w:autoSpaceDE/>
        <w:autoSpaceDN/>
        <w:bidi w:val="0"/>
        <w:adjustRightInd/>
        <w:snapToGrid/>
        <w:spacing w:line="410" w:lineRule="exact"/>
        <w:jc w:val="left"/>
        <w:textAlignment w:val="auto"/>
        <w:rPr>
          <w:rFonts w:ascii="宋体" w:hAnsi="宋体"/>
          <w:color w:val="auto"/>
          <w:szCs w:val="21"/>
        </w:rPr>
      </w:pPr>
      <w:r>
        <w:rPr>
          <w:rFonts w:hint="eastAsia" w:ascii="宋体" w:hAnsi="宋体"/>
          <w:color w:val="auto"/>
          <w:szCs w:val="21"/>
        </w:rPr>
        <w:t>6、治疗仪定时时间范围:1-60min:连续可调，</w:t>
      </w:r>
    </w:p>
    <w:p w14:paraId="42B618F5">
      <w:pPr>
        <w:keepNext w:val="0"/>
        <w:keepLines w:val="0"/>
        <w:pageBreakBefore w:val="0"/>
        <w:widowControl/>
        <w:kinsoku/>
        <w:wordWrap/>
        <w:overflowPunct/>
        <w:topLinePunct w:val="0"/>
        <w:autoSpaceDE/>
        <w:autoSpaceDN/>
        <w:bidi w:val="0"/>
        <w:adjustRightInd/>
        <w:snapToGrid/>
        <w:spacing w:line="410" w:lineRule="exact"/>
        <w:jc w:val="left"/>
        <w:textAlignment w:val="auto"/>
        <w:rPr>
          <w:rFonts w:ascii="宋体" w:hAnsi="宋体"/>
          <w:color w:val="auto"/>
          <w:szCs w:val="21"/>
        </w:rPr>
      </w:pPr>
      <w:r>
        <w:rPr>
          <w:rFonts w:hint="eastAsia" w:ascii="宋体" w:hAnsi="宋体"/>
          <w:color w:val="auto"/>
          <w:szCs w:val="21"/>
        </w:rPr>
        <w:t>7、治疗头:升降幅度≥28cm，</w:t>
      </w:r>
    </w:p>
    <w:p w14:paraId="5EE83AC1">
      <w:pPr>
        <w:keepNext w:val="0"/>
        <w:keepLines w:val="0"/>
        <w:pageBreakBefore w:val="0"/>
        <w:widowControl/>
        <w:kinsoku/>
        <w:wordWrap/>
        <w:overflowPunct/>
        <w:topLinePunct w:val="0"/>
        <w:autoSpaceDE/>
        <w:autoSpaceDN/>
        <w:bidi w:val="0"/>
        <w:adjustRightInd/>
        <w:snapToGrid/>
        <w:spacing w:line="410" w:lineRule="exact"/>
        <w:jc w:val="left"/>
        <w:textAlignment w:val="auto"/>
        <w:rPr>
          <w:rFonts w:ascii="宋体" w:hAnsi="宋体"/>
          <w:color w:val="auto"/>
          <w:szCs w:val="21"/>
        </w:rPr>
      </w:pPr>
      <w:r>
        <w:rPr>
          <w:rFonts w:hint="eastAsia" w:ascii="宋体" w:hAnsi="宋体"/>
          <w:color w:val="auto"/>
          <w:szCs w:val="21"/>
        </w:rPr>
        <w:t>8、显示器:彩色触摸显示屏</w:t>
      </w:r>
    </w:p>
    <w:p w14:paraId="0E22F075">
      <w:pPr>
        <w:keepNext w:val="0"/>
        <w:keepLines w:val="0"/>
        <w:pageBreakBefore w:val="0"/>
        <w:widowControl/>
        <w:kinsoku/>
        <w:wordWrap/>
        <w:overflowPunct/>
        <w:topLinePunct w:val="0"/>
        <w:autoSpaceDE/>
        <w:autoSpaceDN/>
        <w:bidi w:val="0"/>
        <w:adjustRightInd/>
        <w:snapToGrid/>
        <w:spacing w:line="410" w:lineRule="exact"/>
        <w:jc w:val="left"/>
        <w:textAlignment w:val="auto"/>
        <w:rPr>
          <w:rFonts w:ascii="宋体" w:hAnsi="宋体"/>
          <w:color w:val="auto"/>
          <w:szCs w:val="21"/>
        </w:rPr>
      </w:pPr>
      <w:r>
        <w:rPr>
          <w:rFonts w:hint="eastAsia" w:ascii="宋体" w:hAnsi="宋体"/>
          <w:color w:val="auto"/>
          <w:szCs w:val="21"/>
        </w:rPr>
        <w:t>9、制动装置：治疗仪的脚轮中有2个脚轮带有制动装置；                                                                                                                                                                                               ★10、整机质保三年</w:t>
      </w:r>
    </w:p>
    <w:p w14:paraId="6D6F7305">
      <w:pPr>
        <w:keepNext w:val="0"/>
        <w:keepLines w:val="0"/>
        <w:pageBreakBefore w:val="0"/>
        <w:widowControl/>
        <w:kinsoku/>
        <w:wordWrap/>
        <w:overflowPunct/>
        <w:topLinePunct w:val="0"/>
        <w:autoSpaceDE/>
        <w:autoSpaceDN/>
        <w:bidi w:val="0"/>
        <w:adjustRightInd/>
        <w:snapToGrid/>
        <w:spacing w:line="410" w:lineRule="exact"/>
        <w:jc w:val="left"/>
        <w:textAlignment w:val="auto"/>
        <w:rPr>
          <w:rFonts w:ascii="宋体" w:hAnsi="宋体"/>
          <w:color w:val="auto"/>
          <w:szCs w:val="21"/>
        </w:rPr>
      </w:pPr>
      <w:r>
        <w:rPr>
          <w:rFonts w:hint="eastAsia" w:ascii="宋体" w:hAnsi="宋体"/>
          <w:color w:val="auto"/>
          <w:szCs w:val="21"/>
        </w:rPr>
        <w:t>三、配置要求</w:t>
      </w:r>
    </w:p>
    <w:p w14:paraId="679C81B2">
      <w:pPr>
        <w:keepNext w:val="0"/>
        <w:keepLines w:val="0"/>
        <w:pageBreakBefore w:val="0"/>
        <w:widowControl/>
        <w:kinsoku/>
        <w:wordWrap/>
        <w:overflowPunct/>
        <w:topLinePunct w:val="0"/>
        <w:autoSpaceDE/>
        <w:autoSpaceDN/>
        <w:bidi w:val="0"/>
        <w:adjustRightInd/>
        <w:snapToGrid/>
        <w:spacing w:line="410" w:lineRule="exact"/>
        <w:jc w:val="left"/>
        <w:textAlignment w:val="auto"/>
        <w:rPr>
          <w:rFonts w:ascii="宋体" w:hAnsi="宋体"/>
          <w:color w:val="auto"/>
          <w:szCs w:val="21"/>
        </w:rPr>
      </w:pPr>
      <w:r>
        <w:rPr>
          <w:rFonts w:hint="eastAsia" w:ascii="宋体" w:hAnsi="宋体"/>
          <w:color w:val="auto"/>
          <w:szCs w:val="21"/>
        </w:rPr>
        <w:t>1、主机一台</w:t>
      </w:r>
    </w:p>
    <w:p w14:paraId="7A2885AB">
      <w:pPr>
        <w:keepNext w:val="0"/>
        <w:keepLines w:val="0"/>
        <w:pageBreakBefore w:val="0"/>
        <w:widowControl/>
        <w:kinsoku/>
        <w:wordWrap/>
        <w:overflowPunct/>
        <w:topLinePunct w:val="0"/>
        <w:autoSpaceDE/>
        <w:autoSpaceDN/>
        <w:bidi w:val="0"/>
        <w:adjustRightInd/>
        <w:snapToGrid/>
        <w:spacing w:line="410" w:lineRule="exact"/>
        <w:jc w:val="left"/>
        <w:textAlignment w:val="auto"/>
        <w:rPr>
          <w:rFonts w:ascii="宋体" w:hAnsi="宋体"/>
          <w:color w:val="auto"/>
          <w:szCs w:val="21"/>
        </w:rPr>
      </w:pPr>
      <w:r>
        <w:rPr>
          <w:rFonts w:hint="eastAsia" w:ascii="宋体" w:hAnsi="宋体"/>
          <w:color w:val="auto"/>
          <w:szCs w:val="21"/>
        </w:rPr>
        <w:t>2、治疗头一个</w:t>
      </w:r>
    </w:p>
    <w:p w14:paraId="7F9CE28F">
      <w:pPr>
        <w:keepNext w:val="0"/>
        <w:keepLines w:val="0"/>
        <w:pageBreakBefore w:val="0"/>
        <w:widowControl/>
        <w:kinsoku/>
        <w:wordWrap/>
        <w:overflowPunct/>
        <w:topLinePunct w:val="0"/>
        <w:autoSpaceDE/>
        <w:autoSpaceDN/>
        <w:bidi w:val="0"/>
        <w:adjustRightInd/>
        <w:snapToGrid/>
        <w:spacing w:line="410" w:lineRule="exact"/>
        <w:jc w:val="left"/>
        <w:textAlignment w:val="auto"/>
        <w:rPr>
          <w:rFonts w:ascii="宋体" w:hAnsi="宋体"/>
          <w:color w:val="auto"/>
          <w:szCs w:val="21"/>
        </w:rPr>
      </w:pPr>
      <w:r>
        <w:rPr>
          <w:rFonts w:hint="eastAsia" w:ascii="宋体" w:hAnsi="宋体"/>
          <w:color w:val="auto"/>
          <w:szCs w:val="21"/>
        </w:rPr>
        <w:t>3、机器操作说明书一本</w:t>
      </w:r>
    </w:p>
    <w:p w14:paraId="40AC8874">
      <w:pPr>
        <w:keepNext w:val="0"/>
        <w:keepLines w:val="0"/>
        <w:pageBreakBefore w:val="0"/>
        <w:widowControl/>
        <w:kinsoku/>
        <w:wordWrap/>
        <w:overflowPunct/>
        <w:topLinePunct w:val="0"/>
        <w:autoSpaceDE/>
        <w:autoSpaceDN/>
        <w:bidi w:val="0"/>
        <w:adjustRightInd/>
        <w:snapToGrid/>
        <w:spacing w:line="410" w:lineRule="exact"/>
        <w:jc w:val="left"/>
        <w:textAlignment w:val="auto"/>
        <w:rPr>
          <w:rFonts w:ascii="宋体" w:hAnsi="宋体"/>
          <w:color w:val="auto"/>
          <w:szCs w:val="21"/>
        </w:rPr>
      </w:pPr>
      <w:r>
        <w:rPr>
          <w:rFonts w:hint="eastAsia" w:ascii="宋体" w:hAnsi="宋体"/>
          <w:color w:val="auto"/>
          <w:szCs w:val="21"/>
        </w:rPr>
        <w:t>4、合格证</w:t>
      </w:r>
    </w:p>
    <w:p w14:paraId="35FB9166">
      <w:pPr>
        <w:keepNext w:val="0"/>
        <w:keepLines w:val="0"/>
        <w:pageBreakBefore w:val="0"/>
        <w:widowControl/>
        <w:kinsoku/>
        <w:wordWrap/>
        <w:overflowPunct/>
        <w:topLinePunct w:val="0"/>
        <w:autoSpaceDE/>
        <w:autoSpaceDN/>
        <w:bidi w:val="0"/>
        <w:adjustRightInd/>
        <w:snapToGrid/>
        <w:spacing w:line="410" w:lineRule="exact"/>
        <w:jc w:val="left"/>
        <w:textAlignment w:val="auto"/>
        <w:rPr>
          <w:rFonts w:ascii="宋体" w:hAnsi="宋体"/>
          <w:color w:val="auto"/>
          <w:szCs w:val="21"/>
        </w:rPr>
      </w:pPr>
      <w:r>
        <w:rPr>
          <w:rFonts w:hint="eastAsia" w:ascii="宋体" w:hAnsi="宋体"/>
          <w:color w:val="auto"/>
          <w:szCs w:val="21"/>
        </w:rPr>
        <w:t>5、防护眼镜二副（医生和病人各一副）</w:t>
      </w:r>
    </w:p>
    <w:p w14:paraId="0F05C5EE">
      <w:pPr>
        <w:keepNext w:val="0"/>
        <w:keepLines w:val="0"/>
        <w:pageBreakBefore w:val="0"/>
        <w:widowControl/>
        <w:kinsoku/>
        <w:wordWrap/>
        <w:overflowPunct/>
        <w:topLinePunct w:val="0"/>
        <w:autoSpaceDE/>
        <w:autoSpaceDN/>
        <w:bidi w:val="0"/>
        <w:adjustRightInd/>
        <w:snapToGrid/>
        <w:spacing w:line="410" w:lineRule="exact"/>
        <w:jc w:val="left"/>
        <w:textAlignment w:val="auto"/>
        <w:rPr>
          <w:rFonts w:asciiTheme="minorEastAsia" w:hAnsiTheme="minorEastAsia" w:eastAsiaTheme="minorEastAsia"/>
          <w:b/>
          <w:color w:val="auto"/>
          <w:szCs w:val="21"/>
        </w:rPr>
      </w:pPr>
      <w:r>
        <w:rPr>
          <w:rFonts w:hint="eastAsia" w:ascii="宋体" w:hAnsi="宋体"/>
          <w:color w:val="auto"/>
          <w:szCs w:val="21"/>
        </w:rPr>
        <w:t>6、电源线一根</w:t>
      </w:r>
    </w:p>
    <w:p w14:paraId="6B870710">
      <w:pPr>
        <w:spacing w:line="420" w:lineRule="exact"/>
        <w:jc w:val="center"/>
        <w:rPr>
          <w:rFonts w:asciiTheme="minorEastAsia" w:hAnsiTheme="minorEastAsia" w:eastAsiaTheme="minorEastAsia"/>
          <w:b/>
          <w:color w:val="auto"/>
          <w:szCs w:val="21"/>
        </w:rPr>
      </w:pPr>
      <w:r>
        <w:rPr>
          <w:rFonts w:hint="eastAsia" w:asciiTheme="minorEastAsia" w:hAnsiTheme="minorEastAsia" w:eastAsiaTheme="minorEastAsia"/>
          <w:b/>
          <w:color w:val="auto"/>
          <w:szCs w:val="21"/>
        </w:rPr>
        <w:t>包2：</w:t>
      </w:r>
      <w:r>
        <w:rPr>
          <w:rFonts w:asciiTheme="minorEastAsia" w:hAnsiTheme="minorEastAsia" w:eastAsiaTheme="minorEastAsia"/>
          <w:b/>
          <w:color w:val="auto"/>
          <w:szCs w:val="21"/>
        </w:rPr>
        <w:t xml:space="preserve">LED光动力治疗仪 </w:t>
      </w:r>
      <w:r>
        <w:rPr>
          <w:rFonts w:hint="eastAsia" w:asciiTheme="minorEastAsia" w:hAnsiTheme="minorEastAsia" w:eastAsiaTheme="minorEastAsia"/>
          <w:b/>
          <w:color w:val="auto"/>
          <w:szCs w:val="21"/>
        </w:rPr>
        <w:t>（2-2）</w:t>
      </w:r>
    </w:p>
    <w:p w14:paraId="3626D538">
      <w:pPr>
        <w:widowControl/>
        <w:spacing w:line="420" w:lineRule="exact"/>
        <w:jc w:val="left"/>
        <w:rPr>
          <w:rFonts w:ascii="宋体" w:hAnsi="宋体"/>
          <w:color w:val="auto"/>
          <w:szCs w:val="21"/>
        </w:rPr>
      </w:pPr>
      <w:r>
        <w:rPr>
          <w:rFonts w:hint="eastAsia" w:ascii="宋体" w:hAnsi="宋体"/>
          <w:color w:val="auto"/>
          <w:szCs w:val="21"/>
        </w:rPr>
        <w:t>一、总体要求：</w:t>
      </w:r>
    </w:p>
    <w:p w14:paraId="0ACE881C">
      <w:pPr>
        <w:widowControl/>
        <w:spacing w:line="420" w:lineRule="exact"/>
        <w:jc w:val="left"/>
        <w:rPr>
          <w:rFonts w:ascii="宋体" w:hAnsi="宋体"/>
          <w:color w:val="auto"/>
          <w:szCs w:val="21"/>
        </w:rPr>
      </w:pPr>
      <w:r>
        <w:rPr>
          <w:rFonts w:hint="eastAsia" w:ascii="宋体" w:hAnsi="宋体"/>
          <w:color w:val="auto"/>
          <w:szCs w:val="21"/>
        </w:rPr>
        <w:t>可用于（1）消除炎症；（2）促进伤口愈合；（3）联合ALA治疗宫颈尖锐湿疣</w:t>
      </w:r>
    </w:p>
    <w:p w14:paraId="30484794">
      <w:pPr>
        <w:widowControl/>
        <w:spacing w:line="420" w:lineRule="exact"/>
        <w:jc w:val="left"/>
        <w:rPr>
          <w:rFonts w:ascii="宋体" w:hAnsi="宋体"/>
          <w:color w:val="auto"/>
          <w:szCs w:val="21"/>
        </w:rPr>
      </w:pPr>
      <w:r>
        <w:rPr>
          <w:rFonts w:hint="eastAsia" w:ascii="宋体" w:hAnsi="宋体"/>
          <w:color w:val="auto"/>
          <w:szCs w:val="21"/>
        </w:rPr>
        <w:t>二、主要技术参数：</w:t>
      </w:r>
    </w:p>
    <w:p w14:paraId="5FEED573">
      <w:pPr>
        <w:widowControl/>
        <w:spacing w:line="420" w:lineRule="exact"/>
        <w:jc w:val="left"/>
        <w:rPr>
          <w:rFonts w:ascii="宋体" w:hAnsi="宋体"/>
          <w:color w:val="auto"/>
          <w:szCs w:val="21"/>
        </w:rPr>
      </w:pPr>
      <w:r>
        <w:rPr>
          <w:rFonts w:hint="eastAsia" w:ascii="宋体" w:hAnsi="宋体"/>
          <w:color w:val="auto"/>
          <w:szCs w:val="21"/>
        </w:rPr>
        <w:t>1.设备组成：该产品由主机、治疗头组成。</w:t>
      </w:r>
    </w:p>
    <w:p w14:paraId="687F9110">
      <w:pPr>
        <w:widowControl/>
        <w:spacing w:line="420" w:lineRule="exact"/>
        <w:jc w:val="left"/>
        <w:rPr>
          <w:rFonts w:ascii="宋体" w:hAnsi="宋体"/>
          <w:color w:val="auto"/>
          <w:szCs w:val="21"/>
        </w:rPr>
      </w:pPr>
      <w:r>
        <w:rPr>
          <w:rFonts w:hint="eastAsia" w:ascii="宋体" w:hAnsi="宋体"/>
          <w:color w:val="auto"/>
          <w:szCs w:val="21"/>
        </w:rPr>
        <w:t>2.选用波长：红光633±10nm。</w:t>
      </w:r>
    </w:p>
    <w:p w14:paraId="00ED0F6C">
      <w:pPr>
        <w:widowControl/>
        <w:spacing w:line="420" w:lineRule="exact"/>
        <w:jc w:val="left"/>
        <w:rPr>
          <w:rFonts w:ascii="宋体" w:hAnsi="宋体"/>
          <w:color w:val="auto"/>
          <w:szCs w:val="21"/>
        </w:rPr>
      </w:pPr>
      <w:r>
        <w:rPr>
          <w:rFonts w:hint="eastAsia" w:ascii="宋体" w:hAnsi="宋体"/>
          <w:color w:val="auto"/>
          <w:szCs w:val="21"/>
        </w:rPr>
        <w:t>3.光的功率密度：80mW/cm2±20%；</w:t>
      </w:r>
    </w:p>
    <w:p w14:paraId="21755856">
      <w:pPr>
        <w:widowControl/>
        <w:spacing w:line="420" w:lineRule="exact"/>
        <w:jc w:val="left"/>
        <w:rPr>
          <w:rFonts w:ascii="宋体" w:hAnsi="宋体"/>
          <w:color w:val="auto"/>
          <w:szCs w:val="21"/>
        </w:rPr>
      </w:pPr>
      <w:r>
        <w:rPr>
          <w:rFonts w:hint="eastAsia" w:ascii="宋体" w:hAnsi="宋体"/>
          <w:color w:val="auto"/>
          <w:szCs w:val="21"/>
        </w:rPr>
        <w:t>4.光源输出类型：柱状光源输出(长柱式治疗头)</w:t>
      </w:r>
    </w:p>
    <w:p w14:paraId="2DCA9444">
      <w:pPr>
        <w:widowControl/>
        <w:spacing w:line="420" w:lineRule="exact"/>
        <w:jc w:val="left"/>
        <w:rPr>
          <w:rFonts w:ascii="宋体" w:hAnsi="宋体"/>
          <w:color w:val="auto"/>
          <w:szCs w:val="21"/>
        </w:rPr>
      </w:pPr>
      <w:r>
        <w:rPr>
          <w:rFonts w:hint="eastAsia" w:ascii="宋体" w:hAnsi="宋体"/>
          <w:color w:val="auto"/>
          <w:szCs w:val="21"/>
        </w:rPr>
        <w:t>5.柱状光源规格：三种及以上</w:t>
      </w:r>
    </w:p>
    <w:p w14:paraId="4FA6BC72">
      <w:pPr>
        <w:widowControl/>
        <w:spacing w:line="420" w:lineRule="exact"/>
        <w:jc w:val="left"/>
        <w:rPr>
          <w:rFonts w:ascii="宋体" w:hAnsi="宋体"/>
          <w:color w:val="auto"/>
          <w:szCs w:val="21"/>
        </w:rPr>
      </w:pPr>
      <w:r>
        <w:rPr>
          <w:rFonts w:hint="eastAsia" w:ascii="宋体" w:hAnsi="宋体"/>
          <w:color w:val="auto"/>
          <w:szCs w:val="21"/>
        </w:rPr>
        <w:t>6.治疗仪定时时间范围: 1-60min；连续可调，</w:t>
      </w:r>
    </w:p>
    <w:p w14:paraId="4A984B66">
      <w:pPr>
        <w:widowControl/>
        <w:spacing w:line="420" w:lineRule="exact"/>
        <w:jc w:val="left"/>
        <w:rPr>
          <w:rFonts w:ascii="宋体" w:hAnsi="宋体"/>
          <w:color w:val="auto"/>
          <w:szCs w:val="21"/>
        </w:rPr>
      </w:pPr>
      <w:r>
        <w:rPr>
          <w:rFonts w:hint="eastAsia" w:ascii="宋体" w:hAnsi="宋体"/>
          <w:color w:val="auto"/>
          <w:szCs w:val="21"/>
        </w:rPr>
        <w:t>7.立式机</w:t>
      </w:r>
    </w:p>
    <w:p w14:paraId="4F917274">
      <w:pPr>
        <w:widowControl/>
        <w:spacing w:line="420" w:lineRule="exact"/>
        <w:jc w:val="left"/>
        <w:rPr>
          <w:rFonts w:ascii="宋体" w:hAnsi="宋体"/>
          <w:color w:val="auto"/>
          <w:szCs w:val="21"/>
        </w:rPr>
      </w:pPr>
      <w:r>
        <w:rPr>
          <w:rFonts w:hint="eastAsia" w:ascii="宋体" w:hAnsi="宋体"/>
          <w:color w:val="auto"/>
          <w:szCs w:val="21"/>
        </w:rPr>
        <w:t>8.风冷</w:t>
      </w:r>
    </w:p>
    <w:p w14:paraId="19E0A349">
      <w:pPr>
        <w:widowControl/>
        <w:spacing w:line="420" w:lineRule="exact"/>
        <w:jc w:val="left"/>
        <w:rPr>
          <w:rFonts w:ascii="宋体" w:hAnsi="宋体"/>
          <w:color w:val="auto"/>
          <w:szCs w:val="21"/>
        </w:rPr>
      </w:pPr>
      <w:r>
        <w:rPr>
          <w:rFonts w:hint="eastAsia" w:ascii="宋体" w:hAnsi="宋体"/>
          <w:color w:val="auto"/>
          <w:szCs w:val="21"/>
        </w:rPr>
        <w:t>9.治疗头温控方式：水循环冷却自动恒温</w:t>
      </w:r>
    </w:p>
    <w:p w14:paraId="59E4E483">
      <w:pPr>
        <w:widowControl/>
        <w:spacing w:line="420" w:lineRule="exact"/>
        <w:jc w:val="left"/>
        <w:rPr>
          <w:rFonts w:ascii="宋体" w:hAnsi="宋体"/>
          <w:color w:val="auto"/>
          <w:szCs w:val="21"/>
        </w:rPr>
      </w:pPr>
      <w:r>
        <w:rPr>
          <w:rFonts w:hint="eastAsia" w:ascii="宋体" w:hAnsi="宋体"/>
          <w:color w:val="auto"/>
          <w:szCs w:val="21"/>
        </w:rPr>
        <w:t>10.触摸式显示屏</w:t>
      </w:r>
    </w:p>
    <w:p w14:paraId="3D1F49E2">
      <w:pPr>
        <w:widowControl/>
        <w:spacing w:line="420" w:lineRule="exact"/>
        <w:jc w:val="left"/>
        <w:rPr>
          <w:rFonts w:ascii="宋体" w:hAnsi="宋体"/>
          <w:color w:val="auto"/>
          <w:szCs w:val="21"/>
        </w:rPr>
      </w:pPr>
      <w:r>
        <w:rPr>
          <w:rFonts w:hint="eastAsia" w:ascii="宋体" w:hAnsi="宋体"/>
          <w:color w:val="auto"/>
          <w:szCs w:val="21"/>
        </w:rPr>
        <w:t xml:space="preserve">11.制动装置：治疗仪的脚轮中有2个脚轮带有制动装置。                                                                                                                                                                                              </w:t>
      </w:r>
    </w:p>
    <w:p w14:paraId="74624A33">
      <w:pPr>
        <w:widowControl/>
        <w:spacing w:line="420" w:lineRule="exact"/>
        <w:jc w:val="left"/>
        <w:rPr>
          <w:rFonts w:ascii="宋体" w:hAnsi="宋体"/>
          <w:color w:val="auto"/>
          <w:szCs w:val="21"/>
        </w:rPr>
      </w:pPr>
      <w:r>
        <w:rPr>
          <w:rFonts w:hint="eastAsia" w:ascii="宋体" w:hAnsi="宋体"/>
          <w:color w:val="auto"/>
          <w:szCs w:val="21"/>
        </w:rPr>
        <w:t>★12.整机原厂质保三年。                                                                                                                                                                                                                                                   三、配置要求：                                                                                                                                                                                                                                                      1、主机一台</w:t>
      </w:r>
    </w:p>
    <w:p w14:paraId="79C58454">
      <w:pPr>
        <w:widowControl/>
        <w:spacing w:line="420" w:lineRule="exact"/>
        <w:jc w:val="left"/>
        <w:rPr>
          <w:rFonts w:ascii="宋体" w:hAnsi="宋体"/>
          <w:color w:val="auto"/>
          <w:szCs w:val="21"/>
        </w:rPr>
      </w:pPr>
      <w:r>
        <w:rPr>
          <w:rFonts w:hint="eastAsia" w:ascii="宋体" w:hAnsi="宋体"/>
          <w:color w:val="auto"/>
          <w:szCs w:val="21"/>
        </w:rPr>
        <w:t>2、治疗头</w:t>
      </w:r>
    </w:p>
    <w:p w14:paraId="297289D2">
      <w:pPr>
        <w:widowControl/>
        <w:spacing w:line="420" w:lineRule="exact"/>
        <w:jc w:val="left"/>
        <w:rPr>
          <w:rFonts w:ascii="宋体" w:hAnsi="宋体"/>
          <w:color w:val="auto"/>
          <w:szCs w:val="21"/>
        </w:rPr>
      </w:pPr>
      <w:r>
        <w:rPr>
          <w:rFonts w:hint="eastAsia" w:ascii="宋体" w:hAnsi="宋体"/>
          <w:color w:val="auto"/>
          <w:szCs w:val="21"/>
        </w:rPr>
        <w:t>3、机器操作说明书一本</w:t>
      </w:r>
    </w:p>
    <w:p w14:paraId="2A1E0825">
      <w:pPr>
        <w:widowControl/>
        <w:spacing w:line="420" w:lineRule="exact"/>
        <w:jc w:val="left"/>
        <w:rPr>
          <w:rFonts w:ascii="宋体" w:hAnsi="宋体"/>
          <w:color w:val="auto"/>
          <w:szCs w:val="21"/>
        </w:rPr>
      </w:pPr>
      <w:r>
        <w:rPr>
          <w:rFonts w:hint="eastAsia" w:ascii="宋体" w:hAnsi="宋体"/>
          <w:color w:val="auto"/>
          <w:szCs w:val="21"/>
        </w:rPr>
        <w:t>4、合格证</w:t>
      </w:r>
    </w:p>
    <w:p w14:paraId="5D2B3886">
      <w:pPr>
        <w:widowControl/>
        <w:spacing w:line="420" w:lineRule="exact"/>
        <w:jc w:val="left"/>
        <w:rPr>
          <w:rFonts w:ascii="宋体" w:hAnsi="宋体"/>
          <w:color w:val="auto"/>
          <w:szCs w:val="21"/>
        </w:rPr>
      </w:pPr>
      <w:r>
        <w:rPr>
          <w:rFonts w:hint="eastAsia" w:ascii="宋体" w:hAnsi="宋体"/>
          <w:color w:val="auto"/>
          <w:szCs w:val="21"/>
        </w:rPr>
        <w:t>5、防护眼镜一副</w:t>
      </w:r>
    </w:p>
    <w:p w14:paraId="5E2458A6">
      <w:pPr>
        <w:widowControl/>
        <w:spacing w:line="420" w:lineRule="exact"/>
        <w:jc w:val="left"/>
        <w:rPr>
          <w:rFonts w:asciiTheme="minorEastAsia" w:hAnsiTheme="minorEastAsia" w:eastAsiaTheme="minorEastAsia"/>
          <w:b/>
          <w:color w:val="auto"/>
          <w:szCs w:val="21"/>
        </w:rPr>
      </w:pPr>
      <w:r>
        <w:rPr>
          <w:rFonts w:hint="eastAsia" w:ascii="宋体" w:hAnsi="宋体"/>
          <w:color w:val="auto"/>
          <w:szCs w:val="21"/>
        </w:rPr>
        <w:t xml:space="preserve">  </w:t>
      </w:r>
    </w:p>
    <w:p w14:paraId="3369CEB1">
      <w:pPr>
        <w:spacing w:line="420" w:lineRule="exact"/>
        <w:jc w:val="center"/>
        <w:rPr>
          <w:rFonts w:asciiTheme="minorEastAsia" w:hAnsiTheme="minorEastAsia" w:eastAsiaTheme="minorEastAsia"/>
          <w:b/>
          <w:color w:val="auto"/>
          <w:szCs w:val="21"/>
        </w:rPr>
      </w:pPr>
      <w:r>
        <w:rPr>
          <w:rFonts w:hint="eastAsia" w:asciiTheme="minorEastAsia" w:hAnsiTheme="minorEastAsia" w:eastAsiaTheme="minorEastAsia"/>
          <w:b/>
          <w:color w:val="auto"/>
          <w:szCs w:val="21"/>
        </w:rPr>
        <w:t>包2：</w:t>
      </w:r>
      <w:r>
        <w:rPr>
          <w:rFonts w:asciiTheme="minorEastAsia" w:hAnsiTheme="minorEastAsia" w:eastAsiaTheme="minorEastAsia"/>
          <w:b/>
          <w:color w:val="auto"/>
          <w:szCs w:val="21"/>
        </w:rPr>
        <w:t>半导体激光治疗仪</w:t>
      </w:r>
      <w:r>
        <w:rPr>
          <w:rFonts w:hint="eastAsia" w:asciiTheme="minorEastAsia" w:hAnsiTheme="minorEastAsia" w:eastAsiaTheme="minorEastAsia"/>
          <w:b/>
          <w:color w:val="auto"/>
          <w:szCs w:val="21"/>
        </w:rPr>
        <w:t xml:space="preserve"> （2-3）</w:t>
      </w:r>
    </w:p>
    <w:p w14:paraId="7D2B35D6">
      <w:pPr>
        <w:widowControl/>
        <w:spacing w:line="420" w:lineRule="exact"/>
        <w:jc w:val="left"/>
        <w:rPr>
          <w:rFonts w:ascii="宋体" w:hAnsi="宋体"/>
          <w:color w:val="auto"/>
          <w:szCs w:val="21"/>
        </w:rPr>
      </w:pPr>
      <w:r>
        <w:rPr>
          <w:rFonts w:hint="eastAsia" w:ascii="宋体" w:hAnsi="宋体"/>
          <w:color w:val="auto"/>
          <w:szCs w:val="21"/>
        </w:rPr>
        <w:t>一、设备用途：</w:t>
      </w:r>
    </w:p>
    <w:p w14:paraId="7DBD5544">
      <w:pPr>
        <w:widowControl/>
        <w:spacing w:line="420" w:lineRule="exact"/>
        <w:jc w:val="left"/>
        <w:rPr>
          <w:rFonts w:ascii="宋体" w:hAnsi="宋体"/>
          <w:color w:val="auto"/>
          <w:szCs w:val="21"/>
        </w:rPr>
      </w:pPr>
      <w:r>
        <w:rPr>
          <w:rFonts w:hint="eastAsia" w:ascii="宋体" w:hAnsi="宋体"/>
          <w:color w:val="auto"/>
          <w:szCs w:val="21"/>
        </w:rPr>
        <w:t>用于消除炎症、促进伤口愈合</w:t>
      </w:r>
    </w:p>
    <w:p w14:paraId="637CFBBA">
      <w:pPr>
        <w:widowControl/>
        <w:spacing w:line="420" w:lineRule="exact"/>
        <w:jc w:val="left"/>
        <w:rPr>
          <w:rFonts w:ascii="宋体" w:hAnsi="宋体"/>
          <w:color w:val="auto"/>
          <w:szCs w:val="21"/>
        </w:rPr>
      </w:pPr>
      <w:r>
        <w:rPr>
          <w:rFonts w:hint="eastAsia" w:ascii="宋体" w:hAnsi="宋体"/>
          <w:color w:val="auto"/>
          <w:szCs w:val="21"/>
        </w:rPr>
        <w:t>二、技术参数要求</w:t>
      </w:r>
    </w:p>
    <w:p w14:paraId="4CD1E94F">
      <w:pPr>
        <w:widowControl/>
        <w:spacing w:line="420" w:lineRule="exact"/>
        <w:jc w:val="left"/>
        <w:rPr>
          <w:rFonts w:ascii="宋体" w:hAnsi="宋体"/>
          <w:color w:val="auto"/>
          <w:szCs w:val="21"/>
        </w:rPr>
      </w:pPr>
      <w:r>
        <w:rPr>
          <w:rFonts w:hint="eastAsia" w:ascii="宋体" w:hAnsi="宋体"/>
          <w:color w:val="auto"/>
          <w:szCs w:val="21"/>
        </w:rPr>
        <w:t>1、激光器：半导体激光器</w:t>
      </w:r>
    </w:p>
    <w:p w14:paraId="2BF05444">
      <w:pPr>
        <w:widowControl/>
        <w:spacing w:line="420" w:lineRule="exact"/>
        <w:jc w:val="left"/>
        <w:rPr>
          <w:rFonts w:ascii="宋体" w:hAnsi="宋体"/>
          <w:color w:val="auto"/>
          <w:szCs w:val="21"/>
        </w:rPr>
      </w:pPr>
      <w:r>
        <w:rPr>
          <w:rFonts w:hint="eastAsia" w:ascii="宋体" w:hAnsi="宋体"/>
          <w:color w:val="auto"/>
          <w:szCs w:val="21"/>
        </w:rPr>
        <w:t>★2、输出激光波长：635±10nm</w:t>
      </w:r>
    </w:p>
    <w:p w14:paraId="3DDD8301">
      <w:pPr>
        <w:widowControl/>
        <w:spacing w:line="420" w:lineRule="exact"/>
        <w:jc w:val="left"/>
        <w:rPr>
          <w:rFonts w:ascii="宋体" w:hAnsi="宋体"/>
          <w:color w:val="auto"/>
          <w:szCs w:val="21"/>
        </w:rPr>
      </w:pPr>
      <w:r>
        <w:rPr>
          <w:rFonts w:hint="eastAsia" w:ascii="宋体" w:hAnsi="宋体"/>
          <w:color w:val="auto"/>
          <w:szCs w:val="21"/>
        </w:rPr>
        <w:t>3、输出功率范围0-50mw，并连续可调</w:t>
      </w:r>
    </w:p>
    <w:p w14:paraId="75F79015">
      <w:pPr>
        <w:widowControl/>
        <w:spacing w:line="420" w:lineRule="exact"/>
        <w:jc w:val="left"/>
        <w:rPr>
          <w:rFonts w:ascii="宋体" w:hAnsi="宋体"/>
          <w:color w:val="auto"/>
          <w:szCs w:val="21"/>
        </w:rPr>
      </w:pPr>
      <w:r>
        <w:rPr>
          <w:rFonts w:hint="eastAsia" w:ascii="宋体" w:hAnsi="宋体"/>
          <w:color w:val="auto"/>
          <w:szCs w:val="21"/>
        </w:rPr>
        <w:t>4、输出功率连续可调</w:t>
      </w:r>
    </w:p>
    <w:p w14:paraId="355F63D9">
      <w:pPr>
        <w:widowControl/>
        <w:spacing w:line="420" w:lineRule="exact"/>
        <w:jc w:val="left"/>
        <w:rPr>
          <w:rFonts w:ascii="宋体" w:hAnsi="宋体"/>
          <w:color w:val="auto"/>
          <w:szCs w:val="21"/>
        </w:rPr>
      </w:pPr>
      <w:r>
        <w:rPr>
          <w:rFonts w:hint="eastAsia" w:ascii="宋体" w:hAnsi="宋体"/>
          <w:color w:val="auto"/>
          <w:szCs w:val="21"/>
        </w:rPr>
        <w:t>5、激光输出方式：连续或脉冲</w:t>
      </w:r>
    </w:p>
    <w:p w14:paraId="27865D2A">
      <w:pPr>
        <w:widowControl/>
        <w:spacing w:line="420" w:lineRule="exact"/>
        <w:jc w:val="left"/>
        <w:rPr>
          <w:rFonts w:ascii="宋体" w:hAnsi="宋体"/>
          <w:color w:val="auto"/>
          <w:szCs w:val="21"/>
        </w:rPr>
      </w:pPr>
      <w:r>
        <w:rPr>
          <w:rFonts w:hint="eastAsia" w:ascii="宋体" w:hAnsi="宋体"/>
          <w:color w:val="auto"/>
          <w:szCs w:val="21"/>
        </w:rPr>
        <w:t>6、定时范围：1～60分钟</w:t>
      </w:r>
    </w:p>
    <w:p w14:paraId="68B0EC39">
      <w:pPr>
        <w:widowControl/>
        <w:spacing w:line="420" w:lineRule="exact"/>
        <w:jc w:val="left"/>
        <w:rPr>
          <w:rFonts w:ascii="宋体" w:hAnsi="宋体"/>
          <w:color w:val="auto"/>
          <w:szCs w:val="21"/>
        </w:rPr>
      </w:pPr>
      <w:r>
        <w:rPr>
          <w:rFonts w:hint="eastAsia" w:ascii="宋体" w:hAnsi="宋体"/>
          <w:color w:val="auto"/>
          <w:szCs w:val="21"/>
        </w:rPr>
        <w:t>7、激光输出功率密度不稳定度＜±10%</w:t>
      </w:r>
    </w:p>
    <w:p w14:paraId="666329FC">
      <w:pPr>
        <w:widowControl/>
        <w:spacing w:line="420" w:lineRule="exact"/>
        <w:jc w:val="left"/>
        <w:rPr>
          <w:rFonts w:ascii="宋体" w:hAnsi="宋体"/>
          <w:color w:val="auto"/>
          <w:szCs w:val="21"/>
        </w:rPr>
      </w:pPr>
      <w:r>
        <w:rPr>
          <w:rFonts w:hint="eastAsia" w:ascii="宋体" w:hAnsi="宋体"/>
          <w:color w:val="auto"/>
          <w:szCs w:val="21"/>
        </w:rPr>
        <w:t>8、激光输出功率密度复现性＜±10</w:t>
      </w:r>
    </w:p>
    <w:p w14:paraId="054E9C3D">
      <w:pPr>
        <w:widowControl/>
        <w:spacing w:line="420" w:lineRule="exact"/>
        <w:jc w:val="left"/>
        <w:rPr>
          <w:rFonts w:ascii="宋体" w:hAnsi="宋体"/>
          <w:color w:val="auto"/>
          <w:szCs w:val="21"/>
        </w:rPr>
      </w:pPr>
      <w:r>
        <w:rPr>
          <w:rFonts w:hint="eastAsia" w:ascii="宋体" w:hAnsi="宋体"/>
          <w:color w:val="auto"/>
          <w:szCs w:val="21"/>
        </w:rPr>
        <w:t>9、可更换不同类型的光纤，以进行不同部位的治疗，满足不同临床需要；</w:t>
      </w:r>
    </w:p>
    <w:p w14:paraId="33CC9505">
      <w:pPr>
        <w:widowControl/>
        <w:spacing w:line="420" w:lineRule="exact"/>
        <w:jc w:val="left"/>
        <w:rPr>
          <w:rFonts w:ascii="宋体" w:hAnsi="宋体"/>
          <w:color w:val="auto"/>
          <w:szCs w:val="21"/>
        </w:rPr>
      </w:pPr>
      <w:r>
        <w:rPr>
          <w:rFonts w:hint="eastAsia" w:ascii="宋体" w:hAnsi="宋体"/>
          <w:color w:val="auto"/>
          <w:szCs w:val="21"/>
        </w:rPr>
        <w:t>10、光源转动角度：随意调节</w:t>
      </w:r>
    </w:p>
    <w:p w14:paraId="4A7DB7E2">
      <w:pPr>
        <w:widowControl/>
        <w:spacing w:line="420" w:lineRule="exact"/>
        <w:jc w:val="left"/>
        <w:rPr>
          <w:rFonts w:ascii="宋体" w:hAnsi="宋体"/>
          <w:color w:val="auto"/>
          <w:szCs w:val="21"/>
        </w:rPr>
      </w:pPr>
      <w:r>
        <w:rPr>
          <w:rFonts w:hint="eastAsia" w:ascii="宋体" w:hAnsi="宋体"/>
          <w:color w:val="auto"/>
          <w:szCs w:val="21"/>
        </w:rPr>
        <w:t>11、能定期上门检测能量</w:t>
      </w:r>
    </w:p>
    <w:p w14:paraId="5404357D">
      <w:pPr>
        <w:widowControl/>
        <w:spacing w:line="420" w:lineRule="exact"/>
        <w:jc w:val="left"/>
        <w:rPr>
          <w:rFonts w:ascii="宋体" w:hAnsi="宋体"/>
          <w:color w:val="auto"/>
          <w:szCs w:val="21"/>
        </w:rPr>
      </w:pPr>
      <w:r>
        <w:rPr>
          <w:rFonts w:hint="eastAsia" w:ascii="宋体" w:hAnsi="宋体"/>
          <w:color w:val="auto"/>
          <w:szCs w:val="21"/>
        </w:rPr>
        <w:t>12、光束模式：多模激光</w:t>
      </w:r>
    </w:p>
    <w:p w14:paraId="4084D4D3">
      <w:pPr>
        <w:widowControl/>
        <w:spacing w:line="420" w:lineRule="exact"/>
        <w:jc w:val="left"/>
        <w:rPr>
          <w:rFonts w:ascii="宋体" w:hAnsi="宋体"/>
          <w:color w:val="auto"/>
          <w:szCs w:val="21"/>
        </w:rPr>
      </w:pPr>
      <w:r>
        <w:rPr>
          <w:rFonts w:hint="eastAsia" w:ascii="宋体" w:hAnsi="宋体"/>
          <w:color w:val="auto"/>
          <w:szCs w:val="21"/>
        </w:rPr>
        <w:t>13、制冷：半导体制冷、风冷</w:t>
      </w:r>
    </w:p>
    <w:p w14:paraId="42E58961">
      <w:pPr>
        <w:widowControl/>
        <w:spacing w:line="420" w:lineRule="exact"/>
        <w:jc w:val="left"/>
        <w:rPr>
          <w:rFonts w:ascii="宋体" w:hAnsi="宋体"/>
          <w:color w:val="auto"/>
          <w:szCs w:val="21"/>
        </w:rPr>
      </w:pPr>
      <w:r>
        <w:rPr>
          <w:rFonts w:hint="eastAsia" w:ascii="宋体" w:hAnsi="宋体"/>
          <w:color w:val="auto"/>
          <w:szCs w:val="21"/>
        </w:rPr>
        <w:t>14、≥5寸彩色触摸液晶显示屏</w:t>
      </w:r>
    </w:p>
    <w:p w14:paraId="7AD42933">
      <w:pPr>
        <w:widowControl/>
        <w:spacing w:line="420" w:lineRule="exact"/>
        <w:jc w:val="left"/>
        <w:rPr>
          <w:rFonts w:ascii="宋体" w:hAnsi="宋体"/>
          <w:color w:val="auto"/>
          <w:szCs w:val="21"/>
        </w:rPr>
      </w:pPr>
      <w:r>
        <w:rPr>
          <w:rFonts w:hint="eastAsia" w:ascii="宋体" w:hAnsi="宋体"/>
          <w:color w:val="auto"/>
          <w:szCs w:val="21"/>
        </w:rPr>
        <w:t>15、治疗仪的脚轮中有2个脚轮带有制动装置</w:t>
      </w:r>
    </w:p>
    <w:p w14:paraId="383D7700">
      <w:pPr>
        <w:widowControl/>
        <w:spacing w:line="420" w:lineRule="exact"/>
        <w:jc w:val="left"/>
        <w:rPr>
          <w:rFonts w:ascii="宋体" w:hAnsi="宋体"/>
          <w:color w:val="auto"/>
          <w:szCs w:val="21"/>
        </w:rPr>
      </w:pPr>
      <w:r>
        <w:rPr>
          <w:rFonts w:hint="eastAsia" w:ascii="宋体" w:hAnsi="宋体"/>
          <w:color w:val="auto"/>
          <w:szCs w:val="21"/>
        </w:rPr>
        <w:t>★16、整机原厂质保3年。</w:t>
      </w:r>
    </w:p>
    <w:p w14:paraId="290AFD03">
      <w:pPr>
        <w:widowControl/>
        <w:spacing w:line="420" w:lineRule="exact"/>
        <w:jc w:val="left"/>
        <w:rPr>
          <w:rFonts w:ascii="宋体" w:hAnsi="宋体"/>
          <w:color w:val="auto"/>
          <w:szCs w:val="21"/>
        </w:rPr>
      </w:pPr>
      <w:r>
        <w:rPr>
          <w:rFonts w:hint="eastAsia" w:ascii="宋体" w:hAnsi="宋体"/>
          <w:color w:val="auto"/>
          <w:szCs w:val="21"/>
        </w:rPr>
        <w:t>三、配置要求</w:t>
      </w:r>
    </w:p>
    <w:p w14:paraId="259936E8">
      <w:pPr>
        <w:widowControl/>
        <w:spacing w:line="420" w:lineRule="exact"/>
        <w:jc w:val="left"/>
        <w:rPr>
          <w:rFonts w:ascii="宋体" w:hAnsi="宋体"/>
          <w:color w:val="auto"/>
          <w:szCs w:val="21"/>
        </w:rPr>
      </w:pPr>
      <w:r>
        <w:rPr>
          <w:rFonts w:hint="eastAsia" w:ascii="宋体" w:hAnsi="宋体"/>
          <w:color w:val="auto"/>
          <w:szCs w:val="21"/>
        </w:rPr>
        <w:t>1、主机                      一台</w:t>
      </w:r>
    </w:p>
    <w:p w14:paraId="01DC1B75">
      <w:pPr>
        <w:widowControl/>
        <w:spacing w:line="420" w:lineRule="exact"/>
        <w:jc w:val="left"/>
        <w:rPr>
          <w:rFonts w:ascii="宋体" w:hAnsi="宋体"/>
          <w:color w:val="auto"/>
          <w:szCs w:val="21"/>
        </w:rPr>
      </w:pPr>
      <w:r>
        <w:rPr>
          <w:rFonts w:hint="eastAsia" w:ascii="宋体" w:hAnsi="宋体"/>
          <w:color w:val="auto"/>
          <w:szCs w:val="21"/>
        </w:rPr>
        <w:t>2、光纤                      两支</w:t>
      </w:r>
    </w:p>
    <w:p w14:paraId="7415FB51">
      <w:pPr>
        <w:widowControl/>
        <w:spacing w:line="420" w:lineRule="exact"/>
        <w:jc w:val="left"/>
        <w:rPr>
          <w:rFonts w:ascii="宋体" w:hAnsi="宋体"/>
          <w:color w:val="auto"/>
          <w:szCs w:val="21"/>
        </w:rPr>
      </w:pPr>
      <w:r>
        <w:rPr>
          <w:rFonts w:hint="eastAsia" w:ascii="宋体" w:hAnsi="宋体"/>
          <w:color w:val="auto"/>
          <w:szCs w:val="21"/>
        </w:rPr>
        <w:t>3、光纤支架                  一个</w:t>
      </w:r>
    </w:p>
    <w:p w14:paraId="0A574BE4">
      <w:pPr>
        <w:widowControl/>
        <w:spacing w:line="420" w:lineRule="exact"/>
        <w:jc w:val="left"/>
        <w:rPr>
          <w:rFonts w:ascii="宋体" w:hAnsi="宋体"/>
          <w:color w:val="auto"/>
          <w:szCs w:val="21"/>
        </w:rPr>
      </w:pPr>
      <w:r>
        <w:rPr>
          <w:rFonts w:hint="eastAsia" w:ascii="宋体" w:hAnsi="宋体"/>
          <w:color w:val="auto"/>
          <w:szCs w:val="21"/>
        </w:rPr>
        <w:t>4、防护眼镜                  一副</w:t>
      </w:r>
    </w:p>
    <w:p w14:paraId="52071ECD">
      <w:pPr>
        <w:widowControl/>
        <w:spacing w:line="420" w:lineRule="exact"/>
        <w:jc w:val="left"/>
        <w:rPr>
          <w:rFonts w:ascii="宋体" w:hAnsi="宋体"/>
          <w:color w:val="auto"/>
          <w:szCs w:val="21"/>
        </w:rPr>
      </w:pPr>
      <w:r>
        <w:rPr>
          <w:rFonts w:hint="eastAsia" w:ascii="宋体" w:hAnsi="宋体"/>
          <w:color w:val="auto"/>
          <w:szCs w:val="21"/>
        </w:rPr>
        <w:t>5、眼罩                      一副</w:t>
      </w:r>
    </w:p>
    <w:p w14:paraId="7635886B">
      <w:pPr>
        <w:spacing w:line="420" w:lineRule="exact"/>
        <w:jc w:val="center"/>
        <w:rPr>
          <w:rFonts w:asciiTheme="minorEastAsia" w:hAnsiTheme="minorEastAsia" w:eastAsiaTheme="minorEastAsia"/>
          <w:b/>
          <w:color w:val="auto"/>
          <w:szCs w:val="21"/>
        </w:rPr>
      </w:pPr>
    </w:p>
    <w:p w14:paraId="278A3CB3">
      <w:pPr>
        <w:spacing w:line="420" w:lineRule="exact"/>
        <w:jc w:val="center"/>
        <w:rPr>
          <w:rFonts w:ascii="宋体" w:hAnsi="宋体"/>
          <w:b/>
          <w:bCs/>
          <w:color w:val="auto"/>
          <w:sz w:val="28"/>
          <w:szCs w:val="28"/>
          <w:highlight w:val="none"/>
        </w:rPr>
      </w:pPr>
      <w:r>
        <w:rPr>
          <w:rFonts w:hint="eastAsia" w:asciiTheme="minorEastAsia" w:hAnsiTheme="minorEastAsia" w:eastAsiaTheme="minorEastAsia"/>
          <w:b/>
          <w:color w:val="auto"/>
          <w:szCs w:val="21"/>
        </w:rPr>
        <w:t>包</w:t>
      </w:r>
      <w:r>
        <w:rPr>
          <w:rFonts w:hint="eastAsia" w:asciiTheme="minorEastAsia" w:hAnsiTheme="minorEastAsia" w:eastAsiaTheme="minorEastAsia"/>
          <w:b/>
          <w:color w:val="auto"/>
          <w:szCs w:val="21"/>
          <w:lang w:val="en-US" w:eastAsia="zh-CN"/>
        </w:rPr>
        <w:t>3</w:t>
      </w:r>
      <w:r>
        <w:rPr>
          <w:rFonts w:hint="eastAsia" w:asciiTheme="minorEastAsia" w:hAnsiTheme="minorEastAsia" w:eastAsiaTheme="minorEastAsia"/>
          <w:b/>
          <w:color w:val="auto"/>
          <w:szCs w:val="21"/>
        </w:rPr>
        <w:t>：</w:t>
      </w:r>
      <w:r>
        <w:rPr>
          <w:rFonts w:hint="eastAsia" w:asciiTheme="minorEastAsia" w:hAnsiTheme="minorEastAsia" w:eastAsiaTheme="minorEastAsia"/>
          <w:b/>
          <w:color w:val="auto"/>
          <w:szCs w:val="21"/>
          <w:lang w:eastAsia="zh-CN"/>
        </w:rPr>
        <w:t>脑功能定量测量评估系统</w:t>
      </w:r>
    </w:p>
    <w:p w14:paraId="7D4756B2">
      <w:pPr>
        <w:keepNext w:val="0"/>
        <w:keepLines w:val="0"/>
        <w:pageBreakBefore w:val="0"/>
        <w:widowControl/>
        <w:kinsoku/>
        <w:wordWrap/>
        <w:overflowPunct/>
        <w:topLinePunct w:val="0"/>
        <w:autoSpaceDE/>
        <w:autoSpaceDN/>
        <w:bidi w:val="0"/>
        <w:adjustRightInd/>
        <w:snapToGrid/>
        <w:spacing w:line="420" w:lineRule="exact"/>
        <w:jc w:val="left"/>
        <w:textAlignment w:val="auto"/>
        <w:rPr>
          <w:rFonts w:ascii="宋体" w:hAnsi="宋体"/>
          <w:color w:val="auto"/>
          <w:szCs w:val="21"/>
          <w:highlight w:val="none"/>
        </w:rPr>
      </w:pPr>
      <w:r>
        <w:rPr>
          <w:rFonts w:hint="eastAsia" w:ascii="宋体" w:hAnsi="宋体"/>
          <w:color w:val="auto"/>
          <w:szCs w:val="21"/>
          <w:highlight w:val="none"/>
        </w:rPr>
        <w:t xml:space="preserve">一、总体要求 </w:t>
      </w:r>
    </w:p>
    <w:p w14:paraId="34D5E94B">
      <w:pPr>
        <w:keepNext w:val="0"/>
        <w:keepLines w:val="0"/>
        <w:pageBreakBefore w:val="0"/>
        <w:widowControl/>
        <w:kinsoku/>
        <w:wordWrap/>
        <w:overflowPunct/>
        <w:topLinePunct w:val="0"/>
        <w:autoSpaceDE/>
        <w:autoSpaceDN/>
        <w:bidi w:val="0"/>
        <w:adjustRightInd/>
        <w:snapToGrid/>
        <w:spacing w:line="420" w:lineRule="exact"/>
        <w:ind w:firstLine="420" w:firstLineChars="200"/>
        <w:jc w:val="left"/>
        <w:textAlignment w:val="auto"/>
        <w:rPr>
          <w:rFonts w:ascii="宋体" w:hAnsi="宋体"/>
          <w:color w:val="auto"/>
          <w:szCs w:val="21"/>
          <w:highlight w:val="none"/>
        </w:rPr>
      </w:pPr>
      <w:r>
        <w:rPr>
          <w:rFonts w:hint="eastAsia" w:ascii="宋体" w:hAnsi="宋体"/>
          <w:color w:val="auto"/>
          <w:szCs w:val="21"/>
          <w:highlight w:val="none"/>
        </w:rPr>
        <w:t xml:space="preserve">1、设备为一体式多功能监测评估系统。具备丘脑皮层评估模型（ABCD）模型、事件相关电位、视频脑电图、脑地形图、视频诱发电位、体感诱发电位、视觉诱发电位、听觉诱发电位、前庭肌源性诱发电位功能 </w:t>
      </w:r>
    </w:p>
    <w:p w14:paraId="0D63BB30">
      <w:pPr>
        <w:keepNext w:val="0"/>
        <w:keepLines w:val="0"/>
        <w:pageBreakBefore w:val="0"/>
        <w:widowControl/>
        <w:kinsoku/>
        <w:wordWrap/>
        <w:overflowPunct/>
        <w:topLinePunct w:val="0"/>
        <w:autoSpaceDE/>
        <w:autoSpaceDN/>
        <w:bidi w:val="0"/>
        <w:adjustRightInd/>
        <w:snapToGrid/>
        <w:spacing w:line="420" w:lineRule="exact"/>
        <w:ind w:firstLine="420" w:firstLineChars="200"/>
        <w:jc w:val="left"/>
        <w:textAlignment w:val="auto"/>
        <w:rPr>
          <w:rFonts w:ascii="宋体" w:hAnsi="宋体"/>
          <w:color w:val="auto"/>
          <w:szCs w:val="21"/>
          <w:highlight w:val="none"/>
        </w:rPr>
      </w:pPr>
      <w:r>
        <w:rPr>
          <w:rFonts w:hint="eastAsia" w:ascii="宋体" w:hAnsi="宋体"/>
          <w:color w:val="auto"/>
          <w:szCs w:val="21"/>
          <w:highlight w:val="none"/>
        </w:rPr>
        <w:t xml:space="preserve">2、具备工作站和便携工作两种工作方式能力。 </w:t>
      </w:r>
    </w:p>
    <w:p w14:paraId="4610EB37">
      <w:pPr>
        <w:keepNext w:val="0"/>
        <w:keepLines w:val="0"/>
        <w:pageBreakBefore w:val="0"/>
        <w:widowControl/>
        <w:kinsoku/>
        <w:wordWrap/>
        <w:overflowPunct/>
        <w:topLinePunct w:val="0"/>
        <w:autoSpaceDE/>
        <w:autoSpaceDN/>
        <w:bidi w:val="0"/>
        <w:adjustRightInd/>
        <w:snapToGrid/>
        <w:spacing w:line="420" w:lineRule="exact"/>
        <w:jc w:val="left"/>
        <w:textAlignment w:val="auto"/>
        <w:rPr>
          <w:rFonts w:ascii="宋体" w:hAnsi="宋体"/>
          <w:color w:val="auto"/>
          <w:szCs w:val="21"/>
          <w:highlight w:val="none"/>
        </w:rPr>
      </w:pPr>
      <w:r>
        <w:rPr>
          <w:rFonts w:hint="eastAsia" w:ascii="宋体" w:hAnsi="宋体"/>
          <w:color w:val="auto"/>
          <w:szCs w:val="21"/>
          <w:highlight w:val="none"/>
        </w:rPr>
        <w:t xml:space="preserve">二、主要技术参数要求： </w:t>
      </w:r>
    </w:p>
    <w:p w14:paraId="121C8176">
      <w:pPr>
        <w:keepNext w:val="0"/>
        <w:keepLines w:val="0"/>
        <w:pageBreakBefore w:val="0"/>
        <w:widowControl/>
        <w:kinsoku/>
        <w:wordWrap/>
        <w:overflowPunct/>
        <w:topLinePunct w:val="0"/>
        <w:autoSpaceDE/>
        <w:autoSpaceDN/>
        <w:bidi w:val="0"/>
        <w:adjustRightInd/>
        <w:snapToGrid/>
        <w:spacing w:line="420" w:lineRule="exact"/>
        <w:ind w:firstLine="420" w:firstLineChars="200"/>
        <w:jc w:val="left"/>
        <w:textAlignment w:val="auto"/>
        <w:rPr>
          <w:rFonts w:ascii="宋体" w:hAnsi="宋体"/>
          <w:color w:val="auto"/>
          <w:szCs w:val="21"/>
          <w:highlight w:val="none"/>
        </w:rPr>
      </w:pPr>
      <w:r>
        <w:rPr>
          <w:rFonts w:hint="eastAsia" w:ascii="宋体" w:hAnsi="宋体"/>
          <w:color w:val="auto"/>
          <w:szCs w:val="21"/>
          <w:highlight w:val="none"/>
        </w:rPr>
        <w:t xml:space="preserve">1、信号放大器系统 </w:t>
      </w:r>
    </w:p>
    <w:p w14:paraId="6A9F5598">
      <w:pPr>
        <w:keepNext w:val="0"/>
        <w:keepLines w:val="0"/>
        <w:pageBreakBefore w:val="0"/>
        <w:widowControl/>
        <w:kinsoku/>
        <w:wordWrap/>
        <w:overflowPunct/>
        <w:topLinePunct w:val="0"/>
        <w:autoSpaceDE/>
        <w:autoSpaceDN/>
        <w:bidi w:val="0"/>
        <w:adjustRightInd/>
        <w:snapToGrid/>
        <w:spacing w:line="420" w:lineRule="exact"/>
        <w:ind w:firstLine="420" w:firstLineChars="200"/>
        <w:jc w:val="left"/>
        <w:textAlignment w:val="auto"/>
        <w:rPr>
          <w:rFonts w:ascii="宋体" w:hAnsi="宋体"/>
          <w:color w:val="auto"/>
          <w:szCs w:val="21"/>
          <w:highlight w:val="none"/>
        </w:rPr>
      </w:pPr>
      <w:r>
        <w:rPr>
          <w:rFonts w:hint="eastAsia" w:ascii="宋体" w:hAnsi="宋体"/>
          <w:color w:val="auto"/>
          <w:szCs w:val="21"/>
          <w:highlight w:val="none"/>
        </w:rPr>
        <w:t xml:space="preserve">1.1、放大器集成了多种监测通道：脑电信号通道≥21通道，诱发通道≥4通道，2通道DC信号，1通道ECG，1通道呼吸，独立REF通道（诱发电位通道为专用通道，不接受借助脑电通道或者外接通道扩展，提供图片证明） </w:t>
      </w:r>
    </w:p>
    <w:p w14:paraId="7DA39E3A">
      <w:pPr>
        <w:keepNext w:val="0"/>
        <w:keepLines w:val="0"/>
        <w:pageBreakBefore w:val="0"/>
        <w:widowControl/>
        <w:kinsoku/>
        <w:wordWrap/>
        <w:overflowPunct/>
        <w:topLinePunct w:val="0"/>
        <w:autoSpaceDE/>
        <w:autoSpaceDN/>
        <w:bidi w:val="0"/>
        <w:adjustRightInd/>
        <w:snapToGrid/>
        <w:spacing w:line="420" w:lineRule="exact"/>
        <w:ind w:firstLine="372" w:firstLineChars="200"/>
        <w:jc w:val="left"/>
        <w:textAlignment w:val="auto"/>
        <w:rPr>
          <w:rFonts w:ascii="宋体" w:hAnsi="宋体"/>
          <w:color w:val="auto"/>
          <w:spacing w:val="-12"/>
          <w:szCs w:val="21"/>
          <w:highlight w:val="none"/>
        </w:rPr>
      </w:pPr>
      <w:r>
        <w:rPr>
          <w:rFonts w:hint="eastAsia" w:ascii="宋体" w:hAnsi="宋体"/>
          <w:color w:val="auto"/>
          <w:spacing w:val="-12"/>
          <w:szCs w:val="21"/>
          <w:highlight w:val="none"/>
        </w:rPr>
        <w:t xml:space="preserve">1.2、刺激通道：放大器内置音频、闪光、图形、电刺激通道；触发输入/输出通道（提供图片证明） </w:t>
      </w:r>
    </w:p>
    <w:p w14:paraId="08FA1A80">
      <w:pPr>
        <w:keepNext w:val="0"/>
        <w:keepLines w:val="0"/>
        <w:pageBreakBefore w:val="0"/>
        <w:widowControl/>
        <w:kinsoku/>
        <w:wordWrap/>
        <w:overflowPunct/>
        <w:topLinePunct w:val="0"/>
        <w:autoSpaceDE/>
        <w:autoSpaceDN/>
        <w:bidi w:val="0"/>
        <w:adjustRightInd/>
        <w:snapToGrid/>
        <w:spacing w:line="420" w:lineRule="exact"/>
        <w:ind w:firstLine="420" w:firstLineChars="200"/>
        <w:jc w:val="left"/>
        <w:textAlignment w:val="auto"/>
        <w:rPr>
          <w:rFonts w:ascii="宋体" w:hAnsi="宋体"/>
          <w:color w:val="auto"/>
          <w:szCs w:val="21"/>
          <w:highlight w:val="none"/>
        </w:rPr>
      </w:pPr>
      <w:r>
        <w:rPr>
          <w:rFonts w:hint="eastAsia" w:ascii="宋体" w:hAnsi="宋体"/>
          <w:color w:val="auto"/>
          <w:szCs w:val="21"/>
          <w:highlight w:val="none"/>
        </w:rPr>
        <w:t xml:space="preserve">1.3、放大器接口：USB2.0传输信号、供电，无需市电；不是网线传输信号、不需要专用地线支持（提供图片证明）  </w:t>
      </w:r>
    </w:p>
    <w:p w14:paraId="7DD744B0">
      <w:pPr>
        <w:keepNext w:val="0"/>
        <w:keepLines w:val="0"/>
        <w:pageBreakBefore w:val="0"/>
        <w:widowControl/>
        <w:kinsoku/>
        <w:wordWrap/>
        <w:overflowPunct/>
        <w:topLinePunct w:val="0"/>
        <w:autoSpaceDE/>
        <w:autoSpaceDN/>
        <w:bidi w:val="0"/>
        <w:adjustRightInd/>
        <w:snapToGrid/>
        <w:spacing w:line="420" w:lineRule="exact"/>
        <w:ind w:firstLine="420" w:firstLineChars="200"/>
        <w:jc w:val="left"/>
        <w:textAlignment w:val="auto"/>
        <w:rPr>
          <w:rFonts w:ascii="宋体" w:hAnsi="宋体"/>
          <w:color w:val="auto"/>
          <w:szCs w:val="21"/>
          <w:highlight w:val="none"/>
        </w:rPr>
      </w:pPr>
      <w:r>
        <w:rPr>
          <w:rFonts w:hint="eastAsia" w:ascii="宋体" w:hAnsi="宋体"/>
          <w:color w:val="auto"/>
          <w:szCs w:val="21"/>
          <w:highlight w:val="none"/>
        </w:rPr>
        <w:t xml:space="preserve">1.4、采样率：160KHz </w:t>
      </w:r>
    </w:p>
    <w:p w14:paraId="467309E0">
      <w:pPr>
        <w:keepNext w:val="0"/>
        <w:keepLines w:val="0"/>
        <w:pageBreakBefore w:val="0"/>
        <w:widowControl/>
        <w:kinsoku/>
        <w:wordWrap/>
        <w:overflowPunct/>
        <w:topLinePunct w:val="0"/>
        <w:autoSpaceDE/>
        <w:autoSpaceDN/>
        <w:bidi w:val="0"/>
        <w:adjustRightInd/>
        <w:snapToGrid/>
        <w:spacing w:line="420" w:lineRule="exact"/>
        <w:ind w:firstLine="420" w:firstLineChars="200"/>
        <w:jc w:val="left"/>
        <w:textAlignment w:val="auto"/>
        <w:rPr>
          <w:rFonts w:ascii="宋体" w:hAnsi="宋体"/>
          <w:color w:val="auto"/>
          <w:szCs w:val="21"/>
          <w:highlight w:val="none"/>
        </w:rPr>
      </w:pPr>
      <w:r>
        <w:rPr>
          <w:rFonts w:hint="eastAsia" w:ascii="宋体" w:hAnsi="宋体"/>
          <w:color w:val="auto"/>
          <w:szCs w:val="21"/>
          <w:highlight w:val="none"/>
        </w:rPr>
        <w:t xml:space="preserve">1.5、输入阻抗：≥1000MΩ </w:t>
      </w:r>
    </w:p>
    <w:p w14:paraId="464EAC9E">
      <w:pPr>
        <w:keepNext w:val="0"/>
        <w:keepLines w:val="0"/>
        <w:pageBreakBefore w:val="0"/>
        <w:widowControl/>
        <w:kinsoku/>
        <w:wordWrap/>
        <w:overflowPunct/>
        <w:topLinePunct w:val="0"/>
        <w:autoSpaceDE/>
        <w:autoSpaceDN/>
        <w:bidi w:val="0"/>
        <w:adjustRightInd/>
        <w:snapToGrid/>
        <w:spacing w:line="420" w:lineRule="exact"/>
        <w:ind w:firstLine="420" w:firstLineChars="200"/>
        <w:jc w:val="left"/>
        <w:textAlignment w:val="auto"/>
        <w:rPr>
          <w:rFonts w:ascii="宋体" w:hAnsi="宋体"/>
          <w:color w:val="auto"/>
          <w:szCs w:val="21"/>
          <w:highlight w:val="none"/>
        </w:rPr>
      </w:pPr>
      <w:r>
        <w:rPr>
          <w:rFonts w:hint="eastAsia" w:ascii="宋体" w:hAnsi="宋体"/>
          <w:color w:val="auto"/>
          <w:szCs w:val="21"/>
          <w:highlight w:val="none"/>
        </w:rPr>
        <w:t xml:space="preserve">1.6、输入范围：±350mV </w:t>
      </w:r>
    </w:p>
    <w:p w14:paraId="534105DC">
      <w:pPr>
        <w:keepNext w:val="0"/>
        <w:keepLines w:val="0"/>
        <w:pageBreakBefore w:val="0"/>
        <w:widowControl/>
        <w:kinsoku/>
        <w:wordWrap/>
        <w:overflowPunct/>
        <w:topLinePunct w:val="0"/>
        <w:autoSpaceDE/>
        <w:autoSpaceDN/>
        <w:bidi w:val="0"/>
        <w:adjustRightInd/>
        <w:snapToGrid/>
        <w:spacing w:line="420" w:lineRule="exact"/>
        <w:ind w:firstLine="420" w:firstLineChars="200"/>
        <w:jc w:val="left"/>
        <w:textAlignment w:val="auto"/>
        <w:rPr>
          <w:rFonts w:ascii="宋体" w:hAnsi="宋体"/>
          <w:color w:val="auto"/>
          <w:szCs w:val="21"/>
          <w:highlight w:val="none"/>
        </w:rPr>
      </w:pPr>
      <w:r>
        <w:rPr>
          <w:rFonts w:hint="eastAsia" w:ascii="宋体" w:hAnsi="宋体"/>
          <w:color w:val="auto"/>
          <w:szCs w:val="21"/>
          <w:highlight w:val="none"/>
        </w:rPr>
        <w:t xml:space="preserve">1.7、噪声：不大于1.0μVpp </w:t>
      </w:r>
    </w:p>
    <w:p w14:paraId="008AA84F">
      <w:pPr>
        <w:keepNext w:val="0"/>
        <w:keepLines w:val="0"/>
        <w:pageBreakBefore w:val="0"/>
        <w:widowControl/>
        <w:kinsoku/>
        <w:wordWrap/>
        <w:overflowPunct/>
        <w:topLinePunct w:val="0"/>
        <w:autoSpaceDE/>
        <w:autoSpaceDN/>
        <w:bidi w:val="0"/>
        <w:adjustRightInd/>
        <w:snapToGrid/>
        <w:spacing w:line="420" w:lineRule="exact"/>
        <w:ind w:firstLine="420" w:firstLineChars="200"/>
        <w:jc w:val="left"/>
        <w:textAlignment w:val="auto"/>
        <w:rPr>
          <w:rFonts w:ascii="宋体" w:hAnsi="宋体"/>
          <w:color w:val="auto"/>
          <w:szCs w:val="21"/>
          <w:highlight w:val="none"/>
        </w:rPr>
      </w:pPr>
      <w:r>
        <w:rPr>
          <w:rFonts w:hint="eastAsia" w:ascii="宋体" w:hAnsi="宋体"/>
          <w:color w:val="auto"/>
          <w:szCs w:val="21"/>
          <w:highlight w:val="none"/>
        </w:rPr>
        <w:t xml:space="preserve">2、软件参数一 </w:t>
      </w:r>
    </w:p>
    <w:p w14:paraId="62679AF1">
      <w:pPr>
        <w:keepNext w:val="0"/>
        <w:keepLines w:val="0"/>
        <w:pageBreakBefore w:val="0"/>
        <w:widowControl/>
        <w:kinsoku/>
        <w:wordWrap/>
        <w:overflowPunct/>
        <w:topLinePunct w:val="0"/>
        <w:autoSpaceDE/>
        <w:autoSpaceDN/>
        <w:bidi w:val="0"/>
        <w:adjustRightInd/>
        <w:snapToGrid/>
        <w:spacing w:line="420" w:lineRule="exact"/>
        <w:ind w:firstLine="420" w:firstLineChars="200"/>
        <w:jc w:val="left"/>
        <w:textAlignment w:val="auto"/>
        <w:rPr>
          <w:rFonts w:ascii="宋体" w:hAnsi="宋体"/>
          <w:color w:val="auto"/>
          <w:szCs w:val="21"/>
          <w:highlight w:val="none"/>
        </w:rPr>
      </w:pPr>
      <w:r>
        <w:rPr>
          <w:rFonts w:hint="eastAsia" w:ascii="宋体" w:hAnsi="宋体"/>
          <w:color w:val="auto"/>
          <w:szCs w:val="21"/>
          <w:highlight w:val="none"/>
        </w:rPr>
        <w:t>2.1、保证提供设备软件为最新版本，并负责软件升级，费用包含在投标报价中。</w:t>
      </w:r>
    </w:p>
    <w:p w14:paraId="3BAFEAE4">
      <w:pPr>
        <w:keepNext w:val="0"/>
        <w:keepLines w:val="0"/>
        <w:pageBreakBefore w:val="0"/>
        <w:widowControl/>
        <w:kinsoku/>
        <w:wordWrap/>
        <w:overflowPunct/>
        <w:topLinePunct w:val="0"/>
        <w:autoSpaceDE/>
        <w:autoSpaceDN/>
        <w:bidi w:val="0"/>
        <w:adjustRightInd/>
        <w:snapToGrid/>
        <w:spacing w:line="420" w:lineRule="exact"/>
        <w:ind w:firstLine="420" w:firstLineChars="200"/>
        <w:jc w:val="left"/>
        <w:textAlignment w:val="auto"/>
        <w:rPr>
          <w:rFonts w:ascii="宋体" w:hAnsi="宋体"/>
          <w:color w:val="auto"/>
          <w:szCs w:val="21"/>
          <w:highlight w:val="none"/>
        </w:rPr>
      </w:pPr>
      <w:r>
        <w:rPr>
          <w:rFonts w:hint="eastAsia" w:ascii="宋体" w:hAnsi="宋体"/>
          <w:color w:val="auto"/>
          <w:szCs w:val="21"/>
          <w:highlight w:val="none"/>
        </w:rPr>
        <w:t xml:space="preserve">2.2、设备操作软件具备触屏模式。（提供图片证明） </w:t>
      </w:r>
    </w:p>
    <w:p w14:paraId="66D2FBE0">
      <w:pPr>
        <w:keepNext w:val="0"/>
        <w:keepLines w:val="0"/>
        <w:pageBreakBefore w:val="0"/>
        <w:widowControl/>
        <w:kinsoku/>
        <w:wordWrap/>
        <w:overflowPunct/>
        <w:topLinePunct w:val="0"/>
        <w:autoSpaceDE/>
        <w:autoSpaceDN/>
        <w:bidi w:val="0"/>
        <w:adjustRightInd/>
        <w:snapToGrid/>
        <w:spacing w:line="420" w:lineRule="exact"/>
        <w:ind w:firstLine="420" w:firstLineChars="200"/>
        <w:jc w:val="left"/>
        <w:textAlignment w:val="auto"/>
        <w:rPr>
          <w:rFonts w:ascii="宋体" w:hAnsi="宋体"/>
          <w:color w:val="auto"/>
          <w:szCs w:val="21"/>
          <w:highlight w:val="none"/>
        </w:rPr>
      </w:pPr>
      <w:r>
        <w:rPr>
          <w:rFonts w:hint="eastAsia" w:ascii="宋体" w:hAnsi="宋体"/>
          <w:color w:val="auto"/>
          <w:szCs w:val="21"/>
          <w:highlight w:val="none"/>
        </w:rPr>
        <w:t xml:space="preserve">2.3、同一局域网络下具备多终端实时监测的能力，设备操作电脑外的其他电脑、平板电脑、手机都能查看患者的脑电监测界面。（提供图片证明） </w:t>
      </w:r>
    </w:p>
    <w:p w14:paraId="4715B26A">
      <w:pPr>
        <w:keepNext w:val="0"/>
        <w:keepLines w:val="0"/>
        <w:pageBreakBefore w:val="0"/>
        <w:widowControl/>
        <w:kinsoku/>
        <w:wordWrap/>
        <w:overflowPunct/>
        <w:topLinePunct w:val="0"/>
        <w:autoSpaceDE/>
        <w:autoSpaceDN/>
        <w:bidi w:val="0"/>
        <w:adjustRightInd/>
        <w:snapToGrid/>
        <w:spacing w:line="420" w:lineRule="exact"/>
        <w:ind w:firstLine="420" w:firstLineChars="200"/>
        <w:jc w:val="left"/>
        <w:textAlignment w:val="auto"/>
        <w:rPr>
          <w:rFonts w:ascii="宋体" w:hAnsi="宋体"/>
          <w:color w:val="auto"/>
          <w:szCs w:val="21"/>
          <w:highlight w:val="none"/>
        </w:rPr>
      </w:pPr>
      <w:r>
        <w:rPr>
          <w:rFonts w:hint="eastAsia" w:ascii="宋体" w:hAnsi="宋体"/>
          <w:color w:val="auto"/>
          <w:szCs w:val="21"/>
          <w:highlight w:val="none"/>
        </w:rPr>
        <w:t xml:space="preserve">2.4、定量趋势监测模块 </w:t>
      </w:r>
    </w:p>
    <w:p w14:paraId="266A77E2">
      <w:pPr>
        <w:keepNext w:val="0"/>
        <w:keepLines w:val="0"/>
        <w:pageBreakBefore w:val="0"/>
        <w:widowControl/>
        <w:kinsoku/>
        <w:wordWrap/>
        <w:overflowPunct/>
        <w:topLinePunct w:val="0"/>
        <w:autoSpaceDE/>
        <w:autoSpaceDN/>
        <w:bidi w:val="0"/>
        <w:adjustRightInd/>
        <w:snapToGrid/>
        <w:spacing w:line="420" w:lineRule="exact"/>
        <w:ind w:firstLine="420" w:firstLineChars="200"/>
        <w:jc w:val="left"/>
        <w:textAlignment w:val="auto"/>
        <w:rPr>
          <w:rFonts w:ascii="宋体" w:hAnsi="宋体"/>
          <w:color w:val="auto"/>
          <w:szCs w:val="21"/>
          <w:highlight w:val="none"/>
        </w:rPr>
      </w:pPr>
      <w:r>
        <w:rPr>
          <w:rFonts w:hint="eastAsia" w:ascii="宋体" w:hAnsi="宋体"/>
          <w:color w:val="auto"/>
          <w:szCs w:val="21"/>
          <w:highlight w:val="none"/>
        </w:rPr>
        <w:t xml:space="preserve">2.4.1、脑功能趋势分析：密度频谱阵列DSA/CSA,静息态指数，光谱熵，平均波幅，节律指数比，快慢波比值，各节律指数，脑功能趋势图≥16种. </w:t>
      </w:r>
    </w:p>
    <w:p w14:paraId="5D85D7BD">
      <w:pPr>
        <w:keepNext w:val="0"/>
        <w:keepLines w:val="0"/>
        <w:pageBreakBefore w:val="0"/>
        <w:widowControl/>
        <w:kinsoku/>
        <w:wordWrap/>
        <w:overflowPunct/>
        <w:topLinePunct w:val="0"/>
        <w:autoSpaceDE/>
        <w:autoSpaceDN/>
        <w:bidi w:val="0"/>
        <w:adjustRightInd/>
        <w:snapToGrid/>
        <w:spacing w:line="420" w:lineRule="exact"/>
        <w:ind w:firstLine="420" w:firstLineChars="200"/>
        <w:jc w:val="left"/>
        <w:textAlignment w:val="auto"/>
        <w:rPr>
          <w:rFonts w:ascii="宋体" w:hAnsi="宋体"/>
          <w:color w:val="auto"/>
          <w:szCs w:val="21"/>
          <w:highlight w:val="none"/>
        </w:rPr>
      </w:pPr>
      <w:r>
        <w:rPr>
          <w:rFonts w:hint="eastAsia" w:ascii="宋体" w:hAnsi="宋体"/>
          <w:color w:val="auto"/>
          <w:szCs w:val="21"/>
          <w:highlight w:val="none"/>
        </w:rPr>
        <w:t xml:space="preserve">2.4.2、屏幕显示的趋势图数量可以自由设置，单屏最多能显示4列趋势图，便于临床观察。（提供图片证明）  </w:t>
      </w:r>
    </w:p>
    <w:p w14:paraId="72B2682A">
      <w:pPr>
        <w:keepNext w:val="0"/>
        <w:keepLines w:val="0"/>
        <w:pageBreakBefore w:val="0"/>
        <w:widowControl/>
        <w:kinsoku/>
        <w:wordWrap/>
        <w:overflowPunct/>
        <w:topLinePunct w:val="0"/>
        <w:autoSpaceDE/>
        <w:autoSpaceDN/>
        <w:bidi w:val="0"/>
        <w:adjustRightInd/>
        <w:snapToGrid/>
        <w:spacing w:line="420" w:lineRule="exact"/>
        <w:ind w:firstLine="420" w:firstLineChars="200"/>
        <w:jc w:val="left"/>
        <w:textAlignment w:val="auto"/>
        <w:rPr>
          <w:rFonts w:ascii="宋体" w:hAnsi="宋体"/>
          <w:color w:val="auto"/>
          <w:szCs w:val="21"/>
          <w:highlight w:val="none"/>
        </w:rPr>
      </w:pPr>
      <w:r>
        <w:rPr>
          <w:rFonts w:hint="eastAsia" w:ascii="宋体" w:hAnsi="宋体"/>
          <w:color w:val="auto"/>
          <w:szCs w:val="21"/>
          <w:highlight w:val="none"/>
        </w:rPr>
        <w:t xml:space="preserve">2.5、ABCD频谱功率图，自动计算图形类别，用于评估丘脑皮层传导功能，辅助临床医生评估患者意识状态； </w:t>
      </w:r>
    </w:p>
    <w:p w14:paraId="415312C9">
      <w:pPr>
        <w:keepNext w:val="0"/>
        <w:keepLines w:val="0"/>
        <w:pageBreakBefore w:val="0"/>
        <w:widowControl/>
        <w:kinsoku/>
        <w:wordWrap/>
        <w:overflowPunct/>
        <w:topLinePunct w:val="0"/>
        <w:autoSpaceDE/>
        <w:autoSpaceDN/>
        <w:bidi w:val="0"/>
        <w:adjustRightInd/>
        <w:snapToGrid/>
        <w:spacing w:line="420" w:lineRule="exact"/>
        <w:ind w:firstLine="420" w:firstLineChars="200"/>
        <w:jc w:val="left"/>
        <w:textAlignment w:val="auto"/>
        <w:rPr>
          <w:rFonts w:ascii="宋体" w:hAnsi="宋体"/>
          <w:color w:val="auto"/>
          <w:szCs w:val="21"/>
          <w:highlight w:val="none"/>
        </w:rPr>
      </w:pPr>
      <w:r>
        <w:rPr>
          <w:rFonts w:hint="eastAsia" w:ascii="宋体" w:hAnsi="宋体"/>
          <w:color w:val="auto"/>
          <w:szCs w:val="21"/>
          <w:highlight w:val="none"/>
        </w:rPr>
        <w:t xml:space="preserve">2.6、ABCD趋势图和图形类别统计结果呈现（提供图片证明） </w:t>
      </w:r>
    </w:p>
    <w:p w14:paraId="2B0488DB">
      <w:pPr>
        <w:keepNext w:val="0"/>
        <w:keepLines w:val="0"/>
        <w:pageBreakBefore w:val="0"/>
        <w:widowControl/>
        <w:kinsoku/>
        <w:wordWrap/>
        <w:overflowPunct/>
        <w:topLinePunct w:val="0"/>
        <w:autoSpaceDE/>
        <w:autoSpaceDN/>
        <w:bidi w:val="0"/>
        <w:adjustRightInd/>
        <w:snapToGrid/>
        <w:spacing w:line="420" w:lineRule="exact"/>
        <w:ind w:firstLine="420" w:firstLineChars="200"/>
        <w:jc w:val="left"/>
        <w:textAlignment w:val="auto"/>
        <w:rPr>
          <w:rFonts w:ascii="宋体" w:hAnsi="宋体"/>
          <w:color w:val="auto"/>
          <w:szCs w:val="21"/>
          <w:highlight w:val="none"/>
        </w:rPr>
      </w:pPr>
      <w:r>
        <w:rPr>
          <w:rFonts w:hint="eastAsia" w:ascii="宋体" w:hAnsi="宋体"/>
          <w:color w:val="auto"/>
          <w:szCs w:val="21"/>
          <w:highlight w:val="none"/>
        </w:rPr>
        <w:t xml:space="preserve">2.7、ABCD自动化采集分析和报告模板，可设置分析区间、采集时间、伪迹自动标识 </w:t>
      </w:r>
    </w:p>
    <w:p w14:paraId="6802F93F">
      <w:pPr>
        <w:keepNext w:val="0"/>
        <w:keepLines w:val="0"/>
        <w:pageBreakBefore w:val="0"/>
        <w:widowControl/>
        <w:kinsoku/>
        <w:wordWrap/>
        <w:overflowPunct/>
        <w:topLinePunct w:val="0"/>
        <w:autoSpaceDE/>
        <w:autoSpaceDN/>
        <w:bidi w:val="0"/>
        <w:adjustRightInd/>
        <w:snapToGrid/>
        <w:spacing w:line="420" w:lineRule="exact"/>
        <w:ind w:firstLine="420" w:firstLineChars="200"/>
        <w:jc w:val="left"/>
        <w:textAlignment w:val="auto"/>
        <w:rPr>
          <w:rFonts w:ascii="宋体" w:hAnsi="宋体"/>
          <w:color w:val="auto"/>
          <w:szCs w:val="21"/>
          <w:highlight w:val="none"/>
        </w:rPr>
      </w:pPr>
      <w:r>
        <w:rPr>
          <w:rFonts w:hint="eastAsia" w:ascii="宋体" w:hAnsi="宋体"/>
          <w:color w:val="auto"/>
          <w:szCs w:val="21"/>
          <w:highlight w:val="none"/>
        </w:rPr>
        <w:t xml:space="preserve">2.8、具备脑电定量分析功能和指标：自相关与互相关分析；相干性分析数据与图形显示；频谱－功率分析；不同区间对比分析；二维与三维脑电地形图；软件内置单通道时频分析 </w:t>
      </w:r>
    </w:p>
    <w:p w14:paraId="5520CEDC">
      <w:pPr>
        <w:keepNext w:val="0"/>
        <w:keepLines w:val="0"/>
        <w:pageBreakBefore w:val="0"/>
        <w:widowControl/>
        <w:kinsoku/>
        <w:wordWrap/>
        <w:overflowPunct/>
        <w:topLinePunct w:val="0"/>
        <w:autoSpaceDE/>
        <w:autoSpaceDN/>
        <w:bidi w:val="0"/>
        <w:adjustRightInd/>
        <w:snapToGrid/>
        <w:spacing w:line="420" w:lineRule="exact"/>
        <w:ind w:firstLine="420" w:firstLineChars="200"/>
        <w:jc w:val="left"/>
        <w:textAlignment w:val="auto"/>
        <w:rPr>
          <w:rFonts w:ascii="宋体" w:hAnsi="宋体"/>
          <w:color w:val="auto"/>
          <w:szCs w:val="21"/>
          <w:highlight w:val="none"/>
        </w:rPr>
      </w:pPr>
      <w:r>
        <w:rPr>
          <w:rFonts w:hint="eastAsia" w:ascii="宋体" w:hAnsi="宋体"/>
          <w:color w:val="auto"/>
          <w:szCs w:val="21"/>
          <w:highlight w:val="none"/>
        </w:rPr>
        <w:t xml:space="preserve">2.9、功能测试、刺激系统：预设多种功能测试模板，用户可设置语音、文字提示与时长设置，减少操作者对患者讲解，标记的片段可用于对比分析；支持用户自定义测试 </w:t>
      </w:r>
    </w:p>
    <w:p w14:paraId="66ACBA1E">
      <w:pPr>
        <w:keepNext w:val="0"/>
        <w:keepLines w:val="0"/>
        <w:pageBreakBefore w:val="0"/>
        <w:widowControl/>
        <w:kinsoku/>
        <w:wordWrap/>
        <w:overflowPunct/>
        <w:topLinePunct w:val="0"/>
        <w:autoSpaceDE/>
        <w:autoSpaceDN/>
        <w:bidi w:val="0"/>
        <w:adjustRightInd/>
        <w:snapToGrid/>
        <w:spacing w:line="420" w:lineRule="exact"/>
        <w:ind w:firstLine="420" w:firstLineChars="200"/>
        <w:jc w:val="left"/>
        <w:textAlignment w:val="auto"/>
        <w:rPr>
          <w:rFonts w:ascii="宋体" w:hAnsi="宋体"/>
          <w:color w:val="auto"/>
          <w:szCs w:val="21"/>
          <w:highlight w:val="none"/>
        </w:rPr>
      </w:pPr>
      <w:r>
        <w:rPr>
          <w:rFonts w:hint="eastAsia" w:ascii="宋体" w:hAnsi="宋体"/>
          <w:color w:val="auto"/>
          <w:szCs w:val="21"/>
          <w:highlight w:val="none"/>
        </w:rPr>
        <w:t xml:space="preserve">2.10、软件内置小波分析与独立成分分析功能用于去除伪迹(提供图片证明) </w:t>
      </w:r>
    </w:p>
    <w:p w14:paraId="0B6CF5D5">
      <w:pPr>
        <w:keepNext w:val="0"/>
        <w:keepLines w:val="0"/>
        <w:pageBreakBefore w:val="0"/>
        <w:widowControl/>
        <w:kinsoku/>
        <w:wordWrap/>
        <w:overflowPunct/>
        <w:topLinePunct w:val="0"/>
        <w:autoSpaceDE/>
        <w:autoSpaceDN/>
        <w:bidi w:val="0"/>
        <w:adjustRightInd/>
        <w:snapToGrid/>
        <w:spacing w:line="420" w:lineRule="exact"/>
        <w:ind w:firstLine="420" w:firstLineChars="200"/>
        <w:jc w:val="left"/>
        <w:textAlignment w:val="auto"/>
        <w:rPr>
          <w:rFonts w:ascii="宋体" w:hAnsi="宋体"/>
          <w:color w:val="auto"/>
          <w:szCs w:val="21"/>
          <w:highlight w:val="none"/>
        </w:rPr>
      </w:pPr>
      <w:r>
        <w:rPr>
          <w:rFonts w:hint="eastAsia" w:ascii="宋体" w:hAnsi="宋体"/>
          <w:color w:val="auto"/>
          <w:szCs w:val="21"/>
          <w:highlight w:val="none"/>
        </w:rPr>
        <w:t xml:space="preserve">2.11、软件支持同时打开多个脑电采集、分析窗口，同步脑电采集与分析 </w:t>
      </w:r>
    </w:p>
    <w:p w14:paraId="6E1F9330">
      <w:pPr>
        <w:keepNext w:val="0"/>
        <w:keepLines w:val="0"/>
        <w:pageBreakBefore w:val="0"/>
        <w:widowControl/>
        <w:kinsoku/>
        <w:wordWrap/>
        <w:overflowPunct/>
        <w:topLinePunct w:val="0"/>
        <w:autoSpaceDE/>
        <w:autoSpaceDN/>
        <w:bidi w:val="0"/>
        <w:adjustRightInd/>
        <w:snapToGrid/>
        <w:spacing w:line="420" w:lineRule="exact"/>
        <w:ind w:firstLine="420" w:firstLineChars="200"/>
        <w:jc w:val="left"/>
        <w:textAlignment w:val="auto"/>
        <w:rPr>
          <w:rFonts w:ascii="宋体" w:hAnsi="宋体"/>
          <w:color w:val="auto"/>
          <w:szCs w:val="21"/>
          <w:highlight w:val="none"/>
        </w:rPr>
      </w:pPr>
      <w:r>
        <w:rPr>
          <w:rFonts w:hint="eastAsia" w:ascii="宋体" w:hAnsi="宋体"/>
          <w:color w:val="auto"/>
          <w:szCs w:val="21"/>
          <w:highlight w:val="none"/>
        </w:rPr>
        <w:t xml:space="preserve">2.12、可将视频分段保存，删除、锁定、编辑操作 </w:t>
      </w:r>
    </w:p>
    <w:p w14:paraId="4C5E9C16">
      <w:pPr>
        <w:keepNext w:val="0"/>
        <w:keepLines w:val="0"/>
        <w:pageBreakBefore w:val="0"/>
        <w:widowControl/>
        <w:kinsoku/>
        <w:wordWrap/>
        <w:overflowPunct/>
        <w:topLinePunct w:val="0"/>
        <w:autoSpaceDE/>
        <w:autoSpaceDN/>
        <w:bidi w:val="0"/>
        <w:adjustRightInd/>
        <w:snapToGrid/>
        <w:spacing w:line="420" w:lineRule="exact"/>
        <w:ind w:firstLine="420" w:firstLineChars="200"/>
        <w:jc w:val="left"/>
        <w:textAlignment w:val="auto"/>
        <w:rPr>
          <w:rFonts w:ascii="宋体" w:hAnsi="宋体"/>
          <w:color w:val="auto"/>
          <w:szCs w:val="21"/>
          <w:highlight w:val="none"/>
        </w:rPr>
      </w:pPr>
      <w:r>
        <w:rPr>
          <w:rFonts w:hint="eastAsia" w:ascii="宋体" w:hAnsi="宋体"/>
          <w:color w:val="auto"/>
          <w:szCs w:val="21"/>
          <w:highlight w:val="none"/>
        </w:rPr>
        <w:t xml:space="preserve">2.13、软件内置波形频率、波幅测量尺；单波电子测量频率、功率和波幅；支持滑动测量，支持将所选波形和测量结果一键截取发送至报告（提供图片证明） </w:t>
      </w:r>
    </w:p>
    <w:p w14:paraId="6496D760">
      <w:pPr>
        <w:keepNext w:val="0"/>
        <w:keepLines w:val="0"/>
        <w:pageBreakBefore w:val="0"/>
        <w:widowControl/>
        <w:kinsoku/>
        <w:wordWrap/>
        <w:overflowPunct/>
        <w:topLinePunct w:val="0"/>
        <w:autoSpaceDE/>
        <w:autoSpaceDN/>
        <w:bidi w:val="0"/>
        <w:adjustRightInd/>
        <w:snapToGrid/>
        <w:spacing w:line="420" w:lineRule="exact"/>
        <w:ind w:firstLine="388" w:firstLineChars="200"/>
        <w:jc w:val="left"/>
        <w:textAlignment w:val="auto"/>
        <w:rPr>
          <w:rFonts w:ascii="宋体" w:hAnsi="宋体"/>
          <w:color w:val="auto"/>
          <w:spacing w:val="-8"/>
          <w:kern w:val="0"/>
          <w:szCs w:val="21"/>
          <w:highlight w:val="none"/>
        </w:rPr>
      </w:pPr>
      <w:r>
        <w:rPr>
          <w:rFonts w:hint="eastAsia" w:ascii="宋体" w:hAnsi="宋体"/>
          <w:color w:val="auto"/>
          <w:spacing w:val="-8"/>
          <w:kern w:val="0"/>
          <w:szCs w:val="21"/>
          <w:highlight w:val="none"/>
        </w:rPr>
        <w:t xml:space="preserve">2.14、设置各个通道EEG、EMG上下边界数值/线，查看信号是否超过设定数值（提供图片证明） </w:t>
      </w:r>
    </w:p>
    <w:p w14:paraId="09D1607C">
      <w:pPr>
        <w:keepNext w:val="0"/>
        <w:keepLines w:val="0"/>
        <w:pageBreakBefore w:val="0"/>
        <w:widowControl/>
        <w:kinsoku/>
        <w:wordWrap/>
        <w:overflowPunct/>
        <w:topLinePunct w:val="0"/>
        <w:autoSpaceDE/>
        <w:autoSpaceDN/>
        <w:bidi w:val="0"/>
        <w:adjustRightInd/>
        <w:snapToGrid/>
        <w:spacing w:line="420" w:lineRule="exact"/>
        <w:ind w:firstLine="420" w:firstLineChars="200"/>
        <w:jc w:val="left"/>
        <w:textAlignment w:val="auto"/>
        <w:rPr>
          <w:rFonts w:ascii="宋体" w:hAnsi="宋体"/>
          <w:color w:val="auto"/>
          <w:szCs w:val="21"/>
          <w:highlight w:val="none"/>
        </w:rPr>
      </w:pPr>
      <w:r>
        <w:rPr>
          <w:rFonts w:hint="eastAsia" w:ascii="宋体" w:hAnsi="宋体"/>
          <w:color w:val="auto"/>
          <w:szCs w:val="21"/>
          <w:highlight w:val="none"/>
        </w:rPr>
        <w:t xml:space="preserve">2.15、快速左右侧导联叠放，方便操作者肉眼快速识别左右半球信号对称性 </w:t>
      </w:r>
    </w:p>
    <w:p w14:paraId="406F2A05">
      <w:pPr>
        <w:keepNext w:val="0"/>
        <w:keepLines w:val="0"/>
        <w:pageBreakBefore w:val="0"/>
        <w:widowControl/>
        <w:kinsoku/>
        <w:wordWrap/>
        <w:overflowPunct/>
        <w:topLinePunct w:val="0"/>
        <w:autoSpaceDE/>
        <w:autoSpaceDN/>
        <w:bidi w:val="0"/>
        <w:adjustRightInd/>
        <w:snapToGrid/>
        <w:spacing w:line="420" w:lineRule="exact"/>
        <w:ind w:firstLine="420" w:firstLineChars="200"/>
        <w:jc w:val="left"/>
        <w:textAlignment w:val="auto"/>
        <w:rPr>
          <w:rFonts w:ascii="宋体" w:hAnsi="宋体"/>
          <w:color w:val="auto"/>
          <w:szCs w:val="21"/>
          <w:highlight w:val="none"/>
        </w:rPr>
      </w:pPr>
      <w:r>
        <w:rPr>
          <w:rFonts w:hint="eastAsia" w:ascii="宋体" w:hAnsi="宋体"/>
          <w:color w:val="auto"/>
          <w:szCs w:val="21"/>
          <w:highlight w:val="none"/>
        </w:rPr>
        <w:t xml:space="preserve">2.16、支持调用DirectX（图形优化组件），优化轨迹显示，更准确还原信号连续性 </w:t>
      </w:r>
    </w:p>
    <w:p w14:paraId="03ABEBC5">
      <w:pPr>
        <w:keepNext w:val="0"/>
        <w:keepLines w:val="0"/>
        <w:pageBreakBefore w:val="0"/>
        <w:widowControl/>
        <w:kinsoku/>
        <w:wordWrap/>
        <w:overflowPunct/>
        <w:topLinePunct w:val="0"/>
        <w:autoSpaceDE/>
        <w:autoSpaceDN/>
        <w:bidi w:val="0"/>
        <w:adjustRightInd/>
        <w:snapToGrid/>
        <w:spacing w:line="420" w:lineRule="exact"/>
        <w:ind w:firstLine="420" w:firstLineChars="200"/>
        <w:jc w:val="left"/>
        <w:textAlignment w:val="auto"/>
        <w:rPr>
          <w:rFonts w:ascii="宋体" w:hAnsi="宋体"/>
          <w:color w:val="auto"/>
          <w:szCs w:val="21"/>
          <w:highlight w:val="none"/>
        </w:rPr>
      </w:pPr>
      <w:r>
        <w:rPr>
          <w:rFonts w:hint="eastAsia" w:ascii="宋体" w:hAnsi="宋体"/>
          <w:color w:val="auto"/>
          <w:szCs w:val="21"/>
          <w:highlight w:val="none"/>
        </w:rPr>
        <w:t xml:space="preserve">2.17、支持预设报告术语表，在书写结论时，通过点击快速粘贴文本 </w:t>
      </w:r>
    </w:p>
    <w:p w14:paraId="758091E5">
      <w:pPr>
        <w:keepNext w:val="0"/>
        <w:keepLines w:val="0"/>
        <w:pageBreakBefore w:val="0"/>
        <w:widowControl/>
        <w:kinsoku/>
        <w:wordWrap/>
        <w:overflowPunct/>
        <w:topLinePunct w:val="0"/>
        <w:autoSpaceDE/>
        <w:autoSpaceDN/>
        <w:bidi w:val="0"/>
        <w:adjustRightInd/>
        <w:snapToGrid/>
        <w:spacing w:line="420" w:lineRule="exact"/>
        <w:ind w:firstLine="420" w:firstLineChars="200"/>
        <w:jc w:val="left"/>
        <w:textAlignment w:val="auto"/>
        <w:rPr>
          <w:rFonts w:ascii="宋体" w:hAnsi="宋体"/>
          <w:color w:val="auto"/>
          <w:szCs w:val="21"/>
          <w:highlight w:val="none"/>
        </w:rPr>
      </w:pPr>
      <w:r>
        <w:rPr>
          <w:rFonts w:hint="eastAsia" w:ascii="宋体" w:hAnsi="宋体"/>
          <w:color w:val="auto"/>
          <w:szCs w:val="21"/>
          <w:highlight w:val="none"/>
        </w:rPr>
        <w:t xml:space="preserve">2.18、软件内置带通滤波器，方便用户快速滤波，获取目标信息；滤波范围支持自定义 </w:t>
      </w:r>
    </w:p>
    <w:p w14:paraId="6069FA45">
      <w:pPr>
        <w:keepNext w:val="0"/>
        <w:keepLines w:val="0"/>
        <w:pageBreakBefore w:val="0"/>
        <w:widowControl/>
        <w:kinsoku/>
        <w:wordWrap/>
        <w:overflowPunct/>
        <w:topLinePunct w:val="0"/>
        <w:autoSpaceDE/>
        <w:autoSpaceDN/>
        <w:bidi w:val="0"/>
        <w:adjustRightInd/>
        <w:snapToGrid/>
        <w:spacing w:line="420" w:lineRule="exact"/>
        <w:ind w:firstLine="420" w:firstLineChars="200"/>
        <w:jc w:val="left"/>
        <w:textAlignment w:val="auto"/>
        <w:rPr>
          <w:rFonts w:ascii="宋体" w:hAnsi="宋体"/>
          <w:color w:val="auto"/>
          <w:szCs w:val="21"/>
          <w:highlight w:val="none"/>
        </w:rPr>
      </w:pPr>
      <w:r>
        <w:rPr>
          <w:rFonts w:hint="eastAsia" w:ascii="宋体" w:hAnsi="宋体"/>
          <w:color w:val="auto"/>
          <w:szCs w:val="21"/>
          <w:highlight w:val="none"/>
        </w:rPr>
        <w:t xml:space="preserve">3. 软件参数二 </w:t>
      </w:r>
    </w:p>
    <w:p w14:paraId="5CB3217A">
      <w:pPr>
        <w:keepNext w:val="0"/>
        <w:keepLines w:val="0"/>
        <w:pageBreakBefore w:val="0"/>
        <w:widowControl/>
        <w:kinsoku/>
        <w:wordWrap/>
        <w:overflowPunct/>
        <w:topLinePunct w:val="0"/>
        <w:autoSpaceDE/>
        <w:autoSpaceDN/>
        <w:bidi w:val="0"/>
        <w:adjustRightInd/>
        <w:snapToGrid/>
        <w:spacing w:line="420" w:lineRule="exact"/>
        <w:ind w:firstLine="420" w:firstLineChars="200"/>
        <w:jc w:val="left"/>
        <w:textAlignment w:val="auto"/>
        <w:rPr>
          <w:rFonts w:ascii="宋体" w:hAnsi="宋体"/>
          <w:color w:val="auto"/>
          <w:szCs w:val="21"/>
          <w:highlight w:val="none"/>
        </w:rPr>
      </w:pPr>
      <w:r>
        <w:rPr>
          <w:rFonts w:hint="eastAsia" w:ascii="宋体" w:hAnsi="宋体"/>
          <w:color w:val="auto"/>
          <w:szCs w:val="21"/>
          <w:highlight w:val="none"/>
        </w:rPr>
        <w:t xml:space="preserve">3.1、诱发电位软件内置2路视频端口，可同步连接神经超声、电子喉镜，影像与神经检测多模态同时检测； </w:t>
      </w:r>
    </w:p>
    <w:p w14:paraId="5F181B30">
      <w:pPr>
        <w:keepNext w:val="0"/>
        <w:keepLines w:val="0"/>
        <w:pageBreakBefore w:val="0"/>
        <w:widowControl/>
        <w:kinsoku/>
        <w:wordWrap/>
        <w:overflowPunct/>
        <w:topLinePunct w:val="0"/>
        <w:autoSpaceDE/>
        <w:autoSpaceDN/>
        <w:bidi w:val="0"/>
        <w:adjustRightInd/>
        <w:snapToGrid/>
        <w:spacing w:line="420" w:lineRule="exact"/>
        <w:ind w:firstLine="420" w:firstLineChars="200"/>
        <w:jc w:val="left"/>
        <w:textAlignment w:val="auto"/>
        <w:rPr>
          <w:rFonts w:ascii="宋体" w:hAnsi="宋体"/>
          <w:color w:val="auto"/>
          <w:szCs w:val="21"/>
          <w:highlight w:val="none"/>
        </w:rPr>
      </w:pPr>
      <w:r>
        <w:rPr>
          <w:rFonts w:hint="eastAsia" w:ascii="宋体" w:hAnsi="宋体"/>
          <w:color w:val="auto"/>
          <w:szCs w:val="21"/>
          <w:highlight w:val="none"/>
        </w:rPr>
        <w:t xml:space="preserve">3.2、视频可同时记录信号与患者动作用于病情回顾和教学演示。 </w:t>
      </w:r>
    </w:p>
    <w:p w14:paraId="3AD7E06C">
      <w:pPr>
        <w:keepNext w:val="0"/>
        <w:keepLines w:val="0"/>
        <w:pageBreakBefore w:val="0"/>
        <w:widowControl/>
        <w:kinsoku/>
        <w:wordWrap/>
        <w:overflowPunct/>
        <w:topLinePunct w:val="0"/>
        <w:autoSpaceDE/>
        <w:autoSpaceDN/>
        <w:bidi w:val="0"/>
        <w:adjustRightInd/>
        <w:snapToGrid/>
        <w:spacing w:line="420" w:lineRule="exact"/>
        <w:ind w:firstLine="420" w:firstLineChars="200"/>
        <w:jc w:val="left"/>
        <w:textAlignment w:val="auto"/>
        <w:rPr>
          <w:rFonts w:ascii="宋体" w:hAnsi="宋体"/>
          <w:color w:val="auto"/>
          <w:szCs w:val="21"/>
          <w:highlight w:val="none"/>
        </w:rPr>
      </w:pPr>
      <w:r>
        <w:rPr>
          <w:rFonts w:hint="eastAsia" w:ascii="宋体" w:hAnsi="宋体"/>
          <w:color w:val="auto"/>
          <w:szCs w:val="21"/>
          <w:highlight w:val="none"/>
        </w:rPr>
        <w:t xml:space="preserve">3.3、事件相关电位：P300，MMN，CNV，P50，MRCP，评估患者认知功能、意识水平。 </w:t>
      </w:r>
    </w:p>
    <w:p w14:paraId="06C95CDD">
      <w:pPr>
        <w:keepNext w:val="0"/>
        <w:keepLines w:val="0"/>
        <w:pageBreakBefore w:val="0"/>
        <w:widowControl/>
        <w:kinsoku/>
        <w:wordWrap/>
        <w:overflowPunct/>
        <w:topLinePunct w:val="0"/>
        <w:autoSpaceDE/>
        <w:autoSpaceDN/>
        <w:bidi w:val="0"/>
        <w:adjustRightInd/>
        <w:snapToGrid/>
        <w:spacing w:line="420" w:lineRule="exact"/>
        <w:ind w:firstLine="420" w:firstLineChars="200"/>
        <w:jc w:val="left"/>
        <w:textAlignment w:val="auto"/>
        <w:rPr>
          <w:rFonts w:ascii="宋体" w:hAnsi="宋体"/>
          <w:color w:val="auto"/>
          <w:szCs w:val="21"/>
          <w:highlight w:val="none"/>
        </w:rPr>
      </w:pPr>
      <w:r>
        <w:rPr>
          <w:rFonts w:hint="eastAsia" w:ascii="宋体" w:hAnsi="宋体"/>
          <w:color w:val="auto"/>
          <w:szCs w:val="21"/>
          <w:highlight w:val="none"/>
        </w:rPr>
        <w:t xml:space="preserve">3.4、诱发电位：稳态诱发电位、前庭肌源性诱发电位cVEMP，oVEMP、视觉诱发电位：FVEP，PRVEP、听觉诱发电位、体感诱发电位。 </w:t>
      </w:r>
    </w:p>
    <w:p w14:paraId="75FC44A7">
      <w:pPr>
        <w:keepNext w:val="0"/>
        <w:keepLines w:val="0"/>
        <w:pageBreakBefore w:val="0"/>
        <w:widowControl/>
        <w:kinsoku/>
        <w:wordWrap/>
        <w:overflowPunct/>
        <w:topLinePunct w:val="0"/>
        <w:autoSpaceDE/>
        <w:autoSpaceDN/>
        <w:bidi w:val="0"/>
        <w:adjustRightInd/>
        <w:snapToGrid/>
        <w:spacing w:line="420" w:lineRule="exact"/>
        <w:ind w:firstLine="420" w:firstLineChars="200"/>
        <w:jc w:val="left"/>
        <w:textAlignment w:val="auto"/>
        <w:rPr>
          <w:rFonts w:ascii="宋体" w:hAnsi="宋体"/>
          <w:color w:val="auto"/>
          <w:szCs w:val="21"/>
          <w:highlight w:val="none"/>
        </w:rPr>
      </w:pPr>
      <w:r>
        <w:rPr>
          <w:rFonts w:hint="eastAsia" w:ascii="宋体" w:hAnsi="宋体"/>
          <w:color w:val="auto"/>
          <w:szCs w:val="21"/>
          <w:highlight w:val="none"/>
        </w:rPr>
        <w:t xml:space="preserve">3.5、支持自定义计算公式用于对轨迹和轨迹区间进行计算和分析。 </w:t>
      </w:r>
    </w:p>
    <w:p w14:paraId="69E2A79D">
      <w:pPr>
        <w:keepNext w:val="0"/>
        <w:keepLines w:val="0"/>
        <w:pageBreakBefore w:val="0"/>
        <w:widowControl/>
        <w:kinsoku/>
        <w:wordWrap/>
        <w:overflowPunct/>
        <w:topLinePunct w:val="0"/>
        <w:autoSpaceDE/>
        <w:autoSpaceDN/>
        <w:bidi w:val="0"/>
        <w:adjustRightInd/>
        <w:snapToGrid/>
        <w:spacing w:line="420" w:lineRule="exact"/>
        <w:ind w:firstLine="420" w:firstLineChars="200"/>
        <w:jc w:val="left"/>
        <w:textAlignment w:val="auto"/>
        <w:rPr>
          <w:rFonts w:ascii="宋体" w:hAnsi="宋体"/>
          <w:color w:val="auto"/>
          <w:szCs w:val="21"/>
          <w:highlight w:val="none"/>
        </w:rPr>
      </w:pPr>
      <w:r>
        <w:rPr>
          <w:rFonts w:hint="eastAsia" w:ascii="宋体" w:hAnsi="宋体"/>
          <w:color w:val="auto"/>
          <w:szCs w:val="21"/>
          <w:highlight w:val="none"/>
        </w:rPr>
        <w:t xml:space="preserve">3.6、支持在轨迹中手动、自动打标。 </w:t>
      </w:r>
    </w:p>
    <w:p w14:paraId="37451012">
      <w:pPr>
        <w:keepNext w:val="0"/>
        <w:keepLines w:val="0"/>
        <w:pageBreakBefore w:val="0"/>
        <w:widowControl/>
        <w:kinsoku/>
        <w:wordWrap/>
        <w:overflowPunct/>
        <w:topLinePunct w:val="0"/>
        <w:autoSpaceDE/>
        <w:autoSpaceDN/>
        <w:bidi w:val="0"/>
        <w:adjustRightInd/>
        <w:snapToGrid/>
        <w:spacing w:line="420" w:lineRule="exact"/>
        <w:ind w:firstLine="420" w:firstLineChars="200"/>
        <w:jc w:val="left"/>
        <w:textAlignment w:val="auto"/>
        <w:rPr>
          <w:rFonts w:ascii="宋体" w:hAnsi="宋体"/>
          <w:color w:val="auto"/>
          <w:szCs w:val="21"/>
          <w:highlight w:val="none"/>
        </w:rPr>
      </w:pPr>
      <w:r>
        <w:rPr>
          <w:rFonts w:hint="eastAsia" w:ascii="宋体" w:hAnsi="宋体"/>
          <w:color w:val="auto"/>
          <w:szCs w:val="21"/>
          <w:highlight w:val="none"/>
        </w:rPr>
        <w:t xml:space="preserve">3.7、支持实时显示平均叠加、平均的次数；软件支持重新叠加平均。 </w:t>
      </w:r>
    </w:p>
    <w:p w14:paraId="6F865ACD">
      <w:pPr>
        <w:keepNext w:val="0"/>
        <w:keepLines w:val="0"/>
        <w:pageBreakBefore w:val="0"/>
        <w:widowControl/>
        <w:kinsoku/>
        <w:wordWrap/>
        <w:overflowPunct/>
        <w:topLinePunct w:val="0"/>
        <w:autoSpaceDE/>
        <w:autoSpaceDN/>
        <w:bidi w:val="0"/>
        <w:adjustRightInd/>
        <w:snapToGrid/>
        <w:spacing w:line="420" w:lineRule="exact"/>
        <w:ind w:firstLine="420" w:firstLineChars="200"/>
        <w:jc w:val="left"/>
        <w:textAlignment w:val="auto"/>
        <w:rPr>
          <w:rFonts w:ascii="宋体" w:hAnsi="宋体"/>
          <w:color w:val="auto"/>
          <w:szCs w:val="21"/>
          <w:highlight w:val="none"/>
        </w:rPr>
      </w:pPr>
      <w:r>
        <w:rPr>
          <w:rFonts w:hint="eastAsia" w:ascii="宋体" w:hAnsi="宋体"/>
          <w:color w:val="auto"/>
          <w:szCs w:val="21"/>
          <w:highlight w:val="none"/>
        </w:rPr>
        <w:t xml:space="preserve">3.8、具备二次滤波功能、滤除谐波功能。 </w:t>
      </w:r>
    </w:p>
    <w:p w14:paraId="105669A1">
      <w:pPr>
        <w:keepNext w:val="0"/>
        <w:keepLines w:val="0"/>
        <w:pageBreakBefore w:val="0"/>
        <w:widowControl/>
        <w:kinsoku/>
        <w:wordWrap/>
        <w:overflowPunct/>
        <w:topLinePunct w:val="0"/>
        <w:autoSpaceDE/>
        <w:autoSpaceDN/>
        <w:bidi w:val="0"/>
        <w:adjustRightInd/>
        <w:snapToGrid/>
        <w:spacing w:line="420" w:lineRule="exact"/>
        <w:ind w:firstLine="420" w:firstLineChars="200"/>
        <w:jc w:val="left"/>
        <w:textAlignment w:val="auto"/>
        <w:rPr>
          <w:rFonts w:ascii="宋体" w:hAnsi="宋体"/>
          <w:color w:val="auto"/>
          <w:szCs w:val="21"/>
          <w:highlight w:val="none"/>
        </w:rPr>
      </w:pPr>
      <w:r>
        <w:rPr>
          <w:rFonts w:hint="eastAsia" w:ascii="宋体" w:hAnsi="宋体"/>
          <w:color w:val="auto"/>
          <w:szCs w:val="21"/>
          <w:highlight w:val="none"/>
        </w:rPr>
        <w:t xml:space="preserve">3.9、具备对轨迹进行加、减、平均、校正、翻转等功能。 </w:t>
      </w:r>
    </w:p>
    <w:p w14:paraId="5E1F0267">
      <w:pPr>
        <w:keepNext w:val="0"/>
        <w:keepLines w:val="0"/>
        <w:pageBreakBefore w:val="0"/>
        <w:widowControl/>
        <w:kinsoku/>
        <w:wordWrap/>
        <w:overflowPunct/>
        <w:topLinePunct w:val="0"/>
        <w:autoSpaceDE/>
        <w:autoSpaceDN/>
        <w:bidi w:val="0"/>
        <w:adjustRightInd/>
        <w:snapToGrid/>
        <w:spacing w:line="420" w:lineRule="exact"/>
        <w:ind w:firstLine="420" w:firstLineChars="200"/>
        <w:jc w:val="left"/>
        <w:textAlignment w:val="auto"/>
        <w:rPr>
          <w:rFonts w:ascii="宋体" w:hAnsi="宋体"/>
          <w:color w:val="auto"/>
          <w:szCs w:val="21"/>
          <w:highlight w:val="none"/>
        </w:rPr>
      </w:pPr>
      <w:r>
        <w:rPr>
          <w:rFonts w:hint="eastAsia" w:ascii="宋体" w:hAnsi="宋体"/>
          <w:color w:val="auto"/>
          <w:szCs w:val="21"/>
          <w:highlight w:val="none"/>
        </w:rPr>
        <w:t xml:space="preserve">3.10、支持自动探测并删除刺激前伪迹，保证基线平稳 </w:t>
      </w:r>
    </w:p>
    <w:p w14:paraId="66AC1D1B">
      <w:pPr>
        <w:keepNext w:val="0"/>
        <w:keepLines w:val="0"/>
        <w:pageBreakBefore w:val="0"/>
        <w:widowControl/>
        <w:kinsoku/>
        <w:wordWrap/>
        <w:overflowPunct/>
        <w:topLinePunct w:val="0"/>
        <w:autoSpaceDE/>
        <w:autoSpaceDN/>
        <w:bidi w:val="0"/>
        <w:adjustRightInd/>
        <w:snapToGrid/>
        <w:spacing w:line="420" w:lineRule="exact"/>
        <w:ind w:firstLine="420" w:firstLineChars="200"/>
        <w:jc w:val="left"/>
        <w:textAlignment w:val="auto"/>
        <w:rPr>
          <w:rFonts w:ascii="宋体" w:hAnsi="宋体"/>
          <w:color w:val="auto"/>
          <w:szCs w:val="21"/>
          <w:highlight w:val="none"/>
        </w:rPr>
      </w:pPr>
      <w:r>
        <w:rPr>
          <w:rFonts w:hint="eastAsia" w:ascii="宋体" w:hAnsi="宋体"/>
          <w:color w:val="auto"/>
          <w:szCs w:val="21"/>
          <w:highlight w:val="none"/>
        </w:rPr>
        <w:t xml:space="preserve">3.11、支持更改软件界面布局、颜色；轨迹颜色、宽度。                                                                                                                                                                                                  </w:t>
      </w:r>
    </w:p>
    <w:p w14:paraId="73E58007">
      <w:pPr>
        <w:keepNext w:val="0"/>
        <w:keepLines w:val="0"/>
        <w:pageBreakBefore w:val="0"/>
        <w:widowControl/>
        <w:kinsoku/>
        <w:wordWrap/>
        <w:overflowPunct/>
        <w:topLinePunct w:val="0"/>
        <w:autoSpaceDE/>
        <w:autoSpaceDN/>
        <w:bidi w:val="0"/>
        <w:adjustRightInd/>
        <w:snapToGrid/>
        <w:spacing w:line="420" w:lineRule="exact"/>
        <w:ind w:firstLine="420" w:firstLineChars="200"/>
        <w:jc w:val="left"/>
        <w:textAlignment w:val="auto"/>
        <w:rPr>
          <w:rFonts w:ascii="宋体" w:hAnsi="宋体"/>
          <w:color w:val="auto"/>
          <w:szCs w:val="21"/>
          <w:highlight w:val="none"/>
        </w:rPr>
      </w:pPr>
      <w:r>
        <w:rPr>
          <w:rFonts w:hint="eastAsia" w:ascii="宋体" w:hAnsi="宋体"/>
          <w:color w:val="auto"/>
          <w:szCs w:val="21"/>
          <w:highlight w:val="none"/>
        </w:rPr>
        <w:t>★4、</w:t>
      </w:r>
      <w:r>
        <w:rPr>
          <w:rFonts w:hint="eastAsia" w:ascii="宋体" w:hAnsi="宋体"/>
          <w:color w:val="auto"/>
          <w:szCs w:val="21"/>
          <w:highlight w:val="none"/>
          <w:lang w:val="en-US" w:eastAsia="zh-CN"/>
        </w:rPr>
        <w:t>厂家</w:t>
      </w:r>
      <w:r>
        <w:rPr>
          <w:rFonts w:hint="eastAsia" w:ascii="宋体" w:hAnsi="宋体"/>
          <w:color w:val="auto"/>
          <w:szCs w:val="21"/>
          <w:highlight w:val="none"/>
        </w:rPr>
        <w:t xml:space="preserve">承诺原厂整机质保三年。 </w:t>
      </w:r>
    </w:p>
    <w:p w14:paraId="466D89F9">
      <w:pPr>
        <w:keepNext w:val="0"/>
        <w:keepLines w:val="0"/>
        <w:pageBreakBefore w:val="0"/>
        <w:widowControl/>
        <w:kinsoku/>
        <w:wordWrap/>
        <w:overflowPunct/>
        <w:topLinePunct w:val="0"/>
        <w:autoSpaceDE/>
        <w:autoSpaceDN/>
        <w:bidi w:val="0"/>
        <w:adjustRightInd/>
        <w:snapToGrid/>
        <w:spacing w:line="420" w:lineRule="exact"/>
        <w:jc w:val="left"/>
        <w:textAlignment w:val="auto"/>
        <w:rPr>
          <w:rFonts w:ascii="宋体" w:hAnsi="宋体"/>
          <w:color w:val="auto"/>
          <w:szCs w:val="21"/>
          <w:highlight w:val="none"/>
        </w:rPr>
      </w:pPr>
      <w:r>
        <w:rPr>
          <w:rFonts w:hint="eastAsia" w:ascii="宋体" w:hAnsi="宋体"/>
          <w:color w:val="auto"/>
          <w:szCs w:val="21"/>
          <w:highlight w:val="none"/>
        </w:rPr>
        <w:t xml:space="preserve">三、配置要求 </w:t>
      </w:r>
    </w:p>
    <w:p w14:paraId="7352F1FE">
      <w:pPr>
        <w:keepNext w:val="0"/>
        <w:keepLines w:val="0"/>
        <w:pageBreakBefore w:val="0"/>
        <w:widowControl/>
        <w:kinsoku/>
        <w:wordWrap/>
        <w:overflowPunct/>
        <w:topLinePunct w:val="0"/>
        <w:autoSpaceDE/>
        <w:autoSpaceDN/>
        <w:bidi w:val="0"/>
        <w:adjustRightInd/>
        <w:snapToGrid/>
        <w:spacing w:line="420" w:lineRule="exact"/>
        <w:ind w:firstLine="420" w:firstLineChars="200"/>
        <w:jc w:val="left"/>
        <w:textAlignment w:val="auto"/>
        <w:rPr>
          <w:rFonts w:ascii="宋体" w:hAnsi="宋体"/>
          <w:color w:val="auto"/>
          <w:szCs w:val="21"/>
          <w:highlight w:val="none"/>
        </w:rPr>
      </w:pPr>
      <w:r>
        <w:rPr>
          <w:rFonts w:hint="eastAsia" w:ascii="宋体" w:hAnsi="宋体"/>
          <w:color w:val="auto"/>
          <w:szCs w:val="21"/>
          <w:highlight w:val="none"/>
        </w:rPr>
        <w:t xml:space="preserve">1、放大器电子单元   一台 </w:t>
      </w:r>
    </w:p>
    <w:p w14:paraId="501A83A0">
      <w:pPr>
        <w:keepNext w:val="0"/>
        <w:keepLines w:val="0"/>
        <w:pageBreakBefore w:val="0"/>
        <w:widowControl/>
        <w:kinsoku/>
        <w:wordWrap/>
        <w:overflowPunct/>
        <w:topLinePunct w:val="0"/>
        <w:autoSpaceDE/>
        <w:autoSpaceDN/>
        <w:bidi w:val="0"/>
        <w:adjustRightInd/>
        <w:snapToGrid/>
        <w:spacing w:line="420" w:lineRule="exact"/>
        <w:ind w:firstLine="420" w:firstLineChars="200"/>
        <w:jc w:val="left"/>
        <w:textAlignment w:val="auto"/>
        <w:rPr>
          <w:rFonts w:ascii="宋体" w:hAnsi="宋体"/>
          <w:color w:val="auto"/>
          <w:szCs w:val="21"/>
          <w:highlight w:val="none"/>
        </w:rPr>
      </w:pPr>
      <w:r>
        <w:rPr>
          <w:rFonts w:hint="eastAsia" w:ascii="宋体" w:hAnsi="宋体"/>
          <w:color w:val="auto"/>
          <w:szCs w:val="21"/>
          <w:highlight w:val="none"/>
        </w:rPr>
        <w:t xml:space="preserve">2、耳机          一个 </w:t>
      </w:r>
    </w:p>
    <w:p w14:paraId="24386FC3">
      <w:pPr>
        <w:keepNext w:val="0"/>
        <w:keepLines w:val="0"/>
        <w:pageBreakBefore w:val="0"/>
        <w:widowControl/>
        <w:kinsoku/>
        <w:wordWrap/>
        <w:overflowPunct/>
        <w:topLinePunct w:val="0"/>
        <w:autoSpaceDE/>
        <w:autoSpaceDN/>
        <w:bidi w:val="0"/>
        <w:adjustRightInd/>
        <w:snapToGrid/>
        <w:spacing w:line="420" w:lineRule="exact"/>
        <w:ind w:firstLine="420" w:firstLineChars="200"/>
        <w:jc w:val="left"/>
        <w:textAlignment w:val="auto"/>
        <w:rPr>
          <w:rFonts w:ascii="宋体" w:hAnsi="宋体"/>
          <w:color w:val="auto"/>
          <w:szCs w:val="21"/>
          <w:highlight w:val="none"/>
        </w:rPr>
      </w:pPr>
      <w:r>
        <w:rPr>
          <w:rFonts w:hint="eastAsia" w:ascii="宋体" w:hAnsi="宋体"/>
          <w:color w:val="auto"/>
          <w:szCs w:val="21"/>
          <w:highlight w:val="none"/>
        </w:rPr>
        <w:t xml:space="preserve">3、地电极    一个 </w:t>
      </w:r>
    </w:p>
    <w:p w14:paraId="24244F21">
      <w:pPr>
        <w:keepNext w:val="0"/>
        <w:keepLines w:val="0"/>
        <w:pageBreakBefore w:val="0"/>
        <w:widowControl/>
        <w:kinsoku/>
        <w:wordWrap/>
        <w:overflowPunct/>
        <w:topLinePunct w:val="0"/>
        <w:autoSpaceDE/>
        <w:autoSpaceDN/>
        <w:bidi w:val="0"/>
        <w:adjustRightInd/>
        <w:snapToGrid/>
        <w:spacing w:line="420" w:lineRule="exact"/>
        <w:ind w:firstLine="420" w:firstLineChars="200"/>
        <w:jc w:val="left"/>
        <w:textAlignment w:val="auto"/>
        <w:rPr>
          <w:rFonts w:ascii="宋体" w:hAnsi="宋体"/>
          <w:color w:val="auto"/>
          <w:szCs w:val="21"/>
          <w:highlight w:val="none"/>
        </w:rPr>
      </w:pPr>
      <w:r>
        <w:rPr>
          <w:rFonts w:hint="eastAsia" w:ascii="宋体" w:hAnsi="宋体"/>
          <w:color w:val="auto"/>
          <w:szCs w:val="21"/>
          <w:highlight w:val="none"/>
        </w:rPr>
        <w:t xml:space="preserve">4、电刺激器  一个 </w:t>
      </w:r>
    </w:p>
    <w:p w14:paraId="1FFC5CD0">
      <w:pPr>
        <w:keepNext w:val="0"/>
        <w:keepLines w:val="0"/>
        <w:pageBreakBefore w:val="0"/>
        <w:widowControl/>
        <w:kinsoku/>
        <w:wordWrap/>
        <w:overflowPunct/>
        <w:topLinePunct w:val="0"/>
        <w:autoSpaceDE/>
        <w:autoSpaceDN/>
        <w:bidi w:val="0"/>
        <w:adjustRightInd/>
        <w:snapToGrid/>
        <w:spacing w:line="420" w:lineRule="exact"/>
        <w:ind w:firstLine="420" w:firstLineChars="200"/>
        <w:jc w:val="left"/>
        <w:textAlignment w:val="auto"/>
        <w:rPr>
          <w:rFonts w:ascii="宋体" w:hAnsi="宋体"/>
          <w:color w:val="auto"/>
          <w:szCs w:val="21"/>
          <w:highlight w:val="none"/>
        </w:rPr>
      </w:pPr>
      <w:r>
        <w:rPr>
          <w:rFonts w:hint="eastAsia" w:ascii="宋体" w:hAnsi="宋体"/>
          <w:color w:val="auto"/>
          <w:szCs w:val="21"/>
          <w:highlight w:val="none"/>
        </w:rPr>
        <w:t xml:space="preserve">5、笔记本电脑     一台 </w:t>
      </w:r>
    </w:p>
    <w:p w14:paraId="2F815767">
      <w:pPr>
        <w:keepNext w:val="0"/>
        <w:keepLines w:val="0"/>
        <w:pageBreakBefore w:val="0"/>
        <w:widowControl/>
        <w:kinsoku/>
        <w:wordWrap/>
        <w:overflowPunct/>
        <w:topLinePunct w:val="0"/>
        <w:autoSpaceDE/>
        <w:autoSpaceDN/>
        <w:bidi w:val="0"/>
        <w:adjustRightInd/>
        <w:snapToGrid/>
        <w:spacing w:line="420" w:lineRule="exact"/>
        <w:ind w:firstLine="420" w:firstLineChars="200"/>
        <w:jc w:val="left"/>
        <w:textAlignment w:val="auto"/>
        <w:rPr>
          <w:rFonts w:ascii="宋体" w:hAnsi="宋体"/>
          <w:color w:val="auto"/>
          <w:szCs w:val="21"/>
          <w:highlight w:val="none"/>
        </w:rPr>
      </w:pPr>
      <w:r>
        <w:rPr>
          <w:rFonts w:hint="eastAsia" w:ascii="宋体" w:hAnsi="宋体"/>
          <w:color w:val="auto"/>
          <w:szCs w:val="21"/>
          <w:highlight w:val="none"/>
        </w:rPr>
        <w:t>6、打印机         一台</w:t>
      </w:r>
    </w:p>
    <w:p w14:paraId="25DA03B2">
      <w:pPr>
        <w:keepNext w:val="0"/>
        <w:keepLines w:val="0"/>
        <w:pageBreakBefore w:val="0"/>
        <w:kinsoku/>
        <w:wordWrap/>
        <w:overflowPunct/>
        <w:topLinePunct w:val="0"/>
        <w:autoSpaceDE/>
        <w:autoSpaceDN/>
        <w:bidi w:val="0"/>
        <w:adjustRightInd/>
        <w:snapToGrid/>
        <w:spacing w:line="420" w:lineRule="exact"/>
        <w:jc w:val="both"/>
        <w:textAlignment w:val="auto"/>
        <w:rPr>
          <w:rFonts w:hint="eastAsia" w:asciiTheme="minorEastAsia" w:hAnsiTheme="minorEastAsia" w:eastAsiaTheme="minorEastAsia"/>
          <w:b/>
          <w:color w:val="auto"/>
          <w:szCs w:val="21"/>
        </w:rPr>
      </w:pPr>
    </w:p>
    <w:p w14:paraId="37C13441">
      <w:pPr>
        <w:keepNext w:val="0"/>
        <w:keepLines w:val="0"/>
        <w:pageBreakBefore w:val="0"/>
        <w:kinsoku/>
        <w:wordWrap/>
        <w:overflowPunct/>
        <w:topLinePunct w:val="0"/>
        <w:autoSpaceDE/>
        <w:autoSpaceDN/>
        <w:bidi w:val="0"/>
        <w:adjustRightInd/>
        <w:snapToGrid/>
        <w:spacing w:line="420" w:lineRule="exact"/>
        <w:jc w:val="center"/>
        <w:textAlignment w:val="auto"/>
        <w:rPr>
          <w:rFonts w:asciiTheme="majorEastAsia" w:hAnsiTheme="majorEastAsia" w:eastAsiaTheme="majorEastAsia"/>
          <w:b/>
          <w:bCs/>
          <w:color w:val="auto"/>
          <w:sz w:val="28"/>
          <w:szCs w:val="28"/>
          <w:highlight w:val="none"/>
        </w:rPr>
      </w:pPr>
      <w:r>
        <w:rPr>
          <w:rFonts w:hint="eastAsia" w:asciiTheme="minorEastAsia" w:hAnsiTheme="minorEastAsia" w:eastAsiaTheme="minorEastAsia"/>
          <w:b/>
          <w:color w:val="auto"/>
          <w:szCs w:val="21"/>
        </w:rPr>
        <w:t>包</w:t>
      </w:r>
      <w:r>
        <w:rPr>
          <w:rFonts w:hint="eastAsia" w:asciiTheme="minorEastAsia" w:hAnsiTheme="minorEastAsia" w:eastAsiaTheme="minorEastAsia"/>
          <w:b/>
          <w:color w:val="auto"/>
          <w:szCs w:val="21"/>
          <w:lang w:val="en-US" w:eastAsia="zh-CN"/>
        </w:rPr>
        <w:t>4</w:t>
      </w:r>
      <w:r>
        <w:rPr>
          <w:rFonts w:hint="eastAsia" w:asciiTheme="minorEastAsia" w:hAnsiTheme="minorEastAsia" w:eastAsiaTheme="minorEastAsia"/>
          <w:b/>
          <w:color w:val="auto"/>
          <w:szCs w:val="21"/>
        </w:rPr>
        <w:t>：肾脏灌注运转箱</w:t>
      </w:r>
    </w:p>
    <w:p w14:paraId="09FE67C0">
      <w:pPr>
        <w:keepNext w:val="0"/>
        <w:keepLines w:val="0"/>
        <w:pageBreakBefore w:val="0"/>
        <w:widowControl/>
        <w:kinsoku/>
        <w:wordWrap/>
        <w:overflowPunct/>
        <w:topLinePunct w:val="0"/>
        <w:autoSpaceDE/>
        <w:autoSpaceDN/>
        <w:bidi w:val="0"/>
        <w:adjustRightInd/>
        <w:snapToGrid/>
        <w:spacing w:line="420" w:lineRule="exact"/>
        <w:jc w:val="left"/>
        <w:textAlignment w:val="auto"/>
        <w:rPr>
          <w:rFonts w:ascii="宋体" w:hAnsi="宋体"/>
          <w:color w:val="auto"/>
          <w:szCs w:val="21"/>
          <w:highlight w:val="none"/>
        </w:rPr>
      </w:pPr>
      <w:r>
        <w:rPr>
          <w:rFonts w:hint="eastAsia" w:ascii="宋体" w:hAnsi="宋体"/>
          <w:color w:val="auto"/>
          <w:szCs w:val="21"/>
          <w:highlight w:val="none"/>
        </w:rPr>
        <w:t>一、设备用途：</w:t>
      </w:r>
    </w:p>
    <w:p w14:paraId="7FDEE4D2">
      <w:pPr>
        <w:keepNext w:val="0"/>
        <w:keepLines w:val="0"/>
        <w:pageBreakBefore w:val="0"/>
        <w:widowControl/>
        <w:kinsoku/>
        <w:wordWrap/>
        <w:overflowPunct/>
        <w:topLinePunct w:val="0"/>
        <w:autoSpaceDE/>
        <w:autoSpaceDN/>
        <w:bidi w:val="0"/>
        <w:adjustRightInd/>
        <w:snapToGrid/>
        <w:spacing w:line="420" w:lineRule="exact"/>
        <w:ind w:firstLine="420" w:firstLineChars="200"/>
        <w:jc w:val="left"/>
        <w:textAlignment w:val="auto"/>
        <w:rPr>
          <w:rFonts w:ascii="宋体" w:hAnsi="宋体"/>
          <w:color w:val="auto"/>
          <w:szCs w:val="21"/>
          <w:highlight w:val="none"/>
        </w:rPr>
      </w:pPr>
      <w:r>
        <w:rPr>
          <w:rFonts w:hint="eastAsia" w:ascii="宋体" w:hAnsi="宋体"/>
          <w:color w:val="auto"/>
          <w:szCs w:val="21"/>
          <w:highlight w:val="none"/>
        </w:rPr>
        <w:t xml:space="preserve">用于离体肾脏在保存、运输和最终植入患者阶段中的连续低温机器灌注。帮助医生合理安排手术，使医疗团队为术前及术中争取时间，同时使受体准备更加充分，获得更好的围手术期条件。延长冷缺血时间，减少DGF发生降低DGF的发生风险。 </w:t>
      </w:r>
    </w:p>
    <w:p w14:paraId="24FD55B6">
      <w:pPr>
        <w:keepNext w:val="0"/>
        <w:keepLines w:val="0"/>
        <w:pageBreakBefore w:val="0"/>
        <w:widowControl/>
        <w:kinsoku/>
        <w:wordWrap/>
        <w:overflowPunct/>
        <w:topLinePunct w:val="0"/>
        <w:autoSpaceDE/>
        <w:autoSpaceDN/>
        <w:bidi w:val="0"/>
        <w:adjustRightInd/>
        <w:snapToGrid/>
        <w:spacing w:line="420" w:lineRule="exact"/>
        <w:jc w:val="left"/>
        <w:textAlignment w:val="auto"/>
        <w:rPr>
          <w:rFonts w:ascii="宋体" w:hAnsi="宋体"/>
          <w:color w:val="auto"/>
          <w:szCs w:val="21"/>
          <w:highlight w:val="none"/>
        </w:rPr>
      </w:pPr>
      <w:r>
        <w:rPr>
          <w:rFonts w:hint="eastAsia" w:ascii="宋体" w:hAnsi="宋体"/>
          <w:color w:val="auto"/>
          <w:szCs w:val="21"/>
          <w:highlight w:val="none"/>
        </w:rPr>
        <w:t xml:space="preserve">二、主要技术参数要求： </w:t>
      </w:r>
    </w:p>
    <w:p w14:paraId="25CDDFB1">
      <w:pPr>
        <w:keepNext w:val="0"/>
        <w:keepLines w:val="0"/>
        <w:pageBreakBefore w:val="0"/>
        <w:widowControl/>
        <w:kinsoku/>
        <w:wordWrap/>
        <w:overflowPunct/>
        <w:topLinePunct w:val="0"/>
        <w:autoSpaceDE/>
        <w:autoSpaceDN/>
        <w:bidi w:val="0"/>
        <w:adjustRightInd/>
        <w:snapToGrid/>
        <w:spacing w:line="420" w:lineRule="exact"/>
        <w:ind w:firstLine="420" w:firstLineChars="200"/>
        <w:jc w:val="left"/>
        <w:textAlignment w:val="auto"/>
        <w:rPr>
          <w:rFonts w:ascii="宋体" w:hAnsi="宋体"/>
          <w:color w:val="auto"/>
          <w:szCs w:val="21"/>
          <w:highlight w:val="none"/>
        </w:rPr>
      </w:pPr>
      <w:r>
        <w:rPr>
          <w:rFonts w:hint="eastAsia" w:ascii="宋体" w:hAnsi="宋体"/>
          <w:color w:val="auto"/>
          <w:szCs w:val="21"/>
          <w:highlight w:val="none"/>
        </w:rPr>
        <w:t xml:space="preserve">1、容量：单肾. </w:t>
      </w:r>
    </w:p>
    <w:p w14:paraId="660B4218">
      <w:pPr>
        <w:keepNext w:val="0"/>
        <w:keepLines w:val="0"/>
        <w:pageBreakBefore w:val="0"/>
        <w:widowControl/>
        <w:kinsoku/>
        <w:wordWrap/>
        <w:overflowPunct/>
        <w:topLinePunct w:val="0"/>
        <w:autoSpaceDE/>
        <w:autoSpaceDN/>
        <w:bidi w:val="0"/>
        <w:adjustRightInd/>
        <w:snapToGrid/>
        <w:spacing w:line="420" w:lineRule="exact"/>
        <w:ind w:firstLine="420" w:firstLineChars="200"/>
        <w:jc w:val="left"/>
        <w:textAlignment w:val="auto"/>
        <w:rPr>
          <w:rFonts w:ascii="宋体" w:hAnsi="宋体"/>
          <w:color w:val="auto"/>
          <w:szCs w:val="21"/>
          <w:highlight w:val="none"/>
        </w:rPr>
      </w:pPr>
      <w:r>
        <w:rPr>
          <w:rFonts w:hint="eastAsia"/>
          <w:color w:val="auto"/>
          <w:highlight w:val="none"/>
        </w:rPr>
        <w:t>2、</w:t>
      </w:r>
      <w:r>
        <w:rPr>
          <w:rFonts w:hint="eastAsia" w:ascii="宋体" w:hAnsi="宋体"/>
          <w:color w:val="auto"/>
          <w:szCs w:val="21"/>
          <w:highlight w:val="none"/>
        </w:rPr>
        <w:t>建议修改为：</w:t>
      </w:r>
      <w:r>
        <w:rPr>
          <w:rFonts w:hint="eastAsia" w:ascii="宋体" w:hAnsi="宋体" w:cs="宋体"/>
          <w:color w:val="auto"/>
          <w:sz w:val="24"/>
          <w:highlight w:val="none"/>
        </w:rPr>
        <w:t>中央处理器≥8位，主频≥64MHz</w:t>
      </w:r>
    </w:p>
    <w:p w14:paraId="58F386C8">
      <w:pPr>
        <w:keepNext w:val="0"/>
        <w:keepLines w:val="0"/>
        <w:pageBreakBefore w:val="0"/>
        <w:widowControl/>
        <w:kinsoku/>
        <w:wordWrap/>
        <w:overflowPunct/>
        <w:topLinePunct w:val="0"/>
        <w:autoSpaceDE/>
        <w:autoSpaceDN/>
        <w:bidi w:val="0"/>
        <w:adjustRightInd/>
        <w:snapToGrid/>
        <w:spacing w:line="420" w:lineRule="exact"/>
        <w:ind w:firstLine="420" w:firstLineChars="200"/>
        <w:jc w:val="left"/>
        <w:textAlignment w:val="auto"/>
        <w:rPr>
          <w:rFonts w:ascii="宋体" w:hAnsi="宋体"/>
          <w:color w:val="auto"/>
          <w:szCs w:val="21"/>
          <w:highlight w:val="none"/>
        </w:rPr>
      </w:pPr>
      <w:r>
        <w:rPr>
          <w:rFonts w:hint="eastAsia" w:ascii="宋体" w:hAnsi="宋体"/>
          <w:color w:val="auto"/>
          <w:szCs w:val="21"/>
          <w:highlight w:val="none"/>
        </w:rPr>
        <w:t xml:space="preserve">3、灌注泵：蠕动泵 </w:t>
      </w:r>
    </w:p>
    <w:p w14:paraId="11868E5C">
      <w:pPr>
        <w:keepNext w:val="0"/>
        <w:keepLines w:val="0"/>
        <w:pageBreakBefore w:val="0"/>
        <w:widowControl/>
        <w:kinsoku/>
        <w:wordWrap/>
        <w:overflowPunct/>
        <w:topLinePunct w:val="0"/>
        <w:autoSpaceDE/>
        <w:autoSpaceDN/>
        <w:bidi w:val="0"/>
        <w:adjustRightInd/>
        <w:snapToGrid/>
        <w:spacing w:line="420" w:lineRule="exact"/>
        <w:ind w:firstLine="420" w:firstLineChars="200"/>
        <w:jc w:val="left"/>
        <w:textAlignment w:val="auto"/>
        <w:rPr>
          <w:rFonts w:ascii="宋体" w:hAnsi="宋体"/>
          <w:color w:val="auto"/>
          <w:szCs w:val="21"/>
          <w:highlight w:val="none"/>
        </w:rPr>
      </w:pPr>
      <w:r>
        <w:rPr>
          <w:rFonts w:hint="eastAsia" w:ascii="宋体" w:hAnsi="宋体"/>
          <w:color w:val="auto"/>
          <w:szCs w:val="21"/>
          <w:highlight w:val="none"/>
        </w:rPr>
        <w:t xml:space="preserve">4、压力控制：闭环式压力调控，10-65mmHg </w:t>
      </w:r>
    </w:p>
    <w:p w14:paraId="721021E1">
      <w:pPr>
        <w:keepNext w:val="0"/>
        <w:keepLines w:val="0"/>
        <w:pageBreakBefore w:val="0"/>
        <w:widowControl/>
        <w:kinsoku/>
        <w:wordWrap/>
        <w:overflowPunct/>
        <w:topLinePunct w:val="0"/>
        <w:autoSpaceDE/>
        <w:autoSpaceDN/>
        <w:bidi w:val="0"/>
        <w:adjustRightInd/>
        <w:snapToGrid/>
        <w:spacing w:line="420" w:lineRule="exact"/>
        <w:ind w:firstLine="420" w:firstLineChars="200"/>
        <w:jc w:val="left"/>
        <w:textAlignment w:val="auto"/>
        <w:rPr>
          <w:rFonts w:ascii="宋体" w:hAnsi="宋体"/>
          <w:color w:val="auto"/>
          <w:szCs w:val="21"/>
          <w:highlight w:val="none"/>
        </w:rPr>
      </w:pPr>
      <w:r>
        <w:rPr>
          <w:rFonts w:hint="eastAsia" w:ascii="宋体" w:hAnsi="宋体"/>
          <w:color w:val="auto"/>
          <w:szCs w:val="21"/>
          <w:highlight w:val="none"/>
        </w:rPr>
        <w:t xml:space="preserve">5、灌注模式：连续/脉动 </w:t>
      </w:r>
    </w:p>
    <w:p w14:paraId="6FF0B95C">
      <w:pPr>
        <w:keepNext w:val="0"/>
        <w:keepLines w:val="0"/>
        <w:pageBreakBefore w:val="0"/>
        <w:widowControl/>
        <w:kinsoku/>
        <w:wordWrap/>
        <w:overflowPunct/>
        <w:topLinePunct w:val="0"/>
        <w:autoSpaceDE/>
        <w:autoSpaceDN/>
        <w:bidi w:val="0"/>
        <w:adjustRightInd/>
        <w:snapToGrid/>
        <w:spacing w:line="420" w:lineRule="exact"/>
        <w:jc w:val="left"/>
        <w:textAlignment w:val="auto"/>
        <w:rPr>
          <w:rFonts w:ascii="宋体" w:hAnsi="宋体"/>
          <w:color w:val="auto"/>
          <w:szCs w:val="21"/>
          <w:highlight w:val="none"/>
        </w:rPr>
      </w:pP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流速：连续模式0-240ml/min </w:t>
      </w:r>
    </w:p>
    <w:p w14:paraId="0103EBBF">
      <w:pPr>
        <w:keepNext w:val="0"/>
        <w:keepLines w:val="0"/>
        <w:pageBreakBefore w:val="0"/>
        <w:widowControl/>
        <w:kinsoku/>
        <w:wordWrap/>
        <w:overflowPunct/>
        <w:topLinePunct w:val="0"/>
        <w:autoSpaceDE/>
        <w:autoSpaceDN/>
        <w:bidi w:val="0"/>
        <w:adjustRightInd/>
        <w:snapToGrid/>
        <w:spacing w:line="420" w:lineRule="exact"/>
        <w:jc w:val="left"/>
        <w:textAlignment w:val="auto"/>
        <w:rPr>
          <w:rFonts w:ascii="宋体" w:hAnsi="宋体"/>
          <w:color w:val="auto"/>
          <w:szCs w:val="21"/>
          <w:highlight w:val="none"/>
        </w:rPr>
      </w:pP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脉动模式：0-240ml/min(当使用电池时，最大流速降低25%) </w:t>
      </w:r>
    </w:p>
    <w:p w14:paraId="0E77B277">
      <w:pPr>
        <w:keepNext w:val="0"/>
        <w:keepLines w:val="0"/>
        <w:pageBreakBefore w:val="0"/>
        <w:widowControl/>
        <w:kinsoku/>
        <w:wordWrap/>
        <w:overflowPunct/>
        <w:topLinePunct w:val="0"/>
        <w:autoSpaceDE/>
        <w:autoSpaceDN/>
        <w:bidi w:val="0"/>
        <w:adjustRightInd/>
        <w:snapToGrid/>
        <w:spacing w:line="420" w:lineRule="exact"/>
        <w:ind w:firstLine="420" w:firstLineChars="200"/>
        <w:jc w:val="left"/>
        <w:textAlignment w:val="auto"/>
        <w:rPr>
          <w:rFonts w:ascii="宋体" w:hAnsi="宋体"/>
          <w:color w:val="auto"/>
          <w:szCs w:val="21"/>
          <w:highlight w:val="none"/>
        </w:rPr>
      </w:pPr>
      <w:r>
        <w:rPr>
          <w:rFonts w:hint="eastAsia" w:ascii="宋体" w:hAnsi="宋体"/>
          <w:color w:val="auto"/>
          <w:szCs w:val="21"/>
          <w:highlight w:val="none"/>
        </w:rPr>
        <w:t xml:space="preserve">6、尺寸：60cm×35cm×35cm±5cm </w:t>
      </w:r>
    </w:p>
    <w:p w14:paraId="21063BED">
      <w:pPr>
        <w:keepNext w:val="0"/>
        <w:keepLines w:val="0"/>
        <w:pageBreakBefore w:val="0"/>
        <w:widowControl/>
        <w:kinsoku/>
        <w:wordWrap/>
        <w:overflowPunct/>
        <w:topLinePunct w:val="0"/>
        <w:autoSpaceDE/>
        <w:autoSpaceDN/>
        <w:bidi w:val="0"/>
        <w:adjustRightInd/>
        <w:snapToGrid/>
        <w:spacing w:line="420" w:lineRule="exact"/>
        <w:ind w:firstLine="420" w:firstLineChars="200"/>
        <w:jc w:val="left"/>
        <w:textAlignment w:val="auto"/>
        <w:rPr>
          <w:rFonts w:ascii="宋体" w:hAnsi="宋体"/>
          <w:color w:val="auto"/>
          <w:szCs w:val="21"/>
          <w:highlight w:val="none"/>
        </w:rPr>
      </w:pPr>
      <w:r>
        <w:rPr>
          <w:rFonts w:hint="eastAsia" w:ascii="宋体" w:hAnsi="宋体"/>
          <w:color w:val="auto"/>
          <w:szCs w:val="21"/>
          <w:highlight w:val="none"/>
        </w:rPr>
        <w:t>7、运行周期：装载冰水后，正常运行的持续时间不少于24小时，电池续航时间：</w:t>
      </w:r>
      <w:r>
        <w:rPr>
          <w:rFonts w:hint="eastAsia" w:ascii="宋体" w:hAnsi="宋体" w:cs="宋体"/>
          <w:color w:val="auto"/>
          <w:sz w:val="24"/>
          <w:highlight w:val="none"/>
        </w:rPr>
        <w:t>≥</w:t>
      </w:r>
      <w:r>
        <w:rPr>
          <w:rFonts w:hint="eastAsia" w:ascii="宋体" w:hAnsi="宋体"/>
          <w:color w:val="auto"/>
          <w:szCs w:val="21"/>
          <w:highlight w:val="none"/>
        </w:rPr>
        <w:t xml:space="preserve">24小时（充满电） </w:t>
      </w:r>
    </w:p>
    <w:p w14:paraId="0735B706">
      <w:pPr>
        <w:keepNext w:val="0"/>
        <w:keepLines w:val="0"/>
        <w:pageBreakBefore w:val="0"/>
        <w:widowControl/>
        <w:kinsoku/>
        <w:wordWrap/>
        <w:overflowPunct/>
        <w:topLinePunct w:val="0"/>
        <w:autoSpaceDE/>
        <w:autoSpaceDN/>
        <w:bidi w:val="0"/>
        <w:adjustRightInd/>
        <w:snapToGrid/>
        <w:spacing w:line="420" w:lineRule="exact"/>
        <w:ind w:firstLine="420" w:firstLineChars="200"/>
        <w:jc w:val="left"/>
        <w:textAlignment w:val="auto"/>
        <w:rPr>
          <w:rFonts w:ascii="宋体" w:hAnsi="宋体"/>
          <w:color w:val="auto"/>
          <w:szCs w:val="21"/>
          <w:highlight w:val="none"/>
        </w:rPr>
      </w:pPr>
      <w:r>
        <w:rPr>
          <w:rFonts w:hint="eastAsia" w:ascii="宋体" w:hAnsi="宋体"/>
          <w:color w:val="auto"/>
          <w:szCs w:val="21"/>
          <w:highlight w:val="none"/>
        </w:rPr>
        <w:t xml:space="preserve">8、冷却液：5.5L冰水混合物。 </w:t>
      </w:r>
    </w:p>
    <w:p w14:paraId="32BB1AB0">
      <w:pPr>
        <w:keepNext w:val="0"/>
        <w:keepLines w:val="0"/>
        <w:pageBreakBefore w:val="0"/>
        <w:widowControl/>
        <w:kinsoku/>
        <w:wordWrap/>
        <w:overflowPunct/>
        <w:topLinePunct w:val="0"/>
        <w:autoSpaceDE/>
        <w:autoSpaceDN/>
        <w:bidi w:val="0"/>
        <w:adjustRightInd/>
        <w:snapToGrid/>
        <w:spacing w:line="420" w:lineRule="exact"/>
        <w:ind w:firstLine="420" w:firstLineChars="200"/>
        <w:jc w:val="left"/>
        <w:textAlignment w:val="auto"/>
        <w:rPr>
          <w:rFonts w:ascii="宋体" w:hAnsi="宋体"/>
          <w:color w:val="auto"/>
          <w:szCs w:val="21"/>
          <w:highlight w:val="none"/>
        </w:rPr>
      </w:pPr>
      <w:r>
        <w:rPr>
          <w:rFonts w:hint="eastAsia" w:ascii="宋体" w:hAnsi="宋体"/>
          <w:color w:val="auto"/>
          <w:szCs w:val="21"/>
          <w:highlight w:val="none"/>
        </w:rPr>
        <w:t xml:space="preserve">9、灌注液：低温机器灌注液。 </w:t>
      </w:r>
    </w:p>
    <w:p w14:paraId="4EFBA84B">
      <w:pPr>
        <w:keepNext w:val="0"/>
        <w:keepLines w:val="0"/>
        <w:pageBreakBefore w:val="0"/>
        <w:widowControl/>
        <w:kinsoku/>
        <w:wordWrap/>
        <w:overflowPunct/>
        <w:topLinePunct w:val="0"/>
        <w:autoSpaceDE/>
        <w:autoSpaceDN/>
        <w:bidi w:val="0"/>
        <w:adjustRightInd/>
        <w:snapToGrid/>
        <w:spacing w:line="420" w:lineRule="exact"/>
        <w:ind w:firstLine="420" w:firstLineChars="200"/>
        <w:jc w:val="left"/>
        <w:textAlignment w:val="auto"/>
        <w:rPr>
          <w:rFonts w:ascii="宋体" w:hAnsi="宋体"/>
          <w:color w:val="auto"/>
          <w:szCs w:val="21"/>
          <w:highlight w:val="none"/>
        </w:rPr>
      </w:pPr>
      <w:r>
        <w:rPr>
          <w:rFonts w:hint="eastAsia" w:ascii="宋体" w:hAnsi="宋体"/>
          <w:color w:val="auto"/>
          <w:szCs w:val="21"/>
          <w:highlight w:val="none"/>
        </w:rPr>
        <w:t xml:space="preserve">10、数据下载：从设备启动至灌注结束期间搜集记录所有的灌注和状态数据，通过USB端口全部下载。 </w:t>
      </w:r>
    </w:p>
    <w:p w14:paraId="277418FB">
      <w:pPr>
        <w:keepNext w:val="0"/>
        <w:keepLines w:val="0"/>
        <w:pageBreakBefore w:val="0"/>
        <w:widowControl/>
        <w:kinsoku/>
        <w:wordWrap/>
        <w:overflowPunct/>
        <w:topLinePunct w:val="0"/>
        <w:autoSpaceDE/>
        <w:autoSpaceDN/>
        <w:bidi w:val="0"/>
        <w:adjustRightInd/>
        <w:snapToGrid/>
        <w:spacing w:line="420" w:lineRule="exact"/>
        <w:ind w:firstLine="420" w:firstLineChars="200"/>
        <w:jc w:val="left"/>
        <w:textAlignment w:val="auto"/>
        <w:rPr>
          <w:rFonts w:ascii="宋体" w:hAnsi="宋体"/>
          <w:color w:val="auto"/>
          <w:szCs w:val="21"/>
          <w:highlight w:val="none"/>
        </w:rPr>
      </w:pPr>
      <w:r>
        <w:rPr>
          <w:rFonts w:hint="eastAsia" w:ascii="宋体" w:hAnsi="宋体"/>
          <w:color w:val="auto"/>
          <w:szCs w:val="21"/>
          <w:highlight w:val="none"/>
        </w:rPr>
        <w:t xml:space="preserve">11、操作和储存状态：温度5℃-40℃；湿度0-90%；压力 700-1060hPa。 </w:t>
      </w:r>
    </w:p>
    <w:p w14:paraId="2BEF1B2B">
      <w:pPr>
        <w:keepNext w:val="0"/>
        <w:keepLines w:val="0"/>
        <w:pageBreakBefore w:val="0"/>
        <w:widowControl/>
        <w:kinsoku/>
        <w:wordWrap/>
        <w:overflowPunct/>
        <w:topLinePunct w:val="0"/>
        <w:autoSpaceDE/>
        <w:autoSpaceDN/>
        <w:bidi w:val="0"/>
        <w:adjustRightInd/>
        <w:snapToGrid/>
        <w:spacing w:line="420" w:lineRule="exact"/>
        <w:ind w:firstLine="420" w:firstLineChars="200"/>
        <w:jc w:val="left"/>
        <w:textAlignment w:val="auto"/>
        <w:rPr>
          <w:rFonts w:ascii="宋体" w:hAnsi="宋体"/>
          <w:color w:val="auto"/>
          <w:szCs w:val="21"/>
          <w:highlight w:val="none"/>
        </w:rPr>
      </w:pPr>
      <w:r>
        <w:rPr>
          <w:rFonts w:hint="eastAsia" w:ascii="宋体" w:hAnsi="宋体"/>
          <w:color w:val="auto"/>
          <w:szCs w:val="21"/>
          <w:highlight w:val="none"/>
        </w:rPr>
        <w:t xml:space="preserve">12、可以显示设备信息、器官信息、设置压力、实际压力、实际流速、灌注阻力、冰盒内温度、灌注液温度、灌注系统状态和次状态。 </w:t>
      </w:r>
    </w:p>
    <w:p w14:paraId="0EF20D20">
      <w:pPr>
        <w:keepNext w:val="0"/>
        <w:keepLines w:val="0"/>
        <w:pageBreakBefore w:val="0"/>
        <w:widowControl/>
        <w:kinsoku/>
        <w:wordWrap/>
        <w:overflowPunct/>
        <w:topLinePunct w:val="0"/>
        <w:autoSpaceDE/>
        <w:autoSpaceDN/>
        <w:bidi w:val="0"/>
        <w:adjustRightInd/>
        <w:snapToGrid/>
        <w:spacing w:line="420" w:lineRule="exact"/>
        <w:ind w:firstLine="420" w:firstLineChars="200"/>
        <w:jc w:val="left"/>
        <w:textAlignment w:val="auto"/>
        <w:rPr>
          <w:rFonts w:ascii="宋体" w:hAnsi="宋体"/>
          <w:color w:val="auto"/>
          <w:szCs w:val="21"/>
          <w:highlight w:val="none"/>
        </w:rPr>
      </w:pPr>
      <w:r>
        <w:rPr>
          <w:rFonts w:hint="eastAsia" w:ascii="宋体" w:hAnsi="宋体"/>
          <w:color w:val="auto"/>
          <w:szCs w:val="21"/>
          <w:highlight w:val="none"/>
        </w:rPr>
        <w:t>★13、</w:t>
      </w:r>
      <w:r>
        <w:rPr>
          <w:rFonts w:hint="eastAsia" w:ascii="宋体" w:hAnsi="宋体"/>
          <w:color w:val="auto"/>
          <w:szCs w:val="21"/>
          <w:highlight w:val="none"/>
          <w:lang w:val="en-US" w:eastAsia="zh-CN"/>
        </w:rPr>
        <w:t>厂家</w:t>
      </w:r>
      <w:r>
        <w:rPr>
          <w:rFonts w:hint="eastAsia" w:ascii="宋体" w:hAnsi="宋体"/>
          <w:color w:val="auto"/>
          <w:szCs w:val="21"/>
          <w:highlight w:val="none"/>
        </w:rPr>
        <w:t xml:space="preserve">承诺原厂整机保修三年。 </w:t>
      </w:r>
    </w:p>
    <w:p w14:paraId="76EE498E">
      <w:pPr>
        <w:keepNext w:val="0"/>
        <w:keepLines w:val="0"/>
        <w:pageBreakBefore w:val="0"/>
        <w:widowControl/>
        <w:kinsoku/>
        <w:wordWrap/>
        <w:overflowPunct/>
        <w:topLinePunct w:val="0"/>
        <w:autoSpaceDE/>
        <w:autoSpaceDN/>
        <w:bidi w:val="0"/>
        <w:adjustRightInd/>
        <w:snapToGrid/>
        <w:spacing w:line="420" w:lineRule="exact"/>
        <w:jc w:val="left"/>
        <w:textAlignment w:val="auto"/>
        <w:rPr>
          <w:rFonts w:ascii="宋体" w:hAnsi="宋体"/>
          <w:color w:val="auto"/>
          <w:szCs w:val="21"/>
          <w:highlight w:val="none"/>
        </w:rPr>
      </w:pPr>
      <w:r>
        <w:rPr>
          <w:rFonts w:hint="eastAsia" w:ascii="宋体" w:hAnsi="宋体"/>
          <w:color w:val="auto"/>
          <w:szCs w:val="21"/>
          <w:highlight w:val="none"/>
        </w:rPr>
        <w:t xml:space="preserve">三、配置要求 </w:t>
      </w:r>
    </w:p>
    <w:p w14:paraId="2E88D0FC">
      <w:pPr>
        <w:keepNext w:val="0"/>
        <w:keepLines w:val="0"/>
        <w:pageBreakBefore w:val="0"/>
        <w:widowControl/>
        <w:kinsoku/>
        <w:wordWrap/>
        <w:overflowPunct/>
        <w:topLinePunct w:val="0"/>
        <w:autoSpaceDE/>
        <w:autoSpaceDN/>
        <w:bidi w:val="0"/>
        <w:adjustRightInd/>
        <w:snapToGrid/>
        <w:spacing w:line="420" w:lineRule="exact"/>
        <w:ind w:firstLine="420" w:firstLineChars="200"/>
        <w:jc w:val="left"/>
        <w:textAlignment w:val="auto"/>
        <w:rPr>
          <w:rFonts w:ascii="宋体" w:hAnsi="宋体"/>
          <w:color w:val="auto"/>
          <w:szCs w:val="21"/>
          <w:highlight w:val="none"/>
        </w:rPr>
      </w:pPr>
      <w:r>
        <w:rPr>
          <w:rFonts w:hint="eastAsia" w:ascii="宋体" w:hAnsi="宋体"/>
          <w:color w:val="auto"/>
          <w:szCs w:val="21"/>
          <w:highlight w:val="none"/>
        </w:rPr>
        <w:t xml:space="preserve">1、主机一台 </w:t>
      </w:r>
    </w:p>
    <w:p w14:paraId="51C62BE3">
      <w:pPr>
        <w:keepNext w:val="0"/>
        <w:keepLines w:val="0"/>
        <w:pageBreakBefore w:val="0"/>
        <w:widowControl/>
        <w:kinsoku/>
        <w:wordWrap/>
        <w:overflowPunct/>
        <w:topLinePunct w:val="0"/>
        <w:autoSpaceDE/>
        <w:autoSpaceDN/>
        <w:bidi w:val="0"/>
        <w:adjustRightInd/>
        <w:snapToGrid/>
        <w:spacing w:line="420" w:lineRule="exact"/>
        <w:ind w:firstLine="420" w:firstLineChars="200"/>
        <w:jc w:val="left"/>
        <w:textAlignment w:val="auto"/>
        <w:rPr>
          <w:rFonts w:ascii="宋体" w:hAnsi="宋体"/>
          <w:color w:val="auto"/>
          <w:szCs w:val="21"/>
          <w:highlight w:val="none"/>
        </w:rPr>
      </w:pPr>
      <w:r>
        <w:rPr>
          <w:rFonts w:hint="eastAsia" w:ascii="宋体" w:hAnsi="宋体"/>
          <w:color w:val="auto"/>
          <w:szCs w:val="21"/>
          <w:highlight w:val="none"/>
        </w:rPr>
        <w:t xml:space="preserve">2、配套软件一套 </w:t>
      </w:r>
    </w:p>
    <w:p w14:paraId="3A8E8339">
      <w:pPr>
        <w:keepNext w:val="0"/>
        <w:keepLines w:val="0"/>
        <w:pageBreakBefore w:val="0"/>
        <w:widowControl/>
        <w:kinsoku/>
        <w:wordWrap/>
        <w:overflowPunct/>
        <w:topLinePunct w:val="0"/>
        <w:autoSpaceDE/>
        <w:autoSpaceDN/>
        <w:bidi w:val="0"/>
        <w:adjustRightInd/>
        <w:snapToGrid/>
        <w:spacing w:line="420" w:lineRule="exact"/>
        <w:ind w:firstLine="420" w:firstLineChars="200"/>
        <w:jc w:val="left"/>
        <w:textAlignment w:val="auto"/>
        <w:rPr>
          <w:rFonts w:ascii="宋体" w:hAnsi="宋体"/>
          <w:color w:val="auto"/>
          <w:szCs w:val="21"/>
          <w:highlight w:val="none"/>
        </w:rPr>
      </w:pPr>
      <w:r>
        <w:rPr>
          <w:rFonts w:hint="eastAsia" w:ascii="宋体" w:hAnsi="宋体"/>
          <w:color w:val="auto"/>
          <w:szCs w:val="21"/>
          <w:highlight w:val="none"/>
        </w:rPr>
        <w:t xml:space="preserve">3、配套电源线 </w:t>
      </w:r>
    </w:p>
    <w:p w14:paraId="084D00CB">
      <w:pPr>
        <w:keepNext w:val="0"/>
        <w:keepLines w:val="0"/>
        <w:pageBreakBefore w:val="0"/>
        <w:widowControl/>
        <w:kinsoku/>
        <w:wordWrap/>
        <w:overflowPunct/>
        <w:topLinePunct w:val="0"/>
        <w:autoSpaceDE/>
        <w:autoSpaceDN/>
        <w:bidi w:val="0"/>
        <w:adjustRightInd/>
        <w:snapToGrid/>
        <w:spacing w:line="420" w:lineRule="exact"/>
        <w:ind w:firstLine="420" w:firstLineChars="200"/>
        <w:jc w:val="left"/>
        <w:textAlignment w:val="auto"/>
        <w:rPr>
          <w:rFonts w:ascii="宋体" w:hAnsi="宋体"/>
          <w:color w:val="auto"/>
          <w:szCs w:val="21"/>
          <w:highlight w:val="none"/>
        </w:rPr>
      </w:pPr>
      <w:r>
        <w:rPr>
          <w:rFonts w:hint="eastAsia" w:ascii="宋体" w:hAnsi="宋体"/>
          <w:color w:val="auto"/>
          <w:szCs w:val="21"/>
          <w:highlight w:val="none"/>
        </w:rPr>
        <w:t xml:space="preserve">4、数据线 </w:t>
      </w:r>
    </w:p>
    <w:p w14:paraId="0D24327B">
      <w:pPr>
        <w:keepNext w:val="0"/>
        <w:keepLines w:val="0"/>
        <w:pageBreakBefore w:val="0"/>
        <w:widowControl/>
        <w:kinsoku/>
        <w:wordWrap/>
        <w:overflowPunct/>
        <w:topLinePunct w:val="0"/>
        <w:autoSpaceDE/>
        <w:autoSpaceDN/>
        <w:bidi w:val="0"/>
        <w:adjustRightInd/>
        <w:snapToGrid/>
        <w:spacing w:line="420" w:lineRule="exact"/>
        <w:ind w:firstLine="420" w:firstLineChars="200"/>
        <w:jc w:val="left"/>
        <w:textAlignment w:val="auto"/>
        <w:rPr>
          <w:rFonts w:ascii="宋体" w:hAnsi="宋体"/>
          <w:color w:val="auto"/>
          <w:szCs w:val="21"/>
          <w:highlight w:val="none"/>
        </w:rPr>
      </w:pPr>
      <w:r>
        <w:rPr>
          <w:rFonts w:hint="eastAsia" w:ascii="宋体" w:hAnsi="宋体"/>
          <w:color w:val="auto"/>
          <w:szCs w:val="21"/>
          <w:highlight w:val="none"/>
        </w:rPr>
        <w:t xml:space="preserve">5、操作手册 </w:t>
      </w:r>
    </w:p>
    <w:p w14:paraId="418803A4">
      <w:pPr>
        <w:keepNext w:val="0"/>
        <w:keepLines w:val="0"/>
        <w:pageBreakBefore w:val="0"/>
        <w:widowControl/>
        <w:kinsoku/>
        <w:wordWrap/>
        <w:overflowPunct/>
        <w:topLinePunct w:val="0"/>
        <w:autoSpaceDE/>
        <w:autoSpaceDN/>
        <w:bidi w:val="0"/>
        <w:adjustRightInd/>
        <w:snapToGrid/>
        <w:spacing w:line="420" w:lineRule="exact"/>
        <w:ind w:firstLine="420" w:firstLineChars="200"/>
        <w:jc w:val="left"/>
        <w:textAlignment w:val="auto"/>
        <w:rPr>
          <w:rFonts w:asciiTheme="minorEastAsia" w:hAnsiTheme="minorEastAsia" w:eastAsiaTheme="minorEastAsia"/>
          <w:b/>
          <w:color w:val="auto"/>
          <w:sz w:val="24"/>
        </w:rPr>
      </w:pPr>
      <w:r>
        <w:rPr>
          <w:rFonts w:hint="eastAsia" w:ascii="宋体" w:hAnsi="宋体"/>
          <w:color w:val="auto"/>
          <w:szCs w:val="21"/>
          <w:highlight w:val="none"/>
        </w:rPr>
        <w:t>6、配套电池</w:t>
      </w:r>
    </w:p>
    <w:p w14:paraId="69A77A83">
      <w:pPr>
        <w:adjustRightInd w:val="0"/>
        <w:snapToGrid w:val="0"/>
        <w:spacing w:before="120" w:beforeLines="50" w:line="360" w:lineRule="auto"/>
        <w:jc w:val="center"/>
        <w:rPr>
          <w:rFonts w:hint="eastAsia" w:asciiTheme="minorEastAsia" w:hAnsiTheme="minorEastAsia" w:eastAsiaTheme="minorEastAsia"/>
          <w:b/>
          <w:color w:val="auto"/>
          <w:sz w:val="24"/>
        </w:rPr>
      </w:pPr>
    </w:p>
    <w:p w14:paraId="45B09621">
      <w:pPr>
        <w:adjustRightInd w:val="0"/>
        <w:snapToGrid w:val="0"/>
        <w:spacing w:before="120" w:beforeLines="50" w:line="360" w:lineRule="auto"/>
        <w:jc w:val="center"/>
        <w:rPr>
          <w:rFonts w:asciiTheme="minorEastAsia" w:hAnsiTheme="minorEastAsia" w:eastAsiaTheme="minorEastAsia"/>
          <w:b/>
          <w:color w:val="auto"/>
          <w:sz w:val="24"/>
        </w:rPr>
      </w:pPr>
      <w:r>
        <w:rPr>
          <w:rFonts w:hint="eastAsia" w:asciiTheme="minorEastAsia" w:hAnsiTheme="minorEastAsia" w:eastAsiaTheme="minorEastAsia"/>
          <w:b/>
          <w:color w:val="auto"/>
          <w:sz w:val="24"/>
        </w:rPr>
        <w:t>以下商务条款所有包号适用</w:t>
      </w:r>
    </w:p>
    <w:p w14:paraId="227C55D1">
      <w:pPr>
        <w:spacing w:line="360" w:lineRule="exact"/>
        <w:jc w:val="left"/>
        <w:rPr>
          <w:b/>
          <w:bCs/>
          <w:color w:val="auto"/>
        </w:rPr>
      </w:pPr>
      <w:r>
        <w:rPr>
          <w:rFonts w:hint="eastAsia"/>
          <w:b/>
          <w:bCs/>
          <w:color w:val="auto"/>
        </w:rPr>
        <w:t>二、采购标的的数量、采购项目交付或者实施的时间和地点</w:t>
      </w:r>
    </w:p>
    <w:p w14:paraId="16F50700">
      <w:pPr>
        <w:spacing w:line="360" w:lineRule="exact"/>
        <w:jc w:val="left"/>
        <w:rPr>
          <w:color w:val="auto"/>
        </w:rPr>
      </w:pPr>
      <w:r>
        <w:rPr>
          <w:rFonts w:hint="eastAsia"/>
          <w:color w:val="auto"/>
        </w:rPr>
        <w:t>1.1 采购标的物名称：详见下文</w:t>
      </w:r>
    </w:p>
    <w:p w14:paraId="511A36D5">
      <w:pPr>
        <w:spacing w:line="360" w:lineRule="exact"/>
        <w:jc w:val="left"/>
        <w:rPr>
          <w:color w:val="auto"/>
        </w:rPr>
      </w:pPr>
      <w:r>
        <w:rPr>
          <w:rFonts w:hint="eastAsia"/>
          <w:color w:val="auto"/>
        </w:rPr>
        <w:t>1.2 采购标的的数量：详见下文</w:t>
      </w:r>
    </w:p>
    <w:p w14:paraId="75B66D2E">
      <w:pPr>
        <w:spacing w:line="360" w:lineRule="exact"/>
        <w:jc w:val="left"/>
        <w:rPr>
          <w:color w:val="auto"/>
        </w:rPr>
      </w:pPr>
      <w:r>
        <w:rPr>
          <w:rFonts w:hint="eastAsia"/>
          <w:color w:val="auto"/>
        </w:rPr>
        <w:t>1.3 交货时间：国产设备在合同签订后30天内；进口设备在合同签定后90天内。如遇法定节假日或国家、医院相关政策调整，交货时间以招标人通知为准。如延期到货，投标人则严格按照民法典相关规定支付违约金。</w:t>
      </w:r>
    </w:p>
    <w:p w14:paraId="72877BD0">
      <w:pPr>
        <w:spacing w:line="360" w:lineRule="exact"/>
        <w:jc w:val="left"/>
        <w:rPr>
          <w:color w:val="auto"/>
        </w:rPr>
      </w:pPr>
      <w:r>
        <w:rPr>
          <w:rFonts w:hint="eastAsia"/>
          <w:color w:val="auto"/>
        </w:rPr>
        <w:t>1.4付款方式：设备全部到货且验收合格后凭全额发票（必须由中标人自行验证真伪随发票一并提供），招标人向中标人支付合同总金额的100%。</w:t>
      </w:r>
    </w:p>
    <w:p w14:paraId="52A5CF60">
      <w:pPr>
        <w:spacing w:line="360" w:lineRule="exact"/>
        <w:jc w:val="left"/>
        <w:rPr>
          <w:color w:val="auto"/>
        </w:rPr>
      </w:pPr>
      <w:r>
        <w:rPr>
          <w:rFonts w:hint="eastAsia"/>
          <w:color w:val="auto"/>
        </w:rPr>
        <w:t>1.5交货地点：买方指定地点（中南大学湘雅医院）</w:t>
      </w:r>
    </w:p>
    <w:p w14:paraId="3E11769C">
      <w:pPr>
        <w:spacing w:line="360" w:lineRule="exact"/>
        <w:jc w:val="left"/>
        <w:rPr>
          <w:rFonts w:asciiTheme="minorEastAsia" w:hAnsiTheme="minorEastAsia" w:eastAsiaTheme="minorEastAsia"/>
          <w:b/>
          <w:color w:val="auto"/>
          <w:szCs w:val="21"/>
        </w:rPr>
      </w:pPr>
    </w:p>
    <w:p w14:paraId="3F000541">
      <w:pPr>
        <w:spacing w:line="360" w:lineRule="exact"/>
        <w:jc w:val="left"/>
        <w:rPr>
          <w:rFonts w:asciiTheme="minorEastAsia" w:hAnsiTheme="minorEastAsia" w:eastAsiaTheme="minorEastAsia"/>
          <w:b/>
          <w:color w:val="auto"/>
          <w:szCs w:val="21"/>
        </w:rPr>
      </w:pPr>
      <w:r>
        <w:rPr>
          <w:rFonts w:hint="eastAsia" w:asciiTheme="minorEastAsia" w:hAnsiTheme="minorEastAsia" w:eastAsiaTheme="minorEastAsia"/>
          <w:b/>
          <w:color w:val="auto"/>
          <w:szCs w:val="21"/>
        </w:rPr>
        <w:t>三、附件及零配件（包括专用工具）、备品备件的要求</w:t>
      </w:r>
    </w:p>
    <w:p w14:paraId="7ED66C7F">
      <w:pPr>
        <w:adjustRightInd w:val="0"/>
        <w:snapToGrid w:val="0"/>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3</w:t>
      </w:r>
      <w:r>
        <w:rPr>
          <w:rFonts w:asciiTheme="minorEastAsia" w:hAnsiTheme="minorEastAsia" w:eastAsiaTheme="minorEastAsia"/>
          <w:color w:val="auto"/>
          <w:szCs w:val="21"/>
        </w:rPr>
        <w:t xml:space="preserve">.1 </w:t>
      </w:r>
      <w:r>
        <w:rPr>
          <w:rFonts w:hint="eastAsia" w:asciiTheme="minorEastAsia" w:hAnsiTheme="minorEastAsia" w:eastAsiaTheme="minorEastAsia"/>
          <w:color w:val="auto"/>
          <w:szCs w:val="21"/>
        </w:rPr>
        <w:t>特殊工具：投标人应向采购人提供安装、维修所需的特殊专用工具（含维修软件）及清单，其费用包括在投标总价之内。</w:t>
      </w:r>
    </w:p>
    <w:p w14:paraId="030D34D5">
      <w:pPr>
        <w:adjustRightInd w:val="0"/>
        <w:snapToGrid w:val="0"/>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3</w:t>
      </w:r>
      <w:r>
        <w:rPr>
          <w:rFonts w:asciiTheme="minorEastAsia" w:hAnsiTheme="minorEastAsia" w:eastAsiaTheme="minorEastAsia"/>
          <w:color w:val="auto"/>
          <w:szCs w:val="21"/>
        </w:rPr>
        <w:t xml:space="preserve">.2 </w:t>
      </w:r>
      <w:r>
        <w:rPr>
          <w:rFonts w:hint="eastAsia" w:asciiTheme="minorEastAsia" w:hAnsiTheme="minorEastAsia" w:eastAsiaTheme="minorEastAsia"/>
          <w:color w:val="auto"/>
          <w:szCs w:val="21"/>
        </w:rPr>
        <w:t>投标人应在投标文件中提供按出厂标准供应的主要备品备件价格清单及其制造商名称、地址。如采购人质保期后购买备品备件，其价格不能超过此清单价格。</w:t>
      </w:r>
    </w:p>
    <w:p w14:paraId="2CB08A0D">
      <w:pPr>
        <w:adjustRightInd w:val="0"/>
        <w:snapToGrid w:val="0"/>
        <w:spacing w:line="360" w:lineRule="auto"/>
        <w:rPr>
          <w:rFonts w:asciiTheme="minorEastAsia" w:hAnsiTheme="minorEastAsia" w:eastAsiaTheme="minorEastAsia"/>
          <w:color w:val="auto"/>
          <w:spacing w:val="-11"/>
          <w:szCs w:val="21"/>
        </w:rPr>
      </w:pPr>
      <w:r>
        <w:rPr>
          <w:rFonts w:hint="eastAsia" w:asciiTheme="minorEastAsia" w:hAnsiTheme="minorEastAsia" w:eastAsiaTheme="minorEastAsia"/>
          <w:color w:val="auto"/>
          <w:spacing w:val="-11"/>
          <w:szCs w:val="21"/>
        </w:rPr>
        <w:t>3.3 投标人所投货物零配件保证8年以上的供应期。在设备正常有效期寿命内提供各种维修、供应、更换服务，并且保证每周</w:t>
      </w:r>
      <w:r>
        <w:rPr>
          <w:rFonts w:asciiTheme="minorEastAsia" w:hAnsiTheme="minorEastAsia" w:eastAsiaTheme="minorEastAsia"/>
          <w:color w:val="auto"/>
          <w:spacing w:val="-11"/>
          <w:szCs w:val="21"/>
        </w:rPr>
        <w:t>7</w:t>
      </w:r>
      <w:r>
        <w:rPr>
          <w:rFonts w:hint="eastAsia" w:asciiTheme="minorEastAsia" w:hAnsiTheme="minorEastAsia" w:eastAsiaTheme="minorEastAsia"/>
          <w:color w:val="auto"/>
          <w:spacing w:val="-11"/>
          <w:szCs w:val="21"/>
        </w:rPr>
        <w:t>天向采购人开放。所需零配件根据采购人要求以最快方式迅速发送。</w:t>
      </w:r>
    </w:p>
    <w:p w14:paraId="0BACD0D2">
      <w:pPr>
        <w:adjustRightInd w:val="0"/>
        <w:snapToGrid w:val="0"/>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3</w:t>
      </w:r>
      <w:r>
        <w:rPr>
          <w:rFonts w:asciiTheme="minorEastAsia" w:hAnsiTheme="minorEastAsia" w:eastAsiaTheme="minorEastAsia"/>
          <w:color w:val="auto"/>
          <w:szCs w:val="21"/>
        </w:rPr>
        <w:t xml:space="preserve">.4 </w:t>
      </w:r>
      <w:r>
        <w:rPr>
          <w:rFonts w:hint="eastAsia" w:asciiTheme="minorEastAsia" w:hAnsiTheme="minorEastAsia" w:eastAsiaTheme="minorEastAsia"/>
          <w:color w:val="auto"/>
          <w:szCs w:val="21"/>
        </w:rPr>
        <w:t>货物使用期间，不得强制采购人货物零配件购新退旧。</w:t>
      </w:r>
    </w:p>
    <w:p w14:paraId="7FD3C653">
      <w:pPr>
        <w:adjustRightInd w:val="0"/>
        <w:snapToGrid w:val="0"/>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3</w:t>
      </w:r>
      <w:r>
        <w:rPr>
          <w:rFonts w:asciiTheme="minorEastAsia" w:hAnsiTheme="minorEastAsia" w:eastAsiaTheme="minorEastAsia"/>
          <w:color w:val="auto"/>
          <w:szCs w:val="21"/>
        </w:rPr>
        <w:t xml:space="preserve">.5 </w:t>
      </w:r>
      <w:r>
        <w:rPr>
          <w:rFonts w:hint="eastAsia" w:asciiTheme="minorEastAsia" w:hAnsiTheme="minorEastAsia" w:eastAsiaTheme="minorEastAsia"/>
          <w:color w:val="auto"/>
          <w:szCs w:val="21"/>
        </w:rPr>
        <w:t>投标人须在投标文件中提供针对上述内容出具的承诺书。</w:t>
      </w:r>
    </w:p>
    <w:p w14:paraId="7A6C6DA3">
      <w:pPr>
        <w:adjustRightInd w:val="0"/>
        <w:snapToGrid w:val="0"/>
        <w:spacing w:before="120" w:beforeLines="50" w:line="360" w:lineRule="auto"/>
        <w:rPr>
          <w:rFonts w:asciiTheme="minorEastAsia" w:hAnsiTheme="minorEastAsia" w:eastAsiaTheme="minorEastAsia"/>
          <w:b/>
          <w:color w:val="auto"/>
          <w:szCs w:val="21"/>
        </w:rPr>
      </w:pPr>
      <w:r>
        <w:rPr>
          <w:rFonts w:hint="eastAsia" w:asciiTheme="minorEastAsia" w:hAnsiTheme="minorEastAsia" w:eastAsiaTheme="minorEastAsia"/>
          <w:b/>
          <w:color w:val="auto"/>
          <w:szCs w:val="21"/>
        </w:rPr>
        <w:t>四、安装调试及验收</w:t>
      </w:r>
    </w:p>
    <w:p w14:paraId="2CB7006D">
      <w:pPr>
        <w:adjustRightInd w:val="0"/>
        <w:snapToGrid w:val="0"/>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4</w:t>
      </w:r>
      <w:r>
        <w:rPr>
          <w:rFonts w:asciiTheme="minorEastAsia" w:hAnsiTheme="minorEastAsia" w:eastAsiaTheme="minorEastAsia"/>
          <w:color w:val="auto"/>
          <w:szCs w:val="21"/>
        </w:rPr>
        <w:t xml:space="preserve">.1 </w:t>
      </w:r>
      <w:r>
        <w:rPr>
          <w:rFonts w:hint="eastAsia" w:asciiTheme="minorEastAsia" w:hAnsiTheme="minorEastAsia" w:eastAsiaTheme="minorEastAsia"/>
          <w:color w:val="auto"/>
          <w:szCs w:val="21"/>
        </w:rPr>
        <w:t>中标人配合和指导采购人对货物储存、安装和使用场地的建设或改良（含配套设施及条件），确保货物达到规定的使用环境，保证使用条件安全。</w:t>
      </w:r>
    </w:p>
    <w:p w14:paraId="039812F8">
      <w:pPr>
        <w:adjustRightInd w:val="0"/>
        <w:snapToGrid w:val="0"/>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4</w:t>
      </w:r>
      <w:r>
        <w:rPr>
          <w:rFonts w:asciiTheme="minorEastAsia" w:hAnsiTheme="minorEastAsia" w:eastAsiaTheme="minorEastAsia"/>
          <w:color w:val="auto"/>
          <w:szCs w:val="21"/>
        </w:rPr>
        <w:t xml:space="preserve">.2 </w:t>
      </w:r>
      <w:r>
        <w:rPr>
          <w:rFonts w:hint="eastAsia" w:asciiTheme="minorEastAsia" w:hAnsiTheme="minorEastAsia" w:eastAsiaTheme="minorEastAsia"/>
          <w:color w:val="auto"/>
          <w:szCs w:val="21"/>
        </w:rPr>
        <w:t>在货物到达使用单位，现场场地符合安装条件后，采购人将通知中标人派技术人员进行安装调试。中标人应派技术人员在</w:t>
      </w:r>
      <w:r>
        <w:rPr>
          <w:rFonts w:asciiTheme="minorEastAsia" w:hAnsiTheme="minorEastAsia" w:eastAsiaTheme="minorEastAsia"/>
          <w:color w:val="auto"/>
          <w:szCs w:val="21"/>
        </w:rPr>
        <w:t>7</w:t>
      </w:r>
      <w:r>
        <w:rPr>
          <w:rFonts w:hint="eastAsia" w:asciiTheme="minorEastAsia" w:hAnsiTheme="minorEastAsia" w:eastAsiaTheme="minorEastAsia"/>
          <w:color w:val="auto"/>
          <w:szCs w:val="21"/>
        </w:rPr>
        <w:t>日内到达采购人指定安装地点，并在采购人技术人员在场的情况下开箱清点货物，组织安装、调试，并承担因此发生的一切费用。如中标人未在</w:t>
      </w:r>
      <w:r>
        <w:rPr>
          <w:rFonts w:asciiTheme="minorEastAsia" w:hAnsiTheme="minorEastAsia" w:eastAsiaTheme="minorEastAsia"/>
          <w:color w:val="auto"/>
          <w:szCs w:val="21"/>
        </w:rPr>
        <w:t>7</w:t>
      </w:r>
      <w:r>
        <w:rPr>
          <w:rFonts w:hint="eastAsia" w:asciiTheme="minorEastAsia" w:hAnsiTheme="minorEastAsia" w:eastAsiaTheme="minorEastAsia"/>
          <w:color w:val="auto"/>
          <w:szCs w:val="21"/>
        </w:rPr>
        <w:t>日内到达采购人指定安装地点，采购人有权自行开箱安装调试。开箱如有缺货、错装、损坏或技术问题，中标人应承担全部责任。</w:t>
      </w:r>
    </w:p>
    <w:p w14:paraId="7C1C5E80">
      <w:pPr>
        <w:adjustRightInd w:val="0"/>
        <w:snapToGrid w:val="0"/>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4</w:t>
      </w:r>
      <w:r>
        <w:rPr>
          <w:rFonts w:asciiTheme="minorEastAsia" w:hAnsiTheme="minorEastAsia" w:eastAsiaTheme="minorEastAsia"/>
          <w:color w:val="auto"/>
          <w:szCs w:val="21"/>
        </w:rPr>
        <w:t xml:space="preserve">.3 </w:t>
      </w:r>
      <w:r>
        <w:rPr>
          <w:rFonts w:hint="eastAsia" w:asciiTheme="minorEastAsia" w:hAnsiTheme="minorEastAsia" w:eastAsiaTheme="minorEastAsia"/>
          <w:color w:val="auto"/>
          <w:szCs w:val="21"/>
        </w:rPr>
        <w:t>在验收报告出具前，中标人需按相关规定，委托国内具备资格的单位对货物进行检验并出具报告，所有费用均含在投标报价中。</w:t>
      </w:r>
    </w:p>
    <w:p w14:paraId="67624D5B">
      <w:pPr>
        <w:adjustRightInd w:val="0"/>
        <w:snapToGrid w:val="0"/>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4</w:t>
      </w:r>
      <w:r>
        <w:rPr>
          <w:rFonts w:asciiTheme="minorEastAsia" w:hAnsiTheme="minorEastAsia" w:eastAsiaTheme="minorEastAsia"/>
          <w:color w:val="auto"/>
          <w:szCs w:val="21"/>
        </w:rPr>
        <w:t xml:space="preserve">.4 </w:t>
      </w:r>
      <w:r>
        <w:rPr>
          <w:rFonts w:hint="eastAsia" w:asciiTheme="minorEastAsia" w:hAnsiTheme="minorEastAsia" w:eastAsiaTheme="minorEastAsia"/>
          <w:color w:val="auto"/>
          <w:szCs w:val="21"/>
        </w:rPr>
        <w:t>设备验收签字前如有任何质量问题，中标人必须无条件更换。</w:t>
      </w:r>
    </w:p>
    <w:p w14:paraId="413E9BD0">
      <w:pPr>
        <w:adjustRightInd w:val="0"/>
        <w:snapToGrid w:val="0"/>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4</w:t>
      </w:r>
      <w:r>
        <w:rPr>
          <w:rFonts w:asciiTheme="minorEastAsia" w:hAnsiTheme="minorEastAsia" w:eastAsiaTheme="minorEastAsia"/>
          <w:color w:val="auto"/>
          <w:szCs w:val="21"/>
        </w:rPr>
        <w:t xml:space="preserve">.5 </w:t>
      </w:r>
      <w:r>
        <w:rPr>
          <w:rFonts w:hint="eastAsia" w:asciiTheme="minorEastAsia" w:hAnsiTheme="minorEastAsia" w:eastAsiaTheme="minorEastAsia"/>
          <w:color w:val="auto"/>
          <w:szCs w:val="21"/>
        </w:rPr>
        <w:t>中标人须承担货物验收前的财产保护责任，在验收前出现损坏由中标人负责。在安装运输过程中如出现人员伤亡及财产损坏由中标人承担赔偿责任。</w:t>
      </w:r>
    </w:p>
    <w:p w14:paraId="19EC48CA">
      <w:pPr>
        <w:adjustRightInd w:val="0"/>
        <w:snapToGrid w:val="0"/>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4</w:t>
      </w:r>
      <w:r>
        <w:rPr>
          <w:rFonts w:asciiTheme="minorEastAsia" w:hAnsiTheme="minorEastAsia" w:eastAsiaTheme="minorEastAsia"/>
          <w:color w:val="auto"/>
          <w:szCs w:val="21"/>
        </w:rPr>
        <w:t>.6</w:t>
      </w:r>
      <w:r>
        <w:rPr>
          <w:rFonts w:hint="eastAsia" w:asciiTheme="minorEastAsia" w:hAnsiTheme="minorEastAsia" w:eastAsiaTheme="minorEastAsia"/>
          <w:color w:val="auto"/>
          <w:szCs w:val="21"/>
        </w:rPr>
        <w:t>设备安装后，采购人按国际和国家标准及厂方标准进行质量验收。中标人应向采购人提供详细的验收标准，验收手册和部分验收专用仪器，并承担相关费用。设备各项技术性能、指标必须达到合同和技术文件规定的要求。</w:t>
      </w:r>
    </w:p>
    <w:p w14:paraId="18B13923">
      <w:pPr>
        <w:adjustRightInd w:val="0"/>
        <w:snapToGrid w:val="0"/>
        <w:spacing w:before="120" w:beforeLines="50" w:line="360" w:lineRule="auto"/>
        <w:rPr>
          <w:rFonts w:asciiTheme="minorEastAsia" w:hAnsiTheme="minorEastAsia" w:eastAsiaTheme="minorEastAsia"/>
          <w:b/>
          <w:color w:val="auto"/>
          <w:szCs w:val="21"/>
        </w:rPr>
      </w:pPr>
      <w:r>
        <w:rPr>
          <w:rFonts w:hint="eastAsia" w:asciiTheme="minorEastAsia" w:hAnsiTheme="minorEastAsia" w:eastAsiaTheme="minorEastAsia"/>
          <w:b/>
          <w:color w:val="auto"/>
          <w:szCs w:val="21"/>
        </w:rPr>
        <w:t>五、 技术服务（含培训）要求</w:t>
      </w:r>
    </w:p>
    <w:p w14:paraId="61E9BFB1">
      <w:pPr>
        <w:adjustRightInd w:val="0"/>
        <w:snapToGrid w:val="0"/>
        <w:spacing w:line="360" w:lineRule="auto"/>
        <w:rPr>
          <w:rFonts w:asciiTheme="minorEastAsia" w:hAnsiTheme="minorEastAsia" w:eastAsiaTheme="minorEastAsia"/>
          <w:color w:val="auto"/>
          <w:spacing w:val="-6"/>
          <w:szCs w:val="21"/>
        </w:rPr>
      </w:pPr>
      <w:r>
        <w:rPr>
          <w:rFonts w:hint="eastAsia" w:asciiTheme="minorEastAsia" w:hAnsiTheme="minorEastAsia" w:eastAsiaTheme="minorEastAsia"/>
          <w:color w:val="auto"/>
          <w:spacing w:val="-6"/>
          <w:szCs w:val="21"/>
        </w:rPr>
        <w:t>5</w:t>
      </w:r>
      <w:r>
        <w:rPr>
          <w:rFonts w:asciiTheme="minorEastAsia" w:hAnsiTheme="minorEastAsia" w:eastAsiaTheme="minorEastAsia"/>
          <w:color w:val="auto"/>
          <w:spacing w:val="-6"/>
          <w:szCs w:val="21"/>
        </w:rPr>
        <w:t xml:space="preserve">.1 </w:t>
      </w:r>
      <w:r>
        <w:rPr>
          <w:rFonts w:hint="eastAsia" w:asciiTheme="minorEastAsia" w:hAnsiTheme="minorEastAsia" w:eastAsiaTheme="minorEastAsia"/>
          <w:color w:val="auto"/>
          <w:spacing w:val="-6"/>
          <w:szCs w:val="21"/>
        </w:rPr>
        <w:t>中标人应向采购人随设备提供全套设备技术资料，并译成中文，费用巳包括在投标价格之内。</w:t>
      </w:r>
    </w:p>
    <w:p w14:paraId="5F6BCA2E">
      <w:pPr>
        <w:adjustRightInd w:val="0"/>
        <w:snapToGrid w:val="0"/>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w:t>
      </w:r>
      <w:r>
        <w:rPr>
          <w:rFonts w:asciiTheme="minorEastAsia" w:hAnsiTheme="minorEastAsia" w:eastAsiaTheme="minorEastAsia"/>
          <w:color w:val="auto"/>
          <w:szCs w:val="21"/>
        </w:rPr>
        <w:t>1</w:t>
      </w:r>
      <w:r>
        <w:rPr>
          <w:rFonts w:hint="eastAsia" w:asciiTheme="minorEastAsia" w:hAnsiTheme="minorEastAsia" w:eastAsiaTheme="minorEastAsia"/>
          <w:color w:val="auto"/>
          <w:szCs w:val="21"/>
        </w:rPr>
        <w:t>） 设备安装图；</w:t>
      </w:r>
    </w:p>
    <w:p w14:paraId="45384198">
      <w:pPr>
        <w:adjustRightInd w:val="0"/>
        <w:snapToGrid w:val="0"/>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w:t>
      </w:r>
      <w:r>
        <w:rPr>
          <w:rFonts w:asciiTheme="minorEastAsia" w:hAnsiTheme="minorEastAsia" w:eastAsiaTheme="minorEastAsia"/>
          <w:color w:val="auto"/>
          <w:szCs w:val="21"/>
        </w:rPr>
        <w:t>2</w:t>
      </w:r>
      <w:r>
        <w:rPr>
          <w:rFonts w:hint="eastAsia" w:asciiTheme="minorEastAsia" w:hAnsiTheme="minorEastAsia" w:eastAsiaTheme="minorEastAsia"/>
          <w:color w:val="auto"/>
          <w:szCs w:val="21"/>
        </w:rPr>
        <w:t>） 电气设备及系统原理图；</w:t>
      </w:r>
    </w:p>
    <w:p w14:paraId="1A3939DD">
      <w:pPr>
        <w:adjustRightInd w:val="0"/>
        <w:snapToGrid w:val="0"/>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w:t>
      </w:r>
      <w:r>
        <w:rPr>
          <w:rFonts w:asciiTheme="minorEastAsia" w:hAnsiTheme="minorEastAsia" w:eastAsiaTheme="minorEastAsia"/>
          <w:color w:val="auto"/>
          <w:szCs w:val="21"/>
        </w:rPr>
        <w:t>3</w:t>
      </w:r>
      <w:r>
        <w:rPr>
          <w:rFonts w:hint="eastAsia" w:asciiTheme="minorEastAsia" w:hAnsiTheme="minorEastAsia" w:eastAsiaTheme="minorEastAsia"/>
          <w:color w:val="auto"/>
          <w:szCs w:val="21"/>
        </w:rPr>
        <w:t>） 电气设备及系统安装线路图；</w:t>
      </w:r>
    </w:p>
    <w:p w14:paraId="206D9E5E">
      <w:pPr>
        <w:adjustRightInd w:val="0"/>
        <w:snapToGrid w:val="0"/>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w:t>
      </w:r>
      <w:r>
        <w:rPr>
          <w:rFonts w:asciiTheme="minorEastAsia" w:hAnsiTheme="minorEastAsia" w:eastAsiaTheme="minorEastAsia"/>
          <w:color w:val="auto"/>
          <w:szCs w:val="21"/>
        </w:rPr>
        <w:t>4</w:t>
      </w:r>
      <w:r>
        <w:rPr>
          <w:rFonts w:hint="eastAsia" w:asciiTheme="minorEastAsia" w:hAnsiTheme="minorEastAsia" w:eastAsiaTheme="minorEastAsia"/>
          <w:color w:val="auto"/>
          <w:szCs w:val="21"/>
        </w:rPr>
        <w:t>） 构件、机械安装图；</w:t>
      </w:r>
    </w:p>
    <w:p w14:paraId="28612FC7">
      <w:pPr>
        <w:adjustRightInd w:val="0"/>
        <w:snapToGrid w:val="0"/>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w:t>
      </w:r>
      <w:r>
        <w:rPr>
          <w:rFonts w:asciiTheme="minorEastAsia" w:hAnsiTheme="minorEastAsia" w:eastAsiaTheme="minorEastAsia"/>
          <w:color w:val="auto"/>
          <w:szCs w:val="21"/>
        </w:rPr>
        <w:t>5</w:t>
      </w:r>
      <w:r>
        <w:rPr>
          <w:rFonts w:hint="eastAsia" w:asciiTheme="minorEastAsia" w:hAnsiTheme="minorEastAsia" w:eastAsiaTheme="minorEastAsia"/>
          <w:color w:val="auto"/>
          <w:szCs w:val="21"/>
        </w:rPr>
        <w:t>） 安装、操作手册；</w:t>
      </w:r>
    </w:p>
    <w:p w14:paraId="33729E8A">
      <w:pPr>
        <w:adjustRightInd w:val="0"/>
        <w:snapToGrid w:val="0"/>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w:t>
      </w:r>
      <w:r>
        <w:rPr>
          <w:rFonts w:asciiTheme="minorEastAsia" w:hAnsiTheme="minorEastAsia" w:eastAsiaTheme="minorEastAsia"/>
          <w:color w:val="auto"/>
          <w:szCs w:val="21"/>
        </w:rPr>
        <w:t>6</w:t>
      </w:r>
      <w:r>
        <w:rPr>
          <w:rFonts w:hint="eastAsia" w:asciiTheme="minorEastAsia" w:hAnsiTheme="minorEastAsia" w:eastAsiaTheme="minorEastAsia"/>
          <w:color w:val="auto"/>
          <w:szCs w:val="21"/>
        </w:rPr>
        <w:t>） 故障代码表、维修密码；</w:t>
      </w:r>
    </w:p>
    <w:p w14:paraId="4F38E548">
      <w:pPr>
        <w:adjustRightInd w:val="0"/>
        <w:snapToGrid w:val="0"/>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w:t>
      </w:r>
      <w:r>
        <w:rPr>
          <w:rFonts w:asciiTheme="minorEastAsia" w:hAnsiTheme="minorEastAsia" w:eastAsiaTheme="minorEastAsia"/>
          <w:color w:val="auto"/>
          <w:szCs w:val="21"/>
        </w:rPr>
        <w:t>7</w:t>
      </w:r>
      <w:r>
        <w:rPr>
          <w:rFonts w:hint="eastAsia" w:asciiTheme="minorEastAsia" w:hAnsiTheme="minorEastAsia" w:eastAsiaTheme="minorEastAsia"/>
          <w:color w:val="auto"/>
          <w:szCs w:val="21"/>
        </w:rPr>
        <w:t>） 维护和维修手册（包括电子版）；</w:t>
      </w:r>
    </w:p>
    <w:p w14:paraId="54C0CA21">
      <w:pPr>
        <w:adjustRightInd w:val="0"/>
        <w:snapToGrid w:val="0"/>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w:t>
      </w:r>
      <w:r>
        <w:rPr>
          <w:rFonts w:asciiTheme="minorEastAsia" w:hAnsiTheme="minorEastAsia" w:eastAsiaTheme="minorEastAsia"/>
          <w:color w:val="auto"/>
          <w:szCs w:val="21"/>
        </w:rPr>
        <w:t>8</w:t>
      </w:r>
      <w:r>
        <w:rPr>
          <w:rFonts w:hint="eastAsia" w:asciiTheme="minorEastAsia" w:hAnsiTheme="minorEastAsia" w:eastAsiaTheme="minorEastAsia"/>
          <w:color w:val="auto"/>
          <w:szCs w:val="21"/>
        </w:rPr>
        <w:t>） 详细维修用的资料和图纸（包含产品内部主要机械结构与控制电路、管路原理图、控制面板布置图、接线图、装配示意图）；</w:t>
      </w:r>
    </w:p>
    <w:p w14:paraId="03173F11">
      <w:pPr>
        <w:adjustRightInd w:val="0"/>
        <w:snapToGrid w:val="0"/>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w:t>
      </w:r>
      <w:r>
        <w:rPr>
          <w:rFonts w:asciiTheme="minorEastAsia" w:hAnsiTheme="minorEastAsia" w:eastAsiaTheme="minorEastAsia"/>
          <w:color w:val="auto"/>
          <w:szCs w:val="21"/>
        </w:rPr>
        <w:t>9</w:t>
      </w:r>
      <w:r>
        <w:rPr>
          <w:rFonts w:hint="eastAsia" w:asciiTheme="minorEastAsia" w:hAnsiTheme="minorEastAsia" w:eastAsiaTheme="minorEastAsia"/>
          <w:color w:val="auto"/>
          <w:szCs w:val="21"/>
        </w:rPr>
        <w:t>） 制造、安装标准含技术规范；</w:t>
      </w:r>
    </w:p>
    <w:p w14:paraId="2DDB11F2">
      <w:pPr>
        <w:adjustRightInd w:val="0"/>
        <w:snapToGrid w:val="0"/>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w:t>
      </w:r>
      <w:r>
        <w:rPr>
          <w:rFonts w:asciiTheme="minorEastAsia" w:hAnsiTheme="minorEastAsia" w:eastAsiaTheme="minorEastAsia"/>
          <w:color w:val="auto"/>
          <w:szCs w:val="21"/>
        </w:rPr>
        <w:t>10</w:t>
      </w:r>
      <w:r>
        <w:rPr>
          <w:rFonts w:hint="eastAsia" w:asciiTheme="minorEastAsia" w:hAnsiTheme="minorEastAsia" w:eastAsiaTheme="minorEastAsia"/>
          <w:color w:val="auto"/>
          <w:szCs w:val="21"/>
        </w:rPr>
        <w:t>） 出厂检验报告及合格证；</w:t>
      </w:r>
    </w:p>
    <w:p w14:paraId="484C2F2E">
      <w:pPr>
        <w:adjustRightInd w:val="0"/>
        <w:snapToGrid w:val="0"/>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w:t>
      </w:r>
      <w:r>
        <w:rPr>
          <w:rFonts w:asciiTheme="minorEastAsia" w:hAnsiTheme="minorEastAsia" w:eastAsiaTheme="minorEastAsia"/>
          <w:color w:val="auto"/>
          <w:szCs w:val="21"/>
        </w:rPr>
        <w:t>11</w:t>
      </w:r>
      <w:r>
        <w:rPr>
          <w:rFonts w:hint="eastAsia" w:asciiTheme="minorEastAsia" w:hAnsiTheme="minorEastAsia" w:eastAsiaTheme="minorEastAsia"/>
          <w:color w:val="auto"/>
          <w:szCs w:val="21"/>
        </w:rPr>
        <w:t>） 安装和验收报告（包括验收数据资料）；</w:t>
      </w:r>
    </w:p>
    <w:p w14:paraId="2DBAE662">
      <w:pPr>
        <w:adjustRightInd w:val="0"/>
        <w:snapToGrid w:val="0"/>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w:t>
      </w:r>
      <w:r>
        <w:rPr>
          <w:rFonts w:asciiTheme="minorEastAsia" w:hAnsiTheme="minorEastAsia" w:eastAsiaTheme="minorEastAsia"/>
          <w:color w:val="auto"/>
          <w:szCs w:val="21"/>
        </w:rPr>
        <w:t>12</w:t>
      </w:r>
      <w:r>
        <w:rPr>
          <w:rFonts w:hint="eastAsia" w:asciiTheme="minorEastAsia" w:hAnsiTheme="minorEastAsia" w:eastAsiaTheme="minorEastAsia"/>
          <w:color w:val="auto"/>
          <w:szCs w:val="21"/>
        </w:rPr>
        <w:t>） 易损件、零部件和备件清单；</w:t>
      </w:r>
    </w:p>
    <w:p w14:paraId="7624FBF0">
      <w:pPr>
        <w:adjustRightInd w:val="0"/>
        <w:snapToGrid w:val="0"/>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w:t>
      </w:r>
      <w:r>
        <w:rPr>
          <w:rFonts w:asciiTheme="minorEastAsia" w:hAnsiTheme="minorEastAsia" w:eastAsiaTheme="minorEastAsia"/>
          <w:color w:val="auto"/>
          <w:szCs w:val="21"/>
        </w:rPr>
        <w:t>13</w:t>
      </w:r>
      <w:r>
        <w:rPr>
          <w:rFonts w:hint="eastAsia" w:asciiTheme="minorEastAsia" w:hAnsiTheme="minorEastAsia" w:eastAsiaTheme="minorEastAsia"/>
          <w:color w:val="auto"/>
          <w:szCs w:val="21"/>
        </w:rPr>
        <w:t>） 进口产品还须提供商检证明（必须商检的）、海关报关单（复印件）；</w:t>
      </w:r>
    </w:p>
    <w:p w14:paraId="03E22B30">
      <w:pPr>
        <w:adjustRightInd w:val="0"/>
        <w:snapToGrid w:val="0"/>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w:t>
      </w:r>
      <w:r>
        <w:rPr>
          <w:rFonts w:asciiTheme="minorEastAsia" w:hAnsiTheme="minorEastAsia" w:eastAsiaTheme="minorEastAsia"/>
          <w:color w:val="auto"/>
          <w:szCs w:val="21"/>
        </w:rPr>
        <w:t>14</w:t>
      </w:r>
      <w:r>
        <w:rPr>
          <w:rFonts w:hint="eastAsia" w:asciiTheme="minorEastAsia" w:hAnsiTheme="minorEastAsia" w:eastAsiaTheme="minorEastAsia"/>
          <w:color w:val="auto"/>
          <w:szCs w:val="21"/>
        </w:rPr>
        <w:t>） 软件备份光盘。</w:t>
      </w:r>
    </w:p>
    <w:p w14:paraId="169F93CD">
      <w:pPr>
        <w:adjustRightInd w:val="0"/>
        <w:snapToGrid w:val="0"/>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5</w:t>
      </w:r>
      <w:r>
        <w:rPr>
          <w:rFonts w:asciiTheme="minorEastAsia" w:hAnsiTheme="minorEastAsia" w:eastAsiaTheme="minorEastAsia"/>
          <w:color w:val="auto"/>
          <w:szCs w:val="21"/>
        </w:rPr>
        <w:t xml:space="preserve">.2 </w:t>
      </w:r>
      <w:r>
        <w:rPr>
          <w:rFonts w:hint="eastAsia" w:asciiTheme="minorEastAsia" w:hAnsiTheme="minorEastAsia" w:eastAsiaTheme="minorEastAsia"/>
          <w:color w:val="auto"/>
          <w:szCs w:val="21"/>
        </w:rPr>
        <w:t>中标人负责向采购人工作人员（具体人数由采购人确定，包括医师、技术人员）直接提供安装、保修、维修、使用培训服务；操作培训要求在与采购人同级别或以上的医院进行；维修培训要求在厂家维修站或培训中心进行，具体培训时间另行协商。至采购人工作人员能正常操作设备的各种功能、简单的故障排除为止。其费用包括在投标总价之内。</w:t>
      </w:r>
    </w:p>
    <w:p w14:paraId="02F5DE44">
      <w:pPr>
        <w:adjustRightInd w:val="0"/>
        <w:snapToGrid w:val="0"/>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5</w:t>
      </w:r>
      <w:r>
        <w:rPr>
          <w:rFonts w:asciiTheme="minorEastAsia" w:hAnsiTheme="minorEastAsia" w:eastAsiaTheme="minorEastAsia"/>
          <w:color w:val="auto"/>
          <w:szCs w:val="21"/>
        </w:rPr>
        <w:t xml:space="preserve">.3 </w:t>
      </w:r>
      <w:r>
        <w:rPr>
          <w:rFonts w:hint="eastAsia" w:asciiTheme="minorEastAsia" w:hAnsiTheme="minorEastAsia" w:eastAsiaTheme="minorEastAsia"/>
          <w:color w:val="auto"/>
          <w:szCs w:val="21"/>
        </w:rPr>
        <w:t>投标人须在投标文件中提供详细的培训计划，具体培训时间、地点由采购人另行确定。</w:t>
      </w:r>
    </w:p>
    <w:p w14:paraId="2D5C926C">
      <w:pPr>
        <w:adjustRightInd w:val="0"/>
        <w:snapToGrid w:val="0"/>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5.4中标人承担该设备连入医院PACS服务、物联网服务等相关服务，并开放设各相关数据。</w:t>
      </w:r>
    </w:p>
    <w:p w14:paraId="536A0A29">
      <w:pPr>
        <w:adjustRightInd w:val="0"/>
        <w:snapToGrid w:val="0"/>
        <w:spacing w:before="120" w:beforeLines="50" w:line="360" w:lineRule="auto"/>
        <w:rPr>
          <w:rFonts w:asciiTheme="minorEastAsia" w:hAnsiTheme="minorEastAsia" w:eastAsiaTheme="minorEastAsia"/>
          <w:b/>
          <w:color w:val="auto"/>
          <w:szCs w:val="21"/>
        </w:rPr>
      </w:pPr>
      <w:r>
        <w:rPr>
          <w:rFonts w:hint="eastAsia" w:asciiTheme="minorEastAsia" w:hAnsiTheme="minorEastAsia" w:eastAsiaTheme="minorEastAsia"/>
          <w:b/>
          <w:color w:val="auto"/>
          <w:szCs w:val="21"/>
        </w:rPr>
        <w:t>六、 售后服务要求</w:t>
      </w:r>
    </w:p>
    <w:p w14:paraId="261497F8">
      <w:pPr>
        <w:adjustRightInd w:val="0"/>
        <w:snapToGrid w:val="0"/>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6</w:t>
      </w:r>
      <w:r>
        <w:rPr>
          <w:rFonts w:asciiTheme="minorEastAsia" w:hAnsiTheme="minorEastAsia" w:eastAsiaTheme="minorEastAsia"/>
          <w:color w:val="auto"/>
          <w:szCs w:val="21"/>
        </w:rPr>
        <w:t xml:space="preserve">.1 </w:t>
      </w:r>
      <w:r>
        <w:rPr>
          <w:rFonts w:hint="eastAsia" w:asciiTheme="minorEastAsia" w:hAnsiTheme="minorEastAsia" w:eastAsiaTheme="minorEastAsia"/>
          <w:color w:val="auto"/>
          <w:szCs w:val="21"/>
        </w:rPr>
        <w:t>质保期（3年）：投标人应保证质保期内维修与更换有缺陷的货物或部件，质保期满后只收取用工费和投标时承诺的备品备件所需费用。每次维护维修后，应及时向采购人提供相关记录。</w:t>
      </w:r>
    </w:p>
    <w:p w14:paraId="7F16CD19">
      <w:pPr>
        <w:adjustRightInd w:val="0"/>
        <w:snapToGrid w:val="0"/>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6</w:t>
      </w:r>
      <w:r>
        <w:rPr>
          <w:rFonts w:asciiTheme="minorEastAsia" w:hAnsiTheme="minorEastAsia" w:eastAsiaTheme="minorEastAsia"/>
          <w:color w:val="auto"/>
          <w:szCs w:val="21"/>
        </w:rPr>
        <w:t xml:space="preserve">.2 </w:t>
      </w:r>
      <w:r>
        <w:rPr>
          <w:rFonts w:hint="eastAsia" w:asciiTheme="minorEastAsia" w:hAnsiTheme="minorEastAsia" w:eastAsiaTheme="minorEastAsia"/>
          <w:color w:val="auto"/>
          <w:szCs w:val="21"/>
        </w:rPr>
        <w:t>售后响应时间：接到买方通知后</w:t>
      </w:r>
      <w:r>
        <w:rPr>
          <w:rFonts w:asciiTheme="minorEastAsia" w:hAnsiTheme="minorEastAsia" w:eastAsiaTheme="minorEastAsia"/>
          <w:color w:val="auto"/>
          <w:szCs w:val="21"/>
        </w:rPr>
        <w:t>2</w:t>
      </w:r>
      <w:r>
        <w:rPr>
          <w:rFonts w:hint="eastAsia" w:asciiTheme="minorEastAsia" w:hAnsiTheme="minorEastAsia" w:eastAsiaTheme="minorEastAsia"/>
          <w:color w:val="auto"/>
          <w:szCs w:val="21"/>
        </w:rPr>
        <w:t>小时内响应，</w:t>
      </w:r>
      <w:r>
        <w:rPr>
          <w:rFonts w:asciiTheme="minorEastAsia" w:hAnsiTheme="minorEastAsia" w:eastAsiaTheme="minorEastAsia"/>
          <w:color w:val="auto"/>
          <w:szCs w:val="21"/>
        </w:rPr>
        <w:t>24</w:t>
      </w:r>
      <w:r>
        <w:rPr>
          <w:rFonts w:hint="eastAsia" w:asciiTheme="minorEastAsia" w:hAnsiTheme="minorEastAsia" w:eastAsiaTheme="minorEastAsia"/>
          <w:color w:val="auto"/>
          <w:szCs w:val="21"/>
        </w:rPr>
        <w:t>小时内派维修人员到达现场（如遇不可抗力因素除外）并解决一般问题，特殊问题另行协商（如招标技术参数要求有其他规定的，以技术参数要求为准）。如遇更换配件或其它特殊原因短时间内无法解决的，卖方提供备用机以保障买方临床医疗工作的正常开展。维修期间如无法提供备用机的，将按实际停机时间的</w:t>
      </w:r>
      <w:r>
        <w:rPr>
          <w:rFonts w:asciiTheme="minorEastAsia" w:hAnsiTheme="minorEastAsia" w:eastAsiaTheme="minorEastAsia"/>
          <w:color w:val="auto"/>
          <w:szCs w:val="21"/>
        </w:rPr>
        <w:t>2</w:t>
      </w:r>
      <w:r>
        <w:rPr>
          <w:rFonts w:hint="eastAsia" w:asciiTheme="minorEastAsia" w:hAnsiTheme="minorEastAsia" w:eastAsiaTheme="minorEastAsia"/>
          <w:color w:val="auto"/>
          <w:szCs w:val="21"/>
        </w:rPr>
        <w:t>倍顺延质保期。</w:t>
      </w:r>
    </w:p>
    <w:p w14:paraId="28C72747">
      <w:pPr>
        <w:adjustRightInd w:val="0"/>
        <w:snapToGrid w:val="0"/>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6</w:t>
      </w:r>
      <w:r>
        <w:rPr>
          <w:rFonts w:asciiTheme="minorEastAsia" w:hAnsiTheme="minorEastAsia" w:eastAsiaTheme="minorEastAsia"/>
          <w:color w:val="auto"/>
          <w:szCs w:val="21"/>
        </w:rPr>
        <w:t>.</w:t>
      </w:r>
      <w:r>
        <w:rPr>
          <w:rFonts w:hint="eastAsia" w:asciiTheme="minorEastAsia" w:hAnsiTheme="minorEastAsia" w:eastAsiaTheme="minorEastAsia"/>
          <w:color w:val="auto"/>
          <w:szCs w:val="21"/>
        </w:rPr>
        <w:t>3投标人提供所投货物制造商在国内的售后服务机构及厂家办事处的名称、办公地点和联系方式（如招标技术参数要求有其他规定的，以技术参数要求为准）。</w:t>
      </w:r>
    </w:p>
    <w:p w14:paraId="7B3A978C">
      <w:pPr>
        <w:adjustRightInd w:val="0"/>
        <w:snapToGrid w:val="0"/>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6</w:t>
      </w:r>
      <w:r>
        <w:rPr>
          <w:rFonts w:asciiTheme="minorEastAsia" w:hAnsiTheme="minorEastAsia" w:eastAsiaTheme="minorEastAsia"/>
          <w:color w:val="auto"/>
          <w:szCs w:val="21"/>
        </w:rPr>
        <w:t>.</w:t>
      </w:r>
      <w:r>
        <w:rPr>
          <w:rFonts w:hint="eastAsia" w:asciiTheme="minorEastAsia" w:hAnsiTheme="minorEastAsia" w:eastAsiaTheme="minorEastAsia"/>
          <w:color w:val="auto"/>
          <w:szCs w:val="21"/>
        </w:rPr>
        <w:t>4</w:t>
      </w:r>
      <w:r>
        <w:rPr>
          <w:rFonts w:asciiTheme="minorEastAsia" w:hAnsiTheme="minorEastAsia" w:eastAsiaTheme="minorEastAsia"/>
          <w:color w:val="auto"/>
          <w:szCs w:val="21"/>
        </w:rPr>
        <w:t xml:space="preserve"> </w:t>
      </w:r>
      <w:r>
        <w:rPr>
          <w:rFonts w:hint="eastAsia" w:asciiTheme="minorEastAsia" w:hAnsiTheme="minorEastAsia" w:eastAsiaTheme="minorEastAsia"/>
          <w:color w:val="auto"/>
          <w:szCs w:val="21"/>
        </w:rPr>
        <w:t>投标人提供所投货物制造商在国内的专业维修工程师，并注明名字、联系方式及简历。（如招标技术参数要求有其他规定的，以技术参数要求为准）</w:t>
      </w:r>
    </w:p>
    <w:p w14:paraId="11D4BE03">
      <w:pPr>
        <w:adjustRightInd w:val="0"/>
        <w:snapToGrid w:val="0"/>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6</w:t>
      </w:r>
      <w:r>
        <w:rPr>
          <w:rFonts w:asciiTheme="minorEastAsia" w:hAnsiTheme="minorEastAsia" w:eastAsiaTheme="minorEastAsia"/>
          <w:color w:val="auto"/>
          <w:szCs w:val="21"/>
        </w:rPr>
        <w:t>.</w:t>
      </w:r>
      <w:r>
        <w:rPr>
          <w:rFonts w:hint="eastAsia" w:asciiTheme="minorEastAsia" w:hAnsiTheme="minorEastAsia" w:eastAsiaTheme="minorEastAsia"/>
          <w:color w:val="auto"/>
          <w:szCs w:val="21"/>
        </w:rPr>
        <w:t>5</w:t>
      </w:r>
      <w:r>
        <w:rPr>
          <w:rFonts w:asciiTheme="minorEastAsia" w:hAnsiTheme="minorEastAsia" w:eastAsiaTheme="minorEastAsia"/>
          <w:color w:val="auto"/>
          <w:szCs w:val="21"/>
        </w:rPr>
        <w:t xml:space="preserve"> </w:t>
      </w:r>
      <w:r>
        <w:rPr>
          <w:rFonts w:hint="eastAsia" w:asciiTheme="minorEastAsia" w:hAnsiTheme="minorEastAsia" w:eastAsiaTheme="minorEastAsia"/>
          <w:color w:val="auto"/>
          <w:szCs w:val="21"/>
        </w:rPr>
        <w:t xml:space="preserve">投标人所投货物制造商必须具备国内免费维修电话、网络、电传或 </w:t>
      </w:r>
      <w:r>
        <w:rPr>
          <w:rFonts w:asciiTheme="minorEastAsia" w:hAnsiTheme="minorEastAsia" w:eastAsiaTheme="minorEastAsia"/>
          <w:color w:val="auto"/>
          <w:szCs w:val="21"/>
        </w:rPr>
        <w:t>E-mail</w:t>
      </w:r>
      <w:r>
        <w:rPr>
          <w:rFonts w:hint="eastAsia" w:asciiTheme="minorEastAsia" w:hAnsiTheme="minorEastAsia" w:eastAsiaTheme="minorEastAsia"/>
          <w:color w:val="auto"/>
          <w:szCs w:val="21"/>
        </w:rPr>
        <w:t>等适当形式的技术支持联系方式，若采购人技术人员提出技术咨询要求时，货物制造商能保证迅速做出响应。</w:t>
      </w:r>
    </w:p>
    <w:p w14:paraId="298A3F26">
      <w:pPr>
        <w:adjustRightInd w:val="0"/>
        <w:snapToGrid w:val="0"/>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6</w:t>
      </w:r>
      <w:r>
        <w:rPr>
          <w:rFonts w:asciiTheme="minorEastAsia" w:hAnsiTheme="minorEastAsia" w:eastAsiaTheme="minorEastAsia"/>
          <w:color w:val="auto"/>
          <w:szCs w:val="21"/>
        </w:rPr>
        <w:t>.</w:t>
      </w:r>
      <w:r>
        <w:rPr>
          <w:rFonts w:hint="eastAsia" w:asciiTheme="minorEastAsia" w:hAnsiTheme="minorEastAsia" w:eastAsiaTheme="minorEastAsia"/>
          <w:color w:val="auto"/>
          <w:szCs w:val="21"/>
        </w:rPr>
        <w:t>6</w:t>
      </w:r>
      <w:r>
        <w:rPr>
          <w:rFonts w:asciiTheme="minorEastAsia" w:hAnsiTheme="minorEastAsia" w:eastAsiaTheme="minorEastAsia"/>
          <w:color w:val="auto"/>
          <w:szCs w:val="21"/>
        </w:rPr>
        <w:t xml:space="preserve"> </w:t>
      </w:r>
      <w:r>
        <w:rPr>
          <w:rFonts w:hint="eastAsia" w:asciiTheme="minorEastAsia" w:hAnsiTheme="minorEastAsia" w:eastAsiaTheme="minorEastAsia"/>
          <w:color w:val="auto"/>
          <w:szCs w:val="21"/>
        </w:rPr>
        <w:t>投标人所投货物制造商必须保证所投设备的正常使用寿命及软件终身免费升级（在不增加新功能的情况下）。</w:t>
      </w:r>
    </w:p>
    <w:p w14:paraId="37A56847">
      <w:pPr>
        <w:adjustRightInd w:val="0"/>
        <w:snapToGrid w:val="0"/>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6</w:t>
      </w:r>
      <w:r>
        <w:rPr>
          <w:rFonts w:asciiTheme="minorEastAsia" w:hAnsiTheme="minorEastAsia" w:eastAsiaTheme="minorEastAsia"/>
          <w:color w:val="auto"/>
          <w:szCs w:val="21"/>
        </w:rPr>
        <w:t>.</w:t>
      </w:r>
      <w:r>
        <w:rPr>
          <w:rFonts w:hint="eastAsia" w:asciiTheme="minorEastAsia" w:hAnsiTheme="minorEastAsia" w:eastAsiaTheme="minorEastAsia"/>
          <w:color w:val="auto"/>
          <w:szCs w:val="21"/>
        </w:rPr>
        <w:t>7</w:t>
      </w:r>
      <w:r>
        <w:rPr>
          <w:rFonts w:asciiTheme="minorEastAsia" w:hAnsiTheme="minorEastAsia" w:eastAsiaTheme="minorEastAsia"/>
          <w:color w:val="auto"/>
          <w:szCs w:val="21"/>
        </w:rPr>
        <w:t xml:space="preserve"> </w:t>
      </w:r>
      <w:r>
        <w:rPr>
          <w:rFonts w:hint="eastAsia" w:asciiTheme="minorEastAsia" w:hAnsiTheme="minorEastAsia" w:eastAsiaTheme="minorEastAsia"/>
          <w:color w:val="auto"/>
          <w:szCs w:val="21"/>
        </w:rPr>
        <w:t>制造商应派技术人员每年对新设备进行</w:t>
      </w:r>
      <w:r>
        <w:rPr>
          <w:rFonts w:asciiTheme="minorEastAsia" w:hAnsiTheme="minorEastAsia" w:eastAsiaTheme="minorEastAsia"/>
          <w:color w:val="auto"/>
          <w:szCs w:val="21"/>
        </w:rPr>
        <w:t>1</w:t>
      </w:r>
      <w:r>
        <w:rPr>
          <w:rFonts w:hint="eastAsia" w:asciiTheme="minorEastAsia" w:hAnsiTheme="minorEastAsia" w:eastAsiaTheme="minorEastAsia"/>
          <w:color w:val="auto"/>
          <w:szCs w:val="21"/>
        </w:rPr>
        <w:t>到</w:t>
      </w:r>
      <w:r>
        <w:rPr>
          <w:rFonts w:asciiTheme="minorEastAsia" w:hAnsiTheme="minorEastAsia" w:eastAsiaTheme="minorEastAsia"/>
          <w:color w:val="auto"/>
          <w:szCs w:val="21"/>
        </w:rPr>
        <w:t>2</w:t>
      </w:r>
      <w:r>
        <w:rPr>
          <w:rFonts w:hint="eastAsia" w:asciiTheme="minorEastAsia" w:hAnsiTheme="minorEastAsia" w:eastAsiaTheme="minorEastAsia"/>
          <w:color w:val="auto"/>
          <w:szCs w:val="21"/>
        </w:rPr>
        <w:t>次的巡回检修，并出具检修报告。</w:t>
      </w:r>
    </w:p>
    <w:p w14:paraId="5F9E2C9B">
      <w:pPr>
        <w:adjustRightInd w:val="0"/>
        <w:snapToGrid w:val="0"/>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6</w:t>
      </w:r>
      <w:r>
        <w:rPr>
          <w:rFonts w:asciiTheme="minorEastAsia" w:hAnsiTheme="minorEastAsia" w:eastAsiaTheme="minorEastAsia"/>
          <w:color w:val="auto"/>
          <w:szCs w:val="21"/>
        </w:rPr>
        <w:t>.</w:t>
      </w:r>
      <w:r>
        <w:rPr>
          <w:rFonts w:hint="eastAsia" w:asciiTheme="minorEastAsia" w:hAnsiTheme="minorEastAsia" w:eastAsiaTheme="minorEastAsia"/>
          <w:color w:val="auto"/>
          <w:szCs w:val="21"/>
        </w:rPr>
        <w:t>8</w:t>
      </w:r>
      <w:r>
        <w:rPr>
          <w:rFonts w:asciiTheme="minorEastAsia" w:hAnsiTheme="minorEastAsia" w:eastAsiaTheme="minorEastAsia"/>
          <w:color w:val="auto"/>
          <w:szCs w:val="21"/>
        </w:rPr>
        <w:t xml:space="preserve"> </w:t>
      </w:r>
      <w:r>
        <w:rPr>
          <w:rFonts w:hint="eastAsia" w:asciiTheme="minorEastAsia" w:hAnsiTheme="minorEastAsia" w:eastAsiaTheme="minorEastAsia"/>
          <w:color w:val="auto"/>
          <w:szCs w:val="21"/>
        </w:rPr>
        <w:t>投标人应在投标文件中提供质保期后每年全保的价格清单（此报价不计入投标总价内）。</w:t>
      </w:r>
    </w:p>
    <w:p w14:paraId="522214B8">
      <w:pPr>
        <w:adjustRightInd w:val="0"/>
        <w:snapToGrid w:val="0"/>
        <w:spacing w:before="120" w:beforeLines="50" w:line="360" w:lineRule="auto"/>
        <w:rPr>
          <w:rFonts w:asciiTheme="minorEastAsia" w:hAnsiTheme="minorEastAsia" w:eastAsiaTheme="minorEastAsia"/>
          <w:b/>
          <w:color w:val="auto"/>
          <w:szCs w:val="21"/>
        </w:rPr>
      </w:pPr>
      <w:r>
        <w:rPr>
          <w:rFonts w:hint="eastAsia" w:asciiTheme="minorEastAsia" w:hAnsiTheme="minorEastAsia" w:eastAsiaTheme="minorEastAsia"/>
          <w:b/>
          <w:color w:val="auto"/>
          <w:szCs w:val="21"/>
        </w:rPr>
        <w:t>七、 其它要求及说明</w:t>
      </w:r>
    </w:p>
    <w:p w14:paraId="0081AB98">
      <w:pPr>
        <w:adjustRightInd w:val="0"/>
        <w:snapToGrid w:val="0"/>
        <w:spacing w:line="360" w:lineRule="auto"/>
        <w:rPr>
          <w:rFonts w:asciiTheme="minorEastAsia" w:hAnsiTheme="minorEastAsia" w:eastAsiaTheme="minorEastAsia"/>
          <w:color w:val="auto"/>
          <w:spacing w:val="-6"/>
          <w:szCs w:val="21"/>
        </w:rPr>
      </w:pPr>
      <w:r>
        <w:rPr>
          <w:rFonts w:hint="eastAsia" w:asciiTheme="minorEastAsia" w:hAnsiTheme="minorEastAsia" w:eastAsiaTheme="minorEastAsia"/>
          <w:color w:val="auto"/>
          <w:spacing w:val="-6"/>
          <w:szCs w:val="21"/>
        </w:rPr>
        <w:t>7</w:t>
      </w:r>
      <w:r>
        <w:rPr>
          <w:rFonts w:asciiTheme="minorEastAsia" w:hAnsiTheme="minorEastAsia" w:eastAsiaTheme="minorEastAsia"/>
          <w:color w:val="auto"/>
          <w:spacing w:val="-6"/>
          <w:szCs w:val="21"/>
        </w:rPr>
        <w:t xml:space="preserve">.1 </w:t>
      </w:r>
      <w:r>
        <w:rPr>
          <w:rFonts w:hint="eastAsia" w:asciiTheme="minorEastAsia" w:hAnsiTheme="minorEastAsia" w:eastAsiaTheme="minorEastAsia"/>
          <w:color w:val="auto"/>
          <w:spacing w:val="-6"/>
          <w:szCs w:val="21"/>
        </w:rPr>
        <w:t>投标人必须保证提供上述主要参数及配置的全新原装产品，保证提供的所有软件为正版软件。</w:t>
      </w:r>
    </w:p>
    <w:p w14:paraId="09A0840B">
      <w:pPr>
        <w:adjustRightInd w:val="0"/>
        <w:snapToGrid w:val="0"/>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7</w:t>
      </w:r>
      <w:r>
        <w:rPr>
          <w:rFonts w:asciiTheme="minorEastAsia" w:hAnsiTheme="minorEastAsia" w:eastAsiaTheme="minorEastAsia"/>
          <w:color w:val="auto"/>
          <w:szCs w:val="21"/>
        </w:rPr>
        <w:t xml:space="preserve">.2 </w:t>
      </w:r>
      <w:r>
        <w:rPr>
          <w:rFonts w:hint="eastAsia" w:asciiTheme="minorEastAsia" w:hAnsiTheme="minorEastAsia" w:eastAsiaTheme="minorEastAsia"/>
          <w:color w:val="auto"/>
          <w:szCs w:val="21"/>
        </w:rPr>
        <w:t>投标人应在投标文件中一次性列出所有优惠条件，并作为合同的组成部分之一。</w:t>
      </w:r>
    </w:p>
    <w:p w14:paraId="6DF658B6">
      <w:pPr>
        <w:adjustRightInd w:val="0"/>
        <w:snapToGrid w:val="0"/>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7</w:t>
      </w:r>
      <w:r>
        <w:rPr>
          <w:rFonts w:asciiTheme="minorEastAsia" w:hAnsiTheme="minorEastAsia" w:eastAsiaTheme="minorEastAsia"/>
          <w:color w:val="auto"/>
          <w:szCs w:val="21"/>
        </w:rPr>
        <w:t xml:space="preserve">.3 </w:t>
      </w:r>
      <w:r>
        <w:rPr>
          <w:rFonts w:hint="eastAsia" w:asciiTheme="minorEastAsia" w:hAnsiTheme="minorEastAsia" w:eastAsiaTheme="minorEastAsia"/>
          <w:color w:val="auto"/>
          <w:szCs w:val="21"/>
        </w:rPr>
        <w:t>投标人投标文件中各种参数必须真实可靠，并以提供投标货物制造商公开发布的印刷资料或原版</w:t>
      </w:r>
      <w:r>
        <w:rPr>
          <w:rFonts w:asciiTheme="minorEastAsia" w:hAnsiTheme="minorEastAsia" w:eastAsiaTheme="minorEastAsia"/>
          <w:color w:val="auto"/>
          <w:szCs w:val="21"/>
        </w:rPr>
        <w:t>DATA SHEET</w:t>
      </w:r>
      <w:r>
        <w:rPr>
          <w:rFonts w:hint="eastAsia" w:asciiTheme="minorEastAsia" w:hAnsiTheme="minorEastAsia" w:eastAsiaTheme="minorEastAsia"/>
          <w:color w:val="auto"/>
          <w:szCs w:val="21"/>
        </w:rPr>
        <w:t>或检测机出具的检测报告为准。如制造商公开发布的印刷资料或原版</w:t>
      </w:r>
      <w:r>
        <w:rPr>
          <w:rFonts w:asciiTheme="minorEastAsia" w:hAnsiTheme="minorEastAsia" w:eastAsiaTheme="minorEastAsia"/>
          <w:color w:val="auto"/>
          <w:szCs w:val="21"/>
        </w:rPr>
        <w:t>DATA HEET</w:t>
      </w:r>
      <w:r>
        <w:rPr>
          <w:rFonts w:hint="eastAsia" w:asciiTheme="minorEastAsia" w:hAnsiTheme="minorEastAsia" w:eastAsiaTheme="minorEastAsia"/>
          <w:color w:val="auto"/>
          <w:szCs w:val="21"/>
        </w:rPr>
        <w:t>与检测机出具的检测报告不一致时，以检测机出具的检测报告为准。投标文件中还须提供所投设备完整的原版技术说明、彩页样本等，投标人如代表外商，必须提供所投设备的英文原版印刷的设备技术指标参数文件，并提供中文翻译文件。</w:t>
      </w:r>
    </w:p>
    <w:p w14:paraId="1EB624BC">
      <w:pPr>
        <w:adjustRightInd w:val="0"/>
        <w:snapToGrid w:val="0"/>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7</w:t>
      </w:r>
      <w:r>
        <w:rPr>
          <w:rFonts w:asciiTheme="minorEastAsia" w:hAnsiTheme="minorEastAsia" w:eastAsiaTheme="minorEastAsia"/>
          <w:color w:val="auto"/>
          <w:szCs w:val="21"/>
        </w:rPr>
        <w:t>.4</w:t>
      </w:r>
      <w:r>
        <w:rPr>
          <w:rFonts w:hint="eastAsia" w:asciiTheme="minorEastAsia" w:hAnsiTheme="minorEastAsia" w:eastAsiaTheme="minorEastAsia"/>
          <w:color w:val="auto"/>
          <w:szCs w:val="21"/>
        </w:rPr>
        <w:t>装机后在设备醒目位置粘贴小贴士，内容包括本机器安装时间、保修期和售后维修电话。医疗器械及其外包装上必须按照国务院药品监督管理部门的规定，标明产品注册证书编号。</w:t>
      </w:r>
    </w:p>
    <w:p w14:paraId="4CABFDAA">
      <w:pPr>
        <w:adjustRightInd w:val="0"/>
        <w:snapToGrid w:val="0"/>
        <w:spacing w:line="360" w:lineRule="auto"/>
        <w:rPr>
          <w:rFonts w:asciiTheme="minorEastAsia" w:hAnsiTheme="minorEastAsia" w:eastAsiaTheme="minorEastAsia"/>
          <w:b/>
          <w:color w:val="auto"/>
          <w:szCs w:val="21"/>
        </w:rPr>
      </w:pPr>
      <w:r>
        <w:rPr>
          <w:rFonts w:hint="eastAsia" w:asciiTheme="minorEastAsia" w:hAnsiTheme="minorEastAsia" w:eastAsiaTheme="minorEastAsia"/>
          <w:b/>
          <w:color w:val="auto"/>
          <w:szCs w:val="21"/>
        </w:rPr>
        <w:t>★7</w:t>
      </w:r>
      <w:r>
        <w:rPr>
          <w:rFonts w:asciiTheme="minorEastAsia" w:hAnsiTheme="minorEastAsia" w:eastAsiaTheme="minorEastAsia"/>
          <w:b/>
          <w:color w:val="auto"/>
          <w:szCs w:val="21"/>
        </w:rPr>
        <w:t xml:space="preserve">.5 </w:t>
      </w:r>
      <w:r>
        <w:rPr>
          <w:rFonts w:hint="eastAsia" w:asciiTheme="minorEastAsia" w:hAnsiTheme="minorEastAsia" w:eastAsiaTheme="minorEastAsia"/>
          <w:b/>
          <w:color w:val="auto"/>
          <w:szCs w:val="21"/>
        </w:rPr>
        <w:t>所投设备如有试剂或耗材，请按下表填写。</w:t>
      </w:r>
    </w:p>
    <w:tbl>
      <w:tblPr>
        <w:tblStyle w:val="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18"/>
        <w:gridCol w:w="1547"/>
        <w:gridCol w:w="1384"/>
        <w:gridCol w:w="1384"/>
        <w:gridCol w:w="1384"/>
        <w:gridCol w:w="1962"/>
      </w:tblGrid>
      <w:tr w14:paraId="07FB47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vAlign w:val="center"/>
          </w:tcPr>
          <w:p w14:paraId="7D2F3387">
            <w:pPr>
              <w:spacing w:line="360" w:lineRule="auto"/>
              <w:jc w:val="center"/>
              <w:rPr>
                <w:color w:val="auto"/>
              </w:rPr>
            </w:pPr>
            <w:r>
              <w:rPr>
                <w:rFonts w:hint="eastAsia"/>
                <w:color w:val="auto"/>
              </w:rPr>
              <w:t>设备名称</w:t>
            </w:r>
          </w:p>
        </w:tc>
        <w:tc>
          <w:tcPr>
            <w:tcW w:w="1579" w:type="dxa"/>
            <w:vAlign w:val="center"/>
          </w:tcPr>
          <w:p w14:paraId="16D8BAE8">
            <w:pPr>
              <w:spacing w:line="360" w:lineRule="auto"/>
              <w:jc w:val="center"/>
              <w:rPr>
                <w:color w:val="auto"/>
              </w:rPr>
            </w:pPr>
            <w:r>
              <w:rPr>
                <w:rFonts w:hint="eastAsia"/>
                <w:color w:val="auto"/>
              </w:rPr>
              <w:t>试剂</w:t>
            </w:r>
            <w:r>
              <w:rPr>
                <w:color w:val="auto"/>
              </w:rPr>
              <w:t>/</w:t>
            </w:r>
            <w:r>
              <w:rPr>
                <w:rFonts w:hint="eastAsia"/>
                <w:color w:val="auto"/>
              </w:rPr>
              <w:t>耗材名称</w:t>
            </w:r>
          </w:p>
        </w:tc>
        <w:tc>
          <w:tcPr>
            <w:tcW w:w="1411" w:type="dxa"/>
            <w:vAlign w:val="center"/>
          </w:tcPr>
          <w:p w14:paraId="1387094F">
            <w:pPr>
              <w:spacing w:line="360" w:lineRule="auto"/>
              <w:jc w:val="center"/>
              <w:rPr>
                <w:color w:val="auto"/>
              </w:rPr>
            </w:pPr>
            <w:r>
              <w:rPr>
                <w:rFonts w:hint="eastAsia"/>
                <w:color w:val="auto"/>
              </w:rPr>
              <w:t>规格及型号</w:t>
            </w:r>
          </w:p>
        </w:tc>
        <w:tc>
          <w:tcPr>
            <w:tcW w:w="1411" w:type="dxa"/>
            <w:vAlign w:val="center"/>
          </w:tcPr>
          <w:p w14:paraId="3E7CE9ED">
            <w:pPr>
              <w:spacing w:line="360" w:lineRule="auto"/>
              <w:jc w:val="center"/>
              <w:rPr>
                <w:color w:val="auto"/>
              </w:rPr>
            </w:pPr>
            <w:r>
              <w:rPr>
                <w:rFonts w:hint="eastAsia"/>
                <w:color w:val="auto"/>
              </w:rPr>
              <w:t>价格</w:t>
            </w:r>
          </w:p>
        </w:tc>
        <w:tc>
          <w:tcPr>
            <w:tcW w:w="1411" w:type="dxa"/>
            <w:vAlign w:val="center"/>
          </w:tcPr>
          <w:p w14:paraId="5926F4D9">
            <w:pPr>
              <w:spacing w:line="360" w:lineRule="auto"/>
              <w:jc w:val="center"/>
              <w:rPr>
                <w:color w:val="auto"/>
              </w:rPr>
            </w:pPr>
            <w:r>
              <w:rPr>
                <w:rFonts w:hint="eastAsia"/>
                <w:color w:val="auto"/>
              </w:rPr>
              <w:t>是否开放</w:t>
            </w:r>
          </w:p>
        </w:tc>
        <w:tc>
          <w:tcPr>
            <w:tcW w:w="2006" w:type="dxa"/>
            <w:vAlign w:val="center"/>
          </w:tcPr>
          <w:p w14:paraId="468C1B2C">
            <w:pPr>
              <w:spacing w:line="360" w:lineRule="auto"/>
              <w:jc w:val="center"/>
              <w:rPr>
                <w:color w:val="auto"/>
              </w:rPr>
            </w:pPr>
            <w:r>
              <w:rPr>
                <w:rFonts w:hint="eastAsia"/>
                <w:color w:val="auto"/>
              </w:rPr>
              <w:t>耗是材否在有采相购同人试处剂使</w:t>
            </w:r>
            <w:r>
              <w:rPr>
                <w:color w:val="auto"/>
              </w:rPr>
              <w:t>/</w:t>
            </w:r>
            <w:r>
              <w:rPr>
                <w:rFonts w:hint="eastAsia"/>
                <w:color w:val="auto"/>
              </w:rPr>
              <w:t>用</w:t>
            </w:r>
          </w:p>
        </w:tc>
      </w:tr>
      <w:tr w14:paraId="4ECF1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vAlign w:val="center"/>
          </w:tcPr>
          <w:p w14:paraId="4E00E42B">
            <w:pPr>
              <w:spacing w:line="360" w:lineRule="auto"/>
              <w:jc w:val="center"/>
              <w:rPr>
                <w:color w:val="auto"/>
              </w:rPr>
            </w:pPr>
          </w:p>
        </w:tc>
        <w:tc>
          <w:tcPr>
            <w:tcW w:w="1579" w:type="dxa"/>
            <w:vAlign w:val="center"/>
          </w:tcPr>
          <w:p w14:paraId="133E1B44">
            <w:pPr>
              <w:spacing w:line="360" w:lineRule="auto"/>
              <w:jc w:val="center"/>
              <w:rPr>
                <w:color w:val="auto"/>
              </w:rPr>
            </w:pPr>
          </w:p>
        </w:tc>
        <w:tc>
          <w:tcPr>
            <w:tcW w:w="1411" w:type="dxa"/>
            <w:vAlign w:val="center"/>
          </w:tcPr>
          <w:p w14:paraId="50A8CAC8">
            <w:pPr>
              <w:spacing w:line="360" w:lineRule="auto"/>
              <w:jc w:val="center"/>
              <w:rPr>
                <w:color w:val="auto"/>
              </w:rPr>
            </w:pPr>
          </w:p>
        </w:tc>
        <w:tc>
          <w:tcPr>
            <w:tcW w:w="1411" w:type="dxa"/>
            <w:vAlign w:val="center"/>
          </w:tcPr>
          <w:p w14:paraId="767834A4">
            <w:pPr>
              <w:spacing w:line="360" w:lineRule="auto"/>
              <w:jc w:val="center"/>
              <w:rPr>
                <w:color w:val="auto"/>
              </w:rPr>
            </w:pPr>
          </w:p>
        </w:tc>
        <w:tc>
          <w:tcPr>
            <w:tcW w:w="1411" w:type="dxa"/>
            <w:vAlign w:val="center"/>
          </w:tcPr>
          <w:p w14:paraId="7C887D8C">
            <w:pPr>
              <w:spacing w:line="360" w:lineRule="auto"/>
              <w:jc w:val="center"/>
              <w:rPr>
                <w:color w:val="auto"/>
              </w:rPr>
            </w:pPr>
          </w:p>
        </w:tc>
        <w:tc>
          <w:tcPr>
            <w:tcW w:w="2006" w:type="dxa"/>
            <w:vAlign w:val="center"/>
          </w:tcPr>
          <w:p w14:paraId="1B455B5F">
            <w:pPr>
              <w:spacing w:line="360" w:lineRule="auto"/>
              <w:jc w:val="center"/>
              <w:rPr>
                <w:color w:val="auto"/>
              </w:rPr>
            </w:pPr>
          </w:p>
        </w:tc>
      </w:tr>
    </w:tbl>
    <w:p w14:paraId="7A3AD1FD">
      <w:pPr>
        <w:adjustRightInd w:val="0"/>
        <w:snapToGrid w:val="0"/>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填写说明：</w:t>
      </w:r>
    </w:p>
    <w:p w14:paraId="3D96C248">
      <w:pPr>
        <w:adjustRightInd w:val="0"/>
        <w:snapToGrid w:val="0"/>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w:t>
      </w:r>
      <w:r>
        <w:rPr>
          <w:rFonts w:asciiTheme="minorEastAsia" w:hAnsiTheme="minorEastAsia" w:eastAsiaTheme="minorEastAsia"/>
          <w:color w:val="auto"/>
          <w:szCs w:val="21"/>
        </w:rPr>
        <w:t>1</w:t>
      </w:r>
      <w:r>
        <w:rPr>
          <w:rFonts w:hint="eastAsia" w:asciiTheme="minorEastAsia" w:hAnsiTheme="minorEastAsia" w:eastAsiaTheme="minorEastAsia"/>
          <w:color w:val="auto"/>
          <w:szCs w:val="21"/>
        </w:rPr>
        <w:t>） 所投设备如有试剂</w:t>
      </w:r>
      <w:r>
        <w:rPr>
          <w:rFonts w:asciiTheme="minorEastAsia" w:hAnsiTheme="minorEastAsia" w:eastAsiaTheme="minorEastAsia"/>
          <w:color w:val="auto"/>
          <w:szCs w:val="21"/>
        </w:rPr>
        <w:t>/</w:t>
      </w:r>
      <w:r>
        <w:rPr>
          <w:rFonts w:hint="eastAsia" w:asciiTheme="minorEastAsia" w:hAnsiTheme="minorEastAsia" w:eastAsiaTheme="minorEastAsia"/>
          <w:color w:val="auto"/>
          <w:szCs w:val="21"/>
        </w:rPr>
        <w:t>耗材必填此表，未填写的其投标将被否决。</w:t>
      </w:r>
    </w:p>
    <w:p w14:paraId="5BA8293C">
      <w:pPr>
        <w:adjustRightInd w:val="0"/>
        <w:snapToGrid w:val="0"/>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w:t>
      </w:r>
      <w:r>
        <w:rPr>
          <w:rFonts w:asciiTheme="minorEastAsia" w:hAnsiTheme="minorEastAsia" w:eastAsiaTheme="minorEastAsia"/>
          <w:color w:val="auto"/>
          <w:szCs w:val="21"/>
        </w:rPr>
        <w:t>2</w:t>
      </w:r>
      <w:r>
        <w:rPr>
          <w:rFonts w:hint="eastAsia" w:asciiTheme="minorEastAsia" w:hAnsiTheme="minorEastAsia" w:eastAsiaTheme="minorEastAsia"/>
          <w:color w:val="auto"/>
          <w:szCs w:val="21"/>
        </w:rPr>
        <w:t>） 是否开放栏的填写：如果是专用试剂或耗材填</w:t>
      </w:r>
      <w:r>
        <w:rPr>
          <w:rFonts w:asciiTheme="minorEastAsia" w:hAnsiTheme="minorEastAsia" w:eastAsiaTheme="minorEastAsia"/>
          <w:color w:val="auto"/>
          <w:szCs w:val="21"/>
        </w:rPr>
        <w:t>“</w:t>
      </w:r>
      <w:r>
        <w:rPr>
          <w:rFonts w:hint="eastAsia" w:asciiTheme="minorEastAsia" w:hAnsiTheme="minorEastAsia" w:eastAsiaTheme="minorEastAsia"/>
          <w:color w:val="auto"/>
          <w:szCs w:val="21"/>
        </w:rPr>
        <w:t>否</w:t>
      </w:r>
      <w:r>
        <w:rPr>
          <w:rFonts w:asciiTheme="minorEastAsia" w:hAnsiTheme="minorEastAsia" w:eastAsiaTheme="minorEastAsia"/>
          <w:color w:val="auto"/>
          <w:szCs w:val="21"/>
        </w:rPr>
        <w:t>”</w:t>
      </w:r>
      <w:r>
        <w:rPr>
          <w:rFonts w:hint="eastAsia" w:asciiTheme="minorEastAsia" w:hAnsiTheme="minorEastAsia" w:eastAsiaTheme="minorEastAsia"/>
          <w:color w:val="auto"/>
          <w:szCs w:val="21"/>
        </w:rPr>
        <w:t>。</w:t>
      </w:r>
    </w:p>
    <w:p w14:paraId="5D42BDE9">
      <w:pPr>
        <w:adjustRightInd w:val="0"/>
        <w:snapToGrid w:val="0"/>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7</w:t>
      </w:r>
      <w:r>
        <w:rPr>
          <w:rFonts w:asciiTheme="minorEastAsia" w:hAnsiTheme="minorEastAsia" w:eastAsiaTheme="minorEastAsia"/>
          <w:color w:val="auto"/>
          <w:szCs w:val="21"/>
        </w:rPr>
        <w:t xml:space="preserve">.6 </w:t>
      </w:r>
      <w:r>
        <w:rPr>
          <w:rFonts w:hint="eastAsia" w:asciiTheme="minorEastAsia" w:hAnsiTheme="minorEastAsia" w:eastAsiaTheme="minorEastAsia"/>
          <w:color w:val="auto"/>
          <w:szCs w:val="21"/>
        </w:rPr>
        <w:t>设备在使用过程中，由于设备质量问题所引起的医疗纠纷，经认定后由中标人或制造商承担相关经济法律责任。提供承诺书（格式见第七章的“十二、投标人认为需提供的其他资料”）。</w:t>
      </w:r>
    </w:p>
    <w:bookmarkEnd w:id="155"/>
    <w:p w14:paraId="647C68B0">
      <w:pPr>
        <w:widowControl/>
        <w:shd w:val="clear" w:color="auto" w:fill="FFFFFF"/>
        <w:spacing w:line="400" w:lineRule="atLeast"/>
        <w:ind w:firstLine="315"/>
        <w:rPr>
          <w:rFonts w:ascii="宋体" w:hAnsi="宋体"/>
          <w:color w:val="auto"/>
          <w:kern w:val="0"/>
          <w:szCs w:val="21"/>
        </w:rPr>
      </w:pPr>
      <w:r>
        <w:rPr>
          <w:rFonts w:hint="eastAsia" w:ascii="宋体" w:hAnsi="宋体"/>
          <w:color w:val="auto"/>
          <w:kern w:val="0"/>
          <w:szCs w:val="21"/>
        </w:rPr>
        <w:br w:type="page"/>
      </w:r>
    </w:p>
    <w:p w14:paraId="13C90800">
      <w:pPr>
        <w:pStyle w:val="21"/>
        <w:adjustRightInd w:val="0"/>
        <w:snapToGrid w:val="0"/>
        <w:spacing w:line="360" w:lineRule="auto"/>
        <w:jc w:val="center"/>
        <w:outlineLvl w:val="0"/>
        <w:rPr>
          <w:rFonts w:ascii="黑体" w:hAnsi="华文中宋" w:eastAsia="黑体"/>
          <w:b/>
          <w:color w:val="auto"/>
          <w:sz w:val="32"/>
          <w:szCs w:val="32"/>
        </w:rPr>
      </w:pPr>
      <w:bookmarkStart w:id="156" w:name="_Toc19496"/>
      <w:r>
        <w:rPr>
          <w:rFonts w:hint="eastAsia" w:ascii="黑体" w:hAnsi="华文中宋" w:eastAsia="黑体"/>
          <w:b/>
          <w:color w:val="auto"/>
          <w:sz w:val="32"/>
          <w:szCs w:val="32"/>
        </w:rPr>
        <w:t>第六章 政府采购合同</w:t>
      </w:r>
      <w:bookmarkEnd w:id="156"/>
    </w:p>
    <w:p w14:paraId="2244963C">
      <w:pPr>
        <w:pStyle w:val="3"/>
        <w:adjustRightInd w:val="0"/>
        <w:snapToGrid w:val="0"/>
        <w:jc w:val="center"/>
        <w:rPr>
          <w:rFonts w:ascii="黑体" w:hAnsi="华文中宋" w:eastAsia="黑体"/>
          <w:color w:val="auto"/>
          <w:sz w:val="28"/>
          <w:szCs w:val="28"/>
        </w:rPr>
      </w:pPr>
      <w:bookmarkStart w:id="157" w:name="_Toc13890"/>
      <w:r>
        <w:rPr>
          <w:rFonts w:hint="eastAsia" w:ascii="黑体" w:hAnsi="华文中宋" w:eastAsia="黑体"/>
          <w:color w:val="auto"/>
          <w:sz w:val="28"/>
          <w:szCs w:val="28"/>
        </w:rPr>
        <w:t>第一节 政府采购合同协议书</w:t>
      </w:r>
      <w:bookmarkEnd w:id="157"/>
    </w:p>
    <w:p w14:paraId="3C44320C">
      <w:pPr>
        <w:autoSpaceDE w:val="0"/>
        <w:autoSpaceDN w:val="0"/>
        <w:jc w:val="center"/>
        <w:rPr>
          <w:rFonts w:ascii="宋体" w:hAnsi="宋体" w:cs="宋体"/>
          <w:color w:val="auto"/>
          <w:sz w:val="44"/>
          <w:szCs w:val="44"/>
          <w:lang w:val="zh-CN" w:bidi="zh-CN"/>
        </w:rPr>
      </w:pPr>
      <w:r>
        <w:rPr>
          <w:rFonts w:hint="eastAsia" w:ascii="宋体" w:hAnsi="宋体" w:cs="宋体"/>
          <w:color w:val="auto"/>
          <w:sz w:val="44"/>
          <w:szCs w:val="44"/>
          <w:lang w:val="zh-CN" w:bidi="zh-CN"/>
        </w:rPr>
        <w:t>中南大学湘雅医院订货合同</w:t>
      </w:r>
    </w:p>
    <w:p w14:paraId="1F40BD52">
      <w:pPr>
        <w:autoSpaceDE w:val="0"/>
        <w:autoSpaceDN w:val="0"/>
        <w:spacing w:line="560" w:lineRule="exact"/>
        <w:ind w:left="1612" w:right="1727"/>
        <w:jc w:val="center"/>
        <w:rPr>
          <w:rFonts w:ascii="宋体" w:hAnsi="宋体" w:cs="宋体"/>
          <w:color w:val="auto"/>
          <w:kern w:val="0"/>
          <w:sz w:val="44"/>
          <w:szCs w:val="22"/>
          <w:lang w:val="zh-CN" w:bidi="zh-CN"/>
        </w:rPr>
      </w:pPr>
      <w:r>
        <w:rPr>
          <w:rFonts w:hint="eastAsia" w:ascii="宋体" w:hAnsi="宋体" w:cs="宋体"/>
          <w:color w:val="auto"/>
          <w:kern w:val="0"/>
          <w:sz w:val="44"/>
          <w:szCs w:val="22"/>
          <w:lang w:val="zh-CN" w:bidi="zh-CN"/>
        </w:rPr>
        <w:t>（设备类）</w:t>
      </w:r>
    </w:p>
    <w:p w14:paraId="11ABA6CB">
      <w:pPr>
        <w:autoSpaceDE w:val="0"/>
        <w:autoSpaceDN w:val="0"/>
        <w:spacing w:before="3" w:line="560" w:lineRule="exact"/>
        <w:jc w:val="left"/>
        <w:rPr>
          <w:rFonts w:ascii="宋体" w:hAnsi="宋体" w:cs="宋体"/>
          <w:color w:val="auto"/>
          <w:sz w:val="39"/>
          <w:lang w:val="zh-CN" w:bidi="zh-CN"/>
        </w:rPr>
      </w:pPr>
    </w:p>
    <w:p w14:paraId="012A6F79">
      <w:pPr>
        <w:autoSpaceDE w:val="0"/>
        <w:autoSpaceDN w:val="0"/>
        <w:spacing w:line="364" w:lineRule="auto"/>
        <w:ind w:left="600" w:right="5419"/>
        <w:jc w:val="left"/>
        <w:rPr>
          <w:rFonts w:ascii="宋体" w:hAnsi="宋体" w:cs="宋体"/>
          <w:color w:val="auto"/>
          <w:sz w:val="24"/>
          <w:lang w:val="zh-CN" w:bidi="zh-CN"/>
        </w:rPr>
      </w:pPr>
      <w:r>
        <w:rPr>
          <w:rFonts w:hint="eastAsia" w:ascii="宋体" w:hAnsi="宋体" w:cs="宋体"/>
          <w:color w:val="auto"/>
          <w:sz w:val="24"/>
          <w:lang w:val="zh-CN" w:bidi="zh-CN"/>
        </w:rPr>
        <w:t>甲方：中南大学湘雅医院</w:t>
      </w:r>
    </w:p>
    <w:p w14:paraId="54033180">
      <w:pPr>
        <w:autoSpaceDE w:val="0"/>
        <w:autoSpaceDN w:val="0"/>
        <w:spacing w:line="364" w:lineRule="auto"/>
        <w:ind w:left="600" w:right="5419"/>
        <w:jc w:val="left"/>
        <w:rPr>
          <w:rFonts w:ascii="宋体" w:hAnsi="宋体" w:cs="宋体"/>
          <w:color w:val="auto"/>
          <w:sz w:val="24"/>
          <w:lang w:val="zh-CN" w:bidi="zh-CN"/>
        </w:rPr>
      </w:pPr>
      <w:r>
        <w:rPr>
          <w:rFonts w:hint="eastAsia" w:ascii="宋体" w:hAnsi="宋体" w:cs="宋体"/>
          <w:color w:val="auto"/>
          <w:sz w:val="24"/>
          <w:lang w:val="zh-CN" w:bidi="zh-CN"/>
        </w:rPr>
        <w:t>乙方：</w:t>
      </w:r>
    </w:p>
    <w:p w14:paraId="198ECC5A">
      <w:pPr>
        <w:autoSpaceDE w:val="0"/>
        <w:autoSpaceDN w:val="0"/>
        <w:spacing w:line="364" w:lineRule="auto"/>
        <w:ind w:left="600" w:right="5419"/>
        <w:jc w:val="left"/>
        <w:rPr>
          <w:rFonts w:ascii="宋体" w:hAnsi="宋体" w:cs="宋体"/>
          <w:color w:val="auto"/>
          <w:sz w:val="24"/>
          <w:lang w:val="zh-CN" w:bidi="zh-CN"/>
        </w:rPr>
      </w:pPr>
    </w:p>
    <w:p w14:paraId="16425743">
      <w:pPr>
        <w:autoSpaceDE w:val="0"/>
        <w:autoSpaceDN w:val="0"/>
        <w:spacing w:before="1" w:line="364" w:lineRule="auto"/>
        <w:ind w:left="120" w:right="231" w:firstLine="480"/>
        <w:rPr>
          <w:rFonts w:ascii="宋体" w:hAnsi="宋体" w:cs="宋体"/>
          <w:color w:val="auto"/>
          <w:sz w:val="24"/>
          <w:lang w:val="zh-CN" w:bidi="zh-CN"/>
        </w:rPr>
      </w:pPr>
      <w:r>
        <w:rPr>
          <w:rFonts w:hint="eastAsia" w:ascii="宋体" w:hAnsi="宋体" w:cs="宋体"/>
          <w:color w:val="auto"/>
          <w:spacing w:val="-8"/>
          <w:sz w:val="24"/>
          <w:lang w:val="zh-CN" w:bidi="zh-CN"/>
        </w:rPr>
        <w:t>为了保护甲、乙双方合法利益，根据《中华人民共和国民法典》、《中华人</w:t>
      </w:r>
      <w:r>
        <w:rPr>
          <w:rFonts w:hint="eastAsia" w:ascii="宋体" w:hAnsi="宋体" w:cs="宋体"/>
          <w:color w:val="auto"/>
          <w:spacing w:val="-7"/>
          <w:sz w:val="24"/>
          <w:lang w:val="zh-CN" w:bidi="zh-CN"/>
        </w:rPr>
        <w:t>民共和国政府采购法》及其他有关法律、法规、规章，甲、乙双方同意按照下面</w:t>
      </w:r>
      <w:r>
        <w:rPr>
          <w:rFonts w:hint="eastAsia" w:ascii="宋体" w:hAnsi="宋体" w:cs="宋体"/>
          <w:color w:val="auto"/>
          <w:sz w:val="24"/>
          <w:lang w:val="zh-CN" w:bidi="zh-CN"/>
        </w:rPr>
        <w:t>的条款和条件签署本合同。</w:t>
      </w:r>
    </w:p>
    <w:p w14:paraId="0A1A7285">
      <w:pPr>
        <w:numPr>
          <w:ilvl w:val="0"/>
          <w:numId w:val="2"/>
        </w:numPr>
        <w:autoSpaceDE w:val="0"/>
        <w:autoSpaceDN w:val="0"/>
        <w:spacing w:before="2" w:line="364" w:lineRule="auto"/>
        <w:ind w:left="600" w:right="3499"/>
        <w:jc w:val="left"/>
        <w:rPr>
          <w:rFonts w:ascii="宋体" w:hAnsi="宋体" w:cs="宋体"/>
          <w:color w:val="auto"/>
          <w:sz w:val="24"/>
          <w:lang w:val="zh-CN" w:bidi="zh-CN"/>
        </w:rPr>
      </w:pPr>
      <w:r>
        <w:rPr>
          <w:rFonts w:hint="eastAsia" w:ascii="宋体" w:hAnsi="宋体" w:cs="宋体"/>
          <w:b/>
          <w:bCs/>
          <w:color w:val="auto"/>
          <w:sz w:val="24"/>
          <w:lang w:val="zh-CN" w:bidi="zh-CN"/>
        </w:rPr>
        <w:t>合同范围：详见附件设备清单。</w:t>
      </w:r>
    </w:p>
    <w:p w14:paraId="33A80F3D">
      <w:pPr>
        <w:numPr>
          <w:ilvl w:val="0"/>
          <w:numId w:val="2"/>
        </w:numPr>
        <w:autoSpaceDE w:val="0"/>
        <w:autoSpaceDN w:val="0"/>
        <w:spacing w:before="2" w:line="364" w:lineRule="auto"/>
        <w:ind w:left="600" w:right="3499"/>
        <w:jc w:val="left"/>
        <w:rPr>
          <w:rFonts w:ascii="宋体" w:hAnsi="宋体" w:cs="宋体"/>
          <w:b/>
          <w:bCs/>
          <w:color w:val="auto"/>
          <w:sz w:val="24"/>
          <w:lang w:val="zh-CN" w:bidi="zh-CN"/>
        </w:rPr>
      </w:pPr>
      <w:r>
        <w:rPr>
          <w:rFonts w:hint="eastAsia" w:ascii="宋体" w:hAnsi="宋体" w:cs="宋体"/>
          <w:b/>
          <w:bCs/>
          <w:color w:val="auto"/>
          <w:sz w:val="24"/>
          <w:lang w:val="zh-CN" w:bidi="zh-CN"/>
        </w:rPr>
        <w:t>合同金额及付款方式：</w:t>
      </w:r>
    </w:p>
    <w:p w14:paraId="515D7678">
      <w:pPr>
        <w:tabs>
          <w:tab w:val="left" w:pos="3825"/>
          <w:tab w:val="left" w:pos="8066"/>
        </w:tabs>
        <w:autoSpaceDE w:val="0"/>
        <w:autoSpaceDN w:val="0"/>
        <w:spacing w:before="1"/>
        <w:ind w:left="600"/>
        <w:jc w:val="left"/>
        <w:rPr>
          <w:rFonts w:ascii="宋体" w:hAnsi="宋体" w:cs="宋体"/>
          <w:color w:val="auto"/>
          <w:sz w:val="24"/>
          <w:lang w:val="zh-CN" w:bidi="zh-CN"/>
        </w:rPr>
      </w:pPr>
      <w:r>
        <w:rPr>
          <w:rFonts w:hint="eastAsia" w:ascii="宋体" w:hAnsi="宋体" w:cs="宋体"/>
          <w:color w:val="auto"/>
          <w:sz w:val="24"/>
          <w:lang w:val="zh-CN" w:bidi="zh-CN"/>
        </w:rPr>
        <w:t>1</w:t>
      </w:r>
      <w:r>
        <w:rPr>
          <w:rFonts w:hint="eastAsia" w:ascii="宋体" w:hAnsi="宋体" w:cs="宋体"/>
          <w:color w:val="auto"/>
          <w:spacing w:val="-17"/>
          <w:sz w:val="24"/>
          <w:lang w:val="zh-CN" w:bidi="zh-CN"/>
        </w:rPr>
        <w:t>、</w:t>
      </w:r>
      <w:r>
        <w:rPr>
          <w:rFonts w:hint="eastAsia" w:ascii="宋体" w:hAnsi="宋体" w:cs="宋体"/>
          <w:color w:val="auto"/>
          <w:sz w:val="24"/>
          <w:lang w:val="zh-CN" w:bidi="zh-CN"/>
        </w:rPr>
        <w:t>上述设备总成交价_</w:t>
      </w:r>
      <w:r>
        <w:rPr>
          <w:rFonts w:hint="eastAsia" w:ascii="宋体" w:hAnsi="宋体" w:cs="宋体"/>
          <w:color w:val="auto"/>
          <w:sz w:val="24"/>
          <w:u w:val="single"/>
          <w:lang w:val="zh-CN" w:bidi="zh-CN"/>
        </w:rPr>
        <w:t xml:space="preserve"> </w:t>
      </w:r>
      <w:r>
        <w:rPr>
          <w:rFonts w:hint="eastAsia" w:ascii="宋体" w:hAnsi="宋体" w:cs="宋体"/>
          <w:color w:val="auto"/>
          <w:sz w:val="24"/>
          <w:u w:val="single"/>
          <w:lang w:val="zh-CN" w:bidi="zh-CN"/>
        </w:rPr>
        <w:tab/>
      </w:r>
      <w:r>
        <w:rPr>
          <w:rFonts w:hint="eastAsia" w:ascii="宋体" w:hAnsi="宋体" w:cs="宋体"/>
          <w:color w:val="auto"/>
          <w:spacing w:val="-17"/>
          <w:sz w:val="24"/>
          <w:lang w:val="zh-CN" w:bidi="zh-CN"/>
        </w:rPr>
        <w:t>元</w:t>
      </w:r>
      <w:r>
        <w:rPr>
          <w:rFonts w:hint="eastAsia" w:ascii="宋体" w:hAnsi="宋体" w:cs="宋体"/>
          <w:color w:val="auto"/>
          <w:sz w:val="24"/>
          <w:lang w:val="zh-CN" w:bidi="zh-CN"/>
        </w:rPr>
        <w:t>（人民币</w:t>
      </w:r>
      <w:r>
        <w:rPr>
          <w:rFonts w:hint="eastAsia" w:ascii="宋体" w:hAnsi="宋体" w:cs="宋体"/>
          <w:color w:val="auto"/>
          <w:spacing w:val="-17"/>
          <w:sz w:val="24"/>
          <w:lang w:val="zh-CN" w:bidi="zh-CN"/>
        </w:rPr>
        <w:t>）；（</w:t>
      </w:r>
      <w:r>
        <w:rPr>
          <w:rFonts w:hint="eastAsia" w:ascii="宋体" w:hAnsi="宋体" w:cs="宋体"/>
          <w:color w:val="auto"/>
          <w:sz w:val="24"/>
          <w:lang w:val="zh-CN" w:bidi="zh-CN"/>
        </w:rPr>
        <w:t>大写</w:t>
      </w:r>
      <w:r>
        <w:rPr>
          <w:rFonts w:hint="eastAsia" w:ascii="宋体" w:hAnsi="宋体" w:cs="宋体"/>
          <w:color w:val="auto"/>
          <w:spacing w:val="-17"/>
          <w:sz w:val="24"/>
          <w:lang w:val="zh-CN" w:bidi="zh-CN"/>
        </w:rPr>
        <w:t>）</w:t>
      </w:r>
      <w:r>
        <w:rPr>
          <w:rFonts w:hint="eastAsia" w:ascii="宋体" w:hAnsi="宋体" w:cs="宋体"/>
          <w:color w:val="auto"/>
          <w:spacing w:val="-17"/>
          <w:sz w:val="24"/>
          <w:u w:val="single"/>
          <w:lang w:val="zh-CN" w:bidi="zh-CN"/>
        </w:rPr>
        <w:t xml:space="preserve"> </w:t>
      </w:r>
      <w:r>
        <w:rPr>
          <w:rFonts w:hint="eastAsia" w:ascii="宋体" w:hAnsi="宋体" w:cs="宋体"/>
          <w:color w:val="auto"/>
          <w:spacing w:val="-17"/>
          <w:sz w:val="24"/>
          <w:u w:val="single"/>
          <w:lang w:val="zh-CN" w:bidi="zh-CN"/>
        </w:rPr>
        <w:tab/>
      </w:r>
      <w:r>
        <w:rPr>
          <w:rFonts w:hint="eastAsia" w:ascii="宋体" w:hAnsi="宋体" w:cs="宋体"/>
          <w:color w:val="auto"/>
          <w:sz w:val="24"/>
          <w:lang w:val="zh-CN" w:bidi="zh-CN"/>
        </w:rPr>
        <w:t>元。</w:t>
      </w:r>
    </w:p>
    <w:p w14:paraId="0996B53C">
      <w:pPr>
        <w:autoSpaceDE w:val="0"/>
        <w:autoSpaceDN w:val="0"/>
        <w:spacing w:before="161"/>
        <w:ind w:left="600"/>
        <w:jc w:val="left"/>
        <w:rPr>
          <w:rFonts w:ascii="宋体" w:hAnsi="宋体" w:cs="宋体"/>
          <w:color w:val="auto"/>
          <w:sz w:val="24"/>
          <w:lang w:val="zh-CN" w:bidi="zh-CN"/>
        </w:rPr>
      </w:pPr>
      <w:r>
        <w:rPr>
          <w:rFonts w:hint="eastAsia" w:ascii="宋体" w:hAnsi="宋体" w:cs="宋体"/>
          <w:color w:val="auto"/>
          <w:sz w:val="24"/>
          <w:lang w:val="zh-CN" w:bidi="zh-CN"/>
        </w:rPr>
        <w:t>2、付款方式：</w:t>
      </w:r>
    </w:p>
    <w:p w14:paraId="75B377E4">
      <w:pPr>
        <w:autoSpaceDE w:val="0"/>
        <w:autoSpaceDN w:val="0"/>
        <w:spacing w:before="160" w:line="364" w:lineRule="auto"/>
        <w:ind w:left="120" w:right="223" w:firstLine="480"/>
        <w:rPr>
          <w:rFonts w:ascii="宋体" w:hAnsi="宋体" w:cs="宋体"/>
          <w:color w:val="auto"/>
          <w:spacing w:val="-2"/>
          <w:sz w:val="24"/>
          <w:lang w:val="zh-CN" w:bidi="zh-CN"/>
        </w:rPr>
      </w:pPr>
      <w:r>
        <w:rPr>
          <w:rFonts w:hint="eastAsia" w:ascii="宋体" w:hAnsi="宋体" w:cs="宋体"/>
          <w:color w:val="auto"/>
          <w:spacing w:val="-2"/>
          <w:sz w:val="24"/>
          <w:lang w:bidi="zh-CN"/>
        </w:rPr>
        <w:t>2</w:t>
      </w:r>
      <w:r>
        <w:rPr>
          <w:rFonts w:hint="eastAsia" w:ascii="宋体" w:hAnsi="宋体" w:cs="宋体"/>
          <w:color w:val="auto"/>
          <w:spacing w:val="-2"/>
          <w:sz w:val="24"/>
          <w:lang w:val="zh-CN" w:bidi="zh-CN"/>
        </w:rPr>
        <w:t>.1、履约保证金：乙方领取中标通知书后签订合同前，向甲方缴纳成交总金额10%的履约保证金，合同期满后无质量问题和法律纠纷一次性全额无息退还。</w:t>
      </w:r>
    </w:p>
    <w:p w14:paraId="010B4F68">
      <w:pPr>
        <w:autoSpaceDE w:val="0"/>
        <w:autoSpaceDN w:val="0"/>
        <w:spacing w:before="160" w:line="364" w:lineRule="auto"/>
        <w:ind w:left="120" w:right="223" w:firstLine="480"/>
        <w:rPr>
          <w:rFonts w:ascii="宋体" w:hAnsi="宋体" w:cs="宋体"/>
          <w:color w:val="auto"/>
          <w:spacing w:val="-2"/>
          <w:sz w:val="24"/>
          <w:lang w:val="zh-CN" w:bidi="zh-CN"/>
        </w:rPr>
      </w:pPr>
      <w:r>
        <w:rPr>
          <w:rFonts w:hint="eastAsia" w:ascii="宋体" w:hAnsi="宋体" w:cs="宋体"/>
          <w:color w:val="auto"/>
          <w:spacing w:val="-2"/>
          <w:sz w:val="24"/>
          <w:lang w:bidi="zh-CN"/>
        </w:rPr>
        <w:t>2</w:t>
      </w:r>
      <w:r>
        <w:rPr>
          <w:rFonts w:hint="eastAsia" w:ascii="宋体" w:hAnsi="宋体" w:cs="宋体"/>
          <w:color w:val="auto"/>
          <w:spacing w:val="-2"/>
          <w:sz w:val="24"/>
          <w:lang w:val="zh-CN" w:bidi="zh-CN"/>
        </w:rPr>
        <w:t>.2、设备全部到货且验收合格后凭全额发票（必须由中标人自行验证真伪随发票一并提供），招标人向中标人支付合同总金额的100%。</w:t>
      </w:r>
    </w:p>
    <w:p w14:paraId="29F1F9B6">
      <w:pPr>
        <w:autoSpaceDE w:val="0"/>
        <w:autoSpaceDN w:val="0"/>
        <w:spacing w:before="2"/>
        <w:ind w:left="600"/>
        <w:jc w:val="left"/>
        <w:rPr>
          <w:rFonts w:ascii="宋体" w:hAnsi="宋体" w:cs="宋体"/>
          <w:b/>
          <w:bCs/>
          <w:color w:val="auto"/>
          <w:sz w:val="24"/>
          <w:lang w:val="zh-CN" w:bidi="zh-CN"/>
        </w:rPr>
      </w:pPr>
      <w:r>
        <w:rPr>
          <w:rFonts w:hint="eastAsia" w:ascii="宋体" w:hAnsi="宋体" w:cs="宋体"/>
          <w:b/>
          <w:bCs/>
          <w:color w:val="auto"/>
          <w:sz w:val="24"/>
          <w:lang w:val="zh-CN" w:bidi="zh-CN"/>
        </w:rPr>
        <w:t>三．质量要求及技术标准：</w:t>
      </w:r>
    </w:p>
    <w:p w14:paraId="4305860C">
      <w:pPr>
        <w:autoSpaceDE w:val="0"/>
        <w:autoSpaceDN w:val="0"/>
        <w:spacing w:before="161"/>
        <w:ind w:left="600"/>
        <w:jc w:val="left"/>
        <w:rPr>
          <w:rFonts w:ascii="宋体" w:hAnsi="宋体" w:cs="宋体"/>
          <w:color w:val="auto"/>
          <w:sz w:val="24"/>
          <w:lang w:val="zh-CN" w:bidi="zh-CN"/>
        </w:rPr>
      </w:pPr>
      <w:r>
        <w:rPr>
          <w:rFonts w:hint="eastAsia" w:ascii="宋体" w:hAnsi="宋体" w:cs="宋体"/>
          <w:color w:val="auto"/>
          <w:sz w:val="24"/>
          <w:lang w:val="zh-CN" w:bidi="zh-CN"/>
        </w:rPr>
        <w:t>1、乙方按合同附件配置清单要求的品牌型号、规格、价格提供产品；</w:t>
      </w:r>
    </w:p>
    <w:p w14:paraId="45F451EA">
      <w:pPr>
        <w:autoSpaceDE w:val="0"/>
        <w:autoSpaceDN w:val="0"/>
        <w:spacing w:before="160"/>
        <w:ind w:left="600"/>
        <w:jc w:val="left"/>
        <w:rPr>
          <w:rFonts w:ascii="宋体" w:hAnsi="宋体" w:cs="宋体"/>
          <w:color w:val="auto"/>
          <w:sz w:val="24"/>
          <w:lang w:val="zh-CN" w:bidi="zh-CN"/>
        </w:rPr>
      </w:pPr>
      <w:r>
        <w:rPr>
          <w:rFonts w:hint="eastAsia" w:ascii="宋体" w:hAnsi="宋体" w:cs="宋体"/>
          <w:color w:val="auto"/>
          <w:sz w:val="24"/>
          <w:lang w:val="zh-CN" w:bidi="zh-CN"/>
        </w:rPr>
        <w:t>2、乙方保证以上设备主机及附件均为原厂生产的全新产品；保证所提供的</w:t>
      </w:r>
    </w:p>
    <w:p w14:paraId="48F74E2E">
      <w:pPr>
        <w:autoSpaceDE w:val="0"/>
        <w:autoSpaceDN w:val="0"/>
        <w:spacing w:before="161"/>
        <w:ind w:left="120"/>
        <w:jc w:val="left"/>
        <w:rPr>
          <w:rFonts w:ascii="宋体" w:hAnsi="宋体" w:cs="宋体"/>
          <w:color w:val="auto"/>
          <w:sz w:val="24"/>
          <w:lang w:val="zh-CN" w:bidi="zh-CN"/>
        </w:rPr>
      </w:pPr>
      <w:r>
        <w:rPr>
          <w:rFonts w:hint="eastAsia" w:ascii="宋体" w:hAnsi="宋体" w:cs="宋体"/>
          <w:color w:val="auto"/>
          <w:sz w:val="24"/>
          <w:lang w:val="zh-CN" w:bidi="zh-CN"/>
        </w:rPr>
        <w:t>所有软件为正版软件；</w:t>
      </w:r>
    </w:p>
    <w:p w14:paraId="527F2230">
      <w:pPr>
        <w:autoSpaceDE w:val="0"/>
        <w:autoSpaceDN w:val="0"/>
        <w:spacing w:before="160" w:line="364" w:lineRule="auto"/>
        <w:ind w:left="120" w:right="236" w:firstLine="480"/>
        <w:jc w:val="left"/>
        <w:rPr>
          <w:rFonts w:ascii="宋体" w:hAnsi="宋体" w:cs="宋体"/>
          <w:color w:val="auto"/>
          <w:sz w:val="24"/>
          <w:lang w:val="zh-CN" w:bidi="zh-CN"/>
        </w:rPr>
      </w:pPr>
      <w:r>
        <w:rPr>
          <w:rFonts w:hint="eastAsia" w:ascii="宋体" w:hAnsi="宋体" w:cs="宋体"/>
          <w:color w:val="auto"/>
          <w:sz w:val="24"/>
          <w:lang w:val="zh-CN" w:bidi="zh-CN"/>
        </w:rPr>
        <w:t>3、乙方须提供设备厂家的出厂检验报告、合格证书（进口产品除外）、设备使用说明书、维修手册。</w:t>
      </w:r>
    </w:p>
    <w:p w14:paraId="724F5F5B">
      <w:pPr>
        <w:autoSpaceDE w:val="0"/>
        <w:autoSpaceDN w:val="0"/>
        <w:spacing w:before="1" w:line="364" w:lineRule="auto"/>
        <w:ind w:left="120" w:right="111" w:firstLine="480"/>
        <w:jc w:val="left"/>
        <w:rPr>
          <w:rFonts w:ascii="宋体" w:hAnsi="宋体" w:cs="宋体"/>
          <w:color w:val="auto"/>
          <w:sz w:val="24"/>
          <w:lang w:val="zh-CN" w:bidi="zh-CN"/>
        </w:rPr>
      </w:pPr>
      <w:r>
        <w:rPr>
          <w:rFonts w:hint="eastAsia" w:ascii="宋体" w:hAnsi="宋体" w:cs="宋体"/>
          <w:color w:val="auto"/>
          <w:sz w:val="24"/>
          <w:lang w:val="zh-CN" w:bidi="zh-CN"/>
        </w:rPr>
        <w:t>4</w:t>
      </w:r>
      <w:r>
        <w:rPr>
          <w:rFonts w:hint="eastAsia" w:ascii="宋体" w:hAnsi="宋体" w:cs="宋体"/>
          <w:color w:val="auto"/>
          <w:spacing w:val="-10"/>
          <w:sz w:val="24"/>
          <w:lang w:val="zh-CN" w:bidi="zh-CN"/>
        </w:rPr>
        <w:t>、乙方提供的产品如达不到合同约定的，甲方可要求乙方立即退货、换货、</w:t>
      </w:r>
      <w:r>
        <w:rPr>
          <w:rFonts w:hint="eastAsia" w:ascii="宋体" w:hAnsi="宋体" w:cs="宋体"/>
          <w:color w:val="auto"/>
          <w:spacing w:val="-9"/>
          <w:sz w:val="24"/>
          <w:lang w:val="zh-CN" w:bidi="zh-CN"/>
        </w:rPr>
        <w:t>补货。对不符合质量要求的产品，甲方有权拒绝接收，乙方应对相应产品及时进</w:t>
      </w:r>
      <w:r>
        <w:rPr>
          <w:rFonts w:hint="eastAsia" w:ascii="宋体" w:hAnsi="宋体" w:cs="宋体"/>
          <w:color w:val="auto"/>
          <w:spacing w:val="-12"/>
          <w:sz w:val="24"/>
          <w:lang w:val="zh-CN" w:bidi="zh-CN"/>
        </w:rPr>
        <w:t>行更换，不得影响甲方的临床应用。本规定的执行不免除乙方因产品质量产生的其他责任。</w:t>
      </w:r>
    </w:p>
    <w:p w14:paraId="6A0A10AE">
      <w:pPr>
        <w:tabs>
          <w:tab w:val="left" w:pos="4199"/>
          <w:tab w:val="left" w:pos="7919"/>
        </w:tabs>
        <w:autoSpaceDE w:val="0"/>
        <w:autoSpaceDN w:val="0"/>
        <w:spacing w:before="3" w:line="364" w:lineRule="auto"/>
        <w:ind w:left="600" w:right="499"/>
        <w:jc w:val="left"/>
        <w:rPr>
          <w:rFonts w:ascii="宋体" w:hAnsi="宋体" w:cs="宋体"/>
          <w:b/>
          <w:bCs/>
          <w:color w:val="auto"/>
          <w:sz w:val="24"/>
          <w:lang w:val="zh-CN" w:bidi="zh-CN"/>
        </w:rPr>
      </w:pPr>
    </w:p>
    <w:p w14:paraId="1F2ECF56">
      <w:pPr>
        <w:tabs>
          <w:tab w:val="left" w:pos="4199"/>
          <w:tab w:val="left" w:pos="7919"/>
        </w:tabs>
        <w:autoSpaceDE w:val="0"/>
        <w:autoSpaceDN w:val="0"/>
        <w:spacing w:before="3" w:line="364" w:lineRule="auto"/>
        <w:ind w:left="600" w:right="499"/>
        <w:jc w:val="left"/>
        <w:rPr>
          <w:rFonts w:ascii="宋体" w:hAnsi="宋体" w:cs="宋体"/>
          <w:b/>
          <w:bCs/>
          <w:color w:val="auto"/>
          <w:sz w:val="24"/>
          <w:lang w:val="zh-CN" w:bidi="zh-CN"/>
        </w:rPr>
      </w:pPr>
      <w:r>
        <w:rPr>
          <w:rFonts w:hint="eastAsia" w:ascii="宋体" w:hAnsi="宋体" w:cs="宋体"/>
          <w:b/>
          <w:bCs/>
          <w:color w:val="auto"/>
          <w:sz w:val="24"/>
          <w:lang w:val="zh-CN" w:bidi="zh-CN"/>
        </w:rPr>
        <w:t>四．交货地点：</w:t>
      </w:r>
      <w:r>
        <w:rPr>
          <w:rFonts w:hint="eastAsia" w:ascii="宋体" w:hAnsi="宋体" w:cs="宋体"/>
          <w:color w:val="auto"/>
          <w:sz w:val="24"/>
          <w:lang w:val="zh-CN" w:bidi="zh-CN"/>
        </w:rPr>
        <w:t>中南大学湘雅医院指定地点：</w:t>
      </w:r>
      <w:r>
        <w:rPr>
          <w:rFonts w:hint="eastAsia" w:ascii="宋体" w:hAnsi="宋体" w:cs="宋体"/>
          <w:color w:val="auto"/>
          <w:sz w:val="24"/>
          <w:u w:val="single"/>
          <w:lang w:val="zh-CN" w:bidi="zh-CN"/>
        </w:rPr>
        <w:t xml:space="preserve"> </w:t>
      </w:r>
      <w:r>
        <w:rPr>
          <w:rFonts w:hint="eastAsia" w:ascii="宋体" w:hAnsi="宋体" w:cs="宋体"/>
          <w:color w:val="auto"/>
          <w:sz w:val="24"/>
          <w:u w:val="single"/>
          <w:lang w:val="zh-CN" w:bidi="zh-CN"/>
        </w:rPr>
        <w:tab/>
      </w:r>
      <w:r>
        <w:rPr>
          <w:rFonts w:hint="eastAsia" w:ascii="宋体" w:hAnsi="宋体" w:cs="宋体"/>
          <w:color w:val="auto"/>
          <w:spacing w:val="-18"/>
          <w:sz w:val="24"/>
          <w:lang w:val="zh-CN" w:bidi="zh-CN"/>
        </w:rPr>
        <w:t>。</w:t>
      </w:r>
    </w:p>
    <w:p w14:paraId="61D4CDD6">
      <w:pPr>
        <w:tabs>
          <w:tab w:val="left" w:pos="4199"/>
          <w:tab w:val="left" w:pos="7919"/>
        </w:tabs>
        <w:autoSpaceDE w:val="0"/>
        <w:autoSpaceDN w:val="0"/>
        <w:spacing w:before="3" w:line="364" w:lineRule="auto"/>
        <w:ind w:left="600" w:right="499"/>
        <w:jc w:val="left"/>
        <w:rPr>
          <w:rFonts w:ascii="宋体" w:hAnsi="宋体" w:cs="宋体"/>
          <w:color w:val="auto"/>
          <w:sz w:val="24"/>
          <w:lang w:val="zh-CN" w:bidi="zh-CN"/>
        </w:rPr>
      </w:pPr>
      <w:r>
        <w:rPr>
          <w:rFonts w:hint="eastAsia" w:ascii="宋体" w:hAnsi="宋体" w:cs="宋体"/>
          <w:b/>
          <w:bCs/>
          <w:color w:val="auto"/>
          <w:sz w:val="24"/>
          <w:lang w:val="zh-CN" w:bidi="zh-CN"/>
        </w:rPr>
        <w:t>五．交货时间：</w:t>
      </w:r>
      <w:r>
        <w:rPr>
          <w:rFonts w:hint="eastAsia" w:ascii="宋体" w:hAnsi="宋体" w:cs="宋体"/>
          <w:color w:val="auto"/>
          <w:sz w:val="24"/>
          <w:lang w:val="zh-CN" w:bidi="zh-CN"/>
        </w:rPr>
        <w:t>合同签订后</w:t>
      </w:r>
      <w:r>
        <w:rPr>
          <w:rFonts w:hint="eastAsia" w:ascii="宋体" w:hAnsi="宋体" w:cs="宋体"/>
          <w:color w:val="auto"/>
          <w:sz w:val="24"/>
          <w:u w:val="single"/>
          <w:lang w:val="zh-CN" w:bidi="zh-CN"/>
        </w:rPr>
        <w:t xml:space="preserve"> </w:t>
      </w:r>
      <w:r>
        <w:rPr>
          <w:rFonts w:hint="eastAsia" w:ascii="宋体" w:hAnsi="宋体" w:cs="宋体"/>
          <w:color w:val="auto"/>
          <w:sz w:val="24"/>
          <w:u w:val="single"/>
          <w:lang w:val="zh-CN" w:bidi="zh-CN"/>
        </w:rPr>
        <w:tab/>
      </w:r>
      <w:r>
        <w:rPr>
          <w:rFonts w:hint="eastAsia" w:ascii="宋体" w:hAnsi="宋体" w:cs="宋体"/>
          <w:color w:val="auto"/>
          <w:sz w:val="24"/>
          <w:lang w:val="zh-CN" w:bidi="zh-CN"/>
        </w:rPr>
        <w:t>日内。</w:t>
      </w:r>
    </w:p>
    <w:p w14:paraId="3BE98267">
      <w:pPr>
        <w:autoSpaceDE w:val="0"/>
        <w:autoSpaceDN w:val="0"/>
        <w:spacing w:before="1" w:line="364" w:lineRule="auto"/>
        <w:ind w:left="600" w:right="1819"/>
        <w:jc w:val="left"/>
        <w:rPr>
          <w:rFonts w:ascii="宋体" w:hAnsi="宋体" w:cs="宋体"/>
          <w:color w:val="auto"/>
          <w:sz w:val="24"/>
          <w:lang w:val="zh-CN" w:bidi="zh-CN"/>
        </w:rPr>
      </w:pPr>
      <w:r>
        <w:rPr>
          <w:rFonts w:hint="eastAsia" w:ascii="宋体" w:hAnsi="宋体" w:cs="宋体"/>
          <w:b/>
          <w:bCs/>
          <w:color w:val="auto"/>
          <w:sz w:val="24"/>
          <w:lang w:val="zh-CN" w:bidi="zh-CN"/>
        </w:rPr>
        <w:t>六．运输方式、费用负担</w:t>
      </w:r>
      <w:r>
        <w:rPr>
          <w:rFonts w:hint="eastAsia" w:ascii="宋体" w:hAnsi="宋体" w:cs="宋体"/>
          <w:color w:val="auto"/>
          <w:sz w:val="24"/>
          <w:lang w:val="zh-CN" w:bidi="zh-CN"/>
        </w:rPr>
        <w:t>：设备的运输及费用由乙方承担。</w:t>
      </w:r>
    </w:p>
    <w:p w14:paraId="083C8655">
      <w:pPr>
        <w:autoSpaceDE w:val="0"/>
        <w:autoSpaceDN w:val="0"/>
        <w:spacing w:before="1" w:line="364" w:lineRule="auto"/>
        <w:ind w:left="600" w:right="1819"/>
        <w:jc w:val="left"/>
        <w:rPr>
          <w:rFonts w:ascii="宋体" w:hAnsi="宋体" w:cs="宋体"/>
          <w:b/>
          <w:bCs/>
          <w:color w:val="auto"/>
          <w:sz w:val="24"/>
          <w:lang w:val="zh-CN" w:bidi="zh-CN"/>
        </w:rPr>
      </w:pPr>
      <w:r>
        <w:rPr>
          <w:rFonts w:hint="eastAsia" w:ascii="宋体" w:hAnsi="宋体" w:cs="宋体"/>
          <w:b/>
          <w:bCs/>
          <w:color w:val="auto"/>
          <w:sz w:val="24"/>
          <w:lang w:val="zh-CN" w:bidi="zh-CN"/>
        </w:rPr>
        <w:t>七．安装培训：</w:t>
      </w:r>
    </w:p>
    <w:p w14:paraId="14FA2759">
      <w:pPr>
        <w:autoSpaceDE w:val="0"/>
        <w:autoSpaceDN w:val="0"/>
        <w:spacing w:before="7"/>
        <w:ind w:firstLine="480" w:firstLineChars="200"/>
        <w:jc w:val="left"/>
        <w:rPr>
          <w:rFonts w:ascii="宋体" w:hAnsi="宋体" w:cs="宋体"/>
          <w:color w:val="auto"/>
          <w:sz w:val="12"/>
          <w:lang w:val="zh-CN" w:bidi="zh-CN"/>
        </w:rPr>
      </w:pPr>
      <w:r>
        <w:rPr>
          <w:rFonts w:hint="eastAsia" w:ascii="宋体" w:hAnsi="宋体" w:cs="宋体"/>
          <w:color w:val="auto"/>
          <w:sz w:val="24"/>
          <w:lang w:val="zh-CN" w:bidi="zh-CN"/>
        </w:rPr>
        <w:t>1、乙方及设备厂家提供免费安装、调试业务，到验收合格为止（与安装本</w:t>
      </w:r>
    </w:p>
    <w:p w14:paraId="5BC44B36">
      <w:pPr>
        <w:autoSpaceDE w:val="0"/>
        <w:autoSpaceDN w:val="0"/>
        <w:spacing w:before="66"/>
        <w:ind w:left="120"/>
        <w:jc w:val="left"/>
        <w:rPr>
          <w:rFonts w:ascii="宋体" w:hAnsi="宋体" w:cs="宋体"/>
          <w:color w:val="auto"/>
          <w:sz w:val="24"/>
          <w:lang w:val="zh-CN" w:bidi="zh-CN"/>
        </w:rPr>
      </w:pPr>
      <w:r>
        <w:rPr>
          <w:rFonts w:hint="eastAsia" w:ascii="宋体" w:hAnsi="宋体" w:cs="宋体"/>
          <w:color w:val="auto"/>
          <w:sz w:val="24"/>
          <w:lang w:val="zh-CN" w:bidi="zh-CN"/>
        </w:rPr>
        <w:t>设备有关的所有费用由乙方承担）。</w:t>
      </w:r>
    </w:p>
    <w:p w14:paraId="14863435">
      <w:pPr>
        <w:autoSpaceDE w:val="0"/>
        <w:autoSpaceDN w:val="0"/>
        <w:spacing w:before="161"/>
        <w:ind w:left="600"/>
        <w:jc w:val="left"/>
        <w:rPr>
          <w:rFonts w:ascii="宋体" w:hAnsi="宋体" w:cs="宋体"/>
          <w:color w:val="auto"/>
          <w:sz w:val="24"/>
          <w:lang w:val="zh-CN" w:bidi="zh-CN"/>
        </w:rPr>
      </w:pPr>
      <w:r>
        <w:rPr>
          <w:rFonts w:hint="eastAsia" w:ascii="宋体" w:hAnsi="宋体" w:cs="宋体"/>
          <w:color w:val="auto"/>
          <w:sz w:val="24"/>
          <w:lang w:val="zh-CN" w:bidi="zh-CN"/>
        </w:rPr>
        <w:t>2、乙方根据临床需要，现场免费培训甲方操作人员。</w:t>
      </w:r>
    </w:p>
    <w:p w14:paraId="7B8D83B5">
      <w:pPr>
        <w:tabs>
          <w:tab w:val="left" w:pos="3911"/>
          <w:tab w:val="left" w:pos="6527"/>
        </w:tabs>
        <w:autoSpaceDE w:val="0"/>
        <w:autoSpaceDN w:val="0"/>
        <w:spacing w:before="160" w:line="364" w:lineRule="auto"/>
        <w:ind w:right="235" w:firstLine="241" w:firstLineChars="100"/>
        <w:jc w:val="left"/>
        <w:rPr>
          <w:rFonts w:ascii="宋体" w:hAnsi="宋体" w:cs="宋体"/>
          <w:color w:val="auto"/>
          <w:sz w:val="24"/>
          <w:lang w:val="zh-CN" w:bidi="zh-CN"/>
        </w:rPr>
      </w:pPr>
      <w:r>
        <w:rPr>
          <w:rFonts w:hint="eastAsia" w:ascii="宋体" w:hAnsi="宋体" w:cs="宋体"/>
          <w:b/>
          <w:bCs/>
          <w:color w:val="auto"/>
          <w:sz w:val="24"/>
          <w:lang w:val="zh-CN" w:bidi="zh-CN"/>
        </w:rPr>
        <w:t>八</w:t>
      </w:r>
      <w:r>
        <w:rPr>
          <w:rFonts w:hint="eastAsia" w:ascii="宋体" w:hAnsi="宋体" w:cs="宋体"/>
          <w:b/>
          <w:bCs/>
          <w:color w:val="auto"/>
          <w:spacing w:val="-24"/>
          <w:sz w:val="24"/>
          <w:lang w:val="zh-CN" w:bidi="zh-CN"/>
        </w:rPr>
        <w:t>．</w:t>
      </w:r>
      <w:r>
        <w:rPr>
          <w:rFonts w:hint="eastAsia" w:ascii="宋体" w:hAnsi="宋体" w:cs="宋体"/>
          <w:b/>
          <w:bCs/>
          <w:color w:val="auto"/>
          <w:sz w:val="24"/>
          <w:lang w:val="zh-CN" w:bidi="zh-CN"/>
        </w:rPr>
        <w:t>保修期限</w:t>
      </w:r>
      <w:r>
        <w:rPr>
          <w:rFonts w:hint="eastAsia" w:ascii="宋体" w:hAnsi="宋体" w:cs="宋体"/>
          <w:b/>
          <w:bCs/>
          <w:color w:val="auto"/>
          <w:spacing w:val="-24"/>
          <w:sz w:val="24"/>
          <w:lang w:val="zh-CN" w:bidi="zh-CN"/>
        </w:rPr>
        <w:t>：</w:t>
      </w:r>
      <w:r>
        <w:rPr>
          <w:rFonts w:hint="eastAsia" w:ascii="宋体" w:hAnsi="宋体" w:cs="宋体"/>
          <w:color w:val="auto"/>
          <w:sz w:val="24"/>
          <w:lang w:val="zh-CN" w:bidi="zh-CN"/>
        </w:rPr>
        <w:t>整机保修</w:t>
      </w:r>
      <w:r>
        <w:rPr>
          <w:rFonts w:hint="eastAsia" w:ascii="宋体" w:hAnsi="宋体" w:cs="宋体"/>
          <w:color w:val="auto"/>
          <w:sz w:val="24"/>
          <w:u w:val="single"/>
          <w:lang w:val="zh-CN" w:bidi="zh-CN"/>
        </w:rPr>
        <w:t xml:space="preserve"> </w:t>
      </w:r>
      <w:r>
        <w:rPr>
          <w:rFonts w:hint="eastAsia" w:ascii="宋体" w:hAnsi="宋体" w:cs="宋体"/>
          <w:color w:val="auto"/>
          <w:sz w:val="24"/>
          <w:u w:val="single"/>
          <w:lang w:val="zh-CN" w:bidi="zh-CN"/>
        </w:rPr>
        <w:tab/>
      </w:r>
      <w:r>
        <w:rPr>
          <w:rFonts w:hint="eastAsia" w:ascii="宋体" w:hAnsi="宋体" w:cs="宋体"/>
          <w:color w:val="auto"/>
          <w:sz w:val="24"/>
          <w:lang w:val="zh-CN" w:bidi="zh-CN"/>
        </w:rPr>
        <w:t>年</w:t>
      </w:r>
      <w:r>
        <w:rPr>
          <w:rFonts w:hint="eastAsia" w:ascii="宋体" w:hAnsi="宋体" w:cs="宋体"/>
          <w:color w:val="auto"/>
          <w:spacing w:val="-24"/>
          <w:sz w:val="24"/>
          <w:lang w:val="zh-CN" w:bidi="zh-CN"/>
        </w:rPr>
        <w:t>，</w:t>
      </w:r>
      <w:r>
        <w:rPr>
          <w:rFonts w:hint="eastAsia" w:ascii="宋体" w:hAnsi="宋体" w:cs="宋体"/>
          <w:color w:val="auto"/>
          <w:sz w:val="24"/>
          <w:lang w:val="zh-CN" w:bidi="zh-CN"/>
        </w:rPr>
        <w:t>核心部件保修</w:t>
      </w:r>
      <w:r>
        <w:rPr>
          <w:rFonts w:hint="eastAsia" w:ascii="宋体" w:hAnsi="宋体" w:cs="宋体"/>
          <w:color w:val="auto"/>
          <w:sz w:val="24"/>
          <w:u w:val="single"/>
          <w:lang w:val="zh-CN" w:bidi="zh-CN"/>
        </w:rPr>
        <w:t xml:space="preserve"> </w:t>
      </w:r>
      <w:r>
        <w:rPr>
          <w:rFonts w:hint="eastAsia" w:ascii="宋体" w:hAnsi="宋体" w:cs="宋体"/>
          <w:color w:val="auto"/>
          <w:sz w:val="24"/>
          <w:u w:val="single"/>
          <w:lang w:val="zh-CN" w:bidi="zh-CN"/>
        </w:rPr>
        <w:tab/>
      </w:r>
      <w:r>
        <w:rPr>
          <w:rFonts w:hint="eastAsia" w:ascii="宋体" w:hAnsi="宋体" w:cs="宋体"/>
          <w:color w:val="auto"/>
          <w:sz w:val="24"/>
          <w:lang w:val="zh-CN" w:bidi="zh-CN"/>
        </w:rPr>
        <w:t>年</w:t>
      </w:r>
      <w:r>
        <w:rPr>
          <w:rFonts w:hint="eastAsia" w:ascii="宋体" w:hAnsi="宋体" w:cs="宋体"/>
          <w:color w:val="auto"/>
          <w:spacing w:val="-24"/>
          <w:sz w:val="24"/>
          <w:lang w:val="zh-CN" w:bidi="zh-CN"/>
        </w:rPr>
        <w:t>，</w:t>
      </w:r>
      <w:r>
        <w:rPr>
          <w:rFonts w:hint="eastAsia" w:ascii="宋体" w:hAnsi="宋体" w:cs="宋体"/>
          <w:color w:val="auto"/>
          <w:sz w:val="24"/>
          <w:lang w:val="zh-CN" w:bidi="zh-CN"/>
        </w:rPr>
        <w:t>从验收合格</w:t>
      </w:r>
      <w:r>
        <w:rPr>
          <w:rFonts w:hint="eastAsia" w:ascii="宋体" w:hAnsi="宋体" w:cs="宋体"/>
          <w:color w:val="auto"/>
          <w:spacing w:val="-18"/>
          <w:sz w:val="24"/>
          <w:lang w:val="zh-CN" w:bidi="zh-CN"/>
        </w:rPr>
        <w:t>之</w:t>
      </w:r>
      <w:r>
        <w:rPr>
          <w:rFonts w:hint="eastAsia" w:ascii="宋体" w:hAnsi="宋体" w:cs="宋体"/>
          <w:color w:val="auto"/>
          <w:sz w:val="24"/>
          <w:lang w:val="zh-CN" w:bidi="zh-CN"/>
        </w:rPr>
        <w:t>日算起。</w:t>
      </w:r>
    </w:p>
    <w:p w14:paraId="7F02A844">
      <w:pPr>
        <w:autoSpaceDE w:val="0"/>
        <w:autoSpaceDN w:val="0"/>
        <w:spacing w:before="2"/>
        <w:ind w:left="600"/>
        <w:jc w:val="left"/>
        <w:rPr>
          <w:rFonts w:ascii="宋体" w:hAnsi="宋体" w:cs="宋体"/>
          <w:color w:val="auto"/>
          <w:sz w:val="24"/>
          <w:lang w:val="zh-CN" w:bidi="zh-CN"/>
        </w:rPr>
      </w:pPr>
      <w:r>
        <w:rPr>
          <w:rFonts w:hint="eastAsia" w:ascii="宋体" w:hAnsi="宋体" w:cs="宋体"/>
          <w:color w:val="auto"/>
          <w:sz w:val="24"/>
          <w:lang w:val="zh-CN" w:bidi="zh-CN"/>
        </w:rPr>
        <w:t>1、合同须附乙方售后服务承诺书。</w:t>
      </w:r>
    </w:p>
    <w:p w14:paraId="23FE401A">
      <w:pPr>
        <w:autoSpaceDE w:val="0"/>
        <w:autoSpaceDN w:val="0"/>
        <w:spacing w:before="160"/>
        <w:ind w:left="600"/>
        <w:jc w:val="left"/>
        <w:rPr>
          <w:rFonts w:ascii="宋体" w:hAnsi="宋体" w:cs="宋体"/>
          <w:color w:val="auto"/>
          <w:sz w:val="24"/>
          <w:lang w:val="zh-CN" w:bidi="zh-CN"/>
        </w:rPr>
      </w:pPr>
      <w:r>
        <w:rPr>
          <w:rFonts w:hint="eastAsia" w:ascii="宋体" w:hAnsi="宋体" w:cs="宋体"/>
          <w:color w:val="auto"/>
          <w:sz w:val="24"/>
          <w:lang w:val="zh-CN" w:bidi="zh-CN"/>
        </w:rPr>
        <w:t>2、保修期满后甲方所需配件的价格详见配件清单（如有）。</w:t>
      </w:r>
    </w:p>
    <w:p w14:paraId="6BEDE19C">
      <w:pPr>
        <w:autoSpaceDE w:val="0"/>
        <w:autoSpaceDN w:val="0"/>
        <w:spacing w:before="161"/>
        <w:ind w:firstLine="241" w:firstLineChars="100"/>
        <w:jc w:val="left"/>
        <w:rPr>
          <w:rFonts w:ascii="宋体" w:hAnsi="宋体" w:cs="宋体"/>
          <w:b/>
          <w:bCs/>
          <w:color w:val="auto"/>
          <w:sz w:val="24"/>
          <w:lang w:val="zh-CN" w:bidi="zh-CN"/>
        </w:rPr>
      </w:pPr>
      <w:r>
        <w:rPr>
          <w:rFonts w:hint="eastAsia" w:ascii="宋体" w:hAnsi="宋体" w:cs="宋体"/>
          <w:b/>
          <w:bCs/>
          <w:color w:val="auto"/>
          <w:sz w:val="24"/>
          <w:lang w:val="zh-CN" w:bidi="zh-CN"/>
        </w:rPr>
        <w:t>九．违约责任、解决纠纷方式：</w:t>
      </w:r>
    </w:p>
    <w:p w14:paraId="1FF51868">
      <w:pPr>
        <w:autoSpaceDE w:val="0"/>
        <w:autoSpaceDN w:val="0"/>
        <w:spacing w:before="160"/>
        <w:ind w:left="600"/>
        <w:jc w:val="left"/>
        <w:rPr>
          <w:rFonts w:ascii="宋体" w:hAnsi="宋体" w:cs="宋体"/>
          <w:color w:val="auto"/>
          <w:sz w:val="24"/>
          <w:lang w:val="zh-CN" w:bidi="zh-CN"/>
        </w:rPr>
      </w:pPr>
      <w:r>
        <w:rPr>
          <w:rFonts w:hint="eastAsia" w:ascii="宋体" w:hAnsi="宋体" w:cs="宋体"/>
          <w:color w:val="auto"/>
          <w:sz w:val="24"/>
          <w:lang w:val="zh-CN" w:bidi="zh-CN"/>
        </w:rPr>
        <w:t>1、合同内容参照《中华人民共和国民法典》的相关规定；</w:t>
      </w:r>
    </w:p>
    <w:p w14:paraId="18B615A4">
      <w:pPr>
        <w:autoSpaceDE w:val="0"/>
        <w:autoSpaceDN w:val="0"/>
        <w:spacing w:before="161" w:line="364" w:lineRule="auto"/>
        <w:ind w:left="120" w:right="229" w:firstLine="480"/>
        <w:rPr>
          <w:rFonts w:ascii="宋体" w:hAnsi="宋体" w:cs="宋体"/>
          <w:color w:val="auto"/>
          <w:sz w:val="24"/>
          <w:lang w:val="zh-CN" w:bidi="zh-CN"/>
        </w:rPr>
      </w:pPr>
      <w:r>
        <w:rPr>
          <w:rFonts w:hint="eastAsia" w:ascii="宋体" w:hAnsi="宋体" w:cs="宋体"/>
          <w:color w:val="auto"/>
          <w:sz w:val="24"/>
          <w:lang w:val="zh-CN" w:bidi="zh-CN"/>
        </w:rPr>
        <w:t>2、乙方如不能履行承诺：未给甲方造成经济损失的，向甲方支付合同总金</w:t>
      </w:r>
      <w:r>
        <w:rPr>
          <w:rFonts w:hint="eastAsia" w:ascii="宋体" w:hAnsi="宋体" w:cs="宋体"/>
          <w:color w:val="auto"/>
          <w:spacing w:val="-28"/>
          <w:sz w:val="24"/>
          <w:lang w:val="zh-CN" w:bidi="zh-CN"/>
        </w:rPr>
        <w:t xml:space="preserve">额 </w:t>
      </w:r>
      <w:r>
        <w:rPr>
          <w:rFonts w:hint="eastAsia" w:ascii="宋体" w:hAnsi="宋体" w:cs="宋体"/>
          <w:color w:val="auto"/>
          <w:sz w:val="24"/>
          <w:lang w:val="zh-CN" w:bidi="zh-CN"/>
        </w:rPr>
        <w:t>10%</w:t>
      </w:r>
      <w:r>
        <w:rPr>
          <w:rFonts w:hint="eastAsia" w:ascii="宋体" w:hAnsi="宋体" w:cs="宋体"/>
          <w:color w:val="auto"/>
          <w:spacing w:val="-6"/>
          <w:sz w:val="24"/>
          <w:lang w:val="zh-CN" w:bidi="zh-CN"/>
        </w:rPr>
        <w:t>的违约金，并限期整改，如在限期内未完成整改，甲方有权终止合同；如</w:t>
      </w:r>
      <w:r>
        <w:rPr>
          <w:rFonts w:hint="eastAsia" w:ascii="宋体" w:hAnsi="宋体" w:cs="宋体"/>
          <w:color w:val="auto"/>
          <w:spacing w:val="-9"/>
          <w:sz w:val="24"/>
          <w:lang w:val="zh-CN" w:bidi="zh-CN"/>
        </w:rPr>
        <w:t>给甲方造成损失的，如违约金不能弥补甲方因乙方违约行为所造成的损失，则乙</w:t>
      </w:r>
      <w:r>
        <w:rPr>
          <w:rFonts w:hint="eastAsia" w:ascii="宋体" w:hAnsi="宋体" w:cs="宋体"/>
          <w:color w:val="auto"/>
          <w:sz w:val="24"/>
          <w:lang w:val="zh-CN" w:bidi="zh-CN"/>
        </w:rPr>
        <w:t>方还需赔偿相应经济损失，并承担相应法律责任；</w:t>
      </w:r>
    </w:p>
    <w:p w14:paraId="1C68EF79">
      <w:pPr>
        <w:autoSpaceDE w:val="0"/>
        <w:autoSpaceDN w:val="0"/>
        <w:spacing w:before="2"/>
        <w:ind w:left="600"/>
        <w:jc w:val="left"/>
        <w:rPr>
          <w:rFonts w:ascii="宋体" w:hAnsi="宋体" w:cs="宋体"/>
          <w:color w:val="auto"/>
          <w:sz w:val="24"/>
          <w:lang w:val="zh-CN" w:bidi="zh-CN"/>
        </w:rPr>
      </w:pPr>
      <w:r>
        <w:rPr>
          <w:rFonts w:hint="eastAsia" w:ascii="宋体" w:hAnsi="宋体" w:cs="宋体"/>
          <w:color w:val="auto"/>
          <w:sz w:val="24"/>
          <w:lang w:val="zh-CN" w:bidi="zh-CN"/>
        </w:rPr>
        <w:t>3、如有纠纷，双方协商解决；如不能协商解决，向甲方所在地人民法院提</w:t>
      </w:r>
    </w:p>
    <w:p w14:paraId="00B7C5F5">
      <w:pPr>
        <w:autoSpaceDE w:val="0"/>
        <w:autoSpaceDN w:val="0"/>
        <w:spacing w:before="160"/>
        <w:ind w:left="120"/>
        <w:jc w:val="left"/>
        <w:rPr>
          <w:rFonts w:ascii="宋体" w:hAnsi="宋体" w:cs="宋体"/>
          <w:color w:val="auto"/>
          <w:sz w:val="24"/>
          <w:lang w:val="zh-CN" w:bidi="zh-CN"/>
        </w:rPr>
      </w:pPr>
      <w:r>
        <w:rPr>
          <w:rFonts w:hint="eastAsia" w:ascii="宋体" w:hAnsi="宋体" w:cs="宋体"/>
          <w:color w:val="auto"/>
          <w:sz w:val="24"/>
          <w:lang w:val="zh-CN" w:bidi="zh-CN"/>
        </w:rPr>
        <w:t>起诉讼。</w:t>
      </w:r>
    </w:p>
    <w:p w14:paraId="2532090B">
      <w:pPr>
        <w:autoSpaceDE w:val="0"/>
        <w:autoSpaceDN w:val="0"/>
        <w:spacing w:before="161"/>
        <w:ind w:firstLine="241" w:firstLineChars="100"/>
        <w:jc w:val="left"/>
        <w:rPr>
          <w:rFonts w:ascii="宋体" w:hAnsi="宋体" w:cs="宋体"/>
          <w:b/>
          <w:bCs/>
          <w:color w:val="auto"/>
          <w:sz w:val="24"/>
          <w:lang w:val="zh-CN" w:bidi="zh-CN"/>
        </w:rPr>
      </w:pPr>
      <w:r>
        <w:rPr>
          <w:rFonts w:hint="eastAsia" w:ascii="宋体" w:hAnsi="宋体" w:cs="宋体"/>
          <w:b/>
          <w:bCs/>
          <w:color w:val="auto"/>
          <w:sz w:val="24"/>
          <w:lang w:val="zh-CN" w:bidi="zh-CN"/>
        </w:rPr>
        <w:t>十．其它约定及要求：</w:t>
      </w:r>
    </w:p>
    <w:p w14:paraId="0B91B7F4">
      <w:pPr>
        <w:autoSpaceDE w:val="0"/>
        <w:autoSpaceDN w:val="0"/>
        <w:spacing w:before="160" w:line="364" w:lineRule="auto"/>
        <w:ind w:left="120" w:right="231" w:firstLine="480"/>
        <w:rPr>
          <w:rFonts w:ascii="宋体" w:hAnsi="宋体" w:cs="宋体"/>
          <w:color w:val="auto"/>
          <w:sz w:val="24"/>
          <w:lang w:val="zh-CN" w:bidi="zh-CN"/>
        </w:rPr>
      </w:pPr>
      <w:r>
        <w:rPr>
          <w:rFonts w:hint="eastAsia" w:ascii="宋体" w:hAnsi="宋体" w:cs="宋体"/>
          <w:color w:val="auto"/>
          <w:sz w:val="24"/>
          <w:lang w:val="zh-CN" w:bidi="zh-CN"/>
        </w:rPr>
        <w:t>1、一年累计采购金额达到国家政府采购限额标准以上，或因国家法律、政</w:t>
      </w:r>
      <w:r>
        <w:rPr>
          <w:rFonts w:hint="eastAsia" w:ascii="宋体" w:hAnsi="宋体" w:cs="宋体"/>
          <w:color w:val="auto"/>
          <w:spacing w:val="-7"/>
          <w:sz w:val="24"/>
          <w:lang w:val="zh-CN" w:bidi="zh-CN"/>
        </w:rPr>
        <w:t>策及医院制度调整需重新招标，该合同随即终止。但新供应商未产生前，乙方仍</w:t>
      </w:r>
      <w:r>
        <w:rPr>
          <w:rFonts w:hint="eastAsia" w:ascii="宋体" w:hAnsi="宋体" w:cs="宋体"/>
          <w:color w:val="auto"/>
          <w:sz w:val="24"/>
          <w:lang w:val="zh-CN" w:bidi="zh-CN"/>
        </w:rPr>
        <w:t>须按本合同供货。</w:t>
      </w:r>
    </w:p>
    <w:p w14:paraId="704AB928">
      <w:pPr>
        <w:autoSpaceDE w:val="0"/>
        <w:autoSpaceDN w:val="0"/>
        <w:spacing w:before="2"/>
        <w:ind w:left="600"/>
        <w:jc w:val="left"/>
        <w:rPr>
          <w:rFonts w:ascii="宋体" w:hAnsi="宋体" w:cs="宋体"/>
          <w:color w:val="auto"/>
          <w:sz w:val="24"/>
          <w:lang w:val="zh-CN" w:bidi="zh-CN"/>
        </w:rPr>
      </w:pPr>
      <w:r>
        <w:rPr>
          <w:rFonts w:hint="eastAsia" w:ascii="宋体" w:hAnsi="宋体" w:cs="宋体"/>
          <w:color w:val="auto"/>
          <w:sz w:val="24"/>
          <w:lang w:val="zh-CN" w:bidi="zh-CN"/>
        </w:rPr>
        <w:t>2、随机附系统操作手册一套，乙方负责提供维修手册一套。</w:t>
      </w:r>
    </w:p>
    <w:p w14:paraId="7DAE2DD9">
      <w:pPr>
        <w:autoSpaceDE w:val="0"/>
        <w:autoSpaceDN w:val="0"/>
        <w:spacing w:before="161"/>
        <w:ind w:left="600"/>
        <w:jc w:val="left"/>
        <w:rPr>
          <w:rFonts w:ascii="宋体" w:hAnsi="宋体" w:cs="宋体"/>
          <w:color w:val="auto"/>
          <w:sz w:val="24"/>
          <w:lang w:val="zh-CN" w:bidi="zh-CN"/>
        </w:rPr>
      </w:pPr>
      <w:r>
        <w:rPr>
          <w:rFonts w:hint="eastAsia" w:ascii="宋体" w:hAnsi="宋体" w:cs="宋体"/>
          <w:color w:val="auto"/>
          <w:sz w:val="24"/>
          <w:lang w:val="zh-CN" w:bidi="zh-CN"/>
        </w:rPr>
        <w:t>3、进口商品由乙方提供进口报关单复印件和商检证明原件（必须商检）及</w:t>
      </w:r>
    </w:p>
    <w:p w14:paraId="1E21DF3C">
      <w:pPr>
        <w:autoSpaceDE w:val="0"/>
        <w:autoSpaceDN w:val="0"/>
        <w:spacing w:before="160"/>
        <w:ind w:left="120"/>
        <w:jc w:val="left"/>
        <w:rPr>
          <w:rFonts w:ascii="宋体" w:hAnsi="宋体" w:cs="宋体"/>
          <w:color w:val="auto"/>
          <w:sz w:val="24"/>
          <w:lang w:val="zh-CN" w:bidi="zh-CN"/>
        </w:rPr>
      </w:pPr>
      <w:r>
        <w:rPr>
          <w:rFonts w:hint="eastAsia" w:ascii="宋体" w:hAnsi="宋体" w:cs="宋体"/>
          <w:color w:val="auto"/>
          <w:sz w:val="24"/>
          <w:lang w:val="zh-CN" w:bidi="zh-CN"/>
        </w:rPr>
        <w:t>进口机电产品相关批文，并承担一切费用。</w:t>
      </w:r>
    </w:p>
    <w:p w14:paraId="147DCEF3">
      <w:pPr>
        <w:autoSpaceDE w:val="0"/>
        <w:autoSpaceDN w:val="0"/>
        <w:spacing w:before="161"/>
        <w:ind w:left="600"/>
        <w:jc w:val="left"/>
        <w:rPr>
          <w:rFonts w:ascii="宋体" w:hAnsi="宋体" w:cs="宋体"/>
          <w:color w:val="auto"/>
          <w:sz w:val="24"/>
          <w:lang w:val="zh-CN" w:bidi="zh-CN"/>
        </w:rPr>
      </w:pPr>
      <w:r>
        <w:rPr>
          <w:rFonts w:hint="eastAsia" w:ascii="宋体" w:hAnsi="宋体" w:cs="宋体"/>
          <w:color w:val="auto"/>
          <w:sz w:val="24"/>
          <w:lang w:val="zh-CN" w:bidi="zh-CN"/>
        </w:rPr>
        <w:t>4、进口商品的其他手续若有违国家法令、法规的，乙方承担全部责任。</w:t>
      </w:r>
    </w:p>
    <w:p w14:paraId="39790510">
      <w:pPr>
        <w:autoSpaceDE w:val="0"/>
        <w:autoSpaceDN w:val="0"/>
        <w:spacing w:before="160"/>
        <w:ind w:left="600"/>
        <w:jc w:val="left"/>
        <w:rPr>
          <w:rFonts w:ascii="宋体" w:hAnsi="宋体" w:cs="宋体"/>
          <w:color w:val="auto"/>
          <w:sz w:val="24"/>
          <w:lang w:val="zh-CN" w:bidi="zh-CN"/>
        </w:rPr>
      </w:pPr>
      <w:r>
        <w:rPr>
          <w:rFonts w:hint="eastAsia" w:ascii="宋体" w:hAnsi="宋体" w:cs="宋体"/>
          <w:color w:val="auto"/>
          <w:sz w:val="24"/>
          <w:lang w:val="zh-CN" w:bidi="zh-CN"/>
        </w:rPr>
        <w:t>5、由于设备自身原因引起的一切事故，或因相关部门进行质量检查而导致</w:t>
      </w:r>
    </w:p>
    <w:p w14:paraId="72C406E8">
      <w:pPr>
        <w:autoSpaceDE w:val="0"/>
        <w:autoSpaceDN w:val="0"/>
        <w:spacing w:before="161"/>
        <w:ind w:left="120"/>
        <w:jc w:val="left"/>
        <w:rPr>
          <w:rFonts w:ascii="宋体" w:hAnsi="宋体" w:cs="宋体"/>
          <w:color w:val="auto"/>
          <w:sz w:val="24"/>
          <w:lang w:val="zh-CN" w:bidi="zh-CN"/>
        </w:rPr>
      </w:pPr>
      <w:r>
        <w:rPr>
          <w:rFonts w:hint="eastAsia" w:ascii="宋体" w:hAnsi="宋体" w:cs="宋体"/>
          <w:color w:val="auto"/>
          <w:sz w:val="24"/>
          <w:lang w:val="zh-CN" w:bidi="zh-CN"/>
        </w:rPr>
        <w:t>的处罚,乙方承担全部责任。</w:t>
      </w:r>
    </w:p>
    <w:p w14:paraId="6549F926">
      <w:pPr>
        <w:autoSpaceDE w:val="0"/>
        <w:autoSpaceDN w:val="0"/>
        <w:spacing w:before="160"/>
        <w:ind w:left="600"/>
        <w:jc w:val="left"/>
        <w:rPr>
          <w:rFonts w:ascii="宋体" w:hAnsi="宋体" w:cs="宋体"/>
          <w:color w:val="auto"/>
          <w:sz w:val="24"/>
          <w:lang w:val="zh-CN" w:bidi="zh-CN"/>
        </w:rPr>
      </w:pPr>
      <w:r>
        <w:rPr>
          <w:rFonts w:hint="eastAsia" w:ascii="宋体" w:hAnsi="宋体" w:cs="宋体"/>
          <w:color w:val="auto"/>
          <w:sz w:val="24"/>
          <w:lang w:val="zh-CN" w:bidi="zh-CN"/>
        </w:rPr>
        <w:t>6、甲乙双方均不能单方改变以上设备型号、配套及成交价。医疗器械及其</w:t>
      </w:r>
    </w:p>
    <w:p w14:paraId="61E82535">
      <w:pPr>
        <w:autoSpaceDE w:val="0"/>
        <w:autoSpaceDN w:val="0"/>
        <w:spacing w:before="161"/>
        <w:ind w:left="120"/>
        <w:jc w:val="left"/>
        <w:rPr>
          <w:rFonts w:ascii="宋体" w:hAnsi="宋体" w:cs="宋体"/>
          <w:color w:val="auto"/>
          <w:sz w:val="24"/>
          <w:lang w:val="zh-CN" w:bidi="zh-CN"/>
        </w:rPr>
      </w:pPr>
      <w:r>
        <w:rPr>
          <w:rFonts w:hint="eastAsia" w:ascii="宋体" w:hAnsi="宋体" w:cs="宋体"/>
          <w:color w:val="auto"/>
          <w:sz w:val="24"/>
          <w:lang w:val="zh-CN" w:bidi="zh-CN"/>
        </w:rPr>
        <w:t>外包装上必须按照国务院药品监督管理部门的规定，标明产品注册证书编号。</w:t>
      </w:r>
    </w:p>
    <w:p w14:paraId="21E84C81">
      <w:pPr>
        <w:autoSpaceDE w:val="0"/>
        <w:autoSpaceDN w:val="0"/>
        <w:spacing w:before="160" w:line="364" w:lineRule="auto"/>
        <w:ind w:left="120" w:right="115" w:firstLine="480"/>
        <w:jc w:val="left"/>
        <w:rPr>
          <w:rFonts w:ascii="宋体" w:hAnsi="宋体" w:cs="宋体"/>
          <w:color w:val="auto"/>
          <w:sz w:val="24"/>
          <w:lang w:val="zh-CN" w:bidi="zh-CN"/>
        </w:rPr>
      </w:pPr>
      <w:r>
        <w:rPr>
          <w:rFonts w:hint="eastAsia" w:ascii="宋体" w:hAnsi="宋体" w:cs="宋体"/>
          <w:color w:val="auto"/>
          <w:sz w:val="24"/>
          <w:lang w:val="zh-CN" w:bidi="zh-CN"/>
        </w:rPr>
        <w:t>7、该项目招标文件、投标文件、投标现场的投标澄清承诺书与本合同互为</w:t>
      </w:r>
      <w:r>
        <w:rPr>
          <w:rFonts w:hint="eastAsia" w:ascii="宋体" w:hAnsi="宋体" w:cs="宋体"/>
          <w:color w:val="auto"/>
          <w:spacing w:val="-6"/>
          <w:sz w:val="24"/>
          <w:lang w:val="zh-CN" w:bidi="zh-CN"/>
        </w:rPr>
        <w:t xml:space="preserve">补充和解释,是本合同的组成部分，具有同等的法律效力；如有不清或矛盾之处， </w:t>
      </w:r>
      <w:r>
        <w:rPr>
          <w:rFonts w:hint="eastAsia" w:ascii="宋体" w:hAnsi="宋体" w:cs="宋体"/>
          <w:color w:val="auto"/>
          <w:sz w:val="24"/>
          <w:lang w:val="zh-CN" w:bidi="zh-CN"/>
        </w:rPr>
        <w:t>以本合同为准。</w:t>
      </w:r>
    </w:p>
    <w:p w14:paraId="67CBBA11">
      <w:pPr>
        <w:autoSpaceDE w:val="0"/>
        <w:autoSpaceDN w:val="0"/>
        <w:spacing w:before="66"/>
        <w:ind w:left="600"/>
        <w:jc w:val="left"/>
        <w:rPr>
          <w:rFonts w:ascii="宋体" w:hAnsi="宋体" w:cs="宋体"/>
          <w:color w:val="auto"/>
          <w:sz w:val="24"/>
          <w:lang w:val="zh-CN" w:bidi="zh-CN"/>
        </w:rPr>
      </w:pPr>
      <w:r>
        <w:rPr>
          <w:rFonts w:hint="eastAsia" w:ascii="宋体" w:hAnsi="宋体" w:cs="宋体"/>
          <w:color w:val="auto"/>
          <w:sz w:val="24"/>
          <w:lang w:val="zh-CN" w:bidi="zh-CN"/>
        </w:rPr>
        <w:t>8、如若合同主体出现清算、撤销，转让合同的情况，合同自动终止。</w:t>
      </w:r>
    </w:p>
    <w:p w14:paraId="0DAE09C7">
      <w:pPr>
        <w:autoSpaceDE w:val="0"/>
        <w:autoSpaceDN w:val="0"/>
        <w:spacing w:before="161" w:line="364" w:lineRule="auto"/>
        <w:ind w:left="120" w:right="235" w:firstLine="480"/>
        <w:rPr>
          <w:rFonts w:ascii="宋体" w:hAnsi="宋体" w:cs="宋体"/>
          <w:color w:val="auto"/>
          <w:sz w:val="24"/>
          <w:lang w:val="zh-CN" w:bidi="zh-CN"/>
        </w:rPr>
      </w:pPr>
      <w:r>
        <w:rPr>
          <w:rFonts w:hint="eastAsia" w:ascii="宋体" w:hAnsi="宋体" w:cs="宋体"/>
          <w:color w:val="auto"/>
          <w:sz w:val="24"/>
          <w:lang w:val="zh-CN" w:bidi="zh-CN"/>
        </w:rPr>
        <w:t>9</w:t>
      </w:r>
      <w:r>
        <w:rPr>
          <w:rFonts w:hint="eastAsia" w:ascii="宋体" w:hAnsi="宋体" w:cs="宋体"/>
          <w:color w:val="auto"/>
          <w:spacing w:val="-1"/>
          <w:sz w:val="24"/>
          <w:lang w:val="zh-CN" w:bidi="zh-CN"/>
        </w:rPr>
        <w:t>、上述各项连同附页，具有同等法律效力。甲乙双方确认无误，并保证共</w:t>
      </w:r>
      <w:r>
        <w:rPr>
          <w:rFonts w:hint="eastAsia" w:ascii="宋体" w:hAnsi="宋体" w:cs="宋体"/>
          <w:color w:val="auto"/>
          <w:spacing w:val="-10"/>
          <w:sz w:val="24"/>
          <w:lang w:val="zh-CN" w:bidi="zh-CN"/>
        </w:rPr>
        <w:t>同守信。此协议一式陆份，甲方肆份，乙方贰份，双方法人或法人代表签字盖章</w:t>
      </w:r>
      <w:r>
        <w:rPr>
          <w:rFonts w:hint="eastAsia" w:ascii="宋体" w:hAnsi="宋体" w:cs="宋体"/>
          <w:color w:val="auto"/>
          <w:sz w:val="24"/>
          <w:lang w:val="zh-CN" w:bidi="zh-CN"/>
        </w:rPr>
        <w:t>生效。</w:t>
      </w:r>
    </w:p>
    <w:p w14:paraId="68B9C479">
      <w:pPr>
        <w:autoSpaceDE w:val="0"/>
        <w:autoSpaceDN w:val="0"/>
        <w:spacing w:before="161" w:line="364" w:lineRule="auto"/>
        <w:ind w:left="120" w:right="235" w:firstLine="480"/>
        <w:rPr>
          <w:rFonts w:ascii="宋体" w:hAnsi="宋体" w:cs="宋体"/>
          <w:color w:val="auto"/>
          <w:sz w:val="24"/>
          <w:lang w:val="zh-CN" w:bidi="zh-CN"/>
        </w:rPr>
      </w:pPr>
    </w:p>
    <w:tbl>
      <w:tblPr>
        <w:tblStyle w:val="42"/>
        <w:tblpPr w:leftFromText="180" w:rightFromText="180" w:vertAnchor="text" w:horzAnchor="page" w:tblpX="1661" w:tblpY="-72"/>
        <w:tblOverlap w:val="never"/>
        <w:tblW w:w="877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079"/>
        <w:gridCol w:w="4696"/>
      </w:tblGrid>
      <w:tr w14:paraId="4F8CC8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exact"/>
        </w:trPr>
        <w:tc>
          <w:tcPr>
            <w:tcW w:w="4079" w:type="dxa"/>
            <w:vAlign w:val="center"/>
          </w:tcPr>
          <w:p w14:paraId="39B3441A">
            <w:pPr>
              <w:autoSpaceDE w:val="0"/>
              <w:autoSpaceDN w:val="0"/>
              <w:rPr>
                <w:rFonts w:ascii="宋体" w:hAnsi="宋体" w:cs="宋体"/>
                <w:color w:val="auto"/>
                <w:kern w:val="0"/>
                <w:sz w:val="24"/>
                <w:lang w:val="zh-CN" w:bidi="zh-CN"/>
              </w:rPr>
            </w:pPr>
            <w:r>
              <w:rPr>
                <w:rFonts w:hint="eastAsia" w:ascii="宋体" w:hAnsi="宋体" w:cs="宋体"/>
                <w:color w:val="auto"/>
                <w:kern w:val="0"/>
                <w:sz w:val="24"/>
                <w:lang w:val="zh-CN" w:bidi="zh-CN"/>
              </w:rPr>
              <w:t>甲</w:t>
            </w:r>
            <w:r>
              <w:rPr>
                <w:rFonts w:hint="eastAsia" w:ascii="宋体" w:hAnsi="宋体" w:cs="宋体"/>
                <w:color w:val="auto"/>
                <w:kern w:val="0"/>
                <w:sz w:val="24"/>
                <w:lang w:val="zh-CN" w:bidi="zh-CN"/>
              </w:rPr>
              <w:tab/>
            </w:r>
            <w:r>
              <w:rPr>
                <w:rFonts w:hint="eastAsia" w:ascii="宋体" w:hAnsi="宋体" w:cs="宋体"/>
                <w:color w:val="auto"/>
                <w:kern w:val="0"/>
                <w:sz w:val="24"/>
                <w:lang w:val="zh-CN" w:bidi="zh-CN"/>
              </w:rPr>
              <w:t>方：中南大学湘雅医院（公章）</w:t>
            </w:r>
          </w:p>
        </w:tc>
        <w:tc>
          <w:tcPr>
            <w:tcW w:w="4696" w:type="dxa"/>
            <w:vAlign w:val="center"/>
          </w:tcPr>
          <w:p w14:paraId="2D4873BC">
            <w:pPr>
              <w:autoSpaceDE w:val="0"/>
              <w:autoSpaceDN w:val="0"/>
              <w:rPr>
                <w:rFonts w:ascii="宋体" w:hAnsi="宋体" w:cs="宋体"/>
                <w:color w:val="auto"/>
                <w:kern w:val="0"/>
                <w:sz w:val="24"/>
                <w:lang w:val="zh-CN" w:bidi="zh-CN"/>
              </w:rPr>
            </w:pPr>
            <w:r>
              <w:rPr>
                <w:rFonts w:hint="eastAsia" w:ascii="宋体" w:hAnsi="宋体" w:cs="宋体"/>
                <w:color w:val="auto"/>
                <w:kern w:val="0"/>
                <w:sz w:val="24"/>
                <w:lang w:val="zh-CN" w:bidi="zh-CN"/>
              </w:rPr>
              <w:t>乙方：</w:t>
            </w:r>
            <w:r>
              <w:rPr>
                <w:rFonts w:hint="eastAsia" w:ascii="宋体" w:hAnsi="宋体" w:cs="宋体"/>
                <w:color w:val="auto"/>
                <w:kern w:val="0"/>
                <w:sz w:val="24"/>
                <w:lang w:bidi="zh-CN"/>
              </w:rPr>
              <w:t xml:space="preserve">                       </w:t>
            </w:r>
            <w:r>
              <w:rPr>
                <w:rFonts w:hint="eastAsia" w:ascii="宋体" w:hAnsi="宋体" w:cs="宋体"/>
                <w:color w:val="auto"/>
                <w:kern w:val="0"/>
                <w:sz w:val="24"/>
                <w:lang w:val="zh-CN" w:bidi="zh-CN"/>
              </w:rPr>
              <w:t>（公章）</w:t>
            </w:r>
          </w:p>
        </w:tc>
      </w:tr>
      <w:tr w14:paraId="4C41D8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exact"/>
        </w:trPr>
        <w:tc>
          <w:tcPr>
            <w:tcW w:w="4079" w:type="dxa"/>
            <w:vAlign w:val="center"/>
          </w:tcPr>
          <w:p w14:paraId="66F17188">
            <w:pPr>
              <w:autoSpaceDE w:val="0"/>
              <w:autoSpaceDN w:val="0"/>
              <w:rPr>
                <w:rFonts w:ascii="宋体" w:hAnsi="宋体" w:cs="宋体"/>
                <w:color w:val="auto"/>
                <w:kern w:val="0"/>
                <w:sz w:val="24"/>
                <w:lang w:val="zh-CN" w:bidi="zh-CN"/>
              </w:rPr>
            </w:pPr>
            <w:r>
              <w:rPr>
                <w:rFonts w:hint="eastAsia" w:ascii="宋体" w:hAnsi="宋体" w:cs="宋体"/>
                <w:color w:val="auto"/>
                <w:kern w:val="0"/>
                <w:sz w:val="24"/>
                <w:lang w:val="zh-CN" w:bidi="zh-CN"/>
              </w:rPr>
              <w:t>法定代表人：雷光华</w:t>
            </w:r>
          </w:p>
        </w:tc>
        <w:tc>
          <w:tcPr>
            <w:tcW w:w="4696" w:type="dxa"/>
            <w:vAlign w:val="center"/>
          </w:tcPr>
          <w:p w14:paraId="579D653E">
            <w:pPr>
              <w:autoSpaceDE w:val="0"/>
              <w:autoSpaceDN w:val="0"/>
              <w:rPr>
                <w:rFonts w:ascii="宋体" w:hAnsi="宋体" w:cs="宋体"/>
                <w:color w:val="auto"/>
                <w:kern w:val="0"/>
                <w:sz w:val="24"/>
                <w:lang w:bidi="zh-CN"/>
              </w:rPr>
            </w:pPr>
            <w:r>
              <w:rPr>
                <w:rFonts w:hint="eastAsia" w:ascii="宋体" w:hAnsi="宋体" w:cs="宋体"/>
                <w:color w:val="auto"/>
                <w:kern w:val="0"/>
                <w:sz w:val="24"/>
                <w:lang w:val="zh-CN" w:bidi="zh-CN"/>
              </w:rPr>
              <w:t>法定代表人：</w:t>
            </w:r>
          </w:p>
        </w:tc>
      </w:tr>
      <w:tr w14:paraId="045336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exact"/>
        </w:trPr>
        <w:tc>
          <w:tcPr>
            <w:tcW w:w="4079" w:type="dxa"/>
            <w:vAlign w:val="center"/>
          </w:tcPr>
          <w:p w14:paraId="151BDD07">
            <w:pPr>
              <w:autoSpaceDE w:val="0"/>
              <w:autoSpaceDN w:val="0"/>
              <w:rPr>
                <w:rFonts w:ascii="宋体" w:hAnsi="宋体" w:cs="宋体"/>
                <w:color w:val="auto"/>
                <w:kern w:val="0"/>
                <w:sz w:val="24"/>
                <w:lang w:val="zh-CN" w:bidi="zh-CN"/>
              </w:rPr>
            </w:pPr>
            <w:r>
              <w:rPr>
                <w:rFonts w:hint="eastAsia" w:ascii="宋体" w:hAnsi="宋体" w:cs="宋体"/>
                <w:color w:val="auto"/>
                <w:kern w:val="0"/>
                <w:sz w:val="24"/>
                <w:lang w:val="zh-CN" w:bidi="zh-CN"/>
              </w:rPr>
              <w:t>委托代理人：</w:t>
            </w:r>
          </w:p>
        </w:tc>
        <w:tc>
          <w:tcPr>
            <w:tcW w:w="4696" w:type="dxa"/>
            <w:vAlign w:val="center"/>
          </w:tcPr>
          <w:p w14:paraId="68FB1B4D">
            <w:pPr>
              <w:autoSpaceDE w:val="0"/>
              <w:autoSpaceDN w:val="0"/>
              <w:rPr>
                <w:rFonts w:ascii="宋体" w:hAnsi="宋体" w:cs="宋体"/>
                <w:color w:val="auto"/>
                <w:kern w:val="0"/>
                <w:sz w:val="24"/>
                <w:lang w:val="zh-CN" w:bidi="zh-CN"/>
              </w:rPr>
            </w:pPr>
            <w:r>
              <w:rPr>
                <w:rFonts w:hint="eastAsia" w:ascii="宋体" w:hAnsi="宋体" w:cs="宋体"/>
                <w:color w:val="auto"/>
                <w:kern w:val="0"/>
                <w:sz w:val="24"/>
                <w:lang w:bidi="zh-CN"/>
              </w:rPr>
              <w:t>委托代理人：</w:t>
            </w:r>
          </w:p>
        </w:tc>
      </w:tr>
      <w:tr w14:paraId="4254F4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exact"/>
        </w:trPr>
        <w:tc>
          <w:tcPr>
            <w:tcW w:w="4079" w:type="dxa"/>
            <w:vAlign w:val="center"/>
          </w:tcPr>
          <w:p w14:paraId="076F4020">
            <w:pPr>
              <w:autoSpaceDE w:val="0"/>
              <w:autoSpaceDN w:val="0"/>
              <w:rPr>
                <w:rFonts w:ascii="宋体" w:hAnsi="宋体" w:cs="宋体"/>
                <w:color w:val="auto"/>
                <w:kern w:val="0"/>
                <w:sz w:val="24"/>
                <w:lang w:bidi="zh-CN"/>
              </w:rPr>
            </w:pPr>
            <w:r>
              <w:rPr>
                <w:rFonts w:hint="eastAsia" w:ascii="宋体" w:hAnsi="宋体" w:cs="宋体"/>
                <w:color w:val="auto"/>
                <w:kern w:val="0"/>
                <w:sz w:val="24"/>
                <w:lang w:bidi="zh-CN"/>
              </w:rPr>
              <w:t>单位地址：长沙市开福区湘雅路87号</w:t>
            </w:r>
          </w:p>
        </w:tc>
        <w:tc>
          <w:tcPr>
            <w:tcW w:w="4696" w:type="dxa"/>
            <w:vAlign w:val="center"/>
          </w:tcPr>
          <w:p w14:paraId="51FBC22C">
            <w:pPr>
              <w:autoSpaceDE w:val="0"/>
              <w:autoSpaceDN w:val="0"/>
              <w:rPr>
                <w:rFonts w:ascii="宋体" w:hAnsi="宋体" w:cs="宋体"/>
                <w:color w:val="auto"/>
                <w:kern w:val="0"/>
                <w:sz w:val="24"/>
                <w:lang w:val="zh-CN" w:bidi="zh-CN"/>
              </w:rPr>
            </w:pPr>
            <w:r>
              <w:rPr>
                <w:rFonts w:hint="eastAsia" w:ascii="宋体" w:hAnsi="宋体" w:cs="宋体"/>
                <w:color w:val="auto"/>
                <w:kern w:val="0"/>
                <w:sz w:val="24"/>
                <w:lang w:val="zh-CN" w:bidi="zh-CN"/>
              </w:rPr>
              <w:t>联系人手机号码：</w:t>
            </w:r>
          </w:p>
        </w:tc>
      </w:tr>
      <w:tr w14:paraId="48C147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exact"/>
        </w:trPr>
        <w:tc>
          <w:tcPr>
            <w:tcW w:w="4079" w:type="dxa"/>
            <w:vAlign w:val="center"/>
          </w:tcPr>
          <w:p w14:paraId="5040BFCE">
            <w:pPr>
              <w:autoSpaceDE w:val="0"/>
              <w:autoSpaceDN w:val="0"/>
              <w:rPr>
                <w:rFonts w:ascii="宋体" w:hAnsi="宋体" w:cs="宋体"/>
                <w:color w:val="auto"/>
                <w:kern w:val="0"/>
                <w:sz w:val="24"/>
                <w:lang w:bidi="zh-CN"/>
              </w:rPr>
            </w:pPr>
            <w:r>
              <w:rPr>
                <w:rFonts w:hint="eastAsia" w:ascii="宋体" w:hAnsi="宋体" w:cs="宋体"/>
                <w:color w:val="auto"/>
                <w:kern w:val="0"/>
                <w:sz w:val="24"/>
                <w:lang w:val="zh-CN" w:bidi="zh-CN"/>
              </w:rPr>
              <w:t>纳税人识别号：</w:t>
            </w:r>
            <w:r>
              <w:rPr>
                <w:rFonts w:hint="eastAsia" w:ascii="宋体" w:hAnsi="宋体" w:cs="宋体"/>
                <w:color w:val="auto"/>
                <w:kern w:val="0"/>
                <w:sz w:val="24"/>
                <w:lang w:bidi="zh-CN"/>
              </w:rPr>
              <w:t>121000004448850142</w:t>
            </w:r>
          </w:p>
        </w:tc>
        <w:tc>
          <w:tcPr>
            <w:tcW w:w="4696" w:type="dxa"/>
            <w:vAlign w:val="center"/>
          </w:tcPr>
          <w:p w14:paraId="5F0B1F6B">
            <w:pPr>
              <w:autoSpaceDE w:val="0"/>
              <w:autoSpaceDN w:val="0"/>
              <w:rPr>
                <w:rFonts w:ascii="宋体" w:hAnsi="宋体" w:cs="宋体"/>
                <w:color w:val="auto"/>
                <w:kern w:val="0"/>
                <w:sz w:val="24"/>
                <w:lang w:val="zh-CN" w:bidi="zh-CN"/>
              </w:rPr>
            </w:pPr>
            <w:r>
              <w:rPr>
                <w:rFonts w:hint="eastAsia" w:ascii="宋体" w:hAnsi="宋体" w:cs="宋体"/>
                <w:color w:val="auto"/>
                <w:kern w:val="0"/>
                <w:sz w:val="24"/>
                <w:lang w:val="zh-CN" w:bidi="zh-CN"/>
              </w:rPr>
              <w:t>公司地址：</w:t>
            </w:r>
          </w:p>
        </w:tc>
      </w:tr>
      <w:tr w14:paraId="001292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exact"/>
        </w:trPr>
        <w:tc>
          <w:tcPr>
            <w:tcW w:w="4079" w:type="dxa"/>
            <w:vAlign w:val="center"/>
          </w:tcPr>
          <w:p w14:paraId="39CFAF3D">
            <w:pPr>
              <w:autoSpaceDE w:val="0"/>
              <w:autoSpaceDN w:val="0"/>
              <w:rPr>
                <w:rFonts w:ascii="宋体" w:hAnsi="宋体" w:cs="宋体"/>
                <w:color w:val="auto"/>
                <w:kern w:val="0"/>
                <w:sz w:val="24"/>
                <w:lang w:val="zh-CN" w:bidi="zh-CN"/>
              </w:rPr>
            </w:pPr>
            <w:r>
              <w:rPr>
                <w:rFonts w:hint="eastAsia" w:ascii="宋体" w:hAnsi="宋体" w:cs="宋体"/>
                <w:color w:val="auto"/>
                <w:kern w:val="0"/>
                <w:sz w:val="24"/>
                <w:lang w:val="zh-CN" w:bidi="zh-CN"/>
              </w:rPr>
              <w:t>电</w:t>
            </w:r>
            <w:r>
              <w:rPr>
                <w:rFonts w:hint="eastAsia" w:ascii="宋体" w:hAnsi="宋体" w:cs="宋体"/>
                <w:color w:val="auto"/>
                <w:kern w:val="0"/>
                <w:sz w:val="24"/>
                <w:lang w:val="zh-CN" w:bidi="zh-CN"/>
              </w:rPr>
              <w:tab/>
            </w:r>
            <w:r>
              <w:rPr>
                <w:rFonts w:hint="eastAsia" w:ascii="宋体" w:hAnsi="宋体" w:cs="宋体"/>
                <w:color w:val="auto"/>
                <w:kern w:val="0"/>
                <w:sz w:val="24"/>
                <w:lang w:bidi="zh-CN"/>
              </w:rPr>
              <w:t xml:space="preserve">  </w:t>
            </w:r>
            <w:r>
              <w:rPr>
                <w:rFonts w:hint="eastAsia" w:ascii="宋体" w:hAnsi="宋体" w:cs="宋体"/>
                <w:color w:val="auto"/>
                <w:kern w:val="0"/>
                <w:sz w:val="24"/>
                <w:lang w:val="zh-CN" w:bidi="zh-CN"/>
              </w:rPr>
              <w:t>话：</w:t>
            </w:r>
            <w:r>
              <w:rPr>
                <w:rFonts w:hint="eastAsia" w:ascii="宋体" w:hAnsi="宋体" w:cs="宋体"/>
                <w:color w:val="auto"/>
                <w:kern w:val="0"/>
                <w:sz w:val="24"/>
                <w:lang w:bidi="zh-CN"/>
              </w:rPr>
              <w:t>0731-89752080</w:t>
            </w:r>
          </w:p>
        </w:tc>
        <w:tc>
          <w:tcPr>
            <w:tcW w:w="4696" w:type="dxa"/>
            <w:vAlign w:val="center"/>
          </w:tcPr>
          <w:p w14:paraId="6F82981D">
            <w:pPr>
              <w:autoSpaceDE w:val="0"/>
              <w:autoSpaceDN w:val="0"/>
              <w:rPr>
                <w:rFonts w:ascii="宋体" w:hAnsi="宋体" w:cs="宋体"/>
                <w:color w:val="auto"/>
                <w:kern w:val="0"/>
                <w:sz w:val="24"/>
                <w:lang w:val="zh-CN" w:bidi="zh-CN"/>
              </w:rPr>
            </w:pPr>
            <w:r>
              <w:rPr>
                <w:rFonts w:hint="eastAsia" w:ascii="宋体" w:hAnsi="宋体" w:cs="宋体"/>
                <w:color w:val="auto"/>
                <w:kern w:val="0"/>
                <w:sz w:val="24"/>
                <w:lang w:val="zh-CN" w:bidi="zh-CN"/>
              </w:rPr>
              <w:t>开户银行：</w:t>
            </w:r>
          </w:p>
        </w:tc>
      </w:tr>
      <w:tr w14:paraId="363A13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exact"/>
        </w:trPr>
        <w:tc>
          <w:tcPr>
            <w:tcW w:w="4079" w:type="dxa"/>
            <w:vAlign w:val="center"/>
          </w:tcPr>
          <w:p w14:paraId="6386B18F">
            <w:pPr>
              <w:autoSpaceDE w:val="0"/>
              <w:autoSpaceDN w:val="0"/>
              <w:rPr>
                <w:rFonts w:ascii="宋体" w:hAnsi="宋体" w:cs="宋体"/>
                <w:color w:val="auto"/>
                <w:kern w:val="0"/>
                <w:sz w:val="24"/>
                <w:lang w:val="zh-CN" w:bidi="zh-CN"/>
              </w:rPr>
            </w:pPr>
            <w:r>
              <w:rPr>
                <w:rFonts w:hint="eastAsia" w:ascii="宋体" w:hAnsi="宋体" w:cs="宋体"/>
                <w:color w:val="auto"/>
                <w:kern w:val="0"/>
                <w:sz w:val="24"/>
                <w:lang w:bidi="zh-CN"/>
              </w:rPr>
              <w:t>签订时间：</w:t>
            </w:r>
          </w:p>
        </w:tc>
        <w:tc>
          <w:tcPr>
            <w:tcW w:w="4696" w:type="dxa"/>
            <w:vAlign w:val="center"/>
          </w:tcPr>
          <w:p w14:paraId="4156B3BC">
            <w:pPr>
              <w:autoSpaceDE w:val="0"/>
              <w:autoSpaceDN w:val="0"/>
              <w:rPr>
                <w:rFonts w:ascii="宋体" w:hAnsi="宋体" w:cs="宋体"/>
                <w:color w:val="auto"/>
                <w:kern w:val="0"/>
                <w:sz w:val="24"/>
                <w:lang w:val="zh-CN" w:bidi="zh-CN"/>
              </w:rPr>
            </w:pPr>
            <w:r>
              <w:rPr>
                <w:rFonts w:hint="eastAsia" w:ascii="宋体" w:hAnsi="宋体" w:cs="宋体"/>
                <w:color w:val="auto"/>
                <w:kern w:val="0"/>
                <w:sz w:val="24"/>
                <w:lang w:val="zh-CN" w:bidi="zh-CN"/>
              </w:rPr>
              <w:t>账号：</w:t>
            </w:r>
          </w:p>
        </w:tc>
      </w:tr>
      <w:tr w14:paraId="45DD85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exact"/>
        </w:trPr>
        <w:tc>
          <w:tcPr>
            <w:tcW w:w="4079" w:type="dxa"/>
            <w:vAlign w:val="center"/>
          </w:tcPr>
          <w:p w14:paraId="6D027EC8">
            <w:pPr>
              <w:autoSpaceDE w:val="0"/>
              <w:autoSpaceDN w:val="0"/>
              <w:rPr>
                <w:rFonts w:ascii="宋体" w:hAnsi="宋体" w:cs="宋体"/>
                <w:color w:val="auto"/>
                <w:kern w:val="0"/>
                <w:sz w:val="24"/>
                <w:lang w:val="zh-CN" w:bidi="zh-CN"/>
              </w:rPr>
            </w:pPr>
          </w:p>
        </w:tc>
        <w:tc>
          <w:tcPr>
            <w:tcW w:w="4696" w:type="dxa"/>
            <w:vAlign w:val="center"/>
          </w:tcPr>
          <w:p w14:paraId="13C69F64">
            <w:pPr>
              <w:autoSpaceDE w:val="0"/>
              <w:autoSpaceDN w:val="0"/>
              <w:rPr>
                <w:rFonts w:ascii="宋体" w:hAnsi="宋体" w:cs="宋体"/>
                <w:color w:val="auto"/>
                <w:kern w:val="0"/>
                <w:sz w:val="24"/>
                <w:lang w:val="zh-CN" w:bidi="zh-CN"/>
              </w:rPr>
            </w:pPr>
            <w:r>
              <w:rPr>
                <w:rFonts w:hint="eastAsia" w:ascii="宋体" w:hAnsi="宋体" w:cs="宋体"/>
                <w:color w:val="auto"/>
                <w:kern w:val="0"/>
                <w:sz w:val="24"/>
                <w:lang w:val="zh-CN" w:bidi="zh-CN"/>
              </w:rPr>
              <w:t>签订日期：</w:t>
            </w:r>
          </w:p>
        </w:tc>
      </w:tr>
    </w:tbl>
    <w:p w14:paraId="5E69F966">
      <w:pPr>
        <w:autoSpaceDE w:val="0"/>
        <w:autoSpaceDN w:val="0"/>
        <w:spacing w:before="161" w:line="364" w:lineRule="auto"/>
        <w:ind w:left="120" w:right="235" w:firstLine="480"/>
        <w:rPr>
          <w:rFonts w:ascii="宋体" w:hAnsi="宋体" w:cs="宋体"/>
          <w:color w:val="auto"/>
          <w:sz w:val="24"/>
          <w:lang w:val="zh-CN" w:bidi="zh-CN"/>
        </w:rPr>
      </w:pPr>
    </w:p>
    <w:p w14:paraId="2291AAA1">
      <w:pPr>
        <w:autoSpaceDE w:val="0"/>
        <w:autoSpaceDN w:val="0"/>
        <w:jc w:val="left"/>
        <w:rPr>
          <w:rFonts w:ascii="宋体" w:hAnsi="宋体" w:cs="宋体"/>
          <w:color w:val="auto"/>
          <w:sz w:val="24"/>
          <w:lang w:val="zh-CN" w:bidi="zh-CN"/>
        </w:rPr>
      </w:pPr>
    </w:p>
    <w:p w14:paraId="25D1E5E8">
      <w:pPr>
        <w:rPr>
          <w:rFonts w:ascii="宋体" w:hAnsi="宋体" w:cs="宋体"/>
          <w:color w:val="auto"/>
        </w:rPr>
        <w:sectPr>
          <w:pgSz w:w="11900" w:h="16838"/>
          <w:pgMar w:top="1134" w:right="1559" w:bottom="680" w:left="1678" w:header="879" w:footer="227" w:gutter="0"/>
          <w:cols w:space="0" w:num="1"/>
        </w:sectPr>
      </w:pPr>
    </w:p>
    <w:p w14:paraId="74E74956">
      <w:pPr>
        <w:autoSpaceDE w:val="0"/>
        <w:autoSpaceDN w:val="0"/>
        <w:jc w:val="left"/>
        <w:rPr>
          <w:rFonts w:ascii="宋体" w:hAnsi="宋体" w:cs="宋体"/>
          <w:color w:val="auto"/>
          <w:sz w:val="20"/>
          <w:lang w:val="zh-CN" w:bidi="zh-CN"/>
        </w:rPr>
      </w:pPr>
    </w:p>
    <w:p w14:paraId="67F56DC3">
      <w:pPr>
        <w:autoSpaceDE w:val="0"/>
        <w:autoSpaceDN w:val="0"/>
        <w:spacing w:before="4"/>
        <w:jc w:val="left"/>
        <w:rPr>
          <w:rFonts w:ascii="宋体" w:hAnsi="宋体" w:cs="宋体"/>
          <w:color w:val="auto"/>
          <w:sz w:val="23"/>
          <w:lang w:val="zh-CN" w:bidi="zh-CN"/>
        </w:rPr>
      </w:pPr>
    </w:p>
    <w:p w14:paraId="4D80C60E">
      <w:pPr>
        <w:autoSpaceDE w:val="0"/>
        <w:autoSpaceDN w:val="0"/>
        <w:spacing w:after="54" w:line="511" w:lineRule="exact"/>
        <w:ind w:left="6119"/>
        <w:jc w:val="left"/>
        <w:rPr>
          <w:rFonts w:ascii="宋体" w:hAnsi="宋体" w:cs="宋体"/>
          <w:b/>
          <w:color w:val="auto"/>
          <w:kern w:val="0"/>
          <w:sz w:val="44"/>
          <w:szCs w:val="44"/>
          <w:lang w:val="zh-CN" w:bidi="zh-CN"/>
        </w:rPr>
      </w:pPr>
      <w:r>
        <w:rPr>
          <w:rFonts w:hint="eastAsia" w:ascii="宋体" w:hAnsi="宋体" w:cs="宋体"/>
          <w:b/>
          <w:color w:val="auto"/>
          <w:kern w:val="0"/>
          <w:sz w:val="44"/>
          <w:szCs w:val="44"/>
          <w:lang w:val="zh-CN" w:bidi="zh-CN"/>
        </w:rPr>
        <w:t xml:space="preserve">设 备 清 单 </w:t>
      </w:r>
    </w:p>
    <w:tbl>
      <w:tblPr>
        <w:tblStyle w:val="41"/>
        <w:tblW w:w="1497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58"/>
        <w:gridCol w:w="1159"/>
        <w:gridCol w:w="1209"/>
        <w:gridCol w:w="1211"/>
        <w:gridCol w:w="1379"/>
        <w:gridCol w:w="1465"/>
        <w:gridCol w:w="1465"/>
        <w:gridCol w:w="1177"/>
        <w:gridCol w:w="1359"/>
        <w:gridCol w:w="817"/>
        <w:gridCol w:w="1132"/>
        <w:gridCol w:w="1543"/>
      </w:tblGrid>
      <w:tr w14:paraId="21EDE6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8" w:hRule="atLeast"/>
        </w:trPr>
        <w:tc>
          <w:tcPr>
            <w:tcW w:w="1058" w:type="dxa"/>
          </w:tcPr>
          <w:p w14:paraId="603AD65C">
            <w:pPr>
              <w:autoSpaceDE w:val="0"/>
              <w:autoSpaceDN w:val="0"/>
              <w:spacing w:before="24"/>
              <w:ind w:left="307" w:right="300"/>
              <w:jc w:val="center"/>
              <w:rPr>
                <w:rFonts w:ascii="宋体" w:hAnsi="宋体" w:cs="宋体"/>
                <w:b/>
                <w:color w:val="auto"/>
                <w:sz w:val="20"/>
                <w:szCs w:val="22"/>
                <w:lang w:val="zh-CN" w:bidi="zh-CN"/>
              </w:rPr>
            </w:pPr>
            <w:r>
              <w:rPr>
                <w:rFonts w:hint="eastAsia" w:ascii="宋体" w:hAnsi="宋体" w:cs="宋体"/>
                <w:b/>
                <w:color w:val="auto"/>
                <w:sz w:val="20"/>
                <w:szCs w:val="22"/>
                <w:lang w:val="zh-CN" w:bidi="zh-CN"/>
              </w:rPr>
              <w:t>序号</w:t>
            </w:r>
          </w:p>
        </w:tc>
        <w:tc>
          <w:tcPr>
            <w:tcW w:w="2368" w:type="dxa"/>
            <w:gridSpan w:val="2"/>
          </w:tcPr>
          <w:p w14:paraId="4C3E6801">
            <w:pPr>
              <w:autoSpaceDE w:val="0"/>
              <w:autoSpaceDN w:val="0"/>
              <w:spacing w:before="24"/>
              <w:ind w:left="878"/>
              <w:jc w:val="left"/>
              <w:rPr>
                <w:rFonts w:ascii="宋体" w:hAnsi="宋体" w:cs="宋体"/>
                <w:b/>
                <w:color w:val="auto"/>
                <w:sz w:val="20"/>
                <w:szCs w:val="22"/>
                <w:lang w:val="zh-CN" w:bidi="zh-CN"/>
              </w:rPr>
            </w:pPr>
            <w:r>
              <w:rPr>
                <w:rFonts w:hint="eastAsia" w:ascii="宋体" w:hAnsi="宋体" w:cs="宋体"/>
                <w:b/>
                <w:color w:val="auto"/>
                <w:sz w:val="20"/>
                <w:szCs w:val="22"/>
                <w:lang w:val="zh-CN" w:bidi="zh-CN"/>
              </w:rPr>
              <w:t>设备名称</w:t>
            </w:r>
          </w:p>
        </w:tc>
        <w:tc>
          <w:tcPr>
            <w:tcW w:w="1211" w:type="dxa"/>
          </w:tcPr>
          <w:p w14:paraId="1128CD60">
            <w:pPr>
              <w:autoSpaceDE w:val="0"/>
              <w:autoSpaceDN w:val="0"/>
              <w:spacing w:before="24"/>
              <w:ind w:left="404"/>
              <w:jc w:val="left"/>
              <w:rPr>
                <w:rFonts w:ascii="宋体" w:hAnsi="宋体" w:cs="宋体"/>
                <w:b/>
                <w:color w:val="auto"/>
                <w:sz w:val="20"/>
                <w:szCs w:val="22"/>
                <w:lang w:val="zh-CN" w:bidi="zh-CN"/>
              </w:rPr>
            </w:pPr>
            <w:r>
              <w:rPr>
                <w:rFonts w:hint="eastAsia" w:ascii="宋体" w:hAnsi="宋体" w:cs="宋体"/>
                <w:b/>
                <w:color w:val="auto"/>
                <w:sz w:val="20"/>
                <w:szCs w:val="22"/>
                <w:lang w:val="zh-CN" w:bidi="zh-CN"/>
              </w:rPr>
              <w:t>产地</w:t>
            </w:r>
          </w:p>
        </w:tc>
        <w:tc>
          <w:tcPr>
            <w:tcW w:w="1379" w:type="dxa"/>
          </w:tcPr>
          <w:p w14:paraId="655B9BA3">
            <w:pPr>
              <w:autoSpaceDE w:val="0"/>
              <w:autoSpaceDN w:val="0"/>
              <w:spacing w:before="24"/>
              <w:ind w:left="189"/>
              <w:jc w:val="left"/>
              <w:rPr>
                <w:rFonts w:ascii="宋体" w:hAnsi="宋体" w:cs="宋体"/>
                <w:b/>
                <w:color w:val="auto"/>
                <w:sz w:val="20"/>
                <w:szCs w:val="22"/>
                <w:lang w:val="zh-CN" w:bidi="zh-CN"/>
              </w:rPr>
            </w:pPr>
            <w:r>
              <w:rPr>
                <w:rFonts w:hint="eastAsia" w:ascii="宋体" w:hAnsi="宋体" w:cs="宋体"/>
                <w:b/>
                <w:color w:val="auto"/>
                <w:sz w:val="20"/>
                <w:szCs w:val="22"/>
                <w:lang w:val="zh-CN" w:bidi="zh-CN"/>
              </w:rPr>
              <w:t>制造商名称</w:t>
            </w:r>
          </w:p>
        </w:tc>
        <w:tc>
          <w:tcPr>
            <w:tcW w:w="1465" w:type="dxa"/>
          </w:tcPr>
          <w:p w14:paraId="066EAC29">
            <w:pPr>
              <w:autoSpaceDE w:val="0"/>
              <w:autoSpaceDN w:val="0"/>
              <w:spacing w:before="24"/>
              <w:ind w:left="515" w:right="500"/>
              <w:jc w:val="center"/>
              <w:rPr>
                <w:rFonts w:ascii="宋体" w:hAnsi="宋体" w:cs="宋体"/>
                <w:b/>
                <w:color w:val="auto"/>
                <w:sz w:val="20"/>
                <w:szCs w:val="22"/>
                <w:lang w:val="zh-CN" w:bidi="zh-CN"/>
              </w:rPr>
            </w:pPr>
            <w:r>
              <w:rPr>
                <w:rFonts w:hint="eastAsia" w:ascii="宋体" w:hAnsi="宋体" w:cs="宋体"/>
                <w:b/>
                <w:color w:val="auto"/>
                <w:sz w:val="20"/>
                <w:szCs w:val="22"/>
                <w:lang w:val="zh-CN" w:bidi="zh-CN"/>
              </w:rPr>
              <w:t>品牌</w:t>
            </w:r>
          </w:p>
        </w:tc>
        <w:tc>
          <w:tcPr>
            <w:tcW w:w="1465" w:type="dxa"/>
          </w:tcPr>
          <w:p w14:paraId="5ECF629B">
            <w:pPr>
              <w:autoSpaceDE w:val="0"/>
              <w:autoSpaceDN w:val="0"/>
              <w:spacing w:before="24"/>
              <w:ind w:left="333"/>
              <w:jc w:val="left"/>
              <w:rPr>
                <w:rFonts w:ascii="宋体" w:hAnsi="宋体" w:cs="宋体"/>
                <w:b/>
                <w:color w:val="auto"/>
                <w:sz w:val="20"/>
                <w:szCs w:val="22"/>
                <w:lang w:val="zh-CN" w:bidi="zh-CN"/>
              </w:rPr>
            </w:pPr>
            <w:r>
              <w:rPr>
                <w:rFonts w:hint="eastAsia" w:ascii="宋体" w:hAnsi="宋体" w:cs="宋体"/>
                <w:b/>
                <w:color w:val="auto"/>
                <w:sz w:val="20"/>
                <w:szCs w:val="22"/>
                <w:lang w:val="zh-CN" w:bidi="zh-CN"/>
              </w:rPr>
              <w:t>注册证号</w:t>
            </w:r>
          </w:p>
        </w:tc>
        <w:tc>
          <w:tcPr>
            <w:tcW w:w="1177" w:type="dxa"/>
          </w:tcPr>
          <w:p w14:paraId="5506B99C">
            <w:pPr>
              <w:autoSpaceDE w:val="0"/>
              <w:autoSpaceDN w:val="0"/>
              <w:spacing w:before="24"/>
              <w:ind w:left="392"/>
              <w:jc w:val="left"/>
              <w:rPr>
                <w:rFonts w:ascii="宋体" w:hAnsi="宋体" w:cs="宋体"/>
                <w:b/>
                <w:color w:val="auto"/>
                <w:sz w:val="20"/>
                <w:szCs w:val="22"/>
                <w:lang w:val="zh-CN" w:bidi="zh-CN"/>
              </w:rPr>
            </w:pPr>
            <w:r>
              <w:rPr>
                <w:rFonts w:hint="eastAsia" w:ascii="宋体" w:hAnsi="宋体" w:cs="宋体"/>
                <w:b/>
                <w:color w:val="auto"/>
                <w:sz w:val="20"/>
                <w:szCs w:val="22"/>
                <w:lang w:val="zh-CN" w:bidi="zh-CN"/>
              </w:rPr>
              <w:t>型号</w:t>
            </w:r>
          </w:p>
        </w:tc>
        <w:tc>
          <w:tcPr>
            <w:tcW w:w="1359" w:type="dxa"/>
          </w:tcPr>
          <w:p w14:paraId="7E0B85B0">
            <w:pPr>
              <w:autoSpaceDE w:val="0"/>
              <w:autoSpaceDN w:val="0"/>
              <w:spacing w:before="24"/>
              <w:ind w:left="468" w:right="440"/>
              <w:jc w:val="center"/>
              <w:rPr>
                <w:rFonts w:ascii="宋体" w:hAnsi="宋体" w:cs="宋体"/>
                <w:b/>
                <w:color w:val="auto"/>
                <w:sz w:val="20"/>
                <w:szCs w:val="22"/>
                <w:lang w:val="zh-CN" w:bidi="zh-CN"/>
              </w:rPr>
            </w:pPr>
            <w:r>
              <w:rPr>
                <w:rFonts w:hint="eastAsia" w:ascii="宋体" w:hAnsi="宋体" w:cs="宋体"/>
                <w:b/>
                <w:color w:val="auto"/>
                <w:sz w:val="20"/>
                <w:szCs w:val="22"/>
                <w:lang w:val="zh-CN" w:bidi="zh-CN"/>
              </w:rPr>
              <w:t>数量</w:t>
            </w:r>
          </w:p>
        </w:tc>
        <w:tc>
          <w:tcPr>
            <w:tcW w:w="817" w:type="dxa"/>
          </w:tcPr>
          <w:p w14:paraId="1B149FFC">
            <w:pPr>
              <w:autoSpaceDE w:val="0"/>
              <w:autoSpaceDN w:val="0"/>
              <w:spacing w:before="24"/>
              <w:ind w:left="441" w:right="414"/>
              <w:jc w:val="center"/>
              <w:rPr>
                <w:rFonts w:ascii="宋体" w:hAnsi="宋体" w:cs="宋体"/>
                <w:b/>
                <w:color w:val="auto"/>
                <w:sz w:val="20"/>
                <w:szCs w:val="22"/>
                <w:lang w:val="zh-CN" w:bidi="zh-CN"/>
              </w:rPr>
            </w:pPr>
            <w:r>
              <w:rPr>
                <w:rFonts w:hint="eastAsia" w:ascii="宋体" w:hAnsi="宋体" w:cs="宋体"/>
                <w:b/>
                <w:color w:val="auto"/>
                <w:sz w:val="20"/>
                <w:szCs w:val="22"/>
                <w:lang w:val="zh-CN" w:bidi="zh-CN"/>
              </w:rPr>
              <w:t>单价</w:t>
            </w:r>
          </w:p>
        </w:tc>
        <w:tc>
          <w:tcPr>
            <w:tcW w:w="1132" w:type="dxa"/>
          </w:tcPr>
          <w:p w14:paraId="014A4185">
            <w:pPr>
              <w:autoSpaceDE w:val="0"/>
              <w:autoSpaceDN w:val="0"/>
              <w:spacing w:before="24"/>
              <w:ind w:left="472" w:right="438"/>
              <w:rPr>
                <w:rFonts w:ascii="宋体" w:hAnsi="宋体" w:cs="宋体"/>
                <w:b/>
                <w:color w:val="auto"/>
                <w:sz w:val="20"/>
                <w:szCs w:val="22"/>
                <w:lang w:val="zh-CN" w:bidi="zh-CN"/>
              </w:rPr>
            </w:pPr>
            <w:r>
              <w:rPr>
                <w:rFonts w:hint="eastAsia" w:ascii="宋体" w:hAnsi="宋体" w:cs="宋体"/>
                <w:b/>
                <w:color w:val="auto"/>
                <w:sz w:val="20"/>
                <w:szCs w:val="22"/>
                <w:lang w:val="zh-CN" w:bidi="zh-CN"/>
              </w:rPr>
              <w:t>金额</w:t>
            </w:r>
          </w:p>
        </w:tc>
        <w:tc>
          <w:tcPr>
            <w:tcW w:w="1543" w:type="dxa"/>
          </w:tcPr>
          <w:p w14:paraId="18C03CEC">
            <w:pPr>
              <w:autoSpaceDE w:val="0"/>
              <w:autoSpaceDN w:val="0"/>
              <w:spacing w:before="24"/>
              <w:ind w:left="472" w:right="438"/>
              <w:jc w:val="center"/>
              <w:rPr>
                <w:rFonts w:ascii="宋体" w:hAnsi="宋体" w:cs="宋体"/>
                <w:b/>
                <w:color w:val="auto"/>
                <w:sz w:val="20"/>
                <w:szCs w:val="22"/>
                <w:lang w:val="zh-CN" w:bidi="zh-CN"/>
              </w:rPr>
            </w:pPr>
            <w:r>
              <w:rPr>
                <w:rFonts w:hint="eastAsia" w:ascii="宋体" w:hAnsi="宋体" w:cs="宋体"/>
                <w:b/>
                <w:color w:val="auto"/>
                <w:sz w:val="20"/>
                <w:szCs w:val="22"/>
                <w:lang w:val="zh-CN" w:bidi="zh-CN"/>
              </w:rPr>
              <w:t>招标使用名称</w:t>
            </w:r>
          </w:p>
        </w:tc>
      </w:tr>
      <w:tr w14:paraId="28DA2A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3" w:hRule="atLeast"/>
        </w:trPr>
        <w:tc>
          <w:tcPr>
            <w:tcW w:w="1058" w:type="dxa"/>
            <w:vMerge w:val="restart"/>
          </w:tcPr>
          <w:p w14:paraId="3EB66D7F">
            <w:pPr>
              <w:autoSpaceDE w:val="0"/>
              <w:autoSpaceDN w:val="0"/>
              <w:spacing w:before="13"/>
              <w:jc w:val="left"/>
              <w:rPr>
                <w:rFonts w:ascii="宋体" w:hAnsi="宋体" w:cs="宋体"/>
                <w:b/>
                <w:color w:val="auto"/>
                <w:sz w:val="33"/>
                <w:szCs w:val="22"/>
                <w:lang w:val="zh-CN" w:bidi="zh-CN"/>
              </w:rPr>
            </w:pPr>
          </w:p>
          <w:p w14:paraId="779374A4">
            <w:pPr>
              <w:autoSpaceDE w:val="0"/>
              <w:autoSpaceDN w:val="0"/>
              <w:ind w:left="7"/>
              <w:jc w:val="center"/>
              <w:rPr>
                <w:rFonts w:ascii="宋体" w:hAnsi="宋体" w:cs="宋体"/>
                <w:color w:val="auto"/>
                <w:sz w:val="24"/>
                <w:szCs w:val="22"/>
                <w:lang w:val="zh-CN" w:bidi="zh-CN"/>
              </w:rPr>
            </w:pPr>
            <w:r>
              <w:rPr>
                <w:rFonts w:hint="eastAsia" w:ascii="宋体" w:hAnsi="宋体" w:cs="宋体"/>
                <w:color w:val="auto"/>
                <w:sz w:val="24"/>
                <w:szCs w:val="22"/>
                <w:lang w:val="zh-CN" w:bidi="zh-CN"/>
              </w:rPr>
              <w:t>1</w:t>
            </w:r>
          </w:p>
        </w:tc>
        <w:tc>
          <w:tcPr>
            <w:tcW w:w="1159" w:type="dxa"/>
            <w:vMerge w:val="restart"/>
          </w:tcPr>
          <w:p w14:paraId="6EEEB575">
            <w:pPr>
              <w:autoSpaceDE w:val="0"/>
              <w:autoSpaceDN w:val="0"/>
              <w:spacing w:before="3"/>
              <w:jc w:val="left"/>
              <w:rPr>
                <w:rFonts w:ascii="宋体" w:hAnsi="宋体" w:cs="宋体"/>
                <w:b/>
                <w:color w:val="auto"/>
                <w:sz w:val="28"/>
                <w:szCs w:val="22"/>
                <w:lang w:val="zh-CN" w:bidi="zh-CN"/>
              </w:rPr>
            </w:pPr>
          </w:p>
          <w:p w14:paraId="56B42956">
            <w:pPr>
              <w:autoSpaceDE w:val="0"/>
              <w:autoSpaceDN w:val="0"/>
              <w:spacing w:line="198" w:lineRule="exact"/>
              <w:ind w:left="357" w:right="350"/>
              <w:jc w:val="center"/>
              <w:rPr>
                <w:rFonts w:ascii="宋体" w:hAnsi="宋体" w:cs="宋体"/>
                <w:b/>
                <w:color w:val="auto"/>
                <w:sz w:val="20"/>
                <w:szCs w:val="22"/>
                <w:lang w:val="zh-CN" w:bidi="zh-CN"/>
              </w:rPr>
            </w:pPr>
            <w:r>
              <w:rPr>
                <w:rFonts w:hint="eastAsia" w:ascii="宋体" w:hAnsi="宋体" w:cs="宋体"/>
                <w:b/>
                <w:color w:val="auto"/>
                <w:sz w:val="20"/>
                <w:szCs w:val="22"/>
                <w:lang w:val="zh-CN" w:bidi="zh-CN"/>
              </w:rPr>
              <w:t>XX</w:t>
            </w:r>
          </w:p>
          <w:p w14:paraId="58A2AE5E">
            <w:pPr>
              <w:autoSpaceDE w:val="0"/>
              <w:autoSpaceDN w:val="0"/>
              <w:spacing w:line="336" w:lineRule="exact"/>
              <w:ind w:left="358" w:right="350"/>
              <w:jc w:val="center"/>
              <w:rPr>
                <w:rFonts w:ascii="宋体" w:hAnsi="宋体" w:cs="宋体"/>
                <w:b/>
                <w:color w:val="auto"/>
                <w:sz w:val="20"/>
                <w:szCs w:val="22"/>
                <w:lang w:val="zh-CN" w:bidi="zh-CN"/>
              </w:rPr>
            </w:pPr>
            <w:r>
              <w:rPr>
                <w:rFonts w:hint="eastAsia" w:ascii="宋体" w:hAnsi="宋体" w:cs="宋体"/>
                <w:b/>
                <w:color w:val="auto"/>
                <w:sz w:val="20"/>
                <w:szCs w:val="22"/>
                <w:lang w:val="zh-CN" w:bidi="zh-CN"/>
              </w:rPr>
              <w:t>系统</w:t>
            </w:r>
          </w:p>
        </w:tc>
        <w:tc>
          <w:tcPr>
            <w:tcW w:w="1209" w:type="dxa"/>
          </w:tcPr>
          <w:p w14:paraId="74083C17">
            <w:pPr>
              <w:autoSpaceDE w:val="0"/>
              <w:autoSpaceDN w:val="0"/>
              <w:jc w:val="left"/>
              <w:rPr>
                <w:rFonts w:ascii="宋体" w:hAnsi="宋体" w:cs="宋体"/>
                <w:color w:val="auto"/>
                <w:sz w:val="22"/>
                <w:szCs w:val="22"/>
                <w:lang w:val="zh-CN" w:bidi="zh-CN"/>
              </w:rPr>
            </w:pPr>
          </w:p>
        </w:tc>
        <w:tc>
          <w:tcPr>
            <w:tcW w:w="1211" w:type="dxa"/>
          </w:tcPr>
          <w:p w14:paraId="7AF6266D">
            <w:pPr>
              <w:autoSpaceDE w:val="0"/>
              <w:autoSpaceDN w:val="0"/>
              <w:jc w:val="left"/>
              <w:rPr>
                <w:rFonts w:ascii="宋体" w:hAnsi="宋体" w:cs="宋体"/>
                <w:color w:val="auto"/>
                <w:sz w:val="22"/>
                <w:szCs w:val="22"/>
                <w:lang w:val="zh-CN" w:bidi="zh-CN"/>
              </w:rPr>
            </w:pPr>
          </w:p>
        </w:tc>
        <w:tc>
          <w:tcPr>
            <w:tcW w:w="1379" w:type="dxa"/>
          </w:tcPr>
          <w:p w14:paraId="502D2F57">
            <w:pPr>
              <w:autoSpaceDE w:val="0"/>
              <w:autoSpaceDN w:val="0"/>
              <w:jc w:val="left"/>
              <w:rPr>
                <w:rFonts w:ascii="宋体" w:hAnsi="宋体" w:cs="宋体"/>
                <w:color w:val="auto"/>
                <w:sz w:val="22"/>
                <w:szCs w:val="22"/>
                <w:lang w:val="zh-CN" w:bidi="zh-CN"/>
              </w:rPr>
            </w:pPr>
          </w:p>
        </w:tc>
        <w:tc>
          <w:tcPr>
            <w:tcW w:w="1465" w:type="dxa"/>
          </w:tcPr>
          <w:p w14:paraId="707DED4D">
            <w:pPr>
              <w:autoSpaceDE w:val="0"/>
              <w:autoSpaceDN w:val="0"/>
              <w:jc w:val="left"/>
              <w:rPr>
                <w:rFonts w:ascii="宋体" w:hAnsi="宋体" w:cs="宋体"/>
                <w:color w:val="auto"/>
                <w:sz w:val="22"/>
                <w:szCs w:val="22"/>
                <w:lang w:val="zh-CN" w:bidi="zh-CN"/>
              </w:rPr>
            </w:pPr>
          </w:p>
        </w:tc>
        <w:tc>
          <w:tcPr>
            <w:tcW w:w="1465" w:type="dxa"/>
          </w:tcPr>
          <w:p w14:paraId="2A0594DE">
            <w:pPr>
              <w:autoSpaceDE w:val="0"/>
              <w:autoSpaceDN w:val="0"/>
              <w:jc w:val="left"/>
              <w:rPr>
                <w:rFonts w:ascii="宋体" w:hAnsi="宋体" w:cs="宋体"/>
                <w:color w:val="auto"/>
                <w:sz w:val="22"/>
                <w:szCs w:val="22"/>
                <w:lang w:val="zh-CN" w:bidi="zh-CN"/>
              </w:rPr>
            </w:pPr>
          </w:p>
        </w:tc>
        <w:tc>
          <w:tcPr>
            <w:tcW w:w="1177" w:type="dxa"/>
          </w:tcPr>
          <w:p w14:paraId="332CBFB9">
            <w:pPr>
              <w:autoSpaceDE w:val="0"/>
              <w:autoSpaceDN w:val="0"/>
              <w:jc w:val="left"/>
              <w:rPr>
                <w:rFonts w:ascii="宋体" w:hAnsi="宋体" w:cs="宋体"/>
                <w:color w:val="auto"/>
                <w:sz w:val="22"/>
                <w:szCs w:val="22"/>
                <w:lang w:val="zh-CN" w:bidi="zh-CN"/>
              </w:rPr>
            </w:pPr>
          </w:p>
        </w:tc>
        <w:tc>
          <w:tcPr>
            <w:tcW w:w="1359" w:type="dxa"/>
          </w:tcPr>
          <w:p w14:paraId="56C3E317">
            <w:pPr>
              <w:autoSpaceDE w:val="0"/>
              <w:autoSpaceDN w:val="0"/>
              <w:jc w:val="left"/>
              <w:rPr>
                <w:rFonts w:ascii="宋体" w:hAnsi="宋体" w:cs="宋体"/>
                <w:color w:val="auto"/>
                <w:sz w:val="22"/>
                <w:szCs w:val="22"/>
                <w:lang w:val="zh-CN" w:bidi="zh-CN"/>
              </w:rPr>
            </w:pPr>
          </w:p>
        </w:tc>
        <w:tc>
          <w:tcPr>
            <w:tcW w:w="817" w:type="dxa"/>
          </w:tcPr>
          <w:p w14:paraId="33EBBCC0">
            <w:pPr>
              <w:autoSpaceDE w:val="0"/>
              <w:autoSpaceDN w:val="0"/>
              <w:jc w:val="left"/>
              <w:rPr>
                <w:rFonts w:ascii="宋体" w:hAnsi="宋体" w:cs="宋体"/>
                <w:color w:val="auto"/>
                <w:sz w:val="22"/>
                <w:szCs w:val="22"/>
                <w:lang w:val="zh-CN" w:bidi="zh-CN"/>
              </w:rPr>
            </w:pPr>
          </w:p>
        </w:tc>
        <w:tc>
          <w:tcPr>
            <w:tcW w:w="1132" w:type="dxa"/>
            <w:vMerge w:val="restart"/>
          </w:tcPr>
          <w:p w14:paraId="75B4F1F4">
            <w:pPr>
              <w:autoSpaceDE w:val="0"/>
              <w:autoSpaceDN w:val="0"/>
              <w:jc w:val="left"/>
              <w:rPr>
                <w:rFonts w:ascii="宋体" w:hAnsi="宋体" w:cs="宋体"/>
                <w:color w:val="auto"/>
                <w:sz w:val="22"/>
                <w:szCs w:val="22"/>
                <w:lang w:val="zh-CN" w:bidi="zh-CN"/>
              </w:rPr>
            </w:pPr>
          </w:p>
        </w:tc>
        <w:tc>
          <w:tcPr>
            <w:tcW w:w="1543" w:type="dxa"/>
          </w:tcPr>
          <w:p w14:paraId="39B32689">
            <w:pPr>
              <w:autoSpaceDE w:val="0"/>
              <w:autoSpaceDN w:val="0"/>
              <w:jc w:val="left"/>
              <w:rPr>
                <w:rFonts w:ascii="宋体" w:hAnsi="宋体" w:cs="宋体"/>
                <w:color w:val="auto"/>
                <w:sz w:val="22"/>
                <w:szCs w:val="22"/>
                <w:lang w:val="zh-CN" w:bidi="zh-CN"/>
              </w:rPr>
            </w:pPr>
          </w:p>
        </w:tc>
      </w:tr>
      <w:tr w14:paraId="422641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8" w:hRule="atLeast"/>
        </w:trPr>
        <w:tc>
          <w:tcPr>
            <w:tcW w:w="1058" w:type="dxa"/>
            <w:vMerge w:val="continue"/>
            <w:tcBorders>
              <w:top w:val="nil"/>
            </w:tcBorders>
          </w:tcPr>
          <w:p w14:paraId="54924EA7">
            <w:pPr>
              <w:autoSpaceDE w:val="0"/>
              <w:autoSpaceDN w:val="0"/>
              <w:jc w:val="left"/>
              <w:rPr>
                <w:rFonts w:ascii="宋体" w:hAnsi="宋体" w:cs="宋体"/>
                <w:color w:val="auto"/>
                <w:kern w:val="0"/>
                <w:sz w:val="2"/>
                <w:szCs w:val="2"/>
                <w:lang w:val="zh-CN" w:bidi="zh-CN"/>
              </w:rPr>
            </w:pPr>
          </w:p>
        </w:tc>
        <w:tc>
          <w:tcPr>
            <w:tcW w:w="1159" w:type="dxa"/>
            <w:vMerge w:val="continue"/>
            <w:tcBorders>
              <w:top w:val="nil"/>
            </w:tcBorders>
          </w:tcPr>
          <w:p w14:paraId="0BE0523C">
            <w:pPr>
              <w:autoSpaceDE w:val="0"/>
              <w:autoSpaceDN w:val="0"/>
              <w:jc w:val="left"/>
              <w:rPr>
                <w:rFonts w:ascii="宋体" w:hAnsi="宋体" w:cs="宋体"/>
                <w:color w:val="auto"/>
                <w:kern w:val="0"/>
                <w:sz w:val="2"/>
                <w:szCs w:val="2"/>
                <w:lang w:val="zh-CN" w:bidi="zh-CN"/>
              </w:rPr>
            </w:pPr>
          </w:p>
        </w:tc>
        <w:tc>
          <w:tcPr>
            <w:tcW w:w="1209" w:type="dxa"/>
          </w:tcPr>
          <w:p w14:paraId="37BF7B0C">
            <w:pPr>
              <w:autoSpaceDE w:val="0"/>
              <w:autoSpaceDN w:val="0"/>
              <w:jc w:val="left"/>
              <w:rPr>
                <w:rFonts w:ascii="宋体" w:hAnsi="宋体" w:cs="宋体"/>
                <w:color w:val="auto"/>
                <w:sz w:val="22"/>
                <w:szCs w:val="22"/>
                <w:lang w:val="zh-CN" w:bidi="zh-CN"/>
              </w:rPr>
            </w:pPr>
          </w:p>
        </w:tc>
        <w:tc>
          <w:tcPr>
            <w:tcW w:w="1211" w:type="dxa"/>
          </w:tcPr>
          <w:p w14:paraId="47E05E7D">
            <w:pPr>
              <w:autoSpaceDE w:val="0"/>
              <w:autoSpaceDN w:val="0"/>
              <w:jc w:val="left"/>
              <w:rPr>
                <w:rFonts w:ascii="宋体" w:hAnsi="宋体" w:cs="宋体"/>
                <w:color w:val="auto"/>
                <w:sz w:val="22"/>
                <w:szCs w:val="22"/>
                <w:lang w:val="zh-CN" w:bidi="zh-CN"/>
              </w:rPr>
            </w:pPr>
          </w:p>
        </w:tc>
        <w:tc>
          <w:tcPr>
            <w:tcW w:w="1379" w:type="dxa"/>
          </w:tcPr>
          <w:p w14:paraId="0595C72B">
            <w:pPr>
              <w:autoSpaceDE w:val="0"/>
              <w:autoSpaceDN w:val="0"/>
              <w:jc w:val="left"/>
              <w:rPr>
                <w:rFonts w:ascii="宋体" w:hAnsi="宋体" w:cs="宋体"/>
                <w:color w:val="auto"/>
                <w:sz w:val="22"/>
                <w:szCs w:val="22"/>
                <w:lang w:val="zh-CN" w:bidi="zh-CN"/>
              </w:rPr>
            </w:pPr>
          </w:p>
        </w:tc>
        <w:tc>
          <w:tcPr>
            <w:tcW w:w="1465" w:type="dxa"/>
          </w:tcPr>
          <w:p w14:paraId="5E06635C">
            <w:pPr>
              <w:autoSpaceDE w:val="0"/>
              <w:autoSpaceDN w:val="0"/>
              <w:jc w:val="left"/>
              <w:rPr>
                <w:rFonts w:ascii="宋体" w:hAnsi="宋体" w:cs="宋体"/>
                <w:color w:val="auto"/>
                <w:sz w:val="22"/>
                <w:szCs w:val="22"/>
                <w:lang w:val="zh-CN" w:bidi="zh-CN"/>
              </w:rPr>
            </w:pPr>
          </w:p>
        </w:tc>
        <w:tc>
          <w:tcPr>
            <w:tcW w:w="1465" w:type="dxa"/>
          </w:tcPr>
          <w:p w14:paraId="361E96BD">
            <w:pPr>
              <w:autoSpaceDE w:val="0"/>
              <w:autoSpaceDN w:val="0"/>
              <w:jc w:val="left"/>
              <w:rPr>
                <w:rFonts w:ascii="宋体" w:hAnsi="宋体" w:cs="宋体"/>
                <w:color w:val="auto"/>
                <w:sz w:val="22"/>
                <w:szCs w:val="22"/>
                <w:lang w:val="zh-CN" w:bidi="zh-CN"/>
              </w:rPr>
            </w:pPr>
          </w:p>
        </w:tc>
        <w:tc>
          <w:tcPr>
            <w:tcW w:w="1177" w:type="dxa"/>
          </w:tcPr>
          <w:p w14:paraId="4E89B417">
            <w:pPr>
              <w:autoSpaceDE w:val="0"/>
              <w:autoSpaceDN w:val="0"/>
              <w:jc w:val="left"/>
              <w:rPr>
                <w:rFonts w:ascii="宋体" w:hAnsi="宋体" w:cs="宋体"/>
                <w:color w:val="auto"/>
                <w:sz w:val="22"/>
                <w:szCs w:val="22"/>
                <w:lang w:val="zh-CN" w:bidi="zh-CN"/>
              </w:rPr>
            </w:pPr>
          </w:p>
        </w:tc>
        <w:tc>
          <w:tcPr>
            <w:tcW w:w="1359" w:type="dxa"/>
          </w:tcPr>
          <w:p w14:paraId="13CEB19F">
            <w:pPr>
              <w:autoSpaceDE w:val="0"/>
              <w:autoSpaceDN w:val="0"/>
              <w:jc w:val="left"/>
              <w:rPr>
                <w:rFonts w:ascii="宋体" w:hAnsi="宋体" w:cs="宋体"/>
                <w:color w:val="auto"/>
                <w:sz w:val="22"/>
                <w:szCs w:val="22"/>
                <w:lang w:val="zh-CN" w:bidi="zh-CN"/>
              </w:rPr>
            </w:pPr>
          </w:p>
        </w:tc>
        <w:tc>
          <w:tcPr>
            <w:tcW w:w="817" w:type="dxa"/>
          </w:tcPr>
          <w:p w14:paraId="7B80DD60">
            <w:pPr>
              <w:autoSpaceDE w:val="0"/>
              <w:autoSpaceDN w:val="0"/>
              <w:jc w:val="left"/>
              <w:rPr>
                <w:rFonts w:ascii="宋体" w:hAnsi="宋体" w:cs="宋体"/>
                <w:color w:val="auto"/>
                <w:sz w:val="22"/>
                <w:szCs w:val="22"/>
                <w:lang w:val="zh-CN" w:bidi="zh-CN"/>
              </w:rPr>
            </w:pPr>
          </w:p>
        </w:tc>
        <w:tc>
          <w:tcPr>
            <w:tcW w:w="1132" w:type="dxa"/>
            <w:vMerge w:val="continue"/>
            <w:tcBorders>
              <w:top w:val="nil"/>
            </w:tcBorders>
          </w:tcPr>
          <w:p w14:paraId="19B9AA0F">
            <w:pPr>
              <w:autoSpaceDE w:val="0"/>
              <w:autoSpaceDN w:val="0"/>
              <w:jc w:val="left"/>
              <w:rPr>
                <w:rFonts w:ascii="宋体" w:hAnsi="宋体" w:cs="宋体"/>
                <w:color w:val="auto"/>
                <w:kern w:val="0"/>
                <w:sz w:val="2"/>
                <w:szCs w:val="2"/>
                <w:lang w:val="zh-CN" w:bidi="zh-CN"/>
              </w:rPr>
            </w:pPr>
          </w:p>
        </w:tc>
        <w:tc>
          <w:tcPr>
            <w:tcW w:w="1543" w:type="dxa"/>
            <w:tcBorders>
              <w:top w:val="nil"/>
            </w:tcBorders>
          </w:tcPr>
          <w:p w14:paraId="02BDB06F">
            <w:pPr>
              <w:autoSpaceDE w:val="0"/>
              <w:autoSpaceDN w:val="0"/>
              <w:jc w:val="left"/>
              <w:rPr>
                <w:rFonts w:ascii="宋体" w:hAnsi="宋体" w:cs="宋体"/>
                <w:color w:val="auto"/>
                <w:kern w:val="0"/>
                <w:sz w:val="2"/>
                <w:szCs w:val="2"/>
                <w:lang w:val="zh-CN" w:bidi="zh-CN"/>
              </w:rPr>
            </w:pPr>
          </w:p>
        </w:tc>
      </w:tr>
      <w:tr w14:paraId="04AABD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3" w:hRule="atLeast"/>
        </w:trPr>
        <w:tc>
          <w:tcPr>
            <w:tcW w:w="1058" w:type="dxa"/>
          </w:tcPr>
          <w:p w14:paraId="50ACC285">
            <w:pPr>
              <w:autoSpaceDE w:val="0"/>
              <w:autoSpaceDN w:val="0"/>
              <w:spacing w:before="11"/>
              <w:jc w:val="left"/>
              <w:rPr>
                <w:rFonts w:ascii="宋体" w:hAnsi="宋体" w:cs="宋体"/>
                <w:b/>
                <w:color w:val="auto"/>
                <w:sz w:val="13"/>
                <w:szCs w:val="22"/>
                <w:lang w:val="zh-CN" w:bidi="zh-CN"/>
              </w:rPr>
            </w:pPr>
          </w:p>
          <w:p w14:paraId="0EAF3712">
            <w:pPr>
              <w:autoSpaceDE w:val="0"/>
              <w:autoSpaceDN w:val="0"/>
              <w:spacing w:before="1"/>
              <w:ind w:left="7"/>
              <w:jc w:val="center"/>
              <w:rPr>
                <w:rFonts w:ascii="宋体" w:hAnsi="宋体" w:cs="宋体"/>
                <w:color w:val="auto"/>
                <w:sz w:val="24"/>
                <w:szCs w:val="22"/>
                <w:lang w:val="zh-CN" w:bidi="zh-CN"/>
              </w:rPr>
            </w:pPr>
            <w:r>
              <w:rPr>
                <w:rFonts w:hint="eastAsia" w:ascii="宋体" w:hAnsi="宋体" w:cs="宋体"/>
                <w:color w:val="auto"/>
                <w:sz w:val="24"/>
                <w:szCs w:val="22"/>
                <w:lang w:val="zh-CN" w:bidi="zh-CN"/>
              </w:rPr>
              <w:t>2</w:t>
            </w:r>
          </w:p>
        </w:tc>
        <w:tc>
          <w:tcPr>
            <w:tcW w:w="2368" w:type="dxa"/>
            <w:gridSpan w:val="2"/>
          </w:tcPr>
          <w:p w14:paraId="72E05D57">
            <w:pPr>
              <w:autoSpaceDE w:val="0"/>
              <w:autoSpaceDN w:val="0"/>
              <w:jc w:val="left"/>
              <w:rPr>
                <w:rFonts w:ascii="宋体" w:hAnsi="宋体" w:cs="宋体"/>
                <w:color w:val="auto"/>
                <w:sz w:val="22"/>
                <w:szCs w:val="22"/>
                <w:lang w:val="zh-CN" w:bidi="zh-CN"/>
              </w:rPr>
            </w:pPr>
          </w:p>
        </w:tc>
        <w:tc>
          <w:tcPr>
            <w:tcW w:w="1211" w:type="dxa"/>
          </w:tcPr>
          <w:p w14:paraId="2469CE77">
            <w:pPr>
              <w:autoSpaceDE w:val="0"/>
              <w:autoSpaceDN w:val="0"/>
              <w:jc w:val="left"/>
              <w:rPr>
                <w:rFonts w:ascii="宋体" w:hAnsi="宋体" w:cs="宋体"/>
                <w:color w:val="auto"/>
                <w:sz w:val="22"/>
                <w:szCs w:val="22"/>
                <w:lang w:val="zh-CN" w:bidi="zh-CN"/>
              </w:rPr>
            </w:pPr>
          </w:p>
        </w:tc>
        <w:tc>
          <w:tcPr>
            <w:tcW w:w="1379" w:type="dxa"/>
          </w:tcPr>
          <w:p w14:paraId="0A226873">
            <w:pPr>
              <w:autoSpaceDE w:val="0"/>
              <w:autoSpaceDN w:val="0"/>
              <w:jc w:val="left"/>
              <w:rPr>
                <w:rFonts w:ascii="宋体" w:hAnsi="宋体" w:cs="宋体"/>
                <w:color w:val="auto"/>
                <w:sz w:val="22"/>
                <w:szCs w:val="22"/>
                <w:lang w:val="zh-CN" w:bidi="zh-CN"/>
              </w:rPr>
            </w:pPr>
          </w:p>
        </w:tc>
        <w:tc>
          <w:tcPr>
            <w:tcW w:w="1465" w:type="dxa"/>
          </w:tcPr>
          <w:p w14:paraId="650DC69D">
            <w:pPr>
              <w:autoSpaceDE w:val="0"/>
              <w:autoSpaceDN w:val="0"/>
              <w:jc w:val="left"/>
              <w:rPr>
                <w:rFonts w:ascii="宋体" w:hAnsi="宋体" w:cs="宋体"/>
                <w:color w:val="auto"/>
                <w:sz w:val="22"/>
                <w:szCs w:val="22"/>
                <w:lang w:val="zh-CN" w:bidi="zh-CN"/>
              </w:rPr>
            </w:pPr>
          </w:p>
        </w:tc>
        <w:tc>
          <w:tcPr>
            <w:tcW w:w="1465" w:type="dxa"/>
          </w:tcPr>
          <w:p w14:paraId="5C894FC6">
            <w:pPr>
              <w:autoSpaceDE w:val="0"/>
              <w:autoSpaceDN w:val="0"/>
              <w:jc w:val="left"/>
              <w:rPr>
                <w:rFonts w:ascii="宋体" w:hAnsi="宋体" w:cs="宋体"/>
                <w:color w:val="auto"/>
                <w:sz w:val="22"/>
                <w:szCs w:val="22"/>
                <w:lang w:val="zh-CN" w:bidi="zh-CN"/>
              </w:rPr>
            </w:pPr>
          </w:p>
        </w:tc>
        <w:tc>
          <w:tcPr>
            <w:tcW w:w="1177" w:type="dxa"/>
          </w:tcPr>
          <w:p w14:paraId="1AC6377F">
            <w:pPr>
              <w:autoSpaceDE w:val="0"/>
              <w:autoSpaceDN w:val="0"/>
              <w:jc w:val="left"/>
              <w:rPr>
                <w:rFonts w:ascii="宋体" w:hAnsi="宋体" w:cs="宋体"/>
                <w:color w:val="auto"/>
                <w:sz w:val="22"/>
                <w:szCs w:val="22"/>
                <w:lang w:val="zh-CN" w:bidi="zh-CN"/>
              </w:rPr>
            </w:pPr>
          </w:p>
        </w:tc>
        <w:tc>
          <w:tcPr>
            <w:tcW w:w="1359" w:type="dxa"/>
          </w:tcPr>
          <w:p w14:paraId="414BD170">
            <w:pPr>
              <w:autoSpaceDE w:val="0"/>
              <w:autoSpaceDN w:val="0"/>
              <w:jc w:val="left"/>
              <w:rPr>
                <w:rFonts w:ascii="宋体" w:hAnsi="宋体" w:cs="宋体"/>
                <w:color w:val="auto"/>
                <w:sz w:val="22"/>
                <w:szCs w:val="22"/>
                <w:lang w:val="zh-CN" w:bidi="zh-CN"/>
              </w:rPr>
            </w:pPr>
          </w:p>
        </w:tc>
        <w:tc>
          <w:tcPr>
            <w:tcW w:w="817" w:type="dxa"/>
          </w:tcPr>
          <w:p w14:paraId="14AE8869">
            <w:pPr>
              <w:autoSpaceDE w:val="0"/>
              <w:autoSpaceDN w:val="0"/>
              <w:jc w:val="left"/>
              <w:rPr>
                <w:rFonts w:ascii="宋体" w:hAnsi="宋体" w:cs="宋体"/>
                <w:color w:val="auto"/>
                <w:sz w:val="22"/>
                <w:szCs w:val="22"/>
                <w:lang w:val="zh-CN" w:bidi="zh-CN"/>
              </w:rPr>
            </w:pPr>
          </w:p>
        </w:tc>
        <w:tc>
          <w:tcPr>
            <w:tcW w:w="1132" w:type="dxa"/>
          </w:tcPr>
          <w:p w14:paraId="06B3EC01">
            <w:pPr>
              <w:autoSpaceDE w:val="0"/>
              <w:autoSpaceDN w:val="0"/>
              <w:jc w:val="left"/>
              <w:rPr>
                <w:rFonts w:ascii="宋体" w:hAnsi="宋体" w:cs="宋体"/>
                <w:color w:val="auto"/>
                <w:sz w:val="22"/>
                <w:szCs w:val="22"/>
                <w:lang w:val="zh-CN" w:bidi="zh-CN"/>
              </w:rPr>
            </w:pPr>
          </w:p>
        </w:tc>
        <w:tc>
          <w:tcPr>
            <w:tcW w:w="1543" w:type="dxa"/>
          </w:tcPr>
          <w:p w14:paraId="3F719D42">
            <w:pPr>
              <w:autoSpaceDE w:val="0"/>
              <w:autoSpaceDN w:val="0"/>
              <w:jc w:val="left"/>
              <w:rPr>
                <w:rFonts w:ascii="宋体" w:hAnsi="宋体" w:cs="宋体"/>
                <w:color w:val="auto"/>
                <w:sz w:val="22"/>
                <w:szCs w:val="22"/>
                <w:lang w:val="zh-CN" w:bidi="zh-CN"/>
              </w:rPr>
            </w:pPr>
          </w:p>
        </w:tc>
      </w:tr>
      <w:tr w14:paraId="407EAA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6" w:hRule="atLeast"/>
        </w:trPr>
        <w:tc>
          <w:tcPr>
            <w:tcW w:w="1058" w:type="dxa"/>
          </w:tcPr>
          <w:p w14:paraId="2546E0DC">
            <w:pPr>
              <w:autoSpaceDE w:val="0"/>
              <w:autoSpaceDN w:val="0"/>
              <w:spacing w:before="16"/>
              <w:jc w:val="left"/>
              <w:rPr>
                <w:rFonts w:ascii="宋体" w:hAnsi="宋体" w:cs="宋体"/>
                <w:b/>
                <w:color w:val="auto"/>
                <w:sz w:val="14"/>
                <w:szCs w:val="22"/>
                <w:lang w:val="zh-CN" w:bidi="zh-CN"/>
              </w:rPr>
            </w:pPr>
          </w:p>
          <w:p w14:paraId="2B2D24E0">
            <w:pPr>
              <w:autoSpaceDE w:val="0"/>
              <w:autoSpaceDN w:val="0"/>
              <w:ind w:left="7"/>
              <w:jc w:val="center"/>
              <w:rPr>
                <w:rFonts w:ascii="宋体" w:hAnsi="宋体" w:cs="宋体"/>
                <w:b/>
                <w:color w:val="auto"/>
                <w:szCs w:val="22"/>
                <w:lang w:val="zh-CN" w:bidi="zh-CN"/>
              </w:rPr>
            </w:pPr>
            <w:r>
              <w:rPr>
                <w:rFonts w:hint="eastAsia" w:ascii="宋体" w:hAnsi="宋体" w:cs="宋体"/>
                <w:b/>
                <w:color w:val="auto"/>
                <w:szCs w:val="22"/>
                <w:lang w:val="zh-CN" w:bidi="zh-CN"/>
              </w:rPr>
              <w:t>3</w:t>
            </w:r>
          </w:p>
        </w:tc>
        <w:tc>
          <w:tcPr>
            <w:tcW w:w="2368" w:type="dxa"/>
            <w:gridSpan w:val="2"/>
          </w:tcPr>
          <w:p w14:paraId="7DEC6DC1">
            <w:pPr>
              <w:autoSpaceDE w:val="0"/>
              <w:autoSpaceDN w:val="0"/>
              <w:jc w:val="left"/>
              <w:rPr>
                <w:rFonts w:ascii="宋体" w:hAnsi="宋体" w:cs="宋体"/>
                <w:color w:val="auto"/>
                <w:sz w:val="22"/>
                <w:szCs w:val="22"/>
                <w:lang w:val="zh-CN" w:bidi="zh-CN"/>
              </w:rPr>
            </w:pPr>
          </w:p>
        </w:tc>
        <w:tc>
          <w:tcPr>
            <w:tcW w:w="1211" w:type="dxa"/>
          </w:tcPr>
          <w:p w14:paraId="723B70C8">
            <w:pPr>
              <w:autoSpaceDE w:val="0"/>
              <w:autoSpaceDN w:val="0"/>
              <w:jc w:val="left"/>
              <w:rPr>
                <w:rFonts w:ascii="宋体" w:hAnsi="宋体" w:cs="宋体"/>
                <w:color w:val="auto"/>
                <w:sz w:val="22"/>
                <w:szCs w:val="22"/>
                <w:lang w:val="zh-CN" w:bidi="zh-CN"/>
              </w:rPr>
            </w:pPr>
          </w:p>
        </w:tc>
        <w:tc>
          <w:tcPr>
            <w:tcW w:w="1379" w:type="dxa"/>
          </w:tcPr>
          <w:p w14:paraId="6D62A99B">
            <w:pPr>
              <w:autoSpaceDE w:val="0"/>
              <w:autoSpaceDN w:val="0"/>
              <w:jc w:val="left"/>
              <w:rPr>
                <w:rFonts w:ascii="宋体" w:hAnsi="宋体" w:cs="宋体"/>
                <w:color w:val="auto"/>
                <w:sz w:val="22"/>
                <w:szCs w:val="22"/>
                <w:lang w:val="zh-CN" w:bidi="zh-CN"/>
              </w:rPr>
            </w:pPr>
          </w:p>
        </w:tc>
        <w:tc>
          <w:tcPr>
            <w:tcW w:w="1465" w:type="dxa"/>
          </w:tcPr>
          <w:p w14:paraId="7D11905F">
            <w:pPr>
              <w:autoSpaceDE w:val="0"/>
              <w:autoSpaceDN w:val="0"/>
              <w:jc w:val="left"/>
              <w:rPr>
                <w:rFonts w:ascii="宋体" w:hAnsi="宋体" w:cs="宋体"/>
                <w:color w:val="auto"/>
                <w:sz w:val="22"/>
                <w:szCs w:val="22"/>
                <w:lang w:val="zh-CN" w:bidi="zh-CN"/>
              </w:rPr>
            </w:pPr>
          </w:p>
        </w:tc>
        <w:tc>
          <w:tcPr>
            <w:tcW w:w="1465" w:type="dxa"/>
          </w:tcPr>
          <w:p w14:paraId="25DC9076">
            <w:pPr>
              <w:autoSpaceDE w:val="0"/>
              <w:autoSpaceDN w:val="0"/>
              <w:jc w:val="left"/>
              <w:rPr>
                <w:rFonts w:ascii="宋体" w:hAnsi="宋体" w:cs="宋体"/>
                <w:color w:val="auto"/>
                <w:sz w:val="22"/>
                <w:szCs w:val="22"/>
                <w:lang w:val="zh-CN" w:bidi="zh-CN"/>
              </w:rPr>
            </w:pPr>
          </w:p>
        </w:tc>
        <w:tc>
          <w:tcPr>
            <w:tcW w:w="1177" w:type="dxa"/>
          </w:tcPr>
          <w:p w14:paraId="199ED3C3">
            <w:pPr>
              <w:autoSpaceDE w:val="0"/>
              <w:autoSpaceDN w:val="0"/>
              <w:jc w:val="left"/>
              <w:rPr>
                <w:rFonts w:ascii="宋体" w:hAnsi="宋体" w:cs="宋体"/>
                <w:color w:val="auto"/>
                <w:sz w:val="22"/>
                <w:szCs w:val="22"/>
                <w:lang w:val="zh-CN" w:bidi="zh-CN"/>
              </w:rPr>
            </w:pPr>
          </w:p>
        </w:tc>
        <w:tc>
          <w:tcPr>
            <w:tcW w:w="1359" w:type="dxa"/>
          </w:tcPr>
          <w:p w14:paraId="7D2EB1F5">
            <w:pPr>
              <w:autoSpaceDE w:val="0"/>
              <w:autoSpaceDN w:val="0"/>
              <w:jc w:val="left"/>
              <w:rPr>
                <w:rFonts w:ascii="宋体" w:hAnsi="宋体" w:cs="宋体"/>
                <w:color w:val="auto"/>
                <w:sz w:val="22"/>
                <w:szCs w:val="22"/>
                <w:lang w:val="zh-CN" w:bidi="zh-CN"/>
              </w:rPr>
            </w:pPr>
          </w:p>
        </w:tc>
        <w:tc>
          <w:tcPr>
            <w:tcW w:w="817" w:type="dxa"/>
          </w:tcPr>
          <w:p w14:paraId="036E0735">
            <w:pPr>
              <w:autoSpaceDE w:val="0"/>
              <w:autoSpaceDN w:val="0"/>
              <w:jc w:val="left"/>
              <w:rPr>
                <w:rFonts w:ascii="宋体" w:hAnsi="宋体" w:cs="宋体"/>
                <w:color w:val="auto"/>
                <w:sz w:val="22"/>
                <w:szCs w:val="22"/>
                <w:lang w:val="zh-CN" w:bidi="zh-CN"/>
              </w:rPr>
            </w:pPr>
          </w:p>
        </w:tc>
        <w:tc>
          <w:tcPr>
            <w:tcW w:w="1132" w:type="dxa"/>
          </w:tcPr>
          <w:p w14:paraId="2F1731D4">
            <w:pPr>
              <w:autoSpaceDE w:val="0"/>
              <w:autoSpaceDN w:val="0"/>
              <w:jc w:val="left"/>
              <w:rPr>
                <w:rFonts w:ascii="宋体" w:hAnsi="宋体" w:cs="宋体"/>
                <w:color w:val="auto"/>
                <w:sz w:val="22"/>
                <w:szCs w:val="22"/>
                <w:lang w:val="zh-CN" w:bidi="zh-CN"/>
              </w:rPr>
            </w:pPr>
          </w:p>
        </w:tc>
        <w:tc>
          <w:tcPr>
            <w:tcW w:w="1543" w:type="dxa"/>
          </w:tcPr>
          <w:p w14:paraId="27DF66FC">
            <w:pPr>
              <w:autoSpaceDE w:val="0"/>
              <w:autoSpaceDN w:val="0"/>
              <w:jc w:val="left"/>
              <w:rPr>
                <w:rFonts w:ascii="宋体" w:hAnsi="宋体" w:cs="宋体"/>
                <w:color w:val="auto"/>
                <w:sz w:val="22"/>
                <w:szCs w:val="22"/>
                <w:lang w:val="zh-CN" w:bidi="zh-CN"/>
              </w:rPr>
            </w:pPr>
          </w:p>
        </w:tc>
      </w:tr>
      <w:tr w14:paraId="624AA5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8" w:hRule="atLeast"/>
        </w:trPr>
        <w:tc>
          <w:tcPr>
            <w:tcW w:w="12299" w:type="dxa"/>
            <w:gridSpan w:val="10"/>
          </w:tcPr>
          <w:p w14:paraId="566507EE">
            <w:pPr>
              <w:tabs>
                <w:tab w:val="left" w:pos="855"/>
              </w:tabs>
              <w:autoSpaceDE w:val="0"/>
              <w:autoSpaceDN w:val="0"/>
              <w:spacing w:before="126"/>
              <w:ind w:left="16"/>
              <w:jc w:val="center"/>
              <w:rPr>
                <w:rFonts w:ascii="宋体" w:hAnsi="宋体" w:cs="宋体"/>
                <w:b/>
                <w:color w:val="auto"/>
                <w:sz w:val="28"/>
                <w:szCs w:val="22"/>
                <w:lang w:val="zh-CN" w:bidi="zh-CN"/>
              </w:rPr>
            </w:pPr>
            <w:r>
              <w:rPr>
                <w:rFonts w:hint="eastAsia" w:ascii="宋体" w:hAnsi="宋体" w:cs="宋体"/>
                <w:b/>
                <w:color w:val="auto"/>
                <w:sz w:val="28"/>
                <w:szCs w:val="22"/>
                <w:lang w:val="zh-CN" w:bidi="zh-CN"/>
              </w:rPr>
              <w:t>合</w:t>
            </w:r>
            <w:r>
              <w:rPr>
                <w:rFonts w:hint="eastAsia" w:ascii="宋体" w:hAnsi="宋体" w:cs="宋体"/>
                <w:b/>
                <w:color w:val="auto"/>
                <w:sz w:val="28"/>
                <w:szCs w:val="22"/>
                <w:lang w:val="zh-CN" w:bidi="zh-CN"/>
              </w:rPr>
              <w:tab/>
            </w:r>
            <w:r>
              <w:rPr>
                <w:rFonts w:hint="eastAsia" w:ascii="宋体" w:hAnsi="宋体" w:cs="宋体"/>
                <w:b/>
                <w:color w:val="auto"/>
                <w:sz w:val="28"/>
                <w:szCs w:val="22"/>
                <w:lang w:val="zh-CN" w:bidi="zh-CN"/>
              </w:rPr>
              <w:t>计</w:t>
            </w:r>
          </w:p>
        </w:tc>
        <w:tc>
          <w:tcPr>
            <w:tcW w:w="1132" w:type="dxa"/>
          </w:tcPr>
          <w:p w14:paraId="7CEE11B2">
            <w:pPr>
              <w:autoSpaceDE w:val="0"/>
              <w:autoSpaceDN w:val="0"/>
              <w:jc w:val="left"/>
              <w:rPr>
                <w:rFonts w:ascii="宋体" w:hAnsi="宋体" w:cs="宋体"/>
                <w:color w:val="auto"/>
                <w:sz w:val="22"/>
                <w:szCs w:val="22"/>
                <w:lang w:val="zh-CN" w:bidi="zh-CN"/>
              </w:rPr>
            </w:pPr>
          </w:p>
        </w:tc>
        <w:tc>
          <w:tcPr>
            <w:tcW w:w="1543" w:type="dxa"/>
          </w:tcPr>
          <w:p w14:paraId="5429CA81">
            <w:pPr>
              <w:autoSpaceDE w:val="0"/>
              <w:autoSpaceDN w:val="0"/>
              <w:jc w:val="left"/>
              <w:rPr>
                <w:rFonts w:ascii="宋体" w:hAnsi="宋体" w:cs="宋体"/>
                <w:color w:val="auto"/>
                <w:sz w:val="22"/>
                <w:szCs w:val="22"/>
                <w:lang w:val="zh-CN" w:bidi="zh-CN"/>
              </w:rPr>
            </w:pPr>
          </w:p>
        </w:tc>
      </w:tr>
    </w:tbl>
    <w:p w14:paraId="64CE7655">
      <w:pPr>
        <w:autoSpaceDE w:val="0"/>
        <w:autoSpaceDN w:val="0"/>
        <w:jc w:val="left"/>
        <w:rPr>
          <w:rFonts w:ascii="宋体" w:hAnsi="宋体" w:cs="宋体"/>
          <w:b/>
          <w:color w:val="auto"/>
          <w:sz w:val="30"/>
          <w:lang w:val="zh-CN" w:bidi="zh-CN"/>
        </w:rPr>
      </w:pPr>
    </w:p>
    <w:p w14:paraId="5F9E8726">
      <w:pPr>
        <w:autoSpaceDE w:val="0"/>
        <w:autoSpaceDN w:val="0"/>
        <w:spacing w:before="10"/>
        <w:jc w:val="left"/>
        <w:rPr>
          <w:rFonts w:ascii="宋体" w:hAnsi="宋体" w:cs="宋体"/>
          <w:b/>
          <w:color w:val="auto"/>
          <w:sz w:val="16"/>
          <w:lang w:val="zh-CN" w:bidi="zh-CN"/>
        </w:rPr>
      </w:pPr>
    </w:p>
    <w:p w14:paraId="5FB3A8B3">
      <w:pPr>
        <w:autoSpaceDE w:val="0"/>
        <w:autoSpaceDN w:val="0"/>
        <w:spacing w:before="1"/>
        <w:ind w:left="220"/>
        <w:jc w:val="left"/>
        <w:rPr>
          <w:rFonts w:ascii="宋体" w:hAnsi="宋体" w:cs="宋体"/>
          <w:b/>
          <w:bCs/>
          <w:color w:val="auto"/>
          <w:sz w:val="24"/>
          <w:lang w:val="zh-CN" w:bidi="zh-CN"/>
        </w:rPr>
      </w:pPr>
      <w:r>
        <w:rPr>
          <w:rFonts w:hint="eastAsia" w:ascii="宋体" w:hAnsi="宋体" w:cs="宋体"/>
          <w:b/>
          <w:bCs/>
          <w:color w:val="auto"/>
          <w:sz w:val="24"/>
          <w:lang w:val="zh-CN" w:bidi="zh-CN"/>
        </w:rPr>
        <w:t>要求：</w:t>
      </w:r>
    </w:p>
    <w:p w14:paraId="0A5BCA73">
      <w:pPr>
        <w:tabs>
          <w:tab w:val="left" w:pos="468"/>
        </w:tabs>
        <w:autoSpaceDE w:val="0"/>
        <w:autoSpaceDN w:val="0"/>
        <w:spacing w:before="182" w:line="377" w:lineRule="exact"/>
        <w:ind w:left="219" w:hanging="181"/>
        <w:jc w:val="left"/>
        <w:rPr>
          <w:rFonts w:ascii="宋体" w:hAnsi="宋体" w:cs="宋体"/>
          <w:b/>
          <w:color w:val="auto"/>
          <w:sz w:val="24"/>
          <w:szCs w:val="22"/>
          <w:lang w:val="zh-CN" w:bidi="zh-CN"/>
        </w:rPr>
      </w:pPr>
      <w:r>
        <w:rPr>
          <w:rFonts w:hint="eastAsia" w:ascii="宋体" w:hAnsi="宋体" w:cs="宋体"/>
          <w:b/>
          <w:color w:val="auto"/>
          <w:sz w:val="24"/>
          <w:szCs w:val="22"/>
          <w:lang w:bidi="zh-CN"/>
        </w:rPr>
        <w:t>1.本页需</w:t>
      </w:r>
      <w:r>
        <w:rPr>
          <w:rFonts w:hint="eastAsia" w:ascii="宋体" w:hAnsi="宋体" w:cs="宋体"/>
          <w:b/>
          <w:color w:val="auto"/>
          <w:sz w:val="24"/>
          <w:szCs w:val="22"/>
          <w:lang w:val="zh-CN" w:bidi="zh-CN"/>
        </w:rPr>
        <w:t>使用科室负责人签字；</w:t>
      </w:r>
    </w:p>
    <w:p w14:paraId="7E725512">
      <w:pPr>
        <w:tabs>
          <w:tab w:val="left" w:pos="532"/>
        </w:tabs>
        <w:autoSpaceDE w:val="0"/>
        <w:autoSpaceDN w:val="0"/>
        <w:spacing w:line="312" w:lineRule="exact"/>
        <w:ind w:left="220" w:hanging="181"/>
        <w:jc w:val="left"/>
        <w:rPr>
          <w:rFonts w:ascii="宋体" w:hAnsi="宋体" w:cs="宋体"/>
          <w:b/>
          <w:color w:val="auto"/>
          <w:sz w:val="24"/>
          <w:szCs w:val="22"/>
          <w:lang w:val="zh-CN" w:bidi="zh-CN"/>
        </w:rPr>
      </w:pPr>
      <w:r>
        <w:rPr>
          <w:rFonts w:hint="eastAsia" w:ascii="宋体" w:hAnsi="宋体" w:cs="宋体"/>
          <w:b/>
          <w:color w:val="auto"/>
          <w:sz w:val="24"/>
          <w:szCs w:val="22"/>
          <w:lang w:bidi="zh-CN"/>
        </w:rPr>
        <w:t>2.</w:t>
      </w:r>
      <w:r>
        <w:rPr>
          <w:rFonts w:hint="eastAsia" w:ascii="宋体" w:hAnsi="宋体" w:cs="宋体"/>
          <w:b/>
          <w:color w:val="auto"/>
          <w:sz w:val="24"/>
          <w:szCs w:val="22"/>
          <w:lang w:val="zh-CN" w:bidi="zh-CN"/>
        </w:rPr>
        <w:t>本页附公司盖章并加盖整套合同骑缝章；</w:t>
      </w:r>
    </w:p>
    <w:p w14:paraId="0AF13AE5">
      <w:pPr>
        <w:spacing w:line="377" w:lineRule="exact"/>
        <w:jc w:val="left"/>
        <w:rPr>
          <w:rFonts w:ascii="宋体" w:hAnsi="宋体" w:cs="宋体"/>
          <w:color w:val="auto"/>
          <w:sz w:val="24"/>
        </w:rPr>
        <w:sectPr>
          <w:headerReference r:id="rId6" w:type="default"/>
          <w:pgSz w:w="16838" w:h="11900" w:orient="landscape"/>
          <w:pgMar w:top="1678" w:right="1134" w:bottom="1559" w:left="680" w:header="879" w:footer="0" w:gutter="0"/>
          <w:cols w:space="0" w:num="1"/>
        </w:sectPr>
      </w:pPr>
    </w:p>
    <w:p w14:paraId="60196E68">
      <w:pPr>
        <w:autoSpaceDE w:val="0"/>
        <w:autoSpaceDN w:val="0"/>
        <w:spacing w:before="14"/>
        <w:jc w:val="left"/>
        <w:rPr>
          <w:rFonts w:ascii="宋体" w:hAnsi="宋体" w:cs="宋体"/>
          <w:b/>
          <w:color w:val="auto"/>
          <w:sz w:val="10"/>
          <w:lang w:val="zh-CN" w:bidi="zh-CN"/>
        </w:rPr>
      </w:pPr>
    </w:p>
    <w:p w14:paraId="4AAD7415">
      <w:pPr>
        <w:autoSpaceDE w:val="0"/>
        <w:autoSpaceDN w:val="0"/>
        <w:spacing w:line="538" w:lineRule="exact"/>
        <w:ind w:left="2773"/>
        <w:jc w:val="left"/>
        <w:rPr>
          <w:rFonts w:ascii="宋体" w:hAnsi="宋体" w:cs="宋体"/>
          <w:b/>
          <w:color w:val="auto"/>
          <w:kern w:val="0"/>
          <w:szCs w:val="22"/>
          <w:lang w:val="zh-CN" w:bidi="zh-CN"/>
        </w:rPr>
      </w:pPr>
      <w:r>
        <w:rPr>
          <w:rFonts w:hint="eastAsia" w:ascii="宋体" w:hAnsi="宋体" w:cs="宋体"/>
          <w:b/>
          <w:color w:val="auto"/>
          <w:kern w:val="0"/>
          <w:sz w:val="44"/>
          <w:szCs w:val="44"/>
          <w:lang w:val="zh-CN" w:bidi="zh-CN"/>
        </w:rPr>
        <w:t xml:space="preserve">配 件 清 单 </w:t>
      </w:r>
      <w:r>
        <w:rPr>
          <w:rFonts w:hint="eastAsia" w:ascii="宋体" w:hAnsi="宋体" w:cs="宋体"/>
          <w:b/>
          <w:color w:val="auto"/>
          <w:kern w:val="0"/>
          <w:szCs w:val="22"/>
          <w:lang w:val="zh-CN" w:bidi="zh-CN"/>
        </w:rPr>
        <w:t>（模板，如有）（请公司依此制作）</w:t>
      </w:r>
    </w:p>
    <w:p w14:paraId="7B4B3479">
      <w:pPr>
        <w:autoSpaceDE w:val="0"/>
        <w:autoSpaceDN w:val="0"/>
        <w:spacing w:before="17"/>
        <w:jc w:val="left"/>
        <w:rPr>
          <w:rFonts w:ascii="宋体" w:hAnsi="宋体" w:cs="宋体"/>
          <w:b/>
          <w:color w:val="auto"/>
          <w:sz w:val="18"/>
          <w:lang w:val="zh-CN" w:bidi="zh-CN"/>
        </w:rPr>
      </w:pPr>
    </w:p>
    <w:p w14:paraId="0F2906E9">
      <w:pPr>
        <w:autoSpaceDE w:val="0"/>
        <w:autoSpaceDN w:val="0"/>
        <w:jc w:val="left"/>
        <w:rPr>
          <w:rFonts w:ascii="宋体" w:hAnsi="宋体" w:cs="宋体"/>
          <w:b/>
          <w:color w:val="auto"/>
          <w:sz w:val="20"/>
          <w:lang w:val="zh-CN" w:bidi="zh-CN"/>
        </w:rPr>
      </w:pPr>
    </w:p>
    <w:tbl>
      <w:tblPr>
        <w:tblStyle w:val="41"/>
        <w:tblpPr w:leftFromText="180" w:rightFromText="180" w:vertAnchor="text" w:horzAnchor="page" w:tblpXSpec="center" w:tblpY="5"/>
        <w:tblOverlap w:val="neve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96"/>
        <w:gridCol w:w="1452"/>
        <w:gridCol w:w="1620"/>
        <w:gridCol w:w="1383"/>
        <w:gridCol w:w="1514"/>
        <w:gridCol w:w="1459"/>
      </w:tblGrid>
      <w:tr w14:paraId="6FC401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3" w:hRule="atLeast"/>
          <w:jc w:val="center"/>
        </w:trPr>
        <w:tc>
          <w:tcPr>
            <w:tcW w:w="996" w:type="dxa"/>
            <w:vAlign w:val="center"/>
          </w:tcPr>
          <w:p w14:paraId="33FAE359">
            <w:pPr>
              <w:autoSpaceDE w:val="0"/>
              <w:autoSpaceDN w:val="0"/>
              <w:spacing w:before="18"/>
              <w:jc w:val="center"/>
              <w:rPr>
                <w:rFonts w:ascii="宋体" w:hAnsi="宋体" w:cs="宋体"/>
                <w:b/>
                <w:color w:val="auto"/>
                <w:sz w:val="20"/>
                <w:szCs w:val="20"/>
                <w:lang w:val="zh-CN" w:bidi="zh-CN"/>
              </w:rPr>
            </w:pPr>
          </w:p>
          <w:p w14:paraId="3AF0AAD8">
            <w:pPr>
              <w:autoSpaceDE w:val="0"/>
              <w:autoSpaceDN w:val="0"/>
              <w:ind w:left="254"/>
              <w:jc w:val="center"/>
              <w:rPr>
                <w:rFonts w:ascii="宋体" w:hAnsi="宋体" w:cs="宋体"/>
                <w:b/>
                <w:color w:val="auto"/>
                <w:sz w:val="20"/>
                <w:szCs w:val="20"/>
                <w:lang w:val="zh-CN" w:bidi="zh-CN"/>
              </w:rPr>
            </w:pPr>
            <w:r>
              <w:rPr>
                <w:rFonts w:hint="eastAsia" w:ascii="宋体" w:hAnsi="宋体" w:cs="宋体"/>
                <w:b/>
                <w:color w:val="auto"/>
                <w:sz w:val="20"/>
                <w:szCs w:val="20"/>
                <w:lang w:val="zh-CN" w:bidi="zh-CN"/>
              </w:rPr>
              <w:t>序 号</w:t>
            </w:r>
          </w:p>
        </w:tc>
        <w:tc>
          <w:tcPr>
            <w:tcW w:w="1452" w:type="dxa"/>
            <w:vAlign w:val="center"/>
          </w:tcPr>
          <w:p w14:paraId="3DD6EE52">
            <w:pPr>
              <w:autoSpaceDE w:val="0"/>
              <w:autoSpaceDN w:val="0"/>
              <w:spacing w:before="67" w:line="377" w:lineRule="exact"/>
              <w:ind w:left="539"/>
              <w:jc w:val="center"/>
              <w:rPr>
                <w:rFonts w:ascii="宋体" w:hAnsi="宋体" w:cs="宋体"/>
                <w:b/>
                <w:color w:val="auto"/>
                <w:sz w:val="20"/>
                <w:szCs w:val="20"/>
                <w:lang w:val="zh-CN" w:bidi="zh-CN"/>
              </w:rPr>
            </w:pPr>
            <w:r>
              <w:rPr>
                <w:rFonts w:hint="eastAsia" w:ascii="宋体" w:hAnsi="宋体" w:cs="宋体"/>
                <w:b/>
                <w:color w:val="auto"/>
                <w:sz w:val="20"/>
                <w:szCs w:val="20"/>
                <w:lang w:val="zh-CN" w:bidi="zh-CN"/>
              </w:rPr>
              <w:t>设  备</w:t>
            </w:r>
          </w:p>
          <w:p w14:paraId="79818F0F">
            <w:pPr>
              <w:autoSpaceDE w:val="0"/>
              <w:autoSpaceDN w:val="0"/>
              <w:spacing w:line="377" w:lineRule="exact"/>
              <w:ind w:left="539"/>
              <w:jc w:val="center"/>
              <w:rPr>
                <w:rFonts w:ascii="宋体" w:hAnsi="宋体" w:cs="宋体"/>
                <w:b/>
                <w:color w:val="auto"/>
                <w:sz w:val="20"/>
                <w:szCs w:val="20"/>
                <w:lang w:val="zh-CN" w:bidi="zh-CN"/>
              </w:rPr>
            </w:pPr>
            <w:r>
              <w:rPr>
                <w:rFonts w:hint="eastAsia" w:ascii="宋体" w:hAnsi="宋体" w:cs="宋体"/>
                <w:b/>
                <w:color w:val="auto"/>
                <w:sz w:val="20"/>
                <w:szCs w:val="20"/>
                <w:lang w:val="zh-CN" w:bidi="zh-CN"/>
              </w:rPr>
              <w:t>名  称</w:t>
            </w:r>
          </w:p>
        </w:tc>
        <w:tc>
          <w:tcPr>
            <w:tcW w:w="1620" w:type="dxa"/>
            <w:vAlign w:val="center"/>
          </w:tcPr>
          <w:p w14:paraId="7A5A3964">
            <w:pPr>
              <w:autoSpaceDE w:val="0"/>
              <w:autoSpaceDN w:val="0"/>
              <w:spacing w:before="18"/>
              <w:rPr>
                <w:rFonts w:ascii="宋体" w:hAnsi="宋体" w:cs="宋体"/>
                <w:b/>
                <w:color w:val="auto"/>
                <w:sz w:val="20"/>
                <w:szCs w:val="20"/>
                <w:lang w:val="zh-CN" w:bidi="zh-CN"/>
              </w:rPr>
            </w:pPr>
          </w:p>
          <w:p w14:paraId="7258B6C6">
            <w:pPr>
              <w:autoSpaceDE w:val="0"/>
              <w:autoSpaceDN w:val="0"/>
              <w:ind w:left="623"/>
              <w:rPr>
                <w:rFonts w:ascii="宋体" w:hAnsi="宋体" w:cs="宋体"/>
                <w:b/>
                <w:color w:val="auto"/>
                <w:sz w:val="20"/>
                <w:szCs w:val="20"/>
                <w:lang w:val="zh-CN" w:bidi="zh-CN"/>
              </w:rPr>
            </w:pPr>
            <w:r>
              <w:rPr>
                <w:rFonts w:hint="eastAsia" w:ascii="宋体" w:hAnsi="宋体" w:cs="宋体"/>
                <w:b/>
                <w:color w:val="auto"/>
                <w:sz w:val="20"/>
                <w:szCs w:val="20"/>
                <w:lang w:val="zh-CN" w:bidi="zh-CN"/>
              </w:rPr>
              <w:t>产 地</w:t>
            </w:r>
          </w:p>
        </w:tc>
        <w:tc>
          <w:tcPr>
            <w:tcW w:w="1383" w:type="dxa"/>
            <w:vAlign w:val="center"/>
          </w:tcPr>
          <w:p w14:paraId="5068B719">
            <w:pPr>
              <w:autoSpaceDE w:val="0"/>
              <w:autoSpaceDN w:val="0"/>
              <w:spacing w:before="18"/>
              <w:jc w:val="center"/>
              <w:rPr>
                <w:rFonts w:ascii="宋体" w:hAnsi="宋体" w:cs="宋体"/>
                <w:b/>
                <w:color w:val="auto"/>
                <w:sz w:val="20"/>
                <w:szCs w:val="20"/>
                <w:lang w:val="zh-CN" w:bidi="zh-CN"/>
              </w:rPr>
            </w:pPr>
          </w:p>
          <w:p w14:paraId="5C452CF2">
            <w:pPr>
              <w:autoSpaceDE w:val="0"/>
              <w:autoSpaceDN w:val="0"/>
              <w:ind w:left="460"/>
              <w:rPr>
                <w:rFonts w:ascii="宋体" w:hAnsi="宋体" w:cs="宋体"/>
                <w:b/>
                <w:color w:val="auto"/>
                <w:sz w:val="20"/>
                <w:szCs w:val="20"/>
                <w:lang w:val="zh-CN" w:bidi="zh-CN"/>
              </w:rPr>
            </w:pPr>
            <w:r>
              <w:rPr>
                <w:rFonts w:hint="eastAsia" w:ascii="宋体" w:hAnsi="宋体" w:cs="宋体"/>
                <w:b/>
                <w:color w:val="auto"/>
                <w:sz w:val="20"/>
                <w:szCs w:val="20"/>
                <w:lang w:val="zh-CN" w:bidi="zh-CN"/>
              </w:rPr>
              <w:t>品 牌</w:t>
            </w:r>
          </w:p>
        </w:tc>
        <w:tc>
          <w:tcPr>
            <w:tcW w:w="1514" w:type="dxa"/>
            <w:vAlign w:val="center"/>
          </w:tcPr>
          <w:p w14:paraId="64DA2B36">
            <w:pPr>
              <w:autoSpaceDE w:val="0"/>
              <w:autoSpaceDN w:val="0"/>
              <w:spacing w:before="18"/>
              <w:jc w:val="center"/>
              <w:rPr>
                <w:rFonts w:ascii="宋体" w:hAnsi="宋体" w:cs="宋体"/>
                <w:b/>
                <w:color w:val="auto"/>
                <w:sz w:val="20"/>
                <w:szCs w:val="20"/>
                <w:lang w:val="zh-CN" w:bidi="zh-CN"/>
              </w:rPr>
            </w:pPr>
          </w:p>
          <w:p w14:paraId="20B894A8">
            <w:pPr>
              <w:tabs>
                <w:tab w:val="left" w:pos="589"/>
              </w:tabs>
              <w:autoSpaceDE w:val="0"/>
              <w:autoSpaceDN w:val="0"/>
              <w:ind w:left="107"/>
              <w:jc w:val="center"/>
              <w:rPr>
                <w:rFonts w:ascii="宋体" w:hAnsi="宋体" w:cs="宋体"/>
                <w:b/>
                <w:color w:val="auto"/>
                <w:sz w:val="20"/>
                <w:szCs w:val="20"/>
                <w:lang w:val="zh-CN" w:bidi="zh-CN"/>
              </w:rPr>
            </w:pPr>
            <w:r>
              <w:rPr>
                <w:rFonts w:hint="eastAsia" w:ascii="宋体" w:hAnsi="宋体" w:cs="宋体"/>
                <w:b/>
                <w:color w:val="auto"/>
                <w:sz w:val="20"/>
                <w:szCs w:val="20"/>
                <w:lang w:val="zh-CN" w:bidi="zh-CN"/>
              </w:rPr>
              <w:t>型</w:t>
            </w:r>
            <w:r>
              <w:rPr>
                <w:rFonts w:hint="eastAsia" w:ascii="宋体" w:hAnsi="宋体" w:cs="宋体"/>
                <w:b/>
                <w:color w:val="auto"/>
                <w:sz w:val="20"/>
                <w:szCs w:val="20"/>
                <w:lang w:val="zh-CN" w:bidi="zh-CN"/>
              </w:rPr>
              <w:tab/>
            </w:r>
            <w:r>
              <w:rPr>
                <w:rFonts w:hint="eastAsia" w:ascii="宋体" w:hAnsi="宋体" w:cs="宋体"/>
                <w:b/>
                <w:color w:val="auto"/>
                <w:sz w:val="20"/>
                <w:szCs w:val="20"/>
                <w:lang w:val="zh-CN" w:bidi="zh-CN"/>
              </w:rPr>
              <w:t>号</w:t>
            </w:r>
          </w:p>
        </w:tc>
        <w:tc>
          <w:tcPr>
            <w:tcW w:w="1459" w:type="dxa"/>
            <w:vAlign w:val="center"/>
          </w:tcPr>
          <w:p w14:paraId="642BA2EE">
            <w:pPr>
              <w:autoSpaceDE w:val="0"/>
              <w:autoSpaceDN w:val="0"/>
              <w:spacing w:before="18"/>
              <w:jc w:val="center"/>
              <w:rPr>
                <w:rFonts w:ascii="宋体" w:hAnsi="宋体" w:cs="宋体"/>
                <w:b/>
                <w:color w:val="auto"/>
                <w:sz w:val="20"/>
                <w:szCs w:val="20"/>
                <w:lang w:val="zh-CN" w:bidi="zh-CN"/>
              </w:rPr>
            </w:pPr>
          </w:p>
          <w:p w14:paraId="7916839C">
            <w:pPr>
              <w:autoSpaceDE w:val="0"/>
              <w:autoSpaceDN w:val="0"/>
              <w:ind w:left="106" w:firstLine="402" w:firstLineChars="200"/>
              <w:rPr>
                <w:rFonts w:ascii="宋体" w:hAnsi="宋体" w:cs="宋体"/>
                <w:b/>
                <w:color w:val="auto"/>
                <w:sz w:val="20"/>
                <w:szCs w:val="20"/>
                <w:lang w:val="zh-CN" w:bidi="zh-CN"/>
              </w:rPr>
            </w:pPr>
            <w:r>
              <w:rPr>
                <w:rFonts w:hint="eastAsia" w:ascii="宋体" w:hAnsi="宋体" w:cs="宋体"/>
                <w:b/>
                <w:color w:val="auto"/>
                <w:sz w:val="20"/>
                <w:szCs w:val="20"/>
                <w:lang w:val="zh-CN" w:bidi="zh-CN"/>
              </w:rPr>
              <w:t>数 量</w:t>
            </w:r>
          </w:p>
        </w:tc>
      </w:tr>
      <w:tr w14:paraId="4C042B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42" w:hRule="atLeast"/>
          <w:jc w:val="center"/>
        </w:trPr>
        <w:tc>
          <w:tcPr>
            <w:tcW w:w="996" w:type="dxa"/>
          </w:tcPr>
          <w:p w14:paraId="4D706DE1">
            <w:pPr>
              <w:autoSpaceDE w:val="0"/>
              <w:autoSpaceDN w:val="0"/>
              <w:jc w:val="left"/>
              <w:rPr>
                <w:rFonts w:ascii="宋体" w:hAnsi="宋体" w:cs="宋体"/>
                <w:b/>
                <w:color w:val="auto"/>
                <w:sz w:val="20"/>
                <w:szCs w:val="20"/>
                <w:lang w:val="zh-CN" w:bidi="zh-CN"/>
              </w:rPr>
            </w:pPr>
          </w:p>
          <w:p w14:paraId="6D344027">
            <w:pPr>
              <w:autoSpaceDE w:val="0"/>
              <w:autoSpaceDN w:val="0"/>
              <w:ind w:left="7"/>
              <w:jc w:val="center"/>
              <w:rPr>
                <w:rFonts w:ascii="宋体" w:hAnsi="宋体" w:cs="宋体"/>
                <w:color w:val="auto"/>
                <w:sz w:val="20"/>
                <w:szCs w:val="20"/>
                <w:lang w:val="zh-CN" w:bidi="zh-CN"/>
              </w:rPr>
            </w:pPr>
            <w:r>
              <w:rPr>
                <w:rFonts w:hint="eastAsia" w:ascii="宋体" w:hAnsi="宋体" w:cs="宋体"/>
                <w:color w:val="auto"/>
                <w:sz w:val="20"/>
                <w:szCs w:val="20"/>
                <w:lang w:val="zh-CN" w:bidi="zh-CN"/>
              </w:rPr>
              <w:t>1</w:t>
            </w:r>
          </w:p>
        </w:tc>
        <w:tc>
          <w:tcPr>
            <w:tcW w:w="1452" w:type="dxa"/>
          </w:tcPr>
          <w:p w14:paraId="088E1C32">
            <w:pPr>
              <w:autoSpaceDE w:val="0"/>
              <w:autoSpaceDN w:val="0"/>
              <w:jc w:val="left"/>
              <w:rPr>
                <w:rFonts w:ascii="宋体" w:hAnsi="宋体" w:cs="宋体"/>
                <w:color w:val="auto"/>
                <w:sz w:val="20"/>
                <w:szCs w:val="20"/>
                <w:lang w:val="zh-CN" w:bidi="zh-CN"/>
              </w:rPr>
            </w:pPr>
          </w:p>
        </w:tc>
        <w:tc>
          <w:tcPr>
            <w:tcW w:w="1620" w:type="dxa"/>
          </w:tcPr>
          <w:p w14:paraId="4EDC5FBD">
            <w:pPr>
              <w:autoSpaceDE w:val="0"/>
              <w:autoSpaceDN w:val="0"/>
              <w:jc w:val="left"/>
              <w:rPr>
                <w:rFonts w:ascii="宋体" w:hAnsi="宋体" w:cs="宋体"/>
                <w:color w:val="auto"/>
                <w:sz w:val="20"/>
                <w:szCs w:val="20"/>
                <w:lang w:val="zh-CN" w:bidi="zh-CN"/>
              </w:rPr>
            </w:pPr>
          </w:p>
        </w:tc>
        <w:tc>
          <w:tcPr>
            <w:tcW w:w="1383" w:type="dxa"/>
          </w:tcPr>
          <w:p w14:paraId="7751AAA0">
            <w:pPr>
              <w:autoSpaceDE w:val="0"/>
              <w:autoSpaceDN w:val="0"/>
              <w:jc w:val="left"/>
              <w:rPr>
                <w:rFonts w:ascii="宋体" w:hAnsi="宋体" w:cs="宋体"/>
                <w:color w:val="auto"/>
                <w:sz w:val="20"/>
                <w:szCs w:val="20"/>
                <w:lang w:val="zh-CN" w:bidi="zh-CN"/>
              </w:rPr>
            </w:pPr>
          </w:p>
        </w:tc>
        <w:tc>
          <w:tcPr>
            <w:tcW w:w="1514" w:type="dxa"/>
          </w:tcPr>
          <w:p w14:paraId="130BBB95">
            <w:pPr>
              <w:autoSpaceDE w:val="0"/>
              <w:autoSpaceDN w:val="0"/>
              <w:jc w:val="left"/>
              <w:rPr>
                <w:rFonts w:ascii="宋体" w:hAnsi="宋体" w:cs="宋体"/>
                <w:color w:val="auto"/>
                <w:sz w:val="20"/>
                <w:szCs w:val="20"/>
                <w:lang w:val="zh-CN" w:bidi="zh-CN"/>
              </w:rPr>
            </w:pPr>
          </w:p>
        </w:tc>
        <w:tc>
          <w:tcPr>
            <w:tcW w:w="1459" w:type="dxa"/>
          </w:tcPr>
          <w:p w14:paraId="4427F58E">
            <w:pPr>
              <w:autoSpaceDE w:val="0"/>
              <w:autoSpaceDN w:val="0"/>
              <w:jc w:val="left"/>
              <w:rPr>
                <w:rFonts w:ascii="宋体" w:hAnsi="宋体" w:cs="宋体"/>
                <w:color w:val="auto"/>
                <w:sz w:val="20"/>
                <w:szCs w:val="20"/>
                <w:lang w:val="zh-CN" w:bidi="zh-CN"/>
              </w:rPr>
            </w:pPr>
          </w:p>
        </w:tc>
      </w:tr>
      <w:tr w14:paraId="49F197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77" w:hRule="atLeast"/>
          <w:jc w:val="center"/>
        </w:trPr>
        <w:tc>
          <w:tcPr>
            <w:tcW w:w="996" w:type="dxa"/>
          </w:tcPr>
          <w:p w14:paraId="5710D11A">
            <w:pPr>
              <w:autoSpaceDE w:val="0"/>
              <w:autoSpaceDN w:val="0"/>
              <w:spacing w:before="12"/>
              <w:jc w:val="left"/>
              <w:rPr>
                <w:rFonts w:ascii="宋体" w:hAnsi="宋体" w:cs="宋体"/>
                <w:b/>
                <w:color w:val="auto"/>
                <w:sz w:val="20"/>
                <w:szCs w:val="20"/>
                <w:lang w:val="zh-CN" w:bidi="zh-CN"/>
              </w:rPr>
            </w:pPr>
          </w:p>
          <w:p w14:paraId="3B32C1CA">
            <w:pPr>
              <w:autoSpaceDE w:val="0"/>
              <w:autoSpaceDN w:val="0"/>
              <w:ind w:left="7"/>
              <w:jc w:val="center"/>
              <w:rPr>
                <w:rFonts w:ascii="宋体" w:hAnsi="宋体" w:cs="宋体"/>
                <w:color w:val="auto"/>
                <w:sz w:val="20"/>
                <w:szCs w:val="20"/>
                <w:lang w:val="zh-CN" w:bidi="zh-CN"/>
              </w:rPr>
            </w:pPr>
            <w:r>
              <w:rPr>
                <w:rFonts w:hint="eastAsia" w:ascii="宋体" w:hAnsi="宋体" w:cs="宋体"/>
                <w:color w:val="auto"/>
                <w:sz w:val="20"/>
                <w:szCs w:val="20"/>
                <w:lang w:val="zh-CN" w:bidi="zh-CN"/>
              </w:rPr>
              <w:t>2</w:t>
            </w:r>
          </w:p>
        </w:tc>
        <w:tc>
          <w:tcPr>
            <w:tcW w:w="1452" w:type="dxa"/>
          </w:tcPr>
          <w:p w14:paraId="25413914">
            <w:pPr>
              <w:autoSpaceDE w:val="0"/>
              <w:autoSpaceDN w:val="0"/>
              <w:jc w:val="left"/>
              <w:rPr>
                <w:rFonts w:ascii="宋体" w:hAnsi="宋体" w:cs="宋体"/>
                <w:color w:val="auto"/>
                <w:sz w:val="20"/>
                <w:szCs w:val="20"/>
                <w:lang w:val="zh-CN" w:bidi="zh-CN"/>
              </w:rPr>
            </w:pPr>
          </w:p>
        </w:tc>
        <w:tc>
          <w:tcPr>
            <w:tcW w:w="1620" w:type="dxa"/>
          </w:tcPr>
          <w:p w14:paraId="52376DCF">
            <w:pPr>
              <w:autoSpaceDE w:val="0"/>
              <w:autoSpaceDN w:val="0"/>
              <w:jc w:val="left"/>
              <w:rPr>
                <w:rFonts w:ascii="宋体" w:hAnsi="宋体" w:cs="宋体"/>
                <w:color w:val="auto"/>
                <w:sz w:val="20"/>
                <w:szCs w:val="20"/>
                <w:lang w:val="zh-CN" w:bidi="zh-CN"/>
              </w:rPr>
            </w:pPr>
          </w:p>
        </w:tc>
        <w:tc>
          <w:tcPr>
            <w:tcW w:w="1383" w:type="dxa"/>
          </w:tcPr>
          <w:p w14:paraId="337C8B39">
            <w:pPr>
              <w:autoSpaceDE w:val="0"/>
              <w:autoSpaceDN w:val="0"/>
              <w:jc w:val="left"/>
              <w:rPr>
                <w:rFonts w:ascii="宋体" w:hAnsi="宋体" w:cs="宋体"/>
                <w:color w:val="auto"/>
                <w:sz w:val="20"/>
                <w:szCs w:val="20"/>
                <w:lang w:val="zh-CN" w:bidi="zh-CN"/>
              </w:rPr>
            </w:pPr>
          </w:p>
        </w:tc>
        <w:tc>
          <w:tcPr>
            <w:tcW w:w="1514" w:type="dxa"/>
          </w:tcPr>
          <w:p w14:paraId="4BF5C832">
            <w:pPr>
              <w:autoSpaceDE w:val="0"/>
              <w:autoSpaceDN w:val="0"/>
              <w:jc w:val="left"/>
              <w:rPr>
                <w:rFonts w:ascii="宋体" w:hAnsi="宋体" w:cs="宋体"/>
                <w:color w:val="auto"/>
                <w:sz w:val="20"/>
                <w:szCs w:val="20"/>
                <w:lang w:val="zh-CN" w:bidi="zh-CN"/>
              </w:rPr>
            </w:pPr>
          </w:p>
        </w:tc>
        <w:tc>
          <w:tcPr>
            <w:tcW w:w="1459" w:type="dxa"/>
          </w:tcPr>
          <w:p w14:paraId="2F0E12BD">
            <w:pPr>
              <w:autoSpaceDE w:val="0"/>
              <w:autoSpaceDN w:val="0"/>
              <w:jc w:val="left"/>
              <w:rPr>
                <w:rFonts w:ascii="宋体" w:hAnsi="宋体" w:cs="宋体"/>
                <w:color w:val="auto"/>
                <w:sz w:val="20"/>
                <w:szCs w:val="20"/>
                <w:lang w:val="zh-CN" w:bidi="zh-CN"/>
              </w:rPr>
            </w:pPr>
          </w:p>
        </w:tc>
      </w:tr>
      <w:tr w14:paraId="3D0673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70" w:hRule="atLeast"/>
          <w:jc w:val="center"/>
        </w:trPr>
        <w:tc>
          <w:tcPr>
            <w:tcW w:w="996" w:type="dxa"/>
          </w:tcPr>
          <w:p w14:paraId="5455B353">
            <w:pPr>
              <w:autoSpaceDE w:val="0"/>
              <w:autoSpaceDN w:val="0"/>
              <w:spacing w:before="7"/>
              <w:jc w:val="left"/>
              <w:rPr>
                <w:rFonts w:ascii="宋体" w:hAnsi="宋体" w:cs="宋体"/>
                <w:b/>
                <w:color w:val="auto"/>
                <w:sz w:val="20"/>
                <w:szCs w:val="20"/>
                <w:lang w:val="zh-CN" w:bidi="zh-CN"/>
              </w:rPr>
            </w:pPr>
          </w:p>
          <w:p w14:paraId="76CD564F">
            <w:pPr>
              <w:autoSpaceDE w:val="0"/>
              <w:autoSpaceDN w:val="0"/>
              <w:ind w:left="7"/>
              <w:jc w:val="center"/>
              <w:rPr>
                <w:rFonts w:ascii="宋体" w:hAnsi="宋体" w:cs="宋体"/>
                <w:color w:val="auto"/>
                <w:sz w:val="20"/>
                <w:szCs w:val="20"/>
                <w:lang w:val="zh-CN" w:bidi="zh-CN"/>
              </w:rPr>
            </w:pPr>
            <w:r>
              <w:rPr>
                <w:rFonts w:hint="eastAsia" w:ascii="宋体" w:hAnsi="宋体" w:cs="宋体"/>
                <w:color w:val="auto"/>
                <w:sz w:val="20"/>
                <w:szCs w:val="20"/>
                <w:lang w:val="zh-CN" w:bidi="zh-CN"/>
              </w:rPr>
              <w:t>3</w:t>
            </w:r>
          </w:p>
        </w:tc>
        <w:tc>
          <w:tcPr>
            <w:tcW w:w="1452" w:type="dxa"/>
          </w:tcPr>
          <w:p w14:paraId="3E7508C3">
            <w:pPr>
              <w:autoSpaceDE w:val="0"/>
              <w:autoSpaceDN w:val="0"/>
              <w:jc w:val="left"/>
              <w:rPr>
                <w:rFonts w:ascii="宋体" w:hAnsi="宋体" w:cs="宋体"/>
                <w:color w:val="auto"/>
                <w:sz w:val="20"/>
                <w:szCs w:val="20"/>
                <w:lang w:val="zh-CN" w:bidi="zh-CN"/>
              </w:rPr>
            </w:pPr>
          </w:p>
        </w:tc>
        <w:tc>
          <w:tcPr>
            <w:tcW w:w="1620" w:type="dxa"/>
          </w:tcPr>
          <w:p w14:paraId="2ADE089E">
            <w:pPr>
              <w:autoSpaceDE w:val="0"/>
              <w:autoSpaceDN w:val="0"/>
              <w:jc w:val="left"/>
              <w:rPr>
                <w:rFonts w:ascii="宋体" w:hAnsi="宋体" w:cs="宋体"/>
                <w:color w:val="auto"/>
                <w:sz w:val="20"/>
                <w:szCs w:val="20"/>
                <w:lang w:val="zh-CN" w:bidi="zh-CN"/>
              </w:rPr>
            </w:pPr>
          </w:p>
        </w:tc>
        <w:tc>
          <w:tcPr>
            <w:tcW w:w="1383" w:type="dxa"/>
          </w:tcPr>
          <w:p w14:paraId="22FD5ED5">
            <w:pPr>
              <w:autoSpaceDE w:val="0"/>
              <w:autoSpaceDN w:val="0"/>
              <w:jc w:val="left"/>
              <w:rPr>
                <w:rFonts w:ascii="宋体" w:hAnsi="宋体" w:cs="宋体"/>
                <w:color w:val="auto"/>
                <w:sz w:val="20"/>
                <w:szCs w:val="20"/>
                <w:lang w:val="zh-CN" w:bidi="zh-CN"/>
              </w:rPr>
            </w:pPr>
          </w:p>
        </w:tc>
        <w:tc>
          <w:tcPr>
            <w:tcW w:w="1514" w:type="dxa"/>
          </w:tcPr>
          <w:p w14:paraId="6D2BC527">
            <w:pPr>
              <w:autoSpaceDE w:val="0"/>
              <w:autoSpaceDN w:val="0"/>
              <w:jc w:val="left"/>
              <w:rPr>
                <w:rFonts w:ascii="宋体" w:hAnsi="宋体" w:cs="宋体"/>
                <w:color w:val="auto"/>
                <w:sz w:val="20"/>
                <w:szCs w:val="20"/>
                <w:lang w:val="zh-CN" w:bidi="zh-CN"/>
              </w:rPr>
            </w:pPr>
          </w:p>
        </w:tc>
        <w:tc>
          <w:tcPr>
            <w:tcW w:w="1459" w:type="dxa"/>
          </w:tcPr>
          <w:p w14:paraId="433756B7">
            <w:pPr>
              <w:autoSpaceDE w:val="0"/>
              <w:autoSpaceDN w:val="0"/>
              <w:jc w:val="left"/>
              <w:rPr>
                <w:rFonts w:ascii="宋体" w:hAnsi="宋体" w:cs="宋体"/>
                <w:color w:val="auto"/>
                <w:sz w:val="20"/>
                <w:szCs w:val="20"/>
                <w:lang w:val="zh-CN" w:bidi="zh-CN"/>
              </w:rPr>
            </w:pPr>
          </w:p>
        </w:tc>
      </w:tr>
      <w:tr w14:paraId="2790B6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86" w:hRule="atLeast"/>
          <w:jc w:val="center"/>
        </w:trPr>
        <w:tc>
          <w:tcPr>
            <w:tcW w:w="996" w:type="dxa"/>
          </w:tcPr>
          <w:p w14:paraId="3B8B2C6E">
            <w:pPr>
              <w:autoSpaceDE w:val="0"/>
              <w:autoSpaceDN w:val="0"/>
              <w:jc w:val="left"/>
              <w:rPr>
                <w:rFonts w:ascii="宋体" w:hAnsi="宋体" w:cs="宋体"/>
                <w:b/>
                <w:color w:val="auto"/>
                <w:sz w:val="20"/>
                <w:szCs w:val="20"/>
                <w:lang w:val="zh-CN" w:bidi="zh-CN"/>
              </w:rPr>
            </w:pPr>
          </w:p>
          <w:p w14:paraId="653453BF">
            <w:pPr>
              <w:autoSpaceDE w:val="0"/>
              <w:autoSpaceDN w:val="0"/>
              <w:spacing w:before="4"/>
              <w:jc w:val="left"/>
              <w:rPr>
                <w:rFonts w:ascii="宋体" w:hAnsi="宋体" w:cs="宋体"/>
                <w:b/>
                <w:color w:val="auto"/>
                <w:sz w:val="20"/>
                <w:szCs w:val="20"/>
                <w:lang w:val="zh-CN" w:bidi="zh-CN"/>
              </w:rPr>
            </w:pPr>
          </w:p>
          <w:p w14:paraId="237DB3C9">
            <w:pPr>
              <w:autoSpaceDE w:val="0"/>
              <w:autoSpaceDN w:val="0"/>
              <w:ind w:left="7"/>
              <w:jc w:val="center"/>
              <w:rPr>
                <w:rFonts w:ascii="宋体" w:hAnsi="宋体" w:cs="宋体"/>
                <w:color w:val="auto"/>
                <w:sz w:val="20"/>
                <w:szCs w:val="20"/>
                <w:lang w:val="zh-CN" w:bidi="zh-CN"/>
              </w:rPr>
            </w:pPr>
            <w:r>
              <w:rPr>
                <w:rFonts w:hint="eastAsia" w:ascii="宋体" w:hAnsi="宋体" w:cs="宋体"/>
                <w:color w:val="auto"/>
                <w:sz w:val="20"/>
                <w:szCs w:val="20"/>
                <w:lang w:val="zh-CN" w:bidi="zh-CN"/>
              </w:rPr>
              <w:t>4</w:t>
            </w:r>
          </w:p>
        </w:tc>
        <w:tc>
          <w:tcPr>
            <w:tcW w:w="1452" w:type="dxa"/>
          </w:tcPr>
          <w:p w14:paraId="2866E0FD">
            <w:pPr>
              <w:autoSpaceDE w:val="0"/>
              <w:autoSpaceDN w:val="0"/>
              <w:jc w:val="left"/>
              <w:rPr>
                <w:rFonts w:ascii="宋体" w:hAnsi="宋体" w:cs="宋体"/>
                <w:color w:val="auto"/>
                <w:sz w:val="20"/>
                <w:szCs w:val="20"/>
                <w:lang w:val="zh-CN" w:bidi="zh-CN"/>
              </w:rPr>
            </w:pPr>
          </w:p>
        </w:tc>
        <w:tc>
          <w:tcPr>
            <w:tcW w:w="1620" w:type="dxa"/>
          </w:tcPr>
          <w:p w14:paraId="0DD221E1">
            <w:pPr>
              <w:autoSpaceDE w:val="0"/>
              <w:autoSpaceDN w:val="0"/>
              <w:jc w:val="left"/>
              <w:rPr>
                <w:rFonts w:ascii="宋体" w:hAnsi="宋体" w:cs="宋体"/>
                <w:color w:val="auto"/>
                <w:sz w:val="20"/>
                <w:szCs w:val="20"/>
                <w:lang w:val="zh-CN" w:bidi="zh-CN"/>
              </w:rPr>
            </w:pPr>
          </w:p>
        </w:tc>
        <w:tc>
          <w:tcPr>
            <w:tcW w:w="1383" w:type="dxa"/>
          </w:tcPr>
          <w:p w14:paraId="516A71A7">
            <w:pPr>
              <w:autoSpaceDE w:val="0"/>
              <w:autoSpaceDN w:val="0"/>
              <w:jc w:val="left"/>
              <w:rPr>
                <w:rFonts w:ascii="宋体" w:hAnsi="宋体" w:cs="宋体"/>
                <w:color w:val="auto"/>
                <w:sz w:val="20"/>
                <w:szCs w:val="20"/>
                <w:lang w:val="zh-CN" w:bidi="zh-CN"/>
              </w:rPr>
            </w:pPr>
          </w:p>
        </w:tc>
        <w:tc>
          <w:tcPr>
            <w:tcW w:w="1514" w:type="dxa"/>
          </w:tcPr>
          <w:p w14:paraId="7B97075B">
            <w:pPr>
              <w:autoSpaceDE w:val="0"/>
              <w:autoSpaceDN w:val="0"/>
              <w:jc w:val="left"/>
              <w:rPr>
                <w:rFonts w:ascii="宋体" w:hAnsi="宋体" w:cs="宋体"/>
                <w:color w:val="auto"/>
                <w:sz w:val="20"/>
                <w:szCs w:val="20"/>
                <w:lang w:val="zh-CN" w:bidi="zh-CN"/>
              </w:rPr>
            </w:pPr>
          </w:p>
        </w:tc>
        <w:tc>
          <w:tcPr>
            <w:tcW w:w="1459" w:type="dxa"/>
          </w:tcPr>
          <w:p w14:paraId="6C021947">
            <w:pPr>
              <w:autoSpaceDE w:val="0"/>
              <w:autoSpaceDN w:val="0"/>
              <w:jc w:val="left"/>
              <w:rPr>
                <w:rFonts w:ascii="宋体" w:hAnsi="宋体" w:cs="宋体"/>
                <w:color w:val="auto"/>
                <w:sz w:val="20"/>
                <w:szCs w:val="20"/>
                <w:lang w:val="zh-CN" w:bidi="zh-CN"/>
              </w:rPr>
            </w:pPr>
          </w:p>
        </w:tc>
      </w:tr>
    </w:tbl>
    <w:p w14:paraId="75AE6509">
      <w:pPr>
        <w:autoSpaceDE w:val="0"/>
        <w:autoSpaceDN w:val="0"/>
        <w:spacing w:line="429" w:lineRule="exact"/>
        <w:ind w:left="220"/>
        <w:jc w:val="left"/>
        <w:rPr>
          <w:rFonts w:ascii="宋体" w:hAnsi="宋体" w:cs="宋体"/>
          <w:b/>
          <w:bCs/>
          <w:color w:val="auto"/>
          <w:sz w:val="24"/>
          <w:lang w:val="zh-CN" w:bidi="zh-CN"/>
        </w:rPr>
      </w:pPr>
      <w:r>
        <w:rPr>
          <w:rFonts w:hint="eastAsia" w:ascii="宋体" w:hAnsi="宋体" w:cs="宋体"/>
          <w:b/>
          <w:bCs/>
          <w:color w:val="auto"/>
          <w:sz w:val="24"/>
          <w:lang w:val="zh-CN" w:bidi="zh-CN"/>
        </w:rPr>
        <w:t>要求：</w:t>
      </w:r>
    </w:p>
    <w:p w14:paraId="3E670BE5">
      <w:pPr>
        <w:numPr>
          <w:ilvl w:val="0"/>
          <w:numId w:val="3"/>
        </w:numPr>
        <w:tabs>
          <w:tab w:val="left" w:pos="401"/>
        </w:tabs>
        <w:autoSpaceDE w:val="0"/>
        <w:autoSpaceDN w:val="0"/>
        <w:spacing w:before="182"/>
        <w:rPr>
          <w:rFonts w:ascii="宋体" w:hAnsi="宋体" w:cs="宋体"/>
          <w:b/>
          <w:color w:val="auto"/>
          <w:sz w:val="24"/>
          <w:szCs w:val="22"/>
          <w:lang w:val="zh-CN" w:bidi="zh-CN"/>
        </w:rPr>
      </w:pPr>
      <w:r>
        <w:rPr>
          <w:rFonts w:hint="eastAsia" w:ascii="宋体" w:hAnsi="宋体" w:cs="宋体"/>
          <w:b/>
          <w:color w:val="auto"/>
          <w:sz w:val="24"/>
          <w:szCs w:val="22"/>
          <w:lang w:val="zh-CN" w:bidi="zh-CN"/>
        </w:rPr>
        <w:t>本页需使用科室负责人签字；</w:t>
      </w:r>
    </w:p>
    <w:p w14:paraId="12403353">
      <w:pPr>
        <w:numPr>
          <w:ilvl w:val="0"/>
          <w:numId w:val="3"/>
        </w:numPr>
        <w:tabs>
          <w:tab w:val="left" w:pos="401"/>
        </w:tabs>
        <w:autoSpaceDE w:val="0"/>
        <w:autoSpaceDN w:val="0"/>
        <w:spacing w:before="183"/>
        <w:rPr>
          <w:rFonts w:ascii="宋体" w:hAnsi="宋体" w:cs="宋体"/>
          <w:b/>
          <w:color w:val="auto"/>
          <w:sz w:val="24"/>
          <w:szCs w:val="22"/>
          <w:lang w:val="zh-CN" w:bidi="zh-CN"/>
        </w:rPr>
      </w:pPr>
      <w:r>
        <w:rPr>
          <w:rFonts w:hint="eastAsia" w:ascii="宋体" w:hAnsi="宋体" w:cs="宋体"/>
          <w:b/>
          <w:color w:val="auto"/>
          <w:sz w:val="24"/>
          <w:szCs w:val="22"/>
          <w:lang w:val="zh-CN" w:bidi="zh-CN"/>
        </w:rPr>
        <w:t>本页附公司盖章并加盖整套合同骑缝章；</w:t>
      </w:r>
    </w:p>
    <w:p w14:paraId="43FDB68B">
      <w:pPr>
        <w:numPr>
          <w:ilvl w:val="0"/>
          <w:numId w:val="3"/>
        </w:numPr>
        <w:tabs>
          <w:tab w:val="left" w:pos="401"/>
        </w:tabs>
        <w:autoSpaceDE w:val="0"/>
        <w:autoSpaceDN w:val="0"/>
        <w:spacing w:before="183"/>
        <w:rPr>
          <w:rFonts w:ascii="宋体" w:hAnsi="宋体" w:cs="宋体"/>
          <w:b/>
          <w:color w:val="auto"/>
          <w:sz w:val="24"/>
          <w:szCs w:val="22"/>
          <w:lang w:val="zh-CN" w:bidi="zh-CN"/>
        </w:rPr>
      </w:pPr>
      <w:r>
        <w:rPr>
          <w:rFonts w:hint="eastAsia" w:ascii="宋体" w:hAnsi="宋体" w:cs="宋体"/>
          <w:b/>
          <w:color w:val="auto"/>
          <w:sz w:val="24"/>
          <w:szCs w:val="22"/>
          <w:lang w:val="zh-CN" w:bidi="zh-CN"/>
        </w:rPr>
        <w:t>每一台设备附一张配件清单；</w:t>
      </w:r>
    </w:p>
    <w:p w14:paraId="25424253">
      <w:pPr>
        <w:jc w:val="left"/>
        <w:rPr>
          <w:rFonts w:ascii="宋体" w:hAnsi="宋体" w:cs="宋体"/>
          <w:color w:val="auto"/>
          <w:sz w:val="24"/>
        </w:rPr>
        <w:sectPr>
          <w:headerReference r:id="rId7" w:type="default"/>
          <w:pgSz w:w="11900" w:h="16838"/>
          <w:pgMar w:top="1134" w:right="1559" w:bottom="680" w:left="1678" w:header="879" w:footer="0" w:gutter="0"/>
          <w:cols w:space="0" w:num="1"/>
        </w:sectPr>
      </w:pPr>
    </w:p>
    <w:p w14:paraId="6FD326E6">
      <w:pPr>
        <w:autoSpaceDE w:val="0"/>
        <w:autoSpaceDN w:val="0"/>
        <w:jc w:val="left"/>
        <w:rPr>
          <w:rFonts w:ascii="宋体" w:hAnsi="宋体" w:cs="宋体"/>
          <w:b/>
          <w:color w:val="auto"/>
          <w:sz w:val="10"/>
          <w:lang w:val="zh-CN" w:bidi="zh-CN"/>
        </w:rPr>
      </w:pPr>
    </w:p>
    <w:p w14:paraId="128828FD">
      <w:pPr>
        <w:autoSpaceDE w:val="0"/>
        <w:autoSpaceDN w:val="0"/>
        <w:spacing w:line="552" w:lineRule="exact"/>
        <w:ind w:firstLine="1325" w:firstLineChars="300"/>
        <w:jc w:val="left"/>
        <w:rPr>
          <w:rFonts w:ascii="宋体" w:hAnsi="宋体" w:cs="宋体"/>
          <w:b/>
          <w:color w:val="auto"/>
          <w:kern w:val="0"/>
          <w:szCs w:val="22"/>
          <w:lang w:val="zh-CN" w:bidi="zh-CN"/>
        </w:rPr>
      </w:pPr>
      <w:r>
        <w:rPr>
          <w:rFonts w:hint="eastAsia" w:ascii="宋体" w:hAnsi="宋体" w:cs="宋体"/>
          <w:b/>
          <w:color w:val="auto"/>
          <w:kern w:val="0"/>
          <w:sz w:val="44"/>
          <w:szCs w:val="44"/>
          <w:lang w:val="zh-CN" w:bidi="zh-CN"/>
        </w:rPr>
        <w:t>××设备易损件清单</w:t>
      </w:r>
      <w:r>
        <w:rPr>
          <w:rFonts w:hint="eastAsia" w:ascii="宋体" w:hAnsi="宋体" w:cs="宋体"/>
          <w:b/>
          <w:color w:val="auto"/>
          <w:kern w:val="0"/>
          <w:sz w:val="32"/>
          <w:szCs w:val="22"/>
          <w:lang w:val="zh-CN" w:bidi="zh-CN"/>
        </w:rPr>
        <w:t xml:space="preserve"> </w:t>
      </w:r>
      <w:r>
        <w:rPr>
          <w:rFonts w:hint="eastAsia" w:ascii="宋体" w:hAnsi="宋体" w:cs="宋体"/>
          <w:b/>
          <w:color w:val="auto"/>
          <w:kern w:val="0"/>
          <w:szCs w:val="22"/>
          <w:lang w:val="zh-CN" w:bidi="zh-CN"/>
        </w:rPr>
        <w:t>（模板）（请公司依此制作）</w:t>
      </w:r>
    </w:p>
    <w:p w14:paraId="0C9926E3">
      <w:pPr>
        <w:autoSpaceDE w:val="0"/>
        <w:autoSpaceDN w:val="0"/>
        <w:jc w:val="left"/>
        <w:rPr>
          <w:rFonts w:ascii="宋体" w:hAnsi="宋体" w:cs="宋体"/>
          <w:b/>
          <w:color w:val="auto"/>
          <w:sz w:val="20"/>
          <w:lang w:val="zh-CN" w:bidi="zh-CN"/>
        </w:rPr>
      </w:pPr>
    </w:p>
    <w:p w14:paraId="6A75960C">
      <w:pPr>
        <w:autoSpaceDE w:val="0"/>
        <w:autoSpaceDN w:val="0"/>
        <w:spacing w:before="1"/>
        <w:jc w:val="left"/>
        <w:rPr>
          <w:rFonts w:ascii="宋体" w:hAnsi="宋体" w:cs="宋体"/>
          <w:b/>
          <w:color w:val="auto"/>
          <w:sz w:val="11"/>
          <w:lang w:val="zh-CN" w:bidi="zh-CN"/>
        </w:rPr>
      </w:pPr>
    </w:p>
    <w:tbl>
      <w:tblPr>
        <w:tblStyle w:val="41"/>
        <w:tblW w:w="0" w:type="auto"/>
        <w:tblInd w:w="3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24"/>
        <w:gridCol w:w="2179"/>
        <w:gridCol w:w="1003"/>
        <w:gridCol w:w="1161"/>
        <w:gridCol w:w="1687"/>
        <w:gridCol w:w="1178"/>
      </w:tblGrid>
      <w:tr w14:paraId="264E29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7" w:hRule="atLeast"/>
        </w:trPr>
        <w:tc>
          <w:tcPr>
            <w:tcW w:w="924" w:type="dxa"/>
          </w:tcPr>
          <w:p w14:paraId="3C0A446B">
            <w:pPr>
              <w:autoSpaceDE w:val="0"/>
              <w:autoSpaceDN w:val="0"/>
              <w:spacing w:before="2"/>
              <w:jc w:val="left"/>
              <w:rPr>
                <w:rFonts w:ascii="宋体" w:hAnsi="宋体" w:cs="宋体"/>
                <w:b/>
                <w:color w:val="auto"/>
                <w:sz w:val="11"/>
                <w:szCs w:val="22"/>
                <w:lang w:val="zh-CN" w:bidi="zh-CN"/>
              </w:rPr>
            </w:pPr>
          </w:p>
          <w:p w14:paraId="70EF9296">
            <w:pPr>
              <w:autoSpaceDE w:val="0"/>
              <w:autoSpaceDN w:val="0"/>
              <w:ind w:left="249"/>
              <w:jc w:val="left"/>
              <w:rPr>
                <w:rFonts w:ascii="宋体" w:hAnsi="宋体" w:cs="宋体"/>
                <w:color w:val="auto"/>
                <w:szCs w:val="22"/>
                <w:lang w:val="zh-CN" w:bidi="zh-CN"/>
              </w:rPr>
            </w:pPr>
            <w:r>
              <w:rPr>
                <w:rFonts w:hint="eastAsia" w:ascii="宋体" w:hAnsi="宋体" w:cs="宋体"/>
                <w:color w:val="auto"/>
                <w:szCs w:val="22"/>
                <w:lang w:val="zh-CN" w:bidi="zh-CN"/>
              </w:rPr>
              <w:t>序号</w:t>
            </w:r>
          </w:p>
        </w:tc>
        <w:tc>
          <w:tcPr>
            <w:tcW w:w="2179" w:type="dxa"/>
          </w:tcPr>
          <w:p w14:paraId="31D77CE7">
            <w:pPr>
              <w:autoSpaceDE w:val="0"/>
              <w:autoSpaceDN w:val="0"/>
              <w:spacing w:before="1"/>
              <w:ind w:left="334" w:right="325"/>
              <w:jc w:val="center"/>
              <w:rPr>
                <w:rFonts w:ascii="宋体" w:hAnsi="宋体" w:cs="宋体"/>
                <w:color w:val="auto"/>
                <w:szCs w:val="22"/>
                <w:lang w:val="zh-CN" w:bidi="zh-CN"/>
              </w:rPr>
            </w:pPr>
            <w:r>
              <w:rPr>
                <w:rFonts w:hint="eastAsia" w:ascii="宋体" w:hAnsi="宋体" w:cs="宋体"/>
                <w:color w:val="auto"/>
                <w:szCs w:val="22"/>
                <w:lang w:val="zh-CN" w:bidi="zh-CN"/>
              </w:rPr>
              <w:t>名称</w:t>
            </w:r>
          </w:p>
          <w:p w14:paraId="32DF7FDD">
            <w:pPr>
              <w:autoSpaceDE w:val="0"/>
              <w:autoSpaceDN w:val="0"/>
              <w:spacing w:before="139"/>
              <w:ind w:left="334" w:right="325"/>
              <w:jc w:val="center"/>
              <w:rPr>
                <w:rFonts w:ascii="宋体" w:hAnsi="宋体" w:cs="宋体"/>
                <w:color w:val="auto"/>
                <w:szCs w:val="22"/>
                <w:lang w:val="zh-CN" w:bidi="zh-CN"/>
              </w:rPr>
            </w:pPr>
            <w:r>
              <w:rPr>
                <w:rFonts w:hint="eastAsia" w:ascii="宋体" w:hAnsi="宋体" w:cs="宋体"/>
                <w:color w:val="auto"/>
                <w:szCs w:val="22"/>
                <w:lang w:val="zh-CN" w:bidi="zh-CN"/>
              </w:rPr>
              <w:t>（注册证名称）</w:t>
            </w:r>
          </w:p>
        </w:tc>
        <w:tc>
          <w:tcPr>
            <w:tcW w:w="1003" w:type="dxa"/>
          </w:tcPr>
          <w:p w14:paraId="433901E0">
            <w:pPr>
              <w:autoSpaceDE w:val="0"/>
              <w:autoSpaceDN w:val="0"/>
              <w:spacing w:before="1"/>
              <w:ind w:left="187"/>
              <w:jc w:val="left"/>
              <w:rPr>
                <w:rFonts w:ascii="宋体" w:hAnsi="宋体" w:cs="宋体"/>
                <w:color w:val="auto"/>
                <w:szCs w:val="22"/>
                <w:lang w:val="zh-CN" w:bidi="zh-CN"/>
              </w:rPr>
            </w:pPr>
            <w:r>
              <w:rPr>
                <w:rFonts w:hint="eastAsia" w:ascii="宋体" w:hAnsi="宋体" w:cs="宋体"/>
                <w:color w:val="auto"/>
                <w:szCs w:val="22"/>
                <w:lang w:val="zh-CN" w:bidi="zh-CN"/>
              </w:rPr>
              <w:t>生产企</w:t>
            </w:r>
          </w:p>
          <w:p w14:paraId="7D09B7E0">
            <w:pPr>
              <w:autoSpaceDE w:val="0"/>
              <w:autoSpaceDN w:val="0"/>
              <w:spacing w:before="139"/>
              <w:ind w:left="184"/>
              <w:jc w:val="left"/>
              <w:rPr>
                <w:rFonts w:ascii="宋体" w:hAnsi="宋体" w:cs="宋体"/>
                <w:color w:val="auto"/>
                <w:szCs w:val="22"/>
                <w:lang w:val="zh-CN" w:bidi="zh-CN"/>
              </w:rPr>
            </w:pPr>
            <w:r>
              <w:rPr>
                <w:rFonts w:hint="eastAsia" w:ascii="宋体" w:hAnsi="宋体" w:cs="宋体"/>
                <w:color w:val="auto"/>
                <w:szCs w:val="22"/>
                <w:lang w:val="zh-CN" w:bidi="zh-CN"/>
              </w:rPr>
              <w:t>业名称</w:t>
            </w:r>
          </w:p>
        </w:tc>
        <w:tc>
          <w:tcPr>
            <w:tcW w:w="1161" w:type="dxa"/>
          </w:tcPr>
          <w:p w14:paraId="78E013D8">
            <w:pPr>
              <w:autoSpaceDE w:val="0"/>
              <w:autoSpaceDN w:val="0"/>
              <w:spacing w:before="1"/>
              <w:ind w:left="367"/>
              <w:jc w:val="left"/>
              <w:rPr>
                <w:rFonts w:ascii="宋体" w:hAnsi="宋体" w:cs="宋体"/>
                <w:color w:val="auto"/>
                <w:szCs w:val="22"/>
                <w:lang w:val="zh-CN" w:bidi="zh-CN"/>
              </w:rPr>
            </w:pPr>
            <w:r>
              <w:rPr>
                <w:rFonts w:hint="eastAsia" w:ascii="宋体" w:hAnsi="宋体" w:cs="宋体"/>
                <w:color w:val="auto"/>
                <w:szCs w:val="22"/>
                <w:lang w:val="zh-CN" w:bidi="zh-CN"/>
              </w:rPr>
              <w:t>规格</w:t>
            </w:r>
          </w:p>
          <w:p w14:paraId="47662EE5">
            <w:pPr>
              <w:autoSpaceDE w:val="0"/>
              <w:autoSpaceDN w:val="0"/>
              <w:spacing w:before="139"/>
              <w:ind w:left="367"/>
              <w:jc w:val="left"/>
              <w:rPr>
                <w:rFonts w:ascii="宋体" w:hAnsi="宋体" w:cs="宋体"/>
                <w:color w:val="auto"/>
                <w:szCs w:val="22"/>
                <w:lang w:val="zh-CN" w:bidi="zh-CN"/>
              </w:rPr>
            </w:pPr>
            <w:r>
              <w:rPr>
                <w:rFonts w:hint="eastAsia" w:ascii="宋体" w:hAnsi="宋体" w:cs="宋体"/>
                <w:color w:val="auto"/>
                <w:szCs w:val="22"/>
                <w:lang w:val="zh-CN" w:bidi="zh-CN"/>
              </w:rPr>
              <w:t>型号</w:t>
            </w:r>
          </w:p>
        </w:tc>
        <w:tc>
          <w:tcPr>
            <w:tcW w:w="1687" w:type="dxa"/>
          </w:tcPr>
          <w:p w14:paraId="3621D08C">
            <w:pPr>
              <w:autoSpaceDE w:val="0"/>
              <w:autoSpaceDN w:val="0"/>
              <w:spacing w:before="1"/>
              <w:ind w:left="87" w:right="76"/>
              <w:jc w:val="center"/>
              <w:rPr>
                <w:rFonts w:ascii="宋体" w:hAnsi="宋体" w:cs="宋体"/>
                <w:color w:val="auto"/>
                <w:szCs w:val="22"/>
                <w:lang w:val="zh-CN" w:bidi="zh-CN"/>
              </w:rPr>
            </w:pPr>
            <w:r>
              <w:rPr>
                <w:rFonts w:hint="eastAsia" w:ascii="宋体" w:hAnsi="宋体" w:cs="宋体"/>
                <w:color w:val="auto"/>
                <w:szCs w:val="22"/>
                <w:lang w:val="zh-CN" w:bidi="zh-CN"/>
              </w:rPr>
              <w:t>注册证号</w:t>
            </w:r>
          </w:p>
          <w:p w14:paraId="4A4A5E08">
            <w:pPr>
              <w:autoSpaceDE w:val="0"/>
              <w:autoSpaceDN w:val="0"/>
              <w:spacing w:before="139"/>
              <w:ind w:left="90" w:right="76"/>
              <w:jc w:val="center"/>
              <w:rPr>
                <w:rFonts w:ascii="宋体" w:hAnsi="宋体" w:cs="宋体"/>
                <w:color w:val="auto"/>
                <w:szCs w:val="22"/>
                <w:lang w:val="zh-CN" w:bidi="zh-CN"/>
              </w:rPr>
            </w:pPr>
            <w:r>
              <w:rPr>
                <w:rFonts w:hint="eastAsia" w:ascii="宋体" w:hAnsi="宋体" w:cs="宋体"/>
                <w:color w:val="auto"/>
                <w:szCs w:val="22"/>
                <w:lang w:val="zh-CN" w:bidi="zh-CN"/>
              </w:rPr>
              <w:t>（注明有限期）</w:t>
            </w:r>
          </w:p>
        </w:tc>
        <w:tc>
          <w:tcPr>
            <w:tcW w:w="1178" w:type="dxa"/>
          </w:tcPr>
          <w:p w14:paraId="22062436">
            <w:pPr>
              <w:autoSpaceDE w:val="0"/>
              <w:autoSpaceDN w:val="0"/>
              <w:spacing w:before="2"/>
              <w:jc w:val="left"/>
              <w:rPr>
                <w:rFonts w:ascii="宋体" w:hAnsi="宋体" w:cs="宋体"/>
                <w:b/>
                <w:color w:val="auto"/>
                <w:sz w:val="11"/>
                <w:szCs w:val="22"/>
                <w:lang w:val="zh-CN" w:bidi="zh-CN"/>
              </w:rPr>
            </w:pPr>
          </w:p>
          <w:p w14:paraId="60A7F425">
            <w:pPr>
              <w:autoSpaceDE w:val="0"/>
              <w:autoSpaceDN w:val="0"/>
              <w:ind w:left="166"/>
              <w:jc w:val="left"/>
              <w:rPr>
                <w:rFonts w:ascii="宋体" w:hAnsi="宋体" w:cs="宋体"/>
                <w:color w:val="auto"/>
                <w:szCs w:val="22"/>
                <w:lang w:val="zh-CN" w:bidi="zh-CN"/>
              </w:rPr>
            </w:pPr>
            <w:r>
              <w:rPr>
                <w:rFonts w:hint="eastAsia" w:ascii="宋体" w:hAnsi="宋体" w:cs="宋体"/>
                <w:color w:val="auto"/>
                <w:szCs w:val="22"/>
                <w:lang w:val="zh-CN" w:bidi="zh-CN"/>
              </w:rPr>
              <w:t>成交单价</w:t>
            </w:r>
          </w:p>
        </w:tc>
      </w:tr>
      <w:tr w14:paraId="112A8F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7" w:hRule="atLeast"/>
        </w:trPr>
        <w:tc>
          <w:tcPr>
            <w:tcW w:w="924" w:type="dxa"/>
          </w:tcPr>
          <w:p w14:paraId="1F89A9FF">
            <w:pPr>
              <w:autoSpaceDE w:val="0"/>
              <w:autoSpaceDN w:val="0"/>
              <w:jc w:val="left"/>
              <w:rPr>
                <w:rFonts w:ascii="宋体" w:hAnsi="宋体" w:cs="宋体"/>
                <w:color w:val="auto"/>
                <w:sz w:val="22"/>
                <w:szCs w:val="22"/>
                <w:lang w:val="zh-CN" w:bidi="zh-CN"/>
              </w:rPr>
            </w:pPr>
          </w:p>
        </w:tc>
        <w:tc>
          <w:tcPr>
            <w:tcW w:w="2179" w:type="dxa"/>
          </w:tcPr>
          <w:p w14:paraId="7F4B600B">
            <w:pPr>
              <w:autoSpaceDE w:val="0"/>
              <w:autoSpaceDN w:val="0"/>
              <w:jc w:val="left"/>
              <w:rPr>
                <w:rFonts w:ascii="宋体" w:hAnsi="宋体" w:cs="宋体"/>
                <w:color w:val="auto"/>
                <w:sz w:val="22"/>
                <w:szCs w:val="22"/>
                <w:lang w:val="zh-CN" w:bidi="zh-CN"/>
              </w:rPr>
            </w:pPr>
          </w:p>
        </w:tc>
        <w:tc>
          <w:tcPr>
            <w:tcW w:w="1003" w:type="dxa"/>
          </w:tcPr>
          <w:p w14:paraId="09B07FFC">
            <w:pPr>
              <w:autoSpaceDE w:val="0"/>
              <w:autoSpaceDN w:val="0"/>
              <w:jc w:val="left"/>
              <w:rPr>
                <w:rFonts w:ascii="宋体" w:hAnsi="宋体" w:cs="宋体"/>
                <w:color w:val="auto"/>
                <w:sz w:val="22"/>
                <w:szCs w:val="22"/>
                <w:lang w:val="zh-CN" w:bidi="zh-CN"/>
              </w:rPr>
            </w:pPr>
          </w:p>
        </w:tc>
        <w:tc>
          <w:tcPr>
            <w:tcW w:w="1161" w:type="dxa"/>
          </w:tcPr>
          <w:p w14:paraId="532A8EEF">
            <w:pPr>
              <w:autoSpaceDE w:val="0"/>
              <w:autoSpaceDN w:val="0"/>
              <w:jc w:val="left"/>
              <w:rPr>
                <w:rFonts w:ascii="宋体" w:hAnsi="宋体" w:cs="宋体"/>
                <w:color w:val="auto"/>
                <w:sz w:val="22"/>
                <w:szCs w:val="22"/>
                <w:lang w:val="zh-CN" w:bidi="zh-CN"/>
              </w:rPr>
            </w:pPr>
          </w:p>
        </w:tc>
        <w:tc>
          <w:tcPr>
            <w:tcW w:w="1687" w:type="dxa"/>
          </w:tcPr>
          <w:p w14:paraId="22BA3CFE">
            <w:pPr>
              <w:autoSpaceDE w:val="0"/>
              <w:autoSpaceDN w:val="0"/>
              <w:jc w:val="left"/>
              <w:rPr>
                <w:rFonts w:ascii="宋体" w:hAnsi="宋体" w:cs="宋体"/>
                <w:color w:val="auto"/>
                <w:sz w:val="22"/>
                <w:szCs w:val="22"/>
                <w:lang w:val="zh-CN" w:bidi="zh-CN"/>
              </w:rPr>
            </w:pPr>
          </w:p>
        </w:tc>
        <w:tc>
          <w:tcPr>
            <w:tcW w:w="1178" w:type="dxa"/>
          </w:tcPr>
          <w:p w14:paraId="5DC2B1C4">
            <w:pPr>
              <w:autoSpaceDE w:val="0"/>
              <w:autoSpaceDN w:val="0"/>
              <w:jc w:val="left"/>
              <w:rPr>
                <w:rFonts w:ascii="宋体" w:hAnsi="宋体" w:cs="宋体"/>
                <w:color w:val="auto"/>
                <w:sz w:val="22"/>
                <w:szCs w:val="22"/>
                <w:lang w:val="zh-CN" w:bidi="zh-CN"/>
              </w:rPr>
            </w:pPr>
          </w:p>
        </w:tc>
      </w:tr>
      <w:tr w14:paraId="007D04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7" w:hRule="atLeast"/>
        </w:trPr>
        <w:tc>
          <w:tcPr>
            <w:tcW w:w="924" w:type="dxa"/>
          </w:tcPr>
          <w:p w14:paraId="28D7F4FD">
            <w:pPr>
              <w:autoSpaceDE w:val="0"/>
              <w:autoSpaceDN w:val="0"/>
              <w:jc w:val="left"/>
              <w:rPr>
                <w:rFonts w:ascii="宋体" w:hAnsi="宋体" w:cs="宋体"/>
                <w:color w:val="auto"/>
                <w:sz w:val="22"/>
                <w:szCs w:val="22"/>
                <w:lang w:val="zh-CN" w:bidi="zh-CN"/>
              </w:rPr>
            </w:pPr>
          </w:p>
        </w:tc>
        <w:tc>
          <w:tcPr>
            <w:tcW w:w="2179" w:type="dxa"/>
          </w:tcPr>
          <w:p w14:paraId="7FDE4667">
            <w:pPr>
              <w:autoSpaceDE w:val="0"/>
              <w:autoSpaceDN w:val="0"/>
              <w:jc w:val="left"/>
              <w:rPr>
                <w:rFonts w:ascii="宋体" w:hAnsi="宋体" w:cs="宋体"/>
                <w:color w:val="auto"/>
                <w:sz w:val="22"/>
                <w:szCs w:val="22"/>
                <w:lang w:val="zh-CN" w:bidi="zh-CN"/>
              </w:rPr>
            </w:pPr>
          </w:p>
        </w:tc>
        <w:tc>
          <w:tcPr>
            <w:tcW w:w="1003" w:type="dxa"/>
          </w:tcPr>
          <w:p w14:paraId="0D3FDBFA">
            <w:pPr>
              <w:autoSpaceDE w:val="0"/>
              <w:autoSpaceDN w:val="0"/>
              <w:jc w:val="left"/>
              <w:rPr>
                <w:rFonts w:ascii="宋体" w:hAnsi="宋体" w:cs="宋体"/>
                <w:color w:val="auto"/>
                <w:sz w:val="22"/>
                <w:szCs w:val="22"/>
                <w:lang w:val="zh-CN" w:bidi="zh-CN"/>
              </w:rPr>
            </w:pPr>
          </w:p>
        </w:tc>
        <w:tc>
          <w:tcPr>
            <w:tcW w:w="1161" w:type="dxa"/>
          </w:tcPr>
          <w:p w14:paraId="65E6B15A">
            <w:pPr>
              <w:autoSpaceDE w:val="0"/>
              <w:autoSpaceDN w:val="0"/>
              <w:jc w:val="left"/>
              <w:rPr>
                <w:rFonts w:ascii="宋体" w:hAnsi="宋体" w:cs="宋体"/>
                <w:color w:val="auto"/>
                <w:sz w:val="22"/>
                <w:szCs w:val="22"/>
                <w:lang w:val="zh-CN" w:bidi="zh-CN"/>
              </w:rPr>
            </w:pPr>
          </w:p>
        </w:tc>
        <w:tc>
          <w:tcPr>
            <w:tcW w:w="1687" w:type="dxa"/>
          </w:tcPr>
          <w:p w14:paraId="5E2EB7FD">
            <w:pPr>
              <w:autoSpaceDE w:val="0"/>
              <w:autoSpaceDN w:val="0"/>
              <w:jc w:val="left"/>
              <w:rPr>
                <w:rFonts w:ascii="宋体" w:hAnsi="宋体" w:cs="宋体"/>
                <w:color w:val="auto"/>
                <w:sz w:val="22"/>
                <w:szCs w:val="22"/>
                <w:lang w:val="zh-CN" w:bidi="zh-CN"/>
              </w:rPr>
            </w:pPr>
          </w:p>
        </w:tc>
        <w:tc>
          <w:tcPr>
            <w:tcW w:w="1178" w:type="dxa"/>
          </w:tcPr>
          <w:p w14:paraId="41554D23">
            <w:pPr>
              <w:autoSpaceDE w:val="0"/>
              <w:autoSpaceDN w:val="0"/>
              <w:jc w:val="left"/>
              <w:rPr>
                <w:rFonts w:ascii="宋体" w:hAnsi="宋体" w:cs="宋体"/>
                <w:color w:val="auto"/>
                <w:sz w:val="22"/>
                <w:szCs w:val="22"/>
                <w:lang w:val="zh-CN" w:bidi="zh-CN"/>
              </w:rPr>
            </w:pPr>
          </w:p>
        </w:tc>
      </w:tr>
      <w:tr w14:paraId="2C6CB5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7" w:hRule="atLeast"/>
        </w:trPr>
        <w:tc>
          <w:tcPr>
            <w:tcW w:w="924" w:type="dxa"/>
          </w:tcPr>
          <w:p w14:paraId="5725FCA1">
            <w:pPr>
              <w:autoSpaceDE w:val="0"/>
              <w:autoSpaceDN w:val="0"/>
              <w:jc w:val="left"/>
              <w:rPr>
                <w:rFonts w:ascii="宋体" w:hAnsi="宋体" w:cs="宋体"/>
                <w:color w:val="auto"/>
                <w:sz w:val="22"/>
                <w:szCs w:val="22"/>
                <w:lang w:val="zh-CN" w:bidi="zh-CN"/>
              </w:rPr>
            </w:pPr>
          </w:p>
        </w:tc>
        <w:tc>
          <w:tcPr>
            <w:tcW w:w="2179" w:type="dxa"/>
          </w:tcPr>
          <w:p w14:paraId="67599C48">
            <w:pPr>
              <w:autoSpaceDE w:val="0"/>
              <w:autoSpaceDN w:val="0"/>
              <w:jc w:val="left"/>
              <w:rPr>
                <w:rFonts w:ascii="宋体" w:hAnsi="宋体" w:cs="宋体"/>
                <w:color w:val="auto"/>
                <w:sz w:val="22"/>
                <w:szCs w:val="22"/>
                <w:lang w:val="zh-CN" w:bidi="zh-CN"/>
              </w:rPr>
            </w:pPr>
          </w:p>
        </w:tc>
        <w:tc>
          <w:tcPr>
            <w:tcW w:w="1003" w:type="dxa"/>
          </w:tcPr>
          <w:p w14:paraId="73CD5BC2">
            <w:pPr>
              <w:autoSpaceDE w:val="0"/>
              <w:autoSpaceDN w:val="0"/>
              <w:jc w:val="left"/>
              <w:rPr>
                <w:rFonts w:ascii="宋体" w:hAnsi="宋体" w:cs="宋体"/>
                <w:color w:val="auto"/>
                <w:sz w:val="22"/>
                <w:szCs w:val="22"/>
                <w:lang w:val="zh-CN" w:bidi="zh-CN"/>
              </w:rPr>
            </w:pPr>
          </w:p>
        </w:tc>
        <w:tc>
          <w:tcPr>
            <w:tcW w:w="1161" w:type="dxa"/>
          </w:tcPr>
          <w:p w14:paraId="28460702">
            <w:pPr>
              <w:autoSpaceDE w:val="0"/>
              <w:autoSpaceDN w:val="0"/>
              <w:jc w:val="left"/>
              <w:rPr>
                <w:rFonts w:ascii="宋体" w:hAnsi="宋体" w:cs="宋体"/>
                <w:color w:val="auto"/>
                <w:sz w:val="22"/>
                <w:szCs w:val="22"/>
                <w:lang w:val="zh-CN" w:bidi="zh-CN"/>
              </w:rPr>
            </w:pPr>
          </w:p>
        </w:tc>
        <w:tc>
          <w:tcPr>
            <w:tcW w:w="1687" w:type="dxa"/>
          </w:tcPr>
          <w:p w14:paraId="21879000">
            <w:pPr>
              <w:autoSpaceDE w:val="0"/>
              <w:autoSpaceDN w:val="0"/>
              <w:jc w:val="left"/>
              <w:rPr>
                <w:rFonts w:ascii="宋体" w:hAnsi="宋体" w:cs="宋体"/>
                <w:color w:val="auto"/>
                <w:sz w:val="22"/>
                <w:szCs w:val="22"/>
                <w:lang w:val="zh-CN" w:bidi="zh-CN"/>
              </w:rPr>
            </w:pPr>
          </w:p>
        </w:tc>
        <w:tc>
          <w:tcPr>
            <w:tcW w:w="1178" w:type="dxa"/>
          </w:tcPr>
          <w:p w14:paraId="68AC1349">
            <w:pPr>
              <w:autoSpaceDE w:val="0"/>
              <w:autoSpaceDN w:val="0"/>
              <w:jc w:val="left"/>
              <w:rPr>
                <w:rFonts w:ascii="宋体" w:hAnsi="宋体" w:cs="宋体"/>
                <w:color w:val="auto"/>
                <w:sz w:val="22"/>
                <w:szCs w:val="22"/>
                <w:lang w:val="zh-CN" w:bidi="zh-CN"/>
              </w:rPr>
            </w:pPr>
          </w:p>
        </w:tc>
      </w:tr>
    </w:tbl>
    <w:p w14:paraId="6183A097">
      <w:pPr>
        <w:autoSpaceDE w:val="0"/>
        <w:autoSpaceDN w:val="0"/>
        <w:jc w:val="left"/>
        <w:rPr>
          <w:rFonts w:ascii="宋体" w:hAnsi="宋体" w:cs="宋体"/>
          <w:color w:val="auto"/>
          <w:kern w:val="0"/>
          <w:sz w:val="22"/>
          <w:szCs w:val="22"/>
          <w:lang w:val="zh-CN" w:bidi="zh-CN"/>
        </w:rPr>
      </w:pPr>
    </w:p>
    <w:p w14:paraId="11B4B7C5">
      <w:pPr>
        <w:autoSpaceDE w:val="0"/>
        <w:autoSpaceDN w:val="0"/>
        <w:jc w:val="left"/>
        <w:rPr>
          <w:rFonts w:ascii="宋体" w:hAnsi="宋体" w:cs="宋体"/>
          <w:color w:val="auto"/>
          <w:kern w:val="0"/>
          <w:sz w:val="22"/>
          <w:szCs w:val="22"/>
          <w:lang w:val="zh-CN" w:bidi="zh-CN"/>
        </w:rPr>
      </w:pPr>
    </w:p>
    <w:p w14:paraId="5CFABE28">
      <w:pPr>
        <w:autoSpaceDE w:val="0"/>
        <w:autoSpaceDN w:val="0"/>
        <w:jc w:val="left"/>
        <w:rPr>
          <w:rFonts w:ascii="宋体" w:hAnsi="宋体" w:cs="宋体"/>
          <w:b/>
          <w:color w:val="auto"/>
          <w:kern w:val="0"/>
          <w:sz w:val="24"/>
          <w:szCs w:val="22"/>
          <w:lang w:val="zh-CN" w:bidi="zh-CN"/>
        </w:rPr>
      </w:pPr>
      <w:r>
        <w:rPr>
          <w:rFonts w:hint="eastAsia" w:ascii="宋体" w:hAnsi="宋体" w:cs="宋体"/>
          <w:b/>
          <w:color w:val="auto"/>
          <w:kern w:val="0"/>
          <w:sz w:val="24"/>
          <w:szCs w:val="22"/>
          <w:lang w:val="zh-CN" w:bidi="zh-CN"/>
        </w:rPr>
        <w:t>要求：</w:t>
      </w:r>
    </w:p>
    <w:p w14:paraId="1A5DEA36">
      <w:pPr>
        <w:numPr>
          <w:ilvl w:val="0"/>
          <w:numId w:val="4"/>
        </w:numPr>
        <w:tabs>
          <w:tab w:val="left" w:pos="181"/>
        </w:tabs>
        <w:autoSpaceDE w:val="0"/>
        <w:autoSpaceDN w:val="0"/>
        <w:spacing w:before="183"/>
        <w:rPr>
          <w:rFonts w:ascii="宋体" w:hAnsi="宋体" w:cs="宋体"/>
          <w:b/>
          <w:color w:val="auto"/>
          <w:kern w:val="0"/>
          <w:sz w:val="24"/>
          <w:szCs w:val="22"/>
          <w:lang w:val="zh-CN" w:bidi="zh-CN"/>
        </w:rPr>
      </w:pPr>
      <w:r>
        <w:rPr>
          <w:rFonts w:hint="eastAsia" w:ascii="宋体" w:hAnsi="宋体" w:cs="宋体"/>
          <w:b/>
          <w:color w:val="auto"/>
          <w:kern w:val="0"/>
          <w:sz w:val="24"/>
          <w:szCs w:val="22"/>
          <w:lang w:val="zh-CN" w:bidi="zh-CN"/>
        </w:rPr>
        <w:t>使用科室负责人签字；</w:t>
      </w:r>
    </w:p>
    <w:p w14:paraId="1FEEDFC1">
      <w:pPr>
        <w:numPr>
          <w:ilvl w:val="0"/>
          <w:numId w:val="4"/>
        </w:numPr>
        <w:tabs>
          <w:tab w:val="left" w:pos="181"/>
        </w:tabs>
        <w:autoSpaceDE w:val="0"/>
        <w:autoSpaceDN w:val="0"/>
        <w:spacing w:before="182"/>
        <w:rPr>
          <w:rFonts w:ascii="宋体" w:hAnsi="宋体" w:cs="宋体"/>
          <w:b/>
          <w:color w:val="auto"/>
          <w:kern w:val="0"/>
          <w:sz w:val="24"/>
          <w:szCs w:val="22"/>
          <w:lang w:val="zh-CN" w:bidi="zh-CN"/>
        </w:rPr>
      </w:pPr>
      <w:r>
        <w:rPr>
          <w:rFonts w:hint="eastAsia" w:ascii="宋体" w:hAnsi="宋体" w:cs="宋体"/>
          <w:b/>
          <w:color w:val="auto"/>
          <w:kern w:val="0"/>
          <w:sz w:val="24"/>
          <w:szCs w:val="22"/>
          <w:lang w:val="zh-CN" w:bidi="zh-CN"/>
        </w:rPr>
        <w:t>本页附公司盖章并加盖整套合同骑缝章；</w:t>
      </w:r>
    </w:p>
    <w:p w14:paraId="2A0AA331">
      <w:pPr>
        <w:numPr>
          <w:ilvl w:val="0"/>
          <w:numId w:val="4"/>
        </w:numPr>
        <w:tabs>
          <w:tab w:val="left" w:pos="181"/>
        </w:tabs>
        <w:autoSpaceDE w:val="0"/>
        <w:autoSpaceDN w:val="0"/>
        <w:spacing w:before="183"/>
        <w:rPr>
          <w:rFonts w:ascii="宋体" w:hAnsi="宋体" w:cs="宋体"/>
          <w:b/>
          <w:color w:val="auto"/>
          <w:kern w:val="0"/>
          <w:sz w:val="24"/>
          <w:szCs w:val="22"/>
          <w:lang w:val="zh-CN" w:bidi="zh-CN"/>
        </w:rPr>
      </w:pPr>
      <w:r>
        <w:rPr>
          <w:rFonts w:hint="eastAsia" w:ascii="宋体" w:hAnsi="宋体" w:cs="宋体"/>
          <w:b/>
          <w:color w:val="auto"/>
          <w:kern w:val="0"/>
          <w:sz w:val="24"/>
          <w:szCs w:val="22"/>
          <w:lang w:val="zh-CN" w:bidi="zh-CN"/>
        </w:rPr>
        <w:t>每一台设备附一张易损件清单（如有）。</w:t>
      </w:r>
    </w:p>
    <w:p w14:paraId="655AE7B0">
      <w:pPr>
        <w:rPr>
          <w:rFonts w:ascii="宋体" w:hAnsi="宋体" w:cs="宋体"/>
          <w:color w:val="auto"/>
          <w:sz w:val="22"/>
        </w:rPr>
        <w:sectPr>
          <w:pgSz w:w="11900" w:h="16838"/>
          <w:pgMar w:top="1134" w:right="1559" w:bottom="680" w:left="1678" w:header="879" w:footer="0" w:gutter="0"/>
          <w:cols w:space="0" w:num="1"/>
        </w:sectPr>
      </w:pPr>
    </w:p>
    <w:p w14:paraId="6613FF8E">
      <w:pPr>
        <w:autoSpaceDE w:val="0"/>
        <w:autoSpaceDN w:val="0"/>
        <w:spacing w:before="14"/>
        <w:jc w:val="left"/>
        <w:rPr>
          <w:rFonts w:ascii="宋体" w:hAnsi="宋体" w:cs="宋体"/>
          <w:b/>
          <w:color w:val="auto"/>
          <w:sz w:val="10"/>
          <w:lang w:val="zh-CN" w:bidi="zh-CN"/>
        </w:rPr>
      </w:pPr>
    </w:p>
    <w:p w14:paraId="141E6C73">
      <w:pPr>
        <w:rPr>
          <w:rFonts w:ascii="宋体" w:hAnsi="宋体" w:cs="宋体"/>
          <w:color w:val="auto"/>
          <w:sz w:val="10"/>
        </w:rPr>
        <w:sectPr>
          <w:pgSz w:w="11900" w:h="16838"/>
          <w:pgMar w:top="1134" w:right="1559" w:bottom="680" w:left="1678" w:header="879" w:footer="227" w:gutter="0"/>
          <w:cols w:space="0" w:num="1"/>
        </w:sectPr>
      </w:pPr>
    </w:p>
    <w:p w14:paraId="35D767CC">
      <w:pPr>
        <w:autoSpaceDE w:val="0"/>
        <w:autoSpaceDN w:val="0"/>
        <w:spacing w:before="17"/>
        <w:jc w:val="center"/>
        <w:rPr>
          <w:rFonts w:ascii="宋体" w:hAnsi="宋体" w:cs="宋体"/>
          <w:b/>
          <w:color w:val="auto"/>
          <w:sz w:val="26"/>
          <w:lang w:val="zh-CN" w:bidi="zh-CN"/>
        </w:rPr>
      </w:pPr>
      <w:r>
        <w:rPr>
          <w:rFonts w:hint="eastAsia" w:ascii="宋体" w:hAnsi="宋体" w:cs="宋体"/>
          <w:b/>
          <w:color w:val="auto"/>
          <w:kern w:val="0"/>
          <w:sz w:val="44"/>
          <w:szCs w:val="44"/>
          <w:lang w:val="zh-CN" w:bidi="zh-CN"/>
        </w:rPr>
        <w:t>售后服务承诺书</w:t>
      </w:r>
    </w:p>
    <w:p w14:paraId="23B5DFF1">
      <w:pPr>
        <w:autoSpaceDE w:val="0"/>
        <w:autoSpaceDN w:val="0"/>
        <w:spacing w:line="480" w:lineRule="exact"/>
        <w:ind w:left="220"/>
        <w:jc w:val="left"/>
        <w:rPr>
          <w:rFonts w:ascii="宋体" w:hAnsi="宋体" w:cs="宋体"/>
          <w:b/>
          <w:color w:val="auto"/>
          <w:kern w:val="0"/>
          <w:sz w:val="44"/>
          <w:szCs w:val="44"/>
          <w:lang w:val="zh-CN" w:bidi="zh-CN"/>
        </w:rPr>
      </w:pPr>
      <w:r>
        <w:rPr>
          <w:rFonts w:hint="eastAsia" w:ascii="宋体" w:hAnsi="宋体" w:cs="宋体"/>
          <w:b/>
          <w:bCs/>
          <w:color w:val="auto"/>
          <w:sz w:val="24"/>
          <w:lang w:val="zh-CN" w:bidi="zh-CN"/>
        </w:rPr>
        <w:t>中南大学湘雅医院：</w:t>
      </w:r>
    </w:p>
    <w:p w14:paraId="6A0333D9">
      <w:pPr>
        <w:autoSpaceDE w:val="0"/>
        <w:autoSpaceDN w:val="0"/>
        <w:spacing w:line="480" w:lineRule="exact"/>
        <w:jc w:val="left"/>
        <w:rPr>
          <w:rFonts w:ascii="宋体" w:hAnsi="宋体" w:cs="宋体"/>
          <w:color w:val="auto"/>
          <w:sz w:val="44"/>
          <w:szCs w:val="44"/>
        </w:rPr>
        <w:sectPr>
          <w:type w:val="continuous"/>
          <w:pgSz w:w="11900" w:h="16838"/>
          <w:pgMar w:top="1134" w:right="1559" w:bottom="680" w:left="1678" w:header="879" w:footer="0" w:gutter="0"/>
          <w:cols w:space="0" w:num="1"/>
        </w:sectPr>
      </w:pPr>
    </w:p>
    <w:p w14:paraId="6E9A5B8B">
      <w:pPr>
        <w:tabs>
          <w:tab w:val="left" w:pos="4280"/>
          <w:tab w:val="left" w:pos="8411"/>
        </w:tabs>
        <w:autoSpaceDE w:val="0"/>
        <w:autoSpaceDN w:val="0"/>
        <w:spacing w:line="480" w:lineRule="exact"/>
        <w:ind w:left="692"/>
        <w:jc w:val="left"/>
        <w:rPr>
          <w:rFonts w:ascii="宋体" w:hAnsi="宋体" w:cs="宋体"/>
          <w:b/>
          <w:color w:val="auto"/>
          <w:kern w:val="0"/>
          <w:sz w:val="24"/>
          <w:lang w:val="zh-CN" w:bidi="zh-CN"/>
        </w:rPr>
      </w:pPr>
      <w:r>
        <w:rPr>
          <w:rFonts w:hint="eastAsia" w:ascii="宋体" w:hAnsi="宋体" w:cs="宋体"/>
          <w:b/>
          <w:color w:val="auto"/>
          <w:spacing w:val="21"/>
          <w:kern w:val="0"/>
          <w:sz w:val="24"/>
          <w:lang w:val="zh-CN" w:bidi="zh-CN"/>
        </w:rPr>
        <w:t>我公司</w:t>
      </w:r>
      <w:r>
        <w:rPr>
          <w:rFonts w:hint="eastAsia" w:ascii="宋体" w:hAnsi="宋体" w:cs="宋体"/>
          <w:b/>
          <w:color w:val="auto"/>
          <w:spacing w:val="21"/>
          <w:kern w:val="0"/>
          <w:sz w:val="24"/>
          <w:u w:val="thick"/>
          <w:lang w:val="zh-CN" w:bidi="zh-CN"/>
        </w:rPr>
        <w:t xml:space="preserve"> </w:t>
      </w:r>
      <w:r>
        <w:rPr>
          <w:rFonts w:hint="eastAsia" w:ascii="宋体" w:hAnsi="宋体" w:cs="宋体"/>
          <w:b/>
          <w:color w:val="auto"/>
          <w:spacing w:val="21"/>
          <w:kern w:val="0"/>
          <w:sz w:val="24"/>
          <w:u w:val="thick"/>
          <w:lang w:val="zh-CN" w:bidi="zh-CN"/>
        </w:rPr>
        <w:tab/>
      </w:r>
      <w:r>
        <w:rPr>
          <w:rFonts w:hint="eastAsia" w:ascii="宋体" w:hAnsi="宋体" w:cs="宋体"/>
          <w:b/>
          <w:color w:val="auto"/>
          <w:spacing w:val="21"/>
          <w:kern w:val="0"/>
          <w:sz w:val="24"/>
          <w:lang w:val="zh-CN" w:bidi="zh-CN"/>
        </w:rPr>
        <w:t>对销售</w:t>
      </w:r>
      <w:r>
        <w:rPr>
          <w:rFonts w:hint="eastAsia" w:ascii="宋体" w:hAnsi="宋体" w:cs="宋体"/>
          <w:b/>
          <w:color w:val="auto"/>
          <w:spacing w:val="19"/>
          <w:kern w:val="0"/>
          <w:sz w:val="24"/>
          <w:lang w:val="zh-CN" w:bidi="zh-CN"/>
        </w:rPr>
        <w:t>给</w:t>
      </w:r>
      <w:r>
        <w:rPr>
          <w:rFonts w:hint="eastAsia" w:ascii="宋体" w:hAnsi="宋体" w:cs="宋体"/>
          <w:b/>
          <w:color w:val="auto"/>
          <w:spacing w:val="21"/>
          <w:kern w:val="0"/>
          <w:sz w:val="24"/>
          <w:lang w:val="zh-CN" w:bidi="zh-CN"/>
        </w:rPr>
        <w:t>贵院的</w:t>
      </w:r>
      <w:r>
        <w:rPr>
          <w:rFonts w:hint="eastAsia" w:ascii="宋体" w:hAnsi="宋体" w:cs="宋体"/>
          <w:b/>
          <w:color w:val="auto"/>
          <w:spacing w:val="21"/>
          <w:kern w:val="0"/>
          <w:sz w:val="24"/>
          <w:u w:val="thick"/>
          <w:lang w:val="zh-CN" w:bidi="zh-CN"/>
        </w:rPr>
        <w:t xml:space="preserve"> </w:t>
      </w:r>
      <w:r>
        <w:rPr>
          <w:rFonts w:hint="eastAsia" w:ascii="宋体" w:hAnsi="宋体" w:cs="宋体"/>
          <w:b/>
          <w:color w:val="auto"/>
          <w:spacing w:val="21"/>
          <w:kern w:val="0"/>
          <w:sz w:val="24"/>
          <w:u w:val="thick"/>
          <w:lang w:val="zh-CN" w:bidi="zh-CN"/>
        </w:rPr>
        <w:tab/>
      </w:r>
      <w:r>
        <w:rPr>
          <w:rFonts w:hint="eastAsia" w:ascii="宋体" w:hAnsi="宋体" w:cs="宋体"/>
          <w:b/>
          <w:color w:val="auto"/>
          <w:kern w:val="0"/>
          <w:sz w:val="24"/>
          <w:lang w:val="zh-CN" w:bidi="zh-CN"/>
        </w:rPr>
        <w:t>_</w:t>
      </w:r>
    </w:p>
    <w:p w14:paraId="32B6DEAE">
      <w:pPr>
        <w:autoSpaceDE w:val="0"/>
        <w:autoSpaceDN w:val="0"/>
        <w:spacing w:line="480" w:lineRule="exact"/>
        <w:ind w:left="219"/>
        <w:jc w:val="left"/>
        <w:rPr>
          <w:rFonts w:ascii="宋体" w:hAnsi="宋体" w:cs="宋体"/>
          <w:b/>
          <w:color w:val="auto"/>
          <w:kern w:val="0"/>
          <w:sz w:val="24"/>
          <w:lang w:val="zh-CN" w:bidi="zh-CN"/>
        </w:rPr>
      </w:pPr>
      <w:r>
        <w:rPr>
          <w:rFonts w:hint="eastAsia" w:ascii="宋体" w:hAnsi="宋体" w:cs="宋体"/>
          <w:b/>
          <w:color w:val="auto"/>
          <w:kern w:val="0"/>
          <w:sz w:val="24"/>
          <w:lang w:val="zh-CN" w:bidi="zh-CN"/>
        </w:rPr>
        <w:t>郑重承诺如下：</w:t>
      </w:r>
    </w:p>
    <w:p w14:paraId="2C89845E">
      <w:pPr>
        <w:autoSpaceDE w:val="0"/>
        <w:autoSpaceDN w:val="0"/>
        <w:spacing w:line="480" w:lineRule="exact"/>
        <w:ind w:left="702"/>
        <w:jc w:val="left"/>
        <w:rPr>
          <w:rFonts w:ascii="宋体" w:hAnsi="宋体" w:cs="宋体"/>
          <w:b/>
          <w:color w:val="auto"/>
          <w:kern w:val="0"/>
          <w:sz w:val="24"/>
          <w:lang w:val="zh-CN" w:bidi="zh-CN"/>
        </w:rPr>
      </w:pPr>
      <w:r>
        <w:rPr>
          <w:rFonts w:hint="eastAsia" w:ascii="宋体" w:hAnsi="宋体" w:cs="宋体"/>
          <w:b/>
          <w:color w:val="auto"/>
          <w:kern w:val="0"/>
          <w:sz w:val="24"/>
          <w:lang w:val="zh-CN" w:bidi="zh-CN"/>
        </w:rPr>
        <w:t>一．技术资料：我方负责提供：</w:t>
      </w:r>
    </w:p>
    <w:p w14:paraId="32A7C4BE">
      <w:pPr>
        <w:autoSpaceDE w:val="0"/>
        <w:autoSpaceDN w:val="0"/>
        <w:spacing w:line="480" w:lineRule="exact"/>
        <w:ind w:left="699"/>
        <w:jc w:val="left"/>
        <w:rPr>
          <w:rFonts w:ascii="宋体" w:hAnsi="宋体" w:cs="宋体"/>
          <w:color w:val="auto"/>
          <w:sz w:val="24"/>
          <w:lang w:val="zh-CN" w:bidi="zh-CN"/>
        </w:rPr>
      </w:pPr>
      <w:r>
        <w:rPr>
          <w:rFonts w:hint="eastAsia" w:ascii="宋体" w:hAnsi="宋体" w:cs="宋体"/>
          <w:color w:val="auto"/>
          <w:sz w:val="24"/>
          <w:lang w:val="zh-CN" w:bidi="zh-CN"/>
        </w:rPr>
        <w:t>1、整机及外购件合格证等有关证明；</w:t>
      </w:r>
    </w:p>
    <w:p w14:paraId="69338882">
      <w:pPr>
        <w:autoSpaceDE w:val="0"/>
        <w:autoSpaceDN w:val="0"/>
        <w:spacing w:before="4" w:line="480" w:lineRule="exact"/>
        <w:ind w:left="699"/>
        <w:jc w:val="left"/>
        <w:rPr>
          <w:rFonts w:ascii="宋体" w:hAnsi="宋体" w:cs="宋体"/>
          <w:color w:val="auto"/>
          <w:sz w:val="24"/>
          <w:lang w:val="zh-CN" w:bidi="zh-CN"/>
        </w:rPr>
      </w:pPr>
      <w:r>
        <w:rPr>
          <w:rFonts w:hint="eastAsia" w:ascii="宋体" w:hAnsi="宋体" w:cs="宋体"/>
          <w:color w:val="auto"/>
          <w:sz w:val="24"/>
          <w:lang w:val="zh-CN" w:bidi="zh-CN"/>
        </w:rPr>
        <w:t>2、设备的能源消耗指标及参数；</w:t>
      </w:r>
    </w:p>
    <w:p w14:paraId="7908DB1C">
      <w:pPr>
        <w:autoSpaceDE w:val="0"/>
        <w:autoSpaceDN w:val="0"/>
        <w:spacing w:before="5" w:line="480" w:lineRule="exact"/>
        <w:ind w:left="699"/>
        <w:jc w:val="left"/>
        <w:rPr>
          <w:rFonts w:ascii="宋体" w:hAnsi="宋体" w:cs="宋体"/>
          <w:color w:val="auto"/>
          <w:sz w:val="24"/>
          <w:lang w:val="zh-CN" w:bidi="zh-CN"/>
        </w:rPr>
      </w:pPr>
      <w:r>
        <w:rPr>
          <w:rFonts w:hint="eastAsia" w:ascii="宋体" w:hAnsi="宋体" w:cs="宋体"/>
          <w:color w:val="auto"/>
          <w:sz w:val="24"/>
          <w:lang w:val="zh-CN" w:bidi="zh-CN"/>
        </w:rPr>
        <w:t>3、验收标准及各条款供院方参考；</w:t>
      </w:r>
    </w:p>
    <w:p w14:paraId="63CAB2FC">
      <w:pPr>
        <w:autoSpaceDE w:val="0"/>
        <w:autoSpaceDN w:val="0"/>
        <w:spacing w:before="4" w:line="480" w:lineRule="exact"/>
        <w:ind w:left="219" w:right="1016" w:firstLine="480"/>
        <w:jc w:val="left"/>
        <w:rPr>
          <w:rFonts w:ascii="宋体" w:hAnsi="宋体" w:cs="宋体"/>
          <w:color w:val="auto"/>
          <w:sz w:val="24"/>
          <w:lang w:val="zh-CN" w:bidi="zh-CN"/>
        </w:rPr>
      </w:pPr>
      <w:r>
        <w:rPr>
          <w:rFonts w:hint="eastAsia" w:ascii="宋体" w:hAnsi="宋体" w:cs="宋体"/>
          <w:color w:val="auto"/>
          <w:sz w:val="24"/>
          <w:lang w:val="zh-CN" w:bidi="zh-CN"/>
        </w:rPr>
        <w:t>4、提供操作及维护保养的具体内容（即保障设备能够正常运行以及日后维修保养的相关资料——原厂操作手册和维修手册）。</w:t>
      </w:r>
    </w:p>
    <w:p w14:paraId="72416A73">
      <w:pPr>
        <w:autoSpaceDE w:val="0"/>
        <w:autoSpaceDN w:val="0"/>
        <w:spacing w:line="480" w:lineRule="exact"/>
        <w:ind w:left="702"/>
        <w:jc w:val="left"/>
        <w:rPr>
          <w:rFonts w:ascii="宋体" w:hAnsi="宋体" w:cs="宋体"/>
          <w:b/>
          <w:bCs/>
          <w:color w:val="auto"/>
          <w:sz w:val="24"/>
          <w:lang w:val="zh-CN" w:bidi="zh-CN"/>
        </w:rPr>
      </w:pPr>
      <w:r>
        <w:rPr>
          <w:rFonts w:hint="eastAsia" w:ascii="宋体" w:hAnsi="宋体" w:cs="宋体"/>
          <w:b/>
          <w:bCs/>
          <w:color w:val="auto"/>
          <w:sz w:val="24"/>
          <w:lang w:val="zh-CN" w:bidi="zh-CN"/>
        </w:rPr>
        <w:t>二．安装及培训：</w:t>
      </w:r>
    </w:p>
    <w:p w14:paraId="529DB61D">
      <w:pPr>
        <w:autoSpaceDE w:val="0"/>
        <w:autoSpaceDN w:val="0"/>
        <w:spacing w:line="480" w:lineRule="exact"/>
        <w:ind w:left="699"/>
        <w:jc w:val="left"/>
        <w:rPr>
          <w:rFonts w:ascii="宋体" w:hAnsi="宋体" w:cs="宋体"/>
          <w:color w:val="auto"/>
          <w:sz w:val="24"/>
          <w:lang w:val="zh-CN" w:bidi="zh-CN"/>
        </w:rPr>
      </w:pPr>
      <w:r>
        <w:rPr>
          <w:rFonts w:hint="eastAsia" w:ascii="宋体" w:hAnsi="宋体" w:cs="宋体"/>
          <w:color w:val="auto"/>
          <w:sz w:val="24"/>
          <w:lang w:val="zh-CN" w:bidi="zh-CN"/>
        </w:rPr>
        <w:t>1、我方委派本公司负责所在范围的工程师到贵院进行设备的安装、调试及</w:t>
      </w:r>
    </w:p>
    <w:p w14:paraId="07604597">
      <w:pPr>
        <w:autoSpaceDE w:val="0"/>
        <w:autoSpaceDN w:val="0"/>
        <w:spacing w:before="5" w:line="480" w:lineRule="exact"/>
        <w:ind w:left="220" w:right="1015"/>
        <w:jc w:val="left"/>
        <w:rPr>
          <w:rFonts w:ascii="宋体" w:hAnsi="宋体" w:cs="宋体"/>
          <w:color w:val="auto"/>
          <w:sz w:val="24"/>
          <w:lang w:val="zh-CN" w:bidi="zh-CN"/>
        </w:rPr>
      </w:pPr>
      <w:r>
        <w:rPr>
          <w:rFonts w:hint="eastAsia" w:ascii="宋体" w:hAnsi="宋体" w:cs="宋体"/>
          <w:color w:val="auto"/>
          <w:spacing w:val="-10"/>
          <w:sz w:val="24"/>
          <w:lang w:val="zh-CN" w:bidi="zh-CN"/>
        </w:rPr>
        <w:t>试运行，直到技术指标完全符合本次投标文件要求为止。并由最终用户代表及工</w:t>
      </w:r>
      <w:r>
        <w:rPr>
          <w:rFonts w:hint="eastAsia" w:ascii="宋体" w:hAnsi="宋体" w:cs="宋体"/>
          <w:color w:val="auto"/>
          <w:sz w:val="24"/>
          <w:lang w:val="zh-CN" w:bidi="zh-CN"/>
        </w:rPr>
        <w:t>程师共同在安装报告书上签字验收。</w:t>
      </w:r>
    </w:p>
    <w:p w14:paraId="135A572C">
      <w:pPr>
        <w:autoSpaceDE w:val="0"/>
        <w:autoSpaceDN w:val="0"/>
        <w:spacing w:before="3" w:line="480" w:lineRule="exact"/>
        <w:ind w:left="700"/>
        <w:jc w:val="left"/>
        <w:rPr>
          <w:rFonts w:ascii="宋体" w:hAnsi="宋体" w:cs="宋体"/>
          <w:color w:val="auto"/>
          <w:sz w:val="24"/>
          <w:lang w:val="zh-CN" w:bidi="zh-CN"/>
        </w:rPr>
      </w:pPr>
      <w:r>
        <w:rPr>
          <w:rFonts w:hint="eastAsia" w:ascii="宋体" w:hAnsi="宋体" w:cs="宋体"/>
          <w:color w:val="auto"/>
          <w:sz w:val="24"/>
          <w:lang w:val="zh-CN" w:bidi="zh-CN"/>
        </w:rPr>
        <w:t>2、在安装调试期间对用户进行技术培训，并提供相应培训资料。</w:t>
      </w:r>
    </w:p>
    <w:p w14:paraId="0BCEF7FF">
      <w:pPr>
        <w:tabs>
          <w:tab w:val="left" w:pos="6601"/>
          <w:tab w:val="left" w:pos="8581"/>
        </w:tabs>
        <w:autoSpaceDE w:val="0"/>
        <w:autoSpaceDN w:val="0"/>
        <w:spacing w:before="4" w:line="480" w:lineRule="exact"/>
        <w:ind w:left="220" w:right="956" w:firstLine="480"/>
        <w:rPr>
          <w:rFonts w:ascii="宋体" w:hAnsi="宋体" w:cs="宋体"/>
          <w:color w:val="auto"/>
          <w:sz w:val="24"/>
          <w:lang w:val="zh-CN" w:bidi="zh-CN"/>
        </w:rPr>
      </w:pPr>
      <w:r>
        <w:rPr>
          <w:rFonts w:hint="eastAsia" w:ascii="宋体" w:hAnsi="宋体" w:cs="宋体"/>
          <w:color w:val="auto"/>
          <w:sz w:val="24"/>
          <w:lang w:val="zh-CN" w:bidi="zh-CN"/>
        </w:rPr>
        <w:t>3、在设备保修期内免费为医院技术人员提供操作</w:t>
      </w:r>
      <w:r>
        <w:rPr>
          <w:rFonts w:hint="eastAsia" w:ascii="宋体" w:hAnsi="宋体" w:cs="宋体"/>
          <w:color w:val="auto"/>
          <w:sz w:val="24"/>
          <w:u w:val="single"/>
          <w:lang w:val="zh-CN" w:bidi="zh-CN"/>
        </w:rPr>
        <w:t xml:space="preserve"> </w:t>
      </w:r>
      <w:r>
        <w:rPr>
          <w:rFonts w:hint="eastAsia" w:ascii="宋体" w:hAnsi="宋体" w:cs="宋体"/>
          <w:color w:val="auto"/>
          <w:sz w:val="24"/>
          <w:u w:val="single"/>
          <w:lang w:val="zh-CN" w:bidi="zh-CN"/>
        </w:rPr>
        <w:tab/>
      </w:r>
      <w:r>
        <w:rPr>
          <w:rFonts w:hint="eastAsia" w:ascii="宋体" w:hAnsi="宋体" w:cs="宋体"/>
          <w:color w:val="auto"/>
          <w:sz w:val="24"/>
          <w:lang w:val="zh-CN" w:bidi="zh-CN"/>
        </w:rPr>
        <w:t>人次、维修</w:t>
      </w:r>
      <w:r>
        <w:rPr>
          <w:rFonts w:hint="eastAsia" w:ascii="宋体" w:hAnsi="宋体" w:cs="宋体"/>
          <w:color w:val="auto"/>
          <w:sz w:val="24"/>
          <w:u w:val="single"/>
          <w:lang w:val="zh-CN" w:bidi="zh-CN"/>
        </w:rPr>
        <w:tab/>
      </w:r>
      <w:r>
        <w:rPr>
          <w:rFonts w:hint="eastAsia" w:ascii="宋体" w:hAnsi="宋体" w:cs="宋体"/>
          <w:color w:val="auto"/>
          <w:sz w:val="24"/>
          <w:u w:val="single"/>
          <w:lang w:val="zh-CN" w:bidi="zh-CN"/>
        </w:rPr>
        <w:t xml:space="preserve"> </w:t>
      </w:r>
      <w:r>
        <w:rPr>
          <w:rFonts w:hint="eastAsia" w:ascii="宋体" w:hAnsi="宋体" w:cs="宋体"/>
          <w:color w:val="auto"/>
          <w:sz w:val="24"/>
          <w:lang w:val="zh-CN" w:bidi="zh-CN"/>
        </w:rPr>
        <w:t>人次的培训</w:t>
      </w:r>
      <w:r>
        <w:rPr>
          <w:rFonts w:hint="eastAsia" w:ascii="宋体" w:hAnsi="宋体" w:cs="宋体"/>
          <w:color w:val="auto"/>
          <w:spacing w:val="-48"/>
          <w:sz w:val="24"/>
          <w:lang w:val="zh-CN" w:bidi="zh-CN"/>
        </w:rPr>
        <w:t>。</w:t>
      </w:r>
      <w:r>
        <w:rPr>
          <w:rFonts w:hint="eastAsia" w:ascii="宋体" w:hAnsi="宋体" w:cs="宋体"/>
          <w:color w:val="auto"/>
          <w:sz w:val="24"/>
          <w:lang w:val="zh-CN" w:bidi="zh-CN"/>
        </w:rPr>
        <w:t>操作培训要求在与贵院同级别或以上的医院进行</w:t>
      </w:r>
      <w:r>
        <w:rPr>
          <w:rFonts w:hint="eastAsia" w:ascii="宋体" w:hAnsi="宋体" w:cs="宋体"/>
          <w:color w:val="auto"/>
          <w:spacing w:val="-48"/>
          <w:sz w:val="24"/>
          <w:lang w:val="zh-CN" w:bidi="zh-CN"/>
        </w:rPr>
        <w:t>；</w:t>
      </w:r>
      <w:r>
        <w:rPr>
          <w:rFonts w:hint="eastAsia" w:ascii="宋体" w:hAnsi="宋体" w:cs="宋体"/>
          <w:color w:val="auto"/>
          <w:sz w:val="24"/>
          <w:lang w:val="zh-CN" w:bidi="zh-CN"/>
        </w:rPr>
        <w:t>维修培训要求在厂家维修站、培训中心或所在科室进行；培训时间</w:t>
      </w:r>
      <w:r>
        <w:rPr>
          <w:rFonts w:hint="eastAsia" w:ascii="宋体" w:hAnsi="宋体" w:cs="宋体"/>
          <w:color w:val="auto"/>
          <w:spacing w:val="-60"/>
          <w:sz w:val="24"/>
          <w:lang w:val="zh-CN" w:bidi="zh-CN"/>
        </w:rPr>
        <w:t xml:space="preserve"> </w:t>
      </w:r>
      <w:r>
        <w:rPr>
          <w:rFonts w:hint="eastAsia" w:ascii="宋体" w:hAnsi="宋体" w:cs="宋体"/>
          <w:color w:val="auto"/>
          <w:sz w:val="24"/>
          <w:lang w:val="zh-CN" w:bidi="zh-CN"/>
        </w:rPr>
        <w:t>3-5</w:t>
      </w:r>
      <w:r>
        <w:rPr>
          <w:rFonts w:hint="eastAsia" w:ascii="宋体" w:hAnsi="宋体" w:cs="宋体"/>
          <w:color w:val="auto"/>
          <w:spacing w:val="-60"/>
          <w:sz w:val="24"/>
          <w:lang w:val="zh-CN" w:bidi="zh-CN"/>
        </w:rPr>
        <w:t xml:space="preserve"> </w:t>
      </w:r>
      <w:r>
        <w:rPr>
          <w:rFonts w:hint="eastAsia" w:ascii="宋体" w:hAnsi="宋体" w:cs="宋体"/>
          <w:color w:val="auto"/>
          <w:sz w:val="24"/>
          <w:lang w:val="zh-CN" w:bidi="zh-CN"/>
        </w:rPr>
        <w:t>天。</w:t>
      </w:r>
    </w:p>
    <w:p w14:paraId="1E0CB047">
      <w:pPr>
        <w:autoSpaceDE w:val="0"/>
        <w:autoSpaceDN w:val="0"/>
        <w:spacing w:line="480" w:lineRule="exact"/>
        <w:ind w:left="702"/>
        <w:jc w:val="left"/>
        <w:rPr>
          <w:rFonts w:ascii="宋体" w:hAnsi="宋体" w:cs="宋体"/>
          <w:b/>
          <w:bCs/>
          <w:color w:val="auto"/>
          <w:sz w:val="24"/>
          <w:lang w:val="zh-CN" w:bidi="zh-CN"/>
        </w:rPr>
      </w:pPr>
      <w:r>
        <w:rPr>
          <w:rFonts w:hint="eastAsia" w:ascii="宋体" w:hAnsi="宋体" w:cs="宋体"/>
          <w:b/>
          <w:bCs/>
          <w:color w:val="auto"/>
          <w:sz w:val="24"/>
          <w:lang w:val="zh-CN" w:bidi="zh-CN"/>
        </w:rPr>
        <w:t>三．保修期及范围：</w:t>
      </w:r>
    </w:p>
    <w:p w14:paraId="67D367EF">
      <w:pPr>
        <w:tabs>
          <w:tab w:val="left" w:pos="6601"/>
          <w:tab w:val="left" w:pos="8581"/>
        </w:tabs>
        <w:autoSpaceDE w:val="0"/>
        <w:autoSpaceDN w:val="0"/>
        <w:spacing w:line="480" w:lineRule="exact"/>
        <w:ind w:left="700"/>
        <w:jc w:val="left"/>
        <w:rPr>
          <w:rFonts w:ascii="宋体" w:hAnsi="宋体" w:cs="宋体"/>
          <w:color w:val="auto"/>
          <w:sz w:val="24"/>
          <w:lang w:val="zh-CN" w:bidi="zh-CN"/>
        </w:rPr>
      </w:pPr>
      <w:r>
        <w:rPr>
          <w:rFonts w:hint="eastAsia" w:ascii="宋体" w:hAnsi="宋体" w:cs="宋体"/>
          <w:color w:val="auto"/>
          <w:sz w:val="24"/>
          <w:lang w:val="zh-CN" w:bidi="zh-CN"/>
        </w:rPr>
        <w:t>1、保修期为设备安装验收合格之日起整机免费保修</w:t>
      </w:r>
      <w:r>
        <w:rPr>
          <w:rFonts w:hint="eastAsia" w:ascii="宋体" w:hAnsi="宋体" w:cs="宋体"/>
          <w:color w:val="auto"/>
          <w:sz w:val="24"/>
          <w:u w:val="single"/>
          <w:lang w:val="zh-CN" w:bidi="zh-CN"/>
        </w:rPr>
        <w:t xml:space="preserve"> </w:t>
      </w:r>
      <w:r>
        <w:rPr>
          <w:rFonts w:hint="eastAsia" w:ascii="宋体" w:hAnsi="宋体" w:cs="宋体"/>
          <w:color w:val="auto"/>
          <w:sz w:val="24"/>
          <w:u w:val="single"/>
          <w:lang w:val="zh-CN" w:bidi="zh-CN"/>
        </w:rPr>
        <w:tab/>
      </w:r>
      <w:r>
        <w:rPr>
          <w:rFonts w:hint="eastAsia" w:ascii="宋体" w:hAnsi="宋体" w:cs="宋体"/>
          <w:color w:val="auto"/>
          <w:sz w:val="24"/>
          <w:lang w:val="zh-CN" w:bidi="zh-CN"/>
        </w:rPr>
        <w:t>年；配件保修</w:t>
      </w:r>
      <w:r>
        <w:rPr>
          <w:rFonts w:hint="eastAsia" w:ascii="宋体" w:hAnsi="宋体" w:cs="宋体"/>
          <w:color w:val="auto"/>
          <w:sz w:val="24"/>
          <w:u w:val="single"/>
          <w:lang w:val="zh-CN" w:bidi="zh-CN"/>
        </w:rPr>
        <w:t xml:space="preserve"> </w:t>
      </w:r>
      <w:r>
        <w:rPr>
          <w:rFonts w:hint="eastAsia" w:ascii="宋体" w:hAnsi="宋体" w:cs="宋体"/>
          <w:color w:val="auto"/>
          <w:sz w:val="24"/>
          <w:u w:val="single"/>
          <w:lang w:val="zh-CN" w:bidi="zh-CN"/>
        </w:rPr>
        <w:tab/>
      </w:r>
    </w:p>
    <w:p w14:paraId="34473B5A">
      <w:pPr>
        <w:autoSpaceDE w:val="0"/>
        <w:autoSpaceDN w:val="0"/>
        <w:spacing w:before="5" w:line="480" w:lineRule="exact"/>
        <w:ind w:left="220"/>
        <w:jc w:val="left"/>
        <w:rPr>
          <w:rFonts w:ascii="宋体" w:hAnsi="宋体" w:cs="宋体"/>
          <w:color w:val="auto"/>
          <w:sz w:val="24"/>
          <w:lang w:val="zh-CN" w:bidi="zh-CN"/>
        </w:rPr>
      </w:pPr>
      <w:r>
        <w:rPr>
          <w:rFonts w:hint="eastAsia" w:ascii="宋体" w:hAnsi="宋体" w:cs="宋体"/>
          <w:color w:val="auto"/>
          <w:sz w:val="24"/>
          <w:lang w:val="zh-CN" w:bidi="zh-CN"/>
        </w:rPr>
        <w:t>年。</w:t>
      </w:r>
    </w:p>
    <w:p w14:paraId="2BBCCB61">
      <w:pPr>
        <w:autoSpaceDE w:val="0"/>
        <w:autoSpaceDN w:val="0"/>
        <w:spacing w:before="4" w:line="480" w:lineRule="exact"/>
        <w:ind w:left="220" w:right="1016" w:firstLine="480"/>
        <w:jc w:val="left"/>
        <w:rPr>
          <w:rFonts w:ascii="宋体" w:hAnsi="宋体" w:cs="宋体"/>
          <w:color w:val="auto"/>
          <w:sz w:val="24"/>
          <w:lang w:val="zh-CN" w:bidi="zh-CN"/>
        </w:rPr>
      </w:pPr>
      <w:r>
        <w:rPr>
          <w:rFonts w:hint="eastAsia" w:ascii="宋体" w:hAnsi="宋体" w:cs="宋体"/>
          <w:color w:val="auto"/>
          <w:sz w:val="24"/>
          <w:lang w:val="zh-CN" w:bidi="zh-CN"/>
        </w:rPr>
        <w:t>2、保修范围为新设备除耗材外的所有部件。保修期内发生的一切维修费用全额由我方负责（因人为因素造成的故障除外）。</w:t>
      </w:r>
    </w:p>
    <w:p w14:paraId="04D3205C">
      <w:pPr>
        <w:autoSpaceDE w:val="0"/>
        <w:autoSpaceDN w:val="0"/>
        <w:spacing w:line="480" w:lineRule="exact"/>
        <w:ind w:left="702"/>
        <w:jc w:val="left"/>
        <w:rPr>
          <w:rFonts w:ascii="宋体" w:hAnsi="宋体" w:cs="宋体"/>
          <w:b/>
          <w:bCs/>
          <w:color w:val="auto"/>
          <w:sz w:val="24"/>
          <w:lang w:val="zh-CN" w:bidi="zh-CN"/>
        </w:rPr>
      </w:pPr>
      <w:r>
        <w:rPr>
          <w:rFonts w:hint="eastAsia" w:ascii="宋体" w:hAnsi="宋体" w:cs="宋体"/>
          <w:b/>
          <w:bCs/>
          <w:color w:val="auto"/>
          <w:sz w:val="24"/>
          <w:lang w:val="zh-CN" w:bidi="zh-CN"/>
        </w:rPr>
        <w:t>四．售后服务：</w:t>
      </w:r>
    </w:p>
    <w:p w14:paraId="328D0DEA">
      <w:pPr>
        <w:autoSpaceDE w:val="0"/>
        <w:autoSpaceDN w:val="0"/>
        <w:spacing w:line="480" w:lineRule="exact"/>
        <w:ind w:left="700"/>
        <w:jc w:val="left"/>
        <w:rPr>
          <w:rFonts w:ascii="宋体" w:hAnsi="宋体" w:cs="宋体"/>
          <w:color w:val="auto"/>
          <w:sz w:val="24"/>
          <w:lang w:val="zh-CN" w:bidi="zh-CN"/>
        </w:rPr>
      </w:pPr>
      <w:r>
        <w:rPr>
          <w:rFonts w:hint="eastAsia" w:ascii="宋体" w:hAnsi="宋体" w:cs="宋体"/>
          <w:color w:val="auto"/>
          <w:sz w:val="24"/>
          <w:lang w:val="zh-CN" w:bidi="zh-CN"/>
        </w:rPr>
        <w:t>1、我方为医院提供及时、迅速、优质的服务以最快的速度提供院方所需设</w:t>
      </w:r>
    </w:p>
    <w:p w14:paraId="685B8F17">
      <w:pPr>
        <w:autoSpaceDE w:val="0"/>
        <w:autoSpaceDN w:val="0"/>
        <w:spacing w:before="5" w:line="480" w:lineRule="exact"/>
        <w:ind w:left="220" w:right="1015"/>
        <w:jc w:val="left"/>
        <w:rPr>
          <w:rFonts w:ascii="宋体" w:hAnsi="宋体" w:cs="宋体"/>
          <w:color w:val="auto"/>
          <w:sz w:val="24"/>
          <w:lang w:val="zh-CN" w:bidi="zh-CN"/>
        </w:rPr>
      </w:pPr>
      <w:r>
        <w:rPr>
          <w:rFonts w:hint="eastAsia" w:ascii="宋体" w:hAnsi="宋体" w:cs="宋体"/>
          <w:color w:val="auto"/>
          <w:spacing w:val="-10"/>
          <w:sz w:val="24"/>
          <w:lang w:val="zh-CN" w:bidi="zh-CN"/>
        </w:rPr>
        <w:t>备备品、备件及该设备使用和维护技术方面的相关信息。包括软件的终身免费升</w:t>
      </w:r>
      <w:r>
        <w:rPr>
          <w:rFonts w:hint="eastAsia" w:ascii="宋体" w:hAnsi="宋体" w:cs="宋体"/>
          <w:color w:val="auto"/>
          <w:sz w:val="24"/>
          <w:lang w:val="zh-CN" w:bidi="zh-CN"/>
        </w:rPr>
        <w:t>级（在不增加新功能的情况下）</w:t>
      </w:r>
    </w:p>
    <w:p w14:paraId="1B8D5154">
      <w:pPr>
        <w:autoSpaceDE w:val="0"/>
        <w:autoSpaceDN w:val="0"/>
        <w:spacing w:before="2" w:line="480" w:lineRule="exact"/>
        <w:ind w:left="220" w:right="1011" w:firstLine="480"/>
        <w:rPr>
          <w:rFonts w:ascii="宋体" w:hAnsi="宋体" w:cs="宋体"/>
          <w:color w:val="auto"/>
          <w:sz w:val="24"/>
          <w:lang w:val="zh-CN" w:bidi="zh-CN"/>
        </w:rPr>
      </w:pPr>
      <w:r>
        <w:rPr>
          <w:rFonts w:hint="eastAsia" w:ascii="宋体" w:hAnsi="宋体" w:cs="宋体"/>
          <w:color w:val="auto"/>
          <w:sz w:val="24"/>
          <w:lang w:val="zh-CN" w:bidi="zh-CN"/>
        </w:rPr>
        <w:t>2、我方在接到院方设备故障报修后，</w:t>
      </w:r>
      <w:r>
        <w:rPr>
          <w:rFonts w:hint="eastAsia" w:ascii="宋体" w:hAnsi="宋体" w:cs="宋体"/>
          <w:color w:val="auto"/>
          <w:spacing w:val="3"/>
          <w:sz w:val="24"/>
          <w:u w:val="single"/>
          <w:lang w:val="zh-CN" w:bidi="zh-CN"/>
        </w:rPr>
        <w:t xml:space="preserve">   </w:t>
      </w:r>
      <w:r>
        <w:rPr>
          <w:rFonts w:hint="eastAsia" w:ascii="宋体" w:hAnsi="宋体" w:cs="宋体"/>
          <w:color w:val="auto"/>
          <w:sz w:val="24"/>
          <w:lang w:val="zh-CN" w:bidi="zh-CN"/>
        </w:rPr>
        <w:t>小时响应，</w:t>
      </w:r>
      <w:r>
        <w:rPr>
          <w:rFonts w:hint="eastAsia" w:ascii="宋体" w:hAnsi="宋体" w:cs="宋体"/>
          <w:color w:val="auto"/>
          <w:spacing w:val="3"/>
          <w:sz w:val="24"/>
          <w:u w:val="single"/>
          <w:lang w:val="zh-CN" w:bidi="zh-CN"/>
        </w:rPr>
        <w:t xml:space="preserve">  </w:t>
      </w:r>
      <w:r>
        <w:rPr>
          <w:rFonts w:hint="eastAsia" w:ascii="宋体" w:hAnsi="宋体" w:cs="宋体"/>
          <w:color w:val="auto"/>
          <w:sz w:val="24"/>
          <w:lang w:val="zh-CN" w:bidi="zh-CN"/>
        </w:rPr>
        <w:t>__</w:t>
      </w:r>
      <w:r>
        <w:rPr>
          <w:rFonts w:hint="eastAsia" w:ascii="宋体" w:hAnsi="宋体" w:cs="宋体"/>
          <w:color w:val="auto"/>
          <w:spacing w:val="-2"/>
          <w:sz w:val="24"/>
          <w:lang w:val="zh-CN" w:bidi="zh-CN"/>
        </w:rPr>
        <w:t>小时内到达现场</w:t>
      </w:r>
      <w:r>
        <w:rPr>
          <w:rFonts w:hint="eastAsia" w:ascii="宋体" w:hAnsi="宋体" w:cs="宋体"/>
          <w:color w:val="auto"/>
          <w:spacing w:val="-10"/>
          <w:sz w:val="24"/>
          <w:lang w:val="zh-CN" w:bidi="zh-CN"/>
        </w:rPr>
        <w:t xml:space="preserve">进行故障排除。一般性故障或软件问题 </w:t>
      </w:r>
      <w:r>
        <w:rPr>
          <w:rFonts w:hint="eastAsia" w:ascii="宋体" w:hAnsi="宋体" w:cs="宋体"/>
          <w:color w:val="auto"/>
          <w:sz w:val="24"/>
          <w:lang w:val="zh-CN" w:bidi="zh-CN"/>
        </w:rPr>
        <w:t>1</w:t>
      </w:r>
      <w:r>
        <w:rPr>
          <w:rFonts w:hint="eastAsia" w:ascii="宋体" w:hAnsi="宋体" w:cs="宋体"/>
          <w:color w:val="auto"/>
          <w:spacing w:val="-12"/>
          <w:sz w:val="24"/>
          <w:lang w:val="zh-CN" w:bidi="zh-CN"/>
        </w:rPr>
        <w:t xml:space="preserve"> 日内处理完毕。如遇更换配件或其它特</w:t>
      </w:r>
      <w:r>
        <w:rPr>
          <w:rFonts w:hint="eastAsia" w:ascii="宋体" w:hAnsi="宋体" w:cs="宋体"/>
          <w:color w:val="auto"/>
          <w:spacing w:val="-9"/>
          <w:sz w:val="24"/>
          <w:lang w:val="zh-CN" w:bidi="zh-CN"/>
        </w:rPr>
        <w:t>殊原因短时间内无法解决的，我方向院方提供备用机以保障医院临床医疗工作的</w:t>
      </w:r>
    </w:p>
    <w:p w14:paraId="1775D38B">
      <w:pPr>
        <w:autoSpaceDE w:val="0"/>
        <w:autoSpaceDN w:val="0"/>
        <w:spacing w:line="480" w:lineRule="exact"/>
        <w:ind w:left="220"/>
        <w:jc w:val="left"/>
        <w:rPr>
          <w:rFonts w:ascii="宋体" w:hAnsi="宋体" w:cs="宋体"/>
          <w:color w:val="auto"/>
          <w:sz w:val="24"/>
          <w:lang w:val="zh-CN" w:bidi="zh-CN"/>
        </w:rPr>
      </w:pPr>
      <w:r>
        <w:rPr>
          <w:rFonts w:hint="eastAsia" w:ascii="宋体" w:hAnsi="宋体" w:cs="宋体"/>
          <w:color w:val="auto"/>
          <w:sz w:val="24"/>
          <w:lang w:val="zh-CN" w:bidi="zh-CN"/>
        </w:rPr>
        <w:t>正常开展。维修期间如无法</w:t>
      </w:r>
      <w:r>
        <w:rPr>
          <w:rFonts w:hint="eastAsia" w:ascii="宋体" w:hAnsi="宋体" w:cs="宋体"/>
          <w:b/>
          <w:color w:val="auto"/>
          <w:sz w:val="24"/>
          <w:lang w:val="zh-CN" w:bidi="zh-CN"/>
        </w:rPr>
        <w:t>提供备用机</w:t>
      </w:r>
      <w:r>
        <w:rPr>
          <w:rFonts w:hint="eastAsia" w:ascii="宋体" w:hAnsi="宋体" w:cs="宋体"/>
          <w:color w:val="auto"/>
          <w:sz w:val="24"/>
          <w:lang w:val="zh-CN" w:bidi="zh-CN"/>
        </w:rPr>
        <w:t>的，将按实际停机时间的两倍顺延保修期。</w:t>
      </w:r>
    </w:p>
    <w:p w14:paraId="1E412EAD">
      <w:pPr>
        <w:autoSpaceDE w:val="0"/>
        <w:autoSpaceDN w:val="0"/>
        <w:spacing w:line="480" w:lineRule="exact"/>
        <w:ind w:left="700"/>
        <w:jc w:val="left"/>
        <w:rPr>
          <w:rFonts w:ascii="宋体" w:hAnsi="宋体" w:cs="宋体"/>
          <w:color w:val="auto"/>
          <w:sz w:val="24"/>
          <w:lang w:val="zh-CN" w:bidi="zh-CN"/>
        </w:rPr>
      </w:pPr>
      <w:r>
        <w:rPr>
          <w:rFonts w:hint="eastAsia" w:ascii="宋体" w:hAnsi="宋体" w:cs="宋体"/>
          <w:color w:val="auto"/>
          <w:sz w:val="24"/>
          <w:lang w:val="zh-CN" w:bidi="zh-CN"/>
        </w:rPr>
        <w:t>3、超过保修期期限的设备出现故障，我方承诺在在故障排除以后，再向院</w:t>
      </w:r>
    </w:p>
    <w:p w14:paraId="45A858A5">
      <w:pPr>
        <w:autoSpaceDE w:val="0"/>
        <w:autoSpaceDN w:val="0"/>
        <w:spacing w:before="5" w:line="480" w:lineRule="exact"/>
        <w:ind w:left="220" w:right="1011"/>
        <w:jc w:val="left"/>
        <w:rPr>
          <w:rFonts w:ascii="宋体" w:hAnsi="宋体" w:cs="宋体"/>
          <w:color w:val="auto"/>
          <w:sz w:val="24"/>
          <w:lang w:val="zh-CN" w:bidi="zh-CN"/>
        </w:rPr>
      </w:pPr>
      <w:r>
        <w:rPr>
          <w:rFonts w:hint="eastAsia" w:ascii="宋体" w:hAnsi="宋体" w:cs="宋体"/>
          <w:color w:val="auto"/>
          <w:spacing w:val="-7"/>
          <w:sz w:val="24"/>
          <w:lang w:val="zh-CN" w:bidi="zh-CN"/>
        </w:rPr>
        <w:t>方结算实际发生的维修费用。无须院方先行支付维修费用，只收取配件费用，不</w:t>
      </w:r>
      <w:r>
        <w:rPr>
          <w:rFonts w:hint="eastAsia" w:ascii="宋体" w:hAnsi="宋体" w:cs="宋体"/>
          <w:color w:val="auto"/>
          <w:sz w:val="24"/>
          <w:lang w:val="zh-CN" w:bidi="zh-CN"/>
        </w:rPr>
        <w:t>收人工费。</w:t>
      </w:r>
    </w:p>
    <w:p w14:paraId="665D9BD0">
      <w:pPr>
        <w:autoSpaceDE w:val="0"/>
        <w:autoSpaceDN w:val="0"/>
        <w:spacing w:before="3" w:line="480" w:lineRule="exact"/>
        <w:ind w:left="220" w:right="1015" w:firstLine="480"/>
        <w:rPr>
          <w:rFonts w:ascii="宋体" w:hAnsi="宋体" w:cs="宋体"/>
          <w:color w:val="auto"/>
          <w:sz w:val="24"/>
          <w:lang w:val="zh-CN" w:bidi="zh-CN"/>
        </w:rPr>
      </w:pPr>
      <w:r>
        <w:rPr>
          <w:rFonts w:hint="eastAsia" w:ascii="宋体" w:hAnsi="宋体" w:cs="宋体"/>
          <w:color w:val="auto"/>
          <w:sz w:val="24"/>
          <w:lang w:val="zh-CN" w:bidi="zh-CN"/>
        </w:rPr>
        <w:t>4</w:t>
      </w:r>
      <w:r>
        <w:rPr>
          <w:rFonts w:hint="eastAsia" w:ascii="宋体" w:hAnsi="宋体" w:cs="宋体"/>
          <w:color w:val="auto"/>
          <w:spacing w:val="-3"/>
          <w:sz w:val="24"/>
          <w:lang w:val="zh-CN" w:bidi="zh-CN"/>
        </w:rPr>
        <w:t xml:space="preserve">、设备使用期间厂家应每年对新设备进行 </w:t>
      </w:r>
      <w:r>
        <w:rPr>
          <w:rFonts w:hint="eastAsia" w:ascii="宋体" w:hAnsi="宋体" w:cs="宋体"/>
          <w:color w:val="auto"/>
          <w:sz w:val="24"/>
          <w:lang w:val="zh-CN" w:bidi="zh-CN"/>
        </w:rPr>
        <w:t>1</w:t>
      </w:r>
      <w:r>
        <w:rPr>
          <w:rFonts w:hint="eastAsia" w:ascii="宋体" w:hAnsi="宋体" w:cs="宋体"/>
          <w:color w:val="auto"/>
          <w:spacing w:val="-37"/>
          <w:sz w:val="24"/>
          <w:lang w:val="zh-CN" w:bidi="zh-CN"/>
        </w:rPr>
        <w:t xml:space="preserve"> 到 </w:t>
      </w:r>
      <w:r>
        <w:rPr>
          <w:rFonts w:hint="eastAsia" w:ascii="宋体" w:hAnsi="宋体" w:cs="宋体"/>
          <w:color w:val="auto"/>
          <w:sz w:val="24"/>
          <w:lang w:val="zh-CN" w:bidi="zh-CN"/>
        </w:rPr>
        <w:t>2</w:t>
      </w:r>
      <w:r>
        <w:rPr>
          <w:rFonts w:hint="eastAsia" w:ascii="宋体" w:hAnsi="宋体" w:cs="宋体"/>
          <w:color w:val="auto"/>
          <w:spacing w:val="-9"/>
          <w:sz w:val="24"/>
          <w:lang w:val="zh-CN" w:bidi="zh-CN"/>
        </w:rPr>
        <w:t xml:space="preserve"> 次的巡回检修，并出具检</w:t>
      </w:r>
      <w:r>
        <w:rPr>
          <w:rFonts w:hint="eastAsia" w:ascii="宋体" w:hAnsi="宋体" w:cs="宋体"/>
          <w:color w:val="auto"/>
          <w:sz w:val="24"/>
          <w:lang w:val="zh-CN" w:bidi="zh-CN"/>
        </w:rPr>
        <w:t>修报告。</w:t>
      </w:r>
    </w:p>
    <w:p w14:paraId="302F6DA7">
      <w:pPr>
        <w:autoSpaceDE w:val="0"/>
        <w:autoSpaceDN w:val="0"/>
        <w:spacing w:before="3" w:line="480" w:lineRule="exact"/>
        <w:ind w:left="220" w:right="1009" w:firstLine="480"/>
        <w:rPr>
          <w:rFonts w:ascii="宋体" w:hAnsi="宋体" w:cs="宋体"/>
          <w:color w:val="auto"/>
          <w:sz w:val="24"/>
          <w:lang w:val="zh-CN" w:bidi="zh-CN"/>
        </w:rPr>
      </w:pPr>
      <w:r>
        <w:rPr>
          <w:rFonts w:hint="eastAsia" w:ascii="宋体" w:hAnsi="宋体" w:cs="宋体"/>
          <w:color w:val="auto"/>
          <w:sz w:val="24"/>
          <w:lang w:val="zh-CN" w:bidi="zh-CN"/>
        </w:rPr>
        <w:t>5、设备品种若属于国家质量技术监督局强制检查项目，则该设备的首次质量技术检测费用由我方承担。同时在今后的年度强制检测中设备若不能通过检测，我方负责整改所需的所有费用，直到设备通过技术监督局的检测。</w:t>
      </w:r>
    </w:p>
    <w:p w14:paraId="268E7982">
      <w:pPr>
        <w:autoSpaceDE w:val="0"/>
        <w:autoSpaceDN w:val="0"/>
        <w:spacing w:before="17" w:line="480" w:lineRule="exact"/>
        <w:ind w:left="220" w:right="1011" w:firstLine="480"/>
        <w:rPr>
          <w:rFonts w:ascii="宋体" w:hAnsi="宋体" w:cs="宋体"/>
          <w:b/>
          <w:color w:val="auto"/>
          <w:kern w:val="0"/>
          <w:sz w:val="24"/>
          <w:lang w:val="zh-CN" w:bidi="zh-CN"/>
        </w:rPr>
      </w:pPr>
      <w:r>
        <w:rPr>
          <w:rFonts w:hint="eastAsia" w:ascii="宋体" w:hAnsi="宋体" w:cs="宋体"/>
          <w:color w:val="auto"/>
          <w:kern w:val="0"/>
          <w:sz w:val="24"/>
          <w:lang w:val="zh-CN" w:bidi="zh-CN"/>
        </w:rPr>
        <w:t>6、在设备醒目位置</w:t>
      </w:r>
      <w:r>
        <w:rPr>
          <w:rFonts w:hint="eastAsia" w:ascii="宋体" w:hAnsi="宋体" w:cs="宋体"/>
          <w:b/>
          <w:color w:val="auto"/>
          <w:kern w:val="0"/>
          <w:sz w:val="24"/>
          <w:lang w:val="zh-CN" w:bidi="zh-CN"/>
        </w:rPr>
        <w:t>粘贴小贴士</w:t>
      </w:r>
      <w:r>
        <w:rPr>
          <w:rFonts w:hint="eastAsia" w:ascii="宋体" w:hAnsi="宋体" w:cs="宋体"/>
          <w:color w:val="auto"/>
          <w:kern w:val="0"/>
          <w:sz w:val="24"/>
          <w:lang w:val="zh-CN" w:bidi="zh-CN"/>
        </w:rPr>
        <w:t>，内容包括本</w:t>
      </w:r>
      <w:r>
        <w:rPr>
          <w:rFonts w:hint="eastAsia" w:ascii="宋体" w:hAnsi="宋体" w:cs="宋体"/>
          <w:color w:val="auto"/>
          <w:kern w:val="0"/>
          <w:sz w:val="24"/>
          <w:u w:val="single"/>
          <w:lang w:val="zh-CN" w:bidi="zh-CN"/>
        </w:rPr>
        <w:t>机器安装时间、保修期和售后维修电话</w:t>
      </w:r>
      <w:r>
        <w:rPr>
          <w:rFonts w:hint="eastAsia" w:ascii="宋体" w:hAnsi="宋体" w:cs="宋体"/>
          <w:color w:val="auto"/>
          <w:kern w:val="0"/>
          <w:sz w:val="24"/>
          <w:lang w:val="zh-CN" w:bidi="zh-CN"/>
        </w:rPr>
        <w:t>。</w:t>
      </w:r>
      <w:r>
        <w:rPr>
          <w:rFonts w:hint="eastAsia" w:ascii="宋体" w:hAnsi="宋体" w:cs="宋体"/>
          <w:b/>
          <w:color w:val="auto"/>
          <w:kern w:val="0"/>
          <w:sz w:val="24"/>
          <w:lang w:val="zh-CN" w:bidi="zh-CN"/>
        </w:rPr>
        <w:t>医疗器械及其外包装上必须按照国务院药品监督管理部门的规定， 标明</w:t>
      </w:r>
      <w:r>
        <w:rPr>
          <w:rFonts w:hint="eastAsia" w:ascii="宋体" w:hAnsi="宋体" w:cs="宋体"/>
          <w:b/>
          <w:color w:val="auto"/>
          <w:kern w:val="0"/>
          <w:sz w:val="24"/>
          <w:u w:val="single"/>
          <w:lang w:val="zh-CN" w:bidi="zh-CN"/>
        </w:rPr>
        <w:t>产品注册证书编号</w:t>
      </w:r>
      <w:r>
        <w:rPr>
          <w:rFonts w:hint="eastAsia" w:ascii="宋体" w:hAnsi="宋体" w:cs="宋体"/>
          <w:b/>
          <w:color w:val="auto"/>
          <w:kern w:val="0"/>
          <w:sz w:val="24"/>
          <w:lang w:val="zh-CN" w:bidi="zh-CN"/>
        </w:rPr>
        <w:t>。</w:t>
      </w:r>
    </w:p>
    <w:p w14:paraId="3FBFF2A6">
      <w:pPr>
        <w:autoSpaceDE w:val="0"/>
        <w:autoSpaceDN w:val="0"/>
        <w:spacing w:line="480" w:lineRule="exact"/>
        <w:rPr>
          <w:rFonts w:ascii="宋体" w:hAnsi="宋体" w:cs="宋体"/>
          <w:color w:val="auto"/>
          <w:sz w:val="24"/>
        </w:rPr>
        <w:sectPr>
          <w:type w:val="continuous"/>
          <w:pgSz w:w="11900" w:h="16838"/>
          <w:pgMar w:top="1134" w:right="1559" w:bottom="680" w:left="1678" w:header="879" w:footer="227" w:gutter="0"/>
          <w:cols w:space="0" w:num="1"/>
        </w:sectPr>
      </w:pPr>
    </w:p>
    <w:p w14:paraId="7D64EDF1">
      <w:pPr>
        <w:autoSpaceDE w:val="0"/>
        <w:autoSpaceDN w:val="0"/>
        <w:spacing w:line="480" w:lineRule="exact"/>
        <w:jc w:val="left"/>
        <w:rPr>
          <w:rFonts w:ascii="宋体" w:hAnsi="宋体" w:cs="宋体"/>
          <w:color w:val="auto"/>
          <w:sz w:val="24"/>
          <w:lang w:val="zh-CN" w:bidi="zh-CN"/>
        </w:rPr>
      </w:pPr>
    </w:p>
    <w:p w14:paraId="24092B24">
      <w:pPr>
        <w:tabs>
          <w:tab w:val="left" w:pos="1682"/>
        </w:tabs>
        <w:autoSpaceDE w:val="0"/>
        <w:autoSpaceDN w:val="0"/>
        <w:spacing w:before="22"/>
        <w:rPr>
          <w:rFonts w:ascii="宋体" w:hAnsi="宋体" w:cs="宋体"/>
          <w:color w:val="auto"/>
          <w:kern w:val="0"/>
          <w:sz w:val="24"/>
          <w:lang w:val="zh-CN" w:bidi="zh-CN"/>
        </w:rPr>
      </w:pPr>
      <w:r>
        <w:rPr>
          <w:rFonts w:hint="eastAsia" w:ascii="宋体" w:hAnsi="宋体" w:cs="宋体"/>
          <w:color w:val="auto"/>
          <w:kern w:val="0"/>
          <w:sz w:val="24"/>
          <w:lang w:val="zh-CN" w:bidi="zh-CN"/>
        </w:rPr>
        <w:t>公司售后服务部工程师签字：</w:t>
      </w:r>
    </w:p>
    <w:p w14:paraId="0EC8CFD5">
      <w:pPr>
        <w:tabs>
          <w:tab w:val="left" w:pos="1682"/>
        </w:tabs>
        <w:autoSpaceDE w:val="0"/>
        <w:autoSpaceDN w:val="0"/>
        <w:spacing w:before="22"/>
        <w:rPr>
          <w:rFonts w:ascii="宋体" w:hAnsi="宋体" w:cs="宋体"/>
          <w:color w:val="auto"/>
          <w:kern w:val="0"/>
          <w:sz w:val="24"/>
          <w:lang w:val="zh-CN" w:bidi="zh-CN"/>
        </w:rPr>
      </w:pPr>
      <w:r>
        <w:rPr>
          <w:rFonts w:hint="eastAsia" w:ascii="宋体" w:hAnsi="宋体" w:cs="宋体"/>
          <w:color w:val="auto"/>
          <w:kern w:val="0"/>
          <w:sz w:val="24"/>
          <w:lang w:val="zh-CN" w:bidi="zh-CN"/>
        </w:rPr>
        <w:t>公司（盖章）：</w:t>
      </w:r>
    </w:p>
    <w:p w14:paraId="48D9EA5B">
      <w:pPr>
        <w:tabs>
          <w:tab w:val="left" w:pos="1682"/>
        </w:tabs>
        <w:autoSpaceDE w:val="0"/>
        <w:autoSpaceDN w:val="0"/>
        <w:spacing w:before="22"/>
        <w:rPr>
          <w:rFonts w:ascii="宋体" w:hAnsi="宋体" w:cs="宋体"/>
          <w:color w:val="auto"/>
          <w:kern w:val="0"/>
          <w:sz w:val="24"/>
          <w:lang w:val="zh-CN" w:bidi="zh-CN"/>
        </w:rPr>
      </w:pPr>
      <w:r>
        <w:rPr>
          <w:rFonts w:hint="eastAsia" w:ascii="宋体" w:hAnsi="宋体" w:cs="宋体"/>
          <w:color w:val="auto"/>
          <w:kern w:val="0"/>
          <w:sz w:val="24"/>
          <w:lang w:val="zh-CN" w:bidi="zh-CN"/>
        </w:rPr>
        <w:t>售后服务地址及电话：</w:t>
      </w:r>
    </w:p>
    <w:p w14:paraId="6B0085F0">
      <w:pPr>
        <w:tabs>
          <w:tab w:val="left" w:pos="1682"/>
        </w:tabs>
        <w:autoSpaceDE w:val="0"/>
        <w:autoSpaceDN w:val="0"/>
        <w:spacing w:before="22"/>
        <w:rPr>
          <w:rFonts w:ascii="宋体" w:hAnsi="宋体" w:cs="宋体"/>
          <w:color w:val="auto"/>
          <w:kern w:val="0"/>
          <w:sz w:val="24"/>
          <w:lang w:val="zh-CN" w:bidi="zh-CN"/>
        </w:rPr>
      </w:pPr>
      <w:r>
        <w:rPr>
          <w:rFonts w:hint="eastAsia" w:ascii="宋体" w:hAnsi="宋体" w:cs="宋体"/>
          <w:color w:val="auto"/>
          <w:kern w:val="0"/>
          <w:sz w:val="24"/>
          <w:lang w:val="zh-CN" w:bidi="zh-CN"/>
        </w:rPr>
        <w:t xml:space="preserve"> </w:t>
      </w:r>
      <w:r>
        <w:rPr>
          <w:rFonts w:hint="eastAsia" w:ascii="宋体" w:hAnsi="宋体" w:cs="宋体"/>
          <w:color w:val="auto"/>
          <w:kern w:val="0"/>
          <w:sz w:val="24"/>
          <w:lang w:val="zh-CN" w:bidi="zh-CN"/>
        </w:rPr>
        <w:tab/>
      </w:r>
    </w:p>
    <w:p w14:paraId="46BD6BCC">
      <w:pPr>
        <w:autoSpaceDE w:val="0"/>
        <w:autoSpaceDN w:val="0"/>
        <w:spacing w:before="141" w:line="480" w:lineRule="exact"/>
        <w:rPr>
          <w:rFonts w:ascii="宋体" w:hAnsi="宋体" w:cs="宋体"/>
          <w:color w:val="auto"/>
          <w:sz w:val="24"/>
          <w:lang w:bidi="zh-CN"/>
        </w:rPr>
        <w:sectPr>
          <w:type w:val="continuous"/>
          <w:pgSz w:w="11900" w:h="16838"/>
          <w:pgMar w:top="1134" w:right="1559" w:bottom="680" w:left="1678" w:header="879" w:footer="0" w:gutter="0"/>
          <w:cols w:space="0" w:num="1"/>
        </w:sectPr>
      </w:pPr>
      <w:r>
        <w:rPr>
          <w:rFonts w:hint="eastAsia" w:ascii="宋体" w:hAnsi="宋体" w:cs="宋体"/>
          <w:color w:val="auto"/>
          <w:kern w:val="0"/>
          <w:sz w:val="24"/>
          <w:lang w:val="zh-CN" w:bidi="zh-CN"/>
        </w:rPr>
        <w:t>中南大学湘雅医院医学</w:t>
      </w:r>
      <w:r>
        <w:rPr>
          <w:rFonts w:hint="eastAsia" w:ascii="宋体" w:hAnsi="宋体" w:cs="宋体"/>
          <w:color w:val="auto"/>
          <w:kern w:val="0"/>
          <w:sz w:val="24"/>
          <w:lang w:bidi="zh-CN"/>
        </w:rPr>
        <w:t>工程中心</w:t>
      </w:r>
      <w:r>
        <w:rPr>
          <w:rFonts w:hint="eastAsia" w:ascii="宋体" w:hAnsi="宋体" w:cs="宋体"/>
          <w:color w:val="auto"/>
          <w:kern w:val="0"/>
          <w:sz w:val="24"/>
          <w:lang w:val="zh-CN" w:bidi="zh-CN"/>
        </w:rPr>
        <w:t>工程师签字</w:t>
      </w:r>
      <w:r>
        <w:rPr>
          <w:rFonts w:hint="eastAsia" w:ascii="宋体" w:hAnsi="宋体" w:cs="宋体"/>
          <w:color w:val="auto"/>
          <w:kern w:val="0"/>
          <w:sz w:val="24"/>
          <w:lang w:bidi="zh-CN"/>
        </w:rPr>
        <w:t>:</w:t>
      </w:r>
    </w:p>
    <w:p w14:paraId="605CDF2E">
      <w:pPr>
        <w:pStyle w:val="3"/>
        <w:adjustRightInd w:val="0"/>
        <w:snapToGrid w:val="0"/>
        <w:jc w:val="center"/>
        <w:rPr>
          <w:rFonts w:ascii="黑体" w:hAnsi="华文中宋" w:eastAsia="黑体"/>
          <w:color w:val="auto"/>
          <w:sz w:val="28"/>
          <w:szCs w:val="28"/>
        </w:rPr>
      </w:pPr>
      <w:bookmarkStart w:id="158" w:name="_Toc151559636"/>
      <w:bookmarkStart w:id="159" w:name="_Toc30452"/>
      <w:r>
        <w:rPr>
          <w:rFonts w:hint="eastAsia" w:ascii="黑体" w:hAnsi="华文中宋" w:eastAsia="黑体"/>
          <w:color w:val="auto"/>
          <w:sz w:val="28"/>
          <w:szCs w:val="28"/>
        </w:rPr>
        <w:t>第二节 政府采购合同通用条款</w:t>
      </w:r>
      <w:bookmarkEnd w:id="158"/>
      <w:bookmarkEnd w:id="159"/>
    </w:p>
    <w:p w14:paraId="65EAD926">
      <w:pPr>
        <w:keepNext/>
        <w:keepLines/>
        <w:spacing w:before="260" w:after="260" w:line="416" w:lineRule="auto"/>
        <w:outlineLvl w:val="2"/>
        <w:rPr>
          <w:b/>
          <w:bCs/>
          <w:color w:val="auto"/>
          <w:sz w:val="32"/>
          <w:szCs w:val="32"/>
        </w:rPr>
      </w:pPr>
      <w:bookmarkStart w:id="160" w:name="_Toc151559637"/>
      <w:bookmarkStart w:id="161" w:name="_Toc30351"/>
      <w:r>
        <w:rPr>
          <w:rFonts w:hint="eastAsia"/>
          <w:b/>
          <w:bCs/>
          <w:color w:val="auto"/>
          <w:sz w:val="32"/>
          <w:szCs w:val="32"/>
        </w:rPr>
        <w:t>1.定义</w:t>
      </w:r>
      <w:bookmarkEnd w:id="160"/>
      <w:bookmarkEnd w:id="161"/>
    </w:p>
    <w:p w14:paraId="7D998727">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1.1合同当事人</w:t>
      </w:r>
    </w:p>
    <w:p w14:paraId="05E2E925">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（1）采购人（以下称甲方）是指使用财政性资金，通过政府采购程序向供应商购买货物、服务的国家机关、事业单位、团体组织。本次采购的甲方名称、地址见</w:t>
      </w:r>
      <w:r>
        <w:rPr>
          <w:rFonts w:hint="eastAsia" w:asciiTheme="minorEastAsia" w:hAnsiTheme="minorEastAsia" w:eastAsiaTheme="minorEastAsia"/>
          <w:b/>
          <w:color w:val="auto"/>
          <w:szCs w:val="21"/>
        </w:rPr>
        <w:t>【政府采购合同专用条款】。</w:t>
      </w:r>
    </w:p>
    <w:p w14:paraId="6D16DB39">
      <w:pPr>
        <w:autoSpaceDE w:val="0"/>
        <w:autoSpaceDN w:val="0"/>
        <w:adjustRightInd w:val="0"/>
        <w:snapToGrid w:val="0"/>
        <w:spacing w:before="50" w:line="360" w:lineRule="auto"/>
        <w:ind w:firstLine="420" w:firstLineChars="200"/>
        <w:jc w:val="left"/>
        <w:rPr>
          <w:rFonts w:asciiTheme="minorEastAsia" w:hAnsiTheme="minorEastAsia" w:eastAsiaTheme="minorEastAsia"/>
          <w:b/>
          <w:color w:val="auto"/>
          <w:szCs w:val="21"/>
        </w:rPr>
      </w:pPr>
      <w:r>
        <w:rPr>
          <w:rFonts w:hint="eastAsia" w:asciiTheme="minorEastAsia" w:hAnsiTheme="minorEastAsia" w:eastAsiaTheme="minorEastAsia"/>
          <w:color w:val="auto"/>
          <w:szCs w:val="21"/>
        </w:rPr>
        <w:t>（2）供应商（以下称乙方）是指参加政府采购活动而取得中标结果，并向采购人提供货物、服务的法人、其他组织或者自然人。</w:t>
      </w:r>
    </w:p>
    <w:p w14:paraId="20E50F0C">
      <w:pPr>
        <w:tabs>
          <w:tab w:val="left" w:pos="570"/>
          <w:tab w:val="left" w:pos="9240"/>
          <w:tab w:val="left" w:pos="9555"/>
        </w:tabs>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1.2本合同下列术语应解释为：</w:t>
      </w:r>
    </w:p>
    <w:p w14:paraId="0E7F0439">
      <w:pPr>
        <w:tabs>
          <w:tab w:val="left" w:pos="570"/>
          <w:tab w:val="left" w:pos="9240"/>
          <w:tab w:val="left" w:pos="9555"/>
        </w:tabs>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（1）“合同”系指甲乙双方签署的、政府采购合同协议书中载明的甲乙双方所达成的协议，包括所有的附件、附录和上述文件所提到的构成合同的所有文件。</w:t>
      </w:r>
    </w:p>
    <w:p w14:paraId="39D1AF69">
      <w:pPr>
        <w:tabs>
          <w:tab w:val="left" w:pos="570"/>
          <w:tab w:val="left" w:pos="9240"/>
          <w:tab w:val="left" w:pos="9555"/>
        </w:tabs>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（2）“合同价”系指根据本合同规定乙方在正确地完全履行合同义务后甲方应支付给乙方的价款。</w:t>
      </w:r>
    </w:p>
    <w:p w14:paraId="3C432B88">
      <w:pPr>
        <w:tabs>
          <w:tab w:val="left" w:pos="570"/>
          <w:tab w:val="left" w:pos="9240"/>
          <w:tab w:val="left" w:pos="9555"/>
        </w:tabs>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（3）“货物”系指乙方根据本合同规定须向甲方提供的各种形态和种类的物品，包括原材料、设备、产品（包括软件）及相关的其备品备件、工具、手册及其它技术资料和材料。</w:t>
      </w:r>
    </w:p>
    <w:p w14:paraId="77E9D8D2">
      <w:pPr>
        <w:tabs>
          <w:tab w:val="left" w:pos="570"/>
          <w:tab w:val="left" w:pos="8880"/>
          <w:tab w:val="left" w:pos="9555"/>
        </w:tabs>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4）“服务”系指根据合同规定，乙方应提供的技术、管理和其它服务，包括但不限于：管理和质量保证、运输、保险、检验、现场准备、安装、集成、调试、培训、维修、技术支持等以及合同中规定乙方应承担的其它义务。</w:t>
      </w:r>
    </w:p>
    <w:p w14:paraId="612FD704">
      <w:pPr>
        <w:tabs>
          <w:tab w:val="left" w:pos="570"/>
          <w:tab w:val="left" w:pos="9240"/>
          <w:tab w:val="left" w:pos="9555"/>
        </w:tabs>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（5）“合同条款”系指本合同条款。</w:t>
      </w:r>
    </w:p>
    <w:p w14:paraId="03588F7F">
      <w:pPr>
        <w:tabs>
          <w:tab w:val="left" w:pos="570"/>
          <w:tab w:val="left" w:pos="9240"/>
          <w:tab w:val="left" w:pos="9555"/>
        </w:tabs>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（6）“项目现场”系指本合同项下货物安装、运行的现场，其名称见</w:t>
      </w:r>
      <w:r>
        <w:rPr>
          <w:rFonts w:hint="eastAsia" w:asciiTheme="minorEastAsia" w:hAnsiTheme="minorEastAsia" w:eastAsiaTheme="minorEastAsia"/>
          <w:b/>
          <w:color w:val="auto"/>
          <w:szCs w:val="21"/>
        </w:rPr>
        <w:t>【政府采购合同专用条款】</w:t>
      </w:r>
      <w:r>
        <w:rPr>
          <w:rFonts w:hint="eastAsia" w:asciiTheme="minorEastAsia" w:hAnsiTheme="minorEastAsia" w:eastAsiaTheme="minorEastAsia"/>
          <w:color w:val="auto"/>
          <w:szCs w:val="21"/>
        </w:rPr>
        <w:t>。</w:t>
      </w:r>
    </w:p>
    <w:p w14:paraId="7785A2D8">
      <w:pPr>
        <w:keepNext/>
        <w:keepLines/>
        <w:spacing w:before="260" w:after="260" w:line="416" w:lineRule="auto"/>
        <w:outlineLvl w:val="2"/>
        <w:rPr>
          <w:b/>
          <w:bCs/>
          <w:color w:val="auto"/>
          <w:sz w:val="32"/>
          <w:szCs w:val="32"/>
        </w:rPr>
      </w:pPr>
      <w:bookmarkStart w:id="162" w:name="_Toc151559638"/>
      <w:bookmarkStart w:id="163" w:name="_Toc13982"/>
      <w:r>
        <w:rPr>
          <w:rFonts w:hint="eastAsia"/>
          <w:b/>
          <w:bCs/>
          <w:color w:val="auto"/>
          <w:sz w:val="32"/>
          <w:szCs w:val="32"/>
        </w:rPr>
        <w:t>2.合同的适用范围</w:t>
      </w:r>
      <w:bookmarkEnd w:id="162"/>
      <w:bookmarkEnd w:id="163"/>
    </w:p>
    <w:p w14:paraId="5CC54302">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2.1 本合同条款适用于没有被本合同其他部分的条款所取代的范围。</w:t>
      </w:r>
    </w:p>
    <w:p w14:paraId="16A89E63">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2.2 合同内容根据招标文件、投标文件而确定。</w:t>
      </w:r>
    </w:p>
    <w:p w14:paraId="5DD0FCB4">
      <w:pPr>
        <w:keepNext/>
        <w:keepLines/>
        <w:spacing w:before="260" w:after="260" w:line="416" w:lineRule="auto"/>
        <w:outlineLvl w:val="2"/>
        <w:rPr>
          <w:b/>
          <w:bCs/>
          <w:color w:val="auto"/>
          <w:sz w:val="32"/>
          <w:szCs w:val="32"/>
        </w:rPr>
      </w:pPr>
      <w:bookmarkStart w:id="164" w:name="_Toc151559639"/>
      <w:bookmarkStart w:id="165" w:name="_Toc28162"/>
      <w:r>
        <w:rPr>
          <w:rFonts w:hint="eastAsia"/>
          <w:b/>
          <w:bCs/>
          <w:color w:val="auto"/>
          <w:sz w:val="32"/>
          <w:szCs w:val="32"/>
        </w:rPr>
        <w:t>3.合同标的及金额</w:t>
      </w:r>
      <w:bookmarkEnd w:id="164"/>
      <w:bookmarkEnd w:id="165"/>
    </w:p>
    <w:p w14:paraId="357B5CD5">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3.1 合同标的及金额应与中标结果一致。</w:t>
      </w:r>
    </w:p>
    <w:p w14:paraId="58A5303E">
      <w:pPr>
        <w:keepNext/>
        <w:keepLines/>
        <w:spacing w:before="260" w:after="260" w:line="416" w:lineRule="auto"/>
        <w:outlineLvl w:val="2"/>
        <w:rPr>
          <w:b/>
          <w:bCs/>
          <w:color w:val="auto"/>
          <w:sz w:val="32"/>
          <w:szCs w:val="32"/>
        </w:rPr>
      </w:pPr>
      <w:bookmarkStart w:id="166" w:name="_Toc151559640"/>
      <w:bookmarkStart w:id="167" w:name="_Toc1166"/>
      <w:r>
        <w:rPr>
          <w:rFonts w:hint="eastAsia"/>
          <w:b/>
          <w:bCs/>
          <w:color w:val="auto"/>
          <w:sz w:val="32"/>
          <w:szCs w:val="32"/>
        </w:rPr>
        <w:t>4.合同价款</w:t>
      </w:r>
      <w:bookmarkEnd w:id="166"/>
      <w:bookmarkEnd w:id="167"/>
    </w:p>
    <w:p w14:paraId="5438A4B2">
      <w:pPr>
        <w:adjustRightInd w:val="0"/>
        <w:snapToGrid w:val="0"/>
        <w:spacing w:before="50" w:line="360" w:lineRule="auto"/>
        <w:ind w:firstLine="420" w:firstLineChars="200"/>
        <w:jc w:val="left"/>
        <w:rPr>
          <w:rFonts w:asciiTheme="minorEastAsia" w:hAnsiTheme="minorEastAsia" w:eastAsiaTheme="minorEastAsia"/>
          <w:b/>
          <w:bCs/>
          <w:i/>
          <w:iCs/>
          <w:color w:val="auto"/>
          <w:szCs w:val="21"/>
        </w:rPr>
      </w:pPr>
      <w:r>
        <w:rPr>
          <w:rFonts w:hint="eastAsia" w:asciiTheme="minorEastAsia" w:hAnsiTheme="minorEastAsia" w:eastAsiaTheme="minorEastAsia"/>
          <w:color w:val="auto"/>
          <w:szCs w:val="21"/>
        </w:rPr>
        <w:t>4.1具体合同价款见本合同第3.1条。乙方为履行本合同而发生的所有费用均应包含在合同价款中，甲方不再另行支付其它任何费用。</w:t>
      </w:r>
    </w:p>
    <w:p w14:paraId="1C132944">
      <w:pPr>
        <w:keepNext/>
        <w:keepLines/>
        <w:spacing w:before="260" w:after="260" w:line="416" w:lineRule="auto"/>
        <w:outlineLvl w:val="2"/>
        <w:rPr>
          <w:b/>
          <w:bCs/>
          <w:color w:val="auto"/>
          <w:sz w:val="32"/>
          <w:szCs w:val="32"/>
        </w:rPr>
      </w:pPr>
      <w:bookmarkStart w:id="168" w:name="_Toc24686"/>
      <w:bookmarkStart w:id="169" w:name="_Toc151559641"/>
      <w:r>
        <w:rPr>
          <w:rFonts w:hint="eastAsia"/>
          <w:b/>
          <w:bCs/>
          <w:color w:val="auto"/>
          <w:sz w:val="32"/>
          <w:szCs w:val="32"/>
        </w:rPr>
        <w:t>5.履行合同的时间、地点和方式</w:t>
      </w:r>
      <w:bookmarkEnd w:id="168"/>
      <w:bookmarkEnd w:id="169"/>
    </w:p>
    <w:p w14:paraId="2622DF0F">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5.1 乙方应当在甲方确定的时间、指定的地点履行合同，具体的交货时间、地点和方式见</w:t>
      </w:r>
      <w:r>
        <w:rPr>
          <w:rFonts w:hint="eastAsia" w:asciiTheme="minorEastAsia" w:hAnsiTheme="minorEastAsia" w:eastAsiaTheme="minorEastAsia"/>
          <w:b/>
          <w:color w:val="auto"/>
          <w:szCs w:val="21"/>
        </w:rPr>
        <w:t>【政府采购合同专用条款】</w:t>
      </w:r>
      <w:r>
        <w:rPr>
          <w:rFonts w:hint="eastAsia" w:asciiTheme="minorEastAsia" w:hAnsiTheme="minorEastAsia" w:eastAsiaTheme="minorEastAsia"/>
          <w:color w:val="auto"/>
          <w:szCs w:val="21"/>
        </w:rPr>
        <w:t>。</w:t>
      </w:r>
    </w:p>
    <w:p w14:paraId="22D4159F">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5.2 乙方提供服务的应当在甲方指定的地点完成服务项目。</w:t>
      </w:r>
    </w:p>
    <w:p w14:paraId="3D4E4011">
      <w:pPr>
        <w:keepNext/>
        <w:keepLines/>
        <w:spacing w:before="260" w:after="260" w:line="416" w:lineRule="auto"/>
        <w:outlineLvl w:val="2"/>
        <w:rPr>
          <w:b/>
          <w:bCs/>
          <w:color w:val="auto"/>
          <w:sz w:val="32"/>
          <w:szCs w:val="32"/>
        </w:rPr>
      </w:pPr>
      <w:bookmarkStart w:id="170" w:name="_Toc151559642"/>
      <w:bookmarkStart w:id="171" w:name="_Toc11573"/>
      <w:r>
        <w:rPr>
          <w:rFonts w:hint="eastAsia"/>
          <w:b/>
          <w:bCs/>
          <w:color w:val="auto"/>
          <w:sz w:val="32"/>
          <w:szCs w:val="32"/>
        </w:rPr>
        <w:t>6.货物的验收</w:t>
      </w:r>
      <w:bookmarkEnd w:id="170"/>
      <w:bookmarkEnd w:id="171"/>
    </w:p>
    <w:p w14:paraId="7DFC94B4">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6.1 甲方在收到乙方交付的货物后应当及时组织验收。</w:t>
      </w:r>
    </w:p>
    <w:p w14:paraId="5DE1B6FF">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6.2 货物的表面瑕疵，甲方应在验收时当面提出；对质量问题有异议的应在安装调试后十个工作日内提出。</w:t>
      </w:r>
    </w:p>
    <w:p w14:paraId="37364D59">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6.3 在验收过程中发现数量不足或有质量、技术等问题，乙方应负责按照甲方的要求采取补足、更换或退货等处理措施，并承担由此发生的一切费用和损失。</w:t>
      </w:r>
    </w:p>
    <w:p w14:paraId="39421AB6">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6.4 甲方在乙方按合同规定交货或安装、调试后，无正当理由而拖延接收、验收或拒绝接收、验收的，应承担因此给乙方造成的直接损失。</w:t>
      </w:r>
    </w:p>
    <w:p w14:paraId="3807879E">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6.5 甲方对货物进行检查验收合格后，应当收取发票并在《交货验收单》上签署验收意见及加盖单位印章。</w:t>
      </w:r>
    </w:p>
    <w:p w14:paraId="13EA8787">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6.6 大型或者复杂的货物采购项目，甲方可以邀请国家认可的质量检测机构参加验收工作，并由其出具验收报告单。</w:t>
      </w:r>
    </w:p>
    <w:p w14:paraId="275DF254">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6.7 乙方提供的进口产品，乙方应出示中华人民共和国进出口商品检验部门出具的检验证书（招标文件第五章采购需求另有约定的除外）。</w:t>
      </w:r>
    </w:p>
    <w:p w14:paraId="5A264167">
      <w:pPr>
        <w:keepNext/>
        <w:keepLines/>
        <w:spacing w:before="260" w:after="260" w:line="416" w:lineRule="auto"/>
        <w:outlineLvl w:val="2"/>
        <w:rPr>
          <w:b/>
          <w:bCs/>
          <w:color w:val="auto"/>
          <w:sz w:val="32"/>
          <w:szCs w:val="32"/>
        </w:rPr>
      </w:pPr>
      <w:bookmarkStart w:id="172" w:name="_Toc10459"/>
      <w:bookmarkStart w:id="173" w:name="_Toc151559643"/>
      <w:r>
        <w:rPr>
          <w:rFonts w:hint="eastAsia"/>
          <w:b/>
          <w:bCs/>
          <w:color w:val="auto"/>
          <w:sz w:val="32"/>
          <w:szCs w:val="32"/>
        </w:rPr>
        <w:t>7.货物包装要求</w:t>
      </w:r>
      <w:bookmarkEnd w:id="172"/>
      <w:bookmarkEnd w:id="173"/>
    </w:p>
    <w:p w14:paraId="08A7F1CD">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7.1 乙方所出售的全部货物均应按标准保护措施进行包装，包装应适应于远距离运输、防潮、防震、防锈和防野蛮装卸等要求，以确保货物安全无损地运抵指定现场。由于包装防护措施不妥而引起的损坏、丢失由乙方负责。</w:t>
      </w:r>
    </w:p>
    <w:p w14:paraId="2DF3EFBC">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7.2 每一个包装箱内应附一份详细装箱单、质量证书和保修保养证书。</w:t>
      </w:r>
    </w:p>
    <w:p w14:paraId="0240C3DC">
      <w:pPr>
        <w:keepNext/>
        <w:keepLines/>
        <w:spacing w:before="260" w:after="260" w:line="416" w:lineRule="auto"/>
        <w:outlineLvl w:val="2"/>
        <w:rPr>
          <w:b/>
          <w:bCs/>
          <w:color w:val="auto"/>
          <w:sz w:val="32"/>
          <w:szCs w:val="32"/>
        </w:rPr>
      </w:pPr>
      <w:bookmarkStart w:id="174" w:name="_Toc18026"/>
      <w:bookmarkStart w:id="175" w:name="_Toc151559644"/>
      <w:r>
        <w:rPr>
          <w:rFonts w:hint="eastAsia"/>
          <w:b/>
          <w:bCs/>
          <w:color w:val="auto"/>
          <w:sz w:val="32"/>
          <w:szCs w:val="32"/>
        </w:rPr>
        <w:t>8.运输和保险</w:t>
      </w:r>
      <w:bookmarkEnd w:id="174"/>
      <w:bookmarkEnd w:id="175"/>
    </w:p>
    <w:p w14:paraId="09A68A1E">
      <w:pPr>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8.1乙方负责办理将货物运抵本合同第5.1条规定的交货地点的一切运输事项，相关费用应包括在合同总价中。</w:t>
      </w:r>
    </w:p>
    <w:p w14:paraId="550D6768">
      <w:pPr>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8.2乙方应向保险公司投保以甲方为受益人的发运合同货物发票金额的110％运输一切险。</w:t>
      </w:r>
    </w:p>
    <w:p w14:paraId="7E44EEB0">
      <w:pPr>
        <w:keepNext/>
        <w:keepLines/>
        <w:spacing w:before="260" w:after="260" w:line="416" w:lineRule="auto"/>
        <w:outlineLvl w:val="2"/>
        <w:rPr>
          <w:b/>
          <w:bCs/>
          <w:color w:val="auto"/>
          <w:sz w:val="32"/>
          <w:szCs w:val="32"/>
        </w:rPr>
      </w:pPr>
      <w:bookmarkStart w:id="176" w:name="_Toc22766"/>
      <w:bookmarkStart w:id="177" w:name="_Toc151559645"/>
      <w:r>
        <w:rPr>
          <w:rFonts w:hint="eastAsia"/>
          <w:b/>
          <w:bCs/>
          <w:color w:val="auto"/>
          <w:sz w:val="32"/>
          <w:szCs w:val="32"/>
        </w:rPr>
        <w:t>9.质量标准和保证</w:t>
      </w:r>
      <w:bookmarkEnd w:id="176"/>
      <w:bookmarkEnd w:id="177"/>
    </w:p>
    <w:p w14:paraId="3585D8C3">
      <w:pPr>
        <w:adjustRightInd w:val="0"/>
        <w:snapToGrid w:val="0"/>
        <w:spacing w:before="50" w:line="360" w:lineRule="auto"/>
        <w:ind w:firstLine="420" w:firstLineChars="200"/>
        <w:jc w:val="left"/>
        <w:rPr>
          <w:rFonts w:cs="Courier New" w:asciiTheme="minorEastAsia" w:hAnsiTheme="minorEastAsia" w:eastAsiaTheme="minorEastAsia"/>
          <w:b/>
          <w:color w:val="auto"/>
          <w:szCs w:val="21"/>
        </w:rPr>
      </w:pPr>
      <w:r>
        <w:rPr>
          <w:rFonts w:hint="eastAsia" w:cs="Courier New" w:asciiTheme="minorEastAsia" w:hAnsiTheme="minorEastAsia" w:eastAsiaTheme="minorEastAsia"/>
          <w:color w:val="auto"/>
          <w:szCs w:val="21"/>
        </w:rPr>
        <w:t>9.1 质量标准</w:t>
      </w:r>
    </w:p>
    <w:p w14:paraId="6AD9905F">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（1）本合同下交付的货物应符合招标文件第五章“采购需求”所述的标准。如果没有提及适用标准，则应符合中华人民共和国有关机构发布的最新版本的标准。</w:t>
      </w:r>
    </w:p>
    <w:p w14:paraId="37847D0E">
      <w:pPr>
        <w:adjustRightInd w:val="0"/>
        <w:snapToGrid w:val="0"/>
        <w:spacing w:before="50" w:line="360" w:lineRule="auto"/>
        <w:ind w:firstLine="420" w:firstLineChars="200"/>
        <w:jc w:val="left"/>
        <w:rPr>
          <w:rFonts w:cs="Courier New" w:asciiTheme="minorEastAsia" w:hAnsiTheme="minorEastAsia" w:eastAsiaTheme="minorEastAsia"/>
          <w:color w:val="auto"/>
          <w:szCs w:val="21"/>
        </w:rPr>
      </w:pPr>
      <w:r>
        <w:rPr>
          <w:rFonts w:hint="eastAsia" w:cs="Courier New" w:asciiTheme="minorEastAsia" w:hAnsiTheme="minorEastAsia" w:eastAsiaTheme="minorEastAsia"/>
          <w:color w:val="auto"/>
          <w:szCs w:val="21"/>
        </w:rPr>
        <w:t>（2）采用中华人民共和国法定计量单位。</w:t>
      </w:r>
    </w:p>
    <w:p w14:paraId="70BE5554">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（3）乙方所出售的货物还应符合国家有关安全、环保、卫生之规定。</w:t>
      </w:r>
    </w:p>
    <w:p w14:paraId="50DC7026">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9.2 保证</w:t>
      </w:r>
    </w:p>
    <w:p w14:paraId="33C74CBA">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乙方应保证所供货物是全新的、未使用过的，并完全符合合同规定的质量、规格和性能的要求。乙方应保证其货物在正确安装、正常使用和保养条件下，在其使用寿命期内应具有满意的性能，或者没有因乙方的行为或疏忽而产生的缺陷。在货物最终交付验收后不少于</w:t>
      </w:r>
      <w:r>
        <w:rPr>
          <w:rFonts w:hint="eastAsia" w:asciiTheme="minorEastAsia" w:hAnsiTheme="minorEastAsia" w:eastAsiaTheme="minorEastAsia"/>
          <w:b/>
          <w:color w:val="auto"/>
          <w:szCs w:val="21"/>
        </w:rPr>
        <w:t>【政府采购合同专用条款】</w:t>
      </w:r>
      <w:r>
        <w:rPr>
          <w:rFonts w:hint="eastAsia" w:asciiTheme="minorEastAsia" w:hAnsiTheme="minorEastAsia" w:eastAsiaTheme="minorEastAsia"/>
          <w:color w:val="auto"/>
          <w:szCs w:val="21"/>
        </w:rPr>
        <w:t>规定或乙方承诺（两者以较长的为准）的质量保证期内，本保证保持有效。</w:t>
      </w:r>
    </w:p>
    <w:p w14:paraId="7FD75D20">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（2）在质量保证期内所发现的缺陷，甲方应尽快以书面形式通知乙方。</w:t>
      </w:r>
    </w:p>
    <w:p w14:paraId="041C8180">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（3）乙方收到通知后应在</w:t>
      </w:r>
      <w:r>
        <w:rPr>
          <w:rFonts w:hint="eastAsia" w:asciiTheme="minorEastAsia" w:hAnsiTheme="minorEastAsia" w:eastAsiaTheme="minorEastAsia"/>
          <w:b/>
          <w:color w:val="auto"/>
          <w:szCs w:val="21"/>
        </w:rPr>
        <w:t>【政府采购合同专用条款】</w:t>
      </w:r>
      <w:r>
        <w:rPr>
          <w:rFonts w:hint="eastAsia" w:asciiTheme="minorEastAsia" w:hAnsiTheme="minorEastAsia" w:eastAsiaTheme="minorEastAsia"/>
          <w:color w:val="auto"/>
          <w:szCs w:val="21"/>
        </w:rPr>
        <w:t>规定的响应时间内以合理的速度免费维修或更换有缺陷的货物或部件。</w:t>
      </w:r>
    </w:p>
    <w:p w14:paraId="54A0BC21">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（4）在质量保证期内，如果货物的质量或规格与合同不符，或证实货物是有缺陷的，包括潜在的缺陷或使用不符合要求的材料等，甲方可以根据本合同第15.1条规定以书面形式向乙方提出补救措施或索赔。</w:t>
      </w:r>
    </w:p>
    <w:p w14:paraId="355E1368">
      <w:pPr>
        <w:adjustRightInd w:val="0"/>
        <w:snapToGrid w:val="0"/>
        <w:spacing w:before="50" w:line="360" w:lineRule="auto"/>
        <w:ind w:firstLine="420" w:firstLineChars="200"/>
        <w:jc w:val="left"/>
        <w:rPr>
          <w:rFonts w:asciiTheme="minorEastAsia" w:hAnsiTheme="minorEastAsia" w:eastAsiaTheme="minorEastAsia"/>
          <w:b/>
          <w:color w:val="auto"/>
          <w:szCs w:val="21"/>
        </w:rPr>
      </w:pPr>
      <w:r>
        <w:rPr>
          <w:rFonts w:hint="eastAsia" w:asciiTheme="minorEastAsia" w:hAnsiTheme="minorEastAsia" w:eastAsiaTheme="minorEastAsia"/>
          <w:color w:val="auto"/>
          <w:szCs w:val="21"/>
        </w:rPr>
        <w:t>（5）乙方在约定的时间内未能弥补缺陷，甲方可采取必要的补救措施，但其风险和费用将由乙方承担，甲方根据合同规定对乙方行使的其他权利不受影响。</w:t>
      </w:r>
    </w:p>
    <w:p w14:paraId="751B5951">
      <w:pPr>
        <w:keepNext/>
        <w:keepLines/>
        <w:spacing w:before="260" w:after="260" w:line="416" w:lineRule="auto"/>
        <w:outlineLvl w:val="2"/>
        <w:rPr>
          <w:b/>
          <w:bCs/>
          <w:color w:val="auto"/>
          <w:sz w:val="32"/>
          <w:szCs w:val="32"/>
        </w:rPr>
      </w:pPr>
      <w:bookmarkStart w:id="178" w:name="_Toc18877"/>
      <w:bookmarkStart w:id="179" w:name="_Toc151559646"/>
      <w:r>
        <w:rPr>
          <w:rFonts w:hint="eastAsia"/>
          <w:b/>
          <w:bCs/>
          <w:color w:val="auto"/>
          <w:sz w:val="32"/>
          <w:szCs w:val="32"/>
        </w:rPr>
        <w:t>10.权利瑕疵担保</w:t>
      </w:r>
      <w:bookmarkEnd w:id="178"/>
      <w:bookmarkEnd w:id="179"/>
    </w:p>
    <w:p w14:paraId="353E5EC7">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10.1 乙方保证对其出售的货物享有合法的权利。</w:t>
      </w:r>
    </w:p>
    <w:p w14:paraId="34C6D6EE">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10.2 乙方保证在其出售的货物上不存在任何未曾向甲方透露的担保物权，如抵押权、质押权、留置权等。</w:t>
      </w:r>
    </w:p>
    <w:p w14:paraId="4B302BBF">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10.3 如甲方使用该货物构成上述侵权的，则由乙方承担全部责任。</w:t>
      </w:r>
    </w:p>
    <w:p w14:paraId="120B1C93">
      <w:pPr>
        <w:keepNext/>
        <w:keepLines/>
        <w:spacing w:before="260" w:after="260" w:line="416" w:lineRule="auto"/>
        <w:outlineLvl w:val="2"/>
        <w:rPr>
          <w:b/>
          <w:bCs/>
          <w:color w:val="auto"/>
          <w:sz w:val="32"/>
          <w:szCs w:val="32"/>
        </w:rPr>
      </w:pPr>
      <w:bookmarkStart w:id="180" w:name="_Toc111"/>
      <w:bookmarkStart w:id="181" w:name="_Toc151559647"/>
      <w:r>
        <w:rPr>
          <w:rFonts w:hint="eastAsia"/>
          <w:b/>
          <w:bCs/>
          <w:color w:val="auto"/>
          <w:sz w:val="32"/>
          <w:szCs w:val="32"/>
        </w:rPr>
        <w:t>11.知识产权保护</w:t>
      </w:r>
      <w:bookmarkEnd w:id="180"/>
      <w:bookmarkEnd w:id="181"/>
    </w:p>
    <w:p w14:paraId="4F53F33E">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11.1 乙方对其所销售的货物应当享有知识产权或经权利人合法授权，保证没有侵犯任何第三人的知识产权和商业秘密等权利。</w:t>
      </w:r>
    </w:p>
    <w:p w14:paraId="62A76212">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11.2 甲方使用乙方提供的货物对第三人构成侵权的，应当由乙方承担全部法律责任，给甲方造成损害的，乙方应当承担赔偿责任。</w:t>
      </w:r>
    </w:p>
    <w:p w14:paraId="4A6A307E">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11.3 甲方委托乙方开发的产品，甲方享有知识产权，未经甲方许可不得转让任何第三人。</w:t>
      </w:r>
    </w:p>
    <w:p w14:paraId="66D33773">
      <w:pPr>
        <w:keepNext/>
        <w:keepLines/>
        <w:spacing w:before="260" w:after="260" w:line="416" w:lineRule="auto"/>
        <w:outlineLvl w:val="2"/>
        <w:rPr>
          <w:b/>
          <w:bCs/>
          <w:color w:val="auto"/>
          <w:sz w:val="32"/>
          <w:szCs w:val="32"/>
        </w:rPr>
      </w:pPr>
      <w:bookmarkStart w:id="182" w:name="_Toc151559648"/>
      <w:bookmarkStart w:id="183" w:name="_Toc31338"/>
      <w:r>
        <w:rPr>
          <w:rFonts w:hint="eastAsia"/>
          <w:b/>
          <w:bCs/>
          <w:color w:val="auto"/>
          <w:sz w:val="32"/>
          <w:szCs w:val="32"/>
        </w:rPr>
        <w:t>12.保密义务</w:t>
      </w:r>
      <w:bookmarkEnd w:id="182"/>
      <w:bookmarkEnd w:id="183"/>
    </w:p>
    <w:p w14:paraId="50032346">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12.1 甲、乙双方在采购和履行合同过程中所获悉的对方属于保密的内容，双方均有保密义务。</w:t>
      </w:r>
    </w:p>
    <w:p w14:paraId="236D0EDF">
      <w:pPr>
        <w:keepNext/>
        <w:keepLines/>
        <w:spacing w:before="260" w:after="260" w:line="416" w:lineRule="auto"/>
        <w:outlineLvl w:val="2"/>
        <w:rPr>
          <w:b/>
          <w:bCs/>
          <w:color w:val="auto"/>
          <w:sz w:val="32"/>
          <w:szCs w:val="32"/>
        </w:rPr>
      </w:pPr>
      <w:bookmarkStart w:id="184" w:name="_Toc17910"/>
      <w:bookmarkStart w:id="185" w:name="_Toc151559649"/>
      <w:r>
        <w:rPr>
          <w:rFonts w:hint="eastAsia"/>
          <w:b/>
          <w:bCs/>
          <w:color w:val="auto"/>
          <w:sz w:val="32"/>
          <w:szCs w:val="32"/>
        </w:rPr>
        <w:t>13.合同价款支付</w:t>
      </w:r>
      <w:bookmarkEnd w:id="184"/>
      <w:bookmarkEnd w:id="185"/>
    </w:p>
    <w:p w14:paraId="29E03DB5">
      <w:pPr>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13.1验收合格后，乙方出具正规发票给甲方，凭甲方开具的《政府采购合同验收报告单》办理合同价</w:t>
      </w:r>
      <w:r>
        <w:rPr>
          <w:rFonts w:hint="eastAsia" w:asciiTheme="minorEastAsia" w:hAnsiTheme="minorEastAsia" w:eastAsiaTheme="minorEastAsia"/>
          <w:bCs/>
          <w:color w:val="auto"/>
          <w:szCs w:val="21"/>
        </w:rPr>
        <w:t>款</w:t>
      </w:r>
      <w:r>
        <w:rPr>
          <w:rFonts w:hint="eastAsia" w:asciiTheme="minorEastAsia" w:hAnsiTheme="minorEastAsia" w:eastAsiaTheme="minorEastAsia"/>
          <w:color w:val="auto"/>
          <w:szCs w:val="21"/>
        </w:rPr>
        <w:t>结算手续。</w:t>
      </w:r>
    </w:p>
    <w:p w14:paraId="1AAC012D">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13.2 合同价款构成中应当由财政支付的部分，甲方应当在货物验收合格后的十五个工作日内向国库管理部门申请支付，经国库管理部门审核后直接支付给乙方。</w:t>
      </w:r>
    </w:p>
    <w:p w14:paraId="53B5EC92">
      <w:pPr>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13.3 合同价款构成中应当由甲方自行支付的部分，甲方应当在货物验收合格后十五个工作内支付。</w:t>
      </w:r>
    </w:p>
    <w:p w14:paraId="054172FC">
      <w:pPr>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13.4支付合同价</w:t>
      </w:r>
      <w:r>
        <w:rPr>
          <w:rFonts w:hint="eastAsia" w:asciiTheme="minorEastAsia" w:hAnsiTheme="minorEastAsia" w:eastAsiaTheme="minorEastAsia"/>
          <w:bCs/>
          <w:color w:val="auto"/>
          <w:szCs w:val="21"/>
        </w:rPr>
        <w:t>款</w:t>
      </w:r>
      <w:r>
        <w:rPr>
          <w:rFonts w:hint="eastAsia" w:asciiTheme="minorEastAsia" w:hAnsiTheme="minorEastAsia" w:eastAsiaTheme="minorEastAsia"/>
          <w:color w:val="auto"/>
          <w:szCs w:val="21"/>
        </w:rPr>
        <w:t>时，一律不向乙方以外的任何第三方办理付款手续。开户行和账号以签订的政府采购合同为准，如果乙方要求变更，则乙方必须提供加盖了财务专用章、法定代表人签字的证明文件，报经甲方审查同意。</w:t>
      </w:r>
    </w:p>
    <w:p w14:paraId="3AE4EE23">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13.5 合同价款支付方式</w:t>
      </w:r>
      <w:r>
        <w:rPr>
          <w:rFonts w:hint="eastAsia" w:asciiTheme="minorEastAsia" w:hAnsiTheme="minorEastAsia" w:eastAsiaTheme="minorEastAsia"/>
          <w:bCs/>
          <w:color w:val="auto"/>
          <w:szCs w:val="21"/>
        </w:rPr>
        <w:t>和条件在</w:t>
      </w:r>
      <w:r>
        <w:rPr>
          <w:rFonts w:hint="eastAsia" w:asciiTheme="minorEastAsia" w:hAnsiTheme="minorEastAsia" w:eastAsiaTheme="minorEastAsia"/>
          <w:b/>
          <w:color w:val="auto"/>
          <w:szCs w:val="21"/>
        </w:rPr>
        <w:t>【政府采购合同专用条款】</w:t>
      </w:r>
      <w:r>
        <w:rPr>
          <w:rFonts w:hint="eastAsia" w:asciiTheme="minorEastAsia" w:hAnsiTheme="minorEastAsia" w:eastAsiaTheme="minorEastAsia"/>
          <w:color w:val="auto"/>
          <w:szCs w:val="21"/>
        </w:rPr>
        <w:t>中另有规定。</w:t>
      </w:r>
    </w:p>
    <w:p w14:paraId="7B907E37">
      <w:pPr>
        <w:keepNext/>
        <w:keepLines/>
        <w:spacing w:before="260" w:after="260" w:line="416" w:lineRule="auto"/>
        <w:outlineLvl w:val="2"/>
        <w:rPr>
          <w:b/>
          <w:bCs/>
          <w:color w:val="auto"/>
          <w:sz w:val="32"/>
          <w:szCs w:val="32"/>
        </w:rPr>
      </w:pPr>
      <w:bookmarkStart w:id="186" w:name="_Toc15309"/>
      <w:bookmarkStart w:id="187" w:name="_Toc151559650"/>
      <w:r>
        <w:rPr>
          <w:rFonts w:hint="eastAsia"/>
          <w:b/>
          <w:bCs/>
          <w:color w:val="auto"/>
          <w:sz w:val="32"/>
          <w:szCs w:val="32"/>
        </w:rPr>
        <w:t>14.乙方应提供的服务</w:t>
      </w:r>
      <w:bookmarkEnd w:id="186"/>
      <w:bookmarkEnd w:id="187"/>
    </w:p>
    <w:p w14:paraId="71470B73">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14.1 乙方应向甲方提交所提供货物的技术文件，包括相应的中文技术文件，如：产品目录、图纸、操作手册、使用说明、维护手册或服务指南。这些文件应包装好随同货物一起发运。</w:t>
      </w:r>
    </w:p>
    <w:p w14:paraId="4D8F2433">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14.2 乙方还应提供下列服务：</w:t>
      </w:r>
    </w:p>
    <w:p w14:paraId="076CA840">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（1）货物的现场移动、安装、调试、启动监督及技术支持；</w:t>
      </w:r>
    </w:p>
    <w:p w14:paraId="6E7F4C0E">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（2）提供货物组装和维修所需的专用工具和辅助材料；</w:t>
      </w:r>
    </w:p>
    <w:p w14:paraId="2495A6C1">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（3）在合同各方商定的一定期限内对所有的货物实施运行监督、维修，但前提条件是该服务并不能免除乙方在质量保证期内所承担的义务；</w:t>
      </w:r>
    </w:p>
    <w:p w14:paraId="1C2B02B9">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（4）在制造商或项目现场就货物的安装、启动、运营、维护对甲方操作人员进行培训；</w:t>
      </w:r>
    </w:p>
    <w:p w14:paraId="3914270F">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（5）</w:t>
      </w:r>
      <w:r>
        <w:rPr>
          <w:rFonts w:hint="eastAsia" w:asciiTheme="minorEastAsia" w:hAnsiTheme="minorEastAsia" w:eastAsiaTheme="minorEastAsia"/>
          <w:b/>
          <w:color w:val="auto"/>
          <w:szCs w:val="21"/>
        </w:rPr>
        <w:t>【政府采购合同专用条款】</w:t>
      </w:r>
      <w:r>
        <w:rPr>
          <w:rFonts w:hint="eastAsia" w:asciiTheme="minorEastAsia" w:hAnsiTheme="minorEastAsia" w:eastAsiaTheme="minorEastAsia"/>
          <w:color w:val="auto"/>
          <w:szCs w:val="21"/>
        </w:rPr>
        <w:t>规定由乙方提供的其他服务。</w:t>
      </w:r>
    </w:p>
    <w:p w14:paraId="552B3899">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14.3 乙方提供的服务的费用应包含在合同价款中，甲方不再另行支付。</w:t>
      </w:r>
    </w:p>
    <w:p w14:paraId="762730BA">
      <w:pPr>
        <w:keepNext/>
        <w:keepLines/>
        <w:spacing w:before="260" w:after="260" w:line="416" w:lineRule="auto"/>
        <w:outlineLvl w:val="2"/>
        <w:rPr>
          <w:b/>
          <w:bCs/>
          <w:color w:val="auto"/>
          <w:sz w:val="32"/>
          <w:szCs w:val="32"/>
        </w:rPr>
      </w:pPr>
      <w:bookmarkStart w:id="188" w:name="_Toc151559651"/>
      <w:bookmarkStart w:id="189" w:name="_Toc520"/>
      <w:r>
        <w:rPr>
          <w:rFonts w:hint="eastAsia"/>
          <w:color w:val="auto"/>
          <w:sz w:val="32"/>
          <w:szCs w:val="32"/>
        </w:rPr>
        <w:t>1</w:t>
      </w:r>
      <w:r>
        <w:rPr>
          <w:rFonts w:hint="eastAsia"/>
          <w:b/>
          <w:bCs/>
          <w:color w:val="auto"/>
          <w:sz w:val="32"/>
          <w:szCs w:val="32"/>
        </w:rPr>
        <w:t>5.违约责任</w:t>
      </w:r>
      <w:bookmarkEnd w:id="188"/>
      <w:bookmarkEnd w:id="189"/>
    </w:p>
    <w:p w14:paraId="58854608">
      <w:pPr>
        <w:adjustRightInd w:val="0"/>
        <w:snapToGrid w:val="0"/>
        <w:spacing w:before="50" w:line="360" w:lineRule="auto"/>
        <w:ind w:firstLine="420" w:firstLineChars="200"/>
        <w:jc w:val="left"/>
        <w:rPr>
          <w:rFonts w:asciiTheme="minorEastAsia" w:hAnsiTheme="minorEastAsia" w:eastAsiaTheme="minorEastAsia"/>
          <w:bCs/>
          <w:color w:val="auto"/>
          <w:szCs w:val="21"/>
        </w:rPr>
      </w:pPr>
      <w:r>
        <w:rPr>
          <w:rFonts w:hint="eastAsia" w:asciiTheme="minorEastAsia" w:hAnsiTheme="minorEastAsia" w:eastAsiaTheme="minorEastAsia"/>
          <w:bCs/>
          <w:color w:val="auto"/>
          <w:szCs w:val="21"/>
        </w:rPr>
        <w:t>15.1质量瑕疵的补救措施和索赔</w:t>
      </w:r>
    </w:p>
    <w:p w14:paraId="0BDC817E">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如果乙方提供的产品不符合质量标准或存在产品质量缺陷，而甲方在合同条款第9条或合同的其他条款规定的检验、安装、调试、验收和质量保证期内，根据法定质量检测部门出具的检验证书向乙方提出了索赔，乙方应按照甲方同意的下列一种或几种方式结合起来解决索赔事宜：</w:t>
      </w:r>
    </w:p>
    <w:p w14:paraId="2560776C">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①乙方同意退货并将货款退还给甲方，由此发生的一切费用和损失由乙方承担。</w:t>
      </w:r>
    </w:p>
    <w:p w14:paraId="00D22A01">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②根据货物的质量状况以及甲方所遭受的损失，经过甲乙双方商定降低货物的价格。</w:t>
      </w:r>
    </w:p>
    <w:p w14:paraId="19A20B95">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③乙方应在接到甲方通知后七日内负责采用符合合同规定的规格、质量和性能要求的新零件、部件和设备来更换有缺陷的部分或修补缺陷部分，其费用由乙方负担。同时，乙方应在约定的质量保证期基础上相应延长修补和更换件的质量保证期。</w:t>
      </w:r>
    </w:p>
    <w:p w14:paraId="78A314D7">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如果在甲方发出索赔通知后十日内乙方未作答复，上述索赔应视为已被乙方接受。如果乙方未能在甲方发出索赔通知后十日内或甲方同意延长的期限内，按照上述规定的任何一种方法采取补救措施，甲方有权从应付货款中扣除索赔金额或者没收质量保证金，如不足以弥补甲方损失的，甲方有权进一步要求乙方赔偿。</w:t>
      </w:r>
    </w:p>
    <w:p w14:paraId="23636CE9">
      <w:pPr>
        <w:autoSpaceDE w:val="0"/>
        <w:autoSpaceDN w:val="0"/>
        <w:adjustRightInd w:val="0"/>
        <w:snapToGrid w:val="0"/>
        <w:spacing w:before="50" w:line="360" w:lineRule="auto"/>
        <w:ind w:firstLine="420" w:firstLineChars="200"/>
        <w:jc w:val="left"/>
        <w:rPr>
          <w:rFonts w:asciiTheme="minorEastAsia" w:hAnsiTheme="minorEastAsia" w:eastAsiaTheme="minorEastAsia"/>
          <w:bCs/>
          <w:color w:val="auto"/>
          <w:szCs w:val="21"/>
        </w:rPr>
      </w:pPr>
      <w:r>
        <w:rPr>
          <w:rFonts w:hint="eastAsia" w:asciiTheme="minorEastAsia" w:hAnsiTheme="minorEastAsia" w:eastAsiaTheme="minorEastAsia"/>
          <w:bCs/>
          <w:color w:val="auto"/>
          <w:szCs w:val="21"/>
        </w:rPr>
        <w:t>15.2 迟延交货的违约责任</w:t>
      </w:r>
    </w:p>
    <w:p w14:paraId="3855FEFC">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乙方应按照本合同规定的时间、地点交货和提供服务。在履行合同过程中，如果乙方遇到可能妨碍按时交货和提供服务的情形时，应及时以书面形式将迟延的事实、可能迟延的期限和理由通知甲方。甲方在收到乙方通知后，应尽快对情况进行评价，并确定是否同意迟延交货时间或延期提供服务。</w:t>
      </w:r>
    </w:p>
    <w:p w14:paraId="5623E94E">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（2）除本合同</w:t>
      </w:r>
      <w:r>
        <w:rPr>
          <w:rFonts w:hint="eastAsia" w:asciiTheme="minorEastAsia" w:hAnsiTheme="minorEastAsia" w:eastAsiaTheme="minorEastAsia"/>
          <w:bCs/>
          <w:color w:val="auto"/>
          <w:szCs w:val="21"/>
        </w:rPr>
        <w:t>第20条</w:t>
      </w:r>
      <w:r>
        <w:rPr>
          <w:rFonts w:hint="eastAsia" w:asciiTheme="minorEastAsia" w:hAnsiTheme="minorEastAsia" w:eastAsiaTheme="minorEastAsia"/>
          <w:color w:val="auto"/>
          <w:szCs w:val="21"/>
        </w:rPr>
        <w:t>规定情况外，如果乙方没有按照合同规定的时间交货和提供服务，甲方有权从货款中扣除误期赔偿费而不影响合同项下的其他补救方法，赔偿费按每周（一周按七天计算，不足七日按一周计算）赔偿迟交货物的交货价或延期服务的服务费用的百分之零点五（0.5%）计收，直至交货或提供服务为止。但误期赔偿费的最高限额不超过合同价的百分之五（5%）。一旦达到误期赔偿的最高限额，甲方可以终止合同。</w:t>
      </w:r>
    </w:p>
    <w:p w14:paraId="3ABA346C">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3）如果乙方迟延交货，甲方有权终止全部或部分合同，并依其认为适当的条件和方法购买与未交货物类似的货物，乙方应对购买类似货物所超出的那部分费用负责。但是，乙方应继续执行合同中未终止的部分。</w:t>
      </w:r>
    </w:p>
    <w:p w14:paraId="1479D9F8">
      <w:pPr>
        <w:keepNext/>
        <w:keepLines/>
        <w:spacing w:before="260" w:after="260" w:line="416" w:lineRule="auto"/>
        <w:outlineLvl w:val="2"/>
        <w:rPr>
          <w:b/>
          <w:bCs/>
          <w:color w:val="auto"/>
          <w:sz w:val="32"/>
          <w:szCs w:val="32"/>
        </w:rPr>
      </w:pPr>
      <w:bookmarkStart w:id="190" w:name="_Toc151559652"/>
      <w:bookmarkStart w:id="191" w:name="_Toc25732"/>
      <w:r>
        <w:rPr>
          <w:rFonts w:hint="eastAsia"/>
          <w:b/>
          <w:bCs/>
          <w:color w:val="auto"/>
          <w:sz w:val="32"/>
          <w:szCs w:val="32"/>
        </w:rPr>
        <w:t>16.合同的变更</w:t>
      </w:r>
      <w:bookmarkEnd w:id="190"/>
      <w:bookmarkEnd w:id="191"/>
    </w:p>
    <w:p w14:paraId="21ABC48E">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16.1 在合同履行过程中，甲、乙双方可就合同履行的时间、地点和方式等协商进行变更。协商一致后，双方应签订书面的补充协议。</w:t>
      </w:r>
    </w:p>
    <w:p w14:paraId="55A03DAC">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16.2 在不改变合同其他条款的前提下，甲方有权在合同价款百分之十的范围内追加与合同标的相同的货物或服务，并就此与乙方签订补充合同，乙方不得拒绝。</w:t>
      </w:r>
    </w:p>
    <w:p w14:paraId="7F6AD143">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16.3 除双方签署书面协议，并成为合同不可分割的一部分外，本合同条件不得有任何变更。</w:t>
      </w:r>
    </w:p>
    <w:p w14:paraId="3FEAF91E">
      <w:pPr>
        <w:keepNext/>
        <w:keepLines/>
        <w:spacing w:before="260" w:after="260" w:line="416" w:lineRule="auto"/>
        <w:outlineLvl w:val="2"/>
        <w:rPr>
          <w:b/>
          <w:bCs/>
          <w:color w:val="auto"/>
          <w:sz w:val="32"/>
          <w:szCs w:val="32"/>
        </w:rPr>
      </w:pPr>
      <w:bookmarkStart w:id="192" w:name="_Toc22580"/>
      <w:bookmarkStart w:id="193" w:name="_Toc151559653"/>
      <w:r>
        <w:rPr>
          <w:rFonts w:hint="eastAsia"/>
          <w:b/>
          <w:bCs/>
          <w:color w:val="auto"/>
          <w:sz w:val="32"/>
          <w:szCs w:val="32"/>
        </w:rPr>
        <w:t>17.合同中止与终止</w:t>
      </w:r>
      <w:bookmarkEnd w:id="192"/>
      <w:bookmarkEnd w:id="193"/>
    </w:p>
    <w:p w14:paraId="3463BE74">
      <w:pPr>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17.1合同的中止</w:t>
      </w:r>
    </w:p>
    <w:p w14:paraId="718E37B6">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（1）合同在履行过程中，因采购计划调整，甲方可以要求中止履行，待计划确定后继续履行；</w:t>
      </w:r>
    </w:p>
    <w:p w14:paraId="77FC3D92">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（2）合同履行过程中因供应商就采购过程或结果提起投诉的，甲方认为有必要或财政部门责令中止的，应当中止合同的履行。</w:t>
      </w:r>
    </w:p>
    <w:p w14:paraId="22D2FF01">
      <w:pPr>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17.2合同的终止</w:t>
      </w:r>
    </w:p>
    <w:p w14:paraId="138D91AC">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（1）合同因有效期限届满而终止；</w:t>
      </w:r>
    </w:p>
    <w:p w14:paraId="391A31D3">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（2）乙方未能依照本合同约定条件履行合同，已构成根本性违约的，甲方有权终止本合同，并追究乙方的违约责任。</w:t>
      </w:r>
    </w:p>
    <w:p w14:paraId="3CF64A4A">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（3）如果乙方丧失履约能力或被宣告破产，甲方可在任何时候以书面形式通知乙方终止合同而不给乙方补偿。</w:t>
      </w:r>
    </w:p>
    <w:p w14:paraId="4F8CBC2B">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（4）如果乙方在履行合同过程中有不正当竞争行为，甲方有权解除合同，并按《中华人民共和国反不正当竞争法》规定由有关部门追究其法律责任。</w:t>
      </w:r>
    </w:p>
    <w:p w14:paraId="651B9BCE">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（5）如果合同的履行将损害国家利益或社会公共利益，甲方有权终止合同的履行，给乙方造成损失的予以相应补偿。</w:t>
      </w:r>
    </w:p>
    <w:p w14:paraId="6F351409">
      <w:pPr>
        <w:keepNext/>
        <w:keepLines/>
        <w:spacing w:before="260" w:after="260" w:line="416" w:lineRule="auto"/>
        <w:outlineLvl w:val="2"/>
        <w:rPr>
          <w:b/>
          <w:bCs/>
          <w:color w:val="auto"/>
          <w:sz w:val="32"/>
          <w:szCs w:val="32"/>
        </w:rPr>
      </w:pPr>
      <w:bookmarkStart w:id="194" w:name="_Toc15273"/>
      <w:bookmarkStart w:id="195" w:name="_Toc151559654"/>
      <w:r>
        <w:rPr>
          <w:rFonts w:hint="eastAsia"/>
          <w:b/>
          <w:bCs/>
          <w:color w:val="auto"/>
          <w:sz w:val="32"/>
          <w:szCs w:val="32"/>
        </w:rPr>
        <w:t>18.合同转让和分包</w:t>
      </w:r>
      <w:bookmarkEnd w:id="194"/>
      <w:bookmarkEnd w:id="195"/>
    </w:p>
    <w:p w14:paraId="624E942E">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18.1 乙方不得以任何形式将合同转包。</w:t>
      </w:r>
    </w:p>
    <w:p w14:paraId="7B978CBD">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18.2 乙方未在投标文件中说明，不得将</w:t>
      </w:r>
      <w:r>
        <w:rPr>
          <w:rFonts w:hint="eastAsia" w:asciiTheme="minorEastAsia" w:hAnsiTheme="minorEastAsia" w:eastAsiaTheme="minorEastAsia"/>
          <w:bCs/>
          <w:color w:val="auto"/>
          <w:szCs w:val="21"/>
        </w:rPr>
        <w:t>合同</w:t>
      </w:r>
      <w:r>
        <w:rPr>
          <w:rFonts w:hint="eastAsia" w:asciiTheme="minorEastAsia" w:hAnsiTheme="minorEastAsia" w:eastAsiaTheme="minorEastAsia"/>
          <w:color w:val="auto"/>
          <w:szCs w:val="21"/>
        </w:rPr>
        <w:t>的非主体、非关键性工作分包给他人。</w:t>
      </w:r>
    </w:p>
    <w:p w14:paraId="7FFF1B4D">
      <w:pPr>
        <w:keepNext/>
        <w:keepLines/>
        <w:spacing w:before="260" w:after="260" w:line="416" w:lineRule="auto"/>
        <w:outlineLvl w:val="2"/>
        <w:rPr>
          <w:b/>
          <w:bCs/>
          <w:color w:val="auto"/>
          <w:sz w:val="32"/>
          <w:szCs w:val="32"/>
        </w:rPr>
      </w:pPr>
      <w:bookmarkStart w:id="196" w:name="_Toc26088"/>
      <w:bookmarkStart w:id="197" w:name="_Toc151559655"/>
      <w:r>
        <w:rPr>
          <w:rFonts w:hint="eastAsia"/>
          <w:b/>
          <w:bCs/>
          <w:color w:val="auto"/>
          <w:sz w:val="32"/>
          <w:szCs w:val="32"/>
        </w:rPr>
        <w:t>19.不可抗力</w:t>
      </w:r>
      <w:bookmarkEnd w:id="196"/>
      <w:bookmarkEnd w:id="197"/>
    </w:p>
    <w:p w14:paraId="78C767DC">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19.1 不可抗力是指合同双方不可预见、不可避免、不可克服的自然灾害和社会事件。</w:t>
      </w:r>
    </w:p>
    <w:p w14:paraId="14E84BC0">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19.2 任何一方对由于不可抗力造成的部分或全部不能履行合同不承担违约责任。但迟延履行后发生不可抗力的，不能免除责任。</w:t>
      </w:r>
    </w:p>
    <w:p w14:paraId="2EAEBCB9">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19.3 遇有不可抗力的一方，应在三日内将事件的情况以书面形式通知另一方，并在事件发生后十日内，向另一方提交合同不能履行或部分不能履行或需要延期履行理由的报告。</w:t>
      </w:r>
    </w:p>
    <w:p w14:paraId="008AD2FD">
      <w:pPr>
        <w:keepNext/>
        <w:keepLines/>
        <w:spacing w:before="260" w:after="260" w:line="416" w:lineRule="auto"/>
        <w:outlineLvl w:val="2"/>
        <w:rPr>
          <w:b/>
          <w:bCs/>
          <w:color w:val="auto"/>
          <w:sz w:val="32"/>
          <w:szCs w:val="32"/>
        </w:rPr>
      </w:pPr>
      <w:bookmarkStart w:id="198" w:name="_Toc30917"/>
      <w:bookmarkStart w:id="199" w:name="_Toc151559656"/>
      <w:r>
        <w:rPr>
          <w:rFonts w:hint="eastAsia"/>
          <w:b/>
          <w:bCs/>
          <w:color w:val="auto"/>
          <w:sz w:val="32"/>
          <w:szCs w:val="32"/>
        </w:rPr>
        <w:t>20.解决争议的方法</w:t>
      </w:r>
      <w:bookmarkEnd w:id="198"/>
      <w:bookmarkEnd w:id="199"/>
    </w:p>
    <w:p w14:paraId="68CCD5DA">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20.1 合同各方应通过友好协商，解决在执行合同过程中所发生的或与合同有关的一切争端。如从协商开始后十日内仍不能解决，可以向财政部门提请调解。</w:t>
      </w:r>
    </w:p>
    <w:p w14:paraId="1534F0E7">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20.2 调解不成可以按</w:t>
      </w:r>
      <w:r>
        <w:rPr>
          <w:rFonts w:hint="eastAsia" w:asciiTheme="minorEastAsia" w:hAnsiTheme="minorEastAsia" w:eastAsiaTheme="minorEastAsia"/>
          <w:b/>
          <w:color w:val="auto"/>
          <w:szCs w:val="21"/>
        </w:rPr>
        <w:t>【政府采购合同专用条款】</w:t>
      </w:r>
      <w:r>
        <w:rPr>
          <w:rFonts w:hint="eastAsia" w:asciiTheme="minorEastAsia" w:hAnsiTheme="minorEastAsia" w:eastAsiaTheme="minorEastAsia"/>
          <w:color w:val="auto"/>
          <w:szCs w:val="21"/>
        </w:rPr>
        <w:t>中约定中规定下列方式之一提起仲裁或诉讼：</w:t>
      </w:r>
    </w:p>
    <w:p w14:paraId="2B0A91A8">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（1）向甲方所在地仲裁机构提起仲裁；</w:t>
      </w:r>
    </w:p>
    <w:p w14:paraId="4F82954D">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（2）向甲方所在地人民法院提起诉讼。</w:t>
      </w:r>
    </w:p>
    <w:p w14:paraId="5FA67872">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20.3 如仲裁或诉讼事项不影响合同其它部分的履行，则在仲裁或诉讼期间，除正在进行仲裁或诉讼的部分外，合同的其它部分应继续执行。</w:t>
      </w:r>
    </w:p>
    <w:p w14:paraId="1067A694">
      <w:pPr>
        <w:keepNext/>
        <w:keepLines/>
        <w:spacing w:before="260" w:after="260" w:line="416" w:lineRule="auto"/>
        <w:outlineLvl w:val="2"/>
        <w:rPr>
          <w:b/>
          <w:bCs/>
          <w:color w:val="auto"/>
          <w:sz w:val="32"/>
          <w:szCs w:val="32"/>
        </w:rPr>
      </w:pPr>
      <w:bookmarkStart w:id="200" w:name="_Toc7442"/>
      <w:bookmarkStart w:id="201" w:name="_Toc151559657"/>
      <w:r>
        <w:rPr>
          <w:rFonts w:hint="eastAsia"/>
          <w:b/>
          <w:bCs/>
          <w:color w:val="auto"/>
          <w:sz w:val="32"/>
          <w:szCs w:val="32"/>
        </w:rPr>
        <w:t>21.法律适用</w:t>
      </w:r>
      <w:bookmarkEnd w:id="200"/>
      <w:bookmarkEnd w:id="201"/>
    </w:p>
    <w:p w14:paraId="736E2439">
      <w:pPr>
        <w:autoSpaceDE w:val="0"/>
        <w:autoSpaceDN w:val="0"/>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21.1 本合同适用中华人民共和国现行法律、行政法规和规章，如合同条款与法律、行政法规和规章不一致的，按照法律、行政法规和规章修改本合同。</w:t>
      </w:r>
    </w:p>
    <w:p w14:paraId="6370A234">
      <w:pPr>
        <w:keepNext/>
        <w:keepLines/>
        <w:spacing w:before="260" w:after="260" w:line="416" w:lineRule="auto"/>
        <w:outlineLvl w:val="2"/>
        <w:rPr>
          <w:b/>
          <w:bCs/>
          <w:color w:val="auto"/>
          <w:sz w:val="32"/>
          <w:szCs w:val="32"/>
        </w:rPr>
      </w:pPr>
      <w:bookmarkStart w:id="202" w:name="_Toc151559658"/>
      <w:bookmarkStart w:id="203" w:name="_Toc9321"/>
      <w:r>
        <w:rPr>
          <w:rFonts w:hint="eastAsia"/>
          <w:b/>
          <w:bCs/>
          <w:color w:val="auto"/>
          <w:sz w:val="32"/>
          <w:szCs w:val="32"/>
        </w:rPr>
        <w:t>22.通知</w:t>
      </w:r>
      <w:bookmarkEnd w:id="202"/>
      <w:bookmarkEnd w:id="203"/>
    </w:p>
    <w:p w14:paraId="730B9CB3">
      <w:pPr>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22.1本合同一方给另一方的通知均应采用书面形式，传真或快递送到本合同中规定的对方的地址和办理签收手续，</w:t>
      </w:r>
    </w:p>
    <w:p w14:paraId="1F8769E1">
      <w:pPr>
        <w:adjustRightInd w:val="0"/>
        <w:snapToGrid w:val="0"/>
        <w:spacing w:before="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22.2通知以送到之日或通知书中规定的生效之日起生效，两者中以较迟之日为准。</w:t>
      </w:r>
    </w:p>
    <w:p w14:paraId="28F5911D">
      <w:pPr>
        <w:keepNext/>
        <w:keepLines/>
        <w:spacing w:before="260" w:after="260" w:line="416" w:lineRule="auto"/>
        <w:outlineLvl w:val="2"/>
        <w:rPr>
          <w:b/>
          <w:bCs/>
          <w:color w:val="auto"/>
          <w:sz w:val="32"/>
          <w:szCs w:val="32"/>
        </w:rPr>
      </w:pPr>
      <w:bookmarkStart w:id="204" w:name="_Toc20698"/>
      <w:bookmarkStart w:id="205" w:name="_Toc151559659"/>
      <w:r>
        <w:rPr>
          <w:rFonts w:hint="eastAsia"/>
          <w:b/>
          <w:bCs/>
          <w:color w:val="auto"/>
          <w:sz w:val="32"/>
          <w:szCs w:val="32"/>
        </w:rPr>
        <w:t>23.合同未尽事项</w:t>
      </w:r>
      <w:bookmarkEnd w:id="204"/>
      <w:bookmarkEnd w:id="205"/>
    </w:p>
    <w:p w14:paraId="6FCCDE19">
      <w:pPr>
        <w:adjustRightInd w:val="0"/>
        <w:snapToGrid w:val="0"/>
        <w:spacing w:before="50" w:line="360" w:lineRule="auto"/>
        <w:ind w:firstLine="420" w:firstLineChars="200"/>
        <w:jc w:val="left"/>
        <w:rPr>
          <w:rFonts w:asciiTheme="minorEastAsia" w:hAnsiTheme="minorEastAsia" w:eastAsiaTheme="minorEastAsia"/>
          <w:bCs/>
          <w:color w:val="auto"/>
          <w:szCs w:val="21"/>
        </w:rPr>
      </w:pPr>
      <w:r>
        <w:rPr>
          <w:rFonts w:hint="eastAsia" w:asciiTheme="minorEastAsia" w:hAnsiTheme="minorEastAsia" w:eastAsiaTheme="minorEastAsia"/>
          <w:bCs/>
          <w:color w:val="auto"/>
          <w:szCs w:val="21"/>
        </w:rPr>
        <w:t>23.1合同未尽事项见</w:t>
      </w:r>
      <w:r>
        <w:rPr>
          <w:rFonts w:hint="eastAsia" w:asciiTheme="minorEastAsia" w:hAnsiTheme="minorEastAsia" w:eastAsiaTheme="minorEastAsia"/>
          <w:b/>
          <w:color w:val="auto"/>
          <w:szCs w:val="21"/>
        </w:rPr>
        <w:t>【政府采购合同专用条款】。</w:t>
      </w:r>
    </w:p>
    <w:p w14:paraId="217159BF">
      <w:pPr>
        <w:keepNext/>
        <w:keepLines/>
        <w:spacing w:before="260" w:after="260" w:line="416" w:lineRule="auto"/>
        <w:outlineLvl w:val="2"/>
        <w:rPr>
          <w:b/>
          <w:bCs/>
          <w:color w:val="auto"/>
          <w:sz w:val="32"/>
          <w:szCs w:val="32"/>
        </w:rPr>
      </w:pPr>
      <w:bookmarkStart w:id="206" w:name="_Toc26262"/>
      <w:bookmarkStart w:id="207" w:name="_Toc151559660"/>
      <w:r>
        <w:rPr>
          <w:rFonts w:hint="eastAsia"/>
          <w:b/>
          <w:bCs/>
          <w:color w:val="auto"/>
          <w:sz w:val="32"/>
          <w:szCs w:val="32"/>
        </w:rPr>
        <w:t>24.合同生效</w:t>
      </w:r>
      <w:bookmarkEnd w:id="206"/>
      <w:bookmarkEnd w:id="207"/>
    </w:p>
    <w:p w14:paraId="148CC72F">
      <w:pPr>
        <w:autoSpaceDE w:val="0"/>
        <w:autoSpaceDN w:val="0"/>
        <w:adjustRightInd w:val="0"/>
        <w:snapToGrid w:val="0"/>
        <w:spacing w:before="50" w:line="360" w:lineRule="auto"/>
        <w:ind w:firstLine="420" w:firstLineChars="200"/>
        <w:jc w:val="left"/>
        <w:rPr>
          <w:rFonts w:ascii="黑体" w:hAnsi="黑体" w:eastAsia="黑体"/>
          <w:b/>
          <w:bCs/>
          <w:color w:val="auto"/>
          <w:sz w:val="32"/>
        </w:rPr>
      </w:pPr>
      <w:r>
        <w:rPr>
          <w:rFonts w:hint="eastAsia" w:asciiTheme="minorEastAsia" w:hAnsiTheme="minorEastAsia" w:eastAsiaTheme="minorEastAsia"/>
          <w:color w:val="auto"/>
          <w:szCs w:val="21"/>
        </w:rPr>
        <w:t>24.1 本合同在合同双方签字盖章后生效。</w:t>
      </w:r>
      <w:r>
        <w:rPr>
          <w:rFonts w:ascii="黑体" w:hAnsi="黑体" w:eastAsia="黑体"/>
          <w:b/>
          <w:bCs/>
          <w:color w:val="auto"/>
          <w:sz w:val="32"/>
        </w:rPr>
        <w:br w:type="page"/>
      </w:r>
    </w:p>
    <w:p w14:paraId="77C224E5">
      <w:pPr>
        <w:keepNext/>
        <w:keepLines/>
        <w:adjustRightInd w:val="0"/>
        <w:snapToGrid w:val="0"/>
        <w:spacing w:line="360" w:lineRule="auto"/>
        <w:jc w:val="center"/>
        <w:outlineLvl w:val="1"/>
        <w:rPr>
          <w:rFonts w:ascii="黑体" w:hAnsi="华文中宋" w:eastAsia="黑体"/>
          <w:b/>
          <w:bCs/>
          <w:color w:val="auto"/>
          <w:sz w:val="28"/>
          <w:szCs w:val="28"/>
        </w:rPr>
      </w:pPr>
      <w:bookmarkStart w:id="208" w:name="_Toc27878"/>
      <w:bookmarkStart w:id="209" w:name="_Toc151559661"/>
      <w:r>
        <w:rPr>
          <w:rFonts w:hint="eastAsia" w:ascii="黑体" w:hAnsi="华文中宋" w:eastAsia="黑体"/>
          <w:b/>
          <w:bCs/>
          <w:color w:val="auto"/>
          <w:sz w:val="28"/>
          <w:szCs w:val="28"/>
        </w:rPr>
        <w:t>第三节 政府采购合同专用条款</w:t>
      </w:r>
      <w:bookmarkEnd w:id="208"/>
      <w:bookmarkEnd w:id="209"/>
    </w:p>
    <w:p w14:paraId="6E0E68B0">
      <w:pPr>
        <w:adjustRightInd w:val="0"/>
        <w:snapToGrid w:val="0"/>
        <w:spacing w:line="360" w:lineRule="auto"/>
        <w:jc w:val="center"/>
        <w:rPr>
          <w:rFonts w:ascii="宋体" w:hAnsi="宋体"/>
          <w:color w:val="auto"/>
          <w:sz w:val="24"/>
        </w:rPr>
      </w:pPr>
    </w:p>
    <w:tbl>
      <w:tblPr>
        <w:tblStyle w:val="41"/>
        <w:tblW w:w="9008"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1843"/>
        <w:gridCol w:w="5464"/>
      </w:tblGrid>
      <w:tr w14:paraId="5E5266B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701" w:type="dxa"/>
            <w:vAlign w:val="center"/>
          </w:tcPr>
          <w:p w14:paraId="39D31FC0">
            <w:pPr>
              <w:adjustRightInd w:val="0"/>
              <w:snapToGrid w:val="0"/>
              <w:spacing w:line="360" w:lineRule="auto"/>
              <w:jc w:val="center"/>
              <w:rPr>
                <w:rFonts w:ascii="宋体" w:hAnsi="宋体"/>
                <w:color w:val="auto"/>
                <w:szCs w:val="21"/>
              </w:rPr>
            </w:pPr>
            <w:r>
              <w:rPr>
                <w:rFonts w:hint="eastAsia" w:ascii="宋体" w:hAnsi="宋体"/>
                <w:color w:val="auto"/>
                <w:szCs w:val="21"/>
              </w:rPr>
              <w:t>本章第二节</w:t>
            </w:r>
          </w:p>
          <w:p w14:paraId="7375CD4E">
            <w:pPr>
              <w:adjustRightInd w:val="0"/>
              <w:snapToGrid w:val="0"/>
              <w:spacing w:line="360" w:lineRule="auto"/>
              <w:jc w:val="center"/>
              <w:rPr>
                <w:rFonts w:ascii="宋体" w:hAnsi="宋体"/>
                <w:color w:val="auto"/>
                <w:szCs w:val="21"/>
              </w:rPr>
            </w:pPr>
            <w:r>
              <w:rPr>
                <w:rFonts w:hint="eastAsia" w:ascii="宋体" w:hAnsi="宋体"/>
                <w:color w:val="auto"/>
                <w:szCs w:val="21"/>
              </w:rPr>
              <w:t>第1.1款</w:t>
            </w:r>
          </w:p>
        </w:tc>
        <w:tc>
          <w:tcPr>
            <w:tcW w:w="1843" w:type="dxa"/>
            <w:vAlign w:val="center"/>
          </w:tcPr>
          <w:p w14:paraId="09523142">
            <w:pPr>
              <w:adjustRightInd w:val="0"/>
              <w:snapToGrid w:val="0"/>
              <w:spacing w:line="360" w:lineRule="auto"/>
              <w:rPr>
                <w:rFonts w:ascii="宋体" w:hAnsi="宋体"/>
                <w:color w:val="auto"/>
                <w:szCs w:val="21"/>
              </w:rPr>
            </w:pPr>
            <w:r>
              <w:rPr>
                <w:rFonts w:hint="eastAsia" w:ascii="宋体" w:hAnsi="宋体"/>
                <w:color w:val="auto"/>
                <w:szCs w:val="21"/>
              </w:rPr>
              <w:t>甲方名称、地址</w:t>
            </w:r>
          </w:p>
        </w:tc>
        <w:tc>
          <w:tcPr>
            <w:tcW w:w="5464" w:type="dxa"/>
            <w:vAlign w:val="center"/>
          </w:tcPr>
          <w:p w14:paraId="313877A3">
            <w:pPr>
              <w:adjustRightInd w:val="0"/>
              <w:snapToGrid w:val="0"/>
              <w:spacing w:line="360" w:lineRule="auto"/>
              <w:rPr>
                <w:rFonts w:ascii="宋体" w:hAnsi="宋体"/>
                <w:color w:val="auto"/>
                <w:szCs w:val="21"/>
              </w:rPr>
            </w:pPr>
            <w:r>
              <w:rPr>
                <w:rFonts w:hint="eastAsia" w:ascii="宋体" w:hAnsi="宋体"/>
                <w:color w:val="auto"/>
                <w:szCs w:val="21"/>
              </w:rPr>
              <w:t>见“中南大学湘雅医院订货合同（设备类）”</w:t>
            </w:r>
          </w:p>
        </w:tc>
      </w:tr>
      <w:tr w14:paraId="00F73F1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701" w:type="dxa"/>
            <w:vAlign w:val="center"/>
          </w:tcPr>
          <w:p w14:paraId="1A3AF3F7">
            <w:pPr>
              <w:adjustRightInd w:val="0"/>
              <w:snapToGrid w:val="0"/>
              <w:spacing w:line="360" w:lineRule="auto"/>
              <w:jc w:val="center"/>
              <w:rPr>
                <w:rFonts w:ascii="宋体" w:hAnsi="宋体"/>
                <w:color w:val="auto"/>
                <w:szCs w:val="21"/>
              </w:rPr>
            </w:pPr>
            <w:r>
              <w:rPr>
                <w:rFonts w:hint="eastAsia" w:ascii="宋体" w:hAnsi="宋体"/>
                <w:color w:val="auto"/>
                <w:szCs w:val="21"/>
              </w:rPr>
              <w:t>本章第二节</w:t>
            </w:r>
          </w:p>
          <w:p w14:paraId="62AE05C6">
            <w:pPr>
              <w:adjustRightInd w:val="0"/>
              <w:snapToGrid w:val="0"/>
              <w:spacing w:line="360" w:lineRule="auto"/>
              <w:jc w:val="center"/>
              <w:rPr>
                <w:rFonts w:ascii="宋体" w:hAnsi="宋体"/>
                <w:color w:val="auto"/>
                <w:szCs w:val="21"/>
              </w:rPr>
            </w:pPr>
            <w:r>
              <w:rPr>
                <w:rFonts w:hint="eastAsia" w:ascii="宋体" w:hAnsi="宋体"/>
                <w:color w:val="auto"/>
                <w:szCs w:val="21"/>
              </w:rPr>
              <w:t>第1.2（6）项</w:t>
            </w:r>
          </w:p>
        </w:tc>
        <w:tc>
          <w:tcPr>
            <w:tcW w:w="1843" w:type="dxa"/>
            <w:vAlign w:val="center"/>
          </w:tcPr>
          <w:p w14:paraId="49205BDD">
            <w:pPr>
              <w:adjustRightInd w:val="0"/>
              <w:snapToGrid w:val="0"/>
              <w:spacing w:line="360" w:lineRule="auto"/>
              <w:rPr>
                <w:rFonts w:ascii="宋体" w:hAnsi="宋体"/>
                <w:color w:val="auto"/>
                <w:szCs w:val="21"/>
              </w:rPr>
            </w:pPr>
            <w:r>
              <w:rPr>
                <w:rFonts w:hint="eastAsia" w:ascii="宋体" w:hAnsi="宋体"/>
                <w:color w:val="auto"/>
                <w:szCs w:val="21"/>
              </w:rPr>
              <w:t>项目现场</w:t>
            </w:r>
          </w:p>
        </w:tc>
        <w:tc>
          <w:tcPr>
            <w:tcW w:w="5464" w:type="dxa"/>
            <w:vAlign w:val="center"/>
          </w:tcPr>
          <w:p w14:paraId="79710C71">
            <w:pPr>
              <w:adjustRightInd w:val="0"/>
              <w:snapToGrid w:val="0"/>
              <w:spacing w:line="360" w:lineRule="auto"/>
              <w:rPr>
                <w:rFonts w:ascii="宋体" w:hAnsi="宋体"/>
                <w:color w:val="auto"/>
                <w:szCs w:val="21"/>
              </w:rPr>
            </w:pPr>
            <w:r>
              <w:rPr>
                <w:rFonts w:hint="eastAsia" w:ascii="宋体" w:hAnsi="宋体"/>
                <w:color w:val="auto"/>
                <w:szCs w:val="21"/>
              </w:rPr>
              <w:t>长沙市内用户指定地点</w:t>
            </w:r>
          </w:p>
        </w:tc>
      </w:tr>
      <w:tr w14:paraId="59E2CB0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701" w:type="dxa"/>
            <w:vAlign w:val="center"/>
          </w:tcPr>
          <w:p w14:paraId="283D2350">
            <w:pPr>
              <w:adjustRightInd w:val="0"/>
              <w:snapToGrid w:val="0"/>
              <w:spacing w:line="360" w:lineRule="auto"/>
              <w:jc w:val="center"/>
              <w:rPr>
                <w:rFonts w:ascii="宋体" w:hAnsi="宋体"/>
                <w:b/>
                <w:color w:val="auto"/>
                <w:szCs w:val="21"/>
              </w:rPr>
            </w:pPr>
            <w:r>
              <w:rPr>
                <w:rFonts w:hint="eastAsia" w:hAnsi="宋体"/>
                <w:b/>
                <w:color w:val="auto"/>
              </w:rPr>
              <w:t>★</w:t>
            </w:r>
            <w:r>
              <w:rPr>
                <w:rFonts w:hint="eastAsia" w:ascii="宋体" w:hAnsi="宋体"/>
                <w:b/>
                <w:color w:val="auto"/>
                <w:szCs w:val="21"/>
              </w:rPr>
              <w:t>本章第二节</w:t>
            </w:r>
          </w:p>
          <w:p w14:paraId="4C807D7E">
            <w:pPr>
              <w:adjustRightInd w:val="0"/>
              <w:snapToGrid w:val="0"/>
              <w:spacing w:line="360" w:lineRule="auto"/>
              <w:jc w:val="center"/>
              <w:rPr>
                <w:rFonts w:ascii="宋体" w:hAnsi="宋体"/>
                <w:b/>
                <w:color w:val="auto"/>
                <w:szCs w:val="21"/>
              </w:rPr>
            </w:pPr>
            <w:r>
              <w:rPr>
                <w:rFonts w:hint="eastAsia" w:ascii="宋体" w:hAnsi="宋体"/>
                <w:b/>
                <w:color w:val="auto"/>
                <w:szCs w:val="21"/>
              </w:rPr>
              <w:t>第5.1款</w:t>
            </w:r>
          </w:p>
        </w:tc>
        <w:tc>
          <w:tcPr>
            <w:tcW w:w="1843" w:type="dxa"/>
            <w:vAlign w:val="center"/>
          </w:tcPr>
          <w:p w14:paraId="785B3069">
            <w:pPr>
              <w:adjustRightInd w:val="0"/>
              <w:snapToGrid w:val="0"/>
              <w:spacing w:line="360" w:lineRule="auto"/>
              <w:rPr>
                <w:rFonts w:ascii="宋体" w:hAnsi="宋体"/>
                <w:b/>
                <w:color w:val="auto"/>
                <w:szCs w:val="21"/>
              </w:rPr>
            </w:pPr>
            <w:r>
              <w:rPr>
                <w:rFonts w:hint="eastAsia" w:ascii="宋体" w:hAnsi="宋体"/>
                <w:b/>
                <w:color w:val="auto"/>
                <w:szCs w:val="21"/>
              </w:rPr>
              <w:t>履行合同的时间、地点及方式</w:t>
            </w:r>
          </w:p>
        </w:tc>
        <w:tc>
          <w:tcPr>
            <w:tcW w:w="5464" w:type="dxa"/>
            <w:vAlign w:val="center"/>
          </w:tcPr>
          <w:p w14:paraId="5D5D2860">
            <w:pPr>
              <w:adjustRightInd w:val="0"/>
              <w:snapToGrid w:val="0"/>
              <w:spacing w:line="360" w:lineRule="auto"/>
              <w:rPr>
                <w:rFonts w:ascii="宋体" w:hAnsi="宋体"/>
                <w:b/>
                <w:color w:val="auto"/>
                <w:szCs w:val="21"/>
              </w:rPr>
            </w:pPr>
            <w:r>
              <w:rPr>
                <w:rFonts w:hint="eastAsia" w:ascii="宋体" w:hAnsi="宋体"/>
                <w:b/>
                <w:color w:val="auto"/>
                <w:szCs w:val="21"/>
              </w:rPr>
              <w:t>详见“中南大学湘雅医院订货合同（设备类）”</w:t>
            </w:r>
          </w:p>
        </w:tc>
      </w:tr>
      <w:tr w14:paraId="77F8D47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701" w:type="dxa"/>
            <w:vAlign w:val="center"/>
          </w:tcPr>
          <w:p w14:paraId="6C92E749">
            <w:pPr>
              <w:adjustRightInd w:val="0"/>
              <w:snapToGrid w:val="0"/>
              <w:spacing w:line="360" w:lineRule="auto"/>
              <w:jc w:val="center"/>
              <w:rPr>
                <w:rFonts w:ascii="宋体" w:hAnsi="宋体"/>
                <w:b/>
                <w:color w:val="auto"/>
                <w:szCs w:val="21"/>
              </w:rPr>
            </w:pPr>
            <w:r>
              <w:rPr>
                <w:rFonts w:hint="eastAsia" w:hAnsi="宋体"/>
                <w:b/>
                <w:color w:val="auto"/>
              </w:rPr>
              <w:t>★</w:t>
            </w:r>
            <w:r>
              <w:rPr>
                <w:rFonts w:hint="eastAsia" w:ascii="宋体" w:hAnsi="宋体"/>
                <w:b/>
                <w:color w:val="auto"/>
                <w:szCs w:val="21"/>
              </w:rPr>
              <w:t>本章第二节</w:t>
            </w:r>
          </w:p>
          <w:p w14:paraId="5ABFDA5F">
            <w:pPr>
              <w:adjustRightInd w:val="0"/>
              <w:snapToGrid w:val="0"/>
              <w:spacing w:line="360" w:lineRule="auto"/>
              <w:jc w:val="center"/>
              <w:rPr>
                <w:rFonts w:ascii="宋体" w:hAnsi="宋体"/>
                <w:b/>
                <w:color w:val="auto"/>
                <w:szCs w:val="21"/>
              </w:rPr>
            </w:pPr>
            <w:r>
              <w:rPr>
                <w:rFonts w:hint="eastAsia" w:ascii="宋体" w:hAnsi="宋体"/>
                <w:b/>
                <w:color w:val="auto"/>
                <w:szCs w:val="21"/>
              </w:rPr>
              <w:t>第9.2（1）项</w:t>
            </w:r>
          </w:p>
        </w:tc>
        <w:tc>
          <w:tcPr>
            <w:tcW w:w="1843" w:type="dxa"/>
            <w:vAlign w:val="center"/>
          </w:tcPr>
          <w:p w14:paraId="0D295C49">
            <w:pPr>
              <w:adjustRightInd w:val="0"/>
              <w:snapToGrid w:val="0"/>
              <w:spacing w:line="360" w:lineRule="auto"/>
              <w:rPr>
                <w:rFonts w:ascii="宋体" w:hAnsi="宋体"/>
                <w:b/>
                <w:color w:val="auto"/>
                <w:szCs w:val="21"/>
              </w:rPr>
            </w:pPr>
            <w:r>
              <w:rPr>
                <w:rFonts w:hint="eastAsia" w:ascii="宋体" w:hAnsi="宋体"/>
                <w:b/>
                <w:color w:val="auto"/>
                <w:szCs w:val="21"/>
              </w:rPr>
              <w:t>质量保证期</w:t>
            </w:r>
          </w:p>
        </w:tc>
        <w:tc>
          <w:tcPr>
            <w:tcW w:w="5464" w:type="dxa"/>
            <w:vAlign w:val="center"/>
          </w:tcPr>
          <w:p w14:paraId="06C613F8">
            <w:pPr>
              <w:autoSpaceDE w:val="0"/>
              <w:autoSpaceDN w:val="0"/>
              <w:adjustRightInd w:val="0"/>
              <w:snapToGrid w:val="0"/>
              <w:spacing w:line="360" w:lineRule="auto"/>
              <w:rPr>
                <w:rFonts w:ascii="宋体" w:hAnsi="宋体"/>
                <w:b/>
                <w:color w:val="auto"/>
                <w:szCs w:val="21"/>
              </w:rPr>
            </w:pPr>
            <w:r>
              <w:rPr>
                <w:rFonts w:hint="eastAsia" w:ascii="宋体" w:hAnsi="宋体"/>
                <w:b/>
                <w:color w:val="auto"/>
                <w:szCs w:val="21"/>
              </w:rPr>
              <w:t>详见“中南大学湘雅医院订货合同（设备类）”</w:t>
            </w:r>
          </w:p>
        </w:tc>
      </w:tr>
      <w:tr w14:paraId="478930B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701" w:type="dxa"/>
            <w:vAlign w:val="center"/>
          </w:tcPr>
          <w:p w14:paraId="1FFB4B4C">
            <w:pPr>
              <w:adjustRightInd w:val="0"/>
              <w:snapToGrid w:val="0"/>
              <w:spacing w:line="360" w:lineRule="auto"/>
              <w:jc w:val="center"/>
              <w:rPr>
                <w:rFonts w:ascii="宋体" w:hAnsi="宋体"/>
                <w:color w:val="auto"/>
                <w:szCs w:val="21"/>
              </w:rPr>
            </w:pPr>
            <w:r>
              <w:rPr>
                <w:rFonts w:hint="eastAsia" w:ascii="宋体" w:hAnsi="宋体"/>
                <w:color w:val="auto"/>
                <w:szCs w:val="21"/>
              </w:rPr>
              <w:t>本章第二节</w:t>
            </w:r>
          </w:p>
          <w:p w14:paraId="06845E7B">
            <w:pPr>
              <w:adjustRightInd w:val="0"/>
              <w:snapToGrid w:val="0"/>
              <w:spacing w:line="360" w:lineRule="auto"/>
              <w:jc w:val="center"/>
              <w:rPr>
                <w:rFonts w:ascii="宋体" w:hAnsi="宋体"/>
                <w:color w:val="auto"/>
                <w:szCs w:val="21"/>
              </w:rPr>
            </w:pPr>
            <w:r>
              <w:rPr>
                <w:rFonts w:hint="eastAsia" w:ascii="宋体" w:hAnsi="宋体"/>
                <w:color w:val="auto"/>
                <w:szCs w:val="21"/>
              </w:rPr>
              <w:t>第9.2（3）项</w:t>
            </w:r>
          </w:p>
        </w:tc>
        <w:tc>
          <w:tcPr>
            <w:tcW w:w="1843" w:type="dxa"/>
            <w:vAlign w:val="center"/>
          </w:tcPr>
          <w:p w14:paraId="1F294D2F">
            <w:pPr>
              <w:adjustRightInd w:val="0"/>
              <w:snapToGrid w:val="0"/>
              <w:spacing w:line="360" w:lineRule="auto"/>
              <w:rPr>
                <w:rFonts w:ascii="宋体" w:hAnsi="宋体"/>
                <w:color w:val="auto"/>
                <w:szCs w:val="21"/>
              </w:rPr>
            </w:pPr>
            <w:r>
              <w:rPr>
                <w:rFonts w:hint="eastAsia" w:ascii="宋体" w:hAnsi="宋体"/>
                <w:color w:val="auto"/>
                <w:szCs w:val="21"/>
              </w:rPr>
              <w:t>响应时间</w:t>
            </w:r>
          </w:p>
        </w:tc>
        <w:tc>
          <w:tcPr>
            <w:tcW w:w="5464" w:type="dxa"/>
            <w:vAlign w:val="center"/>
          </w:tcPr>
          <w:p w14:paraId="0E82B5E8">
            <w:pPr>
              <w:adjustRightInd w:val="0"/>
              <w:snapToGrid w:val="0"/>
              <w:spacing w:line="360" w:lineRule="auto"/>
              <w:rPr>
                <w:rFonts w:ascii="宋体" w:hAnsi="宋体"/>
                <w:color w:val="auto"/>
                <w:szCs w:val="21"/>
              </w:rPr>
            </w:pPr>
            <w:r>
              <w:rPr>
                <w:rFonts w:hint="eastAsia" w:ascii="宋体" w:hAnsi="宋体"/>
                <w:color w:val="auto"/>
                <w:szCs w:val="21"/>
              </w:rPr>
              <w:t>详见“中南大学湘雅医院订货合同（设备类）”</w:t>
            </w:r>
          </w:p>
        </w:tc>
      </w:tr>
      <w:tr w14:paraId="4CBED58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701" w:type="dxa"/>
            <w:vAlign w:val="center"/>
          </w:tcPr>
          <w:p w14:paraId="751FA9FC">
            <w:pPr>
              <w:adjustRightInd w:val="0"/>
              <w:snapToGrid w:val="0"/>
              <w:spacing w:line="360" w:lineRule="auto"/>
              <w:jc w:val="center"/>
              <w:rPr>
                <w:rFonts w:ascii="宋体" w:hAnsi="宋体"/>
                <w:b/>
                <w:color w:val="auto"/>
                <w:szCs w:val="21"/>
              </w:rPr>
            </w:pPr>
            <w:r>
              <w:rPr>
                <w:rFonts w:hint="eastAsia" w:hAnsi="宋体"/>
                <w:b/>
                <w:color w:val="auto"/>
              </w:rPr>
              <w:t>★</w:t>
            </w:r>
            <w:r>
              <w:rPr>
                <w:rFonts w:hint="eastAsia" w:ascii="宋体" w:hAnsi="宋体"/>
                <w:b/>
                <w:color w:val="auto"/>
                <w:szCs w:val="21"/>
              </w:rPr>
              <w:t>本章第二节</w:t>
            </w:r>
          </w:p>
          <w:p w14:paraId="5AC914E4">
            <w:pPr>
              <w:adjustRightInd w:val="0"/>
              <w:snapToGrid w:val="0"/>
              <w:spacing w:line="360" w:lineRule="auto"/>
              <w:jc w:val="center"/>
              <w:rPr>
                <w:rFonts w:ascii="宋体" w:hAnsi="宋体"/>
                <w:b/>
                <w:color w:val="auto"/>
                <w:szCs w:val="21"/>
              </w:rPr>
            </w:pPr>
            <w:r>
              <w:rPr>
                <w:rFonts w:hint="eastAsia" w:ascii="宋体" w:hAnsi="宋体"/>
                <w:b/>
                <w:color w:val="auto"/>
                <w:szCs w:val="21"/>
              </w:rPr>
              <w:t>第13.5款</w:t>
            </w:r>
          </w:p>
        </w:tc>
        <w:tc>
          <w:tcPr>
            <w:tcW w:w="1843" w:type="dxa"/>
            <w:vAlign w:val="center"/>
          </w:tcPr>
          <w:p w14:paraId="6F3361D7">
            <w:pPr>
              <w:adjustRightInd w:val="0"/>
              <w:snapToGrid w:val="0"/>
              <w:spacing w:line="360" w:lineRule="auto"/>
              <w:rPr>
                <w:rFonts w:ascii="宋体" w:hAnsi="宋体"/>
                <w:b/>
                <w:color w:val="auto"/>
                <w:szCs w:val="21"/>
              </w:rPr>
            </w:pPr>
            <w:r>
              <w:rPr>
                <w:rFonts w:hint="eastAsia" w:ascii="宋体" w:hAnsi="宋体"/>
                <w:b/>
                <w:color w:val="auto"/>
                <w:szCs w:val="21"/>
              </w:rPr>
              <w:t>合同价款支付方式</w:t>
            </w:r>
            <w:r>
              <w:rPr>
                <w:rFonts w:hint="eastAsia" w:ascii="宋体" w:hAnsi="宋体"/>
                <w:b/>
                <w:bCs/>
                <w:color w:val="auto"/>
                <w:szCs w:val="21"/>
              </w:rPr>
              <w:t>和条件</w:t>
            </w:r>
          </w:p>
        </w:tc>
        <w:tc>
          <w:tcPr>
            <w:tcW w:w="5464" w:type="dxa"/>
            <w:vAlign w:val="center"/>
          </w:tcPr>
          <w:p w14:paraId="213D6E57">
            <w:pPr>
              <w:adjustRightInd w:val="0"/>
              <w:snapToGrid w:val="0"/>
              <w:spacing w:line="360" w:lineRule="auto"/>
              <w:rPr>
                <w:rFonts w:ascii="宋体" w:hAnsi="宋体"/>
                <w:b/>
                <w:color w:val="auto"/>
                <w:szCs w:val="21"/>
              </w:rPr>
            </w:pPr>
            <w:r>
              <w:rPr>
                <w:rFonts w:hint="eastAsia" w:ascii="宋体" w:hAnsi="宋体"/>
                <w:b/>
                <w:color w:val="auto"/>
                <w:szCs w:val="21"/>
              </w:rPr>
              <w:t>见“中南大学湘雅医院订货合同（设备类）”</w:t>
            </w:r>
          </w:p>
        </w:tc>
      </w:tr>
      <w:tr w14:paraId="1A71646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701" w:type="dxa"/>
            <w:vAlign w:val="center"/>
          </w:tcPr>
          <w:p w14:paraId="501342CF">
            <w:pPr>
              <w:adjustRightInd w:val="0"/>
              <w:snapToGrid w:val="0"/>
              <w:spacing w:line="360" w:lineRule="auto"/>
              <w:jc w:val="center"/>
              <w:rPr>
                <w:rFonts w:ascii="宋体" w:hAnsi="宋体"/>
                <w:color w:val="auto"/>
                <w:szCs w:val="21"/>
              </w:rPr>
            </w:pPr>
            <w:r>
              <w:rPr>
                <w:rFonts w:hint="eastAsia" w:ascii="宋体" w:hAnsi="宋体"/>
                <w:color w:val="auto"/>
                <w:szCs w:val="21"/>
              </w:rPr>
              <w:t>本章第二节</w:t>
            </w:r>
          </w:p>
          <w:p w14:paraId="0DF6EF12">
            <w:pPr>
              <w:adjustRightInd w:val="0"/>
              <w:snapToGrid w:val="0"/>
              <w:spacing w:line="360" w:lineRule="auto"/>
              <w:jc w:val="center"/>
              <w:rPr>
                <w:rFonts w:ascii="宋体" w:hAnsi="宋体"/>
                <w:color w:val="auto"/>
                <w:szCs w:val="21"/>
              </w:rPr>
            </w:pPr>
            <w:r>
              <w:rPr>
                <w:rFonts w:hint="eastAsia" w:ascii="宋体" w:hAnsi="宋体"/>
                <w:color w:val="auto"/>
                <w:szCs w:val="21"/>
              </w:rPr>
              <w:t>第14.2（6）项</w:t>
            </w:r>
          </w:p>
        </w:tc>
        <w:tc>
          <w:tcPr>
            <w:tcW w:w="1843" w:type="dxa"/>
            <w:vAlign w:val="center"/>
          </w:tcPr>
          <w:p w14:paraId="553E4048">
            <w:pPr>
              <w:adjustRightInd w:val="0"/>
              <w:snapToGrid w:val="0"/>
              <w:spacing w:line="360" w:lineRule="auto"/>
              <w:rPr>
                <w:rFonts w:ascii="宋体" w:hAnsi="宋体"/>
                <w:color w:val="auto"/>
                <w:szCs w:val="21"/>
              </w:rPr>
            </w:pPr>
            <w:r>
              <w:rPr>
                <w:rFonts w:hint="eastAsia" w:ascii="宋体" w:hAnsi="宋体"/>
                <w:color w:val="auto"/>
                <w:szCs w:val="21"/>
              </w:rPr>
              <w:t>乙方提供的其他服务</w:t>
            </w:r>
          </w:p>
        </w:tc>
        <w:tc>
          <w:tcPr>
            <w:tcW w:w="5464" w:type="dxa"/>
            <w:vAlign w:val="center"/>
          </w:tcPr>
          <w:p w14:paraId="5034F394">
            <w:pPr>
              <w:adjustRightInd w:val="0"/>
              <w:snapToGrid w:val="0"/>
              <w:spacing w:line="360" w:lineRule="auto"/>
              <w:rPr>
                <w:rFonts w:ascii="宋体" w:hAnsi="宋体"/>
                <w:color w:val="auto"/>
                <w:szCs w:val="21"/>
              </w:rPr>
            </w:pPr>
            <w:r>
              <w:rPr>
                <w:rFonts w:hint="eastAsia" w:ascii="宋体" w:hAnsi="宋体"/>
                <w:color w:val="auto"/>
                <w:szCs w:val="21"/>
              </w:rPr>
              <w:t>或第五章采购需求。</w:t>
            </w:r>
          </w:p>
        </w:tc>
      </w:tr>
      <w:tr w14:paraId="13DF126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701" w:type="dxa"/>
            <w:vAlign w:val="center"/>
          </w:tcPr>
          <w:p w14:paraId="0B25DC5A">
            <w:pPr>
              <w:adjustRightInd w:val="0"/>
              <w:snapToGrid w:val="0"/>
              <w:spacing w:line="360" w:lineRule="auto"/>
              <w:jc w:val="center"/>
              <w:rPr>
                <w:rFonts w:ascii="宋体" w:hAnsi="宋体"/>
                <w:color w:val="auto"/>
                <w:szCs w:val="21"/>
              </w:rPr>
            </w:pPr>
            <w:r>
              <w:rPr>
                <w:rFonts w:hint="eastAsia" w:ascii="宋体" w:hAnsi="宋体"/>
                <w:color w:val="auto"/>
                <w:szCs w:val="21"/>
              </w:rPr>
              <w:t>本章第二节</w:t>
            </w:r>
          </w:p>
          <w:p w14:paraId="468311C2">
            <w:pPr>
              <w:adjustRightInd w:val="0"/>
              <w:snapToGrid w:val="0"/>
              <w:spacing w:line="360" w:lineRule="auto"/>
              <w:jc w:val="center"/>
              <w:rPr>
                <w:rFonts w:ascii="宋体" w:hAnsi="宋体"/>
                <w:bCs/>
                <w:color w:val="auto"/>
                <w:szCs w:val="21"/>
              </w:rPr>
            </w:pPr>
            <w:r>
              <w:rPr>
                <w:rFonts w:hint="eastAsia" w:ascii="宋体" w:hAnsi="宋体"/>
                <w:color w:val="auto"/>
                <w:szCs w:val="21"/>
              </w:rPr>
              <w:t>第20.2款</w:t>
            </w:r>
          </w:p>
        </w:tc>
        <w:tc>
          <w:tcPr>
            <w:tcW w:w="1843" w:type="dxa"/>
            <w:vAlign w:val="center"/>
          </w:tcPr>
          <w:p w14:paraId="2D4D07A2">
            <w:pPr>
              <w:adjustRightInd w:val="0"/>
              <w:snapToGrid w:val="0"/>
              <w:spacing w:line="360" w:lineRule="auto"/>
              <w:rPr>
                <w:rFonts w:ascii="宋体" w:hAnsi="宋体"/>
                <w:bCs/>
                <w:color w:val="auto"/>
                <w:szCs w:val="21"/>
              </w:rPr>
            </w:pPr>
            <w:r>
              <w:rPr>
                <w:rFonts w:hint="eastAsia" w:ascii="宋体" w:hAnsi="宋体"/>
                <w:color w:val="auto"/>
                <w:szCs w:val="21"/>
              </w:rPr>
              <w:t>解决争议的方式</w:t>
            </w:r>
          </w:p>
        </w:tc>
        <w:tc>
          <w:tcPr>
            <w:tcW w:w="5464" w:type="dxa"/>
            <w:vAlign w:val="center"/>
          </w:tcPr>
          <w:p w14:paraId="7F2AA89D">
            <w:pPr>
              <w:adjustRightInd w:val="0"/>
              <w:snapToGrid w:val="0"/>
              <w:spacing w:line="360" w:lineRule="auto"/>
              <w:rPr>
                <w:rFonts w:ascii="宋体" w:hAnsi="宋体"/>
                <w:color w:val="auto"/>
                <w:szCs w:val="21"/>
              </w:rPr>
            </w:pPr>
            <w:r>
              <w:rPr>
                <w:rFonts w:hint="eastAsia" w:ascii="宋体" w:hAnsi="宋体"/>
                <w:color w:val="auto"/>
                <w:szCs w:val="21"/>
              </w:rPr>
              <w:t>□ 诉讼</w:t>
            </w:r>
          </w:p>
          <w:p w14:paraId="22939C47">
            <w:pPr>
              <w:adjustRightInd w:val="0"/>
              <w:snapToGrid w:val="0"/>
              <w:spacing w:line="360" w:lineRule="auto"/>
              <w:rPr>
                <w:rFonts w:ascii="宋体" w:hAnsi="宋体"/>
                <w:color w:val="auto"/>
                <w:szCs w:val="21"/>
              </w:rPr>
            </w:pPr>
            <w:r>
              <w:rPr>
                <w:rFonts w:hint="eastAsia" w:ascii="宋体" w:hAnsi="宋体"/>
                <w:color w:val="auto"/>
                <w:szCs w:val="21"/>
              </w:rPr>
              <w:t>□ 仲裁</w:t>
            </w:r>
          </w:p>
        </w:tc>
      </w:tr>
      <w:tr w14:paraId="5615DD0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701" w:type="dxa"/>
            <w:vAlign w:val="center"/>
          </w:tcPr>
          <w:p w14:paraId="6FD1E59D">
            <w:pPr>
              <w:adjustRightInd w:val="0"/>
              <w:snapToGrid w:val="0"/>
              <w:spacing w:line="360" w:lineRule="auto"/>
              <w:jc w:val="center"/>
              <w:rPr>
                <w:rFonts w:ascii="宋体" w:hAnsi="宋体"/>
                <w:color w:val="auto"/>
                <w:szCs w:val="21"/>
              </w:rPr>
            </w:pPr>
            <w:r>
              <w:rPr>
                <w:rFonts w:hint="eastAsia" w:ascii="宋体" w:hAnsi="宋体"/>
                <w:color w:val="auto"/>
                <w:szCs w:val="21"/>
              </w:rPr>
              <w:t>本章第二节</w:t>
            </w:r>
          </w:p>
          <w:p w14:paraId="62629CF6">
            <w:pPr>
              <w:adjustRightInd w:val="0"/>
              <w:snapToGrid w:val="0"/>
              <w:spacing w:line="360" w:lineRule="auto"/>
              <w:jc w:val="center"/>
              <w:rPr>
                <w:rFonts w:ascii="宋体" w:hAnsi="宋体"/>
                <w:color w:val="auto"/>
                <w:szCs w:val="21"/>
              </w:rPr>
            </w:pPr>
            <w:r>
              <w:rPr>
                <w:rFonts w:hint="eastAsia" w:ascii="宋体" w:hAnsi="宋体"/>
                <w:color w:val="auto"/>
                <w:szCs w:val="21"/>
              </w:rPr>
              <w:t>第23.1款</w:t>
            </w:r>
          </w:p>
        </w:tc>
        <w:tc>
          <w:tcPr>
            <w:tcW w:w="1843" w:type="dxa"/>
            <w:vAlign w:val="center"/>
          </w:tcPr>
          <w:p w14:paraId="7C2C7CFA">
            <w:pPr>
              <w:adjustRightInd w:val="0"/>
              <w:snapToGrid w:val="0"/>
              <w:spacing w:line="360" w:lineRule="auto"/>
              <w:rPr>
                <w:rFonts w:ascii="宋体" w:hAnsi="宋体"/>
                <w:color w:val="auto"/>
                <w:szCs w:val="21"/>
              </w:rPr>
            </w:pPr>
            <w:r>
              <w:rPr>
                <w:rFonts w:hint="eastAsia" w:ascii="宋体" w:hAnsi="宋体"/>
                <w:bCs/>
                <w:color w:val="auto"/>
                <w:szCs w:val="21"/>
              </w:rPr>
              <w:t>合同未尽事项</w:t>
            </w:r>
          </w:p>
        </w:tc>
        <w:tc>
          <w:tcPr>
            <w:tcW w:w="5464" w:type="dxa"/>
            <w:vAlign w:val="center"/>
          </w:tcPr>
          <w:p w14:paraId="51C38D70">
            <w:pPr>
              <w:adjustRightInd w:val="0"/>
              <w:snapToGrid w:val="0"/>
              <w:spacing w:line="360" w:lineRule="auto"/>
              <w:rPr>
                <w:rFonts w:ascii="宋体" w:hAnsi="宋体"/>
                <w:color w:val="auto"/>
                <w:szCs w:val="21"/>
              </w:rPr>
            </w:pPr>
          </w:p>
        </w:tc>
      </w:tr>
    </w:tbl>
    <w:p w14:paraId="1FCD1921">
      <w:pPr>
        <w:adjustRightInd w:val="0"/>
        <w:snapToGrid w:val="0"/>
        <w:spacing w:line="360" w:lineRule="auto"/>
        <w:ind w:firstLine="422" w:firstLineChars="200"/>
        <w:rPr>
          <w:rFonts w:ascii="宋体"/>
          <w:b/>
          <w:color w:val="auto"/>
          <w:szCs w:val="21"/>
        </w:rPr>
      </w:pPr>
    </w:p>
    <w:p w14:paraId="1A49DAB0">
      <w:pPr>
        <w:adjustRightInd w:val="0"/>
        <w:snapToGrid w:val="0"/>
        <w:spacing w:line="360" w:lineRule="auto"/>
        <w:ind w:firstLine="422" w:firstLineChars="200"/>
        <w:rPr>
          <w:rFonts w:ascii="宋体"/>
          <w:b/>
          <w:color w:val="auto"/>
          <w:szCs w:val="21"/>
        </w:rPr>
      </w:pPr>
    </w:p>
    <w:p w14:paraId="1E57414B">
      <w:pPr>
        <w:adjustRightInd w:val="0"/>
        <w:snapToGrid w:val="0"/>
        <w:spacing w:line="360" w:lineRule="auto"/>
        <w:jc w:val="center"/>
        <w:rPr>
          <w:rFonts w:ascii="黑体" w:hAnsi="华文中宋" w:eastAsia="黑体"/>
          <w:b/>
          <w:color w:val="auto"/>
          <w:sz w:val="32"/>
          <w:szCs w:val="32"/>
        </w:rPr>
      </w:pPr>
      <w:r>
        <w:rPr>
          <w:rFonts w:hint="eastAsia" w:ascii="黑体" w:hAnsi="华文中宋" w:eastAsia="黑体"/>
          <w:b/>
          <w:color w:val="auto"/>
          <w:sz w:val="32"/>
          <w:szCs w:val="32"/>
        </w:rPr>
        <w:br w:type="page"/>
      </w:r>
      <w:r>
        <w:rPr>
          <w:rFonts w:hint="eastAsia" w:ascii="黑体" w:hAnsi="华文中宋" w:eastAsia="黑体"/>
          <w:b/>
          <w:color w:val="auto"/>
          <w:sz w:val="32"/>
          <w:szCs w:val="32"/>
        </w:rPr>
        <w:t>第七章 投标文件的组成</w:t>
      </w:r>
    </w:p>
    <w:p w14:paraId="1470AC4C">
      <w:pPr>
        <w:adjustRightInd w:val="0"/>
        <w:snapToGrid w:val="0"/>
        <w:spacing w:line="360" w:lineRule="auto"/>
        <w:ind w:left="-88" w:leftChars="-42"/>
        <w:jc w:val="center"/>
        <w:rPr>
          <w:b/>
          <w:bCs/>
          <w:color w:val="auto"/>
          <w:sz w:val="32"/>
        </w:rPr>
      </w:pPr>
    </w:p>
    <w:p w14:paraId="418E8F1D">
      <w:pPr>
        <w:adjustRightInd w:val="0"/>
        <w:snapToGrid w:val="0"/>
        <w:spacing w:before="120" w:beforeLines="50" w:line="360" w:lineRule="auto"/>
        <w:jc w:val="left"/>
        <w:rPr>
          <w:rFonts w:ascii="宋体" w:hAnsi="宋体"/>
          <w:b/>
          <w:color w:val="auto"/>
          <w:szCs w:val="21"/>
        </w:rPr>
      </w:pPr>
      <w:r>
        <w:rPr>
          <w:rFonts w:hint="eastAsia" w:ascii="宋体" w:hAnsi="宋体"/>
          <w:b/>
          <w:color w:val="auto"/>
          <w:szCs w:val="21"/>
        </w:rPr>
        <w:t>第一部分 资格证明文件</w:t>
      </w:r>
    </w:p>
    <w:p w14:paraId="15152B85">
      <w:pPr>
        <w:adjustRightInd w:val="0"/>
        <w:snapToGrid w:val="0"/>
        <w:spacing w:before="120" w:beforeLines="50" w:line="360" w:lineRule="auto"/>
        <w:ind w:firstLine="420" w:firstLineChars="200"/>
        <w:jc w:val="left"/>
        <w:rPr>
          <w:rFonts w:ascii="宋体" w:hAnsi="宋体"/>
          <w:color w:val="auto"/>
          <w:szCs w:val="21"/>
        </w:rPr>
      </w:pPr>
      <w:r>
        <w:rPr>
          <w:rFonts w:hint="eastAsia" w:ascii="宋体" w:hAnsi="宋体"/>
          <w:color w:val="auto"/>
          <w:szCs w:val="21"/>
        </w:rPr>
        <w:t>一、开标一览表</w:t>
      </w:r>
    </w:p>
    <w:p w14:paraId="68335AF1">
      <w:pPr>
        <w:adjustRightInd w:val="0"/>
        <w:snapToGrid w:val="0"/>
        <w:spacing w:before="120" w:beforeLines="50" w:line="360" w:lineRule="auto"/>
        <w:ind w:firstLine="420" w:firstLineChars="200"/>
        <w:jc w:val="left"/>
        <w:rPr>
          <w:rFonts w:ascii="宋体" w:hAnsi="宋体"/>
          <w:color w:val="auto"/>
          <w:szCs w:val="21"/>
        </w:rPr>
      </w:pPr>
      <w:r>
        <w:rPr>
          <w:rFonts w:hint="eastAsia" w:ascii="宋体" w:hAnsi="宋体"/>
          <w:color w:val="auto"/>
          <w:szCs w:val="21"/>
        </w:rPr>
        <w:t>二、投标保</w:t>
      </w:r>
      <w:r>
        <w:rPr>
          <w:rFonts w:hint="eastAsia" w:ascii="宋体" w:hAnsi="宋体"/>
          <w:bCs/>
          <w:color w:val="auto"/>
          <w:szCs w:val="21"/>
        </w:rPr>
        <w:t>证金</w:t>
      </w:r>
    </w:p>
    <w:p w14:paraId="1534B049">
      <w:pPr>
        <w:adjustRightInd w:val="0"/>
        <w:snapToGrid w:val="0"/>
        <w:spacing w:before="120" w:beforeLines="50" w:line="360" w:lineRule="auto"/>
        <w:ind w:firstLine="420" w:firstLineChars="200"/>
        <w:jc w:val="left"/>
        <w:rPr>
          <w:rFonts w:ascii="宋体" w:hAnsi="宋体"/>
          <w:color w:val="auto"/>
          <w:szCs w:val="21"/>
        </w:rPr>
      </w:pPr>
      <w:r>
        <w:rPr>
          <w:rFonts w:hint="eastAsia" w:ascii="宋体" w:hAnsi="宋体"/>
          <w:color w:val="auto"/>
          <w:szCs w:val="21"/>
        </w:rPr>
        <w:t>三、法定代表人授权委托书</w:t>
      </w:r>
    </w:p>
    <w:p w14:paraId="215BA71B">
      <w:pPr>
        <w:adjustRightInd w:val="0"/>
        <w:snapToGrid w:val="0"/>
        <w:spacing w:before="120" w:beforeLines="50" w:line="360" w:lineRule="auto"/>
        <w:ind w:firstLine="420" w:firstLineChars="200"/>
        <w:jc w:val="left"/>
        <w:rPr>
          <w:rFonts w:ascii="宋体" w:hAnsi="宋体"/>
          <w:color w:val="auto"/>
          <w:szCs w:val="21"/>
        </w:rPr>
      </w:pPr>
      <w:r>
        <w:rPr>
          <w:rFonts w:hint="eastAsia" w:ascii="宋体" w:hAnsi="宋体"/>
          <w:color w:val="auto"/>
          <w:szCs w:val="21"/>
        </w:rPr>
        <w:t>四、投标人提供的资格证明文件</w:t>
      </w:r>
    </w:p>
    <w:p w14:paraId="54266E54">
      <w:pPr>
        <w:adjustRightInd w:val="0"/>
        <w:snapToGrid w:val="0"/>
        <w:spacing w:before="120" w:beforeLines="50" w:line="360" w:lineRule="auto"/>
        <w:jc w:val="left"/>
        <w:rPr>
          <w:rFonts w:ascii="宋体" w:hAnsi="宋体"/>
          <w:b/>
          <w:color w:val="auto"/>
          <w:szCs w:val="21"/>
        </w:rPr>
      </w:pPr>
      <w:r>
        <w:rPr>
          <w:rFonts w:hint="eastAsia" w:ascii="宋体" w:hAnsi="宋体"/>
          <w:b/>
          <w:color w:val="auto"/>
          <w:szCs w:val="21"/>
        </w:rPr>
        <w:t>第二部分 商务技术文件</w:t>
      </w:r>
    </w:p>
    <w:p w14:paraId="61637D35">
      <w:pPr>
        <w:adjustRightInd w:val="0"/>
        <w:snapToGrid w:val="0"/>
        <w:spacing w:before="120" w:beforeLines="50" w:line="360" w:lineRule="auto"/>
        <w:ind w:firstLine="420" w:firstLineChars="200"/>
        <w:jc w:val="left"/>
        <w:rPr>
          <w:rFonts w:ascii="宋体" w:hAnsi="宋体"/>
          <w:color w:val="auto"/>
          <w:szCs w:val="21"/>
        </w:rPr>
      </w:pPr>
      <w:r>
        <w:rPr>
          <w:rFonts w:hint="eastAsia" w:ascii="宋体" w:hAnsi="宋体"/>
          <w:color w:val="auto"/>
          <w:szCs w:val="21"/>
        </w:rPr>
        <w:t>五、投标函</w:t>
      </w:r>
    </w:p>
    <w:p w14:paraId="40C73B49">
      <w:pPr>
        <w:adjustRightInd w:val="0"/>
        <w:snapToGrid w:val="0"/>
        <w:spacing w:before="120" w:beforeLines="50" w:line="360" w:lineRule="auto"/>
        <w:ind w:firstLine="420" w:firstLineChars="200"/>
        <w:jc w:val="left"/>
        <w:rPr>
          <w:rFonts w:ascii="宋体" w:hAnsi="宋体"/>
          <w:color w:val="auto"/>
          <w:szCs w:val="21"/>
        </w:rPr>
      </w:pPr>
      <w:r>
        <w:rPr>
          <w:rFonts w:hint="eastAsia" w:ascii="宋体" w:hAnsi="宋体"/>
          <w:color w:val="auto"/>
          <w:szCs w:val="21"/>
        </w:rPr>
        <w:t>六、分项报价</w:t>
      </w:r>
    </w:p>
    <w:p w14:paraId="363A41FA">
      <w:pPr>
        <w:adjustRightInd w:val="0"/>
        <w:snapToGrid w:val="0"/>
        <w:spacing w:before="120" w:beforeLines="50" w:line="360" w:lineRule="auto"/>
        <w:ind w:firstLine="420" w:firstLineChars="200"/>
        <w:jc w:val="left"/>
        <w:rPr>
          <w:rFonts w:ascii="宋体" w:hAnsi="宋体"/>
          <w:color w:val="auto"/>
          <w:szCs w:val="21"/>
        </w:rPr>
      </w:pPr>
      <w:r>
        <w:rPr>
          <w:rFonts w:hint="eastAsia" w:ascii="宋体" w:hAnsi="宋体"/>
          <w:color w:val="auto"/>
          <w:szCs w:val="21"/>
        </w:rPr>
        <w:t>七、采购需求响应</w:t>
      </w:r>
    </w:p>
    <w:p w14:paraId="7401E138">
      <w:pPr>
        <w:adjustRightInd w:val="0"/>
        <w:snapToGrid w:val="0"/>
        <w:spacing w:before="120" w:beforeLines="50" w:line="360" w:lineRule="auto"/>
        <w:ind w:firstLine="420" w:firstLineChars="200"/>
        <w:jc w:val="left"/>
        <w:rPr>
          <w:rFonts w:ascii="宋体" w:hAnsi="宋体"/>
          <w:color w:val="auto"/>
          <w:szCs w:val="21"/>
        </w:rPr>
      </w:pPr>
      <w:r>
        <w:rPr>
          <w:rFonts w:hint="eastAsia" w:ascii="宋体" w:hAnsi="宋体"/>
          <w:color w:val="auto"/>
          <w:szCs w:val="21"/>
        </w:rPr>
        <w:t>八、合同条款偏离表</w:t>
      </w:r>
    </w:p>
    <w:p w14:paraId="072A138A">
      <w:pPr>
        <w:adjustRightInd w:val="0"/>
        <w:snapToGrid w:val="0"/>
        <w:spacing w:before="120" w:beforeLines="50" w:line="360" w:lineRule="auto"/>
        <w:ind w:firstLine="420" w:firstLineChars="200"/>
        <w:jc w:val="left"/>
        <w:rPr>
          <w:rFonts w:ascii="宋体" w:hAnsi="宋体"/>
          <w:color w:val="auto"/>
          <w:szCs w:val="21"/>
        </w:rPr>
      </w:pPr>
      <w:r>
        <w:rPr>
          <w:rFonts w:hint="eastAsia" w:ascii="宋体" w:hAnsi="宋体"/>
          <w:color w:val="auto"/>
          <w:szCs w:val="21"/>
        </w:rPr>
        <w:t>九、采购需求偏离表</w:t>
      </w:r>
    </w:p>
    <w:p w14:paraId="743C41B6">
      <w:pPr>
        <w:adjustRightInd w:val="0"/>
        <w:snapToGrid w:val="0"/>
        <w:spacing w:before="120" w:beforeLines="50" w:line="360" w:lineRule="auto"/>
        <w:ind w:firstLine="420" w:firstLineChars="200"/>
        <w:jc w:val="left"/>
        <w:rPr>
          <w:rFonts w:ascii="宋体" w:hAnsi="宋体"/>
          <w:color w:val="auto"/>
          <w:szCs w:val="21"/>
        </w:rPr>
      </w:pPr>
      <w:r>
        <w:rPr>
          <w:rFonts w:hint="eastAsia" w:ascii="宋体" w:hAnsi="宋体"/>
          <w:color w:val="auto"/>
          <w:szCs w:val="21"/>
        </w:rPr>
        <w:t>十、享受政府采购政策优惠的证明资料和清单表</w:t>
      </w:r>
    </w:p>
    <w:p w14:paraId="46B1E63E">
      <w:pPr>
        <w:adjustRightInd w:val="0"/>
        <w:snapToGrid w:val="0"/>
        <w:spacing w:before="120" w:beforeLines="50" w:line="360" w:lineRule="auto"/>
        <w:ind w:firstLine="420" w:firstLineChars="200"/>
        <w:jc w:val="left"/>
        <w:rPr>
          <w:rFonts w:ascii="宋体" w:hAnsi="宋体"/>
          <w:color w:val="auto"/>
          <w:szCs w:val="21"/>
        </w:rPr>
      </w:pPr>
      <w:r>
        <w:rPr>
          <w:rFonts w:hint="eastAsia" w:ascii="宋体" w:hAnsi="宋体"/>
          <w:color w:val="auto"/>
          <w:szCs w:val="21"/>
        </w:rPr>
        <w:t>十一、投标货物符合招标文件规定的证明文件</w:t>
      </w:r>
    </w:p>
    <w:p w14:paraId="31DAAD91">
      <w:pPr>
        <w:adjustRightInd w:val="0"/>
        <w:snapToGrid w:val="0"/>
        <w:spacing w:before="120"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十二、投标人认为需提供的其他资料</w:t>
      </w:r>
    </w:p>
    <w:p w14:paraId="2D4173BC">
      <w:pPr>
        <w:adjustRightInd w:val="0"/>
        <w:snapToGrid w:val="0"/>
        <w:spacing w:before="120"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十三、中标服务费承诺书</w:t>
      </w:r>
    </w:p>
    <w:p w14:paraId="4301C7E4">
      <w:pPr>
        <w:adjustRightInd w:val="0"/>
        <w:snapToGrid w:val="0"/>
        <w:spacing w:before="120" w:beforeLines="50" w:line="360" w:lineRule="auto"/>
        <w:ind w:firstLine="420" w:firstLineChars="20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注：投标人可编制资格审查索引表、符合性审查索引表、评审索引表，以便采购人及采购代理机构资格审查和评标委员会评审。</w:t>
      </w:r>
    </w:p>
    <w:p w14:paraId="365E5271">
      <w:pPr>
        <w:adjustRightInd w:val="0"/>
        <w:snapToGrid w:val="0"/>
        <w:spacing w:before="120" w:beforeLines="50" w:line="360" w:lineRule="auto"/>
        <w:ind w:firstLine="420" w:firstLineChars="200"/>
        <w:jc w:val="left"/>
        <w:rPr>
          <w:rFonts w:asciiTheme="minorEastAsia" w:hAnsiTheme="minorEastAsia" w:eastAsiaTheme="minorEastAsia"/>
          <w:color w:val="auto"/>
          <w:szCs w:val="21"/>
        </w:rPr>
      </w:pPr>
    </w:p>
    <w:p w14:paraId="5B8D8002">
      <w:pPr>
        <w:adjustRightInd w:val="0"/>
        <w:snapToGrid w:val="0"/>
        <w:spacing w:line="360" w:lineRule="auto"/>
        <w:jc w:val="center"/>
        <w:rPr>
          <w:rFonts w:ascii="仿宋_GB2312" w:hAnsi="宋体" w:eastAsia="仿宋_GB2312"/>
          <w:color w:val="auto"/>
          <w:szCs w:val="21"/>
        </w:rPr>
      </w:pPr>
    </w:p>
    <w:p w14:paraId="5E74A717">
      <w:pPr>
        <w:adjustRightInd w:val="0"/>
        <w:snapToGrid w:val="0"/>
        <w:spacing w:line="360" w:lineRule="auto"/>
        <w:jc w:val="center"/>
        <w:rPr>
          <w:rFonts w:ascii="黑体" w:eastAsia="黑体"/>
          <w:color w:val="auto"/>
          <w:sz w:val="32"/>
          <w:szCs w:val="32"/>
        </w:rPr>
      </w:pPr>
      <w:r>
        <w:rPr>
          <w:rFonts w:ascii="仿宋_GB2312" w:hAnsi="宋体" w:eastAsia="仿宋_GB2312"/>
          <w:color w:val="auto"/>
          <w:szCs w:val="21"/>
        </w:rPr>
        <w:br w:type="page"/>
      </w:r>
    </w:p>
    <w:p w14:paraId="3C3AF971">
      <w:pPr>
        <w:adjustRightInd w:val="0"/>
        <w:snapToGrid w:val="0"/>
        <w:spacing w:line="360" w:lineRule="auto"/>
        <w:jc w:val="center"/>
        <w:rPr>
          <w:rFonts w:ascii="黑体" w:eastAsia="黑体"/>
          <w:color w:val="auto"/>
          <w:sz w:val="32"/>
          <w:szCs w:val="32"/>
        </w:rPr>
      </w:pPr>
    </w:p>
    <w:p w14:paraId="3D8046F5">
      <w:pPr>
        <w:adjustRightInd w:val="0"/>
        <w:snapToGrid w:val="0"/>
        <w:spacing w:line="360" w:lineRule="auto"/>
        <w:jc w:val="center"/>
        <w:rPr>
          <w:rFonts w:ascii="黑体" w:eastAsia="黑体"/>
          <w:color w:val="auto"/>
          <w:sz w:val="32"/>
          <w:szCs w:val="32"/>
        </w:rPr>
      </w:pPr>
    </w:p>
    <w:p w14:paraId="7D2EF5D9">
      <w:pPr>
        <w:adjustRightInd w:val="0"/>
        <w:snapToGrid w:val="0"/>
        <w:spacing w:line="360" w:lineRule="auto"/>
        <w:jc w:val="center"/>
        <w:rPr>
          <w:rFonts w:ascii="黑体" w:eastAsia="黑体"/>
          <w:color w:val="auto"/>
          <w:sz w:val="32"/>
          <w:szCs w:val="32"/>
        </w:rPr>
      </w:pPr>
    </w:p>
    <w:p w14:paraId="0D9A85AA">
      <w:pPr>
        <w:pStyle w:val="21"/>
        <w:adjustRightInd w:val="0"/>
        <w:snapToGrid w:val="0"/>
        <w:spacing w:line="360" w:lineRule="auto"/>
        <w:jc w:val="center"/>
        <w:outlineLvl w:val="0"/>
        <w:rPr>
          <w:rFonts w:asciiTheme="minorEastAsia" w:hAnsiTheme="minorEastAsia" w:eastAsiaTheme="minorEastAsia"/>
          <w:b/>
          <w:bCs/>
          <w:color w:val="auto"/>
          <w:sz w:val="72"/>
          <w:szCs w:val="72"/>
        </w:rPr>
      </w:pPr>
      <w:r>
        <w:rPr>
          <w:rFonts w:hint="eastAsia" w:asciiTheme="minorEastAsia" w:hAnsiTheme="minorEastAsia" w:eastAsiaTheme="minorEastAsia"/>
          <w:b/>
          <w:bCs/>
          <w:color w:val="auto"/>
          <w:sz w:val="72"/>
          <w:szCs w:val="72"/>
        </w:rPr>
        <w:t>政府采购</w:t>
      </w:r>
    </w:p>
    <w:p w14:paraId="7C0679BC">
      <w:pPr>
        <w:adjustRightInd w:val="0"/>
        <w:snapToGrid w:val="0"/>
        <w:spacing w:line="360" w:lineRule="auto"/>
        <w:jc w:val="center"/>
        <w:rPr>
          <w:rFonts w:asciiTheme="minorEastAsia" w:hAnsiTheme="minorEastAsia" w:eastAsiaTheme="minorEastAsia"/>
          <w:b/>
          <w:bCs/>
          <w:color w:val="auto"/>
          <w:sz w:val="84"/>
          <w:szCs w:val="84"/>
        </w:rPr>
      </w:pPr>
      <w:r>
        <w:rPr>
          <w:rFonts w:hint="eastAsia" w:asciiTheme="minorEastAsia" w:hAnsiTheme="minorEastAsia" w:eastAsiaTheme="minorEastAsia"/>
          <w:b/>
          <w:bCs/>
          <w:color w:val="auto"/>
          <w:sz w:val="84"/>
          <w:szCs w:val="84"/>
        </w:rPr>
        <w:t>投 标 文 件</w:t>
      </w:r>
    </w:p>
    <w:p w14:paraId="1F791D3B">
      <w:pPr>
        <w:pStyle w:val="3"/>
        <w:adjustRightInd w:val="0"/>
        <w:snapToGrid w:val="0"/>
        <w:jc w:val="center"/>
        <w:rPr>
          <w:rFonts w:ascii="黑体" w:hAnsi="黑体" w:eastAsia="黑体"/>
          <w:color w:val="auto"/>
          <w:sz w:val="44"/>
          <w:szCs w:val="44"/>
        </w:rPr>
      </w:pPr>
      <w:bookmarkStart w:id="210" w:name="_Toc31064"/>
      <w:r>
        <w:rPr>
          <w:rFonts w:hint="eastAsia" w:ascii="黑体" w:hAnsi="黑体" w:eastAsia="黑体"/>
          <w:color w:val="auto"/>
          <w:sz w:val="44"/>
          <w:szCs w:val="44"/>
        </w:rPr>
        <w:t>第一部分 资格证明文件</w:t>
      </w:r>
      <w:bookmarkEnd w:id="210"/>
    </w:p>
    <w:p w14:paraId="046324B2">
      <w:pPr>
        <w:adjustRightInd w:val="0"/>
        <w:snapToGrid w:val="0"/>
        <w:spacing w:line="360" w:lineRule="auto"/>
        <w:rPr>
          <w:rFonts w:ascii="黑体" w:hAnsi="黑体" w:eastAsia="黑体"/>
          <w:b/>
          <w:color w:val="auto"/>
          <w:sz w:val="32"/>
          <w:szCs w:val="32"/>
        </w:rPr>
      </w:pPr>
    </w:p>
    <w:p w14:paraId="6A838658">
      <w:pPr>
        <w:adjustRightInd w:val="0"/>
        <w:snapToGrid w:val="0"/>
        <w:spacing w:line="360" w:lineRule="auto"/>
        <w:rPr>
          <w:rFonts w:asciiTheme="minorEastAsia" w:hAnsiTheme="minorEastAsia" w:eastAsiaTheme="minorEastAsia"/>
          <w:b/>
          <w:color w:val="auto"/>
          <w:sz w:val="30"/>
          <w:szCs w:val="30"/>
        </w:rPr>
      </w:pPr>
    </w:p>
    <w:p w14:paraId="52C5DB53">
      <w:pPr>
        <w:pStyle w:val="21"/>
        <w:adjustRightInd w:val="0"/>
        <w:snapToGrid w:val="0"/>
        <w:spacing w:line="360" w:lineRule="auto"/>
        <w:ind w:firstLine="1988" w:firstLineChars="660"/>
        <w:rPr>
          <w:rFonts w:asciiTheme="minorEastAsia" w:hAnsiTheme="minorEastAsia" w:eastAsiaTheme="minorEastAsia"/>
          <w:b/>
          <w:bCs/>
          <w:color w:val="auto"/>
          <w:sz w:val="30"/>
          <w:szCs w:val="30"/>
          <w:u w:val="single"/>
        </w:rPr>
      </w:pPr>
      <w:r>
        <w:rPr>
          <w:rFonts w:hint="eastAsia" w:asciiTheme="minorEastAsia" w:hAnsiTheme="minorEastAsia" w:eastAsiaTheme="minorEastAsia"/>
          <w:b/>
          <w:bCs/>
          <w:color w:val="auto"/>
          <w:sz w:val="30"/>
          <w:szCs w:val="30"/>
        </w:rPr>
        <w:t>采购项目名称:</w:t>
      </w:r>
    </w:p>
    <w:p w14:paraId="0B7BD493">
      <w:pPr>
        <w:pStyle w:val="21"/>
        <w:adjustRightInd w:val="0"/>
        <w:snapToGrid w:val="0"/>
        <w:spacing w:line="360" w:lineRule="auto"/>
        <w:ind w:firstLine="1988" w:firstLineChars="660"/>
        <w:rPr>
          <w:rFonts w:asciiTheme="minorEastAsia" w:hAnsiTheme="minorEastAsia" w:eastAsiaTheme="minorEastAsia"/>
          <w:b/>
          <w:bCs/>
          <w:color w:val="auto"/>
          <w:sz w:val="30"/>
          <w:szCs w:val="30"/>
        </w:rPr>
      </w:pPr>
      <w:r>
        <w:rPr>
          <w:rFonts w:hint="eastAsia" w:asciiTheme="minorEastAsia" w:hAnsiTheme="minorEastAsia" w:eastAsiaTheme="minorEastAsia"/>
          <w:b/>
          <w:bCs/>
          <w:color w:val="auto"/>
          <w:sz w:val="30"/>
          <w:szCs w:val="30"/>
        </w:rPr>
        <w:t>采   购   人：</w:t>
      </w:r>
    </w:p>
    <w:p w14:paraId="2896C194">
      <w:pPr>
        <w:pStyle w:val="21"/>
        <w:adjustRightInd w:val="0"/>
        <w:snapToGrid w:val="0"/>
        <w:spacing w:line="360" w:lineRule="auto"/>
        <w:ind w:firstLine="1988" w:firstLineChars="660"/>
        <w:rPr>
          <w:rFonts w:asciiTheme="minorEastAsia" w:hAnsiTheme="minorEastAsia" w:eastAsiaTheme="minorEastAsia"/>
          <w:b/>
          <w:bCs/>
          <w:color w:val="auto"/>
          <w:sz w:val="30"/>
          <w:szCs w:val="30"/>
        </w:rPr>
      </w:pPr>
      <w:r>
        <w:rPr>
          <w:rFonts w:hint="eastAsia" w:asciiTheme="minorEastAsia" w:hAnsiTheme="minorEastAsia" w:eastAsiaTheme="minorEastAsia"/>
          <w:b/>
          <w:bCs/>
          <w:color w:val="auto"/>
          <w:sz w:val="30"/>
          <w:szCs w:val="30"/>
        </w:rPr>
        <w:t>采购人项目编号：</w:t>
      </w:r>
    </w:p>
    <w:p w14:paraId="3A8D0AC1">
      <w:pPr>
        <w:pStyle w:val="21"/>
        <w:adjustRightInd w:val="0"/>
        <w:snapToGrid w:val="0"/>
        <w:spacing w:line="360" w:lineRule="auto"/>
        <w:ind w:firstLine="1988" w:firstLineChars="660"/>
        <w:rPr>
          <w:rFonts w:asciiTheme="minorEastAsia" w:hAnsiTheme="minorEastAsia" w:eastAsiaTheme="minorEastAsia"/>
          <w:b/>
          <w:bCs/>
          <w:color w:val="auto"/>
          <w:sz w:val="30"/>
          <w:szCs w:val="30"/>
          <w:u w:val="single"/>
        </w:rPr>
      </w:pPr>
      <w:r>
        <w:rPr>
          <w:rFonts w:hint="eastAsia" w:asciiTheme="minorEastAsia" w:hAnsiTheme="minorEastAsia" w:eastAsiaTheme="minorEastAsia"/>
          <w:b/>
          <w:bCs/>
          <w:color w:val="auto"/>
          <w:sz w:val="30"/>
          <w:szCs w:val="30"/>
        </w:rPr>
        <w:t>采购代理编号:</w:t>
      </w:r>
    </w:p>
    <w:p w14:paraId="4FE26C99">
      <w:pPr>
        <w:pStyle w:val="21"/>
        <w:adjustRightInd w:val="0"/>
        <w:snapToGrid w:val="0"/>
        <w:spacing w:line="360" w:lineRule="auto"/>
        <w:ind w:firstLine="1988" w:firstLineChars="660"/>
        <w:rPr>
          <w:rFonts w:asciiTheme="minorEastAsia" w:hAnsiTheme="minorEastAsia" w:eastAsiaTheme="minorEastAsia"/>
          <w:b/>
          <w:bCs/>
          <w:color w:val="auto"/>
          <w:sz w:val="30"/>
          <w:szCs w:val="30"/>
          <w:u w:val="single"/>
        </w:rPr>
      </w:pPr>
      <w:r>
        <w:rPr>
          <w:rFonts w:hint="eastAsia" w:asciiTheme="minorEastAsia" w:hAnsiTheme="minorEastAsia" w:eastAsiaTheme="minorEastAsia"/>
          <w:b/>
          <w:bCs/>
          <w:color w:val="auto"/>
          <w:sz w:val="30"/>
          <w:szCs w:val="30"/>
        </w:rPr>
        <w:t>采购代理机构：</w:t>
      </w:r>
    </w:p>
    <w:p w14:paraId="3C6D054B">
      <w:pPr>
        <w:adjustRightInd w:val="0"/>
        <w:snapToGrid w:val="0"/>
        <w:spacing w:line="360" w:lineRule="auto"/>
        <w:rPr>
          <w:rFonts w:ascii="黑体" w:hAnsi="黑体" w:eastAsia="黑体"/>
          <w:color w:val="auto"/>
          <w:sz w:val="30"/>
          <w:szCs w:val="30"/>
        </w:rPr>
      </w:pPr>
    </w:p>
    <w:p w14:paraId="3D70F4AC">
      <w:pPr>
        <w:adjustRightInd w:val="0"/>
        <w:snapToGrid w:val="0"/>
        <w:rPr>
          <w:rFonts w:ascii="黑体" w:hAnsi="宋体" w:eastAsia="黑体"/>
          <w:color w:val="auto"/>
          <w:sz w:val="30"/>
          <w:szCs w:val="30"/>
        </w:rPr>
      </w:pPr>
    </w:p>
    <w:p w14:paraId="31674FF0">
      <w:pPr>
        <w:adjustRightInd w:val="0"/>
        <w:snapToGrid w:val="0"/>
        <w:spacing w:line="360" w:lineRule="auto"/>
        <w:rPr>
          <w:rFonts w:ascii="黑体" w:hAnsi="宋体" w:eastAsia="黑体"/>
          <w:color w:val="auto"/>
          <w:sz w:val="30"/>
          <w:szCs w:val="30"/>
        </w:rPr>
      </w:pPr>
    </w:p>
    <w:p w14:paraId="637281C7">
      <w:pPr>
        <w:adjustRightInd w:val="0"/>
        <w:snapToGrid w:val="0"/>
        <w:spacing w:line="360" w:lineRule="auto"/>
        <w:rPr>
          <w:rFonts w:ascii="黑体" w:hAnsi="宋体" w:eastAsia="黑体"/>
          <w:color w:val="auto"/>
          <w:sz w:val="30"/>
          <w:szCs w:val="30"/>
        </w:rPr>
      </w:pPr>
    </w:p>
    <w:p w14:paraId="3AE99618">
      <w:pPr>
        <w:adjustRightInd w:val="0"/>
        <w:snapToGrid w:val="0"/>
        <w:spacing w:line="360" w:lineRule="auto"/>
        <w:ind w:firstLine="1984" w:firstLineChars="620"/>
        <w:rPr>
          <w:rFonts w:ascii="黑体" w:hAnsi="宋体" w:eastAsia="黑体"/>
          <w:color w:val="auto"/>
          <w:sz w:val="32"/>
          <w:szCs w:val="32"/>
        </w:rPr>
      </w:pPr>
    </w:p>
    <w:p w14:paraId="2E2FF8A7">
      <w:pPr>
        <w:adjustRightInd w:val="0"/>
        <w:snapToGrid w:val="0"/>
        <w:spacing w:line="360" w:lineRule="auto"/>
        <w:ind w:firstLine="1984" w:firstLineChars="620"/>
        <w:rPr>
          <w:rFonts w:ascii="黑体" w:hAnsi="宋体" w:eastAsia="黑体"/>
          <w:color w:val="auto"/>
          <w:sz w:val="32"/>
          <w:szCs w:val="32"/>
          <w:u w:val="single"/>
        </w:rPr>
      </w:pPr>
      <w:r>
        <w:rPr>
          <w:rFonts w:hint="eastAsia" w:ascii="黑体" w:hAnsi="宋体" w:eastAsia="黑体"/>
          <w:color w:val="auto"/>
          <w:sz w:val="32"/>
          <w:szCs w:val="32"/>
        </w:rPr>
        <w:t>投标人</w:t>
      </w:r>
    </w:p>
    <w:p w14:paraId="0162E1A8">
      <w:pPr>
        <w:adjustRightInd w:val="0"/>
        <w:snapToGrid w:val="0"/>
        <w:spacing w:line="360" w:lineRule="auto"/>
        <w:jc w:val="center"/>
        <w:rPr>
          <w:rFonts w:ascii="黑体" w:eastAsia="黑体"/>
          <w:color w:val="auto"/>
          <w:sz w:val="28"/>
          <w:szCs w:val="28"/>
        </w:rPr>
      </w:pPr>
      <w:r>
        <w:rPr>
          <w:rFonts w:hint="eastAsia" w:ascii="黑体" w:hAnsi="宋体" w:eastAsia="黑体"/>
          <w:color w:val="auto"/>
          <w:sz w:val="32"/>
          <w:szCs w:val="32"/>
        </w:rPr>
        <w:t>年  月  日</w:t>
      </w:r>
      <w:r>
        <w:rPr>
          <w:rFonts w:ascii="黑体" w:eastAsia="黑体"/>
          <w:color w:val="auto"/>
          <w:sz w:val="28"/>
          <w:szCs w:val="28"/>
        </w:rPr>
        <w:br w:type="page"/>
      </w:r>
    </w:p>
    <w:p w14:paraId="4977AC58">
      <w:pPr>
        <w:pStyle w:val="5"/>
        <w:adjustRightInd w:val="0"/>
        <w:snapToGrid w:val="0"/>
        <w:spacing w:before="120" w:beforeLines="50" w:after="0" w:line="360" w:lineRule="auto"/>
        <w:jc w:val="left"/>
        <w:rPr>
          <w:rFonts w:ascii="黑体" w:hAnsi="黑体"/>
          <w:b w:val="0"/>
          <w:color w:val="auto"/>
          <w:sz w:val="21"/>
          <w:szCs w:val="21"/>
        </w:rPr>
      </w:pPr>
      <w:bookmarkStart w:id="211" w:name="_Toc21517"/>
      <w:r>
        <w:rPr>
          <w:rFonts w:hint="eastAsia" w:ascii="黑体" w:hAnsi="黑体"/>
          <w:b w:val="0"/>
          <w:color w:val="auto"/>
          <w:sz w:val="21"/>
          <w:szCs w:val="21"/>
        </w:rPr>
        <w:t>索引表1 资格审查索引表</w:t>
      </w:r>
      <w:bookmarkEnd w:id="211"/>
    </w:p>
    <w:p w14:paraId="0F1B7C4C">
      <w:pPr>
        <w:adjustRightInd w:val="0"/>
        <w:snapToGrid w:val="0"/>
        <w:spacing w:before="120" w:beforeLines="50" w:line="360" w:lineRule="auto"/>
        <w:jc w:val="center"/>
        <w:rPr>
          <w:rFonts w:ascii="黑体" w:hAnsi="黑体" w:eastAsia="黑体"/>
          <w:color w:val="auto"/>
          <w:sz w:val="28"/>
          <w:szCs w:val="28"/>
        </w:rPr>
      </w:pPr>
      <w:r>
        <w:rPr>
          <w:rFonts w:hint="eastAsia" w:ascii="黑体" w:hAnsi="黑体" w:eastAsia="黑体"/>
          <w:color w:val="auto"/>
          <w:sz w:val="28"/>
          <w:szCs w:val="28"/>
        </w:rPr>
        <w:t>资格审查索引表</w:t>
      </w:r>
    </w:p>
    <w:tbl>
      <w:tblPr>
        <w:tblStyle w:val="42"/>
        <w:tblW w:w="5058" w:type="pct"/>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772"/>
        <w:gridCol w:w="1834"/>
        <w:gridCol w:w="2501"/>
        <w:gridCol w:w="2086"/>
        <w:gridCol w:w="1789"/>
      </w:tblGrid>
      <w:tr w14:paraId="3098F28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430" w:type="pct"/>
            <w:vAlign w:val="center"/>
          </w:tcPr>
          <w:p w14:paraId="2C7C23C3">
            <w:pPr>
              <w:adjustRightInd w:val="0"/>
              <w:snapToGrid w:val="0"/>
              <w:spacing w:before="120" w:beforeLines="50" w:line="360" w:lineRule="auto"/>
              <w:jc w:val="center"/>
              <w:rPr>
                <w:rFonts w:asciiTheme="minorEastAsia" w:hAnsiTheme="minorEastAsia" w:eastAsiaTheme="minorEastAsia"/>
                <w:b/>
                <w:color w:val="auto"/>
                <w:kern w:val="0"/>
                <w:szCs w:val="21"/>
              </w:rPr>
            </w:pPr>
            <w:r>
              <w:rPr>
                <w:rFonts w:hint="eastAsia" w:asciiTheme="minorEastAsia" w:hAnsiTheme="minorEastAsia" w:eastAsiaTheme="minorEastAsia"/>
                <w:b/>
                <w:color w:val="auto"/>
                <w:kern w:val="0"/>
                <w:szCs w:val="21"/>
              </w:rPr>
              <w:t>序号</w:t>
            </w:r>
          </w:p>
        </w:tc>
        <w:tc>
          <w:tcPr>
            <w:tcW w:w="1021" w:type="pct"/>
            <w:tcBorders>
              <w:right w:val="single" w:color="auto" w:sz="4" w:space="0"/>
            </w:tcBorders>
            <w:vAlign w:val="center"/>
          </w:tcPr>
          <w:p w14:paraId="3174B380">
            <w:pPr>
              <w:adjustRightInd w:val="0"/>
              <w:snapToGrid w:val="0"/>
              <w:spacing w:before="120" w:beforeLines="50" w:line="360" w:lineRule="auto"/>
              <w:jc w:val="center"/>
              <w:rPr>
                <w:rFonts w:asciiTheme="minorEastAsia" w:hAnsiTheme="minorEastAsia" w:eastAsiaTheme="minorEastAsia"/>
                <w:b/>
                <w:color w:val="auto"/>
                <w:kern w:val="0"/>
                <w:sz w:val="20"/>
                <w:szCs w:val="21"/>
              </w:rPr>
            </w:pPr>
            <w:r>
              <w:rPr>
                <w:rFonts w:hint="eastAsia" w:asciiTheme="minorEastAsia" w:hAnsiTheme="minorEastAsia" w:eastAsiaTheme="minorEastAsia"/>
                <w:b/>
                <w:color w:val="auto"/>
                <w:kern w:val="0"/>
                <w:sz w:val="20"/>
                <w:szCs w:val="21"/>
              </w:rPr>
              <w:t>招标文件条款号</w:t>
            </w:r>
          </w:p>
        </w:tc>
        <w:tc>
          <w:tcPr>
            <w:tcW w:w="1392" w:type="pct"/>
            <w:tcBorders>
              <w:left w:val="single" w:color="auto" w:sz="4" w:space="0"/>
            </w:tcBorders>
            <w:vAlign w:val="center"/>
          </w:tcPr>
          <w:p w14:paraId="65171029">
            <w:pPr>
              <w:adjustRightInd w:val="0"/>
              <w:snapToGrid w:val="0"/>
              <w:spacing w:before="120" w:beforeLines="50" w:line="360" w:lineRule="auto"/>
              <w:jc w:val="center"/>
              <w:rPr>
                <w:rFonts w:asciiTheme="minorEastAsia" w:hAnsiTheme="minorEastAsia" w:eastAsiaTheme="minorEastAsia"/>
                <w:b/>
                <w:color w:val="auto"/>
                <w:kern w:val="0"/>
                <w:sz w:val="20"/>
                <w:szCs w:val="21"/>
              </w:rPr>
            </w:pPr>
            <w:r>
              <w:rPr>
                <w:rFonts w:hint="eastAsia" w:asciiTheme="minorEastAsia" w:hAnsiTheme="minorEastAsia" w:eastAsiaTheme="minorEastAsia"/>
                <w:b/>
                <w:color w:val="auto"/>
                <w:kern w:val="0"/>
                <w:szCs w:val="21"/>
              </w:rPr>
              <w:t>资格审查标准</w:t>
            </w:r>
          </w:p>
        </w:tc>
        <w:tc>
          <w:tcPr>
            <w:tcW w:w="1161" w:type="pct"/>
            <w:vAlign w:val="center"/>
          </w:tcPr>
          <w:p w14:paraId="40D3ECDB">
            <w:pPr>
              <w:adjustRightInd w:val="0"/>
              <w:snapToGrid w:val="0"/>
              <w:spacing w:before="120" w:beforeLines="50" w:line="360" w:lineRule="auto"/>
              <w:jc w:val="center"/>
              <w:rPr>
                <w:rFonts w:asciiTheme="minorEastAsia" w:hAnsiTheme="minorEastAsia" w:eastAsiaTheme="minorEastAsia"/>
                <w:b/>
                <w:color w:val="auto"/>
                <w:kern w:val="0"/>
                <w:szCs w:val="21"/>
              </w:rPr>
            </w:pPr>
            <w:r>
              <w:rPr>
                <w:rFonts w:hint="eastAsia" w:asciiTheme="minorEastAsia" w:hAnsiTheme="minorEastAsia" w:eastAsiaTheme="minorEastAsia"/>
                <w:b/>
                <w:color w:val="auto"/>
                <w:kern w:val="0"/>
                <w:szCs w:val="21"/>
              </w:rPr>
              <w:t>证明材料</w:t>
            </w:r>
          </w:p>
        </w:tc>
        <w:tc>
          <w:tcPr>
            <w:tcW w:w="997" w:type="pct"/>
            <w:vAlign w:val="center"/>
          </w:tcPr>
          <w:p w14:paraId="1D325FFB">
            <w:pPr>
              <w:adjustRightInd w:val="0"/>
              <w:snapToGrid w:val="0"/>
              <w:spacing w:before="120" w:beforeLines="50" w:line="360" w:lineRule="auto"/>
              <w:jc w:val="center"/>
              <w:rPr>
                <w:rFonts w:asciiTheme="minorEastAsia" w:hAnsiTheme="minorEastAsia" w:eastAsiaTheme="minorEastAsia"/>
                <w:b/>
                <w:color w:val="auto"/>
                <w:kern w:val="0"/>
                <w:sz w:val="20"/>
                <w:szCs w:val="21"/>
              </w:rPr>
            </w:pPr>
            <w:r>
              <w:rPr>
                <w:rFonts w:hint="eastAsia" w:asciiTheme="minorEastAsia" w:hAnsiTheme="minorEastAsia" w:eastAsiaTheme="minorEastAsia"/>
                <w:b/>
                <w:color w:val="auto"/>
                <w:kern w:val="0"/>
                <w:szCs w:val="21"/>
              </w:rPr>
              <w:t>投标文件对应内容的册及页码</w:t>
            </w:r>
          </w:p>
        </w:tc>
      </w:tr>
      <w:tr w14:paraId="5237939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430" w:type="pct"/>
          </w:tcPr>
          <w:p w14:paraId="769D16C8">
            <w:pPr>
              <w:adjustRightInd w:val="0"/>
              <w:snapToGrid w:val="0"/>
              <w:spacing w:before="120" w:beforeLines="50" w:line="360" w:lineRule="auto"/>
              <w:jc w:val="center"/>
              <w:rPr>
                <w:rFonts w:asciiTheme="minorEastAsia" w:hAnsiTheme="minorEastAsia" w:eastAsiaTheme="minorEastAsia"/>
                <w:color w:val="auto"/>
                <w:kern w:val="0"/>
                <w:szCs w:val="21"/>
              </w:rPr>
            </w:pPr>
          </w:p>
        </w:tc>
        <w:tc>
          <w:tcPr>
            <w:tcW w:w="1021" w:type="pct"/>
            <w:tcBorders>
              <w:right w:val="single" w:color="auto" w:sz="4" w:space="0"/>
            </w:tcBorders>
          </w:tcPr>
          <w:p w14:paraId="037FEC86">
            <w:pPr>
              <w:adjustRightInd w:val="0"/>
              <w:snapToGrid w:val="0"/>
              <w:spacing w:before="120" w:beforeLines="50" w:line="360" w:lineRule="auto"/>
              <w:jc w:val="center"/>
              <w:rPr>
                <w:rFonts w:asciiTheme="minorEastAsia" w:hAnsiTheme="minorEastAsia" w:eastAsiaTheme="minorEastAsia"/>
                <w:color w:val="auto"/>
                <w:kern w:val="0"/>
                <w:sz w:val="20"/>
                <w:szCs w:val="21"/>
              </w:rPr>
            </w:pPr>
          </w:p>
        </w:tc>
        <w:tc>
          <w:tcPr>
            <w:tcW w:w="1392" w:type="pct"/>
            <w:tcBorders>
              <w:left w:val="single" w:color="auto" w:sz="4" w:space="0"/>
            </w:tcBorders>
          </w:tcPr>
          <w:p w14:paraId="5DA17984">
            <w:pPr>
              <w:adjustRightInd w:val="0"/>
              <w:snapToGrid w:val="0"/>
              <w:spacing w:before="120" w:beforeLines="50" w:line="360" w:lineRule="auto"/>
              <w:jc w:val="center"/>
              <w:rPr>
                <w:rFonts w:asciiTheme="minorEastAsia" w:hAnsiTheme="minorEastAsia" w:eastAsiaTheme="minorEastAsia"/>
                <w:color w:val="auto"/>
                <w:kern w:val="0"/>
                <w:sz w:val="20"/>
                <w:szCs w:val="21"/>
              </w:rPr>
            </w:pPr>
          </w:p>
        </w:tc>
        <w:tc>
          <w:tcPr>
            <w:tcW w:w="1161" w:type="pct"/>
          </w:tcPr>
          <w:p w14:paraId="16BF9692">
            <w:pPr>
              <w:adjustRightInd w:val="0"/>
              <w:snapToGrid w:val="0"/>
              <w:spacing w:before="120" w:beforeLines="50" w:line="360" w:lineRule="auto"/>
              <w:jc w:val="center"/>
              <w:rPr>
                <w:rFonts w:asciiTheme="minorEastAsia" w:hAnsiTheme="minorEastAsia" w:eastAsiaTheme="minorEastAsia"/>
                <w:color w:val="auto"/>
                <w:kern w:val="0"/>
                <w:szCs w:val="21"/>
              </w:rPr>
            </w:pPr>
          </w:p>
        </w:tc>
        <w:tc>
          <w:tcPr>
            <w:tcW w:w="997" w:type="pct"/>
          </w:tcPr>
          <w:p w14:paraId="4F001BCE">
            <w:pPr>
              <w:adjustRightInd w:val="0"/>
              <w:snapToGrid w:val="0"/>
              <w:spacing w:before="120" w:beforeLines="50" w:line="360" w:lineRule="auto"/>
              <w:jc w:val="center"/>
              <w:rPr>
                <w:rFonts w:asciiTheme="minorEastAsia" w:hAnsiTheme="minorEastAsia" w:eastAsiaTheme="minorEastAsia"/>
                <w:color w:val="auto"/>
                <w:kern w:val="0"/>
                <w:sz w:val="20"/>
                <w:szCs w:val="21"/>
              </w:rPr>
            </w:pPr>
          </w:p>
        </w:tc>
      </w:tr>
      <w:tr w14:paraId="0A869A9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430" w:type="pct"/>
          </w:tcPr>
          <w:p w14:paraId="3925D4F5">
            <w:pPr>
              <w:adjustRightInd w:val="0"/>
              <w:snapToGrid w:val="0"/>
              <w:spacing w:before="120" w:beforeLines="50" w:line="360" w:lineRule="auto"/>
              <w:jc w:val="center"/>
              <w:rPr>
                <w:rFonts w:asciiTheme="minorEastAsia" w:hAnsiTheme="minorEastAsia" w:eastAsiaTheme="minorEastAsia"/>
                <w:color w:val="auto"/>
                <w:kern w:val="0"/>
                <w:sz w:val="20"/>
                <w:szCs w:val="21"/>
              </w:rPr>
            </w:pPr>
          </w:p>
        </w:tc>
        <w:tc>
          <w:tcPr>
            <w:tcW w:w="1021" w:type="pct"/>
            <w:tcBorders>
              <w:right w:val="single" w:color="auto" w:sz="4" w:space="0"/>
            </w:tcBorders>
          </w:tcPr>
          <w:p w14:paraId="7B679151">
            <w:pPr>
              <w:adjustRightInd w:val="0"/>
              <w:snapToGrid w:val="0"/>
              <w:spacing w:before="120" w:beforeLines="50" w:line="360" w:lineRule="auto"/>
              <w:jc w:val="center"/>
              <w:rPr>
                <w:rFonts w:asciiTheme="minorEastAsia" w:hAnsiTheme="minorEastAsia" w:eastAsiaTheme="minorEastAsia"/>
                <w:color w:val="auto"/>
                <w:kern w:val="0"/>
                <w:sz w:val="20"/>
                <w:szCs w:val="21"/>
              </w:rPr>
            </w:pPr>
          </w:p>
        </w:tc>
        <w:tc>
          <w:tcPr>
            <w:tcW w:w="1392" w:type="pct"/>
            <w:tcBorders>
              <w:left w:val="single" w:color="auto" w:sz="4" w:space="0"/>
            </w:tcBorders>
          </w:tcPr>
          <w:p w14:paraId="4F3EDA38">
            <w:pPr>
              <w:adjustRightInd w:val="0"/>
              <w:snapToGrid w:val="0"/>
              <w:spacing w:before="120" w:beforeLines="50" w:line="360" w:lineRule="auto"/>
              <w:jc w:val="center"/>
              <w:rPr>
                <w:rFonts w:asciiTheme="minorEastAsia" w:hAnsiTheme="minorEastAsia" w:eastAsiaTheme="minorEastAsia"/>
                <w:color w:val="auto"/>
                <w:kern w:val="0"/>
                <w:sz w:val="20"/>
                <w:szCs w:val="21"/>
              </w:rPr>
            </w:pPr>
          </w:p>
        </w:tc>
        <w:tc>
          <w:tcPr>
            <w:tcW w:w="1161" w:type="pct"/>
          </w:tcPr>
          <w:p w14:paraId="394671AF">
            <w:pPr>
              <w:adjustRightInd w:val="0"/>
              <w:snapToGrid w:val="0"/>
              <w:spacing w:before="120" w:beforeLines="50" w:line="360" w:lineRule="auto"/>
              <w:jc w:val="center"/>
              <w:rPr>
                <w:rFonts w:asciiTheme="minorEastAsia" w:hAnsiTheme="minorEastAsia" w:eastAsiaTheme="minorEastAsia"/>
                <w:color w:val="auto"/>
                <w:kern w:val="0"/>
                <w:sz w:val="20"/>
                <w:szCs w:val="21"/>
              </w:rPr>
            </w:pPr>
          </w:p>
        </w:tc>
        <w:tc>
          <w:tcPr>
            <w:tcW w:w="997" w:type="pct"/>
          </w:tcPr>
          <w:p w14:paraId="5E840A28">
            <w:pPr>
              <w:adjustRightInd w:val="0"/>
              <w:snapToGrid w:val="0"/>
              <w:spacing w:before="120" w:beforeLines="50" w:line="360" w:lineRule="auto"/>
              <w:jc w:val="center"/>
              <w:rPr>
                <w:rFonts w:asciiTheme="minorEastAsia" w:hAnsiTheme="minorEastAsia" w:eastAsiaTheme="minorEastAsia"/>
                <w:color w:val="auto"/>
                <w:kern w:val="0"/>
                <w:sz w:val="20"/>
                <w:szCs w:val="21"/>
              </w:rPr>
            </w:pPr>
          </w:p>
        </w:tc>
      </w:tr>
      <w:tr w14:paraId="7A9ACDC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430" w:type="pct"/>
          </w:tcPr>
          <w:p w14:paraId="68E56892">
            <w:pPr>
              <w:adjustRightInd w:val="0"/>
              <w:snapToGrid w:val="0"/>
              <w:spacing w:before="120" w:beforeLines="50" w:line="360" w:lineRule="auto"/>
              <w:jc w:val="center"/>
              <w:rPr>
                <w:rFonts w:asciiTheme="minorEastAsia" w:hAnsiTheme="minorEastAsia" w:eastAsiaTheme="minorEastAsia"/>
                <w:color w:val="auto"/>
                <w:kern w:val="0"/>
                <w:sz w:val="20"/>
                <w:szCs w:val="21"/>
              </w:rPr>
            </w:pPr>
          </w:p>
        </w:tc>
        <w:tc>
          <w:tcPr>
            <w:tcW w:w="1021" w:type="pct"/>
            <w:tcBorders>
              <w:right w:val="single" w:color="auto" w:sz="4" w:space="0"/>
            </w:tcBorders>
          </w:tcPr>
          <w:p w14:paraId="43E9A173">
            <w:pPr>
              <w:adjustRightInd w:val="0"/>
              <w:snapToGrid w:val="0"/>
              <w:spacing w:before="120" w:beforeLines="50" w:line="360" w:lineRule="auto"/>
              <w:jc w:val="center"/>
              <w:rPr>
                <w:rFonts w:asciiTheme="minorEastAsia" w:hAnsiTheme="minorEastAsia" w:eastAsiaTheme="minorEastAsia"/>
                <w:color w:val="auto"/>
                <w:kern w:val="0"/>
                <w:sz w:val="20"/>
                <w:szCs w:val="21"/>
              </w:rPr>
            </w:pPr>
          </w:p>
        </w:tc>
        <w:tc>
          <w:tcPr>
            <w:tcW w:w="1392" w:type="pct"/>
            <w:tcBorders>
              <w:left w:val="single" w:color="auto" w:sz="4" w:space="0"/>
            </w:tcBorders>
          </w:tcPr>
          <w:p w14:paraId="74E38EA4">
            <w:pPr>
              <w:adjustRightInd w:val="0"/>
              <w:snapToGrid w:val="0"/>
              <w:spacing w:before="120" w:beforeLines="50" w:line="360" w:lineRule="auto"/>
              <w:jc w:val="center"/>
              <w:rPr>
                <w:rFonts w:asciiTheme="minorEastAsia" w:hAnsiTheme="minorEastAsia" w:eastAsiaTheme="minorEastAsia"/>
                <w:color w:val="auto"/>
                <w:kern w:val="0"/>
                <w:sz w:val="20"/>
                <w:szCs w:val="21"/>
              </w:rPr>
            </w:pPr>
          </w:p>
        </w:tc>
        <w:tc>
          <w:tcPr>
            <w:tcW w:w="1161" w:type="pct"/>
          </w:tcPr>
          <w:p w14:paraId="58E42FEC">
            <w:pPr>
              <w:adjustRightInd w:val="0"/>
              <w:snapToGrid w:val="0"/>
              <w:spacing w:before="120" w:beforeLines="50" w:line="360" w:lineRule="auto"/>
              <w:jc w:val="center"/>
              <w:rPr>
                <w:rFonts w:asciiTheme="minorEastAsia" w:hAnsiTheme="minorEastAsia" w:eastAsiaTheme="minorEastAsia"/>
                <w:color w:val="auto"/>
                <w:kern w:val="0"/>
                <w:sz w:val="20"/>
                <w:szCs w:val="21"/>
              </w:rPr>
            </w:pPr>
          </w:p>
        </w:tc>
        <w:tc>
          <w:tcPr>
            <w:tcW w:w="997" w:type="pct"/>
          </w:tcPr>
          <w:p w14:paraId="450F64CC">
            <w:pPr>
              <w:adjustRightInd w:val="0"/>
              <w:snapToGrid w:val="0"/>
              <w:spacing w:before="120" w:beforeLines="50" w:line="360" w:lineRule="auto"/>
              <w:jc w:val="center"/>
              <w:rPr>
                <w:rFonts w:asciiTheme="minorEastAsia" w:hAnsiTheme="minorEastAsia" w:eastAsiaTheme="minorEastAsia"/>
                <w:color w:val="auto"/>
                <w:kern w:val="0"/>
                <w:sz w:val="20"/>
                <w:szCs w:val="21"/>
              </w:rPr>
            </w:pPr>
          </w:p>
        </w:tc>
      </w:tr>
      <w:tr w14:paraId="1350BED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430" w:type="pct"/>
          </w:tcPr>
          <w:p w14:paraId="1FD66707">
            <w:pPr>
              <w:adjustRightInd w:val="0"/>
              <w:snapToGrid w:val="0"/>
              <w:spacing w:before="120" w:beforeLines="50" w:line="360" w:lineRule="auto"/>
              <w:jc w:val="center"/>
              <w:rPr>
                <w:rFonts w:asciiTheme="minorEastAsia" w:hAnsiTheme="minorEastAsia" w:eastAsiaTheme="minorEastAsia"/>
                <w:color w:val="auto"/>
                <w:kern w:val="0"/>
                <w:sz w:val="20"/>
                <w:szCs w:val="21"/>
              </w:rPr>
            </w:pPr>
          </w:p>
        </w:tc>
        <w:tc>
          <w:tcPr>
            <w:tcW w:w="1021" w:type="pct"/>
            <w:tcBorders>
              <w:right w:val="single" w:color="auto" w:sz="4" w:space="0"/>
            </w:tcBorders>
          </w:tcPr>
          <w:p w14:paraId="7F3B2F83">
            <w:pPr>
              <w:adjustRightInd w:val="0"/>
              <w:snapToGrid w:val="0"/>
              <w:spacing w:before="120" w:beforeLines="50" w:line="360" w:lineRule="auto"/>
              <w:jc w:val="center"/>
              <w:rPr>
                <w:rFonts w:asciiTheme="minorEastAsia" w:hAnsiTheme="minorEastAsia" w:eastAsiaTheme="minorEastAsia"/>
                <w:color w:val="auto"/>
                <w:kern w:val="0"/>
                <w:sz w:val="20"/>
                <w:szCs w:val="21"/>
              </w:rPr>
            </w:pPr>
          </w:p>
        </w:tc>
        <w:tc>
          <w:tcPr>
            <w:tcW w:w="1392" w:type="pct"/>
            <w:tcBorders>
              <w:left w:val="single" w:color="auto" w:sz="4" w:space="0"/>
            </w:tcBorders>
          </w:tcPr>
          <w:p w14:paraId="1C9AA8BB">
            <w:pPr>
              <w:adjustRightInd w:val="0"/>
              <w:snapToGrid w:val="0"/>
              <w:spacing w:before="120" w:beforeLines="50" w:line="360" w:lineRule="auto"/>
              <w:jc w:val="center"/>
              <w:rPr>
                <w:rFonts w:asciiTheme="minorEastAsia" w:hAnsiTheme="minorEastAsia" w:eastAsiaTheme="minorEastAsia"/>
                <w:color w:val="auto"/>
                <w:kern w:val="0"/>
                <w:sz w:val="20"/>
                <w:szCs w:val="21"/>
              </w:rPr>
            </w:pPr>
          </w:p>
        </w:tc>
        <w:tc>
          <w:tcPr>
            <w:tcW w:w="1161" w:type="pct"/>
          </w:tcPr>
          <w:p w14:paraId="7447D663">
            <w:pPr>
              <w:adjustRightInd w:val="0"/>
              <w:snapToGrid w:val="0"/>
              <w:spacing w:before="120" w:beforeLines="50" w:line="360" w:lineRule="auto"/>
              <w:jc w:val="center"/>
              <w:rPr>
                <w:rFonts w:asciiTheme="minorEastAsia" w:hAnsiTheme="minorEastAsia" w:eastAsiaTheme="minorEastAsia"/>
                <w:color w:val="auto"/>
                <w:kern w:val="0"/>
                <w:sz w:val="20"/>
                <w:szCs w:val="21"/>
              </w:rPr>
            </w:pPr>
          </w:p>
        </w:tc>
        <w:tc>
          <w:tcPr>
            <w:tcW w:w="997" w:type="pct"/>
          </w:tcPr>
          <w:p w14:paraId="02F8869C">
            <w:pPr>
              <w:adjustRightInd w:val="0"/>
              <w:snapToGrid w:val="0"/>
              <w:spacing w:before="120" w:beforeLines="50" w:line="360" w:lineRule="auto"/>
              <w:jc w:val="center"/>
              <w:rPr>
                <w:rFonts w:asciiTheme="minorEastAsia" w:hAnsiTheme="minorEastAsia" w:eastAsiaTheme="minorEastAsia"/>
                <w:color w:val="auto"/>
                <w:kern w:val="0"/>
                <w:sz w:val="20"/>
                <w:szCs w:val="21"/>
              </w:rPr>
            </w:pPr>
          </w:p>
        </w:tc>
      </w:tr>
      <w:tr w14:paraId="1D841D7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430" w:type="pct"/>
          </w:tcPr>
          <w:p w14:paraId="1BB6832C">
            <w:pPr>
              <w:adjustRightInd w:val="0"/>
              <w:snapToGrid w:val="0"/>
              <w:spacing w:before="120" w:beforeLines="50" w:line="360" w:lineRule="auto"/>
              <w:jc w:val="center"/>
              <w:rPr>
                <w:rFonts w:asciiTheme="minorEastAsia" w:hAnsiTheme="minorEastAsia" w:eastAsiaTheme="minorEastAsia"/>
                <w:color w:val="auto"/>
                <w:kern w:val="0"/>
                <w:sz w:val="20"/>
                <w:szCs w:val="21"/>
              </w:rPr>
            </w:pPr>
          </w:p>
        </w:tc>
        <w:tc>
          <w:tcPr>
            <w:tcW w:w="1021" w:type="pct"/>
            <w:tcBorders>
              <w:right w:val="single" w:color="auto" w:sz="4" w:space="0"/>
            </w:tcBorders>
          </w:tcPr>
          <w:p w14:paraId="43D2EE86">
            <w:pPr>
              <w:adjustRightInd w:val="0"/>
              <w:snapToGrid w:val="0"/>
              <w:spacing w:before="120" w:beforeLines="50" w:line="360" w:lineRule="auto"/>
              <w:jc w:val="center"/>
              <w:rPr>
                <w:rFonts w:asciiTheme="minorEastAsia" w:hAnsiTheme="minorEastAsia" w:eastAsiaTheme="minorEastAsia"/>
                <w:color w:val="auto"/>
                <w:kern w:val="0"/>
                <w:sz w:val="20"/>
                <w:szCs w:val="21"/>
              </w:rPr>
            </w:pPr>
          </w:p>
        </w:tc>
        <w:tc>
          <w:tcPr>
            <w:tcW w:w="1392" w:type="pct"/>
            <w:tcBorders>
              <w:left w:val="single" w:color="auto" w:sz="4" w:space="0"/>
            </w:tcBorders>
          </w:tcPr>
          <w:p w14:paraId="0E1565B9">
            <w:pPr>
              <w:adjustRightInd w:val="0"/>
              <w:snapToGrid w:val="0"/>
              <w:spacing w:before="120" w:beforeLines="50" w:line="360" w:lineRule="auto"/>
              <w:jc w:val="center"/>
              <w:rPr>
                <w:rFonts w:asciiTheme="minorEastAsia" w:hAnsiTheme="minorEastAsia" w:eastAsiaTheme="minorEastAsia"/>
                <w:color w:val="auto"/>
                <w:kern w:val="0"/>
                <w:sz w:val="20"/>
                <w:szCs w:val="21"/>
              </w:rPr>
            </w:pPr>
          </w:p>
        </w:tc>
        <w:tc>
          <w:tcPr>
            <w:tcW w:w="1161" w:type="pct"/>
          </w:tcPr>
          <w:p w14:paraId="65EC11EB">
            <w:pPr>
              <w:adjustRightInd w:val="0"/>
              <w:snapToGrid w:val="0"/>
              <w:spacing w:before="120" w:beforeLines="50" w:line="360" w:lineRule="auto"/>
              <w:jc w:val="center"/>
              <w:rPr>
                <w:rFonts w:asciiTheme="minorEastAsia" w:hAnsiTheme="minorEastAsia" w:eastAsiaTheme="minorEastAsia"/>
                <w:color w:val="auto"/>
                <w:kern w:val="0"/>
                <w:sz w:val="20"/>
                <w:szCs w:val="21"/>
              </w:rPr>
            </w:pPr>
          </w:p>
        </w:tc>
        <w:tc>
          <w:tcPr>
            <w:tcW w:w="997" w:type="pct"/>
          </w:tcPr>
          <w:p w14:paraId="2C78488D">
            <w:pPr>
              <w:adjustRightInd w:val="0"/>
              <w:snapToGrid w:val="0"/>
              <w:spacing w:before="120" w:beforeLines="50" w:line="360" w:lineRule="auto"/>
              <w:jc w:val="center"/>
              <w:rPr>
                <w:rFonts w:asciiTheme="minorEastAsia" w:hAnsiTheme="minorEastAsia" w:eastAsiaTheme="minorEastAsia"/>
                <w:color w:val="auto"/>
                <w:kern w:val="0"/>
                <w:sz w:val="20"/>
                <w:szCs w:val="21"/>
              </w:rPr>
            </w:pPr>
          </w:p>
        </w:tc>
      </w:tr>
      <w:tr w14:paraId="590BC9A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430" w:type="pct"/>
          </w:tcPr>
          <w:p w14:paraId="706A582E">
            <w:pPr>
              <w:adjustRightInd w:val="0"/>
              <w:snapToGrid w:val="0"/>
              <w:spacing w:before="120" w:beforeLines="50" w:line="360" w:lineRule="auto"/>
              <w:jc w:val="center"/>
              <w:rPr>
                <w:rFonts w:asciiTheme="minorEastAsia" w:hAnsiTheme="minorEastAsia" w:eastAsiaTheme="minorEastAsia"/>
                <w:color w:val="auto"/>
                <w:kern w:val="0"/>
                <w:sz w:val="20"/>
                <w:szCs w:val="21"/>
              </w:rPr>
            </w:pPr>
          </w:p>
        </w:tc>
        <w:tc>
          <w:tcPr>
            <w:tcW w:w="1021" w:type="pct"/>
            <w:tcBorders>
              <w:right w:val="single" w:color="auto" w:sz="4" w:space="0"/>
            </w:tcBorders>
          </w:tcPr>
          <w:p w14:paraId="3AC5DEA3">
            <w:pPr>
              <w:adjustRightInd w:val="0"/>
              <w:snapToGrid w:val="0"/>
              <w:spacing w:before="120" w:beforeLines="50" w:line="360" w:lineRule="auto"/>
              <w:jc w:val="center"/>
              <w:rPr>
                <w:rFonts w:asciiTheme="minorEastAsia" w:hAnsiTheme="minorEastAsia" w:eastAsiaTheme="minorEastAsia"/>
                <w:color w:val="auto"/>
                <w:kern w:val="0"/>
                <w:sz w:val="20"/>
                <w:szCs w:val="21"/>
              </w:rPr>
            </w:pPr>
          </w:p>
        </w:tc>
        <w:tc>
          <w:tcPr>
            <w:tcW w:w="1392" w:type="pct"/>
            <w:tcBorders>
              <w:left w:val="single" w:color="auto" w:sz="4" w:space="0"/>
            </w:tcBorders>
          </w:tcPr>
          <w:p w14:paraId="53FAEBDB">
            <w:pPr>
              <w:adjustRightInd w:val="0"/>
              <w:snapToGrid w:val="0"/>
              <w:spacing w:before="120" w:beforeLines="50" w:line="360" w:lineRule="auto"/>
              <w:jc w:val="center"/>
              <w:rPr>
                <w:rFonts w:asciiTheme="minorEastAsia" w:hAnsiTheme="minorEastAsia" w:eastAsiaTheme="minorEastAsia"/>
                <w:color w:val="auto"/>
                <w:kern w:val="0"/>
                <w:sz w:val="20"/>
                <w:szCs w:val="21"/>
              </w:rPr>
            </w:pPr>
          </w:p>
        </w:tc>
        <w:tc>
          <w:tcPr>
            <w:tcW w:w="1161" w:type="pct"/>
          </w:tcPr>
          <w:p w14:paraId="5C3705D3">
            <w:pPr>
              <w:adjustRightInd w:val="0"/>
              <w:snapToGrid w:val="0"/>
              <w:spacing w:before="120" w:beforeLines="50" w:line="360" w:lineRule="auto"/>
              <w:jc w:val="center"/>
              <w:rPr>
                <w:rFonts w:asciiTheme="minorEastAsia" w:hAnsiTheme="minorEastAsia" w:eastAsiaTheme="minorEastAsia"/>
                <w:color w:val="auto"/>
                <w:kern w:val="0"/>
                <w:sz w:val="20"/>
                <w:szCs w:val="21"/>
              </w:rPr>
            </w:pPr>
          </w:p>
        </w:tc>
        <w:tc>
          <w:tcPr>
            <w:tcW w:w="997" w:type="pct"/>
          </w:tcPr>
          <w:p w14:paraId="45E7649E">
            <w:pPr>
              <w:adjustRightInd w:val="0"/>
              <w:snapToGrid w:val="0"/>
              <w:spacing w:before="120" w:beforeLines="50" w:line="360" w:lineRule="auto"/>
              <w:jc w:val="center"/>
              <w:rPr>
                <w:rFonts w:asciiTheme="minorEastAsia" w:hAnsiTheme="minorEastAsia" w:eastAsiaTheme="minorEastAsia"/>
                <w:color w:val="auto"/>
                <w:kern w:val="0"/>
                <w:sz w:val="20"/>
                <w:szCs w:val="21"/>
              </w:rPr>
            </w:pPr>
          </w:p>
        </w:tc>
      </w:tr>
      <w:tr w14:paraId="06C19CE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430" w:type="pct"/>
          </w:tcPr>
          <w:p w14:paraId="3443033A">
            <w:pPr>
              <w:adjustRightInd w:val="0"/>
              <w:snapToGrid w:val="0"/>
              <w:spacing w:before="120" w:beforeLines="50" w:line="360" w:lineRule="auto"/>
              <w:jc w:val="center"/>
              <w:rPr>
                <w:rFonts w:asciiTheme="minorEastAsia" w:hAnsiTheme="minorEastAsia" w:eastAsiaTheme="minorEastAsia"/>
                <w:color w:val="auto"/>
                <w:kern w:val="0"/>
                <w:sz w:val="20"/>
                <w:szCs w:val="21"/>
              </w:rPr>
            </w:pPr>
          </w:p>
        </w:tc>
        <w:tc>
          <w:tcPr>
            <w:tcW w:w="1021" w:type="pct"/>
            <w:tcBorders>
              <w:right w:val="single" w:color="auto" w:sz="4" w:space="0"/>
            </w:tcBorders>
          </w:tcPr>
          <w:p w14:paraId="09DF8477">
            <w:pPr>
              <w:adjustRightInd w:val="0"/>
              <w:snapToGrid w:val="0"/>
              <w:spacing w:before="120" w:beforeLines="50" w:line="360" w:lineRule="auto"/>
              <w:jc w:val="center"/>
              <w:rPr>
                <w:rFonts w:asciiTheme="minorEastAsia" w:hAnsiTheme="minorEastAsia" w:eastAsiaTheme="minorEastAsia"/>
                <w:color w:val="auto"/>
                <w:kern w:val="0"/>
                <w:sz w:val="20"/>
                <w:szCs w:val="21"/>
              </w:rPr>
            </w:pPr>
          </w:p>
        </w:tc>
        <w:tc>
          <w:tcPr>
            <w:tcW w:w="1392" w:type="pct"/>
            <w:tcBorders>
              <w:left w:val="single" w:color="auto" w:sz="4" w:space="0"/>
            </w:tcBorders>
          </w:tcPr>
          <w:p w14:paraId="5EE98C24">
            <w:pPr>
              <w:adjustRightInd w:val="0"/>
              <w:snapToGrid w:val="0"/>
              <w:spacing w:before="120" w:beforeLines="50" w:line="360" w:lineRule="auto"/>
              <w:jc w:val="center"/>
              <w:rPr>
                <w:rFonts w:asciiTheme="minorEastAsia" w:hAnsiTheme="minorEastAsia" w:eastAsiaTheme="minorEastAsia"/>
                <w:color w:val="auto"/>
                <w:kern w:val="0"/>
                <w:sz w:val="20"/>
                <w:szCs w:val="21"/>
              </w:rPr>
            </w:pPr>
          </w:p>
        </w:tc>
        <w:tc>
          <w:tcPr>
            <w:tcW w:w="1161" w:type="pct"/>
          </w:tcPr>
          <w:p w14:paraId="40B222C9">
            <w:pPr>
              <w:adjustRightInd w:val="0"/>
              <w:snapToGrid w:val="0"/>
              <w:spacing w:before="120" w:beforeLines="50" w:line="360" w:lineRule="auto"/>
              <w:jc w:val="center"/>
              <w:rPr>
                <w:rFonts w:asciiTheme="minorEastAsia" w:hAnsiTheme="minorEastAsia" w:eastAsiaTheme="minorEastAsia"/>
                <w:color w:val="auto"/>
                <w:kern w:val="0"/>
                <w:sz w:val="20"/>
                <w:szCs w:val="21"/>
              </w:rPr>
            </w:pPr>
          </w:p>
        </w:tc>
        <w:tc>
          <w:tcPr>
            <w:tcW w:w="997" w:type="pct"/>
          </w:tcPr>
          <w:p w14:paraId="0CED4D78">
            <w:pPr>
              <w:adjustRightInd w:val="0"/>
              <w:snapToGrid w:val="0"/>
              <w:spacing w:before="120" w:beforeLines="50" w:line="360" w:lineRule="auto"/>
              <w:jc w:val="center"/>
              <w:rPr>
                <w:rFonts w:asciiTheme="minorEastAsia" w:hAnsiTheme="minorEastAsia" w:eastAsiaTheme="minorEastAsia"/>
                <w:color w:val="auto"/>
                <w:kern w:val="0"/>
                <w:sz w:val="20"/>
                <w:szCs w:val="21"/>
              </w:rPr>
            </w:pPr>
          </w:p>
        </w:tc>
      </w:tr>
      <w:tr w14:paraId="33913B1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430" w:type="pct"/>
          </w:tcPr>
          <w:p w14:paraId="4CAD3F7B">
            <w:pPr>
              <w:adjustRightInd w:val="0"/>
              <w:snapToGrid w:val="0"/>
              <w:spacing w:before="120" w:beforeLines="50" w:line="360" w:lineRule="auto"/>
              <w:jc w:val="center"/>
              <w:rPr>
                <w:rFonts w:asciiTheme="minorEastAsia" w:hAnsiTheme="minorEastAsia" w:eastAsiaTheme="minorEastAsia"/>
                <w:color w:val="auto"/>
                <w:kern w:val="0"/>
                <w:sz w:val="20"/>
                <w:szCs w:val="21"/>
              </w:rPr>
            </w:pPr>
          </w:p>
        </w:tc>
        <w:tc>
          <w:tcPr>
            <w:tcW w:w="1021" w:type="pct"/>
            <w:tcBorders>
              <w:right w:val="single" w:color="auto" w:sz="4" w:space="0"/>
            </w:tcBorders>
          </w:tcPr>
          <w:p w14:paraId="2D692B4D">
            <w:pPr>
              <w:adjustRightInd w:val="0"/>
              <w:snapToGrid w:val="0"/>
              <w:spacing w:before="120" w:beforeLines="50" w:line="360" w:lineRule="auto"/>
              <w:jc w:val="center"/>
              <w:rPr>
                <w:rFonts w:asciiTheme="minorEastAsia" w:hAnsiTheme="minorEastAsia" w:eastAsiaTheme="minorEastAsia"/>
                <w:color w:val="auto"/>
                <w:kern w:val="0"/>
                <w:sz w:val="20"/>
                <w:szCs w:val="21"/>
              </w:rPr>
            </w:pPr>
          </w:p>
        </w:tc>
        <w:tc>
          <w:tcPr>
            <w:tcW w:w="1392" w:type="pct"/>
            <w:tcBorders>
              <w:left w:val="single" w:color="auto" w:sz="4" w:space="0"/>
            </w:tcBorders>
          </w:tcPr>
          <w:p w14:paraId="36AEE5BE">
            <w:pPr>
              <w:adjustRightInd w:val="0"/>
              <w:snapToGrid w:val="0"/>
              <w:spacing w:before="120" w:beforeLines="50" w:line="360" w:lineRule="auto"/>
              <w:jc w:val="center"/>
              <w:rPr>
                <w:rFonts w:asciiTheme="minorEastAsia" w:hAnsiTheme="minorEastAsia" w:eastAsiaTheme="minorEastAsia"/>
                <w:color w:val="auto"/>
                <w:kern w:val="0"/>
                <w:sz w:val="20"/>
                <w:szCs w:val="21"/>
              </w:rPr>
            </w:pPr>
          </w:p>
        </w:tc>
        <w:tc>
          <w:tcPr>
            <w:tcW w:w="1161" w:type="pct"/>
          </w:tcPr>
          <w:p w14:paraId="6EB06969">
            <w:pPr>
              <w:adjustRightInd w:val="0"/>
              <w:snapToGrid w:val="0"/>
              <w:spacing w:before="120" w:beforeLines="50" w:line="360" w:lineRule="auto"/>
              <w:jc w:val="center"/>
              <w:rPr>
                <w:rFonts w:asciiTheme="minorEastAsia" w:hAnsiTheme="minorEastAsia" w:eastAsiaTheme="minorEastAsia"/>
                <w:color w:val="auto"/>
                <w:kern w:val="0"/>
                <w:sz w:val="20"/>
                <w:szCs w:val="21"/>
              </w:rPr>
            </w:pPr>
          </w:p>
        </w:tc>
        <w:tc>
          <w:tcPr>
            <w:tcW w:w="997" w:type="pct"/>
          </w:tcPr>
          <w:p w14:paraId="00C8D49D">
            <w:pPr>
              <w:adjustRightInd w:val="0"/>
              <w:snapToGrid w:val="0"/>
              <w:spacing w:before="120" w:beforeLines="50" w:line="360" w:lineRule="auto"/>
              <w:jc w:val="center"/>
              <w:rPr>
                <w:rFonts w:asciiTheme="minorEastAsia" w:hAnsiTheme="minorEastAsia" w:eastAsiaTheme="minorEastAsia"/>
                <w:color w:val="auto"/>
                <w:kern w:val="0"/>
                <w:sz w:val="20"/>
                <w:szCs w:val="21"/>
              </w:rPr>
            </w:pPr>
          </w:p>
        </w:tc>
      </w:tr>
      <w:tr w14:paraId="0FC52B1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430" w:type="pct"/>
          </w:tcPr>
          <w:p w14:paraId="6593BF36">
            <w:pPr>
              <w:adjustRightInd w:val="0"/>
              <w:snapToGrid w:val="0"/>
              <w:spacing w:before="120" w:beforeLines="50" w:line="360" w:lineRule="auto"/>
              <w:jc w:val="center"/>
              <w:rPr>
                <w:rFonts w:asciiTheme="minorEastAsia" w:hAnsiTheme="minorEastAsia" w:eastAsiaTheme="minorEastAsia"/>
                <w:color w:val="auto"/>
                <w:kern w:val="0"/>
                <w:sz w:val="20"/>
                <w:szCs w:val="21"/>
              </w:rPr>
            </w:pPr>
          </w:p>
        </w:tc>
        <w:tc>
          <w:tcPr>
            <w:tcW w:w="1021" w:type="pct"/>
            <w:tcBorders>
              <w:right w:val="single" w:color="auto" w:sz="4" w:space="0"/>
            </w:tcBorders>
          </w:tcPr>
          <w:p w14:paraId="701B5D42">
            <w:pPr>
              <w:adjustRightInd w:val="0"/>
              <w:snapToGrid w:val="0"/>
              <w:spacing w:before="120" w:beforeLines="50" w:line="360" w:lineRule="auto"/>
              <w:jc w:val="center"/>
              <w:rPr>
                <w:rFonts w:asciiTheme="minorEastAsia" w:hAnsiTheme="minorEastAsia" w:eastAsiaTheme="minorEastAsia"/>
                <w:color w:val="auto"/>
                <w:kern w:val="0"/>
                <w:sz w:val="20"/>
                <w:szCs w:val="21"/>
              </w:rPr>
            </w:pPr>
          </w:p>
        </w:tc>
        <w:tc>
          <w:tcPr>
            <w:tcW w:w="1392" w:type="pct"/>
            <w:tcBorders>
              <w:left w:val="single" w:color="auto" w:sz="4" w:space="0"/>
            </w:tcBorders>
          </w:tcPr>
          <w:p w14:paraId="64D59F04">
            <w:pPr>
              <w:adjustRightInd w:val="0"/>
              <w:snapToGrid w:val="0"/>
              <w:spacing w:before="120" w:beforeLines="50" w:line="360" w:lineRule="auto"/>
              <w:jc w:val="center"/>
              <w:rPr>
                <w:rFonts w:asciiTheme="minorEastAsia" w:hAnsiTheme="minorEastAsia" w:eastAsiaTheme="minorEastAsia"/>
                <w:color w:val="auto"/>
                <w:kern w:val="0"/>
                <w:sz w:val="20"/>
                <w:szCs w:val="21"/>
              </w:rPr>
            </w:pPr>
          </w:p>
        </w:tc>
        <w:tc>
          <w:tcPr>
            <w:tcW w:w="1161" w:type="pct"/>
          </w:tcPr>
          <w:p w14:paraId="724247F9">
            <w:pPr>
              <w:adjustRightInd w:val="0"/>
              <w:snapToGrid w:val="0"/>
              <w:spacing w:before="120" w:beforeLines="50" w:line="360" w:lineRule="auto"/>
              <w:jc w:val="center"/>
              <w:rPr>
                <w:rFonts w:asciiTheme="minorEastAsia" w:hAnsiTheme="minorEastAsia" w:eastAsiaTheme="minorEastAsia"/>
                <w:color w:val="auto"/>
                <w:kern w:val="0"/>
                <w:sz w:val="20"/>
                <w:szCs w:val="21"/>
              </w:rPr>
            </w:pPr>
          </w:p>
        </w:tc>
        <w:tc>
          <w:tcPr>
            <w:tcW w:w="997" w:type="pct"/>
          </w:tcPr>
          <w:p w14:paraId="73D00E65">
            <w:pPr>
              <w:adjustRightInd w:val="0"/>
              <w:snapToGrid w:val="0"/>
              <w:spacing w:before="120" w:beforeLines="50" w:line="360" w:lineRule="auto"/>
              <w:jc w:val="center"/>
              <w:rPr>
                <w:rFonts w:asciiTheme="minorEastAsia" w:hAnsiTheme="minorEastAsia" w:eastAsiaTheme="minorEastAsia"/>
                <w:color w:val="auto"/>
                <w:kern w:val="0"/>
                <w:sz w:val="20"/>
                <w:szCs w:val="21"/>
              </w:rPr>
            </w:pPr>
          </w:p>
        </w:tc>
      </w:tr>
      <w:tr w14:paraId="3F0B36F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430" w:type="pct"/>
          </w:tcPr>
          <w:p w14:paraId="1A1392BD">
            <w:pPr>
              <w:adjustRightInd w:val="0"/>
              <w:snapToGrid w:val="0"/>
              <w:spacing w:before="120" w:beforeLines="50" w:line="360" w:lineRule="auto"/>
              <w:jc w:val="center"/>
              <w:rPr>
                <w:rFonts w:asciiTheme="minorEastAsia" w:hAnsiTheme="minorEastAsia" w:eastAsiaTheme="minorEastAsia"/>
                <w:color w:val="auto"/>
                <w:kern w:val="0"/>
                <w:sz w:val="20"/>
                <w:szCs w:val="21"/>
              </w:rPr>
            </w:pPr>
          </w:p>
        </w:tc>
        <w:tc>
          <w:tcPr>
            <w:tcW w:w="1021" w:type="pct"/>
            <w:tcBorders>
              <w:right w:val="single" w:color="auto" w:sz="4" w:space="0"/>
            </w:tcBorders>
          </w:tcPr>
          <w:p w14:paraId="7BF10DA9">
            <w:pPr>
              <w:adjustRightInd w:val="0"/>
              <w:snapToGrid w:val="0"/>
              <w:spacing w:before="120" w:beforeLines="50" w:line="360" w:lineRule="auto"/>
              <w:jc w:val="center"/>
              <w:rPr>
                <w:rFonts w:asciiTheme="minorEastAsia" w:hAnsiTheme="minorEastAsia" w:eastAsiaTheme="minorEastAsia"/>
                <w:color w:val="auto"/>
                <w:kern w:val="0"/>
                <w:sz w:val="20"/>
                <w:szCs w:val="21"/>
              </w:rPr>
            </w:pPr>
          </w:p>
        </w:tc>
        <w:tc>
          <w:tcPr>
            <w:tcW w:w="1392" w:type="pct"/>
            <w:tcBorders>
              <w:left w:val="single" w:color="auto" w:sz="4" w:space="0"/>
            </w:tcBorders>
          </w:tcPr>
          <w:p w14:paraId="69A604A7">
            <w:pPr>
              <w:adjustRightInd w:val="0"/>
              <w:snapToGrid w:val="0"/>
              <w:spacing w:before="120" w:beforeLines="50" w:line="360" w:lineRule="auto"/>
              <w:jc w:val="center"/>
              <w:rPr>
                <w:rFonts w:asciiTheme="minorEastAsia" w:hAnsiTheme="minorEastAsia" w:eastAsiaTheme="minorEastAsia"/>
                <w:color w:val="auto"/>
                <w:kern w:val="0"/>
                <w:sz w:val="20"/>
                <w:szCs w:val="21"/>
              </w:rPr>
            </w:pPr>
          </w:p>
        </w:tc>
        <w:tc>
          <w:tcPr>
            <w:tcW w:w="1161" w:type="pct"/>
          </w:tcPr>
          <w:p w14:paraId="210D690A">
            <w:pPr>
              <w:adjustRightInd w:val="0"/>
              <w:snapToGrid w:val="0"/>
              <w:spacing w:before="120" w:beforeLines="50" w:line="360" w:lineRule="auto"/>
              <w:jc w:val="center"/>
              <w:rPr>
                <w:rFonts w:asciiTheme="minorEastAsia" w:hAnsiTheme="minorEastAsia" w:eastAsiaTheme="minorEastAsia"/>
                <w:color w:val="auto"/>
                <w:kern w:val="0"/>
                <w:sz w:val="20"/>
                <w:szCs w:val="21"/>
              </w:rPr>
            </w:pPr>
          </w:p>
        </w:tc>
        <w:tc>
          <w:tcPr>
            <w:tcW w:w="997" w:type="pct"/>
          </w:tcPr>
          <w:p w14:paraId="1A836D77">
            <w:pPr>
              <w:adjustRightInd w:val="0"/>
              <w:snapToGrid w:val="0"/>
              <w:spacing w:before="120" w:beforeLines="50" w:line="360" w:lineRule="auto"/>
              <w:jc w:val="center"/>
              <w:rPr>
                <w:rFonts w:asciiTheme="minorEastAsia" w:hAnsiTheme="minorEastAsia" w:eastAsiaTheme="minorEastAsia"/>
                <w:color w:val="auto"/>
                <w:kern w:val="0"/>
                <w:sz w:val="20"/>
                <w:szCs w:val="21"/>
              </w:rPr>
            </w:pPr>
          </w:p>
        </w:tc>
      </w:tr>
      <w:tr w14:paraId="295A8EF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62" w:hRule="atLeast"/>
        </w:trPr>
        <w:tc>
          <w:tcPr>
            <w:tcW w:w="430" w:type="pct"/>
          </w:tcPr>
          <w:p w14:paraId="2C4949B3">
            <w:pPr>
              <w:adjustRightInd w:val="0"/>
              <w:snapToGrid w:val="0"/>
              <w:spacing w:before="120" w:beforeLines="50" w:line="360" w:lineRule="auto"/>
              <w:jc w:val="center"/>
              <w:rPr>
                <w:rFonts w:asciiTheme="minorEastAsia" w:hAnsiTheme="minorEastAsia" w:eastAsiaTheme="minorEastAsia"/>
                <w:color w:val="auto"/>
                <w:kern w:val="0"/>
                <w:sz w:val="20"/>
                <w:szCs w:val="21"/>
              </w:rPr>
            </w:pPr>
          </w:p>
        </w:tc>
        <w:tc>
          <w:tcPr>
            <w:tcW w:w="1021" w:type="pct"/>
            <w:tcBorders>
              <w:right w:val="single" w:color="auto" w:sz="4" w:space="0"/>
            </w:tcBorders>
          </w:tcPr>
          <w:p w14:paraId="129D1DF0">
            <w:pPr>
              <w:adjustRightInd w:val="0"/>
              <w:snapToGrid w:val="0"/>
              <w:spacing w:before="120" w:beforeLines="50" w:line="360" w:lineRule="auto"/>
              <w:jc w:val="center"/>
              <w:rPr>
                <w:rFonts w:asciiTheme="minorEastAsia" w:hAnsiTheme="minorEastAsia" w:eastAsiaTheme="minorEastAsia"/>
                <w:color w:val="auto"/>
                <w:kern w:val="0"/>
                <w:sz w:val="20"/>
                <w:szCs w:val="21"/>
              </w:rPr>
            </w:pPr>
          </w:p>
        </w:tc>
        <w:tc>
          <w:tcPr>
            <w:tcW w:w="1392" w:type="pct"/>
            <w:tcBorders>
              <w:left w:val="single" w:color="auto" w:sz="4" w:space="0"/>
            </w:tcBorders>
          </w:tcPr>
          <w:p w14:paraId="309245B9">
            <w:pPr>
              <w:adjustRightInd w:val="0"/>
              <w:snapToGrid w:val="0"/>
              <w:spacing w:before="120" w:beforeLines="50" w:line="360" w:lineRule="auto"/>
              <w:jc w:val="center"/>
              <w:rPr>
                <w:rFonts w:asciiTheme="minorEastAsia" w:hAnsiTheme="minorEastAsia" w:eastAsiaTheme="minorEastAsia"/>
                <w:color w:val="auto"/>
                <w:kern w:val="0"/>
                <w:sz w:val="20"/>
                <w:szCs w:val="21"/>
              </w:rPr>
            </w:pPr>
          </w:p>
        </w:tc>
        <w:tc>
          <w:tcPr>
            <w:tcW w:w="1161" w:type="pct"/>
          </w:tcPr>
          <w:p w14:paraId="76899342">
            <w:pPr>
              <w:adjustRightInd w:val="0"/>
              <w:snapToGrid w:val="0"/>
              <w:spacing w:before="120" w:beforeLines="50" w:line="360" w:lineRule="auto"/>
              <w:jc w:val="center"/>
              <w:rPr>
                <w:rFonts w:asciiTheme="minorEastAsia" w:hAnsiTheme="minorEastAsia" w:eastAsiaTheme="minorEastAsia"/>
                <w:color w:val="auto"/>
                <w:kern w:val="0"/>
                <w:sz w:val="20"/>
                <w:szCs w:val="21"/>
              </w:rPr>
            </w:pPr>
          </w:p>
        </w:tc>
        <w:tc>
          <w:tcPr>
            <w:tcW w:w="997" w:type="pct"/>
          </w:tcPr>
          <w:p w14:paraId="16E34F01">
            <w:pPr>
              <w:adjustRightInd w:val="0"/>
              <w:snapToGrid w:val="0"/>
              <w:spacing w:before="120" w:beforeLines="50" w:line="360" w:lineRule="auto"/>
              <w:jc w:val="center"/>
              <w:rPr>
                <w:rFonts w:asciiTheme="minorEastAsia" w:hAnsiTheme="minorEastAsia" w:eastAsiaTheme="minorEastAsia"/>
                <w:color w:val="auto"/>
                <w:kern w:val="0"/>
                <w:sz w:val="20"/>
                <w:szCs w:val="21"/>
              </w:rPr>
            </w:pPr>
          </w:p>
        </w:tc>
      </w:tr>
    </w:tbl>
    <w:p w14:paraId="122A6229">
      <w:pPr>
        <w:pStyle w:val="4"/>
        <w:adjustRightInd w:val="0"/>
        <w:snapToGrid w:val="0"/>
        <w:spacing w:before="0" w:after="0" w:line="360" w:lineRule="auto"/>
        <w:jc w:val="center"/>
        <w:rPr>
          <w:rFonts w:ascii="黑体" w:hAnsi="宋体" w:eastAsia="黑体"/>
          <w:color w:val="auto"/>
          <w:sz w:val="28"/>
          <w:szCs w:val="28"/>
        </w:rPr>
      </w:pPr>
      <w:r>
        <w:rPr>
          <w:rFonts w:ascii="黑体" w:hAnsi="宋体" w:eastAsia="黑体"/>
          <w:color w:val="auto"/>
          <w:sz w:val="28"/>
          <w:szCs w:val="28"/>
        </w:rPr>
        <w:br w:type="page"/>
      </w:r>
      <w:bookmarkStart w:id="212" w:name="_Toc26943"/>
      <w:r>
        <w:rPr>
          <w:rFonts w:hint="eastAsia" w:ascii="黑体" w:hAnsi="宋体" w:eastAsia="黑体"/>
          <w:color w:val="auto"/>
          <w:sz w:val="28"/>
          <w:szCs w:val="28"/>
        </w:rPr>
        <w:t>一、开标一览表</w:t>
      </w:r>
      <w:bookmarkEnd w:id="212"/>
    </w:p>
    <w:p w14:paraId="7F04719E">
      <w:pPr>
        <w:adjustRightInd w:val="0"/>
        <w:snapToGrid w:val="0"/>
        <w:spacing w:line="360" w:lineRule="auto"/>
        <w:ind w:left="-88" w:leftChars="-42"/>
        <w:jc w:val="center"/>
        <w:rPr>
          <w:rFonts w:ascii="仿宋_GB2312" w:hAnsi="宋体" w:eastAsia="仿宋_GB2312"/>
          <w:color w:val="auto"/>
          <w:sz w:val="24"/>
        </w:rPr>
      </w:pPr>
    </w:p>
    <w:p w14:paraId="6887B97A">
      <w:pPr>
        <w:adjustRightInd w:val="0"/>
        <w:snapToGrid w:val="0"/>
        <w:spacing w:before="120" w:beforeLines="50" w:line="360" w:lineRule="auto"/>
        <w:rPr>
          <w:rFonts w:asciiTheme="minorEastAsia" w:hAnsiTheme="minorEastAsia" w:eastAsiaTheme="minorEastAsia"/>
          <w:color w:val="auto"/>
          <w:szCs w:val="21"/>
          <w:u w:val="single"/>
        </w:rPr>
      </w:pPr>
      <w:r>
        <w:rPr>
          <w:rFonts w:hint="eastAsia" w:ascii="宋体" w:hAnsi="宋体"/>
          <w:color w:val="auto"/>
          <w:spacing w:val="28"/>
          <w:szCs w:val="21"/>
        </w:rPr>
        <w:t>采购代理编号</w:t>
      </w:r>
      <w:r>
        <w:rPr>
          <w:rFonts w:hint="eastAsia" w:ascii="宋体" w:hAnsi="宋体"/>
          <w:color w:val="auto"/>
          <w:szCs w:val="21"/>
        </w:rPr>
        <w:t>:</w:t>
      </w:r>
      <w:r>
        <w:rPr>
          <w:rFonts w:hint="eastAsia" w:ascii="宋体" w:hAnsi="宋体"/>
          <w:color w:val="auto"/>
          <w:szCs w:val="21"/>
          <w:u w:val="single"/>
        </w:rPr>
        <w:t xml:space="preserve">                      </w:t>
      </w:r>
      <w:r>
        <w:rPr>
          <w:rFonts w:hint="eastAsia" w:ascii="宋体" w:hAnsi="宋体"/>
          <w:color w:val="auto"/>
          <w:szCs w:val="21"/>
        </w:rPr>
        <w:t xml:space="preserve">              </w:t>
      </w:r>
      <w:r>
        <w:rPr>
          <w:rFonts w:hint="eastAsia" w:asciiTheme="minorEastAsia" w:hAnsiTheme="minorEastAsia" w:eastAsiaTheme="minorEastAsia"/>
          <w:color w:val="auto"/>
          <w:szCs w:val="21"/>
        </w:rPr>
        <w:t>项目名称：</w:t>
      </w:r>
      <w:r>
        <w:rPr>
          <w:rFonts w:hint="eastAsia" w:ascii="宋体" w:hAnsi="宋体"/>
          <w:color w:val="auto"/>
          <w:szCs w:val="21"/>
          <w:u w:val="single"/>
        </w:rPr>
        <w:t xml:space="preserve">                 </w:t>
      </w:r>
    </w:p>
    <w:p w14:paraId="39E3598F">
      <w:pPr>
        <w:adjustRightInd w:val="0"/>
        <w:snapToGrid w:val="0"/>
        <w:spacing w:before="50" w:line="360" w:lineRule="auto"/>
        <w:rPr>
          <w:rFonts w:ascii="宋体" w:hAnsi="宋体"/>
          <w:color w:val="auto"/>
          <w:szCs w:val="21"/>
          <w:u w:val="single"/>
        </w:rPr>
      </w:pPr>
      <w:r>
        <w:rPr>
          <w:rFonts w:hint="eastAsia" w:asciiTheme="minorEastAsia" w:hAnsiTheme="minorEastAsia" w:eastAsiaTheme="minorEastAsia"/>
          <w:color w:val="auto"/>
          <w:szCs w:val="21"/>
        </w:rPr>
        <w:t>包  号（如有）：</w:t>
      </w:r>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olor w:val="auto"/>
          <w:szCs w:val="21"/>
          <w:u w:val="single"/>
        </w:rPr>
        <w:t xml:space="preserve">              </w:t>
      </w:r>
      <w:r>
        <w:rPr>
          <w:rFonts w:hint="eastAsia" w:asciiTheme="minorEastAsia" w:hAnsiTheme="minorEastAsia" w:eastAsiaTheme="minorEastAsia"/>
          <w:color w:val="auto"/>
          <w:szCs w:val="21"/>
        </w:rPr>
        <w:t xml:space="preserve">     </w:t>
      </w:r>
      <w:r>
        <w:rPr>
          <w:rFonts w:asciiTheme="minorEastAsia" w:hAnsiTheme="minorEastAsia" w:eastAsiaTheme="minorEastAsia"/>
          <w:color w:val="auto"/>
          <w:szCs w:val="21"/>
        </w:rPr>
        <w:t xml:space="preserve"> </w:t>
      </w:r>
      <w:r>
        <w:rPr>
          <w:rFonts w:hint="eastAsia" w:asciiTheme="minorEastAsia" w:hAnsiTheme="minorEastAsia" w:eastAsiaTheme="minorEastAsia"/>
          <w:color w:val="auto"/>
          <w:szCs w:val="21"/>
        </w:rPr>
        <w:t xml:space="preserve"> </w:t>
      </w:r>
      <w:r>
        <w:rPr>
          <w:rFonts w:asciiTheme="minorEastAsia" w:hAnsiTheme="minorEastAsia" w:eastAsiaTheme="minorEastAsia"/>
          <w:color w:val="auto"/>
          <w:szCs w:val="21"/>
        </w:rPr>
        <w:t xml:space="preserve"> </w:t>
      </w:r>
      <w:r>
        <w:rPr>
          <w:rFonts w:hint="eastAsia" w:asciiTheme="minorEastAsia" w:hAnsiTheme="minorEastAsia" w:eastAsiaTheme="minorEastAsia"/>
          <w:color w:val="auto"/>
          <w:szCs w:val="21"/>
        </w:rPr>
        <w:t xml:space="preserve">    包名称（如有）：</w:t>
      </w:r>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olor w:val="auto"/>
          <w:szCs w:val="21"/>
          <w:u w:val="single"/>
        </w:rPr>
        <w:t xml:space="preserve"> </w:t>
      </w:r>
    </w:p>
    <w:tbl>
      <w:tblPr>
        <w:tblStyle w:val="42"/>
        <w:tblW w:w="5000" w:type="pct"/>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7"/>
        <w:gridCol w:w="1126"/>
        <w:gridCol w:w="588"/>
        <w:gridCol w:w="515"/>
        <w:gridCol w:w="1103"/>
        <w:gridCol w:w="1103"/>
        <w:gridCol w:w="1103"/>
        <w:gridCol w:w="1103"/>
        <w:gridCol w:w="1691"/>
      </w:tblGrid>
      <w:tr w14:paraId="5F7FF81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wAfter w:w="0" w:type="auto"/>
        </w:trPr>
        <w:tc>
          <w:tcPr>
            <w:tcW w:w="308" w:type="pct"/>
            <w:vAlign w:val="center"/>
          </w:tcPr>
          <w:p w14:paraId="61EF8D6D">
            <w:pPr>
              <w:jc w:val="center"/>
              <w:rPr>
                <w:color w:val="auto"/>
              </w:rPr>
            </w:pPr>
            <w:r>
              <w:rPr>
                <w:rFonts w:hint="eastAsia"/>
                <w:color w:val="auto"/>
              </w:rPr>
              <w:t>包号</w:t>
            </w:r>
          </w:p>
        </w:tc>
        <w:tc>
          <w:tcPr>
            <w:tcW w:w="634" w:type="pct"/>
            <w:vAlign w:val="center"/>
          </w:tcPr>
          <w:p w14:paraId="400AFDE4">
            <w:pPr>
              <w:jc w:val="center"/>
              <w:rPr>
                <w:color w:val="auto"/>
              </w:rPr>
            </w:pPr>
            <w:bookmarkStart w:id="261" w:name="_GoBack"/>
            <w:bookmarkEnd w:id="261"/>
            <w:r>
              <w:rPr>
                <w:rFonts w:hint="eastAsia"/>
                <w:color w:val="auto"/>
              </w:rPr>
              <w:t>货物名称/注册证名称</w:t>
            </w:r>
          </w:p>
        </w:tc>
        <w:tc>
          <w:tcPr>
            <w:tcW w:w="621" w:type="pct"/>
            <w:gridSpan w:val="2"/>
            <w:vAlign w:val="center"/>
          </w:tcPr>
          <w:p w14:paraId="00BAE1FC">
            <w:pPr>
              <w:jc w:val="center"/>
              <w:rPr>
                <w:color w:val="auto"/>
              </w:rPr>
            </w:pPr>
            <w:r>
              <w:rPr>
                <w:rFonts w:hint="eastAsia"/>
                <w:color w:val="auto"/>
              </w:rPr>
              <w:t>数量</w:t>
            </w:r>
          </w:p>
        </w:tc>
        <w:tc>
          <w:tcPr>
            <w:tcW w:w="621" w:type="pct"/>
            <w:vAlign w:val="center"/>
          </w:tcPr>
          <w:p w14:paraId="1C7C1EF8">
            <w:pPr>
              <w:jc w:val="center"/>
              <w:rPr>
                <w:color w:val="auto"/>
              </w:rPr>
            </w:pPr>
            <w:r>
              <w:rPr>
                <w:rFonts w:hint="eastAsia"/>
                <w:color w:val="auto"/>
              </w:rPr>
              <w:t>制造商名称/产地</w:t>
            </w:r>
          </w:p>
        </w:tc>
        <w:tc>
          <w:tcPr>
            <w:tcW w:w="621" w:type="pct"/>
            <w:vAlign w:val="center"/>
          </w:tcPr>
          <w:p w14:paraId="60BCE031">
            <w:pPr>
              <w:jc w:val="center"/>
              <w:rPr>
                <w:color w:val="auto"/>
              </w:rPr>
            </w:pPr>
            <w:r>
              <w:rPr>
                <w:rFonts w:hint="eastAsia"/>
                <w:color w:val="auto"/>
              </w:rPr>
              <w:t>规格/型号</w:t>
            </w:r>
          </w:p>
        </w:tc>
        <w:tc>
          <w:tcPr>
            <w:tcW w:w="621" w:type="pct"/>
            <w:vAlign w:val="center"/>
          </w:tcPr>
          <w:p w14:paraId="48F1A3CF">
            <w:pPr>
              <w:jc w:val="center"/>
              <w:rPr>
                <w:color w:val="auto"/>
              </w:rPr>
            </w:pPr>
            <w:r>
              <w:rPr>
                <w:rFonts w:hint="eastAsia"/>
                <w:color w:val="auto"/>
              </w:rPr>
              <w:t>投标价格（元）</w:t>
            </w:r>
          </w:p>
        </w:tc>
        <w:tc>
          <w:tcPr>
            <w:tcW w:w="621" w:type="pct"/>
            <w:vAlign w:val="center"/>
          </w:tcPr>
          <w:p w14:paraId="792622D9">
            <w:pPr>
              <w:jc w:val="center"/>
              <w:rPr>
                <w:color w:val="auto"/>
              </w:rPr>
            </w:pPr>
            <w:r>
              <w:rPr>
                <w:rFonts w:hint="eastAsia"/>
                <w:color w:val="auto"/>
              </w:rPr>
              <w:t>质保期（年）</w:t>
            </w:r>
          </w:p>
        </w:tc>
        <w:tc>
          <w:tcPr>
            <w:tcW w:w="952" w:type="pct"/>
            <w:vAlign w:val="center"/>
          </w:tcPr>
          <w:p w14:paraId="4713D931">
            <w:pPr>
              <w:jc w:val="center"/>
              <w:rPr>
                <w:color w:val="auto"/>
              </w:rPr>
            </w:pPr>
            <w:r>
              <w:rPr>
                <w:rFonts w:hint="eastAsia"/>
                <w:color w:val="auto"/>
              </w:rPr>
              <w:t>交货期</w:t>
            </w:r>
          </w:p>
        </w:tc>
      </w:tr>
      <w:tr w14:paraId="7D169D1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wAfter w:w="0" w:type="auto"/>
        </w:trPr>
        <w:tc>
          <w:tcPr>
            <w:tcW w:w="308" w:type="pct"/>
            <w:vMerge w:val="restart"/>
            <w:vAlign w:val="center"/>
          </w:tcPr>
          <w:p w14:paraId="4B5DEC57">
            <w:pPr>
              <w:jc w:val="center"/>
              <w:rPr>
                <w:color w:val="auto"/>
              </w:rPr>
            </w:pPr>
          </w:p>
        </w:tc>
        <w:tc>
          <w:tcPr>
            <w:tcW w:w="634" w:type="pct"/>
          </w:tcPr>
          <w:p w14:paraId="6234B577">
            <w:pPr>
              <w:jc w:val="center"/>
              <w:rPr>
                <w:color w:val="auto"/>
              </w:rPr>
            </w:pPr>
          </w:p>
        </w:tc>
        <w:tc>
          <w:tcPr>
            <w:tcW w:w="621" w:type="pct"/>
            <w:gridSpan w:val="2"/>
          </w:tcPr>
          <w:p w14:paraId="1B228128">
            <w:pPr>
              <w:jc w:val="center"/>
              <w:rPr>
                <w:color w:val="auto"/>
              </w:rPr>
            </w:pPr>
          </w:p>
        </w:tc>
        <w:tc>
          <w:tcPr>
            <w:tcW w:w="621" w:type="pct"/>
          </w:tcPr>
          <w:p w14:paraId="15C196BA">
            <w:pPr>
              <w:jc w:val="center"/>
              <w:rPr>
                <w:color w:val="auto"/>
              </w:rPr>
            </w:pPr>
          </w:p>
        </w:tc>
        <w:tc>
          <w:tcPr>
            <w:tcW w:w="621" w:type="pct"/>
          </w:tcPr>
          <w:p w14:paraId="3EC02414">
            <w:pPr>
              <w:jc w:val="center"/>
              <w:rPr>
                <w:color w:val="auto"/>
              </w:rPr>
            </w:pPr>
          </w:p>
        </w:tc>
        <w:tc>
          <w:tcPr>
            <w:tcW w:w="621" w:type="pct"/>
          </w:tcPr>
          <w:p w14:paraId="6C34EA2E">
            <w:pPr>
              <w:jc w:val="center"/>
              <w:rPr>
                <w:color w:val="auto"/>
              </w:rPr>
            </w:pPr>
          </w:p>
        </w:tc>
        <w:tc>
          <w:tcPr>
            <w:tcW w:w="621" w:type="pct"/>
          </w:tcPr>
          <w:p w14:paraId="4508DB86">
            <w:pPr>
              <w:jc w:val="center"/>
              <w:rPr>
                <w:color w:val="auto"/>
              </w:rPr>
            </w:pPr>
          </w:p>
        </w:tc>
        <w:tc>
          <w:tcPr>
            <w:tcW w:w="952" w:type="pct"/>
          </w:tcPr>
          <w:p w14:paraId="7FDA8469">
            <w:pPr>
              <w:jc w:val="center"/>
              <w:rPr>
                <w:color w:val="auto"/>
              </w:rPr>
            </w:pPr>
          </w:p>
        </w:tc>
      </w:tr>
      <w:tr w14:paraId="0DB91E7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wAfter w:w="0" w:type="auto"/>
        </w:trPr>
        <w:tc>
          <w:tcPr>
            <w:tcW w:w="308" w:type="pct"/>
            <w:vMerge w:val="continue"/>
          </w:tcPr>
          <w:p w14:paraId="67955963">
            <w:pPr>
              <w:jc w:val="center"/>
              <w:rPr>
                <w:color w:val="auto"/>
              </w:rPr>
            </w:pPr>
          </w:p>
        </w:tc>
        <w:tc>
          <w:tcPr>
            <w:tcW w:w="634" w:type="pct"/>
          </w:tcPr>
          <w:p w14:paraId="13B264E2">
            <w:pPr>
              <w:jc w:val="center"/>
              <w:rPr>
                <w:color w:val="auto"/>
              </w:rPr>
            </w:pPr>
          </w:p>
        </w:tc>
        <w:tc>
          <w:tcPr>
            <w:tcW w:w="621" w:type="pct"/>
            <w:gridSpan w:val="2"/>
          </w:tcPr>
          <w:p w14:paraId="3DD4EAD3">
            <w:pPr>
              <w:jc w:val="center"/>
              <w:rPr>
                <w:color w:val="auto"/>
              </w:rPr>
            </w:pPr>
          </w:p>
        </w:tc>
        <w:tc>
          <w:tcPr>
            <w:tcW w:w="621" w:type="pct"/>
          </w:tcPr>
          <w:p w14:paraId="2C416763">
            <w:pPr>
              <w:jc w:val="center"/>
              <w:rPr>
                <w:color w:val="auto"/>
              </w:rPr>
            </w:pPr>
          </w:p>
        </w:tc>
        <w:tc>
          <w:tcPr>
            <w:tcW w:w="621" w:type="pct"/>
          </w:tcPr>
          <w:p w14:paraId="6428066C">
            <w:pPr>
              <w:jc w:val="center"/>
              <w:rPr>
                <w:color w:val="auto"/>
              </w:rPr>
            </w:pPr>
          </w:p>
        </w:tc>
        <w:tc>
          <w:tcPr>
            <w:tcW w:w="621" w:type="pct"/>
          </w:tcPr>
          <w:p w14:paraId="6E8B45AF">
            <w:pPr>
              <w:jc w:val="center"/>
              <w:rPr>
                <w:color w:val="auto"/>
              </w:rPr>
            </w:pPr>
          </w:p>
        </w:tc>
        <w:tc>
          <w:tcPr>
            <w:tcW w:w="621" w:type="pct"/>
          </w:tcPr>
          <w:p w14:paraId="6FFD2C5A">
            <w:pPr>
              <w:jc w:val="center"/>
              <w:rPr>
                <w:color w:val="auto"/>
              </w:rPr>
            </w:pPr>
          </w:p>
        </w:tc>
        <w:tc>
          <w:tcPr>
            <w:tcW w:w="952" w:type="pct"/>
          </w:tcPr>
          <w:p w14:paraId="5E9B7A8B">
            <w:pPr>
              <w:jc w:val="center"/>
              <w:rPr>
                <w:color w:val="auto"/>
              </w:rPr>
            </w:pPr>
          </w:p>
        </w:tc>
      </w:tr>
      <w:tr w14:paraId="5487D49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wAfter w:w="0" w:type="auto"/>
        </w:trPr>
        <w:tc>
          <w:tcPr>
            <w:tcW w:w="308" w:type="pct"/>
            <w:vMerge w:val="continue"/>
          </w:tcPr>
          <w:p w14:paraId="11D240EE">
            <w:pPr>
              <w:jc w:val="center"/>
              <w:rPr>
                <w:color w:val="auto"/>
              </w:rPr>
            </w:pPr>
          </w:p>
        </w:tc>
        <w:tc>
          <w:tcPr>
            <w:tcW w:w="634" w:type="pct"/>
          </w:tcPr>
          <w:p w14:paraId="1FC55ECB">
            <w:pPr>
              <w:jc w:val="center"/>
              <w:rPr>
                <w:color w:val="auto"/>
              </w:rPr>
            </w:pPr>
          </w:p>
        </w:tc>
        <w:tc>
          <w:tcPr>
            <w:tcW w:w="621" w:type="pct"/>
            <w:gridSpan w:val="2"/>
          </w:tcPr>
          <w:p w14:paraId="71D2613E">
            <w:pPr>
              <w:jc w:val="center"/>
              <w:rPr>
                <w:color w:val="auto"/>
              </w:rPr>
            </w:pPr>
          </w:p>
        </w:tc>
        <w:tc>
          <w:tcPr>
            <w:tcW w:w="621" w:type="pct"/>
          </w:tcPr>
          <w:p w14:paraId="2EE97D03">
            <w:pPr>
              <w:jc w:val="center"/>
              <w:rPr>
                <w:color w:val="auto"/>
              </w:rPr>
            </w:pPr>
          </w:p>
        </w:tc>
        <w:tc>
          <w:tcPr>
            <w:tcW w:w="621" w:type="pct"/>
          </w:tcPr>
          <w:p w14:paraId="4E6DAEBC">
            <w:pPr>
              <w:jc w:val="center"/>
              <w:rPr>
                <w:color w:val="auto"/>
              </w:rPr>
            </w:pPr>
          </w:p>
        </w:tc>
        <w:tc>
          <w:tcPr>
            <w:tcW w:w="621" w:type="pct"/>
          </w:tcPr>
          <w:p w14:paraId="60D5498C">
            <w:pPr>
              <w:jc w:val="center"/>
              <w:rPr>
                <w:color w:val="auto"/>
              </w:rPr>
            </w:pPr>
          </w:p>
        </w:tc>
        <w:tc>
          <w:tcPr>
            <w:tcW w:w="621" w:type="pct"/>
          </w:tcPr>
          <w:p w14:paraId="7173653C">
            <w:pPr>
              <w:jc w:val="center"/>
              <w:rPr>
                <w:color w:val="auto"/>
              </w:rPr>
            </w:pPr>
          </w:p>
        </w:tc>
        <w:tc>
          <w:tcPr>
            <w:tcW w:w="952" w:type="pct"/>
          </w:tcPr>
          <w:p w14:paraId="72FFA5C8">
            <w:pPr>
              <w:jc w:val="center"/>
              <w:rPr>
                <w:color w:val="auto"/>
              </w:rPr>
            </w:pPr>
          </w:p>
        </w:tc>
      </w:tr>
      <w:tr w14:paraId="5837EA5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wAfter w:w="0" w:type="auto"/>
        </w:trPr>
        <w:tc>
          <w:tcPr>
            <w:tcW w:w="308" w:type="pct"/>
            <w:vMerge w:val="continue"/>
          </w:tcPr>
          <w:p w14:paraId="79F31365">
            <w:pPr>
              <w:jc w:val="center"/>
              <w:rPr>
                <w:color w:val="auto"/>
              </w:rPr>
            </w:pPr>
          </w:p>
        </w:tc>
        <w:tc>
          <w:tcPr>
            <w:tcW w:w="634" w:type="pct"/>
          </w:tcPr>
          <w:p w14:paraId="017A1D5B">
            <w:pPr>
              <w:jc w:val="center"/>
              <w:rPr>
                <w:color w:val="auto"/>
              </w:rPr>
            </w:pPr>
          </w:p>
        </w:tc>
        <w:tc>
          <w:tcPr>
            <w:tcW w:w="621" w:type="pct"/>
            <w:gridSpan w:val="2"/>
          </w:tcPr>
          <w:p w14:paraId="44C4E288">
            <w:pPr>
              <w:jc w:val="center"/>
              <w:rPr>
                <w:color w:val="auto"/>
              </w:rPr>
            </w:pPr>
          </w:p>
        </w:tc>
        <w:tc>
          <w:tcPr>
            <w:tcW w:w="621" w:type="pct"/>
          </w:tcPr>
          <w:p w14:paraId="50335745">
            <w:pPr>
              <w:jc w:val="center"/>
              <w:rPr>
                <w:color w:val="auto"/>
              </w:rPr>
            </w:pPr>
          </w:p>
        </w:tc>
        <w:tc>
          <w:tcPr>
            <w:tcW w:w="621" w:type="pct"/>
          </w:tcPr>
          <w:p w14:paraId="5CA7CB88">
            <w:pPr>
              <w:jc w:val="center"/>
              <w:rPr>
                <w:color w:val="auto"/>
              </w:rPr>
            </w:pPr>
          </w:p>
        </w:tc>
        <w:tc>
          <w:tcPr>
            <w:tcW w:w="621" w:type="pct"/>
          </w:tcPr>
          <w:p w14:paraId="2C37F59A">
            <w:pPr>
              <w:jc w:val="center"/>
              <w:rPr>
                <w:color w:val="auto"/>
              </w:rPr>
            </w:pPr>
          </w:p>
        </w:tc>
        <w:tc>
          <w:tcPr>
            <w:tcW w:w="621" w:type="pct"/>
          </w:tcPr>
          <w:p w14:paraId="79D5DC93">
            <w:pPr>
              <w:jc w:val="center"/>
              <w:rPr>
                <w:color w:val="auto"/>
              </w:rPr>
            </w:pPr>
          </w:p>
        </w:tc>
        <w:tc>
          <w:tcPr>
            <w:tcW w:w="952" w:type="pct"/>
          </w:tcPr>
          <w:p w14:paraId="1C7BE61F">
            <w:pPr>
              <w:jc w:val="center"/>
              <w:rPr>
                <w:color w:val="auto"/>
              </w:rPr>
            </w:pPr>
          </w:p>
        </w:tc>
      </w:tr>
      <w:tr w14:paraId="5B7EB29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wAfter w:w="0" w:type="auto"/>
        </w:trPr>
        <w:tc>
          <w:tcPr>
            <w:tcW w:w="308" w:type="pct"/>
            <w:vMerge w:val="continue"/>
          </w:tcPr>
          <w:p w14:paraId="7425AC1F">
            <w:pPr>
              <w:jc w:val="center"/>
              <w:rPr>
                <w:color w:val="auto"/>
              </w:rPr>
            </w:pPr>
          </w:p>
        </w:tc>
        <w:tc>
          <w:tcPr>
            <w:tcW w:w="634" w:type="pct"/>
          </w:tcPr>
          <w:p w14:paraId="639E6F19">
            <w:pPr>
              <w:jc w:val="center"/>
              <w:rPr>
                <w:color w:val="auto"/>
              </w:rPr>
            </w:pPr>
          </w:p>
        </w:tc>
        <w:tc>
          <w:tcPr>
            <w:tcW w:w="621" w:type="pct"/>
            <w:gridSpan w:val="2"/>
          </w:tcPr>
          <w:p w14:paraId="5018FB95">
            <w:pPr>
              <w:jc w:val="center"/>
              <w:rPr>
                <w:color w:val="auto"/>
              </w:rPr>
            </w:pPr>
          </w:p>
        </w:tc>
        <w:tc>
          <w:tcPr>
            <w:tcW w:w="621" w:type="pct"/>
          </w:tcPr>
          <w:p w14:paraId="69785360">
            <w:pPr>
              <w:jc w:val="center"/>
              <w:rPr>
                <w:color w:val="auto"/>
              </w:rPr>
            </w:pPr>
          </w:p>
        </w:tc>
        <w:tc>
          <w:tcPr>
            <w:tcW w:w="621" w:type="pct"/>
          </w:tcPr>
          <w:p w14:paraId="48237852">
            <w:pPr>
              <w:jc w:val="center"/>
              <w:rPr>
                <w:color w:val="auto"/>
              </w:rPr>
            </w:pPr>
          </w:p>
        </w:tc>
        <w:tc>
          <w:tcPr>
            <w:tcW w:w="621" w:type="pct"/>
          </w:tcPr>
          <w:p w14:paraId="13CBB197">
            <w:pPr>
              <w:jc w:val="center"/>
              <w:rPr>
                <w:color w:val="auto"/>
              </w:rPr>
            </w:pPr>
          </w:p>
        </w:tc>
        <w:tc>
          <w:tcPr>
            <w:tcW w:w="621" w:type="pct"/>
          </w:tcPr>
          <w:p w14:paraId="0868B27E">
            <w:pPr>
              <w:jc w:val="center"/>
              <w:rPr>
                <w:color w:val="auto"/>
              </w:rPr>
            </w:pPr>
          </w:p>
        </w:tc>
        <w:tc>
          <w:tcPr>
            <w:tcW w:w="952" w:type="pct"/>
          </w:tcPr>
          <w:p w14:paraId="33944DF0">
            <w:pPr>
              <w:jc w:val="center"/>
              <w:rPr>
                <w:color w:val="auto"/>
              </w:rPr>
            </w:pPr>
          </w:p>
        </w:tc>
      </w:tr>
      <w:tr w14:paraId="2CA4425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1273" w:type="pct"/>
            <w:gridSpan w:val="3"/>
            <w:vAlign w:val="center"/>
          </w:tcPr>
          <w:p w14:paraId="269588B2">
            <w:pPr>
              <w:jc w:val="center"/>
              <w:rPr>
                <w:color w:val="auto"/>
              </w:rPr>
            </w:pPr>
            <w:r>
              <w:rPr>
                <w:rFonts w:hint="eastAsia"/>
                <w:color w:val="auto"/>
              </w:rPr>
              <w:t>投标总价</w:t>
            </w:r>
          </w:p>
          <w:p w14:paraId="51A9DF97">
            <w:pPr>
              <w:jc w:val="center"/>
              <w:rPr>
                <w:color w:val="auto"/>
              </w:rPr>
            </w:pPr>
            <w:r>
              <w:rPr>
                <w:rFonts w:hint="eastAsia"/>
                <w:color w:val="auto"/>
              </w:rPr>
              <w:t>（</w:t>
            </w:r>
            <w:r>
              <w:rPr>
                <w:color w:val="auto"/>
              </w:rPr>
              <w:t>请填写该标包内所有序号报价之和</w:t>
            </w:r>
            <w:r>
              <w:rPr>
                <w:rFonts w:hint="eastAsia"/>
                <w:color w:val="auto"/>
              </w:rPr>
              <w:t>）</w:t>
            </w:r>
          </w:p>
        </w:tc>
        <w:tc>
          <w:tcPr>
            <w:tcW w:w="3726" w:type="pct"/>
            <w:gridSpan w:val="6"/>
          </w:tcPr>
          <w:p w14:paraId="7CF39644">
            <w:pPr>
              <w:adjustRightInd w:val="0"/>
              <w:snapToGrid w:val="0"/>
              <w:spacing w:line="360" w:lineRule="auto"/>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小写金额：</w:t>
            </w:r>
            <w:r>
              <w:rPr>
                <w:rFonts w:asciiTheme="minorEastAsia" w:hAnsiTheme="minorEastAsia" w:eastAsiaTheme="minorEastAsia"/>
                <w:color w:val="auto"/>
                <w:kern w:val="0"/>
                <w:szCs w:val="21"/>
                <w:u w:val="single"/>
              </w:rPr>
              <w:t xml:space="preserve">             </w:t>
            </w:r>
            <w:r>
              <w:rPr>
                <w:rFonts w:hint="eastAsia" w:asciiTheme="minorEastAsia" w:hAnsiTheme="minorEastAsia" w:eastAsiaTheme="minorEastAsia"/>
                <w:color w:val="auto"/>
                <w:kern w:val="0"/>
                <w:szCs w:val="21"/>
              </w:rPr>
              <w:t>（</w:t>
            </w:r>
            <w:r>
              <w:rPr>
                <w:rFonts w:hint="eastAsia" w:asciiTheme="minorEastAsia" w:hAnsiTheme="minorEastAsia" w:eastAsiaTheme="minorEastAsia"/>
                <w:color w:val="auto"/>
                <w:kern w:val="0"/>
                <w:sz w:val="20"/>
                <w:szCs w:val="21"/>
              </w:rPr>
              <w:t>人民币元</w:t>
            </w:r>
            <w:r>
              <w:rPr>
                <w:rFonts w:hint="eastAsia" w:asciiTheme="minorEastAsia" w:hAnsiTheme="minorEastAsia" w:eastAsiaTheme="minorEastAsia"/>
                <w:color w:val="auto"/>
                <w:kern w:val="0"/>
                <w:szCs w:val="21"/>
              </w:rPr>
              <w:t>）</w:t>
            </w:r>
          </w:p>
          <w:p w14:paraId="27D8BCEB">
            <w:pPr>
              <w:adjustRightInd w:val="0"/>
              <w:snapToGrid w:val="0"/>
              <w:spacing w:line="360" w:lineRule="auto"/>
              <w:rPr>
                <w:rFonts w:asciiTheme="minorEastAsia" w:hAnsiTheme="minorEastAsia" w:eastAsiaTheme="minorEastAsia"/>
                <w:color w:val="auto"/>
                <w:kern w:val="0"/>
                <w:szCs w:val="21"/>
                <w:u w:val="single"/>
              </w:rPr>
            </w:pPr>
            <w:r>
              <w:rPr>
                <w:rFonts w:hint="eastAsia" w:asciiTheme="minorEastAsia" w:hAnsiTheme="minorEastAsia" w:eastAsiaTheme="minorEastAsia"/>
                <w:color w:val="auto"/>
                <w:kern w:val="0"/>
                <w:szCs w:val="21"/>
              </w:rPr>
              <w:t>大写金额：</w:t>
            </w:r>
            <w:r>
              <w:rPr>
                <w:rFonts w:asciiTheme="minorEastAsia" w:hAnsiTheme="minorEastAsia" w:eastAsiaTheme="minorEastAsia"/>
                <w:color w:val="auto"/>
                <w:kern w:val="0"/>
                <w:szCs w:val="21"/>
                <w:u w:val="single"/>
              </w:rPr>
              <w:t xml:space="preserve">             </w:t>
            </w:r>
            <w:r>
              <w:rPr>
                <w:rFonts w:hint="eastAsia" w:asciiTheme="minorEastAsia" w:hAnsiTheme="minorEastAsia" w:eastAsiaTheme="minorEastAsia"/>
                <w:color w:val="auto"/>
                <w:kern w:val="0"/>
                <w:szCs w:val="21"/>
              </w:rPr>
              <w:t>（</w:t>
            </w:r>
            <w:r>
              <w:rPr>
                <w:rFonts w:hint="eastAsia" w:asciiTheme="minorEastAsia" w:hAnsiTheme="minorEastAsia" w:eastAsiaTheme="minorEastAsia"/>
                <w:color w:val="auto"/>
                <w:kern w:val="0"/>
                <w:sz w:val="20"/>
                <w:szCs w:val="21"/>
              </w:rPr>
              <w:t>人民币元</w:t>
            </w:r>
            <w:r>
              <w:rPr>
                <w:rFonts w:hint="eastAsia" w:asciiTheme="minorEastAsia" w:hAnsiTheme="minorEastAsia" w:eastAsiaTheme="minorEastAsia"/>
                <w:color w:val="auto"/>
                <w:kern w:val="0"/>
                <w:szCs w:val="21"/>
              </w:rPr>
              <w:t>）</w:t>
            </w:r>
          </w:p>
          <w:p w14:paraId="40D453EB">
            <w:pPr>
              <w:rPr>
                <w:color w:val="auto"/>
                <w:szCs w:val="21"/>
              </w:rPr>
            </w:pPr>
            <w:r>
              <w:rPr>
                <w:rFonts w:hint="eastAsia" w:asciiTheme="minorEastAsia" w:hAnsiTheme="minorEastAsia" w:eastAsiaTheme="minorEastAsia"/>
                <w:color w:val="auto"/>
                <w:kern w:val="0"/>
                <w:szCs w:val="21"/>
              </w:rPr>
              <w:t>（</w:t>
            </w:r>
            <w:r>
              <w:rPr>
                <w:rFonts w:hint="eastAsia" w:ascii="黑体" w:hAnsi="黑体" w:eastAsia="黑体"/>
                <w:color w:val="auto"/>
                <w:kern w:val="0"/>
                <w:szCs w:val="21"/>
              </w:rPr>
              <w:t>大写金额与小写金额不一致时，以大写金额为准</w:t>
            </w:r>
            <w:r>
              <w:rPr>
                <w:rFonts w:hint="eastAsia" w:asciiTheme="minorEastAsia" w:hAnsiTheme="minorEastAsia" w:eastAsiaTheme="minorEastAsia"/>
                <w:color w:val="auto"/>
                <w:kern w:val="0"/>
                <w:szCs w:val="21"/>
              </w:rPr>
              <w:t>）</w:t>
            </w:r>
          </w:p>
        </w:tc>
      </w:tr>
    </w:tbl>
    <w:p w14:paraId="34914FD5">
      <w:pPr>
        <w:adjustRightInd w:val="0"/>
        <w:snapToGrid w:val="0"/>
        <w:spacing w:line="360" w:lineRule="auto"/>
        <w:jc w:val="center"/>
        <w:rPr>
          <w:rFonts w:ascii="黑体" w:hAnsi="宋体" w:eastAsia="黑体"/>
          <w:color w:val="auto"/>
          <w:sz w:val="28"/>
          <w:szCs w:val="28"/>
        </w:rPr>
      </w:pPr>
    </w:p>
    <w:p w14:paraId="45B06483">
      <w:pPr>
        <w:adjustRightInd w:val="0"/>
        <w:snapToGrid w:val="0"/>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备注：（1）本表须按包填写，一个“包号”一份。按第五章清单填报。</w:t>
      </w:r>
    </w:p>
    <w:p w14:paraId="1B0CD008">
      <w:pPr>
        <w:adjustRightInd w:val="0"/>
        <w:snapToGrid w:val="0"/>
        <w:spacing w:line="360" w:lineRule="auto"/>
        <w:ind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（2）投标人提交两份及以上投标报价不同的“开标一览表”，且未书面说明哪个有效或以哪个为准的，其投标无效。</w:t>
      </w:r>
    </w:p>
    <w:p w14:paraId="55957F99">
      <w:pPr>
        <w:adjustRightInd w:val="0"/>
        <w:snapToGrid w:val="0"/>
        <w:spacing w:line="360" w:lineRule="auto"/>
        <w:ind w:firstLine="420" w:firstLineChars="200"/>
        <w:jc w:val="left"/>
        <w:rPr>
          <w:rFonts w:asciiTheme="minorEastAsia" w:hAnsiTheme="minorEastAsia" w:eastAsiaTheme="minorEastAsia"/>
          <w:color w:val="auto"/>
        </w:rPr>
      </w:pPr>
      <w:r>
        <w:rPr>
          <w:rFonts w:hint="eastAsia" w:asciiTheme="minorEastAsia" w:hAnsiTheme="minorEastAsia" w:eastAsiaTheme="minorEastAsia"/>
          <w:color w:val="auto"/>
          <w:szCs w:val="21"/>
        </w:rPr>
        <w:t>（3）</w:t>
      </w:r>
      <w:r>
        <w:rPr>
          <w:rFonts w:hint="eastAsia" w:asciiTheme="minorEastAsia" w:hAnsiTheme="minorEastAsia" w:eastAsiaTheme="minorEastAsia"/>
          <w:color w:val="auto"/>
        </w:rPr>
        <w:t>投标人在投标截止时间前修改“开标一览表”中的投标报价的，应同时修改投标文件“分项报价明细表”、“享受政府采购政策优惠的证明资料”以及“联合体协议书”（如果影响）等相关内容。</w:t>
      </w:r>
    </w:p>
    <w:p w14:paraId="634CEF5D">
      <w:pPr>
        <w:adjustRightInd w:val="0"/>
        <w:snapToGrid w:val="0"/>
        <w:spacing w:line="360" w:lineRule="auto"/>
        <w:ind w:firstLine="420" w:firstLineChars="200"/>
        <w:jc w:val="left"/>
        <w:rPr>
          <w:rFonts w:asciiTheme="minorEastAsia" w:hAnsiTheme="minorEastAsia" w:eastAsiaTheme="minorEastAsia"/>
          <w:color w:val="auto"/>
        </w:rPr>
      </w:pPr>
      <w:r>
        <w:rPr>
          <w:rFonts w:hint="eastAsia" w:ascii="宋体" w:hAnsi="宋体" w:cs="宋体"/>
          <w:color w:val="auto"/>
        </w:rPr>
        <w:t>（</w:t>
      </w:r>
      <w:r>
        <w:rPr>
          <w:rFonts w:ascii="宋体" w:hAnsi="宋体" w:cs="宋体"/>
          <w:color w:val="auto"/>
        </w:rPr>
        <w:t>4</w:t>
      </w:r>
      <w:r>
        <w:rPr>
          <w:rFonts w:hint="eastAsia" w:ascii="宋体" w:hAnsi="宋体" w:cs="宋体"/>
          <w:color w:val="auto"/>
        </w:rPr>
        <w:t>）所投产品报价须符合固定资产管理相关规定（《事业单位财务规则》（财政部令第108号），否则其投标无效。</w:t>
      </w:r>
    </w:p>
    <w:p w14:paraId="1987BA60">
      <w:pPr>
        <w:adjustRightInd w:val="0"/>
        <w:snapToGrid w:val="0"/>
        <w:spacing w:line="360" w:lineRule="auto"/>
        <w:rPr>
          <w:rFonts w:asciiTheme="minorEastAsia" w:hAnsiTheme="minorEastAsia" w:eastAsiaTheme="minorEastAsia"/>
          <w:color w:val="auto"/>
          <w:szCs w:val="21"/>
        </w:rPr>
      </w:pPr>
    </w:p>
    <w:p w14:paraId="0705A475">
      <w:pPr>
        <w:adjustRightInd w:val="0"/>
        <w:snapToGrid w:val="0"/>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投标人名称（盖单位章）：</w:t>
      </w:r>
    </w:p>
    <w:p w14:paraId="7E82DD17">
      <w:pPr>
        <w:adjustRightInd w:val="0"/>
        <w:snapToGrid w:val="0"/>
        <w:spacing w:line="360" w:lineRule="auto"/>
        <w:rPr>
          <w:rFonts w:asciiTheme="minorEastAsia" w:hAnsiTheme="minorEastAsia" w:eastAsiaTheme="minorEastAsia"/>
          <w:color w:val="auto"/>
          <w:szCs w:val="21"/>
        </w:rPr>
      </w:pPr>
      <w:r>
        <w:rPr>
          <w:rFonts w:hint="eastAsia" w:cs="微软雅黑" w:asciiTheme="minorEastAsia" w:hAnsiTheme="minorEastAsia" w:eastAsiaTheme="minorEastAsia"/>
          <w:color w:val="auto"/>
          <w:spacing w:val="-2"/>
          <w:kern w:val="0"/>
          <w:szCs w:val="21"/>
        </w:rPr>
        <w:t>法</w:t>
      </w:r>
      <w:r>
        <w:rPr>
          <w:rFonts w:hint="eastAsia" w:cs="微软雅黑" w:asciiTheme="minorEastAsia" w:hAnsiTheme="minorEastAsia" w:eastAsiaTheme="minorEastAsia"/>
          <w:color w:val="auto"/>
          <w:kern w:val="0"/>
          <w:szCs w:val="21"/>
        </w:rPr>
        <w:t>定</w:t>
      </w:r>
      <w:r>
        <w:rPr>
          <w:rFonts w:hint="eastAsia" w:cs="微软雅黑" w:asciiTheme="minorEastAsia" w:hAnsiTheme="minorEastAsia" w:eastAsiaTheme="minorEastAsia"/>
          <w:color w:val="auto"/>
          <w:spacing w:val="-2"/>
          <w:kern w:val="0"/>
          <w:szCs w:val="21"/>
        </w:rPr>
        <w:t>代</w:t>
      </w:r>
      <w:r>
        <w:rPr>
          <w:rFonts w:hint="eastAsia" w:cs="微软雅黑" w:asciiTheme="minorEastAsia" w:hAnsiTheme="minorEastAsia" w:eastAsiaTheme="minorEastAsia"/>
          <w:color w:val="auto"/>
          <w:kern w:val="0"/>
          <w:szCs w:val="21"/>
        </w:rPr>
        <w:t>表</w:t>
      </w:r>
      <w:r>
        <w:rPr>
          <w:rFonts w:hint="eastAsia" w:cs="微软雅黑" w:asciiTheme="minorEastAsia" w:hAnsiTheme="minorEastAsia" w:eastAsiaTheme="minorEastAsia"/>
          <w:color w:val="auto"/>
          <w:spacing w:val="-2"/>
          <w:kern w:val="0"/>
          <w:szCs w:val="21"/>
        </w:rPr>
        <w:t>人</w:t>
      </w:r>
      <w:r>
        <w:rPr>
          <w:rFonts w:hint="eastAsia" w:cs="微软雅黑" w:asciiTheme="minorEastAsia" w:hAnsiTheme="minorEastAsia" w:eastAsiaTheme="minorEastAsia"/>
          <w:color w:val="auto"/>
          <w:kern w:val="0"/>
          <w:szCs w:val="21"/>
        </w:rPr>
        <w:t>（</w:t>
      </w:r>
      <w:r>
        <w:rPr>
          <w:rFonts w:hint="eastAsia" w:cs="微软雅黑" w:asciiTheme="minorEastAsia" w:hAnsiTheme="minorEastAsia" w:eastAsiaTheme="minorEastAsia"/>
          <w:color w:val="auto"/>
          <w:spacing w:val="-2"/>
          <w:kern w:val="0"/>
          <w:szCs w:val="21"/>
        </w:rPr>
        <w:t>单</w:t>
      </w:r>
      <w:r>
        <w:rPr>
          <w:rFonts w:hint="eastAsia" w:cs="微软雅黑" w:asciiTheme="minorEastAsia" w:hAnsiTheme="minorEastAsia" w:eastAsiaTheme="minorEastAsia"/>
          <w:color w:val="auto"/>
          <w:kern w:val="0"/>
          <w:szCs w:val="21"/>
        </w:rPr>
        <w:t>位</w:t>
      </w:r>
      <w:r>
        <w:rPr>
          <w:rFonts w:hint="eastAsia" w:cs="微软雅黑" w:asciiTheme="minorEastAsia" w:hAnsiTheme="minorEastAsia" w:eastAsiaTheme="minorEastAsia"/>
          <w:color w:val="auto"/>
          <w:spacing w:val="-2"/>
          <w:kern w:val="0"/>
          <w:szCs w:val="21"/>
        </w:rPr>
        <w:t>负</w:t>
      </w:r>
      <w:r>
        <w:rPr>
          <w:rFonts w:hint="eastAsia" w:cs="微软雅黑" w:asciiTheme="minorEastAsia" w:hAnsiTheme="minorEastAsia" w:eastAsiaTheme="minorEastAsia"/>
          <w:color w:val="auto"/>
          <w:kern w:val="0"/>
          <w:szCs w:val="21"/>
        </w:rPr>
        <w:t>责人</w:t>
      </w:r>
      <w:r>
        <w:rPr>
          <w:rFonts w:hint="eastAsia" w:cs="微软雅黑" w:asciiTheme="minorEastAsia" w:hAnsiTheme="minorEastAsia" w:eastAsiaTheme="minorEastAsia"/>
          <w:color w:val="auto"/>
          <w:spacing w:val="-2"/>
          <w:kern w:val="0"/>
          <w:szCs w:val="21"/>
        </w:rPr>
        <w:t>）</w:t>
      </w:r>
      <w:r>
        <w:rPr>
          <w:rFonts w:hint="eastAsia" w:asciiTheme="minorEastAsia" w:hAnsiTheme="minorEastAsia" w:eastAsiaTheme="minorEastAsia"/>
          <w:color w:val="auto"/>
          <w:szCs w:val="21"/>
        </w:rPr>
        <w:t>或其授权的代理人（签字或印章）：</w:t>
      </w:r>
    </w:p>
    <w:p w14:paraId="7D68AB38">
      <w:pPr>
        <w:widowControl/>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日  期：     年   月   日</w:t>
      </w:r>
    </w:p>
    <w:p w14:paraId="337D8AE4">
      <w:pPr>
        <w:widowControl/>
        <w:jc w:val="left"/>
        <w:rPr>
          <w:rFonts w:asciiTheme="minorEastAsia" w:hAnsiTheme="minorEastAsia" w:eastAsiaTheme="minorEastAsia"/>
          <w:color w:val="auto"/>
          <w:szCs w:val="21"/>
        </w:rPr>
      </w:pPr>
      <w:r>
        <w:rPr>
          <w:rFonts w:asciiTheme="minorEastAsia" w:hAnsiTheme="minorEastAsia" w:eastAsiaTheme="minorEastAsia"/>
          <w:color w:val="auto"/>
          <w:szCs w:val="21"/>
        </w:rPr>
        <w:br w:type="page"/>
      </w:r>
    </w:p>
    <w:p w14:paraId="724616EE">
      <w:pPr>
        <w:widowControl/>
        <w:jc w:val="left"/>
        <w:rPr>
          <w:rFonts w:asciiTheme="minorEastAsia" w:hAnsiTheme="minorEastAsia" w:eastAsiaTheme="minorEastAsia"/>
          <w:color w:val="auto"/>
          <w:szCs w:val="21"/>
        </w:rPr>
      </w:pPr>
    </w:p>
    <w:p w14:paraId="05EA9AF5">
      <w:pPr>
        <w:pStyle w:val="4"/>
        <w:adjustRightInd w:val="0"/>
        <w:snapToGrid w:val="0"/>
        <w:spacing w:before="0" w:after="0" w:line="360" w:lineRule="auto"/>
        <w:jc w:val="center"/>
        <w:rPr>
          <w:rFonts w:ascii="黑体" w:hAnsi="宋体" w:eastAsia="黑体"/>
          <w:color w:val="auto"/>
          <w:sz w:val="28"/>
          <w:szCs w:val="28"/>
        </w:rPr>
      </w:pPr>
      <w:bookmarkStart w:id="213" w:name="_Toc2409"/>
      <w:r>
        <w:rPr>
          <w:rFonts w:hint="eastAsia" w:ascii="黑体" w:hAnsi="宋体" w:eastAsia="黑体"/>
          <w:color w:val="auto"/>
          <w:sz w:val="28"/>
          <w:szCs w:val="28"/>
        </w:rPr>
        <w:t>二、投标保证金</w:t>
      </w:r>
      <w:bookmarkEnd w:id="213"/>
    </w:p>
    <w:p w14:paraId="14474B19">
      <w:pPr>
        <w:adjustRightInd w:val="0"/>
        <w:snapToGrid w:val="0"/>
        <w:spacing w:before="120" w:beforeLines="50" w:line="360" w:lineRule="auto"/>
        <w:ind w:firstLine="420" w:firstLineChars="200"/>
        <w:jc w:val="left"/>
        <w:rPr>
          <w:rFonts w:asciiTheme="minorEastAsia" w:hAnsiTheme="minorEastAsia" w:eastAsiaTheme="minorEastAsia"/>
          <w:color w:val="auto"/>
          <w:szCs w:val="21"/>
        </w:rPr>
      </w:pPr>
    </w:p>
    <w:p w14:paraId="0E18CA5D">
      <w:pPr>
        <w:adjustRightInd w:val="0"/>
        <w:snapToGrid w:val="0"/>
        <w:spacing w:before="120" w:beforeLines="50" w:line="360" w:lineRule="auto"/>
        <w:ind w:firstLine="422" w:firstLineChars="200"/>
        <w:jc w:val="left"/>
        <w:rPr>
          <w:rFonts w:asciiTheme="minorEastAsia" w:hAnsiTheme="minorEastAsia" w:eastAsiaTheme="minorEastAsia"/>
          <w:color w:val="auto"/>
          <w:szCs w:val="21"/>
        </w:rPr>
      </w:pPr>
      <w:r>
        <w:rPr>
          <w:rFonts w:hint="eastAsia" w:asciiTheme="minorEastAsia" w:hAnsiTheme="minorEastAsia" w:eastAsiaTheme="minorEastAsia"/>
          <w:b/>
          <w:color w:val="auto"/>
          <w:szCs w:val="21"/>
        </w:rPr>
        <w:t>备注</w:t>
      </w:r>
      <w:r>
        <w:rPr>
          <w:rFonts w:hint="eastAsia" w:asciiTheme="minorEastAsia" w:hAnsiTheme="minorEastAsia" w:eastAsiaTheme="minorEastAsia"/>
          <w:color w:val="auto"/>
          <w:szCs w:val="21"/>
        </w:rPr>
        <w:t>：提供：付款凭证复印件，或金融机构、担保机构出具的保函原件。</w:t>
      </w:r>
    </w:p>
    <w:p w14:paraId="681801D0">
      <w:pPr>
        <w:adjustRightInd w:val="0"/>
        <w:snapToGrid w:val="0"/>
        <w:spacing w:before="120" w:beforeLines="50" w:line="360" w:lineRule="auto"/>
        <w:ind w:firstLine="420" w:firstLineChars="200"/>
        <w:jc w:val="left"/>
        <w:rPr>
          <w:rFonts w:asciiTheme="minorEastAsia" w:hAnsiTheme="minorEastAsia" w:eastAsiaTheme="minorEastAsia"/>
          <w:color w:val="auto"/>
        </w:rPr>
      </w:pPr>
    </w:p>
    <w:p w14:paraId="7C0A72F5">
      <w:pPr>
        <w:pStyle w:val="5"/>
        <w:rPr>
          <w:rFonts w:ascii="黑体" w:hAnsi="黑体"/>
          <w:b w:val="0"/>
          <w:color w:val="auto"/>
          <w:sz w:val="21"/>
          <w:szCs w:val="21"/>
        </w:rPr>
      </w:pPr>
      <w:bookmarkStart w:id="214" w:name="_Toc23195"/>
      <w:r>
        <w:rPr>
          <w:rFonts w:hint="eastAsia" w:ascii="黑体" w:hAnsi="黑体"/>
          <w:b w:val="0"/>
          <w:color w:val="auto"/>
          <w:sz w:val="21"/>
          <w:szCs w:val="21"/>
        </w:rPr>
        <w:t>附件2-1投标保函（格式）</w:t>
      </w:r>
      <w:bookmarkEnd w:id="214"/>
    </w:p>
    <w:p w14:paraId="37E91E82">
      <w:pPr>
        <w:adjustRightInd w:val="0"/>
        <w:snapToGrid w:val="0"/>
        <w:spacing w:line="360" w:lineRule="auto"/>
        <w:jc w:val="center"/>
        <w:rPr>
          <w:rFonts w:ascii="黑体" w:hAnsi="黑体" w:eastAsia="黑体"/>
          <w:b/>
          <w:color w:val="auto"/>
          <w:sz w:val="28"/>
          <w:szCs w:val="28"/>
          <w:u w:val="single"/>
        </w:rPr>
      </w:pPr>
      <w:r>
        <w:rPr>
          <w:rFonts w:hint="eastAsia" w:ascii="黑体" w:hAnsi="黑体" w:eastAsia="黑体"/>
          <w:b/>
          <w:color w:val="auto"/>
          <w:sz w:val="28"/>
          <w:szCs w:val="28"/>
        </w:rPr>
        <w:t>投标保函（格式）</w:t>
      </w:r>
    </w:p>
    <w:p w14:paraId="054444A9">
      <w:pPr>
        <w:adjustRightInd w:val="0"/>
        <w:snapToGrid w:val="0"/>
        <w:spacing w:line="360" w:lineRule="auto"/>
        <w:jc w:val="center"/>
        <w:rPr>
          <w:rFonts w:asciiTheme="minorEastAsia" w:hAnsiTheme="minorEastAsia" w:eastAsiaTheme="minorEastAsia"/>
          <w:color w:val="auto"/>
          <w:u w:val="single"/>
        </w:rPr>
      </w:pPr>
      <w:r>
        <w:rPr>
          <w:rFonts w:hint="eastAsia" w:asciiTheme="minorEastAsia" w:hAnsiTheme="minorEastAsia" w:eastAsiaTheme="minorEastAsia"/>
          <w:color w:val="auto"/>
        </w:rPr>
        <w:t>（金融机构、担保机构保函）</w:t>
      </w:r>
    </w:p>
    <w:p w14:paraId="270ABC4C">
      <w:pPr>
        <w:adjustRightInd w:val="0"/>
        <w:snapToGrid w:val="0"/>
        <w:spacing w:before="120" w:beforeLines="50" w:line="360" w:lineRule="auto"/>
        <w:jc w:val="left"/>
        <w:rPr>
          <w:rFonts w:asciiTheme="minorEastAsia" w:hAnsiTheme="minorEastAsia" w:eastAsiaTheme="minorEastAsia"/>
          <w:color w:val="auto"/>
        </w:rPr>
      </w:pPr>
    </w:p>
    <w:p w14:paraId="61E66C3A">
      <w:pPr>
        <w:adjustRightInd w:val="0"/>
        <w:snapToGrid w:val="0"/>
        <w:spacing w:before="120" w:beforeLines="50" w:line="360" w:lineRule="auto"/>
        <w:jc w:val="left"/>
        <w:rPr>
          <w:rFonts w:asciiTheme="minorEastAsia" w:hAnsiTheme="minorEastAsia" w:eastAsiaTheme="minorEastAsia"/>
          <w:color w:val="auto"/>
        </w:rPr>
      </w:pPr>
      <w:r>
        <w:rPr>
          <w:rFonts w:hint="eastAsia" w:asciiTheme="minorEastAsia" w:hAnsiTheme="minorEastAsia" w:eastAsiaTheme="minorEastAsia"/>
          <w:color w:val="auto"/>
        </w:rPr>
        <w:t>（采购人名称）：</w:t>
      </w:r>
    </w:p>
    <w:p w14:paraId="5FD2C4E2">
      <w:pPr>
        <w:adjustRightInd w:val="0"/>
        <w:snapToGrid w:val="0"/>
        <w:spacing w:before="120" w:beforeLines="50" w:line="360" w:lineRule="auto"/>
        <w:ind w:firstLine="420" w:firstLineChars="200"/>
        <w:jc w:val="left"/>
        <w:rPr>
          <w:rFonts w:asciiTheme="minorEastAsia" w:hAnsiTheme="minorEastAsia" w:eastAsiaTheme="minorEastAsia"/>
          <w:color w:val="auto"/>
        </w:rPr>
      </w:pPr>
      <w:r>
        <w:rPr>
          <w:rFonts w:hint="eastAsia" w:asciiTheme="minorEastAsia" w:hAnsiTheme="minorEastAsia" w:eastAsiaTheme="minorEastAsia"/>
          <w:color w:val="auto"/>
        </w:rPr>
        <w:t>鉴于（投标人名称：</w:t>
      </w:r>
      <w:r>
        <w:rPr>
          <w:rFonts w:hint="eastAsia" w:asciiTheme="minorEastAsia" w:hAnsiTheme="minorEastAsia" w:eastAsiaTheme="minorEastAsia"/>
          <w:color w:val="auto"/>
          <w:u w:val="single"/>
        </w:rPr>
        <w:t xml:space="preserve">        </w:t>
      </w:r>
      <w:r>
        <w:rPr>
          <w:rFonts w:hint="eastAsia" w:asciiTheme="minorEastAsia" w:hAnsiTheme="minorEastAsia" w:eastAsiaTheme="minorEastAsia"/>
          <w:color w:val="auto"/>
        </w:rPr>
        <w:t>）（以下称“投标人”）于</w:t>
      </w:r>
      <w:r>
        <w:rPr>
          <w:rFonts w:hint="eastAsia" w:asciiTheme="minorEastAsia" w:hAnsiTheme="minorEastAsia" w:eastAsiaTheme="minorEastAsia"/>
          <w:color w:val="auto"/>
          <w:u w:val="single"/>
        </w:rPr>
        <w:t xml:space="preserve"> </w:t>
      </w:r>
      <w:r>
        <w:rPr>
          <w:rFonts w:asciiTheme="minorEastAsia" w:hAnsiTheme="minorEastAsia" w:eastAsiaTheme="minorEastAsia"/>
          <w:color w:val="auto"/>
          <w:u w:val="single"/>
        </w:rPr>
        <w:t xml:space="preserve">   </w:t>
      </w:r>
      <w:r>
        <w:rPr>
          <w:rFonts w:hint="eastAsia" w:asciiTheme="minorEastAsia" w:hAnsiTheme="minorEastAsia" w:eastAsiaTheme="minorEastAsia"/>
          <w:color w:val="auto"/>
        </w:rPr>
        <w:t>年</w:t>
      </w:r>
      <w:r>
        <w:rPr>
          <w:rFonts w:hint="eastAsia" w:asciiTheme="minorEastAsia" w:hAnsiTheme="minorEastAsia" w:eastAsiaTheme="minorEastAsia"/>
          <w:color w:val="auto"/>
          <w:u w:val="single"/>
        </w:rPr>
        <w:t xml:space="preserve"> </w:t>
      </w:r>
      <w:r>
        <w:rPr>
          <w:rFonts w:asciiTheme="minorEastAsia" w:hAnsiTheme="minorEastAsia" w:eastAsiaTheme="minorEastAsia"/>
          <w:color w:val="auto"/>
          <w:u w:val="single"/>
        </w:rPr>
        <w:t xml:space="preserve">  </w:t>
      </w:r>
      <w:r>
        <w:rPr>
          <w:rFonts w:hint="eastAsia" w:asciiTheme="minorEastAsia" w:hAnsiTheme="minorEastAsia" w:eastAsiaTheme="minorEastAsia"/>
          <w:color w:val="auto"/>
        </w:rPr>
        <w:t>月</w:t>
      </w:r>
      <w:r>
        <w:rPr>
          <w:rFonts w:hint="eastAsia" w:asciiTheme="minorEastAsia" w:hAnsiTheme="minorEastAsia" w:eastAsiaTheme="minorEastAsia"/>
          <w:color w:val="auto"/>
          <w:u w:val="single"/>
        </w:rPr>
        <w:t xml:space="preserve"> </w:t>
      </w:r>
      <w:r>
        <w:rPr>
          <w:rFonts w:asciiTheme="minorEastAsia" w:hAnsiTheme="minorEastAsia" w:eastAsiaTheme="minorEastAsia"/>
          <w:color w:val="auto"/>
          <w:u w:val="single"/>
        </w:rPr>
        <w:t xml:space="preserve">  </w:t>
      </w:r>
      <w:r>
        <w:rPr>
          <w:rFonts w:hint="eastAsia" w:asciiTheme="minorEastAsia" w:hAnsiTheme="minorEastAsia" w:eastAsiaTheme="minorEastAsia"/>
          <w:color w:val="auto"/>
        </w:rPr>
        <w:t>日参加（项目名称：</w:t>
      </w:r>
      <w:r>
        <w:rPr>
          <w:rFonts w:hint="eastAsia" w:asciiTheme="minorEastAsia" w:hAnsiTheme="minorEastAsia" w:eastAsiaTheme="minorEastAsia"/>
          <w:color w:val="auto"/>
          <w:u w:val="single"/>
        </w:rPr>
        <w:t xml:space="preserve">        </w:t>
      </w:r>
      <w:r>
        <w:rPr>
          <w:rFonts w:hint="eastAsia" w:asciiTheme="minorEastAsia" w:hAnsiTheme="minorEastAsia" w:eastAsiaTheme="minorEastAsia"/>
          <w:color w:val="auto"/>
        </w:rPr>
        <w:t>）政府采购招标</w:t>
      </w:r>
      <w:r>
        <w:rPr>
          <w:rFonts w:hint="eastAsia" w:ascii="宋体" w:hAnsi="宋体"/>
          <w:color w:val="auto"/>
          <w:szCs w:val="21"/>
        </w:rPr>
        <w:t>（采购人项目编号：</w:t>
      </w:r>
      <w:r>
        <w:rPr>
          <w:rFonts w:hint="eastAsia" w:ascii="宋体" w:hAnsi="宋体"/>
          <w:color w:val="auto"/>
          <w:szCs w:val="21"/>
          <w:u w:val="single"/>
        </w:rPr>
        <w:t xml:space="preserve">        </w:t>
      </w:r>
      <w:r>
        <w:rPr>
          <w:rFonts w:hint="eastAsia" w:ascii="宋体" w:hAnsi="宋体"/>
          <w:color w:val="auto"/>
          <w:szCs w:val="21"/>
        </w:rPr>
        <w:t>；采购代理编号：</w:t>
      </w:r>
      <w:r>
        <w:rPr>
          <w:rFonts w:hint="eastAsia" w:ascii="宋体" w:hAnsi="宋体"/>
          <w:color w:val="auto"/>
          <w:szCs w:val="21"/>
          <w:u w:val="single"/>
        </w:rPr>
        <w:t xml:space="preserve">        </w:t>
      </w:r>
      <w:r>
        <w:rPr>
          <w:rFonts w:hint="eastAsia" w:ascii="宋体" w:hAnsi="宋体"/>
          <w:color w:val="auto"/>
          <w:szCs w:val="21"/>
        </w:rPr>
        <w:t>）</w:t>
      </w:r>
      <w:r>
        <w:rPr>
          <w:rFonts w:hint="eastAsia" w:asciiTheme="minorEastAsia" w:hAnsiTheme="minorEastAsia" w:eastAsiaTheme="minorEastAsia"/>
          <w:color w:val="auto"/>
        </w:rPr>
        <w:t xml:space="preserve">的投标，（担保人名称，以下简称“我方”）无条件地、不可撤销地保证：若投标人在投标有效期内撤销投标文件，或中标后无正当理由不与采购人订立合同，或在签订合同时向采购人提出附加条件，或不按照招标文件要求提交履约保证金，以及发生招标文件明确规定可以不予退还投标保证金的其他情形，我方承担保证责任。收到你方书面通知后，我方在7日内向你方无条件支付人民币（大写）。 </w:t>
      </w:r>
    </w:p>
    <w:p w14:paraId="33D80DCF">
      <w:pPr>
        <w:adjustRightInd w:val="0"/>
        <w:snapToGrid w:val="0"/>
        <w:spacing w:before="120" w:beforeLines="50" w:line="360" w:lineRule="auto"/>
        <w:ind w:firstLine="420" w:firstLineChars="200"/>
        <w:jc w:val="left"/>
        <w:rPr>
          <w:rFonts w:asciiTheme="minorEastAsia" w:hAnsiTheme="minorEastAsia" w:eastAsiaTheme="minorEastAsia"/>
          <w:color w:val="auto"/>
        </w:rPr>
      </w:pPr>
      <w:r>
        <w:rPr>
          <w:rFonts w:hint="eastAsia" w:asciiTheme="minorEastAsia" w:hAnsiTheme="minorEastAsia" w:eastAsiaTheme="minorEastAsia"/>
          <w:color w:val="auto"/>
        </w:rPr>
        <w:t>本保函在投标有效期内保持有效。要求我方承担保证责任的通知应在投标有效期内送达我方。</w:t>
      </w:r>
    </w:p>
    <w:p w14:paraId="029693C5">
      <w:pPr>
        <w:adjustRightInd w:val="0"/>
        <w:snapToGrid w:val="0"/>
        <w:spacing w:before="120" w:beforeLines="50" w:line="360" w:lineRule="auto"/>
        <w:ind w:firstLine="420" w:firstLineChars="200"/>
        <w:jc w:val="left"/>
        <w:rPr>
          <w:rFonts w:asciiTheme="minorEastAsia" w:hAnsiTheme="minorEastAsia" w:eastAsiaTheme="minorEastAsia"/>
          <w:color w:val="auto"/>
        </w:rPr>
      </w:pPr>
    </w:p>
    <w:p w14:paraId="65AFB0AD">
      <w:pPr>
        <w:adjustRightInd w:val="0"/>
        <w:snapToGrid w:val="0"/>
        <w:spacing w:before="120" w:beforeLines="50" w:line="360" w:lineRule="auto"/>
        <w:ind w:firstLine="420" w:firstLineChars="200"/>
        <w:jc w:val="left"/>
        <w:rPr>
          <w:rFonts w:asciiTheme="minorEastAsia" w:hAnsiTheme="minorEastAsia" w:eastAsiaTheme="minorEastAsia"/>
          <w:color w:val="auto"/>
        </w:rPr>
      </w:pPr>
      <w:r>
        <w:rPr>
          <w:rFonts w:hint="eastAsia" w:asciiTheme="minorEastAsia" w:hAnsiTheme="minorEastAsia" w:eastAsiaTheme="minorEastAsia"/>
          <w:color w:val="auto"/>
        </w:rPr>
        <w:t>担保人名称：（盖单位章）</w:t>
      </w:r>
    </w:p>
    <w:p w14:paraId="2019BAF6">
      <w:pPr>
        <w:adjustRightInd w:val="0"/>
        <w:snapToGrid w:val="0"/>
        <w:spacing w:before="120" w:beforeLines="50" w:line="360" w:lineRule="auto"/>
        <w:ind w:firstLine="420" w:firstLineChars="200"/>
        <w:jc w:val="left"/>
        <w:rPr>
          <w:rFonts w:asciiTheme="minorEastAsia" w:hAnsiTheme="minorEastAsia" w:eastAsiaTheme="minorEastAsia"/>
          <w:color w:val="auto"/>
        </w:rPr>
      </w:pPr>
      <w:r>
        <w:rPr>
          <w:rFonts w:hint="eastAsia" w:asciiTheme="minorEastAsia" w:hAnsiTheme="minorEastAsia" w:eastAsiaTheme="minorEastAsia"/>
          <w:color w:val="auto"/>
        </w:rPr>
        <w:t>法定代表人（单位负责人）或委托代理人：（签字或印章）</w:t>
      </w:r>
    </w:p>
    <w:p w14:paraId="16263F3E">
      <w:pPr>
        <w:adjustRightInd w:val="0"/>
        <w:snapToGrid w:val="0"/>
        <w:spacing w:before="120" w:beforeLines="50" w:line="360" w:lineRule="auto"/>
        <w:ind w:firstLine="420" w:firstLineChars="200"/>
        <w:jc w:val="left"/>
        <w:rPr>
          <w:rFonts w:asciiTheme="minorEastAsia" w:hAnsiTheme="minorEastAsia" w:eastAsiaTheme="minorEastAsia"/>
          <w:color w:val="auto"/>
        </w:rPr>
      </w:pPr>
      <w:r>
        <w:rPr>
          <w:rFonts w:hint="eastAsia" w:asciiTheme="minorEastAsia" w:hAnsiTheme="minorEastAsia" w:eastAsiaTheme="minorEastAsia"/>
          <w:color w:val="auto"/>
        </w:rPr>
        <w:t>地    址：</w:t>
      </w:r>
    </w:p>
    <w:p w14:paraId="5454F920">
      <w:pPr>
        <w:adjustRightInd w:val="0"/>
        <w:snapToGrid w:val="0"/>
        <w:spacing w:before="120" w:beforeLines="50" w:line="360" w:lineRule="auto"/>
        <w:ind w:firstLine="420" w:firstLineChars="200"/>
        <w:jc w:val="left"/>
        <w:rPr>
          <w:rFonts w:asciiTheme="minorEastAsia" w:hAnsiTheme="minorEastAsia" w:eastAsiaTheme="minorEastAsia"/>
          <w:color w:val="auto"/>
        </w:rPr>
      </w:pPr>
      <w:r>
        <w:rPr>
          <w:rFonts w:hint="eastAsia" w:asciiTheme="minorEastAsia" w:hAnsiTheme="minorEastAsia" w:eastAsiaTheme="minorEastAsia"/>
          <w:color w:val="auto"/>
        </w:rPr>
        <w:t>邮政编码：</w:t>
      </w:r>
    </w:p>
    <w:p w14:paraId="5AE62507">
      <w:pPr>
        <w:adjustRightInd w:val="0"/>
        <w:snapToGrid w:val="0"/>
        <w:spacing w:before="120" w:beforeLines="50" w:line="360" w:lineRule="auto"/>
        <w:ind w:firstLine="420" w:firstLineChars="200"/>
        <w:jc w:val="left"/>
        <w:rPr>
          <w:rFonts w:asciiTheme="minorEastAsia" w:hAnsiTheme="minorEastAsia" w:eastAsiaTheme="minorEastAsia"/>
          <w:color w:val="auto"/>
        </w:rPr>
      </w:pPr>
      <w:r>
        <w:rPr>
          <w:rFonts w:hint="eastAsia" w:asciiTheme="minorEastAsia" w:hAnsiTheme="minorEastAsia" w:eastAsiaTheme="minorEastAsia"/>
          <w:color w:val="auto"/>
        </w:rPr>
        <w:t>电    话：</w:t>
      </w:r>
    </w:p>
    <w:p w14:paraId="4A2766AB">
      <w:pPr>
        <w:adjustRightInd w:val="0"/>
        <w:snapToGrid w:val="0"/>
        <w:spacing w:before="120" w:beforeLines="50" w:line="360" w:lineRule="auto"/>
        <w:ind w:firstLine="420" w:firstLineChars="200"/>
        <w:jc w:val="left"/>
        <w:rPr>
          <w:rFonts w:ascii="黑体" w:eastAsia="黑体"/>
          <w:color w:val="auto"/>
          <w:sz w:val="32"/>
          <w:szCs w:val="32"/>
        </w:rPr>
      </w:pPr>
      <w:r>
        <w:rPr>
          <w:rFonts w:hint="eastAsia" w:asciiTheme="minorEastAsia" w:hAnsiTheme="minorEastAsia" w:eastAsiaTheme="minorEastAsia"/>
          <w:color w:val="auto"/>
          <w:szCs w:val="21"/>
        </w:rPr>
        <w:t>日  期：     年   月   日</w:t>
      </w:r>
      <w:r>
        <w:rPr>
          <w:rFonts w:ascii="黑体" w:eastAsia="黑体"/>
          <w:color w:val="auto"/>
          <w:sz w:val="32"/>
          <w:szCs w:val="32"/>
        </w:rPr>
        <w:br w:type="page"/>
      </w:r>
    </w:p>
    <w:p w14:paraId="649A81E4">
      <w:pPr>
        <w:pStyle w:val="4"/>
        <w:adjustRightInd w:val="0"/>
        <w:snapToGrid w:val="0"/>
        <w:spacing w:before="0" w:after="0" w:line="360" w:lineRule="auto"/>
        <w:jc w:val="center"/>
        <w:rPr>
          <w:rFonts w:ascii="黑体" w:hAnsi="黑体" w:eastAsia="黑体"/>
          <w:color w:val="auto"/>
          <w:sz w:val="28"/>
          <w:szCs w:val="28"/>
        </w:rPr>
      </w:pPr>
      <w:bookmarkStart w:id="215" w:name="_Toc7970"/>
      <w:r>
        <w:rPr>
          <w:rFonts w:hint="eastAsia" w:ascii="黑体" w:hAnsi="黑体" w:eastAsia="黑体"/>
          <w:color w:val="auto"/>
          <w:sz w:val="28"/>
          <w:szCs w:val="28"/>
        </w:rPr>
        <w:t>三、法定代表人（单位负责人）身份证明</w:t>
      </w:r>
      <w:bookmarkEnd w:id="215"/>
    </w:p>
    <w:p w14:paraId="1675E484">
      <w:pPr>
        <w:tabs>
          <w:tab w:val="left" w:pos="3880"/>
        </w:tabs>
        <w:autoSpaceDE w:val="0"/>
        <w:autoSpaceDN w:val="0"/>
        <w:adjustRightInd w:val="0"/>
        <w:snapToGrid w:val="0"/>
        <w:spacing w:line="360" w:lineRule="auto"/>
        <w:ind w:left="100" w:right="-20"/>
        <w:jc w:val="left"/>
        <w:rPr>
          <w:rFonts w:cs="微软雅黑" w:asciiTheme="minorEastAsia" w:hAnsiTheme="minorEastAsia" w:eastAsiaTheme="minorEastAsia"/>
          <w:color w:val="auto"/>
          <w:kern w:val="0"/>
          <w:position w:val="-4"/>
          <w:szCs w:val="21"/>
        </w:rPr>
      </w:pPr>
    </w:p>
    <w:p w14:paraId="43CC69E1">
      <w:pPr>
        <w:tabs>
          <w:tab w:val="left" w:pos="3880"/>
        </w:tabs>
        <w:autoSpaceDE w:val="0"/>
        <w:autoSpaceDN w:val="0"/>
        <w:adjustRightInd w:val="0"/>
        <w:snapToGrid w:val="0"/>
        <w:spacing w:line="360" w:lineRule="auto"/>
        <w:ind w:left="100" w:right="-20"/>
        <w:jc w:val="left"/>
        <w:rPr>
          <w:rFonts w:cs="微软雅黑" w:asciiTheme="minorEastAsia" w:hAnsiTheme="minorEastAsia" w:eastAsiaTheme="minorEastAsia"/>
          <w:color w:val="auto"/>
          <w:kern w:val="0"/>
          <w:szCs w:val="21"/>
        </w:rPr>
      </w:pPr>
      <w:r>
        <w:rPr>
          <w:rFonts w:hint="eastAsia" w:cs="微软雅黑" w:asciiTheme="minorEastAsia" w:hAnsiTheme="minorEastAsia" w:eastAsiaTheme="minorEastAsia"/>
          <w:color w:val="auto"/>
          <w:kern w:val="0"/>
          <w:position w:val="-4"/>
          <w:szCs w:val="21"/>
        </w:rPr>
        <w:t>投标</w:t>
      </w:r>
      <w:r>
        <w:rPr>
          <w:rFonts w:hint="eastAsia" w:cs="微软雅黑" w:asciiTheme="minorEastAsia" w:hAnsiTheme="minorEastAsia" w:eastAsiaTheme="minorEastAsia"/>
          <w:color w:val="auto"/>
          <w:spacing w:val="-2"/>
          <w:kern w:val="0"/>
          <w:position w:val="-4"/>
          <w:szCs w:val="21"/>
        </w:rPr>
        <w:t>人</w:t>
      </w:r>
      <w:r>
        <w:rPr>
          <w:rFonts w:hint="eastAsia" w:cs="微软雅黑" w:asciiTheme="minorEastAsia" w:hAnsiTheme="minorEastAsia" w:eastAsiaTheme="minorEastAsia"/>
          <w:color w:val="auto"/>
          <w:kern w:val="0"/>
          <w:position w:val="-4"/>
          <w:szCs w:val="21"/>
        </w:rPr>
        <w:t>名</w:t>
      </w:r>
      <w:r>
        <w:rPr>
          <w:rFonts w:hint="eastAsia" w:cs="微软雅黑" w:asciiTheme="minorEastAsia" w:hAnsiTheme="minorEastAsia" w:eastAsiaTheme="minorEastAsia"/>
          <w:color w:val="auto"/>
          <w:spacing w:val="-2"/>
          <w:kern w:val="0"/>
          <w:position w:val="-4"/>
          <w:szCs w:val="21"/>
        </w:rPr>
        <w:t>称</w:t>
      </w:r>
      <w:r>
        <w:rPr>
          <w:rFonts w:hint="eastAsia" w:cs="微软雅黑" w:asciiTheme="minorEastAsia" w:hAnsiTheme="minorEastAsia" w:eastAsiaTheme="minorEastAsia"/>
          <w:color w:val="auto"/>
          <w:kern w:val="0"/>
          <w:position w:val="-4"/>
          <w:szCs w:val="21"/>
        </w:rPr>
        <w:t>：</w:t>
      </w:r>
    </w:p>
    <w:p w14:paraId="1406B2FC">
      <w:pPr>
        <w:tabs>
          <w:tab w:val="left" w:pos="2400"/>
          <w:tab w:val="left" w:pos="3880"/>
          <w:tab w:val="left" w:pos="5340"/>
          <w:tab w:val="left" w:pos="6820"/>
        </w:tabs>
        <w:autoSpaceDE w:val="0"/>
        <w:autoSpaceDN w:val="0"/>
        <w:adjustRightInd w:val="0"/>
        <w:snapToGrid w:val="0"/>
        <w:spacing w:line="360" w:lineRule="auto"/>
        <w:ind w:left="100" w:right="-20"/>
        <w:jc w:val="left"/>
        <w:rPr>
          <w:rFonts w:cs="微软雅黑" w:asciiTheme="minorEastAsia" w:hAnsiTheme="minorEastAsia" w:eastAsiaTheme="minorEastAsia"/>
          <w:color w:val="auto"/>
          <w:kern w:val="0"/>
          <w:position w:val="-2"/>
          <w:szCs w:val="21"/>
        </w:rPr>
      </w:pPr>
      <w:r>
        <w:rPr>
          <w:rFonts w:hint="eastAsia" w:cs="微软雅黑" w:asciiTheme="minorEastAsia" w:hAnsiTheme="minorEastAsia" w:eastAsiaTheme="minorEastAsia"/>
          <w:color w:val="auto"/>
          <w:kern w:val="0"/>
          <w:position w:val="-2"/>
          <w:szCs w:val="21"/>
        </w:rPr>
        <w:t>统一社会信用代码：</w:t>
      </w:r>
      <w:r>
        <w:rPr>
          <w:rFonts w:hint="eastAsia" w:cs="微软雅黑" w:asciiTheme="minorEastAsia" w:hAnsiTheme="minorEastAsia" w:eastAsiaTheme="minorEastAsia"/>
          <w:color w:val="auto"/>
          <w:spacing w:val="-2"/>
          <w:kern w:val="0"/>
          <w:position w:val="-2"/>
          <w:szCs w:val="21"/>
          <w:u w:val="single"/>
        </w:rPr>
        <w:t xml:space="preserve"> </w:t>
      </w:r>
      <w:r>
        <w:rPr>
          <w:rFonts w:cs="微软雅黑" w:asciiTheme="minorEastAsia" w:hAnsiTheme="minorEastAsia" w:eastAsiaTheme="minorEastAsia"/>
          <w:color w:val="auto"/>
          <w:spacing w:val="-2"/>
          <w:kern w:val="0"/>
          <w:position w:val="-2"/>
          <w:szCs w:val="21"/>
          <w:u w:val="single"/>
        </w:rPr>
        <w:t xml:space="preserve">         </w:t>
      </w:r>
    </w:p>
    <w:p w14:paraId="600D23A5">
      <w:pPr>
        <w:tabs>
          <w:tab w:val="left" w:pos="2400"/>
          <w:tab w:val="left" w:pos="3880"/>
          <w:tab w:val="left" w:pos="5340"/>
          <w:tab w:val="left" w:pos="6820"/>
        </w:tabs>
        <w:autoSpaceDE w:val="0"/>
        <w:autoSpaceDN w:val="0"/>
        <w:adjustRightInd w:val="0"/>
        <w:snapToGrid w:val="0"/>
        <w:spacing w:line="360" w:lineRule="auto"/>
        <w:ind w:left="100" w:right="-20"/>
        <w:jc w:val="left"/>
        <w:rPr>
          <w:rFonts w:cs="微软雅黑" w:asciiTheme="minorEastAsia" w:hAnsiTheme="minorEastAsia" w:eastAsiaTheme="minorEastAsia"/>
          <w:color w:val="auto"/>
          <w:kern w:val="0"/>
          <w:position w:val="-2"/>
          <w:szCs w:val="21"/>
        </w:rPr>
      </w:pPr>
      <w:r>
        <w:rPr>
          <w:rFonts w:hint="eastAsia" w:cs="微软雅黑" w:asciiTheme="minorEastAsia" w:hAnsiTheme="minorEastAsia" w:eastAsiaTheme="minorEastAsia"/>
          <w:color w:val="auto"/>
          <w:kern w:val="0"/>
          <w:position w:val="-2"/>
          <w:szCs w:val="21"/>
        </w:rPr>
        <w:t>注册地址：</w:t>
      </w:r>
      <w:r>
        <w:rPr>
          <w:rFonts w:hint="eastAsia" w:cs="微软雅黑" w:asciiTheme="minorEastAsia" w:hAnsiTheme="minorEastAsia" w:eastAsiaTheme="minorEastAsia"/>
          <w:color w:val="auto"/>
          <w:spacing w:val="-2"/>
          <w:kern w:val="0"/>
          <w:position w:val="-2"/>
          <w:szCs w:val="21"/>
          <w:u w:val="single"/>
        </w:rPr>
        <w:t xml:space="preserve"> </w:t>
      </w:r>
      <w:r>
        <w:rPr>
          <w:rFonts w:cs="微软雅黑" w:asciiTheme="minorEastAsia" w:hAnsiTheme="minorEastAsia" w:eastAsiaTheme="minorEastAsia"/>
          <w:color w:val="auto"/>
          <w:spacing w:val="-2"/>
          <w:kern w:val="0"/>
          <w:position w:val="-2"/>
          <w:szCs w:val="21"/>
          <w:u w:val="single"/>
        </w:rPr>
        <w:t xml:space="preserve">         </w:t>
      </w:r>
    </w:p>
    <w:p w14:paraId="731D5053">
      <w:pPr>
        <w:tabs>
          <w:tab w:val="left" w:pos="2400"/>
          <w:tab w:val="left" w:pos="3880"/>
          <w:tab w:val="left" w:pos="5340"/>
          <w:tab w:val="left" w:pos="6820"/>
        </w:tabs>
        <w:autoSpaceDE w:val="0"/>
        <w:autoSpaceDN w:val="0"/>
        <w:adjustRightInd w:val="0"/>
        <w:snapToGrid w:val="0"/>
        <w:spacing w:line="360" w:lineRule="auto"/>
        <w:ind w:left="100" w:right="-20"/>
        <w:jc w:val="left"/>
        <w:rPr>
          <w:rFonts w:cs="微软雅黑" w:asciiTheme="minorEastAsia" w:hAnsiTheme="minorEastAsia" w:eastAsiaTheme="minorEastAsia"/>
          <w:color w:val="auto"/>
          <w:kern w:val="0"/>
          <w:position w:val="-2"/>
          <w:szCs w:val="21"/>
        </w:rPr>
      </w:pPr>
      <w:r>
        <w:rPr>
          <w:rFonts w:hint="eastAsia" w:cs="微软雅黑" w:asciiTheme="minorEastAsia" w:hAnsiTheme="minorEastAsia" w:eastAsiaTheme="minorEastAsia"/>
          <w:color w:val="auto"/>
          <w:kern w:val="0"/>
          <w:position w:val="-2"/>
          <w:szCs w:val="21"/>
        </w:rPr>
        <w:t>姓名</w:t>
      </w:r>
      <w:r>
        <w:rPr>
          <w:rFonts w:hint="eastAsia" w:cs="微软雅黑" w:asciiTheme="minorEastAsia" w:hAnsiTheme="minorEastAsia" w:eastAsiaTheme="minorEastAsia"/>
          <w:color w:val="auto"/>
          <w:spacing w:val="-2"/>
          <w:kern w:val="0"/>
          <w:position w:val="-2"/>
          <w:szCs w:val="21"/>
        </w:rPr>
        <w:t>：</w:t>
      </w:r>
      <w:r>
        <w:rPr>
          <w:rFonts w:hint="eastAsia" w:cs="微软雅黑" w:asciiTheme="minorEastAsia" w:hAnsiTheme="minorEastAsia" w:eastAsiaTheme="minorEastAsia"/>
          <w:color w:val="auto"/>
          <w:spacing w:val="-2"/>
          <w:kern w:val="0"/>
          <w:position w:val="-2"/>
          <w:szCs w:val="21"/>
          <w:u w:val="single"/>
        </w:rPr>
        <w:t xml:space="preserve"> </w:t>
      </w:r>
      <w:r>
        <w:rPr>
          <w:rFonts w:cs="微软雅黑" w:asciiTheme="minorEastAsia" w:hAnsiTheme="minorEastAsia" w:eastAsiaTheme="minorEastAsia"/>
          <w:color w:val="auto"/>
          <w:spacing w:val="-2"/>
          <w:kern w:val="0"/>
          <w:position w:val="-2"/>
          <w:szCs w:val="21"/>
          <w:u w:val="single"/>
        </w:rPr>
        <w:t xml:space="preserve">         </w:t>
      </w:r>
      <w:r>
        <w:rPr>
          <w:rFonts w:hint="eastAsia" w:cs="微软雅黑" w:asciiTheme="minorEastAsia" w:hAnsiTheme="minorEastAsia" w:eastAsiaTheme="minorEastAsia"/>
          <w:color w:val="auto"/>
          <w:spacing w:val="-2"/>
          <w:kern w:val="0"/>
          <w:position w:val="-2"/>
          <w:szCs w:val="21"/>
        </w:rPr>
        <w:t>；</w:t>
      </w:r>
      <w:r>
        <w:rPr>
          <w:rFonts w:hint="eastAsia" w:cs="微软雅黑" w:asciiTheme="minorEastAsia" w:hAnsiTheme="minorEastAsia" w:eastAsiaTheme="minorEastAsia"/>
          <w:color w:val="auto"/>
          <w:kern w:val="0"/>
          <w:position w:val="-2"/>
          <w:szCs w:val="21"/>
        </w:rPr>
        <w:t>性别</w:t>
      </w:r>
      <w:r>
        <w:rPr>
          <w:rFonts w:hint="eastAsia" w:cs="微软雅黑" w:asciiTheme="minorEastAsia" w:hAnsiTheme="minorEastAsia" w:eastAsiaTheme="minorEastAsia"/>
          <w:color w:val="auto"/>
          <w:spacing w:val="-2"/>
          <w:kern w:val="0"/>
          <w:position w:val="-2"/>
          <w:szCs w:val="21"/>
        </w:rPr>
        <w:t>：</w:t>
      </w:r>
      <w:r>
        <w:rPr>
          <w:rFonts w:hint="eastAsia" w:cs="微软雅黑" w:asciiTheme="minorEastAsia" w:hAnsiTheme="minorEastAsia" w:eastAsiaTheme="minorEastAsia"/>
          <w:color w:val="auto"/>
          <w:spacing w:val="-2"/>
          <w:kern w:val="0"/>
          <w:position w:val="-2"/>
          <w:szCs w:val="21"/>
          <w:u w:val="single"/>
        </w:rPr>
        <w:t xml:space="preserve"> </w:t>
      </w:r>
      <w:r>
        <w:rPr>
          <w:rFonts w:cs="微软雅黑" w:asciiTheme="minorEastAsia" w:hAnsiTheme="minorEastAsia" w:eastAsiaTheme="minorEastAsia"/>
          <w:color w:val="auto"/>
          <w:spacing w:val="-2"/>
          <w:kern w:val="0"/>
          <w:position w:val="-2"/>
          <w:szCs w:val="21"/>
          <w:u w:val="single"/>
        </w:rPr>
        <w:t xml:space="preserve">        </w:t>
      </w:r>
      <w:r>
        <w:rPr>
          <w:rFonts w:hint="eastAsia" w:cs="微软雅黑" w:asciiTheme="minorEastAsia" w:hAnsiTheme="minorEastAsia" w:eastAsiaTheme="minorEastAsia"/>
          <w:color w:val="auto"/>
          <w:spacing w:val="-2"/>
          <w:kern w:val="0"/>
          <w:position w:val="-2"/>
          <w:szCs w:val="21"/>
        </w:rPr>
        <w:t>；</w:t>
      </w:r>
      <w:r>
        <w:rPr>
          <w:rFonts w:hint="eastAsia" w:cs="微软雅黑" w:asciiTheme="minorEastAsia" w:hAnsiTheme="minorEastAsia" w:eastAsiaTheme="minorEastAsia"/>
          <w:color w:val="auto"/>
          <w:kern w:val="0"/>
          <w:position w:val="-2"/>
          <w:szCs w:val="21"/>
        </w:rPr>
        <w:t>年</w:t>
      </w:r>
      <w:r>
        <w:rPr>
          <w:rFonts w:hint="eastAsia" w:cs="微软雅黑" w:asciiTheme="minorEastAsia" w:hAnsiTheme="minorEastAsia" w:eastAsiaTheme="minorEastAsia"/>
          <w:color w:val="auto"/>
          <w:spacing w:val="-2"/>
          <w:kern w:val="0"/>
          <w:position w:val="-2"/>
          <w:szCs w:val="21"/>
        </w:rPr>
        <w:t>龄</w:t>
      </w:r>
      <w:r>
        <w:rPr>
          <w:rFonts w:hint="eastAsia" w:cs="微软雅黑" w:asciiTheme="minorEastAsia" w:hAnsiTheme="minorEastAsia" w:eastAsiaTheme="minorEastAsia"/>
          <w:color w:val="auto"/>
          <w:kern w:val="0"/>
          <w:position w:val="-2"/>
          <w:szCs w:val="21"/>
        </w:rPr>
        <w:t>：</w:t>
      </w:r>
      <w:r>
        <w:rPr>
          <w:rFonts w:hint="eastAsia" w:cs="微软雅黑" w:asciiTheme="minorEastAsia" w:hAnsiTheme="minorEastAsia" w:eastAsiaTheme="minorEastAsia"/>
          <w:color w:val="auto"/>
          <w:kern w:val="0"/>
          <w:position w:val="-2"/>
          <w:szCs w:val="21"/>
          <w:u w:val="single"/>
        </w:rPr>
        <w:t xml:space="preserve"> </w:t>
      </w:r>
      <w:r>
        <w:rPr>
          <w:rFonts w:cs="微软雅黑" w:asciiTheme="minorEastAsia" w:hAnsiTheme="minorEastAsia" w:eastAsiaTheme="minorEastAsia"/>
          <w:color w:val="auto"/>
          <w:kern w:val="0"/>
          <w:position w:val="-2"/>
          <w:szCs w:val="21"/>
          <w:u w:val="single"/>
        </w:rPr>
        <w:t xml:space="preserve">        </w:t>
      </w:r>
      <w:r>
        <w:rPr>
          <w:rFonts w:hint="eastAsia" w:cs="微软雅黑" w:asciiTheme="minorEastAsia" w:hAnsiTheme="minorEastAsia" w:eastAsiaTheme="minorEastAsia"/>
          <w:color w:val="auto"/>
          <w:kern w:val="0"/>
          <w:position w:val="-2"/>
          <w:szCs w:val="21"/>
        </w:rPr>
        <w:t>；</w:t>
      </w:r>
    </w:p>
    <w:p w14:paraId="469F62C2">
      <w:pPr>
        <w:tabs>
          <w:tab w:val="left" w:pos="2400"/>
          <w:tab w:val="left" w:pos="3880"/>
          <w:tab w:val="left" w:pos="5340"/>
          <w:tab w:val="left" w:pos="6820"/>
        </w:tabs>
        <w:autoSpaceDE w:val="0"/>
        <w:autoSpaceDN w:val="0"/>
        <w:adjustRightInd w:val="0"/>
        <w:snapToGrid w:val="0"/>
        <w:spacing w:line="360" w:lineRule="auto"/>
        <w:ind w:left="100" w:right="-20"/>
        <w:jc w:val="left"/>
        <w:rPr>
          <w:rFonts w:cs="微软雅黑" w:asciiTheme="minorEastAsia" w:hAnsiTheme="minorEastAsia" w:eastAsiaTheme="minorEastAsia"/>
          <w:color w:val="auto"/>
          <w:kern w:val="0"/>
          <w:szCs w:val="21"/>
        </w:rPr>
      </w:pPr>
      <w:r>
        <w:rPr>
          <w:rFonts w:hint="eastAsia" w:cs="微软雅黑" w:asciiTheme="minorEastAsia" w:hAnsiTheme="minorEastAsia" w:eastAsiaTheme="minorEastAsia"/>
          <w:color w:val="auto"/>
          <w:kern w:val="0"/>
          <w:position w:val="-2"/>
          <w:szCs w:val="21"/>
        </w:rPr>
        <w:t>职</w:t>
      </w:r>
      <w:r>
        <w:rPr>
          <w:rFonts w:hint="eastAsia" w:cs="微软雅黑" w:asciiTheme="minorEastAsia" w:hAnsiTheme="minorEastAsia" w:eastAsiaTheme="minorEastAsia"/>
          <w:color w:val="auto"/>
          <w:spacing w:val="-2"/>
          <w:kern w:val="0"/>
          <w:position w:val="-2"/>
          <w:szCs w:val="21"/>
        </w:rPr>
        <w:t>务</w:t>
      </w:r>
      <w:r>
        <w:rPr>
          <w:rFonts w:hint="eastAsia" w:cs="微软雅黑" w:asciiTheme="minorEastAsia" w:hAnsiTheme="minorEastAsia" w:eastAsiaTheme="minorEastAsia"/>
          <w:color w:val="auto"/>
          <w:kern w:val="0"/>
          <w:position w:val="-2"/>
          <w:szCs w:val="21"/>
        </w:rPr>
        <w:t>：系</w:t>
      </w:r>
      <w:r>
        <w:rPr>
          <w:rFonts w:hint="eastAsia" w:cs="微软雅黑" w:asciiTheme="minorEastAsia" w:hAnsiTheme="minorEastAsia" w:eastAsiaTheme="minorEastAsia"/>
          <w:color w:val="auto"/>
          <w:spacing w:val="-2"/>
          <w:kern w:val="0"/>
          <w:position w:val="-2"/>
          <w:szCs w:val="21"/>
        </w:rPr>
        <w:t>（</w:t>
      </w:r>
      <w:r>
        <w:rPr>
          <w:rFonts w:hint="eastAsia" w:cs="微软雅黑" w:asciiTheme="minorEastAsia" w:hAnsiTheme="minorEastAsia" w:eastAsiaTheme="minorEastAsia"/>
          <w:color w:val="auto"/>
          <w:kern w:val="0"/>
          <w:position w:val="-2"/>
          <w:szCs w:val="21"/>
        </w:rPr>
        <w:t>投</w:t>
      </w:r>
      <w:r>
        <w:rPr>
          <w:rFonts w:hint="eastAsia" w:cs="微软雅黑" w:asciiTheme="minorEastAsia" w:hAnsiTheme="minorEastAsia" w:eastAsiaTheme="minorEastAsia"/>
          <w:color w:val="auto"/>
          <w:spacing w:val="-2"/>
          <w:kern w:val="0"/>
          <w:position w:val="-2"/>
          <w:szCs w:val="21"/>
        </w:rPr>
        <w:t>标</w:t>
      </w:r>
      <w:r>
        <w:rPr>
          <w:rFonts w:hint="eastAsia" w:cs="微软雅黑" w:asciiTheme="minorEastAsia" w:hAnsiTheme="minorEastAsia" w:eastAsiaTheme="minorEastAsia"/>
          <w:color w:val="auto"/>
          <w:kern w:val="0"/>
          <w:position w:val="-2"/>
          <w:szCs w:val="21"/>
        </w:rPr>
        <w:t>人</w:t>
      </w:r>
      <w:r>
        <w:rPr>
          <w:rFonts w:hint="eastAsia" w:cs="微软雅黑" w:asciiTheme="minorEastAsia" w:hAnsiTheme="minorEastAsia" w:eastAsiaTheme="minorEastAsia"/>
          <w:color w:val="auto"/>
          <w:spacing w:val="-2"/>
          <w:kern w:val="0"/>
          <w:position w:val="-2"/>
          <w:szCs w:val="21"/>
        </w:rPr>
        <w:t>名</w:t>
      </w:r>
      <w:r>
        <w:rPr>
          <w:rFonts w:hint="eastAsia" w:cs="微软雅黑" w:asciiTheme="minorEastAsia" w:hAnsiTheme="minorEastAsia" w:eastAsiaTheme="minorEastAsia"/>
          <w:color w:val="auto"/>
          <w:kern w:val="0"/>
          <w:position w:val="-2"/>
          <w:szCs w:val="21"/>
        </w:rPr>
        <w:t>称：</w:t>
      </w:r>
      <w:r>
        <w:rPr>
          <w:rFonts w:hint="eastAsia" w:cs="微软雅黑" w:asciiTheme="minorEastAsia" w:hAnsiTheme="minorEastAsia" w:eastAsiaTheme="minorEastAsia"/>
          <w:color w:val="auto"/>
          <w:kern w:val="0"/>
          <w:position w:val="-2"/>
          <w:szCs w:val="21"/>
          <w:u w:val="single"/>
        </w:rPr>
        <w:t xml:space="preserve">        </w:t>
      </w:r>
      <w:r>
        <w:rPr>
          <w:rFonts w:hint="eastAsia" w:cs="微软雅黑" w:asciiTheme="minorEastAsia" w:hAnsiTheme="minorEastAsia" w:eastAsiaTheme="minorEastAsia"/>
          <w:color w:val="auto"/>
          <w:spacing w:val="-2"/>
          <w:kern w:val="0"/>
          <w:position w:val="-2"/>
          <w:szCs w:val="21"/>
        </w:rPr>
        <w:t>）</w:t>
      </w:r>
      <w:r>
        <w:rPr>
          <w:rFonts w:hint="eastAsia" w:cs="微软雅黑" w:asciiTheme="minorEastAsia" w:hAnsiTheme="minorEastAsia" w:eastAsiaTheme="minorEastAsia"/>
          <w:color w:val="auto"/>
          <w:kern w:val="0"/>
          <w:position w:val="-2"/>
          <w:szCs w:val="21"/>
        </w:rPr>
        <w:t>的</w:t>
      </w:r>
      <w:r>
        <w:rPr>
          <w:rFonts w:hint="eastAsia" w:cs="微软雅黑" w:asciiTheme="minorEastAsia" w:hAnsiTheme="minorEastAsia" w:eastAsiaTheme="minorEastAsia"/>
          <w:color w:val="auto"/>
          <w:spacing w:val="-2"/>
          <w:kern w:val="0"/>
          <w:position w:val="-2"/>
          <w:szCs w:val="21"/>
        </w:rPr>
        <w:t>法定</w:t>
      </w:r>
      <w:r>
        <w:rPr>
          <w:rFonts w:hint="eastAsia" w:cs="微软雅黑" w:asciiTheme="minorEastAsia" w:hAnsiTheme="minorEastAsia" w:eastAsiaTheme="minorEastAsia"/>
          <w:color w:val="auto"/>
          <w:kern w:val="0"/>
          <w:position w:val="-2"/>
          <w:szCs w:val="21"/>
        </w:rPr>
        <w:t>代表</w:t>
      </w:r>
      <w:r>
        <w:rPr>
          <w:rFonts w:hint="eastAsia" w:cs="微软雅黑" w:asciiTheme="minorEastAsia" w:hAnsiTheme="minorEastAsia" w:eastAsiaTheme="minorEastAsia"/>
          <w:color w:val="auto"/>
          <w:spacing w:val="-2"/>
          <w:kern w:val="0"/>
          <w:position w:val="-2"/>
          <w:szCs w:val="21"/>
        </w:rPr>
        <w:t>人</w:t>
      </w:r>
      <w:r>
        <w:rPr>
          <w:rFonts w:hint="eastAsia" w:cs="微软雅黑" w:asciiTheme="minorEastAsia" w:hAnsiTheme="minorEastAsia" w:eastAsiaTheme="minorEastAsia"/>
          <w:color w:val="auto"/>
          <w:kern w:val="0"/>
          <w:position w:val="-2"/>
          <w:szCs w:val="21"/>
        </w:rPr>
        <w:t>（</w:t>
      </w:r>
      <w:r>
        <w:rPr>
          <w:rFonts w:hint="eastAsia" w:cs="微软雅黑" w:asciiTheme="minorEastAsia" w:hAnsiTheme="minorEastAsia" w:eastAsiaTheme="minorEastAsia"/>
          <w:color w:val="auto"/>
          <w:spacing w:val="-2"/>
          <w:kern w:val="0"/>
          <w:position w:val="-2"/>
          <w:szCs w:val="21"/>
        </w:rPr>
        <w:t>单</w:t>
      </w:r>
      <w:r>
        <w:rPr>
          <w:rFonts w:hint="eastAsia" w:cs="微软雅黑" w:asciiTheme="minorEastAsia" w:hAnsiTheme="minorEastAsia" w:eastAsiaTheme="minorEastAsia"/>
          <w:color w:val="auto"/>
          <w:kern w:val="0"/>
          <w:position w:val="-2"/>
          <w:szCs w:val="21"/>
        </w:rPr>
        <w:t>位</w:t>
      </w:r>
      <w:r>
        <w:rPr>
          <w:rFonts w:hint="eastAsia" w:cs="微软雅黑" w:asciiTheme="minorEastAsia" w:hAnsiTheme="minorEastAsia" w:eastAsiaTheme="minorEastAsia"/>
          <w:color w:val="auto"/>
          <w:spacing w:val="-2"/>
          <w:kern w:val="0"/>
          <w:position w:val="-2"/>
          <w:szCs w:val="21"/>
        </w:rPr>
        <w:t>负</w:t>
      </w:r>
      <w:r>
        <w:rPr>
          <w:rFonts w:hint="eastAsia" w:cs="微软雅黑" w:asciiTheme="minorEastAsia" w:hAnsiTheme="minorEastAsia" w:eastAsiaTheme="minorEastAsia"/>
          <w:color w:val="auto"/>
          <w:kern w:val="0"/>
          <w:position w:val="-2"/>
          <w:szCs w:val="21"/>
        </w:rPr>
        <w:t>责</w:t>
      </w:r>
      <w:r>
        <w:rPr>
          <w:rFonts w:hint="eastAsia" w:cs="微软雅黑" w:asciiTheme="minorEastAsia" w:hAnsiTheme="minorEastAsia" w:eastAsiaTheme="minorEastAsia"/>
          <w:color w:val="auto"/>
          <w:spacing w:val="-2"/>
          <w:kern w:val="0"/>
          <w:position w:val="-2"/>
          <w:szCs w:val="21"/>
        </w:rPr>
        <w:t>人</w:t>
      </w:r>
      <w:r>
        <w:rPr>
          <w:rFonts w:hint="eastAsia" w:cs="微软雅黑" w:asciiTheme="minorEastAsia" w:hAnsiTheme="minorEastAsia" w:eastAsiaTheme="minorEastAsia"/>
          <w:color w:val="auto"/>
          <w:spacing w:val="-106"/>
          <w:kern w:val="0"/>
          <w:position w:val="-2"/>
          <w:szCs w:val="21"/>
        </w:rPr>
        <w:t>）</w:t>
      </w:r>
      <w:r>
        <w:rPr>
          <w:rFonts w:hint="eastAsia" w:cs="微软雅黑" w:asciiTheme="minorEastAsia" w:hAnsiTheme="minorEastAsia" w:eastAsiaTheme="minorEastAsia"/>
          <w:color w:val="auto"/>
          <w:kern w:val="0"/>
          <w:position w:val="-2"/>
          <w:szCs w:val="21"/>
        </w:rPr>
        <w:t>。</w:t>
      </w:r>
    </w:p>
    <w:p w14:paraId="6B9C87D0">
      <w:pPr>
        <w:autoSpaceDE w:val="0"/>
        <w:autoSpaceDN w:val="0"/>
        <w:adjustRightInd w:val="0"/>
        <w:snapToGrid w:val="0"/>
        <w:spacing w:line="360" w:lineRule="auto"/>
        <w:ind w:left="520" w:right="-20"/>
        <w:jc w:val="left"/>
        <w:rPr>
          <w:rFonts w:cs="微软雅黑" w:asciiTheme="minorEastAsia" w:hAnsiTheme="minorEastAsia" w:eastAsiaTheme="minorEastAsia"/>
          <w:color w:val="auto"/>
          <w:kern w:val="0"/>
          <w:szCs w:val="21"/>
        </w:rPr>
      </w:pPr>
      <w:r>
        <w:rPr>
          <w:rFonts w:hint="eastAsia" w:cs="微软雅黑" w:asciiTheme="minorEastAsia" w:hAnsiTheme="minorEastAsia" w:eastAsiaTheme="minorEastAsia"/>
          <w:color w:val="auto"/>
          <w:kern w:val="0"/>
          <w:szCs w:val="21"/>
        </w:rPr>
        <w:t>特此</w:t>
      </w:r>
      <w:r>
        <w:rPr>
          <w:rFonts w:hint="eastAsia" w:cs="微软雅黑" w:asciiTheme="minorEastAsia" w:hAnsiTheme="minorEastAsia" w:eastAsiaTheme="minorEastAsia"/>
          <w:color w:val="auto"/>
          <w:spacing w:val="-2"/>
          <w:kern w:val="0"/>
          <w:szCs w:val="21"/>
        </w:rPr>
        <w:t>证</w:t>
      </w:r>
      <w:r>
        <w:rPr>
          <w:rFonts w:hint="eastAsia" w:cs="微软雅黑" w:asciiTheme="minorEastAsia" w:hAnsiTheme="minorEastAsia" w:eastAsiaTheme="minorEastAsia"/>
          <w:color w:val="auto"/>
          <w:kern w:val="0"/>
          <w:szCs w:val="21"/>
        </w:rPr>
        <w:t>明。</w:t>
      </w:r>
    </w:p>
    <w:p w14:paraId="6F132082">
      <w:pPr>
        <w:autoSpaceDE w:val="0"/>
        <w:autoSpaceDN w:val="0"/>
        <w:adjustRightInd w:val="0"/>
        <w:snapToGrid w:val="0"/>
        <w:spacing w:line="360" w:lineRule="auto"/>
        <w:ind w:left="100" w:right="4231"/>
        <w:jc w:val="left"/>
        <w:rPr>
          <w:rFonts w:cs="微软雅黑" w:asciiTheme="minorEastAsia" w:hAnsiTheme="minorEastAsia" w:eastAsiaTheme="minorEastAsia"/>
          <w:color w:val="auto"/>
          <w:kern w:val="0"/>
          <w:szCs w:val="21"/>
        </w:rPr>
      </w:pPr>
      <w:r>
        <w:rPr>
          <w:rFonts w:hint="eastAsia" w:cs="微软雅黑" w:asciiTheme="minorEastAsia" w:hAnsiTheme="minorEastAsia" w:eastAsiaTheme="minorEastAsia"/>
          <w:color w:val="auto"/>
          <w:kern w:val="0"/>
          <w:szCs w:val="21"/>
        </w:rPr>
        <w:t>附：</w:t>
      </w:r>
      <w:r>
        <w:rPr>
          <w:rFonts w:hint="eastAsia" w:cs="微软雅黑" w:asciiTheme="minorEastAsia" w:hAnsiTheme="minorEastAsia" w:eastAsiaTheme="minorEastAsia"/>
          <w:color w:val="auto"/>
          <w:spacing w:val="-2"/>
          <w:kern w:val="0"/>
          <w:szCs w:val="21"/>
        </w:rPr>
        <w:t>法</w:t>
      </w:r>
      <w:r>
        <w:rPr>
          <w:rFonts w:hint="eastAsia" w:cs="微软雅黑" w:asciiTheme="minorEastAsia" w:hAnsiTheme="minorEastAsia" w:eastAsiaTheme="minorEastAsia"/>
          <w:color w:val="auto"/>
          <w:kern w:val="0"/>
          <w:szCs w:val="21"/>
        </w:rPr>
        <w:t>定</w:t>
      </w:r>
      <w:r>
        <w:rPr>
          <w:rFonts w:hint="eastAsia" w:cs="微软雅黑" w:asciiTheme="minorEastAsia" w:hAnsiTheme="minorEastAsia" w:eastAsiaTheme="minorEastAsia"/>
          <w:color w:val="auto"/>
          <w:spacing w:val="-2"/>
          <w:kern w:val="0"/>
          <w:szCs w:val="21"/>
        </w:rPr>
        <w:t>代</w:t>
      </w:r>
      <w:r>
        <w:rPr>
          <w:rFonts w:hint="eastAsia" w:cs="微软雅黑" w:asciiTheme="minorEastAsia" w:hAnsiTheme="minorEastAsia" w:eastAsiaTheme="minorEastAsia"/>
          <w:color w:val="auto"/>
          <w:kern w:val="0"/>
          <w:szCs w:val="21"/>
        </w:rPr>
        <w:t>表</w:t>
      </w:r>
      <w:r>
        <w:rPr>
          <w:rFonts w:hint="eastAsia" w:cs="微软雅黑" w:asciiTheme="minorEastAsia" w:hAnsiTheme="minorEastAsia" w:eastAsiaTheme="minorEastAsia"/>
          <w:color w:val="auto"/>
          <w:spacing w:val="-2"/>
          <w:kern w:val="0"/>
          <w:szCs w:val="21"/>
        </w:rPr>
        <w:t>人</w:t>
      </w:r>
      <w:r>
        <w:rPr>
          <w:rFonts w:hint="eastAsia" w:cs="微软雅黑" w:asciiTheme="minorEastAsia" w:hAnsiTheme="minorEastAsia" w:eastAsiaTheme="minorEastAsia"/>
          <w:color w:val="auto"/>
          <w:kern w:val="0"/>
          <w:szCs w:val="21"/>
        </w:rPr>
        <w:t>（</w:t>
      </w:r>
      <w:r>
        <w:rPr>
          <w:rFonts w:hint="eastAsia" w:cs="微软雅黑" w:asciiTheme="minorEastAsia" w:hAnsiTheme="minorEastAsia" w:eastAsiaTheme="minorEastAsia"/>
          <w:color w:val="auto"/>
          <w:spacing w:val="-2"/>
          <w:kern w:val="0"/>
          <w:szCs w:val="21"/>
        </w:rPr>
        <w:t>单</w:t>
      </w:r>
      <w:r>
        <w:rPr>
          <w:rFonts w:hint="eastAsia" w:cs="微软雅黑" w:asciiTheme="minorEastAsia" w:hAnsiTheme="minorEastAsia" w:eastAsiaTheme="minorEastAsia"/>
          <w:color w:val="auto"/>
          <w:kern w:val="0"/>
          <w:szCs w:val="21"/>
        </w:rPr>
        <w:t>位</w:t>
      </w:r>
      <w:r>
        <w:rPr>
          <w:rFonts w:hint="eastAsia" w:cs="微软雅黑" w:asciiTheme="minorEastAsia" w:hAnsiTheme="minorEastAsia" w:eastAsiaTheme="minorEastAsia"/>
          <w:color w:val="auto"/>
          <w:spacing w:val="-2"/>
          <w:kern w:val="0"/>
          <w:szCs w:val="21"/>
        </w:rPr>
        <w:t>负</w:t>
      </w:r>
      <w:r>
        <w:rPr>
          <w:rFonts w:hint="eastAsia" w:cs="微软雅黑" w:asciiTheme="minorEastAsia" w:hAnsiTheme="minorEastAsia" w:eastAsiaTheme="minorEastAsia"/>
          <w:color w:val="auto"/>
          <w:kern w:val="0"/>
          <w:szCs w:val="21"/>
        </w:rPr>
        <w:t>责人</w:t>
      </w:r>
      <w:r>
        <w:rPr>
          <w:rFonts w:hint="eastAsia" w:cs="微软雅黑" w:asciiTheme="minorEastAsia" w:hAnsiTheme="minorEastAsia" w:eastAsiaTheme="minorEastAsia"/>
          <w:color w:val="auto"/>
          <w:spacing w:val="-2"/>
          <w:kern w:val="0"/>
          <w:szCs w:val="21"/>
        </w:rPr>
        <w:t>）</w:t>
      </w:r>
      <w:r>
        <w:rPr>
          <w:rFonts w:hint="eastAsia" w:cs="微软雅黑" w:asciiTheme="minorEastAsia" w:hAnsiTheme="minorEastAsia" w:eastAsiaTheme="minorEastAsia"/>
          <w:color w:val="auto"/>
          <w:kern w:val="0"/>
          <w:szCs w:val="21"/>
        </w:rPr>
        <w:t>身</w:t>
      </w:r>
      <w:r>
        <w:rPr>
          <w:rFonts w:hint="eastAsia" w:cs="微软雅黑" w:asciiTheme="minorEastAsia" w:hAnsiTheme="minorEastAsia" w:eastAsiaTheme="minorEastAsia"/>
          <w:color w:val="auto"/>
          <w:spacing w:val="-2"/>
          <w:kern w:val="0"/>
          <w:szCs w:val="21"/>
        </w:rPr>
        <w:t>份</w:t>
      </w:r>
      <w:r>
        <w:rPr>
          <w:rFonts w:hint="eastAsia" w:cs="微软雅黑" w:asciiTheme="minorEastAsia" w:hAnsiTheme="minorEastAsia" w:eastAsiaTheme="minorEastAsia"/>
          <w:color w:val="auto"/>
          <w:kern w:val="0"/>
          <w:szCs w:val="21"/>
        </w:rPr>
        <w:t>证</w:t>
      </w:r>
      <w:r>
        <w:rPr>
          <w:rFonts w:hint="eastAsia" w:cs="微软雅黑" w:asciiTheme="minorEastAsia" w:hAnsiTheme="minorEastAsia" w:eastAsiaTheme="minorEastAsia"/>
          <w:color w:val="auto"/>
          <w:spacing w:val="-2"/>
          <w:kern w:val="0"/>
          <w:szCs w:val="21"/>
        </w:rPr>
        <w:t>复</w:t>
      </w:r>
      <w:r>
        <w:rPr>
          <w:rFonts w:hint="eastAsia" w:cs="微软雅黑" w:asciiTheme="minorEastAsia" w:hAnsiTheme="minorEastAsia" w:eastAsiaTheme="minorEastAsia"/>
          <w:color w:val="auto"/>
          <w:kern w:val="0"/>
          <w:szCs w:val="21"/>
        </w:rPr>
        <w:t>印</w:t>
      </w:r>
      <w:r>
        <w:rPr>
          <w:rFonts w:hint="eastAsia" w:cs="微软雅黑" w:asciiTheme="minorEastAsia" w:hAnsiTheme="minorEastAsia" w:eastAsiaTheme="minorEastAsia"/>
          <w:color w:val="auto"/>
          <w:spacing w:val="-2"/>
          <w:kern w:val="0"/>
          <w:szCs w:val="21"/>
        </w:rPr>
        <w:t>件</w:t>
      </w:r>
      <w:r>
        <w:rPr>
          <w:rFonts w:hint="eastAsia" w:cs="微软雅黑" w:asciiTheme="minorEastAsia" w:hAnsiTheme="minorEastAsia" w:eastAsiaTheme="minorEastAsia"/>
          <w:color w:val="auto"/>
          <w:kern w:val="0"/>
          <w:szCs w:val="21"/>
        </w:rPr>
        <w:t>。</w:t>
      </w:r>
    </w:p>
    <w:tbl>
      <w:tblPr>
        <w:tblStyle w:val="4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439"/>
        <w:gridCol w:w="4440"/>
      </w:tblGrid>
      <w:tr w14:paraId="60E914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6" w:hRule="atLeast"/>
        </w:trPr>
        <w:tc>
          <w:tcPr>
            <w:tcW w:w="2500" w:type="pct"/>
            <w:vAlign w:val="center"/>
          </w:tcPr>
          <w:p w14:paraId="4BD3156F">
            <w:pPr>
              <w:adjustRightInd w:val="0"/>
              <w:snapToGrid w:val="0"/>
              <w:spacing w:line="360" w:lineRule="auto"/>
              <w:jc w:val="center"/>
              <w:rPr>
                <w:rFonts w:ascii="宋体" w:hAnsi="宋体"/>
                <w:color w:val="auto"/>
                <w:szCs w:val="21"/>
              </w:rPr>
            </w:pPr>
            <w:r>
              <w:rPr>
                <w:rFonts w:hint="eastAsia" w:ascii="宋体" w:hAnsi="宋体"/>
                <w:color w:val="auto"/>
                <w:szCs w:val="21"/>
              </w:rPr>
              <w:t>身份证（正面）</w:t>
            </w:r>
            <w:r>
              <w:rPr>
                <w:rFonts w:hint="eastAsia" w:cs="微软雅黑" w:asciiTheme="minorEastAsia" w:hAnsiTheme="minorEastAsia" w:eastAsiaTheme="minorEastAsia"/>
                <w:color w:val="auto"/>
                <w:spacing w:val="-2"/>
                <w:kern w:val="0"/>
                <w:szCs w:val="21"/>
              </w:rPr>
              <w:t>复</w:t>
            </w:r>
            <w:r>
              <w:rPr>
                <w:rFonts w:hint="eastAsia" w:cs="微软雅黑" w:asciiTheme="minorEastAsia" w:hAnsiTheme="minorEastAsia" w:eastAsiaTheme="minorEastAsia"/>
                <w:color w:val="auto"/>
                <w:kern w:val="0"/>
                <w:szCs w:val="21"/>
              </w:rPr>
              <w:t>印</w:t>
            </w:r>
            <w:r>
              <w:rPr>
                <w:rFonts w:hint="eastAsia" w:cs="微软雅黑" w:asciiTheme="minorEastAsia" w:hAnsiTheme="minorEastAsia" w:eastAsiaTheme="minorEastAsia"/>
                <w:color w:val="auto"/>
                <w:spacing w:val="-2"/>
                <w:kern w:val="0"/>
                <w:szCs w:val="21"/>
              </w:rPr>
              <w:t>件</w:t>
            </w:r>
          </w:p>
        </w:tc>
        <w:tc>
          <w:tcPr>
            <w:tcW w:w="2500" w:type="pct"/>
            <w:vAlign w:val="center"/>
          </w:tcPr>
          <w:p w14:paraId="7BEA270D">
            <w:pPr>
              <w:adjustRightInd w:val="0"/>
              <w:snapToGrid w:val="0"/>
              <w:spacing w:line="360" w:lineRule="auto"/>
              <w:jc w:val="center"/>
              <w:rPr>
                <w:rFonts w:ascii="宋体" w:hAnsi="宋体"/>
                <w:color w:val="auto"/>
                <w:szCs w:val="21"/>
              </w:rPr>
            </w:pPr>
            <w:r>
              <w:rPr>
                <w:rFonts w:hint="eastAsia" w:ascii="宋体" w:hAnsi="宋体"/>
                <w:color w:val="auto"/>
                <w:szCs w:val="21"/>
              </w:rPr>
              <w:t>身份证（反面）</w:t>
            </w:r>
            <w:r>
              <w:rPr>
                <w:rFonts w:hint="eastAsia" w:cs="微软雅黑" w:asciiTheme="minorEastAsia" w:hAnsiTheme="minorEastAsia" w:eastAsiaTheme="minorEastAsia"/>
                <w:color w:val="auto"/>
                <w:spacing w:val="-2"/>
                <w:kern w:val="0"/>
                <w:szCs w:val="21"/>
              </w:rPr>
              <w:t>复</w:t>
            </w:r>
            <w:r>
              <w:rPr>
                <w:rFonts w:hint="eastAsia" w:cs="微软雅黑" w:asciiTheme="minorEastAsia" w:hAnsiTheme="minorEastAsia" w:eastAsiaTheme="minorEastAsia"/>
                <w:color w:val="auto"/>
                <w:kern w:val="0"/>
                <w:szCs w:val="21"/>
              </w:rPr>
              <w:t>印</w:t>
            </w:r>
            <w:r>
              <w:rPr>
                <w:rFonts w:hint="eastAsia" w:cs="微软雅黑" w:asciiTheme="minorEastAsia" w:hAnsiTheme="minorEastAsia" w:eastAsiaTheme="minorEastAsia"/>
                <w:color w:val="auto"/>
                <w:spacing w:val="-2"/>
                <w:kern w:val="0"/>
                <w:szCs w:val="21"/>
              </w:rPr>
              <w:t>件</w:t>
            </w:r>
          </w:p>
        </w:tc>
      </w:tr>
    </w:tbl>
    <w:p w14:paraId="68D20E91">
      <w:pPr>
        <w:adjustRightInd w:val="0"/>
        <w:snapToGrid w:val="0"/>
        <w:spacing w:line="360" w:lineRule="auto"/>
        <w:rPr>
          <w:rFonts w:ascii="宋体" w:hAnsi="宋体"/>
          <w:color w:val="auto"/>
          <w:szCs w:val="21"/>
        </w:rPr>
      </w:pPr>
    </w:p>
    <w:p w14:paraId="5D85B7ED">
      <w:pPr>
        <w:adjustRightInd w:val="0"/>
        <w:snapToGrid w:val="0"/>
        <w:spacing w:line="360" w:lineRule="auto"/>
        <w:rPr>
          <w:rFonts w:ascii="宋体" w:hAnsi="宋体"/>
          <w:color w:val="auto"/>
          <w:szCs w:val="21"/>
        </w:rPr>
      </w:pPr>
    </w:p>
    <w:p w14:paraId="6DEDE479">
      <w:pPr>
        <w:adjustRightInd w:val="0"/>
        <w:snapToGrid w:val="0"/>
        <w:spacing w:line="360" w:lineRule="auto"/>
        <w:rPr>
          <w:rFonts w:ascii="宋体" w:hAnsi="宋体"/>
          <w:color w:val="auto"/>
          <w:szCs w:val="21"/>
        </w:rPr>
      </w:pPr>
      <w:r>
        <w:rPr>
          <w:rFonts w:hint="eastAsia" w:ascii="宋体" w:hAnsi="宋体"/>
          <w:color w:val="auto"/>
          <w:szCs w:val="21"/>
        </w:rPr>
        <w:t>投标人名称（盖单位章）：</w:t>
      </w:r>
    </w:p>
    <w:p w14:paraId="5A62ECF1">
      <w:pPr>
        <w:adjustRightInd w:val="0"/>
        <w:snapToGrid w:val="0"/>
        <w:spacing w:line="360" w:lineRule="auto"/>
        <w:rPr>
          <w:color w:val="auto"/>
        </w:rPr>
      </w:pPr>
      <w:r>
        <w:rPr>
          <w:rFonts w:hint="eastAsia" w:asciiTheme="minorEastAsia" w:hAnsiTheme="minorEastAsia" w:eastAsiaTheme="minorEastAsia"/>
          <w:color w:val="auto"/>
          <w:szCs w:val="21"/>
        </w:rPr>
        <w:t>日  期：     年   月   日</w:t>
      </w:r>
    </w:p>
    <w:p w14:paraId="2028C47A">
      <w:pPr>
        <w:widowControl/>
        <w:jc w:val="left"/>
        <w:rPr>
          <w:color w:val="auto"/>
        </w:rPr>
      </w:pPr>
      <w:r>
        <w:rPr>
          <w:color w:val="auto"/>
        </w:rPr>
        <w:br w:type="page"/>
      </w:r>
    </w:p>
    <w:p w14:paraId="57063783">
      <w:pPr>
        <w:pStyle w:val="4"/>
        <w:adjustRightInd w:val="0"/>
        <w:snapToGrid w:val="0"/>
        <w:spacing w:before="0" w:after="0" w:line="360" w:lineRule="auto"/>
        <w:jc w:val="center"/>
        <w:rPr>
          <w:rFonts w:ascii="黑体" w:hAnsi="宋体" w:eastAsia="黑体"/>
          <w:color w:val="auto"/>
          <w:sz w:val="28"/>
          <w:szCs w:val="28"/>
        </w:rPr>
      </w:pPr>
      <w:bookmarkStart w:id="216" w:name="_Toc425"/>
      <w:r>
        <w:rPr>
          <w:rFonts w:hint="eastAsia" w:ascii="黑体" w:hAnsi="宋体" w:eastAsia="黑体"/>
          <w:color w:val="auto"/>
          <w:sz w:val="28"/>
          <w:szCs w:val="28"/>
        </w:rPr>
        <w:t>三、授权委托书</w:t>
      </w:r>
      <w:bookmarkEnd w:id="216"/>
    </w:p>
    <w:p w14:paraId="248C8976">
      <w:pPr>
        <w:autoSpaceDE w:val="0"/>
        <w:autoSpaceDN w:val="0"/>
        <w:adjustRightInd w:val="0"/>
        <w:snapToGrid w:val="0"/>
        <w:spacing w:line="360" w:lineRule="auto"/>
        <w:ind w:firstLine="446" w:firstLineChars="200"/>
        <w:jc w:val="left"/>
        <w:rPr>
          <w:rFonts w:ascii="宋体" w:hAnsi="宋体"/>
          <w:b/>
          <w:color w:val="auto"/>
          <w:spacing w:val="6"/>
          <w:szCs w:val="21"/>
        </w:rPr>
      </w:pPr>
    </w:p>
    <w:p w14:paraId="3E824AC9">
      <w:pPr>
        <w:autoSpaceDE w:val="0"/>
        <w:autoSpaceDN w:val="0"/>
        <w:adjustRightInd w:val="0"/>
        <w:snapToGrid w:val="0"/>
        <w:spacing w:line="360" w:lineRule="auto"/>
        <w:ind w:firstLine="420" w:firstLineChars="200"/>
        <w:jc w:val="left"/>
        <w:rPr>
          <w:rFonts w:ascii="宋体" w:hAnsi="宋体" w:cs="宋体"/>
          <w:color w:val="auto"/>
          <w:kern w:val="0"/>
          <w:szCs w:val="21"/>
        </w:rPr>
      </w:pPr>
    </w:p>
    <w:p w14:paraId="277BCF79">
      <w:pPr>
        <w:autoSpaceDE w:val="0"/>
        <w:autoSpaceDN w:val="0"/>
        <w:adjustRightInd w:val="0"/>
        <w:snapToGrid w:val="0"/>
        <w:spacing w:line="360" w:lineRule="auto"/>
        <w:ind w:firstLine="420" w:firstLineChars="200"/>
        <w:jc w:val="left"/>
        <w:rPr>
          <w:rFonts w:ascii="宋体" w:hAnsi="宋体" w:cs="宋体"/>
          <w:color w:val="auto"/>
          <w:kern w:val="0"/>
          <w:szCs w:val="21"/>
        </w:rPr>
      </w:pPr>
      <w:r>
        <w:rPr>
          <w:rFonts w:hint="eastAsia" w:ascii="宋体" w:hAnsi="宋体" w:cs="宋体"/>
          <w:color w:val="auto"/>
          <w:kern w:val="0"/>
          <w:szCs w:val="21"/>
        </w:rPr>
        <w:t>本人（姓名、职务）系（</w:t>
      </w:r>
      <w:r>
        <w:rPr>
          <w:rFonts w:hint="eastAsia" w:ascii="宋体" w:hAnsi="宋体"/>
          <w:color w:val="auto"/>
          <w:szCs w:val="21"/>
        </w:rPr>
        <w:t>投标人</w:t>
      </w:r>
      <w:r>
        <w:rPr>
          <w:rFonts w:hint="eastAsia" w:ascii="宋体" w:hAnsi="宋体" w:cs="宋体"/>
          <w:color w:val="auto"/>
          <w:kern w:val="0"/>
          <w:szCs w:val="21"/>
        </w:rPr>
        <w:t>名称）的法定代表人</w:t>
      </w:r>
      <w:r>
        <w:rPr>
          <w:rFonts w:hint="eastAsia" w:cs="微软雅黑" w:asciiTheme="minorEastAsia" w:hAnsiTheme="minorEastAsia" w:eastAsiaTheme="minorEastAsia"/>
          <w:color w:val="auto"/>
          <w:kern w:val="0"/>
          <w:szCs w:val="21"/>
        </w:rPr>
        <w:t>（</w:t>
      </w:r>
      <w:r>
        <w:rPr>
          <w:rFonts w:hint="eastAsia" w:cs="微软雅黑" w:asciiTheme="minorEastAsia" w:hAnsiTheme="minorEastAsia" w:eastAsiaTheme="minorEastAsia"/>
          <w:color w:val="auto"/>
          <w:spacing w:val="-2"/>
          <w:kern w:val="0"/>
          <w:szCs w:val="21"/>
        </w:rPr>
        <w:t>单</w:t>
      </w:r>
      <w:r>
        <w:rPr>
          <w:rFonts w:hint="eastAsia" w:cs="微软雅黑" w:asciiTheme="minorEastAsia" w:hAnsiTheme="minorEastAsia" w:eastAsiaTheme="minorEastAsia"/>
          <w:color w:val="auto"/>
          <w:kern w:val="0"/>
          <w:szCs w:val="21"/>
        </w:rPr>
        <w:t>位</w:t>
      </w:r>
      <w:r>
        <w:rPr>
          <w:rFonts w:hint="eastAsia" w:cs="微软雅黑" w:asciiTheme="minorEastAsia" w:hAnsiTheme="minorEastAsia" w:eastAsiaTheme="minorEastAsia"/>
          <w:color w:val="auto"/>
          <w:spacing w:val="-2"/>
          <w:kern w:val="0"/>
          <w:szCs w:val="21"/>
        </w:rPr>
        <w:t>负</w:t>
      </w:r>
      <w:r>
        <w:rPr>
          <w:rFonts w:hint="eastAsia" w:cs="微软雅黑" w:asciiTheme="minorEastAsia" w:hAnsiTheme="minorEastAsia" w:eastAsiaTheme="minorEastAsia"/>
          <w:color w:val="auto"/>
          <w:kern w:val="0"/>
          <w:szCs w:val="21"/>
        </w:rPr>
        <w:t>责人</w:t>
      </w:r>
      <w:r>
        <w:rPr>
          <w:rFonts w:hint="eastAsia" w:cs="微软雅黑" w:asciiTheme="minorEastAsia" w:hAnsiTheme="minorEastAsia" w:eastAsiaTheme="minorEastAsia"/>
          <w:color w:val="auto"/>
          <w:spacing w:val="-2"/>
          <w:kern w:val="0"/>
          <w:szCs w:val="21"/>
        </w:rPr>
        <w:t>）</w:t>
      </w:r>
      <w:r>
        <w:rPr>
          <w:rFonts w:hint="eastAsia" w:ascii="宋体" w:hAnsi="宋体" w:cs="宋体"/>
          <w:color w:val="auto"/>
          <w:kern w:val="0"/>
          <w:szCs w:val="21"/>
        </w:rPr>
        <w:t>，现授权（姓名、职务）为我方代理人。代理人根据授权，以我方名义签署、澄清、说明、补正、递交、撤回、修改（项目名称：</w:t>
      </w:r>
      <w:r>
        <w:rPr>
          <w:rFonts w:hint="eastAsia" w:ascii="宋体" w:hAnsi="宋体" w:cs="宋体"/>
          <w:color w:val="auto"/>
          <w:kern w:val="0"/>
          <w:szCs w:val="21"/>
          <w:u w:val="single"/>
        </w:rPr>
        <w:t xml:space="preserve">        </w:t>
      </w:r>
      <w:r>
        <w:rPr>
          <w:rFonts w:ascii="宋体" w:hAnsi="宋体" w:cs="宋体"/>
          <w:color w:val="auto"/>
          <w:kern w:val="0"/>
          <w:szCs w:val="21"/>
        </w:rPr>
        <w:t>）</w:t>
      </w:r>
      <w:r>
        <w:rPr>
          <w:rFonts w:hint="eastAsia" w:ascii="宋体" w:hAnsi="宋体" w:cs="宋体"/>
          <w:color w:val="auto"/>
          <w:kern w:val="0"/>
          <w:szCs w:val="21"/>
        </w:rPr>
        <w:t>（采购人项目编号：</w:t>
      </w:r>
      <w:r>
        <w:rPr>
          <w:rFonts w:hint="eastAsia" w:ascii="宋体" w:hAnsi="宋体" w:cs="宋体"/>
          <w:color w:val="auto"/>
          <w:kern w:val="0"/>
          <w:szCs w:val="21"/>
          <w:u w:val="single"/>
        </w:rPr>
        <w:t xml:space="preserve">        </w:t>
      </w:r>
      <w:r>
        <w:rPr>
          <w:rFonts w:hint="eastAsia" w:ascii="宋体" w:hAnsi="宋体" w:cs="宋体"/>
          <w:color w:val="auto"/>
          <w:kern w:val="0"/>
          <w:szCs w:val="21"/>
        </w:rPr>
        <w:t>采购代理编号：</w:t>
      </w:r>
      <w:r>
        <w:rPr>
          <w:rFonts w:hint="eastAsia" w:ascii="宋体" w:hAnsi="宋体" w:cs="宋体"/>
          <w:color w:val="auto"/>
          <w:kern w:val="0"/>
          <w:szCs w:val="21"/>
          <w:u w:val="single"/>
        </w:rPr>
        <w:t xml:space="preserve">        </w:t>
      </w:r>
      <w:r>
        <w:rPr>
          <w:rFonts w:hint="eastAsia" w:ascii="宋体" w:hAnsi="宋体" w:cs="宋体"/>
          <w:color w:val="auto"/>
          <w:kern w:val="0"/>
          <w:szCs w:val="21"/>
        </w:rPr>
        <w:t>）投标文件、签订合同和处理有关事宜，其法律后果由我方承担。</w:t>
      </w:r>
    </w:p>
    <w:p w14:paraId="53D30F40">
      <w:pPr>
        <w:autoSpaceDE w:val="0"/>
        <w:autoSpaceDN w:val="0"/>
        <w:adjustRightInd w:val="0"/>
        <w:snapToGrid w:val="0"/>
        <w:spacing w:line="360" w:lineRule="auto"/>
        <w:ind w:firstLine="420" w:firstLineChars="200"/>
        <w:jc w:val="left"/>
        <w:rPr>
          <w:rFonts w:ascii="宋体" w:hAnsi="宋体" w:cs="宋体"/>
          <w:color w:val="auto"/>
          <w:kern w:val="0"/>
          <w:szCs w:val="21"/>
        </w:rPr>
      </w:pPr>
      <w:r>
        <w:rPr>
          <w:rFonts w:hint="eastAsia" w:ascii="宋体" w:hAnsi="宋体" w:cs="宋体"/>
          <w:color w:val="auto"/>
          <w:kern w:val="0"/>
          <w:szCs w:val="21"/>
        </w:rPr>
        <w:t>委托期限：</w:t>
      </w:r>
      <w:r>
        <w:rPr>
          <w:rFonts w:hint="eastAsia" w:ascii="宋体" w:hAnsi="宋体" w:cs="宋体"/>
          <w:color w:val="auto"/>
          <w:kern w:val="0"/>
          <w:szCs w:val="21"/>
          <w:u w:val="single"/>
        </w:rPr>
        <w:t xml:space="preserve">        </w:t>
      </w:r>
      <w:r>
        <w:rPr>
          <w:rFonts w:hint="eastAsia" w:ascii="宋体" w:hAnsi="宋体" w:cs="宋体"/>
          <w:color w:val="auto"/>
          <w:kern w:val="0"/>
          <w:szCs w:val="21"/>
        </w:rPr>
        <w:t>。</w:t>
      </w:r>
    </w:p>
    <w:p w14:paraId="62FCF03A">
      <w:pPr>
        <w:adjustRightInd w:val="0"/>
        <w:snapToGrid w:val="0"/>
        <w:spacing w:line="360" w:lineRule="auto"/>
        <w:ind w:firstLine="435"/>
        <w:rPr>
          <w:rFonts w:ascii="宋体" w:hAnsi="宋体" w:cs="宋体"/>
          <w:color w:val="auto"/>
          <w:kern w:val="0"/>
          <w:szCs w:val="21"/>
        </w:rPr>
      </w:pPr>
      <w:r>
        <w:rPr>
          <w:rFonts w:hint="eastAsia" w:ascii="宋体" w:hAnsi="宋体" w:cs="宋体"/>
          <w:color w:val="auto"/>
          <w:kern w:val="0"/>
          <w:szCs w:val="21"/>
        </w:rPr>
        <w:t>代理人无转委托权。</w:t>
      </w:r>
    </w:p>
    <w:p w14:paraId="1C98C314">
      <w:pPr>
        <w:adjustRightInd w:val="0"/>
        <w:snapToGrid w:val="0"/>
        <w:spacing w:line="360" w:lineRule="auto"/>
        <w:ind w:firstLine="435"/>
        <w:rPr>
          <w:rFonts w:cs="微软雅黑" w:asciiTheme="minorEastAsia" w:hAnsiTheme="minorEastAsia" w:eastAsiaTheme="minorEastAsia"/>
          <w:color w:val="auto"/>
          <w:kern w:val="0"/>
          <w:szCs w:val="21"/>
        </w:rPr>
      </w:pPr>
      <w:r>
        <w:rPr>
          <w:rFonts w:hint="eastAsia" w:ascii="宋体" w:hAnsi="宋体"/>
          <w:color w:val="auto"/>
          <w:szCs w:val="21"/>
        </w:rPr>
        <w:t>本授权书于年月日签字生效，特此声明。</w:t>
      </w:r>
    </w:p>
    <w:tbl>
      <w:tblPr>
        <w:tblStyle w:val="4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439"/>
        <w:gridCol w:w="4440"/>
      </w:tblGrid>
      <w:tr w14:paraId="18B81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9" w:hRule="atLeast"/>
        </w:trPr>
        <w:tc>
          <w:tcPr>
            <w:tcW w:w="2500" w:type="pct"/>
            <w:vAlign w:val="center"/>
          </w:tcPr>
          <w:p w14:paraId="2B80A039">
            <w:pPr>
              <w:adjustRightInd w:val="0"/>
              <w:snapToGrid w:val="0"/>
              <w:spacing w:line="360" w:lineRule="auto"/>
              <w:jc w:val="center"/>
              <w:rPr>
                <w:rFonts w:ascii="宋体" w:hAnsi="宋体"/>
                <w:color w:val="auto"/>
                <w:szCs w:val="21"/>
              </w:rPr>
            </w:pPr>
            <w:r>
              <w:rPr>
                <w:rFonts w:hint="eastAsia" w:ascii="宋体" w:hAnsi="宋体"/>
                <w:color w:val="auto"/>
                <w:szCs w:val="21"/>
              </w:rPr>
              <w:t>身份证（正面）</w:t>
            </w:r>
            <w:r>
              <w:rPr>
                <w:rFonts w:hint="eastAsia" w:cs="微软雅黑" w:asciiTheme="minorEastAsia" w:hAnsiTheme="minorEastAsia" w:eastAsiaTheme="minorEastAsia"/>
                <w:color w:val="auto"/>
                <w:spacing w:val="-2"/>
                <w:kern w:val="0"/>
                <w:szCs w:val="21"/>
              </w:rPr>
              <w:t>复</w:t>
            </w:r>
            <w:r>
              <w:rPr>
                <w:rFonts w:hint="eastAsia" w:cs="微软雅黑" w:asciiTheme="minorEastAsia" w:hAnsiTheme="minorEastAsia" w:eastAsiaTheme="minorEastAsia"/>
                <w:color w:val="auto"/>
                <w:kern w:val="0"/>
                <w:szCs w:val="21"/>
              </w:rPr>
              <w:t>印</w:t>
            </w:r>
            <w:r>
              <w:rPr>
                <w:rFonts w:hint="eastAsia" w:cs="微软雅黑" w:asciiTheme="minorEastAsia" w:hAnsiTheme="minorEastAsia" w:eastAsiaTheme="minorEastAsia"/>
                <w:color w:val="auto"/>
                <w:spacing w:val="-2"/>
                <w:kern w:val="0"/>
                <w:szCs w:val="21"/>
              </w:rPr>
              <w:t>件</w:t>
            </w:r>
          </w:p>
        </w:tc>
        <w:tc>
          <w:tcPr>
            <w:tcW w:w="2500" w:type="pct"/>
            <w:vAlign w:val="center"/>
          </w:tcPr>
          <w:p w14:paraId="008F68E7">
            <w:pPr>
              <w:adjustRightInd w:val="0"/>
              <w:snapToGrid w:val="0"/>
              <w:spacing w:line="360" w:lineRule="auto"/>
              <w:jc w:val="center"/>
              <w:rPr>
                <w:rFonts w:ascii="宋体" w:hAnsi="宋体"/>
                <w:color w:val="auto"/>
                <w:szCs w:val="21"/>
              </w:rPr>
            </w:pPr>
            <w:r>
              <w:rPr>
                <w:rFonts w:hint="eastAsia" w:ascii="宋体" w:hAnsi="宋体"/>
                <w:color w:val="auto"/>
                <w:szCs w:val="21"/>
              </w:rPr>
              <w:t>身份证（反面）</w:t>
            </w:r>
            <w:r>
              <w:rPr>
                <w:rFonts w:hint="eastAsia" w:cs="微软雅黑" w:asciiTheme="minorEastAsia" w:hAnsiTheme="minorEastAsia" w:eastAsiaTheme="minorEastAsia"/>
                <w:color w:val="auto"/>
                <w:spacing w:val="-2"/>
                <w:kern w:val="0"/>
                <w:szCs w:val="21"/>
              </w:rPr>
              <w:t>复</w:t>
            </w:r>
            <w:r>
              <w:rPr>
                <w:rFonts w:hint="eastAsia" w:cs="微软雅黑" w:asciiTheme="minorEastAsia" w:hAnsiTheme="minorEastAsia" w:eastAsiaTheme="minorEastAsia"/>
                <w:color w:val="auto"/>
                <w:kern w:val="0"/>
                <w:szCs w:val="21"/>
              </w:rPr>
              <w:t>印</w:t>
            </w:r>
            <w:r>
              <w:rPr>
                <w:rFonts w:hint="eastAsia" w:cs="微软雅黑" w:asciiTheme="minorEastAsia" w:hAnsiTheme="minorEastAsia" w:eastAsiaTheme="minorEastAsia"/>
                <w:color w:val="auto"/>
                <w:spacing w:val="-2"/>
                <w:kern w:val="0"/>
                <w:szCs w:val="21"/>
              </w:rPr>
              <w:t>件</w:t>
            </w:r>
          </w:p>
        </w:tc>
      </w:tr>
    </w:tbl>
    <w:p w14:paraId="68545924">
      <w:pPr>
        <w:adjustRightInd w:val="0"/>
        <w:snapToGrid w:val="0"/>
        <w:spacing w:line="360" w:lineRule="auto"/>
        <w:ind w:firstLine="420" w:firstLineChars="200"/>
        <w:rPr>
          <w:rFonts w:ascii="宋体" w:hAnsi="宋体"/>
          <w:color w:val="auto"/>
          <w:szCs w:val="21"/>
        </w:rPr>
      </w:pPr>
    </w:p>
    <w:p w14:paraId="06ECA305">
      <w:pPr>
        <w:adjustRightInd w:val="0"/>
        <w:snapToGrid w:val="0"/>
        <w:spacing w:line="360" w:lineRule="auto"/>
        <w:ind w:firstLine="420" w:firstLineChars="200"/>
        <w:rPr>
          <w:rFonts w:ascii="宋体" w:hAnsi="宋体"/>
          <w:color w:val="auto"/>
          <w:szCs w:val="21"/>
        </w:rPr>
      </w:pPr>
      <w:r>
        <w:rPr>
          <w:rFonts w:hint="eastAsia" w:ascii="宋体" w:hAnsi="宋体"/>
          <w:color w:val="auto"/>
          <w:szCs w:val="21"/>
        </w:rPr>
        <w:t>注：以联合体形式投标的，本授权委托书应由联合体牵头人的法定代表人（单位负责人）按上述规定签署。</w:t>
      </w:r>
    </w:p>
    <w:p w14:paraId="3F36A606">
      <w:pPr>
        <w:adjustRightInd w:val="0"/>
        <w:snapToGrid w:val="0"/>
        <w:spacing w:line="360" w:lineRule="auto"/>
        <w:ind w:firstLine="420" w:firstLineChars="200"/>
        <w:rPr>
          <w:rFonts w:ascii="宋体" w:hAnsi="宋体"/>
          <w:color w:val="auto"/>
          <w:szCs w:val="21"/>
        </w:rPr>
      </w:pPr>
    </w:p>
    <w:p w14:paraId="2E8BF84A">
      <w:pPr>
        <w:adjustRightInd w:val="0"/>
        <w:snapToGrid w:val="0"/>
        <w:spacing w:line="360" w:lineRule="auto"/>
        <w:ind w:firstLine="420" w:firstLineChars="200"/>
        <w:rPr>
          <w:rFonts w:ascii="宋体" w:hAnsi="宋体"/>
          <w:color w:val="auto"/>
          <w:szCs w:val="21"/>
        </w:rPr>
      </w:pPr>
    </w:p>
    <w:p w14:paraId="4AC10CFE">
      <w:pPr>
        <w:adjustRightInd w:val="0"/>
        <w:snapToGrid w:val="0"/>
        <w:spacing w:line="360" w:lineRule="auto"/>
        <w:rPr>
          <w:rFonts w:ascii="宋体" w:hAnsi="宋体"/>
          <w:color w:val="auto"/>
          <w:szCs w:val="21"/>
        </w:rPr>
      </w:pPr>
      <w:r>
        <w:rPr>
          <w:rFonts w:hint="eastAsia" w:ascii="宋体" w:hAnsi="宋体"/>
          <w:color w:val="auto"/>
          <w:szCs w:val="21"/>
        </w:rPr>
        <w:t>投标人名称（盖单位章）：</w:t>
      </w:r>
    </w:p>
    <w:p w14:paraId="6B1C4B81">
      <w:pPr>
        <w:adjustRightInd w:val="0"/>
        <w:snapToGrid w:val="0"/>
        <w:spacing w:line="360" w:lineRule="auto"/>
        <w:ind w:right="420"/>
        <w:rPr>
          <w:rFonts w:ascii="宋体" w:hAnsi="宋体"/>
          <w:color w:val="auto"/>
          <w:szCs w:val="21"/>
        </w:rPr>
      </w:pPr>
      <w:r>
        <w:rPr>
          <w:rFonts w:hint="eastAsia" w:cs="微软雅黑" w:asciiTheme="minorEastAsia" w:hAnsiTheme="minorEastAsia" w:eastAsiaTheme="minorEastAsia"/>
          <w:color w:val="auto"/>
          <w:spacing w:val="-2"/>
          <w:kern w:val="0"/>
          <w:szCs w:val="21"/>
        </w:rPr>
        <w:t>法</w:t>
      </w:r>
      <w:r>
        <w:rPr>
          <w:rFonts w:hint="eastAsia" w:cs="微软雅黑" w:asciiTheme="minorEastAsia" w:hAnsiTheme="minorEastAsia" w:eastAsiaTheme="minorEastAsia"/>
          <w:color w:val="auto"/>
          <w:kern w:val="0"/>
          <w:szCs w:val="21"/>
        </w:rPr>
        <w:t>定</w:t>
      </w:r>
      <w:r>
        <w:rPr>
          <w:rFonts w:hint="eastAsia" w:cs="微软雅黑" w:asciiTheme="minorEastAsia" w:hAnsiTheme="minorEastAsia" w:eastAsiaTheme="minorEastAsia"/>
          <w:color w:val="auto"/>
          <w:spacing w:val="-2"/>
          <w:kern w:val="0"/>
          <w:szCs w:val="21"/>
        </w:rPr>
        <w:t>代</w:t>
      </w:r>
      <w:r>
        <w:rPr>
          <w:rFonts w:hint="eastAsia" w:cs="微软雅黑" w:asciiTheme="minorEastAsia" w:hAnsiTheme="minorEastAsia" w:eastAsiaTheme="minorEastAsia"/>
          <w:color w:val="auto"/>
          <w:kern w:val="0"/>
          <w:szCs w:val="21"/>
        </w:rPr>
        <w:t>表</w:t>
      </w:r>
      <w:r>
        <w:rPr>
          <w:rFonts w:hint="eastAsia" w:cs="微软雅黑" w:asciiTheme="minorEastAsia" w:hAnsiTheme="minorEastAsia" w:eastAsiaTheme="minorEastAsia"/>
          <w:color w:val="auto"/>
          <w:spacing w:val="-2"/>
          <w:kern w:val="0"/>
          <w:szCs w:val="21"/>
        </w:rPr>
        <w:t>人</w:t>
      </w:r>
      <w:r>
        <w:rPr>
          <w:rFonts w:hint="eastAsia" w:cs="微软雅黑" w:asciiTheme="minorEastAsia" w:hAnsiTheme="minorEastAsia" w:eastAsiaTheme="minorEastAsia"/>
          <w:color w:val="auto"/>
          <w:kern w:val="0"/>
          <w:szCs w:val="21"/>
        </w:rPr>
        <w:t>（</w:t>
      </w:r>
      <w:r>
        <w:rPr>
          <w:rFonts w:hint="eastAsia" w:cs="微软雅黑" w:asciiTheme="minorEastAsia" w:hAnsiTheme="minorEastAsia" w:eastAsiaTheme="minorEastAsia"/>
          <w:color w:val="auto"/>
          <w:spacing w:val="-2"/>
          <w:kern w:val="0"/>
          <w:szCs w:val="21"/>
        </w:rPr>
        <w:t>单</w:t>
      </w:r>
      <w:r>
        <w:rPr>
          <w:rFonts w:hint="eastAsia" w:cs="微软雅黑" w:asciiTheme="minorEastAsia" w:hAnsiTheme="minorEastAsia" w:eastAsiaTheme="minorEastAsia"/>
          <w:color w:val="auto"/>
          <w:kern w:val="0"/>
          <w:szCs w:val="21"/>
        </w:rPr>
        <w:t>位</w:t>
      </w:r>
      <w:r>
        <w:rPr>
          <w:rFonts w:hint="eastAsia" w:cs="微软雅黑" w:asciiTheme="minorEastAsia" w:hAnsiTheme="minorEastAsia" w:eastAsiaTheme="minorEastAsia"/>
          <w:color w:val="auto"/>
          <w:spacing w:val="-2"/>
          <w:kern w:val="0"/>
          <w:szCs w:val="21"/>
        </w:rPr>
        <w:t>负</w:t>
      </w:r>
      <w:r>
        <w:rPr>
          <w:rFonts w:hint="eastAsia" w:cs="微软雅黑" w:asciiTheme="minorEastAsia" w:hAnsiTheme="minorEastAsia" w:eastAsiaTheme="minorEastAsia"/>
          <w:color w:val="auto"/>
          <w:kern w:val="0"/>
          <w:szCs w:val="21"/>
        </w:rPr>
        <w:t>责人</w:t>
      </w:r>
      <w:r>
        <w:rPr>
          <w:rFonts w:hint="eastAsia" w:cs="微软雅黑" w:asciiTheme="minorEastAsia" w:hAnsiTheme="minorEastAsia" w:eastAsiaTheme="minorEastAsia"/>
          <w:color w:val="auto"/>
          <w:spacing w:val="-2"/>
          <w:kern w:val="0"/>
          <w:szCs w:val="21"/>
        </w:rPr>
        <w:t>）</w:t>
      </w:r>
      <w:r>
        <w:rPr>
          <w:rFonts w:hint="eastAsia" w:ascii="宋体" w:hAnsi="宋体"/>
          <w:color w:val="auto"/>
          <w:szCs w:val="21"/>
        </w:rPr>
        <w:t>（签字或印章）：</w:t>
      </w:r>
    </w:p>
    <w:p w14:paraId="37898EE5">
      <w:pPr>
        <w:adjustRightInd w:val="0"/>
        <w:snapToGrid w:val="0"/>
        <w:spacing w:line="360" w:lineRule="auto"/>
        <w:ind w:right="420"/>
        <w:rPr>
          <w:rFonts w:ascii="宋体" w:hAnsi="宋体"/>
          <w:color w:val="auto"/>
          <w:szCs w:val="21"/>
        </w:rPr>
      </w:pPr>
      <w:r>
        <w:rPr>
          <w:rFonts w:hint="eastAsia" w:ascii="宋体" w:hAnsi="宋体"/>
          <w:color w:val="auto"/>
          <w:szCs w:val="21"/>
        </w:rPr>
        <w:t>委托代理人（签字或印章）：</w:t>
      </w:r>
    </w:p>
    <w:p w14:paraId="333BCAEC">
      <w:pPr>
        <w:adjustRightInd w:val="0"/>
        <w:snapToGrid w:val="0"/>
        <w:spacing w:line="360" w:lineRule="auto"/>
        <w:jc w:val="left"/>
        <w:rPr>
          <w:rFonts w:ascii="黑体" w:hAnsi="黑体" w:eastAsia="黑体"/>
          <w:bCs/>
          <w:color w:val="auto"/>
          <w:sz w:val="28"/>
          <w:szCs w:val="28"/>
        </w:rPr>
      </w:pPr>
      <w:r>
        <w:rPr>
          <w:rFonts w:hint="eastAsia" w:asciiTheme="minorEastAsia" w:hAnsiTheme="minorEastAsia" w:eastAsiaTheme="minorEastAsia"/>
          <w:color w:val="auto"/>
          <w:szCs w:val="21"/>
        </w:rPr>
        <w:t>日  期：     年   月   日</w:t>
      </w:r>
      <w:r>
        <w:rPr>
          <w:rFonts w:ascii="黑体" w:hAnsi="黑体" w:eastAsia="黑体"/>
          <w:bCs/>
          <w:color w:val="auto"/>
          <w:sz w:val="28"/>
          <w:szCs w:val="28"/>
        </w:rPr>
        <w:br w:type="page"/>
      </w:r>
    </w:p>
    <w:p w14:paraId="17E49083">
      <w:pPr>
        <w:pStyle w:val="4"/>
        <w:adjustRightInd w:val="0"/>
        <w:snapToGrid w:val="0"/>
        <w:spacing w:before="0" w:after="0" w:line="360" w:lineRule="auto"/>
        <w:jc w:val="center"/>
        <w:rPr>
          <w:rFonts w:ascii="黑体" w:hAnsi="宋体" w:eastAsia="黑体"/>
          <w:color w:val="auto"/>
          <w:sz w:val="28"/>
          <w:szCs w:val="28"/>
        </w:rPr>
      </w:pPr>
      <w:bookmarkStart w:id="217" w:name="_Toc107"/>
      <w:r>
        <w:rPr>
          <w:rFonts w:hint="eastAsia" w:ascii="黑体" w:hAnsi="宋体" w:eastAsia="黑体"/>
          <w:color w:val="auto"/>
          <w:sz w:val="28"/>
          <w:szCs w:val="28"/>
        </w:rPr>
        <w:t>四、投标人提供的资格证明文件</w:t>
      </w:r>
      <w:bookmarkEnd w:id="217"/>
      <w:bookmarkStart w:id="218" w:name="_Toc294206743"/>
      <w:bookmarkStart w:id="219" w:name="_Toc294186060"/>
    </w:p>
    <w:p w14:paraId="36889DB9">
      <w:pPr>
        <w:pStyle w:val="21"/>
        <w:adjustRightInd w:val="0"/>
        <w:snapToGrid w:val="0"/>
        <w:spacing w:line="360" w:lineRule="auto"/>
        <w:jc w:val="center"/>
        <w:rPr>
          <w:rFonts w:hAnsi="宋体" w:cs="Times New Roman"/>
          <w:b/>
          <w:bCs/>
          <w:color w:val="auto"/>
          <w:sz w:val="24"/>
          <w:szCs w:val="24"/>
        </w:rPr>
      </w:pPr>
    </w:p>
    <w:p w14:paraId="32179B86">
      <w:pPr>
        <w:pStyle w:val="21"/>
        <w:adjustRightInd w:val="0"/>
        <w:snapToGrid w:val="0"/>
        <w:spacing w:line="360" w:lineRule="auto"/>
        <w:jc w:val="center"/>
        <w:rPr>
          <w:rFonts w:ascii="黑体" w:hAnsi="黑体" w:eastAsia="黑体" w:cs="Times New Roman"/>
          <w:b/>
          <w:bCs/>
          <w:color w:val="auto"/>
          <w:sz w:val="28"/>
          <w:szCs w:val="28"/>
        </w:rPr>
      </w:pPr>
      <w:r>
        <w:rPr>
          <w:rFonts w:hint="eastAsia" w:ascii="黑体" w:hAnsi="黑体" w:eastAsia="黑体" w:cs="Times New Roman"/>
          <w:b/>
          <w:bCs/>
          <w:color w:val="auto"/>
          <w:sz w:val="28"/>
          <w:szCs w:val="28"/>
        </w:rPr>
        <w:t>须  知</w:t>
      </w:r>
    </w:p>
    <w:p w14:paraId="4EB62AF0">
      <w:pPr>
        <w:tabs>
          <w:tab w:val="left" w:pos="4725"/>
        </w:tabs>
        <w:adjustRightInd w:val="0"/>
        <w:snapToGrid w:val="0"/>
        <w:spacing w:before="120" w:beforeLines="50" w:line="360" w:lineRule="auto"/>
        <w:ind w:firstLine="422" w:firstLineChars="200"/>
        <w:rPr>
          <w:rFonts w:ascii="宋体" w:hAnsi="宋体"/>
          <w:b/>
          <w:bCs/>
          <w:color w:val="auto"/>
          <w:szCs w:val="21"/>
        </w:rPr>
      </w:pPr>
      <w:r>
        <w:rPr>
          <w:rFonts w:hint="eastAsia" w:ascii="宋体" w:hAnsi="宋体"/>
          <w:b/>
          <w:color w:val="auto"/>
          <w:szCs w:val="21"/>
        </w:rPr>
        <w:t>投标人应提供的下列资格证明文件应当符合投标文件要求：</w:t>
      </w:r>
    </w:p>
    <w:p w14:paraId="3D9A0910">
      <w:pPr>
        <w:tabs>
          <w:tab w:val="left" w:pos="4725"/>
        </w:tabs>
        <w:adjustRightInd w:val="0"/>
        <w:snapToGrid w:val="0"/>
        <w:spacing w:before="120" w:beforeLines="50" w:line="360" w:lineRule="auto"/>
        <w:ind w:firstLine="735" w:firstLineChars="350"/>
        <w:rPr>
          <w:rFonts w:asciiTheme="minorEastAsia" w:hAnsiTheme="minorEastAsia" w:eastAsiaTheme="minorEastAsia"/>
          <w:color w:val="auto"/>
          <w:szCs w:val="21"/>
        </w:rPr>
      </w:pPr>
      <w:r>
        <w:rPr>
          <w:rFonts w:hint="eastAsia" w:asciiTheme="minorEastAsia" w:hAnsiTheme="minorEastAsia" w:eastAsiaTheme="minorEastAsia"/>
          <w:color w:val="auto"/>
          <w:szCs w:val="21"/>
        </w:rPr>
        <w:t>附件4-1 法人或者其他组织的营业执照等主体资格证明文件，自然人的身份证明</w:t>
      </w:r>
    </w:p>
    <w:p w14:paraId="595A766A">
      <w:pPr>
        <w:tabs>
          <w:tab w:val="left" w:pos="4725"/>
        </w:tabs>
        <w:adjustRightInd w:val="0"/>
        <w:snapToGrid w:val="0"/>
        <w:spacing w:before="120" w:beforeLines="50" w:line="360" w:lineRule="auto"/>
        <w:ind w:firstLine="735" w:firstLineChars="350"/>
        <w:rPr>
          <w:rFonts w:asciiTheme="minorEastAsia" w:hAnsiTheme="minorEastAsia" w:eastAsiaTheme="minorEastAsia"/>
          <w:color w:val="auto"/>
          <w:szCs w:val="21"/>
        </w:rPr>
      </w:pPr>
      <w:r>
        <w:rPr>
          <w:rFonts w:hint="eastAsia" w:asciiTheme="minorEastAsia" w:hAnsiTheme="minorEastAsia" w:eastAsiaTheme="minorEastAsia"/>
          <w:color w:val="auto"/>
          <w:szCs w:val="21"/>
        </w:rPr>
        <w:t>附件4-2投标人资格声明（格式）</w:t>
      </w:r>
    </w:p>
    <w:p w14:paraId="7E7DA4E9">
      <w:pPr>
        <w:tabs>
          <w:tab w:val="left" w:pos="4725"/>
        </w:tabs>
        <w:adjustRightInd w:val="0"/>
        <w:snapToGrid w:val="0"/>
        <w:spacing w:before="120" w:beforeLines="50" w:line="360" w:lineRule="auto"/>
        <w:ind w:firstLine="735" w:firstLineChars="350"/>
        <w:rPr>
          <w:rFonts w:asciiTheme="minorEastAsia" w:hAnsiTheme="minorEastAsia" w:eastAsiaTheme="minorEastAsia"/>
          <w:color w:val="auto"/>
          <w:szCs w:val="21"/>
        </w:rPr>
      </w:pPr>
      <w:r>
        <w:rPr>
          <w:rFonts w:hint="eastAsia" w:asciiTheme="minorEastAsia" w:hAnsiTheme="minorEastAsia" w:eastAsiaTheme="minorEastAsia"/>
          <w:color w:val="auto"/>
          <w:szCs w:val="21"/>
        </w:rPr>
        <w:t>附件4-3符合特定资格条件证明材料复印件或者情况说明</w:t>
      </w:r>
    </w:p>
    <w:p w14:paraId="352C67C5">
      <w:pPr>
        <w:tabs>
          <w:tab w:val="left" w:pos="4725"/>
        </w:tabs>
        <w:adjustRightInd w:val="0"/>
        <w:snapToGrid w:val="0"/>
        <w:spacing w:before="120" w:beforeLines="50" w:line="360" w:lineRule="auto"/>
        <w:ind w:firstLine="735" w:firstLineChars="350"/>
        <w:rPr>
          <w:rFonts w:asciiTheme="minorEastAsia" w:hAnsiTheme="minorEastAsia" w:eastAsiaTheme="minorEastAsia"/>
          <w:color w:val="auto"/>
          <w:szCs w:val="21"/>
        </w:rPr>
      </w:pPr>
      <w:r>
        <w:rPr>
          <w:rFonts w:hint="eastAsia" w:asciiTheme="minorEastAsia" w:hAnsiTheme="minorEastAsia" w:eastAsiaTheme="minorEastAsia"/>
          <w:color w:val="auto"/>
          <w:szCs w:val="21"/>
        </w:rPr>
        <w:t>附件4-4 符合落实政府采购政策需满足的资格要求（预留采购份额）的证明文件</w:t>
      </w:r>
    </w:p>
    <w:p w14:paraId="0395C46A">
      <w:pPr>
        <w:tabs>
          <w:tab w:val="left" w:pos="4725"/>
        </w:tabs>
        <w:adjustRightInd w:val="0"/>
        <w:snapToGrid w:val="0"/>
        <w:spacing w:before="120" w:beforeLines="50" w:line="360" w:lineRule="auto"/>
        <w:ind w:firstLine="1050" w:firstLineChars="500"/>
        <w:rPr>
          <w:rFonts w:asciiTheme="minorEastAsia" w:hAnsiTheme="minorEastAsia" w:eastAsiaTheme="minorEastAsia"/>
          <w:color w:val="auto"/>
          <w:szCs w:val="21"/>
        </w:rPr>
      </w:pPr>
      <w:r>
        <w:rPr>
          <w:rFonts w:hint="eastAsia" w:asciiTheme="minorEastAsia" w:hAnsiTheme="minorEastAsia" w:eastAsiaTheme="minorEastAsia"/>
          <w:color w:val="auto"/>
          <w:szCs w:val="21"/>
        </w:rPr>
        <w:t>附页1《中小企业声明函》（注意：不符合政策要求的无需提供）</w:t>
      </w:r>
    </w:p>
    <w:p w14:paraId="239CD3CD">
      <w:pPr>
        <w:tabs>
          <w:tab w:val="left" w:pos="4725"/>
        </w:tabs>
        <w:adjustRightInd w:val="0"/>
        <w:snapToGrid w:val="0"/>
        <w:spacing w:before="120" w:beforeLines="50" w:line="360" w:lineRule="auto"/>
        <w:ind w:firstLine="1050" w:firstLineChars="500"/>
        <w:rPr>
          <w:rFonts w:asciiTheme="minorEastAsia" w:hAnsiTheme="minorEastAsia" w:eastAsiaTheme="minorEastAsia"/>
          <w:color w:val="auto"/>
          <w:szCs w:val="21"/>
        </w:rPr>
      </w:pPr>
      <w:r>
        <w:rPr>
          <w:rFonts w:hint="eastAsia" w:asciiTheme="minorEastAsia" w:hAnsiTheme="minorEastAsia" w:eastAsiaTheme="minorEastAsia"/>
          <w:color w:val="auto"/>
          <w:szCs w:val="21"/>
        </w:rPr>
        <w:t>附页2 联合体协议书（格式）（本项目不适用）</w:t>
      </w:r>
    </w:p>
    <w:p w14:paraId="52762947">
      <w:pPr>
        <w:tabs>
          <w:tab w:val="left" w:pos="4725"/>
        </w:tabs>
        <w:adjustRightInd w:val="0"/>
        <w:snapToGrid w:val="0"/>
        <w:spacing w:before="120" w:beforeLines="50" w:line="360" w:lineRule="auto"/>
        <w:ind w:firstLine="1050" w:firstLineChars="500"/>
        <w:rPr>
          <w:rFonts w:asciiTheme="minorEastAsia" w:hAnsiTheme="minorEastAsia" w:eastAsiaTheme="minorEastAsia"/>
          <w:color w:val="auto"/>
          <w:szCs w:val="21"/>
        </w:rPr>
      </w:pPr>
    </w:p>
    <w:p w14:paraId="1A1A5F6A">
      <w:pPr>
        <w:widowControl/>
        <w:jc w:val="left"/>
        <w:rPr>
          <w:rFonts w:ascii="黑体" w:hAnsi="仿宋" w:eastAsia="黑体" w:cs="宋体"/>
          <w:bCs/>
          <w:color w:val="auto"/>
          <w:szCs w:val="21"/>
        </w:rPr>
      </w:pPr>
      <w:r>
        <w:rPr>
          <w:rFonts w:ascii="黑体" w:hAnsi="仿宋" w:cs="宋体"/>
          <w:b/>
          <w:color w:val="auto"/>
          <w:szCs w:val="21"/>
        </w:rPr>
        <w:br w:type="page"/>
      </w:r>
    </w:p>
    <w:p w14:paraId="00CB1817">
      <w:pPr>
        <w:pStyle w:val="5"/>
        <w:rPr>
          <w:rFonts w:ascii="黑体" w:hAnsi="黑体"/>
          <w:color w:val="auto"/>
          <w:sz w:val="21"/>
          <w:szCs w:val="21"/>
        </w:rPr>
      </w:pPr>
      <w:bookmarkStart w:id="220" w:name="_Toc11539"/>
      <w:r>
        <w:rPr>
          <w:rFonts w:hint="eastAsia" w:ascii="黑体" w:hAnsi="黑体"/>
          <w:color w:val="auto"/>
          <w:sz w:val="21"/>
          <w:szCs w:val="21"/>
        </w:rPr>
        <w:t>附件4-1 法人或者其他组织的营业执照等主体资格证明文件，自然人的身份证明</w:t>
      </w:r>
      <w:bookmarkEnd w:id="220"/>
    </w:p>
    <w:p w14:paraId="0A67CEC6">
      <w:pPr>
        <w:widowControl/>
        <w:adjustRightInd w:val="0"/>
        <w:snapToGrid w:val="0"/>
        <w:spacing w:line="360" w:lineRule="auto"/>
        <w:jc w:val="center"/>
        <w:rPr>
          <w:rFonts w:ascii="黑体" w:hAnsi="仿宋" w:eastAsia="黑体" w:cs="宋体"/>
          <w:b/>
          <w:color w:val="auto"/>
          <w:sz w:val="28"/>
          <w:szCs w:val="28"/>
        </w:rPr>
      </w:pPr>
      <w:r>
        <w:rPr>
          <w:rFonts w:hint="eastAsia" w:ascii="黑体" w:hAnsi="仿宋" w:eastAsia="黑体" w:cs="宋体"/>
          <w:b/>
          <w:color w:val="auto"/>
          <w:sz w:val="28"/>
          <w:szCs w:val="28"/>
        </w:rPr>
        <w:t>法人或者其他组织的营业执照等主体资格证明文件，自然人的身份证明</w:t>
      </w:r>
    </w:p>
    <w:p w14:paraId="4B74400C">
      <w:pPr>
        <w:adjustRightInd w:val="0"/>
        <w:snapToGrid w:val="0"/>
        <w:spacing w:before="120" w:beforeLines="50" w:line="360" w:lineRule="auto"/>
        <w:ind w:firstLine="420" w:firstLineChars="200"/>
        <w:rPr>
          <w:rFonts w:asciiTheme="minorEastAsia" w:hAnsiTheme="minorEastAsia"/>
          <w:color w:val="auto"/>
        </w:rPr>
      </w:pPr>
      <w:r>
        <w:rPr>
          <w:rFonts w:hint="eastAsia" w:cs="宋体" w:asciiTheme="minorEastAsia" w:hAnsiTheme="minorEastAsia" w:eastAsiaTheme="minorEastAsia"/>
          <w:color w:val="auto"/>
          <w:szCs w:val="21"/>
        </w:rPr>
        <w:t>（1）</w:t>
      </w:r>
      <w:r>
        <w:rPr>
          <w:rFonts w:hint="eastAsia" w:asciiTheme="minorEastAsia" w:hAnsiTheme="minorEastAsia"/>
          <w:color w:val="auto"/>
        </w:rPr>
        <w:t>投标人为法人的，应提交营业执照或法人登记证书的复印件；</w:t>
      </w:r>
    </w:p>
    <w:p w14:paraId="45C9E197">
      <w:pPr>
        <w:adjustRightInd w:val="0"/>
        <w:snapToGrid w:val="0"/>
        <w:spacing w:before="120" w:beforeLines="50" w:line="360" w:lineRule="auto"/>
        <w:ind w:firstLine="420" w:firstLineChars="200"/>
        <w:rPr>
          <w:rFonts w:asciiTheme="minorEastAsia" w:hAnsiTheme="minorEastAsia"/>
          <w:color w:val="auto"/>
        </w:rPr>
      </w:pPr>
      <w:r>
        <w:rPr>
          <w:rFonts w:hint="eastAsia" w:cs="宋体" w:asciiTheme="minorEastAsia" w:hAnsiTheme="minorEastAsia" w:eastAsiaTheme="minorEastAsia"/>
          <w:color w:val="auto"/>
          <w:szCs w:val="21"/>
        </w:rPr>
        <w:t>（2）</w:t>
      </w:r>
      <w:r>
        <w:rPr>
          <w:rFonts w:hint="eastAsia" w:asciiTheme="minorEastAsia" w:hAnsiTheme="minorEastAsia"/>
          <w:color w:val="auto"/>
        </w:rPr>
        <w:t>投标人为非法人组织的，应提交依法登记证书复印件；</w:t>
      </w:r>
    </w:p>
    <w:p w14:paraId="6CE03C1D">
      <w:pPr>
        <w:adjustRightInd w:val="0"/>
        <w:snapToGrid w:val="0"/>
        <w:spacing w:before="120" w:beforeLines="50" w:line="360" w:lineRule="auto"/>
        <w:ind w:firstLine="420" w:firstLineChars="200"/>
        <w:rPr>
          <w:rFonts w:asciiTheme="minorEastAsia" w:hAnsiTheme="minorEastAsia"/>
          <w:color w:val="auto"/>
        </w:rPr>
      </w:pPr>
      <w:r>
        <w:rPr>
          <w:rFonts w:hint="eastAsia" w:cs="宋体" w:asciiTheme="minorEastAsia" w:hAnsiTheme="minorEastAsia" w:eastAsiaTheme="minorEastAsia"/>
          <w:color w:val="auto"/>
          <w:szCs w:val="21"/>
        </w:rPr>
        <w:t>（3）</w:t>
      </w:r>
      <w:r>
        <w:rPr>
          <w:rFonts w:hint="eastAsia" w:asciiTheme="minorEastAsia" w:hAnsiTheme="minorEastAsia"/>
          <w:color w:val="auto"/>
        </w:rPr>
        <w:t>投标人为个体工商户的，应提交个体工商户营业执照复印件；</w:t>
      </w:r>
    </w:p>
    <w:p w14:paraId="716F11B4">
      <w:pPr>
        <w:adjustRightInd w:val="0"/>
        <w:snapToGrid w:val="0"/>
        <w:spacing w:before="120" w:beforeLines="50" w:line="360" w:lineRule="auto"/>
        <w:ind w:firstLine="420" w:firstLineChars="200"/>
        <w:rPr>
          <w:rFonts w:asciiTheme="minorEastAsia" w:hAnsiTheme="minorEastAsia"/>
          <w:color w:val="auto"/>
        </w:rPr>
      </w:pPr>
      <w:r>
        <w:rPr>
          <w:rFonts w:hint="eastAsia" w:cs="宋体" w:asciiTheme="minorEastAsia" w:hAnsiTheme="minorEastAsia" w:eastAsiaTheme="minorEastAsia"/>
          <w:color w:val="auto"/>
          <w:szCs w:val="21"/>
        </w:rPr>
        <w:t>（4）</w:t>
      </w:r>
      <w:r>
        <w:rPr>
          <w:rFonts w:hint="eastAsia" w:asciiTheme="minorEastAsia" w:hAnsiTheme="minorEastAsia"/>
          <w:color w:val="auto"/>
        </w:rPr>
        <w:t>投标人为自然人的，应提交自然人的身份证明复印件。</w:t>
      </w:r>
    </w:p>
    <w:p w14:paraId="4D071941">
      <w:pPr>
        <w:widowControl/>
        <w:jc w:val="left"/>
        <w:rPr>
          <w:rFonts w:ascii="黑体" w:hAnsi="仿宋" w:eastAsia="黑体" w:cs="宋体"/>
          <w:bCs/>
          <w:color w:val="auto"/>
          <w:szCs w:val="21"/>
        </w:rPr>
      </w:pPr>
      <w:r>
        <w:rPr>
          <w:rFonts w:ascii="黑体" w:hAnsi="仿宋" w:cs="宋体"/>
          <w:b/>
          <w:color w:val="auto"/>
          <w:szCs w:val="21"/>
        </w:rPr>
        <w:br w:type="page"/>
      </w:r>
    </w:p>
    <w:p w14:paraId="2460BDFD">
      <w:pPr>
        <w:pStyle w:val="5"/>
        <w:rPr>
          <w:rFonts w:ascii="黑体" w:hAnsi="黑体"/>
          <w:color w:val="auto"/>
          <w:sz w:val="21"/>
          <w:szCs w:val="21"/>
        </w:rPr>
      </w:pPr>
      <w:bookmarkStart w:id="221" w:name="_Toc6276"/>
      <w:r>
        <w:rPr>
          <w:rFonts w:hint="eastAsia" w:ascii="黑体" w:hAnsi="黑体"/>
          <w:color w:val="auto"/>
          <w:sz w:val="21"/>
          <w:szCs w:val="21"/>
        </w:rPr>
        <w:t>附件4-2 投标人资格声明（格式）</w:t>
      </w:r>
      <w:bookmarkEnd w:id="221"/>
    </w:p>
    <w:p w14:paraId="2E65518D">
      <w:pPr>
        <w:widowControl/>
        <w:adjustRightInd w:val="0"/>
        <w:snapToGrid w:val="0"/>
        <w:spacing w:before="120" w:beforeLines="50" w:line="360" w:lineRule="auto"/>
        <w:jc w:val="center"/>
        <w:rPr>
          <w:rFonts w:cs="宋体" w:asciiTheme="minorEastAsia" w:hAnsiTheme="minorEastAsia" w:eastAsiaTheme="minorEastAsia"/>
          <w:color w:val="auto"/>
          <w:szCs w:val="21"/>
        </w:rPr>
      </w:pPr>
      <w:r>
        <w:rPr>
          <w:rFonts w:hint="eastAsia" w:ascii="黑体" w:hAnsi="仿宋" w:eastAsia="黑体" w:cs="宋体"/>
          <w:b/>
          <w:color w:val="auto"/>
          <w:sz w:val="28"/>
          <w:szCs w:val="28"/>
        </w:rPr>
        <w:t>投标人资格声明（格式）</w:t>
      </w:r>
    </w:p>
    <w:p w14:paraId="7FF6625D">
      <w:pPr>
        <w:widowControl/>
        <w:adjustRightInd w:val="0"/>
        <w:snapToGrid w:val="0"/>
        <w:spacing w:before="120" w:beforeLines="50" w:line="360" w:lineRule="auto"/>
        <w:jc w:val="left"/>
        <w:rPr>
          <w:rFonts w:ascii="宋体" w:hAnsi="宋体" w:cs="宋体"/>
          <w:color w:val="auto"/>
          <w:kern w:val="0"/>
          <w:szCs w:val="21"/>
        </w:rPr>
      </w:pPr>
      <w:r>
        <w:rPr>
          <w:rFonts w:hint="eastAsia" w:ascii="宋体" w:hAnsi="宋体" w:cs="宋体"/>
          <w:color w:val="auto"/>
          <w:szCs w:val="21"/>
        </w:rPr>
        <w:t>致（采购人、采购代理机构）：</w:t>
      </w:r>
    </w:p>
    <w:p w14:paraId="2A288951">
      <w:pPr>
        <w:widowControl/>
        <w:adjustRightInd w:val="0"/>
        <w:snapToGrid w:val="0"/>
        <w:spacing w:before="120" w:beforeLines="50" w:line="360" w:lineRule="auto"/>
        <w:ind w:firstLine="420" w:firstLineChars="200"/>
        <w:jc w:val="left"/>
        <w:rPr>
          <w:rFonts w:ascii="宋体" w:hAnsi="宋体" w:cs="宋体"/>
          <w:color w:val="auto"/>
          <w:kern w:val="0"/>
          <w:szCs w:val="21"/>
        </w:rPr>
      </w:pPr>
      <w:r>
        <w:rPr>
          <w:rFonts w:hint="eastAsia" w:ascii="宋体" w:hAnsi="宋体" w:cs="宋体"/>
          <w:color w:val="auto"/>
          <w:szCs w:val="21"/>
        </w:rPr>
        <w:t>按照《中华人民共和国政府采购法》第二十二条和招标文件的规定，我单位郑重声明如下：</w:t>
      </w:r>
    </w:p>
    <w:p w14:paraId="7028A1E5">
      <w:pPr>
        <w:widowControl/>
        <w:adjustRightInd w:val="0"/>
        <w:snapToGrid w:val="0"/>
        <w:spacing w:before="120" w:beforeLines="50" w:line="360" w:lineRule="auto"/>
        <w:ind w:firstLine="420" w:firstLineChars="200"/>
        <w:jc w:val="left"/>
        <w:rPr>
          <w:rFonts w:ascii="宋体" w:hAnsi="宋体" w:cs="宋体"/>
          <w:color w:val="auto"/>
          <w:kern w:val="0"/>
          <w:szCs w:val="21"/>
        </w:rPr>
      </w:pPr>
      <w:r>
        <w:rPr>
          <w:rFonts w:hint="eastAsia" w:ascii="宋体" w:hAnsi="宋体" w:cs="宋体"/>
          <w:color w:val="auto"/>
          <w:szCs w:val="21"/>
        </w:rPr>
        <w:t>一、我单位是按照中华人民共和国法律规定登记注册的，注册地点为</w:t>
      </w:r>
      <w:r>
        <w:rPr>
          <w:rFonts w:hint="eastAsia" w:ascii="宋体" w:hAnsi="宋体" w:cs="宋体"/>
          <w:color w:val="auto"/>
          <w:szCs w:val="21"/>
          <w:u w:val="single"/>
        </w:rPr>
        <w:t xml:space="preserve"> </w:t>
      </w:r>
      <w:r>
        <w:rPr>
          <w:rFonts w:ascii="宋体" w:hAnsi="宋体" w:cs="宋体"/>
          <w:color w:val="auto"/>
          <w:szCs w:val="21"/>
          <w:u w:val="single"/>
        </w:rPr>
        <w:t xml:space="preserve">    </w:t>
      </w:r>
      <w:r>
        <w:rPr>
          <w:rFonts w:hint="eastAsia" w:ascii="宋体" w:hAnsi="宋体" w:cs="宋体"/>
          <w:color w:val="auto"/>
          <w:szCs w:val="21"/>
        </w:rPr>
        <w:t>，全称为</w:t>
      </w:r>
      <w:r>
        <w:rPr>
          <w:rFonts w:hint="eastAsia" w:ascii="宋体" w:hAnsi="宋体" w:cs="宋体"/>
          <w:color w:val="auto"/>
          <w:szCs w:val="21"/>
          <w:u w:val="single"/>
        </w:rPr>
        <w:t xml:space="preserve"> </w:t>
      </w:r>
      <w:r>
        <w:rPr>
          <w:rFonts w:ascii="宋体" w:hAnsi="宋体" w:cs="宋体"/>
          <w:color w:val="auto"/>
          <w:szCs w:val="21"/>
          <w:u w:val="single"/>
        </w:rPr>
        <w:t xml:space="preserve">    </w:t>
      </w:r>
      <w:r>
        <w:rPr>
          <w:rFonts w:hint="eastAsia" w:ascii="宋体" w:hAnsi="宋体" w:cs="宋体"/>
          <w:color w:val="auto"/>
          <w:szCs w:val="21"/>
        </w:rPr>
        <w:t>，统一社会信用代码为</w:t>
      </w:r>
      <w:r>
        <w:rPr>
          <w:rFonts w:hint="eastAsia" w:ascii="宋体" w:hAnsi="宋体" w:cs="宋体"/>
          <w:color w:val="auto"/>
          <w:szCs w:val="21"/>
          <w:u w:val="single"/>
        </w:rPr>
        <w:t xml:space="preserve"> </w:t>
      </w:r>
      <w:r>
        <w:rPr>
          <w:rFonts w:ascii="宋体" w:hAnsi="宋体" w:cs="宋体"/>
          <w:color w:val="auto"/>
          <w:szCs w:val="21"/>
          <w:u w:val="single"/>
        </w:rPr>
        <w:t xml:space="preserve">    </w:t>
      </w:r>
      <w:r>
        <w:rPr>
          <w:rFonts w:hint="eastAsia" w:ascii="宋体" w:hAnsi="宋体" w:cs="宋体"/>
          <w:color w:val="auto"/>
          <w:szCs w:val="21"/>
        </w:rPr>
        <w:t>，法定代表人</w:t>
      </w:r>
      <w:r>
        <w:rPr>
          <w:rFonts w:hint="eastAsia" w:cs="微软雅黑" w:asciiTheme="minorEastAsia" w:hAnsiTheme="minorEastAsia" w:eastAsiaTheme="minorEastAsia"/>
          <w:color w:val="auto"/>
          <w:kern w:val="0"/>
          <w:szCs w:val="21"/>
        </w:rPr>
        <w:t>（</w:t>
      </w:r>
      <w:r>
        <w:rPr>
          <w:rFonts w:hint="eastAsia" w:cs="微软雅黑" w:asciiTheme="minorEastAsia" w:hAnsiTheme="minorEastAsia" w:eastAsiaTheme="minorEastAsia"/>
          <w:color w:val="auto"/>
          <w:spacing w:val="-2"/>
          <w:kern w:val="0"/>
          <w:szCs w:val="21"/>
        </w:rPr>
        <w:t>单</w:t>
      </w:r>
      <w:r>
        <w:rPr>
          <w:rFonts w:hint="eastAsia" w:cs="微软雅黑" w:asciiTheme="minorEastAsia" w:hAnsiTheme="minorEastAsia" w:eastAsiaTheme="minorEastAsia"/>
          <w:color w:val="auto"/>
          <w:kern w:val="0"/>
          <w:szCs w:val="21"/>
        </w:rPr>
        <w:t>位</w:t>
      </w:r>
      <w:r>
        <w:rPr>
          <w:rFonts w:hint="eastAsia" w:cs="微软雅黑" w:asciiTheme="minorEastAsia" w:hAnsiTheme="minorEastAsia" w:eastAsiaTheme="minorEastAsia"/>
          <w:color w:val="auto"/>
          <w:spacing w:val="-2"/>
          <w:kern w:val="0"/>
          <w:szCs w:val="21"/>
        </w:rPr>
        <w:t>负</w:t>
      </w:r>
      <w:r>
        <w:rPr>
          <w:rFonts w:hint="eastAsia" w:cs="微软雅黑" w:asciiTheme="minorEastAsia" w:hAnsiTheme="minorEastAsia" w:eastAsiaTheme="minorEastAsia"/>
          <w:color w:val="auto"/>
          <w:kern w:val="0"/>
          <w:szCs w:val="21"/>
        </w:rPr>
        <w:t>责人</w:t>
      </w:r>
      <w:r>
        <w:rPr>
          <w:rFonts w:hint="eastAsia" w:cs="微软雅黑" w:asciiTheme="minorEastAsia" w:hAnsiTheme="minorEastAsia" w:eastAsiaTheme="minorEastAsia"/>
          <w:color w:val="auto"/>
          <w:spacing w:val="-2"/>
          <w:kern w:val="0"/>
          <w:szCs w:val="21"/>
        </w:rPr>
        <w:t>）</w:t>
      </w:r>
      <w:r>
        <w:rPr>
          <w:rFonts w:hint="eastAsia" w:ascii="宋体" w:hAnsi="宋体" w:cs="宋体"/>
          <w:color w:val="auto"/>
          <w:szCs w:val="21"/>
        </w:rPr>
        <w:t>为</w:t>
      </w:r>
      <w:r>
        <w:rPr>
          <w:rFonts w:hint="eastAsia" w:ascii="宋体" w:hAnsi="宋体" w:cs="宋体"/>
          <w:color w:val="auto"/>
          <w:szCs w:val="21"/>
          <w:u w:val="single"/>
        </w:rPr>
        <w:t xml:space="preserve"> </w:t>
      </w:r>
      <w:r>
        <w:rPr>
          <w:rFonts w:ascii="宋体" w:hAnsi="宋体" w:cs="宋体"/>
          <w:color w:val="auto"/>
          <w:szCs w:val="21"/>
          <w:u w:val="single"/>
        </w:rPr>
        <w:t xml:space="preserve">    </w:t>
      </w:r>
      <w:r>
        <w:rPr>
          <w:rFonts w:hint="eastAsia" w:ascii="宋体" w:hAnsi="宋体" w:cs="宋体"/>
          <w:color w:val="auto"/>
          <w:szCs w:val="21"/>
        </w:rPr>
        <w:t>，具有独立承担民事责任的能力。</w:t>
      </w:r>
    </w:p>
    <w:p w14:paraId="61D7B43E">
      <w:pPr>
        <w:widowControl/>
        <w:adjustRightInd w:val="0"/>
        <w:snapToGrid w:val="0"/>
        <w:spacing w:before="120" w:beforeLines="50" w:line="360" w:lineRule="auto"/>
        <w:ind w:firstLine="420" w:firstLineChars="200"/>
        <w:jc w:val="left"/>
        <w:rPr>
          <w:rFonts w:ascii="宋体" w:hAnsi="宋体" w:cs="宋体"/>
          <w:color w:val="auto"/>
          <w:szCs w:val="21"/>
        </w:rPr>
      </w:pPr>
      <w:r>
        <w:rPr>
          <w:rFonts w:hint="eastAsia" w:ascii="宋体" w:hAnsi="宋体" w:cs="宋体"/>
          <w:color w:val="auto"/>
          <w:szCs w:val="21"/>
        </w:rPr>
        <w:t>二、 我单位未被</w:t>
      </w:r>
      <w:r>
        <w:rPr>
          <w:rFonts w:ascii="宋体" w:hAnsi="宋体" w:cs="宋体"/>
          <w:color w:val="auto"/>
          <w:szCs w:val="21"/>
        </w:rPr>
        <w:t>“</w:t>
      </w:r>
      <w:r>
        <w:rPr>
          <w:rFonts w:hint="eastAsia" w:ascii="宋体" w:hAnsi="宋体" w:cs="宋体"/>
          <w:color w:val="auto"/>
          <w:szCs w:val="21"/>
        </w:rPr>
        <w:t>国家企业信用信息系统</w:t>
      </w:r>
      <w:r>
        <w:rPr>
          <w:rFonts w:ascii="宋体" w:hAnsi="宋体" w:cs="宋体"/>
          <w:color w:val="auto"/>
          <w:szCs w:val="21"/>
        </w:rPr>
        <w:t>”</w:t>
      </w:r>
      <w:r>
        <w:rPr>
          <w:rFonts w:hint="eastAsia" w:ascii="宋体" w:hAnsi="宋体" w:cs="宋体"/>
          <w:color w:val="auto"/>
          <w:szCs w:val="21"/>
        </w:rPr>
        <w:t>列入经营异常名录或者严重违法企业名单。</w:t>
      </w:r>
    </w:p>
    <w:p w14:paraId="2B2A97A6">
      <w:pPr>
        <w:widowControl/>
        <w:adjustRightInd w:val="0"/>
        <w:snapToGrid w:val="0"/>
        <w:spacing w:before="120" w:beforeLines="50" w:line="360" w:lineRule="auto"/>
        <w:ind w:firstLine="420" w:firstLineChars="200"/>
        <w:jc w:val="left"/>
        <w:rPr>
          <w:rFonts w:ascii="宋体" w:hAnsi="宋体" w:cs="宋体"/>
          <w:color w:val="auto"/>
          <w:szCs w:val="21"/>
        </w:rPr>
      </w:pPr>
      <w:r>
        <w:rPr>
          <w:rFonts w:hint="eastAsia" w:ascii="宋体" w:hAnsi="宋体" w:cs="宋体"/>
          <w:color w:val="auto"/>
          <w:szCs w:val="21"/>
        </w:rPr>
        <w:t>三、我单位具有良好的商业信誉和健全的财务会计制度。</w:t>
      </w:r>
    </w:p>
    <w:p w14:paraId="1C088F14">
      <w:pPr>
        <w:widowControl/>
        <w:adjustRightInd w:val="0"/>
        <w:snapToGrid w:val="0"/>
        <w:spacing w:before="120" w:beforeLines="50" w:line="360" w:lineRule="auto"/>
        <w:ind w:firstLine="420" w:firstLineChars="200"/>
        <w:jc w:val="left"/>
        <w:rPr>
          <w:rFonts w:ascii="宋体" w:hAnsi="宋体" w:cs="宋体"/>
          <w:color w:val="auto"/>
          <w:szCs w:val="21"/>
        </w:rPr>
      </w:pPr>
      <w:r>
        <w:rPr>
          <w:rFonts w:hint="eastAsia" w:ascii="宋体" w:hAnsi="宋体" w:cs="宋体"/>
          <w:color w:val="auto"/>
          <w:kern w:val="0"/>
          <w:szCs w:val="21"/>
        </w:rPr>
        <w:t>四、我</w:t>
      </w:r>
      <w:r>
        <w:rPr>
          <w:rFonts w:hint="eastAsia" w:ascii="宋体" w:hAnsi="宋体" w:cs="宋体"/>
          <w:color w:val="auto"/>
          <w:szCs w:val="21"/>
        </w:rPr>
        <w:t>单位</w:t>
      </w:r>
      <w:r>
        <w:rPr>
          <w:rFonts w:hint="eastAsia" w:ascii="宋体" w:hAnsi="宋体" w:cs="宋体"/>
          <w:color w:val="auto"/>
          <w:kern w:val="0"/>
          <w:szCs w:val="21"/>
        </w:rPr>
        <w:t>依法进行纳税和社会保险申报并实际履行了义务。</w:t>
      </w:r>
    </w:p>
    <w:p w14:paraId="0F65A898">
      <w:pPr>
        <w:widowControl/>
        <w:adjustRightInd w:val="0"/>
        <w:snapToGrid w:val="0"/>
        <w:spacing w:before="120" w:beforeLines="50" w:line="360" w:lineRule="auto"/>
        <w:ind w:firstLine="420" w:firstLineChars="200"/>
        <w:jc w:val="left"/>
        <w:rPr>
          <w:rFonts w:ascii="宋体" w:hAnsi="宋体" w:cs="宋体"/>
          <w:color w:val="auto"/>
          <w:kern w:val="0"/>
          <w:szCs w:val="21"/>
        </w:rPr>
      </w:pPr>
      <w:r>
        <w:rPr>
          <w:rFonts w:hint="eastAsia" w:ascii="宋体" w:hAnsi="宋体" w:cs="宋体"/>
          <w:color w:val="auto"/>
          <w:kern w:val="0"/>
          <w:szCs w:val="21"/>
        </w:rPr>
        <w:t>五、</w:t>
      </w:r>
      <w:r>
        <w:rPr>
          <w:rFonts w:hint="eastAsia" w:ascii="宋体" w:hAnsi="宋体" w:cs="宋体"/>
          <w:color w:val="auto"/>
          <w:szCs w:val="21"/>
        </w:rPr>
        <w:t>我单位具有履行本项目采购合同所必需的设备和专业技术能力，并具有履行合同的良好</w:t>
      </w:r>
      <w:r>
        <w:rPr>
          <w:rFonts w:asciiTheme="minorEastAsia" w:hAnsiTheme="minorEastAsia" w:eastAsiaTheme="minorEastAsia"/>
          <w:color w:val="auto"/>
          <w:szCs w:val="21"/>
        </w:rPr>
        <w:t>记录</w:t>
      </w:r>
      <w:r>
        <w:rPr>
          <w:rFonts w:hint="eastAsia" w:ascii="宋体" w:hAnsi="宋体" w:cs="宋体"/>
          <w:color w:val="auto"/>
          <w:szCs w:val="21"/>
        </w:rPr>
        <w:t>。</w:t>
      </w:r>
    </w:p>
    <w:p w14:paraId="4A0176C8">
      <w:pPr>
        <w:widowControl/>
        <w:adjustRightInd w:val="0"/>
        <w:snapToGrid w:val="0"/>
        <w:spacing w:before="120" w:beforeLines="50" w:line="360" w:lineRule="auto"/>
        <w:ind w:firstLine="420" w:firstLineChars="200"/>
        <w:jc w:val="left"/>
        <w:rPr>
          <w:rFonts w:ascii="宋体" w:hAnsi="宋体" w:cs="宋体"/>
          <w:color w:val="auto"/>
          <w:szCs w:val="21"/>
        </w:rPr>
      </w:pPr>
      <w:r>
        <w:rPr>
          <w:rFonts w:hint="eastAsia" w:ascii="宋体" w:hAnsi="宋体" w:cs="宋体"/>
          <w:color w:val="auto"/>
          <w:szCs w:val="21"/>
        </w:rPr>
        <w:t>六、我单位在参加采购项目政府采购活动前三年内，在经营活动中，未因违法经营受到刑事处罚或者责令停产停业、吊销许可证或者执照、较大数额罚款等行政处罚。其中较大数额罚款是指：财库【2022】3号文规定的：“《中华人民共和国政府采购法实施条例》第十九条第一款规定的“较大数额认定为200万元以上的罚款。法律、行政法规以及国务院有关部门明确规定相关领域“较大数额罚款”标准高于200万元的，从其规定”。</w:t>
      </w:r>
    </w:p>
    <w:p w14:paraId="3536ACE6">
      <w:pPr>
        <w:widowControl/>
        <w:adjustRightInd w:val="0"/>
        <w:snapToGrid w:val="0"/>
        <w:spacing w:before="120" w:beforeLines="50" w:line="360" w:lineRule="auto"/>
        <w:ind w:firstLine="420" w:firstLineChars="200"/>
        <w:jc w:val="left"/>
        <w:rPr>
          <w:rFonts w:ascii="宋体" w:hAnsi="宋体" w:cs="宋体"/>
          <w:color w:val="auto"/>
          <w:szCs w:val="21"/>
        </w:rPr>
      </w:pPr>
      <w:r>
        <w:rPr>
          <w:rFonts w:hint="eastAsia" w:ascii="宋体" w:hAnsi="宋体" w:cs="宋体"/>
          <w:color w:val="auto"/>
          <w:szCs w:val="21"/>
        </w:rPr>
        <w:t>（投标人在参加政府采购活动前3年内因违法经营被禁止在一定期限内参加政府采购活动，期限届满的，可以参加政府采购活动。）</w:t>
      </w:r>
    </w:p>
    <w:p w14:paraId="0D93D005">
      <w:pPr>
        <w:widowControl/>
        <w:adjustRightInd w:val="0"/>
        <w:snapToGrid w:val="0"/>
        <w:spacing w:before="120" w:beforeLines="50" w:line="360" w:lineRule="auto"/>
        <w:ind w:firstLine="420" w:firstLineChars="200"/>
        <w:jc w:val="left"/>
        <w:rPr>
          <w:rFonts w:ascii="宋体" w:hAnsi="宋体" w:cs="宋体"/>
          <w:color w:val="auto"/>
          <w:szCs w:val="21"/>
        </w:rPr>
      </w:pPr>
      <w:r>
        <w:rPr>
          <w:rFonts w:hint="eastAsia" w:ascii="宋体" w:hAnsi="宋体" w:cs="宋体"/>
          <w:color w:val="auto"/>
          <w:szCs w:val="21"/>
        </w:rPr>
        <w:t>七、我单位具备法律、行政法规规定的其他条件。</w:t>
      </w:r>
    </w:p>
    <w:p w14:paraId="7AA008D5">
      <w:pPr>
        <w:widowControl/>
        <w:adjustRightInd w:val="0"/>
        <w:snapToGrid w:val="0"/>
        <w:spacing w:before="120" w:beforeLines="50" w:line="360" w:lineRule="auto"/>
        <w:ind w:firstLine="420" w:firstLineChars="200"/>
        <w:jc w:val="left"/>
        <w:rPr>
          <w:color w:val="auto"/>
          <w:szCs w:val="21"/>
        </w:rPr>
      </w:pPr>
      <w:r>
        <w:rPr>
          <w:rFonts w:hint="eastAsia" w:ascii="宋体" w:hAnsi="宋体" w:cs="宋体"/>
          <w:color w:val="auto"/>
          <w:szCs w:val="21"/>
        </w:rPr>
        <w:t>八、</w:t>
      </w:r>
      <w:r>
        <w:rPr>
          <w:rFonts w:hint="eastAsia"/>
          <w:color w:val="auto"/>
          <w:szCs w:val="21"/>
        </w:rPr>
        <w:t>与我单位存在“单位负责人为同一人或者存在直接控股、管理关系”的其他单位信息如下（如无，填写“无”）：</w:t>
      </w:r>
    </w:p>
    <w:p w14:paraId="687FDC58">
      <w:pPr>
        <w:adjustRightInd w:val="0"/>
        <w:snapToGrid w:val="0"/>
        <w:spacing w:before="120" w:beforeLines="50" w:line="360" w:lineRule="auto"/>
        <w:ind w:firstLine="420" w:firstLineChars="200"/>
        <w:rPr>
          <w:color w:val="auto"/>
          <w:szCs w:val="21"/>
        </w:rPr>
      </w:pPr>
      <w:r>
        <w:rPr>
          <w:rFonts w:hint="eastAsia" w:asciiTheme="minorEastAsia" w:hAnsiTheme="minorEastAsia" w:eastAsiaTheme="minorEastAsia"/>
          <w:color w:val="auto"/>
          <w:szCs w:val="21"/>
        </w:rPr>
        <w:t>1、</w:t>
      </w:r>
      <w:r>
        <w:rPr>
          <w:rFonts w:hint="eastAsia"/>
          <w:color w:val="auto"/>
          <w:szCs w:val="21"/>
        </w:rPr>
        <w:t>与我单位的法定代表人（单位负责人）为同一人的其他单位如下：</w:t>
      </w:r>
      <w:r>
        <w:rPr>
          <w:rFonts w:hint="eastAsia" w:asciiTheme="minorEastAsia" w:hAnsiTheme="minorEastAsia" w:eastAsiaTheme="minorEastAsia"/>
          <w:color w:val="auto"/>
          <w:szCs w:val="21"/>
          <w:u w:val="single"/>
        </w:rPr>
        <w:t xml:space="preserve"> </w:t>
      </w:r>
      <w:r>
        <w:rPr>
          <w:rFonts w:asciiTheme="minorEastAsia" w:hAnsiTheme="minorEastAsia" w:eastAsiaTheme="minorEastAsia"/>
          <w:color w:val="auto"/>
          <w:szCs w:val="21"/>
          <w:u w:val="single"/>
        </w:rPr>
        <w:t xml:space="preserve">                   </w:t>
      </w:r>
    </w:p>
    <w:p w14:paraId="0C351DAC">
      <w:pPr>
        <w:adjustRightInd w:val="0"/>
        <w:snapToGrid w:val="0"/>
        <w:spacing w:before="120" w:beforeLines="50" w:line="360" w:lineRule="auto"/>
        <w:ind w:firstLine="420" w:firstLineChars="200"/>
        <w:rPr>
          <w:rFonts w:asciiTheme="minorEastAsia" w:hAnsiTheme="minorEastAsia" w:eastAsiaTheme="minorEastAsia"/>
          <w:color w:val="auto"/>
          <w:szCs w:val="21"/>
          <w:u w:val="single"/>
        </w:rPr>
      </w:pPr>
      <w:r>
        <w:rPr>
          <w:rFonts w:hint="eastAsia" w:asciiTheme="minorEastAsia" w:hAnsiTheme="minorEastAsia" w:eastAsiaTheme="minorEastAsia"/>
          <w:color w:val="auto"/>
          <w:szCs w:val="21"/>
        </w:rPr>
        <w:t>2、我</w:t>
      </w:r>
      <w:r>
        <w:rPr>
          <w:rFonts w:hint="eastAsia"/>
          <w:color w:val="auto"/>
          <w:szCs w:val="21"/>
        </w:rPr>
        <w:t>单位</w:t>
      </w:r>
      <w:r>
        <w:rPr>
          <w:rFonts w:hint="eastAsia" w:asciiTheme="minorEastAsia" w:hAnsiTheme="minorEastAsia" w:eastAsiaTheme="minorEastAsia"/>
          <w:color w:val="auto"/>
          <w:szCs w:val="21"/>
        </w:rPr>
        <w:t>直接控股的其他单位如下：</w:t>
      </w:r>
      <w:r>
        <w:rPr>
          <w:rFonts w:hint="eastAsia" w:asciiTheme="minorEastAsia" w:hAnsiTheme="minorEastAsia" w:eastAsiaTheme="minorEastAsia"/>
          <w:color w:val="auto"/>
          <w:szCs w:val="21"/>
          <w:u w:val="single"/>
        </w:rPr>
        <w:t xml:space="preserve"> </w:t>
      </w:r>
      <w:r>
        <w:rPr>
          <w:rFonts w:asciiTheme="minorEastAsia" w:hAnsiTheme="minorEastAsia" w:eastAsiaTheme="minorEastAsia"/>
          <w:color w:val="auto"/>
          <w:szCs w:val="21"/>
          <w:u w:val="single"/>
        </w:rPr>
        <w:t xml:space="preserve">                                              </w:t>
      </w:r>
    </w:p>
    <w:p w14:paraId="6CC01311">
      <w:pPr>
        <w:adjustRightInd w:val="0"/>
        <w:snapToGrid w:val="0"/>
        <w:spacing w:before="120" w:beforeLines="50" w:line="360" w:lineRule="auto"/>
        <w:ind w:firstLine="420" w:firstLineChars="200"/>
        <w:rPr>
          <w:rFonts w:asciiTheme="minorEastAsia" w:hAnsiTheme="minorEastAsia" w:eastAsiaTheme="minorEastAsia"/>
          <w:color w:val="auto"/>
          <w:szCs w:val="21"/>
          <w:u w:val="single"/>
        </w:rPr>
      </w:pPr>
      <w:r>
        <w:rPr>
          <w:rFonts w:hint="eastAsia" w:asciiTheme="minorEastAsia" w:hAnsiTheme="minorEastAsia" w:eastAsiaTheme="minorEastAsia"/>
          <w:color w:val="auto"/>
          <w:szCs w:val="21"/>
        </w:rPr>
        <w:t>3、与我</w:t>
      </w:r>
      <w:r>
        <w:rPr>
          <w:rFonts w:hint="eastAsia"/>
          <w:color w:val="auto"/>
          <w:szCs w:val="21"/>
        </w:rPr>
        <w:t>单位存在</w:t>
      </w:r>
      <w:r>
        <w:rPr>
          <w:rFonts w:hint="eastAsia" w:asciiTheme="minorEastAsia" w:hAnsiTheme="minorEastAsia" w:eastAsiaTheme="minorEastAsia"/>
          <w:color w:val="auto"/>
          <w:szCs w:val="21"/>
        </w:rPr>
        <w:t>管理关系的其他单位如下：</w:t>
      </w:r>
      <w:r>
        <w:rPr>
          <w:rFonts w:hint="eastAsia" w:asciiTheme="minorEastAsia" w:hAnsiTheme="minorEastAsia" w:eastAsiaTheme="minorEastAsia"/>
          <w:color w:val="auto"/>
          <w:szCs w:val="21"/>
          <w:u w:val="single"/>
        </w:rPr>
        <w:t xml:space="preserve"> </w:t>
      </w:r>
      <w:r>
        <w:rPr>
          <w:rFonts w:asciiTheme="minorEastAsia" w:hAnsiTheme="minorEastAsia" w:eastAsiaTheme="minorEastAsia"/>
          <w:color w:val="auto"/>
          <w:szCs w:val="21"/>
          <w:u w:val="single"/>
        </w:rPr>
        <w:t xml:space="preserve">                                        </w:t>
      </w:r>
    </w:p>
    <w:p w14:paraId="1FA86D3C">
      <w:pPr>
        <w:adjustRightInd w:val="0"/>
        <w:snapToGrid w:val="0"/>
        <w:spacing w:before="120" w:beforeLines="50" w:line="360" w:lineRule="auto"/>
        <w:ind w:firstLine="420" w:firstLineChars="200"/>
        <w:rPr>
          <w:color w:val="auto"/>
          <w:szCs w:val="21"/>
        </w:rPr>
      </w:pPr>
      <w:r>
        <w:rPr>
          <w:rFonts w:hint="eastAsia"/>
          <w:color w:val="auto"/>
          <w:szCs w:val="21"/>
        </w:rPr>
        <w:t>我单位郑重声明：我单位未与上述存在关联关系的单位同时参加本项目同一合同项下（同一包号）的招标采购活动。</w:t>
      </w:r>
    </w:p>
    <w:p w14:paraId="1B736C98">
      <w:pPr>
        <w:widowControl/>
        <w:adjustRightInd w:val="0"/>
        <w:snapToGrid w:val="0"/>
        <w:spacing w:before="120" w:beforeLines="50" w:line="360" w:lineRule="auto"/>
        <w:ind w:firstLine="420" w:firstLineChars="200"/>
        <w:jc w:val="left"/>
        <w:rPr>
          <w:color w:val="auto"/>
          <w:szCs w:val="21"/>
        </w:rPr>
      </w:pPr>
      <w:r>
        <w:rPr>
          <w:rFonts w:hint="eastAsia" w:ascii="宋体" w:hAnsi="宋体" w:cs="宋体"/>
          <w:color w:val="auto"/>
          <w:kern w:val="0"/>
          <w:szCs w:val="21"/>
        </w:rPr>
        <w:t>九、</w:t>
      </w:r>
      <w:r>
        <w:rPr>
          <w:rFonts w:asciiTheme="minorEastAsia" w:hAnsiTheme="minorEastAsia" w:eastAsiaTheme="minorEastAsia"/>
          <w:color w:val="auto"/>
          <w:szCs w:val="21"/>
        </w:rPr>
        <w:t>我</w:t>
      </w:r>
      <w:r>
        <w:rPr>
          <w:rFonts w:hint="eastAsia" w:asciiTheme="minorEastAsia" w:hAnsiTheme="minorEastAsia" w:eastAsiaTheme="minorEastAsia"/>
          <w:color w:val="auto"/>
          <w:szCs w:val="21"/>
        </w:rPr>
        <w:t>单位</w:t>
      </w:r>
      <w:r>
        <w:rPr>
          <w:rFonts w:asciiTheme="minorEastAsia" w:hAnsiTheme="minorEastAsia" w:eastAsiaTheme="minorEastAsia"/>
          <w:color w:val="auto"/>
          <w:szCs w:val="21"/>
        </w:rPr>
        <w:t>不属于为本项目提供整体设计、规范编制或者项目管理、监理、检测等服务的</w:t>
      </w:r>
      <w:r>
        <w:rPr>
          <w:rFonts w:hint="eastAsia" w:asciiTheme="minorEastAsia" w:hAnsiTheme="minorEastAsia" w:eastAsiaTheme="minorEastAsia"/>
          <w:color w:val="auto"/>
          <w:szCs w:val="21"/>
        </w:rPr>
        <w:t>供应商</w:t>
      </w:r>
      <w:r>
        <w:rPr>
          <w:rFonts w:asciiTheme="minorEastAsia" w:hAnsiTheme="minorEastAsia" w:eastAsiaTheme="minorEastAsia"/>
          <w:color w:val="auto"/>
          <w:szCs w:val="21"/>
        </w:rPr>
        <w:t>。</w:t>
      </w:r>
    </w:p>
    <w:p w14:paraId="3619B5DF">
      <w:pPr>
        <w:widowControl/>
        <w:adjustRightInd w:val="0"/>
        <w:snapToGrid w:val="0"/>
        <w:spacing w:before="120" w:beforeLines="50" w:line="360" w:lineRule="auto"/>
        <w:ind w:firstLine="420" w:firstLineChars="200"/>
        <w:jc w:val="left"/>
        <w:rPr>
          <w:rFonts w:asciiTheme="minorEastAsia" w:hAnsiTheme="minorEastAsia" w:eastAsiaTheme="minorEastAsia"/>
          <w:color w:val="auto"/>
          <w:szCs w:val="21"/>
        </w:rPr>
      </w:pPr>
      <w:r>
        <w:rPr>
          <w:rFonts w:hint="eastAsia" w:ascii="宋体" w:hAnsi="宋体"/>
          <w:color w:val="auto"/>
          <w:szCs w:val="21"/>
        </w:rPr>
        <w:t>十、</w:t>
      </w:r>
      <w:r>
        <w:rPr>
          <w:rFonts w:asciiTheme="minorEastAsia" w:hAnsiTheme="minorEastAsia" w:eastAsiaTheme="minorEastAsia"/>
          <w:color w:val="auto"/>
          <w:szCs w:val="21"/>
        </w:rPr>
        <w:t>我单位无以下不良信用记录情形：</w:t>
      </w:r>
    </w:p>
    <w:p w14:paraId="1362FDC3">
      <w:pPr>
        <w:widowControl/>
        <w:adjustRightInd w:val="0"/>
        <w:snapToGrid w:val="0"/>
        <w:spacing w:before="120" w:beforeLines="50" w:line="360" w:lineRule="auto"/>
        <w:ind w:firstLine="420" w:firstLineChars="200"/>
        <w:jc w:val="left"/>
        <w:rPr>
          <w:rFonts w:asciiTheme="minorEastAsia" w:hAnsiTheme="minorEastAsia" w:eastAsiaTheme="minorEastAsia"/>
          <w:color w:val="auto"/>
          <w:szCs w:val="21"/>
        </w:rPr>
      </w:pPr>
      <w:r>
        <w:rPr>
          <w:rFonts w:asciiTheme="minorEastAsia" w:hAnsiTheme="minorEastAsia" w:eastAsiaTheme="minorEastAsia"/>
          <w:color w:val="auto"/>
          <w:szCs w:val="21"/>
        </w:rPr>
        <w:t>1</w:t>
      </w:r>
      <w:r>
        <w:rPr>
          <w:rFonts w:hint="eastAsia" w:asciiTheme="minorEastAsia" w:hAnsiTheme="minorEastAsia" w:eastAsiaTheme="minorEastAsia"/>
          <w:color w:val="auto"/>
          <w:szCs w:val="21"/>
        </w:rPr>
        <w:t>、在</w:t>
      </w:r>
      <w:r>
        <w:rPr>
          <w:rFonts w:hint="eastAsia" w:ascii="宋体" w:hAnsi="宋体" w:cs="宋体"/>
          <w:color w:val="auto"/>
          <w:szCs w:val="21"/>
        </w:rPr>
        <w:t>“信用中国”网站被列入失信被执行人和重大税收违法案件当事人名单；</w:t>
      </w:r>
    </w:p>
    <w:p w14:paraId="57ADDBD5">
      <w:pPr>
        <w:widowControl/>
        <w:adjustRightInd w:val="0"/>
        <w:snapToGrid w:val="0"/>
        <w:spacing w:before="120" w:beforeLines="50" w:line="360" w:lineRule="auto"/>
        <w:ind w:firstLine="420" w:firstLineChars="200"/>
        <w:jc w:val="left"/>
        <w:rPr>
          <w:rFonts w:ascii="宋体" w:hAnsi="宋体" w:cs="宋体"/>
          <w:color w:val="auto"/>
          <w:szCs w:val="21"/>
        </w:rPr>
      </w:pPr>
      <w:r>
        <w:rPr>
          <w:rFonts w:asciiTheme="minorEastAsia" w:hAnsiTheme="minorEastAsia" w:eastAsiaTheme="minorEastAsia"/>
          <w:color w:val="auto"/>
          <w:szCs w:val="21"/>
        </w:rPr>
        <w:t>2</w:t>
      </w:r>
      <w:r>
        <w:rPr>
          <w:rFonts w:hint="eastAsia" w:asciiTheme="minorEastAsia" w:hAnsiTheme="minorEastAsia" w:eastAsiaTheme="minorEastAsia"/>
          <w:color w:val="auto"/>
          <w:szCs w:val="21"/>
        </w:rPr>
        <w:t>、在</w:t>
      </w:r>
      <w:r>
        <w:rPr>
          <w:rFonts w:hint="eastAsia" w:ascii="宋体" w:hAnsi="宋体" w:cs="宋体"/>
          <w:color w:val="auto"/>
          <w:szCs w:val="21"/>
        </w:rPr>
        <w:t>“中国政府采购网”网站被列入政府采购严重违法失信行为记录名单；</w:t>
      </w:r>
    </w:p>
    <w:p w14:paraId="43D76AD9">
      <w:pPr>
        <w:widowControl/>
        <w:adjustRightInd w:val="0"/>
        <w:snapToGrid w:val="0"/>
        <w:spacing w:before="120" w:beforeLines="50" w:line="360" w:lineRule="auto"/>
        <w:ind w:firstLine="420" w:firstLineChars="200"/>
        <w:jc w:val="left"/>
        <w:rPr>
          <w:rFonts w:asciiTheme="minorEastAsia" w:hAnsiTheme="minorEastAsia" w:eastAsiaTheme="minorEastAsia"/>
          <w:color w:val="auto"/>
          <w:szCs w:val="21"/>
        </w:rPr>
      </w:pPr>
      <w:r>
        <w:rPr>
          <w:rFonts w:hint="eastAsia" w:ascii="宋体" w:hAnsi="宋体" w:cs="宋体"/>
          <w:color w:val="auto"/>
          <w:szCs w:val="21"/>
        </w:rPr>
        <w:t>3、</w:t>
      </w:r>
      <w:r>
        <w:rPr>
          <w:rFonts w:hint="eastAsia" w:asciiTheme="minorEastAsia" w:hAnsiTheme="minorEastAsia"/>
          <w:color w:val="auto"/>
          <w:szCs w:val="21"/>
        </w:rPr>
        <w:t>在《全国医药价格和招采失信企业风险警示名单》被列入医药价格和招采信用评级等级为“中等”、“严重”及"特别严重”企业名单的；</w:t>
      </w:r>
    </w:p>
    <w:p w14:paraId="3A2AD2F6">
      <w:pPr>
        <w:widowControl/>
        <w:adjustRightInd w:val="0"/>
        <w:snapToGrid w:val="0"/>
        <w:spacing w:before="120" w:beforeLines="50" w:line="360" w:lineRule="auto"/>
        <w:ind w:firstLine="420" w:firstLineChars="200"/>
        <w:jc w:val="left"/>
        <w:rPr>
          <w:rFonts w:asciiTheme="minorEastAsia" w:hAnsiTheme="minorEastAsia" w:eastAsiaTheme="minorEastAsia"/>
          <w:color w:val="auto"/>
          <w:szCs w:val="21"/>
        </w:rPr>
      </w:pPr>
      <w:r>
        <w:rPr>
          <w:rFonts w:asciiTheme="minorEastAsia" w:hAnsiTheme="minorEastAsia" w:eastAsiaTheme="minorEastAsia"/>
          <w:color w:val="auto"/>
          <w:szCs w:val="21"/>
        </w:rPr>
        <w:t>4</w:t>
      </w:r>
      <w:r>
        <w:rPr>
          <w:rFonts w:hint="eastAsia" w:asciiTheme="minorEastAsia" w:hAnsiTheme="minorEastAsia" w:eastAsiaTheme="minorEastAsia"/>
          <w:color w:val="auto"/>
          <w:szCs w:val="21"/>
        </w:rPr>
        <w:t>、</w:t>
      </w:r>
      <w:r>
        <w:rPr>
          <w:rFonts w:asciiTheme="minorEastAsia" w:hAnsiTheme="minorEastAsia" w:eastAsiaTheme="minorEastAsia"/>
          <w:color w:val="auto"/>
          <w:szCs w:val="21"/>
        </w:rPr>
        <w:t>不符合《政府采购法》第二十二条规定的条件。</w:t>
      </w:r>
    </w:p>
    <w:p w14:paraId="17EBEFD3">
      <w:pPr>
        <w:widowControl/>
        <w:adjustRightInd w:val="0"/>
        <w:snapToGrid w:val="0"/>
        <w:spacing w:before="120" w:beforeLines="50" w:line="360" w:lineRule="auto"/>
        <w:ind w:firstLine="420" w:firstLineChars="200"/>
        <w:jc w:val="left"/>
        <w:rPr>
          <w:rFonts w:ascii="宋体" w:hAnsi="宋体" w:cs="宋体"/>
          <w:color w:val="auto"/>
          <w:szCs w:val="21"/>
        </w:rPr>
      </w:pPr>
      <w:r>
        <w:rPr>
          <w:rFonts w:hint="eastAsia" w:ascii="宋体" w:hAnsi="宋体" w:cs="宋体"/>
          <w:color w:val="auto"/>
          <w:szCs w:val="21"/>
        </w:rPr>
        <w:t>我单位保证上述声明的事项都是真实的，如有虚假，我单位愿意承担相应的法律责任，并承担因此所造成的一切损失。</w:t>
      </w:r>
    </w:p>
    <w:p w14:paraId="515C3DEE">
      <w:pPr>
        <w:widowControl/>
        <w:adjustRightInd w:val="0"/>
        <w:snapToGrid w:val="0"/>
        <w:spacing w:before="120" w:beforeLines="50" w:line="360" w:lineRule="auto"/>
        <w:ind w:firstLine="420" w:firstLineChars="200"/>
        <w:jc w:val="left"/>
        <w:rPr>
          <w:rFonts w:ascii="宋体" w:hAnsi="宋体" w:cs="宋体"/>
          <w:color w:val="auto"/>
          <w:kern w:val="0"/>
          <w:szCs w:val="21"/>
        </w:rPr>
      </w:pPr>
      <w:r>
        <w:rPr>
          <w:rFonts w:hint="eastAsia" w:ascii="宋体" w:hAnsi="宋体" w:cs="宋体"/>
          <w:color w:val="auto"/>
          <w:szCs w:val="21"/>
        </w:rPr>
        <w:t>十一、我单位及单位的在职人员与采购人单位及采购人单位在职人员无任何存在影响本次采购项目公正性和公平性的关联关系。</w:t>
      </w:r>
    </w:p>
    <w:p w14:paraId="5AC0A9DA">
      <w:pPr>
        <w:widowControl/>
        <w:adjustRightInd w:val="0"/>
        <w:snapToGrid w:val="0"/>
        <w:spacing w:before="120" w:beforeLines="50" w:line="360" w:lineRule="auto"/>
        <w:jc w:val="left"/>
        <w:rPr>
          <w:rFonts w:ascii="宋体" w:hAnsi="宋体" w:cs="宋体"/>
          <w:color w:val="auto"/>
          <w:szCs w:val="21"/>
        </w:rPr>
      </w:pPr>
    </w:p>
    <w:p w14:paraId="2C40FA98">
      <w:pPr>
        <w:widowControl/>
        <w:adjustRightInd w:val="0"/>
        <w:snapToGrid w:val="0"/>
        <w:spacing w:before="120" w:beforeLines="50" w:line="360" w:lineRule="auto"/>
        <w:jc w:val="left"/>
        <w:rPr>
          <w:rFonts w:ascii="宋体" w:hAnsi="宋体" w:cs="宋体"/>
          <w:color w:val="auto"/>
          <w:szCs w:val="21"/>
        </w:rPr>
      </w:pPr>
      <w:r>
        <w:rPr>
          <w:rFonts w:hint="eastAsia" w:cs="宋体" w:asciiTheme="minorEastAsia" w:hAnsiTheme="minorEastAsia" w:eastAsiaTheme="minorEastAsia"/>
          <w:color w:val="auto"/>
          <w:szCs w:val="21"/>
        </w:rPr>
        <w:t>注：第三条“良好的商业信誉”是指投标人无本资格声明第十条情形。</w:t>
      </w:r>
    </w:p>
    <w:p w14:paraId="53DA705C">
      <w:pPr>
        <w:widowControl/>
        <w:adjustRightInd w:val="0"/>
        <w:snapToGrid w:val="0"/>
        <w:spacing w:before="120" w:beforeLines="50" w:line="360" w:lineRule="auto"/>
        <w:jc w:val="left"/>
        <w:rPr>
          <w:rFonts w:ascii="宋体" w:hAnsi="宋体" w:cs="宋体"/>
          <w:color w:val="auto"/>
          <w:szCs w:val="21"/>
        </w:rPr>
      </w:pPr>
    </w:p>
    <w:p w14:paraId="7E155CC6">
      <w:pPr>
        <w:widowControl/>
        <w:adjustRightInd w:val="0"/>
        <w:snapToGrid w:val="0"/>
        <w:spacing w:line="360" w:lineRule="auto"/>
        <w:jc w:val="left"/>
        <w:rPr>
          <w:rFonts w:ascii="宋体" w:hAnsi="宋体" w:cs="宋体"/>
          <w:color w:val="auto"/>
          <w:kern w:val="0"/>
          <w:szCs w:val="21"/>
        </w:rPr>
      </w:pPr>
      <w:r>
        <w:rPr>
          <w:rFonts w:hint="eastAsia" w:ascii="宋体" w:hAnsi="宋体" w:cs="宋体"/>
          <w:color w:val="auto"/>
          <w:szCs w:val="21"/>
        </w:rPr>
        <w:t>投标人名称（盖单位公章）：</w:t>
      </w:r>
    </w:p>
    <w:p w14:paraId="14951297">
      <w:pPr>
        <w:widowControl/>
        <w:adjustRightInd w:val="0"/>
        <w:snapToGrid w:val="0"/>
        <w:spacing w:line="360" w:lineRule="auto"/>
        <w:jc w:val="left"/>
        <w:rPr>
          <w:rFonts w:ascii="宋体" w:hAnsi="宋体" w:cs="宋体"/>
          <w:b/>
          <w:bCs/>
          <w:color w:val="auto"/>
          <w:kern w:val="0"/>
          <w:sz w:val="44"/>
          <w:szCs w:val="44"/>
        </w:rPr>
      </w:pPr>
      <w:r>
        <w:rPr>
          <w:rFonts w:hint="eastAsia" w:cs="微软雅黑" w:asciiTheme="minorEastAsia" w:hAnsiTheme="minorEastAsia" w:eastAsiaTheme="minorEastAsia"/>
          <w:color w:val="auto"/>
          <w:spacing w:val="-2"/>
          <w:kern w:val="0"/>
          <w:szCs w:val="21"/>
        </w:rPr>
        <w:t>法</w:t>
      </w:r>
      <w:r>
        <w:rPr>
          <w:rFonts w:hint="eastAsia" w:cs="微软雅黑" w:asciiTheme="minorEastAsia" w:hAnsiTheme="minorEastAsia" w:eastAsiaTheme="minorEastAsia"/>
          <w:color w:val="auto"/>
          <w:kern w:val="0"/>
          <w:szCs w:val="21"/>
        </w:rPr>
        <w:t>定</w:t>
      </w:r>
      <w:r>
        <w:rPr>
          <w:rFonts w:hint="eastAsia" w:cs="微软雅黑" w:asciiTheme="minorEastAsia" w:hAnsiTheme="minorEastAsia" w:eastAsiaTheme="minorEastAsia"/>
          <w:color w:val="auto"/>
          <w:spacing w:val="-2"/>
          <w:kern w:val="0"/>
          <w:szCs w:val="21"/>
        </w:rPr>
        <w:t>代</w:t>
      </w:r>
      <w:r>
        <w:rPr>
          <w:rFonts w:hint="eastAsia" w:cs="微软雅黑" w:asciiTheme="minorEastAsia" w:hAnsiTheme="minorEastAsia" w:eastAsiaTheme="minorEastAsia"/>
          <w:color w:val="auto"/>
          <w:kern w:val="0"/>
          <w:szCs w:val="21"/>
        </w:rPr>
        <w:t>表</w:t>
      </w:r>
      <w:r>
        <w:rPr>
          <w:rFonts w:hint="eastAsia" w:cs="微软雅黑" w:asciiTheme="minorEastAsia" w:hAnsiTheme="minorEastAsia" w:eastAsiaTheme="minorEastAsia"/>
          <w:color w:val="auto"/>
          <w:spacing w:val="-2"/>
          <w:kern w:val="0"/>
          <w:szCs w:val="21"/>
        </w:rPr>
        <w:t>人</w:t>
      </w:r>
      <w:r>
        <w:rPr>
          <w:rFonts w:hint="eastAsia" w:cs="微软雅黑" w:asciiTheme="minorEastAsia" w:hAnsiTheme="minorEastAsia" w:eastAsiaTheme="minorEastAsia"/>
          <w:color w:val="auto"/>
          <w:kern w:val="0"/>
          <w:szCs w:val="21"/>
        </w:rPr>
        <w:t>（</w:t>
      </w:r>
      <w:r>
        <w:rPr>
          <w:rFonts w:hint="eastAsia" w:cs="微软雅黑" w:asciiTheme="minorEastAsia" w:hAnsiTheme="minorEastAsia" w:eastAsiaTheme="minorEastAsia"/>
          <w:color w:val="auto"/>
          <w:spacing w:val="-2"/>
          <w:kern w:val="0"/>
          <w:szCs w:val="21"/>
        </w:rPr>
        <w:t>单</w:t>
      </w:r>
      <w:r>
        <w:rPr>
          <w:rFonts w:hint="eastAsia" w:cs="微软雅黑" w:asciiTheme="minorEastAsia" w:hAnsiTheme="minorEastAsia" w:eastAsiaTheme="minorEastAsia"/>
          <w:color w:val="auto"/>
          <w:kern w:val="0"/>
          <w:szCs w:val="21"/>
        </w:rPr>
        <w:t>位</w:t>
      </w:r>
      <w:r>
        <w:rPr>
          <w:rFonts w:hint="eastAsia" w:cs="微软雅黑" w:asciiTheme="minorEastAsia" w:hAnsiTheme="minorEastAsia" w:eastAsiaTheme="minorEastAsia"/>
          <w:color w:val="auto"/>
          <w:spacing w:val="-2"/>
          <w:kern w:val="0"/>
          <w:szCs w:val="21"/>
        </w:rPr>
        <w:t>负</w:t>
      </w:r>
      <w:r>
        <w:rPr>
          <w:rFonts w:hint="eastAsia" w:cs="微软雅黑" w:asciiTheme="minorEastAsia" w:hAnsiTheme="minorEastAsia" w:eastAsiaTheme="minorEastAsia"/>
          <w:color w:val="auto"/>
          <w:kern w:val="0"/>
          <w:szCs w:val="21"/>
        </w:rPr>
        <w:t>责人</w:t>
      </w:r>
      <w:r>
        <w:rPr>
          <w:rFonts w:hint="eastAsia" w:cs="微软雅黑" w:asciiTheme="minorEastAsia" w:hAnsiTheme="minorEastAsia" w:eastAsiaTheme="minorEastAsia"/>
          <w:color w:val="auto"/>
          <w:spacing w:val="-2"/>
          <w:kern w:val="0"/>
          <w:szCs w:val="21"/>
        </w:rPr>
        <w:t>）</w:t>
      </w:r>
      <w:r>
        <w:rPr>
          <w:rFonts w:hint="eastAsia" w:asciiTheme="minorEastAsia" w:hAnsiTheme="minorEastAsia" w:eastAsiaTheme="minorEastAsia"/>
          <w:color w:val="auto"/>
        </w:rPr>
        <w:t>或委托代理人：（签字或印章）</w:t>
      </w:r>
    </w:p>
    <w:p w14:paraId="35F6EBAB">
      <w:pPr>
        <w:widowControl/>
        <w:jc w:val="left"/>
        <w:rPr>
          <w:rFonts w:ascii="黑体" w:hAnsi="仿宋" w:eastAsia="黑体" w:cs="宋体"/>
          <w:bCs/>
          <w:color w:val="auto"/>
          <w:szCs w:val="21"/>
        </w:rPr>
      </w:pPr>
      <w:r>
        <w:rPr>
          <w:rFonts w:hint="eastAsia" w:asciiTheme="minorEastAsia" w:hAnsiTheme="minorEastAsia" w:eastAsiaTheme="minorEastAsia"/>
          <w:color w:val="auto"/>
          <w:szCs w:val="21"/>
        </w:rPr>
        <w:t>日  期：     年   月   日</w:t>
      </w:r>
      <w:r>
        <w:rPr>
          <w:rFonts w:ascii="黑体" w:hAnsi="仿宋" w:cs="宋体"/>
          <w:b/>
          <w:color w:val="auto"/>
          <w:szCs w:val="21"/>
        </w:rPr>
        <w:br w:type="page"/>
      </w:r>
    </w:p>
    <w:p w14:paraId="5CBBDD88">
      <w:pPr>
        <w:pStyle w:val="5"/>
        <w:adjustRightInd w:val="0"/>
        <w:snapToGrid w:val="0"/>
        <w:spacing w:before="120" w:beforeLines="50" w:after="0" w:line="360" w:lineRule="auto"/>
        <w:rPr>
          <w:rFonts w:ascii="黑体" w:hAnsi="黑体"/>
          <w:color w:val="auto"/>
          <w:sz w:val="21"/>
          <w:szCs w:val="21"/>
        </w:rPr>
      </w:pPr>
      <w:bookmarkStart w:id="222" w:name="_Toc32104"/>
      <w:r>
        <w:rPr>
          <w:rFonts w:hint="eastAsia" w:ascii="黑体" w:hAnsi="黑体"/>
          <w:color w:val="auto"/>
          <w:sz w:val="21"/>
          <w:szCs w:val="21"/>
        </w:rPr>
        <w:t>附件4-3 符合特定资格条件证明材料复印件或者情况说明</w:t>
      </w:r>
      <w:bookmarkEnd w:id="222"/>
    </w:p>
    <w:p w14:paraId="2E2E7F27">
      <w:pPr>
        <w:widowControl/>
        <w:adjustRightInd w:val="0"/>
        <w:snapToGrid w:val="0"/>
        <w:spacing w:before="120" w:beforeLines="50" w:line="360" w:lineRule="auto"/>
        <w:jc w:val="center"/>
        <w:rPr>
          <w:rFonts w:ascii="黑体" w:hAnsi="仿宋" w:eastAsia="黑体" w:cs="宋体"/>
          <w:b/>
          <w:color w:val="auto"/>
          <w:sz w:val="28"/>
          <w:szCs w:val="28"/>
        </w:rPr>
      </w:pPr>
      <w:r>
        <w:rPr>
          <w:rFonts w:hint="eastAsia" w:ascii="黑体" w:hAnsi="仿宋" w:eastAsia="黑体" w:cs="宋体"/>
          <w:b/>
          <w:color w:val="auto"/>
          <w:sz w:val="28"/>
          <w:szCs w:val="28"/>
        </w:rPr>
        <w:t>符合特定资格条件证明材料复印件或者情况说明</w:t>
      </w:r>
    </w:p>
    <w:p w14:paraId="48D0BF5A">
      <w:pPr>
        <w:widowControl/>
        <w:adjustRightInd w:val="0"/>
        <w:snapToGrid w:val="0"/>
        <w:spacing w:before="120" w:beforeLines="50" w:line="360" w:lineRule="auto"/>
        <w:jc w:val="left"/>
        <w:rPr>
          <w:rFonts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注：按第二章第</w:t>
      </w:r>
      <w:r>
        <w:rPr>
          <w:rFonts w:cs="宋体" w:asciiTheme="minorEastAsia" w:hAnsiTheme="minorEastAsia" w:eastAsiaTheme="minorEastAsia"/>
          <w:color w:val="auto"/>
          <w:szCs w:val="21"/>
        </w:rPr>
        <w:t>1</w:t>
      </w:r>
      <w:r>
        <w:rPr>
          <w:rFonts w:hint="eastAsia" w:cs="宋体" w:asciiTheme="minorEastAsia" w:hAnsiTheme="minorEastAsia" w:eastAsiaTheme="minorEastAsia"/>
          <w:color w:val="auto"/>
          <w:szCs w:val="21"/>
        </w:rPr>
        <w:t>4</w:t>
      </w:r>
      <w:r>
        <w:rPr>
          <w:rFonts w:cs="宋体" w:asciiTheme="minorEastAsia" w:hAnsiTheme="minorEastAsia" w:eastAsiaTheme="minorEastAsia"/>
          <w:color w:val="auto"/>
          <w:szCs w:val="21"/>
        </w:rPr>
        <w:t>.1</w:t>
      </w:r>
      <w:r>
        <w:rPr>
          <w:rFonts w:hint="eastAsia" w:cs="宋体" w:asciiTheme="minorEastAsia" w:hAnsiTheme="minorEastAsia" w:eastAsiaTheme="minorEastAsia"/>
          <w:color w:val="auto"/>
          <w:szCs w:val="21"/>
        </w:rPr>
        <w:t>（3）项要求提供。</w:t>
      </w:r>
    </w:p>
    <w:p w14:paraId="0B49C4C7">
      <w:pPr>
        <w:widowControl/>
        <w:adjustRightInd w:val="0"/>
        <w:snapToGrid w:val="0"/>
        <w:spacing w:before="120" w:beforeLines="50" w:line="360" w:lineRule="auto"/>
        <w:jc w:val="left"/>
        <w:rPr>
          <w:rFonts w:cs="宋体" w:asciiTheme="minorEastAsia" w:hAnsiTheme="minorEastAsia" w:eastAsiaTheme="minorEastAsia"/>
          <w:color w:val="auto"/>
          <w:szCs w:val="21"/>
        </w:rPr>
      </w:pPr>
    </w:p>
    <w:p w14:paraId="280EBB0B">
      <w:pPr>
        <w:pStyle w:val="5"/>
        <w:adjustRightInd w:val="0"/>
        <w:snapToGrid w:val="0"/>
        <w:spacing w:before="120" w:beforeLines="50" w:after="0" w:line="360" w:lineRule="auto"/>
        <w:rPr>
          <w:rFonts w:ascii="黑体" w:hAnsi="黑体"/>
          <w:color w:val="auto"/>
          <w:sz w:val="21"/>
          <w:szCs w:val="21"/>
        </w:rPr>
      </w:pPr>
      <w:bookmarkStart w:id="223" w:name="_Toc9925"/>
      <w:r>
        <w:rPr>
          <w:rFonts w:hint="eastAsia" w:ascii="黑体" w:hAnsi="黑体"/>
          <w:color w:val="auto"/>
          <w:sz w:val="21"/>
          <w:szCs w:val="21"/>
        </w:rPr>
        <w:t>附件4-4 符合预留采购份额的证明文件</w:t>
      </w:r>
      <w:bookmarkEnd w:id="223"/>
    </w:p>
    <w:p w14:paraId="582A6A0A">
      <w:pPr>
        <w:adjustRightInd w:val="0"/>
        <w:snapToGrid w:val="0"/>
        <w:spacing w:before="120" w:beforeLines="50" w:line="360" w:lineRule="auto"/>
        <w:rPr>
          <w:rFonts w:asciiTheme="minorEastAsia" w:hAnsiTheme="minorEastAsia" w:eastAsiaTheme="minorEastAsia"/>
          <w:color w:val="auto"/>
        </w:rPr>
      </w:pPr>
      <w:r>
        <w:rPr>
          <w:rFonts w:hint="eastAsia" w:cs="宋体" w:asciiTheme="minorEastAsia" w:hAnsiTheme="minorEastAsia" w:eastAsiaTheme="minorEastAsia"/>
          <w:color w:val="auto"/>
          <w:szCs w:val="21"/>
        </w:rPr>
        <w:t>注：采购项目或者采购包属于“预留采购份额”的，投标人应按</w:t>
      </w:r>
      <w:r>
        <w:rPr>
          <w:rFonts w:hint="eastAsia" w:asciiTheme="minorEastAsia" w:hAnsiTheme="minorEastAsia" w:eastAsiaTheme="minorEastAsia"/>
          <w:color w:val="auto"/>
        </w:rPr>
        <w:t>第二章第</w:t>
      </w:r>
      <w:r>
        <w:rPr>
          <w:rFonts w:asciiTheme="minorEastAsia" w:hAnsiTheme="minorEastAsia" w:eastAsiaTheme="minorEastAsia"/>
          <w:color w:val="auto"/>
        </w:rPr>
        <w:t>1</w:t>
      </w:r>
      <w:r>
        <w:rPr>
          <w:rFonts w:hint="eastAsia" w:asciiTheme="minorEastAsia" w:hAnsiTheme="minorEastAsia" w:eastAsiaTheme="minorEastAsia"/>
          <w:color w:val="auto"/>
        </w:rPr>
        <w:t>4</w:t>
      </w:r>
      <w:r>
        <w:rPr>
          <w:rFonts w:asciiTheme="minorEastAsia" w:hAnsiTheme="minorEastAsia" w:eastAsiaTheme="minorEastAsia"/>
          <w:color w:val="auto"/>
        </w:rPr>
        <w:t>.3</w:t>
      </w:r>
      <w:r>
        <w:rPr>
          <w:rFonts w:hint="eastAsia" w:asciiTheme="minorEastAsia" w:hAnsiTheme="minorEastAsia" w:eastAsiaTheme="minorEastAsia"/>
          <w:color w:val="auto"/>
        </w:rPr>
        <w:t>款规定提供。</w:t>
      </w:r>
    </w:p>
    <w:p w14:paraId="6E32E1B0">
      <w:pPr>
        <w:pStyle w:val="6"/>
        <w:snapToGrid w:val="0"/>
        <w:spacing w:before="120" w:beforeLines="50" w:after="0" w:line="360" w:lineRule="auto"/>
        <w:rPr>
          <w:rFonts w:ascii="黑体" w:hAnsi="黑体" w:eastAsia="黑体"/>
          <w:color w:val="auto"/>
          <w:sz w:val="21"/>
          <w:szCs w:val="21"/>
        </w:rPr>
      </w:pPr>
      <w:bookmarkStart w:id="224" w:name="_Toc31108"/>
      <w:r>
        <w:rPr>
          <w:rFonts w:hint="eastAsia" w:ascii="黑体" w:hAnsi="黑体" w:eastAsia="黑体"/>
          <w:color w:val="auto"/>
          <w:sz w:val="21"/>
          <w:szCs w:val="21"/>
        </w:rPr>
        <w:t>附页1 《中小企业声明函》</w:t>
      </w:r>
      <w:bookmarkEnd w:id="224"/>
    </w:p>
    <w:p w14:paraId="310917E5">
      <w:pPr>
        <w:adjustRightInd w:val="0"/>
        <w:snapToGrid w:val="0"/>
        <w:spacing w:before="120" w:beforeLines="50" w:line="360" w:lineRule="auto"/>
        <w:rPr>
          <w:rFonts w:asciiTheme="minorEastAsia" w:hAnsiTheme="minorEastAsia" w:eastAsiaTheme="minorEastAsia"/>
          <w:color w:val="auto"/>
        </w:rPr>
      </w:pPr>
      <w:r>
        <w:rPr>
          <w:rFonts w:hint="eastAsia" w:cs="宋体" w:asciiTheme="minorEastAsia" w:hAnsiTheme="minorEastAsia" w:eastAsiaTheme="minorEastAsia"/>
          <w:color w:val="auto"/>
          <w:szCs w:val="21"/>
        </w:rPr>
        <w:t>注：</w:t>
      </w:r>
      <w:r>
        <w:rPr>
          <w:rFonts w:hint="eastAsia" w:asciiTheme="minorEastAsia" w:hAnsiTheme="minorEastAsia" w:eastAsiaTheme="minorEastAsia"/>
          <w:color w:val="auto"/>
        </w:rPr>
        <w:t>采购项目或者采购包属于“预留采购份额”的，投标人应当按本章附件10-1规定格式提供《中小企业声明函》。视同中小企业的残疾人福利性单位或者监狱企业，按本章附件10-2规定提供《残疾人福利性单位声明函》或者按本章附件10-3规定提供监狱企业证明资料。</w:t>
      </w:r>
    </w:p>
    <w:p w14:paraId="44E688E1">
      <w:pPr>
        <w:adjustRightInd w:val="0"/>
        <w:snapToGrid w:val="0"/>
        <w:spacing w:before="120" w:beforeLines="50" w:line="360" w:lineRule="auto"/>
        <w:rPr>
          <w:rFonts w:asciiTheme="minorEastAsia" w:hAnsiTheme="minorEastAsia" w:eastAsiaTheme="minorEastAsia"/>
          <w:color w:val="auto"/>
        </w:rPr>
      </w:pPr>
    </w:p>
    <w:p w14:paraId="5B1DEDAA">
      <w:pPr>
        <w:pStyle w:val="6"/>
        <w:snapToGrid w:val="0"/>
        <w:spacing w:before="120" w:beforeLines="50" w:after="0" w:line="360" w:lineRule="auto"/>
        <w:rPr>
          <w:rFonts w:ascii="黑体" w:hAnsi="黑体" w:eastAsia="黑体"/>
          <w:color w:val="auto"/>
          <w:sz w:val="21"/>
          <w:szCs w:val="21"/>
        </w:rPr>
      </w:pPr>
      <w:bookmarkStart w:id="225" w:name="_Toc20472"/>
      <w:r>
        <w:rPr>
          <w:rFonts w:hint="eastAsia" w:ascii="黑体" w:hAnsi="黑体" w:eastAsia="黑体"/>
          <w:color w:val="auto"/>
          <w:sz w:val="21"/>
          <w:szCs w:val="21"/>
        </w:rPr>
        <w:t>附页2 联合体协议书（格式）</w:t>
      </w:r>
      <w:bookmarkEnd w:id="225"/>
    </w:p>
    <w:p w14:paraId="26336901">
      <w:pPr>
        <w:adjustRightInd w:val="0"/>
        <w:snapToGrid w:val="0"/>
        <w:spacing w:before="120" w:beforeLines="50" w:line="360" w:lineRule="auto"/>
        <w:jc w:val="center"/>
        <w:rPr>
          <w:rFonts w:asciiTheme="minorEastAsia" w:hAnsiTheme="minorEastAsia" w:eastAsiaTheme="minorEastAsia"/>
          <w:b/>
          <w:color w:val="auto"/>
          <w:szCs w:val="21"/>
        </w:rPr>
      </w:pPr>
      <w:r>
        <w:rPr>
          <w:rFonts w:hint="eastAsia" w:ascii="黑体" w:hAnsi="仿宋" w:eastAsia="黑体" w:cs="宋体"/>
          <w:b/>
          <w:color w:val="auto"/>
          <w:sz w:val="28"/>
          <w:szCs w:val="28"/>
        </w:rPr>
        <w:t>联合体协议书（格式）</w:t>
      </w:r>
    </w:p>
    <w:p w14:paraId="1D500177">
      <w:pPr>
        <w:adjustRightInd w:val="0"/>
        <w:snapToGrid w:val="0"/>
        <w:spacing w:before="120" w:beforeLines="50" w:line="360" w:lineRule="auto"/>
        <w:rPr>
          <w:rFonts w:asciiTheme="minorEastAsia" w:hAnsiTheme="minorEastAsia" w:eastAsiaTheme="minorEastAsia"/>
          <w:color w:val="auto"/>
          <w:szCs w:val="21"/>
        </w:rPr>
      </w:pPr>
      <w:r>
        <w:rPr>
          <w:rFonts w:hint="eastAsia" w:asciiTheme="minorEastAsia" w:hAnsiTheme="minorEastAsia" w:eastAsiaTheme="minorEastAsia"/>
          <w:b/>
          <w:color w:val="auto"/>
          <w:szCs w:val="21"/>
        </w:rPr>
        <w:t>注</w:t>
      </w:r>
      <w:r>
        <w:rPr>
          <w:rFonts w:hint="eastAsia" w:asciiTheme="minorEastAsia" w:hAnsiTheme="minorEastAsia" w:eastAsiaTheme="minorEastAsia"/>
          <w:color w:val="auto"/>
          <w:szCs w:val="21"/>
        </w:rPr>
        <w:t>：采购项目或者采购包属于“预留采购份额”，且要求投标人以联合体形式投标的，投标人应当提供与第一章第二条规定对应的联合体协议书。</w:t>
      </w:r>
    </w:p>
    <w:p w14:paraId="2154EB41">
      <w:pPr>
        <w:adjustRightInd w:val="0"/>
        <w:snapToGrid w:val="0"/>
        <w:spacing w:before="120" w:beforeLines="50" w:line="360" w:lineRule="auto"/>
        <w:rPr>
          <w:rFonts w:asciiTheme="minorEastAsia" w:hAnsiTheme="minorEastAsia" w:eastAsiaTheme="minorEastAsia"/>
          <w:color w:val="auto"/>
          <w:szCs w:val="21"/>
        </w:rPr>
      </w:pPr>
    </w:p>
    <w:p w14:paraId="51D1D8DB">
      <w:pPr>
        <w:pStyle w:val="6"/>
        <w:snapToGrid w:val="0"/>
        <w:spacing w:before="120" w:beforeLines="50" w:after="0" w:line="360" w:lineRule="auto"/>
        <w:rPr>
          <w:rFonts w:ascii="黑体" w:hAnsi="黑体" w:eastAsia="黑体"/>
          <w:color w:val="auto"/>
          <w:sz w:val="21"/>
          <w:szCs w:val="21"/>
        </w:rPr>
      </w:pPr>
      <w:bookmarkStart w:id="226" w:name="_Toc28408"/>
      <w:r>
        <w:rPr>
          <w:rFonts w:hint="eastAsia" w:ascii="黑体" w:hAnsi="黑体" w:eastAsia="黑体"/>
          <w:color w:val="auto"/>
          <w:sz w:val="21"/>
          <w:szCs w:val="21"/>
        </w:rPr>
        <w:t>附页3 分包意向协议书</w:t>
      </w:r>
      <w:bookmarkEnd w:id="226"/>
    </w:p>
    <w:p w14:paraId="7A7924E5">
      <w:pPr>
        <w:adjustRightInd w:val="0"/>
        <w:snapToGrid w:val="0"/>
        <w:spacing w:before="120" w:beforeLines="50" w:line="360" w:lineRule="auto"/>
        <w:jc w:val="center"/>
        <w:rPr>
          <w:rFonts w:ascii="黑体" w:hAnsi="仿宋" w:eastAsia="黑体" w:cs="宋体"/>
          <w:b/>
          <w:color w:val="auto"/>
          <w:sz w:val="28"/>
          <w:szCs w:val="28"/>
        </w:rPr>
      </w:pPr>
      <w:r>
        <w:rPr>
          <w:rFonts w:hint="eastAsia" w:ascii="黑体" w:hAnsi="仿宋" w:eastAsia="黑体" w:cs="宋体"/>
          <w:b/>
          <w:color w:val="auto"/>
          <w:sz w:val="28"/>
          <w:szCs w:val="28"/>
        </w:rPr>
        <w:t>分包意向协议书</w:t>
      </w:r>
    </w:p>
    <w:p w14:paraId="14894F25">
      <w:pPr>
        <w:adjustRightInd w:val="0"/>
        <w:snapToGrid w:val="0"/>
        <w:spacing w:before="120" w:beforeLines="50" w:line="360" w:lineRule="auto"/>
        <w:jc w:val="left"/>
        <w:rPr>
          <w:rFonts w:asciiTheme="minorEastAsia" w:hAnsiTheme="minorEastAsia" w:eastAsiaTheme="minorEastAsia"/>
          <w:color w:val="auto"/>
          <w:szCs w:val="21"/>
        </w:rPr>
      </w:pPr>
      <w:r>
        <w:rPr>
          <w:rFonts w:hint="eastAsia" w:asciiTheme="minorEastAsia" w:hAnsiTheme="minorEastAsia" w:eastAsiaTheme="minorEastAsia"/>
          <w:b/>
          <w:color w:val="auto"/>
          <w:szCs w:val="21"/>
        </w:rPr>
        <w:t>注</w:t>
      </w:r>
      <w:r>
        <w:rPr>
          <w:rFonts w:hint="eastAsia" w:asciiTheme="minorEastAsia" w:hAnsiTheme="minorEastAsia" w:eastAsiaTheme="minorEastAsia"/>
          <w:color w:val="auto"/>
          <w:szCs w:val="21"/>
        </w:rPr>
        <w:t>：采购项目或者采购包属于“预留采购份额”，且要求合同分包的，投标人应当提供与第一章第二条规定对应的分包意向协议书（格式自拟）。</w:t>
      </w:r>
    </w:p>
    <w:p w14:paraId="72ADEBEC">
      <w:pPr>
        <w:adjustRightInd w:val="0"/>
        <w:snapToGrid w:val="0"/>
        <w:spacing w:before="120" w:beforeLines="50" w:line="360" w:lineRule="auto"/>
        <w:jc w:val="left"/>
        <w:rPr>
          <w:rFonts w:asciiTheme="minorEastAsia" w:hAnsiTheme="minorEastAsia" w:eastAsiaTheme="minorEastAsia"/>
          <w:color w:val="auto"/>
          <w:szCs w:val="21"/>
        </w:rPr>
      </w:pPr>
    </w:p>
    <w:bookmarkEnd w:id="218"/>
    <w:bookmarkEnd w:id="219"/>
    <w:p w14:paraId="1540A064">
      <w:pPr>
        <w:adjustRightInd w:val="0"/>
        <w:snapToGrid w:val="0"/>
        <w:spacing w:line="360" w:lineRule="auto"/>
        <w:jc w:val="center"/>
        <w:rPr>
          <w:rFonts w:ascii="黑体" w:eastAsia="黑体"/>
          <w:color w:val="auto"/>
          <w:sz w:val="32"/>
          <w:szCs w:val="32"/>
        </w:rPr>
      </w:pPr>
    </w:p>
    <w:p w14:paraId="6B55E648">
      <w:pPr>
        <w:adjustRightInd w:val="0"/>
        <w:snapToGrid w:val="0"/>
        <w:spacing w:line="360" w:lineRule="auto"/>
        <w:jc w:val="center"/>
        <w:rPr>
          <w:rFonts w:ascii="黑体" w:eastAsia="黑体"/>
          <w:color w:val="auto"/>
          <w:sz w:val="32"/>
          <w:szCs w:val="32"/>
        </w:rPr>
      </w:pPr>
    </w:p>
    <w:p w14:paraId="59703CB5">
      <w:pPr>
        <w:adjustRightInd w:val="0"/>
        <w:snapToGrid w:val="0"/>
        <w:spacing w:line="360" w:lineRule="auto"/>
        <w:jc w:val="center"/>
        <w:rPr>
          <w:rFonts w:ascii="黑体" w:eastAsia="黑体"/>
          <w:color w:val="auto"/>
          <w:sz w:val="32"/>
          <w:szCs w:val="32"/>
        </w:rPr>
      </w:pPr>
    </w:p>
    <w:p w14:paraId="41D5E2F7">
      <w:pPr>
        <w:adjustRightInd w:val="0"/>
        <w:snapToGrid w:val="0"/>
        <w:spacing w:line="360" w:lineRule="auto"/>
        <w:jc w:val="center"/>
        <w:rPr>
          <w:rFonts w:ascii="黑体" w:eastAsia="黑体"/>
          <w:color w:val="auto"/>
          <w:sz w:val="32"/>
          <w:szCs w:val="32"/>
        </w:rPr>
      </w:pPr>
    </w:p>
    <w:p w14:paraId="4570F732">
      <w:pPr>
        <w:adjustRightInd w:val="0"/>
        <w:snapToGrid w:val="0"/>
        <w:spacing w:line="360" w:lineRule="auto"/>
        <w:jc w:val="center"/>
        <w:rPr>
          <w:rFonts w:ascii="黑体" w:eastAsia="黑体"/>
          <w:color w:val="auto"/>
          <w:sz w:val="32"/>
          <w:szCs w:val="32"/>
        </w:rPr>
      </w:pPr>
    </w:p>
    <w:p w14:paraId="19C80E5C">
      <w:pPr>
        <w:adjustRightInd w:val="0"/>
        <w:snapToGrid w:val="0"/>
        <w:spacing w:line="360" w:lineRule="auto"/>
        <w:jc w:val="center"/>
        <w:rPr>
          <w:rFonts w:ascii="黑体" w:eastAsia="黑体"/>
          <w:color w:val="auto"/>
          <w:sz w:val="32"/>
          <w:szCs w:val="32"/>
        </w:rPr>
      </w:pPr>
    </w:p>
    <w:p w14:paraId="2ADBA70E">
      <w:pPr>
        <w:pStyle w:val="21"/>
        <w:adjustRightInd w:val="0"/>
        <w:snapToGrid w:val="0"/>
        <w:spacing w:line="360" w:lineRule="auto"/>
        <w:jc w:val="center"/>
        <w:rPr>
          <w:rFonts w:ascii="华文中宋" w:hAnsi="华文中宋" w:eastAsia="华文中宋"/>
          <w:bCs/>
          <w:color w:val="auto"/>
          <w:sz w:val="72"/>
          <w:szCs w:val="72"/>
        </w:rPr>
      </w:pPr>
      <w:r>
        <w:rPr>
          <w:rFonts w:hint="eastAsia" w:ascii="华文中宋" w:hAnsi="华文中宋" w:eastAsia="华文中宋"/>
          <w:bCs/>
          <w:color w:val="auto"/>
          <w:sz w:val="72"/>
          <w:szCs w:val="72"/>
        </w:rPr>
        <w:t>政府采购</w:t>
      </w:r>
    </w:p>
    <w:p w14:paraId="47A49070">
      <w:pPr>
        <w:adjustRightInd w:val="0"/>
        <w:snapToGrid w:val="0"/>
        <w:spacing w:line="360" w:lineRule="auto"/>
        <w:jc w:val="center"/>
        <w:rPr>
          <w:rFonts w:asciiTheme="minorEastAsia" w:hAnsiTheme="minorEastAsia" w:eastAsiaTheme="minorEastAsia"/>
          <w:b/>
          <w:bCs/>
          <w:color w:val="auto"/>
          <w:sz w:val="84"/>
          <w:szCs w:val="84"/>
        </w:rPr>
      </w:pPr>
      <w:r>
        <w:rPr>
          <w:rFonts w:hint="eastAsia" w:asciiTheme="minorEastAsia" w:hAnsiTheme="minorEastAsia" w:eastAsiaTheme="minorEastAsia"/>
          <w:b/>
          <w:bCs/>
          <w:color w:val="auto"/>
          <w:sz w:val="84"/>
          <w:szCs w:val="84"/>
        </w:rPr>
        <w:t>投 标 文 件</w:t>
      </w:r>
    </w:p>
    <w:p w14:paraId="0F45F60D">
      <w:pPr>
        <w:pStyle w:val="3"/>
        <w:adjustRightInd w:val="0"/>
        <w:snapToGrid w:val="0"/>
        <w:jc w:val="center"/>
        <w:rPr>
          <w:rFonts w:ascii="黑体" w:hAnsi="黑体" w:eastAsia="黑体"/>
          <w:color w:val="auto"/>
          <w:sz w:val="44"/>
          <w:szCs w:val="44"/>
        </w:rPr>
      </w:pPr>
      <w:bookmarkStart w:id="227" w:name="_Toc16270"/>
      <w:r>
        <w:rPr>
          <w:rFonts w:hint="eastAsia" w:ascii="黑体" w:hAnsi="黑体" w:eastAsia="黑体"/>
          <w:color w:val="auto"/>
          <w:sz w:val="44"/>
          <w:szCs w:val="44"/>
        </w:rPr>
        <w:t>第二部分 商务技术文件</w:t>
      </w:r>
      <w:bookmarkEnd w:id="227"/>
    </w:p>
    <w:p w14:paraId="09FD10A4">
      <w:pPr>
        <w:adjustRightInd w:val="0"/>
        <w:snapToGrid w:val="0"/>
        <w:spacing w:line="360" w:lineRule="auto"/>
        <w:rPr>
          <w:rFonts w:asciiTheme="minorEastAsia" w:hAnsiTheme="minorEastAsia" w:eastAsiaTheme="minorEastAsia"/>
          <w:color w:val="auto"/>
          <w:sz w:val="32"/>
          <w:szCs w:val="32"/>
        </w:rPr>
      </w:pPr>
    </w:p>
    <w:p w14:paraId="4C7414BB">
      <w:pPr>
        <w:pStyle w:val="21"/>
        <w:adjustRightInd w:val="0"/>
        <w:snapToGrid w:val="0"/>
        <w:spacing w:line="360" w:lineRule="auto"/>
        <w:ind w:firstLine="1988" w:firstLineChars="660"/>
        <w:rPr>
          <w:rFonts w:asciiTheme="minorEastAsia" w:hAnsiTheme="minorEastAsia" w:eastAsiaTheme="minorEastAsia"/>
          <w:b/>
          <w:bCs/>
          <w:color w:val="auto"/>
          <w:sz w:val="30"/>
          <w:szCs w:val="30"/>
        </w:rPr>
      </w:pPr>
    </w:p>
    <w:p w14:paraId="1C4C29C5">
      <w:pPr>
        <w:pStyle w:val="21"/>
        <w:adjustRightInd w:val="0"/>
        <w:snapToGrid w:val="0"/>
        <w:spacing w:line="360" w:lineRule="auto"/>
        <w:ind w:firstLine="1988" w:firstLineChars="660"/>
        <w:rPr>
          <w:rFonts w:asciiTheme="minorEastAsia" w:hAnsiTheme="minorEastAsia" w:eastAsiaTheme="minorEastAsia"/>
          <w:b/>
          <w:bCs/>
          <w:color w:val="auto"/>
          <w:sz w:val="30"/>
          <w:szCs w:val="30"/>
          <w:u w:val="single"/>
        </w:rPr>
      </w:pPr>
      <w:r>
        <w:rPr>
          <w:rFonts w:hint="eastAsia" w:asciiTheme="minorEastAsia" w:hAnsiTheme="minorEastAsia" w:eastAsiaTheme="minorEastAsia"/>
          <w:b/>
          <w:bCs/>
          <w:color w:val="auto"/>
          <w:sz w:val="30"/>
          <w:szCs w:val="30"/>
        </w:rPr>
        <w:t>采购项目名称:</w:t>
      </w:r>
    </w:p>
    <w:p w14:paraId="30EB2A42">
      <w:pPr>
        <w:pStyle w:val="21"/>
        <w:adjustRightInd w:val="0"/>
        <w:snapToGrid w:val="0"/>
        <w:spacing w:line="360" w:lineRule="auto"/>
        <w:ind w:firstLine="1988" w:firstLineChars="660"/>
        <w:rPr>
          <w:rFonts w:asciiTheme="minorEastAsia" w:hAnsiTheme="minorEastAsia" w:eastAsiaTheme="minorEastAsia"/>
          <w:b/>
          <w:bCs/>
          <w:color w:val="auto"/>
          <w:sz w:val="30"/>
          <w:szCs w:val="30"/>
        </w:rPr>
      </w:pPr>
      <w:r>
        <w:rPr>
          <w:rFonts w:hint="eastAsia" w:asciiTheme="minorEastAsia" w:hAnsiTheme="minorEastAsia" w:eastAsiaTheme="minorEastAsia"/>
          <w:b/>
          <w:bCs/>
          <w:color w:val="auto"/>
          <w:sz w:val="30"/>
          <w:szCs w:val="30"/>
        </w:rPr>
        <w:t>采   购   人：</w:t>
      </w:r>
    </w:p>
    <w:p w14:paraId="48C0E896">
      <w:pPr>
        <w:pStyle w:val="21"/>
        <w:adjustRightInd w:val="0"/>
        <w:snapToGrid w:val="0"/>
        <w:spacing w:line="360" w:lineRule="auto"/>
        <w:ind w:firstLine="1988" w:firstLineChars="660"/>
        <w:rPr>
          <w:rFonts w:asciiTheme="minorEastAsia" w:hAnsiTheme="minorEastAsia" w:eastAsiaTheme="minorEastAsia"/>
          <w:b/>
          <w:bCs/>
          <w:color w:val="auto"/>
          <w:sz w:val="30"/>
          <w:szCs w:val="30"/>
        </w:rPr>
      </w:pPr>
      <w:r>
        <w:rPr>
          <w:rFonts w:hint="eastAsia" w:asciiTheme="minorEastAsia" w:hAnsiTheme="minorEastAsia" w:eastAsiaTheme="minorEastAsia"/>
          <w:b/>
          <w:bCs/>
          <w:color w:val="auto"/>
          <w:sz w:val="30"/>
          <w:szCs w:val="30"/>
        </w:rPr>
        <w:t>采购人项目编号：</w:t>
      </w:r>
    </w:p>
    <w:p w14:paraId="2BA7AEB1">
      <w:pPr>
        <w:pStyle w:val="21"/>
        <w:adjustRightInd w:val="0"/>
        <w:snapToGrid w:val="0"/>
        <w:spacing w:line="360" w:lineRule="auto"/>
        <w:ind w:firstLine="1988" w:firstLineChars="660"/>
        <w:rPr>
          <w:rFonts w:asciiTheme="minorEastAsia" w:hAnsiTheme="minorEastAsia" w:eastAsiaTheme="minorEastAsia"/>
          <w:b/>
          <w:bCs/>
          <w:color w:val="auto"/>
          <w:sz w:val="30"/>
          <w:szCs w:val="30"/>
          <w:u w:val="single"/>
        </w:rPr>
      </w:pPr>
      <w:r>
        <w:rPr>
          <w:rFonts w:hint="eastAsia" w:asciiTheme="minorEastAsia" w:hAnsiTheme="minorEastAsia" w:eastAsiaTheme="minorEastAsia"/>
          <w:b/>
          <w:bCs/>
          <w:color w:val="auto"/>
          <w:sz w:val="30"/>
          <w:szCs w:val="30"/>
        </w:rPr>
        <w:t>采购代理编号:</w:t>
      </w:r>
    </w:p>
    <w:p w14:paraId="5AE57ADD">
      <w:pPr>
        <w:pStyle w:val="21"/>
        <w:adjustRightInd w:val="0"/>
        <w:snapToGrid w:val="0"/>
        <w:spacing w:line="360" w:lineRule="auto"/>
        <w:ind w:firstLine="1988" w:firstLineChars="660"/>
        <w:rPr>
          <w:rFonts w:asciiTheme="minorEastAsia" w:hAnsiTheme="minorEastAsia" w:eastAsiaTheme="minorEastAsia"/>
          <w:b/>
          <w:bCs/>
          <w:color w:val="auto"/>
          <w:sz w:val="30"/>
          <w:szCs w:val="30"/>
          <w:u w:val="single"/>
        </w:rPr>
      </w:pPr>
      <w:r>
        <w:rPr>
          <w:rFonts w:hint="eastAsia" w:asciiTheme="minorEastAsia" w:hAnsiTheme="minorEastAsia" w:eastAsiaTheme="minorEastAsia"/>
          <w:b/>
          <w:bCs/>
          <w:color w:val="auto"/>
          <w:sz w:val="30"/>
          <w:szCs w:val="30"/>
        </w:rPr>
        <w:t>采购代理机构：</w:t>
      </w:r>
    </w:p>
    <w:p w14:paraId="30A763D3">
      <w:pPr>
        <w:adjustRightInd w:val="0"/>
        <w:snapToGrid w:val="0"/>
        <w:spacing w:line="360" w:lineRule="auto"/>
        <w:rPr>
          <w:rFonts w:asciiTheme="minorEastAsia" w:hAnsiTheme="minorEastAsia" w:eastAsiaTheme="minorEastAsia"/>
          <w:color w:val="auto"/>
          <w:sz w:val="30"/>
          <w:szCs w:val="30"/>
        </w:rPr>
      </w:pPr>
    </w:p>
    <w:p w14:paraId="20AD72F1">
      <w:pPr>
        <w:adjustRightInd w:val="0"/>
        <w:snapToGrid w:val="0"/>
        <w:spacing w:line="360" w:lineRule="auto"/>
        <w:rPr>
          <w:rFonts w:asciiTheme="minorEastAsia" w:hAnsiTheme="minorEastAsia" w:eastAsiaTheme="minorEastAsia"/>
          <w:color w:val="auto"/>
          <w:sz w:val="30"/>
          <w:szCs w:val="30"/>
        </w:rPr>
      </w:pPr>
    </w:p>
    <w:p w14:paraId="391F407F">
      <w:pPr>
        <w:adjustRightInd w:val="0"/>
        <w:snapToGrid w:val="0"/>
        <w:spacing w:line="360" w:lineRule="auto"/>
        <w:rPr>
          <w:rFonts w:asciiTheme="minorEastAsia" w:hAnsiTheme="minorEastAsia" w:eastAsiaTheme="minorEastAsia"/>
          <w:color w:val="auto"/>
          <w:sz w:val="30"/>
          <w:szCs w:val="30"/>
        </w:rPr>
      </w:pPr>
    </w:p>
    <w:p w14:paraId="7EFA23C5">
      <w:pPr>
        <w:adjustRightInd w:val="0"/>
        <w:snapToGrid w:val="0"/>
        <w:spacing w:line="360" w:lineRule="auto"/>
        <w:rPr>
          <w:rFonts w:asciiTheme="minorEastAsia" w:hAnsiTheme="minorEastAsia" w:eastAsiaTheme="minorEastAsia"/>
          <w:color w:val="auto"/>
          <w:sz w:val="30"/>
          <w:szCs w:val="30"/>
        </w:rPr>
      </w:pPr>
    </w:p>
    <w:p w14:paraId="5D3B4263">
      <w:pPr>
        <w:adjustRightInd w:val="0"/>
        <w:snapToGrid w:val="0"/>
        <w:spacing w:line="360" w:lineRule="auto"/>
        <w:rPr>
          <w:rFonts w:asciiTheme="minorEastAsia" w:hAnsiTheme="minorEastAsia" w:eastAsiaTheme="minorEastAsia"/>
          <w:color w:val="auto"/>
          <w:sz w:val="30"/>
          <w:szCs w:val="30"/>
        </w:rPr>
      </w:pPr>
    </w:p>
    <w:p w14:paraId="456EB9B0">
      <w:pPr>
        <w:adjustRightInd w:val="0"/>
        <w:snapToGrid w:val="0"/>
        <w:spacing w:line="360" w:lineRule="auto"/>
        <w:ind w:left="1273" w:leftChars="606" w:firstLine="2"/>
        <w:rPr>
          <w:rFonts w:asciiTheme="minorEastAsia" w:hAnsiTheme="minorEastAsia" w:eastAsiaTheme="minorEastAsia"/>
          <w:color w:val="auto"/>
          <w:sz w:val="32"/>
          <w:szCs w:val="32"/>
          <w:u w:val="single"/>
        </w:rPr>
      </w:pPr>
      <w:r>
        <w:rPr>
          <w:rFonts w:hint="eastAsia" w:asciiTheme="minorEastAsia" w:hAnsiTheme="minorEastAsia" w:eastAsiaTheme="minorEastAsia"/>
          <w:color w:val="auto"/>
          <w:sz w:val="32"/>
          <w:szCs w:val="32"/>
        </w:rPr>
        <w:t>投标人</w:t>
      </w:r>
    </w:p>
    <w:p w14:paraId="43D67A17">
      <w:pPr>
        <w:adjustRightInd w:val="0"/>
        <w:snapToGrid w:val="0"/>
        <w:spacing w:line="360" w:lineRule="auto"/>
        <w:jc w:val="center"/>
        <w:rPr>
          <w:rFonts w:asciiTheme="minorEastAsia" w:hAnsiTheme="minorEastAsia" w:eastAsiaTheme="minorEastAsia"/>
          <w:color w:val="auto"/>
          <w:sz w:val="32"/>
          <w:szCs w:val="32"/>
        </w:rPr>
      </w:pPr>
      <w:r>
        <w:rPr>
          <w:rFonts w:hint="eastAsia" w:asciiTheme="minorEastAsia" w:hAnsiTheme="minorEastAsia" w:eastAsiaTheme="minorEastAsia"/>
          <w:color w:val="auto"/>
          <w:sz w:val="32"/>
          <w:szCs w:val="32"/>
        </w:rPr>
        <w:t>年  月  日</w:t>
      </w:r>
    </w:p>
    <w:p w14:paraId="1616A671">
      <w:pPr>
        <w:pStyle w:val="5"/>
        <w:adjustRightInd w:val="0"/>
        <w:spacing w:before="120" w:beforeLines="50" w:after="0" w:line="360" w:lineRule="auto"/>
        <w:jc w:val="left"/>
        <w:rPr>
          <w:rFonts w:ascii="黑体" w:hAnsi="黑体"/>
          <w:b w:val="0"/>
          <w:color w:val="auto"/>
          <w:sz w:val="21"/>
          <w:szCs w:val="21"/>
        </w:rPr>
      </w:pPr>
      <w:r>
        <w:rPr>
          <w:rFonts w:asciiTheme="minorEastAsia" w:hAnsiTheme="minorEastAsia" w:eastAsiaTheme="minorEastAsia"/>
          <w:color w:val="auto"/>
          <w:u w:val="single"/>
        </w:rPr>
        <w:br w:type="page"/>
      </w:r>
      <w:bookmarkStart w:id="228" w:name="_Toc18166"/>
      <w:r>
        <w:rPr>
          <w:rFonts w:hint="eastAsia" w:ascii="黑体" w:hAnsi="黑体"/>
          <w:b w:val="0"/>
          <w:color w:val="auto"/>
          <w:sz w:val="21"/>
          <w:szCs w:val="21"/>
        </w:rPr>
        <w:t>索引表2 符合性审查索引表</w:t>
      </w:r>
      <w:bookmarkEnd w:id="228"/>
    </w:p>
    <w:p w14:paraId="7DFBE79B">
      <w:pPr>
        <w:adjustRightInd w:val="0"/>
        <w:spacing w:before="120" w:beforeLines="50" w:line="360" w:lineRule="auto"/>
        <w:jc w:val="center"/>
        <w:rPr>
          <w:rFonts w:ascii="黑体" w:hAnsi="黑体" w:eastAsia="黑体"/>
          <w:b/>
          <w:color w:val="auto"/>
          <w:sz w:val="28"/>
          <w:szCs w:val="28"/>
        </w:rPr>
      </w:pPr>
      <w:r>
        <w:rPr>
          <w:rFonts w:hint="eastAsia" w:ascii="黑体" w:hAnsi="黑体" w:eastAsia="黑体"/>
          <w:b/>
          <w:color w:val="auto"/>
          <w:sz w:val="28"/>
          <w:szCs w:val="28"/>
        </w:rPr>
        <w:t>符合性审查索引表</w:t>
      </w:r>
    </w:p>
    <w:tbl>
      <w:tblPr>
        <w:tblStyle w:val="42"/>
        <w:tblW w:w="5000" w:type="pct"/>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772"/>
        <w:gridCol w:w="1834"/>
        <w:gridCol w:w="2362"/>
        <w:gridCol w:w="2223"/>
        <w:gridCol w:w="1688"/>
      </w:tblGrid>
      <w:tr w14:paraId="06F9BA6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435" w:type="pct"/>
            <w:vAlign w:val="center"/>
          </w:tcPr>
          <w:p w14:paraId="43F12C1B">
            <w:pPr>
              <w:adjustRightInd w:val="0"/>
              <w:snapToGrid w:val="0"/>
              <w:spacing w:before="120" w:beforeLines="50" w:line="360" w:lineRule="auto"/>
              <w:jc w:val="center"/>
              <w:rPr>
                <w:rFonts w:asciiTheme="minorEastAsia" w:hAnsiTheme="minorEastAsia" w:eastAsiaTheme="minorEastAsia"/>
                <w:b/>
                <w:color w:val="auto"/>
                <w:kern w:val="0"/>
                <w:szCs w:val="21"/>
              </w:rPr>
            </w:pPr>
            <w:r>
              <w:rPr>
                <w:rFonts w:hint="eastAsia" w:asciiTheme="minorEastAsia" w:hAnsiTheme="minorEastAsia" w:eastAsiaTheme="minorEastAsia"/>
                <w:b/>
                <w:color w:val="auto"/>
                <w:kern w:val="0"/>
                <w:szCs w:val="21"/>
              </w:rPr>
              <w:t>序号</w:t>
            </w:r>
          </w:p>
        </w:tc>
        <w:tc>
          <w:tcPr>
            <w:tcW w:w="1033" w:type="pct"/>
            <w:tcBorders>
              <w:right w:val="single" w:color="auto" w:sz="4" w:space="0"/>
            </w:tcBorders>
            <w:vAlign w:val="center"/>
          </w:tcPr>
          <w:p w14:paraId="1635D8F5">
            <w:pPr>
              <w:adjustRightInd w:val="0"/>
              <w:snapToGrid w:val="0"/>
              <w:spacing w:before="120" w:beforeLines="50" w:line="360" w:lineRule="auto"/>
              <w:jc w:val="center"/>
              <w:rPr>
                <w:rFonts w:asciiTheme="minorEastAsia" w:hAnsiTheme="minorEastAsia" w:eastAsiaTheme="minorEastAsia"/>
                <w:b/>
                <w:color w:val="auto"/>
                <w:kern w:val="0"/>
                <w:sz w:val="20"/>
                <w:szCs w:val="21"/>
              </w:rPr>
            </w:pPr>
            <w:r>
              <w:rPr>
                <w:rFonts w:hint="eastAsia" w:asciiTheme="minorEastAsia" w:hAnsiTheme="minorEastAsia" w:eastAsiaTheme="minorEastAsia"/>
                <w:b/>
                <w:color w:val="auto"/>
                <w:kern w:val="0"/>
                <w:sz w:val="20"/>
                <w:szCs w:val="21"/>
              </w:rPr>
              <w:t>招标文件条款号</w:t>
            </w:r>
          </w:p>
        </w:tc>
        <w:tc>
          <w:tcPr>
            <w:tcW w:w="1330" w:type="pct"/>
            <w:tcBorders>
              <w:left w:val="single" w:color="auto" w:sz="4" w:space="0"/>
            </w:tcBorders>
            <w:vAlign w:val="center"/>
          </w:tcPr>
          <w:p w14:paraId="2AD0FDFB">
            <w:pPr>
              <w:adjustRightInd w:val="0"/>
              <w:snapToGrid w:val="0"/>
              <w:spacing w:before="120" w:beforeLines="50" w:line="360" w:lineRule="auto"/>
              <w:jc w:val="center"/>
              <w:rPr>
                <w:rFonts w:asciiTheme="minorEastAsia" w:hAnsiTheme="minorEastAsia" w:eastAsiaTheme="minorEastAsia"/>
                <w:b/>
                <w:color w:val="auto"/>
                <w:kern w:val="0"/>
                <w:sz w:val="20"/>
                <w:szCs w:val="21"/>
              </w:rPr>
            </w:pPr>
            <w:r>
              <w:rPr>
                <w:rFonts w:hint="eastAsia" w:asciiTheme="minorEastAsia" w:hAnsiTheme="minorEastAsia" w:eastAsiaTheme="minorEastAsia"/>
                <w:b/>
                <w:color w:val="auto"/>
                <w:kern w:val="0"/>
                <w:szCs w:val="21"/>
              </w:rPr>
              <w:t>审查内容及标准</w:t>
            </w:r>
          </w:p>
        </w:tc>
        <w:tc>
          <w:tcPr>
            <w:tcW w:w="1252" w:type="pct"/>
            <w:vAlign w:val="center"/>
          </w:tcPr>
          <w:p w14:paraId="2EAC4AE5">
            <w:pPr>
              <w:adjustRightInd w:val="0"/>
              <w:snapToGrid w:val="0"/>
              <w:spacing w:before="120" w:beforeLines="50" w:line="360" w:lineRule="auto"/>
              <w:jc w:val="center"/>
              <w:rPr>
                <w:rFonts w:asciiTheme="minorEastAsia" w:hAnsiTheme="minorEastAsia" w:eastAsiaTheme="minorEastAsia"/>
                <w:b/>
                <w:color w:val="auto"/>
                <w:kern w:val="0"/>
                <w:szCs w:val="21"/>
              </w:rPr>
            </w:pPr>
            <w:r>
              <w:rPr>
                <w:rFonts w:hint="eastAsia" w:asciiTheme="minorEastAsia" w:hAnsiTheme="minorEastAsia" w:eastAsiaTheme="minorEastAsia"/>
                <w:b/>
                <w:color w:val="auto"/>
                <w:kern w:val="0"/>
                <w:szCs w:val="21"/>
              </w:rPr>
              <w:t>投标响应及证明材料</w:t>
            </w:r>
          </w:p>
        </w:tc>
        <w:tc>
          <w:tcPr>
            <w:tcW w:w="950" w:type="pct"/>
            <w:vAlign w:val="center"/>
          </w:tcPr>
          <w:p w14:paraId="22C1FC53">
            <w:pPr>
              <w:adjustRightInd w:val="0"/>
              <w:snapToGrid w:val="0"/>
              <w:spacing w:before="120" w:beforeLines="50" w:line="360" w:lineRule="auto"/>
              <w:jc w:val="center"/>
              <w:rPr>
                <w:rFonts w:asciiTheme="minorEastAsia" w:hAnsiTheme="minorEastAsia" w:eastAsiaTheme="minorEastAsia"/>
                <w:b/>
                <w:color w:val="auto"/>
                <w:kern w:val="0"/>
                <w:sz w:val="20"/>
                <w:szCs w:val="21"/>
              </w:rPr>
            </w:pPr>
            <w:r>
              <w:rPr>
                <w:rFonts w:hint="eastAsia" w:asciiTheme="minorEastAsia" w:hAnsiTheme="minorEastAsia" w:eastAsiaTheme="minorEastAsia"/>
                <w:b/>
                <w:color w:val="auto"/>
                <w:kern w:val="0"/>
                <w:szCs w:val="21"/>
              </w:rPr>
              <w:t>投标文件对应内容的册及页码</w:t>
            </w:r>
          </w:p>
        </w:tc>
      </w:tr>
      <w:tr w14:paraId="7F39153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435" w:type="pct"/>
          </w:tcPr>
          <w:p w14:paraId="3571728A">
            <w:pPr>
              <w:adjustRightInd w:val="0"/>
              <w:snapToGrid w:val="0"/>
              <w:spacing w:before="120" w:beforeLines="50" w:line="360" w:lineRule="auto"/>
              <w:jc w:val="center"/>
              <w:rPr>
                <w:rFonts w:asciiTheme="minorEastAsia" w:hAnsiTheme="minorEastAsia" w:eastAsiaTheme="minorEastAsia"/>
                <w:color w:val="auto"/>
                <w:kern w:val="0"/>
                <w:szCs w:val="21"/>
              </w:rPr>
            </w:pPr>
          </w:p>
        </w:tc>
        <w:tc>
          <w:tcPr>
            <w:tcW w:w="1033" w:type="pct"/>
            <w:tcBorders>
              <w:right w:val="single" w:color="auto" w:sz="4" w:space="0"/>
            </w:tcBorders>
          </w:tcPr>
          <w:p w14:paraId="5C43DF8A">
            <w:pPr>
              <w:adjustRightInd w:val="0"/>
              <w:snapToGrid w:val="0"/>
              <w:spacing w:before="120" w:beforeLines="50" w:line="360" w:lineRule="auto"/>
              <w:jc w:val="center"/>
              <w:rPr>
                <w:rFonts w:asciiTheme="minorEastAsia" w:hAnsiTheme="minorEastAsia" w:eastAsiaTheme="minorEastAsia"/>
                <w:color w:val="auto"/>
                <w:kern w:val="0"/>
                <w:sz w:val="20"/>
                <w:szCs w:val="21"/>
              </w:rPr>
            </w:pPr>
          </w:p>
        </w:tc>
        <w:tc>
          <w:tcPr>
            <w:tcW w:w="1330" w:type="pct"/>
            <w:tcBorders>
              <w:left w:val="single" w:color="auto" w:sz="4" w:space="0"/>
            </w:tcBorders>
          </w:tcPr>
          <w:p w14:paraId="32E38EF2">
            <w:pPr>
              <w:adjustRightInd w:val="0"/>
              <w:snapToGrid w:val="0"/>
              <w:spacing w:before="120" w:beforeLines="50" w:line="360" w:lineRule="auto"/>
              <w:jc w:val="center"/>
              <w:rPr>
                <w:rFonts w:asciiTheme="minorEastAsia" w:hAnsiTheme="minorEastAsia" w:eastAsiaTheme="minorEastAsia"/>
                <w:color w:val="auto"/>
                <w:kern w:val="0"/>
                <w:sz w:val="20"/>
                <w:szCs w:val="21"/>
              </w:rPr>
            </w:pPr>
          </w:p>
        </w:tc>
        <w:tc>
          <w:tcPr>
            <w:tcW w:w="1252" w:type="pct"/>
          </w:tcPr>
          <w:p w14:paraId="5EEF9D46">
            <w:pPr>
              <w:adjustRightInd w:val="0"/>
              <w:snapToGrid w:val="0"/>
              <w:spacing w:before="120" w:beforeLines="50" w:line="360" w:lineRule="auto"/>
              <w:jc w:val="center"/>
              <w:rPr>
                <w:rFonts w:asciiTheme="minorEastAsia" w:hAnsiTheme="minorEastAsia" w:eastAsiaTheme="minorEastAsia"/>
                <w:color w:val="auto"/>
                <w:kern w:val="0"/>
                <w:szCs w:val="21"/>
              </w:rPr>
            </w:pPr>
          </w:p>
        </w:tc>
        <w:tc>
          <w:tcPr>
            <w:tcW w:w="950" w:type="pct"/>
          </w:tcPr>
          <w:p w14:paraId="29716B96">
            <w:pPr>
              <w:adjustRightInd w:val="0"/>
              <w:snapToGrid w:val="0"/>
              <w:spacing w:before="120" w:beforeLines="50" w:line="360" w:lineRule="auto"/>
              <w:jc w:val="center"/>
              <w:rPr>
                <w:rFonts w:asciiTheme="minorEastAsia" w:hAnsiTheme="minorEastAsia" w:eastAsiaTheme="minorEastAsia"/>
                <w:color w:val="auto"/>
                <w:kern w:val="0"/>
                <w:sz w:val="20"/>
                <w:szCs w:val="21"/>
              </w:rPr>
            </w:pPr>
          </w:p>
        </w:tc>
      </w:tr>
      <w:tr w14:paraId="32B15D7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435" w:type="pct"/>
          </w:tcPr>
          <w:p w14:paraId="4BEF898A">
            <w:pPr>
              <w:adjustRightInd w:val="0"/>
              <w:snapToGrid w:val="0"/>
              <w:spacing w:before="120" w:beforeLines="50" w:line="360" w:lineRule="auto"/>
              <w:jc w:val="center"/>
              <w:rPr>
                <w:rFonts w:asciiTheme="minorEastAsia" w:hAnsiTheme="minorEastAsia" w:eastAsiaTheme="minorEastAsia"/>
                <w:color w:val="auto"/>
                <w:kern w:val="0"/>
                <w:sz w:val="20"/>
                <w:szCs w:val="21"/>
              </w:rPr>
            </w:pPr>
          </w:p>
        </w:tc>
        <w:tc>
          <w:tcPr>
            <w:tcW w:w="1033" w:type="pct"/>
            <w:tcBorders>
              <w:right w:val="single" w:color="auto" w:sz="4" w:space="0"/>
            </w:tcBorders>
          </w:tcPr>
          <w:p w14:paraId="3F7C5391">
            <w:pPr>
              <w:adjustRightInd w:val="0"/>
              <w:snapToGrid w:val="0"/>
              <w:spacing w:before="120" w:beforeLines="50" w:line="360" w:lineRule="auto"/>
              <w:jc w:val="center"/>
              <w:rPr>
                <w:rFonts w:asciiTheme="minorEastAsia" w:hAnsiTheme="minorEastAsia" w:eastAsiaTheme="minorEastAsia"/>
                <w:color w:val="auto"/>
                <w:kern w:val="0"/>
                <w:sz w:val="20"/>
                <w:szCs w:val="21"/>
              </w:rPr>
            </w:pPr>
          </w:p>
        </w:tc>
        <w:tc>
          <w:tcPr>
            <w:tcW w:w="1330" w:type="pct"/>
            <w:tcBorders>
              <w:left w:val="single" w:color="auto" w:sz="4" w:space="0"/>
            </w:tcBorders>
          </w:tcPr>
          <w:p w14:paraId="1F9EB2C0">
            <w:pPr>
              <w:adjustRightInd w:val="0"/>
              <w:snapToGrid w:val="0"/>
              <w:spacing w:before="120" w:beforeLines="50" w:line="360" w:lineRule="auto"/>
              <w:jc w:val="center"/>
              <w:rPr>
                <w:rFonts w:asciiTheme="minorEastAsia" w:hAnsiTheme="minorEastAsia" w:eastAsiaTheme="minorEastAsia"/>
                <w:color w:val="auto"/>
                <w:kern w:val="0"/>
                <w:sz w:val="20"/>
                <w:szCs w:val="21"/>
              </w:rPr>
            </w:pPr>
          </w:p>
        </w:tc>
        <w:tc>
          <w:tcPr>
            <w:tcW w:w="1252" w:type="pct"/>
          </w:tcPr>
          <w:p w14:paraId="263C37C2">
            <w:pPr>
              <w:adjustRightInd w:val="0"/>
              <w:snapToGrid w:val="0"/>
              <w:spacing w:before="120" w:beforeLines="50" w:line="360" w:lineRule="auto"/>
              <w:jc w:val="center"/>
              <w:rPr>
                <w:rFonts w:asciiTheme="minorEastAsia" w:hAnsiTheme="minorEastAsia" w:eastAsiaTheme="minorEastAsia"/>
                <w:color w:val="auto"/>
                <w:kern w:val="0"/>
                <w:sz w:val="20"/>
                <w:szCs w:val="21"/>
              </w:rPr>
            </w:pPr>
          </w:p>
        </w:tc>
        <w:tc>
          <w:tcPr>
            <w:tcW w:w="950" w:type="pct"/>
          </w:tcPr>
          <w:p w14:paraId="6F33D64E">
            <w:pPr>
              <w:adjustRightInd w:val="0"/>
              <w:snapToGrid w:val="0"/>
              <w:spacing w:before="120" w:beforeLines="50" w:line="360" w:lineRule="auto"/>
              <w:jc w:val="center"/>
              <w:rPr>
                <w:rFonts w:asciiTheme="minorEastAsia" w:hAnsiTheme="minorEastAsia" w:eastAsiaTheme="minorEastAsia"/>
                <w:color w:val="auto"/>
                <w:kern w:val="0"/>
                <w:sz w:val="20"/>
                <w:szCs w:val="21"/>
              </w:rPr>
            </w:pPr>
          </w:p>
        </w:tc>
      </w:tr>
      <w:tr w14:paraId="5894136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435" w:type="pct"/>
          </w:tcPr>
          <w:p w14:paraId="595B135D">
            <w:pPr>
              <w:adjustRightInd w:val="0"/>
              <w:snapToGrid w:val="0"/>
              <w:spacing w:before="120" w:beforeLines="50" w:line="360" w:lineRule="auto"/>
              <w:jc w:val="center"/>
              <w:rPr>
                <w:rFonts w:asciiTheme="minorEastAsia" w:hAnsiTheme="minorEastAsia" w:eastAsiaTheme="minorEastAsia"/>
                <w:color w:val="auto"/>
                <w:kern w:val="0"/>
                <w:sz w:val="20"/>
                <w:szCs w:val="21"/>
              </w:rPr>
            </w:pPr>
          </w:p>
        </w:tc>
        <w:tc>
          <w:tcPr>
            <w:tcW w:w="1033" w:type="pct"/>
            <w:tcBorders>
              <w:right w:val="single" w:color="auto" w:sz="4" w:space="0"/>
            </w:tcBorders>
          </w:tcPr>
          <w:p w14:paraId="1602CA07">
            <w:pPr>
              <w:adjustRightInd w:val="0"/>
              <w:snapToGrid w:val="0"/>
              <w:spacing w:before="120" w:beforeLines="50" w:line="360" w:lineRule="auto"/>
              <w:jc w:val="center"/>
              <w:rPr>
                <w:rFonts w:asciiTheme="minorEastAsia" w:hAnsiTheme="minorEastAsia" w:eastAsiaTheme="minorEastAsia"/>
                <w:color w:val="auto"/>
                <w:kern w:val="0"/>
                <w:sz w:val="20"/>
                <w:szCs w:val="21"/>
              </w:rPr>
            </w:pPr>
          </w:p>
        </w:tc>
        <w:tc>
          <w:tcPr>
            <w:tcW w:w="1330" w:type="pct"/>
            <w:tcBorders>
              <w:left w:val="single" w:color="auto" w:sz="4" w:space="0"/>
            </w:tcBorders>
          </w:tcPr>
          <w:p w14:paraId="040D2FF6">
            <w:pPr>
              <w:adjustRightInd w:val="0"/>
              <w:snapToGrid w:val="0"/>
              <w:spacing w:before="120" w:beforeLines="50" w:line="360" w:lineRule="auto"/>
              <w:jc w:val="center"/>
              <w:rPr>
                <w:rFonts w:asciiTheme="minorEastAsia" w:hAnsiTheme="minorEastAsia" w:eastAsiaTheme="minorEastAsia"/>
                <w:color w:val="auto"/>
                <w:kern w:val="0"/>
                <w:sz w:val="20"/>
                <w:szCs w:val="21"/>
              </w:rPr>
            </w:pPr>
          </w:p>
        </w:tc>
        <w:tc>
          <w:tcPr>
            <w:tcW w:w="1252" w:type="pct"/>
          </w:tcPr>
          <w:p w14:paraId="08F59370">
            <w:pPr>
              <w:adjustRightInd w:val="0"/>
              <w:snapToGrid w:val="0"/>
              <w:spacing w:before="120" w:beforeLines="50" w:line="360" w:lineRule="auto"/>
              <w:jc w:val="center"/>
              <w:rPr>
                <w:rFonts w:asciiTheme="minorEastAsia" w:hAnsiTheme="minorEastAsia" w:eastAsiaTheme="minorEastAsia"/>
                <w:color w:val="auto"/>
                <w:kern w:val="0"/>
                <w:sz w:val="20"/>
                <w:szCs w:val="21"/>
              </w:rPr>
            </w:pPr>
          </w:p>
        </w:tc>
        <w:tc>
          <w:tcPr>
            <w:tcW w:w="950" w:type="pct"/>
          </w:tcPr>
          <w:p w14:paraId="5025E376">
            <w:pPr>
              <w:adjustRightInd w:val="0"/>
              <w:snapToGrid w:val="0"/>
              <w:spacing w:before="120" w:beforeLines="50" w:line="360" w:lineRule="auto"/>
              <w:jc w:val="center"/>
              <w:rPr>
                <w:rFonts w:asciiTheme="minorEastAsia" w:hAnsiTheme="minorEastAsia" w:eastAsiaTheme="minorEastAsia"/>
                <w:color w:val="auto"/>
                <w:kern w:val="0"/>
                <w:sz w:val="20"/>
                <w:szCs w:val="21"/>
              </w:rPr>
            </w:pPr>
          </w:p>
        </w:tc>
      </w:tr>
      <w:tr w14:paraId="1964798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435" w:type="pct"/>
          </w:tcPr>
          <w:p w14:paraId="43B9926A">
            <w:pPr>
              <w:adjustRightInd w:val="0"/>
              <w:snapToGrid w:val="0"/>
              <w:spacing w:before="120" w:beforeLines="50" w:line="360" w:lineRule="auto"/>
              <w:jc w:val="center"/>
              <w:rPr>
                <w:rFonts w:asciiTheme="minorEastAsia" w:hAnsiTheme="minorEastAsia" w:eastAsiaTheme="minorEastAsia"/>
                <w:color w:val="auto"/>
                <w:kern w:val="0"/>
                <w:sz w:val="20"/>
                <w:szCs w:val="21"/>
              </w:rPr>
            </w:pPr>
          </w:p>
        </w:tc>
        <w:tc>
          <w:tcPr>
            <w:tcW w:w="1033" w:type="pct"/>
            <w:tcBorders>
              <w:right w:val="single" w:color="auto" w:sz="4" w:space="0"/>
            </w:tcBorders>
          </w:tcPr>
          <w:p w14:paraId="4132BC3B">
            <w:pPr>
              <w:adjustRightInd w:val="0"/>
              <w:snapToGrid w:val="0"/>
              <w:spacing w:before="120" w:beforeLines="50" w:line="360" w:lineRule="auto"/>
              <w:jc w:val="center"/>
              <w:rPr>
                <w:rFonts w:asciiTheme="minorEastAsia" w:hAnsiTheme="minorEastAsia" w:eastAsiaTheme="minorEastAsia"/>
                <w:color w:val="auto"/>
                <w:kern w:val="0"/>
                <w:sz w:val="20"/>
                <w:szCs w:val="21"/>
              </w:rPr>
            </w:pPr>
          </w:p>
        </w:tc>
        <w:tc>
          <w:tcPr>
            <w:tcW w:w="1330" w:type="pct"/>
            <w:tcBorders>
              <w:left w:val="single" w:color="auto" w:sz="4" w:space="0"/>
            </w:tcBorders>
          </w:tcPr>
          <w:p w14:paraId="526C0776">
            <w:pPr>
              <w:adjustRightInd w:val="0"/>
              <w:snapToGrid w:val="0"/>
              <w:spacing w:before="120" w:beforeLines="50" w:line="360" w:lineRule="auto"/>
              <w:jc w:val="center"/>
              <w:rPr>
                <w:rFonts w:asciiTheme="minorEastAsia" w:hAnsiTheme="minorEastAsia" w:eastAsiaTheme="minorEastAsia"/>
                <w:color w:val="auto"/>
                <w:kern w:val="0"/>
                <w:sz w:val="20"/>
                <w:szCs w:val="21"/>
              </w:rPr>
            </w:pPr>
          </w:p>
        </w:tc>
        <w:tc>
          <w:tcPr>
            <w:tcW w:w="1252" w:type="pct"/>
          </w:tcPr>
          <w:p w14:paraId="15672684">
            <w:pPr>
              <w:adjustRightInd w:val="0"/>
              <w:snapToGrid w:val="0"/>
              <w:spacing w:before="120" w:beforeLines="50" w:line="360" w:lineRule="auto"/>
              <w:jc w:val="center"/>
              <w:rPr>
                <w:rFonts w:asciiTheme="minorEastAsia" w:hAnsiTheme="minorEastAsia" w:eastAsiaTheme="minorEastAsia"/>
                <w:color w:val="auto"/>
                <w:kern w:val="0"/>
                <w:sz w:val="20"/>
                <w:szCs w:val="21"/>
              </w:rPr>
            </w:pPr>
          </w:p>
        </w:tc>
        <w:tc>
          <w:tcPr>
            <w:tcW w:w="950" w:type="pct"/>
          </w:tcPr>
          <w:p w14:paraId="313D57F7">
            <w:pPr>
              <w:adjustRightInd w:val="0"/>
              <w:snapToGrid w:val="0"/>
              <w:spacing w:before="120" w:beforeLines="50" w:line="360" w:lineRule="auto"/>
              <w:jc w:val="center"/>
              <w:rPr>
                <w:rFonts w:asciiTheme="minorEastAsia" w:hAnsiTheme="minorEastAsia" w:eastAsiaTheme="minorEastAsia"/>
                <w:color w:val="auto"/>
                <w:kern w:val="0"/>
                <w:sz w:val="20"/>
                <w:szCs w:val="21"/>
              </w:rPr>
            </w:pPr>
          </w:p>
        </w:tc>
      </w:tr>
      <w:tr w14:paraId="0481308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435" w:type="pct"/>
          </w:tcPr>
          <w:p w14:paraId="3E97A908">
            <w:pPr>
              <w:adjustRightInd w:val="0"/>
              <w:snapToGrid w:val="0"/>
              <w:spacing w:before="120" w:beforeLines="50" w:line="360" w:lineRule="auto"/>
              <w:jc w:val="center"/>
              <w:rPr>
                <w:rFonts w:asciiTheme="minorEastAsia" w:hAnsiTheme="minorEastAsia" w:eastAsiaTheme="minorEastAsia"/>
                <w:color w:val="auto"/>
                <w:kern w:val="0"/>
                <w:sz w:val="20"/>
                <w:szCs w:val="21"/>
              </w:rPr>
            </w:pPr>
          </w:p>
        </w:tc>
        <w:tc>
          <w:tcPr>
            <w:tcW w:w="1033" w:type="pct"/>
            <w:tcBorders>
              <w:right w:val="single" w:color="auto" w:sz="4" w:space="0"/>
            </w:tcBorders>
          </w:tcPr>
          <w:p w14:paraId="5B3C6215">
            <w:pPr>
              <w:adjustRightInd w:val="0"/>
              <w:snapToGrid w:val="0"/>
              <w:spacing w:before="120" w:beforeLines="50" w:line="360" w:lineRule="auto"/>
              <w:jc w:val="center"/>
              <w:rPr>
                <w:rFonts w:asciiTheme="minorEastAsia" w:hAnsiTheme="minorEastAsia" w:eastAsiaTheme="minorEastAsia"/>
                <w:color w:val="auto"/>
                <w:kern w:val="0"/>
                <w:sz w:val="20"/>
                <w:szCs w:val="21"/>
              </w:rPr>
            </w:pPr>
          </w:p>
        </w:tc>
        <w:tc>
          <w:tcPr>
            <w:tcW w:w="1330" w:type="pct"/>
            <w:tcBorders>
              <w:left w:val="single" w:color="auto" w:sz="4" w:space="0"/>
            </w:tcBorders>
          </w:tcPr>
          <w:p w14:paraId="368BB917">
            <w:pPr>
              <w:adjustRightInd w:val="0"/>
              <w:snapToGrid w:val="0"/>
              <w:spacing w:before="120" w:beforeLines="50" w:line="360" w:lineRule="auto"/>
              <w:jc w:val="center"/>
              <w:rPr>
                <w:rFonts w:asciiTheme="minorEastAsia" w:hAnsiTheme="minorEastAsia" w:eastAsiaTheme="minorEastAsia"/>
                <w:color w:val="auto"/>
                <w:kern w:val="0"/>
                <w:sz w:val="20"/>
                <w:szCs w:val="21"/>
              </w:rPr>
            </w:pPr>
          </w:p>
        </w:tc>
        <w:tc>
          <w:tcPr>
            <w:tcW w:w="1252" w:type="pct"/>
          </w:tcPr>
          <w:p w14:paraId="29486BB1">
            <w:pPr>
              <w:adjustRightInd w:val="0"/>
              <w:snapToGrid w:val="0"/>
              <w:spacing w:before="120" w:beforeLines="50" w:line="360" w:lineRule="auto"/>
              <w:jc w:val="center"/>
              <w:rPr>
                <w:rFonts w:asciiTheme="minorEastAsia" w:hAnsiTheme="minorEastAsia" w:eastAsiaTheme="minorEastAsia"/>
                <w:color w:val="auto"/>
                <w:kern w:val="0"/>
                <w:sz w:val="20"/>
                <w:szCs w:val="21"/>
              </w:rPr>
            </w:pPr>
          </w:p>
        </w:tc>
        <w:tc>
          <w:tcPr>
            <w:tcW w:w="950" w:type="pct"/>
          </w:tcPr>
          <w:p w14:paraId="5A5831F3">
            <w:pPr>
              <w:adjustRightInd w:val="0"/>
              <w:snapToGrid w:val="0"/>
              <w:spacing w:before="120" w:beforeLines="50" w:line="360" w:lineRule="auto"/>
              <w:jc w:val="center"/>
              <w:rPr>
                <w:rFonts w:asciiTheme="minorEastAsia" w:hAnsiTheme="minorEastAsia" w:eastAsiaTheme="minorEastAsia"/>
                <w:color w:val="auto"/>
                <w:kern w:val="0"/>
                <w:sz w:val="20"/>
                <w:szCs w:val="21"/>
              </w:rPr>
            </w:pPr>
          </w:p>
        </w:tc>
      </w:tr>
      <w:tr w14:paraId="3B9BD10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435" w:type="pct"/>
          </w:tcPr>
          <w:p w14:paraId="6B2EE761">
            <w:pPr>
              <w:adjustRightInd w:val="0"/>
              <w:snapToGrid w:val="0"/>
              <w:spacing w:before="120" w:beforeLines="50" w:line="360" w:lineRule="auto"/>
              <w:jc w:val="center"/>
              <w:rPr>
                <w:rFonts w:asciiTheme="minorEastAsia" w:hAnsiTheme="minorEastAsia" w:eastAsiaTheme="minorEastAsia"/>
                <w:color w:val="auto"/>
                <w:kern w:val="0"/>
                <w:sz w:val="20"/>
                <w:szCs w:val="21"/>
              </w:rPr>
            </w:pPr>
          </w:p>
        </w:tc>
        <w:tc>
          <w:tcPr>
            <w:tcW w:w="1033" w:type="pct"/>
            <w:tcBorders>
              <w:right w:val="single" w:color="auto" w:sz="4" w:space="0"/>
            </w:tcBorders>
          </w:tcPr>
          <w:p w14:paraId="016F739F">
            <w:pPr>
              <w:adjustRightInd w:val="0"/>
              <w:snapToGrid w:val="0"/>
              <w:spacing w:before="120" w:beforeLines="50" w:line="360" w:lineRule="auto"/>
              <w:jc w:val="center"/>
              <w:rPr>
                <w:rFonts w:asciiTheme="minorEastAsia" w:hAnsiTheme="minorEastAsia" w:eastAsiaTheme="minorEastAsia"/>
                <w:color w:val="auto"/>
                <w:kern w:val="0"/>
                <w:sz w:val="20"/>
                <w:szCs w:val="21"/>
              </w:rPr>
            </w:pPr>
          </w:p>
        </w:tc>
        <w:tc>
          <w:tcPr>
            <w:tcW w:w="1330" w:type="pct"/>
            <w:tcBorders>
              <w:left w:val="single" w:color="auto" w:sz="4" w:space="0"/>
            </w:tcBorders>
          </w:tcPr>
          <w:p w14:paraId="2BB34626">
            <w:pPr>
              <w:adjustRightInd w:val="0"/>
              <w:snapToGrid w:val="0"/>
              <w:spacing w:before="120" w:beforeLines="50" w:line="360" w:lineRule="auto"/>
              <w:jc w:val="center"/>
              <w:rPr>
                <w:rFonts w:asciiTheme="minorEastAsia" w:hAnsiTheme="minorEastAsia" w:eastAsiaTheme="minorEastAsia"/>
                <w:color w:val="auto"/>
                <w:kern w:val="0"/>
                <w:sz w:val="20"/>
                <w:szCs w:val="21"/>
              </w:rPr>
            </w:pPr>
          </w:p>
        </w:tc>
        <w:tc>
          <w:tcPr>
            <w:tcW w:w="1252" w:type="pct"/>
          </w:tcPr>
          <w:p w14:paraId="1796D9CE">
            <w:pPr>
              <w:adjustRightInd w:val="0"/>
              <w:snapToGrid w:val="0"/>
              <w:spacing w:before="120" w:beforeLines="50" w:line="360" w:lineRule="auto"/>
              <w:jc w:val="center"/>
              <w:rPr>
                <w:rFonts w:asciiTheme="minorEastAsia" w:hAnsiTheme="minorEastAsia" w:eastAsiaTheme="minorEastAsia"/>
                <w:color w:val="auto"/>
                <w:kern w:val="0"/>
                <w:sz w:val="20"/>
                <w:szCs w:val="21"/>
              </w:rPr>
            </w:pPr>
          </w:p>
        </w:tc>
        <w:tc>
          <w:tcPr>
            <w:tcW w:w="950" w:type="pct"/>
          </w:tcPr>
          <w:p w14:paraId="112E6315">
            <w:pPr>
              <w:adjustRightInd w:val="0"/>
              <w:snapToGrid w:val="0"/>
              <w:spacing w:before="120" w:beforeLines="50" w:line="360" w:lineRule="auto"/>
              <w:jc w:val="center"/>
              <w:rPr>
                <w:rFonts w:asciiTheme="minorEastAsia" w:hAnsiTheme="minorEastAsia" w:eastAsiaTheme="minorEastAsia"/>
                <w:color w:val="auto"/>
                <w:kern w:val="0"/>
                <w:sz w:val="20"/>
                <w:szCs w:val="21"/>
              </w:rPr>
            </w:pPr>
          </w:p>
        </w:tc>
      </w:tr>
      <w:tr w14:paraId="3EFB187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435" w:type="pct"/>
          </w:tcPr>
          <w:p w14:paraId="63AF5BDD">
            <w:pPr>
              <w:adjustRightInd w:val="0"/>
              <w:snapToGrid w:val="0"/>
              <w:spacing w:before="120" w:beforeLines="50" w:line="360" w:lineRule="auto"/>
              <w:jc w:val="center"/>
              <w:rPr>
                <w:rFonts w:asciiTheme="minorEastAsia" w:hAnsiTheme="minorEastAsia" w:eastAsiaTheme="minorEastAsia"/>
                <w:color w:val="auto"/>
                <w:kern w:val="0"/>
                <w:sz w:val="20"/>
                <w:szCs w:val="21"/>
              </w:rPr>
            </w:pPr>
          </w:p>
        </w:tc>
        <w:tc>
          <w:tcPr>
            <w:tcW w:w="1033" w:type="pct"/>
            <w:tcBorders>
              <w:right w:val="single" w:color="auto" w:sz="4" w:space="0"/>
            </w:tcBorders>
          </w:tcPr>
          <w:p w14:paraId="59640CBE">
            <w:pPr>
              <w:adjustRightInd w:val="0"/>
              <w:snapToGrid w:val="0"/>
              <w:spacing w:before="120" w:beforeLines="50" w:line="360" w:lineRule="auto"/>
              <w:jc w:val="center"/>
              <w:rPr>
                <w:rFonts w:asciiTheme="minorEastAsia" w:hAnsiTheme="minorEastAsia" w:eastAsiaTheme="minorEastAsia"/>
                <w:color w:val="auto"/>
                <w:kern w:val="0"/>
                <w:sz w:val="20"/>
                <w:szCs w:val="21"/>
              </w:rPr>
            </w:pPr>
          </w:p>
        </w:tc>
        <w:tc>
          <w:tcPr>
            <w:tcW w:w="1330" w:type="pct"/>
            <w:tcBorders>
              <w:left w:val="single" w:color="auto" w:sz="4" w:space="0"/>
            </w:tcBorders>
          </w:tcPr>
          <w:p w14:paraId="6E49BE98">
            <w:pPr>
              <w:adjustRightInd w:val="0"/>
              <w:snapToGrid w:val="0"/>
              <w:spacing w:before="120" w:beforeLines="50" w:line="360" w:lineRule="auto"/>
              <w:jc w:val="center"/>
              <w:rPr>
                <w:rFonts w:asciiTheme="minorEastAsia" w:hAnsiTheme="minorEastAsia" w:eastAsiaTheme="minorEastAsia"/>
                <w:color w:val="auto"/>
                <w:kern w:val="0"/>
                <w:sz w:val="20"/>
                <w:szCs w:val="21"/>
              </w:rPr>
            </w:pPr>
          </w:p>
        </w:tc>
        <w:tc>
          <w:tcPr>
            <w:tcW w:w="1252" w:type="pct"/>
          </w:tcPr>
          <w:p w14:paraId="1E21CACD">
            <w:pPr>
              <w:adjustRightInd w:val="0"/>
              <w:snapToGrid w:val="0"/>
              <w:spacing w:before="120" w:beforeLines="50" w:line="360" w:lineRule="auto"/>
              <w:jc w:val="center"/>
              <w:rPr>
                <w:rFonts w:asciiTheme="minorEastAsia" w:hAnsiTheme="minorEastAsia" w:eastAsiaTheme="minorEastAsia"/>
                <w:color w:val="auto"/>
                <w:kern w:val="0"/>
                <w:sz w:val="20"/>
                <w:szCs w:val="21"/>
              </w:rPr>
            </w:pPr>
          </w:p>
        </w:tc>
        <w:tc>
          <w:tcPr>
            <w:tcW w:w="950" w:type="pct"/>
          </w:tcPr>
          <w:p w14:paraId="116DDE70">
            <w:pPr>
              <w:adjustRightInd w:val="0"/>
              <w:snapToGrid w:val="0"/>
              <w:spacing w:before="120" w:beforeLines="50" w:line="360" w:lineRule="auto"/>
              <w:jc w:val="center"/>
              <w:rPr>
                <w:rFonts w:asciiTheme="minorEastAsia" w:hAnsiTheme="minorEastAsia" w:eastAsiaTheme="minorEastAsia"/>
                <w:color w:val="auto"/>
                <w:kern w:val="0"/>
                <w:sz w:val="20"/>
                <w:szCs w:val="21"/>
              </w:rPr>
            </w:pPr>
          </w:p>
        </w:tc>
      </w:tr>
      <w:tr w14:paraId="7EBF144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435" w:type="pct"/>
          </w:tcPr>
          <w:p w14:paraId="41E7A79D">
            <w:pPr>
              <w:adjustRightInd w:val="0"/>
              <w:snapToGrid w:val="0"/>
              <w:spacing w:before="120" w:beforeLines="50" w:line="360" w:lineRule="auto"/>
              <w:jc w:val="center"/>
              <w:rPr>
                <w:rFonts w:asciiTheme="minorEastAsia" w:hAnsiTheme="minorEastAsia" w:eastAsiaTheme="minorEastAsia"/>
                <w:color w:val="auto"/>
                <w:kern w:val="0"/>
                <w:sz w:val="20"/>
                <w:szCs w:val="21"/>
              </w:rPr>
            </w:pPr>
          </w:p>
        </w:tc>
        <w:tc>
          <w:tcPr>
            <w:tcW w:w="1033" w:type="pct"/>
            <w:tcBorders>
              <w:right w:val="single" w:color="auto" w:sz="4" w:space="0"/>
            </w:tcBorders>
          </w:tcPr>
          <w:p w14:paraId="6F1605F4">
            <w:pPr>
              <w:adjustRightInd w:val="0"/>
              <w:snapToGrid w:val="0"/>
              <w:spacing w:before="120" w:beforeLines="50" w:line="360" w:lineRule="auto"/>
              <w:jc w:val="center"/>
              <w:rPr>
                <w:rFonts w:asciiTheme="minorEastAsia" w:hAnsiTheme="minorEastAsia" w:eastAsiaTheme="minorEastAsia"/>
                <w:color w:val="auto"/>
                <w:kern w:val="0"/>
                <w:sz w:val="20"/>
                <w:szCs w:val="21"/>
              </w:rPr>
            </w:pPr>
          </w:p>
        </w:tc>
        <w:tc>
          <w:tcPr>
            <w:tcW w:w="1330" w:type="pct"/>
            <w:tcBorders>
              <w:left w:val="single" w:color="auto" w:sz="4" w:space="0"/>
            </w:tcBorders>
          </w:tcPr>
          <w:p w14:paraId="3AEF4C44">
            <w:pPr>
              <w:adjustRightInd w:val="0"/>
              <w:snapToGrid w:val="0"/>
              <w:spacing w:before="120" w:beforeLines="50" w:line="360" w:lineRule="auto"/>
              <w:jc w:val="center"/>
              <w:rPr>
                <w:rFonts w:asciiTheme="minorEastAsia" w:hAnsiTheme="minorEastAsia" w:eastAsiaTheme="minorEastAsia"/>
                <w:color w:val="auto"/>
                <w:kern w:val="0"/>
                <w:sz w:val="20"/>
                <w:szCs w:val="21"/>
              </w:rPr>
            </w:pPr>
          </w:p>
        </w:tc>
        <w:tc>
          <w:tcPr>
            <w:tcW w:w="1252" w:type="pct"/>
          </w:tcPr>
          <w:p w14:paraId="094D9277">
            <w:pPr>
              <w:adjustRightInd w:val="0"/>
              <w:snapToGrid w:val="0"/>
              <w:spacing w:before="120" w:beforeLines="50" w:line="360" w:lineRule="auto"/>
              <w:jc w:val="center"/>
              <w:rPr>
                <w:rFonts w:asciiTheme="minorEastAsia" w:hAnsiTheme="minorEastAsia" w:eastAsiaTheme="minorEastAsia"/>
                <w:color w:val="auto"/>
                <w:kern w:val="0"/>
                <w:sz w:val="20"/>
                <w:szCs w:val="21"/>
              </w:rPr>
            </w:pPr>
          </w:p>
        </w:tc>
        <w:tc>
          <w:tcPr>
            <w:tcW w:w="950" w:type="pct"/>
          </w:tcPr>
          <w:p w14:paraId="7FF896D3">
            <w:pPr>
              <w:adjustRightInd w:val="0"/>
              <w:snapToGrid w:val="0"/>
              <w:spacing w:before="120" w:beforeLines="50" w:line="360" w:lineRule="auto"/>
              <w:jc w:val="center"/>
              <w:rPr>
                <w:rFonts w:asciiTheme="minorEastAsia" w:hAnsiTheme="minorEastAsia" w:eastAsiaTheme="minorEastAsia"/>
                <w:color w:val="auto"/>
                <w:kern w:val="0"/>
                <w:sz w:val="20"/>
                <w:szCs w:val="21"/>
              </w:rPr>
            </w:pPr>
          </w:p>
        </w:tc>
      </w:tr>
      <w:tr w14:paraId="557F524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435" w:type="pct"/>
          </w:tcPr>
          <w:p w14:paraId="037B1E0D">
            <w:pPr>
              <w:adjustRightInd w:val="0"/>
              <w:snapToGrid w:val="0"/>
              <w:spacing w:before="120" w:beforeLines="50" w:line="360" w:lineRule="auto"/>
              <w:jc w:val="center"/>
              <w:rPr>
                <w:rFonts w:asciiTheme="minorEastAsia" w:hAnsiTheme="minorEastAsia" w:eastAsiaTheme="minorEastAsia"/>
                <w:color w:val="auto"/>
                <w:kern w:val="0"/>
                <w:sz w:val="20"/>
                <w:szCs w:val="21"/>
              </w:rPr>
            </w:pPr>
          </w:p>
        </w:tc>
        <w:tc>
          <w:tcPr>
            <w:tcW w:w="1033" w:type="pct"/>
            <w:tcBorders>
              <w:right w:val="single" w:color="auto" w:sz="4" w:space="0"/>
            </w:tcBorders>
          </w:tcPr>
          <w:p w14:paraId="253C9C3C">
            <w:pPr>
              <w:adjustRightInd w:val="0"/>
              <w:snapToGrid w:val="0"/>
              <w:spacing w:before="120" w:beforeLines="50" w:line="360" w:lineRule="auto"/>
              <w:jc w:val="center"/>
              <w:rPr>
                <w:rFonts w:asciiTheme="minorEastAsia" w:hAnsiTheme="minorEastAsia" w:eastAsiaTheme="minorEastAsia"/>
                <w:color w:val="auto"/>
                <w:kern w:val="0"/>
                <w:sz w:val="20"/>
                <w:szCs w:val="21"/>
              </w:rPr>
            </w:pPr>
          </w:p>
        </w:tc>
        <w:tc>
          <w:tcPr>
            <w:tcW w:w="1330" w:type="pct"/>
            <w:tcBorders>
              <w:left w:val="single" w:color="auto" w:sz="4" w:space="0"/>
            </w:tcBorders>
          </w:tcPr>
          <w:p w14:paraId="21427687">
            <w:pPr>
              <w:adjustRightInd w:val="0"/>
              <w:snapToGrid w:val="0"/>
              <w:spacing w:before="120" w:beforeLines="50" w:line="360" w:lineRule="auto"/>
              <w:jc w:val="center"/>
              <w:rPr>
                <w:rFonts w:asciiTheme="minorEastAsia" w:hAnsiTheme="minorEastAsia" w:eastAsiaTheme="minorEastAsia"/>
                <w:color w:val="auto"/>
                <w:kern w:val="0"/>
                <w:sz w:val="20"/>
                <w:szCs w:val="21"/>
              </w:rPr>
            </w:pPr>
          </w:p>
        </w:tc>
        <w:tc>
          <w:tcPr>
            <w:tcW w:w="1252" w:type="pct"/>
          </w:tcPr>
          <w:p w14:paraId="0DC9CC86">
            <w:pPr>
              <w:adjustRightInd w:val="0"/>
              <w:snapToGrid w:val="0"/>
              <w:spacing w:before="120" w:beforeLines="50" w:line="360" w:lineRule="auto"/>
              <w:jc w:val="center"/>
              <w:rPr>
                <w:rFonts w:asciiTheme="minorEastAsia" w:hAnsiTheme="minorEastAsia" w:eastAsiaTheme="minorEastAsia"/>
                <w:color w:val="auto"/>
                <w:kern w:val="0"/>
                <w:sz w:val="20"/>
                <w:szCs w:val="21"/>
              </w:rPr>
            </w:pPr>
          </w:p>
        </w:tc>
        <w:tc>
          <w:tcPr>
            <w:tcW w:w="950" w:type="pct"/>
          </w:tcPr>
          <w:p w14:paraId="11B7DBFE">
            <w:pPr>
              <w:adjustRightInd w:val="0"/>
              <w:snapToGrid w:val="0"/>
              <w:spacing w:before="120" w:beforeLines="50" w:line="360" w:lineRule="auto"/>
              <w:jc w:val="center"/>
              <w:rPr>
                <w:rFonts w:asciiTheme="minorEastAsia" w:hAnsiTheme="minorEastAsia" w:eastAsiaTheme="minorEastAsia"/>
                <w:color w:val="auto"/>
                <w:kern w:val="0"/>
                <w:sz w:val="20"/>
                <w:szCs w:val="21"/>
              </w:rPr>
            </w:pPr>
          </w:p>
        </w:tc>
      </w:tr>
      <w:tr w14:paraId="13C19C1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435" w:type="pct"/>
          </w:tcPr>
          <w:p w14:paraId="10852233">
            <w:pPr>
              <w:adjustRightInd w:val="0"/>
              <w:snapToGrid w:val="0"/>
              <w:spacing w:before="120" w:beforeLines="50" w:line="360" w:lineRule="auto"/>
              <w:jc w:val="center"/>
              <w:rPr>
                <w:rFonts w:asciiTheme="minorEastAsia" w:hAnsiTheme="minorEastAsia" w:eastAsiaTheme="minorEastAsia"/>
                <w:color w:val="auto"/>
                <w:kern w:val="0"/>
                <w:sz w:val="20"/>
                <w:szCs w:val="21"/>
              </w:rPr>
            </w:pPr>
          </w:p>
        </w:tc>
        <w:tc>
          <w:tcPr>
            <w:tcW w:w="1033" w:type="pct"/>
            <w:tcBorders>
              <w:right w:val="single" w:color="auto" w:sz="4" w:space="0"/>
            </w:tcBorders>
          </w:tcPr>
          <w:p w14:paraId="5E7DCA47">
            <w:pPr>
              <w:adjustRightInd w:val="0"/>
              <w:snapToGrid w:val="0"/>
              <w:spacing w:before="120" w:beforeLines="50" w:line="360" w:lineRule="auto"/>
              <w:jc w:val="center"/>
              <w:rPr>
                <w:rFonts w:asciiTheme="minorEastAsia" w:hAnsiTheme="minorEastAsia" w:eastAsiaTheme="minorEastAsia"/>
                <w:color w:val="auto"/>
                <w:kern w:val="0"/>
                <w:sz w:val="20"/>
                <w:szCs w:val="21"/>
              </w:rPr>
            </w:pPr>
          </w:p>
        </w:tc>
        <w:tc>
          <w:tcPr>
            <w:tcW w:w="1330" w:type="pct"/>
            <w:tcBorders>
              <w:left w:val="single" w:color="auto" w:sz="4" w:space="0"/>
            </w:tcBorders>
          </w:tcPr>
          <w:p w14:paraId="1AC5F823">
            <w:pPr>
              <w:adjustRightInd w:val="0"/>
              <w:snapToGrid w:val="0"/>
              <w:spacing w:before="120" w:beforeLines="50" w:line="360" w:lineRule="auto"/>
              <w:jc w:val="center"/>
              <w:rPr>
                <w:rFonts w:asciiTheme="minorEastAsia" w:hAnsiTheme="minorEastAsia" w:eastAsiaTheme="minorEastAsia"/>
                <w:color w:val="auto"/>
                <w:kern w:val="0"/>
                <w:sz w:val="20"/>
                <w:szCs w:val="21"/>
              </w:rPr>
            </w:pPr>
          </w:p>
        </w:tc>
        <w:tc>
          <w:tcPr>
            <w:tcW w:w="1252" w:type="pct"/>
          </w:tcPr>
          <w:p w14:paraId="37CD113C">
            <w:pPr>
              <w:adjustRightInd w:val="0"/>
              <w:snapToGrid w:val="0"/>
              <w:spacing w:before="120" w:beforeLines="50" w:line="360" w:lineRule="auto"/>
              <w:jc w:val="center"/>
              <w:rPr>
                <w:rFonts w:asciiTheme="minorEastAsia" w:hAnsiTheme="minorEastAsia" w:eastAsiaTheme="minorEastAsia"/>
                <w:color w:val="auto"/>
                <w:kern w:val="0"/>
                <w:sz w:val="20"/>
                <w:szCs w:val="21"/>
              </w:rPr>
            </w:pPr>
          </w:p>
        </w:tc>
        <w:tc>
          <w:tcPr>
            <w:tcW w:w="950" w:type="pct"/>
          </w:tcPr>
          <w:p w14:paraId="511AFF51">
            <w:pPr>
              <w:adjustRightInd w:val="0"/>
              <w:snapToGrid w:val="0"/>
              <w:spacing w:before="120" w:beforeLines="50" w:line="360" w:lineRule="auto"/>
              <w:jc w:val="center"/>
              <w:rPr>
                <w:rFonts w:asciiTheme="minorEastAsia" w:hAnsiTheme="minorEastAsia" w:eastAsiaTheme="minorEastAsia"/>
                <w:color w:val="auto"/>
                <w:kern w:val="0"/>
                <w:sz w:val="20"/>
                <w:szCs w:val="21"/>
              </w:rPr>
            </w:pPr>
          </w:p>
        </w:tc>
      </w:tr>
      <w:tr w14:paraId="72BCE63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62" w:hRule="atLeast"/>
        </w:trPr>
        <w:tc>
          <w:tcPr>
            <w:tcW w:w="435" w:type="pct"/>
          </w:tcPr>
          <w:p w14:paraId="058D299F">
            <w:pPr>
              <w:adjustRightInd w:val="0"/>
              <w:snapToGrid w:val="0"/>
              <w:spacing w:before="120" w:beforeLines="50" w:line="360" w:lineRule="auto"/>
              <w:jc w:val="center"/>
              <w:rPr>
                <w:rFonts w:asciiTheme="minorEastAsia" w:hAnsiTheme="minorEastAsia" w:eastAsiaTheme="minorEastAsia"/>
                <w:color w:val="auto"/>
                <w:kern w:val="0"/>
                <w:sz w:val="20"/>
                <w:szCs w:val="21"/>
              </w:rPr>
            </w:pPr>
          </w:p>
        </w:tc>
        <w:tc>
          <w:tcPr>
            <w:tcW w:w="1033" w:type="pct"/>
            <w:tcBorders>
              <w:right w:val="single" w:color="auto" w:sz="4" w:space="0"/>
            </w:tcBorders>
          </w:tcPr>
          <w:p w14:paraId="13826C64">
            <w:pPr>
              <w:adjustRightInd w:val="0"/>
              <w:snapToGrid w:val="0"/>
              <w:spacing w:before="120" w:beforeLines="50" w:line="360" w:lineRule="auto"/>
              <w:jc w:val="center"/>
              <w:rPr>
                <w:rFonts w:asciiTheme="minorEastAsia" w:hAnsiTheme="minorEastAsia" w:eastAsiaTheme="minorEastAsia"/>
                <w:color w:val="auto"/>
                <w:kern w:val="0"/>
                <w:sz w:val="20"/>
                <w:szCs w:val="21"/>
              </w:rPr>
            </w:pPr>
          </w:p>
        </w:tc>
        <w:tc>
          <w:tcPr>
            <w:tcW w:w="1330" w:type="pct"/>
            <w:tcBorders>
              <w:left w:val="single" w:color="auto" w:sz="4" w:space="0"/>
            </w:tcBorders>
          </w:tcPr>
          <w:p w14:paraId="0D84F194">
            <w:pPr>
              <w:adjustRightInd w:val="0"/>
              <w:snapToGrid w:val="0"/>
              <w:spacing w:before="120" w:beforeLines="50" w:line="360" w:lineRule="auto"/>
              <w:jc w:val="center"/>
              <w:rPr>
                <w:rFonts w:asciiTheme="minorEastAsia" w:hAnsiTheme="minorEastAsia" w:eastAsiaTheme="minorEastAsia"/>
                <w:color w:val="auto"/>
                <w:kern w:val="0"/>
                <w:sz w:val="20"/>
                <w:szCs w:val="21"/>
              </w:rPr>
            </w:pPr>
          </w:p>
        </w:tc>
        <w:tc>
          <w:tcPr>
            <w:tcW w:w="1252" w:type="pct"/>
          </w:tcPr>
          <w:p w14:paraId="4034658D">
            <w:pPr>
              <w:adjustRightInd w:val="0"/>
              <w:snapToGrid w:val="0"/>
              <w:spacing w:before="120" w:beforeLines="50" w:line="360" w:lineRule="auto"/>
              <w:jc w:val="center"/>
              <w:rPr>
                <w:rFonts w:asciiTheme="minorEastAsia" w:hAnsiTheme="minorEastAsia" w:eastAsiaTheme="minorEastAsia"/>
                <w:color w:val="auto"/>
                <w:kern w:val="0"/>
                <w:sz w:val="20"/>
                <w:szCs w:val="21"/>
              </w:rPr>
            </w:pPr>
          </w:p>
        </w:tc>
        <w:tc>
          <w:tcPr>
            <w:tcW w:w="950" w:type="pct"/>
          </w:tcPr>
          <w:p w14:paraId="3528A133">
            <w:pPr>
              <w:adjustRightInd w:val="0"/>
              <w:snapToGrid w:val="0"/>
              <w:spacing w:before="120" w:beforeLines="50" w:line="360" w:lineRule="auto"/>
              <w:jc w:val="center"/>
              <w:rPr>
                <w:rFonts w:asciiTheme="minorEastAsia" w:hAnsiTheme="minorEastAsia" w:eastAsiaTheme="minorEastAsia"/>
                <w:color w:val="auto"/>
                <w:kern w:val="0"/>
                <w:sz w:val="20"/>
                <w:szCs w:val="21"/>
              </w:rPr>
            </w:pPr>
          </w:p>
        </w:tc>
      </w:tr>
    </w:tbl>
    <w:p w14:paraId="53D97B4A">
      <w:pPr>
        <w:rPr>
          <w:color w:val="auto"/>
        </w:rPr>
      </w:pPr>
    </w:p>
    <w:p w14:paraId="595BAA83">
      <w:pPr>
        <w:widowControl/>
        <w:jc w:val="left"/>
        <w:rPr>
          <w:rFonts w:ascii="Arial" w:hAnsi="Arial" w:eastAsia="黑体"/>
          <w:b/>
          <w:bCs/>
          <w:color w:val="auto"/>
          <w:sz w:val="28"/>
          <w:szCs w:val="28"/>
        </w:rPr>
      </w:pPr>
      <w:r>
        <w:rPr>
          <w:color w:val="auto"/>
        </w:rPr>
        <w:br w:type="page"/>
      </w:r>
    </w:p>
    <w:p w14:paraId="2CA93B42">
      <w:pPr>
        <w:pStyle w:val="5"/>
        <w:adjustRightInd w:val="0"/>
        <w:snapToGrid w:val="0"/>
        <w:spacing w:before="120" w:beforeLines="50" w:after="0" w:line="360" w:lineRule="auto"/>
        <w:jc w:val="left"/>
        <w:rPr>
          <w:rFonts w:ascii="黑体" w:hAnsi="黑体"/>
          <w:b w:val="0"/>
          <w:color w:val="auto"/>
          <w:sz w:val="21"/>
          <w:szCs w:val="21"/>
        </w:rPr>
      </w:pPr>
      <w:bookmarkStart w:id="229" w:name="_Toc32629"/>
      <w:r>
        <w:rPr>
          <w:rFonts w:hint="eastAsia" w:ascii="黑体" w:hAnsi="黑体"/>
          <w:b w:val="0"/>
          <w:color w:val="auto"/>
          <w:sz w:val="21"/>
          <w:szCs w:val="21"/>
        </w:rPr>
        <w:t>索引表3 评标索引表</w:t>
      </w:r>
      <w:bookmarkEnd w:id="229"/>
    </w:p>
    <w:p w14:paraId="73531A61">
      <w:pPr>
        <w:adjustRightInd w:val="0"/>
        <w:snapToGrid w:val="0"/>
        <w:spacing w:before="120" w:beforeLines="50" w:line="360" w:lineRule="auto"/>
        <w:jc w:val="center"/>
        <w:rPr>
          <w:rFonts w:ascii="黑体" w:hAnsi="黑体" w:eastAsia="黑体"/>
          <w:b/>
          <w:color w:val="auto"/>
          <w:sz w:val="28"/>
          <w:szCs w:val="28"/>
        </w:rPr>
      </w:pPr>
      <w:r>
        <w:rPr>
          <w:rFonts w:hint="eastAsia" w:ascii="黑体" w:hAnsi="黑体" w:eastAsia="黑体"/>
          <w:b/>
          <w:color w:val="auto"/>
          <w:sz w:val="28"/>
          <w:szCs w:val="28"/>
        </w:rPr>
        <w:t>评标索引表</w:t>
      </w:r>
    </w:p>
    <w:tbl>
      <w:tblPr>
        <w:tblStyle w:val="42"/>
        <w:tblW w:w="5000" w:type="pct"/>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662"/>
        <w:gridCol w:w="1667"/>
        <w:gridCol w:w="1112"/>
        <w:gridCol w:w="1390"/>
        <w:gridCol w:w="2362"/>
        <w:gridCol w:w="1686"/>
      </w:tblGrid>
      <w:tr w14:paraId="3B072E7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vAlign w:val="center"/>
          </w:tcPr>
          <w:p w14:paraId="5627FF69">
            <w:pPr>
              <w:adjustRightInd w:val="0"/>
              <w:snapToGrid w:val="0"/>
              <w:spacing w:before="120" w:beforeLines="50" w:line="360" w:lineRule="auto"/>
              <w:jc w:val="center"/>
              <w:rPr>
                <w:rFonts w:asciiTheme="minorEastAsia" w:hAnsiTheme="minorEastAsia" w:eastAsiaTheme="minorEastAsia"/>
                <w:b/>
                <w:color w:val="auto"/>
                <w:kern w:val="0"/>
                <w:szCs w:val="21"/>
              </w:rPr>
            </w:pPr>
            <w:r>
              <w:rPr>
                <w:rFonts w:hint="eastAsia" w:asciiTheme="minorEastAsia" w:hAnsiTheme="minorEastAsia" w:eastAsiaTheme="minorEastAsia"/>
                <w:b/>
                <w:color w:val="auto"/>
                <w:kern w:val="0"/>
                <w:szCs w:val="21"/>
              </w:rPr>
              <w:t>序号</w:t>
            </w:r>
          </w:p>
        </w:tc>
        <w:tc>
          <w:tcPr>
            <w:tcW w:w="939" w:type="pct"/>
            <w:tcBorders>
              <w:right w:val="single" w:color="auto" w:sz="4" w:space="0"/>
            </w:tcBorders>
            <w:vAlign w:val="center"/>
          </w:tcPr>
          <w:p w14:paraId="577E48DE">
            <w:pPr>
              <w:adjustRightInd w:val="0"/>
              <w:snapToGrid w:val="0"/>
              <w:spacing w:before="120" w:beforeLines="50" w:line="360" w:lineRule="auto"/>
              <w:jc w:val="center"/>
              <w:rPr>
                <w:rFonts w:asciiTheme="minorEastAsia" w:hAnsiTheme="minorEastAsia" w:eastAsiaTheme="minorEastAsia"/>
                <w:b/>
                <w:color w:val="auto"/>
                <w:kern w:val="0"/>
                <w:szCs w:val="21"/>
              </w:rPr>
            </w:pPr>
            <w:r>
              <w:rPr>
                <w:rFonts w:hint="eastAsia" w:asciiTheme="minorEastAsia" w:hAnsiTheme="minorEastAsia" w:eastAsiaTheme="minorEastAsia"/>
                <w:b/>
                <w:color w:val="auto"/>
                <w:kern w:val="0"/>
                <w:sz w:val="20"/>
                <w:szCs w:val="21"/>
              </w:rPr>
              <w:t>招标文件</w:t>
            </w:r>
            <w:r>
              <w:rPr>
                <w:rFonts w:hint="eastAsia" w:asciiTheme="minorEastAsia" w:hAnsiTheme="minorEastAsia" w:eastAsiaTheme="minorEastAsia"/>
                <w:b/>
                <w:color w:val="auto"/>
                <w:kern w:val="0"/>
                <w:szCs w:val="21"/>
              </w:rPr>
              <w:t>条款号</w:t>
            </w:r>
          </w:p>
        </w:tc>
        <w:tc>
          <w:tcPr>
            <w:tcW w:w="626" w:type="pct"/>
            <w:tcBorders>
              <w:left w:val="single" w:color="auto" w:sz="4" w:space="0"/>
              <w:right w:val="single" w:color="auto" w:sz="4" w:space="0"/>
            </w:tcBorders>
            <w:vAlign w:val="center"/>
          </w:tcPr>
          <w:p w14:paraId="22BE51CE">
            <w:pPr>
              <w:adjustRightInd w:val="0"/>
              <w:snapToGrid w:val="0"/>
              <w:spacing w:before="120" w:beforeLines="50" w:line="360" w:lineRule="auto"/>
              <w:jc w:val="center"/>
              <w:rPr>
                <w:rFonts w:asciiTheme="minorEastAsia" w:hAnsiTheme="minorEastAsia" w:eastAsiaTheme="minorEastAsia"/>
                <w:b/>
                <w:color w:val="auto"/>
                <w:kern w:val="0"/>
                <w:szCs w:val="21"/>
              </w:rPr>
            </w:pPr>
            <w:r>
              <w:rPr>
                <w:rFonts w:hint="eastAsia" w:asciiTheme="minorEastAsia" w:hAnsiTheme="minorEastAsia" w:eastAsiaTheme="minorEastAsia"/>
                <w:b/>
                <w:color w:val="auto"/>
                <w:kern w:val="0"/>
                <w:szCs w:val="21"/>
              </w:rPr>
              <w:t>评审因素</w:t>
            </w:r>
          </w:p>
        </w:tc>
        <w:tc>
          <w:tcPr>
            <w:tcW w:w="783" w:type="pct"/>
            <w:tcBorders>
              <w:left w:val="single" w:color="auto" w:sz="4" w:space="0"/>
            </w:tcBorders>
            <w:vAlign w:val="center"/>
          </w:tcPr>
          <w:p w14:paraId="7A55078D">
            <w:pPr>
              <w:adjustRightInd w:val="0"/>
              <w:snapToGrid w:val="0"/>
              <w:spacing w:before="120" w:beforeLines="50" w:line="360" w:lineRule="auto"/>
              <w:jc w:val="center"/>
              <w:rPr>
                <w:rFonts w:asciiTheme="minorEastAsia" w:hAnsiTheme="minorEastAsia" w:eastAsiaTheme="minorEastAsia"/>
                <w:b/>
                <w:color w:val="auto"/>
                <w:kern w:val="0"/>
                <w:szCs w:val="21"/>
              </w:rPr>
            </w:pPr>
            <w:r>
              <w:rPr>
                <w:rFonts w:hint="eastAsia" w:asciiTheme="minorEastAsia" w:hAnsiTheme="minorEastAsia" w:eastAsiaTheme="minorEastAsia"/>
                <w:b/>
                <w:color w:val="auto"/>
                <w:kern w:val="0"/>
                <w:szCs w:val="21"/>
              </w:rPr>
              <w:t>评标标准</w:t>
            </w:r>
          </w:p>
        </w:tc>
        <w:tc>
          <w:tcPr>
            <w:tcW w:w="1330" w:type="pct"/>
            <w:vAlign w:val="center"/>
          </w:tcPr>
          <w:p w14:paraId="2B0FA383">
            <w:pPr>
              <w:adjustRightInd w:val="0"/>
              <w:snapToGrid w:val="0"/>
              <w:spacing w:before="120" w:beforeLines="50" w:line="360" w:lineRule="auto"/>
              <w:jc w:val="center"/>
              <w:rPr>
                <w:rFonts w:asciiTheme="minorEastAsia" w:hAnsiTheme="minorEastAsia" w:eastAsiaTheme="minorEastAsia"/>
                <w:b/>
                <w:color w:val="auto"/>
                <w:kern w:val="0"/>
                <w:szCs w:val="21"/>
              </w:rPr>
            </w:pPr>
            <w:r>
              <w:rPr>
                <w:rFonts w:hint="eastAsia" w:asciiTheme="minorEastAsia" w:hAnsiTheme="minorEastAsia" w:eastAsiaTheme="minorEastAsia"/>
                <w:b/>
                <w:color w:val="auto"/>
                <w:kern w:val="0"/>
                <w:szCs w:val="21"/>
              </w:rPr>
              <w:t>投标响应及证明材料</w:t>
            </w:r>
          </w:p>
        </w:tc>
        <w:tc>
          <w:tcPr>
            <w:tcW w:w="950" w:type="pct"/>
            <w:vAlign w:val="center"/>
          </w:tcPr>
          <w:p w14:paraId="120092AA">
            <w:pPr>
              <w:adjustRightInd w:val="0"/>
              <w:snapToGrid w:val="0"/>
              <w:spacing w:before="120" w:beforeLines="50" w:line="360" w:lineRule="auto"/>
              <w:jc w:val="center"/>
              <w:rPr>
                <w:rFonts w:asciiTheme="minorEastAsia" w:hAnsiTheme="minorEastAsia" w:eastAsiaTheme="minorEastAsia"/>
                <w:b/>
                <w:color w:val="auto"/>
                <w:kern w:val="0"/>
                <w:szCs w:val="21"/>
              </w:rPr>
            </w:pPr>
            <w:r>
              <w:rPr>
                <w:rFonts w:hint="eastAsia" w:asciiTheme="minorEastAsia" w:hAnsiTheme="minorEastAsia" w:eastAsiaTheme="minorEastAsia"/>
                <w:b/>
                <w:color w:val="auto"/>
                <w:kern w:val="0"/>
                <w:szCs w:val="21"/>
              </w:rPr>
              <w:t>投标文件对应内容的册及页码</w:t>
            </w:r>
          </w:p>
        </w:tc>
      </w:tr>
      <w:tr w14:paraId="48FBEB9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Pr>
          <w:p w14:paraId="1D8E799A">
            <w:pPr>
              <w:adjustRightInd w:val="0"/>
              <w:snapToGrid w:val="0"/>
              <w:spacing w:before="120" w:beforeLines="50" w:line="360" w:lineRule="auto"/>
              <w:jc w:val="center"/>
              <w:rPr>
                <w:rFonts w:asciiTheme="minorEastAsia" w:hAnsiTheme="minorEastAsia" w:eastAsiaTheme="minorEastAsia"/>
                <w:color w:val="auto"/>
                <w:kern w:val="0"/>
                <w:szCs w:val="21"/>
              </w:rPr>
            </w:pPr>
          </w:p>
        </w:tc>
        <w:tc>
          <w:tcPr>
            <w:tcW w:w="939" w:type="pct"/>
            <w:tcBorders>
              <w:right w:val="single" w:color="auto" w:sz="4" w:space="0"/>
            </w:tcBorders>
          </w:tcPr>
          <w:p w14:paraId="7DDBD1C6">
            <w:pPr>
              <w:adjustRightInd w:val="0"/>
              <w:snapToGrid w:val="0"/>
              <w:spacing w:before="120" w:beforeLines="50" w:line="360" w:lineRule="auto"/>
              <w:jc w:val="center"/>
              <w:rPr>
                <w:rFonts w:asciiTheme="minorEastAsia" w:hAnsiTheme="minorEastAsia" w:eastAsiaTheme="minorEastAsia"/>
                <w:color w:val="auto"/>
                <w:kern w:val="0"/>
                <w:szCs w:val="21"/>
              </w:rPr>
            </w:pPr>
          </w:p>
        </w:tc>
        <w:tc>
          <w:tcPr>
            <w:tcW w:w="626" w:type="pct"/>
            <w:tcBorders>
              <w:left w:val="single" w:color="auto" w:sz="4" w:space="0"/>
              <w:right w:val="single" w:color="auto" w:sz="4" w:space="0"/>
            </w:tcBorders>
          </w:tcPr>
          <w:p w14:paraId="750B880C">
            <w:pPr>
              <w:adjustRightInd w:val="0"/>
              <w:snapToGrid w:val="0"/>
              <w:spacing w:before="120" w:beforeLines="50" w:line="360" w:lineRule="auto"/>
              <w:jc w:val="center"/>
              <w:rPr>
                <w:rFonts w:asciiTheme="minorEastAsia" w:hAnsiTheme="minorEastAsia" w:eastAsiaTheme="minorEastAsia"/>
                <w:color w:val="auto"/>
                <w:kern w:val="0"/>
                <w:szCs w:val="21"/>
              </w:rPr>
            </w:pPr>
          </w:p>
        </w:tc>
        <w:tc>
          <w:tcPr>
            <w:tcW w:w="783" w:type="pct"/>
            <w:tcBorders>
              <w:left w:val="single" w:color="auto" w:sz="4" w:space="0"/>
            </w:tcBorders>
          </w:tcPr>
          <w:p w14:paraId="566F1C95">
            <w:pPr>
              <w:adjustRightInd w:val="0"/>
              <w:snapToGrid w:val="0"/>
              <w:spacing w:before="120" w:beforeLines="50" w:line="360" w:lineRule="auto"/>
              <w:jc w:val="center"/>
              <w:rPr>
                <w:rFonts w:asciiTheme="minorEastAsia" w:hAnsiTheme="minorEastAsia" w:eastAsiaTheme="minorEastAsia"/>
                <w:color w:val="auto"/>
                <w:kern w:val="0"/>
                <w:szCs w:val="21"/>
              </w:rPr>
            </w:pPr>
          </w:p>
        </w:tc>
        <w:tc>
          <w:tcPr>
            <w:tcW w:w="1330" w:type="pct"/>
          </w:tcPr>
          <w:p w14:paraId="7FA87371">
            <w:pPr>
              <w:adjustRightInd w:val="0"/>
              <w:snapToGrid w:val="0"/>
              <w:spacing w:before="120" w:beforeLines="50" w:line="360" w:lineRule="auto"/>
              <w:jc w:val="center"/>
              <w:rPr>
                <w:rFonts w:asciiTheme="minorEastAsia" w:hAnsiTheme="minorEastAsia" w:eastAsiaTheme="minorEastAsia"/>
                <w:color w:val="auto"/>
                <w:kern w:val="0"/>
                <w:szCs w:val="21"/>
              </w:rPr>
            </w:pPr>
          </w:p>
        </w:tc>
        <w:tc>
          <w:tcPr>
            <w:tcW w:w="950" w:type="pct"/>
          </w:tcPr>
          <w:p w14:paraId="7C61A4CB">
            <w:pPr>
              <w:adjustRightInd w:val="0"/>
              <w:snapToGrid w:val="0"/>
              <w:spacing w:before="120" w:beforeLines="50" w:line="360" w:lineRule="auto"/>
              <w:jc w:val="center"/>
              <w:rPr>
                <w:rFonts w:asciiTheme="minorEastAsia" w:hAnsiTheme="minorEastAsia" w:eastAsiaTheme="minorEastAsia"/>
                <w:color w:val="auto"/>
                <w:kern w:val="0"/>
                <w:szCs w:val="21"/>
              </w:rPr>
            </w:pPr>
          </w:p>
        </w:tc>
      </w:tr>
      <w:tr w14:paraId="39852E6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Pr>
          <w:p w14:paraId="03890234">
            <w:pPr>
              <w:adjustRightInd w:val="0"/>
              <w:snapToGrid w:val="0"/>
              <w:spacing w:before="120" w:beforeLines="50" w:line="360" w:lineRule="auto"/>
              <w:jc w:val="center"/>
              <w:rPr>
                <w:rFonts w:asciiTheme="minorEastAsia" w:hAnsiTheme="minorEastAsia" w:eastAsiaTheme="minorEastAsia"/>
                <w:color w:val="auto"/>
                <w:kern w:val="0"/>
                <w:szCs w:val="21"/>
              </w:rPr>
            </w:pPr>
          </w:p>
        </w:tc>
        <w:tc>
          <w:tcPr>
            <w:tcW w:w="939" w:type="pct"/>
            <w:tcBorders>
              <w:right w:val="single" w:color="auto" w:sz="4" w:space="0"/>
            </w:tcBorders>
          </w:tcPr>
          <w:p w14:paraId="3A264747">
            <w:pPr>
              <w:adjustRightInd w:val="0"/>
              <w:snapToGrid w:val="0"/>
              <w:spacing w:before="120" w:beforeLines="50" w:line="360" w:lineRule="auto"/>
              <w:jc w:val="center"/>
              <w:rPr>
                <w:rFonts w:asciiTheme="minorEastAsia" w:hAnsiTheme="minorEastAsia" w:eastAsiaTheme="minorEastAsia"/>
                <w:color w:val="auto"/>
                <w:kern w:val="0"/>
                <w:szCs w:val="21"/>
              </w:rPr>
            </w:pPr>
          </w:p>
        </w:tc>
        <w:tc>
          <w:tcPr>
            <w:tcW w:w="626" w:type="pct"/>
            <w:tcBorders>
              <w:left w:val="single" w:color="auto" w:sz="4" w:space="0"/>
              <w:right w:val="single" w:color="auto" w:sz="4" w:space="0"/>
            </w:tcBorders>
          </w:tcPr>
          <w:p w14:paraId="69894615">
            <w:pPr>
              <w:adjustRightInd w:val="0"/>
              <w:snapToGrid w:val="0"/>
              <w:spacing w:before="120" w:beforeLines="50" w:line="360" w:lineRule="auto"/>
              <w:jc w:val="center"/>
              <w:rPr>
                <w:rFonts w:asciiTheme="minorEastAsia" w:hAnsiTheme="minorEastAsia" w:eastAsiaTheme="minorEastAsia"/>
                <w:color w:val="auto"/>
                <w:kern w:val="0"/>
                <w:szCs w:val="21"/>
              </w:rPr>
            </w:pPr>
          </w:p>
        </w:tc>
        <w:tc>
          <w:tcPr>
            <w:tcW w:w="783" w:type="pct"/>
            <w:tcBorders>
              <w:left w:val="single" w:color="auto" w:sz="4" w:space="0"/>
            </w:tcBorders>
          </w:tcPr>
          <w:p w14:paraId="525284EB">
            <w:pPr>
              <w:adjustRightInd w:val="0"/>
              <w:snapToGrid w:val="0"/>
              <w:spacing w:before="120" w:beforeLines="50" w:line="360" w:lineRule="auto"/>
              <w:jc w:val="center"/>
              <w:rPr>
                <w:rFonts w:asciiTheme="minorEastAsia" w:hAnsiTheme="minorEastAsia" w:eastAsiaTheme="minorEastAsia"/>
                <w:color w:val="auto"/>
                <w:kern w:val="0"/>
                <w:szCs w:val="21"/>
              </w:rPr>
            </w:pPr>
          </w:p>
        </w:tc>
        <w:tc>
          <w:tcPr>
            <w:tcW w:w="1330" w:type="pct"/>
          </w:tcPr>
          <w:p w14:paraId="42C21DC9">
            <w:pPr>
              <w:adjustRightInd w:val="0"/>
              <w:snapToGrid w:val="0"/>
              <w:spacing w:before="120" w:beforeLines="50" w:line="360" w:lineRule="auto"/>
              <w:jc w:val="center"/>
              <w:rPr>
                <w:rFonts w:asciiTheme="minorEastAsia" w:hAnsiTheme="minorEastAsia" w:eastAsiaTheme="minorEastAsia"/>
                <w:color w:val="auto"/>
                <w:kern w:val="0"/>
                <w:szCs w:val="21"/>
              </w:rPr>
            </w:pPr>
          </w:p>
        </w:tc>
        <w:tc>
          <w:tcPr>
            <w:tcW w:w="950" w:type="pct"/>
          </w:tcPr>
          <w:p w14:paraId="2BFD8FDF">
            <w:pPr>
              <w:adjustRightInd w:val="0"/>
              <w:snapToGrid w:val="0"/>
              <w:spacing w:before="120" w:beforeLines="50" w:line="360" w:lineRule="auto"/>
              <w:jc w:val="center"/>
              <w:rPr>
                <w:rFonts w:asciiTheme="minorEastAsia" w:hAnsiTheme="minorEastAsia" w:eastAsiaTheme="minorEastAsia"/>
                <w:color w:val="auto"/>
                <w:kern w:val="0"/>
                <w:szCs w:val="21"/>
              </w:rPr>
            </w:pPr>
          </w:p>
        </w:tc>
      </w:tr>
      <w:tr w14:paraId="3299FA4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Pr>
          <w:p w14:paraId="4552482A">
            <w:pPr>
              <w:adjustRightInd w:val="0"/>
              <w:snapToGrid w:val="0"/>
              <w:spacing w:before="120" w:beforeLines="50" w:line="360" w:lineRule="auto"/>
              <w:jc w:val="center"/>
              <w:rPr>
                <w:rFonts w:asciiTheme="minorEastAsia" w:hAnsiTheme="minorEastAsia" w:eastAsiaTheme="minorEastAsia"/>
                <w:color w:val="auto"/>
                <w:kern w:val="0"/>
                <w:szCs w:val="21"/>
              </w:rPr>
            </w:pPr>
          </w:p>
        </w:tc>
        <w:tc>
          <w:tcPr>
            <w:tcW w:w="939" w:type="pct"/>
            <w:tcBorders>
              <w:right w:val="single" w:color="auto" w:sz="4" w:space="0"/>
            </w:tcBorders>
          </w:tcPr>
          <w:p w14:paraId="00A73AD2">
            <w:pPr>
              <w:adjustRightInd w:val="0"/>
              <w:snapToGrid w:val="0"/>
              <w:spacing w:before="120" w:beforeLines="50" w:line="360" w:lineRule="auto"/>
              <w:jc w:val="center"/>
              <w:rPr>
                <w:rFonts w:asciiTheme="minorEastAsia" w:hAnsiTheme="minorEastAsia" w:eastAsiaTheme="minorEastAsia"/>
                <w:color w:val="auto"/>
                <w:kern w:val="0"/>
                <w:szCs w:val="21"/>
              </w:rPr>
            </w:pPr>
          </w:p>
        </w:tc>
        <w:tc>
          <w:tcPr>
            <w:tcW w:w="626" w:type="pct"/>
            <w:tcBorders>
              <w:left w:val="single" w:color="auto" w:sz="4" w:space="0"/>
              <w:right w:val="single" w:color="auto" w:sz="4" w:space="0"/>
            </w:tcBorders>
          </w:tcPr>
          <w:p w14:paraId="2A882950">
            <w:pPr>
              <w:adjustRightInd w:val="0"/>
              <w:snapToGrid w:val="0"/>
              <w:spacing w:before="120" w:beforeLines="50" w:line="360" w:lineRule="auto"/>
              <w:jc w:val="center"/>
              <w:rPr>
                <w:rFonts w:asciiTheme="minorEastAsia" w:hAnsiTheme="minorEastAsia" w:eastAsiaTheme="minorEastAsia"/>
                <w:color w:val="auto"/>
                <w:kern w:val="0"/>
                <w:szCs w:val="21"/>
              </w:rPr>
            </w:pPr>
          </w:p>
        </w:tc>
        <w:tc>
          <w:tcPr>
            <w:tcW w:w="783" w:type="pct"/>
            <w:tcBorders>
              <w:left w:val="single" w:color="auto" w:sz="4" w:space="0"/>
            </w:tcBorders>
          </w:tcPr>
          <w:p w14:paraId="44A59D2F">
            <w:pPr>
              <w:adjustRightInd w:val="0"/>
              <w:snapToGrid w:val="0"/>
              <w:spacing w:before="120" w:beforeLines="50" w:line="360" w:lineRule="auto"/>
              <w:jc w:val="center"/>
              <w:rPr>
                <w:rFonts w:asciiTheme="minorEastAsia" w:hAnsiTheme="minorEastAsia" w:eastAsiaTheme="minorEastAsia"/>
                <w:color w:val="auto"/>
                <w:kern w:val="0"/>
                <w:szCs w:val="21"/>
              </w:rPr>
            </w:pPr>
          </w:p>
        </w:tc>
        <w:tc>
          <w:tcPr>
            <w:tcW w:w="1330" w:type="pct"/>
          </w:tcPr>
          <w:p w14:paraId="208BDF1E">
            <w:pPr>
              <w:adjustRightInd w:val="0"/>
              <w:snapToGrid w:val="0"/>
              <w:spacing w:before="120" w:beforeLines="50" w:line="360" w:lineRule="auto"/>
              <w:jc w:val="center"/>
              <w:rPr>
                <w:rFonts w:asciiTheme="minorEastAsia" w:hAnsiTheme="minorEastAsia" w:eastAsiaTheme="minorEastAsia"/>
                <w:color w:val="auto"/>
                <w:kern w:val="0"/>
                <w:szCs w:val="21"/>
              </w:rPr>
            </w:pPr>
          </w:p>
        </w:tc>
        <w:tc>
          <w:tcPr>
            <w:tcW w:w="950" w:type="pct"/>
          </w:tcPr>
          <w:p w14:paraId="30FB452F">
            <w:pPr>
              <w:adjustRightInd w:val="0"/>
              <w:snapToGrid w:val="0"/>
              <w:spacing w:before="120" w:beforeLines="50" w:line="360" w:lineRule="auto"/>
              <w:jc w:val="center"/>
              <w:rPr>
                <w:rFonts w:asciiTheme="minorEastAsia" w:hAnsiTheme="minorEastAsia" w:eastAsiaTheme="minorEastAsia"/>
                <w:color w:val="auto"/>
                <w:kern w:val="0"/>
                <w:szCs w:val="21"/>
              </w:rPr>
            </w:pPr>
          </w:p>
        </w:tc>
      </w:tr>
      <w:tr w14:paraId="7773D96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Pr>
          <w:p w14:paraId="58229C2D">
            <w:pPr>
              <w:adjustRightInd w:val="0"/>
              <w:snapToGrid w:val="0"/>
              <w:spacing w:before="120" w:beforeLines="50" w:line="360" w:lineRule="auto"/>
              <w:jc w:val="center"/>
              <w:rPr>
                <w:rFonts w:asciiTheme="minorEastAsia" w:hAnsiTheme="minorEastAsia" w:eastAsiaTheme="minorEastAsia"/>
                <w:color w:val="auto"/>
                <w:kern w:val="0"/>
                <w:szCs w:val="21"/>
              </w:rPr>
            </w:pPr>
          </w:p>
        </w:tc>
        <w:tc>
          <w:tcPr>
            <w:tcW w:w="939" w:type="pct"/>
            <w:tcBorders>
              <w:right w:val="single" w:color="auto" w:sz="4" w:space="0"/>
            </w:tcBorders>
          </w:tcPr>
          <w:p w14:paraId="42CE6142">
            <w:pPr>
              <w:adjustRightInd w:val="0"/>
              <w:snapToGrid w:val="0"/>
              <w:spacing w:before="120" w:beforeLines="50" w:line="360" w:lineRule="auto"/>
              <w:jc w:val="center"/>
              <w:rPr>
                <w:rFonts w:asciiTheme="minorEastAsia" w:hAnsiTheme="minorEastAsia" w:eastAsiaTheme="minorEastAsia"/>
                <w:color w:val="auto"/>
                <w:kern w:val="0"/>
                <w:szCs w:val="21"/>
              </w:rPr>
            </w:pPr>
          </w:p>
        </w:tc>
        <w:tc>
          <w:tcPr>
            <w:tcW w:w="626" w:type="pct"/>
            <w:tcBorders>
              <w:left w:val="single" w:color="auto" w:sz="4" w:space="0"/>
              <w:right w:val="single" w:color="auto" w:sz="4" w:space="0"/>
            </w:tcBorders>
          </w:tcPr>
          <w:p w14:paraId="027604EF">
            <w:pPr>
              <w:adjustRightInd w:val="0"/>
              <w:snapToGrid w:val="0"/>
              <w:spacing w:before="120" w:beforeLines="50" w:line="360" w:lineRule="auto"/>
              <w:jc w:val="center"/>
              <w:rPr>
                <w:rFonts w:asciiTheme="minorEastAsia" w:hAnsiTheme="minorEastAsia" w:eastAsiaTheme="minorEastAsia"/>
                <w:color w:val="auto"/>
                <w:kern w:val="0"/>
                <w:szCs w:val="21"/>
              </w:rPr>
            </w:pPr>
          </w:p>
        </w:tc>
        <w:tc>
          <w:tcPr>
            <w:tcW w:w="783" w:type="pct"/>
            <w:tcBorders>
              <w:left w:val="single" w:color="auto" w:sz="4" w:space="0"/>
            </w:tcBorders>
          </w:tcPr>
          <w:p w14:paraId="04A80424">
            <w:pPr>
              <w:adjustRightInd w:val="0"/>
              <w:snapToGrid w:val="0"/>
              <w:spacing w:before="120" w:beforeLines="50" w:line="360" w:lineRule="auto"/>
              <w:jc w:val="center"/>
              <w:rPr>
                <w:rFonts w:asciiTheme="minorEastAsia" w:hAnsiTheme="minorEastAsia" w:eastAsiaTheme="minorEastAsia"/>
                <w:color w:val="auto"/>
                <w:kern w:val="0"/>
                <w:szCs w:val="21"/>
              </w:rPr>
            </w:pPr>
          </w:p>
        </w:tc>
        <w:tc>
          <w:tcPr>
            <w:tcW w:w="1330" w:type="pct"/>
          </w:tcPr>
          <w:p w14:paraId="3CB39F37">
            <w:pPr>
              <w:adjustRightInd w:val="0"/>
              <w:snapToGrid w:val="0"/>
              <w:spacing w:before="120" w:beforeLines="50" w:line="360" w:lineRule="auto"/>
              <w:jc w:val="center"/>
              <w:rPr>
                <w:rFonts w:asciiTheme="minorEastAsia" w:hAnsiTheme="minorEastAsia" w:eastAsiaTheme="minorEastAsia"/>
                <w:color w:val="auto"/>
                <w:kern w:val="0"/>
                <w:szCs w:val="21"/>
              </w:rPr>
            </w:pPr>
          </w:p>
        </w:tc>
        <w:tc>
          <w:tcPr>
            <w:tcW w:w="950" w:type="pct"/>
          </w:tcPr>
          <w:p w14:paraId="51EFCC0C">
            <w:pPr>
              <w:adjustRightInd w:val="0"/>
              <w:snapToGrid w:val="0"/>
              <w:spacing w:before="120" w:beforeLines="50" w:line="360" w:lineRule="auto"/>
              <w:jc w:val="center"/>
              <w:rPr>
                <w:rFonts w:asciiTheme="minorEastAsia" w:hAnsiTheme="minorEastAsia" w:eastAsiaTheme="minorEastAsia"/>
                <w:color w:val="auto"/>
                <w:kern w:val="0"/>
                <w:szCs w:val="21"/>
              </w:rPr>
            </w:pPr>
          </w:p>
        </w:tc>
      </w:tr>
      <w:tr w14:paraId="47493B2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Pr>
          <w:p w14:paraId="3269081C">
            <w:pPr>
              <w:adjustRightInd w:val="0"/>
              <w:snapToGrid w:val="0"/>
              <w:spacing w:before="120" w:beforeLines="50" w:line="360" w:lineRule="auto"/>
              <w:jc w:val="center"/>
              <w:rPr>
                <w:rFonts w:asciiTheme="minorEastAsia" w:hAnsiTheme="minorEastAsia" w:eastAsiaTheme="minorEastAsia"/>
                <w:color w:val="auto"/>
                <w:kern w:val="0"/>
                <w:szCs w:val="21"/>
              </w:rPr>
            </w:pPr>
          </w:p>
        </w:tc>
        <w:tc>
          <w:tcPr>
            <w:tcW w:w="939" w:type="pct"/>
            <w:tcBorders>
              <w:right w:val="single" w:color="auto" w:sz="4" w:space="0"/>
            </w:tcBorders>
          </w:tcPr>
          <w:p w14:paraId="0268E807">
            <w:pPr>
              <w:adjustRightInd w:val="0"/>
              <w:snapToGrid w:val="0"/>
              <w:spacing w:before="120" w:beforeLines="50" w:line="360" w:lineRule="auto"/>
              <w:jc w:val="center"/>
              <w:rPr>
                <w:rFonts w:asciiTheme="minorEastAsia" w:hAnsiTheme="minorEastAsia" w:eastAsiaTheme="minorEastAsia"/>
                <w:color w:val="auto"/>
                <w:kern w:val="0"/>
                <w:szCs w:val="21"/>
              </w:rPr>
            </w:pPr>
          </w:p>
        </w:tc>
        <w:tc>
          <w:tcPr>
            <w:tcW w:w="626" w:type="pct"/>
            <w:tcBorders>
              <w:left w:val="single" w:color="auto" w:sz="4" w:space="0"/>
              <w:right w:val="single" w:color="auto" w:sz="4" w:space="0"/>
            </w:tcBorders>
          </w:tcPr>
          <w:p w14:paraId="0D99FD75">
            <w:pPr>
              <w:adjustRightInd w:val="0"/>
              <w:snapToGrid w:val="0"/>
              <w:spacing w:before="120" w:beforeLines="50" w:line="360" w:lineRule="auto"/>
              <w:jc w:val="center"/>
              <w:rPr>
                <w:rFonts w:asciiTheme="minorEastAsia" w:hAnsiTheme="minorEastAsia" w:eastAsiaTheme="minorEastAsia"/>
                <w:color w:val="auto"/>
                <w:kern w:val="0"/>
                <w:szCs w:val="21"/>
              </w:rPr>
            </w:pPr>
          </w:p>
        </w:tc>
        <w:tc>
          <w:tcPr>
            <w:tcW w:w="783" w:type="pct"/>
            <w:tcBorders>
              <w:left w:val="single" w:color="auto" w:sz="4" w:space="0"/>
            </w:tcBorders>
          </w:tcPr>
          <w:p w14:paraId="679D2BB9">
            <w:pPr>
              <w:adjustRightInd w:val="0"/>
              <w:snapToGrid w:val="0"/>
              <w:spacing w:before="120" w:beforeLines="50" w:line="360" w:lineRule="auto"/>
              <w:jc w:val="center"/>
              <w:rPr>
                <w:rFonts w:asciiTheme="minorEastAsia" w:hAnsiTheme="minorEastAsia" w:eastAsiaTheme="minorEastAsia"/>
                <w:color w:val="auto"/>
                <w:kern w:val="0"/>
                <w:szCs w:val="21"/>
              </w:rPr>
            </w:pPr>
          </w:p>
        </w:tc>
        <w:tc>
          <w:tcPr>
            <w:tcW w:w="1330" w:type="pct"/>
          </w:tcPr>
          <w:p w14:paraId="13A34E39">
            <w:pPr>
              <w:adjustRightInd w:val="0"/>
              <w:snapToGrid w:val="0"/>
              <w:spacing w:before="120" w:beforeLines="50" w:line="360" w:lineRule="auto"/>
              <w:jc w:val="center"/>
              <w:rPr>
                <w:rFonts w:asciiTheme="minorEastAsia" w:hAnsiTheme="minorEastAsia" w:eastAsiaTheme="minorEastAsia"/>
                <w:color w:val="auto"/>
                <w:kern w:val="0"/>
                <w:szCs w:val="21"/>
              </w:rPr>
            </w:pPr>
          </w:p>
        </w:tc>
        <w:tc>
          <w:tcPr>
            <w:tcW w:w="950" w:type="pct"/>
          </w:tcPr>
          <w:p w14:paraId="7AFC9767">
            <w:pPr>
              <w:adjustRightInd w:val="0"/>
              <w:snapToGrid w:val="0"/>
              <w:spacing w:before="120" w:beforeLines="50" w:line="360" w:lineRule="auto"/>
              <w:jc w:val="center"/>
              <w:rPr>
                <w:rFonts w:asciiTheme="minorEastAsia" w:hAnsiTheme="minorEastAsia" w:eastAsiaTheme="minorEastAsia"/>
                <w:color w:val="auto"/>
                <w:kern w:val="0"/>
                <w:szCs w:val="21"/>
              </w:rPr>
            </w:pPr>
          </w:p>
        </w:tc>
      </w:tr>
      <w:tr w14:paraId="2F3E47A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Pr>
          <w:p w14:paraId="5F706226">
            <w:pPr>
              <w:adjustRightInd w:val="0"/>
              <w:snapToGrid w:val="0"/>
              <w:spacing w:before="120" w:beforeLines="50" w:line="360" w:lineRule="auto"/>
              <w:jc w:val="center"/>
              <w:rPr>
                <w:rFonts w:asciiTheme="minorEastAsia" w:hAnsiTheme="minorEastAsia" w:eastAsiaTheme="minorEastAsia"/>
                <w:color w:val="auto"/>
                <w:kern w:val="0"/>
                <w:szCs w:val="21"/>
              </w:rPr>
            </w:pPr>
          </w:p>
        </w:tc>
        <w:tc>
          <w:tcPr>
            <w:tcW w:w="939" w:type="pct"/>
            <w:tcBorders>
              <w:right w:val="single" w:color="auto" w:sz="4" w:space="0"/>
            </w:tcBorders>
          </w:tcPr>
          <w:p w14:paraId="7572311B">
            <w:pPr>
              <w:adjustRightInd w:val="0"/>
              <w:snapToGrid w:val="0"/>
              <w:spacing w:before="120" w:beforeLines="50" w:line="360" w:lineRule="auto"/>
              <w:jc w:val="center"/>
              <w:rPr>
                <w:rFonts w:asciiTheme="minorEastAsia" w:hAnsiTheme="minorEastAsia" w:eastAsiaTheme="minorEastAsia"/>
                <w:color w:val="auto"/>
                <w:kern w:val="0"/>
                <w:szCs w:val="21"/>
              </w:rPr>
            </w:pPr>
          </w:p>
        </w:tc>
        <w:tc>
          <w:tcPr>
            <w:tcW w:w="626" w:type="pct"/>
            <w:tcBorders>
              <w:left w:val="single" w:color="auto" w:sz="4" w:space="0"/>
              <w:right w:val="single" w:color="auto" w:sz="4" w:space="0"/>
            </w:tcBorders>
          </w:tcPr>
          <w:p w14:paraId="38D2C8D4">
            <w:pPr>
              <w:adjustRightInd w:val="0"/>
              <w:snapToGrid w:val="0"/>
              <w:spacing w:before="120" w:beforeLines="50" w:line="360" w:lineRule="auto"/>
              <w:jc w:val="center"/>
              <w:rPr>
                <w:rFonts w:asciiTheme="minorEastAsia" w:hAnsiTheme="minorEastAsia" w:eastAsiaTheme="minorEastAsia"/>
                <w:color w:val="auto"/>
                <w:kern w:val="0"/>
                <w:szCs w:val="21"/>
              </w:rPr>
            </w:pPr>
          </w:p>
        </w:tc>
        <w:tc>
          <w:tcPr>
            <w:tcW w:w="783" w:type="pct"/>
            <w:tcBorders>
              <w:left w:val="single" w:color="auto" w:sz="4" w:space="0"/>
            </w:tcBorders>
          </w:tcPr>
          <w:p w14:paraId="096F35C6">
            <w:pPr>
              <w:adjustRightInd w:val="0"/>
              <w:snapToGrid w:val="0"/>
              <w:spacing w:before="120" w:beforeLines="50" w:line="360" w:lineRule="auto"/>
              <w:jc w:val="center"/>
              <w:rPr>
                <w:rFonts w:asciiTheme="minorEastAsia" w:hAnsiTheme="minorEastAsia" w:eastAsiaTheme="minorEastAsia"/>
                <w:color w:val="auto"/>
                <w:kern w:val="0"/>
                <w:szCs w:val="21"/>
              </w:rPr>
            </w:pPr>
          </w:p>
        </w:tc>
        <w:tc>
          <w:tcPr>
            <w:tcW w:w="1330" w:type="pct"/>
          </w:tcPr>
          <w:p w14:paraId="0A6EAEB8">
            <w:pPr>
              <w:adjustRightInd w:val="0"/>
              <w:snapToGrid w:val="0"/>
              <w:spacing w:before="120" w:beforeLines="50" w:line="360" w:lineRule="auto"/>
              <w:jc w:val="center"/>
              <w:rPr>
                <w:rFonts w:asciiTheme="minorEastAsia" w:hAnsiTheme="minorEastAsia" w:eastAsiaTheme="minorEastAsia"/>
                <w:color w:val="auto"/>
                <w:kern w:val="0"/>
                <w:szCs w:val="21"/>
              </w:rPr>
            </w:pPr>
          </w:p>
        </w:tc>
        <w:tc>
          <w:tcPr>
            <w:tcW w:w="950" w:type="pct"/>
          </w:tcPr>
          <w:p w14:paraId="53318EC0">
            <w:pPr>
              <w:adjustRightInd w:val="0"/>
              <w:snapToGrid w:val="0"/>
              <w:spacing w:before="120" w:beforeLines="50" w:line="360" w:lineRule="auto"/>
              <w:jc w:val="center"/>
              <w:rPr>
                <w:rFonts w:asciiTheme="minorEastAsia" w:hAnsiTheme="minorEastAsia" w:eastAsiaTheme="minorEastAsia"/>
                <w:color w:val="auto"/>
                <w:kern w:val="0"/>
                <w:szCs w:val="21"/>
              </w:rPr>
            </w:pPr>
          </w:p>
        </w:tc>
      </w:tr>
      <w:tr w14:paraId="055A248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Pr>
          <w:p w14:paraId="034F745D">
            <w:pPr>
              <w:adjustRightInd w:val="0"/>
              <w:snapToGrid w:val="0"/>
              <w:spacing w:before="120" w:beforeLines="50" w:line="360" w:lineRule="auto"/>
              <w:jc w:val="center"/>
              <w:rPr>
                <w:rFonts w:asciiTheme="minorEastAsia" w:hAnsiTheme="minorEastAsia" w:eastAsiaTheme="minorEastAsia"/>
                <w:color w:val="auto"/>
                <w:kern w:val="0"/>
                <w:szCs w:val="21"/>
              </w:rPr>
            </w:pPr>
          </w:p>
        </w:tc>
        <w:tc>
          <w:tcPr>
            <w:tcW w:w="939" w:type="pct"/>
            <w:tcBorders>
              <w:right w:val="single" w:color="auto" w:sz="4" w:space="0"/>
            </w:tcBorders>
          </w:tcPr>
          <w:p w14:paraId="1A2FCB16">
            <w:pPr>
              <w:adjustRightInd w:val="0"/>
              <w:snapToGrid w:val="0"/>
              <w:spacing w:before="120" w:beforeLines="50" w:line="360" w:lineRule="auto"/>
              <w:jc w:val="center"/>
              <w:rPr>
                <w:rFonts w:asciiTheme="minorEastAsia" w:hAnsiTheme="minorEastAsia" w:eastAsiaTheme="minorEastAsia"/>
                <w:color w:val="auto"/>
                <w:kern w:val="0"/>
                <w:szCs w:val="21"/>
              </w:rPr>
            </w:pPr>
          </w:p>
        </w:tc>
        <w:tc>
          <w:tcPr>
            <w:tcW w:w="626" w:type="pct"/>
            <w:tcBorders>
              <w:left w:val="single" w:color="auto" w:sz="4" w:space="0"/>
              <w:right w:val="single" w:color="auto" w:sz="4" w:space="0"/>
            </w:tcBorders>
          </w:tcPr>
          <w:p w14:paraId="368EC06B">
            <w:pPr>
              <w:adjustRightInd w:val="0"/>
              <w:snapToGrid w:val="0"/>
              <w:spacing w:before="120" w:beforeLines="50" w:line="360" w:lineRule="auto"/>
              <w:jc w:val="center"/>
              <w:rPr>
                <w:rFonts w:asciiTheme="minorEastAsia" w:hAnsiTheme="minorEastAsia" w:eastAsiaTheme="minorEastAsia"/>
                <w:color w:val="auto"/>
                <w:kern w:val="0"/>
                <w:szCs w:val="21"/>
              </w:rPr>
            </w:pPr>
          </w:p>
        </w:tc>
        <w:tc>
          <w:tcPr>
            <w:tcW w:w="783" w:type="pct"/>
            <w:tcBorders>
              <w:left w:val="single" w:color="auto" w:sz="4" w:space="0"/>
            </w:tcBorders>
          </w:tcPr>
          <w:p w14:paraId="1D78A6E9">
            <w:pPr>
              <w:adjustRightInd w:val="0"/>
              <w:snapToGrid w:val="0"/>
              <w:spacing w:before="120" w:beforeLines="50" w:line="360" w:lineRule="auto"/>
              <w:jc w:val="center"/>
              <w:rPr>
                <w:rFonts w:asciiTheme="minorEastAsia" w:hAnsiTheme="minorEastAsia" w:eastAsiaTheme="minorEastAsia"/>
                <w:color w:val="auto"/>
                <w:kern w:val="0"/>
                <w:szCs w:val="21"/>
              </w:rPr>
            </w:pPr>
          </w:p>
        </w:tc>
        <w:tc>
          <w:tcPr>
            <w:tcW w:w="1330" w:type="pct"/>
          </w:tcPr>
          <w:p w14:paraId="38A7EA8C">
            <w:pPr>
              <w:adjustRightInd w:val="0"/>
              <w:snapToGrid w:val="0"/>
              <w:spacing w:before="120" w:beforeLines="50" w:line="360" w:lineRule="auto"/>
              <w:jc w:val="center"/>
              <w:rPr>
                <w:rFonts w:asciiTheme="minorEastAsia" w:hAnsiTheme="minorEastAsia" w:eastAsiaTheme="minorEastAsia"/>
                <w:color w:val="auto"/>
                <w:kern w:val="0"/>
                <w:szCs w:val="21"/>
              </w:rPr>
            </w:pPr>
          </w:p>
        </w:tc>
        <w:tc>
          <w:tcPr>
            <w:tcW w:w="950" w:type="pct"/>
          </w:tcPr>
          <w:p w14:paraId="1CDDD5A7">
            <w:pPr>
              <w:adjustRightInd w:val="0"/>
              <w:snapToGrid w:val="0"/>
              <w:spacing w:before="120" w:beforeLines="50" w:line="360" w:lineRule="auto"/>
              <w:jc w:val="center"/>
              <w:rPr>
                <w:rFonts w:asciiTheme="minorEastAsia" w:hAnsiTheme="minorEastAsia" w:eastAsiaTheme="minorEastAsia"/>
                <w:color w:val="auto"/>
                <w:kern w:val="0"/>
                <w:szCs w:val="21"/>
              </w:rPr>
            </w:pPr>
          </w:p>
        </w:tc>
      </w:tr>
      <w:tr w14:paraId="4C20D07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Pr>
          <w:p w14:paraId="6E377BF2">
            <w:pPr>
              <w:adjustRightInd w:val="0"/>
              <w:snapToGrid w:val="0"/>
              <w:spacing w:before="120" w:beforeLines="50" w:line="360" w:lineRule="auto"/>
              <w:jc w:val="center"/>
              <w:rPr>
                <w:rFonts w:asciiTheme="minorEastAsia" w:hAnsiTheme="minorEastAsia" w:eastAsiaTheme="minorEastAsia"/>
                <w:color w:val="auto"/>
                <w:kern w:val="0"/>
                <w:szCs w:val="21"/>
              </w:rPr>
            </w:pPr>
          </w:p>
        </w:tc>
        <w:tc>
          <w:tcPr>
            <w:tcW w:w="939" w:type="pct"/>
            <w:tcBorders>
              <w:right w:val="single" w:color="auto" w:sz="4" w:space="0"/>
            </w:tcBorders>
          </w:tcPr>
          <w:p w14:paraId="619AE241">
            <w:pPr>
              <w:adjustRightInd w:val="0"/>
              <w:snapToGrid w:val="0"/>
              <w:spacing w:before="120" w:beforeLines="50" w:line="360" w:lineRule="auto"/>
              <w:jc w:val="center"/>
              <w:rPr>
                <w:rFonts w:asciiTheme="minorEastAsia" w:hAnsiTheme="minorEastAsia" w:eastAsiaTheme="minorEastAsia"/>
                <w:color w:val="auto"/>
                <w:kern w:val="0"/>
                <w:szCs w:val="21"/>
              </w:rPr>
            </w:pPr>
          </w:p>
        </w:tc>
        <w:tc>
          <w:tcPr>
            <w:tcW w:w="626" w:type="pct"/>
            <w:tcBorders>
              <w:left w:val="single" w:color="auto" w:sz="4" w:space="0"/>
              <w:right w:val="single" w:color="auto" w:sz="4" w:space="0"/>
            </w:tcBorders>
          </w:tcPr>
          <w:p w14:paraId="0DE6D4D2">
            <w:pPr>
              <w:adjustRightInd w:val="0"/>
              <w:snapToGrid w:val="0"/>
              <w:spacing w:before="120" w:beforeLines="50" w:line="360" w:lineRule="auto"/>
              <w:jc w:val="center"/>
              <w:rPr>
                <w:rFonts w:asciiTheme="minorEastAsia" w:hAnsiTheme="minorEastAsia" w:eastAsiaTheme="minorEastAsia"/>
                <w:color w:val="auto"/>
                <w:kern w:val="0"/>
                <w:szCs w:val="21"/>
              </w:rPr>
            </w:pPr>
          </w:p>
        </w:tc>
        <w:tc>
          <w:tcPr>
            <w:tcW w:w="783" w:type="pct"/>
            <w:tcBorders>
              <w:left w:val="single" w:color="auto" w:sz="4" w:space="0"/>
            </w:tcBorders>
          </w:tcPr>
          <w:p w14:paraId="6B7F43C5">
            <w:pPr>
              <w:adjustRightInd w:val="0"/>
              <w:snapToGrid w:val="0"/>
              <w:spacing w:before="120" w:beforeLines="50" w:line="360" w:lineRule="auto"/>
              <w:jc w:val="center"/>
              <w:rPr>
                <w:rFonts w:asciiTheme="minorEastAsia" w:hAnsiTheme="minorEastAsia" w:eastAsiaTheme="minorEastAsia"/>
                <w:color w:val="auto"/>
                <w:kern w:val="0"/>
                <w:szCs w:val="21"/>
              </w:rPr>
            </w:pPr>
          </w:p>
        </w:tc>
        <w:tc>
          <w:tcPr>
            <w:tcW w:w="1330" w:type="pct"/>
          </w:tcPr>
          <w:p w14:paraId="0C57C159">
            <w:pPr>
              <w:adjustRightInd w:val="0"/>
              <w:snapToGrid w:val="0"/>
              <w:spacing w:before="120" w:beforeLines="50" w:line="360" w:lineRule="auto"/>
              <w:jc w:val="center"/>
              <w:rPr>
                <w:rFonts w:asciiTheme="minorEastAsia" w:hAnsiTheme="minorEastAsia" w:eastAsiaTheme="minorEastAsia"/>
                <w:color w:val="auto"/>
                <w:kern w:val="0"/>
                <w:szCs w:val="21"/>
              </w:rPr>
            </w:pPr>
          </w:p>
        </w:tc>
        <w:tc>
          <w:tcPr>
            <w:tcW w:w="950" w:type="pct"/>
          </w:tcPr>
          <w:p w14:paraId="1DA132A6">
            <w:pPr>
              <w:adjustRightInd w:val="0"/>
              <w:snapToGrid w:val="0"/>
              <w:spacing w:before="120" w:beforeLines="50" w:line="360" w:lineRule="auto"/>
              <w:jc w:val="center"/>
              <w:rPr>
                <w:rFonts w:asciiTheme="minorEastAsia" w:hAnsiTheme="minorEastAsia" w:eastAsiaTheme="minorEastAsia"/>
                <w:color w:val="auto"/>
                <w:kern w:val="0"/>
                <w:szCs w:val="21"/>
              </w:rPr>
            </w:pPr>
          </w:p>
        </w:tc>
      </w:tr>
      <w:tr w14:paraId="216FA8A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Pr>
          <w:p w14:paraId="21E93321">
            <w:pPr>
              <w:adjustRightInd w:val="0"/>
              <w:snapToGrid w:val="0"/>
              <w:spacing w:before="120" w:beforeLines="50" w:line="360" w:lineRule="auto"/>
              <w:jc w:val="center"/>
              <w:rPr>
                <w:rFonts w:asciiTheme="minorEastAsia" w:hAnsiTheme="minorEastAsia" w:eastAsiaTheme="minorEastAsia"/>
                <w:color w:val="auto"/>
                <w:kern w:val="0"/>
                <w:szCs w:val="21"/>
              </w:rPr>
            </w:pPr>
          </w:p>
        </w:tc>
        <w:tc>
          <w:tcPr>
            <w:tcW w:w="939" w:type="pct"/>
            <w:tcBorders>
              <w:right w:val="single" w:color="auto" w:sz="4" w:space="0"/>
            </w:tcBorders>
          </w:tcPr>
          <w:p w14:paraId="0A5B35AF">
            <w:pPr>
              <w:adjustRightInd w:val="0"/>
              <w:snapToGrid w:val="0"/>
              <w:spacing w:before="120" w:beforeLines="50" w:line="360" w:lineRule="auto"/>
              <w:jc w:val="center"/>
              <w:rPr>
                <w:rFonts w:asciiTheme="minorEastAsia" w:hAnsiTheme="minorEastAsia" w:eastAsiaTheme="minorEastAsia"/>
                <w:color w:val="auto"/>
                <w:kern w:val="0"/>
                <w:szCs w:val="21"/>
              </w:rPr>
            </w:pPr>
          </w:p>
        </w:tc>
        <w:tc>
          <w:tcPr>
            <w:tcW w:w="626" w:type="pct"/>
            <w:tcBorders>
              <w:left w:val="single" w:color="auto" w:sz="4" w:space="0"/>
              <w:right w:val="single" w:color="auto" w:sz="4" w:space="0"/>
            </w:tcBorders>
          </w:tcPr>
          <w:p w14:paraId="682732FE">
            <w:pPr>
              <w:adjustRightInd w:val="0"/>
              <w:snapToGrid w:val="0"/>
              <w:spacing w:before="120" w:beforeLines="50" w:line="360" w:lineRule="auto"/>
              <w:jc w:val="center"/>
              <w:rPr>
                <w:rFonts w:asciiTheme="minorEastAsia" w:hAnsiTheme="minorEastAsia" w:eastAsiaTheme="minorEastAsia"/>
                <w:color w:val="auto"/>
                <w:kern w:val="0"/>
                <w:szCs w:val="21"/>
              </w:rPr>
            </w:pPr>
          </w:p>
        </w:tc>
        <w:tc>
          <w:tcPr>
            <w:tcW w:w="783" w:type="pct"/>
            <w:tcBorders>
              <w:left w:val="single" w:color="auto" w:sz="4" w:space="0"/>
            </w:tcBorders>
          </w:tcPr>
          <w:p w14:paraId="42DC31DC">
            <w:pPr>
              <w:adjustRightInd w:val="0"/>
              <w:snapToGrid w:val="0"/>
              <w:spacing w:before="120" w:beforeLines="50" w:line="360" w:lineRule="auto"/>
              <w:jc w:val="center"/>
              <w:rPr>
                <w:rFonts w:asciiTheme="minorEastAsia" w:hAnsiTheme="minorEastAsia" w:eastAsiaTheme="minorEastAsia"/>
                <w:color w:val="auto"/>
                <w:kern w:val="0"/>
                <w:szCs w:val="21"/>
              </w:rPr>
            </w:pPr>
          </w:p>
        </w:tc>
        <w:tc>
          <w:tcPr>
            <w:tcW w:w="1330" w:type="pct"/>
          </w:tcPr>
          <w:p w14:paraId="14719ADE">
            <w:pPr>
              <w:adjustRightInd w:val="0"/>
              <w:snapToGrid w:val="0"/>
              <w:spacing w:before="120" w:beforeLines="50" w:line="360" w:lineRule="auto"/>
              <w:jc w:val="center"/>
              <w:rPr>
                <w:rFonts w:asciiTheme="minorEastAsia" w:hAnsiTheme="minorEastAsia" w:eastAsiaTheme="minorEastAsia"/>
                <w:color w:val="auto"/>
                <w:kern w:val="0"/>
                <w:szCs w:val="21"/>
              </w:rPr>
            </w:pPr>
          </w:p>
        </w:tc>
        <w:tc>
          <w:tcPr>
            <w:tcW w:w="950" w:type="pct"/>
          </w:tcPr>
          <w:p w14:paraId="654EF73C">
            <w:pPr>
              <w:adjustRightInd w:val="0"/>
              <w:snapToGrid w:val="0"/>
              <w:spacing w:before="120" w:beforeLines="50" w:line="360" w:lineRule="auto"/>
              <w:jc w:val="center"/>
              <w:rPr>
                <w:rFonts w:asciiTheme="minorEastAsia" w:hAnsiTheme="minorEastAsia" w:eastAsiaTheme="minorEastAsia"/>
                <w:color w:val="auto"/>
                <w:kern w:val="0"/>
                <w:szCs w:val="21"/>
              </w:rPr>
            </w:pPr>
          </w:p>
        </w:tc>
      </w:tr>
      <w:tr w14:paraId="151E831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Pr>
          <w:p w14:paraId="53A662DD">
            <w:pPr>
              <w:adjustRightInd w:val="0"/>
              <w:snapToGrid w:val="0"/>
              <w:spacing w:before="120" w:beforeLines="50" w:line="360" w:lineRule="auto"/>
              <w:jc w:val="center"/>
              <w:rPr>
                <w:rFonts w:asciiTheme="minorEastAsia" w:hAnsiTheme="minorEastAsia" w:eastAsiaTheme="minorEastAsia"/>
                <w:color w:val="auto"/>
                <w:kern w:val="0"/>
                <w:szCs w:val="21"/>
              </w:rPr>
            </w:pPr>
          </w:p>
        </w:tc>
        <w:tc>
          <w:tcPr>
            <w:tcW w:w="939" w:type="pct"/>
            <w:tcBorders>
              <w:right w:val="single" w:color="auto" w:sz="4" w:space="0"/>
            </w:tcBorders>
          </w:tcPr>
          <w:p w14:paraId="312BA1B6">
            <w:pPr>
              <w:adjustRightInd w:val="0"/>
              <w:snapToGrid w:val="0"/>
              <w:spacing w:before="120" w:beforeLines="50" w:line="360" w:lineRule="auto"/>
              <w:jc w:val="center"/>
              <w:rPr>
                <w:rFonts w:asciiTheme="minorEastAsia" w:hAnsiTheme="minorEastAsia" w:eastAsiaTheme="minorEastAsia"/>
                <w:color w:val="auto"/>
                <w:kern w:val="0"/>
                <w:szCs w:val="21"/>
              </w:rPr>
            </w:pPr>
          </w:p>
        </w:tc>
        <w:tc>
          <w:tcPr>
            <w:tcW w:w="626" w:type="pct"/>
            <w:tcBorders>
              <w:left w:val="single" w:color="auto" w:sz="4" w:space="0"/>
              <w:right w:val="single" w:color="auto" w:sz="4" w:space="0"/>
            </w:tcBorders>
          </w:tcPr>
          <w:p w14:paraId="71E78C65">
            <w:pPr>
              <w:adjustRightInd w:val="0"/>
              <w:snapToGrid w:val="0"/>
              <w:spacing w:before="120" w:beforeLines="50" w:line="360" w:lineRule="auto"/>
              <w:jc w:val="center"/>
              <w:rPr>
                <w:rFonts w:asciiTheme="minorEastAsia" w:hAnsiTheme="minorEastAsia" w:eastAsiaTheme="minorEastAsia"/>
                <w:color w:val="auto"/>
                <w:kern w:val="0"/>
                <w:szCs w:val="21"/>
              </w:rPr>
            </w:pPr>
          </w:p>
        </w:tc>
        <w:tc>
          <w:tcPr>
            <w:tcW w:w="783" w:type="pct"/>
            <w:tcBorders>
              <w:left w:val="single" w:color="auto" w:sz="4" w:space="0"/>
            </w:tcBorders>
          </w:tcPr>
          <w:p w14:paraId="5B01F141">
            <w:pPr>
              <w:adjustRightInd w:val="0"/>
              <w:snapToGrid w:val="0"/>
              <w:spacing w:before="120" w:beforeLines="50" w:line="360" w:lineRule="auto"/>
              <w:jc w:val="center"/>
              <w:rPr>
                <w:rFonts w:asciiTheme="minorEastAsia" w:hAnsiTheme="minorEastAsia" w:eastAsiaTheme="minorEastAsia"/>
                <w:color w:val="auto"/>
                <w:kern w:val="0"/>
                <w:szCs w:val="21"/>
              </w:rPr>
            </w:pPr>
          </w:p>
        </w:tc>
        <w:tc>
          <w:tcPr>
            <w:tcW w:w="1330" w:type="pct"/>
          </w:tcPr>
          <w:p w14:paraId="74914079">
            <w:pPr>
              <w:adjustRightInd w:val="0"/>
              <w:snapToGrid w:val="0"/>
              <w:spacing w:before="120" w:beforeLines="50" w:line="360" w:lineRule="auto"/>
              <w:jc w:val="center"/>
              <w:rPr>
                <w:rFonts w:asciiTheme="minorEastAsia" w:hAnsiTheme="minorEastAsia" w:eastAsiaTheme="minorEastAsia"/>
                <w:color w:val="auto"/>
                <w:kern w:val="0"/>
                <w:szCs w:val="21"/>
              </w:rPr>
            </w:pPr>
          </w:p>
        </w:tc>
        <w:tc>
          <w:tcPr>
            <w:tcW w:w="950" w:type="pct"/>
          </w:tcPr>
          <w:p w14:paraId="03635773">
            <w:pPr>
              <w:adjustRightInd w:val="0"/>
              <w:snapToGrid w:val="0"/>
              <w:spacing w:before="120" w:beforeLines="50" w:line="360" w:lineRule="auto"/>
              <w:jc w:val="center"/>
              <w:rPr>
                <w:rFonts w:asciiTheme="minorEastAsia" w:hAnsiTheme="minorEastAsia" w:eastAsiaTheme="minorEastAsia"/>
                <w:color w:val="auto"/>
                <w:kern w:val="0"/>
                <w:szCs w:val="21"/>
              </w:rPr>
            </w:pPr>
          </w:p>
        </w:tc>
      </w:tr>
      <w:tr w14:paraId="65BABB1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62" w:hRule="atLeast"/>
        </w:trPr>
        <w:tc>
          <w:tcPr>
            <w:tcW w:w="373" w:type="pct"/>
          </w:tcPr>
          <w:p w14:paraId="4E96BDB3">
            <w:pPr>
              <w:adjustRightInd w:val="0"/>
              <w:snapToGrid w:val="0"/>
              <w:spacing w:before="120" w:beforeLines="50" w:line="360" w:lineRule="auto"/>
              <w:jc w:val="center"/>
              <w:rPr>
                <w:rFonts w:asciiTheme="minorEastAsia" w:hAnsiTheme="minorEastAsia" w:eastAsiaTheme="minorEastAsia"/>
                <w:color w:val="auto"/>
                <w:kern w:val="0"/>
                <w:szCs w:val="21"/>
              </w:rPr>
            </w:pPr>
          </w:p>
        </w:tc>
        <w:tc>
          <w:tcPr>
            <w:tcW w:w="939" w:type="pct"/>
            <w:tcBorders>
              <w:right w:val="single" w:color="auto" w:sz="4" w:space="0"/>
            </w:tcBorders>
          </w:tcPr>
          <w:p w14:paraId="07F86169">
            <w:pPr>
              <w:adjustRightInd w:val="0"/>
              <w:snapToGrid w:val="0"/>
              <w:spacing w:before="120" w:beforeLines="50" w:line="360" w:lineRule="auto"/>
              <w:jc w:val="center"/>
              <w:rPr>
                <w:rFonts w:asciiTheme="minorEastAsia" w:hAnsiTheme="minorEastAsia" w:eastAsiaTheme="minorEastAsia"/>
                <w:color w:val="auto"/>
                <w:kern w:val="0"/>
                <w:szCs w:val="21"/>
              </w:rPr>
            </w:pPr>
          </w:p>
        </w:tc>
        <w:tc>
          <w:tcPr>
            <w:tcW w:w="626" w:type="pct"/>
            <w:tcBorders>
              <w:left w:val="single" w:color="auto" w:sz="4" w:space="0"/>
              <w:right w:val="single" w:color="auto" w:sz="4" w:space="0"/>
            </w:tcBorders>
          </w:tcPr>
          <w:p w14:paraId="5EBDA367">
            <w:pPr>
              <w:adjustRightInd w:val="0"/>
              <w:snapToGrid w:val="0"/>
              <w:spacing w:before="120" w:beforeLines="50" w:line="360" w:lineRule="auto"/>
              <w:jc w:val="center"/>
              <w:rPr>
                <w:rFonts w:asciiTheme="minorEastAsia" w:hAnsiTheme="minorEastAsia" w:eastAsiaTheme="minorEastAsia"/>
                <w:color w:val="auto"/>
                <w:kern w:val="0"/>
                <w:szCs w:val="21"/>
              </w:rPr>
            </w:pPr>
          </w:p>
        </w:tc>
        <w:tc>
          <w:tcPr>
            <w:tcW w:w="783" w:type="pct"/>
            <w:tcBorders>
              <w:left w:val="single" w:color="auto" w:sz="4" w:space="0"/>
            </w:tcBorders>
          </w:tcPr>
          <w:p w14:paraId="2C329158">
            <w:pPr>
              <w:adjustRightInd w:val="0"/>
              <w:snapToGrid w:val="0"/>
              <w:spacing w:before="120" w:beforeLines="50" w:line="360" w:lineRule="auto"/>
              <w:jc w:val="center"/>
              <w:rPr>
                <w:rFonts w:asciiTheme="minorEastAsia" w:hAnsiTheme="minorEastAsia" w:eastAsiaTheme="minorEastAsia"/>
                <w:color w:val="auto"/>
                <w:kern w:val="0"/>
                <w:szCs w:val="21"/>
              </w:rPr>
            </w:pPr>
          </w:p>
        </w:tc>
        <w:tc>
          <w:tcPr>
            <w:tcW w:w="1330" w:type="pct"/>
          </w:tcPr>
          <w:p w14:paraId="2AFE982A">
            <w:pPr>
              <w:adjustRightInd w:val="0"/>
              <w:snapToGrid w:val="0"/>
              <w:spacing w:before="120" w:beforeLines="50" w:line="360" w:lineRule="auto"/>
              <w:jc w:val="center"/>
              <w:rPr>
                <w:rFonts w:asciiTheme="minorEastAsia" w:hAnsiTheme="minorEastAsia" w:eastAsiaTheme="minorEastAsia"/>
                <w:color w:val="auto"/>
                <w:kern w:val="0"/>
                <w:szCs w:val="21"/>
              </w:rPr>
            </w:pPr>
          </w:p>
        </w:tc>
        <w:tc>
          <w:tcPr>
            <w:tcW w:w="950" w:type="pct"/>
          </w:tcPr>
          <w:p w14:paraId="042049C5">
            <w:pPr>
              <w:adjustRightInd w:val="0"/>
              <w:snapToGrid w:val="0"/>
              <w:spacing w:before="120" w:beforeLines="50" w:line="360" w:lineRule="auto"/>
              <w:jc w:val="center"/>
              <w:rPr>
                <w:rFonts w:asciiTheme="minorEastAsia" w:hAnsiTheme="minorEastAsia" w:eastAsiaTheme="minorEastAsia"/>
                <w:color w:val="auto"/>
                <w:kern w:val="0"/>
                <w:szCs w:val="21"/>
              </w:rPr>
            </w:pPr>
          </w:p>
        </w:tc>
      </w:tr>
    </w:tbl>
    <w:p w14:paraId="47A962B6">
      <w:pPr>
        <w:rPr>
          <w:color w:val="auto"/>
        </w:rPr>
      </w:pPr>
    </w:p>
    <w:p w14:paraId="483CC0C6">
      <w:pPr>
        <w:widowControl/>
        <w:jc w:val="left"/>
        <w:rPr>
          <w:rFonts w:ascii="黑体" w:hAnsi="宋体" w:eastAsia="黑体"/>
          <w:b/>
          <w:bCs/>
          <w:color w:val="auto"/>
          <w:sz w:val="28"/>
          <w:szCs w:val="28"/>
        </w:rPr>
      </w:pPr>
      <w:r>
        <w:rPr>
          <w:rFonts w:ascii="黑体" w:hAnsi="宋体" w:eastAsia="黑体"/>
          <w:color w:val="auto"/>
          <w:sz w:val="28"/>
          <w:szCs w:val="28"/>
        </w:rPr>
        <w:br w:type="page"/>
      </w:r>
    </w:p>
    <w:p w14:paraId="5DBC51E8">
      <w:pPr>
        <w:pStyle w:val="4"/>
        <w:adjustRightInd w:val="0"/>
        <w:snapToGrid w:val="0"/>
        <w:spacing w:before="0" w:after="0" w:line="360" w:lineRule="auto"/>
        <w:jc w:val="center"/>
        <w:rPr>
          <w:rFonts w:ascii="黑体" w:hAnsi="宋体" w:eastAsia="黑体"/>
          <w:color w:val="auto"/>
          <w:sz w:val="28"/>
          <w:szCs w:val="28"/>
        </w:rPr>
      </w:pPr>
      <w:bookmarkStart w:id="230" w:name="_Toc31559"/>
      <w:r>
        <w:rPr>
          <w:rFonts w:hint="eastAsia" w:ascii="黑体" w:hAnsi="宋体" w:eastAsia="黑体"/>
          <w:color w:val="auto"/>
          <w:sz w:val="28"/>
          <w:szCs w:val="28"/>
        </w:rPr>
        <w:t>五</w:t>
      </w:r>
      <w:r>
        <w:rPr>
          <w:rFonts w:ascii="黑体" w:hAnsi="宋体" w:eastAsia="黑体"/>
          <w:color w:val="auto"/>
          <w:sz w:val="28"/>
          <w:szCs w:val="28"/>
        </w:rPr>
        <w:t>、</w:t>
      </w:r>
      <w:r>
        <w:rPr>
          <w:rFonts w:hint="eastAsia" w:ascii="黑体" w:hAnsi="宋体" w:eastAsia="黑体"/>
          <w:color w:val="auto"/>
          <w:sz w:val="28"/>
          <w:szCs w:val="28"/>
        </w:rPr>
        <w:t>投标函</w:t>
      </w:r>
      <w:bookmarkEnd w:id="230"/>
    </w:p>
    <w:p w14:paraId="1C9F134A">
      <w:pPr>
        <w:adjustRightInd w:val="0"/>
        <w:snapToGrid w:val="0"/>
        <w:spacing w:before="120" w:beforeLines="50"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致：（采购人、采购代理机构）：</w:t>
      </w:r>
    </w:p>
    <w:p w14:paraId="1DB3C7D7">
      <w:pPr>
        <w:adjustRightInd w:val="0"/>
        <w:snapToGrid w:val="0"/>
        <w:spacing w:before="120" w:beforeLines="50" w:line="360" w:lineRule="auto"/>
        <w:ind w:firstLine="435"/>
        <w:rPr>
          <w:rFonts w:asciiTheme="minorEastAsia" w:hAnsiTheme="minorEastAsia" w:eastAsiaTheme="minorEastAsia"/>
          <w:color w:val="auto"/>
          <w:szCs w:val="21"/>
        </w:rPr>
      </w:pPr>
      <w:r>
        <w:rPr>
          <w:rFonts w:hint="eastAsia" w:asciiTheme="minorEastAsia" w:hAnsiTheme="minorEastAsia" w:eastAsiaTheme="minorEastAsia"/>
          <w:color w:val="auto"/>
          <w:szCs w:val="21"/>
        </w:rPr>
        <w:t>根据贵方为（项目名称：</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）的投标邀请（采购人项目编号</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：采购代理编号：</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），签字代表（姓名、职务）经正式授权并代表投标人（投标人名称</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）提交下述投标文件正本一份，参加采购本项目第</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包投标，并在此声明，所递交的投标文件内容完整、真实。</w:t>
      </w:r>
    </w:p>
    <w:p w14:paraId="1506414D">
      <w:pPr>
        <w:adjustRightInd w:val="0"/>
        <w:snapToGrid w:val="0"/>
        <w:spacing w:before="120" w:beforeLines="50" w:line="360" w:lineRule="auto"/>
        <w:ind w:firstLine="422" w:firstLineChars="200"/>
        <w:rPr>
          <w:rFonts w:asciiTheme="minorEastAsia" w:hAnsiTheme="minorEastAsia" w:eastAsiaTheme="minorEastAsia"/>
          <w:b/>
          <w:color w:val="auto"/>
          <w:szCs w:val="21"/>
        </w:rPr>
      </w:pPr>
      <w:r>
        <w:rPr>
          <w:rFonts w:hint="eastAsia" w:asciiTheme="minorEastAsia" w:hAnsiTheme="minorEastAsia" w:eastAsiaTheme="minorEastAsia"/>
          <w:b/>
          <w:color w:val="auto"/>
          <w:szCs w:val="21"/>
        </w:rPr>
        <w:t>第一部分 资格证明文件</w:t>
      </w:r>
    </w:p>
    <w:p w14:paraId="2C03D14F">
      <w:pPr>
        <w:adjustRightInd w:val="0"/>
        <w:snapToGrid w:val="0"/>
        <w:spacing w:before="120" w:beforeLines="50" w:line="360" w:lineRule="auto"/>
        <w:ind w:firstLine="630" w:firstLineChars="300"/>
        <w:rPr>
          <w:rFonts w:asciiTheme="minorEastAsia" w:hAnsiTheme="minorEastAsia" w:eastAsiaTheme="minorEastAsia"/>
          <w:color w:val="auto"/>
          <w:szCs w:val="21"/>
        </w:rPr>
      </w:pPr>
      <w:r>
        <w:rPr>
          <w:rFonts w:hint="eastAsia" w:asciiTheme="minorEastAsia" w:hAnsiTheme="minorEastAsia" w:eastAsiaTheme="minorEastAsia"/>
          <w:color w:val="auto"/>
          <w:szCs w:val="21"/>
        </w:rPr>
        <w:t>一、开标一览表</w:t>
      </w:r>
    </w:p>
    <w:p w14:paraId="29818F3B">
      <w:pPr>
        <w:adjustRightInd w:val="0"/>
        <w:snapToGrid w:val="0"/>
        <w:spacing w:before="120" w:beforeLines="50" w:line="360" w:lineRule="auto"/>
        <w:ind w:firstLine="630" w:firstLineChars="300"/>
        <w:rPr>
          <w:rFonts w:asciiTheme="minorEastAsia" w:hAnsiTheme="minorEastAsia" w:eastAsiaTheme="minorEastAsia"/>
          <w:color w:val="auto"/>
          <w:szCs w:val="21"/>
        </w:rPr>
      </w:pPr>
      <w:r>
        <w:rPr>
          <w:rFonts w:hint="eastAsia" w:asciiTheme="minorEastAsia" w:hAnsiTheme="minorEastAsia" w:eastAsiaTheme="minorEastAsia"/>
          <w:color w:val="auto"/>
          <w:szCs w:val="21"/>
        </w:rPr>
        <w:t>二、投标保证金</w:t>
      </w:r>
    </w:p>
    <w:p w14:paraId="6A608181">
      <w:pPr>
        <w:adjustRightInd w:val="0"/>
        <w:snapToGrid w:val="0"/>
        <w:spacing w:before="120" w:beforeLines="50" w:line="360" w:lineRule="auto"/>
        <w:ind w:firstLine="630" w:firstLineChars="300"/>
        <w:rPr>
          <w:rFonts w:asciiTheme="minorEastAsia" w:hAnsiTheme="minorEastAsia" w:eastAsiaTheme="minorEastAsia"/>
          <w:color w:val="auto"/>
          <w:szCs w:val="21"/>
        </w:rPr>
      </w:pPr>
      <w:r>
        <w:rPr>
          <w:rFonts w:hint="eastAsia" w:asciiTheme="minorEastAsia" w:hAnsiTheme="minorEastAsia" w:eastAsiaTheme="minorEastAsia"/>
          <w:color w:val="auto"/>
          <w:szCs w:val="21"/>
        </w:rPr>
        <w:t>三、法定代表人（单位负责人）身份证明或授权委托书</w:t>
      </w:r>
    </w:p>
    <w:p w14:paraId="13551F1D">
      <w:pPr>
        <w:adjustRightInd w:val="0"/>
        <w:snapToGrid w:val="0"/>
        <w:spacing w:before="120" w:beforeLines="50" w:line="360" w:lineRule="auto"/>
        <w:ind w:firstLine="630" w:firstLineChars="300"/>
        <w:rPr>
          <w:rFonts w:asciiTheme="minorEastAsia" w:hAnsiTheme="minorEastAsia" w:eastAsiaTheme="minorEastAsia"/>
          <w:color w:val="auto"/>
          <w:szCs w:val="21"/>
        </w:rPr>
      </w:pPr>
      <w:r>
        <w:rPr>
          <w:rFonts w:hint="eastAsia" w:asciiTheme="minorEastAsia" w:hAnsiTheme="minorEastAsia" w:eastAsiaTheme="minorEastAsia"/>
          <w:color w:val="auto"/>
          <w:szCs w:val="21"/>
        </w:rPr>
        <w:t>四、投标人提供的资格证明文件</w:t>
      </w:r>
    </w:p>
    <w:p w14:paraId="43974891">
      <w:pPr>
        <w:adjustRightInd w:val="0"/>
        <w:snapToGrid w:val="0"/>
        <w:spacing w:before="120" w:beforeLines="50" w:line="360" w:lineRule="auto"/>
        <w:ind w:firstLine="422" w:firstLineChars="200"/>
        <w:rPr>
          <w:rFonts w:asciiTheme="minorEastAsia" w:hAnsiTheme="minorEastAsia" w:eastAsiaTheme="minorEastAsia"/>
          <w:b/>
          <w:color w:val="auto"/>
          <w:szCs w:val="21"/>
        </w:rPr>
      </w:pPr>
      <w:r>
        <w:rPr>
          <w:rFonts w:hint="eastAsia" w:asciiTheme="minorEastAsia" w:hAnsiTheme="minorEastAsia" w:eastAsiaTheme="minorEastAsia"/>
          <w:b/>
          <w:color w:val="auto"/>
          <w:szCs w:val="21"/>
        </w:rPr>
        <w:t>第二部分 商务技术文件</w:t>
      </w:r>
    </w:p>
    <w:p w14:paraId="1DC7C2E3">
      <w:pPr>
        <w:adjustRightInd w:val="0"/>
        <w:snapToGrid w:val="0"/>
        <w:spacing w:before="120" w:beforeLines="50" w:line="360" w:lineRule="auto"/>
        <w:ind w:firstLine="630" w:firstLineChars="300"/>
        <w:rPr>
          <w:rFonts w:asciiTheme="minorEastAsia" w:hAnsiTheme="minorEastAsia" w:eastAsiaTheme="minorEastAsia"/>
          <w:color w:val="auto"/>
          <w:szCs w:val="21"/>
        </w:rPr>
      </w:pPr>
      <w:r>
        <w:rPr>
          <w:rFonts w:hint="eastAsia" w:asciiTheme="minorEastAsia" w:hAnsiTheme="minorEastAsia" w:eastAsiaTheme="minorEastAsia"/>
          <w:color w:val="auto"/>
          <w:szCs w:val="21"/>
        </w:rPr>
        <w:t>五、投标函</w:t>
      </w:r>
    </w:p>
    <w:p w14:paraId="138C3AA3">
      <w:pPr>
        <w:adjustRightInd w:val="0"/>
        <w:snapToGrid w:val="0"/>
        <w:spacing w:before="120" w:beforeLines="50" w:line="360" w:lineRule="auto"/>
        <w:ind w:firstLine="630" w:firstLineChars="300"/>
        <w:rPr>
          <w:rFonts w:asciiTheme="minorEastAsia" w:hAnsiTheme="minorEastAsia" w:eastAsiaTheme="minorEastAsia"/>
          <w:color w:val="auto"/>
          <w:szCs w:val="21"/>
        </w:rPr>
      </w:pPr>
      <w:r>
        <w:rPr>
          <w:rFonts w:hint="eastAsia" w:asciiTheme="minorEastAsia" w:hAnsiTheme="minorEastAsia" w:eastAsiaTheme="minorEastAsia"/>
          <w:color w:val="auto"/>
          <w:szCs w:val="21"/>
        </w:rPr>
        <w:t>六、分项报价</w:t>
      </w:r>
    </w:p>
    <w:p w14:paraId="05B22D3A">
      <w:pPr>
        <w:adjustRightInd w:val="0"/>
        <w:snapToGrid w:val="0"/>
        <w:spacing w:before="120" w:beforeLines="50" w:line="360" w:lineRule="auto"/>
        <w:ind w:firstLine="630" w:firstLineChars="300"/>
        <w:rPr>
          <w:rFonts w:asciiTheme="minorEastAsia" w:hAnsiTheme="minorEastAsia" w:eastAsiaTheme="minorEastAsia"/>
          <w:color w:val="auto"/>
          <w:szCs w:val="21"/>
        </w:rPr>
      </w:pPr>
      <w:r>
        <w:rPr>
          <w:rFonts w:hint="eastAsia" w:asciiTheme="minorEastAsia" w:hAnsiTheme="minorEastAsia" w:eastAsiaTheme="minorEastAsia"/>
          <w:color w:val="auto"/>
          <w:szCs w:val="21"/>
        </w:rPr>
        <w:t>七、采购需求响应</w:t>
      </w:r>
    </w:p>
    <w:p w14:paraId="1F7DAB6A">
      <w:pPr>
        <w:adjustRightInd w:val="0"/>
        <w:snapToGrid w:val="0"/>
        <w:spacing w:before="120" w:beforeLines="50" w:line="360" w:lineRule="auto"/>
        <w:ind w:firstLine="630" w:firstLineChars="300"/>
        <w:rPr>
          <w:rFonts w:asciiTheme="minorEastAsia" w:hAnsiTheme="minorEastAsia" w:eastAsiaTheme="minorEastAsia"/>
          <w:color w:val="auto"/>
          <w:szCs w:val="21"/>
        </w:rPr>
      </w:pPr>
      <w:r>
        <w:rPr>
          <w:rFonts w:hint="eastAsia" w:asciiTheme="minorEastAsia" w:hAnsiTheme="minorEastAsia" w:eastAsiaTheme="minorEastAsia"/>
          <w:color w:val="auto"/>
          <w:szCs w:val="21"/>
        </w:rPr>
        <w:t>八、合同条款偏离表</w:t>
      </w:r>
    </w:p>
    <w:p w14:paraId="3325D4D4">
      <w:pPr>
        <w:adjustRightInd w:val="0"/>
        <w:snapToGrid w:val="0"/>
        <w:spacing w:before="120" w:beforeLines="50" w:line="360" w:lineRule="auto"/>
        <w:ind w:firstLine="630" w:firstLineChars="300"/>
        <w:rPr>
          <w:rFonts w:asciiTheme="minorEastAsia" w:hAnsiTheme="minorEastAsia" w:eastAsiaTheme="minorEastAsia"/>
          <w:color w:val="auto"/>
          <w:szCs w:val="21"/>
        </w:rPr>
      </w:pPr>
      <w:r>
        <w:rPr>
          <w:rFonts w:hint="eastAsia" w:asciiTheme="minorEastAsia" w:hAnsiTheme="minorEastAsia" w:eastAsiaTheme="minorEastAsia"/>
          <w:color w:val="auto"/>
          <w:szCs w:val="21"/>
        </w:rPr>
        <w:t>九、采购需求偏离表</w:t>
      </w:r>
    </w:p>
    <w:p w14:paraId="4D62A241">
      <w:pPr>
        <w:adjustRightInd w:val="0"/>
        <w:snapToGrid w:val="0"/>
        <w:spacing w:before="120" w:beforeLines="50" w:line="360" w:lineRule="auto"/>
        <w:ind w:firstLine="630" w:firstLineChars="300"/>
        <w:rPr>
          <w:rFonts w:asciiTheme="minorEastAsia" w:hAnsiTheme="minorEastAsia" w:eastAsiaTheme="minorEastAsia"/>
          <w:color w:val="auto"/>
          <w:szCs w:val="21"/>
        </w:rPr>
      </w:pPr>
      <w:r>
        <w:rPr>
          <w:rFonts w:hint="eastAsia" w:asciiTheme="minorEastAsia" w:hAnsiTheme="minorEastAsia" w:eastAsiaTheme="minorEastAsia"/>
          <w:color w:val="auto"/>
          <w:szCs w:val="21"/>
        </w:rPr>
        <w:t>十、享受政府采购政策的证明资料</w:t>
      </w:r>
    </w:p>
    <w:p w14:paraId="5BF77E43">
      <w:pPr>
        <w:adjustRightInd w:val="0"/>
        <w:snapToGrid w:val="0"/>
        <w:spacing w:before="120" w:beforeLines="50" w:line="360" w:lineRule="auto"/>
        <w:ind w:firstLine="630" w:firstLineChars="300"/>
        <w:rPr>
          <w:rFonts w:asciiTheme="minorEastAsia" w:hAnsiTheme="minorEastAsia" w:eastAsiaTheme="minorEastAsia"/>
          <w:color w:val="auto"/>
          <w:szCs w:val="21"/>
        </w:rPr>
      </w:pPr>
      <w:r>
        <w:rPr>
          <w:rFonts w:hint="eastAsia" w:asciiTheme="minorEastAsia" w:hAnsiTheme="minorEastAsia" w:eastAsiaTheme="minorEastAsia"/>
          <w:color w:val="auto"/>
          <w:szCs w:val="21"/>
        </w:rPr>
        <w:t>十一、投标货物符合招标文件规定的证明文件</w:t>
      </w:r>
    </w:p>
    <w:p w14:paraId="40B3CAB3">
      <w:pPr>
        <w:adjustRightInd w:val="0"/>
        <w:snapToGrid w:val="0"/>
        <w:spacing w:before="120" w:beforeLines="50" w:line="360" w:lineRule="auto"/>
        <w:ind w:firstLine="630" w:firstLineChars="300"/>
        <w:rPr>
          <w:rFonts w:asciiTheme="minorEastAsia" w:hAnsiTheme="minorEastAsia" w:eastAsiaTheme="minorEastAsia"/>
          <w:color w:val="auto"/>
          <w:szCs w:val="21"/>
        </w:rPr>
      </w:pPr>
      <w:r>
        <w:rPr>
          <w:rFonts w:hint="eastAsia" w:asciiTheme="minorEastAsia" w:hAnsiTheme="minorEastAsia" w:eastAsiaTheme="minorEastAsia"/>
          <w:color w:val="auto"/>
          <w:szCs w:val="21"/>
        </w:rPr>
        <w:t>十二、投标人认为需提供的其他资料</w:t>
      </w:r>
    </w:p>
    <w:p w14:paraId="4C740041">
      <w:pPr>
        <w:adjustRightInd w:val="0"/>
        <w:snapToGrid w:val="0"/>
        <w:spacing w:before="120" w:beforeLines="50" w:line="360" w:lineRule="auto"/>
        <w:ind w:firstLine="630" w:firstLineChars="300"/>
        <w:rPr>
          <w:rFonts w:asciiTheme="minorEastAsia" w:hAnsiTheme="minorEastAsia" w:eastAsiaTheme="minorEastAsia"/>
          <w:color w:val="auto"/>
          <w:szCs w:val="21"/>
        </w:rPr>
      </w:pPr>
      <w:r>
        <w:rPr>
          <w:rFonts w:hint="eastAsia" w:asciiTheme="minorEastAsia" w:hAnsiTheme="minorEastAsia" w:eastAsiaTheme="minorEastAsia"/>
          <w:color w:val="auto"/>
          <w:szCs w:val="21"/>
        </w:rPr>
        <w:t>十三、中标服务费承诺书</w:t>
      </w:r>
    </w:p>
    <w:p w14:paraId="193AA58B">
      <w:pPr>
        <w:adjustRightInd w:val="0"/>
        <w:snapToGrid w:val="0"/>
        <w:spacing w:before="120" w:beforeLines="50" w:line="360" w:lineRule="auto"/>
        <w:ind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在此，签字代表宣布同意如下：</w:t>
      </w:r>
    </w:p>
    <w:p w14:paraId="79ED767F">
      <w:pPr>
        <w:adjustRightInd w:val="0"/>
        <w:snapToGrid w:val="0"/>
        <w:spacing w:before="120" w:beforeLines="50" w:line="360" w:lineRule="auto"/>
        <w:ind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1、投标人严格按照招标文件的规定报价，见《开标一览表》。</w:t>
      </w:r>
    </w:p>
    <w:p w14:paraId="25E7DE66">
      <w:pPr>
        <w:adjustRightInd w:val="0"/>
        <w:snapToGrid w:val="0"/>
        <w:spacing w:before="120" w:beforeLines="50" w:line="360" w:lineRule="auto"/>
        <w:ind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2、投标人将按招标文件的规定履行合同责任和义务。</w:t>
      </w:r>
    </w:p>
    <w:p w14:paraId="4B4BB70F">
      <w:pPr>
        <w:adjustRightInd w:val="0"/>
        <w:snapToGrid w:val="0"/>
        <w:spacing w:before="120" w:beforeLines="50" w:line="360" w:lineRule="auto"/>
        <w:ind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3、投标人已详细审查招标文件。我们完全理解并同意放弃对这方面有不明及误解的权力。</w:t>
      </w:r>
    </w:p>
    <w:p w14:paraId="32BAA9A5">
      <w:pPr>
        <w:adjustRightInd w:val="0"/>
        <w:snapToGrid w:val="0"/>
        <w:spacing w:before="120" w:beforeLines="50" w:line="360" w:lineRule="auto"/>
        <w:ind w:firstLine="420" w:firstLineChars="200"/>
        <w:rPr>
          <w:rFonts w:asciiTheme="minorEastAsia" w:hAnsiTheme="minorEastAsia" w:eastAsiaTheme="minorEastAsia"/>
          <w:color w:val="auto"/>
        </w:rPr>
      </w:pPr>
      <w:r>
        <w:rPr>
          <w:rFonts w:hint="eastAsia" w:asciiTheme="minorEastAsia" w:hAnsiTheme="minorEastAsia" w:eastAsiaTheme="minorEastAsia"/>
          <w:color w:val="auto"/>
          <w:szCs w:val="21"/>
        </w:rPr>
        <w:t>4、本投标有效期为自招标文件规定的提交投标文件截止之日起</w:t>
      </w:r>
      <w:r>
        <w:rPr>
          <w:rFonts w:hint="eastAsia" w:asciiTheme="minorEastAsia" w:hAnsiTheme="minorEastAsia" w:eastAsiaTheme="minorEastAsia"/>
          <w:color w:val="auto"/>
          <w:szCs w:val="21"/>
          <w:u w:val="single"/>
        </w:rPr>
        <w:t>90</w:t>
      </w:r>
      <w:r>
        <w:rPr>
          <w:rFonts w:hint="eastAsia" w:asciiTheme="minorEastAsia" w:hAnsiTheme="minorEastAsia" w:eastAsiaTheme="minorEastAsia"/>
          <w:color w:val="auto"/>
          <w:szCs w:val="21"/>
        </w:rPr>
        <w:t>个日历日。在投标有效期内，</w:t>
      </w:r>
      <w:r>
        <w:rPr>
          <w:rFonts w:hint="eastAsia" w:asciiTheme="minorEastAsia" w:hAnsiTheme="minorEastAsia" w:eastAsiaTheme="minorEastAsia"/>
          <w:color w:val="auto"/>
        </w:rPr>
        <w:t>投标人同意遵守本</w:t>
      </w:r>
      <w:r>
        <w:rPr>
          <w:rFonts w:hint="eastAsia" w:asciiTheme="minorEastAsia" w:hAnsiTheme="minorEastAsia" w:eastAsiaTheme="minorEastAsia"/>
          <w:color w:val="auto"/>
          <w:szCs w:val="21"/>
        </w:rPr>
        <w:t>投标</w:t>
      </w:r>
      <w:r>
        <w:rPr>
          <w:rFonts w:hint="eastAsia" w:asciiTheme="minorEastAsia" w:hAnsiTheme="minorEastAsia" w:eastAsiaTheme="minorEastAsia"/>
          <w:color w:val="auto"/>
        </w:rPr>
        <w:t>文件中的承诺且在此期限期满之前</w:t>
      </w:r>
      <w:r>
        <w:rPr>
          <w:rFonts w:hint="eastAsia" w:asciiTheme="minorEastAsia" w:hAnsiTheme="minorEastAsia" w:eastAsiaTheme="minorEastAsia"/>
          <w:color w:val="auto"/>
          <w:szCs w:val="21"/>
        </w:rPr>
        <w:t>投标</w:t>
      </w:r>
      <w:r>
        <w:rPr>
          <w:rFonts w:hint="eastAsia" w:asciiTheme="minorEastAsia" w:hAnsiTheme="minorEastAsia" w:eastAsiaTheme="minorEastAsia"/>
          <w:color w:val="auto"/>
        </w:rPr>
        <w:t>文件</w:t>
      </w:r>
      <w:r>
        <w:rPr>
          <w:rFonts w:hint="eastAsia" w:asciiTheme="minorEastAsia" w:hAnsiTheme="minorEastAsia" w:eastAsiaTheme="minorEastAsia"/>
          <w:color w:val="auto"/>
          <w:szCs w:val="21"/>
        </w:rPr>
        <w:t>对我方具有法律约束力</w:t>
      </w:r>
      <w:r>
        <w:rPr>
          <w:rFonts w:hint="eastAsia" w:asciiTheme="minorEastAsia" w:hAnsiTheme="minorEastAsia" w:eastAsiaTheme="minorEastAsia"/>
          <w:color w:val="auto"/>
        </w:rPr>
        <w:t>。</w:t>
      </w:r>
    </w:p>
    <w:p w14:paraId="3E0AE7B2">
      <w:pPr>
        <w:adjustRightInd w:val="0"/>
        <w:snapToGrid w:val="0"/>
        <w:spacing w:before="120" w:beforeLines="50" w:line="360" w:lineRule="auto"/>
        <w:ind w:firstLine="420" w:firstLineChars="200"/>
        <w:rPr>
          <w:rFonts w:asciiTheme="minorEastAsia" w:hAnsiTheme="minorEastAsia" w:eastAsiaTheme="minorEastAsia"/>
          <w:color w:val="auto"/>
        </w:rPr>
      </w:pPr>
      <w:r>
        <w:rPr>
          <w:rFonts w:hint="eastAsia" w:asciiTheme="minorEastAsia" w:hAnsiTheme="minorEastAsia" w:eastAsiaTheme="minorEastAsia"/>
          <w:color w:val="auto"/>
        </w:rPr>
        <w:t>5、</w:t>
      </w:r>
      <w:r>
        <w:rPr>
          <w:rFonts w:hint="eastAsia" w:asciiTheme="minorEastAsia" w:hAnsiTheme="minorEastAsia" w:eastAsiaTheme="minorEastAsia"/>
          <w:color w:val="auto"/>
          <w:szCs w:val="21"/>
        </w:rPr>
        <w:t>同意提供贵方可能要求的与其投标有关的一切数据或资料。</w:t>
      </w:r>
    </w:p>
    <w:p w14:paraId="43677FD1">
      <w:pPr>
        <w:adjustRightInd w:val="0"/>
        <w:snapToGrid w:val="0"/>
        <w:spacing w:before="120" w:beforeLines="50" w:line="360" w:lineRule="auto"/>
        <w:ind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6、与本投标有关的一切正式往来信函请寄：</w:t>
      </w:r>
    </w:p>
    <w:p w14:paraId="749F3AD5">
      <w:pPr>
        <w:adjustRightInd w:val="0"/>
        <w:snapToGrid w:val="0"/>
        <w:spacing w:before="120" w:beforeLines="50" w:line="360" w:lineRule="auto"/>
        <w:ind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地  址：              ；</w:t>
      </w:r>
    </w:p>
    <w:p w14:paraId="1BA0E947">
      <w:pPr>
        <w:adjustRightInd w:val="0"/>
        <w:snapToGrid w:val="0"/>
        <w:spacing w:before="120" w:beforeLines="50" w:line="360" w:lineRule="auto"/>
        <w:ind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邮  编：              ；</w:t>
      </w:r>
    </w:p>
    <w:p w14:paraId="072211DA">
      <w:pPr>
        <w:adjustRightInd w:val="0"/>
        <w:snapToGrid w:val="0"/>
        <w:spacing w:before="120" w:beforeLines="50" w:line="360" w:lineRule="auto"/>
        <w:ind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电  话：              ；</w:t>
      </w:r>
    </w:p>
    <w:p w14:paraId="41138F7E">
      <w:pPr>
        <w:adjustRightInd w:val="0"/>
        <w:snapToGrid w:val="0"/>
        <w:spacing w:before="120" w:beforeLines="50" w:line="360" w:lineRule="auto"/>
        <w:ind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电子邮箱：            。</w:t>
      </w:r>
    </w:p>
    <w:p w14:paraId="2674B090">
      <w:pPr>
        <w:adjustRightInd w:val="0"/>
        <w:snapToGrid w:val="0"/>
        <w:spacing w:before="120" w:beforeLines="50" w:line="360" w:lineRule="auto"/>
        <w:ind w:firstLine="420" w:firstLineChars="200"/>
        <w:rPr>
          <w:rFonts w:asciiTheme="minorEastAsia" w:hAnsiTheme="minorEastAsia" w:eastAsiaTheme="minorEastAsia"/>
          <w:color w:val="auto"/>
          <w:szCs w:val="21"/>
        </w:rPr>
      </w:pPr>
    </w:p>
    <w:p w14:paraId="65A64B58">
      <w:pPr>
        <w:pStyle w:val="21"/>
        <w:adjustRightInd w:val="0"/>
        <w:snapToGrid w:val="0"/>
        <w:spacing w:before="120" w:beforeLines="50" w:line="360" w:lineRule="auto"/>
        <w:rPr>
          <w:rFonts w:asciiTheme="minorEastAsia" w:hAnsiTheme="minorEastAsia" w:eastAsiaTheme="minorEastAsia"/>
          <w:color w:val="auto"/>
        </w:rPr>
      </w:pPr>
    </w:p>
    <w:p w14:paraId="37A5504D">
      <w:pPr>
        <w:pStyle w:val="21"/>
        <w:adjustRightInd w:val="0"/>
        <w:snapToGrid w:val="0"/>
        <w:spacing w:before="120" w:beforeLines="50" w:line="360" w:lineRule="auto"/>
        <w:rPr>
          <w:rFonts w:asciiTheme="minorEastAsia" w:hAnsiTheme="minorEastAsia" w:eastAsiaTheme="minorEastAsia"/>
          <w:color w:val="auto"/>
        </w:rPr>
      </w:pPr>
      <w:r>
        <w:rPr>
          <w:rFonts w:hint="eastAsia" w:asciiTheme="minorEastAsia" w:hAnsiTheme="minorEastAsia" w:eastAsiaTheme="minorEastAsia"/>
          <w:color w:val="auto"/>
        </w:rPr>
        <w:t xml:space="preserve">投标人名称（盖单位章）：                       </w:t>
      </w:r>
    </w:p>
    <w:p w14:paraId="5C0671F0">
      <w:pPr>
        <w:adjustRightInd w:val="0"/>
        <w:snapToGrid w:val="0"/>
        <w:spacing w:before="120" w:beforeLines="50" w:line="360" w:lineRule="auto"/>
        <w:rPr>
          <w:rFonts w:asciiTheme="minorEastAsia" w:hAnsiTheme="minorEastAsia" w:eastAsiaTheme="minorEastAsia"/>
          <w:color w:val="auto"/>
          <w:szCs w:val="21"/>
          <w:u w:val="single"/>
        </w:rPr>
      </w:pPr>
      <w:r>
        <w:rPr>
          <w:rFonts w:hint="eastAsia" w:cs="微软雅黑" w:asciiTheme="minorEastAsia" w:hAnsiTheme="minorEastAsia" w:eastAsiaTheme="minorEastAsia"/>
          <w:color w:val="auto"/>
          <w:spacing w:val="-2"/>
          <w:kern w:val="0"/>
          <w:szCs w:val="21"/>
        </w:rPr>
        <w:t>法</w:t>
      </w:r>
      <w:r>
        <w:rPr>
          <w:rFonts w:hint="eastAsia" w:cs="微软雅黑" w:asciiTheme="minorEastAsia" w:hAnsiTheme="minorEastAsia" w:eastAsiaTheme="minorEastAsia"/>
          <w:color w:val="auto"/>
          <w:kern w:val="0"/>
          <w:szCs w:val="21"/>
        </w:rPr>
        <w:t>定</w:t>
      </w:r>
      <w:r>
        <w:rPr>
          <w:rFonts w:hint="eastAsia" w:cs="微软雅黑" w:asciiTheme="minorEastAsia" w:hAnsiTheme="minorEastAsia" w:eastAsiaTheme="minorEastAsia"/>
          <w:color w:val="auto"/>
          <w:spacing w:val="-2"/>
          <w:kern w:val="0"/>
          <w:szCs w:val="21"/>
        </w:rPr>
        <w:t>代</w:t>
      </w:r>
      <w:r>
        <w:rPr>
          <w:rFonts w:hint="eastAsia" w:cs="微软雅黑" w:asciiTheme="minorEastAsia" w:hAnsiTheme="minorEastAsia" w:eastAsiaTheme="minorEastAsia"/>
          <w:color w:val="auto"/>
          <w:kern w:val="0"/>
          <w:szCs w:val="21"/>
        </w:rPr>
        <w:t>表</w:t>
      </w:r>
      <w:r>
        <w:rPr>
          <w:rFonts w:hint="eastAsia" w:cs="微软雅黑" w:asciiTheme="minorEastAsia" w:hAnsiTheme="minorEastAsia" w:eastAsiaTheme="minorEastAsia"/>
          <w:color w:val="auto"/>
          <w:spacing w:val="-2"/>
          <w:kern w:val="0"/>
          <w:szCs w:val="21"/>
        </w:rPr>
        <w:t>人</w:t>
      </w:r>
      <w:r>
        <w:rPr>
          <w:rFonts w:hint="eastAsia" w:cs="微软雅黑" w:asciiTheme="minorEastAsia" w:hAnsiTheme="minorEastAsia" w:eastAsiaTheme="minorEastAsia"/>
          <w:color w:val="auto"/>
          <w:kern w:val="0"/>
          <w:szCs w:val="21"/>
        </w:rPr>
        <w:t>（</w:t>
      </w:r>
      <w:r>
        <w:rPr>
          <w:rFonts w:hint="eastAsia" w:cs="微软雅黑" w:asciiTheme="minorEastAsia" w:hAnsiTheme="minorEastAsia" w:eastAsiaTheme="minorEastAsia"/>
          <w:color w:val="auto"/>
          <w:spacing w:val="-2"/>
          <w:kern w:val="0"/>
          <w:szCs w:val="21"/>
        </w:rPr>
        <w:t>单</w:t>
      </w:r>
      <w:r>
        <w:rPr>
          <w:rFonts w:hint="eastAsia" w:cs="微软雅黑" w:asciiTheme="minorEastAsia" w:hAnsiTheme="minorEastAsia" w:eastAsiaTheme="minorEastAsia"/>
          <w:color w:val="auto"/>
          <w:kern w:val="0"/>
          <w:szCs w:val="21"/>
        </w:rPr>
        <w:t>位</w:t>
      </w:r>
      <w:r>
        <w:rPr>
          <w:rFonts w:hint="eastAsia" w:cs="微软雅黑" w:asciiTheme="minorEastAsia" w:hAnsiTheme="minorEastAsia" w:eastAsiaTheme="minorEastAsia"/>
          <w:color w:val="auto"/>
          <w:spacing w:val="-2"/>
          <w:kern w:val="0"/>
          <w:szCs w:val="21"/>
        </w:rPr>
        <w:t>负</w:t>
      </w:r>
      <w:r>
        <w:rPr>
          <w:rFonts w:hint="eastAsia" w:cs="微软雅黑" w:asciiTheme="minorEastAsia" w:hAnsiTheme="minorEastAsia" w:eastAsiaTheme="minorEastAsia"/>
          <w:color w:val="auto"/>
          <w:kern w:val="0"/>
          <w:szCs w:val="21"/>
        </w:rPr>
        <w:t>责人</w:t>
      </w:r>
      <w:r>
        <w:rPr>
          <w:rFonts w:hint="eastAsia" w:cs="微软雅黑" w:asciiTheme="minorEastAsia" w:hAnsiTheme="minorEastAsia" w:eastAsiaTheme="minorEastAsia"/>
          <w:color w:val="auto"/>
          <w:spacing w:val="-2"/>
          <w:kern w:val="0"/>
          <w:szCs w:val="21"/>
        </w:rPr>
        <w:t>）</w:t>
      </w:r>
      <w:r>
        <w:rPr>
          <w:rFonts w:hint="eastAsia" w:asciiTheme="minorEastAsia" w:hAnsiTheme="minorEastAsia" w:eastAsiaTheme="minorEastAsia"/>
          <w:color w:val="auto"/>
          <w:szCs w:val="21"/>
        </w:rPr>
        <w:t>或其授权的代理人（签字或印章）：</w:t>
      </w:r>
    </w:p>
    <w:p w14:paraId="7E4DE777">
      <w:pPr>
        <w:adjustRightInd w:val="0"/>
        <w:snapToGrid w:val="0"/>
        <w:spacing w:before="120" w:beforeLines="50" w:line="360" w:lineRule="auto"/>
        <w:rPr>
          <w:rFonts w:ascii="黑体" w:hAnsi="宋体" w:eastAsia="黑体"/>
          <w:b/>
          <w:bCs/>
          <w:color w:val="auto"/>
          <w:sz w:val="28"/>
          <w:szCs w:val="28"/>
        </w:rPr>
      </w:pPr>
      <w:r>
        <w:rPr>
          <w:rFonts w:hint="eastAsia" w:asciiTheme="minorEastAsia" w:hAnsiTheme="minorEastAsia" w:eastAsiaTheme="minorEastAsia"/>
          <w:color w:val="auto"/>
          <w:szCs w:val="21"/>
        </w:rPr>
        <w:t>日  期：     年   月   日</w:t>
      </w:r>
      <w:r>
        <w:rPr>
          <w:rFonts w:ascii="黑体" w:hAnsi="宋体" w:eastAsia="黑体"/>
          <w:b/>
          <w:bCs/>
          <w:color w:val="auto"/>
          <w:sz w:val="28"/>
          <w:szCs w:val="28"/>
        </w:rPr>
        <w:br w:type="page"/>
      </w:r>
    </w:p>
    <w:p w14:paraId="0DB5B3EC">
      <w:pPr>
        <w:pStyle w:val="4"/>
        <w:adjustRightInd w:val="0"/>
        <w:snapToGrid w:val="0"/>
        <w:spacing w:before="0" w:after="0" w:line="360" w:lineRule="auto"/>
        <w:jc w:val="center"/>
        <w:rPr>
          <w:rFonts w:ascii="黑体" w:hAnsi="宋体" w:eastAsia="黑体"/>
          <w:color w:val="auto"/>
          <w:sz w:val="28"/>
          <w:szCs w:val="28"/>
        </w:rPr>
      </w:pPr>
      <w:bookmarkStart w:id="231" w:name="_Toc9106"/>
      <w:r>
        <w:rPr>
          <w:rFonts w:hint="eastAsia" w:ascii="黑体" w:hAnsi="宋体" w:eastAsia="黑体"/>
          <w:color w:val="auto"/>
          <w:sz w:val="28"/>
          <w:szCs w:val="28"/>
        </w:rPr>
        <w:t>六、分项报价</w:t>
      </w:r>
      <w:bookmarkEnd w:id="231"/>
    </w:p>
    <w:p w14:paraId="0EC42999">
      <w:pPr>
        <w:pStyle w:val="5"/>
        <w:jc w:val="left"/>
        <w:rPr>
          <w:rFonts w:ascii="黑体" w:cs="微软雅黑" w:hAnsiTheme="minorEastAsia"/>
          <w:b w:val="0"/>
          <w:color w:val="auto"/>
          <w:kern w:val="0"/>
          <w:sz w:val="21"/>
          <w:szCs w:val="21"/>
        </w:rPr>
      </w:pPr>
      <w:bookmarkStart w:id="232" w:name="_Toc29787"/>
      <w:r>
        <w:rPr>
          <w:rFonts w:hint="eastAsia" w:ascii="黑体" w:hAnsi="华文中宋" w:cs="宋体"/>
          <w:b w:val="0"/>
          <w:bCs w:val="0"/>
          <w:color w:val="auto"/>
          <w:spacing w:val="6"/>
          <w:kern w:val="0"/>
          <w:sz w:val="21"/>
          <w:szCs w:val="21"/>
        </w:rPr>
        <w:t xml:space="preserve">附件6-1 </w:t>
      </w:r>
      <w:r>
        <w:rPr>
          <w:rFonts w:hint="eastAsia" w:ascii="黑体" w:cs="微软雅黑" w:hAnsiTheme="minorEastAsia"/>
          <w:b w:val="0"/>
          <w:color w:val="auto"/>
          <w:spacing w:val="-2"/>
          <w:kern w:val="0"/>
          <w:sz w:val="21"/>
          <w:szCs w:val="21"/>
        </w:rPr>
        <w:t>分</w:t>
      </w:r>
      <w:r>
        <w:rPr>
          <w:rFonts w:hint="eastAsia" w:ascii="黑体" w:cs="微软雅黑" w:hAnsiTheme="minorEastAsia"/>
          <w:b w:val="0"/>
          <w:color w:val="auto"/>
          <w:kern w:val="0"/>
          <w:sz w:val="21"/>
          <w:szCs w:val="21"/>
        </w:rPr>
        <w:t>项</w:t>
      </w:r>
      <w:r>
        <w:rPr>
          <w:rFonts w:hint="eastAsia" w:ascii="黑体" w:cs="微软雅黑" w:hAnsiTheme="minorEastAsia"/>
          <w:b w:val="0"/>
          <w:color w:val="auto"/>
          <w:spacing w:val="-2"/>
          <w:kern w:val="0"/>
          <w:sz w:val="21"/>
          <w:szCs w:val="21"/>
        </w:rPr>
        <w:t>报</w:t>
      </w:r>
      <w:r>
        <w:rPr>
          <w:rFonts w:hint="eastAsia" w:ascii="黑体" w:cs="微软雅黑" w:hAnsiTheme="minorEastAsia"/>
          <w:b w:val="0"/>
          <w:color w:val="auto"/>
          <w:kern w:val="0"/>
          <w:sz w:val="21"/>
          <w:szCs w:val="21"/>
        </w:rPr>
        <w:t>价说明</w:t>
      </w:r>
      <w:bookmarkEnd w:id="232"/>
    </w:p>
    <w:p w14:paraId="167C834A">
      <w:pPr>
        <w:autoSpaceDE w:val="0"/>
        <w:autoSpaceDN w:val="0"/>
        <w:adjustRightInd w:val="0"/>
        <w:snapToGrid w:val="0"/>
        <w:spacing w:line="360" w:lineRule="auto"/>
        <w:jc w:val="center"/>
        <w:rPr>
          <w:rFonts w:ascii="黑体" w:eastAsia="黑体" w:cs="微软雅黑" w:hAnsiTheme="minorEastAsia"/>
          <w:b/>
          <w:color w:val="auto"/>
          <w:kern w:val="0"/>
          <w:sz w:val="28"/>
          <w:szCs w:val="28"/>
        </w:rPr>
      </w:pPr>
      <w:r>
        <w:rPr>
          <w:rFonts w:hint="eastAsia" w:ascii="黑体" w:eastAsia="黑体" w:cs="微软雅黑" w:hAnsiTheme="minorEastAsia"/>
          <w:b/>
          <w:color w:val="auto"/>
          <w:spacing w:val="-2"/>
          <w:kern w:val="0"/>
          <w:sz w:val="28"/>
          <w:szCs w:val="28"/>
        </w:rPr>
        <w:t>分</w:t>
      </w:r>
      <w:r>
        <w:rPr>
          <w:rFonts w:hint="eastAsia" w:ascii="黑体" w:eastAsia="黑体" w:cs="微软雅黑" w:hAnsiTheme="minorEastAsia"/>
          <w:b/>
          <w:color w:val="auto"/>
          <w:kern w:val="0"/>
          <w:sz w:val="28"/>
          <w:szCs w:val="28"/>
        </w:rPr>
        <w:t>项</w:t>
      </w:r>
      <w:r>
        <w:rPr>
          <w:rFonts w:hint="eastAsia" w:ascii="黑体" w:eastAsia="黑体" w:cs="微软雅黑" w:hAnsiTheme="minorEastAsia"/>
          <w:b/>
          <w:color w:val="auto"/>
          <w:spacing w:val="-2"/>
          <w:kern w:val="0"/>
          <w:sz w:val="28"/>
          <w:szCs w:val="28"/>
        </w:rPr>
        <w:t>报</w:t>
      </w:r>
      <w:r>
        <w:rPr>
          <w:rFonts w:hint="eastAsia" w:ascii="黑体" w:eastAsia="黑体" w:cs="微软雅黑" w:hAnsiTheme="minorEastAsia"/>
          <w:b/>
          <w:color w:val="auto"/>
          <w:kern w:val="0"/>
          <w:sz w:val="28"/>
          <w:szCs w:val="28"/>
        </w:rPr>
        <w:t>价说明</w:t>
      </w:r>
    </w:p>
    <w:p w14:paraId="41C563E8">
      <w:pPr>
        <w:autoSpaceDE w:val="0"/>
        <w:autoSpaceDN w:val="0"/>
        <w:adjustRightInd w:val="0"/>
        <w:snapToGrid w:val="0"/>
        <w:spacing w:line="360" w:lineRule="auto"/>
        <w:jc w:val="left"/>
        <w:rPr>
          <w:rFonts w:cs="微软雅黑" w:asciiTheme="minorEastAsia" w:hAnsiTheme="minorEastAsia" w:eastAsiaTheme="minorEastAsia"/>
          <w:color w:val="auto"/>
          <w:kern w:val="0"/>
          <w:szCs w:val="21"/>
        </w:rPr>
      </w:pPr>
      <w:r>
        <w:rPr>
          <w:rFonts w:hint="eastAsia" w:cs="微软雅黑" w:asciiTheme="minorEastAsia" w:hAnsiTheme="minorEastAsia" w:eastAsiaTheme="minorEastAsia"/>
          <w:color w:val="auto"/>
          <w:kern w:val="0"/>
          <w:szCs w:val="21"/>
        </w:rPr>
        <w:t>备注：投标人应按招标文件第二章相关要求，对本节</w:t>
      </w:r>
      <w:r>
        <w:rPr>
          <w:rFonts w:hint="eastAsia" w:asciiTheme="minorEastAsia" w:hAnsiTheme="minorEastAsia" w:eastAsiaTheme="minorEastAsia"/>
          <w:bCs/>
          <w:color w:val="auto"/>
          <w:szCs w:val="21"/>
        </w:rPr>
        <w:t>“</w:t>
      </w:r>
      <w:r>
        <w:rPr>
          <w:rFonts w:hint="eastAsia" w:cs="微软雅黑" w:asciiTheme="minorEastAsia" w:hAnsiTheme="minorEastAsia" w:eastAsiaTheme="minorEastAsia"/>
          <w:color w:val="auto"/>
          <w:kern w:val="0"/>
          <w:szCs w:val="21"/>
        </w:rPr>
        <w:t>分项报价明细表</w:t>
      </w:r>
      <w:r>
        <w:rPr>
          <w:rFonts w:hint="eastAsia" w:asciiTheme="minorEastAsia" w:hAnsiTheme="minorEastAsia" w:eastAsiaTheme="minorEastAsia"/>
          <w:bCs/>
          <w:color w:val="auto"/>
          <w:szCs w:val="21"/>
        </w:rPr>
        <w:t>”进行</w:t>
      </w:r>
      <w:r>
        <w:rPr>
          <w:rFonts w:hint="eastAsia" w:cs="微软雅黑" w:asciiTheme="minorEastAsia" w:hAnsiTheme="minorEastAsia" w:eastAsiaTheme="minorEastAsia"/>
          <w:color w:val="auto"/>
          <w:kern w:val="0"/>
          <w:szCs w:val="21"/>
        </w:rPr>
        <w:t>编制，并说明。</w:t>
      </w:r>
    </w:p>
    <w:p w14:paraId="4C9693B2">
      <w:pPr>
        <w:pStyle w:val="5"/>
        <w:jc w:val="left"/>
        <w:rPr>
          <w:rFonts w:ascii="黑体" w:cs="微软雅黑" w:hAnsiTheme="minorEastAsia"/>
          <w:b w:val="0"/>
          <w:color w:val="auto"/>
          <w:kern w:val="0"/>
          <w:sz w:val="21"/>
          <w:szCs w:val="21"/>
        </w:rPr>
      </w:pPr>
      <w:bookmarkStart w:id="233" w:name="_Toc3637"/>
      <w:r>
        <w:rPr>
          <w:rFonts w:hint="eastAsia" w:ascii="黑体" w:hAnsi="华文中宋" w:cs="宋体"/>
          <w:b w:val="0"/>
          <w:bCs w:val="0"/>
          <w:color w:val="auto"/>
          <w:spacing w:val="6"/>
          <w:kern w:val="0"/>
          <w:sz w:val="21"/>
          <w:szCs w:val="21"/>
        </w:rPr>
        <w:t xml:space="preserve">附件6-2 </w:t>
      </w:r>
      <w:r>
        <w:rPr>
          <w:rFonts w:hint="eastAsia" w:ascii="黑体" w:cs="微软雅黑" w:hAnsiTheme="minorEastAsia"/>
          <w:b w:val="0"/>
          <w:color w:val="auto"/>
          <w:spacing w:val="-2"/>
          <w:kern w:val="0"/>
          <w:position w:val="-3"/>
          <w:sz w:val="21"/>
          <w:szCs w:val="21"/>
        </w:rPr>
        <w:t>分</w:t>
      </w:r>
      <w:r>
        <w:rPr>
          <w:rFonts w:hint="eastAsia" w:ascii="黑体" w:cs="微软雅黑" w:hAnsiTheme="minorEastAsia"/>
          <w:b w:val="0"/>
          <w:color w:val="auto"/>
          <w:kern w:val="0"/>
          <w:position w:val="-3"/>
          <w:sz w:val="21"/>
          <w:szCs w:val="21"/>
        </w:rPr>
        <w:t>项</w:t>
      </w:r>
      <w:r>
        <w:rPr>
          <w:rFonts w:hint="eastAsia" w:ascii="黑体" w:cs="微软雅黑" w:hAnsiTheme="minorEastAsia"/>
          <w:b w:val="0"/>
          <w:color w:val="auto"/>
          <w:spacing w:val="-2"/>
          <w:kern w:val="0"/>
          <w:position w:val="-3"/>
          <w:sz w:val="21"/>
          <w:szCs w:val="21"/>
        </w:rPr>
        <w:t>报</w:t>
      </w:r>
      <w:r>
        <w:rPr>
          <w:rFonts w:hint="eastAsia" w:ascii="黑体" w:cs="微软雅黑" w:hAnsiTheme="minorEastAsia"/>
          <w:b w:val="0"/>
          <w:color w:val="auto"/>
          <w:kern w:val="0"/>
          <w:position w:val="-3"/>
          <w:sz w:val="21"/>
          <w:szCs w:val="21"/>
        </w:rPr>
        <w:t>价明细表</w:t>
      </w:r>
      <w:bookmarkEnd w:id="233"/>
    </w:p>
    <w:p w14:paraId="47ACFA64">
      <w:pPr>
        <w:adjustRightInd w:val="0"/>
        <w:snapToGrid w:val="0"/>
        <w:spacing w:line="360" w:lineRule="auto"/>
        <w:jc w:val="center"/>
        <w:rPr>
          <w:rFonts w:ascii="黑体" w:eastAsia="黑体" w:cs="微软雅黑" w:hAnsiTheme="minorEastAsia"/>
          <w:b/>
          <w:color w:val="auto"/>
          <w:kern w:val="0"/>
          <w:position w:val="-3"/>
          <w:sz w:val="28"/>
          <w:szCs w:val="28"/>
        </w:rPr>
      </w:pPr>
      <w:r>
        <w:rPr>
          <w:rFonts w:hint="eastAsia" w:ascii="黑体" w:eastAsia="黑体" w:cs="微软雅黑" w:hAnsiTheme="minorEastAsia"/>
          <w:b/>
          <w:color w:val="auto"/>
          <w:spacing w:val="-2"/>
          <w:kern w:val="0"/>
          <w:position w:val="-3"/>
          <w:sz w:val="28"/>
          <w:szCs w:val="28"/>
        </w:rPr>
        <w:t>分</w:t>
      </w:r>
      <w:r>
        <w:rPr>
          <w:rFonts w:hint="eastAsia" w:ascii="黑体" w:eastAsia="黑体" w:cs="微软雅黑" w:hAnsiTheme="minorEastAsia"/>
          <w:b/>
          <w:color w:val="auto"/>
          <w:kern w:val="0"/>
          <w:position w:val="-3"/>
          <w:sz w:val="28"/>
          <w:szCs w:val="28"/>
        </w:rPr>
        <w:t>项</w:t>
      </w:r>
      <w:r>
        <w:rPr>
          <w:rFonts w:hint="eastAsia" w:ascii="黑体" w:eastAsia="黑体" w:cs="微软雅黑" w:hAnsiTheme="minorEastAsia"/>
          <w:b/>
          <w:color w:val="auto"/>
          <w:spacing w:val="-2"/>
          <w:kern w:val="0"/>
          <w:position w:val="-3"/>
          <w:sz w:val="28"/>
          <w:szCs w:val="28"/>
        </w:rPr>
        <w:t>报</w:t>
      </w:r>
      <w:r>
        <w:rPr>
          <w:rFonts w:hint="eastAsia" w:ascii="黑体" w:eastAsia="黑体" w:cs="微软雅黑" w:hAnsiTheme="minorEastAsia"/>
          <w:b/>
          <w:color w:val="auto"/>
          <w:kern w:val="0"/>
          <w:position w:val="-3"/>
          <w:sz w:val="28"/>
          <w:szCs w:val="28"/>
        </w:rPr>
        <w:t>价明细表</w:t>
      </w:r>
    </w:p>
    <w:p w14:paraId="520EA94A">
      <w:pPr>
        <w:adjustRightInd w:val="0"/>
        <w:snapToGrid w:val="0"/>
        <w:spacing w:before="120" w:beforeLines="50" w:line="360" w:lineRule="auto"/>
        <w:rPr>
          <w:rFonts w:asciiTheme="minorEastAsia" w:hAnsiTheme="minorEastAsia" w:eastAsiaTheme="minorEastAsia"/>
          <w:color w:val="auto"/>
          <w:szCs w:val="21"/>
          <w:u w:val="single"/>
        </w:rPr>
      </w:pPr>
      <w:r>
        <w:rPr>
          <w:rFonts w:hint="eastAsia" w:ascii="宋体" w:hAnsi="宋体"/>
          <w:color w:val="auto"/>
          <w:spacing w:val="28"/>
          <w:szCs w:val="21"/>
        </w:rPr>
        <w:t>采购人项目编号/采购代理编号</w:t>
      </w:r>
      <w:r>
        <w:rPr>
          <w:rFonts w:hint="eastAsia" w:ascii="宋体" w:hAnsi="宋体"/>
          <w:color w:val="auto"/>
          <w:szCs w:val="21"/>
        </w:rPr>
        <w:t>:</w:t>
      </w:r>
      <w:r>
        <w:rPr>
          <w:rFonts w:hint="eastAsia" w:ascii="宋体" w:hAnsi="宋体"/>
          <w:color w:val="auto"/>
          <w:szCs w:val="21"/>
          <w:u w:val="single"/>
        </w:rPr>
        <w:t xml:space="preserve">                      </w:t>
      </w:r>
      <w:r>
        <w:rPr>
          <w:rFonts w:hint="eastAsia" w:ascii="宋体" w:hAnsi="宋体"/>
          <w:color w:val="auto"/>
          <w:szCs w:val="21"/>
        </w:rPr>
        <w:t xml:space="preserve"> </w:t>
      </w:r>
      <w:r>
        <w:rPr>
          <w:rFonts w:hint="eastAsia" w:asciiTheme="minorEastAsia" w:hAnsiTheme="minorEastAsia" w:eastAsiaTheme="minorEastAsia"/>
          <w:color w:val="auto"/>
          <w:szCs w:val="21"/>
        </w:rPr>
        <w:t>项目名称：</w:t>
      </w:r>
      <w:r>
        <w:rPr>
          <w:rFonts w:hint="eastAsia" w:ascii="宋体" w:hAnsi="宋体"/>
          <w:color w:val="auto"/>
          <w:szCs w:val="21"/>
          <w:u w:val="single"/>
        </w:rPr>
        <w:t xml:space="preserve">                 </w:t>
      </w:r>
    </w:p>
    <w:p w14:paraId="1781695B">
      <w:pPr>
        <w:adjustRightInd w:val="0"/>
        <w:snapToGrid w:val="0"/>
        <w:spacing w:before="50" w:line="360" w:lineRule="auto"/>
        <w:rPr>
          <w:rFonts w:ascii="宋体" w:hAnsi="宋体"/>
          <w:color w:val="auto"/>
          <w:szCs w:val="21"/>
          <w:u w:val="single"/>
        </w:rPr>
      </w:pPr>
      <w:r>
        <w:rPr>
          <w:rFonts w:hint="eastAsia" w:asciiTheme="minorEastAsia" w:hAnsiTheme="minorEastAsia" w:eastAsiaTheme="minorEastAsia"/>
          <w:color w:val="auto"/>
          <w:szCs w:val="21"/>
        </w:rPr>
        <w:t>包  号（如有）：</w:t>
      </w:r>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olor w:val="auto"/>
          <w:szCs w:val="21"/>
          <w:u w:val="single"/>
        </w:rPr>
        <w:t xml:space="preserve">              </w:t>
      </w:r>
      <w:r>
        <w:rPr>
          <w:rFonts w:hint="eastAsia" w:asciiTheme="minorEastAsia" w:hAnsiTheme="minorEastAsia" w:eastAsiaTheme="minorEastAsia"/>
          <w:color w:val="auto"/>
          <w:szCs w:val="21"/>
        </w:rPr>
        <w:t xml:space="preserve">     </w:t>
      </w:r>
      <w:r>
        <w:rPr>
          <w:rFonts w:asciiTheme="minorEastAsia" w:hAnsiTheme="minorEastAsia" w:eastAsiaTheme="minorEastAsia"/>
          <w:color w:val="auto"/>
          <w:szCs w:val="21"/>
        </w:rPr>
        <w:t xml:space="preserve">  </w:t>
      </w:r>
      <w:r>
        <w:rPr>
          <w:rFonts w:hint="eastAsia" w:asciiTheme="minorEastAsia" w:hAnsiTheme="minorEastAsia" w:eastAsiaTheme="minorEastAsia"/>
          <w:color w:val="auto"/>
          <w:szCs w:val="21"/>
        </w:rPr>
        <w:t xml:space="preserve">     包名称（如有）：</w:t>
      </w:r>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olor w:val="auto"/>
          <w:szCs w:val="21"/>
          <w:u w:val="single"/>
        </w:rPr>
        <w:t xml:space="preserve"> </w:t>
      </w:r>
    </w:p>
    <w:tbl>
      <w:tblPr>
        <w:tblStyle w:val="41"/>
        <w:tblW w:w="5000" w:type="pct"/>
        <w:tblInd w:w="0" w:type="dxa"/>
        <w:tblLayout w:type="autofit"/>
        <w:tblCellMar>
          <w:top w:w="0" w:type="dxa"/>
          <w:left w:w="0" w:type="dxa"/>
          <w:bottom w:w="0" w:type="dxa"/>
          <w:right w:w="0" w:type="dxa"/>
        </w:tblCellMar>
      </w:tblPr>
      <w:tblGrid>
        <w:gridCol w:w="327"/>
        <w:gridCol w:w="1354"/>
        <w:gridCol w:w="2083"/>
        <w:gridCol w:w="1175"/>
        <w:gridCol w:w="1069"/>
        <w:gridCol w:w="892"/>
        <w:gridCol w:w="897"/>
        <w:gridCol w:w="896"/>
      </w:tblGrid>
      <w:tr w14:paraId="7A1CD4BF">
        <w:tblPrEx>
          <w:tblCellMar>
            <w:top w:w="0" w:type="dxa"/>
            <w:left w:w="0" w:type="dxa"/>
            <w:bottom w:w="0" w:type="dxa"/>
            <w:right w:w="0" w:type="dxa"/>
          </w:tblCellMar>
        </w:tblPrEx>
        <w:trPr>
          <w:trHeight w:val="479" w:hRule="exact"/>
        </w:trPr>
        <w:tc>
          <w:tcPr>
            <w:tcW w:w="967" w:type="pct"/>
            <w:gridSpan w:val="2"/>
            <w:vMerge w:val="restart"/>
            <w:tcBorders>
              <w:top w:val="double" w:color="auto" w:sz="4" w:space="0"/>
              <w:left w:val="double" w:color="auto" w:sz="4" w:space="0"/>
              <w:right w:val="single" w:color="auto" w:sz="6" w:space="0"/>
            </w:tcBorders>
            <w:vAlign w:val="center"/>
          </w:tcPr>
          <w:p w14:paraId="5AB389FF">
            <w:pPr>
              <w:autoSpaceDE w:val="0"/>
              <w:autoSpaceDN w:val="0"/>
              <w:adjustRightInd w:val="0"/>
              <w:snapToGrid w:val="0"/>
              <w:ind w:right="-20"/>
              <w:jc w:val="center"/>
              <w:rPr>
                <w:rFonts w:cs="微软雅黑" w:asciiTheme="minorEastAsia" w:hAnsiTheme="minorEastAsia" w:eastAsiaTheme="minorEastAsia"/>
                <w:color w:val="auto"/>
                <w:kern w:val="0"/>
                <w:position w:val="-1"/>
                <w:szCs w:val="21"/>
              </w:rPr>
            </w:pPr>
            <w:r>
              <w:rPr>
                <w:rFonts w:hint="eastAsia" w:cs="微软雅黑" w:asciiTheme="minorEastAsia" w:hAnsiTheme="minorEastAsia" w:eastAsiaTheme="minorEastAsia"/>
                <w:color w:val="auto"/>
                <w:kern w:val="0"/>
                <w:position w:val="-1"/>
                <w:szCs w:val="21"/>
              </w:rPr>
              <w:t>分项品目（货物）名称</w:t>
            </w:r>
          </w:p>
        </w:tc>
        <w:tc>
          <w:tcPr>
            <w:tcW w:w="1198" w:type="pct"/>
            <w:vMerge w:val="restart"/>
            <w:tcBorders>
              <w:top w:val="double" w:color="auto" w:sz="4" w:space="0"/>
              <w:left w:val="single" w:color="auto" w:sz="6" w:space="0"/>
              <w:bottom w:val="single" w:color="auto" w:sz="6" w:space="0"/>
              <w:right w:val="single" w:color="auto" w:sz="4" w:space="0"/>
            </w:tcBorders>
            <w:vAlign w:val="center"/>
          </w:tcPr>
          <w:p w14:paraId="34C1CF7C">
            <w:pPr>
              <w:autoSpaceDE w:val="0"/>
              <w:autoSpaceDN w:val="0"/>
              <w:adjustRightInd w:val="0"/>
              <w:snapToGrid w:val="0"/>
              <w:ind w:right="-20"/>
              <w:jc w:val="center"/>
              <w:rPr>
                <w:rFonts w:ascii="宋体" w:hAnsi="宋体"/>
                <w:color w:val="auto"/>
                <w:szCs w:val="21"/>
              </w:rPr>
            </w:pPr>
            <w:r>
              <w:rPr>
                <w:rFonts w:hint="eastAsia" w:ascii="宋体" w:hAnsi="宋体"/>
                <w:color w:val="auto"/>
                <w:szCs w:val="21"/>
              </w:rPr>
              <w:t>规格型号</w:t>
            </w:r>
          </w:p>
          <w:p w14:paraId="0A418558">
            <w:pPr>
              <w:autoSpaceDE w:val="0"/>
              <w:autoSpaceDN w:val="0"/>
              <w:adjustRightInd w:val="0"/>
              <w:snapToGrid w:val="0"/>
              <w:ind w:right="-20"/>
              <w:jc w:val="center"/>
              <w:rPr>
                <w:rFonts w:ascii="宋体" w:hAnsi="宋体"/>
                <w:color w:val="auto"/>
                <w:szCs w:val="21"/>
              </w:rPr>
            </w:pPr>
            <w:r>
              <w:rPr>
                <w:rFonts w:hint="eastAsia" w:ascii="宋体" w:hAnsi="宋体"/>
                <w:color w:val="auto"/>
                <w:szCs w:val="21"/>
              </w:rPr>
              <w:t>（或项目特征描述</w:t>
            </w:r>
            <w:r>
              <w:rPr>
                <w:rFonts w:ascii="宋体" w:hAnsi="宋体"/>
                <w:color w:val="auto"/>
                <w:szCs w:val="21"/>
              </w:rPr>
              <w:t>）</w:t>
            </w:r>
          </w:p>
        </w:tc>
        <w:tc>
          <w:tcPr>
            <w:tcW w:w="676" w:type="pct"/>
            <w:vMerge w:val="restart"/>
            <w:tcBorders>
              <w:top w:val="double" w:color="auto" w:sz="4" w:space="0"/>
              <w:left w:val="single" w:color="auto" w:sz="4" w:space="0"/>
              <w:bottom w:val="single" w:color="auto" w:sz="6" w:space="0"/>
              <w:right w:val="single" w:color="auto" w:sz="6" w:space="0"/>
            </w:tcBorders>
            <w:vAlign w:val="center"/>
          </w:tcPr>
          <w:p w14:paraId="0EA5246A">
            <w:pPr>
              <w:autoSpaceDE w:val="0"/>
              <w:autoSpaceDN w:val="0"/>
              <w:adjustRightInd w:val="0"/>
              <w:snapToGrid w:val="0"/>
              <w:ind w:right="-20"/>
              <w:jc w:val="center"/>
              <w:rPr>
                <w:rFonts w:ascii="宋体" w:hAnsi="宋体"/>
                <w:color w:val="auto"/>
                <w:szCs w:val="21"/>
              </w:rPr>
            </w:pPr>
            <w:r>
              <w:rPr>
                <w:rFonts w:hint="eastAsia" w:ascii="宋体" w:hAnsi="宋体"/>
                <w:color w:val="auto"/>
                <w:szCs w:val="21"/>
              </w:rPr>
              <w:t>品牌/产地</w:t>
            </w:r>
          </w:p>
        </w:tc>
        <w:tc>
          <w:tcPr>
            <w:tcW w:w="615" w:type="pct"/>
            <w:vMerge w:val="restart"/>
            <w:tcBorders>
              <w:top w:val="double" w:color="auto" w:sz="4" w:space="0"/>
              <w:left w:val="single" w:color="auto" w:sz="6" w:space="0"/>
              <w:right w:val="single" w:color="auto" w:sz="4" w:space="0"/>
            </w:tcBorders>
            <w:vAlign w:val="center"/>
          </w:tcPr>
          <w:p w14:paraId="7072A6C2">
            <w:pPr>
              <w:autoSpaceDE w:val="0"/>
              <w:autoSpaceDN w:val="0"/>
              <w:adjustRightInd w:val="0"/>
              <w:snapToGrid w:val="0"/>
              <w:ind w:right="-20"/>
              <w:jc w:val="center"/>
              <w:rPr>
                <w:rFonts w:cs="微软雅黑" w:asciiTheme="minorEastAsia" w:hAnsiTheme="minorEastAsia" w:eastAsiaTheme="minorEastAsia"/>
                <w:color w:val="auto"/>
                <w:kern w:val="0"/>
                <w:position w:val="-1"/>
                <w:szCs w:val="21"/>
              </w:rPr>
            </w:pPr>
            <w:r>
              <w:rPr>
                <w:rFonts w:hint="eastAsia" w:asciiTheme="minorEastAsia" w:hAnsiTheme="minorEastAsia" w:eastAsiaTheme="minorEastAsia"/>
                <w:color w:val="auto"/>
                <w:kern w:val="0"/>
                <w:szCs w:val="21"/>
              </w:rPr>
              <w:t>数量/单位</w:t>
            </w:r>
          </w:p>
        </w:tc>
        <w:tc>
          <w:tcPr>
            <w:tcW w:w="1029" w:type="pct"/>
            <w:gridSpan w:val="2"/>
            <w:tcBorders>
              <w:top w:val="double" w:color="auto" w:sz="4" w:space="0"/>
              <w:left w:val="single" w:color="auto" w:sz="4" w:space="0"/>
              <w:bottom w:val="single" w:color="auto" w:sz="6" w:space="0"/>
              <w:right w:val="single" w:color="auto" w:sz="6" w:space="0"/>
            </w:tcBorders>
            <w:vAlign w:val="center"/>
          </w:tcPr>
          <w:p w14:paraId="79745FC7">
            <w:pPr>
              <w:autoSpaceDE w:val="0"/>
              <w:autoSpaceDN w:val="0"/>
              <w:adjustRightInd w:val="0"/>
              <w:snapToGrid w:val="0"/>
              <w:ind w:right="-20"/>
              <w:jc w:val="center"/>
              <w:rPr>
                <w:rFonts w:cs="微软雅黑" w:asciiTheme="minorEastAsia" w:hAnsiTheme="minorEastAsia" w:eastAsiaTheme="minorEastAsia"/>
                <w:color w:val="auto"/>
                <w:kern w:val="0"/>
                <w:position w:val="-1"/>
                <w:szCs w:val="21"/>
              </w:rPr>
            </w:pPr>
            <w:r>
              <w:rPr>
                <w:rFonts w:hint="eastAsia" w:cs="微软雅黑" w:asciiTheme="minorEastAsia" w:hAnsiTheme="minorEastAsia" w:eastAsiaTheme="minorEastAsia"/>
                <w:color w:val="auto"/>
                <w:kern w:val="0"/>
                <w:position w:val="-1"/>
                <w:szCs w:val="21"/>
              </w:rPr>
              <w:t>金额（元）</w:t>
            </w:r>
          </w:p>
        </w:tc>
        <w:tc>
          <w:tcPr>
            <w:tcW w:w="515" w:type="pct"/>
            <w:vMerge w:val="restart"/>
            <w:tcBorders>
              <w:top w:val="double" w:color="auto" w:sz="4" w:space="0"/>
              <w:left w:val="single" w:color="auto" w:sz="6" w:space="0"/>
              <w:bottom w:val="single" w:color="auto" w:sz="6" w:space="0"/>
              <w:right w:val="double" w:color="auto" w:sz="4" w:space="0"/>
            </w:tcBorders>
            <w:vAlign w:val="center"/>
          </w:tcPr>
          <w:p w14:paraId="008B4684">
            <w:pPr>
              <w:autoSpaceDE w:val="0"/>
              <w:autoSpaceDN w:val="0"/>
              <w:adjustRightInd w:val="0"/>
              <w:snapToGrid w:val="0"/>
              <w:ind w:right="-20"/>
              <w:jc w:val="center"/>
              <w:rPr>
                <w:rFonts w:cs="微软雅黑" w:asciiTheme="minorEastAsia" w:hAnsiTheme="minorEastAsia" w:eastAsiaTheme="minorEastAsia"/>
                <w:color w:val="auto"/>
                <w:kern w:val="0"/>
                <w:position w:val="-1"/>
                <w:szCs w:val="21"/>
              </w:rPr>
            </w:pPr>
            <w:r>
              <w:rPr>
                <w:rFonts w:hint="eastAsia" w:cs="微软雅黑" w:asciiTheme="minorEastAsia" w:hAnsiTheme="minorEastAsia" w:eastAsiaTheme="minorEastAsia"/>
                <w:color w:val="auto"/>
                <w:kern w:val="0"/>
                <w:position w:val="-1"/>
                <w:szCs w:val="21"/>
              </w:rPr>
              <w:t>备注</w:t>
            </w:r>
          </w:p>
        </w:tc>
      </w:tr>
      <w:tr w14:paraId="6C01E8ED">
        <w:tblPrEx>
          <w:tblCellMar>
            <w:top w:w="0" w:type="dxa"/>
            <w:left w:w="0" w:type="dxa"/>
            <w:bottom w:w="0" w:type="dxa"/>
            <w:right w:w="0" w:type="dxa"/>
          </w:tblCellMar>
        </w:tblPrEx>
        <w:trPr>
          <w:trHeight w:val="645" w:hRule="exact"/>
        </w:trPr>
        <w:tc>
          <w:tcPr>
            <w:tcW w:w="967" w:type="pct"/>
            <w:gridSpan w:val="2"/>
            <w:vMerge w:val="continue"/>
            <w:tcBorders>
              <w:left w:val="double" w:color="auto" w:sz="4" w:space="0"/>
              <w:bottom w:val="single" w:color="auto" w:sz="6" w:space="0"/>
              <w:right w:val="single" w:color="auto" w:sz="6" w:space="0"/>
            </w:tcBorders>
            <w:vAlign w:val="center"/>
          </w:tcPr>
          <w:p w14:paraId="3F1A9654">
            <w:pPr>
              <w:autoSpaceDE w:val="0"/>
              <w:autoSpaceDN w:val="0"/>
              <w:adjustRightInd w:val="0"/>
              <w:snapToGrid w:val="0"/>
              <w:ind w:left="352" w:right="-20"/>
              <w:jc w:val="center"/>
              <w:rPr>
                <w:rFonts w:asciiTheme="minorEastAsia" w:hAnsiTheme="minorEastAsia" w:eastAsiaTheme="minorEastAsia"/>
                <w:color w:val="auto"/>
                <w:kern w:val="0"/>
                <w:szCs w:val="21"/>
              </w:rPr>
            </w:pPr>
          </w:p>
        </w:tc>
        <w:tc>
          <w:tcPr>
            <w:tcW w:w="1198" w:type="pct"/>
            <w:vMerge w:val="continue"/>
            <w:tcBorders>
              <w:top w:val="single" w:color="auto" w:sz="6" w:space="0"/>
              <w:left w:val="single" w:color="auto" w:sz="6" w:space="0"/>
              <w:bottom w:val="single" w:color="auto" w:sz="6" w:space="0"/>
              <w:right w:val="single" w:color="auto" w:sz="4" w:space="0"/>
            </w:tcBorders>
            <w:vAlign w:val="center"/>
          </w:tcPr>
          <w:p w14:paraId="7A05EBF4">
            <w:pPr>
              <w:autoSpaceDE w:val="0"/>
              <w:autoSpaceDN w:val="0"/>
              <w:adjustRightInd w:val="0"/>
              <w:snapToGrid w:val="0"/>
              <w:ind w:right="-20"/>
              <w:jc w:val="center"/>
              <w:rPr>
                <w:rFonts w:asciiTheme="minorEastAsia" w:hAnsiTheme="minorEastAsia" w:eastAsiaTheme="minorEastAsia"/>
                <w:color w:val="auto"/>
                <w:kern w:val="0"/>
                <w:szCs w:val="21"/>
              </w:rPr>
            </w:pPr>
          </w:p>
        </w:tc>
        <w:tc>
          <w:tcPr>
            <w:tcW w:w="676" w:type="pct"/>
            <w:vMerge w:val="continue"/>
            <w:tcBorders>
              <w:top w:val="single" w:color="auto" w:sz="6" w:space="0"/>
              <w:left w:val="single" w:color="auto" w:sz="4" w:space="0"/>
              <w:bottom w:val="single" w:color="auto" w:sz="6" w:space="0"/>
              <w:right w:val="single" w:color="auto" w:sz="6" w:space="0"/>
            </w:tcBorders>
            <w:vAlign w:val="center"/>
          </w:tcPr>
          <w:p w14:paraId="5039EEDE">
            <w:pPr>
              <w:autoSpaceDE w:val="0"/>
              <w:autoSpaceDN w:val="0"/>
              <w:adjustRightInd w:val="0"/>
              <w:snapToGrid w:val="0"/>
              <w:ind w:right="-20"/>
              <w:jc w:val="center"/>
              <w:rPr>
                <w:rFonts w:asciiTheme="minorEastAsia" w:hAnsiTheme="minorEastAsia" w:eastAsiaTheme="minorEastAsia"/>
                <w:color w:val="auto"/>
                <w:kern w:val="0"/>
                <w:szCs w:val="21"/>
              </w:rPr>
            </w:pPr>
          </w:p>
        </w:tc>
        <w:tc>
          <w:tcPr>
            <w:tcW w:w="615" w:type="pct"/>
            <w:vMerge w:val="continue"/>
            <w:tcBorders>
              <w:left w:val="single" w:color="auto" w:sz="6" w:space="0"/>
              <w:bottom w:val="single" w:color="auto" w:sz="6" w:space="0"/>
              <w:right w:val="single" w:color="auto" w:sz="4" w:space="0"/>
            </w:tcBorders>
            <w:vAlign w:val="center"/>
          </w:tcPr>
          <w:p w14:paraId="598DA4F8">
            <w:pPr>
              <w:autoSpaceDE w:val="0"/>
              <w:autoSpaceDN w:val="0"/>
              <w:adjustRightInd w:val="0"/>
              <w:snapToGrid w:val="0"/>
              <w:ind w:right="-20"/>
              <w:jc w:val="center"/>
              <w:rPr>
                <w:rFonts w:asciiTheme="minorEastAsia" w:hAnsiTheme="minorEastAsia" w:eastAsiaTheme="minorEastAsia"/>
                <w:color w:val="auto"/>
                <w:kern w:val="0"/>
                <w:szCs w:val="21"/>
              </w:rPr>
            </w:pPr>
          </w:p>
        </w:tc>
        <w:tc>
          <w:tcPr>
            <w:tcW w:w="513" w:type="pct"/>
            <w:tcBorders>
              <w:top w:val="single" w:color="auto" w:sz="6" w:space="0"/>
              <w:left w:val="single" w:color="auto" w:sz="4" w:space="0"/>
              <w:bottom w:val="single" w:color="auto" w:sz="6" w:space="0"/>
              <w:right w:val="single" w:color="auto" w:sz="4" w:space="0"/>
            </w:tcBorders>
            <w:vAlign w:val="center"/>
          </w:tcPr>
          <w:p w14:paraId="29FEB4A2">
            <w:pPr>
              <w:autoSpaceDE w:val="0"/>
              <w:autoSpaceDN w:val="0"/>
              <w:adjustRightInd w:val="0"/>
              <w:snapToGrid w:val="0"/>
              <w:ind w:right="-20"/>
              <w:jc w:val="center"/>
              <w:rPr>
                <w:rFonts w:asciiTheme="minorEastAsia" w:hAnsiTheme="minorEastAsia" w:eastAsiaTheme="minorEastAsia"/>
                <w:color w:val="auto"/>
                <w:kern w:val="0"/>
                <w:szCs w:val="21"/>
              </w:rPr>
            </w:pPr>
            <w:r>
              <w:rPr>
                <w:rFonts w:hint="eastAsia" w:cs="微软雅黑" w:asciiTheme="minorEastAsia" w:hAnsiTheme="minorEastAsia" w:eastAsiaTheme="minorEastAsia"/>
                <w:color w:val="auto"/>
                <w:kern w:val="0"/>
                <w:position w:val="-1"/>
                <w:szCs w:val="21"/>
              </w:rPr>
              <w:t>单价</w:t>
            </w:r>
          </w:p>
        </w:tc>
        <w:tc>
          <w:tcPr>
            <w:tcW w:w="516" w:type="pct"/>
            <w:tcBorders>
              <w:top w:val="single" w:color="auto" w:sz="6" w:space="0"/>
              <w:left w:val="single" w:color="auto" w:sz="4" w:space="0"/>
              <w:bottom w:val="single" w:color="auto" w:sz="6" w:space="0"/>
              <w:right w:val="single" w:color="auto" w:sz="6" w:space="0"/>
            </w:tcBorders>
            <w:vAlign w:val="center"/>
          </w:tcPr>
          <w:p w14:paraId="2B646BF7">
            <w:pPr>
              <w:autoSpaceDE w:val="0"/>
              <w:autoSpaceDN w:val="0"/>
              <w:adjustRightInd w:val="0"/>
              <w:snapToGrid w:val="0"/>
              <w:ind w:left="70" w:right="-20"/>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小计</w:t>
            </w:r>
          </w:p>
        </w:tc>
        <w:tc>
          <w:tcPr>
            <w:tcW w:w="515" w:type="pct"/>
            <w:vMerge w:val="continue"/>
            <w:tcBorders>
              <w:top w:val="single" w:color="auto" w:sz="6" w:space="0"/>
              <w:left w:val="single" w:color="auto" w:sz="6" w:space="0"/>
              <w:bottom w:val="single" w:color="auto" w:sz="6" w:space="0"/>
              <w:right w:val="double" w:color="auto" w:sz="4" w:space="0"/>
            </w:tcBorders>
            <w:vAlign w:val="center"/>
          </w:tcPr>
          <w:p w14:paraId="468EB6A6">
            <w:pPr>
              <w:autoSpaceDE w:val="0"/>
              <w:autoSpaceDN w:val="0"/>
              <w:adjustRightInd w:val="0"/>
              <w:snapToGrid w:val="0"/>
              <w:ind w:left="422" w:right="-20"/>
              <w:jc w:val="center"/>
              <w:rPr>
                <w:rFonts w:asciiTheme="minorEastAsia" w:hAnsiTheme="minorEastAsia" w:eastAsiaTheme="minorEastAsia"/>
                <w:color w:val="auto"/>
                <w:kern w:val="0"/>
                <w:szCs w:val="21"/>
              </w:rPr>
            </w:pPr>
          </w:p>
        </w:tc>
      </w:tr>
      <w:tr w14:paraId="2CF0A0E5">
        <w:tblPrEx>
          <w:tblCellMar>
            <w:top w:w="0" w:type="dxa"/>
            <w:left w:w="0" w:type="dxa"/>
            <w:bottom w:w="0" w:type="dxa"/>
            <w:right w:w="0" w:type="dxa"/>
          </w:tblCellMar>
        </w:tblPrEx>
        <w:trPr>
          <w:trHeight w:val="378" w:hRule="exact"/>
        </w:trPr>
        <w:tc>
          <w:tcPr>
            <w:tcW w:w="188" w:type="pct"/>
            <w:tcBorders>
              <w:top w:val="single" w:color="auto" w:sz="6" w:space="0"/>
              <w:left w:val="double" w:color="auto" w:sz="4" w:space="0"/>
              <w:bottom w:val="single" w:color="auto" w:sz="6" w:space="0"/>
              <w:right w:val="single" w:color="auto" w:sz="6" w:space="0"/>
            </w:tcBorders>
            <w:vAlign w:val="center"/>
          </w:tcPr>
          <w:p w14:paraId="2051B826">
            <w:pPr>
              <w:jc w:val="center"/>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1</w:t>
            </w:r>
          </w:p>
        </w:tc>
        <w:tc>
          <w:tcPr>
            <w:tcW w:w="779" w:type="pct"/>
            <w:tcBorders>
              <w:top w:val="single" w:color="auto" w:sz="6" w:space="0"/>
              <w:left w:val="single" w:color="auto" w:sz="6" w:space="0"/>
              <w:bottom w:val="single" w:color="auto" w:sz="6" w:space="0"/>
              <w:right w:val="single" w:color="auto" w:sz="6" w:space="0"/>
            </w:tcBorders>
            <w:vAlign w:val="center"/>
          </w:tcPr>
          <w:p w14:paraId="7A123A94">
            <w:pPr>
              <w:autoSpaceDE w:val="0"/>
              <w:autoSpaceDN w:val="0"/>
              <w:adjustRightInd w:val="0"/>
              <w:snapToGrid w:val="0"/>
              <w:jc w:val="center"/>
              <w:rPr>
                <w:rFonts w:asciiTheme="minorEastAsia" w:hAnsiTheme="minorEastAsia" w:eastAsiaTheme="minorEastAsia"/>
                <w:color w:val="auto"/>
                <w:kern w:val="0"/>
                <w:szCs w:val="21"/>
              </w:rPr>
            </w:pPr>
          </w:p>
        </w:tc>
        <w:tc>
          <w:tcPr>
            <w:tcW w:w="1198" w:type="pct"/>
            <w:tcBorders>
              <w:top w:val="single" w:color="auto" w:sz="6" w:space="0"/>
              <w:left w:val="single" w:color="auto" w:sz="6" w:space="0"/>
              <w:bottom w:val="single" w:color="auto" w:sz="6" w:space="0"/>
              <w:right w:val="single" w:color="auto" w:sz="4" w:space="0"/>
            </w:tcBorders>
            <w:vAlign w:val="center"/>
          </w:tcPr>
          <w:p w14:paraId="285E497C">
            <w:pPr>
              <w:autoSpaceDE w:val="0"/>
              <w:autoSpaceDN w:val="0"/>
              <w:adjustRightInd w:val="0"/>
              <w:snapToGrid w:val="0"/>
              <w:jc w:val="center"/>
              <w:rPr>
                <w:rFonts w:asciiTheme="minorEastAsia" w:hAnsiTheme="minorEastAsia" w:eastAsiaTheme="minorEastAsia"/>
                <w:color w:val="auto"/>
                <w:kern w:val="0"/>
                <w:szCs w:val="21"/>
              </w:rPr>
            </w:pPr>
          </w:p>
        </w:tc>
        <w:tc>
          <w:tcPr>
            <w:tcW w:w="676" w:type="pct"/>
            <w:tcBorders>
              <w:top w:val="single" w:color="auto" w:sz="6" w:space="0"/>
              <w:left w:val="single" w:color="auto" w:sz="4" w:space="0"/>
              <w:bottom w:val="single" w:color="auto" w:sz="6" w:space="0"/>
              <w:right w:val="single" w:color="auto" w:sz="6" w:space="0"/>
            </w:tcBorders>
            <w:vAlign w:val="center"/>
          </w:tcPr>
          <w:p w14:paraId="4435EE7E">
            <w:pPr>
              <w:autoSpaceDE w:val="0"/>
              <w:autoSpaceDN w:val="0"/>
              <w:adjustRightInd w:val="0"/>
              <w:snapToGrid w:val="0"/>
              <w:jc w:val="center"/>
              <w:rPr>
                <w:rFonts w:asciiTheme="minorEastAsia" w:hAnsiTheme="minorEastAsia" w:eastAsiaTheme="minorEastAsia"/>
                <w:color w:val="auto"/>
                <w:kern w:val="0"/>
                <w:szCs w:val="21"/>
              </w:rPr>
            </w:pPr>
          </w:p>
        </w:tc>
        <w:tc>
          <w:tcPr>
            <w:tcW w:w="615" w:type="pct"/>
            <w:tcBorders>
              <w:top w:val="single" w:color="auto" w:sz="6" w:space="0"/>
              <w:left w:val="single" w:color="auto" w:sz="6" w:space="0"/>
              <w:bottom w:val="single" w:color="auto" w:sz="6" w:space="0"/>
              <w:right w:val="single" w:color="auto" w:sz="4" w:space="0"/>
            </w:tcBorders>
            <w:vAlign w:val="center"/>
          </w:tcPr>
          <w:p w14:paraId="640B2672">
            <w:pPr>
              <w:autoSpaceDE w:val="0"/>
              <w:autoSpaceDN w:val="0"/>
              <w:adjustRightInd w:val="0"/>
              <w:snapToGrid w:val="0"/>
              <w:jc w:val="center"/>
              <w:rPr>
                <w:rFonts w:asciiTheme="minorEastAsia" w:hAnsiTheme="minorEastAsia" w:eastAsiaTheme="minorEastAsia"/>
                <w:color w:val="auto"/>
                <w:kern w:val="0"/>
                <w:szCs w:val="21"/>
              </w:rPr>
            </w:pPr>
          </w:p>
        </w:tc>
        <w:tc>
          <w:tcPr>
            <w:tcW w:w="513" w:type="pct"/>
            <w:tcBorders>
              <w:top w:val="single" w:color="auto" w:sz="6" w:space="0"/>
              <w:left w:val="single" w:color="auto" w:sz="6" w:space="0"/>
              <w:bottom w:val="single" w:color="auto" w:sz="6" w:space="0"/>
              <w:right w:val="single" w:color="auto" w:sz="6" w:space="0"/>
            </w:tcBorders>
            <w:vAlign w:val="center"/>
          </w:tcPr>
          <w:p w14:paraId="1ACED8FB">
            <w:pPr>
              <w:autoSpaceDE w:val="0"/>
              <w:autoSpaceDN w:val="0"/>
              <w:adjustRightInd w:val="0"/>
              <w:snapToGrid w:val="0"/>
              <w:jc w:val="center"/>
              <w:rPr>
                <w:rFonts w:asciiTheme="minorEastAsia" w:hAnsiTheme="minorEastAsia" w:eastAsiaTheme="minorEastAsia"/>
                <w:color w:val="auto"/>
                <w:kern w:val="0"/>
                <w:szCs w:val="21"/>
              </w:rPr>
            </w:pPr>
          </w:p>
        </w:tc>
        <w:tc>
          <w:tcPr>
            <w:tcW w:w="516" w:type="pct"/>
            <w:tcBorders>
              <w:top w:val="single" w:color="auto" w:sz="6" w:space="0"/>
              <w:left w:val="single" w:color="auto" w:sz="6" w:space="0"/>
              <w:bottom w:val="single" w:color="auto" w:sz="6" w:space="0"/>
              <w:right w:val="single" w:color="auto" w:sz="6" w:space="0"/>
            </w:tcBorders>
            <w:vAlign w:val="center"/>
          </w:tcPr>
          <w:p w14:paraId="0C66C870">
            <w:pPr>
              <w:autoSpaceDE w:val="0"/>
              <w:autoSpaceDN w:val="0"/>
              <w:adjustRightInd w:val="0"/>
              <w:snapToGrid w:val="0"/>
              <w:jc w:val="center"/>
              <w:rPr>
                <w:rFonts w:asciiTheme="minorEastAsia" w:hAnsiTheme="minorEastAsia" w:eastAsiaTheme="minorEastAsia"/>
                <w:color w:val="auto"/>
                <w:kern w:val="0"/>
                <w:szCs w:val="21"/>
              </w:rPr>
            </w:pPr>
          </w:p>
        </w:tc>
        <w:tc>
          <w:tcPr>
            <w:tcW w:w="515" w:type="pct"/>
            <w:tcBorders>
              <w:top w:val="single" w:color="auto" w:sz="6" w:space="0"/>
              <w:left w:val="single" w:color="auto" w:sz="6" w:space="0"/>
              <w:bottom w:val="single" w:color="auto" w:sz="6" w:space="0"/>
              <w:right w:val="double" w:color="auto" w:sz="4" w:space="0"/>
            </w:tcBorders>
            <w:vAlign w:val="center"/>
          </w:tcPr>
          <w:p w14:paraId="5E242D74">
            <w:pPr>
              <w:autoSpaceDE w:val="0"/>
              <w:autoSpaceDN w:val="0"/>
              <w:adjustRightInd w:val="0"/>
              <w:snapToGrid w:val="0"/>
              <w:jc w:val="center"/>
              <w:rPr>
                <w:rFonts w:asciiTheme="minorEastAsia" w:hAnsiTheme="minorEastAsia" w:eastAsiaTheme="minorEastAsia"/>
                <w:color w:val="auto"/>
                <w:kern w:val="0"/>
                <w:szCs w:val="21"/>
              </w:rPr>
            </w:pPr>
          </w:p>
        </w:tc>
      </w:tr>
      <w:tr w14:paraId="43991AD3">
        <w:tblPrEx>
          <w:tblCellMar>
            <w:top w:w="0" w:type="dxa"/>
            <w:left w:w="0" w:type="dxa"/>
            <w:bottom w:w="0" w:type="dxa"/>
            <w:right w:w="0" w:type="dxa"/>
          </w:tblCellMar>
        </w:tblPrEx>
        <w:trPr>
          <w:trHeight w:val="415" w:hRule="exact"/>
        </w:trPr>
        <w:tc>
          <w:tcPr>
            <w:tcW w:w="188" w:type="pct"/>
            <w:tcBorders>
              <w:top w:val="single" w:color="auto" w:sz="6" w:space="0"/>
              <w:left w:val="double" w:color="auto" w:sz="4" w:space="0"/>
              <w:bottom w:val="single" w:color="auto" w:sz="6" w:space="0"/>
              <w:right w:val="single" w:color="auto" w:sz="6" w:space="0"/>
            </w:tcBorders>
            <w:vAlign w:val="center"/>
          </w:tcPr>
          <w:p w14:paraId="26593E4B">
            <w:pPr>
              <w:jc w:val="center"/>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n</w:t>
            </w:r>
          </w:p>
        </w:tc>
        <w:tc>
          <w:tcPr>
            <w:tcW w:w="779" w:type="pct"/>
            <w:tcBorders>
              <w:top w:val="single" w:color="auto" w:sz="6" w:space="0"/>
              <w:left w:val="single" w:color="auto" w:sz="6" w:space="0"/>
              <w:bottom w:val="single" w:color="auto" w:sz="6" w:space="0"/>
              <w:right w:val="single" w:color="auto" w:sz="6" w:space="0"/>
            </w:tcBorders>
            <w:vAlign w:val="center"/>
          </w:tcPr>
          <w:p w14:paraId="48B79990">
            <w:pPr>
              <w:autoSpaceDE w:val="0"/>
              <w:autoSpaceDN w:val="0"/>
              <w:adjustRightInd w:val="0"/>
              <w:snapToGrid w:val="0"/>
              <w:jc w:val="center"/>
              <w:rPr>
                <w:rFonts w:asciiTheme="minorEastAsia" w:hAnsiTheme="minorEastAsia" w:eastAsiaTheme="minorEastAsia"/>
                <w:color w:val="auto"/>
                <w:kern w:val="0"/>
                <w:szCs w:val="21"/>
              </w:rPr>
            </w:pPr>
          </w:p>
        </w:tc>
        <w:tc>
          <w:tcPr>
            <w:tcW w:w="1198" w:type="pct"/>
            <w:tcBorders>
              <w:top w:val="single" w:color="auto" w:sz="6" w:space="0"/>
              <w:left w:val="single" w:color="auto" w:sz="6" w:space="0"/>
              <w:bottom w:val="single" w:color="auto" w:sz="6" w:space="0"/>
              <w:right w:val="single" w:color="auto" w:sz="4" w:space="0"/>
            </w:tcBorders>
            <w:vAlign w:val="center"/>
          </w:tcPr>
          <w:p w14:paraId="468B0CBE">
            <w:pPr>
              <w:autoSpaceDE w:val="0"/>
              <w:autoSpaceDN w:val="0"/>
              <w:adjustRightInd w:val="0"/>
              <w:snapToGrid w:val="0"/>
              <w:jc w:val="center"/>
              <w:rPr>
                <w:rFonts w:asciiTheme="minorEastAsia" w:hAnsiTheme="minorEastAsia" w:eastAsiaTheme="minorEastAsia"/>
                <w:color w:val="auto"/>
                <w:kern w:val="0"/>
                <w:szCs w:val="21"/>
              </w:rPr>
            </w:pPr>
          </w:p>
        </w:tc>
        <w:tc>
          <w:tcPr>
            <w:tcW w:w="676" w:type="pct"/>
            <w:tcBorders>
              <w:top w:val="single" w:color="auto" w:sz="6" w:space="0"/>
              <w:left w:val="single" w:color="auto" w:sz="4" w:space="0"/>
              <w:bottom w:val="single" w:color="auto" w:sz="6" w:space="0"/>
              <w:right w:val="single" w:color="auto" w:sz="6" w:space="0"/>
            </w:tcBorders>
            <w:vAlign w:val="center"/>
          </w:tcPr>
          <w:p w14:paraId="5F74B049">
            <w:pPr>
              <w:autoSpaceDE w:val="0"/>
              <w:autoSpaceDN w:val="0"/>
              <w:adjustRightInd w:val="0"/>
              <w:snapToGrid w:val="0"/>
              <w:jc w:val="center"/>
              <w:rPr>
                <w:rFonts w:asciiTheme="minorEastAsia" w:hAnsiTheme="minorEastAsia" w:eastAsiaTheme="minorEastAsia"/>
                <w:color w:val="auto"/>
                <w:kern w:val="0"/>
                <w:szCs w:val="21"/>
              </w:rPr>
            </w:pPr>
          </w:p>
        </w:tc>
        <w:tc>
          <w:tcPr>
            <w:tcW w:w="615" w:type="pct"/>
            <w:tcBorders>
              <w:top w:val="single" w:color="auto" w:sz="6" w:space="0"/>
              <w:left w:val="single" w:color="auto" w:sz="6" w:space="0"/>
              <w:bottom w:val="single" w:color="auto" w:sz="6" w:space="0"/>
              <w:right w:val="single" w:color="auto" w:sz="4" w:space="0"/>
            </w:tcBorders>
            <w:vAlign w:val="center"/>
          </w:tcPr>
          <w:p w14:paraId="1A9BC381">
            <w:pPr>
              <w:autoSpaceDE w:val="0"/>
              <w:autoSpaceDN w:val="0"/>
              <w:adjustRightInd w:val="0"/>
              <w:snapToGrid w:val="0"/>
              <w:jc w:val="center"/>
              <w:rPr>
                <w:rFonts w:asciiTheme="minorEastAsia" w:hAnsiTheme="minorEastAsia" w:eastAsiaTheme="minorEastAsia"/>
                <w:color w:val="auto"/>
                <w:kern w:val="0"/>
                <w:szCs w:val="21"/>
              </w:rPr>
            </w:pPr>
          </w:p>
        </w:tc>
        <w:tc>
          <w:tcPr>
            <w:tcW w:w="513" w:type="pct"/>
            <w:tcBorders>
              <w:top w:val="single" w:color="auto" w:sz="6" w:space="0"/>
              <w:left w:val="single" w:color="auto" w:sz="4" w:space="0"/>
              <w:bottom w:val="single" w:color="auto" w:sz="6" w:space="0"/>
              <w:right w:val="single" w:color="auto" w:sz="6" w:space="0"/>
            </w:tcBorders>
            <w:vAlign w:val="center"/>
          </w:tcPr>
          <w:p w14:paraId="64A7DD50">
            <w:pPr>
              <w:autoSpaceDE w:val="0"/>
              <w:autoSpaceDN w:val="0"/>
              <w:adjustRightInd w:val="0"/>
              <w:snapToGrid w:val="0"/>
              <w:jc w:val="center"/>
              <w:rPr>
                <w:rFonts w:asciiTheme="minorEastAsia" w:hAnsiTheme="minorEastAsia" w:eastAsiaTheme="minorEastAsia"/>
                <w:color w:val="auto"/>
                <w:kern w:val="0"/>
                <w:szCs w:val="21"/>
              </w:rPr>
            </w:pPr>
          </w:p>
        </w:tc>
        <w:tc>
          <w:tcPr>
            <w:tcW w:w="516" w:type="pct"/>
            <w:tcBorders>
              <w:top w:val="single" w:color="auto" w:sz="6" w:space="0"/>
              <w:left w:val="single" w:color="auto" w:sz="6" w:space="0"/>
              <w:bottom w:val="single" w:color="auto" w:sz="6" w:space="0"/>
              <w:right w:val="single" w:color="auto" w:sz="6" w:space="0"/>
            </w:tcBorders>
            <w:vAlign w:val="center"/>
          </w:tcPr>
          <w:p w14:paraId="16E241C6">
            <w:pPr>
              <w:autoSpaceDE w:val="0"/>
              <w:autoSpaceDN w:val="0"/>
              <w:adjustRightInd w:val="0"/>
              <w:snapToGrid w:val="0"/>
              <w:jc w:val="center"/>
              <w:rPr>
                <w:rFonts w:asciiTheme="minorEastAsia" w:hAnsiTheme="minorEastAsia" w:eastAsiaTheme="minorEastAsia"/>
                <w:color w:val="auto"/>
                <w:kern w:val="0"/>
                <w:szCs w:val="21"/>
              </w:rPr>
            </w:pPr>
          </w:p>
        </w:tc>
        <w:tc>
          <w:tcPr>
            <w:tcW w:w="515" w:type="pct"/>
            <w:tcBorders>
              <w:top w:val="single" w:color="auto" w:sz="6" w:space="0"/>
              <w:left w:val="single" w:color="auto" w:sz="6" w:space="0"/>
              <w:bottom w:val="single" w:color="auto" w:sz="6" w:space="0"/>
              <w:right w:val="double" w:color="auto" w:sz="4" w:space="0"/>
            </w:tcBorders>
            <w:vAlign w:val="center"/>
          </w:tcPr>
          <w:p w14:paraId="0101F824">
            <w:pPr>
              <w:autoSpaceDE w:val="0"/>
              <w:autoSpaceDN w:val="0"/>
              <w:adjustRightInd w:val="0"/>
              <w:snapToGrid w:val="0"/>
              <w:jc w:val="center"/>
              <w:rPr>
                <w:rFonts w:asciiTheme="minorEastAsia" w:hAnsiTheme="minorEastAsia" w:eastAsiaTheme="minorEastAsia"/>
                <w:color w:val="auto"/>
                <w:kern w:val="0"/>
                <w:szCs w:val="21"/>
              </w:rPr>
            </w:pPr>
          </w:p>
        </w:tc>
      </w:tr>
      <w:tr w14:paraId="1622998A">
        <w:tblPrEx>
          <w:tblCellMar>
            <w:top w:w="0" w:type="dxa"/>
            <w:left w:w="0" w:type="dxa"/>
            <w:bottom w:w="0" w:type="dxa"/>
            <w:right w:w="0" w:type="dxa"/>
          </w:tblCellMar>
        </w:tblPrEx>
        <w:trPr>
          <w:trHeight w:val="415" w:hRule="exact"/>
        </w:trPr>
        <w:tc>
          <w:tcPr>
            <w:tcW w:w="1" w:type="pct"/>
            <w:gridSpan w:val="8"/>
            <w:tcBorders>
              <w:top w:val="single" w:color="auto" w:sz="6" w:space="0"/>
              <w:left w:val="double" w:color="auto" w:sz="4" w:space="0"/>
              <w:bottom w:val="double" w:color="auto" w:sz="4" w:space="0"/>
              <w:right w:val="double" w:color="auto" w:sz="4" w:space="0"/>
            </w:tcBorders>
            <w:vAlign w:val="center"/>
          </w:tcPr>
          <w:p w14:paraId="63A6EEC3">
            <w:pPr>
              <w:autoSpaceDE w:val="0"/>
              <w:autoSpaceDN w:val="0"/>
              <w:adjustRightInd w:val="0"/>
              <w:snapToGrid w:val="0"/>
              <w:rPr>
                <w:rFonts w:asciiTheme="minorEastAsia" w:hAnsiTheme="minorEastAsia" w:eastAsiaTheme="minorEastAsia"/>
                <w:color w:val="auto"/>
                <w:kern w:val="0"/>
                <w:szCs w:val="21"/>
              </w:rPr>
            </w:pPr>
            <w:r>
              <w:rPr>
                <w:rFonts w:hint="eastAsia" w:ascii="宋体" w:hAnsi="宋体" w:cs="微软雅黑"/>
                <w:color w:val="auto"/>
                <w:kern w:val="0"/>
                <w:position w:val="-1"/>
                <w:szCs w:val="21"/>
              </w:rPr>
              <w:t xml:space="preserve">总价：大写（元）： </w:t>
            </w:r>
            <w:r>
              <w:rPr>
                <w:rFonts w:ascii="宋体" w:hAnsi="宋体" w:cs="微软雅黑"/>
                <w:color w:val="auto"/>
                <w:kern w:val="0"/>
                <w:position w:val="-1"/>
                <w:szCs w:val="21"/>
              </w:rPr>
              <w:t xml:space="preserve">              </w:t>
            </w:r>
            <w:r>
              <w:rPr>
                <w:rFonts w:hint="eastAsia" w:ascii="宋体" w:hAnsi="宋体" w:cs="微软雅黑"/>
                <w:color w:val="auto"/>
                <w:kern w:val="0"/>
                <w:position w:val="-1"/>
                <w:szCs w:val="21"/>
              </w:rPr>
              <w:t>小写（元）：</w:t>
            </w:r>
          </w:p>
        </w:tc>
      </w:tr>
    </w:tbl>
    <w:p w14:paraId="48690FC9">
      <w:pPr>
        <w:adjustRightInd w:val="0"/>
        <w:snapToGrid w:val="0"/>
        <w:spacing w:line="360" w:lineRule="auto"/>
        <w:rPr>
          <w:rFonts w:ascii="宋体" w:hAnsi="宋体"/>
          <w:color w:val="auto"/>
          <w:szCs w:val="21"/>
        </w:rPr>
      </w:pPr>
      <w:r>
        <w:rPr>
          <w:rFonts w:hint="eastAsia" w:ascii="宋体" w:hAnsi="宋体"/>
          <w:color w:val="auto"/>
          <w:szCs w:val="21"/>
        </w:rPr>
        <w:t>备注：</w:t>
      </w:r>
      <w:r>
        <w:rPr>
          <w:rFonts w:hint="eastAsia" w:asciiTheme="minorEastAsia" w:hAnsiTheme="minorEastAsia" w:eastAsiaTheme="minorEastAsia"/>
          <w:color w:val="auto"/>
          <w:szCs w:val="21"/>
        </w:rPr>
        <w:t>（1）</w:t>
      </w:r>
      <w:r>
        <w:rPr>
          <w:rFonts w:hint="eastAsia" w:asciiTheme="minorEastAsia" w:hAnsiTheme="minorEastAsia" w:eastAsiaTheme="minorEastAsia"/>
          <w:b/>
          <w:color w:val="auto"/>
          <w:szCs w:val="21"/>
        </w:rPr>
        <w:t>本表应对应</w:t>
      </w:r>
      <w:r>
        <w:rPr>
          <w:rFonts w:hint="eastAsia" w:ascii="宋体" w:hAnsi="宋体"/>
          <w:color w:val="auto"/>
          <w:szCs w:val="21"/>
        </w:rPr>
        <w:t>“</w:t>
      </w:r>
      <w:r>
        <w:rPr>
          <w:rFonts w:hint="eastAsia" w:asciiTheme="minorEastAsia" w:hAnsiTheme="minorEastAsia" w:eastAsiaTheme="minorEastAsia"/>
          <w:b/>
          <w:color w:val="auto"/>
          <w:szCs w:val="21"/>
        </w:rPr>
        <w:t>开标一览表</w:t>
      </w:r>
      <w:r>
        <w:rPr>
          <w:rFonts w:hint="eastAsia" w:ascii="宋体" w:hAnsi="宋体"/>
          <w:color w:val="auto"/>
          <w:szCs w:val="21"/>
        </w:rPr>
        <w:t>”</w:t>
      </w:r>
      <w:r>
        <w:rPr>
          <w:rFonts w:hint="eastAsia" w:asciiTheme="minorEastAsia" w:hAnsiTheme="minorEastAsia" w:eastAsiaTheme="minorEastAsia"/>
          <w:b/>
          <w:color w:val="auto"/>
          <w:szCs w:val="21"/>
        </w:rPr>
        <w:t>，按包填写</w:t>
      </w:r>
      <w:r>
        <w:rPr>
          <w:rFonts w:hint="eastAsia" w:asciiTheme="minorEastAsia" w:hAnsiTheme="minorEastAsia" w:eastAsiaTheme="minorEastAsia"/>
          <w:color w:val="auto"/>
          <w:szCs w:val="21"/>
        </w:rPr>
        <w:t>。</w:t>
      </w:r>
      <w:r>
        <w:rPr>
          <w:rFonts w:hint="eastAsia" w:ascii="宋体" w:hAnsi="宋体"/>
          <w:color w:val="auto"/>
          <w:szCs w:val="21"/>
        </w:rPr>
        <w:t>投标人如果不提供分项报价明细表，其</w:t>
      </w:r>
      <w:r>
        <w:rPr>
          <w:rFonts w:hint="eastAsia" w:ascii="宋体" w:hAnsi="宋体"/>
          <w:b/>
          <w:color w:val="auto"/>
          <w:szCs w:val="21"/>
        </w:rPr>
        <w:t>投标无效</w:t>
      </w:r>
      <w:r>
        <w:rPr>
          <w:rFonts w:hint="eastAsia" w:ascii="宋体" w:hAnsi="宋体"/>
          <w:color w:val="auto"/>
          <w:szCs w:val="21"/>
        </w:rPr>
        <w:t>。</w:t>
      </w:r>
    </w:p>
    <w:p w14:paraId="018F64E5">
      <w:pPr>
        <w:adjustRightInd w:val="0"/>
        <w:snapToGrid w:val="0"/>
        <w:spacing w:line="360" w:lineRule="auto"/>
        <w:ind w:firstLine="420" w:firstLineChars="200"/>
        <w:rPr>
          <w:rFonts w:ascii="宋体" w:hAnsi="宋体"/>
          <w:color w:val="auto"/>
          <w:szCs w:val="21"/>
        </w:rPr>
      </w:pPr>
      <w:r>
        <w:rPr>
          <w:rFonts w:hint="eastAsia" w:asciiTheme="minorEastAsia" w:hAnsiTheme="minorEastAsia" w:eastAsiaTheme="minorEastAsia"/>
          <w:color w:val="auto"/>
          <w:szCs w:val="21"/>
        </w:rPr>
        <w:t>（2）</w:t>
      </w:r>
      <w:r>
        <w:rPr>
          <w:rFonts w:hint="eastAsia" w:ascii="宋体" w:hAnsi="宋体"/>
          <w:color w:val="auto"/>
          <w:szCs w:val="21"/>
        </w:rPr>
        <w:t>不得填写“免费”或“赠与”，也不得进行“零”报价，否则</w:t>
      </w:r>
      <w:r>
        <w:rPr>
          <w:rFonts w:hint="eastAsia" w:ascii="宋体" w:hAnsi="宋体"/>
          <w:b/>
          <w:color w:val="auto"/>
          <w:szCs w:val="21"/>
        </w:rPr>
        <w:t>投标无效</w:t>
      </w:r>
      <w:r>
        <w:rPr>
          <w:rFonts w:hint="eastAsia" w:ascii="宋体" w:hAnsi="宋体"/>
          <w:color w:val="auto"/>
          <w:szCs w:val="21"/>
        </w:rPr>
        <w:t>。</w:t>
      </w:r>
    </w:p>
    <w:p w14:paraId="751E549E">
      <w:pPr>
        <w:adjustRightInd w:val="0"/>
        <w:snapToGrid w:val="0"/>
        <w:spacing w:line="360" w:lineRule="auto"/>
        <w:ind w:firstLine="422" w:firstLineChars="200"/>
        <w:rPr>
          <w:rFonts w:ascii="宋体" w:hAnsi="宋体"/>
          <w:b/>
          <w:bCs/>
          <w:color w:val="auto"/>
          <w:szCs w:val="21"/>
        </w:rPr>
      </w:pPr>
      <w:r>
        <w:rPr>
          <w:rFonts w:hint="eastAsia" w:ascii="宋体" w:hAnsi="宋体"/>
          <w:b/>
          <w:bCs/>
          <w:color w:val="auto"/>
          <w:szCs w:val="21"/>
        </w:rPr>
        <w:t>（3）所投产品报价须符合固定资产管理相关规定（《事业单位财务规则》（财政部令第108号），否则其投标无效。</w:t>
      </w:r>
    </w:p>
    <w:p w14:paraId="27A130C8">
      <w:pPr>
        <w:adjustRightInd w:val="0"/>
        <w:snapToGrid w:val="0"/>
        <w:spacing w:line="360" w:lineRule="auto"/>
        <w:ind w:firstLine="420" w:firstLineChars="200"/>
        <w:rPr>
          <w:rFonts w:ascii="宋体" w:hAnsi="宋体"/>
          <w:color w:val="auto"/>
          <w:szCs w:val="21"/>
        </w:rPr>
      </w:pPr>
      <w:r>
        <w:rPr>
          <w:rFonts w:hint="eastAsia" w:asciiTheme="minorEastAsia" w:hAnsiTheme="minorEastAsia" w:eastAsiaTheme="minorEastAsia"/>
          <w:color w:val="auto"/>
          <w:szCs w:val="21"/>
        </w:rPr>
        <w:t>（</w:t>
      </w:r>
      <w:r>
        <w:rPr>
          <w:rFonts w:asciiTheme="minorEastAsia" w:hAnsiTheme="minorEastAsia" w:eastAsiaTheme="minorEastAsia"/>
          <w:color w:val="auto"/>
          <w:szCs w:val="21"/>
        </w:rPr>
        <w:t>4</w:t>
      </w:r>
      <w:r>
        <w:rPr>
          <w:rFonts w:hint="eastAsia" w:asciiTheme="minorEastAsia" w:hAnsiTheme="minorEastAsia" w:eastAsiaTheme="minorEastAsia"/>
          <w:color w:val="auto"/>
          <w:szCs w:val="21"/>
        </w:rPr>
        <w:t>）</w:t>
      </w:r>
      <w:r>
        <w:rPr>
          <w:rFonts w:hint="eastAsia" w:ascii="宋体" w:hAnsi="宋体"/>
          <w:color w:val="auto"/>
          <w:szCs w:val="21"/>
        </w:rPr>
        <w:t>如果开标一览表内容与本表内容不一致的，以开标一览表内容为准。</w:t>
      </w:r>
    </w:p>
    <w:p w14:paraId="6DD91F94">
      <w:pPr>
        <w:adjustRightInd w:val="0"/>
        <w:snapToGrid w:val="0"/>
        <w:spacing w:line="360" w:lineRule="auto"/>
        <w:ind w:firstLine="420" w:firstLineChars="200"/>
        <w:rPr>
          <w:rFonts w:ascii="宋体" w:hAnsi="宋体"/>
          <w:color w:val="auto"/>
          <w:szCs w:val="21"/>
        </w:rPr>
      </w:pPr>
      <w:r>
        <w:rPr>
          <w:rFonts w:hint="eastAsia" w:asciiTheme="minorEastAsia" w:hAnsiTheme="minorEastAsia" w:eastAsiaTheme="minorEastAsia"/>
          <w:color w:val="auto"/>
          <w:szCs w:val="21"/>
        </w:rPr>
        <w:t>（</w:t>
      </w:r>
      <w:r>
        <w:rPr>
          <w:rFonts w:asciiTheme="minorEastAsia" w:hAnsiTheme="minorEastAsia" w:eastAsiaTheme="minorEastAsia"/>
          <w:color w:val="auto"/>
          <w:szCs w:val="21"/>
        </w:rPr>
        <w:t>5</w:t>
      </w:r>
      <w:r>
        <w:rPr>
          <w:rFonts w:hint="eastAsia" w:asciiTheme="minorEastAsia" w:hAnsiTheme="minorEastAsia" w:eastAsiaTheme="minorEastAsia"/>
          <w:color w:val="auto"/>
          <w:szCs w:val="21"/>
        </w:rPr>
        <w:t>）</w:t>
      </w:r>
      <w:r>
        <w:rPr>
          <w:rFonts w:hint="eastAsia" w:asciiTheme="minorEastAsia" w:hAnsiTheme="minorEastAsia" w:eastAsiaTheme="minorEastAsia"/>
          <w:bCs/>
          <w:color w:val="auto"/>
          <w:szCs w:val="21"/>
        </w:rPr>
        <w:t>投标人在投标截止时间前修改“开标一览表”中的投标报价的，应按第二章第13.7款规定修改本表相应内容。否则，</w:t>
      </w:r>
      <w:r>
        <w:rPr>
          <w:rFonts w:hint="eastAsia" w:ascii="宋体" w:hAnsi="宋体"/>
          <w:color w:val="auto"/>
          <w:szCs w:val="21"/>
        </w:rPr>
        <w:t>本表相应内容按投标报价修改的相同比例进行调整。</w:t>
      </w:r>
    </w:p>
    <w:p w14:paraId="3D9D5013">
      <w:pPr>
        <w:adjustRightInd w:val="0"/>
        <w:snapToGrid w:val="0"/>
        <w:spacing w:line="360" w:lineRule="auto"/>
        <w:ind w:firstLine="422" w:firstLineChars="200"/>
        <w:rPr>
          <w:rFonts w:ascii="宋体" w:hAnsi="宋体"/>
          <w:color w:val="auto"/>
          <w:szCs w:val="21"/>
        </w:rPr>
      </w:pPr>
      <w:r>
        <w:rPr>
          <w:rFonts w:hint="eastAsia" w:asciiTheme="minorEastAsia" w:hAnsiTheme="minorEastAsia" w:eastAsiaTheme="minorEastAsia"/>
          <w:b/>
          <w:bCs/>
          <w:color w:val="auto"/>
        </w:rPr>
        <w:t>（</w:t>
      </w:r>
      <w:r>
        <w:rPr>
          <w:rFonts w:asciiTheme="minorEastAsia" w:hAnsiTheme="minorEastAsia" w:eastAsiaTheme="minorEastAsia"/>
          <w:b/>
          <w:bCs/>
          <w:color w:val="auto"/>
        </w:rPr>
        <w:t>6</w:t>
      </w:r>
      <w:r>
        <w:rPr>
          <w:rFonts w:hint="eastAsia" w:asciiTheme="minorEastAsia" w:hAnsiTheme="minorEastAsia" w:eastAsiaTheme="minorEastAsia"/>
          <w:b/>
          <w:bCs/>
          <w:color w:val="auto"/>
        </w:rPr>
        <w:t>）品目分项（如果有）报价不能超出采购预算，否则投标无效。</w:t>
      </w:r>
    </w:p>
    <w:p w14:paraId="5715C48A">
      <w:pPr>
        <w:adjustRightInd w:val="0"/>
        <w:snapToGrid w:val="0"/>
        <w:spacing w:line="360" w:lineRule="auto"/>
        <w:rPr>
          <w:rFonts w:ascii="宋体" w:hAnsi="宋体"/>
          <w:color w:val="auto"/>
          <w:szCs w:val="21"/>
        </w:rPr>
      </w:pPr>
      <w:r>
        <w:rPr>
          <w:rFonts w:hint="eastAsia" w:ascii="宋体" w:hAnsi="宋体"/>
          <w:color w:val="auto"/>
          <w:szCs w:val="21"/>
        </w:rPr>
        <w:t>投标人名称（盖单位章）：</w:t>
      </w:r>
    </w:p>
    <w:p w14:paraId="7921C197">
      <w:pPr>
        <w:adjustRightInd w:val="0"/>
        <w:snapToGrid w:val="0"/>
        <w:spacing w:line="360" w:lineRule="auto"/>
        <w:rPr>
          <w:rFonts w:ascii="宋体" w:hAnsi="宋体"/>
          <w:color w:val="auto"/>
          <w:szCs w:val="21"/>
        </w:rPr>
      </w:pPr>
      <w:r>
        <w:rPr>
          <w:rFonts w:hint="eastAsia" w:cs="微软雅黑" w:asciiTheme="minorEastAsia" w:hAnsiTheme="minorEastAsia" w:eastAsiaTheme="minorEastAsia"/>
          <w:color w:val="auto"/>
          <w:spacing w:val="-2"/>
          <w:kern w:val="0"/>
          <w:szCs w:val="21"/>
        </w:rPr>
        <w:t>法</w:t>
      </w:r>
      <w:r>
        <w:rPr>
          <w:rFonts w:hint="eastAsia" w:cs="微软雅黑" w:asciiTheme="minorEastAsia" w:hAnsiTheme="minorEastAsia" w:eastAsiaTheme="minorEastAsia"/>
          <w:color w:val="auto"/>
          <w:kern w:val="0"/>
          <w:szCs w:val="21"/>
        </w:rPr>
        <w:t>定</w:t>
      </w:r>
      <w:r>
        <w:rPr>
          <w:rFonts w:hint="eastAsia" w:cs="微软雅黑" w:asciiTheme="minorEastAsia" w:hAnsiTheme="minorEastAsia" w:eastAsiaTheme="minorEastAsia"/>
          <w:color w:val="auto"/>
          <w:spacing w:val="-2"/>
          <w:kern w:val="0"/>
          <w:szCs w:val="21"/>
        </w:rPr>
        <w:t>代</w:t>
      </w:r>
      <w:r>
        <w:rPr>
          <w:rFonts w:hint="eastAsia" w:cs="微软雅黑" w:asciiTheme="minorEastAsia" w:hAnsiTheme="minorEastAsia" w:eastAsiaTheme="minorEastAsia"/>
          <w:color w:val="auto"/>
          <w:kern w:val="0"/>
          <w:szCs w:val="21"/>
        </w:rPr>
        <w:t>表</w:t>
      </w:r>
      <w:r>
        <w:rPr>
          <w:rFonts w:hint="eastAsia" w:cs="微软雅黑" w:asciiTheme="minorEastAsia" w:hAnsiTheme="minorEastAsia" w:eastAsiaTheme="minorEastAsia"/>
          <w:color w:val="auto"/>
          <w:spacing w:val="-2"/>
          <w:kern w:val="0"/>
          <w:szCs w:val="21"/>
        </w:rPr>
        <w:t>人</w:t>
      </w:r>
      <w:r>
        <w:rPr>
          <w:rFonts w:hint="eastAsia" w:cs="微软雅黑" w:asciiTheme="minorEastAsia" w:hAnsiTheme="minorEastAsia" w:eastAsiaTheme="minorEastAsia"/>
          <w:color w:val="auto"/>
          <w:kern w:val="0"/>
          <w:szCs w:val="21"/>
        </w:rPr>
        <w:t>（</w:t>
      </w:r>
      <w:r>
        <w:rPr>
          <w:rFonts w:hint="eastAsia" w:cs="微软雅黑" w:asciiTheme="minorEastAsia" w:hAnsiTheme="minorEastAsia" w:eastAsiaTheme="minorEastAsia"/>
          <w:color w:val="auto"/>
          <w:spacing w:val="-2"/>
          <w:kern w:val="0"/>
          <w:szCs w:val="21"/>
        </w:rPr>
        <w:t>单</w:t>
      </w:r>
      <w:r>
        <w:rPr>
          <w:rFonts w:hint="eastAsia" w:cs="微软雅黑" w:asciiTheme="minorEastAsia" w:hAnsiTheme="minorEastAsia" w:eastAsiaTheme="minorEastAsia"/>
          <w:color w:val="auto"/>
          <w:kern w:val="0"/>
          <w:szCs w:val="21"/>
        </w:rPr>
        <w:t>位</w:t>
      </w:r>
      <w:r>
        <w:rPr>
          <w:rFonts w:hint="eastAsia" w:cs="微软雅黑" w:asciiTheme="minorEastAsia" w:hAnsiTheme="minorEastAsia" w:eastAsiaTheme="minorEastAsia"/>
          <w:color w:val="auto"/>
          <w:spacing w:val="-2"/>
          <w:kern w:val="0"/>
          <w:szCs w:val="21"/>
        </w:rPr>
        <w:t>负</w:t>
      </w:r>
      <w:r>
        <w:rPr>
          <w:rFonts w:hint="eastAsia" w:cs="微软雅黑" w:asciiTheme="minorEastAsia" w:hAnsiTheme="minorEastAsia" w:eastAsiaTheme="minorEastAsia"/>
          <w:color w:val="auto"/>
          <w:kern w:val="0"/>
          <w:szCs w:val="21"/>
        </w:rPr>
        <w:t>责人</w:t>
      </w:r>
      <w:r>
        <w:rPr>
          <w:rFonts w:hint="eastAsia" w:cs="微软雅黑" w:asciiTheme="minorEastAsia" w:hAnsiTheme="minorEastAsia" w:eastAsiaTheme="minorEastAsia"/>
          <w:color w:val="auto"/>
          <w:spacing w:val="-2"/>
          <w:kern w:val="0"/>
          <w:szCs w:val="21"/>
        </w:rPr>
        <w:t>）</w:t>
      </w:r>
      <w:r>
        <w:rPr>
          <w:rFonts w:hint="eastAsia" w:ascii="宋体" w:hAnsi="宋体"/>
          <w:color w:val="auto"/>
          <w:szCs w:val="21"/>
        </w:rPr>
        <w:t>或其授权的代理人（签字或印章）：</w:t>
      </w:r>
    </w:p>
    <w:p w14:paraId="1F0CA76F">
      <w:pPr>
        <w:adjustRightInd w:val="0"/>
        <w:snapToGrid w:val="0"/>
        <w:spacing w:line="360" w:lineRule="auto"/>
        <w:rPr>
          <w:rFonts w:ascii="宋体" w:hAnsi="宋体"/>
          <w:b/>
          <w:color w:val="auto"/>
          <w:sz w:val="28"/>
          <w:szCs w:val="28"/>
        </w:rPr>
      </w:pPr>
      <w:r>
        <w:rPr>
          <w:rFonts w:hint="eastAsia" w:asciiTheme="minorEastAsia" w:hAnsiTheme="minorEastAsia" w:eastAsiaTheme="minorEastAsia"/>
          <w:color w:val="auto"/>
          <w:szCs w:val="21"/>
        </w:rPr>
        <w:t>日  期：     年   月   日</w:t>
      </w:r>
      <w:r>
        <w:rPr>
          <w:rFonts w:ascii="宋体" w:hAnsi="宋体"/>
          <w:b/>
          <w:color w:val="auto"/>
          <w:sz w:val="28"/>
          <w:szCs w:val="28"/>
        </w:rPr>
        <w:br w:type="page"/>
      </w:r>
    </w:p>
    <w:p w14:paraId="437FFE41">
      <w:pPr>
        <w:pStyle w:val="4"/>
        <w:adjustRightInd w:val="0"/>
        <w:snapToGrid w:val="0"/>
        <w:spacing w:before="0" w:after="0" w:line="360" w:lineRule="auto"/>
        <w:jc w:val="center"/>
        <w:rPr>
          <w:rFonts w:ascii="黑体" w:hAnsi="宋体" w:eastAsia="黑体"/>
          <w:color w:val="auto"/>
          <w:sz w:val="28"/>
          <w:szCs w:val="28"/>
        </w:rPr>
      </w:pPr>
      <w:bookmarkStart w:id="234" w:name="_Toc8308"/>
      <w:r>
        <w:rPr>
          <w:rFonts w:hint="eastAsia" w:ascii="黑体" w:hAnsi="宋体" w:eastAsia="黑体"/>
          <w:color w:val="auto"/>
          <w:sz w:val="28"/>
          <w:szCs w:val="28"/>
        </w:rPr>
        <w:t>七、采购需求响应</w:t>
      </w:r>
      <w:bookmarkEnd w:id="234"/>
    </w:p>
    <w:p w14:paraId="2049CE8B">
      <w:pPr>
        <w:adjustRightInd w:val="0"/>
        <w:snapToGrid w:val="0"/>
        <w:spacing w:line="360" w:lineRule="auto"/>
        <w:rPr>
          <w:rFonts w:asciiTheme="minorEastAsia" w:hAnsiTheme="minorEastAsia" w:eastAsiaTheme="minorEastAsia"/>
          <w:b/>
          <w:color w:val="auto"/>
          <w:szCs w:val="21"/>
        </w:rPr>
      </w:pPr>
    </w:p>
    <w:p w14:paraId="4A85768C">
      <w:pPr>
        <w:adjustRightInd w:val="0"/>
        <w:snapToGrid w:val="0"/>
        <w:spacing w:line="360" w:lineRule="auto"/>
        <w:rPr>
          <w:b/>
          <w:color w:val="auto"/>
        </w:rPr>
      </w:pPr>
      <w:r>
        <w:rPr>
          <w:rFonts w:hint="eastAsia" w:asciiTheme="minorEastAsia" w:hAnsiTheme="minorEastAsia" w:eastAsiaTheme="minorEastAsia"/>
          <w:b/>
          <w:color w:val="auto"/>
          <w:szCs w:val="21"/>
        </w:rPr>
        <w:t>编制说明</w:t>
      </w:r>
      <w:r>
        <w:rPr>
          <w:rFonts w:hint="eastAsia" w:asciiTheme="minorEastAsia" w:hAnsiTheme="minorEastAsia" w:eastAsiaTheme="minorEastAsia"/>
          <w:bCs/>
          <w:color w:val="auto"/>
          <w:szCs w:val="21"/>
        </w:rPr>
        <w:t>：</w:t>
      </w:r>
      <w:r>
        <w:rPr>
          <w:rFonts w:hint="eastAsia"/>
          <w:b/>
          <w:color w:val="auto"/>
        </w:rPr>
        <w:t>投标人应按招标文件第五章采购需求自行编写采购需求响应文件（其内容可包括，且不限于详细的技术指标和性能、售后服务和技术服务的组织及保证措施等，技术参数请按下表逐条对应，格式自拟）。</w:t>
      </w:r>
    </w:p>
    <w:p w14:paraId="7D21C0B5">
      <w:pPr>
        <w:pStyle w:val="23"/>
        <w:tabs>
          <w:tab w:val="left" w:pos="6208"/>
        </w:tabs>
        <w:adjustRightInd w:val="0"/>
        <w:snapToGrid w:val="0"/>
        <w:spacing w:line="360" w:lineRule="auto"/>
        <w:ind w:left="-88" w:leftChars="-42"/>
        <w:rPr>
          <w:rFonts w:ascii="宋体" w:hAnsi="宋体"/>
          <w:bCs/>
          <w:color w:val="auto"/>
          <w:sz w:val="21"/>
          <w:szCs w:val="21"/>
        </w:rPr>
      </w:pPr>
    </w:p>
    <w:p w14:paraId="12EAD685">
      <w:pPr>
        <w:adjustRightInd w:val="0"/>
        <w:snapToGrid w:val="0"/>
        <w:spacing w:line="360" w:lineRule="auto"/>
        <w:rPr>
          <w:rFonts w:ascii="宋体" w:hAnsi="宋体"/>
          <w:color w:val="auto"/>
          <w:szCs w:val="21"/>
        </w:rPr>
      </w:pPr>
    </w:p>
    <w:p w14:paraId="56345C0B">
      <w:pPr>
        <w:adjustRightInd w:val="0"/>
        <w:snapToGrid w:val="0"/>
        <w:spacing w:line="360" w:lineRule="auto"/>
        <w:rPr>
          <w:rFonts w:ascii="宋体" w:hAnsi="宋体"/>
          <w:color w:val="auto"/>
          <w:szCs w:val="21"/>
        </w:rPr>
      </w:pPr>
      <w:r>
        <w:rPr>
          <w:rFonts w:hint="eastAsia" w:ascii="宋体" w:hAnsi="宋体"/>
          <w:color w:val="auto"/>
          <w:szCs w:val="21"/>
        </w:rPr>
        <w:t>投标人名称（盖单位章）：</w:t>
      </w:r>
    </w:p>
    <w:p w14:paraId="31BC06E3">
      <w:pPr>
        <w:adjustRightInd w:val="0"/>
        <w:snapToGrid w:val="0"/>
        <w:spacing w:line="360" w:lineRule="auto"/>
        <w:rPr>
          <w:rFonts w:ascii="宋体" w:hAnsi="宋体"/>
          <w:color w:val="auto"/>
          <w:szCs w:val="21"/>
          <w:u w:val="single"/>
        </w:rPr>
      </w:pPr>
      <w:r>
        <w:rPr>
          <w:rFonts w:hint="eastAsia" w:cs="微软雅黑" w:asciiTheme="minorEastAsia" w:hAnsiTheme="minorEastAsia" w:eastAsiaTheme="minorEastAsia"/>
          <w:color w:val="auto"/>
          <w:spacing w:val="-2"/>
          <w:kern w:val="0"/>
          <w:szCs w:val="21"/>
        </w:rPr>
        <w:t>法</w:t>
      </w:r>
      <w:r>
        <w:rPr>
          <w:rFonts w:hint="eastAsia" w:cs="微软雅黑" w:asciiTheme="minorEastAsia" w:hAnsiTheme="minorEastAsia" w:eastAsiaTheme="minorEastAsia"/>
          <w:color w:val="auto"/>
          <w:kern w:val="0"/>
          <w:szCs w:val="21"/>
        </w:rPr>
        <w:t>定</w:t>
      </w:r>
      <w:r>
        <w:rPr>
          <w:rFonts w:hint="eastAsia" w:cs="微软雅黑" w:asciiTheme="minorEastAsia" w:hAnsiTheme="minorEastAsia" w:eastAsiaTheme="minorEastAsia"/>
          <w:color w:val="auto"/>
          <w:spacing w:val="-2"/>
          <w:kern w:val="0"/>
          <w:szCs w:val="21"/>
        </w:rPr>
        <w:t>代</w:t>
      </w:r>
      <w:r>
        <w:rPr>
          <w:rFonts w:hint="eastAsia" w:cs="微软雅黑" w:asciiTheme="minorEastAsia" w:hAnsiTheme="minorEastAsia" w:eastAsiaTheme="minorEastAsia"/>
          <w:color w:val="auto"/>
          <w:kern w:val="0"/>
          <w:szCs w:val="21"/>
        </w:rPr>
        <w:t>表</w:t>
      </w:r>
      <w:r>
        <w:rPr>
          <w:rFonts w:hint="eastAsia" w:cs="微软雅黑" w:asciiTheme="minorEastAsia" w:hAnsiTheme="minorEastAsia" w:eastAsiaTheme="minorEastAsia"/>
          <w:color w:val="auto"/>
          <w:spacing w:val="-2"/>
          <w:kern w:val="0"/>
          <w:szCs w:val="21"/>
        </w:rPr>
        <w:t>人</w:t>
      </w:r>
      <w:r>
        <w:rPr>
          <w:rFonts w:hint="eastAsia" w:cs="微软雅黑" w:asciiTheme="minorEastAsia" w:hAnsiTheme="minorEastAsia" w:eastAsiaTheme="minorEastAsia"/>
          <w:color w:val="auto"/>
          <w:kern w:val="0"/>
          <w:szCs w:val="21"/>
        </w:rPr>
        <w:t>（</w:t>
      </w:r>
      <w:r>
        <w:rPr>
          <w:rFonts w:hint="eastAsia" w:cs="微软雅黑" w:asciiTheme="minorEastAsia" w:hAnsiTheme="minorEastAsia" w:eastAsiaTheme="minorEastAsia"/>
          <w:color w:val="auto"/>
          <w:spacing w:val="-2"/>
          <w:kern w:val="0"/>
          <w:szCs w:val="21"/>
        </w:rPr>
        <w:t>单</w:t>
      </w:r>
      <w:r>
        <w:rPr>
          <w:rFonts w:hint="eastAsia" w:cs="微软雅黑" w:asciiTheme="minorEastAsia" w:hAnsiTheme="minorEastAsia" w:eastAsiaTheme="minorEastAsia"/>
          <w:color w:val="auto"/>
          <w:kern w:val="0"/>
          <w:szCs w:val="21"/>
        </w:rPr>
        <w:t>位</w:t>
      </w:r>
      <w:r>
        <w:rPr>
          <w:rFonts w:hint="eastAsia" w:cs="微软雅黑" w:asciiTheme="minorEastAsia" w:hAnsiTheme="minorEastAsia" w:eastAsiaTheme="minorEastAsia"/>
          <w:color w:val="auto"/>
          <w:spacing w:val="-2"/>
          <w:kern w:val="0"/>
          <w:szCs w:val="21"/>
        </w:rPr>
        <w:t>负</w:t>
      </w:r>
      <w:r>
        <w:rPr>
          <w:rFonts w:hint="eastAsia" w:cs="微软雅黑" w:asciiTheme="minorEastAsia" w:hAnsiTheme="minorEastAsia" w:eastAsiaTheme="minorEastAsia"/>
          <w:color w:val="auto"/>
          <w:kern w:val="0"/>
          <w:szCs w:val="21"/>
        </w:rPr>
        <w:t>责人</w:t>
      </w:r>
      <w:r>
        <w:rPr>
          <w:rFonts w:hint="eastAsia" w:cs="微软雅黑" w:asciiTheme="minorEastAsia" w:hAnsiTheme="minorEastAsia" w:eastAsiaTheme="minorEastAsia"/>
          <w:color w:val="auto"/>
          <w:spacing w:val="-2"/>
          <w:kern w:val="0"/>
          <w:szCs w:val="21"/>
        </w:rPr>
        <w:t>）</w:t>
      </w:r>
      <w:r>
        <w:rPr>
          <w:rFonts w:hint="eastAsia" w:ascii="宋体" w:hAnsi="宋体"/>
          <w:color w:val="auto"/>
          <w:szCs w:val="21"/>
        </w:rPr>
        <w:t>或其授权的代理人（签字或印章）：</w:t>
      </w:r>
    </w:p>
    <w:p w14:paraId="1560F3BB">
      <w:pPr>
        <w:rPr>
          <w:color w:val="auto"/>
        </w:rPr>
      </w:pPr>
      <w:r>
        <w:rPr>
          <w:rFonts w:hint="eastAsia" w:asciiTheme="minorEastAsia" w:hAnsiTheme="minorEastAsia" w:eastAsiaTheme="minorEastAsia"/>
          <w:color w:val="auto"/>
          <w:szCs w:val="21"/>
        </w:rPr>
        <w:t>日  期：     年   月   日</w:t>
      </w:r>
    </w:p>
    <w:p w14:paraId="4373086D">
      <w:pPr>
        <w:rPr>
          <w:color w:val="auto"/>
        </w:rPr>
      </w:pPr>
    </w:p>
    <w:p w14:paraId="2F171FFB">
      <w:pPr>
        <w:rPr>
          <w:color w:val="auto"/>
        </w:rPr>
      </w:pPr>
    </w:p>
    <w:p w14:paraId="2532A69E">
      <w:pPr>
        <w:pStyle w:val="5"/>
        <w:adjustRightInd w:val="0"/>
        <w:snapToGrid w:val="0"/>
        <w:spacing w:before="120" w:beforeLines="50" w:after="0" w:line="360" w:lineRule="auto"/>
        <w:rPr>
          <w:rFonts w:ascii="黑体" w:hAnsi="黑体"/>
          <w:b w:val="0"/>
          <w:color w:val="auto"/>
          <w:sz w:val="21"/>
          <w:szCs w:val="21"/>
        </w:rPr>
      </w:pPr>
      <w:bookmarkStart w:id="235" w:name="_Toc31999"/>
      <w:r>
        <w:rPr>
          <w:rFonts w:hint="eastAsia" w:ascii="黑体" w:hAnsi="黑体" w:cs="宋体"/>
          <w:b w:val="0"/>
          <w:color w:val="auto"/>
          <w:spacing w:val="6"/>
          <w:kern w:val="0"/>
          <w:sz w:val="21"/>
          <w:szCs w:val="21"/>
        </w:rPr>
        <w:t>附件7-1 响应</w:t>
      </w:r>
      <w:r>
        <w:rPr>
          <w:rFonts w:hint="eastAsia" w:ascii="黑体" w:hAnsi="黑体"/>
          <w:b w:val="0"/>
          <w:color w:val="auto"/>
          <w:sz w:val="21"/>
          <w:szCs w:val="21"/>
        </w:rPr>
        <w:t>-览表</w:t>
      </w:r>
      <w:bookmarkEnd w:id="235"/>
    </w:p>
    <w:p w14:paraId="232ECB59">
      <w:pPr>
        <w:adjustRightInd w:val="0"/>
        <w:snapToGrid w:val="0"/>
        <w:spacing w:before="120" w:beforeLines="50" w:line="360" w:lineRule="auto"/>
        <w:jc w:val="center"/>
        <w:rPr>
          <w:rFonts w:ascii="黑体" w:hAnsi="黑体" w:eastAsia="黑体"/>
          <w:b/>
          <w:bCs/>
          <w:color w:val="auto"/>
          <w:sz w:val="28"/>
          <w:szCs w:val="28"/>
        </w:rPr>
      </w:pPr>
      <w:r>
        <w:rPr>
          <w:rFonts w:hint="eastAsia" w:ascii="黑体" w:hAnsi="黑体" w:eastAsia="黑体"/>
          <w:b/>
          <w:bCs/>
          <w:color w:val="auto"/>
          <w:sz w:val="28"/>
          <w:szCs w:val="28"/>
        </w:rPr>
        <w:t>响应-览表</w:t>
      </w:r>
    </w:p>
    <w:p w14:paraId="553BE7E7">
      <w:pPr>
        <w:adjustRightInd w:val="0"/>
        <w:snapToGrid w:val="0"/>
        <w:spacing w:before="120" w:beforeLines="50" w:line="360" w:lineRule="auto"/>
        <w:rPr>
          <w:rFonts w:asciiTheme="minorEastAsia" w:hAnsiTheme="minorEastAsia" w:eastAsiaTheme="minorEastAsia"/>
          <w:color w:val="auto"/>
          <w:szCs w:val="21"/>
          <w:u w:val="single"/>
        </w:rPr>
      </w:pPr>
      <w:r>
        <w:rPr>
          <w:rFonts w:hint="eastAsia" w:ascii="宋体" w:hAnsi="宋体"/>
          <w:color w:val="auto"/>
          <w:spacing w:val="28"/>
          <w:szCs w:val="21"/>
        </w:rPr>
        <w:t>采购人项目编号/采购代理编号</w:t>
      </w:r>
      <w:r>
        <w:rPr>
          <w:rFonts w:hint="eastAsia" w:ascii="宋体" w:hAnsi="宋体"/>
          <w:color w:val="auto"/>
          <w:szCs w:val="21"/>
        </w:rPr>
        <w:t>:</w:t>
      </w:r>
      <w:r>
        <w:rPr>
          <w:rFonts w:hint="eastAsia" w:ascii="宋体" w:hAnsi="宋体"/>
          <w:color w:val="auto"/>
          <w:szCs w:val="21"/>
          <w:u w:val="single"/>
        </w:rPr>
        <w:t xml:space="preserve">                      </w:t>
      </w:r>
      <w:r>
        <w:rPr>
          <w:rFonts w:hint="eastAsia" w:ascii="宋体" w:hAnsi="宋体"/>
          <w:color w:val="auto"/>
          <w:szCs w:val="21"/>
        </w:rPr>
        <w:t xml:space="preserve"> </w:t>
      </w:r>
      <w:r>
        <w:rPr>
          <w:rFonts w:hint="eastAsia" w:asciiTheme="minorEastAsia" w:hAnsiTheme="minorEastAsia" w:eastAsiaTheme="minorEastAsia"/>
          <w:color w:val="auto"/>
          <w:szCs w:val="21"/>
        </w:rPr>
        <w:t>项目名称：</w:t>
      </w:r>
      <w:r>
        <w:rPr>
          <w:rFonts w:hint="eastAsia" w:ascii="宋体" w:hAnsi="宋体"/>
          <w:color w:val="auto"/>
          <w:szCs w:val="21"/>
          <w:u w:val="single"/>
        </w:rPr>
        <w:t xml:space="preserve">                 </w:t>
      </w:r>
    </w:p>
    <w:p w14:paraId="763C6933">
      <w:pPr>
        <w:adjustRightInd w:val="0"/>
        <w:snapToGrid w:val="0"/>
        <w:spacing w:before="50" w:line="360" w:lineRule="auto"/>
        <w:rPr>
          <w:rFonts w:ascii="宋体" w:hAnsi="宋体"/>
          <w:color w:val="auto"/>
          <w:szCs w:val="21"/>
          <w:u w:val="single"/>
        </w:rPr>
      </w:pPr>
      <w:r>
        <w:rPr>
          <w:rFonts w:hint="eastAsia" w:asciiTheme="minorEastAsia" w:hAnsiTheme="minorEastAsia" w:eastAsiaTheme="minorEastAsia"/>
          <w:color w:val="auto"/>
          <w:szCs w:val="21"/>
        </w:rPr>
        <w:t>包  号（如有）：</w:t>
      </w:r>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olor w:val="auto"/>
          <w:szCs w:val="21"/>
          <w:u w:val="single"/>
        </w:rPr>
        <w:t xml:space="preserve">              </w:t>
      </w:r>
      <w:r>
        <w:rPr>
          <w:rFonts w:hint="eastAsia" w:asciiTheme="minorEastAsia" w:hAnsiTheme="minorEastAsia" w:eastAsiaTheme="minorEastAsia"/>
          <w:color w:val="auto"/>
          <w:szCs w:val="21"/>
        </w:rPr>
        <w:t xml:space="preserve">     </w:t>
      </w:r>
      <w:r>
        <w:rPr>
          <w:rFonts w:asciiTheme="minorEastAsia" w:hAnsiTheme="minorEastAsia" w:eastAsiaTheme="minorEastAsia"/>
          <w:color w:val="auto"/>
          <w:szCs w:val="21"/>
        </w:rPr>
        <w:t xml:space="preserve">  </w:t>
      </w:r>
      <w:r>
        <w:rPr>
          <w:rFonts w:hint="eastAsia" w:asciiTheme="minorEastAsia" w:hAnsiTheme="minorEastAsia" w:eastAsiaTheme="minorEastAsia"/>
          <w:color w:val="auto"/>
          <w:szCs w:val="21"/>
        </w:rPr>
        <w:t xml:space="preserve">     包名称（如有）：</w:t>
      </w:r>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olor w:val="auto"/>
          <w:szCs w:val="21"/>
          <w:u w:val="single"/>
        </w:rPr>
        <w:t xml:space="preserve"> </w:t>
      </w:r>
    </w:p>
    <w:tbl>
      <w:tblPr>
        <w:tblStyle w:val="41"/>
        <w:tblW w:w="9060"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429"/>
        <w:gridCol w:w="957"/>
        <w:gridCol w:w="2124"/>
        <w:gridCol w:w="2127"/>
        <w:gridCol w:w="992"/>
        <w:gridCol w:w="709"/>
        <w:gridCol w:w="751"/>
        <w:gridCol w:w="971"/>
      </w:tblGrid>
      <w:tr w14:paraId="71FC1BD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446" w:hRule="atLeast"/>
        </w:trPr>
        <w:tc>
          <w:tcPr>
            <w:tcW w:w="429" w:type="dxa"/>
            <w:vMerge w:val="restart"/>
            <w:vAlign w:val="center"/>
          </w:tcPr>
          <w:p w14:paraId="069CB308">
            <w:pPr>
              <w:jc w:val="center"/>
              <w:rPr>
                <w:color w:val="auto"/>
                <w:szCs w:val="21"/>
              </w:rPr>
            </w:pPr>
            <w:r>
              <w:rPr>
                <w:rFonts w:hint="eastAsia"/>
                <w:color w:val="auto"/>
                <w:szCs w:val="21"/>
              </w:rPr>
              <w:t>包号</w:t>
            </w:r>
          </w:p>
        </w:tc>
        <w:tc>
          <w:tcPr>
            <w:tcW w:w="957" w:type="dxa"/>
            <w:vMerge w:val="restart"/>
            <w:tcBorders>
              <w:right w:val="single" w:color="auto" w:sz="4" w:space="0"/>
            </w:tcBorders>
            <w:vAlign w:val="center"/>
          </w:tcPr>
          <w:p w14:paraId="448CE3CB">
            <w:pPr>
              <w:jc w:val="center"/>
              <w:rPr>
                <w:color w:val="auto"/>
                <w:szCs w:val="21"/>
              </w:rPr>
            </w:pPr>
            <w:r>
              <w:rPr>
                <w:rFonts w:hint="eastAsia"/>
                <w:color w:val="auto"/>
                <w:szCs w:val="21"/>
              </w:rPr>
              <w:t>包名称</w:t>
            </w:r>
          </w:p>
        </w:tc>
        <w:tc>
          <w:tcPr>
            <w:tcW w:w="2124" w:type="dxa"/>
            <w:vMerge w:val="restart"/>
            <w:tcBorders>
              <w:left w:val="single" w:color="auto" w:sz="4" w:space="0"/>
            </w:tcBorders>
            <w:vAlign w:val="center"/>
          </w:tcPr>
          <w:p w14:paraId="6C0BAAD3">
            <w:pPr>
              <w:jc w:val="center"/>
              <w:rPr>
                <w:color w:val="auto"/>
                <w:szCs w:val="21"/>
              </w:rPr>
            </w:pPr>
            <w:r>
              <w:rPr>
                <w:rFonts w:hint="eastAsia"/>
                <w:color w:val="auto"/>
                <w:szCs w:val="21"/>
              </w:rPr>
              <w:t>分项项目名称</w:t>
            </w:r>
          </w:p>
          <w:p w14:paraId="16A556D1">
            <w:pPr>
              <w:jc w:val="center"/>
              <w:rPr>
                <w:color w:val="auto"/>
                <w:szCs w:val="21"/>
              </w:rPr>
            </w:pPr>
            <w:r>
              <w:rPr>
                <w:rFonts w:hint="eastAsia"/>
                <w:color w:val="auto"/>
                <w:szCs w:val="21"/>
              </w:rPr>
              <w:t>（条目号/品目名称）</w:t>
            </w:r>
          </w:p>
        </w:tc>
        <w:tc>
          <w:tcPr>
            <w:tcW w:w="2127" w:type="dxa"/>
            <w:vMerge w:val="restart"/>
            <w:vAlign w:val="center"/>
          </w:tcPr>
          <w:p w14:paraId="600054A2">
            <w:pPr>
              <w:jc w:val="center"/>
              <w:rPr>
                <w:color w:val="auto"/>
                <w:szCs w:val="21"/>
              </w:rPr>
            </w:pPr>
            <w:r>
              <w:rPr>
                <w:rFonts w:hint="eastAsia"/>
                <w:color w:val="auto"/>
                <w:szCs w:val="21"/>
              </w:rPr>
              <w:t>主要技术参数或规格</w:t>
            </w:r>
          </w:p>
        </w:tc>
        <w:tc>
          <w:tcPr>
            <w:tcW w:w="992" w:type="dxa"/>
            <w:vMerge w:val="restart"/>
            <w:vAlign w:val="center"/>
          </w:tcPr>
          <w:p w14:paraId="07BBBA59">
            <w:pPr>
              <w:jc w:val="center"/>
              <w:rPr>
                <w:color w:val="auto"/>
                <w:szCs w:val="21"/>
              </w:rPr>
            </w:pPr>
            <w:r>
              <w:rPr>
                <w:rFonts w:hint="eastAsia"/>
                <w:color w:val="auto"/>
                <w:szCs w:val="21"/>
              </w:rPr>
              <w:t>数量</w:t>
            </w:r>
          </w:p>
          <w:p w14:paraId="47E8A699">
            <w:pPr>
              <w:jc w:val="center"/>
              <w:rPr>
                <w:color w:val="auto"/>
                <w:szCs w:val="21"/>
              </w:rPr>
            </w:pPr>
            <w:r>
              <w:rPr>
                <w:rFonts w:hint="eastAsia"/>
                <w:color w:val="auto"/>
                <w:szCs w:val="21"/>
              </w:rPr>
              <w:t>（台套）</w:t>
            </w:r>
          </w:p>
        </w:tc>
        <w:tc>
          <w:tcPr>
            <w:tcW w:w="1460" w:type="dxa"/>
            <w:gridSpan w:val="2"/>
            <w:vAlign w:val="center"/>
          </w:tcPr>
          <w:p w14:paraId="434C1340">
            <w:pPr>
              <w:jc w:val="center"/>
              <w:rPr>
                <w:color w:val="auto"/>
                <w:szCs w:val="21"/>
              </w:rPr>
            </w:pPr>
            <w:r>
              <w:rPr>
                <w:rFonts w:hint="eastAsia"/>
                <w:color w:val="auto"/>
                <w:szCs w:val="21"/>
              </w:rPr>
              <w:t>交货</w:t>
            </w:r>
          </w:p>
        </w:tc>
        <w:tc>
          <w:tcPr>
            <w:tcW w:w="971" w:type="dxa"/>
            <w:vMerge w:val="restart"/>
            <w:vAlign w:val="center"/>
          </w:tcPr>
          <w:p w14:paraId="588B45A8">
            <w:pPr>
              <w:jc w:val="center"/>
              <w:rPr>
                <w:color w:val="auto"/>
                <w:szCs w:val="21"/>
              </w:rPr>
            </w:pPr>
            <w:r>
              <w:rPr>
                <w:rFonts w:hint="eastAsia"/>
                <w:color w:val="auto"/>
                <w:szCs w:val="21"/>
              </w:rPr>
              <w:t>备注</w:t>
            </w:r>
          </w:p>
        </w:tc>
      </w:tr>
      <w:tr w14:paraId="144369C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464" w:hRule="atLeast"/>
        </w:trPr>
        <w:tc>
          <w:tcPr>
            <w:tcW w:w="429" w:type="dxa"/>
            <w:vMerge w:val="continue"/>
            <w:vAlign w:val="center"/>
          </w:tcPr>
          <w:p w14:paraId="6FC4F0D4">
            <w:pPr>
              <w:jc w:val="center"/>
              <w:rPr>
                <w:color w:val="auto"/>
                <w:szCs w:val="21"/>
              </w:rPr>
            </w:pPr>
          </w:p>
        </w:tc>
        <w:tc>
          <w:tcPr>
            <w:tcW w:w="957" w:type="dxa"/>
            <w:vMerge w:val="continue"/>
            <w:tcBorders>
              <w:right w:val="single" w:color="auto" w:sz="4" w:space="0"/>
            </w:tcBorders>
            <w:vAlign w:val="center"/>
          </w:tcPr>
          <w:p w14:paraId="7157DA3E">
            <w:pPr>
              <w:jc w:val="center"/>
              <w:rPr>
                <w:color w:val="auto"/>
                <w:szCs w:val="21"/>
              </w:rPr>
            </w:pPr>
          </w:p>
        </w:tc>
        <w:tc>
          <w:tcPr>
            <w:tcW w:w="2124" w:type="dxa"/>
            <w:vMerge w:val="continue"/>
            <w:tcBorders>
              <w:left w:val="single" w:color="auto" w:sz="4" w:space="0"/>
            </w:tcBorders>
            <w:vAlign w:val="center"/>
          </w:tcPr>
          <w:p w14:paraId="525C65A6">
            <w:pPr>
              <w:jc w:val="center"/>
              <w:rPr>
                <w:color w:val="auto"/>
                <w:szCs w:val="21"/>
              </w:rPr>
            </w:pPr>
          </w:p>
        </w:tc>
        <w:tc>
          <w:tcPr>
            <w:tcW w:w="2127" w:type="dxa"/>
            <w:vMerge w:val="continue"/>
            <w:vAlign w:val="center"/>
          </w:tcPr>
          <w:p w14:paraId="3DB46526">
            <w:pPr>
              <w:jc w:val="center"/>
              <w:rPr>
                <w:color w:val="auto"/>
                <w:szCs w:val="21"/>
              </w:rPr>
            </w:pPr>
          </w:p>
        </w:tc>
        <w:tc>
          <w:tcPr>
            <w:tcW w:w="992" w:type="dxa"/>
            <w:vMerge w:val="continue"/>
            <w:vAlign w:val="center"/>
          </w:tcPr>
          <w:p w14:paraId="4C994675">
            <w:pPr>
              <w:jc w:val="center"/>
              <w:rPr>
                <w:color w:val="auto"/>
                <w:szCs w:val="21"/>
              </w:rPr>
            </w:pPr>
          </w:p>
        </w:tc>
        <w:tc>
          <w:tcPr>
            <w:tcW w:w="709" w:type="dxa"/>
            <w:vAlign w:val="center"/>
          </w:tcPr>
          <w:p w14:paraId="2F30E6AC">
            <w:pPr>
              <w:jc w:val="center"/>
              <w:rPr>
                <w:color w:val="auto"/>
                <w:szCs w:val="21"/>
              </w:rPr>
            </w:pPr>
            <w:r>
              <w:rPr>
                <w:rFonts w:hint="eastAsia"/>
                <w:color w:val="auto"/>
                <w:szCs w:val="21"/>
              </w:rPr>
              <w:t>时间</w:t>
            </w:r>
          </w:p>
        </w:tc>
        <w:tc>
          <w:tcPr>
            <w:tcW w:w="751" w:type="dxa"/>
            <w:vAlign w:val="center"/>
          </w:tcPr>
          <w:p w14:paraId="020E2B1B">
            <w:pPr>
              <w:jc w:val="center"/>
              <w:rPr>
                <w:color w:val="auto"/>
                <w:szCs w:val="21"/>
              </w:rPr>
            </w:pPr>
            <w:r>
              <w:rPr>
                <w:rFonts w:hint="eastAsia"/>
                <w:color w:val="auto"/>
                <w:szCs w:val="21"/>
              </w:rPr>
              <w:t>地点</w:t>
            </w:r>
          </w:p>
        </w:tc>
        <w:tc>
          <w:tcPr>
            <w:tcW w:w="971" w:type="dxa"/>
            <w:vMerge w:val="continue"/>
          </w:tcPr>
          <w:p w14:paraId="74985D62">
            <w:pPr>
              <w:rPr>
                <w:color w:val="auto"/>
                <w:szCs w:val="21"/>
              </w:rPr>
            </w:pPr>
          </w:p>
        </w:tc>
      </w:tr>
      <w:tr w14:paraId="74558F6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62" w:hRule="atLeast"/>
        </w:trPr>
        <w:tc>
          <w:tcPr>
            <w:tcW w:w="429" w:type="dxa"/>
            <w:vAlign w:val="center"/>
          </w:tcPr>
          <w:p w14:paraId="793C9994">
            <w:pPr>
              <w:jc w:val="center"/>
              <w:rPr>
                <w:color w:val="auto"/>
                <w:szCs w:val="21"/>
              </w:rPr>
            </w:pPr>
          </w:p>
        </w:tc>
        <w:tc>
          <w:tcPr>
            <w:tcW w:w="957" w:type="dxa"/>
            <w:tcBorders>
              <w:right w:val="single" w:color="auto" w:sz="4" w:space="0"/>
            </w:tcBorders>
            <w:vAlign w:val="center"/>
          </w:tcPr>
          <w:p w14:paraId="24DCB0C3">
            <w:pPr>
              <w:jc w:val="center"/>
              <w:rPr>
                <w:color w:val="auto"/>
                <w:szCs w:val="21"/>
              </w:rPr>
            </w:pPr>
          </w:p>
        </w:tc>
        <w:tc>
          <w:tcPr>
            <w:tcW w:w="2124" w:type="dxa"/>
            <w:tcBorders>
              <w:left w:val="single" w:color="auto" w:sz="4" w:space="0"/>
            </w:tcBorders>
            <w:vAlign w:val="center"/>
          </w:tcPr>
          <w:p w14:paraId="4175F531">
            <w:pPr>
              <w:jc w:val="center"/>
              <w:rPr>
                <w:color w:val="auto"/>
                <w:szCs w:val="21"/>
              </w:rPr>
            </w:pPr>
          </w:p>
        </w:tc>
        <w:tc>
          <w:tcPr>
            <w:tcW w:w="2127" w:type="dxa"/>
            <w:vAlign w:val="center"/>
          </w:tcPr>
          <w:p w14:paraId="654C3629">
            <w:pPr>
              <w:jc w:val="center"/>
              <w:rPr>
                <w:color w:val="auto"/>
                <w:szCs w:val="21"/>
              </w:rPr>
            </w:pPr>
          </w:p>
        </w:tc>
        <w:tc>
          <w:tcPr>
            <w:tcW w:w="992" w:type="dxa"/>
            <w:vAlign w:val="center"/>
          </w:tcPr>
          <w:p w14:paraId="37C6A92C">
            <w:pPr>
              <w:jc w:val="center"/>
              <w:rPr>
                <w:color w:val="auto"/>
                <w:szCs w:val="21"/>
              </w:rPr>
            </w:pPr>
          </w:p>
        </w:tc>
        <w:tc>
          <w:tcPr>
            <w:tcW w:w="709" w:type="dxa"/>
            <w:tcBorders>
              <w:bottom w:val="single" w:color="auto" w:sz="4" w:space="0"/>
            </w:tcBorders>
            <w:vAlign w:val="center"/>
          </w:tcPr>
          <w:p w14:paraId="5B54D480">
            <w:pPr>
              <w:jc w:val="center"/>
              <w:rPr>
                <w:color w:val="auto"/>
                <w:szCs w:val="21"/>
              </w:rPr>
            </w:pPr>
          </w:p>
        </w:tc>
        <w:tc>
          <w:tcPr>
            <w:tcW w:w="751" w:type="dxa"/>
            <w:tcBorders>
              <w:bottom w:val="single" w:color="auto" w:sz="4" w:space="0"/>
            </w:tcBorders>
            <w:vAlign w:val="center"/>
          </w:tcPr>
          <w:p w14:paraId="60691255">
            <w:pPr>
              <w:jc w:val="center"/>
              <w:rPr>
                <w:color w:val="auto"/>
                <w:szCs w:val="21"/>
              </w:rPr>
            </w:pPr>
          </w:p>
        </w:tc>
        <w:tc>
          <w:tcPr>
            <w:tcW w:w="971" w:type="dxa"/>
            <w:vAlign w:val="center"/>
          </w:tcPr>
          <w:p w14:paraId="39F12CEF">
            <w:pPr>
              <w:jc w:val="center"/>
              <w:rPr>
                <w:color w:val="auto"/>
                <w:szCs w:val="21"/>
              </w:rPr>
            </w:pPr>
          </w:p>
        </w:tc>
      </w:tr>
      <w:tr w14:paraId="6D8A0A6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62" w:hRule="atLeast"/>
        </w:trPr>
        <w:tc>
          <w:tcPr>
            <w:tcW w:w="429" w:type="dxa"/>
            <w:vAlign w:val="center"/>
          </w:tcPr>
          <w:p w14:paraId="116C8186">
            <w:pPr>
              <w:jc w:val="center"/>
              <w:rPr>
                <w:color w:val="auto"/>
                <w:szCs w:val="21"/>
              </w:rPr>
            </w:pPr>
          </w:p>
        </w:tc>
        <w:tc>
          <w:tcPr>
            <w:tcW w:w="957" w:type="dxa"/>
            <w:tcBorders>
              <w:right w:val="single" w:color="auto" w:sz="4" w:space="0"/>
            </w:tcBorders>
            <w:vAlign w:val="center"/>
          </w:tcPr>
          <w:p w14:paraId="0AB1B040">
            <w:pPr>
              <w:jc w:val="center"/>
              <w:rPr>
                <w:color w:val="auto"/>
                <w:szCs w:val="21"/>
              </w:rPr>
            </w:pPr>
          </w:p>
        </w:tc>
        <w:tc>
          <w:tcPr>
            <w:tcW w:w="2124" w:type="dxa"/>
            <w:tcBorders>
              <w:left w:val="single" w:color="auto" w:sz="4" w:space="0"/>
            </w:tcBorders>
            <w:vAlign w:val="center"/>
          </w:tcPr>
          <w:p w14:paraId="5DC32E10">
            <w:pPr>
              <w:jc w:val="center"/>
              <w:rPr>
                <w:color w:val="auto"/>
                <w:szCs w:val="21"/>
              </w:rPr>
            </w:pPr>
          </w:p>
        </w:tc>
        <w:tc>
          <w:tcPr>
            <w:tcW w:w="2127" w:type="dxa"/>
            <w:vAlign w:val="center"/>
          </w:tcPr>
          <w:p w14:paraId="23CAF91A">
            <w:pPr>
              <w:jc w:val="center"/>
              <w:rPr>
                <w:color w:val="auto"/>
                <w:szCs w:val="21"/>
              </w:rPr>
            </w:pPr>
          </w:p>
        </w:tc>
        <w:tc>
          <w:tcPr>
            <w:tcW w:w="992" w:type="dxa"/>
            <w:vAlign w:val="center"/>
          </w:tcPr>
          <w:p w14:paraId="3CC31364">
            <w:pPr>
              <w:jc w:val="center"/>
              <w:rPr>
                <w:color w:val="auto"/>
                <w:szCs w:val="21"/>
              </w:rPr>
            </w:pPr>
          </w:p>
        </w:tc>
        <w:tc>
          <w:tcPr>
            <w:tcW w:w="709" w:type="dxa"/>
            <w:tcBorders>
              <w:top w:val="single" w:color="auto" w:sz="4" w:space="0"/>
              <w:bottom w:val="single" w:color="auto" w:sz="4" w:space="0"/>
            </w:tcBorders>
            <w:vAlign w:val="center"/>
          </w:tcPr>
          <w:p w14:paraId="22CBBEF8">
            <w:pPr>
              <w:jc w:val="center"/>
              <w:rPr>
                <w:color w:val="auto"/>
                <w:szCs w:val="21"/>
              </w:rPr>
            </w:pPr>
          </w:p>
        </w:tc>
        <w:tc>
          <w:tcPr>
            <w:tcW w:w="751" w:type="dxa"/>
            <w:tcBorders>
              <w:top w:val="single" w:color="auto" w:sz="4" w:space="0"/>
              <w:bottom w:val="single" w:color="auto" w:sz="4" w:space="0"/>
            </w:tcBorders>
            <w:vAlign w:val="center"/>
          </w:tcPr>
          <w:p w14:paraId="7D69E930">
            <w:pPr>
              <w:jc w:val="center"/>
              <w:rPr>
                <w:color w:val="auto"/>
                <w:szCs w:val="21"/>
              </w:rPr>
            </w:pPr>
          </w:p>
        </w:tc>
        <w:tc>
          <w:tcPr>
            <w:tcW w:w="971" w:type="dxa"/>
            <w:vAlign w:val="center"/>
          </w:tcPr>
          <w:p w14:paraId="6323C002">
            <w:pPr>
              <w:jc w:val="center"/>
              <w:rPr>
                <w:color w:val="auto"/>
                <w:szCs w:val="21"/>
              </w:rPr>
            </w:pPr>
          </w:p>
        </w:tc>
      </w:tr>
      <w:tr w14:paraId="1DBCCCB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62" w:hRule="atLeast"/>
        </w:trPr>
        <w:tc>
          <w:tcPr>
            <w:tcW w:w="429" w:type="dxa"/>
            <w:vAlign w:val="center"/>
          </w:tcPr>
          <w:p w14:paraId="63BD1C87">
            <w:pPr>
              <w:jc w:val="center"/>
              <w:rPr>
                <w:color w:val="auto"/>
                <w:szCs w:val="21"/>
              </w:rPr>
            </w:pPr>
          </w:p>
        </w:tc>
        <w:tc>
          <w:tcPr>
            <w:tcW w:w="957" w:type="dxa"/>
            <w:tcBorders>
              <w:right w:val="single" w:color="auto" w:sz="4" w:space="0"/>
            </w:tcBorders>
            <w:vAlign w:val="center"/>
          </w:tcPr>
          <w:p w14:paraId="68FC5975">
            <w:pPr>
              <w:jc w:val="center"/>
              <w:rPr>
                <w:color w:val="auto"/>
                <w:szCs w:val="21"/>
              </w:rPr>
            </w:pPr>
          </w:p>
        </w:tc>
        <w:tc>
          <w:tcPr>
            <w:tcW w:w="2124" w:type="dxa"/>
            <w:tcBorders>
              <w:left w:val="single" w:color="auto" w:sz="4" w:space="0"/>
            </w:tcBorders>
            <w:vAlign w:val="center"/>
          </w:tcPr>
          <w:p w14:paraId="3400C55B">
            <w:pPr>
              <w:jc w:val="center"/>
              <w:rPr>
                <w:color w:val="auto"/>
                <w:szCs w:val="21"/>
              </w:rPr>
            </w:pPr>
          </w:p>
        </w:tc>
        <w:tc>
          <w:tcPr>
            <w:tcW w:w="2127" w:type="dxa"/>
            <w:vAlign w:val="center"/>
          </w:tcPr>
          <w:p w14:paraId="1CA00476">
            <w:pPr>
              <w:jc w:val="center"/>
              <w:rPr>
                <w:color w:val="auto"/>
                <w:szCs w:val="21"/>
              </w:rPr>
            </w:pPr>
          </w:p>
        </w:tc>
        <w:tc>
          <w:tcPr>
            <w:tcW w:w="992" w:type="dxa"/>
            <w:vAlign w:val="center"/>
          </w:tcPr>
          <w:p w14:paraId="41D7D286">
            <w:pPr>
              <w:jc w:val="center"/>
              <w:rPr>
                <w:color w:val="auto"/>
                <w:szCs w:val="21"/>
              </w:rPr>
            </w:pPr>
          </w:p>
        </w:tc>
        <w:tc>
          <w:tcPr>
            <w:tcW w:w="709" w:type="dxa"/>
            <w:tcBorders>
              <w:top w:val="single" w:color="auto" w:sz="4" w:space="0"/>
              <w:bottom w:val="single" w:color="auto" w:sz="4" w:space="0"/>
            </w:tcBorders>
            <w:vAlign w:val="center"/>
          </w:tcPr>
          <w:p w14:paraId="0FB4263D">
            <w:pPr>
              <w:jc w:val="center"/>
              <w:rPr>
                <w:color w:val="auto"/>
                <w:szCs w:val="21"/>
              </w:rPr>
            </w:pPr>
          </w:p>
        </w:tc>
        <w:tc>
          <w:tcPr>
            <w:tcW w:w="751" w:type="dxa"/>
            <w:tcBorders>
              <w:top w:val="single" w:color="auto" w:sz="4" w:space="0"/>
              <w:bottom w:val="single" w:color="auto" w:sz="4" w:space="0"/>
            </w:tcBorders>
            <w:vAlign w:val="center"/>
          </w:tcPr>
          <w:p w14:paraId="0D2BB78C">
            <w:pPr>
              <w:jc w:val="center"/>
              <w:rPr>
                <w:color w:val="auto"/>
                <w:szCs w:val="21"/>
              </w:rPr>
            </w:pPr>
          </w:p>
        </w:tc>
        <w:tc>
          <w:tcPr>
            <w:tcW w:w="971" w:type="dxa"/>
            <w:vAlign w:val="center"/>
          </w:tcPr>
          <w:p w14:paraId="612D30FA">
            <w:pPr>
              <w:jc w:val="center"/>
              <w:rPr>
                <w:color w:val="auto"/>
                <w:szCs w:val="21"/>
              </w:rPr>
            </w:pPr>
          </w:p>
        </w:tc>
      </w:tr>
      <w:tr w14:paraId="787B1AF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62" w:hRule="atLeast"/>
        </w:trPr>
        <w:tc>
          <w:tcPr>
            <w:tcW w:w="429" w:type="dxa"/>
            <w:vAlign w:val="center"/>
          </w:tcPr>
          <w:p w14:paraId="6F06B03E">
            <w:pPr>
              <w:jc w:val="center"/>
              <w:rPr>
                <w:color w:val="auto"/>
                <w:szCs w:val="21"/>
              </w:rPr>
            </w:pPr>
          </w:p>
        </w:tc>
        <w:tc>
          <w:tcPr>
            <w:tcW w:w="957" w:type="dxa"/>
            <w:tcBorders>
              <w:right w:val="single" w:color="auto" w:sz="4" w:space="0"/>
            </w:tcBorders>
            <w:vAlign w:val="center"/>
          </w:tcPr>
          <w:p w14:paraId="6EA42EF6">
            <w:pPr>
              <w:jc w:val="center"/>
              <w:rPr>
                <w:color w:val="auto"/>
                <w:szCs w:val="21"/>
              </w:rPr>
            </w:pPr>
          </w:p>
        </w:tc>
        <w:tc>
          <w:tcPr>
            <w:tcW w:w="2124" w:type="dxa"/>
            <w:tcBorders>
              <w:left w:val="single" w:color="auto" w:sz="4" w:space="0"/>
            </w:tcBorders>
            <w:vAlign w:val="center"/>
          </w:tcPr>
          <w:p w14:paraId="2BAA77B3">
            <w:pPr>
              <w:jc w:val="center"/>
              <w:rPr>
                <w:color w:val="auto"/>
                <w:szCs w:val="21"/>
              </w:rPr>
            </w:pPr>
          </w:p>
        </w:tc>
        <w:tc>
          <w:tcPr>
            <w:tcW w:w="2127" w:type="dxa"/>
            <w:vAlign w:val="center"/>
          </w:tcPr>
          <w:p w14:paraId="45BEC9E5">
            <w:pPr>
              <w:jc w:val="center"/>
              <w:rPr>
                <w:color w:val="auto"/>
                <w:szCs w:val="21"/>
              </w:rPr>
            </w:pPr>
          </w:p>
        </w:tc>
        <w:tc>
          <w:tcPr>
            <w:tcW w:w="992" w:type="dxa"/>
            <w:vAlign w:val="center"/>
          </w:tcPr>
          <w:p w14:paraId="4354350D">
            <w:pPr>
              <w:jc w:val="center"/>
              <w:rPr>
                <w:color w:val="auto"/>
                <w:szCs w:val="21"/>
              </w:rPr>
            </w:pPr>
          </w:p>
        </w:tc>
        <w:tc>
          <w:tcPr>
            <w:tcW w:w="709" w:type="dxa"/>
            <w:tcBorders>
              <w:top w:val="single" w:color="auto" w:sz="4" w:space="0"/>
              <w:bottom w:val="single" w:color="auto" w:sz="4" w:space="0"/>
            </w:tcBorders>
            <w:vAlign w:val="center"/>
          </w:tcPr>
          <w:p w14:paraId="10840BEB">
            <w:pPr>
              <w:jc w:val="center"/>
              <w:rPr>
                <w:color w:val="auto"/>
                <w:szCs w:val="21"/>
              </w:rPr>
            </w:pPr>
          </w:p>
        </w:tc>
        <w:tc>
          <w:tcPr>
            <w:tcW w:w="751" w:type="dxa"/>
            <w:tcBorders>
              <w:top w:val="single" w:color="auto" w:sz="4" w:space="0"/>
              <w:bottom w:val="single" w:color="auto" w:sz="4" w:space="0"/>
            </w:tcBorders>
            <w:vAlign w:val="center"/>
          </w:tcPr>
          <w:p w14:paraId="34C9E1D5">
            <w:pPr>
              <w:jc w:val="center"/>
              <w:rPr>
                <w:color w:val="auto"/>
                <w:szCs w:val="21"/>
              </w:rPr>
            </w:pPr>
          </w:p>
        </w:tc>
        <w:tc>
          <w:tcPr>
            <w:tcW w:w="971" w:type="dxa"/>
            <w:vAlign w:val="center"/>
          </w:tcPr>
          <w:p w14:paraId="3FE96958">
            <w:pPr>
              <w:jc w:val="center"/>
              <w:rPr>
                <w:color w:val="auto"/>
                <w:szCs w:val="21"/>
              </w:rPr>
            </w:pPr>
          </w:p>
        </w:tc>
      </w:tr>
      <w:tr w14:paraId="07BD1AB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62" w:hRule="atLeast"/>
        </w:trPr>
        <w:tc>
          <w:tcPr>
            <w:tcW w:w="429" w:type="dxa"/>
            <w:vAlign w:val="center"/>
          </w:tcPr>
          <w:p w14:paraId="25C5CF25">
            <w:pPr>
              <w:jc w:val="center"/>
              <w:rPr>
                <w:color w:val="auto"/>
                <w:szCs w:val="21"/>
              </w:rPr>
            </w:pPr>
          </w:p>
        </w:tc>
        <w:tc>
          <w:tcPr>
            <w:tcW w:w="957" w:type="dxa"/>
            <w:tcBorders>
              <w:right w:val="single" w:color="auto" w:sz="4" w:space="0"/>
            </w:tcBorders>
            <w:vAlign w:val="center"/>
          </w:tcPr>
          <w:p w14:paraId="30A88374">
            <w:pPr>
              <w:jc w:val="center"/>
              <w:rPr>
                <w:color w:val="auto"/>
                <w:szCs w:val="21"/>
              </w:rPr>
            </w:pPr>
          </w:p>
        </w:tc>
        <w:tc>
          <w:tcPr>
            <w:tcW w:w="2124" w:type="dxa"/>
            <w:tcBorders>
              <w:left w:val="single" w:color="auto" w:sz="4" w:space="0"/>
            </w:tcBorders>
            <w:vAlign w:val="center"/>
          </w:tcPr>
          <w:p w14:paraId="4BC7B7C8">
            <w:pPr>
              <w:jc w:val="center"/>
              <w:rPr>
                <w:color w:val="auto"/>
                <w:szCs w:val="21"/>
              </w:rPr>
            </w:pPr>
          </w:p>
        </w:tc>
        <w:tc>
          <w:tcPr>
            <w:tcW w:w="2127" w:type="dxa"/>
            <w:vAlign w:val="center"/>
          </w:tcPr>
          <w:p w14:paraId="47E247CD">
            <w:pPr>
              <w:jc w:val="center"/>
              <w:rPr>
                <w:color w:val="auto"/>
                <w:szCs w:val="21"/>
              </w:rPr>
            </w:pPr>
          </w:p>
        </w:tc>
        <w:tc>
          <w:tcPr>
            <w:tcW w:w="992" w:type="dxa"/>
            <w:vAlign w:val="center"/>
          </w:tcPr>
          <w:p w14:paraId="4EE95CA3">
            <w:pPr>
              <w:jc w:val="center"/>
              <w:rPr>
                <w:color w:val="auto"/>
                <w:szCs w:val="21"/>
              </w:rPr>
            </w:pPr>
          </w:p>
        </w:tc>
        <w:tc>
          <w:tcPr>
            <w:tcW w:w="709" w:type="dxa"/>
            <w:tcBorders>
              <w:top w:val="single" w:color="auto" w:sz="4" w:space="0"/>
            </w:tcBorders>
            <w:vAlign w:val="center"/>
          </w:tcPr>
          <w:p w14:paraId="6993B8E5">
            <w:pPr>
              <w:jc w:val="center"/>
              <w:rPr>
                <w:color w:val="auto"/>
                <w:szCs w:val="21"/>
              </w:rPr>
            </w:pPr>
          </w:p>
        </w:tc>
        <w:tc>
          <w:tcPr>
            <w:tcW w:w="751" w:type="dxa"/>
            <w:tcBorders>
              <w:top w:val="single" w:color="auto" w:sz="4" w:space="0"/>
            </w:tcBorders>
            <w:vAlign w:val="center"/>
          </w:tcPr>
          <w:p w14:paraId="632927AB">
            <w:pPr>
              <w:jc w:val="center"/>
              <w:rPr>
                <w:color w:val="auto"/>
                <w:szCs w:val="21"/>
              </w:rPr>
            </w:pPr>
          </w:p>
        </w:tc>
        <w:tc>
          <w:tcPr>
            <w:tcW w:w="971" w:type="dxa"/>
            <w:vAlign w:val="center"/>
          </w:tcPr>
          <w:p w14:paraId="3CE3BC57">
            <w:pPr>
              <w:jc w:val="center"/>
              <w:rPr>
                <w:color w:val="auto"/>
                <w:szCs w:val="21"/>
              </w:rPr>
            </w:pPr>
          </w:p>
        </w:tc>
      </w:tr>
    </w:tbl>
    <w:p w14:paraId="7CB5BDE8">
      <w:pPr>
        <w:adjustRightInd w:val="0"/>
        <w:snapToGrid w:val="0"/>
        <w:spacing w:line="360" w:lineRule="auto"/>
        <w:rPr>
          <w:color w:val="auto"/>
        </w:rPr>
      </w:pPr>
    </w:p>
    <w:p w14:paraId="634363AB">
      <w:pPr>
        <w:adjustRightInd w:val="0"/>
        <w:snapToGrid w:val="0"/>
        <w:spacing w:line="360" w:lineRule="auto"/>
        <w:rPr>
          <w:rFonts w:ascii="宋体" w:hAnsi="宋体"/>
          <w:color w:val="auto"/>
          <w:szCs w:val="21"/>
        </w:rPr>
      </w:pPr>
    </w:p>
    <w:p w14:paraId="2B5370A9">
      <w:pPr>
        <w:adjustRightInd w:val="0"/>
        <w:snapToGrid w:val="0"/>
        <w:spacing w:line="360" w:lineRule="auto"/>
        <w:rPr>
          <w:rFonts w:ascii="宋体" w:hAnsi="宋体"/>
          <w:color w:val="auto"/>
          <w:szCs w:val="21"/>
        </w:rPr>
      </w:pPr>
    </w:p>
    <w:p w14:paraId="3B15DF8F">
      <w:pPr>
        <w:pStyle w:val="4"/>
        <w:adjustRightInd w:val="0"/>
        <w:snapToGrid w:val="0"/>
        <w:spacing w:before="120" w:beforeLines="50" w:after="0" w:line="360" w:lineRule="auto"/>
        <w:jc w:val="center"/>
        <w:rPr>
          <w:rFonts w:ascii="黑体" w:hAnsi="黑体" w:eastAsia="黑体"/>
          <w:color w:val="auto"/>
          <w:sz w:val="28"/>
          <w:szCs w:val="28"/>
        </w:rPr>
      </w:pPr>
      <w:r>
        <w:rPr>
          <w:rFonts w:hint="eastAsia" w:ascii="黑体" w:hAnsi="黑体" w:eastAsia="黑体"/>
          <w:color w:val="auto"/>
          <w:sz w:val="28"/>
          <w:szCs w:val="28"/>
        </w:rPr>
        <w:br w:type="page"/>
      </w:r>
      <w:bookmarkStart w:id="236" w:name="_Toc21875"/>
      <w:r>
        <w:rPr>
          <w:rFonts w:hint="eastAsia" w:ascii="黑体" w:hAnsi="黑体" w:eastAsia="黑体"/>
          <w:color w:val="auto"/>
          <w:sz w:val="28"/>
          <w:szCs w:val="28"/>
        </w:rPr>
        <w:t>八、合同条款偏离表</w:t>
      </w:r>
      <w:bookmarkEnd w:id="236"/>
    </w:p>
    <w:p w14:paraId="512E3475">
      <w:pPr>
        <w:adjustRightInd w:val="0"/>
        <w:snapToGrid w:val="0"/>
        <w:spacing w:before="120" w:beforeLines="50" w:line="360" w:lineRule="auto"/>
        <w:rPr>
          <w:rFonts w:asciiTheme="minorEastAsia" w:hAnsiTheme="minorEastAsia" w:eastAsiaTheme="minorEastAsia"/>
          <w:color w:val="auto"/>
          <w:szCs w:val="21"/>
          <w:u w:val="single"/>
        </w:rPr>
      </w:pPr>
      <w:r>
        <w:rPr>
          <w:rFonts w:hint="eastAsia" w:ascii="宋体" w:hAnsi="宋体"/>
          <w:color w:val="auto"/>
          <w:spacing w:val="28"/>
          <w:szCs w:val="21"/>
        </w:rPr>
        <w:t>采购人项目编号/采购代理编号</w:t>
      </w:r>
      <w:r>
        <w:rPr>
          <w:rFonts w:hint="eastAsia" w:ascii="宋体" w:hAnsi="宋体"/>
          <w:color w:val="auto"/>
          <w:szCs w:val="21"/>
        </w:rPr>
        <w:t>:</w:t>
      </w:r>
      <w:r>
        <w:rPr>
          <w:rFonts w:hint="eastAsia" w:ascii="宋体" w:hAnsi="宋体"/>
          <w:color w:val="auto"/>
          <w:szCs w:val="21"/>
          <w:u w:val="single"/>
        </w:rPr>
        <w:t xml:space="preserve">                      </w:t>
      </w:r>
      <w:r>
        <w:rPr>
          <w:rFonts w:hint="eastAsia" w:ascii="宋体" w:hAnsi="宋体"/>
          <w:color w:val="auto"/>
          <w:szCs w:val="21"/>
        </w:rPr>
        <w:t xml:space="preserve"> </w:t>
      </w:r>
      <w:r>
        <w:rPr>
          <w:rFonts w:hint="eastAsia" w:asciiTheme="minorEastAsia" w:hAnsiTheme="minorEastAsia" w:eastAsiaTheme="minorEastAsia"/>
          <w:color w:val="auto"/>
          <w:szCs w:val="21"/>
        </w:rPr>
        <w:t>项目名称：</w:t>
      </w:r>
      <w:r>
        <w:rPr>
          <w:rFonts w:hint="eastAsia" w:ascii="宋体" w:hAnsi="宋体"/>
          <w:color w:val="auto"/>
          <w:szCs w:val="21"/>
          <w:u w:val="single"/>
        </w:rPr>
        <w:t xml:space="preserve">                 </w:t>
      </w:r>
    </w:p>
    <w:p w14:paraId="749F5F97">
      <w:pPr>
        <w:adjustRightInd w:val="0"/>
        <w:snapToGrid w:val="0"/>
        <w:spacing w:before="50" w:line="360" w:lineRule="auto"/>
        <w:rPr>
          <w:rFonts w:ascii="宋体" w:hAnsi="宋体"/>
          <w:color w:val="auto"/>
          <w:szCs w:val="21"/>
          <w:u w:val="single"/>
        </w:rPr>
      </w:pPr>
      <w:r>
        <w:rPr>
          <w:rFonts w:hint="eastAsia" w:asciiTheme="minorEastAsia" w:hAnsiTheme="minorEastAsia" w:eastAsiaTheme="minorEastAsia"/>
          <w:color w:val="auto"/>
          <w:szCs w:val="21"/>
        </w:rPr>
        <w:t>包  号（如有）：</w:t>
      </w:r>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olor w:val="auto"/>
          <w:szCs w:val="21"/>
          <w:u w:val="single"/>
        </w:rPr>
        <w:t xml:space="preserve">              </w:t>
      </w:r>
      <w:r>
        <w:rPr>
          <w:rFonts w:hint="eastAsia" w:asciiTheme="minorEastAsia" w:hAnsiTheme="minorEastAsia" w:eastAsiaTheme="minorEastAsia"/>
          <w:color w:val="auto"/>
          <w:szCs w:val="21"/>
        </w:rPr>
        <w:t xml:space="preserve">     </w:t>
      </w:r>
      <w:r>
        <w:rPr>
          <w:rFonts w:asciiTheme="minorEastAsia" w:hAnsiTheme="minorEastAsia" w:eastAsiaTheme="minorEastAsia"/>
          <w:color w:val="auto"/>
          <w:szCs w:val="21"/>
        </w:rPr>
        <w:t xml:space="preserve">  </w:t>
      </w:r>
      <w:r>
        <w:rPr>
          <w:rFonts w:hint="eastAsia" w:asciiTheme="minorEastAsia" w:hAnsiTheme="minorEastAsia" w:eastAsiaTheme="minorEastAsia"/>
          <w:color w:val="auto"/>
          <w:szCs w:val="21"/>
        </w:rPr>
        <w:t xml:space="preserve">     包名称（如有）：</w:t>
      </w:r>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olor w:val="auto"/>
          <w:szCs w:val="21"/>
          <w:u w:val="single"/>
        </w:rPr>
        <w:t xml:space="preserve"> </w:t>
      </w:r>
    </w:p>
    <w:tbl>
      <w:tblPr>
        <w:tblStyle w:val="41"/>
        <w:tblW w:w="5000" w:type="pct"/>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28" w:type="dxa"/>
          <w:bottom w:w="0" w:type="dxa"/>
          <w:right w:w="28" w:type="dxa"/>
        </w:tblCellMar>
      </w:tblPr>
      <w:tblGrid>
        <w:gridCol w:w="575"/>
        <w:gridCol w:w="2331"/>
        <w:gridCol w:w="1920"/>
        <w:gridCol w:w="2014"/>
        <w:gridCol w:w="1879"/>
      </w:tblGrid>
      <w:tr w14:paraId="3135122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330" w:type="pct"/>
            <w:vAlign w:val="center"/>
          </w:tcPr>
          <w:p w14:paraId="2123240F">
            <w:pPr>
              <w:adjustRightInd w:val="0"/>
              <w:snapToGrid w:val="0"/>
              <w:spacing w:before="50" w:line="360" w:lineRule="auto"/>
              <w:ind w:left="-88" w:leftChars="-42"/>
              <w:jc w:val="center"/>
              <w:rPr>
                <w:rFonts w:asciiTheme="minorEastAsia" w:hAnsiTheme="minorEastAsia" w:eastAsiaTheme="minorEastAsia"/>
                <w:color w:val="auto"/>
                <w:szCs w:val="21"/>
              </w:rPr>
            </w:pPr>
            <w:r>
              <w:rPr>
                <w:rFonts w:hint="eastAsia" w:asciiTheme="minorEastAsia" w:hAnsiTheme="minorEastAsia" w:eastAsiaTheme="minorEastAsia"/>
                <w:bCs/>
                <w:color w:val="auto"/>
                <w:szCs w:val="21"/>
              </w:rPr>
              <w:t>序</w:t>
            </w:r>
            <w:r>
              <w:rPr>
                <w:rFonts w:hint="eastAsia" w:asciiTheme="minorEastAsia" w:hAnsiTheme="minorEastAsia" w:eastAsiaTheme="minorEastAsia"/>
                <w:color w:val="auto"/>
                <w:szCs w:val="21"/>
              </w:rPr>
              <w:t>号</w:t>
            </w:r>
          </w:p>
        </w:tc>
        <w:tc>
          <w:tcPr>
            <w:tcW w:w="1337" w:type="pct"/>
            <w:vAlign w:val="center"/>
          </w:tcPr>
          <w:p w14:paraId="5C2B2532">
            <w:pPr>
              <w:adjustRightInd w:val="0"/>
              <w:snapToGrid w:val="0"/>
              <w:spacing w:before="50" w:line="360" w:lineRule="auto"/>
              <w:ind w:left="-88" w:leftChars="-42"/>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招标文件章节</w:t>
            </w:r>
            <w:r>
              <w:rPr>
                <w:rFonts w:hint="eastAsia" w:asciiTheme="minorEastAsia" w:hAnsiTheme="minorEastAsia" w:eastAsiaTheme="minorEastAsia"/>
                <w:bCs/>
                <w:color w:val="auto"/>
                <w:szCs w:val="21"/>
              </w:rPr>
              <w:t>条</w:t>
            </w:r>
            <w:r>
              <w:rPr>
                <w:rFonts w:hint="eastAsia" w:asciiTheme="minorEastAsia" w:hAnsiTheme="minorEastAsia" w:eastAsiaTheme="minorEastAsia"/>
                <w:color w:val="auto"/>
                <w:szCs w:val="21"/>
              </w:rPr>
              <w:t>款号</w:t>
            </w:r>
          </w:p>
        </w:tc>
        <w:tc>
          <w:tcPr>
            <w:tcW w:w="1101" w:type="pct"/>
            <w:vAlign w:val="center"/>
          </w:tcPr>
          <w:p w14:paraId="7E3ECF85">
            <w:pPr>
              <w:adjustRightInd w:val="0"/>
              <w:snapToGrid w:val="0"/>
              <w:spacing w:before="50" w:line="360" w:lineRule="auto"/>
              <w:ind w:left="-88" w:leftChars="-42"/>
              <w:jc w:val="center"/>
              <w:rPr>
                <w:rFonts w:asciiTheme="minorEastAsia" w:hAnsiTheme="minorEastAsia" w:eastAsiaTheme="minorEastAsia"/>
                <w:color w:val="auto"/>
                <w:szCs w:val="21"/>
              </w:rPr>
            </w:pPr>
            <w:r>
              <w:rPr>
                <w:rFonts w:hint="eastAsia"/>
                <w:color w:val="auto"/>
              </w:rPr>
              <w:t>招标文件要求</w:t>
            </w:r>
          </w:p>
        </w:tc>
        <w:tc>
          <w:tcPr>
            <w:tcW w:w="1155" w:type="pct"/>
            <w:tcBorders>
              <w:right w:val="single" w:color="auto" w:sz="4" w:space="0"/>
            </w:tcBorders>
            <w:vAlign w:val="center"/>
          </w:tcPr>
          <w:p w14:paraId="4AAC11C9">
            <w:pPr>
              <w:adjustRightInd w:val="0"/>
              <w:snapToGrid w:val="0"/>
              <w:spacing w:before="50" w:line="360" w:lineRule="auto"/>
              <w:jc w:val="center"/>
              <w:rPr>
                <w:rFonts w:asciiTheme="minorEastAsia" w:hAnsiTheme="minorEastAsia" w:eastAsiaTheme="minorEastAsia"/>
                <w:color w:val="auto"/>
                <w:szCs w:val="21"/>
              </w:rPr>
            </w:pPr>
            <w:r>
              <w:rPr>
                <w:rFonts w:hint="eastAsia"/>
                <w:color w:val="auto"/>
              </w:rPr>
              <w:t>投标文件的应答</w:t>
            </w:r>
          </w:p>
        </w:tc>
        <w:tc>
          <w:tcPr>
            <w:tcW w:w="1077" w:type="pct"/>
            <w:tcBorders>
              <w:left w:val="single" w:color="auto" w:sz="4" w:space="0"/>
            </w:tcBorders>
            <w:vAlign w:val="center"/>
          </w:tcPr>
          <w:p w14:paraId="46331839">
            <w:pPr>
              <w:adjustRightInd w:val="0"/>
              <w:snapToGrid w:val="0"/>
              <w:spacing w:before="50" w:line="360" w:lineRule="auto"/>
              <w:ind w:left="-88" w:leftChars="-42"/>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偏离说明</w:t>
            </w:r>
          </w:p>
        </w:tc>
      </w:tr>
      <w:tr w14:paraId="31AC3C7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330" w:type="pct"/>
            <w:vAlign w:val="center"/>
          </w:tcPr>
          <w:p w14:paraId="5C056A82">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1337" w:type="pct"/>
            <w:vAlign w:val="center"/>
          </w:tcPr>
          <w:p w14:paraId="56D3D3FE">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1101" w:type="pct"/>
          </w:tcPr>
          <w:p w14:paraId="17789E27">
            <w:pPr>
              <w:adjustRightInd w:val="0"/>
              <w:snapToGrid w:val="0"/>
              <w:spacing w:before="50" w:line="360" w:lineRule="auto"/>
              <w:rPr>
                <w:color w:val="auto"/>
              </w:rPr>
            </w:pPr>
          </w:p>
        </w:tc>
        <w:tc>
          <w:tcPr>
            <w:tcW w:w="1155" w:type="pct"/>
            <w:tcBorders>
              <w:right w:val="single" w:color="auto" w:sz="4" w:space="0"/>
            </w:tcBorders>
          </w:tcPr>
          <w:p w14:paraId="095800B5">
            <w:pPr>
              <w:adjustRightInd w:val="0"/>
              <w:snapToGrid w:val="0"/>
              <w:spacing w:before="50" w:line="360" w:lineRule="auto"/>
              <w:rPr>
                <w:color w:val="auto"/>
              </w:rPr>
            </w:pPr>
          </w:p>
        </w:tc>
        <w:tc>
          <w:tcPr>
            <w:tcW w:w="1077" w:type="pct"/>
            <w:tcBorders>
              <w:left w:val="single" w:color="auto" w:sz="4" w:space="0"/>
            </w:tcBorders>
          </w:tcPr>
          <w:p w14:paraId="101FDE9F">
            <w:pPr>
              <w:adjustRightInd w:val="0"/>
              <w:snapToGrid w:val="0"/>
              <w:spacing w:before="50" w:line="360" w:lineRule="auto"/>
              <w:ind w:left="-88" w:leftChars="-42"/>
              <w:jc w:val="center"/>
              <w:rPr>
                <w:rFonts w:asciiTheme="minorEastAsia" w:hAnsiTheme="minorEastAsia" w:eastAsiaTheme="minorEastAsia"/>
                <w:color w:val="auto"/>
                <w:szCs w:val="21"/>
              </w:rPr>
            </w:pPr>
          </w:p>
        </w:tc>
      </w:tr>
      <w:tr w14:paraId="208A628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330" w:type="pct"/>
            <w:vAlign w:val="center"/>
          </w:tcPr>
          <w:p w14:paraId="3797D494">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1337" w:type="pct"/>
            <w:vAlign w:val="center"/>
          </w:tcPr>
          <w:p w14:paraId="56C31292">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1101" w:type="pct"/>
            <w:vAlign w:val="center"/>
          </w:tcPr>
          <w:p w14:paraId="14AC5EF5">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1155" w:type="pct"/>
            <w:tcBorders>
              <w:right w:val="single" w:color="auto" w:sz="4" w:space="0"/>
            </w:tcBorders>
            <w:vAlign w:val="center"/>
          </w:tcPr>
          <w:p w14:paraId="33C39068">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1077" w:type="pct"/>
            <w:tcBorders>
              <w:left w:val="single" w:color="auto" w:sz="4" w:space="0"/>
            </w:tcBorders>
            <w:vAlign w:val="center"/>
          </w:tcPr>
          <w:p w14:paraId="7087B07B">
            <w:pPr>
              <w:adjustRightInd w:val="0"/>
              <w:snapToGrid w:val="0"/>
              <w:spacing w:before="50" w:line="360" w:lineRule="auto"/>
              <w:ind w:left="-88" w:leftChars="-42"/>
              <w:jc w:val="center"/>
              <w:rPr>
                <w:rFonts w:asciiTheme="minorEastAsia" w:hAnsiTheme="minorEastAsia" w:eastAsiaTheme="minorEastAsia"/>
                <w:color w:val="auto"/>
                <w:szCs w:val="21"/>
              </w:rPr>
            </w:pPr>
          </w:p>
        </w:tc>
      </w:tr>
      <w:tr w14:paraId="0BEF246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330" w:type="pct"/>
            <w:vAlign w:val="center"/>
          </w:tcPr>
          <w:p w14:paraId="77F3D5CC">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1337" w:type="pct"/>
            <w:vAlign w:val="center"/>
          </w:tcPr>
          <w:p w14:paraId="605DE8BF">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1101" w:type="pct"/>
            <w:vAlign w:val="center"/>
          </w:tcPr>
          <w:p w14:paraId="0DB6C81F">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1155" w:type="pct"/>
            <w:tcBorders>
              <w:right w:val="single" w:color="auto" w:sz="4" w:space="0"/>
            </w:tcBorders>
            <w:vAlign w:val="center"/>
          </w:tcPr>
          <w:p w14:paraId="382813D8">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1077" w:type="pct"/>
            <w:tcBorders>
              <w:left w:val="single" w:color="auto" w:sz="4" w:space="0"/>
            </w:tcBorders>
            <w:vAlign w:val="center"/>
          </w:tcPr>
          <w:p w14:paraId="748E235A">
            <w:pPr>
              <w:adjustRightInd w:val="0"/>
              <w:snapToGrid w:val="0"/>
              <w:spacing w:before="50" w:line="360" w:lineRule="auto"/>
              <w:ind w:left="-88" w:leftChars="-42"/>
              <w:jc w:val="center"/>
              <w:rPr>
                <w:rFonts w:asciiTheme="minorEastAsia" w:hAnsiTheme="minorEastAsia" w:eastAsiaTheme="minorEastAsia"/>
                <w:color w:val="auto"/>
                <w:szCs w:val="21"/>
              </w:rPr>
            </w:pPr>
          </w:p>
        </w:tc>
      </w:tr>
      <w:tr w14:paraId="6FA93A2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330" w:type="pct"/>
            <w:vAlign w:val="center"/>
          </w:tcPr>
          <w:p w14:paraId="7053CAFF">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1337" w:type="pct"/>
            <w:vAlign w:val="center"/>
          </w:tcPr>
          <w:p w14:paraId="599F7B17">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1101" w:type="pct"/>
            <w:vAlign w:val="center"/>
          </w:tcPr>
          <w:p w14:paraId="56421545">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1155" w:type="pct"/>
            <w:tcBorders>
              <w:right w:val="single" w:color="auto" w:sz="4" w:space="0"/>
            </w:tcBorders>
            <w:vAlign w:val="center"/>
          </w:tcPr>
          <w:p w14:paraId="4036D1D5">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1077" w:type="pct"/>
            <w:tcBorders>
              <w:left w:val="single" w:color="auto" w:sz="4" w:space="0"/>
            </w:tcBorders>
            <w:vAlign w:val="center"/>
          </w:tcPr>
          <w:p w14:paraId="121CA316">
            <w:pPr>
              <w:adjustRightInd w:val="0"/>
              <w:snapToGrid w:val="0"/>
              <w:spacing w:before="50" w:line="360" w:lineRule="auto"/>
              <w:ind w:left="-88" w:leftChars="-42"/>
              <w:jc w:val="center"/>
              <w:rPr>
                <w:rFonts w:asciiTheme="minorEastAsia" w:hAnsiTheme="minorEastAsia" w:eastAsiaTheme="minorEastAsia"/>
                <w:color w:val="auto"/>
                <w:szCs w:val="21"/>
              </w:rPr>
            </w:pPr>
          </w:p>
        </w:tc>
      </w:tr>
      <w:tr w14:paraId="118C78E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330" w:type="pct"/>
            <w:vAlign w:val="center"/>
          </w:tcPr>
          <w:p w14:paraId="4A2844EE">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1337" w:type="pct"/>
            <w:vAlign w:val="center"/>
          </w:tcPr>
          <w:p w14:paraId="05E92DD0">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1101" w:type="pct"/>
            <w:vAlign w:val="center"/>
          </w:tcPr>
          <w:p w14:paraId="5D8F45C0">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1155" w:type="pct"/>
            <w:tcBorders>
              <w:right w:val="single" w:color="auto" w:sz="4" w:space="0"/>
            </w:tcBorders>
            <w:vAlign w:val="center"/>
          </w:tcPr>
          <w:p w14:paraId="5C73B1A3">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1077" w:type="pct"/>
            <w:tcBorders>
              <w:left w:val="single" w:color="auto" w:sz="4" w:space="0"/>
            </w:tcBorders>
            <w:vAlign w:val="center"/>
          </w:tcPr>
          <w:p w14:paraId="5D72A0B7">
            <w:pPr>
              <w:adjustRightInd w:val="0"/>
              <w:snapToGrid w:val="0"/>
              <w:spacing w:before="50" w:line="360" w:lineRule="auto"/>
              <w:ind w:left="-88" w:leftChars="-42"/>
              <w:jc w:val="center"/>
              <w:rPr>
                <w:rFonts w:asciiTheme="minorEastAsia" w:hAnsiTheme="minorEastAsia" w:eastAsiaTheme="minorEastAsia"/>
                <w:color w:val="auto"/>
                <w:szCs w:val="21"/>
              </w:rPr>
            </w:pPr>
          </w:p>
        </w:tc>
      </w:tr>
      <w:tr w14:paraId="325FCC9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330" w:type="pct"/>
            <w:vAlign w:val="center"/>
          </w:tcPr>
          <w:p w14:paraId="55070963">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1337" w:type="pct"/>
            <w:vAlign w:val="center"/>
          </w:tcPr>
          <w:p w14:paraId="0A000225">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1101" w:type="pct"/>
            <w:vAlign w:val="center"/>
          </w:tcPr>
          <w:p w14:paraId="3D5EFD7D">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1155" w:type="pct"/>
            <w:tcBorders>
              <w:right w:val="single" w:color="auto" w:sz="4" w:space="0"/>
            </w:tcBorders>
            <w:vAlign w:val="center"/>
          </w:tcPr>
          <w:p w14:paraId="002F7929">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1077" w:type="pct"/>
            <w:tcBorders>
              <w:left w:val="single" w:color="auto" w:sz="4" w:space="0"/>
            </w:tcBorders>
            <w:vAlign w:val="center"/>
          </w:tcPr>
          <w:p w14:paraId="3847B7B7">
            <w:pPr>
              <w:adjustRightInd w:val="0"/>
              <w:snapToGrid w:val="0"/>
              <w:spacing w:before="50" w:line="360" w:lineRule="auto"/>
              <w:ind w:left="-88" w:leftChars="-42"/>
              <w:jc w:val="center"/>
              <w:rPr>
                <w:rFonts w:asciiTheme="minorEastAsia" w:hAnsiTheme="minorEastAsia" w:eastAsiaTheme="minorEastAsia"/>
                <w:color w:val="auto"/>
                <w:szCs w:val="21"/>
              </w:rPr>
            </w:pPr>
          </w:p>
        </w:tc>
      </w:tr>
      <w:tr w14:paraId="6E42E0C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330" w:type="pct"/>
            <w:vAlign w:val="center"/>
          </w:tcPr>
          <w:p w14:paraId="20377373">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1337" w:type="pct"/>
            <w:vAlign w:val="center"/>
          </w:tcPr>
          <w:p w14:paraId="0A54D307">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1101" w:type="pct"/>
            <w:vAlign w:val="center"/>
          </w:tcPr>
          <w:p w14:paraId="73307B9F">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2232" w:type="pct"/>
            <w:gridSpan w:val="2"/>
            <w:vAlign w:val="center"/>
          </w:tcPr>
          <w:p w14:paraId="260378ED">
            <w:pPr>
              <w:adjustRightInd w:val="0"/>
              <w:snapToGrid w:val="0"/>
              <w:spacing w:before="50" w:line="360" w:lineRule="auto"/>
              <w:ind w:firstLine="422" w:firstLineChars="200"/>
              <w:jc w:val="left"/>
              <w:rPr>
                <w:rFonts w:asciiTheme="minorEastAsia" w:hAnsiTheme="minorEastAsia" w:eastAsiaTheme="minorEastAsia"/>
                <w:b/>
                <w:color w:val="auto"/>
                <w:szCs w:val="21"/>
              </w:rPr>
            </w:pPr>
            <w:r>
              <w:rPr>
                <w:rFonts w:hint="eastAsia" w:asciiTheme="minorEastAsia" w:hAnsiTheme="minorEastAsia" w:eastAsiaTheme="minorEastAsia"/>
                <w:b/>
                <w:color w:val="auto"/>
                <w:szCs w:val="21"/>
              </w:rPr>
              <w:t>投标人保证：除本合同条款偏离表列出的偏离外，我单位对招标文件的其他商务、合同条款完全响应，无偏离。</w:t>
            </w:r>
          </w:p>
        </w:tc>
      </w:tr>
    </w:tbl>
    <w:p w14:paraId="16B72E55">
      <w:pPr>
        <w:adjustRightInd w:val="0"/>
        <w:snapToGrid w:val="0"/>
        <w:spacing w:before="50" w:line="360" w:lineRule="auto"/>
        <w:ind w:left="-88" w:leftChars="-42"/>
        <w:rPr>
          <w:rFonts w:ascii="宋体" w:hAnsi="宋体"/>
          <w:color w:val="auto"/>
          <w:szCs w:val="21"/>
        </w:rPr>
      </w:pPr>
      <w:r>
        <w:rPr>
          <w:rFonts w:hint="eastAsia" w:asciiTheme="minorEastAsia" w:hAnsiTheme="minorEastAsia" w:eastAsiaTheme="minorEastAsia"/>
          <w:b/>
          <w:color w:val="auto"/>
          <w:szCs w:val="21"/>
        </w:rPr>
        <w:t>备注</w:t>
      </w:r>
      <w:r>
        <w:rPr>
          <w:rFonts w:hint="eastAsia" w:asciiTheme="minorEastAsia" w:hAnsiTheme="minorEastAsia" w:eastAsiaTheme="minorEastAsia"/>
          <w:color w:val="auto"/>
          <w:szCs w:val="21"/>
        </w:rPr>
        <w:t>：（1）</w:t>
      </w:r>
      <w:r>
        <w:rPr>
          <w:rFonts w:hint="eastAsia" w:ascii="宋体" w:hAnsi="宋体"/>
          <w:color w:val="auto"/>
          <w:szCs w:val="21"/>
        </w:rPr>
        <w:t>投标人应根据招标文件第六章</w:t>
      </w:r>
      <w:r>
        <w:rPr>
          <w:rFonts w:hint="eastAsia" w:ascii="华文宋体" w:hAnsi="华文宋体" w:eastAsia="华文宋体"/>
          <w:color w:val="auto"/>
          <w:szCs w:val="21"/>
        </w:rPr>
        <w:t>“</w:t>
      </w:r>
      <w:r>
        <w:rPr>
          <w:rFonts w:hint="eastAsia" w:ascii="宋体" w:hAnsi="宋体"/>
          <w:color w:val="auto"/>
          <w:szCs w:val="21"/>
        </w:rPr>
        <w:t>政府采购合同</w:t>
      </w:r>
      <w:r>
        <w:rPr>
          <w:rFonts w:hint="eastAsia" w:ascii="华文宋体" w:hAnsi="华文宋体" w:eastAsia="华文宋体"/>
          <w:color w:val="auto"/>
          <w:szCs w:val="21"/>
        </w:rPr>
        <w:t>”</w:t>
      </w:r>
      <w:r>
        <w:rPr>
          <w:rFonts w:hint="eastAsia" w:ascii="宋体" w:hAnsi="宋体"/>
          <w:color w:val="auto"/>
          <w:szCs w:val="21"/>
        </w:rPr>
        <w:t>填写本表；</w:t>
      </w:r>
    </w:p>
    <w:p w14:paraId="0C793126">
      <w:pPr>
        <w:adjustRightInd w:val="0"/>
        <w:snapToGrid w:val="0"/>
        <w:spacing w:before="50" w:line="360" w:lineRule="auto"/>
        <w:ind w:left="-88" w:leftChars="-42" w:firstLine="420" w:firstLineChars="200"/>
        <w:rPr>
          <w:rFonts w:ascii="宋体" w:hAnsi="宋体"/>
          <w:b/>
          <w:color w:val="auto"/>
          <w:szCs w:val="21"/>
        </w:rPr>
      </w:pPr>
      <w:r>
        <w:rPr>
          <w:rFonts w:hint="eastAsia" w:asciiTheme="minorEastAsia" w:hAnsiTheme="minorEastAsia" w:eastAsiaTheme="minorEastAsia"/>
          <w:color w:val="auto"/>
          <w:szCs w:val="21"/>
        </w:rPr>
        <w:t>（2）</w:t>
      </w:r>
      <w:r>
        <w:rPr>
          <w:rFonts w:hint="eastAsia" w:ascii="宋体" w:hAnsi="宋体"/>
          <w:b/>
          <w:color w:val="auto"/>
          <w:szCs w:val="21"/>
        </w:rPr>
        <w:t>投标人如果对招标文件第六章“政府采购合同”的响应有偏离，应将偏离条款逐条如实应答，并作出说明；</w:t>
      </w:r>
    </w:p>
    <w:p w14:paraId="205F301C">
      <w:pPr>
        <w:adjustRightInd w:val="0"/>
        <w:snapToGrid w:val="0"/>
        <w:spacing w:before="50" w:line="360" w:lineRule="auto"/>
        <w:ind w:left="-88" w:leftChars="-42" w:firstLine="420" w:firstLineChars="200"/>
        <w:rPr>
          <w:rFonts w:ascii="宋体" w:hAnsi="宋体"/>
          <w:color w:val="auto"/>
          <w:szCs w:val="21"/>
        </w:rPr>
      </w:pPr>
      <w:r>
        <w:rPr>
          <w:rFonts w:hint="eastAsia" w:asciiTheme="minorEastAsia" w:hAnsiTheme="minorEastAsia" w:eastAsiaTheme="minorEastAsia"/>
          <w:color w:val="auto"/>
          <w:szCs w:val="21"/>
        </w:rPr>
        <w:t>（3）</w:t>
      </w:r>
      <w:r>
        <w:rPr>
          <w:rFonts w:hint="eastAsia" w:ascii="宋体" w:hAnsi="宋体"/>
          <w:color w:val="auto"/>
          <w:szCs w:val="21"/>
        </w:rPr>
        <w:t>如不提供此表，则视为投标人不满足招标文件第六章的所有条款要求，</w:t>
      </w:r>
      <w:r>
        <w:rPr>
          <w:rFonts w:hint="eastAsia" w:asciiTheme="minorEastAsia" w:hAnsiTheme="minorEastAsia" w:eastAsiaTheme="minorEastAsia"/>
          <w:color w:val="auto"/>
          <w:szCs w:val="21"/>
        </w:rPr>
        <w:t>其</w:t>
      </w:r>
      <w:r>
        <w:rPr>
          <w:rFonts w:hint="eastAsia" w:asciiTheme="minorEastAsia" w:hAnsiTheme="minorEastAsia" w:eastAsiaTheme="minorEastAsia"/>
          <w:b/>
          <w:color w:val="auto"/>
          <w:szCs w:val="21"/>
        </w:rPr>
        <w:t>投标无效</w:t>
      </w:r>
      <w:r>
        <w:rPr>
          <w:rFonts w:hint="eastAsia" w:ascii="宋体" w:hAnsi="宋体"/>
          <w:color w:val="auto"/>
          <w:szCs w:val="21"/>
        </w:rPr>
        <w:t>。</w:t>
      </w:r>
    </w:p>
    <w:p w14:paraId="7EC56993">
      <w:pPr>
        <w:adjustRightInd w:val="0"/>
        <w:snapToGrid w:val="0"/>
        <w:spacing w:before="50" w:line="360" w:lineRule="auto"/>
        <w:ind w:left="-88" w:leftChars="-42" w:firstLine="420" w:firstLineChars="200"/>
        <w:rPr>
          <w:rFonts w:ascii="宋体" w:hAnsi="宋体"/>
          <w:color w:val="auto"/>
          <w:szCs w:val="21"/>
        </w:rPr>
      </w:pPr>
      <w:r>
        <w:rPr>
          <w:rFonts w:hint="eastAsia" w:asciiTheme="minorEastAsia" w:hAnsiTheme="minorEastAsia" w:eastAsiaTheme="minorEastAsia"/>
          <w:color w:val="auto"/>
          <w:szCs w:val="21"/>
        </w:rPr>
        <w:t>（4）在采购人与中标人签订合同时，如中标人未在投标文件“合同条款偏离表”中列出偏离说明，无论已发生或即将发生任何情形，均视为完全符合招标文件要求，并写入合同。若中标人在合同签订前，以上述事项为借口而不履行合同签订手续及执行合同，则视作拒绝与采购人签订合同。</w:t>
      </w:r>
    </w:p>
    <w:p w14:paraId="76703093">
      <w:pPr>
        <w:adjustRightInd w:val="0"/>
        <w:snapToGrid w:val="0"/>
        <w:spacing w:before="50" w:line="360" w:lineRule="auto"/>
        <w:rPr>
          <w:rFonts w:asciiTheme="minorEastAsia" w:hAnsiTheme="minorEastAsia" w:eastAsiaTheme="minorEastAsia"/>
          <w:color w:val="auto"/>
          <w:szCs w:val="21"/>
        </w:rPr>
      </w:pPr>
    </w:p>
    <w:p w14:paraId="49046120">
      <w:pPr>
        <w:adjustRightInd w:val="0"/>
        <w:snapToGrid w:val="0"/>
        <w:spacing w:before="50" w:line="360" w:lineRule="auto"/>
        <w:rPr>
          <w:rFonts w:ascii="宋体" w:hAnsi="宋体"/>
          <w:color w:val="auto"/>
          <w:szCs w:val="21"/>
        </w:rPr>
      </w:pPr>
    </w:p>
    <w:p w14:paraId="480EEDDA">
      <w:pPr>
        <w:adjustRightInd w:val="0"/>
        <w:snapToGrid w:val="0"/>
        <w:spacing w:before="50" w:line="360" w:lineRule="auto"/>
        <w:rPr>
          <w:rFonts w:ascii="宋体" w:hAnsi="宋体"/>
          <w:color w:val="auto"/>
          <w:szCs w:val="21"/>
        </w:rPr>
      </w:pPr>
      <w:r>
        <w:rPr>
          <w:rFonts w:hint="eastAsia" w:ascii="宋体" w:hAnsi="宋体"/>
          <w:color w:val="auto"/>
          <w:szCs w:val="21"/>
        </w:rPr>
        <w:t>投标人名称（盖单位章）：</w:t>
      </w:r>
    </w:p>
    <w:p w14:paraId="7FC7AD3E">
      <w:pPr>
        <w:adjustRightInd w:val="0"/>
        <w:snapToGrid w:val="0"/>
        <w:spacing w:before="50" w:line="360" w:lineRule="auto"/>
        <w:rPr>
          <w:rFonts w:ascii="宋体" w:hAnsi="宋体"/>
          <w:color w:val="auto"/>
          <w:szCs w:val="21"/>
        </w:rPr>
      </w:pPr>
      <w:r>
        <w:rPr>
          <w:rFonts w:hint="eastAsia" w:cs="微软雅黑" w:asciiTheme="minorEastAsia" w:hAnsiTheme="minorEastAsia" w:eastAsiaTheme="minorEastAsia"/>
          <w:color w:val="auto"/>
          <w:spacing w:val="-2"/>
          <w:kern w:val="0"/>
          <w:szCs w:val="21"/>
        </w:rPr>
        <w:t>法</w:t>
      </w:r>
      <w:r>
        <w:rPr>
          <w:rFonts w:hint="eastAsia" w:cs="微软雅黑" w:asciiTheme="minorEastAsia" w:hAnsiTheme="minorEastAsia" w:eastAsiaTheme="minorEastAsia"/>
          <w:color w:val="auto"/>
          <w:kern w:val="0"/>
          <w:szCs w:val="21"/>
        </w:rPr>
        <w:t>定</w:t>
      </w:r>
      <w:r>
        <w:rPr>
          <w:rFonts w:hint="eastAsia" w:cs="微软雅黑" w:asciiTheme="minorEastAsia" w:hAnsiTheme="minorEastAsia" w:eastAsiaTheme="minorEastAsia"/>
          <w:color w:val="auto"/>
          <w:spacing w:val="-2"/>
          <w:kern w:val="0"/>
          <w:szCs w:val="21"/>
        </w:rPr>
        <w:t>代</w:t>
      </w:r>
      <w:r>
        <w:rPr>
          <w:rFonts w:hint="eastAsia" w:cs="微软雅黑" w:asciiTheme="minorEastAsia" w:hAnsiTheme="minorEastAsia" w:eastAsiaTheme="minorEastAsia"/>
          <w:color w:val="auto"/>
          <w:kern w:val="0"/>
          <w:szCs w:val="21"/>
        </w:rPr>
        <w:t>表</w:t>
      </w:r>
      <w:r>
        <w:rPr>
          <w:rFonts w:hint="eastAsia" w:cs="微软雅黑" w:asciiTheme="minorEastAsia" w:hAnsiTheme="minorEastAsia" w:eastAsiaTheme="minorEastAsia"/>
          <w:color w:val="auto"/>
          <w:spacing w:val="-2"/>
          <w:kern w:val="0"/>
          <w:szCs w:val="21"/>
        </w:rPr>
        <w:t>人</w:t>
      </w:r>
      <w:r>
        <w:rPr>
          <w:rFonts w:hint="eastAsia" w:cs="微软雅黑" w:asciiTheme="minorEastAsia" w:hAnsiTheme="minorEastAsia" w:eastAsiaTheme="minorEastAsia"/>
          <w:color w:val="auto"/>
          <w:kern w:val="0"/>
          <w:szCs w:val="21"/>
        </w:rPr>
        <w:t>（</w:t>
      </w:r>
      <w:r>
        <w:rPr>
          <w:rFonts w:hint="eastAsia" w:cs="微软雅黑" w:asciiTheme="minorEastAsia" w:hAnsiTheme="minorEastAsia" w:eastAsiaTheme="minorEastAsia"/>
          <w:color w:val="auto"/>
          <w:spacing w:val="-2"/>
          <w:kern w:val="0"/>
          <w:szCs w:val="21"/>
        </w:rPr>
        <w:t>单</w:t>
      </w:r>
      <w:r>
        <w:rPr>
          <w:rFonts w:hint="eastAsia" w:cs="微软雅黑" w:asciiTheme="minorEastAsia" w:hAnsiTheme="minorEastAsia" w:eastAsiaTheme="minorEastAsia"/>
          <w:color w:val="auto"/>
          <w:kern w:val="0"/>
          <w:szCs w:val="21"/>
        </w:rPr>
        <w:t>位</w:t>
      </w:r>
      <w:r>
        <w:rPr>
          <w:rFonts w:hint="eastAsia" w:cs="微软雅黑" w:asciiTheme="minorEastAsia" w:hAnsiTheme="minorEastAsia" w:eastAsiaTheme="minorEastAsia"/>
          <w:color w:val="auto"/>
          <w:spacing w:val="-2"/>
          <w:kern w:val="0"/>
          <w:szCs w:val="21"/>
        </w:rPr>
        <w:t>负</w:t>
      </w:r>
      <w:r>
        <w:rPr>
          <w:rFonts w:hint="eastAsia" w:cs="微软雅黑" w:asciiTheme="minorEastAsia" w:hAnsiTheme="minorEastAsia" w:eastAsiaTheme="minorEastAsia"/>
          <w:color w:val="auto"/>
          <w:kern w:val="0"/>
          <w:szCs w:val="21"/>
        </w:rPr>
        <w:t>责人</w:t>
      </w:r>
      <w:r>
        <w:rPr>
          <w:rFonts w:hint="eastAsia" w:cs="微软雅黑" w:asciiTheme="minorEastAsia" w:hAnsiTheme="minorEastAsia" w:eastAsiaTheme="minorEastAsia"/>
          <w:color w:val="auto"/>
          <w:spacing w:val="-2"/>
          <w:kern w:val="0"/>
          <w:szCs w:val="21"/>
        </w:rPr>
        <w:t>）</w:t>
      </w:r>
      <w:r>
        <w:rPr>
          <w:rFonts w:hint="eastAsia" w:ascii="宋体" w:hAnsi="宋体"/>
          <w:color w:val="auto"/>
          <w:szCs w:val="21"/>
        </w:rPr>
        <w:t>或其授权的代理人（签字或印章）：</w:t>
      </w:r>
    </w:p>
    <w:p w14:paraId="2A4E16B1">
      <w:pPr>
        <w:adjustRightInd w:val="0"/>
        <w:snapToGrid w:val="0"/>
        <w:spacing w:before="50"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日  期：     年   月   日</w:t>
      </w:r>
    </w:p>
    <w:p w14:paraId="10C93ED3">
      <w:pPr>
        <w:adjustRightInd w:val="0"/>
        <w:snapToGrid w:val="0"/>
        <w:spacing w:before="50" w:line="360" w:lineRule="auto"/>
        <w:rPr>
          <w:rFonts w:ascii="黑体" w:hAnsi="宋体" w:eastAsia="黑体"/>
          <w:b/>
          <w:bCs/>
          <w:color w:val="auto"/>
          <w:sz w:val="28"/>
          <w:szCs w:val="28"/>
        </w:rPr>
      </w:pPr>
      <w:r>
        <w:rPr>
          <w:rFonts w:ascii="黑体" w:hAnsi="宋体" w:eastAsia="黑体"/>
          <w:color w:val="auto"/>
          <w:sz w:val="28"/>
          <w:szCs w:val="28"/>
        </w:rPr>
        <w:br w:type="page"/>
      </w:r>
    </w:p>
    <w:p w14:paraId="137BD2D0">
      <w:pPr>
        <w:pStyle w:val="4"/>
        <w:adjustRightInd w:val="0"/>
        <w:snapToGrid w:val="0"/>
        <w:spacing w:before="120" w:beforeLines="50" w:after="0" w:line="360" w:lineRule="auto"/>
        <w:jc w:val="center"/>
        <w:rPr>
          <w:rFonts w:ascii="黑体" w:hAnsi="宋体" w:eastAsia="黑体"/>
          <w:color w:val="auto"/>
          <w:sz w:val="28"/>
          <w:szCs w:val="28"/>
        </w:rPr>
      </w:pPr>
      <w:bookmarkStart w:id="237" w:name="_Toc18956"/>
      <w:r>
        <w:rPr>
          <w:rFonts w:hint="eastAsia" w:ascii="黑体" w:hAnsi="宋体" w:eastAsia="黑体"/>
          <w:color w:val="auto"/>
          <w:sz w:val="28"/>
          <w:szCs w:val="28"/>
        </w:rPr>
        <w:t>九、采购需求偏离表</w:t>
      </w:r>
      <w:bookmarkEnd w:id="237"/>
    </w:p>
    <w:p w14:paraId="105324D8">
      <w:pPr>
        <w:adjustRightInd w:val="0"/>
        <w:snapToGrid w:val="0"/>
        <w:spacing w:before="120" w:beforeLines="50" w:line="360" w:lineRule="auto"/>
        <w:rPr>
          <w:rFonts w:asciiTheme="minorEastAsia" w:hAnsiTheme="minorEastAsia" w:eastAsiaTheme="minorEastAsia"/>
          <w:color w:val="auto"/>
          <w:szCs w:val="21"/>
          <w:u w:val="single"/>
        </w:rPr>
      </w:pPr>
      <w:r>
        <w:rPr>
          <w:rFonts w:hint="eastAsia" w:ascii="宋体" w:hAnsi="宋体"/>
          <w:color w:val="auto"/>
          <w:spacing w:val="28"/>
          <w:szCs w:val="21"/>
        </w:rPr>
        <w:t>采购人项目编号/采购代理编号</w:t>
      </w:r>
      <w:r>
        <w:rPr>
          <w:rFonts w:hint="eastAsia" w:ascii="宋体" w:hAnsi="宋体"/>
          <w:color w:val="auto"/>
          <w:szCs w:val="21"/>
        </w:rPr>
        <w:t>:</w:t>
      </w:r>
      <w:r>
        <w:rPr>
          <w:rFonts w:hint="eastAsia" w:ascii="宋体" w:hAnsi="宋体"/>
          <w:color w:val="auto"/>
          <w:szCs w:val="21"/>
          <w:u w:val="single"/>
        </w:rPr>
        <w:t xml:space="preserve">                      </w:t>
      </w:r>
      <w:r>
        <w:rPr>
          <w:rFonts w:hint="eastAsia" w:ascii="宋体" w:hAnsi="宋体"/>
          <w:color w:val="auto"/>
          <w:szCs w:val="21"/>
        </w:rPr>
        <w:t xml:space="preserve"> </w:t>
      </w:r>
      <w:r>
        <w:rPr>
          <w:rFonts w:hint="eastAsia" w:asciiTheme="minorEastAsia" w:hAnsiTheme="minorEastAsia" w:eastAsiaTheme="minorEastAsia"/>
          <w:color w:val="auto"/>
          <w:szCs w:val="21"/>
        </w:rPr>
        <w:t>项目名称：</w:t>
      </w:r>
      <w:r>
        <w:rPr>
          <w:rFonts w:hint="eastAsia" w:ascii="宋体" w:hAnsi="宋体"/>
          <w:color w:val="auto"/>
          <w:szCs w:val="21"/>
          <w:u w:val="single"/>
        </w:rPr>
        <w:t xml:space="preserve">                 </w:t>
      </w:r>
    </w:p>
    <w:p w14:paraId="60B93D8C">
      <w:pPr>
        <w:adjustRightInd w:val="0"/>
        <w:snapToGrid w:val="0"/>
        <w:spacing w:before="50" w:line="360" w:lineRule="auto"/>
        <w:rPr>
          <w:rFonts w:ascii="宋体" w:hAnsi="宋体"/>
          <w:color w:val="auto"/>
          <w:szCs w:val="21"/>
          <w:u w:val="single"/>
        </w:rPr>
      </w:pPr>
      <w:r>
        <w:rPr>
          <w:rFonts w:hint="eastAsia" w:asciiTheme="minorEastAsia" w:hAnsiTheme="minorEastAsia" w:eastAsiaTheme="minorEastAsia"/>
          <w:color w:val="auto"/>
          <w:szCs w:val="21"/>
        </w:rPr>
        <w:t>包  号（如有）：</w:t>
      </w:r>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olor w:val="auto"/>
          <w:szCs w:val="21"/>
          <w:u w:val="single"/>
        </w:rPr>
        <w:t xml:space="preserve">              </w:t>
      </w:r>
      <w:r>
        <w:rPr>
          <w:rFonts w:hint="eastAsia" w:asciiTheme="minorEastAsia" w:hAnsiTheme="minorEastAsia" w:eastAsiaTheme="minorEastAsia"/>
          <w:color w:val="auto"/>
          <w:szCs w:val="21"/>
        </w:rPr>
        <w:t xml:space="preserve">     </w:t>
      </w:r>
      <w:r>
        <w:rPr>
          <w:rFonts w:asciiTheme="minorEastAsia" w:hAnsiTheme="minorEastAsia" w:eastAsiaTheme="minorEastAsia"/>
          <w:color w:val="auto"/>
          <w:szCs w:val="21"/>
        </w:rPr>
        <w:t xml:space="preserve">  </w:t>
      </w:r>
      <w:r>
        <w:rPr>
          <w:rFonts w:hint="eastAsia" w:asciiTheme="minorEastAsia" w:hAnsiTheme="minorEastAsia" w:eastAsiaTheme="minorEastAsia"/>
          <w:color w:val="auto"/>
          <w:szCs w:val="21"/>
        </w:rPr>
        <w:t xml:space="preserve">     包名称（如有）：</w:t>
      </w:r>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olor w:val="auto"/>
          <w:szCs w:val="21"/>
          <w:u w:val="single"/>
        </w:rPr>
        <w:t xml:space="preserve"> </w:t>
      </w:r>
    </w:p>
    <w:tbl>
      <w:tblPr>
        <w:tblStyle w:val="41"/>
        <w:tblW w:w="5000" w:type="pct"/>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28" w:type="dxa"/>
          <w:bottom w:w="0" w:type="dxa"/>
          <w:right w:w="28" w:type="dxa"/>
        </w:tblCellMar>
      </w:tblPr>
      <w:tblGrid>
        <w:gridCol w:w="713"/>
        <w:gridCol w:w="2331"/>
        <w:gridCol w:w="1920"/>
        <w:gridCol w:w="2056"/>
        <w:gridCol w:w="1699"/>
      </w:tblGrid>
      <w:tr w14:paraId="0DFECD8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409" w:type="pct"/>
            <w:vAlign w:val="center"/>
          </w:tcPr>
          <w:p w14:paraId="3D7AFDD9">
            <w:pPr>
              <w:adjustRightInd w:val="0"/>
              <w:snapToGrid w:val="0"/>
              <w:spacing w:before="50" w:line="360" w:lineRule="auto"/>
              <w:ind w:left="-88" w:leftChars="-42"/>
              <w:jc w:val="center"/>
              <w:rPr>
                <w:rFonts w:asciiTheme="minorEastAsia" w:hAnsiTheme="minorEastAsia" w:eastAsiaTheme="minorEastAsia"/>
                <w:color w:val="auto"/>
                <w:szCs w:val="21"/>
              </w:rPr>
            </w:pPr>
            <w:r>
              <w:rPr>
                <w:rFonts w:hint="eastAsia" w:asciiTheme="minorEastAsia" w:hAnsiTheme="minorEastAsia" w:eastAsiaTheme="minorEastAsia"/>
                <w:bCs/>
                <w:color w:val="auto"/>
                <w:szCs w:val="21"/>
              </w:rPr>
              <w:t>序</w:t>
            </w:r>
            <w:r>
              <w:rPr>
                <w:rFonts w:hint="eastAsia" w:asciiTheme="minorEastAsia" w:hAnsiTheme="minorEastAsia" w:eastAsiaTheme="minorEastAsia"/>
                <w:color w:val="auto"/>
                <w:szCs w:val="21"/>
              </w:rPr>
              <w:t>号</w:t>
            </w:r>
          </w:p>
        </w:tc>
        <w:tc>
          <w:tcPr>
            <w:tcW w:w="1337" w:type="pct"/>
            <w:vAlign w:val="center"/>
          </w:tcPr>
          <w:p w14:paraId="32694D71">
            <w:pPr>
              <w:adjustRightInd w:val="0"/>
              <w:snapToGrid w:val="0"/>
              <w:spacing w:before="50" w:line="360" w:lineRule="auto"/>
              <w:ind w:left="-88" w:leftChars="-42"/>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招标文件章节</w:t>
            </w:r>
            <w:r>
              <w:rPr>
                <w:rFonts w:hint="eastAsia" w:asciiTheme="minorEastAsia" w:hAnsiTheme="minorEastAsia" w:eastAsiaTheme="minorEastAsia"/>
                <w:bCs/>
                <w:color w:val="auto"/>
                <w:szCs w:val="21"/>
              </w:rPr>
              <w:t>条</w:t>
            </w:r>
            <w:r>
              <w:rPr>
                <w:rFonts w:hint="eastAsia" w:asciiTheme="minorEastAsia" w:hAnsiTheme="minorEastAsia" w:eastAsiaTheme="minorEastAsia"/>
                <w:color w:val="auto"/>
                <w:szCs w:val="21"/>
              </w:rPr>
              <w:t>款号</w:t>
            </w:r>
          </w:p>
        </w:tc>
        <w:tc>
          <w:tcPr>
            <w:tcW w:w="1101" w:type="pct"/>
            <w:tcBorders>
              <w:right w:val="single" w:color="auto" w:sz="4" w:space="0"/>
            </w:tcBorders>
          </w:tcPr>
          <w:p w14:paraId="0CCCB934">
            <w:pPr>
              <w:adjustRightInd w:val="0"/>
              <w:snapToGrid w:val="0"/>
              <w:spacing w:before="50" w:line="360" w:lineRule="auto"/>
              <w:jc w:val="center"/>
              <w:rPr>
                <w:color w:val="auto"/>
              </w:rPr>
            </w:pPr>
            <w:r>
              <w:rPr>
                <w:rFonts w:hint="eastAsia"/>
                <w:color w:val="auto"/>
              </w:rPr>
              <w:t>招标文件要求</w:t>
            </w:r>
          </w:p>
        </w:tc>
        <w:tc>
          <w:tcPr>
            <w:tcW w:w="1179" w:type="pct"/>
            <w:tcBorders>
              <w:left w:val="single" w:color="auto" w:sz="4" w:space="0"/>
            </w:tcBorders>
          </w:tcPr>
          <w:p w14:paraId="24E9A881">
            <w:pPr>
              <w:adjustRightInd w:val="0"/>
              <w:snapToGrid w:val="0"/>
              <w:spacing w:before="50" w:line="360" w:lineRule="auto"/>
              <w:jc w:val="center"/>
              <w:rPr>
                <w:color w:val="auto"/>
              </w:rPr>
            </w:pPr>
            <w:r>
              <w:rPr>
                <w:rFonts w:hint="eastAsia"/>
                <w:color w:val="auto"/>
              </w:rPr>
              <w:t>投标文件应答</w:t>
            </w:r>
          </w:p>
        </w:tc>
        <w:tc>
          <w:tcPr>
            <w:tcW w:w="974" w:type="pct"/>
            <w:vAlign w:val="center"/>
          </w:tcPr>
          <w:p w14:paraId="32F22193">
            <w:pPr>
              <w:adjustRightInd w:val="0"/>
              <w:snapToGrid w:val="0"/>
              <w:spacing w:before="50" w:line="360" w:lineRule="auto"/>
              <w:ind w:left="-88" w:leftChars="-42"/>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偏离说明</w:t>
            </w:r>
          </w:p>
        </w:tc>
      </w:tr>
      <w:tr w14:paraId="03DF962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409" w:type="pct"/>
            <w:vAlign w:val="center"/>
          </w:tcPr>
          <w:p w14:paraId="031FBF0A">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1337" w:type="pct"/>
            <w:vAlign w:val="center"/>
          </w:tcPr>
          <w:p w14:paraId="73F093EF">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1101" w:type="pct"/>
            <w:tcBorders>
              <w:right w:val="single" w:color="auto" w:sz="4" w:space="0"/>
            </w:tcBorders>
            <w:vAlign w:val="center"/>
          </w:tcPr>
          <w:p w14:paraId="6F682598">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1179" w:type="pct"/>
            <w:tcBorders>
              <w:left w:val="single" w:color="auto" w:sz="4" w:space="0"/>
            </w:tcBorders>
            <w:vAlign w:val="center"/>
          </w:tcPr>
          <w:p w14:paraId="09772D09">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974" w:type="pct"/>
            <w:vAlign w:val="center"/>
          </w:tcPr>
          <w:p w14:paraId="3C076CA4">
            <w:pPr>
              <w:adjustRightInd w:val="0"/>
              <w:snapToGrid w:val="0"/>
              <w:spacing w:before="50" w:line="360" w:lineRule="auto"/>
              <w:ind w:left="-88" w:leftChars="-42"/>
              <w:jc w:val="center"/>
              <w:rPr>
                <w:rFonts w:asciiTheme="minorEastAsia" w:hAnsiTheme="minorEastAsia" w:eastAsiaTheme="minorEastAsia"/>
                <w:color w:val="auto"/>
                <w:szCs w:val="21"/>
              </w:rPr>
            </w:pPr>
          </w:p>
        </w:tc>
      </w:tr>
      <w:tr w14:paraId="7F195BB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409" w:type="pct"/>
            <w:vAlign w:val="center"/>
          </w:tcPr>
          <w:p w14:paraId="339080C8">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1337" w:type="pct"/>
            <w:vAlign w:val="center"/>
          </w:tcPr>
          <w:p w14:paraId="49A942FC">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1101" w:type="pct"/>
            <w:tcBorders>
              <w:right w:val="single" w:color="auto" w:sz="4" w:space="0"/>
            </w:tcBorders>
            <w:vAlign w:val="center"/>
          </w:tcPr>
          <w:p w14:paraId="7D7B9E93">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1179" w:type="pct"/>
            <w:tcBorders>
              <w:left w:val="single" w:color="auto" w:sz="4" w:space="0"/>
            </w:tcBorders>
            <w:vAlign w:val="center"/>
          </w:tcPr>
          <w:p w14:paraId="0A7F763A">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974" w:type="pct"/>
            <w:vAlign w:val="center"/>
          </w:tcPr>
          <w:p w14:paraId="56E73642">
            <w:pPr>
              <w:adjustRightInd w:val="0"/>
              <w:snapToGrid w:val="0"/>
              <w:spacing w:before="50" w:line="360" w:lineRule="auto"/>
              <w:ind w:left="-88" w:leftChars="-42"/>
              <w:jc w:val="center"/>
              <w:rPr>
                <w:rFonts w:asciiTheme="minorEastAsia" w:hAnsiTheme="minorEastAsia" w:eastAsiaTheme="minorEastAsia"/>
                <w:color w:val="auto"/>
                <w:szCs w:val="21"/>
              </w:rPr>
            </w:pPr>
          </w:p>
        </w:tc>
      </w:tr>
      <w:tr w14:paraId="7CC1230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409" w:type="pct"/>
            <w:vAlign w:val="center"/>
          </w:tcPr>
          <w:p w14:paraId="0AE152BB">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1337" w:type="pct"/>
            <w:vAlign w:val="center"/>
          </w:tcPr>
          <w:p w14:paraId="012F8729">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1101" w:type="pct"/>
            <w:tcBorders>
              <w:right w:val="single" w:color="auto" w:sz="4" w:space="0"/>
            </w:tcBorders>
            <w:vAlign w:val="center"/>
          </w:tcPr>
          <w:p w14:paraId="1760DE5A">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1179" w:type="pct"/>
            <w:tcBorders>
              <w:left w:val="single" w:color="auto" w:sz="4" w:space="0"/>
            </w:tcBorders>
            <w:vAlign w:val="center"/>
          </w:tcPr>
          <w:p w14:paraId="7A3EEDD9">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974" w:type="pct"/>
            <w:vAlign w:val="center"/>
          </w:tcPr>
          <w:p w14:paraId="5B378A4A">
            <w:pPr>
              <w:adjustRightInd w:val="0"/>
              <w:snapToGrid w:val="0"/>
              <w:spacing w:before="50" w:line="360" w:lineRule="auto"/>
              <w:ind w:left="-88" w:leftChars="-42"/>
              <w:jc w:val="center"/>
              <w:rPr>
                <w:rFonts w:asciiTheme="minorEastAsia" w:hAnsiTheme="minorEastAsia" w:eastAsiaTheme="minorEastAsia"/>
                <w:color w:val="auto"/>
                <w:szCs w:val="21"/>
              </w:rPr>
            </w:pPr>
          </w:p>
        </w:tc>
      </w:tr>
      <w:tr w14:paraId="2FACCDF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409" w:type="pct"/>
            <w:vAlign w:val="center"/>
          </w:tcPr>
          <w:p w14:paraId="186AB8B0">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1337" w:type="pct"/>
            <w:vAlign w:val="center"/>
          </w:tcPr>
          <w:p w14:paraId="513C014B">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1101" w:type="pct"/>
            <w:tcBorders>
              <w:right w:val="single" w:color="auto" w:sz="4" w:space="0"/>
            </w:tcBorders>
            <w:vAlign w:val="center"/>
          </w:tcPr>
          <w:p w14:paraId="060A6D6C">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1179" w:type="pct"/>
            <w:tcBorders>
              <w:left w:val="single" w:color="auto" w:sz="4" w:space="0"/>
            </w:tcBorders>
            <w:vAlign w:val="center"/>
          </w:tcPr>
          <w:p w14:paraId="59146D2C">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974" w:type="pct"/>
            <w:vAlign w:val="center"/>
          </w:tcPr>
          <w:p w14:paraId="7FAD1FE0">
            <w:pPr>
              <w:adjustRightInd w:val="0"/>
              <w:snapToGrid w:val="0"/>
              <w:spacing w:before="50" w:line="360" w:lineRule="auto"/>
              <w:ind w:left="-88" w:leftChars="-42"/>
              <w:jc w:val="center"/>
              <w:rPr>
                <w:rFonts w:asciiTheme="minorEastAsia" w:hAnsiTheme="minorEastAsia" w:eastAsiaTheme="minorEastAsia"/>
                <w:color w:val="auto"/>
                <w:szCs w:val="21"/>
              </w:rPr>
            </w:pPr>
          </w:p>
        </w:tc>
      </w:tr>
      <w:tr w14:paraId="08DAA9E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409" w:type="pct"/>
            <w:vAlign w:val="center"/>
          </w:tcPr>
          <w:p w14:paraId="13670EE5">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1337" w:type="pct"/>
            <w:vAlign w:val="center"/>
          </w:tcPr>
          <w:p w14:paraId="73B33291">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1101" w:type="pct"/>
            <w:tcBorders>
              <w:right w:val="single" w:color="auto" w:sz="4" w:space="0"/>
            </w:tcBorders>
            <w:vAlign w:val="center"/>
          </w:tcPr>
          <w:p w14:paraId="3CA7DA8A">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1179" w:type="pct"/>
            <w:tcBorders>
              <w:left w:val="single" w:color="auto" w:sz="4" w:space="0"/>
            </w:tcBorders>
            <w:vAlign w:val="center"/>
          </w:tcPr>
          <w:p w14:paraId="0E77AF56">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974" w:type="pct"/>
            <w:vAlign w:val="center"/>
          </w:tcPr>
          <w:p w14:paraId="208E297F">
            <w:pPr>
              <w:adjustRightInd w:val="0"/>
              <w:snapToGrid w:val="0"/>
              <w:spacing w:before="50" w:line="360" w:lineRule="auto"/>
              <w:ind w:left="-88" w:leftChars="-42"/>
              <w:jc w:val="center"/>
              <w:rPr>
                <w:rFonts w:asciiTheme="minorEastAsia" w:hAnsiTheme="minorEastAsia" w:eastAsiaTheme="minorEastAsia"/>
                <w:color w:val="auto"/>
                <w:szCs w:val="21"/>
              </w:rPr>
            </w:pPr>
          </w:p>
        </w:tc>
      </w:tr>
      <w:tr w14:paraId="36F471C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409" w:type="pct"/>
            <w:vAlign w:val="center"/>
          </w:tcPr>
          <w:p w14:paraId="47B4E8AC">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1337" w:type="pct"/>
            <w:vAlign w:val="center"/>
          </w:tcPr>
          <w:p w14:paraId="024EDB97">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1101" w:type="pct"/>
            <w:tcBorders>
              <w:right w:val="single" w:color="auto" w:sz="4" w:space="0"/>
            </w:tcBorders>
            <w:vAlign w:val="center"/>
          </w:tcPr>
          <w:p w14:paraId="264ADFD0">
            <w:pPr>
              <w:adjustRightInd w:val="0"/>
              <w:snapToGrid w:val="0"/>
              <w:spacing w:before="50" w:line="360" w:lineRule="auto"/>
              <w:ind w:left="-88" w:leftChars="-42"/>
              <w:jc w:val="center"/>
              <w:rPr>
                <w:rFonts w:asciiTheme="minorEastAsia" w:hAnsiTheme="minorEastAsia" w:eastAsiaTheme="minorEastAsia"/>
                <w:color w:val="auto"/>
                <w:szCs w:val="21"/>
              </w:rPr>
            </w:pPr>
          </w:p>
        </w:tc>
        <w:tc>
          <w:tcPr>
            <w:tcW w:w="2153" w:type="pct"/>
            <w:gridSpan w:val="2"/>
            <w:tcBorders>
              <w:left w:val="single" w:color="auto" w:sz="4" w:space="0"/>
            </w:tcBorders>
            <w:vAlign w:val="center"/>
          </w:tcPr>
          <w:p w14:paraId="2178EBA2">
            <w:pPr>
              <w:adjustRightInd w:val="0"/>
              <w:snapToGrid w:val="0"/>
              <w:spacing w:before="50" w:line="360" w:lineRule="auto"/>
              <w:ind w:firstLine="422" w:firstLineChars="200"/>
              <w:rPr>
                <w:rFonts w:asciiTheme="minorEastAsia" w:hAnsiTheme="minorEastAsia" w:eastAsiaTheme="minorEastAsia"/>
                <w:color w:val="auto"/>
                <w:szCs w:val="21"/>
              </w:rPr>
            </w:pPr>
            <w:r>
              <w:rPr>
                <w:rFonts w:hint="eastAsia" w:asciiTheme="minorEastAsia" w:hAnsiTheme="minorEastAsia" w:eastAsiaTheme="minorEastAsia"/>
                <w:b/>
                <w:color w:val="auto"/>
                <w:szCs w:val="21"/>
              </w:rPr>
              <w:t>投标人保证：除本采购需求偏离表列出的偏离外，我单位对招标文件的其他采购需求条款完全响应，无偏离。</w:t>
            </w:r>
          </w:p>
        </w:tc>
      </w:tr>
    </w:tbl>
    <w:p w14:paraId="5ABCD307">
      <w:pPr>
        <w:adjustRightInd w:val="0"/>
        <w:snapToGrid w:val="0"/>
        <w:spacing w:before="50" w:line="360" w:lineRule="auto"/>
        <w:ind w:left="-88" w:leftChars="-42"/>
        <w:rPr>
          <w:rFonts w:asciiTheme="minorEastAsia" w:hAnsiTheme="minorEastAsia" w:eastAsiaTheme="minorEastAsia"/>
          <w:color w:val="auto"/>
          <w:szCs w:val="21"/>
        </w:rPr>
      </w:pPr>
      <w:r>
        <w:rPr>
          <w:rFonts w:hint="eastAsia" w:asciiTheme="minorEastAsia" w:hAnsiTheme="minorEastAsia" w:eastAsiaTheme="minorEastAsia"/>
          <w:b/>
          <w:color w:val="auto"/>
          <w:szCs w:val="21"/>
        </w:rPr>
        <w:t>备注</w:t>
      </w:r>
      <w:r>
        <w:rPr>
          <w:rFonts w:hint="eastAsia" w:asciiTheme="minorEastAsia" w:hAnsiTheme="minorEastAsia" w:eastAsiaTheme="minorEastAsia"/>
          <w:color w:val="auto"/>
          <w:szCs w:val="21"/>
        </w:rPr>
        <w:t>：（1）投标人应根据招标文件第五章“采购需求”填写本表；</w:t>
      </w:r>
    </w:p>
    <w:p w14:paraId="18F88C30">
      <w:pPr>
        <w:adjustRightInd w:val="0"/>
        <w:snapToGrid w:val="0"/>
        <w:spacing w:before="50" w:line="360" w:lineRule="auto"/>
        <w:ind w:left="-88" w:leftChars="-42" w:firstLine="420" w:firstLineChars="200"/>
        <w:rPr>
          <w:rFonts w:asciiTheme="minorEastAsia" w:hAnsiTheme="minorEastAsia" w:eastAsiaTheme="minorEastAsia"/>
          <w:b/>
          <w:color w:val="auto"/>
          <w:szCs w:val="21"/>
        </w:rPr>
      </w:pPr>
      <w:r>
        <w:rPr>
          <w:rFonts w:hint="eastAsia" w:asciiTheme="minorEastAsia" w:hAnsiTheme="minorEastAsia" w:eastAsiaTheme="minorEastAsia"/>
          <w:color w:val="auto"/>
          <w:szCs w:val="21"/>
        </w:rPr>
        <w:t>（2）</w:t>
      </w:r>
      <w:r>
        <w:rPr>
          <w:rFonts w:hint="eastAsia" w:asciiTheme="minorEastAsia" w:hAnsiTheme="minorEastAsia" w:eastAsiaTheme="minorEastAsia"/>
          <w:b/>
          <w:color w:val="auto"/>
          <w:szCs w:val="21"/>
        </w:rPr>
        <w:t>投标人如果对招标文件第五章“采购需求”的响应有偏离，应将偏离条款逐条如实应答，并作出说明；</w:t>
      </w:r>
    </w:p>
    <w:p w14:paraId="1226BC59">
      <w:pPr>
        <w:adjustRightInd w:val="0"/>
        <w:snapToGrid w:val="0"/>
        <w:spacing w:before="50" w:line="360" w:lineRule="auto"/>
        <w:ind w:left="-88" w:leftChars="-42"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（3）如不提供此表，则视为投标人不满足招标文件第五章的所有条款要求，其</w:t>
      </w:r>
      <w:r>
        <w:rPr>
          <w:rFonts w:hint="eastAsia" w:asciiTheme="minorEastAsia" w:hAnsiTheme="minorEastAsia" w:eastAsiaTheme="minorEastAsia"/>
          <w:b/>
          <w:color w:val="auto"/>
          <w:szCs w:val="21"/>
        </w:rPr>
        <w:t>投标无效</w:t>
      </w:r>
      <w:r>
        <w:rPr>
          <w:rFonts w:hint="eastAsia" w:asciiTheme="minorEastAsia" w:hAnsiTheme="minorEastAsia" w:eastAsiaTheme="minorEastAsia"/>
          <w:color w:val="auto"/>
          <w:szCs w:val="21"/>
        </w:rPr>
        <w:t>。</w:t>
      </w:r>
    </w:p>
    <w:p w14:paraId="73144A91">
      <w:pPr>
        <w:adjustRightInd w:val="0"/>
        <w:snapToGrid w:val="0"/>
        <w:spacing w:before="50" w:line="360" w:lineRule="auto"/>
        <w:ind w:left="-88" w:leftChars="-42"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4）在采购人与中标人签订合同时，如中标人未在投标文件“采购需求偏离表”中列出偏离说明，无论已发生或即将发生任何情形，均视为完全符合招标文件要求，并写入合同。若中标人在合同签订前，以上述事项为借口而不履行合同签订手续及执行合同，则视作拒绝与采购人签订合同。</w:t>
      </w:r>
    </w:p>
    <w:p w14:paraId="6C7D8B44">
      <w:pPr>
        <w:adjustRightInd w:val="0"/>
        <w:snapToGrid w:val="0"/>
        <w:spacing w:before="50" w:line="360" w:lineRule="auto"/>
        <w:ind w:left="-88" w:leftChars="-42"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（5）本表偏离表与本章第七节“采购需求响应”不一致时，以“采购需求响应”为准。</w:t>
      </w:r>
    </w:p>
    <w:p w14:paraId="2754B3CE">
      <w:pPr>
        <w:adjustRightInd w:val="0"/>
        <w:snapToGrid w:val="0"/>
        <w:spacing w:before="50" w:line="360" w:lineRule="auto"/>
        <w:rPr>
          <w:rFonts w:ascii="宋体" w:hAnsi="宋体"/>
          <w:color w:val="auto"/>
          <w:szCs w:val="21"/>
        </w:rPr>
      </w:pPr>
    </w:p>
    <w:p w14:paraId="7782A24D">
      <w:pPr>
        <w:adjustRightInd w:val="0"/>
        <w:snapToGrid w:val="0"/>
        <w:spacing w:before="50" w:line="360" w:lineRule="auto"/>
        <w:rPr>
          <w:rFonts w:ascii="宋体" w:hAnsi="宋体"/>
          <w:color w:val="auto"/>
          <w:szCs w:val="21"/>
        </w:rPr>
      </w:pPr>
      <w:r>
        <w:rPr>
          <w:rFonts w:hint="eastAsia" w:ascii="宋体" w:hAnsi="宋体"/>
          <w:color w:val="auto"/>
          <w:szCs w:val="21"/>
        </w:rPr>
        <w:t>投标人名称（盖单位章）：</w:t>
      </w:r>
    </w:p>
    <w:p w14:paraId="69995437">
      <w:pPr>
        <w:adjustRightInd w:val="0"/>
        <w:snapToGrid w:val="0"/>
        <w:spacing w:before="50" w:line="360" w:lineRule="auto"/>
        <w:rPr>
          <w:rFonts w:ascii="宋体" w:hAnsi="宋体"/>
          <w:color w:val="auto"/>
          <w:szCs w:val="21"/>
        </w:rPr>
      </w:pPr>
      <w:r>
        <w:rPr>
          <w:rFonts w:hint="eastAsia" w:cs="微软雅黑" w:asciiTheme="minorEastAsia" w:hAnsiTheme="minorEastAsia" w:eastAsiaTheme="minorEastAsia"/>
          <w:color w:val="auto"/>
          <w:spacing w:val="-2"/>
          <w:kern w:val="0"/>
          <w:szCs w:val="21"/>
        </w:rPr>
        <w:t>法</w:t>
      </w:r>
      <w:r>
        <w:rPr>
          <w:rFonts w:hint="eastAsia" w:cs="微软雅黑" w:asciiTheme="minorEastAsia" w:hAnsiTheme="minorEastAsia" w:eastAsiaTheme="minorEastAsia"/>
          <w:color w:val="auto"/>
          <w:kern w:val="0"/>
          <w:szCs w:val="21"/>
        </w:rPr>
        <w:t>定</w:t>
      </w:r>
      <w:r>
        <w:rPr>
          <w:rFonts w:hint="eastAsia" w:cs="微软雅黑" w:asciiTheme="minorEastAsia" w:hAnsiTheme="minorEastAsia" w:eastAsiaTheme="minorEastAsia"/>
          <w:color w:val="auto"/>
          <w:spacing w:val="-2"/>
          <w:kern w:val="0"/>
          <w:szCs w:val="21"/>
        </w:rPr>
        <w:t>代</w:t>
      </w:r>
      <w:r>
        <w:rPr>
          <w:rFonts w:hint="eastAsia" w:cs="微软雅黑" w:asciiTheme="minorEastAsia" w:hAnsiTheme="minorEastAsia" w:eastAsiaTheme="minorEastAsia"/>
          <w:color w:val="auto"/>
          <w:kern w:val="0"/>
          <w:szCs w:val="21"/>
        </w:rPr>
        <w:t>表</w:t>
      </w:r>
      <w:r>
        <w:rPr>
          <w:rFonts w:hint="eastAsia" w:cs="微软雅黑" w:asciiTheme="minorEastAsia" w:hAnsiTheme="minorEastAsia" w:eastAsiaTheme="minorEastAsia"/>
          <w:color w:val="auto"/>
          <w:spacing w:val="-2"/>
          <w:kern w:val="0"/>
          <w:szCs w:val="21"/>
        </w:rPr>
        <w:t>人</w:t>
      </w:r>
      <w:r>
        <w:rPr>
          <w:rFonts w:hint="eastAsia" w:cs="微软雅黑" w:asciiTheme="minorEastAsia" w:hAnsiTheme="minorEastAsia" w:eastAsiaTheme="minorEastAsia"/>
          <w:color w:val="auto"/>
          <w:kern w:val="0"/>
          <w:szCs w:val="21"/>
        </w:rPr>
        <w:t>（</w:t>
      </w:r>
      <w:r>
        <w:rPr>
          <w:rFonts w:hint="eastAsia" w:cs="微软雅黑" w:asciiTheme="minorEastAsia" w:hAnsiTheme="minorEastAsia" w:eastAsiaTheme="minorEastAsia"/>
          <w:color w:val="auto"/>
          <w:spacing w:val="-2"/>
          <w:kern w:val="0"/>
          <w:szCs w:val="21"/>
        </w:rPr>
        <w:t>单</w:t>
      </w:r>
      <w:r>
        <w:rPr>
          <w:rFonts w:hint="eastAsia" w:cs="微软雅黑" w:asciiTheme="minorEastAsia" w:hAnsiTheme="minorEastAsia" w:eastAsiaTheme="minorEastAsia"/>
          <w:color w:val="auto"/>
          <w:kern w:val="0"/>
          <w:szCs w:val="21"/>
        </w:rPr>
        <w:t>位</w:t>
      </w:r>
      <w:r>
        <w:rPr>
          <w:rFonts w:hint="eastAsia" w:cs="微软雅黑" w:asciiTheme="minorEastAsia" w:hAnsiTheme="minorEastAsia" w:eastAsiaTheme="minorEastAsia"/>
          <w:color w:val="auto"/>
          <w:spacing w:val="-2"/>
          <w:kern w:val="0"/>
          <w:szCs w:val="21"/>
        </w:rPr>
        <w:t>负</w:t>
      </w:r>
      <w:r>
        <w:rPr>
          <w:rFonts w:hint="eastAsia" w:cs="微软雅黑" w:asciiTheme="minorEastAsia" w:hAnsiTheme="minorEastAsia" w:eastAsiaTheme="minorEastAsia"/>
          <w:color w:val="auto"/>
          <w:kern w:val="0"/>
          <w:szCs w:val="21"/>
        </w:rPr>
        <w:t>责人</w:t>
      </w:r>
      <w:r>
        <w:rPr>
          <w:rFonts w:hint="eastAsia" w:cs="微软雅黑" w:asciiTheme="minorEastAsia" w:hAnsiTheme="minorEastAsia" w:eastAsiaTheme="minorEastAsia"/>
          <w:color w:val="auto"/>
          <w:spacing w:val="-2"/>
          <w:kern w:val="0"/>
          <w:szCs w:val="21"/>
        </w:rPr>
        <w:t>）</w:t>
      </w:r>
      <w:r>
        <w:rPr>
          <w:rFonts w:hint="eastAsia" w:ascii="宋体" w:hAnsi="宋体"/>
          <w:color w:val="auto"/>
          <w:szCs w:val="21"/>
        </w:rPr>
        <w:t>或其授权的代理人（签字或印章）：</w:t>
      </w:r>
    </w:p>
    <w:p w14:paraId="3A409FB7">
      <w:pPr>
        <w:adjustRightInd w:val="0"/>
        <w:snapToGrid w:val="0"/>
        <w:spacing w:before="50" w:line="360" w:lineRule="auto"/>
        <w:rPr>
          <w:rFonts w:ascii="宋体" w:hAnsi="宋体"/>
          <w:color w:val="auto"/>
          <w:szCs w:val="21"/>
        </w:rPr>
      </w:pPr>
      <w:r>
        <w:rPr>
          <w:rFonts w:hint="eastAsia" w:asciiTheme="minorEastAsia" w:hAnsiTheme="minorEastAsia" w:eastAsiaTheme="minorEastAsia"/>
          <w:color w:val="auto"/>
          <w:szCs w:val="21"/>
        </w:rPr>
        <w:t>日  期：     年   月   日</w:t>
      </w:r>
    </w:p>
    <w:p w14:paraId="5C3C123C">
      <w:pPr>
        <w:pStyle w:val="4"/>
        <w:adjustRightInd w:val="0"/>
        <w:snapToGrid w:val="0"/>
        <w:spacing w:before="120" w:beforeLines="50" w:after="0" w:line="360" w:lineRule="auto"/>
        <w:jc w:val="center"/>
        <w:rPr>
          <w:rFonts w:ascii="黑体" w:hAnsi="宋体" w:eastAsia="黑体"/>
          <w:color w:val="auto"/>
          <w:sz w:val="28"/>
          <w:szCs w:val="28"/>
        </w:rPr>
      </w:pPr>
      <w:r>
        <w:rPr>
          <w:rFonts w:ascii="宋体" w:hAnsi="宋体"/>
          <w:color w:val="auto"/>
          <w:szCs w:val="21"/>
        </w:rPr>
        <w:br w:type="page"/>
      </w:r>
      <w:bookmarkStart w:id="238" w:name="_Toc22999"/>
      <w:r>
        <w:rPr>
          <w:rFonts w:hint="eastAsia" w:ascii="黑体" w:hAnsi="宋体" w:eastAsia="黑体"/>
          <w:color w:val="auto"/>
          <w:sz w:val="28"/>
          <w:szCs w:val="28"/>
        </w:rPr>
        <w:t>十、享受政府采购政策的证明资料</w:t>
      </w:r>
      <w:bookmarkEnd w:id="238"/>
    </w:p>
    <w:p w14:paraId="07947113">
      <w:pPr>
        <w:pStyle w:val="5"/>
        <w:rPr>
          <w:rFonts w:ascii="黑体" w:hAnsi="黑体"/>
          <w:color w:val="auto"/>
          <w:sz w:val="21"/>
          <w:szCs w:val="21"/>
        </w:rPr>
      </w:pPr>
      <w:bookmarkStart w:id="239" w:name="_Toc22201162"/>
      <w:bookmarkStart w:id="240" w:name="_Toc62206225"/>
      <w:bookmarkStart w:id="241" w:name="_Toc27490"/>
      <w:r>
        <w:rPr>
          <w:rFonts w:hint="eastAsia" w:ascii="黑体" w:hAnsi="黑体"/>
          <w:color w:val="auto"/>
          <w:sz w:val="21"/>
          <w:szCs w:val="21"/>
        </w:rPr>
        <w:t>附件10-1</w:t>
      </w:r>
      <w:bookmarkEnd w:id="239"/>
      <w:r>
        <w:rPr>
          <w:rFonts w:hint="eastAsia" w:ascii="黑体" w:hAnsi="黑体"/>
          <w:color w:val="auto"/>
          <w:sz w:val="21"/>
          <w:szCs w:val="21"/>
        </w:rPr>
        <w:t xml:space="preserve"> 中小企业声明函（货物）</w:t>
      </w:r>
      <w:bookmarkEnd w:id="240"/>
      <w:bookmarkEnd w:id="241"/>
    </w:p>
    <w:p w14:paraId="64C2A13E">
      <w:pPr>
        <w:jc w:val="center"/>
        <w:rPr>
          <w:rFonts w:ascii="黑体" w:hAnsi="黑体" w:eastAsia="黑体"/>
          <w:color w:val="auto"/>
          <w:sz w:val="30"/>
          <w:szCs w:val="30"/>
        </w:rPr>
      </w:pPr>
      <w:r>
        <w:rPr>
          <w:rFonts w:hint="eastAsia" w:ascii="黑体" w:hAnsi="黑体" w:eastAsia="黑体"/>
          <w:color w:val="auto"/>
          <w:sz w:val="30"/>
          <w:szCs w:val="30"/>
        </w:rPr>
        <w:t>中小企业声明函（货物）</w:t>
      </w:r>
    </w:p>
    <w:p w14:paraId="19B0C255">
      <w:pPr>
        <w:adjustRightInd w:val="0"/>
        <w:snapToGrid w:val="0"/>
        <w:spacing w:line="360" w:lineRule="auto"/>
        <w:jc w:val="center"/>
        <w:rPr>
          <w:rFonts w:ascii="宋体" w:hAnsi="宋体"/>
          <w:b/>
          <w:color w:val="auto"/>
          <w:spacing w:val="6"/>
          <w:szCs w:val="21"/>
        </w:rPr>
      </w:pPr>
      <w:r>
        <w:rPr>
          <w:rFonts w:hint="eastAsia" w:ascii="宋体" w:hAnsi="宋体"/>
          <w:b/>
          <w:color w:val="auto"/>
          <w:spacing w:val="6"/>
          <w:szCs w:val="21"/>
        </w:rPr>
        <w:t>（注意：不符合政策要求的无需提供）</w:t>
      </w:r>
    </w:p>
    <w:p w14:paraId="2D1C058E">
      <w:pPr>
        <w:rPr>
          <w:color w:val="auto"/>
        </w:rPr>
      </w:pPr>
    </w:p>
    <w:p w14:paraId="270DE7C9">
      <w:pPr>
        <w:adjustRightInd w:val="0"/>
        <w:snapToGrid w:val="0"/>
        <w:spacing w:line="360" w:lineRule="auto"/>
        <w:ind w:firstLine="420" w:firstLineChars="200"/>
        <w:rPr>
          <w:rFonts w:asciiTheme="minorEastAsia" w:hAnsiTheme="minorEastAsia"/>
          <w:color w:val="auto"/>
        </w:rPr>
      </w:pPr>
      <w:r>
        <w:rPr>
          <w:rFonts w:hint="eastAsia" w:asciiTheme="minorEastAsia" w:hAnsiTheme="minorEastAsia"/>
          <w:color w:val="auto"/>
        </w:rPr>
        <w:t>本公司（联合体）郑重声明，根据《政府采购促进中小企业发展管理办法》（财库[2020]46号）的规定，本公司（联合体）参加</w:t>
      </w:r>
      <w:r>
        <w:rPr>
          <w:rFonts w:hint="eastAsia" w:asciiTheme="minorEastAsia" w:hAnsiTheme="minorEastAsia"/>
          <w:color w:val="auto"/>
          <w:u w:val="single"/>
        </w:rPr>
        <w:t>（单位名称）</w:t>
      </w:r>
      <w:r>
        <w:rPr>
          <w:rFonts w:hint="eastAsia" w:asciiTheme="minorEastAsia" w:hAnsiTheme="minorEastAsia"/>
          <w:color w:val="auto"/>
        </w:rPr>
        <w:t>的</w:t>
      </w:r>
      <w:r>
        <w:rPr>
          <w:rFonts w:hint="eastAsia" w:asciiTheme="minorEastAsia" w:hAnsiTheme="minorEastAsia"/>
          <w:color w:val="auto"/>
          <w:u w:val="single"/>
        </w:rPr>
        <w:t>（项目名称）</w:t>
      </w:r>
      <w:r>
        <w:rPr>
          <w:rFonts w:hint="eastAsia" w:asciiTheme="minorEastAsia" w:hAnsiTheme="minorEastAsia"/>
          <w:color w:val="auto"/>
        </w:rPr>
        <w:t>采购活动，提供的货物全部由符合政策要求的中小企业制造。相关企业（含联合体中的中小企业、签订分包意向协议的中小企业）的具体情况如下</w:t>
      </w:r>
    </w:p>
    <w:p w14:paraId="5B81E3A2">
      <w:pPr>
        <w:adjustRightInd w:val="0"/>
        <w:snapToGrid w:val="0"/>
        <w:spacing w:line="360" w:lineRule="auto"/>
        <w:ind w:firstLine="420" w:firstLineChars="200"/>
        <w:rPr>
          <w:rFonts w:asciiTheme="minorEastAsia" w:hAnsiTheme="minorEastAsia"/>
          <w:color w:val="auto"/>
          <w:u w:val="single"/>
        </w:rPr>
      </w:pPr>
      <w:r>
        <w:rPr>
          <w:rFonts w:hint="eastAsia" w:asciiTheme="minorEastAsia" w:hAnsiTheme="minorEastAsia"/>
          <w:color w:val="auto"/>
        </w:rPr>
        <w:t>1、</w:t>
      </w:r>
      <w:r>
        <w:rPr>
          <w:rFonts w:hint="eastAsia" w:asciiTheme="minorEastAsia" w:hAnsiTheme="minorEastAsia"/>
          <w:color w:val="auto"/>
          <w:u w:val="single"/>
        </w:rPr>
        <w:t>（标的名称）</w:t>
      </w:r>
      <w:r>
        <w:rPr>
          <w:rFonts w:hint="eastAsia" w:asciiTheme="minorEastAsia" w:hAnsiTheme="minorEastAsia"/>
          <w:color w:val="auto"/>
        </w:rPr>
        <w:t>，属于</w:t>
      </w:r>
      <w:r>
        <w:rPr>
          <w:rFonts w:hint="eastAsia" w:asciiTheme="minorEastAsia" w:hAnsiTheme="minorEastAsia"/>
          <w:color w:val="auto"/>
          <w:u w:val="single"/>
        </w:rPr>
        <w:t>（采购文件中明确的所属行业）</w:t>
      </w:r>
      <w:r>
        <w:rPr>
          <w:rFonts w:hint="eastAsia" w:asciiTheme="minorEastAsia" w:hAnsiTheme="minorEastAsia"/>
          <w:color w:val="auto"/>
        </w:rPr>
        <w:t xml:space="preserve"> 行业：制造商为</w:t>
      </w:r>
      <w:r>
        <w:rPr>
          <w:rFonts w:hint="eastAsia" w:asciiTheme="minorEastAsia" w:hAnsiTheme="minorEastAsia"/>
          <w:color w:val="auto"/>
          <w:u w:val="single"/>
        </w:rPr>
        <w:t>（企业名称）</w:t>
      </w:r>
      <w:r>
        <w:rPr>
          <w:rFonts w:hint="eastAsia" w:asciiTheme="minorEastAsia" w:hAnsiTheme="minorEastAsia"/>
          <w:color w:val="auto"/>
        </w:rPr>
        <w:t>，从业人员人，营业收入为</w:t>
      </w:r>
      <w:r>
        <w:rPr>
          <w:rFonts w:hint="eastAsia" w:asciiTheme="minorEastAsia" w:hAnsiTheme="minorEastAsia"/>
          <w:color w:val="auto"/>
          <w:u w:val="single"/>
        </w:rPr>
        <w:t xml:space="preserve"> </w:t>
      </w:r>
      <w:r>
        <w:rPr>
          <w:rFonts w:asciiTheme="minorEastAsia" w:hAnsiTheme="minorEastAsia"/>
          <w:color w:val="auto"/>
          <w:u w:val="single"/>
        </w:rPr>
        <w:t xml:space="preserve">    </w:t>
      </w:r>
      <w:r>
        <w:rPr>
          <w:rFonts w:hint="eastAsia" w:asciiTheme="minorEastAsia" w:hAnsiTheme="minorEastAsia"/>
          <w:color w:val="auto"/>
        </w:rPr>
        <w:t>万元，资产总额为</w:t>
      </w:r>
      <w:r>
        <w:rPr>
          <w:rFonts w:hint="eastAsia" w:asciiTheme="minorEastAsia" w:hAnsiTheme="minorEastAsia"/>
          <w:color w:val="auto"/>
          <w:u w:val="single"/>
        </w:rPr>
        <w:t xml:space="preserve"> </w:t>
      </w:r>
      <w:r>
        <w:rPr>
          <w:rFonts w:asciiTheme="minorEastAsia" w:hAnsiTheme="minorEastAsia"/>
          <w:color w:val="auto"/>
          <w:u w:val="single"/>
        </w:rPr>
        <w:t xml:space="preserve">    </w:t>
      </w:r>
      <w:r>
        <w:rPr>
          <w:rFonts w:hint="eastAsia" w:asciiTheme="minorEastAsia" w:hAnsiTheme="minorEastAsia"/>
          <w:color w:val="auto"/>
        </w:rPr>
        <w:t>万元</w:t>
      </w:r>
      <w:r>
        <w:rPr>
          <w:rFonts w:hint="eastAsia" w:asciiTheme="minorEastAsia" w:hAnsiTheme="minorEastAsia"/>
          <w:b/>
          <w:color w:val="auto"/>
          <w:vertAlign w:val="superscript"/>
        </w:rPr>
        <w:t>[1]</w:t>
      </w:r>
      <w:r>
        <w:rPr>
          <w:rFonts w:hint="eastAsia" w:asciiTheme="minorEastAsia" w:hAnsiTheme="minorEastAsia"/>
          <w:color w:val="auto"/>
        </w:rPr>
        <w:t>，属于</w:t>
      </w:r>
      <w:r>
        <w:rPr>
          <w:rFonts w:hint="eastAsia" w:asciiTheme="minorEastAsia" w:hAnsiTheme="minorEastAsia"/>
          <w:color w:val="auto"/>
          <w:u w:val="single"/>
        </w:rPr>
        <w:t>（中型企业、小型企业，微型企业）</w:t>
      </w:r>
      <w:r>
        <w:rPr>
          <w:rFonts w:hint="eastAsia" w:asciiTheme="minorEastAsia" w:hAnsiTheme="minorEastAsia"/>
          <w:color w:val="auto"/>
        </w:rPr>
        <w:t>。</w:t>
      </w:r>
    </w:p>
    <w:p w14:paraId="2106A0FC">
      <w:pPr>
        <w:adjustRightInd w:val="0"/>
        <w:snapToGrid w:val="0"/>
        <w:spacing w:line="360" w:lineRule="auto"/>
        <w:ind w:firstLine="420" w:firstLineChars="200"/>
        <w:rPr>
          <w:rFonts w:asciiTheme="minorEastAsia" w:hAnsiTheme="minorEastAsia"/>
          <w:color w:val="auto"/>
        </w:rPr>
      </w:pPr>
      <w:r>
        <w:rPr>
          <w:rFonts w:hint="eastAsia" w:asciiTheme="minorEastAsia" w:hAnsiTheme="minorEastAsia"/>
          <w:color w:val="auto"/>
        </w:rPr>
        <w:t>2、</w:t>
      </w:r>
      <w:r>
        <w:rPr>
          <w:rFonts w:hint="eastAsia" w:asciiTheme="minorEastAsia" w:hAnsiTheme="minorEastAsia"/>
          <w:color w:val="auto"/>
          <w:u w:val="single"/>
        </w:rPr>
        <w:t>（ 标的名称）</w:t>
      </w:r>
      <w:r>
        <w:rPr>
          <w:rFonts w:hint="eastAsia" w:asciiTheme="minorEastAsia" w:hAnsiTheme="minorEastAsia"/>
          <w:color w:val="auto"/>
        </w:rPr>
        <w:t>，属于</w:t>
      </w:r>
      <w:r>
        <w:rPr>
          <w:rFonts w:hint="eastAsia" w:asciiTheme="minorEastAsia" w:hAnsiTheme="minorEastAsia"/>
          <w:color w:val="auto"/>
          <w:u w:val="single"/>
        </w:rPr>
        <w:t>（采购文件中明确的所属行业）</w:t>
      </w:r>
      <w:r>
        <w:rPr>
          <w:rFonts w:hint="eastAsia" w:asciiTheme="minorEastAsia" w:hAnsiTheme="minorEastAsia"/>
          <w:color w:val="auto"/>
        </w:rPr>
        <w:t xml:space="preserve"> 行业：制造商为</w:t>
      </w:r>
      <w:r>
        <w:rPr>
          <w:rFonts w:hint="eastAsia" w:asciiTheme="minorEastAsia" w:hAnsiTheme="minorEastAsia"/>
          <w:color w:val="auto"/>
          <w:u w:val="single"/>
        </w:rPr>
        <w:t>（企业名称）</w:t>
      </w:r>
      <w:r>
        <w:rPr>
          <w:rFonts w:hint="eastAsia" w:asciiTheme="minorEastAsia" w:hAnsiTheme="minorEastAsia"/>
          <w:color w:val="auto"/>
        </w:rPr>
        <w:t>，从业人员人，营业收入为万元，资产总额为万元</w:t>
      </w:r>
      <w:r>
        <w:rPr>
          <w:rFonts w:hint="eastAsia" w:asciiTheme="minorEastAsia" w:hAnsiTheme="minorEastAsia"/>
          <w:b/>
          <w:color w:val="auto"/>
          <w:vertAlign w:val="superscript"/>
        </w:rPr>
        <w:t>[1]</w:t>
      </w:r>
      <w:r>
        <w:rPr>
          <w:rFonts w:hint="eastAsia" w:asciiTheme="minorEastAsia" w:hAnsiTheme="minorEastAsia"/>
          <w:color w:val="auto"/>
        </w:rPr>
        <w:t>，属于</w:t>
      </w:r>
      <w:r>
        <w:rPr>
          <w:rFonts w:hint="eastAsia" w:asciiTheme="minorEastAsia" w:hAnsiTheme="minorEastAsia"/>
          <w:color w:val="auto"/>
          <w:u w:val="single"/>
        </w:rPr>
        <w:t>（中型企业、小型企业，微型企业）</w:t>
      </w:r>
      <w:r>
        <w:rPr>
          <w:rFonts w:hint="eastAsia" w:asciiTheme="minorEastAsia" w:hAnsiTheme="minorEastAsia"/>
          <w:color w:val="auto"/>
        </w:rPr>
        <w:t>。</w:t>
      </w:r>
    </w:p>
    <w:p w14:paraId="165AA2F0">
      <w:pPr>
        <w:adjustRightInd w:val="0"/>
        <w:snapToGrid w:val="0"/>
        <w:spacing w:line="360" w:lineRule="auto"/>
        <w:ind w:firstLine="420" w:firstLineChars="200"/>
        <w:rPr>
          <w:rFonts w:asciiTheme="minorEastAsia" w:hAnsiTheme="minorEastAsia"/>
          <w:color w:val="auto"/>
        </w:rPr>
      </w:pPr>
      <w:r>
        <w:rPr>
          <w:rFonts w:asciiTheme="minorEastAsia" w:hAnsiTheme="minorEastAsia"/>
          <w:color w:val="auto"/>
        </w:rPr>
        <w:t>…</w:t>
      </w:r>
    </w:p>
    <w:p w14:paraId="2E299E4A">
      <w:pPr>
        <w:adjustRightInd w:val="0"/>
        <w:snapToGrid w:val="0"/>
        <w:spacing w:line="360" w:lineRule="auto"/>
        <w:ind w:firstLine="420" w:firstLineChars="200"/>
        <w:rPr>
          <w:rFonts w:asciiTheme="minorEastAsia" w:hAnsiTheme="minorEastAsia"/>
          <w:color w:val="auto"/>
        </w:rPr>
      </w:pPr>
      <w:r>
        <w:rPr>
          <w:rFonts w:hint="eastAsia" w:asciiTheme="minorEastAsia" w:hAnsiTheme="minorEastAsia"/>
          <w:color w:val="auto"/>
        </w:rPr>
        <w:t>以上企业，不属于大企业的分支机构，不存在控股股东为大企业的情形，也不存在与大企业的负责入为同一人的情形。</w:t>
      </w:r>
    </w:p>
    <w:p w14:paraId="0DAA5334">
      <w:pPr>
        <w:adjustRightInd w:val="0"/>
        <w:snapToGrid w:val="0"/>
        <w:spacing w:line="360" w:lineRule="auto"/>
        <w:ind w:firstLine="420" w:firstLineChars="200"/>
        <w:rPr>
          <w:rFonts w:asciiTheme="minorEastAsia" w:hAnsiTheme="minorEastAsia"/>
          <w:color w:val="auto"/>
        </w:rPr>
      </w:pPr>
      <w:r>
        <w:rPr>
          <w:rFonts w:hint="eastAsia" w:asciiTheme="minorEastAsia" w:hAnsiTheme="minorEastAsia"/>
          <w:color w:val="auto"/>
        </w:rPr>
        <w:t>本企业对上述声明内容的真实性负责。如有虚假，将依法承担相应责任。</w:t>
      </w:r>
    </w:p>
    <w:p w14:paraId="5A46AEF5">
      <w:pPr>
        <w:adjustRightInd w:val="0"/>
        <w:snapToGrid w:val="0"/>
        <w:spacing w:line="360" w:lineRule="auto"/>
        <w:ind w:firstLine="5670" w:firstLineChars="2700"/>
        <w:rPr>
          <w:rFonts w:asciiTheme="minorEastAsia" w:hAnsiTheme="minorEastAsia"/>
          <w:color w:val="auto"/>
        </w:rPr>
      </w:pPr>
    </w:p>
    <w:p w14:paraId="64B2C844">
      <w:pPr>
        <w:adjustRightInd w:val="0"/>
        <w:snapToGrid w:val="0"/>
        <w:spacing w:line="360" w:lineRule="auto"/>
        <w:ind w:firstLine="5670" w:firstLineChars="2700"/>
        <w:rPr>
          <w:rFonts w:asciiTheme="minorEastAsia" w:hAnsiTheme="minorEastAsia"/>
          <w:color w:val="auto"/>
        </w:rPr>
      </w:pPr>
      <w:r>
        <w:rPr>
          <w:rFonts w:hint="eastAsia" w:asciiTheme="minorEastAsia" w:hAnsiTheme="minorEastAsia"/>
          <w:color w:val="auto"/>
        </w:rPr>
        <w:t>企业名称（盖章） ：</w:t>
      </w:r>
    </w:p>
    <w:p w14:paraId="39B9BBAF">
      <w:pPr>
        <w:adjustRightInd w:val="0"/>
        <w:snapToGrid w:val="0"/>
        <w:spacing w:line="360" w:lineRule="auto"/>
        <w:ind w:firstLine="5670" w:firstLineChars="2700"/>
        <w:rPr>
          <w:rFonts w:asciiTheme="minorEastAsia" w:hAnsiTheme="minorEastAsia"/>
          <w:color w:val="auto"/>
        </w:rPr>
      </w:pPr>
      <w:r>
        <w:rPr>
          <w:rFonts w:hint="eastAsia" w:asciiTheme="minorEastAsia" w:hAnsiTheme="minorEastAsia"/>
          <w:color w:val="auto"/>
        </w:rPr>
        <w:t>日期:</w:t>
      </w:r>
    </w:p>
    <w:p w14:paraId="25620064">
      <w:pPr>
        <w:adjustRightInd w:val="0"/>
        <w:snapToGrid w:val="0"/>
        <w:spacing w:line="360" w:lineRule="auto"/>
        <w:ind w:firstLine="5670" w:firstLineChars="2700"/>
        <w:rPr>
          <w:rFonts w:asciiTheme="minorEastAsia" w:hAnsiTheme="minorEastAsia"/>
          <w:color w:val="auto"/>
        </w:rPr>
      </w:pPr>
    </w:p>
    <w:p w14:paraId="3BB5D1AC">
      <w:pPr>
        <w:adjustRightInd w:val="0"/>
        <w:snapToGrid w:val="0"/>
        <w:spacing w:line="360" w:lineRule="auto"/>
        <w:rPr>
          <w:rFonts w:asciiTheme="minorEastAsia" w:hAnsiTheme="minorEastAsia"/>
          <w:color w:val="auto"/>
        </w:rPr>
      </w:pPr>
      <w:r>
        <w:rPr>
          <w:rFonts w:hint="eastAsia" w:asciiTheme="minorEastAsia" w:hAnsiTheme="minorEastAsia"/>
          <w:color w:val="auto"/>
        </w:rPr>
        <w:t>注：1、</w:t>
      </w:r>
      <w:r>
        <w:rPr>
          <w:rFonts w:hint="eastAsia" w:asciiTheme="minorEastAsia" w:hAnsiTheme="minorEastAsia"/>
          <w:color w:val="auto"/>
          <w:vertAlign w:val="superscript"/>
        </w:rPr>
        <w:t xml:space="preserve">[1] </w:t>
      </w:r>
      <w:r>
        <w:rPr>
          <w:rFonts w:hint="eastAsia" w:asciiTheme="minorEastAsia" w:hAnsiTheme="minorEastAsia"/>
          <w:color w:val="auto"/>
        </w:rPr>
        <w:t>从业人员、营业收入、资产总额填报上一年度数据，无上一年度数据的新成立企业可不填写。</w:t>
      </w:r>
    </w:p>
    <w:p w14:paraId="4939890D">
      <w:pPr>
        <w:adjustRightInd w:val="0"/>
        <w:snapToGrid w:val="0"/>
        <w:spacing w:line="360" w:lineRule="auto"/>
        <w:ind w:firstLine="422" w:firstLineChars="200"/>
        <w:rPr>
          <w:rFonts w:asciiTheme="minorEastAsia" w:hAnsiTheme="minorEastAsia"/>
          <w:b/>
          <w:color w:val="auto"/>
        </w:rPr>
      </w:pPr>
      <w:r>
        <w:rPr>
          <w:rFonts w:hint="eastAsia" w:asciiTheme="minorEastAsia" w:hAnsiTheme="minorEastAsia"/>
          <w:b/>
          <w:color w:val="auto"/>
        </w:rPr>
        <w:t>2、投标人应根据《政府采购促进中小企业发展管理办法》（财库﹝2020﹞46号）和《关于印发中小企业划型标准规定的通知》（工信部联企业〔2011〕300号）相关规定，如实填写中小企业声明函。如有虚假，将依法承担相应责任。投标人自行登录工业和信息化部官网进行中小企业规模类型自测（查询网址https://www.miit.gov.cn/）。</w:t>
      </w:r>
    </w:p>
    <w:p w14:paraId="3F4BA232">
      <w:pPr>
        <w:adjustRightInd w:val="0"/>
        <w:snapToGrid w:val="0"/>
        <w:spacing w:line="360" w:lineRule="auto"/>
        <w:ind w:firstLine="420" w:firstLineChars="200"/>
        <w:rPr>
          <w:rFonts w:asciiTheme="minorEastAsia" w:hAnsiTheme="minorEastAsia"/>
          <w:color w:val="auto"/>
        </w:rPr>
      </w:pPr>
      <w:r>
        <w:rPr>
          <w:rFonts w:hint="eastAsia" w:asciiTheme="minorEastAsia" w:hAnsiTheme="minorEastAsia"/>
          <w:color w:val="auto"/>
        </w:rPr>
        <w:t>3.上述“标的名称”，详见第五章采购需求中明确的“货物名称”。</w:t>
      </w:r>
    </w:p>
    <w:p w14:paraId="539A3646">
      <w:pPr>
        <w:adjustRightInd w:val="0"/>
        <w:snapToGrid w:val="0"/>
        <w:spacing w:line="360" w:lineRule="auto"/>
        <w:ind w:firstLine="420" w:firstLineChars="200"/>
        <w:rPr>
          <w:rFonts w:asciiTheme="minorEastAsia" w:hAnsiTheme="minorEastAsia"/>
          <w:color w:val="auto"/>
        </w:rPr>
      </w:pPr>
      <w:r>
        <w:rPr>
          <w:rFonts w:hint="eastAsia" w:asciiTheme="minorEastAsia" w:hAnsiTheme="minorEastAsia"/>
          <w:color w:val="auto"/>
        </w:rPr>
        <w:t>4.上述“采购文件中明确的所属行业”，详见第二章中明确的“所属行业”。</w:t>
      </w:r>
    </w:p>
    <w:p w14:paraId="5E20FAA9">
      <w:pPr>
        <w:adjustRightInd w:val="0"/>
        <w:snapToGrid w:val="0"/>
        <w:spacing w:line="360" w:lineRule="auto"/>
        <w:ind w:firstLine="420" w:firstLineChars="200"/>
        <w:rPr>
          <w:rFonts w:asciiTheme="minorEastAsia" w:hAnsiTheme="minorEastAsia"/>
          <w:color w:val="auto"/>
        </w:rPr>
      </w:pPr>
      <w:r>
        <w:rPr>
          <w:rFonts w:hint="eastAsia" w:asciiTheme="minorEastAsia" w:hAnsiTheme="minorEastAsia"/>
          <w:color w:val="auto"/>
        </w:rPr>
        <w:t>5．填写示例：某设备，属于（填写第五章采购需求中对应货物的“所属行业”，如工业）行业；承接企业为某企业，从业人员100人，营业收入为10000万元，资产总额为5000万元，属于小型企业</w:t>
      </w:r>
      <w:r>
        <w:rPr>
          <w:rFonts w:hint="eastAsia" w:asciiTheme="minorEastAsia" w:hAnsiTheme="minorEastAsia"/>
          <w:b/>
          <w:color w:val="auto"/>
        </w:rPr>
        <w:t>[投标人自行登录工业和信息化部官网进行中小企业规模类型自测（查询网址https://www.miit.gov.cn/）]。</w:t>
      </w:r>
    </w:p>
    <w:p w14:paraId="323D206E">
      <w:pPr>
        <w:adjustRightInd w:val="0"/>
        <w:snapToGrid w:val="0"/>
        <w:spacing w:line="360" w:lineRule="auto"/>
        <w:ind w:firstLine="420" w:firstLineChars="200"/>
        <w:rPr>
          <w:rFonts w:asciiTheme="minorEastAsia" w:hAnsiTheme="minorEastAsia"/>
          <w:color w:val="auto"/>
        </w:rPr>
      </w:pPr>
      <w:r>
        <w:rPr>
          <w:rFonts w:asciiTheme="minorEastAsia" w:hAnsiTheme="minorEastAsia"/>
          <w:color w:val="auto"/>
        </w:rPr>
        <w:t>6</w:t>
      </w:r>
      <w:r>
        <w:rPr>
          <w:rFonts w:hint="eastAsia" w:asciiTheme="minorEastAsia" w:hAnsiTheme="minorEastAsia"/>
          <w:color w:val="auto"/>
        </w:rPr>
        <w:t>、以联合体投标，或者合同分包的，还应提供联合体协议，或者分包意向协议。</w:t>
      </w:r>
    </w:p>
    <w:p w14:paraId="6E11D92D">
      <w:pPr>
        <w:adjustRightInd w:val="0"/>
        <w:snapToGrid w:val="0"/>
        <w:spacing w:line="360" w:lineRule="auto"/>
        <w:ind w:firstLine="422" w:firstLineChars="200"/>
        <w:rPr>
          <w:rFonts w:asciiTheme="minorEastAsia" w:hAnsiTheme="minorEastAsia"/>
          <w:b/>
          <w:color w:val="auto"/>
        </w:rPr>
      </w:pPr>
      <w:r>
        <w:rPr>
          <w:rFonts w:asciiTheme="minorEastAsia" w:hAnsiTheme="minorEastAsia"/>
          <w:b/>
          <w:color w:val="auto"/>
        </w:rPr>
        <w:t>7</w:t>
      </w:r>
      <w:r>
        <w:rPr>
          <w:rFonts w:hint="eastAsia" w:asciiTheme="minorEastAsia" w:hAnsiTheme="minorEastAsia"/>
          <w:b/>
          <w:color w:val="auto"/>
        </w:rPr>
        <w:t>、供应商如不提供此声明函，价格将不做相应扣除（不符合政策要求的无需提供）。</w:t>
      </w:r>
    </w:p>
    <w:p w14:paraId="3DC57C8C">
      <w:pPr>
        <w:adjustRightInd w:val="0"/>
        <w:snapToGrid w:val="0"/>
        <w:spacing w:line="360" w:lineRule="auto"/>
        <w:ind w:firstLine="420" w:firstLineChars="200"/>
        <w:rPr>
          <w:rFonts w:asciiTheme="minorEastAsia" w:hAnsiTheme="minorEastAsia"/>
          <w:color w:val="auto"/>
        </w:rPr>
      </w:pPr>
      <w:r>
        <w:rPr>
          <w:rFonts w:asciiTheme="minorEastAsia" w:hAnsiTheme="minorEastAsia"/>
          <w:color w:val="auto"/>
        </w:rPr>
        <w:t>8</w:t>
      </w:r>
      <w:r>
        <w:rPr>
          <w:rFonts w:hint="eastAsia" w:asciiTheme="minorEastAsia" w:hAnsiTheme="minorEastAsia"/>
          <w:color w:val="auto"/>
        </w:rPr>
        <w:t>、企业声明函请完整填写（不符合政策要求的无需提供），中标后将公示。</w:t>
      </w:r>
    </w:p>
    <w:p w14:paraId="5C47E199">
      <w:pPr>
        <w:adjustRightInd w:val="0"/>
        <w:snapToGrid w:val="0"/>
        <w:spacing w:line="360" w:lineRule="auto"/>
        <w:ind w:firstLine="422" w:firstLineChars="200"/>
        <w:rPr>
          <w:rFonts w:asciiTheme="minorEastAsia" w:hAnsiTheme="minorEastAsia"/>
          <w:b/>
          <w:color w:val="auto"/>
        </w:rPr>
      </w:pPr>
      <w:r>
        <w:rPr>
          <w:rFonts w:asciiTheme="minorEastAsia" w:hAnsiTheme="minorEastAsia"/>
          <w:b/>
          <w:color w:val="auto"/>
        </w:rPr>
        <w:t>9</w:t>
      </w:r>
      <w:r>
        <w:rPr>
          <w:rFonts w:hint="eastAsia" w:asciiTheme="minorEastAsia" w:hAnsiTheme="minorEastAsia"/>
          <w:b/>
          <w:color w:val="auto"/>
        </w:rPr>
        <w:t>、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p>
    <w:p w14:paraId="4CA68326">
      <w:pPr>
        <w:adjustRightInd w:val="0"/>
        <w:snapToGrid w:val="0"/>
        <w:spacing w:line="360" w:lineRule="auto"/>
        <w:ind w:firstLine="420" w:firstLineChars="200"/>
        <w:rPr>
          <w:rFonts w:asciiTheme="minorEastAsia" w:hAnsiTheme="minorEastAsia"/>
          <w:color w:val="auto"/>
        </w:rPr>
      </w:pPr>
      <w:r>
        <w:rPr>
          <w:rFonts w:asciiTheme="minorEastAsia" w:hAnsiTheme="minorEastAsia"/>
          <w:color w:val="auto"/>
        </w:rPr>
        <w:t>10</w:t>
      </w:r>
      <w:r>
        <w:rPr>
          <w:rFonts w:hint="eastAsia" w:asciiTheme="minorEastAsia" w:hAnsiTheme="minorEastAsia"/>
          <w:color w:val="auto"/>
        </w:rPr>
        <w:t>、中小企业不得属于大企业的分支机构，不得存在控股股东为大企业的情形，不得存在与大企业的负责人为同一人的情形。</w:t>
      </w:r>
    </w:p>
    <w:p w14:paraId="2B02171B">
      <w:pPr>
        <w:adjustRightInd w:val="0"/>
        <w:snapToGrid w:val="0"/>
        <w:spacing w:line="360" w:lineRule="auto"/>
        <w:ind w:firstLine="420" w:firstLineChars="200"/>
        <w:rPr>
          <w:rFonts w:asciiTheme="minorEastAsia" w:hAnsiTheme="minorEastAsia"/>
          <w:color w:val="auto"/>
        </w:rPr>
      </w:pPr>
      <w:r>
        <w:rPr>
          <w:rFonts w:asciiTheme="minorEastAsia" w:hAnsiTheme="minorEastAsia"/>
          <w:color w:val="auto"/>
        </w:rPr>
        <w:t>11</w:t>
      </w:r>
      <w:r>
        <w:rPr>
          <w:rFonts w:hint="eastAsia" w:asciiTheme="minorEastAsia" w:hAnsiTheme="minorEastAsia"/>
          <w:color w:val="auto"/>
        </w:rPr>
        <w:t>、《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0A3D3988">
      <w:pPr>
        <w:widowControl/>
        <w:jc w:val="left"/>
        <w:rPr>
          <w:rFonts w:ascii="宋体" w:hAnsi="宋体"/>
          <w:b/>
          <w:color w:val="auto"/>
          <w:szCs w:val="21"/>
        </w:rPr>
      </w:pPr>
      <w:bookmarkStart w:id="242" w:name="_Toc121730278"/>
      <w:r>
        <w:rPr>
          <w:rFonts w:hint="eastAsia" w:ascii="宋体" w:hAnsi="宋体"/>
          <w:b/>
          <w:color w:val="auto"/>
          <w:szCs w:val="21"/>
        </w:rPr>
        <w:t>附：</w:t>
      </w:r>
      <w:r>
        <w:rPr>
          <w:rFonts w:ascii="宋体" w:hAnsi="宋体"/>
          <w:b/>
          <w:color w:val="auto"/>
          <w:szCs w:val="21"/>
        </w:rPr>
        <w:t>中小企业规模类型自测小程序</w:t>
      </w:r>
      <w:bookmarkEnd w:id="242"/>
    </w:p>
    <w:p w14:paraId="69D4DE43">
      <w:pPr>
        <w:widowControl/>
        <w:adjustRightInd w:val="0"/>
        <w:snapToGrid w:val="0"/>
        <w:spacing w:line="360" w:lineRule="auto"/>
        <w:jc w:val="center"/>
        <w:rPr>
          <w:rFonts w:cs="黑体" w:asciiTheme="minorEastAsia" w:hAnsiTheme="minorEastAsia" w:eastAsiaTheme="minorEastAsia"/>
          <w:bCs/>
          <w:color w:val="auto"/>
          <w:spacing w:val="6"/>
          <w:kern w:val="0"/>
          <w:szCs w:val="21"/>
        </w:rPr>
      </w:pPr>
      <w:r>
        <w:rPr>
          <w:rFonts w:cs="黑体" w:asciiTheme="minorEastAsia" w:hAnsiTheme="minorEastAsia" w:eastAsiaTheme="minorEastAsia"/>
          <w:bCs/>
          <w:color w:val="auto"/>
          <w:spacing w:val="6"/>
          <w:kern w:val="0"/>
          <w:szCs w:val="21"/>
        </w:rPr>
        <w:drawing>
          <wp:inline distT="0" distB="0" distL="0" distR="0">
            <wp:extent cx="2877185" cy="4663440"/>
            <wp:effectExtent l="0" t="0" r="0" b="381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noChangeArrowheads="1"/>
                    </pic:cNvPicPr>
                  </pic:nvPicPr>
                  <pic:blipFill>
                    <a:blip r:embed="rId10" cstate="print"/>
                    <a:srcRect/>
                    <a:stretch>
                      <a:fillRect/>
                    </a:stretch>
                  </pic:blipFill>
                  <pic:spPr>
                    <a:xfrm>
                      <a:off x="0" y="0"/>
                      <a:ext cx="2937838" cy="4761771"/>
                    </a:xfrm>
                    <a:prstGeom prst="rect">
                      <a:avLst/>
                    </a:prstGeom>
                    <a:noFill/>
                    <a:ln w="9525">
                      <a:noFill/>
                      <a:miter lim="800000"/>
                      <a:headEnd/>
                      <a:tailEnd/>
                    </a:ln>
                  </pic:spPr>
                </pic:pic>
              </a:graphicData>
            </a:graphic>
          </wp:inline>
        </w:drawing>
      </w:r>
    </w:p>
    <w:p w14:paraId="3317144C">
      <w:pPr>
        <w:adjustRightInd w:val="0"/>
        <w:snapToGrid w:val="0"/>
        <w:spacing w:line="360" w:lineRule="auto"/>
        <w:ind w:firstLine="420" w:firstLineChars="200"/>
        <w:rPr>
          <w:rFonts w:ascii="黑体" w:hAnsi="黑体" w:cs="宋体"/>
          <w:color w:val="auto"/>
          <w:kern w:val="0"/>
          <w:szCs w:val="21"/>
        </w:rPr>
        <w:sectPr>
          <w:footerReference r:id="rId8" w:type="default"/>
          <w:pgSz w:w="11900" w:h="16838"/>
          <w:pgMar w:top="1134" w:right="1559" w:bottom="680" w:left="1678" w:header="879" w:footer="227" w:gutter="0"/>
          <w:cols w:space="0" w:num="1"/>
          <w:docGrid w:linePitch="312" w:charSpace="0"/>
        </w:sectPr>
      </w:pPr>
      <w:bookmarkStart w:id="243" w:name="_Toc62206227"/>
      <w:bookmarkStart w:id="244" w:name="_Toc22201164"/>
    </w:p>
    <w:p w14:paraId="3B616B95">
      <w:pPr>
        <w:adjustRightInd w:val="0"/>
        <w:snapToGrid w:val="0"/>
        <w:spacing w:before="50" w:line="360" w:lineRule="auto"/>
        <w:jc w:val="center"/>
        <w:rPr>
          <w:rFonts w:ascii="宋体" w:hAnsi="宋体" w:cs="宋体"/>
          <w:color w:val="auto"/>
          <w:szCs w:val="21"/>
        </w:rPr>
      </w:pPr>
      <w:r>
        <w:rPr>
          <w:rFonts w:hint="eastAsia" w:ascii="宋体" w:hAnsi="宋体" w:cs="宋体"/>
          <w:b/>
          <w:color w:val="auto"/>
          <w:sz w:val="28"/>
          <w:szCs w:val="28"/>
        </w:rPr>
        <w:t>价格评审优惠货物清单</w:t>
      </w:r>
    </w:p>
    <w:p w14:paraId="2368F42B">
      <w:pPr>
        <w:adjustRightInd w:val="0"/>
        <w:snapToGrid w:val="0"/>
        <w:spacing w:before="50" w:line="360" w:lineRule="auto"/>
        <w:rPr>
          <w:rFonts w:ascii="宋体" w:hAnsi="宋体" w:cs="宋体"/>
          <w:color w:val="auto"/>
          <w:szCs w:val="21"/>
        </w:rPr>
      </w:pPr>
      <w:r>
        <w:rPr>
          <w:rFonts w:hint="eastAsia" w:ascii="宋体" w:hAnsi="宋体" w:cs="宋体"/>
          <w:color w:val="auto"/>
          <w:szCs w:val="21"/>
        </w:rPr>
        <w:t>采购代理编号：</w:t>
      </w:r>
      <w:r>
        <w:rPr>
          <w:rFonts w:hint="eastAsia" w:ascii="宋体" w:hAnsi="宋体" w:cs="宋体"/>
          <w:color w:val="auto"/>
          <w:szCs w:val="21"/>
          <w:u w:val="single"/>
        </w:rPr>
        <w:t>__    ________</w:t>
      </w:r>
      <w:r>
        <w:rPr>
          <w:rFonts w:hint="eastAsia" w:ascii="宋体" w:hAnsi="宋体" w:cs="宋体"/>
          <w:color w:val="auto"/>
          <w:szCs w:val="21"/>
        </w:rPr>
        <w:t xml:space="preserve">                       项目名称：</w:t>
      </w:r>
      <w:r>
        <w:rPr>
          <w:rFonts w:hint="eastAsia" w:ascii="宋体" w:hAnsi="宋体" w:cs="宋体"/>
          <w:color w:val="auto"/>
          <w:szCs w:val="21"/>
          <w:u w:val="single"/>
        </w:rPr>
        <w:t>____            ______</w:t>
      </w:r>
    </w:p>
    <w:p w14:paraId="0C6BE293">
      <w:pPr>
        <w:adjustRightInd w:val="0"/>
        <w:snapToGrid w:val="0"/>
        <w:spacing w:before="50" w:line="360" w:lineRule="auto"/>
        <w:rPr>
          <w:rFonts w:ascii="宋体" w:hAnsi="宋体" w:cs="宋体"/>
          <w:color w:val="auto"/>
          <w:szCs w:val="21"/>
        </w:rPr>
      </w:pPr>
      <w:r>
        <w:rPr>
          <w:rFonts w:hint="eastAsia" w:ascii="宋体" w:hAnsi="宋体" w:cs="宋体"/>
          <w:color w:val="auto"/>
          <w:szCs w:val="21"/>
        </w:rPr>
        <w:t>包       号：</w:t>
      </w:r>
      <w:r>
        <w:rPr>
          <w:rFonts w:hint="eastAsia" w:ascii="宋体" w:hAnsi="宋体" w:cs="宋体"/>
          <w:color w:val="auto"/>
          <w:szCs w:val="21"/>
          <w:u w:val="single"/>
        </w:rPr>
        <w:t>__    ________</w:t>
      </w:r>
      <w:r>
        <w:rPr>
          <w:rFonts w:hint="eastAsia" w:ascii="宋体" w:hAnsi="宋体" w:cs="宋体"/>
          <w:color w:val="auto"/>
          <w:szCs w:val="21"/>
        </w:rPr>
        <w:t xml:space="preserve">                        包名称：</w:t>
      </w:r>
      <w:r>
        <w:rPr>
          <w:rFonts w:hint="eastAsia" w:ascii="宋体" w:hAnsi="宋体" w:cs="宋体"/>
          <w:color w:val="auto"/>
          <w:szCs w:val="21"/>
          <w:u w:val="single"/>
        </w:rPr>
        <w:t>___          _______</w:t>
      </w:r>
    </w:p>
    <w:tbl>
      <w:tblPr>
        <w:tblStyle w:val="41"/>
        <w:tblW w:w="878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709"/>
        <w:gridCol w:w="1134"/>
        <w:gridCol w:w="1134"/>
        <w:gridCol w:w="1134"/>
        <w:gridCol w:w="1701"/>
        <w:gridCol w:w="1843"/>
        <w:gridCol w:w="1134"/>
      </w:tblGrid>
      <w:tr w14:paraId="2618895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60" w:hRule="atLeast"/>
        </w:trPr>
        <w:tc>
          <w:tcPr>
            <w:tcW w:w="8789" w:type="dxa"/>
            <w:gridSpan w:val="7"/>
            <w:vAlign w:val="center"/>
          </w:tcPr>
          <w:p w14:paraId="21DFE9C9">
            <w:pPr>
              <w:widowControl/>
              <w:adjustRightInd w:val="0"/>
              <w:snapToGrid w:val="0"/>
              <w:spacing w:line="360" w:lineRule="auto"/>
              <w:ind w:firstLine="480" w:firstLineChars="200"/>
              <w:jc w:val="left"/>
              <w:rPr>
                <w:rFonts w:ascii="宋体" w:hAnsi="宋体" w:cs="宋体"/>
                <w:color w:val="auto"/>
                <w:kern w:val="0"/>
                <w:sz w:val="24"/>
              </w:rPr>
            </w:pPr>
            <w:r>
              <w:rPr>
                <w:rFonts w:hint="eastAsia" w:ascii="宋体" w:hAnsi="宋体" w:cs="宋体"/>
                <w:color w:val="auto"/>
                <w:kern w:val="0"/>
                <w:sz w:val="24"/>
              </w:rPr>
              <w:t>以下为投标人提供的享受价格评审优惠的货物，投标人对本表的真实性负责。如有虚假，将依法承担相应责任。</w:t>
            </w:r>
          </w:p>
        </w:tc>
      </w:tr>
      <w:tr w14:paraId="280765E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1" w:hRule="atLeast"/>
        </w:trPr>
        <w:tc>
          <w:tcPr>
            <w:tcW w:w="709" w:type="dxa"/>
            <w:vAlign w:val="center"/>
          </w:tcPr>
          <w:p w14:paraId="16593608">
            <w:pPr>
              <w:widowControl/>
              <w:adjustRightInd w:val="0"/>
              <w:snapToGrid w:val="0"/>
              <w:spacing w:line="360" w:lineRule="auto"/>
              <w:jc w:val="center"/>
              <w:rPr>
                <w:rFonts w:ascii="宋体" w:hAnsi="宋体" w:cs="宋体"/>
                <w:color w:val="auto"/>
                <w:kern w:val="0"/>
                <w:szCs w:val="21"/>
              </w:rPr>
            </w:pPr>
            <w:r>
              <w:rPr>
                <w:rFonts w:hint="eastAsia" w:ascii="宋体" w:hAnsi="宋体" w:cs="宋体"/>
                <w:color w:val="auto"/>
                <w:kern w:val="0"/>
                <w:szCs w:val="21"/>
              </w:rPr>
              <w:t>1</w:t>
            </w:r>
          </w:p>
        </w:tc>
        <w:tc>
          <w:tcPr>
            <w:tcW w:w="1134" w:type="dxa"/>
            <w:vAlign w:val="center"/>
          </w:tcPr>
          <w:p w14:paraId="777A9490">
            <w:pPr>
              <w:widowControl/>
              <w:adjustRightInd w:val="0"/>
              <w:snapToGrid w:val="0"/>
              <w:spacing w:line="360" w:lineRule="auto"/>
              <w:jc w:val="center"/>
              <w:rPr>
                <w:rFonts w:ascii="宋体" w:hAnsi="宋体" w:cs="宋体"/>
                <w:color w:val="auto"/>
                <w:kern w:val="0"/>
                <w:szCs w:val="21"/>
              </w:rPr>
            </w:pPr>
            <w:r>
              <w:rPr>
                <w:rFonts w:hint="eastAsia" w:ascii="宋体" w:hAnsi="宋体" w:cs="宋体"/>
                <w:color w:val="auto"/>
                <w:kern w:val="0"/>
                <w:szCs w:val="21"/>
              </w:rPr>
              <w:t>2</w:t>
            </w:r>
          </w:p>
        </w:tc>
        <w:tc>
          <w:tcPr>
            <w:tcW w:w="1134" w:type="dxa"/>
            <w:tcBorders>
              <w:right w:val="single" w:color="auto" w:sz="4" w:space="0"/>
            </w:tcBorders>
            <w:vAlign w:val="center"/>
          </w:tcPr>
          <w:p w14:paraId="34A25957">
            <w:pPr>
              <w:adjustRightInd w:val="0"/>
              <w:snapToGrid w:val="0"/>
              <w:spacing w:line="360" w:lineRule="auto"/>
              <w:jc w:val="center"/>
              <w:rPr>
                <w:rFonts w:ascii="宋体" w:hAnsi="宋体" w:cs="宋体"/>
                <w:color w:val="auto"/>
                <w:kern w:val="0"/>
                <w:szCs w:val="21"/>
              </w:rPr>
            </w:pPr>
            <w:r>
              <w:rPr>
                <w:rFonts w:hint="eastAsia" w:ascii="宋体" w:hAnsi="宋体" w:cs="宋体"/>
                <w:color w:val="auto"/>
                <w:kern w:val="0"/>
                <w:szCs w:val="21"/>
              </w:rPr>
              <w:t>3</w:t>
            </w:r>
          </w:p>
        </w:tc>
        <w:tc>
          <w:tcPr>
            <w:tcW w:w="1134" w:type="dxa"/>
            <w:tcBorders>
              <w:left w:val="single" w:color="auto" w:sz="4" w:space="0"/>
            </w:tcBorders>
            <w:vAlign w:val="center"/>
          </w:tcPr>
          <w:p w14:paraId="534A305A">
            <w:pPr>
              <w:widowControl/>
              <w:adjustRightInd w:val="0"/>
              <w:snapToGrid w:val="0"/>
              <w:spacing w:line="360" w:lineRule="auto"/>
              <w:jc w:val="center"/>
              <w:rPr>
                <w:rFonts w:ascii="宋体" w:hAnsi="宋体" w:cs="宋体"/>
                <w:color w:val="auto"/>
                <w:kern w:val="0"/>
                <w:szCs w:val="21"/>
              </w:rPr>
            </w:pPr>
            <w:r>
              <w:rPr>
                <w:rFonts w:hint="eastAsia" w:ascii="宋体" w:hAnsi="宋体" w:cs="宋体"/>
                <w:color w:val="auto"/>
                <w:kern w:val="0"/>
                <w:szCs w:val="21"/>
              </w:rPr>
              <w:t>4</w:t>
            </w:r>
          </w:p>
        </w:tc>
        <w:tc>
          <w:tcPr>
            <w:tcW w:w="1701" w:type="dxa"/>
            <w:vAlign w:val="center"/>
          </w:tcPr>
          <w:p w14:paraId="602DCD0D">
            <w:pPr>
              <w:widowControl/>
              <w:adjustRightInd w:val="0"/>
              <w:snapToGrid w:val="0"/>
              <w:spacing w:line="360" w:lineRule="auto"/>
              <w:jc w:val="center"/>
              <w:rPr>
                <w:rFonts w:ascii="宋体" w:hAnsi="宋体" w:cs="宋体"/>
                <w:color w:val="auto"/>
                <w:kern w:val="0"/>
                <w:szCs w:val="21"/>
              </w:rPr>
            </w:pPr>
            <w:r>
              <w:rPr>
                <w:rFonts w:hint="eastAsia" w:ascii="宋体" w:hAnsi="宋体" w:cs="宋体"/>
                <w:color w:val="auto"/>
                <w:kern w:val="0"/>
                <w:szCs w:val="21"/>
              </w:rPr>
              <w:t>5</w:t>
            </w:r>
          </w:p>
        </w:tc>
        <w:tc>
          <w:tcPr>
            <w:tcW w:w="1843" w:type="dxa"/>
            <w:vAlign w:val="center"/>
          </w:tcPr>
          <w:p w14:paraId="58205C30">
            <w:pPr>
              <w:widowControl/>
              <w:adjustRightInd w:val="0"/>
              <w:snapToGrid w:val="0"/>
              <w:spacing w:line="360" w:lineRule="auto"/>
              <w:jc w:val="center"/>
              <w:rPr>
                <w:rFonts w:ascii="宋体" w:hAnsi="宋体" w:cs="宋体"/>
                <w:color w:val="auto"/>
                <w:kern w:val="0"/>
                <w:szCs w:val="21"/>
              </w:rPr>
            </w:pPr>
            <w:r>
              <w:rPr>
                <w:rFonts w:hint="eastAsia" w:ascii="宋体" w:hAnsi="宋体" w:cs="宋体"/>
                <w:color w:val="auto"/>
                <w:kern w:val="0"/>
                <w:szCs w:val="21"/>
              </w:rPr>
              <w:t>6</w:t>
            </w:r>
          </w:p>
        </w:tc>
        <w:tc>
          <w:tcPr>
            <w:tcW w:w="1134" w:type="dxa"/>
            <w:vAlign w:val="center"/>
          </w:tcPr>
          <w:p w14:paraId="6C7D8FED">
            <w:pPr>
              <w:widowControl/>
              <w:adjustRightInd w:val="0"/>
              <w:snapToGrid w:val="0"/>
              <w:spacing w:line="360" w:lineRule="auto"/>
              <w:jc w:val="center"/>
              <w:rPr>
                <w:rFonts w:ascii="宋体" w:hAnsi="宋体" w:cs="宋体"/>
                <w:color w:val="auto"/>
                <w:kern w:val="0"/>
                <w:szCs w:val="21"/>
              </w:rPr>
            </w:pPr>
            <w:r>
              <w:rPr>
                <w:rFonts w:hint="eastAsia" w:ascii="宋体" w:hAnsi="宋体" w:cs="宋体"/>
                <w:color w:val="auto"/>
                <w:kern w:val="0"/>
                <w:szCs w:val="21"/>
              </w:rPr>
              <w:t>7</w:t>
            </w:r>
          </w:p>
        </w:tc>
      </w:tr>
      <w:tr w14:paraId="6B0FEF6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83" w:hRule="atLeast"/>
        </w:trPr>
        <w:tc>
          <w:tcPr>
            <w:tcW w:w="709" w:type="dxa"/>
            <w:vAlign w:val="center"/>
          </w:tcPr>
          <w:p w14:paraId="3EDDB4B9">
            <w:pPr>
              <w:widowControl/>
              <w:adjustRightInd w:val="0"/>
              <w:snapToGrid w:val="0"/>
              <w:spacing w:line="360" w:lineRule="auto"/>
              <w:jc w:val="center"/>
              <w:rPr>
                <w:rFonts w:ascii="宋体" w:hAnsi="宋体" w:cs="宋体"/>
                <w:color w:val="auto"/>
                <w:kern w:val="0"/>
                <w:szCs w:val="21"/>
              </w:rPr>
            </w:pPr>
            <w:r>
              <w:rPr>
                <w:rFonts w:hint="eastAsia" w:ascii="宋体" w:hAnsi="宋体" w:cs="宋体"/>
                <w:color w:val="auto"/>
                <w:kern w:val="0"/>
                <w:szCs w:val="21"/>
              </w:rPr>
              <w:t>序号</w:t>
            </w:r>
          </w:p>
        </w:tc>
        <w:tc>
          <w:tcPr>
            <w:tcW w:w="1134" w:type="dxa"/>
            <w:vAlign w:val="center"/>
          </w:tcPr>
          <w:p w14:paraId="5A6AFA91">
            <w:pPr>
              <w:widowControl/>
              <w:adjustRightInd w:val="0"/>
              <w:snapToGrid w:val="0"/>
              <w:spacing w:line="360" w:lineRule="auto"/>
              <w:jc w:val="center"/>
              <w:rPr>
                <w:rFonts w:ascii="宋体" w:hAnsi="宋体" w:cs="宋体"/>
                <w:color w:val="auto"/>
                <w:kern w:val="0"/>
                <w:szCs w:val="21"/>
              </w:rPr>
            </w:pPr>
            <w:r>
              <w:rPr>
                <w:rFonts w:hint="eastAsia" w:ascii="宋体" w:hAnsi="宋体" w:cs="宋体"/>
                <w:color w:val="auto"/>
                <w:kern w:val="0"/>
                <w:szCs w:val="21"/>
              </w:rPr>
              <w:t>货物名称</w:t>
            </w:r>
          </w:p>
        </w:tc>
        <w:tc>
          <w:tcPr>
            <w:tcW w:w="1134" w:type="dxa"/>
            <w:tcBorders>
              <w:right w:val="single" w:color="auto" w:sz="4" w:space="0"/>
            </w:tcBorders>
            <w:vAlign w:val="center"/>
          </w:tcPr>
          <w:p w14:paraId="551B72F4">
            <w:pPr>
              <w:widowControl/>
              <w:adjustRightInd w:val="0"/>
              <w:snapToGrid w:val="0"/>
              <w:spacing w:line="360" w:lineRule="auto"/>
              <w:jc w:val="center"/>
              <w:rPr>
                <w:rFonts w:ascii="宋体" w:hAnsi="宋体" w:cs="宋体"/>
                <w:color w:val="auto"/>
                <w:kern w:val="0"/>
                <w:szCs w:val="21"/>
              </w:rPr>
            </w:pPr>
            <w:r>
              <w:rPr>
                <w:rFonts w:hint="eastAsia" w:ascii="宋体" w:hAnsi="宋体" w:cs="宋体"/>
                <w:color w:val="auto"/>
                <w:kern w:val="0"/>
                <w:szCs w:val="21"/>
              </w:rPr>
              <w:t>规格型号</w:t>
            </w:r>
          </w:p>
        </w:tc>
        <w:tc>
          <w:tcPr>
            <w:tcW w:w="1134" w:type="dxa"/>
            <w:tcBorders>
              <w:left w:val="single" w:color="auto" w:sz="4" w:space="0"/>
            </w:tcBorders>
            <w:vAlign w:val="center"/>
          </w:tcPr>
          <w:p w14:paraId="1915D229">
            <w:pPr>
              <w:widowControl/>
              <w:adjustRightInd w:val="0"/>
              <w:snapToGrid w:val="0"/>
              <w:spacing w:line="360" w:lineRule="auto"/>
              <w:jc w:val="center"/>
              <w:rPr>
                <w:rFonts w:ascii="宋体" w:hAnsi="宋体" w:cs="宋体"/>
                <w:color w:val="auto"/>
                <w:kern w:val="0"/>
                <w:szCs w:val="21"/>
              </w:rPr>
            </w:pPr>
            <w:r>
              <w:rPr>
                <w:rFonts w:hint="eastAsia" w:ascii="宋体" w:hAnsi="宋体" w:cs="宋体"/>
                <w:color w:val="auto"/>
                <w:kern w:val="0"/>
                <w:szCs w:val="21"/>
              </w:rPr>
              <w:t>价格（元）</w:t>
            </w:r>
          </w:p>
        </w:tc>
        <w:tc>
          <w:tcPr>
            <w:tcW w:w="1701" w:type="dxa"/>
            <w:vAlign w:val="center"/>
          </w:tcPr>
          <w:p w14:paraId="752C285D">
            <w:pPr>
              <w:widowControl/>
              <w:adjustRightInd w:val="0"/>
              <w:snapToGrid w:val="0"/>
              <w:spacing w:line="360" w:lineRule="auto"/>
              <w:jc w:val="center"/>
              <w:rPr>
                <w:rFonts w:ascii="宋体" w:hAnsi="宋体" w:cs="宋体"/>
                <w:color w:val="auto"/>
                <w:kern w:val="0"/>
                <w:szCs w:val="21"/>
              </w:rPr>
            </w:pPr>
            <w:r>
              <w:rPr>
                <w:rFonts w:hint="eastAsia" w:ascii="宋体" w:hAnsi="宋体" w:cs="宋体"/>
                <w:color w:val="auto"/>
                <w:kern w:val="0"/>
                <w:szCs w:val="21"/>
              </w:rPr>
              <w:t>货物制造商名称</w:t>
            </w:r>
          </w:p>
        </w:tc>
        <w:tc>
          <w:tcPr>
            <w:tcW w:w="1843" w:type="dxa"/>
            <w:vAlign w:val="center"/>
          </w:tcPr>
          <w:p w14:paraId="3A155DD7">
            <w:pPr>
              <w:widowControl/>
              <w:adjustRightInd w:val="0"/>
              <w:snapToGrid w:val="0"/>
              <w:spacing w:line="360" w:lineRule="auto"/>
              <w:jc w:val="center"/>
              <w:rPr>
                <w:rFonts w:ascii="宋体" w:hAnsi="宋体" w:cs="宋体"/>
                <w:color w:val="auto"/>
                <w:kern w:val="0"/>
                <w:szCs w:val="21"/>
              </w:rPr>
            </w:pPr>
            <w:r>
              <w:rPr>
                <w:rFonts w:hint="eastAsia" w:ascii="宋体" w:hAnsi="宋体" w:cs="宋体"/>
                <w:color w:val="auto"/>
                <w:kern w:val="0"/>
                <w:szCs w:val="21"/>
              </w:rPr>
              <w:t>货物制造商类型</w:t>
            </w:r>
          </w:p>
        </w:tc>
        <w:tc>
          <w:tcPr>
            <w:tcW w:w="1134" w:type="dxa"/>
            <w:vAlign w:val="center"/>
          </w:tcPr>
          <w:p w14:paraId="60BDC3DD">
            <w:pPr>
              <w:widowControl/>
              <w:adjustRightInd w:val="0"/>
              <w:snapToGrid w:val="0"/>
              <w:spacing w:line="360" w:lineRule="auto"/>
              <w:jc w:val="center"/>
              <w:rPr>
                <w:rFonts w:ascii="宋体" w:hAnsi="宋体" w:cs="宋体"/>
                <w:color w:val="auto"/>
                <w:kern w:val="0"/>
                <w:szCs w:val="21"/>
              </w:rPr>
            </w:pPr>
            <w:r>
              <w:rPr>
                <w:rFonts w:hint="eastAsia" w:ascii="宋体" w:hAnsi="宋体" w:cs="宋体"/>
                <w:color w:val="auto"/>
                <w:kern w:val="0"/>
                <w:szCs w:val="21"/>
              </w:rPr>
              <w:t>商标名称</w:t>
            </w:r>
          </w:p>
        </w:tc>
      </w:tr>
      <w:tr w14:paraId="57E77E5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709" w:type="dxa"/>
            <w:vAlign w:val="center"/>
          </w:tcPr>
          <w:p w14:paraId="5D60B88E">
            <w:pPr>
              <w:adjustRightInd w:val="0"/>
              <w:snapToGrid w:val="0"/>
              <w:spacing w:line="360" w:lineRule="auto"/>
              <w:jc w:val="center"/>
              <w:rPr>
                <w:rFonts w:ascii="宋体" w:hAnsi="宋体" w:cs="宋体"/>
                <w:color w:val="auto"/>
                <w:szCs w:val="21"/>
              </w:rPr>
            </w:pPr>
          </w:p>
        </w:tc>
        <w:tc>
          <w:tcPr>
            <w:tcW w:w="1134" w:type="dxa"/>
            <w:vAlign w:val="center"/>
          </w:tcPr>
          <w:p w14:paraId="629513F3">
            <w:pPr>
              <w:adjustRightInd w:val="0"/>
              <w:snapToGrid w:val="0"/>
              <w:spacing w:line="360" w:lineRule="auto"/>
              <w:jc w:val="center"/>
              <w:rPr>
                <w:rFonts w:ascii="宋体" w:hAnsi="宋体" w:cs="宋体"/>
                <w:color w:val="auto"/>
                <w:szCs w:val="21"/>
              </w:rPr>
            </w:pPr>
          </w:p>
        </w:tc>
        <w:tc>
          <w:tcPr>
            <w:tcW w:w="1134" w:type="dxa"/>
            <w:tcBorders>
              <w:right w:val="single" w:color="auto" w:sz="4" w:space="0"/>
            </w:tcBorders>
            <w:vAlign w:val="center"/>
          </w:tcPr>
          <w:p w14:paraId="0C2B2E7E">
            <w:pPr>
              <w:adjustRightInd w:val="0"/>
              <w:snapToGrid w:val="0"/>
              <w:spacing w:line="360" w:lineRule="auto"/>
              <w:jc w:val="center"/>
              <w:rPr>
                <w:rFonts w:ascii="宋体" w:hAnsi="宋体" w:cs="宋体"/>
                <w:color w:val="auto"/>
                <w:szCs w:val="21"/>
              </w:rPr>
            </w:pPr>
          </w:p>
        </w:tc>
        <w:tc>
          <w:tcPr>
            <w:tcW w:w="1134" w:type="dxa"/>
            <w:tcBorders>
              <w:left w:val="single" w:color="auto" w:sz="4" w:space="0"/>
            </w:tcBorders>
            <w:vAlign w:val="center"/>
          </w:tcPr>
          <w:p w14:paraId="6FA349BF">
            <w:pPr>
              <w:adjustRightInd w:val="0"/>
              <w:snapToGrid w:val="0"/>
              <w:spacing w:line="360" w:lineRule="auto"/>
              <w:jc w:val="center"/>
              <w:rPr>
                <w:rFonts w:ascii="宋体" w:hAnsi="宋体" w:cs="宋体"/>
                <w:color w:val="auto"/>
                <w:szCs w:val="21"/>
              </w:rPr>
            </w:pPr>
          </w:p>
        </w:tc>
        <w:tc>
          <w:tcPr>
            <w:tcW w:w="1701" w:type="dxa"/>
            <w:vAlign w:val="center"/>
          </w:tcPr>
          <w:p w14:paraId="66512A82">
            <w:pPr>
              <w:adjustRightInd w:val="0"/>
              <w:snapToGrid w:val="0"/>
              <w:spacing w:line="360" w:lineRule="auto"/>
              <w:jc w:val="center"/>
              <w:rPr>
                <w:rFonts w:ascii="宋体" w:hAnsi="宋体" w:cs="宋体"/>
                <w:color w:val="auto"/>
                <w:szCs w:val="21"/>
              </w:rPr>
            </w:pPr>
          </w:p>
        </w:tc>
        <w:tc>
          <w:tcPr>
            <w:tcW w:w="1843" w:type="dxa"/>
          </w:tcPr>
          <w:p w14:paraId="52D89C76">
            <w:pPr>
              <w:adjustRightInd w:val="0"/>
              <w:snapToGrid w:val="0"/>
              <w:spacing w:line="360" w:lineRule="auto"/>
              <w:jc w:val="center"/>
              <w:rPr>
                <w:rFonts w:ascii="宋体" w:hAnsi="宋体" w:cs="宋体"/>
                <w:color w:val="auto"/>
                <w:szCs w:val="21"/>
              </w:rPr>
            </w:pPr>
          </w:p>
        </w:tc>
        <w:tc>
          <w:tcPr>
            <w:tcW w:w="1134" w:type="dxa"/>
            <w:vAlign w:val="center"/>
          </w:tcPr>
          <w:p w14:paraId="5AF72F89">
            <w:pPr>
              <w:adjustRightInd w:val="0"/>
              <w:snapToGrid w:val="0"/>
              <w:spacing w:line="360" w:lineRule="auto"/>
              <w:jc w:val="center"/>
              <w:rPr>
                <w:rFonts w:ascii="宋体" w:hAnsi="宋体" w:cs="宋体"/>
                <w:color w:val="auto"/>
                <w:szCs w:val="21"/>
              </w:rPr>
            </w:pPr>
          </w:p>
        </w:tc>
      </w:tr>
      <w:tr w14:paraId="51B3BC7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709" w:type="dxa"/>
            <w:vAlign w:val="center"/>
          </w:tcPr>
          <w:p w14:paraId="66E70588">
            <w:pPr>
              <w:adjustRightInd w:val="0"/>
              <w:snapToGrid w:val="0"/>
              <w:spacing w:line="360" w:lineRule="auto"/>
              <w:jc w:val="center"/>
              <w:rPr>
                <w:rFonts w:ascii="宋体" w:hAnsi="宋体" w:cs="宋体"/>
                <w:color w:val="auto"/>
                <w:szCs w:val="21"/>
              </w:rPr>
            </w:pPr>
          </w:p>
        </w:tc>
        <w:tc>
          <w:tcPr>
            <w:tcW w:w="1134" w:type="dxa"/>
            <w:vAlign w:val="center"/>
          </w:tcPr>
          <w:p w14:paraId="47CC0D25">
            <w:pPr>
              <w:adjustRightInd w:val="0"/>
              <w:snapToGrid w:val="0"/>
              <w:spacing w:line="360" w:lineRule="auto"/>
              <w:jc w:val="center"/>
              <w:rPr>
                <w:rFonts w:ascii="宋体" w:hAnsi="宋体" w:cs="宋体"/>
                <w:color w:val="auto"/>
                <w:szCs w:val="21"/>
              </w:rPr>
            </w:pPr>
          </w:p>
        </w:tc>
        <w:tc>
          <w:tcPr>
            <w:tcW w:w="1134" w:type="dxa"/>
            <w:tcBorders>
              <w:right w:val="single" w:color="auto" w:sz="4" w:space="0"/>
            </w:tcBorders>
            <w:vAlign w:val="center"/>
          </w:tcPr>
          <w:p w14:paraId="7A211D01">
            <w:pPr>
              <w:adjustRightInd w:val="0"/>
              <w:snapToGrid w:val="0"/>
              <w:spacing w:line="360" w:lineRule="auto"/>
              <w:jc w:val="center"/>
              <w:rPr>
                <w:rFonts w:ascii="宋体" w:hAnsi="宋体" w:cs="宋体"/>
                <w:color w:val="auto"/>
                <w:szCs w:val="21"/>
              </w:rPr>
            </w:pPr>
          </w:p>
        </w:tc>
        <w:tc>
          <w:tcPr>
            <w:tcW w:w="1134" w:type="dxa"/>
            <w:tcBorders>
              <w:left w:val="single" w:color="auto" w:sz="4" w:space="0"/>
            </w:tcBorders>
            <w:vAlign w:val="center"/>
          </w:tcPr>
          <w:p w14:paraId="6362A406">
            <w:pPr>
              <w:adjustRightInd w:val="0"/>
              <w:snapToGrid w:val="0"/>
              <w:spacing w:line="360" w:lineRule="auto"/>
              <w:jc w:val="center"/>
              <w:rPr>
                <w:rFonts w:ascii="宋体" w:hAnsi="宋体" w:cs="宋体"/>
                <w:color w:val="auto"/>
                <w:szCs w:val="21"/>
              </w:rPr>
            </w:pPr>
          </w:p>
        </w:tc>
        <w:tc>
          <w:tcPr>
            <w:tcW w:w="1701" w:type="dxa"/>
            <w:vAlign w:val="center"/>
          </w:tcPr>
          <w:p w14:paraId="5A3B7356">
            <w:pPr>
              <w:adjustRightInd w:val="0"/>
              <w:snapToGrid w:val="0"/>
              <w:spacing w:line="360" w:lineRule="auto"/>
              <w:jc w:val="center"/>
              <w:rPr>
                <w:rFonts w:ascii="宋体" w:hAnsi="宋体" w:cs="宋体"/>
                <w:color w:val="auto"/>
                <w:szCs w:val="21"/>
              </w:rPr>
            </w:pPr>
          </w:p>
        </w:tc>
        <w:tc>
          <w:tcPr>
            <w:tcW w:w="1843" w:type="dxa"/>
          </w:tcPr>
          <w:p w14:paraId="35C49F6E">
            <w:pPr>
              <w:adjustRightInd w:val="0"/>
              <w:snapToGrid w:val="0"/>
              <w:spacing w:line="360" w:lineRule="auto"/>
              <w:jc w:val="center"/>
              <w:rPr>
                <w:rFonts w:ascii="宋体" w:hAnsi="宋体" w:cs="宋体"/>
                <w:color w:val="auto"/>
                <w:szCs w:val="21"/>
              </w:rPr>
            </w:pPr>
          </w:p>
        </w:tc>
        <w:tc>
          <w:tcPr>
            <w:tcW w:w="1134" w:type="dxa"/>
            <w:vAlign w:val="center"/>
          </w:tcPr>
          <w:p w14:paraId="53251C19">
            <w:pPr>
              <w:adjustRightInd w:val="0"/>
              <w:snapToGrid w:val="0"/>
              <w:spacing w:line="360" w:lineRule="auto"/>
              <w:jc w:val="center"/>
              <w:rPr>
                <w:rFonts w:ascii="宋体" w:hAnsi="宋体" w:cs="宋体"/>
                <w:color w:val="auto"/>
                <w:szCs w:val="21"/>
              </w:rPr>
            </w:pPr>
          </w:p>
        </w:tc>
      </w:tr>
      <w:tr w14:paraId="3591B79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709" w:type="dxa"/>
            <w:vAlign w:val="center"/>
          </w:tcPr>
          <w:p w14:paraId="77519204">
            <w:pPr>
              <w:adjustRightInd w:val="0"/>
              <w:snapToGrid w:val="0"/>
              <w:spacing w:line="360" w:lineRule="auto"/>
              <w:jc w:val="center"/>
              <w:rPr>
                <w:rFonts w:ascii="宋体" w:hAnsi="宋体" w:cs="宋体"/>
                <w:color w:val="auto"/>
                <w:szCs w:val="21"/>
              </w:rPr>
            </w:pPr>
          </w:p>
        </w:tc>
        <w:tc>
          <w:tcPr>
            <w:tcW w:w="1134" w:type="dxa"/>
            <w:vAlign w:val="center"/>
          </w:tcPr>
          <w:p w14:paraId="0F5BA887">
            <w:pPr>
              <w:adjustRightInd w:val="0"/>
              <w:snapToGrid w:val="0"/>
              <w:spacing w:line="360" w:lineRule="auto"/>
              <w:jc w:val="center"/>
              <w:rPr>
                <w:rFonts w:ascii="宋体" w:hAnsi="宋体" w:cs="宋体"/>
                <w:color w:val="auto"/>
                <w:szCs w:val="21"/>
              </w:rPr>
            </w:pPr>
          </w:p>
        </w:tc>
        <w:tc>
          <w:tcPr>
            <w:tcW w:w="1134" w:type="dxa"/>
            <w:tcBorders>
              <w:right w:val="single" w:color="auto" w:sz="4" w:space="0"/>
            </w:tcBorders>
            <w:vAlign w:val="center"/>
          </w:tcPr>
          <w:p w14:paraId="4A5D0D4C">
            <w:pPr>
              <w:adjustRightInd w:val="0"/>
              <w:snapToGrid w:val="0"/>
              <w:spacing w:line="360" w:lineRule="auto"/>
              <w:jc w:val="center"/>
              <w:rPr>
                <w:rFonts w:ascii="宋体" w:hAnsi="宋体" w:cs="宋体"/>
                <w:color w:val="auto"/>
                <w:szCs w:val="21"/>
              </w:rPr>
            </w:pPr>
          </w:p>
        </w:tc>
        <w:tc>
          <w:tcPr>
            <w:tcW w:w="1134" w:type="dxa"/>
            <w:tcBorders>
              <w:left w:val="single" w:color="auto" w:sz="4" w:space="0"/>
            </w:tcBorders>
            <w:vAlign w:val="center"/>
          </w:tcPr>
          <w:p w14:paraId="6ED3F6AC">
            <w:pPr>
              <w:adjustRightInd w:val="0"/>
              <w:snapToGrid w:val="0"/>
              <w:spacing w:line="360" w:lineRule="auto"/>
              <w:jc w:val="center"/>
              <w:rPr>
                <w:rFonts w:ascii="宋体" w:hAnsi="宋体" w:cs="宋体"/>
                <w:color w:val="auto"/>
                <w:szCs w:val="21"/>
              </w:rPr>
            </w:pPr>
          </w:p>
        </w:tc>
        <w:tc>
          <w:tcPr>
            <w:tcW w:w="1701" w:type="dxa"/>
            <w:vAlign w:val="center"/>
          </w:tcPr>
          <w:p w14:paraId="54AB0B0F">
            <w:pPr>
              <w:adjustRightInd w:val="0"/>
              <w:snapToGrid w:val="0"/>
              <w:spacing w:line="360" w:lineRule="auto"/>
              <w:jc w:val="center"/>
              <w:rPr>
                <w:rFonts w:ascii="宋体" w:hAnsi="宋体" w:cs="宋体"/>
                <w:color w:val="auto"/>
                <w:szCs w:val="21"/>
              </w:rPr>
            </w:pPr>
          </w:p>
        </w:tc>
        <w:tc>
          <w:tcPr>
            <w:tcW w:w="1843" w:type="dxa"/>
          </w:tcPr>
          <w:p w14:paraId="40D431EA">
            <w:pPr>
              <w:adjustRightInd w:val="0"/>
              <w:snapToGrid w:val="0"/>
              <w:spacing w:line="360" w:lineRule="auto"/>
              <w:jc w:val="center"/>
              <w:rPr>
                <w:rFonts w:ascii="宋体" w:hAnsi="宋体" w:cs="宋体"/>
                <w:color w:val="auto"/>
                <w:szCs w:val="21"/>
              </w:rPr>
            </w:pPr>
          </w:p>
        </w:tc>
        <w:tc>
          <w:tcPr>
            <w:tcW w:w="1134" w:type="dxa"/>
            <w:vAlign w:val="center"/>
          </w:tcPr>
          <w:p w14:paraId="278BB454">
            <w:pPr>
              <w:adjustRightInd w:val="0"/>
              <w:snapToGrid w:val="0"/>
              <w:spacing w:line="360" w:lineRule="auto"/>
              <w:jc w:val="center"/>
              <w:rPr>
                <w:rFonts w:ascii="宋体" w:hAnsi="宋体" w:cs="宋体"/>
                <w:color w:val="auto"/>
                <w:szCs w:val="21"/>
              </w:rPr>
            </w:pPr>
          </w:p>
        </w:tc>
      </w:tr>
      <w:tr w14:paraId="7738674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709" w:type="dxa"/>
            <w:vAlign w:val="center"/>
          </w:tcPr>
          <w:p w14:paraId="323CAA65">
            <w:pPr>
              <w:adjustRightInd w:val="0"/>
              <w:snapToGrid w:val="0"/>
              <w:spacing w:line="360" w:lineRule="auto"/>
              <w:jc w:val="center"/>
              <w:rPr>
                <w:rFonts w:ascii="宋体" w:hAnsi="宋体" w:cs="宋体"/>
                <w:color w:val="auto"/>
                <w:szCs w:val="21"/>
              </w:rPr>
            </w:pPr>
          </w:p>
        </w:tc>
        <w:tc>
          <w:tcPr>
            <w:tcW w:w="1134" w:type="dxa"/>
            <w:vAlign w:val="center"/>
          </w:tcPr>
          <w:p w14:paraId="5C61A14F">
            <w:pPr>
              <w:adjustRightInd w:val="0"/>
              <w:snapToGrid w:val="0"/>
              <w:spacing w:line="360" w:lineRule="auto"/>
              <w:jc w:val="center"/>
              <w:rPr>
                <w:rFonts w:ascii="宋体" w:hAnsi="宋体" w:cs="宋体"/>
                <w:color w:val="auto"/>
                <w:szCs w:val="21"/>
              </w:rPr>
            </w:pPr>
          </w:p>
        </w:tc>
        <w:tc>
          <w:tcPr>
            <w:tcW w:w="1134" w:type="dxa"/>
            <w:tcBorders>
              <w:right w:val="single" w:color="auto" w:sz="4" w:space="0"/>
            </w:tcBorders>
            <w:vAlign w:val="center"/>
          </w:tcPr>
          <w:p w14:paraId="28762B84">
            <w:pPr>
              <w:adjustRightInd w:val="0"/>
              <w:snapToGrid w:val="0"/>
              <w:spacing w:line="360" w:lineRule="auto"/>
              <w:jc w:val="center"/>
              <w:rPr>
                <w:rFonts w:ascii="宋体" w:hAnsi="宋体" w:cs="宋体"/>
                <w:color w:val="auto"/>
                <w:szCs w:val="21"/>
              </w:rPr>
            </w:pPr>
          </w:p>
        </w:tc>
        <w:tc>
          <w:tcPr>
            <w:tcW w:w="1134" w:type="dxa"/>
            <w:tcBorders>
              <w:left w:val="single" w:color="auto" w:sz="4" w:space="0"/>
            </w:tcBorders>
            <w:vAlign w:val="center"/>
          </w:tcPr>
          <w:p w14:paraId="58703C4C">
            <w:pPr>
              <w:adjustRightInd w:val="0"/>
              <w:snapToGrid w:val="0"/>
              <w:spacing w:line="360" w:lineRule="auto"/>
              <w:jc w:val="center"/>
              <w:rPr>
                <w:rFonts w:ascii="宋体" w:hAnsi="宋体" w:cs="宋体"/>
                <w:color w:val="auto"/>
                <w:szCs w:val="21"/>
              </w:rPr>
            </w:pPr>
          </w:p>
        </w:tc>
        <w:tc>
          <w:tcPr>
            <w:tcW w:w="1701" w:type="dxa"/>
            <w:vAlign w:val="center"/>
          </w:tcPr>
          <w:p w14:paraId="64C6052D">
            <w:pPr>
              <w:adjustRightInd w:val="0"/>
              <w:snapToGrid w:val="0"/>
              <w:spacing w:line="360" w:lineRule="auto"/>
              <w:jc w:val="center"/>
              <w:rPr>
                <w:rFonts w:ascii="宋体" w:hAnsi="宋体" w:cs="宋体"/>
                <w:color w:val="auto"/>
                <w:szCs w:val="21"/>
              </w:rPr>
            </w:pPr>
          </w:p>
        </w:tc>
        <w:tc>
          <w:tcPr>
            <w:tcW w:w="1843" w:type="dxa"/>
          </w:tcPr>
          <w:p w14:paraId="1BC179D3">
            <w:pPr>
              <w:adjustRightInd w:val="0"/>
              <w:snapToGrid w:val="0"/>
              <w:spacing w:line="360" w:lineRule="auto"/>
              <w:jc w:val="center"/>
              <w:rPr>
                <w:rFonts w:ascii="宋体" w:hAnsi="宋体" w:cs="宋体"/>
                <w:color w:val="auto"/>
                <w:szCs w:val="21"/>
              </w:rPr>
            </w:pPr>
          </w:p>
        </w:tc>
        <w:tc>
          <w:tcPr>
            <w:tcW w:w="1134" w:type="dxa"/>
            <w:vAlign w:val="center"/>
          </w:tcPr>
          <w:p w14:paraId="686B4B66">
            <w:pPr>
              <w:adjustRightInd w:val="0"/>
              <w:snapToGrid w:val="0"/>
              <w:spacing w:line="360" w:lineRule="auto"/>
              <w:jc w:val="center"/>
              <w:rPr>
                <w:rFonts w:ascii="宋体" w:hAnsi="宋体" w:cs="宋体"/>
                <w:color w:val="auto"/>
                <w:szCs w:val="21"/>
              </w:rPr>
            </w:pPr>
          </w:p>
        </w:tc>
      </w:tr>
      <w:tr w14:paraId="0F00AF3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709" w:type="dxa"/>
            <w:vAlign w:val="center"/>
          </w:tcPr>
          <w:p w14:paraId="49DF568D">
            <w:pPr>
              <w:adjustRightInd w:val="0"/>
              <w:snapToGrid w:val="0"/>
              <w:spacing w:line="360" w:lineRule="auto"/>
              <w:jc w:val="center"/>
              <w:rPr>
                <w:rFonts w:ascii="宋体" w:hAnsi="宋体" w:cs="宋体"/>
                <w:color w:val="auto"/>
                <w:szCs w:val="21"/>
              </w:rPr>
            </w:pPr>
          </w:p>
        </w:tc>
        <w:tc>
          <w:tcPr>
            <w:tcW w:w="1134" w:type="dxa"/>
            <w:vAlign w:val="center"/>
          </w:tcPr>
          <w:p w14:paraId="180842F4">
            <w:pPr>
              <w:adjustRightInd w:val="0"/>
              <w:snapToGrid w:val="0"/>
              <w:spacing w:line="360" w:lineRule="auto"/>
              <w:jc w:val="center"/>
              <w:rPr>
                <w:rFonts w:ascii="宋体" w:hAnsi="宋体" w:cs="宋体"/>
                <w:color w:val="auto"/>
                <w:szCs w:val="21"/>
              </w:rPr>
            </w:pPr>
          </w:p>
        </w:tc>
        <w:tc>
          <w:tcPr>
            <w:tcW w:w="1134" w:type="dxa"/>
            <w:tcBorders>
              <w:right w:val="single" w:color="auto" w:sz="4" w:space="0"/>
            </w:tcBorders>
            <w:vAlign w:val="center"/>
          </w:tcPr>
          <w:p w14:paraId="0FFD5B6B">
            <w:pPr>
              <w:adjustRightInd w:val="0"/>
              <w:snapToGrid w:val="0"/>
              <w:spacing w:line="360" w:lineRule="auto"/>
              <w:jc w:val="center"/>
              <w:rPr>
                <w:rFonts w:ascii="宋体" w:hAnsi="宋体" w:cs="宋体"/>
                <w:color w:val="auto"/>
                <w:szCs w:val="21"/>
              </w:rPr>
            </w:pPr>
          </w:p>
        </w:tc>
        <w:tc>
          <w:tcPr>
            <w:tcW w:w="1134" w:type="dxa"/>
            <w:tcBorders>
              <w:left w:val="single" w:color="auto" w:sz="4" w:space="0"/>
            </w:tcBorders>
            <w:vAlign w:val="center"/>
          </w:tcPr>
          <w:p w14:paraId="05A8C402">
            <w:pPr>
              <w:adjustRightInd w:val="0"/>
              <w:snapToGrid w:val="0"/>
              <w:spacing w:line="360" w:lineRule="auto"/>
              <w:jc w:val="center"/>
              <w:rPr>
                <w:rFonts w:ascii="宋体" w:hAnsi="宋体" w:cs="宋体"/>
                <w:color w:val="auto"/>
                <w:szCs w:val="21"/>
              </w:rPr>
            </w:pPr>
          </w:p>
        </w:tc>
        <w:tc>
          <w:tcPr>
            <w:tcW w:w="1701" w:type="dxa"/>
            <w:vAlign w:val="center"/>
          </w:tcPr>
          <w:p w14:paraId="367433AE">
            <w:pPr>
              <w:adjustRightInd w:val="0"/>
              <w:snapToGrid w:val="0"/>
              <w:spacing w:line="360" w:lineRule="auto"/>
              <w:jc w:val="center"/>
              <w:rPr>
                <w:rFonts w:ascii="宋体" w:hAnsi="宋体" w:cs="宋体"/>
                <w:color w:val="auto"/>
                <w:szCs w:val="21"/>
              </w:rPr>
            </w:pPr>
          </w:p>
        </w:tc>
        <w:tc>
          <w:tcPr>
            <w:tcW w:w="1843" w:type="dxa"/>
          </w:tcPr>
          <w:p w14:paraId="22EF6178">
            <w:pPr>
              <w:adjustRightInd w:val="0"/>
              <w:snapToGrid w:val="0"/>
              <w:spacing w:line="360" w:lineRule="auto"/>
              <w:jc w:val="center"/>
              <w:rPr>
                <w:rFonts w:ascii="宋体" w:hAnsi="宋体" w:cs="宋体"/>
                <w:color w:val="auto"/>
                <w:szCs w:val="21"/>
              </w:rPr>
            </w:pPr>
          </w:p>
        </w:tc>
        <w:tc>
          <w:tcPr>
            <w:tcW w:w="1134" w:type="dxa"/>
            <w:vAlign w:val="center"/>
          </w:tcPr>
          <w:p w14:paraId="547B0877">
            <w:pPr>
              <w:adjustRightInd w:val="0"/>
              <w:snapToGrid w:val="0"/>
              <w:spacing w:line="360" w:lineRule="auto"/>
              <w:jc w:val="center"/>
              <w:rPr>
                <w:rFonts w:ascii="宋体" w:hAnsi="宋体" w:cs="宋体"/>
                <w:color w:val="auto"/>
                <w:szCs w:val="21"/>
              </w:rPr>
            </w:pPr>
          </w:p>
        </w:tc>
      </w:tr>
      <w:tr w14:paraId="34FC0D1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709" w:type="dxa"/>
            <w:vAlign w:val="center"/>
          </w:tcPr>
          <w:p w14:paraId="284DF592">
            <w:pPr>
              <w:adjustRightInd w:val="0"/>
              <w:snapToGrid w:val="0"/>
              <w:spacing w:line="360" w:lineRule="auto"/>
              <w:jc w:val="center"/>
              <w:rPr>
                <w:rFonts w:ascii="宋体" w:hAnsi="宋体" w:cs="宋体"/>
                <w:color w:val="auto"/>
                <w:szCs w:val="21"/>
              </w:rPr>
            </w:pPr>
          </w:p>
        </w:tc>
        <w:tc>
          <w:tcPr>
            <w:tcW w:w="1134" w:type="dxa"/>
            <w:vAlign w:val="center"/>
          </w:tcPr>
          <w:p w14:paraId="51D2A4CD">
            <w:pPr>
              <w:adjustRightInd w:val="0"/>
              <w:snapToGrid w:val="0"/>
              <w:spacing w:line="360" w:lineRule="auto"/>
              <w:jc w:val="center"/>
              <w:rPr>
                <w:rFonts w:ascii="宋体" w:hAnsi="宋体" w:cs="宋体"/>
                <w:color w:val="auto"/>
                <w:szCs w:val="21"/>
              </w:rPr>
            </w:pPr>
          </w:p>
        </w:tc>
        <w:tc>
          <w:tcPr>
            <w:tcW w:w="1134" w:type="dxa"/>
            <w:tcBorders>
              <w:right w:val="single" w:color="auto" w:sz="4" w:space="0"/>
            </w:tcBorders>
            <w:vAlign w:val="center"/>
          </w:tcPr>
          <w:p w14:paraId="1909203F">
            <w:pPr>
              <w:adjustRightInd w:val="0"/>
              <w:snapToGrid w:val="0"/>
              <w:spacing w:line="360" w:lineRule="auto"/>
              <w:jc w:val="center"/>
              <w:rPr>
                <w:rFonts w:ascii="宋体" w:hAnsi="宋体" w:cs="宋体"/>
                <w:color w:val="auto"/>
                <w:szCs w:val="21"/>
              </w:rPr>
            </w:pPr>
          </w:p>
        </w:tc>
        <w:tc>
          <w:tcPr>
            <w:tcW w:w="1134" w:type="dxa"/>
            <w:tcBorders>
              <w:left w:val="single" w:color="auto" w:sz="4" w:space="0"/>
            </w:tcBorders>
            <w:vAlign w:val="center"/>
          </w:tcPr>
          <w:p w14:paraId="0E26C737">
            <w:pPr>
              <w:adjustRightInd w:val="0"/>
              <w:snapToGrid w:val="0"/>
              <w:spacing w:line="360" w:lineRule="auto"/>
              <w:jc w:val="center"/>
              <w:rPr>
                <w:rFonts w:ascii="宋体" w:hAnsi="宋体" w:cs="宋体"/>
                <w:color w:val="auto"/>
                <w:szCs w:val="21"/>
              </w:rPr>
            </w:pPr>
          </w:p>
        </w:tc>
        <w:tc>
          <w:tcPr>
            <w:tcW w:w="1701" w:type="dxa"/>
            <w:vAlign w:val="center"/>
          </w:tcPr>
          <w:p w14:paraId="00B5308C">
            <w:pPr>
              <w:adjustRightInd w:val="0"/>
              <w:snapToGrid w:val="0"/>
              <w:spacing w:line="360" w:lineRule="auto"/>
              <w:jc w:val="center"/>
              <w:rPr>
                <w:rFonts w:ascii="宋体" w:hAnsi="宋体" w:cs="宋体"/>
                <w:color w:val="auto"/>
                <w:szCs w:val="21"/>
              </w:rPr>
            </w:pPr>
          </w:p>
        </w:tc>
        <w:tc>
          <w:tcPr>
            <w:tcW w:w="1843" w:type="dxa"/>
          </w:tcPr>
          <w:p w14:paraId="42141ABD">
            <w:pPr>
              <w:adjustRightInd w:val="0"/>
              <w:snapToGrid w:val="0"/>
              <w:spacing w:line="360" w:lineRule="auto"/>
              <w:jc w:val="center"/>
              <w:rPr>
                <w:rFonts w:ascii="宋体" w:hAnsi="宋体" w:cs="宋体"/>
                <w:color w:val="auto"/>
                <w:szCs w:val="21"/>
              </w:rPr>
            </w:pPr>
          </w:p>
        </w:tc>
        <w:tc>
          <w:tcPr>
            <w:tcW w:w="1134" w:type="dxa"/>
            <w:vAlign w:val="center"/>
          </w:tcPr>
          <w:p w14:paraId="1852A120">
            <w:pPr>
              <w:adjustRightInd w:val="0"/>
              <w:snapToGrid w:val="0"/>
              <w:spacing w:line="360" w:lineRule="auto"/>
              <w:jc w:val="center"/>
              <w:rPr>
                <w:rFonts w:ascii="宋体" w:hAnsi="宋体" w:cs="宋体"/>
                <w:color w:val="auto"/>
                <w:szCs w:val="21"/>
              </w:rPr>
            </w:pPr>
          </w:p>
        </w:tc>
      </w:tr>
      <w:tr w14:paraId="42A404E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709" w:type="dxa"/>
            <w:vAlign w:val="center"/>
          </w:tcPr>
          <w:p w14:paraId="448FC5C3">
            <w:pPr>
              <w:adjustRightInd w:val="0"/>
              <w:snapToGrid w:val="0"/>
              <w:spacing w:line="360" w:lineRule="auto"/>
              <w:jc w:val="center"/>
              <w:rPr>
                <w:rFonts w:ascii="宋体" w:hAnsi="宋体" w:cs="宋体"/>
                <w:color w:val="auto"/>
                <w:szCs w:val="21"/>
              </w:rPr>
            </w:pPr>
          </w:p>
        </w:tc>
        <w:tc>
          <w:tcPr>
            <w:tcW w:w="1134" w:type="dxa"/>
            <w:vAlign w:val="center"/>
          </w:tcPr>
          <w:p w14:paraId="5AA29478">
            <w:pPr>
              <w:adjustRightInd w:val="0"/>
              <w:snapToGrid w:val="0"/>
              <w:spacing w:line="360" w:lineRule="auto"/>
              <w:jc w:val="center"/>
              <w:rPr>
                <w:rFonts w:ascii="宋体" w:hAnsi="宋体" w:cs="宋体"/>
                <w:color w:val="auto"/>
                <w:szCs w:val="21"/>
              </w:rPr>
            </w:pPr>
          </w:p>
        </w:tc>
        <w:tc>
          <w:tcPr>
            <w:tcW w:w="1134" w:type="dxa"/>
            <w:tcBorders>
              <w:right w:val="single" w:color="auto" w:sz="4" w:space="0"/>
            </w:tcBorders>
            <w:vAlign w:val="center"/>
          </w:tcPr>
          <w:p w14:paraId="2A269623">
            <w:pPr>
              <w:adjustRightInd w:val="0"/>
              <w:snapToGrid w:val="0"/>
              <w:spacing w:line="360" w:lineRule="auto"/>
              <w:jc w:val="center"/>
              <w:rPr>
                <w:rFonts w:ascii="宋体" w:hAnsi="宋体" w:cs="宋体"/>
                <w:color w:val="auto"/>
                <w:szCs w:val="21"/>
              </w:rPr>
            </w:pPr>
          </w:p>
        </w:tc>
        <w:tc>
          <w:tcPr>
            <w:tcW w:w="1134" w:type="dxa"/>
            <w:tcBorders>
              <w:left w:val="single" w:color="auto" w:sz="4" w:space="0"/>
            </w:tcBorders>
            <w:vAlign w:val="center"/>
          </w:tcPr>
          <w:p w14:paraId="255A8EB0">
            <w:pPr>
              <w:adjustRightInd w:val="0"/>
              <w:snapToGrid w:val="0"/>
              <w:spacing w:line="360" w:lineRule="auto"/>
              <w:jc w:val="center"/>
              <w:rPr>
                <w:rFonts w:ascii="宋体" w:hAnsi="宋体" w:cs="宋体"/>
                <w:color w:val="auto"/>
                <w:szCs w:val="21"/>
              </w:rPr>
            </w:pPr>
          </w:p>
        </w:tc>
        <w:tc>
          <w:tcPr>
            <w:tcW w:w="1701" w:type="dxa"/>
            <w:vAlign w:val="center"/>
          </w:tcPr>
          <w:p w14:paraId="1E20C4D7">
            <w:pPr>
              <w:adjustRightInd w:val="0"/>
              <w:snapToGrid w:val="0"/>
              <w:spacing w:line="360" w:lineRule="auto"/>
              <w:jc w:val="center"/>
              <w:rPr>
                <w:rFonts w:ascii="宋体" w:hAnsi="宋体" w:cs="宋体"/>
                <w:color w:val="auto"/>
                <w:szCs w:val="21"/>
              </w:rPr>
            </w:pPr>
          </w:p>
        </w:tc>
        <w:tc>
          <w:tcPr>
            <w:tcW w:w="1843" w:type="dxa"/>
          </w:tcPr>
          <w:p w14:paraId="6A2C29D8">
            <w:pPr>
              <w:adjustRightInd w:val="0"/>
              <w:snapToGrid w:val="0"/>
              <w:spacing w:line="360" w:lineRule="auto"/>
              <w:jc w:val="center"/>
              <w:rPr>
                <w:rFonts w:ascii="宋体" w:hAnsi="宋体" w:cs="宋体"/>
                <w:color w:val="auto"/>
                <w:szCs w:val="21"/>
              </w:rPr>
            </w:pPr>
          </w:p>
        </w:tc>
        <w:tc>
          <w:tcPr>
            <w:tcW w:w="1134" w:type="dxa"/>
            <w:vAlign w:val="center"/>
          </w:tcPr>
          <w:p w14:paraId="3B4E3715">
            <w:pPr>
              <w:adjustRightInd w:val="0"/>
              <w:snapToGrid w:val="0"/>
              <w:spacing w:line="360" w:lineRule="auto"/>
              <w:jc w:val="center"/>
              <w:rPr>
                <w:rFonts w:ascii="宋体" w:hAnsi="宋体" w:cs="宋体"/>
                <w:color w:val="auto"/>
                <w:szCs w:val="21"/>
              </w:rPr>
            </w:pPr>
          </w:p>
        </w:tc>
      </w:tr>
      <w:tr w14:paraId="08A95E4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709" w:type="dxa"/>
            <w:vAlign w:val="center"/>
          </w:tcPr>
          <w:p w14:paraId="295C2D4A">
            <w:pPr>
              <w:adjustRightInd w:val="0"/>
              <w:snapToGrid w:val="0"/>
              <w:spacing w:line="360" w:lineRule="auto"/>
              <w:jc w:val="center"/>
              <w:rPr>
                <w:rFonts w:ascii="宋体" w:hAnsi="宋体" w:cs="宋体"/>
                <w:color w:val="auto"/>
                <w:szCs w:val="21"/>
              </w:rPr>
            </w:pPr>
            <w:r>
              <w:rPr>
                <w:rFonts w:hint="eastAsia" w:ascii="宋体" w:hAnsi="宋体" w:cs="宋体"/>
                <w:color w:val="auto"/>
                <w:szCs w:val="21"/>
              </w:rPr>
              <w:t>小计</w:t>
            </w:r>
          </w:p>
        </w:tc>
        <w:tc>
          <w:tcPr>
            <w:tcW w:w="1134" w:type="dxa"/>
            <w:vAlign w:val="center"/>
          </w:tcPr>
          <w:p w14:paraId="50424BE5">
            <w:pPr>
              <w:adjustRightInd w:val="0"/>
              <w:snapToGrid w:val="0"/>
              <w:spacing w:line="360" w:lineRule="auto"/>
              <w:jc w:val="center"/>
              <w:rPr>
                <w:rFonts w:ascii="宋体" w:hAnsi="宋体" w:cs="宋体"/>
                <w:color w:val="auto"/>
                <w:szCs w:val="21"/>
              </w:rPr>
            </w:pPr>
            <w:r>
              <w:rPr>
                <w:rFonts w:hint="eastAsia" w:ascii="宋体" w:hAnsi="宋体" w:cs="宋体"/>
                <w:b/>
                <w:color w:val="auto"/>
                <w:szCs w:val="21"/>
              </w:rPr>
              <w:t>/</w:t>
            </w:r>
          </w:p>
        </w:tc>
        <w:tc>
          <w:tcPr>
            <w:tcW w:w="1134" w:type="dxa"/>
            <w:tcBorders>
              <w:right w:val="single" w:color="auto" w:sz="4" w:space="0"/>
            </w:tcBorders>
            <w:vAlign w:val="center"/>
          </w:tcPr>
          <w:p w14:paraId="1A666C22">
            <w:pPr>
              <w:adjustRightInd w:val="0"/>
              <w:snapToGrid w:val="0"/>
              <w:spacing w:line="360" w:lineRule="auto"/>
              <w:jc w:val="center"/>
              <w:rPr>
                <w:rFonts w:ascii="宋体" w:hAnsi="宋体" w:cs="宋体"/>
                <w:color w:val="auto"/>
                <w:szCs w:val="21"/>
              </w:rPr>
            </w:pPr>
          </w:p>
        </w:tc>
        <w:tc>
          <w:tcPr>
            <w:tcW w:w="1134" w:type="dxa"/>
            <w:tcBorders>
              <w:left w:val="single" w:color="auto" w:sz="4" w:space="0"/>
            </w:tcBorders>
            <w:vAlign w:val="center"/>
          </w:tcPr>
          <w:p w14:paraId="664F02F4">
            <w:pPr>
              <w:adjustRightInd w:val="0"/>
              <w:snapToGrid w:val="0"/>
              <w:spacing w:line="360" w:lineRule="auto"/>
              <w:jc w:val="center"/>
              <w:rPr>
                <w:rFonts w:ascii="宋体" w:hAnsi="宋体" w:cs="宋体"/>
                <w:color w:val="auto"/>
                <w:szCs w:val="21"/>
              </w:rPr>
            </w:pPr>
          </w:p>
        </w:tc>
        <w:tc>
          <w:tcPr>
            <w:tcW w:w="1701" w:type="dxa"/>
            <w:vAlign w:val="center"/>
          </w:tcPr>
          <w:p w14:paraId="00314A19">
            <w:pPr>
              <w:adjustRightInd w:val="0"/>
              <w:snapToGrid w:val="0"/>
              <w:spacing w:line="360" w:lineRule="auto"/>
              <w:jc w:val="center"/>
              <w:rPr>
                <w:rFonts w:ascii="宋体" w:hAnsi="宋体" w:cs="宋体"/>
                <w:color w:val="auto"/>
                <w:szCs w:val="21"/>
              </w:rPr>
            </w:pPr>
            <w:r>
              <w:rPr>
                <w:rFonts w:hint="eastAsia" w:ascii="宋体" w:hAnsi="宋体" w:cs="宋体"/>
                <w:b/>
                <w:color w:val="auto"/>
                <w:szCs w:val="21"/>
              </w:rPr>
              <w:t>/</w:t>
            </w:r>
          </w:p>
        </w:tc>
        <w:tc>
          <w:tcPr>
            <w:tcW w:w="1843" w:type="dxa"/>
            <w:vAlign w:val="center"/>
          </w:tcPr>
          <w:p w14:paraId="7DF4536E">
            <w:pPr>
              <w:adjustRightInd w:val="0"/>
              <w:snapToGrid w:val="0"/>
              <w:spacing w:line="360" w:lineRule="auto"/>
              <w:jc w:val="center"/>
              <w:rPr>
                <w:rFonts w:ascii="宋体" w:hAnsi="宋体" w:cs="宋体"/>
                <w:color w:val="auto"/>
                <w:szCs w:val="21"/>
              </w:rPr>
            </w:pPr>
            <w:r>
              <w:rPr>
                <w:rFonts w:hint="eastAsia" w:ascii="宋体" w:hAnsi="宋体" w:cs="宋体"/>
                <w:b/>
                <w:color w:val="auto"/>
                <w:szCs w:val="21"/>
              </w:rPr>
              <w:t>/</w:t>
            </w:r>
          </w:p>
        </w:tc>
        <w:tc>
          <w:tcPr>
            <w:tcW w:w="1134" w:type="dxa"/>
            <w:vAlign w:val="center"/>
          </w:tcPr>
          <w:p w14:paraId="2131A591">
            <w:pPr>
              <w:adjustRightInd w:val="0"/>
              <w:snapToGrid w:val="0"/>
              <w:spacing w:line="360" w:lineRule="auto"/>
              <w:jc w:val="center"/>
              <w:rPr>
                <w:rFonts w:ascii="宋体" w:hAnsi="宋体" w:cs="宋体"/>
                <w:color w:val="auto"/>
                <w:szCs w:val="21"/>
              </w:rPr>
            </w:pPr>
            <w:r>
              <w:rPr>
                <w:rFonts w:hint="eastAsia" w:ascii="宋体" w:hAnsi="宋体" w:cs="宋体"/>
                <w:b/>
                <w:color w:val="auto"/>
                <w:szCs w:val="21"/>
              </w:rPr>
              <w:t>/</w:t>
            </w:r>
          </w:p>
        </w:tc>
      </w:tr>
    </w:tbl>
    <w:p w14:paraId="6491AE64">
      <w:pPr>
        <w:adjustRightInd w:val="0"/>
        <w:snapToGrid w:val="0"/>
        <w:spacing w:line="360" w:lineRule="auto"/>
        <w:rPr>
          <w:rFonts w:ascii="宋体" w:hAnsi="宋体" w:cs="宋体"/>
          <w:color w:val="auto"/>
          <w:szCs w:val="21"/>
        </w:rPr>
      </w:pPr>
      <w:r>
        <w:rPr>
          <w:rFonts w:hint="eastAsia" w:ascii="宋体" w:hAnsi="宋体" w:cs="宋体"/>
          <w:color w:val="auto"/>
          <w:szCs w:val="21"/>
        </w:rPr>
        <w:t>说明：1、本清单用于计算政府采购价格评审优惠应享受的政府采购政策价格扣除。提供附件10-1、附件10-2、附件10-3的，且提供的货物为小型、微型企业制造的，包括视同小型、微型企业，享受评审中价格扣除的监狱企业、残疾人福利性单位制造的货物。货物制造商类型填写小型、微型企业或监狱企业或残疾人福利性单位。</w:t>
      </w:r>
    </w:p>
    <w:p w14:paraId="43DC16CF">
      <w:pPr>
        <w:adjustRightInd w:val="0"/>
        <w:snapToGrid w:val="0"/>
        <w:spacing w:line="360" w:lineRule="auto"/>
        <w:ind w:firstLine="630" w:firstLineChars="300"/>
        <w:rPr>
          <w:rFonts w:ascii="宋体" w:hAnsi="宋体" w:cs="宋体"/>
          <w:color w:val="auto"/>
          <w:szCs w:val="21"/>
        </w:rPr>
      </w:pPr>
      <w:r>
        <w:rPr>
          <w:rFonts w:hint="eastAsia" w:ascii="宋体" w:hAnsi="宋体" w:cs="宋体"/>
          <w:color w:val="auto"/>
          <w:szCs w:val="21"/>
        </w:rPr>
        <w:t>2、栏目4“价格”为综合单价，包含该货物所有隐含的内容，如运输费、保险费、安装调试费、管理费和利润等。</w:t>
      </w:r>
    </w:p>
    <w:p w14:paraId="6D63CCED">
      <w:pPr>
        <w:adjustRightInd w:val="0"/>
        <w:snapToGrid w:val="0"/>
        <w:spacing w:line="360" w:lineRule="auto"/>
        <w:ind w:firstLine="630" w:firstLineChars="300"/>
        <w:rPr>
          <w:rFonts w:ascii="宋体" w:hAnsi="宋体" w:cs="宋体"/>
          <w:b/>
          <w:color w:val="auto"/>
          <w:szCs w:val="21"/>
        </w:rPr>
      </w:pPr>
      <w:r>
        <w:rPr>
          <w:rFonts w:hint="eastAsia" w:ascii="宋体" w:hAnsi="宋体" w:cs="宋体"/>
          <w:color w:val="auto"/>
          <w:szCs w:val="21"/>
        </w:rPr>
        <w:t>3、</w:t>
      </w:r>
      <w:r>
        <w:rPr>
          <w:rFonts w:hint="eastAsia" w:ascii="宋体" w:hAnsi="宋体" w:cs="宋体"/>
          <w:bCs/>
          <w:color w:val="auto"/>
          <w:szCs w:val="21"/>
        </w:rPr>
        <w:t>投标人在投标截止时间前修改“开标一览表”中的投标报价的，应按第二章第13.7款规定修改本表相应内容。否则，评审时涉及本表所有优惠不予以考虑。</w:t>
      </w:r>
    </w:p>
    <w:p w14:paraId="28B9961D">
      <w:pPr>
        <w:adjustRightInd w:val="0"/>
        <w:snapToGrid w:val="0"/>
        <w:spacing w:line="360" w:lineRule="auto"/>
        <w:ind w:firstLine="630" w:firstLineChars="300"/>
        <w:rPr>
          <w:rFonts w:ascii="宋体" w:hAnsi="宋体" w:cs="宋体"/>
          <w:color w:val="auto"/>
          <w:szCs w:val="21"/>
        </w:rPr>
      </w:pPr>
    </w:p>
    <w:p w14:paraId="72C08D4E">
      <w:pPr>
        <w:adjustRightInd w:val="0"/>
        <w:snapToGrid w:val="0"/>
        <w:spacing w:line="360" w:lineRule="auto"/>
        <w:rPr>
          <w:rFonts w:ascii="宋体" w:hAnsi="宋体" w:cs="宋体"/>
          <w:color w:val="auto"/>
          <w:szCs w:val="21"/>
        </w:rPr>
      </w:pPr>
      <w:r>
        <w:rPr>
          <w:rFonts w:hint="eastAsia" w:ascii="宋体" w:hAnsi="宋体" w:cs="宋体"/>
          <w:color w:val="auto"/>
          <w:szCs w:val="21"/>
        </w:rPr>
        <w:t>投标人名称（盖单位章）：</w:t>
      </w:r>
    </w:p>
    <w:p w14:paraId="5FF9E112">
      <w:pPr>
        <w:adjustRightInd w:val="0"/>
        <w:snapToGrid w:val="0"/>
        <w:spacing w:line="360" w:lineRule="auto"/>
        <w:rPr>
          <w:rFonts w:ascii="宋体" w:hAnsi="宋体" w:cs="宋体"/>
          <w:color w:val="auto"/>
          <w:szCs w:val="21"/>
        </w:rPr>
      </w:pPr>
      <w:r>
        <w:rPr>
          <w:rFonts w:hint="eastAsia" w:ascii="宋体" w:hAnsi="宋体" w:cs="宋体"/>
          <w:color w:val="auto"/>
          <w:spacing w:val="-2"/>
          <w:kern w:val="0"/>
          <w:szCs w:val="21"/>
        </w:rPr>
        <w:t>法</w:t>
      </w:r>
      <w:r>
        <w:rPr>
          <w:rFonts w:hint="eastAsia" w:ascii="宋体" w:hAnsi="宋体" w:cs="宋体"/>
          <w:color w:val="auto"/>
          <w:kern w:val="0"/>
          <w:szCs w:val="21"/>
        </w:rPr>
        <w:t>定</w:t>
      </w:r>
      <w:r>
        <w:rPr>
          <w:rFonts w:hint="eastAsia" w:ascii="宋体" w:hAnsi="宋体" w:cs="宋体"/>
          <w:color w:val="auto"/>
          <w:spacing w:val="-2"/>
          <w:kern w:val="0"/>
          <w:szCs w:val="21"/>
        </w:rPr>
        <w:t>代</w:t>
      </w:r>
      <w:r>
        <w:rPr>
          <w:rFonts w:hint="eastAsia" w:ascii="宋体" w:hAnsi="宋体" w:cs="宋体"/>
          <w:color w:val="auto"/>
          <w:kern w:val="0"/>
          <w:szCs w:val="21"/>
        </w:rPr>
        <w:t>表</w:t>
      </w:r>
      <w:r>
        <w:rPr>
          <w:rFonts w:hint="eastAsia" w:ascii="宋体" w:hAnsi="宋体" w:cs="宋体"/>
          <w:color w:val="auto"/>
          <w:spacing w:val="-2"/>
          <w:kern w:val="0"/>
          <w:szCs w:val="21"/>
        </w:rPr>
        <w:t>人</w:t>
      </w:r>
      <w:r>
        <w:rPr>
          <w:rFonts w:hint="eastAsia" w:ascii="宋体" w:hAnsi="宋体" w:cs="宋体"/>
          <w:color w:val="auto"/>
          <w:kern w:val="0"/>
          <w:szCs w:val="21"/>
        </w:rPr>
        <w:t>（</w:t>
      </w:r>
      <w:r>
        <w:rPr>
          <w:rFonts w:hint="eastAsia" w:ascii="宋体" w:hAnsi="宋体" w:cs="宋体"/>
          <w:color w:val="auto"/>
          <w:spacing w:val="-2"/>
          <w:kern w:val="0"/>
          <w:szCs w:val="21"/>
        </w:rPr>
        <w:t>单</w:t>
      </w:r>
      <w:r>
        <w:rPr>
          <w:rFonts w:hint="eastAsia" w:ascii="宋体" w:hAnsi="宋体" w:cs="宋体"/>
          <w:color w:val="auto"/>
          <w:kern w:val="0"/>
          <w:szCs w:val="21"/>
        </w:rPr>
        <w:t>位</w:t>
      </w:r>
      <w:r>
        <w:rPr>
          <w:rFonts w:hint="eastAsia" w:ascii="宋体" w:hAnsi="宋体" w:cs="宋体"/>
          <w:color w:val="auto"/>
          <w:spacing w:val="-2"/>
          <w:kern w:val="0"/>
          <w:szCs w:val="21"/>
        </w:rPr>
        <w:t>负</w:t>
      </w:r>
      <w:r>
        <w:rPr>
          <w:rFonts w:hint="eastAsia" w:ascii="宋体" w:hAnsi="宋体" w:cs="宋体"/>
          <w:color w:val="auto"/>
          <w:kern w:val="0"/>
          <w:szCs w:val="21"/>
        </w:rPr>
        <w:t>责人</w:t>
      </w:r>
      <w:r>
        <w:rPr>
          <w:rFonts w:hint="eastAsia" w:ascii="宋体" w:hAnsi="宋体" w:cs="宋体"/>
          <w:color w:val="auto"/>
          <w:spacing w:val="-2"/>
          <w:kern w:val="0"/>
          <w:szCs w:val="21"/>
        </w:rPr>
        <w:t>）</w:t>
      </w:r>
      <w:r>
        <w:rPr>
          <w:rFonts w:hint="eastAsia" w:ascii="宋体" w:hAnsi="宋体" w:cs="宋体"/>
          <w:color w:val="auto"/>
          <w:szCs w:val="21"/>
        </w:rPr>
        <w:t>或其委托代理人（签字或印章）：</w:t>
      </w:r>
    </w:p>
    <w:p w14:paraId="103C5392">
      <w:pPr>
        <w:adjustRightInd w:val="0"/>
        <w:snapToGrid w:val="0"/>
        <w:spacing w:line="360" w:lineRule="auto"/>
        <w:rPr>
          <w:rFonts w:ascii="宋体" w:hAnsi="宋体" w:cs="宋体"/>
          <w:color w:val="auto"/>
          <w:spacing w:val="6"/>
          <w:kern w:val="0"/>
          <w:szCs w:val="21"/>
        </w:rPr>
      </w:pPr>
      <w:r>
        <w:rPr>
          <w:rFonts w:hint="eastAsia" w:ascii="宋体" w:hAnsi="宋体" w:cs="宋体"/>
          <w:color w:val="auto"/>
          <w:szCs w:val="21"/>
        </w:rPr>
        <w:t>日期： 年  月  日</w:t>
      </w:r>
      <w:r>
        <w:rPr>
          <w:rFonts w:hint="eastAsia" w:ascii="宋体" w:hAnsi="宋体" w:cs="宋体"/>
          <w:b/>
          <w:bCs/>
          <w:color w:val="auto"/>
          <w:spacing w:val="6"/>
          <w:kern w:val="0"/>
          <w:szCs w:val="21"/>
        </w:rPr>
        <w:br w:type="page"/>
      </w:r>
    </w:p>
    <w:p w14:paraId="59DB520E">
      <w:pPr>
        <w:adjustRightInd w:val="0"/>
        <w:snapToGrid w:val="0"/>
        <w:spacing w:line="360" w:lineRule="auto"/>
        <w:ind w:firstLine="420" w:firstLineChars="200"/>
        <w:rPr>
          <w:rFonts w:ascii="黑体" w:hAnsi="黑体" w:cs="宋体"/>
          <w:color w:val="auto"/>
          <w:kern w:val="0"/>
          <w:szCs w:val="21"/>
        </w:rPr>
        <w:sectPr>
          <w:pgSz w:w="11900" w:h="16838"/>
          <w:pgMar w:top="1134" w:right="1559" w:bottom="680" w:left="1678" w:header="879" w:footer="227" w:gutter="0"/>
          <w:cols w:space="0" w:num="1"/>
          <w:docGrid w:linePitch="312" w:charSpace="0"/>
        </w:sectPr>
      </w:pPr>
    </w:p>
    <w:p w14:paraId="511E082A">
      <w:pPr>
        <w:adjustRightInd w:val="0"/>
        <w:snapToGrid w:val="0"/>
        <w:spacing w:line="360" w:lineRule="auto"/>
        <w:ind w:firstLine="420" w:firstLineChars="200"/>
        <w:rPr>
          <w:rFonts w:ascii="黑体" w:hAnsi="黑体"/>
          <w:color w:val="auto"/>
          <w:szCs w:val="21"/>
        </w:rPr>
      </w:pPr>
      <w:r>
        <w:rPr>
          <w:rFonts w:hint="eastAsia" w:ascii="黑体" w:hAnsi="黑体" w:cs="宋体"/>
          <w:color w:val="auto"/>
          <w:kern w:val="0"/>
          <w:szCs w:val="21"/>
        </w:rPr>
        <w:t xml:space="preserve">附件10-2 </w:t>
      </w:r>
      <w:r>
        <w:rPr>
          <w:rFonts w:hint="eastAsia" w:ascii="黑体" w:hAnsi="黑体"/>
          <w:color w:val="auto"/>
          <w:szCs w:val="21"/>
        </w:rPr>
        <w:t>残疾人福利性单位声明函</w:t>
      </w:r>
      <w:bookmarkEnd w:id="243"/>
      <w:bookmarkEnd w:id="244"/>
    </w:p>
    <w:p w14:paraId="082C0E26">
      <w:pPr>
        <w:adjustRightInd w:val="0"/>
        <w:snapToGrid w:val="0"/>
        <w:spacing w:line="360" w:lineRule="auto"/>
        <w:jc w:val="center"/>
        <w:rPr>
          <w:rFonts w:ascii="黑体" w:hAnsi="黑体" w:eastAsia="黑体"/>
          <w:b/>
          <w:color w:val="auto"/>
          <w:spacing w:val="6"/>
          <w:sz w:val="28"/>
          <w:szCs w:val="28"/>
        </w:rPr>
      </w:pPr>
      <w:r>
        <w:rPr>
          <w:rFonts w:hint="eastAsia" w:ascii="黑体" w:hAnsi="黑体" w:eastAsia="黑体"/>
          <w:b/>
          <w:color w:val="auto"/>
          <w:spacing w:val="6"/>
          <w:sz w:val="28"/>
          <w:szCs w:val="28"/>
        </w:rPr>
        <w:t>残疾人福利性单位声明函</w:t>
      </w:r>
    </w:p>
    <w:p w14:paraId="1D2787F2">
      <w:pPr>
        <w:adjustRightInd w:val="0"/>
        <w:snapToGrid w:val="0"/>
        <w:spacing w:line="360" w:lineRule="auto"/>
        <w:jc w:val="center"/>
        <w:rPr>
          <w:rFonts w:ascii="宋体" w:hAnsi="宋体"/>
          <w:b/>
          <w:color w:val="auto"/>
          <w:spacing w:val="6"/>
          <w:szCs w:val="21"/>
        </w:rPr>
      </w:pPr>
      <w:r>
        <w:rPr>
          <w:rFonts w:hint="eastAsia" w:ascii="宋体" w:hAnsi="宋体"/>
          <w:b/>
          <w:color w:val="auto"/>
          <w:spacing w:val="6"/>
          <w:szCs w:val="21"/>
        </w:rPr>
        <w:t>（注意：不符合政策要求的无需提供）</w:t>
      </w:r>
    </w:p>
    <w:p w14:paraId="109714FA">
      <w:pPr>
        <w:adjustRightInd w:val="0"/>
        <w:snapToGrid w:val="0"/>
        <w:spacing w:line="360" w:lineRule="auto"/>
        <w:ind w:firstLine="444" w:firstLineChars="200"/>
        <w:rPr>
          <w:rFonts w:ascii="宋体" w:hAnsi="宋体"/>
          <w:color w:val="auto"/>
          <w:spacing w:val="6"/>
          <w:szCs w:val="21"/>
        </w:rPr>
      </w:pPr>
      <w:r>
        <w:rPr>
          <w:rFonts w:hint="eastAsia" w:ascii="宋体" w:hAnsi="宋体"/>
          <w:color w:val="auto"/>
          <w:spacing w:val="6"/>
          <w:szCs w:val="21"/>
        </w:rPr>
        <w:t>本单位郑重声明，根据《财政部 民政部 中国残疾人联合会关于促进残疾人就业政府采购政策的通知》（财库</w:t>
      </w:r>
      <w:r>
        <w:rPr>
          <w:rFonts w:hint="eastAsia" w:ascii="宋体" w:hAnsi="宋体"/>
          <w:color w:val="auto"/>
          <w:szCs w:val="21"/>
        </w:rPr>
        <w:t>〔2017〕141</w:t>
      </w:r>
      <w:r>
        <w:rPr>
          <w:rFonts w:hint="eastAsia" w:ascii="宋体" w:hAnsi="宋体"/>
          <w:color w:val="auto"/>
          <w:spacing w:val="6"/>
          <w:szCs w:val="21"/>
        </w:rPr>
        <w:t>号）的规定，本单位为符合条件的残疾人福利性单位，且本单位参加</w:t>
      </w:r>
      <w:r>
        <w:rPr>
          <w:rFonts w:hint="eastAsia" w:ascii="宋体" w:hAnsi="宋体"/>
          <w:color w:val="auto"/>
          <w:spacing w:val="6"/>
          <w:szCs w:val="21"/>
          <w:u w:val="single"/>
        </w:rPr>
        <w:t>______</w:t>
      </w:r>
      <w:r>
        <w:rPr>
          <w:rFonts w:hint="eastAsia" w:ascii="宋体" w:hAnsi="宋体"/>
          <w:color w:val="auto"/>
          <w:spacing w:val="6"/>
          <w:szCs w:val="21"/>
        </w:rPr>
        <w:t>单位的</w:t>
      </w:r>
      <w:r>
        <w:rPr>
          <w:rFonts w:hint="eastAsia" w:ascii="宋体" w:hAnsi="宋体"/>
          <w:color w:val="auto"/>
          <w:spacing w:val="6"/>
          <w:szCs w:val="21"/>
          <w:u w:val="single"/>
        </w:rPr>
        <w:t>______</w:t>
      </w:r>
      <w:r>
        <w:rPr>
          <w:rFonts w:hint="eastAsia" w:ascii="宋体" w:hAnsi="宋体"/>
          <w:color w:val="auto"/>
          <w:spacing w:val="6"/>
          <w:szCs w:val="21"/>
        </w:rPr>
        <w:t>项目采购活动提供本单位制造的货物（由本单位承担工程/提供服务），或者提供其他残疾人福利性单位制造的货物（不包括使用非残疾人福利性单位注册商标的货物）。</w:t>
      </w:r>
    </w:p>
    <w:p w14:paraId="0F0C67EE">
      <w:pPr>
        <w:adjustRightInd w:val="0"/>
        <w:snapToGrid w:val="0"/>
        <w:spacing w:line="360" w:lineRule="auto"/>
        <w:ind w:firstLine="444" w:firstLineChars="200"/>
        <w:rPr>
          <w:rFonts w:ascii="宋体" w:hAnsi="宋体"/>
          <w:color w:val="auto"/>
          <w:spacing w:val="6"/>
          <w:szCs w:val="21"/>
        </w:rPr>
      </w:pPr>
      <w:r>
        <w:rPr>
          <w:rFonts w:hint="eastAsia" w:ascii="宋体" w:hAnsi="宋体"/>
          <w:color w:val="auto"/>
          <w:spacing w:val="6"/>
          <w:szCs w:val="21"/>
        </w:rPr>
        <w:t>本单位对上述声明的真实性负责。如有虚假，将依法承担相应责任。</w:t>
      </w:r>
    </w:p>
    <w:p w14:paraId="69FBD646">
      <w:pPr>
        <w:adjustRightInd w:val="0"/>
        <w:snapToGrid w:val="0"/>
        <w:spacing w:line="360" w:lineRule="auto"/>
        <w:ind w:firstLine="444" w:firstLineChars="200"/>
        <w:rPr>
          <w:rFonts w:ascii="宋体" w:hAnsi="宋体"/>
          <w:color w:val="auto"/>
          <w:spacing w:val="6"/>
          <w:szCs w:val="21"/>
        </w:rPr>
      </w:pPr>
    </w:p>
    <w:p w14:paraId="7D5819D6">
      <w:pPr>
        <w:adjustRightInd w:val="0"/>
        <w:snapToGrid w:val="0"/>
        <w:spacing w:line="360" w:lineRule="auto"/>
        <w:ind w:firstLine="444" w:firstLineChars="200"/>
        <w:rPr>
          <w:rFonts w:ascii="宋体" w:hAnsi="宋体"/>
          <w:color w:val="auto"/>
          <w:spacing w:val="6"/>
          <w:szCs w:val="21"/>
        </w:rPr>
      </w:pPr>
    </w:p>
    <w:p w14:paraId="37E421DA">
      <w:pPr>
        <w:tabs>
          <w:tab w:val="left" w:pos="4860"/>
        </w:tabs>
        <w:adjustRightInd w:val="0"/>
        <w:snapToGrid w:val="0"/>
        <w:spacing w:line="360" w:lineRule="auto"/>
        <w:ind w:right="1560" w:firstLine="444" w:firstLineChars="200"/>
        <w:jc w:val="center"/>
        <w:rPr>
          <w:rFonts w:ascii="宋体" w:hAnsi="宋体"/>
          <w:color w:val="auto"/>
          <w:spacing w:val="6"/>
          <w:szCs w:val="21"/>
        </w:rPr>
      </w:pPr>
      <w:r>
        <w:rPr>
          <w:rFonts w:hint="eastAsia" w:ascii="宋体" w:hAnsi="宋体"/>
          <w:color w:val="auto"/>
          <w:spacing w:val="6"/>
          <w:szCs w:val="21"/>
        </w:rPr>
        <w:t xml:space="preserve">               单位名称（盖章）：</w:t>
      </w:r>
    </w:p>
    <w:p w14:paraId="45F36C74">
      <w:pPr>
        <w:tabs>
          <w:tab w:val="left" w:pos="4860"/>
        </w:tabs>
        <w:adjustRightInd w:val="0"/>
        <w:snapToGrid w:val="0"/>
        <w:spacing w:line="360" w:lineRule="auto"/>
        <w:ind w:right="1560" w:firstLine="444" w:firstLineChars="200"/>
        <w:jc w:val="center"/>
        <w:rPr>
          <w:rFonts w:ascii="宋体" w:hAnsi="宋体"/>
          <w:color w:val="auto"/>
          <w:spacing w:val="6"/>
          <w:szCs w:val="21"/>
        </w:rPr>
      </w:pPr>
      <w:r>
        <w:rPr>
          <w:rFonts w:hint="eastAsia" w:ascii="宋体" w:hAnsi="宋体"/>
          <w:color w:val="auto"/>
          <w:spacing w:val="6"/>
          <w:szCs w:val="21"/>
        </w:rPr>
        <w:t xml:space="preserve">       日  期：</w:t>
      </w:r>
    </w:p>
    <w:p w14:paraId="26948A30">
      <w:pPr>
        <w:widowControl/>
        <w:adjustRightInd w:val="0"/>
        <w:snapToGrid w:val="0"/>
        <w:spacing w:line="360" w:lineRule="auto"/>
        <w:jc w:val="left"/>
        <w:rPr>
          <w:rFonts w:ascii="宋体" w:hAnsi="宋体" w:cs="宋体"/>
          <w:color w:val="auto"/>
          <w:kern w:val="0"/>
          <w:szCs w:val="21"/>
        </w:rPr>
      </w:pPr>
    </w:p>
    <w:p w14:paraId="2B862A6E">
      <w:pPr>
        <w:pStyle w:val="5"/>
        <w:rPr>
          <w:rFonts w:ascii="黑体" w:hAnsi="黑体"/>
          <w:color w:val="auto"/>
          <w:sz w:val="21"/>
          <w:szCs w:val="21"/>
        </w:rPr>
      </w:pPr>
      <w:r>
        <w:rPr>
          <w:rFonts w:ascii="黑体" w:hAnsi="华文中宋" w:cs="宋体"/>
          <w:color w:val="auto"/>
          <w:spacing w:val="6"/>
          <w:kern w:val="0"/>
        </w:rPr>
        <w:br w:type="page"/>
      </w:r>
      <w:bookmarkStart w:id="245" w:name="_Toc5869"/>
      <w:bookmarkStart w:id="246" w:name="_Toc62206228"/>
      <w:bookmarkStart w:id="247" w:name="_Toc22201165"/>
      <w:r>
        <w:rPr>
          <w:rFonts w:hint="eastAsia" w:ascii="黑体" w:hAnsi="黑体" w:cs="宋体"/>
          <w:color w:val="auto"/>
          <w:kern w:val="0"/>
          <w:sz w:val="21"/>
          <w:szCs w:val="21"/>
        </w:rPr>
        <w:t xml:space="preserve">附件10-3 </w:t>
      </w:r>
      <w:r>
        <w:rPr>
          <w:rFonts w:hint="eastAsia" w:ascii="黑体" w:hAnsi="黑体"/>
          <w:color w:val="auto"/>
          <w:sz w:val="21"/>
          <w:szCs w:val="21"/>
        </w:rPr>
        <w:t>监狱企业证明资料</w:t>
      </w:r>
      <w:bookmarkEnd w:id="245"/>
      <w:bookmarkEnd w:id="246"/>
      <w:bookmarkEnd w:id="247"/>
    </w:p>
    <w:p w14:paraId="55169361">
      <w:pPr>
        <w:adjustRightInd w:val="0"/>
        <w:snapToGrid w:val="0"/>
        <w:spacing w:line="360" w:lineRule="auto"/>
        <w:jc w:val="center"/>
        <w:rPr>
          <w:rFonts w:ascii="黑体" w:hAnsi="宋体"/>
          <w:b/>
          <w:color w:val="auto"/>
          <w:sz w:val="28"/>
          <w:szCs w:val="28"/>
        </w:rPr>
      </w:pPr>
      <w:r>
        <w:rPr>
          <w:rFonts w:hint="eastAsia" w:ascii="黑体" w:hAnsi="宋体"/>
          <w:b/>
          <w:color w:val="auto"/>
          <w:sz w:val="28"/>
          <w:szCs w:val="28"/>
        </w:rPr>
        <w:t>监狱企业证明资料</w:t>
      </w:r>
    </w:p>
    <w:p w14:paraId="5E20CCC6">
      <w:pPr>
        <w:adjustRightInd w:val="0"/>
        <w:snapToGrid w:val="0"/>
        <w:spacing w:line="360" w:lineRule="auto"/>
        <w:jc w:val="center"/>
        <w:rPr>
          <w:rFonts w:ascii="宋体" w:hAnsi="宋体"/>
          <w:b/>
          <w:color w:val="auto"/>
          <w:spacing w:val="6"/>
          <w:szCs w:val="21"/>
        </w:rPr>
      </w:pPr>
      <w:r>
        <w:rPr>
          <w:rFonts w:hint="eastAsia" w:ascii="宋体" w:hAnsi="宋体"/>
          <w:b/>
          <w:color w:val="auto"/>
          <w:spacing w:val="6"/>
          <w:szCs w:val="21"/>
        </w:rPr>
        <w:t>（注意：不符合政策要求的无需提供）</w:t>
      </w:r>
    </w:p>
    <w:p w14:paraId="2B5CAE49">
      <w:pPr>
        <w:adjustRightInd w:val="0"/>
        <w:snapToGrid w:val="0"/>
        <w:spacing w:line="360" w:lineRule="auto"/>
        <w:rPr>
          <w:rFonts w:ascii="宋体" w:hAnsi="宋体"/>
          <w:b/>
          <w:color w:val="auto"/>
          <w:spacing w:val="6"/>
          <w:szCs w:val="21"/>
        </w:rPr>
      </w:pPr>
    </w:p>
    <w:p w14:paraId="1D96DEA5">
      <w:pPr>
        <w:adjustRightInd w:val="0"/>
        <w:snapToGrid w:val="0"/>
        <w:spacing w:line="360" w:lineRule="auto"/>
        <w:ind w:firstLine="422" w:firstLineChars="200"/>
        <w:rPr>
          <w:rFonts w:ascii="宋体" w:hAnsi="宋体"/>
          <w:color w:val="auto"/>
          <w:szCs w:val="21"/>
        </w:rPr>
      </w:pPr>
      <w:r>
        <w:rPr>
          <w:rFonts w:hint="eastAsia" w:asciiTheme="minorEastAsia" w:hAnsiTheme="minorEastAsia" w:eastAsiaTheme="minorEastAsia"/>
          <w:b/>
          <w:color w:val="auto"/>
          <w:szCs w:val="21"/>
        </w:rPr>
        <w:t>注</w:t>
      </w:r>
      <w:r>
        <w:rPr>
          <w:rFonts w:hint="eastAsia" w:ascii="宋体" w:hAnsi="宋体" w:cs="宋体"/>
          <w:bCs/>
          <w:color w:val="auto"/>
          <w:spacing w:val="6"/>
          <w:kern w:val="0"/>
          <w:szCs w:val="21"/>
        </w:rPr>
        <w:t>：</w:t>
      </w:r>
      <w:r>
        <w:rPr>
          <w:rFonts w:hint="eastAsia" w:ascii="宋体" w:hAnsi="宋体"/>
          <w:color w:val="auto"/>
          <w:szCs w:val="21"/>
        </w:rPr>
        <w:t>按</w:t>
      </w:r>
      <w:r>
        <w:rPr>
          <w:rFonts w:hint="eastAsia" w:ascii="宋体" w:hAnsi="宋体"/>
          <w:color w:val="auto"/>
          <w:spacing w:val="6"/>
          <w:szCs w:val="21"/>
        </w:rPr>
        <w:t>《</w:t>
      </w:r>
      <w:r>
        <w:rPr>
          <w:rFonts w:hint="eastAsia" w:ascii="宋体" w:hAnsi="宋体"/>
          <w:color w:val="auto"/>
          <w:szCs w:val="21"/>
        </w:rPr>
        <w:t>财政部 司法部关于政府采购支持监狱企业发展有关问题的通知</w:t>
      </w:r>
      <w:r>
        <w:rPr>
          <w:rFonts w:hint="eastAsia" w:ascii="宋体" w:hAnsi="宋体"/>
          <w:color w:val="auto"/>
          <w:spacing w:val="6"/>
          <w:szCs w:val="21"/>
        </w:rPr>
        <w:t>》</w:t>
      </w:r>
      <w:r>
        <w:rPr>
          <w:rFonts w:hint="eastAsia" w:ascii="宋体" w:hAnsi="宋体"/>
          <w:color w:val="auto"/>
          <w:szCs w:val="21"/>
        </w:rPr>
        <w:t>（财库〔2014〕68号）文件规定提供证明文件（复印件）。</w:t>
      </w:r>
    </w:p>
    <w:p w14:paraId="3FE8154A">
      <w:pPr>
        <w:adjustRightInd w:val="0"/>
        <w:snapToGrid w:val="0"/>
        <w:spacing w:line="360" w:lineRule="auto"/>
        <w:ind w:firstLine="420" w:firstLineChars="200"/>
        <w:rPr>
          <w:rFonts w:ascii="宋体" w:hAnsi="宋体"/>
          <w:color w:val="auto"/>
          <w:szCs w:val="21"/>
        </w:rPr>
      </w:pPr>
    </w:p>
    <w:p w14:paraId="45859E4F">
      <w:pPr>
        <w:adjustRightInd w:val="0"/>
        <w:snapToGrid w:val="0"/>
        <w:spacing w:line="360" w:lineRule="auto"/>
        <w:ind w:firstLine="420" w:firstLineChars="200"/>
        <w:rPr>
          <w:rFonts w:ascii="宋体" w:hAnsi="宋体"/>
          <w:color w:val="auto"/>
          <w:szCs w:val="21"/>
        </w:rPr>
      </w:pPr>
    </w:p>
    <w:p w14:paraId="32172227">
      <w:pPr>
        <w:pStyle w:val="5"/>
        <w:rPr>
          <w:rFonts w:ascii="黑体" w:hAnsi="黑体"/>
          <w:color w:val="auto"/>
          <w:sz w:val="21"/>
          <w:szCs w:val="21"/>
        </w:rPr>
      </w:pPr>
      <w:r>
        <w:rPr>
          <w:rFonts w:hAnsi="华文中宋" w:cs="宋体"/>
          <w:color w:val="auto"/>
          <w:spacing w:val="6"/>
          <w:kern w:val="0"/>
        </w:rPr>
        <w:br w:type="page"/>
      </w:r>
      <w:bookmarkStart w:id="248" w:name="_Toc19193"/>
      <w:bookmarkStart w:id="249" w:name="_Toc62206229"/>
      <w:bookmarkStart w:id="250" w:name="_Toc22201166"/>
      <w:r>
        <w:rPr>
          <w:rFonts w:hint="eastAsia" w:ascii="黑体" w:hAnsi="黑体" w:cs="宋体"/>
          <w:color w:val="auto"/>
          <w:spacing w:val="6"/>
          <w:kern w:val="0"/>
          <w:sz w:val="21"/>
          <w:szCs w:val="21"/>
        </w:rPr>
        <w:t xml:space="preserve">附件10-4 </w:t>
      </w:r>
      <w:r>
        <w:rPr>
          <w:rFonts w:hint="eastAsia" w:ascii="黑体" w:hAnsi="黑体"/>
          <w:color w:val="auto"/>
          <w:sz w:val="21"/>
          <w:szCs w:val="21"/>
        </w:rPr>
        <w:t>强制采购或者优先采购产品的证明材料</w:t>
      </w:r>
      <w:bookmarkEnd w:id="248"/>
      <w:bookmarkEnd w:id="249"/>
      <w:bookmarkEnd w:id="250"/>
    </w:p>
    <w:p w14:paraId="3C8609C2">
      <w:pPr>
        <w:adjustRightInd w:val="0"/>
        <w:snapToGrid w:val="0"/>
        <w:spacing w:before="120" w:beforeLines="50" w:line="360" w:lineRule="auto"/>
        <w:jc w:val="center"/>
        <w:rPr>
          <w:rFonts w:ascii="黑体" w:hAnsi="黑体" w:eastAsia="黑体"/>
          <w:b/>
          <w:color w:val="auto"/>
          <w:sz w:val="28"/>
          <w:szCs w:val="28"/>
        </w:rPr>
      </w:pPr>
      <w:r>
        <w:rPr>
          <w:rFonts w:hint="eastAsia" w:ascii="黑体" w:hAnsi="黑体" w:eastAsia="黑体"/>
          <w:b/>
          <w:color w:val="auto"/>
          <w:sz w:val="28"/>
          <w:szCs w:val="28"/>
        </w:rPr>
        <w:t>强制采购或者优先采购产品</w:t>
      </w:r>
      <w:r>
        <w:rPr>
          <w:rFonts w:hint="eastAsia" w:ascii="黑体" w:hAnsi="黑体" w:eastAsia="黑体"/>
          <w:b/>
          <w:bCs/>
          <w:color w:val="auto"/>
          <w:sz w:val="28"/>
          <w:szCs w:val="28"/>
        </w:rPr>
        <w:t>的</w:t>
      </w:r>
      <w:r>
        <w:rPr>
          <w:rFonts w:hint="eastAsia" w:ascii="黑体" w:hAnsi="黑体" w:eastAsia="黑体"/>
          <w:b/>
          <w:color w:val="auto"/>
          <w:sz w:val="28"/>
          <w:szCs w:val="28"/>
        </w:rPr>
        <w:t>证明材料</w:t>
      </w:r>
    </w:p>
    <w:p w14:paraId="7D313E46">
      <w:pPr>
        <w:adjustRightInd w:val="0"/>
        <w:snapToGrid w:val="0"/>
        <w:spacing w:line="360" w:lineRule="auto"/>
        <w:jc w:val="center"/>
        <w:rPr>
          <w:rFonts w:ascii="宋体" w:hAnsi="宋体"/>
          <w:b/>
          <w:color w:val="auto"/>
          <w:spacing w:val="6"/>
          <w:szCs w:val="21"/>
        </w:rPr>
      </w:pPr>
      <w:r>
        <w:rPr>
          <w:rFonts w:hint="eastAsia" w:ascii="宋体" w:hAnsi="宋体"/>
          <w:b/>
          <w:color w:val="auto"/>
          <w:spacing w:val="6"/>
          <w:szCs w:val="21"/>
        </w:rPr>
        <w:t>（注意：不属于强制采购或者优先采购产品的无需提供）</w:t>
      </w:r>
    </w:p>
    <w:p w14:paraId="652F0BB9">
      <w:pPr>
        <w:adjustRightInd w:val="0"/>
        <w:snapToGrid w:val="0"/>
        <w:spacing w:line="360" w:lineRule="auto"/>
        <w:ind w:firstLine="420" w:firstLineChars="200"/>
        <w:jc w:val="left"/>
        <w:rPr>
          <w:rFonts w:ascii="宋体" w:hAnsi="宋体"/>
          <w:color w:val="auto"/>
          <w:szCs w:val="21"/>
        </w:rPr>
      </w:pPr>
    </w:p>
    <w:p w14:paraId="58E1A1A1">
      <w:pPr>
        <w:adjustRightInd w:val="0"/>
        <w:snapToGrid w:val="0"/>
        <w:spacing w:line="360" w:lineRule="auto"/>
        <w:jc w:val="left"/>
        <w:rPr>
          <w:rFonts w:ascii="宋体" w:hAnsi="宋体"/>
          <w:color w:val="auto"/>
          <w:szCs w:val="21"/>
        </w:rPr>
      </w:pPr>
      <w:r>
        <w:rPr>
          <w:rFonts w:hint="eastAsia" w:asciiTheme="minorEastAsia" w:hAnsiTheme="minorEastAsia" w:eastAsiaTheme="minorEastAsia"/>
          <w:b/>
          <w:color w:val="auto"/>
          <w:szCs w:val="21"/>
        </w:rPr>
        <w:t>注</w:t>
      </w:r>
      <w:r>
        <w:rPr>
          <w:rFonts w:hint="eastAsia" w:ascii="宋体" w:hAnsi="宋体"/>
          <w:color w:val="auto"/>
          <w:szCs w:val="21"/>
        </w:rPr>
        <w:t>：1、投标人提供的产品</w:t>
      </w:r>
      <w:r>
        <w:rPr>
          <w:rFonts w:hint="eastAsia" w:ascii="宋体" w:hAnsi="宋体"/>
          <w:bCs/>
          <w:color w:val="auto"/>
          <w:szCs w:val="21"/>
        </w:rPr>
        <w:t>属于优先采购的</w:t>
      </w:r>
      <w:r>
        <w:rPr>
          <w:rFonts w:hint="eastAsia" w:ascii="宋体" w:hAnsi="宋体"/>
          <w:color w:val="auto"/>
          <w:szCs w:val="21"/>
        </w:rPr>
        <w:t>，应按第二章的规定和本章本节附页</w:t>
      </w:r>
      <w:r>
        <w:rPr>
          <w:rFonts w:ascii="宋体" w:hAnsi="宋体"/>
          <w:color w:val="auto"/>
          <w:szCs w:val="21"/>
        </w:rPr>
        <w:t>1</w:t>
      </w:r>
      <w:r>
        <w:rPr>
          <w:rFonts w:hint="eastAsia" w:ascii="宋体" w:hAnsi="宋体"/>
          <w:color w:val="auto"/>
          <w:szCs w:val="21"/>
        </w:rPr>
        <w:t>“优先采购产品清单”，并加盖投标人单位公章。</w:t>
      </w:r>
    </w:p>
    <w:p w14:paraId="63028D21">
      <w:pPr>
        <w:adjustRightInd w:val="0"/>
        <w:snapToGrid w:val="0"/>
        <w:spacing w:line="360" w:lineRule="auto"/>
        <w:ind w:firstLine="630" w:firstLineChars="300"/>
        <w:jc w:val="left"/>
        <w:rPr>
          <w:rFonts w:ascii="宋体" w:hAnsi="宋体"/>
          <w:color w:val="auto"/>
          <w:szCs w:val="21"/>
        </w:rPr>
      </w:pPr>
      <w:r>
        <w:rPr>
          <w:rFonts w:hint="eastAsia" w:ascii="宋体" w:hAnsi="宋体"/>
          <w:color w:val="auto"/>
          <w:szCs w:val="21"/>
        </w:rPr>
        <w:t>2、节能产品、环境标志产品（强制采购或者优先采购产品）认证证书内容</w:t>
      </w:r>
      <w:r>
        <w:rPr>
          <w:rFonts w:hint="eastAsia" w:asciiTheme="minorEastAsia" w:hAnsiTheme="minorEastAsia" w:eastAsiaTheme="minorEastAsia"/>
          <w:color w:val="auto"/>
          <w:szCs w:val="21"/>
        </w:rPr>
        <w:t>注明“详见证</w:t>
      </w:r>
      <w:r>
        <w:rPr>
          <w:rFonts w:hint="eastAsia" w:ascii="宋体" w:hAnsi="宋体"/>
          <w:color w:val="auto"/>
          <w:szCs w:val="21"/>
        </w:rPr>
        <w:t>书附件</w:t>
      </w:r>
      <w:r>
        <w:rPr>
          <w:rFonts w:hint="eastAsia" w:ascii="华文中宋" w:hAnsi="华文中宋" w:eastAsia="华文中宋"/>
          <w:color w:val="auto"/>
          <w:szCs w:val="21"/>
        </w:rPr>
        <w:t>”</w:t>
      </w:r>
      <w:r>
        <w:rPr>
          <w:rFonts w:hint="eastAsia" w:ascii="宋体" w:hAnsi="宋体"/>
          <w:color w:val="auto"/>
          <w:szCs w:val="21"/>
        </w:rPr>
        <w:t>的，应提供其附件，以证明认证证书与投标文件一致。</w:t>
      </w:r>
    </w:p>
    <w:p w14:paraId="73ED1D8D">
      <w:pPr>
        <w:adjustRightInd w:val="0"/>
        <w:snapToGrid w:val="0"/>
        <w:spacing w:line="360" w:lineRule="auto"/>
        <w:ind w:firstLine="420" w:firstLineChars="200"/>
        <w:jc w:val="left"/>
        <w:rPr>
          <w:rFonts w:ascii="宋体" w:hAnsi="宋体"/>
          <w:color w:val="auto"/>
          <w:szCs w:val="21"/>
        </w:rPr>
      </w:pPr>
    </w:p>
    <w:p w14:paraId="6A93A002">
      <w:pPr>
        <w:pStyle w:val="6"/>
        <w:rPr>
          <w:rFonts w:ascii="黑体" w:hAnsi="黑体" w:eastAsia="黑体"/>
          <w:color w:val="auto"/>
          <w:sz w:val="21"/>
          <w:szCs w:val="21"/>
        </w:rPr>
      </w:pPr>
      <w:r>
        <w:rPr>
          <w:color w:val="auto"/>
        </w:rPr>
        <w:br w:type="page"/>
      </w:r>
      <w:bookmarkStart w:id="251" w:name="_Toc22201167"/>
      <w:bookmarkStart w:id="252" w:name="_Toc62206230"/>
      <w:bookmarkStart w:id="253" w:name="_Toc17729"/>
      <w:r>
        <w:rPr>
          <w:rFonts w:hint="eastAsia" w:ascii="黑体" w:hAnsi="黑体" w:eastAsia="黑体" w:cs="宋体"/>
          <w:color w:val="auto"/>
          <w:spacing w:val="6"/>
          <w:sz w:val="21"/>
          <w:szCs w:val="21"/>
        </w:rPr>
        <w:t xml:space="preserve">附页1 </w:t>
      </w:r>
      <w:r>
        <w:rPr>
          <w:rFonts w:hint="eastAsia" w:ascii="黑体" w:hAnsi="黑体" w:eastAsia="黑体"/>
          <w:color w:val="auto"/>
          <w:sz w:val="21"/>
          <w:szCs w:val="21"/>
        </w:rPr>
        <w:t>优先采购产品清单</w:t>
      </w:r>
      <w:bookmarkEnd w:id="251"/>
      <w:bookmarkEnd w:id="252"/>
      <w:bookmarkEnd w:id="253"/>
    </w:p>
    <w:p w14:paraId="3C6E5B3F">
      <w:pPr>
        <w:adjustRightInd w:val="0"/>
        <w:snapToGrid w:val="0"/>
        <w:spacing w:line="360" w:lineRule="auto"/>
        <w:jc w:val="center"/>
        <w:rPr>
          <w:rFonts w:ascii="黑体" w:hAnsi="宋体" w:eastAsia="黑体"/>
          <w:b/>
          <w:color w:val="auto"/>
          <w:sz w:val="28"/>
          <w:szCs w:val="28"/>
        </w:rPr>
      </w:pPr>
      <w:r>
        <w:rPr>
          <w:rFonts w:hint="eastAsia" w:ascii="黑体" w:hAnsi="宋体" w:eastAsia="黑体"/>
          <w:b/>
          <w:color w:val="auto"/>
          <w:sz w:val="28"/>
          <w:szCs w:val="28"/>
        </w:rPr>
        <w:t>优先采购产品清单</w:t>
      </w:r>
    </w:p>
    <w:p w14:paraId="70AF56A7">
      <w:pPr>
        <w:adjustRightInd w:val="0"/>
        <w:snapToGrid w:val="0"/>
        <w:spacing w:line="360" w:lineRule="auto"/>
        <w:jc w:val="center"/>
        <w:rPr>
          <w:rFonts w:ascii="宋体" w:hAnsi="宋体"/>
          <w:b/>
          <w:color w:val="auto"/>
          <w:spacing w:val="6"/>
          <w:szCs w:val="21"/>
        </w:rPr>
      </w:pPr>
      <w:r>
        <w:rPr>
          <w:rFonts w:hint="eastAsia" w:ascii="宋体" w:hAnsi="宋体"/>
          <w:b/>
          <w:color w:val="auto"/>
          <w:spacing w:val="6"/>
          <w:szCs w:val="21"/>
        </w:rPr>
        <w:t>（注意：不属于优先采购产品清单产品的无需提供）</w:t>
      </w:r>
    </w:p>
    <w:p w14:paraId="119C2B8C">
      <w:pPr>
        <w:adjustRightInd w:val="0"/>
        <w:snapToGrid w:val="0"/>
        <w:spacing w:before="120" w:beforeLines="50" w:line="360" w:lineRule="auto"/>
        <w:rPr>
          <w:rFonts w:asciiTheme="minorEastAsia" w:hAnsiTheme="minorEastAsia" w:eastAsiaTheme="minorEastAsia"/>
          <w:color w:val="auto"/>
          <w:szCs w:val="21"/>
          <w:u w:val="single"/>
        </w:rPr>
      </w:pPr>
      <w:r>
        <w:rPr>
          <w:rFonts w:hint="eastAsia" w:ascii="宋体" w:hAnsi="宋体"/>
          <w:color w:val="auto"/>
          <w:spacing w:val="28"/>
          <w:szCs w:val="21"/>
        </w:rPr>
        <w:t>采购人项目编号/采购代理编号</w:t>
      </w:r>
      <w:r>
        <w:rPr>
          <w:rFonts w:hint="eastAsia" w:ascii="宋体" w:hAnsi="宋体"/>
          <w:color w:val="auto"/>
          <w:szCs w:val="21"/>
        </w:rPr>
        <w:t>:</w:t>
      </w:r>
      <w:r>
        <w:rPr>
          <w:rFonts w:hint="eastAsia" w:ascii="宋体" w:hAnsi="宋体"/>
          <w:color w:val="auto"/>
          <w:szCs w:val="21"/>
          <w:u w:val="single"/>
        </w:rPr>
        <w:t xml:space="preserve">                      </w:t>
      </w:r>
      <w:r>
        <w:rPr>
          <w:rFonts w:hint="eastAsia" w:ascii="宋体" w:hAnsi="宋体"/>
          <w:color w:val="auto"/>
          <w:szCs w:val="21"/>
        </w:rPr>
        <w:t xml:space="preserve"> </w:t>
      </w:r>
      <w:r>
        <w:rPr>
          <w:rFonts w:hint="eastAsia" w:asciiTheme="minorEastAsia" w:hAnsiTheme="minorEastAsia" w:eastAsiaTheme="minorEastAsia"/>
          <w:color w:val="auto"/>
          <w:szCs w:val="21"/>
        </w:rPr>
        <w:t>项目名称：</w:t>
      </w:r>
      <w:r>
        <w:rPr>
          <w:rFonts w:hint="eastAsia" w:ascii="宋体" w:hAnsi="宋体"/>
          <w:color w:val="auto"/>
          <w:szCs w:val="21"/>
          <w:u w:val="single"/>
        </w:rPr>
        <w:t xml:space="preserve">                 </w:t>
      </w:r>
    </w:p>
    <w:p w14:paraId="2F3F5C79">
      <w:pPr>
        <w:adjustRightInd w:val="0"/>
        <w:snapToGrid w:val="0"/>
        <w:spacing w:before="50" w:line="360" w:lineRule="auto"/>
        <w:rPr>
          <w:rFonts w:ascii="宋体" w:hAnsi="宋体"/>
          <w:color w:val="auto"/>
          <w:szCs w:val="21"/>
          <w:u w:val="single"/>
        </w:rPr>
      </w:pPr>
      <w:r>
        <w:rPr>
          <w:rFonts w:hint="eastAsia" w:asciiTheme="minorEastAsia" w:hAnsiTheme="minorEastAsia" w:eastAsiaTheme="minorEastAsia"/>
          <w:color w:val="auto"/>
          <w:szCs w:val="21"/>
        </w:rPr>
        <w:t>包  号（如有）：</w:t>
      </w:r>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olor w:val="auto"/>
          <w:szCs w:val="21"/>
          <w:u w:val="single"/>
        </w:rPr>
        <w:t xml:space="preserve">              </w:t>
      </w:r>
      <w:r>
        <w:rPr>
          <w:rFonts w:hint="eastAsia" w:asciiTheme="minorEastAsia" w:hAnsiTheme="minorEastAsia" w:eastAsiaTheme="minorEastAsia"/>
          <w:color w:val="auto"/>
          <w:szCs w:val="21"/>
        </w:rPr>
        <w:t xml:space="preserve">     </w:t>
      </w:r>
      <w:r>
        <w:rPr>
          <w:rFonts w:asciiTheme="minorEastAsia" w:hAnsiTheme="minorEastAsia" w:eastAsiaTheme="minorEastAsia"/>
          <w:color w:val="auto"/>
          <w:szCs w:val="21"/>
        </w:rPr>
        <w:t xml:space="preserve">  </w:t>
      </w:r>
      <w:r>
        <w:rPr>
          <w:rFonts w:hint="eastAsia" w:asciiTheme="minorEastAsia" w:hAnsiTheme="minorEastAsia" w:eastAsiaTheme="minorEastAsia"/>
          <w:color w:val="auto"/>
          <w:szCs w:val="21"/>
        </w:rPr>
        <w:t xml:space="preserve">     包名称（如有）：</w:t>
      </w:r>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olor w:val="auto"/>
          <w:szCs w:val="21"/>
          <w:u w:val="single"/>
        </w:rPr>
        <w:t xml:space="preserve"> </w:t>
      </w:r>
    </w:p>
    <w:tbl>
      <w:tblPr>
        <w:tblStyle w:val="41"/>
        <w:tblW w:w="5000" w:type="pct"/>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678"/>
        <w:gridCol w:w="1756"/>
        <w:gridCol w:w="1145"/>
        <w:gridCol w:w="1433"/>
        <w:gridCol w:w="2005"/>
        <w:gridCol w:w="1862"/>
      </w:tblGrid>
      <w:tr w14:paraId="0F5A515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7" w:hRule="atLeast"/>
        </w:trPr>
        <w:tc>
          <w:tcPr>
            <w:tcW w:w="5000" w:type="pct"/>
            <w:gridSpan w:val="6"/>
            <w:vAlign w:val="center"/>
          </w:tcPr>
          <w:p w14:paraId="2CCB53CB">
            <w:pPr>
              <w:widowControl/>
              <w:adjustRightInd w:val="0"/>
              <w:snapToGrid w:val="0"/>
              <w:spacing w:line="360" w:lineRule="auto"/>
              <w:ind w:firstLine="480" w:firstLineChars="200"/>
              <w:jc w:val="left"/>
              <w:rPr>
                <w:rFonts w:ascii="黑体" w:hAnsi="黑体" w:eastAsia="黑体"/>
                <w:color w:val="auto"/>
                <w:kern w:val="0"/>
                <w:sz w:val="24"/>
              </w:rPr>
            </w:pPr>
            <w:r>
              <w:rPr>
                <w:rFonts w:hint="eastAsia" w:ascii="黑体" w:hAnsi="宋体" w:eastAsia="黑体"/>
                <w:color w:val="auto"/>
                <w:kern w:val="0"/>
                <w:sz w:val="24"/>
              </w:rPr>
              <w:t>以下为供应商提供的政府采购优先采购产品，供应商对本表的真实性负责。如有虚假，将依法承担相应责任。</w:t>
            </w:r>
          </w:p>
        </w:tc>
      </w:tr>
      <w:tr w14:paraId="1A937FC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19" w:hRule="atLeast"/>
        </w:trPr>
        <w:tc>
          <w:tcPr>
            <w:tcW w:w="382" w:type="pct"/>
            <w:vAlign w:val="center"/>
          </w:tcPr>
          <w:p w14:paraId="16EE373E">
            <w:pPr>
              <w:widowControl/>
              <w:adjustRightInd w:val="0"/>
              <w:snapToGrid w:val="0"/>
              <w:spacing w:line="360" w:lineRule="auto"/>
              <w:jc w:val="center"/>
              <w:rPr>
                <w:rFonts w:ascii="宋体" w:hAnsi="宋体"/>
                <w:color w:val="auto"/>
                <w:kern w:val="0"/>
                <w:szCs w:val="21"/>
              </w:rPr>
            </w:pPr>
            <w:r>
              <w:rPr>
                <w:rFonts w:hint="eastAsia" w:ascii="宋体" w:hAnsi="宋体"/>
                <w:color w:val="auto"/>
                <w:kern w:val="0"/>
                <w:szCs w:val="21"/>
              </w:rPr>
              <w:t>1</w:t>
            </w:r>
          </w:p>
        </w:tc>
        <w:tc>
          <w:tcPr>
            <w:tcW w:w="989" w:type="pct"/>
            <w:vAlign w:val="center"/>
          </w:tcPr>
          <w:p w14:paraId="4BC9FC72">
            <w:pPr>
              <w:widowControl/>
              <w:adjustRightInd w:val="0"/>
              <w:snapToGrid w:val="0"/>
              <w:spacing w:line="360" w:lineRule="auto"/>
              <w:jc w:val="center"/>
              <w:rPr>
                <w:rFonts w:ascii="宋体" w:hAnsi="宋体"/>
                <w:color w:val="auto"/>
                <w:kern w:val="0"/>
                <w:szCs w:val="21"/>
              </w:rPr>
            </w:pPr>
            <w:r>
              <w:rPr>
                <w:rFonts w:hint="eastAsia" w:ascii="宋体" w:hAnsi="宋体"/>
                <w:color w:val="auto"/>
                <w:kern w:val="0"/>
                <w:szCs w:val="21"/>
              </w:rPr>
              <w:t>2</w:t>
            </w:r>
          </w:p>
        </w:tc>
        <w:tc>
          <w:tcPr>
            <w:tcW w:w="645" w:type="pct"/>
            <w:tcBorders>
              <w:right w:val="single" w:color="auto" w:sz="4" w:space="0"/>
            </w:tcBorders>
            <w:vAlign w:val="center"/>
          </w:tcPr>
          <w:p w14:paraId="1EE680BA">
            <w:pPr>
              <w:adjustRightInd w:val="0"/>
              <w:snapToGrid w:val="0"/>
              <w:spacing w:line="360" w:lineRule="auto"/>
              <w:jc w:val="center"/>
              <w:rPr>
                <w:rFonts w:ascii="宋体" w:hAnsi="宋体"/>
                <w:color w:val="auto"/>
                <w:kern w:val="0"/>
                <w:szCs w:val="21"/>
              </w:rPr>
            </w:pPr>
            <w:r>
              <w:rPr>
                <w:rFonts w:hint="eastAsia" w:ascii="宋体" w:hAnsi="宋体"/>
                <w:color w:val="auto"/>
                <w:kern w:val="0"/>
                <w:szCs w:val="21"/>
              </w:rPr>
              <w:t>3</w:t>
            </w:r>
          </w:p>
        </w:tc>
        <w:tc>
          <w:tcPr>
            <w:tcW w:w="807" w:type="pct"/>
            <w:tcBorders>
              <w:left w:val="single" w:color="auto" w:sz="4" w:space="0"/>
            </w:tcBorders>
            <w:vAlign w:val="center"/>
          </w:tcPr>
          <w:p w14:paraId="0BE514D9">
            <w:pPr>
              <w:widowControl/>
              <w:adjustRightInd w:val="0"/>
              <w:snapToGrid w:val="0"/>
              <w:spacing w:line="360" w:lineRule="auto"/>
              <w:jc w:val="center"/>
              <w:rPr>
                <w:rFonts w:ascii="宋体" w:hAnsi="宋体"/>
                <w:color w:val="auto"/>
                <w:kern w:val="0"/>
                <w:szCs w:val="21"/>
              </w:rPr>
            </w:pPr>
            <w:r>
              <w:rPr>
                <w:rFonts w:hint="eastAsia" w:ascii="宋体" w:hAnsi="宋体"/>
                <w:color w:val="auto"/>
                <w:kern w:val="0"/>
                <w:szCs w:val="21"/>
              </w:rPr>
              <w:t>4</w:t>
            </w:r>
          </w:p>
        </w:tc>
        <w:tc>
          <w:tcPr>
            <w:tcW w:w="1129" w:type="pct"/>
            <w:vAlign w:val="center"/>
          </w:tcPr>
          <w:p w14:paraId="6E5D81ED">
            <w:pPr>
              <w:widowControl/>
              <w:adjustRightInd w:val="0"/>
              <w:snapToGrid w:val="0"/>
              <w:spacing w:line="360" w:lineRule="auto"/>
              <w:jc w:val="center"/>
              <w:rPr>
                <w:rFonts w:ascii="宋体" w:hAnsi="宋体"/>
                <w:color w:val="auto"/>
                <w:kern w:val="0"/>
                <w:szCs w:val="21"/>
              </w:rPr>
            </w:pPr>
            <w:r>
              <w:rPr>
                <w:rFonts w:hint="eastAsia" w:ascii="宋体" w:hAnsi="宋体"/>
                <w:color w:val="auto"/>
                <w:kern w:val="0"/>
                <w:szCs w:val="21"/>
              </w:rPr>
              <w:t>5</w:t>
            </w:r>
          </w:p>
        </w:tc>
        <w:tc>
          <w:tcPr>
            <w:tcW w:w="1048" w:type="pct"/>
            <w:vAlign w:val="center"/>
          </w:tcPr>
          <w:p w14:paraId="144E4AAD">
            <w:pPr>
              <w:widowControl/>
              <w:adjustRightInd w:val="0"/>
              <w:snapToGrid w:val="0"/>
              <w:spacing w:line="360" w:lineRule="auto"/>
              <w:jc w:val="center"/>
              <w:rPr>
                <w:rFonts w:ascii="宋体" w:hAnsi="宋体"/>
                <w:color w:val="auto"/>
                <w:kern w:val="0"/>
                <w:szCs w:val="21"/>
              </w:rPr>
            </w:pPr>
            <w:r>
              <w:rPr>
                <w:rFonts w:hint="eastAsia" w:ascii="宋体" w:hAnsi="宋体"/>
                <w:color w:val="auto"/>
                <w:kern w:val="0"/>
                <w:szCs w:val="21"/>
              </w:rPr>
              <w:t>6</w:t>
            </w:r>
          </w:p>
        </w:tc>
      </w:tr>
      <w:tr w14:paraId="77F2EDB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0" w:hRule="atLeast"/>
        </w:trPr>
        <w:tc>
          <w:tcPr>
            <w:tcW w:w="382" w:type="pct"/>
            <w:vAlign w:val="center"/>
          </w:tcPr>
          <w:p w14:paraId="2799C039">
            <w:pPr>
              <w:widowControl/>
              <w:adjustRightInd w:val="0"/>
              <w:snapToGrid w:val="0"/>
              <w:spacing w:line="360" w:lineRule="auto"/>
              <w:jc w:val="center"/>
              <w:rPr>
                <w:rFonts w:ascii="宋体" w:hAnsi="宋体"/>
                <w:color w:val="auto"/>
                <w:kern w:val="0"/>
                <w:szCs w:val="21"/>
              </w:rPr>
            </w:pPr>
            <w:r>
              <w:rPr>
                <w:rFonts w:hint="eastAsia" w:ascii="宋体" w:hAnsi="宋体"/>
                <w:color w:val="auto"/>
                <w:kern w:val="0"/>
                <w:szCs w:val="21"/>
              </w:rPr>
              <w:t>序号</w:t>
            </w:r>
          </w:p>
        </w:tc>
        <w:tc>
          <w:tcPr>
            <w:tcW w:w="989" w:type="pct"/>
            <w:vAlign w:val="center"/>
          </w:tcPr>
          <w:p w14:paraId="507016C2">
            <w:pPr>
              <w:widowControl/>
              <w:adjustRightInd w:val="0"/>
              <w:snapToGrid w:val="0"/>
              <w:spacing w:line="360" w:lineRule="auto"/>
              <w:jc w:val="center"/>
              <w:rPr>
                <w:rFonts w:ascii="宋体" w:hAnsi="宋体"/>
                <w:color w:val="auto"/>
                <w:kern w:val="0"/>
                <w:szCs w:val="21"/>
              </w:rPr>
            </w:pPr>
            <w:r>
              <w:rPr>
                <w:rFonts w:hint="eastAsia" w:ascii="宋体" w:hAnsi="宋体"/>
                <w:color w:val="auto"/>
                <w:kern w:val="0"/>
                <w:szCs w:val="21"/>
              </w:rPr>
              <w:t>货物名称</w:t>
            </w:r>
          </w:p>
        </w:tc>
        <w:tc>
          <w:tcPr>
            <w:tcW w:w="645" w:type="pct"/>
            <w:tcBorders>
              <w:right w:val="single" w:color="auto" w:sz="4" w:space="0"/>
            </w:tcBorders>
            <w:vAlign w:val="center"/>
          </w:tcPr>
          <w:p w14:paraId="7725F853">
            <w:pPr>
              <w:widowControl/>
              <w:adjustRightInd w:val="0"/>
              <w:snapToGrid w:val="0"/>
              <w:spacing w:line="360" w:lineRule="auto"/>
              <w:jc w:val="center"/>
              <w:rPr>
                <w:rFonts w:ascii="宋体" w:hAnsi="宋体"/>
                <w:color w:val="auto"/>
                <w:kern w:val="0"/>
                <w:szCs w:val="21"/>
              </w:rPr>
            </w:pPr>
            <w:r>
              <w:rPr>
                <w:rFonts w:hint="eastAsia" w:ascii="宋体" w:hAnsi="宋体"/>
                <w:color w:val="auto"/>
                <w:kern w:val="0"/>
                <w:szCs w:val="21"/>
              </w:rPr>
              <w:t>规格型号</w:t>
            </w:r>
          </w:p>
        </w:tc>
        <w:tc>
          <w:tcPr>
            <w:tcW w:w="807" w:type="pct"/>
            <w:tcBorders>
              <w:left w:val="single" w:color="auto" w:sz="4" w:space="0"/>
            </w:tcBorders>
            <w:vAlign w:val="center"/>
          </w:tcPr>
          <w:p w14:paraId="06B47EEB">
            <w:pPr>
              <w:adjustRightInd w:val="0"/>
              <w:snapToGrid w:val="0"/>
              <w:spacing w:line="360" w:lineRule="auto"/>
              <w:jc w:val="center"/>
              <w:rPr>
                <w:rFonts w:ascii="宋体" w:hAnsi="宋体"/>
                <w:color w:val="auto"/>
                <w:kern w:val="0"/>
                <w:szCs w:val="21"/>
              </w:rPr>
            </w:pPr>
            <w:r>
              <w:rPr>
                <w:rFonts w:hint="eastAsia" w:ascii="宋体" w:hAnsi="宋体"/>
                <w:color w:val="auto"/>
                <w:kern w:val="0"/>
                <w:szCs w:val="21"/>
              </w:rPr>
              <w:t>价格（元）</w:t>
            </w:r>
          </w:p>
        </w:tc>
        <w:tc>
          <w:tcPr>
            <w:tcW w:w="1129" w:type="pct"/>
            <w:vAlign w:val="center"/>
          </w:tcPr>
          <w:p w14:paraId="5575AD19">
            <w:pPr>
              <w:widowControl/>
              <w:adjustRightInd w:val="0"/>
              <w:snapToGrid w:val="0"/>
              <w:spacing w:line="360" w:lineRule="auto"/>
              <w:jc w:val="center"/>
              <w:rPr>
                <w:rFonts w:ascii="宋体" w:hAnsi="宋体"/>
                <w:color w:val="auto"/>
                <w:kern w:val="0"/>
                <w:szCs w:val="21"/>
              </w:rPr>
            </w:pPr>
            <w:r>
              <w:rPr>
                <w:rFonts w:hint="eastAsia" w:ascii="宋体" w:hAnsi="宋体"/>
                <w:color w:val="auto"/>
                <w:kern w:val="0"/>
                <w:szCs w:val="21"/>
              </w:rPr>
              <w:t>货物制造商名称</w:t>
            </w:r>
          </w:p>
        </w:tc>
        <w:tc>
          <w:tcPr>
            <w:tcW w:w="1048" w:type="pct"/>
            <w:vAlign w:val="center"/>
          </w:tcPr>
          <w:p w14:paraId="1E7E8CF9">
            <w:pPr>
              <w:widowControl/>
              <w:adjustRightInd w:val="0"/>
              <w:snapToGrid w:val="0"/>
              <w:spacing w:line="360" w:lineRule="auto"/>
              <w:jc w:val="center"/>
              <w:rPr>
                <w:rFonts w:ascii="宋体" w:hAnsi="宋体"/>
                <w:color w:val="auto"/>
                <w:kern w:val="0"/>
                <w:szCs w:val="21"/>
              </w:rPr>
            </w:pPr>
            <w:r>
              <w:rPr>
                <w:rFonts w:hint="eastAsia" w:ascii="宋体" w:hAnsi="宋体"/>
                <w:color w:val="auto"/>
                <w:kern w:val="0"/>
                <w:szCs w:val="21"/>
              </w:rPr>
              <w:t>政策功能编码</w:t>
            </w:r>
          </w:p>
        </w:tc>
      </w:tr>
      <w:tr w14:paraId="53C6EE8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5000" w:type="pct"/>
            <w:gridSpan w:val="6"/>
            <w:vAlign w:val="center"/>
          </w:tcPr>
          <w:p w14:paraId="3D968DB3">
            <w:pPr>
              <w:adjustRightInd w:val="0"/>
              <w:snapToGrid w:val="0"/>
              <w:spacing w:line="360" w:lineRule="auto"/>
              <w:jc w:val="left"/>
              <w:rPr>
                <w:rFonts w:ascii="宋体" w:hAnsi="宋体"/>
                <w:b/>
                <w:color w:val="auto"/>
                <w:szCs w:val="21"/>
              </w:rPr>
            </w:pPr>
            <w:r>
              <w:rPr>
                <w:rFonts w:hint="eastAsia" w:ascii="宋体" w:hAnsi="宋体"/>
                <w:b/>
                <w:color w:val="auto"/>
                <w:szCs w:val="21"/>
              </w:rPr>
              <w:t>节能产品</w:t>
            </w:r>
          </w:p>
        </w:tc>
      </w:tr>
      <w:tr w14:paraId="1A4AE5B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382" w:type="pct"/>
            <w:vAlign w:val="center"/>
          </w:tcPr>
          <w:p w14:paraId="11BAB852">
            <w:pPr>
              <w:adjustRightInd w:val="0"/>
              <w:snapToGrid w:val="0"/>
              <w:spacing w:line="360" w:lineRule="auto"/>
              <w:jc w:val="center"/>
              <w:rPr>
                <w:rFonts w:ascii="宋体" w:hAnsi="宋体"/>
                <w:b/>
                <w:color w:val="auto"/>
                <w:szCs w:val="21"/>
              </w:rPr>
            </w:pPr>
          </w:p>
        </w:tc>
        <w:tc>
          <w:tcPr>
            <w:tcW w:w="989" w:type="pct"/>
            <w:vAlign w:val="center"/>
          </w:tcPr>
          <w:p w14:paraId="433DE97F">
            <w:pPr>
              <w:adjustRightInd w:val="0"/>
              <w:snapToGrid w:val="0"/>
              <w:spacing w:line="360" w:lineRule="auto"/>
              <w:jc w:val="center"/>
              <w:rPr>
                <w:rFonts w:ascii="宋体" w:hAnsi="宋体"/>
                <w:b/>
                <w:color w:val="auto"/>
                <w:szCs w:val="21"/>
              </w:rPr>
            </w:pPr>
          </w:p>
        </w:tc>
        <w:tc>
          <w:tcPr>
            <w:tcW w:w="645" w:type="pct"/>
            <w:tcBorders>
              <w:right w:val="single" w:color="auto" w:sz="4" w:space="0"/>
            </w:tcBorders>
            <w:vAlign w:val="center"/>
          </w:tcPr>
          <w:p w14:paraId="39338075">
            <w:pPr>
              <w:adjustRightInd w:val="0"/>
              <w:snapToGrid w:val="0"/>
              <w:spacing w:line="360" w:lineRule="auto"/>
              <w:jc w:val="left"/>
              <w:rPr>
                <w:rFonts w:ascii="宋体" w:hAnsi="宋体"/>
                <w:b/>
                <w:color w:val="auto"/>
                <w:szCs w:val="21"/>
              </w:rPr>
            </w:pPr>
          </w:p>
        </w:tc>
        <w:tc>
          <w:tcPr>
            <w:tcW w:w="807" w:type="pct"/>
            <w:tcBorders>
              <w:left w:val="single" w:color="auto" w:sz="4" w:space="0"/>
            </w:tcBorders>
            <w:vAlign w:val="center"/>
          </w:tcPr>
          <w:p w14:paraId="07D3E1BF">
            <w:pPr>
              <w:adjustRightInd w:val="0"/>
              <w:snapToGrid w:val="0"/>
              <w:spacing w:line="360" w:lineRule="auto"/>
              <w:jc w:val="left"/>
              <w:rPr>
                <w:rFonts w:ascii="宋体" w:hAnsi="宋体"/>
                <w:b/>
                <w:color w:val="auto"/>
                <w:szCs w:val="21"/>
              </w:rPr>
            </w:pPr>
          </w:p>
        </w:tc>
        <w:tc>
          <w:tcPr>
            <w:tcW w:w="1129" w:type="pct"/>
            <w:vAlign w:val="center"/>
          </w:tcPr>
          <w:p w14:paraId="66881CAC">
            <w:pPr>
              <w:adjustRightInd w:val="0"/>
              <w:snapToGrid w:val="0"/>
              <w:spacing w:line="360" w:lineRule="auto"/>
              <w:jc w:val="center"/>
              <w:rPr>
                <w:rFonts w:ascii="宋体" w:hAnsi="宋体"/>
                <w:b/>
                <w:color w:val="auto"/>
                <w:szCs w:val="21"/>
              </w:rPr>
            </w:pPr>
          </w:p>
        </w:tc>
        <w:tc>
          <w:tcPr>
            <w:tcW w:w="1048" w:type="pct"/>
          </w:tcPr>
          <w:p w14:paraId="0EC0ECD8">
            <w:pPr>
              <w:adjustRightInd w:val="0"/>
              <w:snapToGrid w:val="0"/>
              <w:spacing w:line="360" w:lineRule="auto"/>
              <w:jc w:val="center"/>
              <w:rPr>
                <w:rFonts w:ascii="宋体" w:hAnsi="宋体"/>
                <w:b/>
                <w:color w:val="auto"/>
                <w:szCs w:val="21"/>
              </w:rPr>
            </w:pPr>
          </w:p>
        </w:tc>
      </w:tr>
      <w:tr w14:paraId="4509E0E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382" w:type="pct"/>
            <w:vAlign w:val="center"/>
          </w:tcPr>
          <w:p w14:paraId="465AC597">
            <w:pPr>
              <w:adjustRightInd w:val="0"/>
              <w:snapToGrid w:val="0"/>
              <w:spacing w:line="360" w:lineRule="auto"/>
              <w:jc w:val="center"/>
              <w:rPr>
                <w:rFonts w:ascii="宋体" w:hAnsi="宋体"/>
                <w:color w:val="auto"/>
                <w:szCs w:val="21"/>
              </w:rPr>
            </w:pPr>
            <w:r>
              <w:rPr>
                <w:rFonts w:hint="eastAsia" w:ascii="宋体" w:hAnsi="宋体"/>
                <w:color w:val="auto"/>
                <w:szCs w:val="21"/>
              </w:rPr>
              <w:t>小计</w:t>
            </w:r>
          </w:p>
        </w:tc>
        <w:tc>
          <w:tcPr>
            <w:tcW w:w="989" w:type="pct"/>
            <w:vAlign w:val="center"/>
          </w:tcPr>
          <w:p w14:paraId="235B0939">
            <w:pPr>
              <w:adjustRightInd w:val="0"/>
              <w:snapToGrid w:val="0"/>
              <w:spacing w:line="360" w:lineRule="auto"/>
              <w:jc w:val="center"/>
              <w:rPr>
                <w:rFonts w:ascii="宋体" w:hAnsi="宋体"/>
                <w:b/>
                <w:color w:val="auto"/>
                <w:szCs w:val="21"/>
              </w:rPr>
            </w:pPr>
            <w:r>
              <w:rPr>
                <w:rFonts w:hint="eastAsia" w:ascii="宋体" w:hAnsi="宋体"/>
                <w:b/>
                <w:color w:val="auto"/>
                <w:szCs w:val="21"/>
              </w:rPr>
              <w:t>/</w:t>
            </w:r>
          </w:p>
        </w:tc>
        <w:tc>
          <w:tcPr>
            <w:tcW w:w="645" w:type="pct"/>
            <w:tcBorders>
              <w:right w:val="single" w:color="auto" w:sz="4" w:space="0"/>
            </w:tcBorders>
            <w:vAlign w:val="center"/>
          </w:tcPr>
          <w:p w14:paraId="767DA19A">
            <w:pPr>
              <w:adjustRightInd w:val="0"/>
              <w:snapToGrid w:val="0"/>
              <w:spacing w:line="360" w:lineRule="auto"/>
              <w:jc w:val="left"/>
              <w:rPr>
                <w:rFonts w:ascii="宋体" w:hAnsi="宋体"/>
                <w:b/>
                <w:color w:val="auto"/>
                <w:szCs w:val="21"/>
              </w:rPr>
            </w:pPr>
          </w:p>
        </w:tc>
        <w:tc>
          <w:tcPr>
            <w:tcW w:w="807" w:type="pct"/>
            <w:tcBorders>
              <w:left w:val="single" w:color="auto" w:sz="4" w:space="0"/>
            </w:tcBorders>
            <w:vAlign w:val="center"/>
          </w:tcPr>
          <w:p w14:paraId="4CAD7F3D">
            <w:pPr>
              <w:adjustRightInd w:val="0"/>
              <w:snapToGrid w:val="0"/>
              <w:spacing w:line="360" w:lineRule="auto"/>
              <w:jc w:val="left"/>
              <w:rPr>
                <w:rFonts w:ascii="宋体" w:hAnsi="宋体"/>
                <w:b/>
                <w:color w:val="auto"/>
                <w:szCs w:val="21"/>
              </w:rPr>
            </w:pPr>
          </w:p>
        </w:tc>
        <w:tc>
          <w:tcPr>
            <w:tcW w:w="1129" w:type="pct"/>
            <w:vAlign w:val="center"/>
          </w:tcPr>
          <w:p w14:paraId="36F72F63">
            <w:pPr>
              <w:adjustRightInd w:val="0"/>
              <w:snapToGrid w:val="0"/>
              <w:spacing w:line="360" w:lineRule="auto"/>
              <w:jc w:val="center"/>
              <w:rPr>
                <w:rFonts w:ascii="宋体" w:hAnsi="宋体"/>
                <w:b/>
                <w:color w:val="auto"/>
                <w:szCs w:val="21"/>
              </w:rPr>
            </w:pPr>
            <w:r>
              <w:rPr>
                <w:rFonts w:hint="eastAsia" w:ascii="宋体" w:hAnsi="宋体"/>
                <w:b/>
                <w:color w:val="auto"/>
                <w:szCs w:val="21"/>
              </w:rPr>
              <w:t>/</w:t>
            </w:r>
          </w:p>
        </w:tc>
        <w:tc>
          <w:tcPr>
            <w:tcW w:w="1048" w:type="pct"/>
          </w:tcPr>
          <w:p w14:paraId="43E1B5D7">
            <w:pPr>
              <w:adjustRightInd w:val="0"/>
              <w:snapToGrid w:val="0"/>
              <w:spacing w:line="360" w:lineRule="auto"/>
              <w:jc w:val="center"/>
              <w:rPr>
                <w:rFonts w:ascii="宋体" w:hAnsi="宋体"/>
                <w:b/>
                <w:color w:val="auto"/>
                <w:szCs w:val="21"/>
              </w:rPr>
            </w:pPr>
            <w:r>
              <w:rPr>
                <w:rFonts w:hint="eastAsia" w:ascii="宋体" w:hAnsi="宋体"/>
                <w:b/>
                <w:color w:val="auto"/>
                <w:szCs w:val="21"/>
              </w:rPr>
              <w:t>/</w:t>
            </w:r>
          </w:p>
        </w:tc>
      </w:tr>
      <w:tr w14:paraId="06FEC68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5000" w:type="pct"/>
            <w:gridSpan w:val="6"/>
            <w:vAlign w:val="center"/>
          </w:tcPr>
          <w:p w14:paraId="27050788">
            <w:pPr>
              <w:adjustRightInd w:val="0"/>
              <w:snapToGrid w:val="0"/>
              <w:spacing w:line="360" w:lineRule="auto"/>
              <w:jc w:val="left"/>
              <w:rPr>
                <w:rFonts w:ascii="宋体" w:hAnsi="宋体"/>
                <w:b/>
                <w:color w:val="auto"/>
                <w:szCs w:val="21"/>
              </w:rPr>
            </w:pPr>
            <w:r>
              <w:rPr>
                <w:rFonts w:hint="eastAsia" w:ascii="宋体" w:hAnsi="宋体"/>
                <w:b/>
                <w:color w:val="auto"/>
                <w:szCs w:val="21"/>
              </w:rPr>
              <w:t>环境标志产品</w:t>
            </w:r>
          </w:p>
        </w:tc>
      </w:tr>
      <w:tr w14:paraId="75636CA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382" w:type="pct"/>
            <w:vAlign w:val="center"/>
          </w:tcPr>
          <w:p w14:paraId="7713B00A">
            <w:pPr>
              <w:adjustRightInd w:val="0"/>
              <w:snapToGrid w:val="0"/>
              <w:spacing w:line="360" w:lineRule="auto"/>
              <w:jc w:val="center"/>
              <w:rPr>
                <w:rFonts w:ascii="宋体" w:hAnsi="宋体"/>
                <w:b/>
                <w:color w:val="auto"/>
                <w:szCs w:val="21"/>
              </w:rPr>
            </w:pPr>
          </w:p>
        </w:tc>
        <w:tc>
          <w:tcPr>
            <w:tcW w:w="989" w:type="pct"/>
            <w:vAlign w:val="center"/>
          </w:tcPr>
          <w:p w14:paraId="49555EE7">
            <w:pPr>
              <w:adjustRightInd w:val="0"/>
              <w:snapToGrid w:val="0"/>
              <w:spacing w:line="360" w:lineRule="auto"/>
              <w:jc w:val="center"/>
              <w:rPr>
                <w:rFonts w:ascii="宋体" w:hAnsi="宋体"/>
                <w:b/>
                <w:color w:val="auto"/>
                <w:szCs w:val="21"/>
              </w:rPr>
            </w:pPr>
          </w:p>
        </w:tc>
        <w:tc>
          <w:tcPr>
            <w:tcW w:w="645" w:type="pct"/>
            <w:tcBorders>
              <w:right w:val="single" w:color="auto" w:sz="4" w:space="0"/>
            </w:tcBorders>
            <w:vAlign w:val="center"/>
          </w:tcPr>
          <w:p w14:paraId="6B2693B7">
            <w:pPr>
              <w:adjustRightInd w:val="0"/>
              <w:snapToGrid w:val="0"/>
              <w:spacing w:line="360" w:lineRule="auto"/>
              <w:jc w:val="left"/>
              <w:rPr>
                <w:rFonts w:ascii="宋体" w:hAnsi="宋体"/>
                <w:b/>
                <w:color w:val="auto"/>
                <w:szCs w:val="21"/>
              </w:rPr>
            </w:pPr>
          </w:p>
        </w:tc>
        <w:tc>
          <w:tcPr>
            <w:tcW w:w="807" w:type="pct"/>
            <w:tcBorders>
              <w:left w:val="single" w:color="auto" w:sz="4" w:space="0"/>
            </w:tcBorders>
            <w:vAlign w:val="center"/>
          </w:tcPr>
          <w:p w14:paraId="41FDBE7A">
            <w:pPr>
              <w:adjustRightInd w:val="0"/>
              <w:snapToGrid w:val="0"/>
              <w:spacing w:line="360" w:lineRule="auto"/>
              <w:jc w:val="left"/>
              <w:rPr>
                <w:rFonts w:ascii="宋体" w:hAnsi="宋体"/>
                <w:b/>
                <w:color w:val="auto"/>
                <w:szCs w:val="21"/>
              </w:rPr>
            </w:pPr>
          </w:p>
        </w:tc>
        <w:tc>
          <w:tcPr>
            <w:tcW w:w="1129" w:type="pct"/>
            <w:vAlign w:val="center"/>
          </w:tcPr>
          <w:p w14:paraId="3E8136D8">
            <w:pPr>
              <w:adjustRightInd w:val="0"/>
              <w:snapToGrid w:val="0"/>
              <w:spacing w:line="360" w:lineRule="auto"/>
              <w:jc w:val="center"/>
              <w:rPr>
                <w:rFonts w:ascii="宋体" w:hAnsi="宋体"/>
                <w:b/>
                <w:color w:val="auto"/>
                <w:szCs w:val="21"/>
              </w:rPr>
            </w:pPr>
          </w:p>
        </w:tc>
        <w:tc>
          <w:tcPr>
            <w:tcW w:w="1048" w:type="pct"/>
          </w:tcPr>
          <w:p w14:paraId="7E21E537">
            <w:pPr>
              <w:adjustRightInd w:val="0"/>
              <w:snapToGrid w:val="0"/>
              <w:spacing w:line="360" w:lineRule="auto"/>
              <w:jc w:val="center"/>
              <w:rPr>
                <w:rFonts w:ascii="宋体" w:hAnsi="宋体"/>
                <w:b/>
                <w:color w:val="auto"/>
                <w:szCs w:val="21"/>
              </w:rPr>
            </w:pPr>
          </w:p>
        </w:tc>
      </w:tr>
      <w:tr w14:paraId="08D4E71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382" w:type="pct"/>
            <w:vAlign w:val="center"/>
          </w:tcPr>
          <w:p w14:paraId="024B7439">
            <w:pPr>
              <w:adjustRightInd w:val="0"/>
              <w:snapToGrid w:val="0"/>
              <w:spacing w:line="360" w:lineRule="auto"/>
              <w:jc w:val="center"/>
              <w:rPr>
                <w:rFonts w:ascii="宋体" w:hAnsi="宋体"/>
                <w:color w:val="auto"/>
                <w:szCs w:val="21"/>
              </w:rPr>
            </w:pPr>
            <w:r>
              <w:rPr>
                <w:rFonts w:hint="eastAsia" w:ascii="宋体" w:hAnsi="宋体"/>
                <w:color w:val="auto"/>
                <w:szCs w:val="21"/>
              </w:rPr>
              <w:t>小计</w:t>
            </w:r>
          </w:p>
        </w:tc>
        <w:tc>
          <w:tcPr>
            <w:tcW w:w="989" w:type="pct"/>
            <w:vAlign w:val="center"/>
          </w:tcPr>
          <w:p w14:paraId="23B65B71">
            <w:pPr>
              <w:adjustRightInd w:val="0"/>
              <w:snapToGrid w:val="0"/>
              <w:spacing w:line="360" w:lineRule="auto"/>
              <w:jc w:val="center"/>
              <w:rPr>
                <w:rFonts w:ascii="宋体" w:hAnsi="宋体"/>
                <w:b/>
                <w:color w:val="auto"/>
                <w:szCs w:val="21"/>
              </w:rPr>
            </w:pPr>
            <w:r>
              <w:rPr>
                <w:rFonts w:hint="eastAsia" w:ascii="宋体" w:hAnsi="宋体"/>
                <w:b/>
                <w:color w:val="auto"/>
                <w:szCs w:val="21"/>
              </w:rPr>
              <w:t>/</w:t>
            </w:r>
          </w:p>
        </w:tc>
        <w:tc>
          <w:tcPr>
            <w:tcW w:w="645" w:type="pct"/>
            <w:tcBorders>
              <w:right w:val="single" w:color="auto" w:sz="4" w:space="0"/>
            </w:tcBorders>
            <w:vAlign w:val="center"/>
          </w:tcPr>
          <w:p w14:paraId="25DEC264">
            <w:pPr>
              <w:adjustRightInd w:val="0"/>
              <w:snapToGrid w:val="0"/>
              <w:spacing w:line="360" w:lineRule="auto"/>
              <w:jc w:val="left"/>
              <w:rPr>
                <w:rFonts w:ascii="宋体" w:hAnsi="宋体"/>
                <w:b/>
                <w:color w:val="auto"/>
                <w:szCs w:val="21"/>
              </w:rPr>
            </w:pPr>
          </w:p>
        </w:tc>
        <w:tc>
          <w:tcPr>
            <w:tcW w:w="807" w:type="pct"/>
            <w:tcBorders>
              <w:left w:val="single" w:color="auto" w:sz="4" w:space="0"/>
            </w:tcBorders>
            <w:vAlign w:val="center"/>
          </w:tcPr>
          <w:p w14:paraId="6DD4339E">
            <w:pPr>
              <w:adjustRightInd w:val="0"/>
              <w:snapToGrid w:val="0"/>
              <w:spacing w:line="360" w:lineRule="auto"/>
              <w:jc w:val="left"/>
              <w:rPr>
                <w:rFonts w:ascii="宋体" w:hAnsi="宋体"/>
                <w:b/>
                <w:color w:val="auto"/>
                <w:szCs w:val="21"/>
              </w:rPr>
            </w:pPr>
          </w:p>
        </w:tc>
        <w:tc>
          <w:tcPr>
            <w:tcW w:w="1129" w:type="pct"/>
            <w:vAlign w:val="center"/>
          </w:tcPr>
          <w:p w14:paraId="00CD2492">
            <w:pPr>
              <w:adjustRightInd w:val="0"/>
              <w:snapToGrid w:val="0"/>
              <w:spacing w:line="360" w:lineRule="auto"/>
              <w:jc w:val="center"/>
              <w:rPr>
                <w:rFonts w:ascii="宋体" w:hAnsi="宋体"/>
                <w:b/>
                <w:color w:val="auto"/>
                <w:szCs w:val="21"/>
              </w:rPr>
            </w:pPr>
            <w:r>
              <w:rPr>
                <w:rFonts w:hint="eastAsia" w:ascii="宋体" w:hAnsi="宋体"/>
                <w:b/>
                <w:color w:val="auto"/>
                <w:szCs w:val="21"/>
              </w:rPr>
              <w:t>/</w:t>
            </w:r>
          </w:p>
        </w:tc>
        <w:tc>
          <w:tcPr>
            <w:tcW w:w="1048" w:type="pct"/>
          </w:tcPr>
          <w:p w14:paraId="5900A55E">
            <w:pPr>
              <w:adjustRightInd w:val="0"/>
              <w:snapToGrid w:val="0"/>
              <w:spacing w:line="360" w:lineRule="auto"/>
              <w:jc w:val="center"/>
              <w:rPr>
                <w:rFonts w:ascii="宋体" w:hAnsi="宋体"/>
                <w:b/>
                <w:color w:val="auto"/>
                <w:szCs w:val="21"/>
              </w:rPr>
            </w:pPr>
            <w:r>
              <w:rPr>
                <w:rFonts w:hint="eastAsia" w:ascii="宋体" w:hAnsi="宋体"/>
                <w:b/>
                <w:color w:val="auto"/>
                <w:szCs w:val="21"/>
              </w:rPr>
              <w:t>/</w:t>
            </w:r>
          </w:p>
        </w:tc>
      </w:tr>
    </w:tbl>
    <w:p w14:paraId="6AB0FC91">
      <w:pPr>
        <w:adjustRightInd w:val="0"/>
        <w:snapToGrid w:val="0"/>
        <w:spacing w:line="360" w:lineRule="auto"/>
        <w:jc w:val="left"/>
        <w:rPr>
          <w:rFonts w:ascii="宋体" w:hAnsi="宋体"/>
          <w:color w:val="auto"/>
          <w:szCs w:val="21"/>
        </w:rPr>
      </w:pPr>
      <w:r>
        <w:rPr>
          <w:rFonts w:hint="eastAsia" w:asciiTheme="minorEastAsia" w:hAnsiTheme="minorEastAsia" w:eastAsiaTheme="minorEastAsia"/>
          <w:b/>
          <w:color w:val="auto"/>
          <w:szCs w:val="21"/>
        </w:rPr>
        <w:t>注</w:t>
      </w:r>
      <w:r>
        <w:rPr>
          <w:rFonts w:hint="eastAsia" w:ascii="宋体" w:hAnsi="宋体"/>
          <w:color w:val="auto"/>
          <w:szCs w:val="21"/>
        </w:rPr>
        <w:t>：</w:t>
      </w:r>
      <w:r>
        <w:rPr>
          <w:rFonts w:hint="eastAsia" w:ascii="宋体" w:hAnsi="宋体"/>
          <w:bCs/>
          <w:color w:val="auto"/>
          <w:szCs w:val="21"/>
        </w:rPr>
        <w:t>1、</w:t>
      </w:r>
      <w:r>
        <w:rPr>
          <w:rFonts w:hint="eastAsia" w:ascii="宋体" w:hAnsi="宋体"/>
          <w:color w:val="auto"/>
          <w:szCs w:val="21"/>
        </w:rPr>
        <w:t>本表用于计算政府采购优先采购产品（节能产品或者环境标志产品）的政府采购政策价格扣除。</w:t>
      </w:r>
    </w:p>
    <w:p w14:paraId="22D649E1">
      <w:pPr>
        <w:adjustRightInd w:val="0"/>
        <w:snapToGrid w:val="0"/>
        <w:spacing w:line="360" w:lineRule="auto"/>
        <w:ind w:firstLine="630" w:firstLineChars="300"/>
        <w:jc w:val="left"/>
        <w:rPr>
          <w:rFonts w:ascii="宋体" w:hAnsi="宋体"/>
          <w:color w:val="auto"/>
          <w:szCs w:val="21"/>
        </w:rPr>
      </w:pPr>
      <w:r>
        <w:rPr>
          <w:rFonts w:hint="eastAsia" w:ascii="宋体" w:hAnsi="宋体"/>
          <w:color w:val="auto"/>
          <w:szCs w:val="21"/>
        </w:rPr>
        <w:t>2、栏目4“价格”为综合单价，包含货物所有隐含的内容，如运输费、保险费、管理费和利润等。</w:t>
      </w:r>
    </w:p>
    <w:p w14:paraId="11DCF23D">
      <w:pPr>
        <w:adjustRightInd w:val="0"/>
        <w:snapToGrid w:val="0"/>
        <w:spacing w:line="360" w:lineRule="auto"/>
        <w:ind w:firstLine="630" w:firstLineChars="300"/>
        <w:jc w:val="left"/>
        <w:rPr>
          <w:rFonts w:ascii="宋体" w:hAnsi="宋体"/>
          <w:color w:val="auto"/>
          <w:szCs w:val="21"/>
        </w:rPr>
      </w:pPr>
      <w:r>
        <w:rPr>
          <w:rFonts w:hint="eastAsia" w:ascii="宋体" w:hAnsi="宋体"/>
          <w:color w:val="auto"/>
          <w:szCs w:val="21"/>
        </w:rPr>
        <w:t>3、栏目6“政策功能编码”是指货物的中国环境标志认证证书编号、中国节能标志认证证书号。</w:t>
      </w:r>
    </w:p>
    <w:p w14:paraId="6445DC29">
      <w:pPr>
        <w:adjustRightInd w:val="0"/>
        <w:snapToGrid w:val="0"/>
        <w:spacing w:line="360" w:lineRule="auto"/>
        <w:ind w:firstLine="630" w:firstLineChars="300"/>
        <w:jc w:val="left"/>
        <w:rPr>
          <w:rFonts w:ascii="宋体" w:hAnsi="宋体"/>
          <w:color w:val="auto"/>
          <w:szCs w:val="21"/>
        </w:rPr>
      </w:pPr>
      <w:r>
        <w:rPr>
          <w:rFonts w:hint="eastAsia" w:ascii="宋体" w:hAnsi="宋体"/>
          <w:color w:val="auto"/>
          <w:szCs w:val="21"/>
        </w:rPr>
        <w:t>4、货物同时属于节能产品、环境标志产品的，只需填写一种。</w:t>
      </w:r>
    </w:p>
    <w:p w14:paraId="671BEE1A">
      <w:pPr>
        <w:adjustRightInd w:val="0"/>
        <w:snapToGrid w:val="0"/>
        <w:spacing w:line="360" w:lineRule="auto"/>
        <w:rPr>
          <w:rFonts w:ascii="宋体" w:hAnsi="宋体"/>
          <w:bCs/>
          <w:color w:val="auto"/>
          <w:szCs w:val="21"/>
        </w:rPr>
      </w:pPr>
    </w:p>
    <w:p w14:paraId="358A5A26">
      <w:pPr>
        <w:adjustRightInd w:val="0"/>
        <w:snapToGrid w:val="0"/>
        <w:spacing w:line="360" w:lineRule="auto"/>
        <w:rPr>
          <w:rFonts w:ascii="宋体" w:hAnsi="宋体"/>
          <w:color w:val="auto"/>
          <w:szCs w:val="21"/>
        </w:rPr>
      </w:pPr>
      <w:r>
        <w:rPr>
          <w:rFonts w:hint="eastAsia" w:ascii="宋体" w:hAnsi="宋体"/>
          <w:color w:val="auto"/>
          <w:szCs w:val="21"/>
        </w:rPr>
        <w:t>供应商名称（盖单位公章）：</w:t>
      </w:r>
    </w:p>
    <w:p w14:paraId="17B14391">
      <w:pPr>
        <w:adjustRightInd w:val="0"/>
        <w:snapToGrid w:val="0"/>
        <w:spacing w:line="360" w:lineRule="auto"/>
        <w:rPr>
          <w:rFonts w:ascii="宋体" w:hAnsi="宋体"/>
          <w:color w:val="auto"/>
          <w:szCs w:val="21"/>
        </w:rPr>
      </w:pPr>
      <w:r>
        <w:rPr>
          <w:rFonts w:hint="eastAsia" w:ascii="宋体" w:hAnsi="宋体" w:cs="微软雅黑"/>
          <w:color w:val="auto"/>
          <w:spacing w:val="-2"/>
          <w:kern w:val="0"/>
          <w:szCs w:val="21"/>
        </w:rPr>
        <w:t>法</w:t>
      </w:r>
      <w:r>
        <w:rPr>
          <w:rFonts w:hint="eastAsia" w:ascii="宋体" w:hAnsi="宋体" w:cs="微软雅黑"/>
          <w:color w:val="auto"/>
          <w:kern w:val="0"/>
          <w:szCs w:val="21"/>
        </w:rPr>
        <w:t>定</w:t>
      </w:r>
      <w:r>
        <w:rPr>
          <w:rFonts w:hint="eastAsia" w:ascii="宋体" w:hAnsi="宋体" w:cs="微软雅黑"/>
          <w:color w:val="auto"/>
          <w:spacing w:val="-2"/>
          <w:kern w:val="0"/>
          <w:szCs w:val="21"/>
        </w:rPr>
        <w:t>代</w:t>
      </w:r>
      <w:r>
        <w:rPr>
          <w:rFonts w:hint="eastAsia" w:ascii="宋体" w:hAnsi="宋体" w:cs="微软雅黑"/>
          <w:color w:val="auto"/>
          <w:kern w:val="0"/>
          <w:szCs w:val="21"/>
        </w:rPr>
        <w:t>表</w:t>
      </w:r>
      <w:r>
        <w:rPr>
          <w:rFonts w:hint="eastAsia" w:ascii="宋体" w:hAnsi="宋体" w:cs="微软雅黑"/>
          <w:color w:val="auto"/>
          <w:spacing w:val="-2"/>
          <w:kern w:val="0"/>
          <w:szCs w:val="21"/>
        </w:rPr>
        <w:t>人</w:t>
      </w:r>
      <w:r>
        <w:rPr>
          <w:rFonts w:hint="eastAsia" w:ascii="宋体" w:hAnsi="宋体" w:cs="微软雅黑"/>
          <w:color w:val="auto"/>
          <w:kern w:val="0"/>
          <w:szCs w:val="21"/>
        </w:rPr>
        <w:t>（</w:t>
      </w:r>
      <w:r>
        <w:rPr>
          <w:rFonts w:hint="eastAsia" w:ascii="宋体" w:hAnsi="宋体" w:cs="微软雅黑"/>
          <w:color w:val="auto"/>
          <w:spacing w:val="-2"/>
          <w:kern w:val="0"/>
          <w:szCs w:val="21"/>
        </w:rPr>
        <w:t>单</w:t>
      </w:r>
      <w:r>
        <w:rPr>
          <w:rFonts w:hint="eastAsia" w:ascii="宋体" w:hAnsi="宋体" w:cs="微软雅黑"/>
          <w:color w:val="auto"/>
          <w:kern w:val="0"/>
          <w:szCs w:val="21"/>
        </w:rPr>
        <w:t>位</w:t>
      </w:r>
      <w:r>
        <w:rPr>
          <w:rFonts w:hint="eastAsia" w:ascii="宋体" w:hAnsi="宋体" w:cs="微软雅黑"/>
          <w:color w:val="auto"/>
          <w:spacing w:val="-2"/>
          <w:kern w:val="0"/>
          <w:szCs w:val="21"/>
        </w:rPr>
        <w:t>负</w:t>
      </w:r>
      <w:r>
        <w:rPr>
          <w:rFonts w:hint="eastAsia" w:ascii="宋体" w:hAnsi="宋体" w:cs="微软雅黑"/>
          <w:color w:val="auto"/>
          <w:kern w:val="0"/>
          <w:szCs w:val="21"/>
        </w:rPr>
        <w:t>责人</w:t>
      </w:r>
      <w:r>
        <w:rPr>
          <w:rFonts w:hint="eastAsia" w:ascii="宋体" w:hAnsi="宋体" w:cs="微软雅黑"/>
          <w:color w:val="auto"/>
          <w:spacing w:val="-2"/>
          <w:kern w:val="0"/>
          <w:szCs w:val="21"/>
        </w:rPr>
        <w:t>）</w:t>
      </w:r>
      <w:r>
        <w:rPr>
          <w:rFonts w:hint="eastAsia" w:ascii="宋体" w:hAnsi="宋体"/>
          <w:color w:val="auto"/>
          <w:szCs w:val="21"/>
        </w:rPr>
        <w:t>或者其委托代理人（签字或者印章）：</w:t>
      </w:r>
    </w:p>
    <w:p w14:paraId="0679CA66">
      <w:pPr>
        <w:rPr>
          <w:rFonts w:asciiTheme="minorEastAsia" w:hAnsiTheme="minorEastAsia" w:eastAsiaTheme="minorEastAsia"/>
          <w:color w:val="auto"/>
          <w:szCs w:val="21"/>
        </w:rPr>
      </w:pPr>
      <w:r>
        <w:rPr>
          <w:rFonts w:hint="eastAsia" w:asciiTheme="minorEastAsia" w:hAnsiTheme="minorEastAsia" w:eastAsiaTheme="minorEastAsia"/>
          <w:color w:val="auto"/>
          <w:szCs w:val="21"/>
        </w:rPr>
        <w:t>日  期：     年   月   日</w:t>
      </w:r>
    </w:p>
    <w:p w14:paraId="095671CA">
      <w:pPr>
        <w:rPr>
          <w:rFonts w:ascii="宋体" w:hAnsi="宋体" w:cs="宋体"/>
          <w:b/>
          <w:bCs/>
          <w:color w:val="auto"/>
          <w:spacing w:val="6"/>
          <w:kern w:val="0"/>
          <w:szCs w:val="21"/>
        </w:rPr>
      </w:pPr>
      <w:r>
        <w:rPr>
          <w:rFonts w:ascii="宋体" w:hAnsi="宋体" w:cs="宋体"/>
          <w:color w:val="auto"/>
          <w:spacing w:val="6"/>
          <w:kern w:val="0"/>
          <w:szCs w:val="21"/>
        </w:rPr>
        <w:br w:type="page"/>
      </w:r>
    </w:p>
    <w:p w14:paraId="545817D7">
      <w:pPr>
        <w:pStyle w:val="5"/>
        <w:rPr>
          <w:rFonts w:ascii="黑体" w:hAnsi="黑体"/>
          <w:color w:val="auto"/>
          <w:sz w:val="21"/>
          <w:szCs w:val="21"/>
        </w:rPr>
      </w:pPr>
      <w:bookmarkStart w:id="254" w:name="_Toc9170"/>
      <w:bookmarkStart w:id="255" w:name="_Toc62206231"/>
      <w:r>
        <w:rPr>
          <w:rFonts w:hint="eastAsia" w:ascii="黑体" w:hAnsi="黑体" w:cs="宋体"/>
          <w:color w:val="auto"/>
          <w:spacing w:val="6"/>
          <w:kern w:val="0"/>
          <w:sz w:val="21"/>
          <w:szCs w:val="21"/>
        </w:rPr>
        <w:t xml:space="preserve">附件10-5 </w:t>
      </w:r>
      <w:r>
        <w:rPr>
          <w:rFonts w:hint="eastAsia" w:ascii="黑体" w:hAnsi="黑体"/>
          <w:color w:val="auto"/>
          <w:sz w:val="21"/>
          <w:szCs w:val="21"/>
        </w:rPr>
        <w:t>联合体协议书（格式）</w:t>
      </w:r>
      <w:bookmarkEnd w:id="254"/>
      <w:bookmarkEnd w:id="255"/>
    </w:p>
    <w:p w14:paraId="52977B8E">
      <w:pPr>
        <w:adjustRightInd w:val="0"/>
        <w:snapToGrid w:val="0"/>
        <w:spacing w:before="120" w:beforeLines="50" w:line="360" w:lineRule="auto"/>
        <w:jc w:val="center"/>
        <w:rPr>
          <w:rFonts w:ascii="黑体" w:hAnsi="黑体" w:eastAsia="黑体"/>
          <w:b/>
          <w:color w:val="auto"/>
          <w:sz w:val="28"/>
          <w:szCs w:val="28"/>
        </w:rPr>
      </w:pPr>
      <w:r>
        <w:rPr>
          <w:rFonts w:hint="eastAsia" w:ascii="黑体" w:hAnsi="黑体" w:eastAsia="黑体"/>
          <w:b/>
          <w:color w:val="auto"/>
          <w:sz w:val="28"/>
          <w:szCs w:val="28"/>
        </w:rPr>
        <w:t>联合体协议书（格式）（本项目不适用）</w:t>
      </w:r>
    </w:p>
    <w:p w14:paraId="186BD85F">
      <w:pPr>
        <w:adjustRightInd w:val="0"/>
        <w:snapToGrid w:val="0"/>
        <w:spacing w:before="120" w:beforeLines="50" w:line="360" w:lineRule="auto"/>
        <w:rPr>
          <w:rFonts w:asciiTheme="minorEastAsia" w:hAnsiTheme="minorEastAsia" w:eastAsiaTheme="minorEastAsia"/>
          <w:color w:val="auto"/>
          <w:szCs w:val="21"/>
        </w:rPr>
      </w:pPr>
    </w:p>
    <w:p w14:paraId="7C58698F">
      <w:pPr>
        <w:adjustRightInd w:val="0"/>
        <w:snapToGrid w:val="0"/>
        <w:spacing w:before="120" w:beforeLines="50"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致（采购人、采购代理机构）：</w:t>
      </w:r>
    </w:p>
    <w:p w14:paraId="66D683DD">
      <w:pPr>
        <w:adjustRightInd w:val="0"/>
        <w:snapToGrid w:val="0"/>
        <w:spacing w:line="360" w:lineRule="auto"/>
        <w:ind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经研究，我们决定自愿组成联合体共同参加（项目名称：</w:t>
      </w:r>
      <w:r>
        <w:rPr>
          <w:rFonts w:hint="eastAsia" w:asciiTheme="minorEastAsia" w:hAnsiTheme="minorEastAsia" w:eastAsiaTheme="minorEastAsia"/>
          <w:color w:val="auto"/>
          <w:szCs w:val="21"/>
          <w:u w:val="single"/>
        </w:rPr>
        <w:t xml:space="preserve">        </w:t>
      </w:r>
      <w:r>
        <w:rPr>
          <w:rFonts w:asciiTheme="minorEastAsia" w:hAnsiTheme="minorEastAsia" w:eastAsiaTheme="minorEastAsia"/>
          <w:color w:val="auto"/>
          <w:szCs w:val="21"/>
        </w:rPr>
        <w:t>）</w:t>
      </w:r>
      <w:r>
        <w:rPr>
          <w:rFonts w:hint="eastAsia" w:asciiTheme="minorEastAsia" w:hAnsiTheme="minorEastAsia" w:eastAsiaTheme="minorEastAsia"/>
          <w:color w:val="auto"/>
          <w:szCs w:val="21"/>
        </w:rPr>
        <w:t>（采购人项目编号</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：采购代理编号：</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）项目的投标。现就联合体事宜订立如下协议：</w:t>
      </w:r>
    </w:p>
    <w:p w14:paraId="4E8DAB4C">
      <w:pPr>
        <w:adjustRightInd w:val="0"/>
        <w:snapToGrid w:val="0"/>
        <w:spacing w:line="360" w:lineRule="auto"/>
        <w:ind w:firstLine="420" w:firstLineChars="200"/>
        <w:rPr>
          <w:rFonts w:asciiTheme="minorEastAsia" w:hAnsiTheme="minorEastAsia" w:eastAsiaTheme="minorEastAsia"/>
          <w:color w:val="auto"/>
          <w:szCs w:val="21"/>
          <w:u w:val="single"/>
        </w:rPr>
      </w:pPr>
      <w:r>
        <w:rPr>
          <w:rFonts w:hint="eastAsia" w:asciiTheme="minorEastAsia" w:hAnsiTheme="minorEastAsia" w:eastAsiaTheme="minorEastAsia"/>
          <w:color w:val="auto"/>
          <w:szCs w:val="21"/>
        </w:rPr>
        <w:t>一、联合体基本信息：（各方公司名称、地址、注册资金、营业执照、</w:t>
      </w:r>
      <w:r>
        <w:rPr>
          <w:rFonts w:hint="eastAsia" w:cs="微软雅黑" w:asciiTheme="minorEastAsia" w:hAnsiTheme="minorEastAsia" w:eastAsiaTheme="minorEastAsia"/>
          <w:color w:val="auto"/>
          <w:spacing w:val="-2"/>
          <w:kern w:val="0"/>
          <w:szCs w:val="21"/>
        </w:rPr>
        <w:t>法</w:t>
      </w:r>
      <w:r>
        <w:rPr>
          <w:rFonts w:hint="eastAsia" w:cs="微软雅黑" w:asciiTheme="minorEastAsia" w:hAnsiTheme="minorEastAsia" w:eastAsiaTheme="minorEastAsia"/>
          <w:color w:val="auto"/>
          <w:kern w:val="0"/>
          <w:szCs w:val="21"/>
        </w:rPr>
        <w:t>定</w:t>
      </w:r>
      <w:r>
        <w:rPr>
          <w:rFonts w:hint="eastAsia" w:cs="微软雅黑" w:asciiTheme="minorEastAsia" w:hAnsiTheme="minorEastAsia" w:eastAsiaTheme="minorEastAsia"/>
          <w:color w:val="auto"/>
          <w:spacing w:val="-2"/>
          <w:kern w:val="0"/>
          <w:szCs w:val="21"/>
        </w:rPr>
        <w:t>代</w:t>
      </w:r>
      <w:r>
        <w:rPr>
          <w:rFonts w:hint="eastAsia" w:cs="微软雅黑" w:asciiTheme="minorEastAsia" w:hAnsiTheme="minorEastAsia" w:eastAsiaTheme="minorEastAsia"/>
          <w:color w:val="auto"/>
          <w:kern w:val="0"/>
          <w:szCs w:val="21"/>
        </w:rPr>
        <w:t>表</w:t>
      </w:r>
      <w:r>
        <w:rPr>
          <w:rFonts w:hint="eastAsia" w:cs="微软雅黑" w:asciiTheme="minorEastAsia" w:hAnsiTheme="minorEastAsia" w:eastAsiaTheme="minorEastAsia"/>
          <w:color w:val="auto"/>
          <w:spacing w:val="-2"/>
          <w:kern w:val="0"/>
          <w:szCs w:val="21"/>
        </w:rPr>
        <w:t>人</w:t>
      </w:r>
      <w:r>
        <w:rPr>
          <w:rFonts w:hint="eastAsia" w:cs="微软雅黑" w:asciiTheme="minorEastAsia" w:hAnsiTheme="minorEastAsia" w:eastAsiaTheme="minorEastAsia"/>
          <w:color w:val="auto"/>
          <w:kern w:val="0"/>
          <w:szCs w:val="21"/>
        </w:rPr>
        <w:t>（</w:t>
      </w:r>
      <w:r>
        <w:rPr>
          <w:rFonts w:hint="eastAsia" w:cs="微软雅黑" w:asciiTheme="minorEastAsia" w:hAnsiTheme="minorEastAsia" w:eastAsiaTheme="minorEastAsia"/>
          <w:color w:val="auto"/>
          <w:spacing w:val="-2"/>
          <w:kern w:val="0"/>
          <w:szCs w:val="21"/>
        </w:rPr>
        <w:t>单</w:t>
      </w:r>
      <w:r>
        <w:rPr>
          <w:rFonts w:hint="eastAsia" w:cs="微软雅黑" w:asciiTheme="minorEastAsia" w:hAnsiTheme="minorEastAsia" w:eastAsiaTheme="minorEastAsia"/>
          <w:color w:val="auto"/>
          <w:kern w:val="0"/>
          <w:szCs w:val="21"/>
        </w:rPr>
        <w:t>位</w:t>
      </w:r>
      <w:r>
        <w:rPr>
          <w:rFonts w:hint="eastAsia" w:cs="微软雅黑" w:asciiTheme="minorEastAsia" w:hAnsiTheme="minorEastAsia" w:eastAsiaTheme="minorEastAsia"/>
          <w:color w:val="auto"/>
          <w:spacing w:val="-2"/>
          <w:kern w:val="0"/>
          <w:szCs w:val="21"/>
        </w:rPr>
        <w:t>负</w:t>
      </w:r>
      <w:r>
        <w:rPr>
          <w:rFonts w:hint="eastAsia" w:cs="微软雅黑" w:asciiTheme="minorEastAsia" w:hAnsiTheme="minorEastAsia" w:eastAsiaTheme="minorEastAsia"/>
          <w:color w:val="auto"/>
          <w:kern w:val="0"/>
          <w:szCs w:val="21"/>
        </w:rPr>
        <w:t>责人</w:t>
      </w:r>
      <w:r>
        <w:rPr>
          <w:rFonts w:hint="eastAsia" w:cs="微软雅黑" w:asciiTheme="minorEastAsia" w:hAnsiTheme="minorEastAsia" w:eastAsiaTheme="minorEastAsia"/>
          <w:color w:val="auto"/>
          <w:spacing w:val="-2"/>
          <w:kern w:val="0"/>
          <w:szCs w:val="21"/>
        </w:rPr>
        <w:t>）</w:t>
      </w:r>
      <w:r>
        <w:rPr>
          <w:rFonts w:hint="eastAsia" w:asciiTheme="minorEastAsia" w:hAnsiTheme="minorEastAsia" w:eastAsiaTheme="minorEastAsia"/>
          <w:color w:val="auto"/>
          <w:szCs w:val="21"/>
        </w:rPr>
        <w:t>姓名）</w:t>
      </w:r>
    </w:p>
    <w:p w14:paraId="2BF15FAC">
      <w:pPr>
        <w:adjustRightInd w:val="0"/>
        <w:snapToGrid w:val="0"/>
        <w:spacing w:line="360" w:lineRule="auto"/>
        <w:ind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二、（某成员单位名称）为（联合体名称）牵头人。</w:t>
      </w:r>
    </w:p>
    <w:p w14:paraId="65F013E3">
      <w:pPr>
        <w:adjustRightInd w:val="0"/>
        <w:snapToGrid w:val="0"/>
        <w:spacing w:line="360" w:lineRule="auto"/>
        <w:ind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三、联合体牵头人合法代表联合体各成员负责本项目投标文件编制活动，代表联合体提交和接收相关的资料、信息及指示，并处理与投标有关的一切事务；联合体中标后，联合体牵头人负责合同订立和合同实施阶段的主办、组织和协调工作。</w:t>
      </w:r>
    </w:p>
    <w:p w14:paraId="4637D377">
      <w:pPr>
        <w:adjustRightInd w:val="0"/>
        <w:snapToGrid w:val="0"/>
        <w:spacing w:line="360" w:lineRule="auto"/>
        <w:ind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四．联合体将严格按照招标文件的各项要求，递交投标文件，参加投标，履行中标和中标合同义务，并向采购人承担连带责任。</w:t>
      </w:r>
    </w:p>
    <w:p w14:paraId="66B85A90">
      <w:pPr>
        <w:adjustRightInd w:val="0"/>
        <w:snapToGrid w:val="0"/>
        <w:spacing w:line="360" w:lineRule="auto"/>
        <w:ind w:firstLine="420" w:firstLineChars="200"/>
        <w:rPr>
          <w:rFonts w:asciiTheme="minorEastAsia" w:hAnsiTheme="minorEastAsia" w:eastAsiaTheme="minorEastAsia"/>
          <w:color w:val="auto"/>
          <w:szCs w:val="21"/>
          <w:u w:val="single"/>
        </w:rPr>
      </w:pPr>
      <w:r>
        <w:rPr>
          <w:rFonts w:hint="eastAsia" w:asciiTheme="minorEastAsia" w:hAnsiTheme="minorEastAsia" w:eastAsiaTheme="minorEastAsia"/>
          <w:color w:val="auto"/>
          <w:szCs w:val="21"/>
        </w:rPr>
        <w:t>五、联合体各成员单位内部的职责分工如下：</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。按照本条上述分工，联合体各成员的协议合同金额占联合体协议合同总金额比例如下：</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w:t>
      </w:r>
    </w:p>
    <w:p w14:paraId="49773A73">
      <w:pPr>
        <w:adjustRightInd w:val="0"/>
        <w:snapToGrid w:val="0"/>
        <w:spacing w:line="360" w:lineRule="auto"/>
        <w:ind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六、本协议书自签署之日起生效，合同履行完毕后自动失效。</w:t>
      </w:r>
    </w:p>
    <w:p w14:paraId="7E0A3C71">
      <w:pPr>
        <w:adjustRightInd w:val="0"/>
        <w:snapToGrid w:val="0"/>
        <w:spacing w:line="360" w:lineRule="auto"/>
        <w:ind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七、本协议书一式份，联合体成员和采购人各执一份。</w:t>
      </w:r>
    </w:p>
    <w:p w14:paraId="69BDC61E">
      <w:pPr>
        <w:adjustRightInd w:val="0"/>
        <w:snapToGrid w:val="0"/>
        <w:spacing w:line="360" w:lineRule="auto"/>
        <w:rPr>
          <w:rFonts w:asciiTheme="minorEastAsia" w:hAnsiTheme="minorEastAsia" w:eastAsiaTheme="minorEastAsia"/>
          <w:color w:val="auto"/>
          <w:szCs w:val="21"/>
        </w:rPr>
      </w:pPr>
    </w:p>
    <w:p w14:paraId="30664B89">
      <w:pPr>
        <w:adjustRightInd w:val="0"/>
        <w:snapToGrid w:val="0"/>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牵头人名称（盖单位章）：</w:t>
      </w:r>
    </w:p>
    <w:p w14:paraId="5F6C8A0E">
      <w:pPr>
        <w:adjustRightInd w:val="0"/>
        <w:snapToGrid w:val="0"/>
        <w:spacing w:line="360" w:lineRule="auto"/>
        <w:rPr>
          <w:rFonts w:asciiTheme="minorEastAsia" w:hAnsiTheme="minorEastAsia" w:eastAsiaTheme="minorEastAsia"/>
          <w:color w:val="auto"/>
          <w:szCs w:val="21"/>
        </w:rPr>
      </w:pPr>
      <w:r>
        <w:rPr>
          <w:rFonts w:hint="eastAsia" w:cs="微软雅黑" w:asciiTheme="minorEastAsia" w:hAnsiTheme="minorEastAsia" w:eastAsiaTheme="minorEastAsia"/>
          <w:color w:val="auto"/>
          <w:spacing w:val="-2"/>
          <w:kern w:val="0"/>
          <w:szCs w:val="21"/>
        </w:rPr>
        <w:t>法</w:t>
      </w:r>
      <w:r>
        <w:rPr>
          <w:rFonts w:hint="eastAsia" w:cs="微软雅黑" w:asciiTheme="minorEastAsia" w:hAnsiTheme="minorEastAsia" w:eastAsiaTheme="minorEastAsia"/>
          <w:color w:val="auto"/>
          <w:kern w:val="0"/>
          <w:szCs w:val="21"/>
        </w:rPr>
        <w:t>定</w:t>
      </w:r>
      <w:r>
        <w:rPr>
          <w:rFonts w:hint="eastAsia" w:cs="微软雅黑" w:asciiTheme="minorEastAsia" w:hAnsiTheme="minorEastAsia" w:eastAsiaTheme="minorEastAsia"/>
          <w:color w:val="auto"/>
          <w:spacing w:val="-2"/>
          <w:kern w:val="0"/>
          <w:szCs w:val="21"/>
        </w:rPr>
        <w:t>代</w:t>
      </w:r>
      <w:r>
        <w:rPr>
          <w:rFonts w:hint="eastAsia" w:cs="微软雅黑" w:asciiTheme="minorEastAsia" w:hAnsiTheme="minorEastAsia" w:eastAsiaTheme="minorEastAsia"/>
          <w:color w:val="auto"/>
          <w:kern w:val="0"/>
          <w:szCs w:val="21"/>
        </w:rPr>
        <w:t>表</w:t>
      </w:r>
      <w:r>
        <w:rPr>
          <w:rFonts w:hint="eastAsia" w:cs="微软雅黑" w:asciiTheme="minorEastAsia" w:hAnsiTheme="minorEastAsia" w:eastAsiaTheme="minorEastAsia"/>
          <w:color w:val="auto"/>
          <w:spacing w:val="-2"/>
          <w:kern w:val="0"/>
          <w:szCs w:val="21"/>
        </w:rPr>
        <w:t>人</w:t>
      </w:r>
      <w:r>
        <w:rPr>
          <w:rFonts w:hint="eastAsia" w:cs="微软雅黑" w:asciiTheme="minorEastAsia" w:hAnsiTheme="minorEastAsia" w:eastAsiaTheme="minorEastAsia"/>
          <w:color w:val="auto"/>
          <w:kern w:val="0"/>
          <w:szCs w:val="21"/>
        </w:rPr>
        <w:t>（</w:t>
      </w:r>
      <w:r>
        <w:rPr>
          <w:rFonts w:hint="eastAsia" w:cs="微软雅黑" w:asciiTheme="minorEastAsia" w:hAnsiTheme="minorEastAsia" w:eastAsiaTheme="minorEastAsia"/>
          <w:color w:val="auto"/>
          <w:spacing w:val="-2"/>
          <w:kern w:val="0"/>
          <w:szCs w:val="21"/>
        </w:rPr>
        <w:t>单</w:t>
      </w:r>
      <w:r>
        <w:rPr>
          <w:rFonts w:hint="eastAsia" w:cs="微软雅黑" w:asciiTheme="minorEastAsia" w:hAnsiTheme="minorEastAsia" w:eastAsiaTheme="minorEastAsia"/>
          <w:color w:val="auto"/>
          <w:kern w:val="0"/>
          <w:szCs w:val="21"/>
        </w:rPr>
        <w:t>位</w:t>
      </w:r>
      <w:r>
        <w:rPr>
          <w:rFonts w:hint="eastAsia" w:cs="微软雅黑" w:asciiTheme="minorEastAsia" w:hAnsiTheme="minorEastAsia" w:eastAsiaTheme="minorEastAsia"/>
          <w:color w:val="auto"/>
          <w:spacing w:val="-2"/>
          <w:kern w:val="0"/>
          <w:szCs w:val="21"/>
        </w:rPr>
        <w:t>负</w:t>
      </w:r>
      <w:r>
        <w:rPr>
          <w:rFonts w:hint="eastAsia" w:cs="微软雅黑" w:asciiTheme="minorEastAsia" w:hAnsiTheme="minorEastAsia" w:eastAsiaTheme="minorEastAsia"/>
          <w:color w:val="auto"/>
          <w:kern w:val="0"/>
          <w:szCs w:val="21"/>
        </w:rPr>
        <w:t>责人</w:t>
      </w:r>
      <w:r>
        <w:rPr>
          <w:rFonts w:hint="eastAsia" w:cs="微软雅黑" w:asciiTheme="minorEastAsia" w:hAnsiTheme="minorEastAsia" w:eastAsiaTheme="minorEastAsia"/>
          <w:color w:val="auto"/>
          <w:spacing w:val="-2"/>
          <w:kern w:val="0"/>
          <w:szCs w:val="21"/>
        </w:rPr>
        <w:t>）</w:t>
      </w:r>
      <w:r>
        <w:rPr>
          <w:rFonts w:hint="eastAsia" w:asciiTheme="minorEastAsia" w:hAnsiTheme="minorEastAsia" w:eastAsiaTheme="minorEastAsia"/>
          <w:color w:val="auto"/>
          <w:szCs w:val="21"/>
        </w:rPr>
        <w:t>或其委托代理人（签字或印章）：</w:t>
      </w:r>
    </w:p>
    <w:p w14:paraId="61F91945">
      <w:pPr>
        <w:adjustRightInd w:val="0"/>
        <w:snapToGrid w:val="0"/>
        <w:spacing w:line="360" w:lineRule="auto"/>
        <w:rPr>
          <w:rFonts w:asciiTheme="minorEastAsia" w:hAnsiTheme="minorEastAsia" w:eastAsiaTheme="minorEastAsia"/>
          <w:color w:val="auto"/>
          <w:szCs w:val="21"/>
        </w:rPr>
      </w:pPr>
    </w:p>
    <w:p w14:paraId="2C4B5245">
      <w:pPr>
        <w:adjustRightInd w:val="0"/>
        <w:snapToGrid w:val="0"/>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成员1名称（盖单位章）：</w:t>
      </w:r>
    </w:p>
    <w:p w14:paraId="609FF19D">
      <w:pPr>
        <w:adjustRightInd w:val="0"/>
        <w:snapToGrid w:val="0"/>
        <w:spacing w:line="360" w:lineRule="auto"/>
        <w:rPr>
          <w:rFonts w:asciiTheme="minorEastAsia" w:hAnsiTheme="minorEastAsia" w:eastAsiaTheme="minorEastAsia"/>
          <w:color w:val="auto"/>
          <w:szCs w:val="21"/>
        </w:rPr>
      </w:pPr>
      <w:r>
        <w:rPr>
          <w:rFonts w:hint="eastAsia" w:cs="微软雅黑" w:asciiTheme="minorEastAsia" w:hAnsiTheme="minorEastAsia" w:eastAsiaTheme="minorEastAsia"/>
          <w:color w:val="auto"/>
          <w:spacing w:val="-2"/>
          <w:kern w:val="0"/>
          <w:szCs w:val="21"/>
        </w:rPr>
        <w:t>法</w:t>
      </w:r>
      <w:r>
        <w:rPr>
          <w:rFonts w:hint="eastAsia" w:cs="微软雅黑" w:asciiTheme="minorEastAsia" w:hAnsiTheme="minorEastAsia" w:eastAsiaTheme="minorEastAsia"/>
          <w:color w:val="auto"/>
          <w:kern w:val="0"/>
          <w:szCs w:val="21"/>
        </w:rPr>
        <w:t>定</w:t>
      </w:r>
      <w:r>
        <w:rPr>
          <w:rFonts w:hint="eastAsia" w:cs="微软雅黑" w:asciiTheme="minorEastAsia" w:hAnsiTheme="minorEastAsia" w:eastAsiaTheme="minorEastAsia"/>
          <w:color w:val="auto"/>
          <w:spacing w:val="-2"/>
          <w:kern w:val="0"/>
          <w:szCs w:val="21"/>
        </w:rPr>
        <w:t>代</w:t>
      </w:r>
      <w:r>
        <w:rPr>
          <w:rFonts w:hint="eastAsia" w:cs="微软雅黑" w:asciiTheme="minorEastAsia" w:hAnsiTheme="minorEastAsia" w:eastAsiaTheme="minorEastAsia"/>
          <w:color w:val="auto"/>
          <w:kern w:val="0"/>
          <w:szCs w:val="21"/>
        </w:rPr>
        <w:t>表</w:t>
      </w:r>
      <w:r>
        <w:rPr>
          <w:rFonts w:hint="eastAsia" w:cs="微软雅黑" w:asciiTheme="minorEastAsia" w:hAnsiTheme="minorEastAsia" w:eastAsiaTheme="minorEastAsia"/>
          <w:color w:val="auto"/>
          <w:spacing w:val="-2"/>
          <w:kern w:val="0"/>
          <w:szCs w:val="21"/>
        </w:rPr>
        <w:t>人</w:t>
      </w:r>
      <w:r>
        <w:rPr>
          <w:rFonts w:hint="eastAsia" w:cs="微软雅黑" w:asciiTheme="minorEastAsia" w:hAnsiTheme="minorEastAsia" w:eastAsiaTheme="minorEastAsia"/>
          <w:color w:val="auto"/>
          <w:kern w:val="0"/>
          <w:szCs w:val="21"/>
        </w:rPr>
        <w:t>（</w:t>
      </w:r>
      <w:r>
        <w:rPr>
          <w:rFonts w:hint="eastAsia" w:cs="微软雅黑" w:asciiTheme="minorEastAsia" w:hAnsiTheme="minorEastAsia" w:eastAsiaTheme="minorEastAsia"/>
          <w:color w:val="auto"/>
          <w:spacing w:val="-2"/>
          <w:kern w:val="0"/>
          <w:szCs w:val="21"/>
        </w:rPr>
        <w:t>单</w:t>
      </w:r>
      <w:r>
        <w:rPr>
          <w:rFonts w:hint="eastAsia" w:cs="微软雅黑" w:asciiTheme="minorEastAsia" w:hAnsiTheme="minorEastAsia" w:eastAsiaTheme="minorEastAsia"/>
          <w:color w:val="auto"/>
          <w:kern w:val="0"/>
          <w:szCs w:val="21"/>
        </w:rPr>
        <w:t>位</w:t>
      </w:r>
      <w:r>
        <w:rPr>
          <w:rFonts w:hint="eastAsia" w:cs="微软雅黑" w:asciiTheme="minorEastAsia" w:hAnsiTheme="minorEastAsia" w:eastAsiaTheme="minorEastAsia"/>
          <w:color w:val="auto"/>
          <w:spacing w:val="-2"/>
          <w:kern w:val="0"/>
          <w:szCs w:val="21"/>
        </w:rPr>
        <w:t>负</w:t>
      </w:r>
      <w:r>
        <w:rPr>
          <w:rFonts w:hint="eastAsia" w:cs="微软雅黑" w:asciiTheme="minorEastAsia" w:hAnsiTheme="minorEastAsia" w:eastAsiaTheme="minorEastAsia"/>
          <w:color w:val="auto"/>
          <w:kern w:val="0"/>
          <w:szCs w:val="21"/>
        </w:rPr>
        <w:t>责人</w:t>
      </w:r>
      <w:r>
        <w:rPr>
          <w:rFonts w:hint="eastAsia" w:cs="微软雅黑" w:asciiTheme="minorEastAsia" w:hAnsiTheme="minorEastAsia" w:eastAsiaTheme="minorEastAsia"/>
          <w:color w:val="auto"/>
          <w:spacing w:val="-2"/>
          <w:kern w:val="0"/>
          <w:szCs w:val="21"/>
        </w:rPr>
        <w:t>）</w:t>
      </w:r>
      <w:r>
        <w:rPr>
          <w:rFonts w:hint="eastAsia" w:asciiTheme="minorEastAsia" w:hAnsiTheme="minorEastAsia" w:eastAsiaTheme="minorEastAsia"/>
          <w:color w:val="auto"/>
          <w:szCs w:val="21"/>
        </w:rPr>
        <w:t>或其委托代理人（签字或印章）：</w:t>
      </w:r>
    </w:p>
    <w:p w14:paraId="7304F7FD">
      <w:pPr>
        <w:adjustRightInd w:val="0"/>
        <w:snapToGrid w:val="0"/>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成员2名称（盖单位章）：</w:t>
      </w:r>
    </w:p>
    <w:p w14:paraId="20AA8A97">
      <w:pPr>
        <w:adjustRightInd w:val="0"/>
        <w:snapToGrid w:val="0"/>
        <w:spacing w:line="360" w:lineRule="auto"/>
        <w:rPr>
          <w:rFonts w:asciiTheme="minorEastAsia" w:hAnsiTheme="minorEastAsia" w:eastAsiaTheme="minorEastAsia"/>
          <w:color w:val="auto"/>
          <w:szCs w:val="21"/>
        </w:rPr>
      </w:pPr>
      <w:r>
        <w:rPr>
          <w:rFonts w:hint="eastAsia" w:cs="微软雅黑" w:asciiTheme="minorEastAsia" w:hAnsiTheme="minorEastAsia" w:eastAsiaTheme="minorEastAsia"/>
          <w:color w:val="auto"/>
          <w:spacing w:val="-2"/>
          <w:kern w:val="0"/>
          <w:szCs w:val="21"/>
        </w:rPr>
        <w:t>法</w:t>
      </w:r>
      <w:r>
        <w:rPr>
          <w:rFonts w:hint="eastAsia" w:cs="微软雅黑" w:asciiTheme="minorEastAsia" w:hAnsiTheme="minorEastAsia" w:eastAsiaTheme="minorEastAsia"/>
          <w:color w:val="auto"/>
          <w:kern w:val="0"/>
          <w:szCs w:val="21"/>
        </w:rPr>
        <w:t>定</w:t>
      </w:r>
      <w:r>
        <w:rPr>
          <w:rFonts w:hint="eastAsia" w:cs="微软雅黑" w:asciiTheme="minorEastAsia" w:hAnsiTheme="minorEastAsia" w:eastAsiaTheme="minorEastAsia"/>
          <w:color w:val="auto"/>
          <w:spacing w:val="-2"/>
          <w:kern w:val="0"/>
          <w:szCs w:val="21"/>
        </w:rPr>
        <w:t>代</w:t>
      </w:r>
      <w:r>
        <w:rPr>
          <w:rFonts w:hint="eastAsia" w:cs="微软雅黑" w:asciiTheme="minorEastAsia" w:hAnsiTheme="minorEastAsia" w:eastAsiaTheme="minorEastAsia"/>
          <w:color w:val="auto"/>
          <w:kern w:val="0"/>
          <w:szCs w:val="21"/>
        </w:rPr>
        <w:t>表</w:t>
      </w:r>
      <w:r>
        <w:rPr>
          <w:rFonts w:hint="eastAsia" w:cs="微软雅黑" w:asciiTheme="minorEastAsia" w:hAnsiTheme="minorEastAsia" w:eastAsiaTheme="minorEastAsia"/>
          <w:color w:val="auto"/>
          <w:spacing w:val="-2"/>
          <w:kern w:val="0"/>
          <w:szCs w:val="21"/>
        </w:rPr>
        <w:t>人</w:t>
      </w:r>
      <w:r>
        <w:rPr>
          <w:rFonts w:hint="eastAsia" w:cs="微软雅黑" w:asciiTheme="minorEastAsia" w:hAnsiTheme="minorEastAsia" w:eastAsiaTheme="minorEastAsia"/>
          <w:color w:val="auto"/>
          <w:kern w:val="0"/>
          <w:szCs w:val="21"/>
        </w:rPr>
        <w:t>（</w:t>
      </w:r>
      <w:r>
        <w:rPr>
          <w:rFonts w:hint="eastAsia" w:cs="微软雅黑" w:asciiTheme="minorEastAsia" w:hAnsiTheme="minorEastAsia" w:eastAsiaTheme="minorEastAsia"/>
          <w:color w:val="auto"/>
          <w:spacing w:val="-2"/>
          <w:kern w:val="0"/>
          <w:szCs w:val="21"/>
        </w:rPr>
        <w:t>单</w:t>
      </w:r>
      <w:r>
        <w:rPr>
          <w:rFonts w:hint="eastAsia" w:cs="微软雅黑" w:asciiTheme="minorEastAsia" w:hAnsiTheme="minorEastAsia" w:eastAsiaTheme="minorEastAsia"/>
          <w:color w:val="auto"/>
          <w:kern w:val="0"/>
          <w:szCs w:val="21"/>
        </w:rPr>
        <w:t>位</w:t>
      </w:r>
      <w:r>
        <w:rPr>
          <w:rFonts w:hint="eastAsia" w:cs="微软雅黑" w:asciiTheme="minorEastAsia" w:hAnsiTheme="minorEastAsia" w:eastAsiaTheme="minorEastAsia"/>
          <w:color w:val="auto"/>
          <w:spacing w:val="-2"/>
          <w:kern w:val="0"/>
          <w:szCs w:val="21"/>
        </w:rPr>
        <w:t>负</w:t>
      </w:r>
      <w:r>
        <w:rPr>
          <w:rFonts w:hint="eastAsia" w:cs="微软雅黑" w:asciiTheme="minorEastAsia" w:hAnsiTheme="minorEastAsia" w:eastAsiaTheme="minorEastAsia"/>
          <w:color w:val="auto"/>
          <w:kern w:val="0"/>
          <w:szCs w:val="21"/>
        </w:rPr>
        <w:t>责人</w:t>
      </w:r>
      <w:r>
        <w:rPr>
          <w:rFonts w:hint="eastAsia" w:cs="微软雅黑" w:asciiTheme="minorEastAsia" w:hAnsiTheme="minorEastAsia" w:eastAsiaTheme="minorEastAsia"/>
          <w:color w:val="auto"/>
          <w:spacing w:val="-2"/>
          <w:kern w:val="0"/>
          <w:szCs w:val="21"/>
        </w:rPr>
        <w:t>）</w:t>
      </w:r>
      <w:r>
        <w:rPr>
          <w:rFonts w:hint="eastAsia" w:asciiTheme="minorEastAsia" w:hAnsiTheme="minorEastAsia" w:eastAsiaTheme="minorEastAsia"/>
          <w:color w:val="auto"/>
          <w:szCs w:val="21"/>
        </w:rPr>
        <w:t>或其委托代理人（签字或印章）：</w:t>
      </w:r>
    </w:p>
    <w:p w14:paraId="49938910">
      <w:pPr>
        <w:adjustRightInd w:val="0"/>
        <w:snapToGrid w:val="0"/>
        <w:spacing w:line="360" w:lineRule="auto"/>
        <w:rPr>
          <w:rFonts w:asciiTheme="minorEastAsia" w:hAnsiTheme="minorEastAsia" w:eastAsiaTheme="minorEastAsia"/>
          <w:color w:val="auto"/>
          <w:szCs w:val="21"/>
        </w:rPr>
      </w:pPr>
      <w:r>
        <w:rPr>
          <w:rFonts w:asciiTheme="minorEastAsia" w:hAnsiTheme="minorEastAsia" w:eastAsiaTheme="minorEastAsia"/>
          <w:color w:val="auto"/>
          <w:szCs w:val="21"/>
        </w:rPr>
        <w:t>…</w:t>
      </w:r>
    </w:p>
    <w:p w14:paraId="3BFE0C38">
      <w:pPr>
        <w:widowControl/>
        <w:adjustRightInd w:val="0"/>
        <w:snapToGrid w:val="0"/>
        <w:spacing w:line="360" w:lineRule="auto"/>
        <w:jc w:val="left"/>
        <w:rPr>
          <w:rFonts w:asciiTheme="minorEastAsia" w:hAnsiTheme="minorEastAsia" w:eastAsiaTheme="minorEastAsia"/>
          <w:b/>
          <w:color w:val="auto"/>
          <w:szCs w:val="21"/>
        </w:rPr>
      </w:pPr>
      <w:r>
        <w:rPr>
          <w:rFonts w:hint="eastAsia" w:asciiTheme="minorEastAsia" w:hAnsiTheme="minorEastAsia" w:eastAsiaTheme="minorEastAsia"/>
          <w:color w:val="auto"/>
          <w:szCs w:val="21"/>
        </w:rPr>
        <w:t>日  期：     年   月   日</w:t>
      </w:r>
    </w:p>
    <w:p w14:paraId="1C279F48">
      <w:pPr>
        <w:widowControl/>
        <w:adjustRightInd w:val="0"/>
        <w:snapToGrid w:val="0"/>
        <w:spacing w:line="360" w:lineRule="auto"/>
        <w:jc w:val="left"/>
        <w:rPr>
          <w:rFonts w:asciiTheme="minorEastAsia" w:hAnsiTheme="minorEastAsia" w:eastAsiaTheme="minorEastAsia"/>
          <w:color w:val="auto"/>
          <w:szCs w:val="21"/>
        </w:rPr>
      </w:pPr>
      <w:r>
        <w:rPr>
          <w:rFonts w:hint="eastAsia" w:asciiTheme="minorEastAsia" w:hAnsiTheme="minorEastAsia" w:eastAsiaTheme="minorEastAsia"/>
          <w:b/>
          <w:color w:val="auto"/>
          <w:szCs w:val="21"/>
        </w:rPr>
        <w:t>注</w:t>
      </w:r>
      <w:r>
        <w:rPr>
          <w:rFonts w:hint="eastAsia" w:asciiTheme="minorEastAsia" w:hAnsiTheme="minorEastAsia" w:eastAsiaTheme="minorEastAsia"/>
          <w:color w:val="auto"/>
          <w:szCs w:val="21"/>
        </w:rPr>
        <w:t>：本协议书由委托代理人签字的，应附法定代表人（单位负责人）授权委托书。</w:t>
      </w:r>
    </w:p>
    <w:p w14:paraId="371645F4">
      <w:pPr>
        <w:jc w:val="center"/>
        <w:rPr>
          <w:rFonts w:ascii="黑体" w:hAnsi="黑体" w:eastAsia="黑体"/>
          <w:b/>
          <w:color w:val="auto"/>
          <w:sz w:val="28"/>
          <w:szCs w:val="28"/>
        </w:rPr>
      </w:pPr>
    </w:p>
    <w:p w14:paraId="28881AC4">
      <w:pPr>
        <w:pStyle w:val="5"/>
        <w:rPr>
          <w:rFonts w:ascii="黑体" w:hAnsi="黑体" w:cs="宋体"/>
          <w:color w:val="auto"/>
          <w:spacing w:val="6"/>
          <w:kern w:val="0"/>
          <w:sz w:val="21"/>
          <w:szCs w:val="21"/>
        </w:rPr>
        <w:sectPr>
          <w:pgSz w:w="11900" w:h="16838"/>
          <w:pgMar w:top="1134" w:right="1559" w:bottom="680" w:left="1678" w:header="879" w:footer="227" w:gutter="0"/>
          <w:cols w:space="0" w:num="1"/>
          <w:docGrid w:linePitch="312" w:charSpace="0"/>
        </w:sectPr>
      </w:pPr>
      <w:bookmarkStart w:id="256" w:name="_Toc62206232"/>
      <w:bookmarkStart w:id="257" w:name="_Toc11727"/>
    </w:p>
    <w:bookmarkEnd w:id="256"/>
    <w:bookmarkEnd w:id="257"/>
    <w:p w14:paraId="7C6A444E">
      <w:pPr>
        <w:widowControl/>
        <w:jc w:val="left"/>
        <w:rPr>
          <w:rFonts w:ascii="黑体" w:hAnsi="宋体" w:eastAsia="黑体"/>
          <w:color w:val="auto"/>
          <w:sz w:val="28"/>
          <w:szCs w:val="28"/>
        </w:rPr>
      </w:pPr>
      <w:bookmarkStart w:id="258" w:name="_Toc13563"/>
      <w:r>
        <w:rPr>
          <w:rFonts w:hint="eastAsia" w:ascii="黑体" w:hAnsi="宋体" w:eastAsia="黑体"/>
          <w:color w:val="auto"/>
          <w:sz w:val="28"/>
          <w:szCs w:val="28"/>
        </w:rPr>
        <w:t>十一、投标货物符合招标文件规定的证明文件</w:t>
      </w:r>
      <w:bookmarkEnd w:id="258"/>
    </w:p>
    <w:p w14:paraId="13CB4D2A">
      <w:pPr>
        <w:adjustRightInd w:val="0"/>
        <w:snapToGrid w:val="0"/>
        <w:spacing w:line="360" w:lineRule="auto"/>
        <w:rPr>
          <w:rFonts w:asciiTheme="minorEastAsia" w:hAnsiTheme="minorEastAsia" w:eastAsiaTheme="minorEastAsia"/>
          <w:color w:val="auto"/>
          <w:szCs w:val="21"/>
        </w:rPr>
      </w:pPr>
    </w:p>
    <w:p w14:paraId="795BFC3A">
      <w:pPr>
        <w:adjustRightInd w:val="0"/>
        <w:snapToGrid w:val="0"/>
        <w:spacing w:line="360" w:lineRule="auto"/>
        <w:rPr>
          <w:rFonts w:asciiTheme="minorEastAsia" w:hAnsiTheme="minorEastAsia" w:eastAsiaTheme="minorEastAsia"/>
          <w:color w:val="auto"/>
        </w:rPr>
      </w:pPr>
      <w:r>
        <w:rPr>
          <w:rFonts w:hint="eastAsia" w:asciiTheme="minorEastAsia" w:hAnsiTheme="minorEastAsia" w:eastAsiaTheme="minorEastAsia"/>
          <w:color w:val="auto"/>
          <w:szCs w:val="21"/>
        </w:rPr>
        <w:t>备注：提供第五章规定的证明材料（如有）。</w:t>
      </w:r>
    </w:p>
    <w:p w14:paraId="58E83135">
      <w:pPr>
        <w:widowControl/>
        <w:jc w:val="left"/>
        <w:rPr>
          <w:rFonts w:ascii="黑体" w:eastAsia="黑体"/>
          <w:color w:val="auto"/>
          <w:sz w:val="28"/>
          <w:szCs w:val="28"/>
        </w:rPr>
      </w:pPr>
      <w:r>
        <w:rPr>
          <w:rFonts w:ascii="黑体" w:eastAsia="黑体"/>
          <w:b/>
          <w:bCs/>
          <w:color w:val="auto"/>
          <w:sz w:val="28"/>
          <w:szCs w:val="28"/>
        </w:rPr>
        <w:br w:type="page"/>
      </w:r>
    </w:p>
    <w:p w14:paraId="5EB4AD12">
      <w:pPr>
        <w:pStyle w:val="2"/>
        <w:adjustRightInd w:val="0"/>
        <w:snapToGrid w:val="0"/>
        <w:spacing w:before="0" w:after="0" w:line="360" w:lineRule="auto"/>
        <w:jc w:val="center"/>
        <w:outlineLvl w:val="0"/>
        <w:rPr>
          <w:rFonts w:ascii="黑体" w:hAnsi="宋体" w:eastAsia="黑体"/>
          <w:color w:val="auto"/>
          <w:sz w:val="28"/>
          <w:szCs w:val="28"/>
        </w:rPr>
      </w:pPr>
      <w:bookmarkStart w:id="259" w:name="_Toc11653"/>
      <w:r>
        <w:rPr>
          <w:rFonts w:hint="eastAsia" w:ascii="黑体" w:hAnsi="宋体" w:eastAsia="黑体"/>
          <w:color w:val="auto"/>
          <w:sz w:val="28"/>
          <w:szCs w:val="28"/>
        </w:rPr>
        <w:t>十二、投标人认为需提供的其他资料</w:t>
      </w:r>
      <w:bookmarkEnd w:id="259"/>
    </w:p>
    <w:p w14:paraId="54607E2E">
      <w:pPr>
        <w:adjustRightInd w:val="0"/>
        <w:snapToGrid w:val="0"/>
        <w:spacing w:before="120" w:beforeLines="50" w:line="360" w:lineRule="auto"/>
        <w:rPr>
          <w:rFonts w:asciiTheme="minorEastAsia" w:hAnsiTheme="minorEastAsia" w:eastAsiaTheme="minorEastAsia"/>
          <w:color w:val="auto"/>
        </w:rPr>
      </w:pPr>
    </w:p>
    <w:p w14:paraId="14D5811B">
      <w:pPr>
        <w:adjustRightInd w:val="0"/>
        <w:snapToGrid w:val="0"/>
        <w:spacing w:before="120" w:beforeLines="50" w:line="360" w:lineRule="auto"/>
        <w:rPr>
          <w:rFonts w:asciiTheme="minorEastAsia" w:hAnsiTheme="minorEastAsia" w:eastAsiaTheme="minorEastAsia"/>
          <w:color w:val="auto"/>
        </w:rPr>
      </w:pPr>
      <w:r>
        <w:rPr>
          <w:rFonts w:hint="eastAsia" w:asciiTheme="minorEastAsia" w:hAnsiTheme="minorEastAsia" w:eastAsiaTheme="minorEastAsia"/>
          <w:color w:val="auto"/>
        </w:rPr>
        <w:t>备注：投标人认为需提供的其他资料包括：</w:t>
      </w:r>
    </w:p>
    <w:p w14:paraId="5DC6ACD8">
      <w:pPr>
        <w:adjustRightInd w:val="0"/>
        <w:snapToGrid w:val="0"/>
        <w:spacing w:before="120" w:beforeLines="50" w:line="360" w:lineRule="auto"/>
        <w:ind w:firstLine="420" w:firstLineChars="200"/>
        <w:rPr>
          <w:rFonts w:asciiTheme="minorEastAsia" w:hAnsiTheme="minorEastAsia" w:eastAsiaTheme="minorEastAsia"/>
          <w:color w:val="auto"/>
        </w:rPr>
      </w:pPr>
      <w:r>
        <w:rPr>
          <w:rFonts w:hint="eastAsia" w:asciiTheme="minorEastAsia" w:hAnsiTheme="minorEastAsia" w:eastAsiaTheme="minorEastAsia"/>
          <w:color w:val="auto"/>
        </w:rPr>
        <w:t>（1）招标文件第五章采购需求要求的其他资料（如有）；</w:t>
      </w:r>
    </w:p>
    <w:p w14:paraId="29E1B19D">
      <w:pPr>
        <w:adjustRightInd w:val="0"/>
        <w:snapToGrid w:val="0"/>
        <w:spacing w:before="120" w:beforeLines="50" w:line="360" w:lineRule="auto"/>
        <w:ind w:firstLine="420" w:firstLineChars="200"/>
        <w:rPr>
          <w:rFonts w:asciiTheme="minorEastAsia" w:hAnsiTheme="minorEastAsia" w:eastAsiaTheme="minorEastAsia"/>
          <w:color w:val="auto"/>
        </w:rPr>
      </w:pPr>
      <w:r>
        <w:rPr>
          <w:rFonts w:hint="eastAsia" w:asciiTheme="minorEastAsia" w:hAnsiTheme="minorEastAsia" w:eastAsiaTheme="minorEastAsia"/>
          <w:color w:val="auto"/>
        </w:rPr>
        <w:t>（2）招标文件第四章评标方法及标准要求的其他相关资料（如有）。</w:t>
      </w:r>
    </w:p>
    <w:p w14:paraId="52679107">
      <w:pPr>
        <w:adjustRightInd w:val="0"/>
        <w:snapToGrid w:val="0"/>
        <w:spacing w:before="120" w:beforeLines="50" w:line="360" w:lineRule="auto"/>
        <w:ind w:firstLine="420" w:firstLineChars="200"/>
        <w:rPr>
          <w:rFonts w:asciiTheme="minorEastAsia" w:hAnsiTheme="minorEastAsia" w:eastAsiaTheme="minorEastAsia"/>
          <w:color w:val="auto"/>
        </w:rPr>
      </w:pPr>
      <w:r>
        <w:rPr>
          <w:rFonts w:hint="eastAsia" w:asciiTheme="minorEastAsia" w:hAnsiTheme="minorEastAsia" w:eastAsiaTheme="minorEastAsia"/>
          <w:color w:val="auto"/>
        </w:rPr>
        <w:t>（3）承诺书（附后）</w:t>
      </w:r>
    </w:p>
    <w:p w14:paraId="6A338DD6">
      <w:pPr>
        <w:adjustRightInd w:val="0"/>
        <w:snapToGrid w:val="0"/>
        <w:spacing w:before="120" w:beforeLines="50" w:line="360" w:lineRule="auto"/>
        <w:rPr>
          <w:rFonts w:asciiTheme="minorEastAsia" w:hAnsiTheme="minorEastAsia" w:eastAsiaTheme="minorEastAsia"/>
          <w:color w:val="auto"/>
        </w:rPr>
      </w:pPr>
    </w:p>
    <w:p w14:paraId="56D531D8">
      <w:pPr>
        <w:adjustRightInd w:val="0"/>
        <w:snapToGrid w:val="0"/>
        <w:spacing w:before="120" w:beforeLines="50" w:line="360" w:lineRule="auto"/>
        <w:rPr>
          <w:rFonts w:asciiTheme="minorEastAsia" w:hAnsiTheme="minorEastAsia" w:eastAsiaTheme="minorEastAsia"/>
          <w:color w:val="auto"/>
        </w:rPr>
      </w:pPr>
    </w:p>
    <w:p w14:paraId="4BE602E9">
      <w:pPr>
        <w:adjustRightInd w:val="0"/>
        <w:snapToGrid w:val="0"/>
        <w:spacing w:before="120" w:beforeLines="50" w:line="360" w:lineRule="auto"/>
        <w:jc w:val="center"/>
        <w:rPr>
          <w:rFonts w:ascii="黑体" w:hAnsi="黑体" w:eastAsia="黑体"/>
          <w:b/>
          <w:color w:val="auto"/>
          <w:sz w:val="28"/>
          <w:szCs w:val="28"/>
        </w:rPr>
      </w:pPr>
      <w:r>
        <w:rPr>
          <w:rFonts w:hint="eastAsia" w:ascii="黑体" w:hAnsi="黑体" w:eastAsia="黑体"/>
          <w:b/>
          <w:color w:val="auto"/>
          <w:sz w:val="28"/>
          <w:szCs w:val="28"/>
        </w:rPr>
        <w:t>承诺书</w:t>
      </w:r>
    </w:p>
    <w:p w14:paraId="520A7D82">
      <w:pPr>
        <w:rPr>
          <w:color w:val="auto"/>
        </w:rPr>
      </w:pPr>
    </w:p>
    <w:p w14:paraId="777DCE66">
      <w:pPr>
        <w:adjustRightInd w:val="0"/>
        <w:snapToGrid w:val="0"/>
        <w:spacing w:before="120" w:beforeLines="50" w:line="360" w:lineRule="auto"/>
        <w:rPr>
          <w:rFonts w:asciiTheme="minorEastAsia" w:hAnsiTheme="minorEastAsia" w:eastAsiaTheme="minorEastAsia"/>
          <w:color w:val="auto"/>
        </w:rPr>
      </w:pPr>
      <w:r>
        <w:rPr>
          <w:rFonts w:hint="eastAsia" w:asciiTheme="minorEastAsia" w:hAnsiTheme="minorEastAsia" w:eastAsiaTheme="minorEastAsia"/>
          <w:color w:val="auto"/>
        </w:rPr>
        <w:t>致（采购人或采购代理机构）：</w:t>
      </w:r>
    </w:p>
    <w:p w14:paraId="306407A8">
      <w:pPr>
        <w:adjustRightInd w:val="0"/>
        <w:snapToGrid w:val="0"/>
        <w:spacing w:before="120" w:beforeLines="50" w:line="360" w:lineRule="auto"/>
        <w:ind w:firstLine="420" w:firstLineChars="200"/>
        <w:rPr>
          <w:rFonts w:asciiTheme="minorEastAsia" w:hAnsiTheme="minorEastAsia" w:eastAsiaTheme="minorEastAsia"/>
          <w:color w:val="auto"/>
        </w:rPr>
      </w:pPr>
      <w:r>
        <w:rPr>
          <w:rFonts w:hint="eastAsia" w:asciiTheme="minorEastAsia" w:hAnsiTheme="minorEastAsia" w:eastAsiaTheme="minorEastAsia"/>
          <w:color w:val="auto"/>
        </w:rPr>
        <w:t>我单位承诺：</w:t>
      </w:r>
    </w:p>
    <w:p w14:paraId="08868164">
      <w:pPr>
        <w:adjustRightInd w:val="0"/>
        <w:snapToGrid w:val="0"/>
        <w:spacing w:before="120" w:beforeLines="50" w:line="360" w:lineRule="auto"/>
        <w:ind w:firstLine="420" w:firstLineChars="200"/>
        <w:rPr>
          <w:rFonts w:asciiTheme="minorEastAsia" w:hAnsiTheme="minorEastAsia" w:eastAsiaTheme="minorEastAsia"/>
          <w:color w:val="auto"/>
        </w:rPr>
      </w:pPr>
      <w:r>
        <w:rPr>
          <w:rFonts w:hint="eastAsia" w:asciiTheme="minorEastAsia" w:hAnsiTheme="minorEastAsia" w:eastAsiaTheme="minorEastAsia"/>
          <w:color w:val="auto"/>
        </w:rPr>
        <w:t>1、设备在使用过程中，由于设备质量问题所引起的医疗纠纷，经认定后由我公司或制造商承担相关法律责任。</w:t>
      </w:r>
    </w:p>
    <w:p w14:paraId="2B1E8623">
      <w:pPr>
        <w:adjustRightInd w:val="0"/>
        <w:snapToGrid w:val="0"/>
        <w:spacing w:before="120" w:beforeLines="50" w:line="360" w:lineRule="auto"/>
        <w:ind w:firstLine="420" w:firstLineChars="200"/>
        <w:rPr>
          <w:rFonts w:asciiTheme="minorEastAsia" w:hAnsiTheme="minorEastAsia" w:eastAsiaTheme="minorEastAsia"/>
          <w:color w:val="auto"/>
        </w:rPr>
      </w:pPr>
      <w:r>
        <w:rPr>
          <w:rFonts w:hint="eastAsia" w:asciiTheme="minorEastAsia" w:hAnsiTheme="minorEastAsia" w:eastAsiaTheme="minorEastAsia"/>
          <w:color w:val="auto"/>
        </w:rPr>
        <w:t>2、我单位及产品制造商未被《全国医药价格和招采失信企业风险警示名单》列入医药价格和招采信用评级等级为“中等”、“严重”及"特别严重”企业名单。</w:t>
      </w:r>
    </w:p>
    <w:p w14:paraId="4D0CB804">
      <w:pPr>
        <w:adjustRightInd w:val="0"/>
        <w:snapToGrid w:val="0"/>
        <w:spacing w:line="360" w:lineRule="auto"/>
        <w:jc w:val="left"/>
        <w:rPr>
          <w:rFonts w:ascii="宋体" w:hAnsi="宋体"/>
          <w:color w:val="auto"/>
          <w:szCs w:val="21"/>
        </w:rPr>
      </w:pPr>
      <w:r>
        <w:rPr>
          <w:rFonts w:hint="eastAsia" w:ascii="宋体" w:hAnsi="宋体"/>
          <w:color w:val="auto"/>
          <w:szCs w:val="21"/>
        </w:rPr>
        <w:t xml:space="preserve">    3、</w:t>
      </w:r>
      <w:r>
        <w:rPr>
          <w:rFonts w:hint="eastAsia"/>
          <w:color w:val="auto"/>
        </w:rPr>
        <w:t>设备原厂质保期</w:t>
      </w:r>
      <w:r>
        <w:rPr>
          <w:rFonts w:hint="eastAsia"/>
          <w:color w:val="auto"/>
          <w:u w:val="single"/>
        </w:rPr>
        <w:t xml:space="preserve">       </w:t>
      </w:r>
      <w:r>
        <w:rPr>
          <w:rFonts w:hint="eastAsia"/>
          <w:color w:val="auto"/>
        </w:rPr>
        <w:t>年。</w:t>
      </w:r>
    </w:p>
    <w:p w14:paraId="7BFC6058">
      <w:pPr>
        <w:adjustRightInd w:val="0"/>
        <w:snapToGrid w:val="0"/>
        <w:spacing w:line="360" w:lineRule="auto"/>
        <w:jc w:val="left"/>
        <w:rPr>
          <w:rFonts w:ascii="宋体" w:hAnsi="宋体"/>
          <w:color w:val="auto"/>
          <w:szCs w:val="21"/>
        </w:rPr>
      </w:pPr>
    </w:p>
    <w:p w14:paraId="1C090994">
      <w:pPr>
        <w:adjustRightInd w:val="0"/>
        <w:snapToGrid w:val="0"/>
        <w:spacing w:line="360" w:lineRule="auto"/>
        <w:jc w:val="left"/>
        <w:rPr>
          <w:rFonts w:ascii="宋体" w:hAnsi="宋体"/>
          <w:color w:val="auto"/>
          <w:szCs w:val="21"/>
        </w:rPr>
      </w:pPr>
    </w:p>
    <w:p w14:paraId="21C1451D">
      <w:pPr>
        <w:adjustRightInd w:val="0"/>
        <w:snapToGrid w:val="0"/>
        <w:spacing w:line="360" w:lineRule="auto"/>
        <w:jc w:val="left"/>
        <w:rPr>
          <w:rFonts w:ascii="宋体" w:hAnsi="宋体"/>
          <w:color w:val="auto"/>
          <w:szCs w:val="21"/>
        </w:rPr>
      </w:pPr>
      <w:r>
        <w:rPr>
          <w:rFonts w:hint="eastAsia" w:ascii="宋体" w:hAnsi="宋体"/>
          <w:color w:val="auto"/>
          <w:szCs w:val="21"/>
        </w:rPr>
        <w:t xml:space="preserve">供应商名称（盖单位公章）： </w:t>
      </w:r>
      <w:r>
        <w:rPr>
          <w:rFonts w:ascii="宋体" w:hAnsi="宋体"/>
          <w:color w:val="auto"/>
          <w:szCs w:val="21"/>
        </w:rPr>
        <w:t xml:space="preserve">                   </w:t>
      </w:r>
    </w:p>
    <w:p w14:paraId="0E8534EB">
      <w:pPr>
        <w:adjustRightInd w:val="0"/>
        <w:snapToGrid w:val="0"/>
        <w:spacing w:line="360" w:lineRule="auto"/>
        <w:jc w:val="left"/>
        <w:rPr>
          <w:rFonts w:ascii="宋体" w:hAnsi="宋体"/>
          <w:color w:val="auto"/>
          <w:szCs w:val="21"/>
        </w:rPr>
      </w:pPr>
      <w:r>
        <w:rPr>
          <w:rFonts w:hint="eastAsia" w:ascii="宋体" w:hAnsi="宋体" w:cs="微软雅黑"/>
          <w:color w:val="auto"/>
          <w:spacing w:val="-2"/>
          <w:kern w:val="0"/>
          <w:szCs w:val="21"/>
        </w:rPr>
        <w:t>法</w:t>
      </w:r>
      <w:r>
        <w:rPr>
          <w:rFonts w:hint="eastAsia" w:ascii="宋体" w:hAnsi="宋体" w:cs="微软雅黑"/>
          <w:color w:val="auto"/>
          <w:kern w:val="0"/>
          <w:szCs w:val="21"/>
        </w:rPr>
        <w:t>定</w:t>
      </w:r>
      <w:r>
        <w:rPr>
          <w:rFonts w:hint="eastAsia" w:ascii="宋体" w:hAnsi="宋体" w:cs="微软雅黑"/>
          <w:color w:val="auto"/>
          <w:spacing w:val="-2"/>
          <w:kern w:val="0"/>
          <w:szCs w:val="21"/>
        </w:rPr>
        <w:t>代</w:t>
      </w:r>
      <w:r>
        <w:rPr>
          <w:rFonts w:hint="eastAsia" w:ascii="宋体" w:hAnsi="宋体" w:cs="微软雅黑"/>
          <w:color w:val="auto"/>
          <w:kern w:val="0"/>
          <w:szCs w:val="21"/>
        </w:rPr>
        <w:t>表</w:t>
      </w:r>
      <w:r>
        <w:rPr>
          <w:rFonts w:hint="eastAsia" w:ascii="宋体" w:hAnsi="宋体" w:cs="微软雅黑"/>
          <w:color w:val="auto"/>
          <w:spacing w:val="-2"/>
          <w:kern w:val="0"/>
          <w:szCs w:val="21"/>
        </w:rPr>
        <w:t>人</w:t>
      </w:r>
      <w:r>
        <w:rPr>
          <w:rFonts w:hint="eastAsia" w:ascii="宋体" w:hAnsi="宋体" w:cs="微软雅黑"/>
          <w:color w:val="auto"/>
          <w:kern w:val="0"/>
          <w:szCs w:val="21"/>
        </w:rPr>
        <w:t>（</w:t>
      </w:r>
      <w:r>
        <w:rPr>
          <w:rFonts w:hint="eastAsia" w:ascii="宋体" w:hAnsi="宋体" w:cs="微软雅黑"/>
          <w:color w:val="auto"/>
          <w:spacing w:val="-2"/>
          <w:kern w:val="0"/>
          <w:szCs w:val="21"/>
        </w:rPr>
        <w:t>单</w:t>
      </w:r>
      <w:r>
        <w:rPr>
          <w:rFonts w:hint="eastAsia" w:ascii="宋体" w:hAnsi="宋体" w:cs="微软雅黑"/>
          <w:color w:val="auto"/>
          <w:kern w:val="0"/>
          <w:szCs w:val="21"/>
        </w:rPr>
        <w:t>位</w:t>
      </w:r>
      <w:r>
        <w:rPr>
          <w:rFonts w:hint="eastAsia" w:ascii="宋体" w:hAnsi="宋体" w:cs="微软雅黑"/>
          <w:color w:val="auto"/>
          <w:spacing w:val="-2"/>
          <w:kern w:val="0"/>
          <w:szCs w:val="21"/>
        </w:rPr>
        <w:t>负</w:t>
      </w:r>
      <w:r>
        <w:rPr>
          <w:rFonts w:hint="eastAsia" w:ascii="宋体" w:hAnsi="宋体" w:cs="微软雅黑"/>
          <w:color w:val="auto"/>
          <w:kern w:val="0"/>
          <w:szCs w:val="21"/>
        </w:rPr>
        <w:t>责人</w:t>
      </w:r>
      <w:r>
        <w:rPr>
          <w:rFonts w:hint="eastAsia" w:ascii="宋体" w:hAnsi="宋体" w:cs="微软雅黑"/>
          <w:color w:val="auto"/>
          <w:spacing w:val="-2"/>
          <w:kern w:val="0"/>
          <w:szCs w:val="21"/>
        </w:rPr>
        <w:t>）</w:t>
      </w:r>
      <w:r>
        <w:rPr>
          <w:rFonts w:hint="eastAsia" w:ascii="宋体" w:hAnsi="宋体"/>
          <w:color w:val="auto"/>
          <w:szCs w:val="21"/>
        </w:rPr>
        <w:t>或者其委托代理人（签字或者印章）：</w:t>
      </w:r>
    </w:p>
    <w:p w14:paraId="274BC482">
      <w:pPr>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日  期：     年   月   日 </w:t>
      </w:r>
      <w:r>
        <w:rPr>
          <w:rFonts w:asciiTheme="minorEastAsia" w:hAnsiTheme="minorEastAsia" w:eastAsiaTheme="minorEastAsia"/>
          <w:color w:val="auto"/>
          <w:szCs w:val="21"/>
        </w:rPr>
        <w:t xml:space="preserve">                   </w:t>
      </w:r>
    </w:p>
    <w:p w14:paraId="20BE7E5A">
      <w:pPr>
        <w:adjustRightInd w:val="0"/>
        <w:snapToGrid w:val="0"/>
        <w:spacing w:before="120" w:beforeLines="50" w:line="360" w:lineRule="auto"/>
        <w:ind w:firstLine="420" w:firstLineChars="200"/>
        <w:rPr>
          <w:rFonts w:asciiTheme="minorEastAsia" w:hAnsiTheme="minorEastAsia" w:eastAsiaTheme="minorEastAsia"/>
          <w:color w:val="auto"/>
        </w:rPr>
      </w:pPr>
    </w:p>
    <w:p w14:paraId="47021557">
      <w:pPr>
        <w:widowControl/>
        <w:jc w:val="left"/>
        <w:rPr>
          <w:rFonts w:ascii="黑体" w:hAnsi="宋体" w:eastAsia="黑体"/>
          <w:b/>
          <w:bCs/>
          <w:color w:val="auto"/>
          <w:sz w:val="28"/>
          <w:szCs w:val="28"/>
        </w:rPr>
      </w:pPr>
      <w:r>
        <w:rPr>
          <w:rFonts w:ascii="黑体" w:hAnsi="宋体" w:eastAsia="黑体"/>
          <w:color w:val="auto"/>
          <w:sz w:val="28"/>
          <w:szCs w:val="28"/>
        </w:rPr>
        <w:br w:type="page"/>
      </w:r>
    </w:p>
    <w:p w14:paraId="35F991DC">
      <w:pPr>
        <w:pStyle w:val="4"/>
        <w:adjustRightInd w:val="0"/>
        <w:snapToGrid w:val="0"/>
        <w:spacing w:before="0" w:after="0" w:line="360" w:lineRule="auto"/>
        <w:jc w:val="center"/>
        <w:rPr>
          <w:rFonts w:ascii="黑体" w:hAnsi="宋体" w:eastAsia="黑体"/>
          <w:color w:val="auto"/>
          <w:sz w:val="28"/>
          <w:szCs w:val="28"/>
        </w:rPr>
      </w:pPr>
      <w:bookmarkStart w:id="260" w:name="_Toc24939"/>
      <w:r>
        <w:rPr>
          <w:rFonts w:hint="eastAsia" w:ascii="黑体" w:hAnsi="宋体" w:eastAsia="黑体"/>
          <w:color w:val="auto"/>
          <w:sz w:val="28"/>
          <w:szCs w:val="28"/>
        </w:rPr>
        <w:t>十三、中标服务费承诺书</w:t>
      </w:r>
      <w:bookmarkEnd w:id="260"/>
    </w:p>
    <w:p w14:paraId="425D63F0">
      <w:pPr>
        <w:adjustRightInd w:val="0"/>
        <w:snapToGrid w:val="0"/>
        <w:spacing w:line="360" w:lineRule="auto"/>
        <w:rPr>
          <w:rFonts w:ascii="宋体" w:hAnsi="宋体" w:cs="仿宋_GB2312"/>
          <w:color w:val="auto"/>
          <w:szCs w:val="21"/>
        </w:rPr>
      </w:pPr>
    </w:p>
    <w:p w14:paraId="13CFBED0">
      <w:pPr>
        <w:adjustRightInd w:val="0"/>
        <w:snapToGrid w:val="0"/>
        <w:spacing w:line="360" w:lineRule="auto"/>
        <w:rPr>
          <w:rFonts w:ascii="宋体" w:hAnsi="宋体"/>
          <w:color w:val="auto"/>
          <w:szCs w:val="21"/>
          <w:u w:val="single"/>
        </w:rPr>
      </w:pPr>
      <w:r>
        <w:rPr>
          <w:rFonts w:hint="eastAsia" w:ascii="宋体" w:hAnsi="宋体" w:cs="仿宋_GB2312"/>
          <w:color w:val="auto"/>
          <w:szCs w:val="21"/>
        </w:rPr>
        <w:t>致（采购代理机构）：</w:t>
      </w:r>
    </w:p>
    <w:p w14:paraId="23D7F620">
      <w:pPr>
        <w:adjustRightInd w:val="0"/>
        <w:snapToGrid w:val="0"/>
        <w:spacing w:line="360" w:lineRule="auto"/>
        <w:ind w:firstLine="420" w:firstLineChars="200"/>
        <w:rPr>
          <w:rFonts w:ascii="宋体" w:hAnsi="宋体"/>
          <w:color w:val="auto"/>
          <w:szCs w:val="21"/>
        </w:rPr>
      </w:pPr>
      <w:r>
        <w:rPr>
          <w:rFonts w:hint="eastAsia" w:ascii="宋体" w:hAnsi="宋体" w:cs="仿宋_GB2312"/>
          <w:color w:val="auto"/>
          <w:szCs w:val="21"/>
        </w:rPr>
        <w:t>我们在贵公司组织的</w:t>
      </w:r>
      <w:r>
        <w:rPr>
          <w:rFonts w:hint="eastAsia" w:ascii="宋体" w:hAnsi="宋体"/>
          <w:color w:val="auto"/>
          <w:szCs w:val="21"/>
        </w:rPr>
        <w:t>（项目名称：</w:t>
      </w:r>
      <w:r>
        <w:rPr>
          <w:rFonts w:hint="eastAsia" w:ascii="宋体" w:hAnsi="宋体"/>
          <w:color w:val="auto"/>
          <w:szCs w:val="21"/>
          <w:u w:val="single"/>
        </w:rPr>
        <w:t xml:space="preserve">       </w:t>
      </w:r>
      <w:r>
        <w:rPr>
          <w:rFonts w:hint="eastAsia" w:ascii="宋体" w:hAnsi="宋体"/>
          <w:color w:val="auto"/>
          <w:szCs w:val="21"/>
        </w:rPr>
        <w:t>，采购人项目编号：</w:t>
      </w:r>
      <w:r>
        <w:rPr>
          <w:rFonts w:hint="eastAsia" w:ascii="宋体" w:hAnsi="宋体" w:cs="仿宋_GB2312"/>
          <w:color w:val="auto"/>
          <w:szCs w:val="21"/>
          <w:u w:val="single"/>
        </w:rPr>
        <w:t xml:space="preserve">      </w:t>
      </w:r>
      <w:r>
        <w:rPr>
          <w:rFonts w:hint="eastAsia" w:ascii="宋体" w:hAnsi="宋体" w:cs="仿宋_GB2312"/>
          <w:color w:val="auto"/>
          <w:szCs w:val="21"/>
        </w:rPr>
        <w:t>采购代理编号：</w:t>
      </w:r>
      <w:r>
        <w:rPr>
          <w:rFonts w:hint="eastAsia" w:ascii="宋体" w:hAnsi="宋体" w:cs="仿宋_GB2312"/>
          <w:color w:val="auto"/>
          <w:szCs w:val="21"/>
          <w:u w:val="single"/>
        </w:rPr>
        <w:t xml:space="preserve">      </w:t>
      </w:r>
      <w:r>
        <w:rPr>
          <w:rFonts w:hint="eastAsia" w:ascii="宋体" w:hAnsi="宋体"/>
          <w:color w:val="auto"/>
          <w:szCs w:val="21"/>
        </w:rPr>
        <w:t>）</w:t>
      </w:r>
      <w:r>
        <w:rPr>
          <w:rFonts w:hint="eastAsia" w:ascii="宋体" w:hAnsi="宋体" w:cs="仿宋_GB2312"/>
          <w:color w:val="auto"/>
          <w:szCs w:val="21"/>
        </w:rPr>
        <w:t>招标中若获中标，我们保证在收到中标通知书后5个工作日内，按招标文件的规定，以支票、汇票或现金，向贵公司一次性支付中标服务费用。否则，</w:t>
      </w:r>
      <w:r>
        <w:rPr>
          <w:rFonts w:hint="eastAsia" w:ascii="宋体" w:hAnsi="宋体"/>
          <w:color w:val="auto"/>
          <w:szCs w:val="21"/>
        </w:rPr>
        <w:t>由此产生的一切法律后果和责任由我公司承担。我公司声明放弃对此提出任何异议和追索的权利。</w:t>
      </w:r>
    </w:p>
    <w:p w14:paraId="2F09E4D2">
      <w:pPr>
        <w:adjustRightInd w:val="0"/>
        <w:snapToGrid w:val="0"/>
        <w:spacing w:line="360" w:lineRule="auto"/>
        <w:ind w:firstLine="420" w:firstLineChars="200"/>
        <w:rPr>
          <w:rFonts w:ascii="宋体" w:hAnsi="宋体"/>
          <w:color w:val="auto"/>
          <w:szCs w:val="21"/>
        </w:rPr>
      </w:pPr>
      <w:r>
        <w:rPr>
          <w:rFonts w:hint="eastAsia" w:ascii="宋体" w:hAnsi="宋体"/>
          <w:color w:val="auto"/>
          <w:szCs w:val="21"/>
        </w:rPr>
        <w:t>特此承诺。</w:t>
      </w:r>
    </w:p>
    <w:p w14:paraId="299C12CC">
      <w:pPr>
        <w:adjustRightInd w:val="0"/>
        <w:snapToGrid w:val="0"/>
        <w:spacing w:line="360" w:lineRule="auto"/>
        <w:rPr>
          <w:rFonts w:asciiTheme="minorEastAsia" w:hAnsiTheme="minorEastAsia" w:eastAsiaTheme="minorEastAsia"/>
          <w:color w:val="auto"/>
          <w:szCs w:val="21"/>
        </w:rPr>
      </w:pPr>
    </w:p>
    <w:tbl>
      <w:tblPr>
        <w:tblStyle w:val="4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79"/>
      </w:tblGrid>
      <w:tr w14:paraId="5EB88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6389F306">
            <w:pPr>
              <w:adjustRightInd w:val="0"/>
              <w:snapToGrid w:val="0"/>
              <w:spacing w:line="360" w:lineRule="auto"/>
              <w:jc w:val="center"/>
              <w:rPr>
                <w:rFonts w:ascii="黑体" w:hAnsi="黑体" w:eastAsia="黑体"/>
                <w:color w:val="auto"/>
                <w:kern w:val="0"/>
                <w:sz w:val="28"/>
                <w:szCs w:val="28"/>
                <w:u w:val="single"/>
              </w:rPr>
            </w:pPr>
            <w:r>
              <w:rPr>
                <w:rFonts w:ascii="黑体" w:hAnsi="黑体" w:eastAsia="黑体"/>
                <w:color w:val="auto"/>
                <w:kern w:val="0"/>
                <w:sz w:val="28"/>
                <w:szCs w:val="28"/>
                <w:u w:val="single"/>
              </w:rPr>
              <w:t>开具</w:t>
            </w:r>
            <w:r>
              <w:rPr>
                <w:rFonts w:hint="eastAsia" w:ascii="黑体" w:hAnsi="黑体" w:eastAsia="黑体"/>
                <w:color w:val="auto"/>
                <w:kern w:val="0"/>
                <w:sz w:val="28"/>
                <w:szCs w:val="28"/>
                <w:u w:val="single"/>
              </w:rPr>
              <w:t>发票信息</w:t>
            </w:r>
          </w:p>
          <w:p w14:paraId="3E3D21FE">
            <w:pPr>
              <w:adjustRightInd w:val="0"/>
              <w:snapToGrid w:val="0"/>
              <w:spacing w:line="360" w:lineRule="auto"/>
              <w:ind w:firstLine="420" w:firstLineChars="200"/>
              <w:rPr>
                <w:rFonts w:asciiTheme="minorEastAsia" w:hAnsiTheme="minorEastAsia" w:eastAsiaTheme="minorEastAsia"/>
                <w:color w:val="auto"/>
                <w:kern w:val="0"/>
                <w:sz w:val="20"/>
                <w:szCs w:val="21"/>
              </w:rPr>
            </w:pPr>
            <w:r>
              <w:rPr>
                <w:rFonts w:asciiTheme="minorEastAsia" w:hAnsiTheme="minorEastAsia" w:eastAsiaTheme="minorEastAsia"/>
                <w:color w:val="auto"/>
                <w:kern w:val="0"/>
                <w:szCs w:val="21"/>
              </w:rPr>
              <w:t>□增值税普通发票</w:t>
            </w:r>
          </w:p>
          <w:p w14:paraId="4A4DEDEE">
            <w:pPr>
              <w:adjustRightInd w:val="0"/>
              <w:snapToGrid w:val="0"/>
              <w:spacing w:line="360" w:lineRule="auto"/>
              <w:ind w:firstLine="420" w:firstLineChars="200"/>
              <w:rPr>
                <w:rFonts w:asciiTheme="minorEastAsia" w:hAnsiTheme="minorEastAsia" w:eastAsiaTheme="minorEastAsia"/>
                <w:color w:val="auto"/>
                <w:kern w:val="0"/>
                <w:sz w:val="20"/>
                <w:szCs w:val="21"/>
              </w:rPr>
            </w:pPr>
            <w:r>
              <w:rPr>
                <w:rFonts w:asciiTheme="minorEastAsia" w:hAnsiTheme="minorEastAsia" w:eastAsiaTheme="minorEastAsia"/>
                <w:color w:val="auto"/>
                <w:kern w:val="0"/>
                <w:szCs w:val="21"/>
              </w:rPr>
              <w:t>□或按照以下信息开具增值税专用发票：</w:t>
            </w:r>
          </w:p>
          <w:p w14:paraId="2AADA971">
            <w:pPr>
              <w:adjustRightInd w:val="0"/>
              <w:snapToGrid w:val="0"/>
              <w:spacing w:line="360" w:lineRule="auto"/>
              <w:ind w:firstLine="420" w:firstLineChars="200"/>
              <w:rPr>
                <w:rFonts w:asciiTheme="minorEastAsia" w:hAnsiTheme="minorEastAsia" w:eastAsiaTheme="minorEastAsia"/>
                <w:color w:val="auto"/>
                <w:kern w:val="0"/>
                <w:sz w:val="20"/>
                <w:szCs w:val="21"/>
              </w:rPr>
            </w:pPr>
            <w:r>
              <w:rPr>
                <w:rFonts w:asciiTheme="minorEastAsia" w:hAnsiTheme="minorEastAsia" w:eastAsiaTheme="minorEastAsia"/>
                <w:color w:val="auto"/>
                <w:kern w:val="0"/>
                <w:szCs w:val="21"/>
              </w:rPr>
              <w:t>单位名称：</w:t>
            </w:r>
          </w:p>
          <w:p w14:paraId="634A0FB1">
            <w:pPr>
              <w:adjustRightInd w:val="0"/>
              <w:snapToGrid w:val="0"/>
              <w:spacing w:line="360" w:lineRule="auto"/>
              <w:ind w:firstLine="420" w:firstLineChars="200"/>
              <w:rPr>
                <w:rFonts w:asciiTheme="minorEastAsia" w:hAnsiTheme="minorEastAsia" w:eastAsiaTheme="minorEastAsia"/>
                <w:color w:val="auto"/>
                <w:kern w:val="0"/>
                <w:sz w:val="20"/>
                <w:szCs w:val="21"/>
              </w:rPr>
            </w:pPr>
            <w:r>
              <w:rPr>
                <w:rFonts w:asciiTheme="minorEastAsia" w:hAnsiTheme="minorEastAsia" w:eastAsiaTheme="minorEastAsia"/>
                <w:color w:val="auto"/>
                <w:kern w:val="0"/>
                <w:szCs w:val="21"/>
              </w:rPr>
              <w:t>纳税人识别号：</w:t>
            </w:r>
          </w:p>
          <w:p w14:paraId="2B48E99F">
            <w:pPr>
              <w:adjustRightInd w:val="0"/>
              <w:snapToGrid w:val="0"/>
              <w:spacing w:line="360" w:lineRule="auto"/>
              <w:ind w:firstLine="420" w:firstLineChars="200"/>
              <w:rPr>
                <w:rFonts w:asciiTheme="minorEastAsia" w:hAnsiTheme="minorEastAsia" w:eastAsiaTheme="minorEastAsia"/>
                <w:color w:val="auto"/>
                <w:kern w:val="0"/>
                <w:sz w:val="20"/>
                <w:szCs w:val="21"/>
              </w:rPr>
            </w:pPr>
            <w:r>
              <w:rPr>
                <w:rFonts w:asciiTheme="minorEastAsia" w:hAnsiTheme="minorEastAsia" w:eastAsiaTheme="minorEastAsia"/>
                <w:color w:val="auto"/>
                <w:kern w:val="0"/>
                <w:szCs w:val="21"/>
              </w:rPr>
              <w:t>地</w:t>
            </w:r>
            <w:r>
              <w:rPr>
                <w:rFonts w:hint="eastAsia" w:asciiTheme="minorEastAsia" w:hAnsiTheme="minorEastAsia" w:eastAsiaTheme="minorEastAsia"/>
                <w:color w:val="auto"/>
                <w:kern w:val="0"/>
                <w:szCs w:val="21"/>
              </w:rPr>
              <w:t xml:space="preserve">  </w:t>
            </w:r>
            <w:r>
              <w:rPr>
                <w:rFonts w:asciiTheme="minorEastAsia" w:hAnsiTheme="minorEastAsia" w:eastAsiaTheme="minorEastAsia"/>
                <w:color w:val="auto"/>
                <w:kern w:val="0"/>
                <w:szCs w:val="21"/>
              </w:rPr>
              <w:t>址：</w:t>
            </w:r>
          </w:p>
          <w:p w14:paraId="273736F4">
            <w:pPr>
              <w:adjustRightInd w:val="0"/>
              <w:snapToGrid w:val="0"/>
              <w:spacing w:line="360" w:lineRule="auto"/>
              <w:ind w:firstLine="420" w:firstLineChars="200"/>
              <w:rPr>
                <w:rFonts w:asciiTheme="minorEastAsia" w:hAnsiTheme="minorEastAsia" w:eastAsiaTheme="minorEastAsia"/>
                <w:color w:val="auto"/>
                <w:kern w:val="0"/>
                <w:sz w:val="20"/>
                <w:szCs w:val="21"/>
              </w:rPr>
            </w:pPr>
            <w:r>
              <w:rPr>
                <w:rFonts w:asciiTheme="minorEastAsia" w:hAnsiTheme="minorEastAsia" w:eastAsiaTheme="minorEastAsia"/>
                <w:color w:val="auto"/>
                <w:kern w:val="0"/>
                <w:szCs w:val="21"/>
              </w:rPr>
              <w:t>电</w:t>
            </w:r>
            <w:r>
              <w:rPr>
                <w:rFonts w:hint="eastAsia" w:asciiTheme="minorEastAsia" w:hAnsiTheme="minorEastAsia" w:eastAsiaTheme="minorEastAsia"/>
                <w:color w:val="auto"/>
                <w:kern w:val="0"/>
                <w:szCs w:val="21"/>
              </w:rPr>
              <w:t xml:space="preserve">  </w:t>
            </w:r>
            <w:r>
              <w:rPr>
                <w:rFonts w:asciiTheme="minorEastAsia" w:hAnsiTheme="minorEastAsia" w:eastAsiaTheme="minorEastAsia"/>
                <w:color w:val="auto"/>
                <w:kern w:val="0"/>
                <w:szCs w:val="21"/>
              </w:rPr>
              <w:t>话：</w:t>
            </w:r>
          </w:p>
          <w:p w14:paraId="0C43FF58">
            <w:pPr>
              <w:adjustRightInd w:val="0"/>
              <w:snapToGrid w:val="0"/>
              <w:spacing w:line="360" w:lineRule="auto"/>
              <w:ind w:firstLine="420" w:firstLineChars="200"/>
              <w:rPr>
                <w:rFonts w:asciiTheme="minorEastAsia" w:hAnsiTheme="minorEastAsia" w:eastAsiaTheme="minorEastAsia"/>
                <w:color w:val="auto"/>
                <w:kern w:val="0"/>
                <w:sz w:val="20"/>
                <w:szCs w:val="21"/>
              </w:rPr>
            </w:pPr>
            <w:r>
              <w:rPr>
                <w:rFonts w:asciiTheme="minorEastAsia" w:hAnsiTheme="minorEastAsia" w:eastAsiaTheme="minorEastAsia"/>
                <w:color w:val="auto"/>
                <w:kern w:val="0"/>
                <w:szCs w:val="21"/>
              </w:rPr>
              <w:t>开户行：</w:t>
            </w:r>
          </w:p>
          <w:p w14:paraId="27A77823">
            <w:pPr>
              <w:adjustRightInd w:val="0"/>
              <w:snapToGrid w:val="0"/>
              <w:spacing w:line="360" w:lineRule="auto"/>
              <w:ind w:firstLine="420" w:firstLineChars="200"/>
              <w:rPr>
                <w:rFonts w:asciiTheme="minorEastAsia" w:hAnsiTheme="minorEastAsia" w:eastAsiaTheme="minorEastAsia"/>
                <w:color w:val="auto"/>
                <w:kern w:val="0"/>
                <w:sz w:val="20"/>
                <w:szCs w:val="21"/>
              </w:rPr>
            </w:pPr>
            <w:r>
              <w:rPr>
                <w:rFonts w:asciiTheme="minorEastAsia" w:hAnsiTheme="minorEastAsia" w:eastAsiaTheme="minorEastAsia"/>
                <w:color w:val="auto"/>
                <w:kern w:val="0"/>
                <w:szCs w:val="21"/>
              </w:rPr>
              <w:t>账</w:t>
            </w:r>
            <w:r>
              <w:rPr>
                <w:rFonts w:hint="eastAsia" w:asciiTheme="minorEastAsia" w:hAnsiTheme="minorEastAsia" w:eastAsiaTheme="minorEastAsia"/>
                <w:color w:val="auto"/>
                <w:kern w:val="0"/>
                <w:szCs w:val="21"/>
              </w:rPr>
              <w:t xml:space="preserve">  </w:t>
            </w:r>
            <w:r>
              <w:rPr>
                <w:rFonts w:asciiTheme="minorEastAsia" w:hAnsiTheme="minorEastAsia" w:eastAsiaTheme="minorEastAsia"/>
                <w:color w:val="auto"/>
                <w:kern w:val="0"/>
                <w:szCs w:val="21"/>
              </w:rPr>
              <w:t>号：</w:t>
            </w:r>
          </w:p>
        </w:tc>
      </w:tr>
    </w:tbl>
    <w:p w14:paraId="69244543">
      <w:pPr>
        <w:adjustRightInd w:val="0"/>
        <w:snapToGrid w:val="0"/>
        <w:spacing w:line="360" w:lineRule="auto"/>
        <w:rPr>
          <w:rFonts w:ascii="宋体" w:hAnsi="宋体" w:cs="仿宋_GB2312"/>
          <w:color w:val="auto"/>
          <w:szCs w:val="21"/>
        </w:rPr>
      </w:pPr>
    </w:p>
    <w:p w14:paraId="2F82151A">
      <w:pPr>
        <w:adjustRightInd w:val="0"/>
        <w:snapToGrid w:val="0"/>
        <w:spacing w:line="360" w:lineRule="auto"/>
        <w:rPr>
          <w:rFonts w:ascii="宋体" w:hAnsi="宋体"/>
          <w:color w:val="auto"/>
          <w:szCs w:val="21"/>
        </w:rPr>
      </w:pPr>
      <w:r>
        <w:rPr>
          <w:rFonts w:hint="eastAsia" w:ascii="宋体" w:hAnsi="宋体"/>
          <w:color w:val="auto"/>
          <w:szCs w:val="21"/>
        </w:rPr>
        <w:t>投标人名称（盖单位章）：</w:t>
      </w:r>
    </w:p>
    <w:p w14:paraId="2C70404B">
      <w:pPr>
        <w:adjustRightInd w:val="0"/>
        <w:snapToGrid w:val="0"/>
        <w:spacing w:line="360" w:lineRule="auto"/>
        <w:rPr>
          <w:rFonts w:ascii="宋体" w:hAnsi="宋体"/>
          <w:color w:val="auto"/>
          <w:szCs w:val="21"/>
        </w:rPr>
      </w:pPr>
      <w:r>
        <w:rPr>
          <w:rFonts w:hint="eastAsia" w:cs="微软雅黑" w:asciiTheme="minorEastAsia" w:hAnsiTheme="minorEastAsia" w:eastAsiaTheme="minorEastAsia"/>
          <w:color w:val="auto"/>
          <w:spacing w:val="-2"/>
          <w:kern w:val="0"/>
          <w:szCs w:val="21"/>
        </w:rPr>
        <w:t>法</w:t>
      </w:r>
      <w:r>
        <w:rPr>
          <w:rFonts w:hint="eastAsia" w:cs="微软雅黑" w:asciiTheme="minorEastAsia" w:hAnsiTheme="minorEastAsia" w:eastAsiaTheme="minorEastAsia"/>
          <w:color w:val="auto"/>
          <w:kern w:val="0"/>
          <w:szCs w:val="21"/>
        </w:rPr>
        <w:t>定</w:t>
      </w:r>
      <w:r>
        <w:rPr>
          <w:rFonts w:hint="eastAsia" w:cs="微软雅黑" w:asciiTheme="minorEastAsia" w:hAnsiTheme="minorEastAsia" w:eastAsiaTheme="minorEastAsia"/>
          <w:color w:val="auto"/>
          <w:spacing w:val="-2"/>
          <w:kern w:val="0"/>
          <w:szCs w:val="21"/>
        </w:rPr>
        <w:t>代</w:t>
      </w:r>
      <w:r>
        <w:rPr>
          <w:rFonts w:hint="eastAsia" w:cs="微软雅黑" w:asciiTheme="minorEastAsia" w:hAnsiTheme="minorEastAsia" w:eastAsiaTheme="minorEastAsia"/>
          <w:color w:val="auto"/>
          <w:kern w:val="0"/>
          <w:szCs w:val="21"/>
        </w:rPr>
        <w:t>表</w:t>
      </w:r>
      <w:r>
        <w:rPr>
          <w:rFonts w:hint="eastAsia" w:cs="微软雅黑" w:asciiTheme="minorEastAsia" w:hAnsiTheme="minorEastAsia" w:eastAsiaTheme="minorEastAsia"/>
          <w:color w:val="auto"/>
          <w:spacing w:val="-2"/>
          <w:kern w:val="0"/>
          <w:szCs w:val="21"/>
        </w:rPr>
        <w:t>人</w:t>
      </w:r>
      <w:r>
        <w:rPr>
          <w:rFonts w:hint="eastAsia" w:cs="微软雅黑" w:asciiTheme="minorEastAsia" w:hAnsiTheme="minorEastAsia" w:eastAsiaTheme="minorEastAsia"/>
          <w:color w:val="auto"/>
          <w:kern w:val="0"/>
          <w:szCs w:val="21"/>
        </w:rPr>
        <w:t>（</w:t>
      </w:r>
      <w:r>
        <w:rPr>
          <w:rFonts w:hint="eastAsia" w:cs="微软雅黑" w:asciiTheme="minorEastAsia" w:hAnsiTheme="minorEastAsia" w:eastAsiaTheme="minorEastAsia"/>
          <w:color w:val="auto"/>
          <w:spacing w:val="-2"/>
          <w:kern w:val="0"/>
          <w:szCs w:val="21"/>
        </w:rPr>
        <w:t>单</w:t>
      </w:r>
      <w:r>
        <w:rPr>
          <w:rFonts w:hint="eastAsia" w:cs="微软雅黑" w:asciiTheme="minorEastAsia" w:hAnsiTheme="minorEastAsia" w:eastAsiaTheme="minorEastAsia"/>
          <w:color w:val="auto"/>
          <w:kern w:val="0"/>
          <w:szCs w:val="21"/>
        </w:rPr>
        <w:t>位</w:t>
      </w:r>
      <w:r>
        <w:rPr>
          <w:rFonts w:hint="eastAsia" w:cs="微软雅黑" w:asciiTheme="minorEastAsia" w:hAnsiTheme="minorEastAsia" w:eastAsiaTheme="minorEastAsia"/>
          <w:color w:val="auto"/>
          <w:spacing w:val="-2"/>
          <w:kern w:val="0"/>
          <w:szCs w:val="21"/>
        </w:rPr>
        <w:t>负</w:t>
      </w:r>
      <w:r>
        <w:rPr>
          <w:rFonts w:hint="eastAsia" w:cs="微软雅黑" w:asciiTheme="minorEastAsia" w:hAnsiTheme="minorEastAsia" w:eastAsiaTheme="minorEastAsia"/>
          <w:color w:val="auto"/>
          <w:kern w:val="0"/>
          <w:szCs w:val="21"/>
        </w:rPr>
        <w:t>责人</w:t>
      </w:r>
      <w:r>
        <w:rPr>
          <w:rFonts w:hint="eastAsia" w:cs="微软雅黑" w:asciiTheme="minorEastAsia" w:hAnsiTheme="minorEastAsia" w:eastAsiaTheme="minorEastAsia"/>
          <w:color w:val="auto"/>
          <w:spacing w:val="-2"/>
          <w:kern w:val="0"/>
          <w:szCs w:val="21"/>
        </w:rPr>
        <w:t>）</w:t>
      </w:r>
      <w:r>
        <w:rPr>
          <w:rFonts w:hint="eastAsia" w:ascii="宋体" w:hAnsi="宋体"/>
          <w:color w:val="auto"/>
          <w:szCs w:val="21"/>
        </w:rPr>
        <w:t>或其授权的代理人（签字或印章）：</w:t>
      </w:r>
    </w:p>
    <w:p w14:paraId="39A6BC2C">
      <w:pPr>
        <w:adjustRightInd w:val="0"/>
        <w:snapToGrid w:val="0"/>
        <w:spacing w:line="360" w:lineRule="auto"/>
        <w:rPr>
          <w:rFonts w:asciiTheme="minorEastAsia" w:hAnsiTheme="minorEastAsia" w:eastAsiaTheme="minorEastAsia"/>
          <w:color w:val="auto"/>
          <w:szCs w:val="21"/>
        </w:rPr>
        <w:sectPr>
          <w:pgSz w:w="11900" w:h="16838"/>
          <w:pgMar w:top="1134" w:right="1559" w:bottom="680" w:left="1678" w:header="879" w:footer="227" w:gutter="0"/>
          <w:cols w:space="0" w:num="1"/>
          <w:docGrid w:linePitch="312" w:charSpace="0"/>
        </w:sectPr>
      </w:pPr>
      <w:r>
        <w:rPr>
          <w:rFonts w:hint="eastAsia" w:asciiTheme="minorEastAsia" w:hAnsiTheme="minorEastAsia" w:eastAsiaTheme="minorEastAsia"/>
          <w:color w:val="auto"/>
          <w:szCs w:val="21"/>
        </w:rPr>
        <w:t>日  期：     年   月   日</w:t>
      </w:r>
    </w:p>
    <w:p w14:paraId="052A6BE2">
      <w:pPr>
        <w:spacing w:line="400" w:lineRule="exact"/>
        <w:ind w:firstLine="720" w:firstLineChars="200"/>
        <w:rPr>
          <w:rFonts w:ascii="宋体" w:hAnsi="宋体"/>
          <w:color w:val="auto"/>
          <w:sz w:val="36"/>
          <w:szCs w:val="36"/>
        </w:rPr>
      </w:pPr>
      <w:r>
        <w:rPr>
          <w:rFonts w:ascii="宋体" w:hAnsi="宋体"/>
          <w:color w:val="auto"/>
          <w:sz w:val="36"/>
          <w:szCs w:val="36"/>
        </w:rPr>
        <w:t>附件：</w:t>
      </w:r>
      <w:r>
        <w:rPr>
          <w:rFonts w:hint="eastAsia" w:ascii="宋体" w:hAnsi="宋体"/>
          <w:color w:val="auto"/>
          <w:sz w:val="36"/>
          <w:szCs w:val="36"/>
        </w:rPr>
        <w:t>全流程电子采购</w:t>
      </w:r>
      <w:r>
        <w:rPr>
          <w:rFonts w:ascii="宋体" w:hAnsi="宋体"/>
          <w:color w:val="auto"/>
          <w:sz w:val="36"/>
          <w:szCs w:val="36"/>
        </w:rPr>
        <w:t>具体要求</w:t>
      </w:r>
    </w:p>
    <w:p w14:paraId="47795E72">
      <w:pPr>
        <w:pStyle w:val="115"/>
        <w:rPr>
          <w:color w:val="auto"/>
        </w:rPr>
      </w:pPr>
    </w:p>
    <w:p w14:paraId="16290EBD">
      <w:pPr>
        <w:spacing w:line="400" w:lineRule="exact"/>
        <w:ind w:firstLine="480" w:firstLineChars="200"/>
        <w:rPr>
          <w:rFonts w:ascii="宋体" w:hAnsi="宋体"/>
          <w:color w:val="auto"/>
          <w:sz w:val="24"/>
        </w:rPr>
      </w:pPr>
      <w:r>
        <w:rPr>
          <w:rFonts w:hint="eastAsia" w:ascii="宋体" w:hAnsi="宋体"/>
          <w:color w:val="auto"/>
          <w:sz w:val="24"/>
        </w:rPr>
        <w:t>一</w:t>
      </w:r>
      <w:r>
        <w:rPr>
          <w:rFonts w:ascii="宋体" w:hAnsi="宋体"/>
          <w:color w:val="auto"/>
          <w:sz w:val="24"/>
        </w:rPr>
        <w:t>、</w:t>
      </w:r>
      <w:r>
        <w:rPr>
          <w:rFonts w:hint="eastAsia" w:ascii="宋体" w:hAnsi="宋体"/>
          <w:color w:val="auto"/>
          <w:sz w:val="24"/>
        </w:rPr>
        <w:t>数字证书</w:t>
      </w:r>
      <w:r>
        <w:rPr>
          <w:rFonts w:ascii="宋体" w:hAnsi="宋体"/>
          <w:color w:val="auto"/>
          <w:sz w:val="24"/>
        </w:rPr>
        <w:t>(</w:t>
      </w:r>
      <w:r>
        <w:rPr>
          <w:rFonts w:hint="eastAsia" w:ascii="宋体" w:hAnsi="宋体"/>
          <w:color w:val="auto"/>
          <w:sz w:val="24"/>
        </w:rPr>
        <w:t>以下简称</w:t>
      </w:r>
      <w:r>
        <w:rPr>
          <w:rFonts w:ascii="宋体" w:hAnsi="宋体"/>
          <w:color w:val="auto"/>
          <w:sz w:val="24"/>
        </w:rPr>
        <w:t>“CA</w:t>
      </w:r>
      <w:r>
        <w:rPr>
          <w:rFonts w:hint="eastAsia" w:ascii="宋体" w:hAnsi="宋体"/>
          <w:color w:val="auto"/>
          <w:sz w:val="24"/>
        </w:rPr>
        <w:t>锁</w:t>
      </w:r>
      <w:r>
        <w:rPr>
          <w:rFonts w:ascii="宋体" w:hAnsi="宋体"/>
          <w:color w:val="auto"/>
          <w:sz w:val="24"/>
        </w:rPr>
        <w:t>”)</w:t>
      </w:r>
      <w:r>
        <w:rPr>
          <w:rFonts w:hint="eastAsia" w:ascii="宋体" w:hAnsi="宋体"/>
          <w:color w:val="auto"/>
          <w:sz w:val="24"/>
        </w:rPr>
        <w:t>办理和</w:t>
      </w:r>
      <w:r>
        <w:rPr>
          <w:rFonts w:ascii="宋体" w:hAnsi="宋体"/>
          <w:color w:val="auto"/>
          <w:sz w:val="24"/>
        </w:rPr>
        <w:t>使用</w:t>
      </w:r>
    </w:p>
    <w:p w14:paraId="40271B89">
      <w:pPr>
        <w:spacing w:line="400" w:lineRule="exact"/>
        <w:ind w:firstLine="480" w:firstLineChars="200"/>
        <w:rPr>
          <w:rFonts w:ascii="宋体" w:hAnsi="宋体"/>
          <w:color w:val="auto"/>
          <w:sz w:val="24"/>
        </w:rPr>
      </w:pPr>
      <w:r>
        <w:rPr>
          <w:rFonts w:ascii="宋体" w:hAnsi="宋体"/>
          <w:color w:val="auto"/>
          <w:sz w:val="24"/>
        </w:rPr>
        <w:t>1.</w:t>
      </w:r>
      <w:r>
        <w:rPr>
          <w:rFonts w:hint="eastAsia" w:ascii="宋体" w:hAnsi="宋体"/>
          <w:color w:val="auto"/>
          <w:sz w:val="24"/>
        </w:rPr>
        <w:t>数字证书到期或即将到期，须在递交投标文件前到证书颁发机构办理续期；</w:t>
      </w:r>
    </w:p>
    <w:p w14:paraId="37583D6C">
      <w:pPr>
        <w:spacing w:line="400" w:lineRule="exact"/>
        <w:ind w:firstLine="480" w:firstLineChars="200"/>
        <w:rPr>
          <w:rFonts w:ascii="宋体" w:hAnsi="宋体"/>
          <w:color w:val="auto"/>
          <w:sz w:val="24"/>
        </w:rPr>
      </w:pPr>
      <w:r>
        <w:rPr>
          <w:rFonts w:ascii="宋体" w:hAnsi="宋体"/>
          <w:color w:val="auto"/>
          <w:sz w:val="24"/>
        </w:rPr>
        <w:t>2.CA</w:t>
      </w:r>
      <w:r>
        <w:rPr>
          <w:rFonts w:hint="eastAsia" w:ascii="宋体" w:hAnsi="宋体"/>
          <w:color w:val="auto"/>
          <w:sz w:val="24"/>
        </w:rPr>
        <w:t>锁因遗失、损坏、企业信息变更等情况须在递交投标文件前更换新证书；</w:t>
      </w:r>
    </w:p>
    <w:p w14:paraId="4F392C3A">
      <w:pPr>
        <w:spacing w:line="400" w:lineRule="exact"/>
        <w:ind w:firstLine="480" w:firstLineChars="200"/>
        <w:rPr>
          <w:rFonts w:ascii="宋体" w:hAnsi="宋体"/>
          <w:color w:val="auto"/>
          <w:sz w:val="24"/>
        </w:rPr>
      </w:pPr>
      <w:r>
        <w:rPr>
          <w:rFonts w:ascii="宋体" w:hAnsi="宋体"/>
          <w:color w:val="auto"/>
          <w:sz w:val="24"/>
        </w:rPr>
        <w:t>3.</w:t>
      </w:r>
      <w:r>
        <w:rPr>
          <w:rFonts w:hint="eastAsia" w:ascii="宋体" w:hAnsi="宋体"/>
          <w:color w:val="auto"/>
          <w:sz w:val="24"/>
        </w:rPr>
        <w:t>投标人由于</w:t>
      </w:r>
      <w:r>
        <w:rPr>
          <w:rFonts w:ascii="宋体" w:hAnsi="宋体"/>
          <w:color w:val="auto"/>
          <w:sz w:val="24"/>
        </w:rPr>
        <w:t>CA</w:t>
      </w:r>
      <w:r>
        <w:rPr>
          <w:rFonts w:hint="eastAsia" w:ascii="宋体" w:hAnsi="宋体"/>
          <w:color w:val="auto"/>
          <w:sz w:val="24"/>
        </w:rPr>
        <w:t>锁遗失、损坏、更换、续期等情况导致投标文件无法解密，由投标人自行承担责任；</w:t>
      </w:r>
    </w:p>
    <w:p w14:paraId="5F629EA9">
      <w:pPr>
        <w:spacing w:line="400" w:lineRule="exact"/>
        <w:ind w:firstLine="480" w:firstLineChars="200"/>
        <w:rPr>
          <w:rFonts w:ascii="宋体" w:hAnsi="宋体"/>
          <w:color w:val="auto"/>
          <w:sz w:val="24"/>
        </w:rPr>
      </w:pPr>
      <w:r>
        <w:rPr>
          <w:rFonts w:ascii="宋体" w:hAnsi="宋体"/>
          <w:color w:val="auto"/>
          <w:sz w:val="24"/>
        </w:rPr>
        <w:t>4</w:t>
      </w:r>
      <w:r>
        <w:rPr>
          <w:rFonts w:hint="eastAsia" w:ascii="宋体" w:hAnsi="宋体"/>
          <w:color w:val="auto"/>
          <w:sz w:val="24"/>
        </w:rPr>
        <w:t>. 加密和解密投标文件须使用同一把</w:t>
      </w:r>
      <w:r>
        <w:rPr>
          <w:rFonts w:ascii="宋体" w:hAnsi="宋体"/>
          <w:color w:val="auto"/>
          <w:sz w:val="24"/>
        </w:rPr>
        <w:t>CA</w:t>
      </w:r>
      <w:r>
        <w:rPr>
          <w:rFonts w:hint="eastAsia" w:ascii="宋体" w:hAnsi="宋体"/>
          <w:color w:val="auto"/>
          <w:sz w:val="24"/>
        </w:rPr>
        <w:t>锁。</w:t>
      </w:r>
    </w:p>
    <w:p w14:paraId="656DA151">
      <w:pPr>
        <w:spacing w:line="400" w:lineRule="exact"/>
        <w:ind w:firstLine="480" w:firstLineChars="200"/>
        <w:rPr>
          <w:rFonts w:ascii="宋体" w:hAnsi="宋体"/>
          <w:color w:val="auto"/>
          <w:sz w:val="24"/>
        </w:rPr>
      </w:pPr>
      <w:r>
        <w:rPr>
          <w:rFonts w:hint="eastAsia" w:ascii="宋体" w:hAnsi="宋体"/>
          <w:color w:val="auto"/>
          <w:sz w:val="24"/>
        </w:rPr>
        <w:t>二</w:t>
      </w:r>
      <w:r>
        <w:rPr>
          <w:rFonts w:ascii="宋体" w:hAnsi="宋体"/>
          <w:color w:val="auto"/>
          <w:sz w:val="24"/>
        </w:rPr>
        <w:t>、制作、上传电子</w:t>
      </w:r>
      <w:r>
        <w:rPr>
          <w:rFonts w:hint="eastAsia" w:ascii="宋体" w:hAnsi="宋体"/>
          <w:color w:val="auto"/>
          <w:sz w:val="24"/>
        </w:rPr>
        <w:t>投标文件</w:t>
      </w:r>
    </w:p>
    <w:p w14:paraId="39D29E28">
      <w:pPr>
        <w:spacing w:line="400" w:lineRule="exact"/>
        <w:ind w:firstLine="480" w:firstLineChars="200"/>
        <w:rPr>
          <w:rFonts w:ascii="宋体" w:hAnsi="宋体"/>
          <w:color w:val="auto"/>
          <w:sz w:val="24"/>
        </w:rPr>
      </w:pPr>
      <w:r>
        <w:rPr>
          <w:rFonts w:hint="eastAsia" w:ascii="宋体" w:hAnsi="宋体"/>
          <w:color w:val="auto"/>
          <w:sz w:val="24"/>
        </w:rPr>
        <w:t>5</w:t>
      </w:r>
      <w:r>
        <w:rPr>
          <w:rFonts w:ascii="宋体" w:hAnsi="宋体"/>
          <w:color w:val="auto"/>
          <w:sz w:val="24"/>
        </w:rPr>
        <w:t>.</w:t>
      </w:r>
      <w:r>
        <w:rPr>
          <w:rFonts w:hint="eastAsia" w:ascii="宋体" w:hAnsi="宋体"/>
          <w:color w:val="auto"/>
          <w:sz w:val="24"/>
        </w:rPr>
        <w:t>本项目采用全流程电子化公开招标方式，投标人必须递交</w:t>
      </w:r>
      <w:r>
        <w:rPr>
          <w:rFonts w:ascii="宋体" w:hAnsi="宋体"/>
          <w:color w:val="auto"/>
          <w:sz w:val="24"/>
        </w:rPr>
        <w:t>电子</w:t>
      </w:r>
      <w:r>
        <w:rPr>
          <w:rFonts w:hint="eastAsia" w:ascii="宋体" w:hAnsi="宋体"/>
          <w:color w:val="auto"/>
          <w:sz w:val="24"/>
        </w:rPr>
        <w:t>投标文件，并对</w:t>
      </w:r>
      <w:r>
        <w:rPr>
          <w:rFonts w:ascii="宋体" w:hAnsi="宋体"/>
          <w:color w:val="auto"/>
          <w:sz w:val="24"/>
        </w:rPr>
        <w:t>电子</w:t>
      </w:r>
      <w:r>
        <w:rPr>
          <w:rFonts w:hint="eastAsia" w:ascii="宋体" w:hAnsi="宋体"/>
          <w:color w:val="auto"/>
          <w:sz w:val="24"/>
        </w:rPr>
        <w:t>投标文件进行电子签章并使用CA锁进行加密，在招标文件规定的文件提交截止时间前使用“</w:t>
      </w:r>
      <w:r>
        <w:rPr>
          <w:rFonts w:ascii="宋体" w:hAnsi="宋体"/>
          <w:color w:val="auto"/>
          <w:sz w:val="24"/>
        </w:rPr>
        <w:t>优质采投标工具</w:t>
      </w:r>
      <w:r>
        <w:rPr>
          <w:rFonts w:hint="eastAsia" w:ascii="宋体" w:hAnsi="宋体"/>
          <w:color w:val="auto"/>
          <w:sz w:val="24"/>
        </w:rPr>
        <w:t>客户端”完成上传。</w:t>
      </w:r>
    </w:p>
    <w:p w14:paraId="600A366D">
      <w:pPr>
        <w:wordWrap w:val="0"/>
        <w:spacing w:line="400" w:lineRule="exact"/>
        <w:ind w:firstLine="480" w:firstLineChars="200"/>
        <w:rPr>
          <w:rFonts w:ascii="宋体" w:hAnsi="宋体"/>
          <w:color w:val="auto"/>
          <w:sz w:val="24"/>
        </w:rPr>
      </w:pPr>
      <w:r>
        <w:rPr>
          <w:rFonts w:hint="eastAsia" w:ascii="宋体" w:hAnsi="宋体"/>
          <w:color w:val="auto"/>
          <w:sz w:val="24"/>
        </w:rPr>
        <w:t>5.1“优质采投标工具客户端”下载地址：</w:t>
      </w:r>
      <w:r>
        <w:rPr>
          <w:color w:val="auto"/>
        </w:rPr>
        <w:fldChar w:fldCharType="begin"/>
      </w:r>
      <w:r>
        <w:rPr>
          <w:color w:val="auto"/>
        </w:rPr>
        <w:instrText xml:space="preserve"> HYPERLINK "http://toolcdn.youzhicai.com/tools/BidderTools.zip" </w:instrText>
      </w:r>
      <w:r>
        <w:rPr>
          <w:color w:val="auto"/>
        </w:rPr>
        <w:fldChar w:fldCharType="separate"/>
      </w:r>
      <w:r>
        <w:rPr>
          <w:rStyle w:val="47"/>
          <w:rFonts w:hint="eastAsia" w:ascii="宋体" w:hAnsi="宋体"/>
          <w:color w:val="auto"/>
          <w:sz w:val="24"/>
        </w:rPr>
        <w:t>http://toolcdn.youzhicai.com/tools/BidderTools.zip</w:t>
      </w:r>
      <w:r>
        <w:rPr>
          <w:rStyle w:val="47"/>
          <w:rFonts w:hint="eastAsia" w:ascii="宋体" w:hAnsi="宋体"/>
          <w:color w:val="auto"/>
          <w:sz w:val="24"/>
        </w:rPr>
        <w:fldChar w:fldCharType="end"/>
      </w:r>
    </w:p>
    <w:p w14:paraId="02D6E1E5">
      <w:pPr>
        <w:wordWrap w:val="0"/>
        <w:spacing w:line="400" w:lineRule="exact"/>
        <w:ind w:firstLine="480" w:firstLineChars="200"/>
        <w:rPr>
          <w:rFonts w:ascii="宋体" w:hAnsi="宋体"/>
          <w:color w:val="auto"/>
          <w:sz w:val="24"/>
        </w:rPr>
      </w:pPr>
      <w:r>
        <w:rPr>
          <w:rFonts w:hint="eastAsia" w:ascii="宋体" w:hAnsi="宋体"/>
          <w:color w:val="auto"/>
          <w:sz w:val="24"/>
        </w:rPr>
        <w:t>5.2“优质采投标工具客户端”使用说明书及视频教程下载地址：</w:t>
      </w:r>
      <w:r>
        <w:rPr>
          <w:color w:val="auto"/>
        </w:rPr>
        <w:fldChar w:fldCharType="begin"/>
      </w:r>
      <w:r>
        <w:rPr>
          <w:color w:val="auto"/>
        </w:rPr>
        <w:instrText xml:space="preserve"> HYPERLINK "http://file.youzhicai.com/files/BidderHelp.rar" </w:instrText>
      </w:r>
      <w:r>
        <w:rPr>
          <w:color w:val="auto"/>
        </w:rPr>
        <w:fldChar w:fldCharType="separate"/>
      </w:r>
      <w:r>
        <w:rPr>
          <w:rStyle w:val="47"/>
          <w:rFonts w:hint="eastAsia" w:ascii="宋体" w:hAnsi="宋体"/>
          <w:color w:val="auto"/>
          <w:sz w:val="24"/>
        </w:rPr>
        <w:t>http://file.youzhicai.com/files/BidderHelp.rar</w:t>
      </w:r>
      <w:r>
        <w:rPr>
          <w:rStyle w:val="47"/>
          <w:rFonts w:hint="eastAsia" w:ascii="宋体" w:hAnsi="宋体"/>
          <w:color w:val="auto"/>
          <w:sz w:val="24"/>
        </w:rPr>
        <w:fldChar w:fldCharType="end"/>
      </w:r>
    </w:p>
    <w:p w14:paraId="08A4D00F">
      <w:pPr>
        <w:wordWrap w:val="0"/>
        <w:spacing w:line="400" w:lineRule="exact"/>
        <w:ind w:firstLine="480" w:firstLineChars="200"/>
        <w:rPr>
          <w:rFonts w:ascii="宋体" w:hAnsi="宋体"/>
          <w:color w:val="auto"/>
          <w:sz w:val="24"/>
        </w:rPr>
      </w:pPr>
      <w:r>
        <w:rPr>
          <w:rFonts w:hint="eastAsia" w:ascii="宋体" w:hAnsi="宋体"/>
          <w:color w:val="auto"/>
          <w:sz w:val="24"/>
        </w:rPr>
        <w:t>6</w:t>
      </w:r>
      <w:r>
        <w:rPr>
          <w:rFonts w:ascii="宋体" w:hAnsi="宋体"/>
          <w:color w:val="auto"/>
          <w:sz w:val="24"/>
        </w:rPr>
        <w:t>.</w:t>
      </w:r>
      <w:r>
        <w:rPr>
          <w:rFonts w:hint="eastAsia" w:ascii="宋体" w:hAnsi="宋体"/>
          <w:color w:val="auto"/>
          <w:sz w:val="24"/>
        </w:rPr>
        <w:t>电子投标文件必须使用</w:t>
      </w:r>
      <w:r>
        <w:rPr>
          <w:rFonts w:ascii="宋体" w:hAnsi="宋体"/>
          <w:color w:val="auto"/>
          <w:sz w:val="24"/>
        </w:rPr>
        <w:t>CA</w:t>
      </w:r>
      <w:r>
        <w:rPr>
          <w:rFonts w:hint="eastAsia" w:ascii="宋体" w:hAnsi="宋体"/>
          <w:color w:val="auto"/>
          <w:sz w:val="24"/>
        </w:rPr>
        <w:t>锁进行加密，</w:t>
      </w:r>
      <w:r>
        <w:rPr>
          <w:rFonts w:ascii="宋体" w:hAnsi="宋体"/>
          <w:color w:val="auto"/>
          <w:sz w:val="24"/>
        </w:rPr>
        <w:t>CA</w:t>
      </w:r>
      <w:r>
        <w:rPr>
          <w:rFonts w:hint="eastAsia" w:ascii="宋体" w:hAnsi="宋体"/>
          <w:color w:val="auto"/>
          <w:sz w:val="24"/>
        </w:rPr>
        <w:t>锁办理详见《CA数字证书办理说明》（http://www.youzhicai.com/ActivityTopic/AdviceDetail/8f80a7ec-911f-4c4d-a123-f8849880f045）；</w:t>
      </w:r>
    </w:p>
    <w:p w14:paraId="35CE75F7">
      <w:pPr>
        <w:spacing w:line="400" w:lineRule="exact"/>
        <w:ind w:firstLine="480" w:firstLineChars="200"/>
        <w:rPr>
          <w:rFonts w:ascii="宋体" w:hAnsi="宋体"/>
          <w:color w:val="auto"/>
          <w:sz w:val="24"/>
        </w:rPr>
      </w:pPr>
      <w:r>
        <w:rPr>
          <w:rFonts w:hint="eastAsia" w:ascii="宋体" w:hAnsi="宋体"/>
          <w:color w:val="auto"/>
          <w:sz w:val="24"/>
        </w:rPr>
        <w:t>7</w:t>
      </w:r>
      <w:r>
        <w:rPr>
          <w:rFonts w:ascii="宋体" w:hAnsi="宋体"/>
          <w:color w:val="auto"/>
          <w:sz w:val="24"/>
        </w:rPr>
        <w:t>.</w:t>
      </w:r>
      <w:r>
        <w:rPr>
          <w:rFonts w:hint="eastAsia" w:ascii="宋体" w:hAnsi="宋体"/>
          <w:color w:val="auto"/>
          <w:sz w:val="24"/>
        </w:rPr>
        <w:t>全流程电子公开招标项目投标人必须上传</w:t>
      </w:r>
      <w:r>
        <w:rPr>
          <w:rFonts w:ascii="宋体" w:hAnsi="宋体"/>
          <w:color w:val="auto"/>
          <w:sz w:val="24"/>
        </w:rPr>
        <w:t>CA</w:t>
      </w:r>
      <w:r>
        <w:rPr>
          <w:rFonts w:hint="eastAsia" w:ascii="宋体" w:hAnsi="宋体"/>
          <w:color w:val="auto"/>
          <w:sz w:val="24"/>
        </w:rPr>
        <w:t>锁加密的电子投标文件，投标人下载招标文件后，如未在招标文件规定的投标文件递交截止时间前上传电子投标文件，视为投标无效；投标人在投标文件递交截止时间前，可以对其所递交的电子投标文件进行撤回，修改后重新上传（具体操作详见教程）；</w:t>
      </w:r>
    </w:p>
    <w:p w14:paraId="4C905D23">
      <w:pPr>
        <w:spacing w:line="400" w:lineRule="exact"/>
        <w:ind w:firstLine="480" w:firstLineChars="200"/>
        <w:rPr>
          <w:rFonts w:ascii="宋体" w:hAnsi="宋体"/>
          <w:color w:val="auto"/>
          <w:sz w:val="24"/>
        </w:rPr>
      </w:pPr>
      <w:r>
        <w:rPr>
          <w:rFonts w:hint="eastAsia" w:ascii="宋体" w:hAnsi="宋体"/>
          <w:color w:val="auto"/>
          <w:sz w:val="24"/>
        </w:rPr>
        <w:t>8</w:t>
      </w:r>
      <w:r>
        <w:rPr>
          <w:rFonts w:ascii="宋体" w:hAnsi="宋体"/>
          <w:color w:val="auto"/>
          <w:sz w:val="24"/>
        </w:rPr>
        <w:t>.</w:t>
      </w:r>
      <w:r>
        <w:rPr>
          <w:rFonts w:hint="eastAsia" w:ascii="宋体" w:hAnsi="宋体"/>
          <w:color w:val="auto"/>
          <w:sz w:val="24"/>
        </w:rPr>
        <w:t>投标文件递交截止时间以“华新管理电子招标采购平台（https://hxgl316.youzhicai.com）”系统的时间为准，逾期系统将自动关闭</w:t>
      </w:r>
      <w:r>
        <w:rPr>
          <w:rFonts w:ascii="宋体" w:hAnsi="宋体"/>
          <w:color w:val="auto"/>
          <w:sz w:val="24"/>
        </w:rPr>
        <w:t>,</w:t>
      </w:r>
      <w:r>
        <w:rPr>
          <w:rFonts w:hint="eastAsia" w:ascii="宋体" w:hAnsi="宋体"/>
          <w:color w:val="auto"/>
          <w:sz w:val="24"/>
        </w:rPr>
        <w:t>电子投标文件未完成上传的，视为没有递交投标文件；</w:t>
      </w:r>
    </w:p>
    <w:p w14:paraId="5951DF28">
      <w:pPr>
        <w:spacing w:line="400" w:lineRule="exact"/>
        <w:ind w:firstLine="480" w:firstLineChars="200"/>
        <w:rPr>
          <w:rFonts w:ascii="宋体" w:hAnsi="宋体"/>
          <w:color w:val="auto"/>
          <w:sz w:val="24"/>
        </w:rPr>
      </w:pPr>
      <w:r>
        <w:rPr>
          <w:rFonts w:hint="eastAsia" w:ascii="宋体" w:hAnsi="宋体"/>
          <w:color w:val="auto"/>
          <w:sz w:val="24"/>
        </w:rPr>
        <w:t>9</w:t>
      </w:r>
      <w:r>
        <w:rPr>
          <w:rFonts w:ascii="宋体" w:hAnsi="宋体"/>
          <w:color w:val="auto"/>
          <w:sz w:val="24"/>
        </w:rPr>
        <w:t>.</w:t>
      </w:r>
      <w:r>
        <w:rPr>
          <w:rFonts w:hint="eastAsia" w:ascii="宋体" w:hAnsi="宋体"/>
          <w:color w:val="auto"/>
          <w:sz w:val="24"/>
        </w:rPr>
        <w:t>投标文件可远程解密，投标人无需到达开标现场。招标文件“投标人须知”中另有规定的，从其规定。</w:t>
      </w:r>
    </w:p>
    <w:p w14:paraId="34EADA66">
      <w:pPr>
        <w:spacing w:line="400" w:lineRule="exact"/>
        <w:ind w:firstLine="480" w:firstLineChars="200"/>
        <w:rPr>
          <w:rFonts w:ascii="宋体" w:hAnsi="宋体"/>
          <w:color w:val="auto"/>
          <w:sz w:val="24"/>
        </w:rPr>
      </w:pPr>
      <w:r>
        <w:rPr>
          <w:rFonts w:hint="eastAsia" w:ascii="宋体" w:hAnsi="宋体"/>
          <w:color w:val="auto"/>
          <w:sz w:val="24"/>
        </w:rPr>
        <w:t>10</w:t>
      </w:r>
      <w:r>
        <w:rPr>
          <w:rFonts w:ascii="宋体" w:hAnsi="宋体"/>
          <w:color w:val="auto"/>
          <w:sz w:val="24"/>
        </w:rPr>
        <w:t>.</w:t>
      </w:r>
      <w:r>
        <w:rPr>
          <w:rFonts w:hint="eastAsia" w:ascii="宋体" w:hAnsi="宋体"/>
          <w:color w:val="auto"/>
          <w:sz w:val="24"/>
        </w:rPr>
        <w:t>投标人在制作、上传电子投标文件过程中，若存在技术操作问题，请及时联系采购平台客服人员，客服电话：0551-62220046。</w:t>
      </w:r>
    </w:p>
    <w:p w14:paraId="30C93EDE">
      <w:pPr>
        <w:spacing w:line="400" w:lineRule="exact"/>
        <w:ind w:firstLine="480" w:firstLineChars="200"/>
        <w:rPr>
          <w:rFonts w:ascii="宋体" w:hAnsi="宋体"/>
          <w:color w:val="auto"/>
          <w:sz w:val="24"/>
        </w:rPr>
      </w:pPr>
      <w:r>
        <w:rPr>
          <w:rFonts w:hint="eastAsia" w:ascii="宋体" w:hAnsi="宋体"/>
          <w:color w:val="auto"/>
          <w:sz w:val="24"/>
        </w:rPr>
        <w:t>三</w:t>
      </w:r>
      <w:r>
        <w:rPr>
          <w:rFonts w:ascii="宋体" w:hAnsi="宋体"/>
          <w:color w:val="auto"/>
          <w:sz w:val="24"/>
        </w:rPr>
        <w:t>、</w:t>
      </w:r>
      <w:r>
        <w:rPr>
          <w:rFonts w:hint="eastAsia" w:ascii="宋体" w:hAnsi="宋体"/>
          <w:color w:val="auto"/>
          <w:sz w:val="24"/>
        </w:rPr>
        <w:t>开标</w:t>
      </w:r>
      <w:r>
        <w:rPr>
          <w:rFonts w:ascii="宋体" w:hAnsi="宋体"/>
          <w:color w:val="auto"/>
          <w:sz w:val="24"/>
        </w:rPr>
        <w:t>和解密</w:t>
      </w:r>
    </w:p>
    <w:p w14:paraId="337D8CE3">
      <w:pPr>
        <w:spacing w:line="400" w:lineRule="exact"/>
        <w:ind w:firstLine="480" w:firstLineChars="200"/>
        <w:rPr>
          <w:rFonts w:ascii="宋体" w:hAnsi="宋体"/>
          <w:color w:val="auto"/>
          <w:sz w:val="24"/>
        </w:rPr>
      </w:pPr>
      <w:r>
        <w:rPr>
          <w:rFonts w:ascii="宋体" w:hAnsi="宋体"/>
          <w:color w:val="auto"/>
          <w:sz w:val="24"/>
        </w:rPr>
        <w:t>1</w:t>
      </w:r>
      <w:r>
        <w:rPr>
          <w:rFonts w:hint="eastAsia" w:ascii="宋体" w:hAnsi="宋体"/>
          <w:color w:val="auto"/>
          <w:sz w:val="24"/>
        </w:rPr>
        <w:t>1</w:t>
      </w:r>
      <w:r>
        <w:rPr>
          <w:rFonts w:ascii="宋体" w:hAnsi="宋体"/>
          <w:color w:val="auto"/>
          <w:sz w:val="24"/>
        </w:rPr>
        <w:t>.</w:t>
      </w:r>
      <w:r>
        <w:rPr>
          <w:rFonts w:hint="eastAsia" w:ascii="宋体" w:hAnsi="宋体"/>
          <w:color w:val="auto"/>
          <w:sz w:val="24"/>
        </w:rPr>
        <w:t>委托人或采购代理机构工作人员（以下简称工作人员）根据有关规定登录系统组织开标。投标文件递交截止时间后由投标人使用</w:t>
      </w:r>
      <w:r>
        <w:rPr>
          <w:rFonts w:ascii="宋体" w:hAnsi="宋体"/>
          <w:color w:val="auto"/>
          <w:sz w:val="24"/>
        </w:rPr>
        <w:t>CA</w:t>
      </w:r>
      <w:r>
        <w:rPr>
          <w:rFonts w:hint="eastAsia" w:ascii="宋体" w:hAnsi="宋体"/>
          <w:color w:val="auto"/>
          <w:sz w:val="24"/>
        </w:rPr>
        <w:t>锁解密投标文件，工作人员导入已解密投标文件并公布开标结果。</w:t>
      </w:r>
    </w:p>
    <w:p w14:paraId="7292A9D1">
      <w:pPr>
        <w:spacing w:line="400" w:lineRule="exact"/>
        <w:ind w:firstLine="480" w:firstLineChars="200"/>
        <w:rPr>
          <w:rFonts w:ascii="宋体" w:hAnsi="宋体"/>
          <w:color w:val="auto"/>
          <w:sz w:val="24"/>
        </w:rPr>
      </w:pPr>
      <w:r>
        <w:rPr>
          <w:rFonts w:ascii="宋体" w:hAnsi="宋体"/>
          <w:color w:val="auto"/>
          <w:sz w:val="24"/>
        </w:rPr>
        <w:t>1</w:t>
      </w:r>
      <w:r>
        <w:rPr>
          <w:rFonts w:hint="eastAsia" w:ascii="宋体" w:hAnsi="宋体"/>
          <w:color w:val="auto"/>
          <w:sz w:val="24"/>
        </w:rPr>
        <w:t>2</w:t>
      </w:r>
      <w:r>
        <w:rPr>
          <w:rFonts w:ascii="宋体" w:hAnsi="宋体"/>
          <w:color w:val="auto"/>
          <w:sz w:val="24"/>
        </w:rPr>
        <w:t xml:space="preserve">. </w:t>
      </w:r>
      <w:r>
        <w:rPr>
          <w:rFonts w:hint="eastAsia" w:ascii="宋体" w:hAnsi="宋体"/>
          <w:color w:val="auto"/>
          <w:sz w:val="24"/>
        </w:rPr>
        <w:t>投标人须按照招标文件的要求在投标文件递交截止时间前登录优质采投标工具客户端并保持在线，关注开标互动大厅消息直到项目评审结束。</w:t>
      </w:r>
    </w:p>
    <w:p w14:paraId="7F89B075">
      <w:pPr>
        <w:spacing w:line="400" w:lineRule="exact"/>
        <w:ind w:firstLine="480" w:firstLineChars="200"/>
        <w:rPr>
          <w:rFonts w:ascii="宋体" w:hAnsi="宋体"/>
          <w:color w:val="auto"/>
          <w:sz w:val="24"/>
        </w:rPr>
      </w:pPr>
      <w:r>
        <w:rPr>
          <w:rFonts w:ascii="宋体" w:hAnsi="宋体"/>
          <w:color w:val="auto"/>
          <w:sz w:val="24"/>
        </w:rPr>
        <w:t>1</w:t>
      </w:r>
      <w:r>
        <w:rPr>
          <w:rFonts w:hint="eastAsia" w:ascii="宋体" w:hAnsi="宋体"/>
          <w:color w:val="auto"/>
          <w:sz w:val="24"/>
        </w:rPr>
        <w:t>3</w:t>
      </w:r>
      <w:r>
        <w:rPr>
          <w:rFonts w:ascii="宋体" w:hAnsi="宋体"/>
          <w:color w:val="auto"/>
          <w:sz w:val="24"/>
        </w:rPr>
        <w:t>.</w:t>
      </w:r>
      <w:r>
        <w:rPr>
          <w:rFonts w:hint="eastAsia" w:ascii="宋体" w:hAnsi="宋体"/>
          <w:color w:val="auto"/>
          <w:sz w:val="24"/>
        </w:rPr>
        <w:t>投标文件解密时限为投标文件递交截止时间后30分钟（招标文件</w:t>
      </w:r>
      <w:r>
        <w:rPr>
          <w:rFonts w:ascii="宋体" w:hAnsi="宋体"/>
          <w:color w:val="auto"/>
          <w:sz w:val="24"/>
        </w:rPr>
        <w:t>“</w:t>
      </w:r>
      <w:r>
        <w:rPr>
          <w:rFonts w:hint="eastAsia" w:ascii="宋体" w:hAnsi="宋体"/>
          <w:color w:val="auto"/>
          <w:sz w:val="24"/>
        </w:rPr>
        <w:t>投标人须知</w:t>
      </w:r>
      <w:r>
        <w:rPr>
          <w:rFonts w:ascii="宋体" w:hAnsi="宋体"/>
          <w:color w:val="auto"/>
          <w:sz w:val="24"/>
        </w:rPr>
        <w:t>”</w:t>
      </w:r>
      <w:r>
        <w:rPr>
          <w:rFonts w:hint="eastAsia" w:ascii="宋体" w:hAnsi="宋体"/>
          <w:color w:val="auto"/>
          <w:sz w:val="24"/>
        </w:rPr>
        <w:t>中另有规定的，从其规定）。投标人务必在递交时间截止后签到后，须在投标文件解密时限内完成投标文件解密，未能成功解密的视为放弃投标。招标文件</w:t>
      </w:r>
      <w:r>
        <w:rPr>
          <w:rFonts w:ascii="宋体" w:hAnsi="宋体"/>
          <w:color w:val="auto"/>
          <w:sz w:val="24"/>
        </w:rPr>
        <w:t>“</w:t>
      </w:r>
      <w:r>
        <w:rPr>
          <w:rFonts w:hint="eastAsia" w:ascii="宋体" w:hAnsi="宋体"/>
          <w:color w:val="auto"/>
          <w:sz w:val="24"/>
        </w:rPr>
        <w:t>投标人须知</w:t>
      </w:r>
      <w:r>
        <w:rPr>
          <w:rFonts w:ascii="宋体" w:hAnsi="宋体"/>
          <w:color w:val="auto"/>
          <w:sz w:val="24"/>
        </w:rPr>
        <w:t>”</w:t>
      </w:r>
      <w:r>
        <w:rPr>
          <w:rFonts w:hint="eastAsia" w:ascii="宋体" w:hAnsi="宋体"/>
          <w:color w:val="auto"/>
          <w:sz w:val="24"/>
        </w:rPr>
        <w:t>中对投标文件解密设有线下补救方案的，执行该补救方案。</w:t>
      </w:r>
    </w:p>
    <w:p w14:paraId="60436A51">
      <w:pPr>
        <w:spacing w:line="400" w:lineRule="exact"/>
        <w:ind w:firstLine="480" w:firstLineChars="200"/>
        <w:rPr>
          <w:rFonts w:ascii="宋体" w:hAnsi="宋体"/>
          <w:color w:val="auto"/>
          <w:sz w:val="24"/>
        </w:rPr>
      </w:pPr>
      <w:r>
        <w:rPr>
          <w:rFonts w:hint="eastAsia" w:ascii="宋体" w:hAnsi="宋体"/>
          <w:color w:val="auto"/>
          <w:sz w:val="24"/>
        </w:rPr>
        <w:t>四</w:t>
      </w:r>
      <w:r>
        <w:rPr>
          <w:rFonts w:ascii="宋体" w:hAnsi="宋体"/>
          <w:color w:val="auto"/>
          <w:sz w:val="24"/>
        </w:rPr>
        <w:t>、</w:t>
      </w:r>
      <w:r>
        <w:rPr>
          <w:rFonts w:hint="eastAsia" w:ascii="宋体" w:hAnsi="宋体"/>
          <w:color w:val="auto"/>
          <w:sz w:val="24"/>
        </w:rPr>
        <w:t>评标</w:t>
      </w:r>
      <w:r>
        <w:rPr>
          <w:rFonts w:ascii="宋体" w:hAnsi="宋体"/>
          <w:color w:val="auto"/>
          <w:sz w:val="24"/>
        </w:rPr>
        <w:t>和询标</w:t>
      </w:r>
    </w:p>
    <w:p w14:paraId="1552A256">
      <w:pPr>
        <w:spacing w:line="400" w:lineRule="exact"/>
        <w:ind w:firstLine="480" w:firstLineChars="200"/>
        <w:rPr>
          <w:rFonts w:ascii="宋体" w:hAnsi="宋体"/>
          <w:color w:val="auto"/>
          <w:sz w:val="24"/>
        </w:rPr>
      </w:pPr>
      <w:r>
        <w:rPr>
          <w:rFonts w:ascii="宋体" w:hAnsi="宋体"/>
          <w:color w:val="auto"/>
          <w:sz w:val="24"/>
        </w:rPr>
        <w:t>1</w:t>
      </w:r>
      <w:r>
        <w:rPr>
          <w:rFonts w:hint="eastAsia" w:ascii="宋体" w:hAnsi="宋体"/>
          <w:color w:val="auto"/>
          <w:sz w:val="24"/>
        </w:rPr>
        <w:t>4</w:t>
      </w:r>
      <w:r>
        <w:rPr>
          <w:rFonts w:ascii="宋体" w:hAnsi="宋体"/>
          <w:color w:val="auto"/>
          <w:sz w:val="24"/>
        </w:rPr>
        <w:t>.</w:t>
      </w:r>
      <w:r>
        <w:rPr>
          <w:rFonts w:hint="eastAsia" w:ascii="宋体" w:hAnsi="宋体"/>
          <w:color w:val="auto"/>
          <w:sz w:val="24"/>
        </w:rPr>
        <w:t>评标委员会通过优质采电子评标工具将需要澄清、说明或补正的内容以询标函的形式发送给投标人，投标人应登录优质采投标工具客户端并保持在线状态，以便及时接收评标委员会可能发出的询标函，并在询标函载明的时间内回复，若投标人未及时回复，视为放弃澄清。</w:t>
      </w:r>
    </w:p>
    <w:p w14:paraId="1E2A68DA">
      <w:pPr>
        <w:spacing w:line="400" w:lineRule="exact"/>
        <w:ind w:firstLine="480" w:firstLineChars="200"/>
        <w:rPr>
          <w:rFonts w:ascii="宋体" w:hAnsi="宋体"/>
          <w:color w:val="auto"/>
          <w:sz w:val="24"/>
        </w:rPr>
      </w:pPr>
      <w:r>
        <w:rPr>
          <w:rFonts w:hint="eastAsia" w:ascii="宋体" w:hAnsi="宋体"/>
          <w:color w:val="auto"/>
          <w:sz w:val="24"/>
        </w:rPr>
        <w:t>五、异常情形</w:t>
      </w:r>
    </w:p>
    <w:p w14:paraId="5C054218">
      <w:pPr>
        <w:spacing w:line="400" w:lineRule="exact"/>
        <w:ind w:firstLine="480" w:firstLineChars="200"/>
        <w:rPr>
          <w:rFonts w:ascii="宋体" w:hAnsi="宋体"/>
          <w:color w:val="auto"/>
          <w:sz w:val="24"/>
        </w:rPr>
      </w:pPr>
      <w:r>
        <w:rPr>
          <w:rFonts w:hint="eastAsia" w:ascii="宋体" w:hAnsi="宋体"/>
          <w:color w:val="auto"/>
          <w:sz w:val="24"/>
        </w:rPr>
        <w:t>出现下列情形导致电子交易系统无法正常运行，影响招投标过程的公平、公正和信息安全，经第三方机构认定后，各方当事人免责：</w:t>
      </w:r>
    </w:p>
    <w:p w14:paraId="50C576D2">
      <w:pPr>
        <w:spacing w:line="400" w:lineRule="exact"/>
        <w:ind w:firstLine="480" w:firstLineChars="200"/>
        <w:rPr>
          <w:rFonts w:ascii="宋体" w:hAnsi="宋体"/>
          <w:color w:val="auto"/>
          <w:sz w:val="24"/>
        </w:rPr>
      </w:pPr>
      <w:r>
        <w:rPr>
          <w:rFonts w:hint="eastAsia" w:ascii="宋体" w:hAnsi="宋体"/>
          <w:color w:val="auto"/>
          <w:sz w:val="24"/>
        </w:rPr>
        <w:t>1. 网络、服务器、数据库发生故障造成无法访问或使用的；</w:t>
      </w:r>
    </w:p>
    <w:p w14:paraId="426C49E7">
      <w:pPr>
        <w:spacing w:line="400" w:lineRule="exact"/>
        <w:ind w:firstLine="480" w:firstLineChars="200"/>
        <w:rPr>
          <w:rFonts w:ascii="宋体" w:hAnsi="宋体"/>
          <w:color w:val="auto"/>
          <w:sz w:val="24"/>
        </w:rPr>
      </w:pPr>
      <w:r>
        <w:rPr>
          <w:rFonts w:hint="eastAsia" w:ascii="宋体" w:hAnsi="宋体"/>
          <w:color w:val="auto"/>
          <w:sz w:val="24"/>
        </w:rPr>
        <w:t>2. 电力系统发生故障导致电子服务系统或电子交易系统无法运行；</w:t>
      </w:r>
    </w:p>
    <w:p w14:paraId="4F5C072C">
      <w:pPr>
        <w:spacing w:line="400" w:lineRule="exact"/>
        <w:ind w:firstLine="480" w:firstLineChars="200"/>
        <w:rPr>
          <w:rFonts w:ascii="宋体" w:hAnsi="宋体"/>
          <w:color w:val="auto"/>
          <w:sz w:val="24"/>
        </w:rPr>
      </w:pPr>
      <w:r>
        <w:rPr>
          <w:rFonts w:hint="eastAsia" w:ascii="宋体" w:hAnsi="宋体"/>
          <w:color w:val="auto"/>
          <w:sz w:val="24"/>
        </w:rPr>
        <w:t>3. 出现网络攻击、病毒入侵以及电子服务系统或电子交易系统安全漏洞导致无法正常提供服务的；</w:t>
      </w:r>
    </w:p>
    <w:p w14:paraId="188BFE2D">
      <w:pPr>
        <w:spacing w:line="400" w:lineRule="exact"/>
        <w:ind w:firstLine="480" w:firstLineChars="200"/>
        <w:rPr>
          <w:rFonts w:ascii="宋体" w:hAnsi="宋体"/>
          <w:color w:val="auto"/>
          <w:sz w:val="24"/>
        </w:rPr>
      </w:pPr>
      <w:r>
        <w:rPr>
          <w:rFonts w:hint="eastAsia" w:ascii="宋体" w:hAnsi="宋体"/>
          <w:color w:val="auto"/>
          <w:sz w:val="24"/>
        </w:rPr>
        <w:t>4</w:t>
      </w:r>
      <w:r>
        <w:rPr>
          <w:rFonts w:ascii="宋体" w:hAnsi="宋体"/>
          <w:color w:val="auto"/>
          <w:sz w:val="24"/>
        </w:rPr>
        <w:t>.</w:t>
      </w:r>
      <w:r>
        <w:rPr>
          <w:rFonts w:hint="eastAsia" w:ascii="宋体" w:hAnsi="宋体"/>
          <w:color w:val="auto"/>
          <w:sz w:val="24"/>
        </w:rPr>
        <w:t>其他无法保证招投标过程公平、公正和信息安全的情形。</w:t>
      </w:r>
    </w:p>
    <w:p w14:paraId="4DA2B9FF">
      <w:pPr>
        <w:spacing w:line="400" w:lineRule="exact"/>
        <w:ind w:firstLine="480" w:firstLineChars="200"/>
        <w:rPr>
          <w:rFonts w:ascii="宋体" w:hAnsi="宋体"/>
          <w:color w:val="auto"/>
          <w:sz w:val="24"/>
        </w:rPr>
      </w:pPr>
      <w:r>
        <w:rPr>
          <w:rFonts w:hint="eastAsia" w:ascii="宋体" w:hAnsi="宋体"/>
          <w:color w:val="auto"/>
          <w:sz w:val="24"/>
        </w:rPr>
        <w:t>六、异常情形处理</w:t>
      </w:r>
    </w:p>
    <w:p w14:paraId="76C64792">
      <w:pPr>
        <w:spacing w:line="400" w:lineRule="exact"/>
        <w:ind w:firstLine="480" w:firstLineChars="200"/>
        <w:rPr>
          <w:rFonts w:ascii="宋体" w:hAnsi="宋体"/>
          <w:color w:val="auto"/>
          <w:sz w:val="24"/>
        </w:rPr>
      </w:pPr>
      <w:r>
        <w:rPr>
          <w:rFonts w:hint="eastAsia" w:ascii="宋体" w:hAnsi="宋体"/>
          <w:color w:val="auto"/>
          <w:sz w:val="24"/>
        </w:rPr>
        <w:t>出现上述情形，优质采应及时组织相关方查明原因，排除故障。若能保证在开标前恢复系统运行的，招投标程序继续进行；若导致开评标程序无法按时开展，但能在原开标时间后2小时内恢复系统运行的，招投标程序继续进行；若导致开评标程序无法按时开展，在原开标时间后2小时内无法恢复系统运行的，按以下程序操作：</w:t>
      </w:r>
    </w:p>
    <w:p w14:paraId="2FB4A75F">
      <w:pPr>
        <w:spacing w:line="400" w:lineRule="exact"/>
        <w:ind w:firstLine="480" w:firstLineChars="200"/>
        <w:rPr>
          <w:rFonts w:ascii="宋体" w:hAnsi="宋体"/>
          <w:color w:val="auto"/>
          <w:sz w:val="24"/>
        </w:rPr>
      </w:pPr>
      <w:r>
        <w:rPr>
          <w:rFonts w:hint="eastAsia" w:ascii="宋体" w:hAnsi="宋体"/>
          <w:color w:val="auto"/>
          <w:sz w:val="24"/>
        </w:rPr>
        <w:t>1. 项目中止，中止期限由委托人或采购代理机构根据项目具体情况确定。中止期限届满后中止情形尚未消除的，委托人或代理机构可以根据实际情况决定延长中止期限。决定延长中止期限的，应向投标人发出延长中止期限通知，并发布公布。</w:t>
      </w:r>
    </w:p>
    <w:p w14:paraId="4085C0C0">
      <w:pPr>
        <w:spacing w:line="400" w:lineRule="exact"/>
        <w:ind w:firstLine="480" w:firstLineChars="200"/>
        <w:rPr>
          <w:rFonts w:ascii="宋体" w:hAnsi="宋体"/>
          <w:color w:val="auto"/>
          <w:sz w:val="24"/>
        </w:rPr>
      </w:pPr>
      <w:r>
        <w:rPr>
          <w:rFonts w:hint="eastAsia" w:ascii="宋体" w:hAnsi="宋体"/>
          <w:color w:val="auto"/>
          <w:sz w:val="24"/>
        </w:rPr>
        <w:t>2. 项目恢复，导致项目中止的情形消除后，委托人或代理机构应当尽快恢复招投标程序，向投标人发出恢复交易通知，并发布公布；已发出延长中止期限通知的，按通知执行。</w:t>
      </w:r>
    </w:p>
    <w:p w14:paraId="66406C66">
      <w:pPr>
        <w:adjustRightInd w:val="0"/>
        <w:snapToGrid w:val="0"/>
        <w:spacing w:line="360" w:lineRule="auto"/>
        <w:rPr>
          <w:rFonts w:asciiTheme="minorEastAsia" w:hAnsiTheme="minorEastAsia" w:eastAsiaTheme="minorEastAsia"/>
          <w:color w:val="auto"/>
          <w:szCs w:val="21"/>
        </w:rPr>
      </w:pPr>
    </w:p>
    <w:sectPr>
      <w:pgSz w:w="11900" w:h="16838"/>
      <w:pgMar w:top="1134" w:right="1559" w:bottom="680" w:left="1678" w:header="879" w:footer="227" w:gutter="0"/>
      <w:cols w:space="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E6F225C2-EA6C-4C70-86CB-01CB87C4FCAF}"/>
  </w:font>
  <w:font w:name="Arial">
    <w:panose1 w:val="020B0604020202020204"/>
    <w:charset w:val="01"/>
    <w:family w:val="swiss"/>
    <w:pitch w:val="default"/>
    <w:sig w:usb0="E0002AFF" w:usb1="C0007843" w:usb2="00000009" w:usb3="00000000" w:csb0="400001FF" w:csb1="FFFF0000"/>
    <w:embedRegular r:id="rId2" w:fontKey="{878F7D23-B4C7-4C56-AB77-4CCBC4D67085}"/>
  </w:font>
  <w:font w:name="黑体">
    <w:panose1 w:val="02010609060101010101"/>
    <w:charset w:val="86"/>
    <w:family w:val="auto"/>
    <w:pitch w:val="default"/>
    <w:sig w:usb0="800002BF" w:usb1="38CF7CFA" w:usb2="00000016" w:usb3="00000000" w:csb0="00040001" w:csb1="00000000"/>
    <w:embedRegular r:id="rId3" w:fontKey="{B41427E4-6878-4C22-8EE8-DA603A42FA4F}"/>
  </w:font>
  <w:font w:name="Courier New">
    <w:panose1 w:val="02070309020205020404"/>
    <w:charset w:val="01"/>
    <w:family w:val="modern"/>
    <w:pitch w:val="default"/>
    <w:sig w:usb0="E0002AFF" w:usb1="C0007843" w:usb2="00000009" w:usb3="00000000" w:csb0="400001FF" w:csb1="FFFF0000"/>
    <w:embedRegular r:id="rId4" w:fontKey="{872E8E0C-9365-457F-B5E1-6F36CDBDD192}"/>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embedRegular r:id="rId5" w:fontKey="{708867D6-2216-4F8A-A2B6-6F26372BC4C3}"/>
  </w:font>
  <w:font w:name="楷体_GB2312">
    <w:panose1 w:val="02010609030101010101"/>
    <w:charset w:val="86"/>
    <w:family w:val="modern"/>
    <w:pitch w:val="default"/>
    <w:sig w:usb0="00000001" w:usb1="080E0000" w:usb2="00000000" w:usb3="00000000" w:csb0="00040000" w:csb1="00000000"/>
    <w:embedRegular r:id="rId6" w:fontKey="{1D1557F3-89ED-4EE0-8287-73B18679F75D}"/>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10006FF" w:usb1="4000205B" w:usb2="00000010" w:usb3="00000000" w:csb0="2000019F" w:csb1="00000000"/>
  </w:font>
  <w:font w:name="Arial Unicode MS">
    <w:panose1 w:val="020B0604020202020204"/>
    <w:charset w:val="86"/>
    <w:family w:val="swiss"/>
    <w:pitch w:val="default"/>
    <w:sig w:usb0="FFFFFFFF" w:usb1="E9FFFFFF" w:usb2="0000003F" w:usb3="00000000" w:csb0="603F01FF" w:csb1="FFFF0000"/>
  </w:font>
  <w:font w:name="TimesNewRomanPSMT">
    <w:altName w:val="等线"/>
    <w:panose1 w:val="00000000000000000000"/>
    <w:charset w:val="00"/>
    <w:family w:val="roman"/>
    <w:pitch w:val="default"/>
    <w:sig w:usb0="00000000" w:usb1="00000000" w:usb2="00000000" w:usb3="00000000" w:csb0="00000001" w:csb1="00000000"/>
  </w:font>
  <w:font w:name="等线">
    <w:panose1 w:val="02010600030101010101"/>
    <w:charset w:val="86"/>
    <w:family w:val="auto"/>
    <w:pitch w:val="default"/>
    <w:sig w:usb0="A00002BF" w:usb1="38CF7CFA" w:usb2="00000016" w:usb3="00000000" w:csb0="0004000F" w:csb1="00000000"/>
    <w:embedRegular r:id="rId7" w:fontKey="{8AD6FD9C-199E-4F72-B965-9A23F5D041D2}"/>
  </w:font>
  <w:font w:name="Cambria">
    <w:panose1 w:val="02040503050406030204"/>
    <w:charset w:val="00"/>
    <w:family w:val="roman"/>
    <w:pitch w:val="default"/>
    <w:sig w:usb0="E00002FF" w:usb1="400004FF" w:usb2="00000000" w:usb3="00000000" w:csb0="2000019F" w:csb1="00000000"/>
  </w:font>
  <w:font w:name="华文楷体">
    <w:panose1 w:val="02010600040101010101"/>
    <w:charset w:val="86"/>
    <w:family w:val="auto"/>
    <w:pitch w:val="default"/>
    <w:sig w:usb0="00000287" w:usb1="080F0000" w:usb2="00000000" w:usb3="00000000" w:csb0="0004009F" w:csb1="DFD70000"/>
  </w:font>
  <w:font w:name="华文中宋">
    <w:panose1 w:val="02010600040101010101"/>
    <w:charset w:val="86"/>
    <w:family w:val="auto"/>
    <w:pitch w:val="default"/>
    <w:sig w:usb0="00000287" w:usb1="080F0000" w:usb2="00000000" w:usb3="00000000" w:csb0="0004009F" w:csb1="DFD70000"/>
    <w:embedRegular r:id="rId8" w:fontKey="{6A137214-3151-46CF-9303-BC732E8453AC}"/>
  </w:font>
  <w:font w:name="微软雅黑">
    <w:panose1 w:val="020B0503020204020204"/>
    <w:charset w:val="86"/>
    <w:family w:val="swiss"/>
    <w:pitch w:val="default"/>
    <w:sig w:usb0="80000287" w:usb1="280F3C52" w:usb2="00000016" w:usb3="00000000" w:csb0="0004001F" w:csb1="00000000"/>
    <w:embedRegular r:id="rId9" w:fontKey="{1F2DD4A8-1142-4AB7-BC3D-16D8AC36643B}"/>
  </w:font>
  <w:font w:name="华文宋体">
    <w:panose1 w:val="02010600040101010101"/>
    <w:charset w:val="86"/>
    <w:family w:val="auto"/>
    <w:pitch w:val="default"/>
    <w:sig w:usb0="00000287" w:usb1="080F0000" w:usb2="00000000" w:usb3="00000000" w:csb0="0004009F" w:csb1="DFD70000"/>
    <w:embedRegular r:id="rId10" w:fontKey="{73EB2814-5867-49ED-A1AF-B1EAA2C57665}"/>
  </w:font>
  <w:font w:name="仿宋">
    <w:panose1 w:val="02010609060101010101"/>
    <w:charset w:val="86"/>
    <w:family w:val="modern"/>
    <w:pitch w:val="default"/>
    <w:sig w:usb0="800002BF" w:usb1="38CF7CFA" w:usb2="00000016" w:usb3="00000000" w:csb0="00040001" w:csb1="00000000"/>
    <w:embedRegular r:id="rId11" w:fontKey="{3B8723C8-A8DE-4015-92AA-FA7F013A1559}"/>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E57A6E">
    <w:pPr>
      <w:pStyle w:val="26"/>
      <w:ind w:left="180" w:right="359" w:rightChars="171" w:hanging="180" w:hangingChars="100"/>
      <w:rPr>
        <w:rFonts w:eastAsia="楷体_GB231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F687FC">
    <w:pPr>
      <w:pStyle w:val="26"/>
      <w:ind w:left="180" w:right="359" w:rightChars="171" w:hanging="180" w:hangingChars="100"/>
      <w:rPr>
        <w:rFonts w:eastAsia="楷体_GB2312"/>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FD6AA6E">
                          <w:pPr>
                            <w:pStyle w:val="2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5FD6AA6E">
                    <w:pPr>
                      <w:pStyle w:val="2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24C665">
    <w:pPr>
      <w:pStyle w:val="26"/>
      <w:ind w:left="180" w:right="359" w:rightChars="171" w:hanging="180" w:hangingChars="100"/>
      <w:jc w:val="right"/>
      <w:rPr>
        <w:rFonts w:eastAsia="楷体_GB2312"/>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8A64A0">
                          <w:pPr>
                            <w:pStyle w:val="26"/>
                          </w:pPr>
                          <w:r>
                            <w:fldChar w:fldCharType="begin"/>
                          </w:r>
                          <w:r>
                            <w:instrText xml:space="preserve"> PAGE  \* MERGEFORMAT </w:instrText>
                          </w:r>
                          <w:r>
                            <w:fldChar w:fldCharType="separate"/>
                          </w:r>
                          <w:r>
                            <w:t>82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608A64A0">
                    <w:pPr>
                      <w:pStyle w:val="26"/>
                    </w:pPr>
                    <w:r>
                      <w:fldChar w:fldCharType="begin"/>
                    </w:r>
                    <w:r>
                      <w:instrText xml:space="preserve"> PAGE  \* MERGEFORMAT </w:instrText>
                    </w:r>
                    <w:r>
                      <w:fldChar w:fldCharType="separate"/>
                    </w:r>
                    <w:r>
                      <w:t>82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E47559">
    <w:pPr>
      <w:pBdr>
        <w:bottom w:val="single" w:color="auto" w:sz="4" w:space="1"/>
      </w:pBdr>
      <w:snapToGrid w:val="0"/>
      <w:rPr>
        <w:sz w:val="18"/>
        <w:szCs w:val="18"/>
      </w:rPr>
    </w:pPr>
    <w:r>
      <w:rPr>
        <w:rFonts w:hint="eastAsia"/>
        <w:sz w:val="18"/>
        <w:szCs w:val="18"/>
      </w:rPr>
      <w:t>华新项目管理集团有限公司                                               货物招标文件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3B164B">
    <w:pPr>
      <w:pBdr>
        <w:bottom w:val="single" w:color="auto" w:sz="4" w:space="1"/>
      </w:pBdr>
      <w:snapToGrid w:val="0"/>
      <w:rPr>
        <w:sz w:val="18"/>
        <w:szCs w:val="18"/>
      </w:rPr>
    </w:pPr>
    <w:r>
      <w:rPr>
        <w:rFonts w:hint="eastAsia"/>
        <w:sz w:val="18"/>
        <w:szCs w:val="18"/>
      </w:rPr>
      <w:t>华新项目管理集团有限公司                                                                              货物招标文件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BB4546">
    <w:pPr>
      <w:pBdr>
        <w:bottom w:val="single" w:color="auto" w:sz="4" w:space="1"/>
      </w:pBdr>
      <w:snapToGrid w:val="0"/>
      <w:rPr>
        <w:sz w:val="18"/>
        <w:szCs w:val="18"/>
      </w:rPr>
    </w:pPr>
    <w:r>
      <w:rPr>
        <w:rFonts w:hint="eastAsia"/>
        <w:sz w:val="18"/>
        <w:szCs w:val="18"/>
      </w:rPr>
      <w:t>华新项目管理集团有限公司                                                           货物招标文件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5C958A0"/>
    <w:multiLevelType w:val="singleLevel"/>
    <w:tmpl w:val="85C958A0"/>
    <w:lvl w:ilvl="0" w:tentative="0">
      <w:start w:val="1"/>
      <w:numFmt w:val="decimal"/>
      <w:suff w:val="nothing"/>
      <w:lvlText w:val="（%1）"/>
      <w:lvlJc w:val="left"/>
    </w:lvl>
  </w:abstractNum>
  <w:abstractNum w:abstractNumId="1">
    <w:nsid w:val="A07A098E"/>
    <w:multiLevelType w:val="singleLevel"/>
    <w:tmpl w:val="A07A098E"/>
    <w:lvl w:ilvl="0" w:tentative="0">
      <w:start w:val="1"/>
      <w:numFmt w:val="chineseCounting"/>
      <w:suff w:val="nothing"/>
      <w:lvlText w:val="%1．"/>
      <w:lvlJc w:val="left"/>
      <w:rPr>
        <w:rFonts w:hint="eastAsia"/>
      </w:rPr>
    </w:lvl>
  </w:abstractNum>
  <w:abstractNum w:abstractNumId="2">
    <w:nsid w:val="CF092B84"/>
    <w:multiLevelType w:val="multilevel"/>
    <w:tmpl w:val="CF092B84"/>
    <w:lvl w:ilvl="0" w:tentative="0">
      <w:start w:val="1"/>
      <w:numFmt w:val="decimal"/>
      <w:lvlText w:val="%1."/>
      <w:lvlJc w:val="left"/>
      <w:pPr>
        <w:ind w:left="401" w:hanging="181"/>
        <w:jc w:val="left"/>
      </w:pPr>
      <w:rPr>
        <w:rFonts w:hint="default" w:ascii="Times New Roman" w:hAnsi="Times New Roman" w:eastAsia="Times New Roman" w:cs="Times New Roman"/>
        <w:b/>
        <w:bCs/>
        <w:w w:val="100"/>
        <w:sz w:val="22"/>
        <w:szCs w:val="22"/>
        <w:lang w:val="zh-CN" w:eastAsia="zh-CN" w:bidi="zh-CN"/>
      </w:rPr>
    </w:lvl>
    <w:lvl w:ilvl="1" w:tentative="0">
      <w:start w:val="0"/>
      <w:numFmt w:val="bullet"/>
      <w:lvlText w:val="•"/>
      <w:lvlJc w:val="left"/>
      <w:pPr>
        <w:ind w:left="1314" w:hanging="181"/>
      </w:pPr>
      <w:rPr>
        <w:rFonts w:hint="default"/>
        <w:lang w:val="zh-CN" w:eastAsia="zh-CN" w:bidi="zh-CN"/>
      </w:rPr>
    </w:lvl>
    <w:lvl w:ilvl="2" w:tentative="0">
      <w:start w:val="0"/>
      <w:numFmt w:val="bullet"/>
      <w:lvlText w:val="•"/>
      <w:lvlJc w:val="left"/>
      <w:pPr>
        <w:ind w:left="2228" w:hanging="181"/>
      </w:pPr>
      <w:rPr>
        <w:rFonts w:hint="default"/>
        <w:lang w:val="zh-CN" w:eastAsia="zh-CN" w:bidi="zh-CN"/>
      </w:rPr>
    </w:lvl>
    <w:lvl w:ilvl="3" w:tentative="0">
      <w:start w:val="0"/>
      <w:numFmt w:val="bullet"/>
      <w:lvlText w:val="•"/>
      <w:lvlJc w:val="left"/>
      <w:pPr>
        <w:ind w:left="3142" w:hanging="181"/>
      </w:pPr>
      <w:rPr>
        <w:rFonts w:hint="default"/>
        <w:lang w:val="zh-CN" w:eastAsia="zh-CN" w:bidi="zh-CN"/>
      </w:rPr>
    </w:lvl>
    <w:lvl w:ilvl="4" w:tentative="0">
      <w:start w:val="0"/>
      <w:numFmt w:val="bullet"/>
      <w:lvlText w:val="•"/>
      <w:lvlJc w:val="left"/>
      <w:pPr>
        <w:ind w:left="4056" w:hanging="181"/>
      </w:pPr>
      <w:rPr>
        <w:rFonts w:hint="default"/>
        <w:lang w:val="zh-CN" w:eastAsia="zh-CN" w:bidi="zh-CN"/>
      </w:rPr>
    </w:lvl>
    <w:lvl w:ilvl="5" w:tentative="0">
      <w:start w:val="0"/>
      <w:numFmt w:val="bullet"/>
      <w:lvlText w:val="•"/>
      <w:lvlJc w:val="left"/>
      <w:pPr>
        <w:ind w:left="4970" w:hanging="181"/>
      </w:pPr>
      <w:rPr>
        <w:rFonts w:hint="default"/>
        <w:lang w:val="zh-CN" w:eastAsia="zh-CN" w:bidi="zh-CN"/>
      </w:rPr>
    </w:lvl>
    <w:lvl w:ilvl="6" w:tentative="0">
      <w:start w:val="0"/>
      <w:numFmt w:val="bullet"/>
      <w:lvlText w:val="•"/>
      <w:lvlJc w:val="left"/>
      <w:pPr>
        <w:ind w:left="5884" w:hanging="181"/>
      </w:pPr>
      <w:rPr>
        <w:rFonts w:hint="default"/>
        <w:lang w:val="zh-CN" w:eastAsia="zh-CN" w:bidi="zh-CN"/>
      </w:rPr>
    </w:lvl>
    <w:lvl w:ilvl="7" w:tentative="0">
      <w:start w:val="0"/>
      <w:numFmt w:val="bullet"/>
      <w:lvlText w:val="•"/>
      <w:lvlJc w:val="left"/>
      <w:pPr>
        <w:ind w:left="6798" w:hanging="181"/>
      </w:pPr>
      <w:rPr>
        <w:rFonts w:hint="default"/>
        <w:lang w:val="zh-CN" w:eastAsia="zh-CN" w:bidi="zh-CN"/>
      </w:rPr>
    </w:lvl>
    <w:lvl w:ilvl="8" w:tentative="0">
      <w:start w:val="0"/>
      <w:numFmt w:val="bullet"/>
      <w:lvlText w:val="•"/>
      <w:lvlJc w:val="left"/>
      <w:pPr>
        <w:ind w:left="7712" w:hanging="181"/>
      </w:pPr>
      <w:rPr>
        <w:rFonts w:hint="default"/>
        <w:lang w:val="zh-CN" w:eastAsia="zh-CN" w:bidi="zh-CN"/>
      </w:rPr>
    </w:lvl>
  </w:abstractNum>
  <w:abstractNum w:abstractNumId="3">
    <w:nsid w:val="59ADCABA"/>
    <w:multiLevelType w:val="multilevel"/>
    <w:tmpl w:val="59ADCABA"/>
    <w:lvl w:ilvl="0" w:tentative="0">
      <w:start w:val="1"/>
      <w:numFmt w:val="decimal"/>
      <w:lvlText w:val="%1."/>
      <w:lvlJc w:val="left"/>
      <w:pPr>
        <w:ind w:left="181" w:hanging="181"/>
        <w:jc w:val="left"/>
      </w:pPr>
      <w:rPr>
        <w:rFonts w:hint="default" w:ascii="Times New Roman" w:hAnsi="Times New Roman" w:eastAsia="Times New Roman" w:cs="Times New Roman"/>
        <w:b/>
        <w:bCs/>
        <w:w w:val="100"/>
        <w:sz w:val="22"/>
        <w:szCs w:val="22"/>
        <w:lang w:val="zh-CN" w:eastAsia="zh-CN" w:bidi="zh-CN"/>
      </w:rPr>
    </w:lvl>
    <w:lvl w:ilvl="1" w:tentative="0">
      <w:start w:val="0"/>
      <w:numFmt w:val="bullet"/>
      <w:lvlText w:val="•"/>
      <w:lvlJc w:val="left"/>
      <w:pPr>
        <w:ind w:left="978" w:hanging="181"/>
      </w:pPr>
      <w:rPr>
        <w:rFonts w:hint="default"/>
        <w:lang w:val="zh-CN" w:eastAsia="zh-CN" w:bidi="zh-CN"/>
      </w:rPr>
    </w:lvl>
    <w:lvl w:ilvl="2" w:tentative="0">
      <w:start w:val="0"/>
      <w:numFmt w:val="bullet"/>
      <w:lvlText w:val="•"/>
      <w:lvlJc w:val="left"/>
      <w:pPr>
        <w:ind w:left="1776" w:hanging="181"/>
      </w:pPr>
      <w:rPr>
        <w:rFonts w:hint="default"/>
        <w:lang w:val="zh-CN" w:eastAsia="zh-CN" w:bidi="zh-CN"/>
      </w:rPr>
    </w:lvl>
    <w:lvl w:ilvl="3" w:tentative="0">
      <w:start w:val="0"/>
      <w:numFmt w:val="bullet"/>
      <w:lvlText w:val="•"/>
      <w:lvlJc w:val="left"/>
      <w:pPr>
        <w:ind w:left="2574" w:hanging="181"/>
      </w:pPr>
      <w:rPr>
        <w:rFonts w:hint="default"/>
        <w:lang w:val="zh-CN" w:eastAsia="zh-CN" w:bidi="zh-CN"/>
      </w:rPr>
    </w:lvl>
    <w:lvl w:ilvl="4" w:tentative="0">
      <w:start w:val="0"/>
      <w:numFmt w:val="bullet"/>
      <w:lvlText w:val="•"/>
      <w:lvlJc w:val="left"/>
      <w:pPr>
        <w:ind w:left="3372" w:hanging="181"/>
      </w:pPr>
      <w:rPr>
        <w:rFonts w:hint="default"/>
        <w:lang w:val="zh-CN" w:eastAsia="zh-CN" w:bidi="zh-CN"/>
      </w:rPr>
    </w:lvl>
    <w:lvl w:ilvl="5" w:tentative="0">
      <w:start w:val="0"/>
      <w:numFmt w:val="bullet"/>
      <w:lvlText w:val="•"/>
      <w:lvlJc w:val="left"/>
      <w:pPr>
        <w:ind w:left="4171" w:hanging="181"/>
      </w:pPr>
      <w:rPr>
        <w:rFonts w:hint="default"/>
        <w:lang w:val="zh-CN" w:eastAsia="zh-CN" w:bidi="zh-CN"/>
      </w:rPr>
    </w:lvl>
    <w:lvl w:ilvl="6" w:tentative="0">
      <w:start w:val="0"/>
      <w:numFmt w:val="bullet"/>
      <w:lvlText w:val="•"/>
      <w:lvlJc w:val="left"/>
      <w:pPr>
        <w:ind w:left="4969" w:hanging="181"/>
      </w:pPr>
      <w:rPr>
        <w:rFonts w:hint="default"/>
        <w:lang w:val="zh-CN" w:eastAsia="zh-CN" w:bidi="zh-CN"/>
      </w:rPr>
    </w:lvl>
    <w:lvl w:ilvl="7" w:tentative="0">
      <w:start w:val="0"/>
      <w:numFmt w:val="bullet"/>
      <w:lvlText w:val="•"/>
      <w:lvlJc w:val="left"/>
      <w:pPr>
        <w:ind w:left="5767" w:hanging="181"/>
      </w:pPr>
      <w:rPr>
        <w:rFonts w:hint="default"/>
        <w:lang w:val="zh-CN" w:eastAsia="zh-CN" w:bidi="zh-CN"/>
      </w:rPr>
    </w:lvl>
    <w:lvl w:ilvl="8" w:tentative="0">
      <w:start w:val="0"/>
      <w:numFmt w:val="bullet"/>
      <w:lvlText w:val="•"/>
      <w:lvlJc w:val="left"/>
      <w:pPr>
        <w:ind w:left="6565" w:hanging="181"/>
      </w:pPr>
      <w:rPr>
        <w:rFonts w:hint="default"/>
        <w:lang w:val="zh-CN" w:eastAsia="zh-CN" w:bidi="zh-CN"/>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NotDisplayPageBoundaries w:val="1"/>
  <w:embedTrueTypeFonts/>
  <w:saveSubsetFonts/>
  <w:bordersDoNotSurroundHeader w:val="1"/>
  <w:bordersDoNotSurroundFooter w:val="1"/>
  <w:hideSpellingErrors/>
  <w:documentProtection w:enforcement="0"/>
  <w:defaultTabStop w:val="420"/>
  <w:drawingGridHorizontalSpacing w:val="210"/>
  <w:drawingGridVerticalSpacing w:val="-794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WI1YmI3NWIzMzBiOTcwZWYxMjUwNjc3ZTk3YzY0ZjIifQ=="/>
    <w:docVar w:name="KSO_WPS_MARK_KEY" w:val="de1c61ef-bda4-429d-a482-381cd4680030"/>
  </w:docVars>
  <w:rsids>
    <w:rsidRoot w:val="007434B4"/>
    <w:rsid w:val="00000A61"/>
    <w:rsid w:val="00000A83"/>
    <w:rsid w:val="000013FE"/>
    <w:rsid w:val="0000186F"/>
    <w:rsid w:val="00001A03"/>
    <w:rsid w:val="00002568"/>
    <w:rsid w:val="000027BF"/>
    <w:rsid w:val="00002840"/>
    <w:rsid w:val="000028DB"/>
    <w:rsid w:val="000037DE"/>
    <w:rsid w:val="00003D23"/>
    <w:rsid w:val="00004EAF"/>
    <w:rsid w:val="000050C0"/>
    <w:rsid w:val="000050EE"/>
    <w:rsid w:val="00006552"/>
    <w:rsid w:val="00007DB5"/>
    <w:rsid w:val="0001024D"/>
    <w:rsid w:val="00010382"/>
    <w:rsid w:val="00011E66"/>
    <w:rsid w:val="00012F45"/>
    <w:rsid w:val="00013365"/>
    <w:rsid w:val="00013380"/>
    <w:rsid w:val="00013466"/>
    <w:rsid w:val="00013574"/>
    <w:rsid w:val="00013923"/>
    <w:rsid w:val="00013EFC"/>
    <w:rsid w:val="000146CE"/>
    <w:rsid w:val="00014A82"/>
    <w:rsid w:val="00015858"/>
    <w:rsid w:val="00015A29"/>
    <w:rsid w:val="00015E55"/>
    <w:rsid w:val="0001617A"/>
    <w:rsid w:val="00017581"/>
    <w:rsid w:val="000175E8"/>
    <w:rsid w:val="00017CF0"/>
    <w:rsid w:val="00017F9C"/>
    <w:rsid w:val="000204F3"/>
    <w:rsid w:val="0002386F"/>
    <w:rsid w:val="0002388D"/>
    <w:rsid w:val="000242A1"/>
    <w:rsid w:val="00024BA4"/>
    <w:rsid w:val="00024E78"/>
    <w:rsid w:val="000252F0"/>
    <w:rsid w:val="00025464"/>
    <w:rsid w:val="0002552C"/>
    <w:rsid w:val="00025EED"/>
    <w:rsid w:val="00027C41"/>
    <w:rsid w:val="00027D0F"/>
    <w:rsid w:val="00030A53"/>
    <w:rsid w:val="00031705"/>
    <w:rsid w:val="00031BBE"/>
    <w:rsid w:val="00031C52"/>
    <w:rsid w:val="0003211B"/>
    <w:rsid w:val="00032A5A"/>
    <w:rsid w:val="00032D53"/>
    <w:rsid w:val="000333AE"/>
    <w:rsid w:val="00033D4F"/>
    <w:rsid w:val="00033EFF"/>
    <w:rsid w:val="00035663"/>
    <w:rsid w:val="000358FA"/>
    <w:rsid w:val="00035B2B"/>
    <w:rsid w:val="00037E73"/>
    <w:rsid w:val="00040247"/>
    <w:rsid w:val="00040313"/>
    <w:rsid w:val="000404EF"/>
    <w:rsid w:val="00040E14"/>
    <w:rsid w:val="0004234C"/>
    <w:rsid w:val="0004444E"/>
    <w:rsid w:val="00045B4B"/>
    <w:rsid w:val="00045E54"/>
    <w:rsid w:val="00046535"/>
    <w:rsid w:val="00046881"/>
    <w:rsid w:val="00047121"/>
    <w:rsid w:val="00047440"/>
    <w:rsid w:val="0004759C"/>
    <w:rsid w:val="00047A1B"/>
    <w:rsid w:val="0005019F"/>
    <w:rsid w:val="000508AD"/>
    <w:rsid w:val="0005168D"/>
    <w:rsid w:val="0005208E"/>
    <w:rsid w:val="00052DBD"/>
    <w:rsid w:val="000534BB"/>
    <w:rsid w:val="00053BE1"/>
    <w:rsid w:val="00053C94"/>
    <w:rsid w:val="000566BD"/>
    <w:rsid w:val="0005701C"/>
    <w:rsid w:val="000606A2"/>
    <w:rsid w:val="00060ACE"/>
    <w:rsid w:val="00060B31"/>
    <w:rsid w:val="00060C04"/>
    <w:rsid w:val="0006124F"/>
    <w:rsid w:val="00061310"/>
    <w:rsid w:val="00061914"/>
    <w:rsid w:val="000620A1"/>
    <w:rsid w:val="00062EBE"/>
    <w:rsid w:val="000638C9"/>
    <w:rsid w:val="000662FC"/>
    <w:rsid w:val="000666F2"/>
    <w:rsid w:val="000675E6"/>
    <w:rsid w:val="000677C7"/>
    <w:rsid w:val="00067D0B"/>
    <w:rsid w:val="00070621"/>
    <w:rsid w:val="000709FB"/>
    <w:rsid w:val="00070B21"/>
    <w:rsid w:val="00070F95"/>
    <w:rsid w:val="0007140C"/>
    <w:rsid w:val="00071E03"/>
    <w:rsid w:val="00072573"/>
    <w:rsid w:val="00072F0C"/>
    <w:rsid w:val="000731C8"/>
    <w:rsid w:val="0007343D"/>
    <w:rsid w:val="000745C1"/>
    <w:rsid w:val="0007473A"/>
    <w:rsid w:val="00074CB8"/>
    <w:rsid w:val="00076502"/>
    <w:rsid w:val="000775DD"/>
    <w:rsid w:val="000777C0"/>
    <w:rsid w:val="00077E7F"/>
    <w:rsid w:val="0008111B"/>
    <w:rsid w:val="00082346"/>
    <w:rsid w:val="000823E4"/>
    <w:rsid w:val="00083747"/>
    <w:rsid w:val="00083C47"/>
    <w:rsid w:val="000841E5"/>
    <w:rsid w:val="00085204"/>
    <w:rsid w:val="00085604"/>
    <w:rsid w:val="00085696"/>
    <w:rsid w:val="00085F51"/>
    <w:rsid w:val="00086D4B"/>
    <w:rsid w:val="00087CA6"/>
    <w:rsid w:val="000904BC"/>
    <w:rsid w:val="000909AB"/>
    <w:rsid w:val="00090B2F"/>
    <w:rsid w:val="00090D47"/>
    <w:rsid w:val="00090F3D"/>
    <w:rsid w:val="00091751"/>
    <w:rsid w:val="000917F5"/>
    <w:rsid w:val="000921D2"/>
    <w:rsid w:val="000925B3"/>
    <w:rsid w:val="00092E61"/>
    <w:rsid w:val="0009381B"/>
    <w:rsid w:val="00094343"/>
    <w:rsid w:val="0009483A"/>
    <w:rsid w:val="0009530E"/>
    <w:rsid w:val="00095A0E"/>
    <w:rsid w:val="00096239"/>
    <w:rsid w:val="00096A68"/>
    <w:rsid w:val="00097FB9"/>
    <w:rsid w:val="000A0A84"/>
    <w:rsid w:val="000A0CD6"/>
    <w:rsid w:val="000A0EAB"/>
    <w:rsid w:val="000A16F7"/>
    <w:rsid w:val="000A2575"/>
    <w:rsid w:val="000A25D2"/>
    <w:rsid w:val="000A2631"/>
    <w:rsid w:val="000A2723"/>
    <w:rsid w:val="000A2D81"/>
    <w:rsid w:val="000A2ECA"/>
    <w:rsid w:val="000A32AA"/>
    <w:rsid w:val="000A3313"/>
    <w:rsid w:val="000A3BB4"/>
    <w:rsid w:val="000A4283"/>
    <w:rsid w:val="000A4354"/>
    <w:rsid w:val="000A44E0"/>
    <w:rsid w:val="000A564C"/>
    <w:rsid w:val="000A6658"/>
    <w:rsid w:val="000A6833"/>
    <w:rsid w:val="000A6FA6"/>
    <w:rsid w:val="000A7F72"/>
    <w:rsid w:val="000B0390"/>
    <w:rsid w:val="000B0F6F"/>
    <w:rsid w:val="000B1637"/>
    <w:rsid w:val="000B1715"/>
    <w:rsid w:val="000B1C6A"/>
    <w:rsid w:val="000B2722"/>
    <w:rsid w:val="000B320F"/>
    <w:rsid w:val="000B33DF"/>
    <w:rsid w:val="000B3A4F"/>
    <w:rsid w:val="000B4360"/>
    <w:rsid w:val="000B447F"/>
    <w:rsid w:val="000B4504"/>
    <w:rsid w:val="000B48CB"/>
    <w:rsid w:val="000B4AE2"/>
    <w:rsid w:val="000B5D7D"/>
    <w:rsid w:val="000B67D9"/>
    <w:rsid w:val="000B6A6A"/>
    <w:rsid w:val="000B7206"/>
    <w:rsid w:val="000B7AE3"/>
    <w:rsid w:val="000B7DF1"/>
    <w:rsid w:val="000C006C"/>
    <w:rsid w:val="000C035B"/>
    <w:rsid w:val="000C0714"/>
    <w:rsid w:val="000C0FB2"/>
    <w:rsid w:val="000C165E"/>
    <w:rsid w:val="000C188C"/>
    <w:rsid w:val="000C245B"/>
    <w:rsid w:val="000C2AE6"/>
    <w:rsid w:val="000C354A"/>
    <w:rsid w:val="000C3912"/>
    <w:rsid w:val="000C3DEF"/>
    <w:rsid w:val="000C41DB"/>
    <w:rsid w:val="000C4644"/>
    <w:rsid w:val="000C489B"/>
    <w:rsid w:val="000C4FD9"/>
    <w:rsid w:val="000C519A"/>
    <w:rsid w:val="000C51B3"/>
    <w:rsid w:val="000C52A0"/>
    <w:rsid w:val="000C6B2C"/>
    <w:rsid w:val="000C70C2"/>
    <w:rsid w:val="000C7812"/>
    <w:rsid w:val="000D04C8"/>
    <w:rsid w:val="000D0769"/>
    <w:rsid w:val="000D0E5E"/>
    <w:rsid w:val="000D1018"/>
    <w:rsid w:val="000D106A"/>
    <w:rsid w:val="000D211B"/>
    <w:rsid w:val="000D2A3F"/>
    <w:rsid w:val="000D344B"/>
    <w:rsid w:val="000D38B0"/>
    <w:rsid w:val="000D5249"/>
    <w:rsid w:val="000D5275"/>
    <w:rsid w:val="000D6185"/>
    <w:rsid w:val="000D6514"/>
    <w:rsid w:val="000D69D7"/>
    <w:rsid w:val="000E0761"/>
    <w:rsid w:val="000E0BAE"/>
    <w:rsid w:val="000E166F"/>
    <w:rsid w:val="000E2BCF"/>
    <w:rsid w:val="000E3DCC"/>
    <w:rsid w:val="000E4525"/>
    <w:rsid w:val="000E46D9"/>
    <w:rsid w:val="000E4E95"/>
    <w:rsid w:val="000E50DD"/>
    <w:rsid w:val="000E5E8F"/>
    <w:rsid w:val="000E60D1"/>
    <w:rsid w:val="000E640C"/>
    <w:rsid w:val="000E7308"/>
    <w:rsid w:val="000E7417"/>
    <w:rsid w:val="000E741F"/>
    <w:rsid w:val="000E76EC"/>
    <w:rsid w:val="000F1A45"/>
    <w:rsid w:val="000F1AF9"/>
    <w:rsid w:val="000F21C8"/>
    <w:rsid w:val="000F2629"/>
    <w:rsid w:val="000F335E"/>
    <w:rsid w:val="000F3713"/>
    <w:rsid w:val="000F376A"/>
    <w:rsid w:val="000F37AB"/>
    <w:rsid w:val="000F4155"/>
    <w:rsid w:val="000F4473"/>
    <w:rsid w:val="000F44CB"/>
    <w:rsid w:val="000F4F2F"/>
    <w:rsid w:val="000F5866"/>
    <w:rsid w:val="000F620C"/>
    <w:rsid w:val="000F7591"/>
    <w:rsid w:val="000F7DC6"/>
    <w:rsid w:val="001000C3"/>
    <w:rsid w:val="0010071B"/>
    <w:rsid w:val="001015C7"/>
    <w:rsid w:val="0010332C"/>
    <w:rsid w:val="001047E3"/>
    <w:rsid w:val="00104908"/>
    <w:rsid w:val="00104D5D"/>
    <w:rsid w:val="00105A9C"/>
    <w:rsid w:val="00106446"/>
    <w:rsid w:val="00106E3B"/>
    <w:rsid w:val="00107077"/>
    <w:rsid w:val="00107AD7"/>
    <w:rsid w:val="00107FD9"/>
    <w:rsid w:val="00110169"/>
    <w:rsid w:val="00110997"/>
    <w:rsid w:val="00110B4B"/>
    <w:rsid w:val="001113FC"/>
    <w:rsid w:val="00111596"/>
    <w:rsid w:val="00111CC9"/>
    <w:rsid w:val="00111E4D"/>
    <w:rsid w:val="00112250"/>
    <w:rsid w:val="00112A3D"/>
    <w:rsid w:val="001133AC"/>
    <w:rsid w:val="00113C61"/>
    <w:rsid w:val="00113D1C"/>
    <w:rsid w:val="00114B15"/>
    <w:rsid w:val="00114FEA"/>
    <w:rsid w:val="00117058"/>
    <w:rsid w:val="00117143"/>
    <w:rsid w:val="00120369"/>
    <w:rsid w:val="00121791"/>
    <w:rsid w:val="00121A30"/>
    <w:rsid w:val="001228FD"/>
    <w:rsid w:val="001232B6"/>
    <w:rsid w:val="00124058"/>
    <w:rsid w:val="00124345"/>
    <w:rsid w:val="00125769"/>
    <w:rsid w:val="00125F48"/>
    <w:rsid w:val="00126128"/>
    <w:rsid w:val="00126231"/>
    <w:rsid w:val="001264B5"/>
    <w:rsid w:val="001264DC"/>
    <w:rsid w:val="00127083"/>
    <w:rsid w:val="001306F8"/>
    <w:rsid w:val="0013172D"/>
    <w:rsid w:val="001322EF"/>
    <w:rsid w:val="001324B3"/>
    <w:rsid w:val="001345E9"/>
    <w:rsid w:val="00134894"/>
    <w:rsid w:val="001348D3"/>
    <w:rsid w:val="00135375"/>
    <w:rsid w:val="0013563D"/>
    <w:rsid w:val="001370E3"/>
    <w:rsid w:val="00137741"/>
    <w:rsid w:val="00137DBD"/>
    <w:rsid w:val="00137DCD"/>
    <w:rsid w:val="00140DA3"/>
    <w:rsid w:val="001413DF"/>
    <w:rsid w:val="00141BEE"/>
    <w:rsid w:val="00141C2D"/>
    <w:rsid w:val="00143121"/>
    <w:rsid w:val="001432D4"/>
    <w:rsid w:val="00144141"/>
    <w:rsid w:val="001446B4"/>
    <w:rsid w:val="001446BF"/>
    <w:rsid w:val="001449BC"/>
    <w:rsid w:val="00144ADD"/>
    <w:rsid w:val="00144F97"/>
    <w:rsid w:val="00145474"/>
    <w:rsid w:val="00145791"/>
    <w:rsid w:val="0014699B"/>
    <w:rsid w:val="00146BBD"/>
    <w:rsid w:val="00146D14"/>
    <w:rsid w:val="00147616"/>
    <w:rsid w:val="00151BA6"/>
    <w:rsid w:val="0015269F"/>
    <w:rsid w:val="00153432"/>
    <w:rsid w:val="00153C89"/>
    <w:rsid w:val="00153E41"/>
    <w:rsid w:val="001554BE"/>
    <w:rsid w:val="00156049"/>
    <w:rsid w:val="001564DB"/>
    <w:rsid w:val="00156F75"/>
    <w:rsid w:val="00157F03"/>
    <w:rsid w:val="00160E3C"/>
    <w:rsid w:val="001617E9"/>
    <w:rsid w:val="00162175"/>
    <w:rsid w:val="00162403"/>
    <w:rsid w:val="0016254E"/>
    <w:rsid w:val="00162F23"/>
    <w:rsid w:val="001637C1"/>
    <w:rsid w:val="0016451E"/>
    <w:rsid w:val="00164C0D"/>
    <w:rsid w:val="001655DB"/>
    <w:rsid w:val="0016583A"/>
    <w:rsid w:val="00166A7A"/>
    <w:rsid w:val="00166F38"/>
    <w:rsid w:val="00167313"/>
    <w:rsid w:val="001673CB"/>
    <w:rsid w:val="00167763"/>
    <w:rsid w:val="00167EE2"/>
    <w:rsid w:val="001706FD"/>
    <w:rsid w:val="001708E8"/>
    <w:rsid w:val="001710D2"/>
    <w:rsid w:val="001712FA"/>
    <w:rsid w:val="0017148D"/>
    <w:rsid w:val="0017284E"/>
    <w:rsid w:val="0017334A"/>
    <w:rsid w:val="00173713"/>
    <w:rsid w:val="00173A95"/>
    <w:rsid w:val="00173D83"/>
    <w:rsid w:val="0017404D"/>
    <w:rsid w:val="00174DE3"/>
    <w:rsid w:val="00175001"/>
    <w:rsid w:val="00175C3F"/>
    <w:rsid w:val="00175FE2"/>
    <w:rsid w:val="0017611D"/>
    <w:rsid w:val="0017633E"/>
    <w:rsid w:val="001773C6"/>
    <w:rsid w:val="0017741D"/>
    <w:rsid w:val="00177977"/>
    <w:rsid w:val="001810E9"/>
    <w:rsid w:val="00181D2E"/>
    <w:rsid w:val="00182334"/>
    <w:rsid w:val="001828D3"/>
    <w:rsid w:val="00182DDA"/>
    <w:rsid w:val="00183B36"/>
    <w:rsid w:val="001846F2"/>
    <w:rsid w:val="00184AF9"/>
    <w:rsid w:val="001850A4"/>
    <w:rsid w:val="00185B43"/>
    <w:rsid w:val="00186253"/>
    <w:rsid w:val="00186927"/>
    <w:rsid w:val="00186B23"/>
    <w:rsid w:val="001870D2"/>
    <w:rsid w:val="00187B52"/>
    <w:rsid w:val="00187F35"/>
    <w:rsid w:val="00190053"/>
    <w:rsid w:val="00190101"/>
    <w:rsid w:val="00190C8F"/>
    <w:rsid w:val="00191A57"/>
    <w:rsid w:val="00191F25"/>
    <w:rsid w:val="00192075"/>
    <w:rsid w:val="00193526"/>
    <w:rsid w:val="00195771"/>
    <w:rsid w:val="00196446"/>
    <w:rsid w:val="00197441"/>
    <w:rsid w:val="00197B7E"/>
    <w:rsid w:val="001A053D"/>
    <w:rsid w:val="001A101A"/>
    <w:rsid w:val="001A12A4"/>
    <w:rsid w:val="001A130A"/>
    <w:rsid w:val="001A2976"/>
    <w:rsid w:val="001A2C0A"/>
    <w:rsid w:val="001A3AA5"/>
    <w:rsid w:val="001A3AFC"/>
    <w:rsid w:val="001A3BCB"/>
    <w:rsid w:val="001A3D75"/>
    <w:rsid w:val="001A4D9B"/>
    <w:rsid w:val="001A561A"/>
    <w:rsid w:val="001A58C6"/>
    <w:rsid w:val="001A59EB"/>
    <w:rsid w:val="001A7ED6"/>
    <w:rsid w:val="001B0B82"/>
    <w:rsid w:val="001B1602"/>
    <w:rsid w:val="001B2179"/>
    <w:rsid w:val="001B2294"/>
    <w:rsid w:val="001B313B"/>
    <w:rsid w:val="001B383C"/>
    <w:rsid w:val="001B4531"/>
    <w:rsid w:val="001B4F01"/>
    <w:rsid w:val="001B5907"/>
    <w:rsid w:val="001B5C78"/>
    <w:rsid w:val="001C00F5"/>
    <w:rsid w:val="001C2072"/>
    <w:rsid w:val="001C2324"/>
    <w:rsid w:val="001C274B"/>
    <w:rsid w:val="001C2DAC"/>
    <w:rsid w:val="001C3481"/>
    <w:rsid w:val="001C3A49"/>
    <w:rsid w:val="001C461E"/>
    <w:rsid w:val="001C46C7"/>
    <w:rsid w:val="001C4E4C"/>
    <w:rsid w:val="001C53A7"/>
    <w:rsid w:val="001C5444"/>
    <w:rsid w:val="001C5C14"/>
    <w:rsid w:val="001C6748"/>
    <w:rsid w:val="001C737E"/>
    <w:rsid w:val="001C7B25"/>
    <w:rsid w:val="001D0F5F"/>
    <w:rsid w:val="001D1A86"/>
    <w:rsid w:val="001D26DC"/>
    <w:rsid w:val="001D300D"/>
    <w:rsid w:val="001D302B"/>
    <w:rsid w:val="001D3EBF"/>
    <w:rsid w:val="001D4206"/>
    <w:rsid w:val="001D5350"/>
    <w:rsid w:val="001D574C"/>
    <w:rsid w:val="001D5B75"/>
    <w:rsid w:val="001D6D82"/>
    <w:rsid w:val="001E0A24"/>
    <w:rsid w:val="001E1D4A"/>
    <w:rsid w:val="001E3396"/>
    <w:rsid w:val="001E3A6E"/>
    <w:rsid w:val="001E3AF6"/>
    <w:rsid w:val="001E3D6A"/>
    <w:rsid w:val="001E4458"/>
    <w:rsid w:val="001E4895"/>
    <w:rsid w:val="001E59F7"/>
    <w:rsid w:val="001E6A66"/>
    <w:rsid w:val="001E6EC4"/>
    <w:rsid w:val="001F075D"/>
    <w:rsid w:val="001F130D"/>
    <w:rsid w:val="001F1819"/>
    <w:rsid w:val="001F3480"/>
    <w:rsid w:val="001F3A23"/>
    <w:rsid w:val="001F4878"/>
    <w:rsid w:val="001F5321"/>
    <w:rsid w:val="001F534E"/>
    <w:rsid w:val="001F5B18"/>
    <w:rsid w:val="001F5C62"/>
    <w:rsid w:val="001F7AFA"/>
    <w:rsid w:val="001F7DF3"/>
    <w:rsid w:val="001F7F7E"/>
    <w:rsid w:val="00200789"/>
    <w:rsid w:val="002008A9"/>
    <w:rsid w:val="00200C39"/>
    <w:rsid w:val="00200D09"/>
    <w:rsid w:val="002018AB"/>
    <w:rsid w:val="002023F0"/>
    <w:rsid w:val="0020308E"/>
    <w:rsid w:val="002030B7"/>
    <w:rsid w:val="00203EA6"/>
    <w:rsid w:val="00204445"/>
    <w:rsid w:val="00205C0E"/>
    <w:rsid w:val="00205CF8"/>
    <w:rsid w:val="00206018"/>
    <w:rsid w:val="00207D02"/>
    <w:rsid w:val="002103CA"/>
    <w:rsid w:val="00210EE8"/>
    <w:rsid w:val="00210F21"/>
    <w:rsid w:val="00211971"/>
    <w:rsid w:val="00211F38"/>
    <w:rsid w:val="00212851"/>
    <w:rsid w:val="00213D61"/>
    <w:rsid w:val="00213E2F"/>
    <w:rsid w:val="00214E60"/>
    <w:rsid w:val="0021548B"/>
    <w:rsid w:val="002157B6"/>
    <w:rsid w:val="00215913"/>
    <w:rsid w:val="00215C17"/>
    <w:rsid w:val="00215D98"/>
    <w:rsid w:val="00216090"/>
    <w:rsid w:val="00216282"/>
    <w:rsid w:val="00216C26"/>
    <w:rsid w:val="00216FA2"/>
    <w:rsid w:val="002203CE"/>
    <w:rsid w:val="00221240"/>
    <w:rsid w:val="00221600"/>
    <w:rsid w:val="00221BE4"/>
    <w:rsid w:val="00222D7B"/>
    <w:rsid w:val="00223541"/>
    <w:rsid w:val="00223B66"/>
    <w:rsid w:val="002240A4"/>
    <w:rsid w:val="0022478B"/>
    <w:rsid w:val="00225547"/>
    <w:rsid w:val="00225A2D"/>
    <w:rsid w:val="00226CCD"/>
    <w:rsid w:val="00226E6E"/>
    <w:rsid w:val="00227AF9"/>
    <w:rsid w:val="00227FE3"/>
    <w:rsid w:val="002303FF"/>
    <w:rsid w:val="00230760"/>
    <w:rsid w:val="00230B4C"/>
    <w:rsid w:val="00231C9E"/>
    <w:rsid w:val="00231E32"/>
    <w:rsid w:val="0023235C"/>
    <w:rsid w:val="00232703"/>
    <w:rsid w:val="00232836"/>
    <w:rsid w:val="00232D80"/>
    <w:rsid w:val="0023339C"/>
    <w:rsid w:val="00234309"/>
    <w:rsid w:val="00235123"/>
    <w:rsid w:val="00237D39"/>
    <w:rsid w:val="002406A5"/>
    <w:rsid w:val="0024093C"/>
    <w:rsid w:val="002416E2"/>
    <w:rsid w:val="002419D0"/>
    <w:rsid w:val="00242897"/>
    <w:rsid w:val="00242A62"/>
    <w:rsid w:val="00244205"/>
    <w:rsid w:val="002444EA"/>
    <w:rsid w:val="00244B2A"/>
    <w:rsid w:val="00245EF6"/>
    <w:rsid w:val="00246A52"/>
    <w:rsid w:val="00246AFB"/>
    <w:rsid w:val="00247B5B"/>
    <w:rsid w:val="002509A9"/>
    <w:rsid w:val="00250A62"/>
    <w:rsid w:val="0025131F"/>
    <w:rsid w:val="002518D2"/>
    <w:rsid w:val="00253669"/>
    <w:rsid w:val="0025485F"/>
    <w:rsid w:val="00255862"/>
    <w:rsid w:val="00255AC7"/>
    <w:rsid w:val="00255CD0"/>
    <w:rsid w:val="0025611F"/>
    <w:rsid w:val="002569C5"/>
    <w:rsid w:val="00256A84"/>
    <w:rsid w:val="00257F4D"/>
    <w:rsid w:val="00260902"/>
    <w:rsid w:val="00260A71"/>
    <w:rsid w:val="00260FC5"/>
    <w:rsid w:val="0026198C"/>
    <w:rsid w:val="00261AC6"/>
    <w:rsid w:val="002625EA"/>
    <w:rsid w:val="00262FCB"/>
    <w:rsid w:val="00263A16"/>
    <w:rsid w:val="00263AB2"/>
    <w:rsid w:val="002643E5"/>
    <w:rsid w:val="00264503"/>
    <w:rsid w:val="00264EB2"/>
    <w:rsid w:val="00265009"/>
    <w:rsid w:val="0026705D"/>
    <w:rsid w:val="002675EC"/>
    <w:rsid w:val="00267C83"/>
    <w:rsid w:val="00270047"/>
    <w:rsid w:val="00270DBF"/>
    <w:rsid w:val="002713C9"/>
    <w:rsid w:val="00271A7E"/>
    <w:rsid w:val="002720A8"/>
    <w:rsid w:val="00272498"/>
    <w:rsid w:val="002725B6"/>
    <w:rsid w:val="002726B5"/>
    <w:rsid w:val="00272DCB"/>
    <w:rsid w:val="00273967"/>
    <w:rsid w:val="00273BA0"/>
    <w:rsid w:val="0027496A"/>
    <w:rsid w:val="00275B64"/>
    <w:rsid w:val="00276030"/>
    <w:rsid w:val="00276324"/>
    <w:rsid w:val="002769B7"/>
    <w:rsid w:val="00276AC4"/>
    <w:rsid w:val="00276F7B"/>
    <w:rsid w:val="00277459"/>
    <w:rsid w:val="0027767A"/>
    <w:rsid w:val="00277D4D"/>
    <w:rsid w:val="00280407"/>
    <w:rsid w:val="002815E4"/>
    <w:rsid w:val="00282302"/>
    <w:rsid w:val="0028240A"/>
    <w:rsid w:val="00282892"/>
    <w:rsid w:val="00283506"/>
    <w:rsid w:val="002839CE"/>
    <w:rsid w:val="00283A43"/>
    <w:rsid w:val="002842BF"/>
    <w:rsid w:val="00284301"/>
    <w:rsid w:val="00284647"/>
    <w:rsid w:val="0028487B"/>
    <w:rsid w:val="002849EB"/>
    <w:rsid w:val="002859F4"/>
    <w:rsid w:val="00285A81"/>
    <w:rsid w:val="00285BDF"/>
    <w:rsid w:val="00285F61"/>
    <w:rsid w:val="002862E3"/>
    <w:rsid w:val="00286657"/>
    <w:rsid w:val="002868A8"/>
    <w:rsid w:val="00286AF0"/>
    <w:rsid w:val="00287390"/>
    <w:rsid w:val="002873C0"/>
    <w:rsid w:val="00287BB6"/>
    <w:rsid w:val="00287E12"/>
    <w:rsid w:val="00290742"/>
    <w:rsid w:val="00290DAB"/>
    <w:rsid w:val="00291042"/>
    <w:rsid w:val="00291C24"/>
    <w:rsid w:val="00292441"/>
    <w:rsid w:val="00292F73"/>
    <w:rsid w:val="00293489"/>
    <w:rsid w:val="00293A07"/>
    <w:rsid w:val="0029465D"/>
    <w:rsid w:val="00294C4C"/>
    <w:rsid w:val="002950BC"/>
    <w:rsid w:val="002958E2"/>
    <w:rsid w:val="00295CE8"/>
    <w:rsid w:val="002962B1"/>
    <w:rsid w:val="002965AD"/>
    <w:rsid w:val="0029761B"/>
    <w:rsid w:val="00297B55"/>
    <w:rsid w:val="00297B75"/>
    <w:rsid w:val="002A0C4E"/>
    <w:rsid w:val="002A15D6"/>
    <w:rsid w:val="002A1672"/>
    <w:rsid w:val="002A22D6"/>
    <w:rsid w:val="002A3505"/>
    <w:rsid w:val="002A3741"/>
    <w:rsid w:val="002A3D52"/>
    <w:rsid w:val="002A4AAB"/>
    <w:rsid w:val="002A530B"/>
    <w:rsid w:val="002A5974"/>
    <w:rsid w:val="002A5CB2"/>
    <w:rsid w:val="002A5CC1"/>
    <w:rsid w:val="002A5E44"/>
    <w:rsid w:val="002A65A7"/>
    <w:rsid w:val="002A65E2"/>
    <w:rsid w:val="002A6C88"/>
    <w:rsid w:val="002A7BBC"/>
    <w:rsid w:val="002B00AE"/>
    <w:rsid w:val="002B0A62"/>
    <w:rsid w:val="002B12E2"/>
    <w:rsid w:val="002B1662"/>
    <w:rsid w:val="002B2A43"/>
    <w:rsid w:val="002B2B52"/>
    <w:rsid w:val="002B3F03"/>
    <w:rsid w:val="002B4148"/>
    <w:rsid w:val="002B469A"/>
    <w:rsid w:val="002B51EA"/>
    <w:rsid w:val="002B5C26"/>
    <w:rsid w:val="002B7974"/>
    <w:rsid w:val="002C0B5D"/>
    <w:rsid w:val="002C0DD0"/>
    <w:rsid w:val="002C1AB9"/>
    <w:rsid w:val="002C2712"/>
    <w:rsid w:val="002C2D6E"/>
    <w:rsid w:val="002C3042"/>
    <w:rsid w:val="002C33EB"/>
    <w:rsid w:val="002C363B"/>
    <w:rsid w:val="002C465A"/>
    <w:rsid w:val="002C4F37"/>
    <w:rsid w:val="002C5358"/>
    <w:rsid w:val="002C631A"/>
    <w:rsid w:val="002C666B"/>
    <w:rsid w:val="002C6B3C"/>
    <w:rsid w:val="002C6C07"/>
    <w:rsid w:val="002C6E3F"/>
    <w:rsid w:val="002C7157"/>
    <w:rsid w:val="002C7C77"/>
    <w:rsid w:val="002D13DD"/>
    <w:rsid w:val="002D1777"/>
    <w:rsid w:val="002D1B28"/>
    <w:rsid w:val="002D1FEC"/>
    <w:rsid w:val="002D2F30"/>
    <w:rsid w:val="002D47DE"/>
    <w:rsid w:val="002D539E"/>
    <w:rsid w:val="002D54FF"/>
    <w:rsid w:val="002D5C40"/>
    <w:rsid w:val="002D61AB"/>
    <w:rsid w:val="002D71AA"/>
    <w:rsid w:val="002D73B2"/>
    <w:rsid w:val="002D759F"/>
    <w:rsid w:val="002D7BB2"/>
    <w:rsid w:val="002E1448"/>
    <w:rsid w:val="002E1C24"/>
    <w:rsid w:val="002E1F2C"/>
    <w:rsid w:val="002E202C"/>
    <w:rsid w:val="002E20C7"/>
    <w:rsid w:val="002E273F"/>
    <w:rsid w:val="002E28E9"/>
    <w:rsid w:val="002E348F"/>
    <w:rsid w:val="002E36ED"/>
    <w:rsid w:val="002E466F"/>
    <w:rsid w:val="002E5245"/>
    <w:rsid w:val="002E6BFE"/>
    <w:rsid w:val="002E7D8D"/>
    <w:rsid w:val="002F1615"/>
    <w:rsid w:val="002F180D"/>
    <w:rsid w:val="002F1878"/>
    <w:rsid w:val="002F1E61"/>
    <w:rsid w:val="002F210A"/>
    <w:rsid w:val="002F2598"/>
    <w:rsid w:val="002F3257"/>
    <w:rsid w:val="002F3CEC"/>
    <w:rsid w:val="002F4310"/>
    <w:rsid w:val="002F4865"/>
    <w:rsid w:val="002F499D"/>
    <w:rsid w:val="002F57E6"/>
    <w:rsid w:val="002F654F"/>
    <w:rsid w:val="002F717E"/>
    <w:rsid w:val="002F7978"/>
    <w:rsid w:val="002F7B60"/>
    <w:rsid w:val="00300FE9"/>
    <w:rsid w:val="0030203A"/>
    <w:rsid w:val="00302E29"/>
    <w:rsid w:val="00306A74"/>
    <w:rsid w:val="00307C11"/>
    <w:rsid w:val="00311CEC"/>
    <w:rsid w:val="00313325"/>
    <w:rsid w:val="003137CA"/>
    <w:rsid w:val="00313A4D"/>
    <w:rsid w:val="00313F34"/>
    <w:rsid w:val="00314DB9"/>
    <w:rsid w:val="0031707F"/>
    <w:rsid w:val="00317639"/>
    <w:rsid w:val="00321E2F"/>
    <w:rsid w:val="00322B7F"/>
    <w:rsid w:val="003246F2"/>
    <w:rsid w:val="00324865"/>
    <w:rsid w:val="00324B01"/>
    <w:rsid w:val="00324E36"/>
    <w:rsid w:val="0032508A"/>
    <w:rsid w:val="0032557C"/>
    <w:rsid w:val="00326478"/>
    <w:rsid w:val="0032788A"/>
    <w:rsid w:val="00331031"/>
    <w:rsid w:val="0033117B"/>
    <w:rsid w:val="00331281"/>
    <w:rsid w:val="00332E4E"/>
    <w:rsid w:val="003333CF"/>
    <w:rsid w:val="0033420E"/>
    <w:rsid w:val="003347D8"/>
    <w:rsid w:val="003347F8"/>
    <w:rsid w:val="003348AD"/>
    <w:rsid w:val="003350FF"/>
    <w:rsid w:val="00335351"/>
    <w:rsid w:val="0033575A"/>
    <w:rsid w:val="003359F2"/>
    <w:rsid w:val="0033637B"/>
    <w:rsid w:val="00340374"/>
    <w:rsid w:val="003405B0"/>
    <w:rsid w:val="00340734"/>
    <w:rsid w:val="0034095A"/>
    <w:rsid w:val="00340B45"/>
    <w:rsid w:val="00341664"/>
    <w:rsid w:val="0034287E"/>
    <w:rsid w:val="00342E44"/>
    <w:rsid w:val="00343125"/>
    <w:rsid w:val="00343334"/>
    <w:rsid w:val="00343E79"/>
    <w:rsid w:val="00345BB4"/>
    <w:rsid w:val="00345C47"/>
    <w:rsid w:val="00346417"/>
    <w:rsid w:val="00346F10"/>
    <w:rsid w:val="00347CE7"/>
    <w:rsid w:val="00347DC8"/>
    <w:rsid w:val="00350642"/>
    <w:rsid w:val="0035087B"/>
    <w:rsid w:val="0035259F"/>
    <w:rsid w:val="00352E5D"/>
    <w:rsid w:val="00353093"/>
    <w:rsid w:val="003538B4"/>
    <w:rsid w:val="00353D3F"/>
    <w:rsid w:val="003541EB"/>
    <w:rsid w:val="0035420B"/>
    <w:rsid w:val="003546A7"/>
    <w:rsid w:val="00354E41"/>
    <w:rsid w:val="00355F7D"/>
    <w:rsid w:val="003565D4"/>
    <w:rsid w:val="00356C0C"/>
    <w:rsid w:val="00357A18"/>
    <w:rsid w:val="00357CAE"/>
    <w:rsid w:val="0036003D"/>
    <w:rsid w:val="003601EE"/>
    <w:rsid w:val="0036092F"/>
    <w:rsid w:val="0036212C"/>
    <w:rsid w:val="0036286E"/>
    <w:rsid w:val="00362DEC"/>
    <w:rsid w:val="00364709"/>
    <w:rsid w:val="003647C9"/>
    <w:rsid w:val="00364A8F"/>
    <w:rsid w:val="00365849"/>
    <w:rsid w:val="00365CEB"/>
    <w:rsid w:val="0036608F"/>
    <w:rsid w:val="00366E87"/>
    <w:rsid w:val="00367761"/>
    <w:rsid w:val="00371061"/>
    <w:rsid w:val="003723EC"/>
    <w:rsid w:val="003725C2"/>
    <w:rsid w:val="003728E3"/>
    <w:rsid w:val="00372DA4"/>
    <w:rsid w:val="00373228"/>
    <w:rsid w:val="0037398C"/>
    <w:rsid w:val="00373BCB"/>
    <w:rsid w:val="00373DDA"/>
    <w:rsid w:val="003751D4"/>
    <w:rsid w:val="00375AFE"/>
    <w:rsid w:val="00376521"/>
    <w:rsid w:val="003765C9"/>
    <w:rsid w:val="0037765F"/>
    <w:rsid w:val="0037789B"/>
    <w:rsid w:val="003805C3"/>
    <w:rsid w:val="003808DC"/>
    <w:rsid w:val="003812EE"/>
    <w:rsid w:val="00381353"/>
    <w:rsid w:val="003817D3"/>
    <w:rsid w:val="00381AD3"/>
    <w:rsid w:val="00382023"/>
    <w:rsid w:val="00382317"/>
    <w:rsid w:val="00382748"/>
    <w:rsid w:val="00383422"/>
    <w:rsid w:val="0038366B"/>
    <w:rsid w:val="003836C4"/>
    <w:rsid w:val="00383E27"/>
    <w:rsid w:val="00384533"/>
    <w:rsid w:val="00384A33"/>
    <w:rsid w:val="00384F53"/>
    <w:rsid w:val="00385CF5"/>
    <w:rsid w:val="00385DCE"/>
    <w:rsid w:val="00386C2F"/>
    <w:rsid w:val="0038718B"/>
    <w:rsid w:val="003875E7"/>
    <w:rsid w:val="00390037"/>
    <w:rsid w:val="003908CB"/>
    <w:rsid w:val="00390F51"/>
    <w:rsid w:val="00391805"/>
    <w:rsid w:val="00392780"/>
    <w:rsid w:val="00392A53"/>
    <w:rsid w:val="003934AA"/>
    <w:rsid w:val="00393758"/>
    <w:rsid w:val="003965DB"/>
    <w:rsid w:val="003966A4"/>
    <w:rsid w:val="003968D8"/>
    <w:rsid w:val="003972AC"/>
    <w:rsid w:val="00397EA7"/>
    <w:rsid w:val="003A00BD"/>
    <w:rsid w:val="003A131A"/>
    <w:rsid w:val="003A1873"/>
    <w:rsid w:val="003A3153"/>
    <w:rsid w:val="003A334D"/>
    <w:rsid w:val="003A389D"/>
    <w:rsid w:val="003A4099"/>
    <w:rsid w:val="003A4572"/>
    <w:rsid w:val="003A48A3"/>
    <w:rsid w:val="003A4DEB"/>
    <w:rsid w:val="003A56B4"/>
    <w:rsid w:val="003A63A3"/>
    <w:rsid w:val="003A71CF"/>
    <w:rsid w:val="003A7CE9"/>
    <w:rsid w:val="003A7D94"/>
    <w:rsid w:val="003B074C"/>
    <w:rsid w:val="003B16B1"/>
    <w:rsid w:val="003B304F"/>
    <w:rsid w:val="003B36FD"/>
    <w:rsid w:val="003B3928"/>
    <w:rsid w:val="003B52E3"/>
    <w:rsid w:val="003B5E5D"/>
    <w:rsid w:val="003B6510"/>
    <w:rsid w:val="003B65D7"/>
    <w:rsid w:val="003B6A26"/>
    <w:rsid w:val="003B6EB4"/>
    <w:rsid w:val="003B7348"/>
    <w:rsid w:val="003C0A14"/>
    <w:rsid w:val="003C1256"/>
    <w:rsid w:val="003C1404"/>
    <w:rsid w:val="003C229B"/>
    <w:rsid w:val="003C2DB6"/>
    <w:rsid w:val="003C2F63"/>
    <w:rsid w:val="003C3622"/>
    <w:rsid w:val="003C4815"/>
    <w:rsid w:val="003C5D94"/>
    <w:rsid w:val="003C7A73"/>
    <w:rsid w:val="003D061C"/>
    <w:rsid w:val="003D0B07"/>
    <w:rsid w:val="003D16A0"/>
    <w:rsid w:val="003D1765"/>
    <w:rsid w:val="003D188B"/>
    <w:rsid w:val="003D3543"/>
    <w:rsid w:val="003D3B73"/>
    <w:rsid w:val="003D3B9A"/>
    <w:rsid w:val="003D3ECE"/>
    <w:rsid w:val="003D42BA"/>
    <w:rsid w:val="003D4669"/>
    <w:rsid w:val="003D5E2A"/>
    <w:rsid w:val="003D6B57"/>
    <w:rsid w:val="003D6C2B"/>
    <w:rsid w:val="003E0880"/>
    <w:rsid w:val="003E0893"/>
    <w:rsid w:val="003E0C00"/>
    <w:rsid w:val="003E3CBC"/>
    <w:rsid w:val="003E4724"/>
    <w:rsid w:val="003E5316"/>
    <w:rsid w:val="003E53D2"/>
    <w:rsid w:val="003E54BD"/>
    <w:rsid w:val="003E5B81"/>
    <w:rsid w:val="003E63DA"/>
    <w:rsid w:val="003E6E9A"/>
    <w:rsid w:val="003E7610"/>
    <w:rsid w:val="003E7A91"/>
    <w:rsid w:val="003F0052"/>
    <w:rsid w:val="003F080A"/>
    <w:rsid w:val="003F187B"/>
    <w:rsid w:val="003F23CE"/>
    <w:rsid w:val="003F2BA3"/>
    <w:rsid w:val="003F3033"/>
    <w:rsid w:val="003F3EC6"/>
    <w:rsid w:val="003F4609"/>
    <w:rsid w:val="003F47E7"/>
    <w:rsid w:val="003F4887"/>
    <w:rsid w:val="003F6718"/>
    <w:rsid w:val="003F6955"/>
    <w:rsid w:val="003F7A91"/>
    <w:rsid w:val="00400ACB"/>
    <w:rsid w:val="00400CDF"/>
    <w:rsid w:val="004014AC"/>
    <w:rsid w:val="00401A02"/>
    <w:rsid w:val="00401EA9"/>
    <w:rsid w:val="00402729"/>
    <w:rsid w:val="00402BA3"/>
    <w:rsid w:val="00402FF4"/>
    <w:rsid w:val="004041BB"/>
    <w:rsid w:val="0040556F"/>
    <w:rsid w:val="00405896"/>
    <w:rsid w:val="00405C57"/>
    <w:rsid w:val="004060A4"/>
    <w:rsid w:val="0040628F"/>
    <w:rsid w:val="0040634B"/>
    <w:rsid w:val="00406717"/>
    <w:rsid w:val="00406F15"/>
    <w:rsid w:val="00407D3D"/>
    <w:rsid w:val="00407DF5"/>
    <w:rsid w:val="0041111A"/>
    <w:rsid w:val="004112B7"/>
    <w:rsid w:val="004113F2"/>
    <w:rsid w:val="0041189C"/>
    <w:rsid w:val="00412846"/>
    <w:rsid w:val="0041286B"/>
    <w:rsid w:val="00412E55"/>
    <w:rsid w:val="00412EDA"/>
    <w:rsid w:val="00413ED6"/>
    <w:rsid w:val="004144B9"/>
    <w:rsid w:val="0041470D"/>
    <w:rsid w:val="00414BF8"/>
    <w:rsid w:val="00415306"/>
    <w:rsid w:val="004153E5"/>
    <w:rsid w:val="00415B30"/>
    <w:rsid w:val="00415ED8"/>
    <w:rsid w:val="00416201"/>
    <w:rsid w:val="00416293"/>
    <w:rsid w:val="004165A5"/>
    <w:rsid w:val="004165E0"/>
    <w:rsid w:val="004173CC"/>
    <w:rsid w:val="00417D39"/>
    <w:rsid w:val="0042020F"/>
    <w:rsid w:val="004209AD"/>
    <w:rsid w:val="00420E26"/>
    <w:rsid w:val="00423265"/>
    <w:rsid w:val="00423AB0"/>
    <w:rsid w:val="004240A4"/>
    <w:rsid w:val="004241CA"/>
    <w:rsid w:val="00424BDE"/>
    <w:rsid w:val="00424DB7"/>
    <w:rsid w:val="0042508B"/>
    <w:rsid w:val="00425252"/>
    <w:rsid w:val="004255AF"/>
    <w:rsid w:val="00425EF9"/>
    <w:rsid w:val="00426293"/>
    <w:rsid w:val="00426490"/>
    <w:rsid w:val="0043056E"/>
    <w:rsid w:val="00430A58"/>
    <w:rsid w:val="0043102C"/>
    <w:rsid w:val="004315C7"/>
    <w:rsid w:val="00431770"/>
    <w:rsid w:val="00431D80"/>
    <w:rsid w:val="0043264C"/>
    <w:rsid w:val="00432EDE"/>
    <w:rsid w:val="00433361"/>
    <w:rsid w:val="00433970"/>
    <w:rsid w:val="004346A4"/>
    <w:rsid w:val="004346F5"/>
    <w:rsid w:val="00434B22"/>
    <w:rsid w:val="00434E74"/>
    <w:rsid w:val="0043573B"/>
    <w:rsid w:val="00435970"/>
    <w:rsid w:val="004366AC"/>
    <w:rsid w:val="00436879"/>
    <w:rsid w:val="00437C0C"/>
    <w:rsid w:val="00437C38"/>
    <w:rsid w:val="00437DC8"/>
    <w:rsid w:val="00440935"/>
    <w:rsid w:val="00440CB2"/>
    <w:rsid w:val="0044137D"/>
    <w:rsid w:val="00441DE0"/>
    <w:rsid w:val="004428F8"/>
    <w:rsid w:val="004438EC"/>
    <w:rsid w:val="0044398B"/>
    <w:rsid w:val="004447E2"/>
    <w:rsid w:val="00445686"/>
    <w:rsid w:val="00446471"/>
    <w:rsid w:val="0044682D"/>
    <w:rsid w:val="00447048"/>
    <w:rsid w:val="004470BD"/>
    <w:rsid w:val="00447425"/>
    <w:rsid w:val="004476F7"/>
    <w:rsid w:val="00447F68"/>
    <w:rsid w:val="004508EB"/>
    <w:rsid w:val="004515F1"/>
    <w:rsid w:val="00452806"/>
    <w:rsid w:val="00453947"/>
    <w:rsid w:val="004545E1"/>
    <w:rsid w:val="00455C83"/>
    <w:rsid w:val="00456A2C"/>
    <w:rsid w:val="00457B50"/>
    <w:rsid w:val="0046041C"/>
    <w:rsid w:val="00460668"/>
    <w:rsid w:val="004609DF"/>
    <w:rsid w:val="004611C1"/>
    <w:rsid w:val="004627F6"/>
    <w:rsid w:val="00462B72"/>
    <w:rsid w:val="00465AF5"/>
    <w:rsid w:val="004661B0"/>
    <w:rsid w:val="00466FEA"/>
    <w:rsid w:val="00467A33"/>
    <w:rsid w:val="004702BD"/>
    <w:rsid w:val="00470775"/>
    <w:rsid w:val="0047091D"/>
    <w:rsid w:val="00470B82"/>
    <w:rsid w:val="00472D5C"/>
    <w:rsid w:val="00472F9E"/>
    <w:rsid w:val="00473A7F"/>
    <w:rsid w:val="00473BD5"/>
    <w:rsid w:val="0047596E"/>
    <w:rsid w:val="00477865"/>
    <w:rsid w:val="0048092A"/>
    <w:rsid w:val="00480F9B"/>
    <w:rsid w:val="00482A44"/>
    <w:rsid w:val="00482FD4"/>
    <w:rsid w:val="004838AA"/>
    <w:rsid w:val="00484599"/>
    <w:rsid w:val="00484AFF"/>
    <w:rsid w:val="004851C5"/>
    <w:rsid w:val="00485335"/>
    <w:rsid w:val="00485F0D"/>
    <w:rsid w:val="0048666C"/>
    <w:rsid w:val="004867D2"/>
    <w:rsid w:val="00487EFD"/>
    <w:rsid w:val="004911DC"/>
    <w:rsid w:val="00491F0E"/>
    <w:rsid w:val="004920BD"/>
    <w:rsid w:val="004922C3"/>
    <w:rsid w:val="00492475"/>
    <w:rsid w:val="00492E2E"/>
    <w:rsid w:val="0049332A"/>
    <w:rsid w:val="004937D2"/>
    <w:rsid w:val="004944B6"/>
    <w:rsid w:val="0049483D"/>
    <w:rsid w:val="00494A80"/>
    <w:rsid w:val="004957B7"/>
    <w:rsid w:val="00496094"/>
    <w:rsid w:val="00497896"/>
    <w:rsid w:val="004A09B1"/>
    <w:rsid w:val="004A0CF8"/>
    <w:rsid w:val="004A0D42"/>
    <w:rsid w:val="004A22EC"/>
    <w:rsid w:val="004A3B8B"/>
    <w:rsid w:val="004A4630"/>
    <w:rsid w:val="004A4CC2"/>
    <w:rsid w:val="004A5053"/>
    <w:rsid w:val="004A529D"/>
    <w:rsid w:val="004A5612"/>
    <w:rsid w:val="004A5AEC"/>
    <w:rsid w:val="004A734D"/>
    <w:rsid w:val="004A7598"/>
    <w:rsid w:val="004A7952"/>
    <w:rsid w:val="004A7AFF"/>
    <w:rsid w:val="004B1465"/>
    <w:rsid w:val="004B1F0B"/>
    <w:rsid w:val="004B268D"/>
    <w:rsid w:val="004B3D61"/>
    <w:rsid w:val="004B5555"/>
    <w:rsid w:val="004B5F31"/>
    <w:rsid w:val="004B5FED"/>
    <w:rsid w:val="004B692C"/>
    <w:rsid w:val="004B6A9B"/>
    <w:rsid w:val="004C0A57"/>
    <w:rsid w:val="004C159B"/>
    <w:rsid w:val="004C1CEC"/>
    <w:rsid w:val="004C2734"/>
    <w:rsid w:val="004C2A1A"/>
    <w:rsid w:val="004C39FF"/>
    <w:rsid w:val="004C4320"/>
    <w:rsid w:val="004C5584"/>
    <w:rsid w:val="004C6B9E"/>
    <w:rsid w:val="004C6C6E"/>
    <w:rsid w:val="004C746C"/>
    <w:rsid w:val="004C7579"/>
    <w:rsid w:val="004C780E"/>
    <w:rsid w:val="004D090D"/>
    <w:rsid w:val="004D106B"/>
    <w:rsid w:val="004D106C"/>
    <w:rsid w:val="004D14D8"/>
    <w:rsid w:val="004D1C55"/>
    <w:rsid w:val="004D2888"/>
    <w:rsid w:val="004D2C1C"/>
    <w:rsid w:val="004D3D91"/>
    <w:rsid w:val="004D4327"/>
    <w:rsid w:val="004D4549"/>
    <w:rsid w:val="004D4D1A"/>
    <w:rsid w:val="004D57BC"/>
    <w:rsid w:val="004D586E"/>
    <w:rsid w:val="004D5ACE"/>
    <w:rsid w:val="004D5BB9"/>
    <w:rsid w:val="004D6A59"/>
    <w:rsid w:val="004D77EF"/>
    <w:rsid w:val="004D7834"/>
    <w:rsid w:val="004D7BF8"/>
    <w:rsid w:val="004E01E1"/>
    <w:rsid w:val="004E0B7A"/>
    <w:rsid w:val="004E0B8E"/>
    <w:rsid w:val="004E1894"/>
    <w:rsid w:val="004E2CF6"/>
    <w:rsid w:val="004E35A1"/>
    <w:rsid w:val="004E39EE"/>
    <w:rsid w:val="004E3BBF"/>
    <w:rsid w:val="004E4CC2"/>
    <w:rsid w:val="004E4DFD"/>
    <w:rsid w:val="004E518C"/>
    <w:rsid w:val="004E57FD"/>
    <w:rsid w:val="004E5941"/>
    <w:rsid w:val="004E67F4"/>
    <w:rsid w:val="004E6F94"/>
    <w:rsid w:val="004E74DE"/>
    <w:rsid w:val="004E7578"/>
    <w:rsid w:val="004E7F9B"/>
    <w:rsid w:val="004F0107"/>
    <w:rsid w:val="004F10DE"/>
    <w:rsid w:val="004F1699"/>
    <w:rsid w:val="004F17FB"/>
    <w:rsid w:val="004F235E"/>
    <w:rsid w:val="004F3090"/>
    <w:rsid w:val="004F3B05"/>
    <w:rsid w:val="004F4346"/>
    <w:rsid w:val="004F489A"/>
    <w:rsid w:val="004F4A39"/>
    <w:rsid w:val="004F4D75"/>
    <w:rsid w:val="004F5364"/>
    <w:rsid w:val="004F53A7"/>
    <w:rsid w:val="004F5F21"/>
    <w:rsid w:val="004F66D0"/>
    <w:rsid w:val="004F6747"/>
    <w:rsid w:val="004F6AAD"/>
    <w:rsid w:val="004F6B76"/>
    <w:rsid w:val="004F7EEC"/>
    <w:rsid w:val="00500332"/>
    <w:rsid w:val="00500F88"/>
    <w:rsid w:val="00502E6F"/>
    <w:rsid w:val="00504154"/>
    <w:rsid w:val="00504223"/>
    <w:rsid w:val="00504351"/>
    <w:rsid w:val="0050477B"/>
    <w:rsid w:val="00504AAE"/>
    <w:rsid w:val="005057CC"/>
    <w:rsid w:val="00505858"/>
    <w:rsid w:val="00505A9A"/>
    <w:rsid w:val="00505F80"/>
    <w:rsid w:val="00506735"/>
    <w:rsid w:val="005069A5"/>
    <w:rsid w:val="00507E86"/>
    <w:rsid w:val="0051089D"/>
    <w:rsid w:val="005114D4"/>
    <w:rsid w:val="005115F3"/>
    <w:rsid w:val="00512319"/>
    <w:rsid w:val="00512BF2"/>
    <w:rsid w:val="00513834"/>
    <w:rsid w:val="0051433B"/>
    <w:rsid w:val="00514591"/>
    <w:rsid w:val="00514908"/>
    <w:rsid w:val="00514A6D"/>
    <w:rsid w:val="00515EB7"/>
    <w:rsid w:val="00516085"/>
    <w:rsid w:val="00516D1C"/>
    <w:rsid w:val="00520518"/>
    <w:rsid w:val="005208EB"/>
    <w:rsid w:val="005209D7"/>
    <w:rsid w:val="00520CD4"/>
    <w:rsid w:val="005216BC"/>
    <w:rsid w:val="0052205A"/>
    <w:rsid w:val="005226AC"/>
    <w:rsid w:val="00523051"/>
    <w:rsid w:val="00523128"/>
    <w:rsid w:val="00523698"/>
    <w:rsid w:val="00523D1E"/>
    <w:rsid w:val="00524059"/>
    <w:rsid w:val="0052537E"/>
    <w:rsid w:val="00525F48"/>
    <w:rsid w:val="0052611C"/>
    <w:rsid w:val="005261F1"/>
    <w:rsid w:val="00526332"/>
    <w:rsid w:val="00526784"/>
    <w:rsid w:val="00526E2C"/>
    <w:rsid w:val="00527268"/>
    <w:rsid w:val="00527CD2"/>
    <w:rsid w:val="00530F77"/>
    <w:rsid w:val="00531527"/>
    <w:rsid w:val="005316AD"/>
    <w:rsid w:val="005316B6"/>
    <w:rsid w:val="00532A31"/>
    <w:rsid w:val="00533FFC"/>
    <w:rsid w:val="005342D3"/>
    <w:rsid w:val="0053539D"/>
    <w:rsid w:val="005361E0"/>
    <w:rsid w:val="005365A5"/>
    <w:rsid w:val="0053684A"/>
    <w:rsid w:val="00536D3F"/>
    <w:rsid w:val="005378EF"/>
    <w:rsid w:val="0054020C"/>
    <w:rsid w:val="00540570"/>
    <w:rsid w:val="005407B9"/>
    <w:rsid w:val="00540EC4"/>
    <w:rsid w:val="005415FA"/>
    <w:rsid w:val="0054308F"/>
    <w:rsid w:val="005437CF"/>
    <w:rsid w:val="00543AF7"/>
    <w:rsid w:val="0054482C"/>
    <w:rsid w:val="00546BC6"/>
    <w:rsid w:val="00547B5A"/>
    <w:rsid w:val="00550282"/>
    <w:rsid w:val="0055130D"/>
    <w:rsid w:val="005541D7"/>
    <w:rsid w:val="005550DD"/>
    <w:rsid w:val="00555359"/>
    <w:rsid w:val="005575BA"/>
    <w:rsid w:val="00557B51"/>
    <w:rsid w:val="00557DC5"/>
    <w:rsid w:val="0056072A"/>
    <w:rsid w:val="00560F77"/>
    <w:rsid w:val="00561622"/>
    <w:rsid w:val="00561E4F"/>
    <w:rsid w:val="00561EA3"/>
    <w:rsid w:val="00561F20"/>
    <w:rsid w:val="005624A0"/>
    <w:rsid w:val="005634AE"/>
    <w:rsid w:val="005635C8"/>
    <w:rsid w:val="00564B12"/>
    <w:rsid w:val="00564C22"/>
    <w:rsid w:val="005654A5"/>
    <w:rsid w:val="0056550D"/>
    <w:rsid w:val="005659AC"/>
    <w:rsid w:val="00566122"/>
    <w:rsid w:val="005665E1"/>
    <w:rsid w:val="00567592"/>
    <w:rsid w:val="00567730"/>
    <w:rsid w:val="00567B55"/>
    <w:rsid w:val="005701BB"/>
    <w:rsid w:val="00570520"/>
    <w:rsid w:val="005709B5"/>
    <w:rsid w:val="00570BB9"/>
    <w:rsid w:val="005712A8"/>
    <w:rsid w:val="00572418"/>
    <w:rsid w:val="00572A77"/>
    <w:rsid w:val="00573856"/>
    <w:rsid w:val="00573BE5"/>
    <w:rsid w:val="0057418D"/>
    <w:rsid w:val="00574301"/>
    <w:rsid w:val="00574806"/>
    <w:rsid w:val="005752A3"/>
    <w:rsid w:val="00575CB7"/>
    <w:rsid w:val="00576BB5"/>
    <w:rsid w:val="00577EB7"/>
    <w:rsid w:val="00580F55"/>
    <w:rsid w:val="00583F70"/>
    <w:rsid w:val="00584D05"/>
    <w:rsid w:val="0058523D"/>
    <w:rsid w:val="00586934"/>
    <w:rsid w:val="00587C00"/>
    <w:rsid w:val="00587C02"/>
    <w:rsid w:val="00587E4F"/>
    <w:rsid w:val="00587E60"/>
    <w:rsid w:val="0059033F"/>
    <w:rsid w:val="00590527"/>
    <w:rsid w:val="00591BBD"/>
    <w:rsid w:val="0059225C"/>
    <w:rsid w:val="00592C13"/>
    <w:rsid w:val="0059449D"/>
    <w:rsid w:val="00596DA1"/>
    <w:rsid w:val="00597E4B"/>
    <w:rsid w:val="005A0E87"/>
    <w:rsid w:val="005A1260"/>
    <w:rsid w:val="005A2328"/>
    <w:rsid w:val="005A2FA1"/>
    <w:rsid w:val="005A3014"/>
    <w:rsid w:val="005A35B6"/>
    <w:rsid w:val="005A4232"/>
    <w:rsid w:val="005A452C"/>
    <w:rsid w:val="005A50A0"/>
    <w:rsid w:val="005A6740"/>
    <w:rsid w:val="005A6767"/>
    <w:rsid w:val="005A7761"/>
    <w:rsid w:val="005A77C9"/>
    <w:rsid w:val="005A7A37"/>
    <w:rsid w:val="005B016E"/>
    <w:rsid w:val="005B03C3"/>
    <w:rsid w:val="005B0807"/>
    <w:rsid w:val="005B0C96"/>
    <w:rsid w:val="005B0EA4"/>
    <w:rsid w:val="005B1244"/>
    <w:rsid w:val="005B214B"/>
    <w:rsid w:val="005B2AD5"/>
    <w:rsid w:val="005B2CA3"/>
    <w:rsid w:val="005B3115"/>
    <w:rsid w:val="005B3314"/>
    <w:rsid w:val="005B3467"/>
    <w:rsid w:val="005B57F3"/>
    <w:rsid w:val="005B5AF6"/>
    <w:rsid w:val="005B61FE"/>
    <w:rsid w:val="005B6687"/>
    <w:rsid w:val="005B7E6A"/>
    <w:rsid w:val="005C09B3"/>
    <w:rsid w:val="005C0D7E"/>
    <w:rsid w:val="005C0DE7"/>
    <w:rsid w:val="005C0F07"/>
    <w:rsid w:val="005C177B"/>
    <w:rsid w:val="005C19D3"/>
    <w:rsid w:val="005C1CA1"/>
    <w:rsid w:val="005C22AE"/>
    <w:rsid w:val="005C2DE6"/>
    <w:rsid w:val="005C3229"/>
    <w:rsid w:val="005C3E05"/>
    <w:rsid w:val="005C480C"/>
    <w:rsid w:val="005C4EBF"/>
    <w:rsid w:val="005C5098"/>
    <w:rsid w:val="005C58EB"/>
    <w:rsid w:val="005C5977"/>
    <w:rsid w:val="005C5B4E"/>
    <w:rsid w:val="005C7ED7"/>
    <w:rsid w:val="005D01A4"/>
    <w:rsid w:val="005D0461"/>
    <w:rsid w:val="005D088D"/>
    <w:rsid w:val="005D0D39"/>
    <w:rsid w:val="005D1789"/>
    <w:rsid w:val="005D1A7D"/>
    <w:rsid w:val="005D1D9B"/>
    <w:rsid w:val="005D1F21"/>
    <w:rsid w:val="005D1FCF"/>
    <w:rsid w:val="005D392F"/>
    <w:rsid w:val="005D57AA"/>
    <w:rsid w:val="005D5D39"/>
    <w:rsid w:val="005D6F95"/>
    <w:rsid w:val="005D78A2"/>
    <w:rsid w:val="005E0ABB"/>
    <w:rsid w:val="005E13FF"/>
    <w:rsid w:val="005E143D"/>
    <w:rsid w:val="005E1C52"/>
    <w:rsid w:val="005E2590"/>
    <w:rsid w:val="005E2E68"/>
    <w:rsid w:val="005E33D2"/>
    <w:rsid w:val="005E3667"/>
    <w:rsid w:val="005E41E1"/>
    <w:rsid w:val="005E4442"/>
    <w:rsid w:val="005E4BD2"/>
    <w:rsid w:val="005E501E"/>
    <w:rsid w:val="005E50F3"/>
    <w:rsid w:val="005E5490"/>
    <w:rsid w:val="005E5AC1"/>
    <w:rsid w:val="005E5F00"/>
    <w:rsid w:val="005E7B3D"/>
    <w:rsid w:val="005F0DBF"/>
    <w:rsid w:val="005F217F"/>
    <w:rsid w:val="005F2D4C"/>
    <w:rsid w:val="005F31D5"/>
    <w:rsid w:val="005F37D4"/>
    <w:rsid w:val="005F42D2"/>
    <w:rsid w:val="005F4DD9"/>
    <w:rsid w:val="005F51F9"/>
    <w:rsid w:val="005F5252"/>
    <w:rsid w:val="005F554A"/>
    <w:rsid w:val="005F5DD3"/>
    <w:rsid w:val="005F67E2"/>
    <w:rsid w:val="005F6CA5"/>
    <w:rsid w:val="005F71EC"/>
    <w:rsid w:val="005F7C0D"/>
    <w:rsid w:val="00600A85"/>
    <w:rsid w:val="00601A27"/>
    <w:rsid w:val="00601A74"/>
    <w:rsid w:val="00601B21"/>
    <w:rsid w:val="00601EA5"/>
    <w:rsid w:val="006020D9"/>
    <w:rsid w:val="0060267A"/>
    <w:rsid w:val="006030D6"/>
    <w:rsid w:val="00603A2D"/>
    <w:rsid w:val="006041C0"/>
    <w:rsid w:val="006043A4"/>
    <w:rsid w:val="006045CD"/>
    <w:rsid w:val="00605007"/>
    <w:rsid w:val="0060594A"/>
    <w:rsid w:val="006060BB"/>
    <w:rsid w:val="006060C5"/>
    <w:rsid w:val="00607ABF"/>
    <w:rsid w:val="006105B3"/>
    <w:rsid w:val="006119B8"/>
    <w:rsid w:val="00611A6C"/>
    <w:rsid w:val="00612CEE"/>
    <w:rsid w:val="00614CD3"/>
    <w:rsid w:val="00614F82"/>
    <w:rsid w:val="0061627F"/>
    <w:rsid w:val="006167A2"/>
    <w:rsid w:val="00616BF1"/>
    <w:rsid w:val="00616FCB"/>
    <w:rsid w:val="0062043A"/>
    <w:rsid w:val="00620808"/>
    <w:rsid w:val="006217E3"/>
    <w:rsid w:val="00621A67"/>
    <w:rsid w:val="00621EDB"/>
    <w:rsid w:val="00622565"/>
    <w:rsid w:val="00622ADD"/>
    <w:rsid w:val="00622F37"/>
    <w:rsid w:val="006232A3"/>
    <w:rsid w:val="006237F0"/>
    <w:rsid w:val="00623FE7"/>
    <w:rsid w:val="006240A6"/>
    <w:rsid w:val="00624272"/>
    <w:rsid w:val="006242DF"/>
    <w:rsid w:val="0062497C"/>
    <w:rsid w:val="00624EB7"/>
    <w:rsid w:val="0062600E"/>
    <w:rsid w:val="00626EC9"/>
    <w:rsid w:val="00627C1E"/>
    <w:rsid w:val="00627EBD"/>
    <w:rsid w:val="00630075"/>
    <w:rsid w:val="00630892"/>
    <w:rsid w:val="00631795"/>
    <w:rsid w:val="00631E84"/>
    <w:rsid w:val="00633ECD"/>
    <w:rsid w:val="006363A0"/>
    <w:rsid w:val="00636643"/>
    <w:rsid w:val="006374CD"/>
    <w:rsid w:val="00637F16"/>
    <w:rsid w:val="006400FC"/>
    <w:rsid w:val="00640570"/>
    <w:rsid w:val="00640AAD"/>
    <w:rsid w:val="00640CB0"/>
    <w:rsid w:val="00641143"/>
    <w:rsid w:val="0064132B"/>
    <w:rsid w:val="0064267E"/>
    <w:rsid w:val="00642FA5"/>
    <w:rsid w:val="006430FF"/>
    <w:rsid w:val="0064347A"/>
    <w:rsid w:val="00643967"/>
    <w:rsid w:val="00646D08"/>
    <w:rsid w:val="0064721C"/>
    <w:rsid w:val="00647882"/>
    <w:rsid w:val="00647DA8"/>
    <w:rsid w:val="00647F9D"/>
    <w:rsid w:val="006502AB"/>
    <w:rsid w:val="00650F32"/>
    <w:rsid w:val="00651177"/>
    <w:rsid w:val="00652E97"/>
    <w:rsid w:val="0065343A"/>
    <w:rsid w:val="00653A2A"/>
    <w:rsid w:val="00653B74"/>
    <w:rsid w:val="006541B4"/>
    <w:rsid w:val="0065581E"/>
    <w:rsid w:val="00655C85"/>
    <w:rsid w:val="006569FD"/>
    <w:rsid w:val="00657F4C"/>
    <w:rsid w:val="00660811"/>
    <w:rsid w:val="0066096D"/>
    <w:rsid w:val="0066100B"/>
    <w:rsid w:val="00661B6B"/>
    <w:rsid w:val="00661CA7"/>
    <w:rsid w:val="0066219C"/>
    <w:rsid w:val="00663D25"/>
    <w:rsid w:val="00664178"/>
    <w:rsid w:val="006649B7"/>
    <w:rsid w:val="006651F2"/>
    <w:rsid w:val="00665405"/>
    <w:rsid w:val="00665E63"/>
    <w:rsid w:val="0066654B"/>
    <w:rsid w:val="00666B1D"/>
    <w:rsid w:val="006672FF"/>
    <w:rsid w:val="0066777D"/>
    <w:rsid w:val="00667A54"/>
    <w:rsid w:val="0067025D"/>
    <w:rsid w:val="00670283"/>
    <w:rsid w:val="00670AE7"/>
    <w:rsid w:val="00671816"/>
    <w:rsid w:val="006724CA"/>
    <w:rsid w:val="0067260C"/>
    <w:rsid w:val="006727E9"/>
    <w:rsid w:val="006746CD"/>
    <w:rsid w:val="00674DB1"/>
    <w:rsid w:val="00677156"/>
    <w:rsid w:val="006779A1"/>
    <w:rsid w:val="006807B3"/>
    <w:rsid w:val="006813A4"/>
    <w:rsid w:val="00681B6E"/>
    <w:rsid w:val="00681F77"/>
    <w:rsid w:val="006823B3"/>
    <w:rsid w:val="00682BA0"/>
    <w:rsid w:val="00682E7A"/>
    <w:rsid w:val="0068368F"/>
    <w:rsid w:val="006836D3"/>
    <w:rsid w:val="0068390A"/>
    <w:rsid w:val="00684A22"/>
    <w:rsid w:val="00684D30"/>
    <w:rsid w:val="0068528A"/>
    <w:rsid w:val="006855D3"/>
    <w:rsid w:val="00685D06"/>
    <w:rsid w:val="00686202"/>
    <w:rsid w:val="00690201"/>
    <w:rsid w:val="00690243"/>
    <w:rsid w:val="00690FB6"/>
    <w:rsid w:val="0069139A"/>
    <w:rsid w:val="00691609"/>
    <w:rsid w:val="006917A7"/>
    <w:rsid w:val="00691862"/>
    <w:rsid w:val="0069219F"/>
    <w:rsid w:val="00693C1F"/>
    <w:rsid w:val="006944EB"/>
    <w:rsid w:val="00694C2D"/>
    <w:rsid w:val="006954C4"/>
    <w:rsid w:val="00695F16"/>
    <w:rsid w:val="00696279"/>
    <w:rsid w:val="00697343"/>
    <w:rsid w:val="006A00B7"/>
    <w:rsid w:val="006A0563"/>
    <w:rsid w:val="006A06FA"/>
    <w:rsid w:val="006A0BF0"/>
    <w:rsid w:val="006A0F81"/>
    <w:rsid w:val="006A134B"/>
    <w:rsid w:val="006A163F"/>
    <w:rsid w:val="006A1B12"/>
    <w:rsid w:val="006A229F"/>
    <w:rsid w:val="006A34AC"/>
    <w:rsid w:val="006A46A7"/>
    <w:rsid w:val="006A4D18"/>
    <w:rsid w:val="006A4F09"/>
    <w:rsid w:val="006A50E4"/>
    <w:rsid w:val="006A7371"/>
    <w:rsid w:val="006B0805"/>
    <w:rsid w:val="006B2F81"/>
    <w:rsid w:val="006B34C9"/>
    <w:rsid w:val="006B399A"/>
    <w:rsid w:val="006B4795"/>
    <w:rsid w:val="006B5791"/>
    <w:rsid w:val="006B60A2"/>
    <w:rsid w:val="006B6798"/>
    <w:rsid w:val="006B753D"/>
    <w:rsid w:val="006B77BE"/>
    <w:rsid w:val="006B7B54"/>
    <w:rsid w:val="006C06AF"/>
    <w:rsid w:val="006C0765"/>
    <w:rsid w:val="006C0F76"/>
    <w:rsid w:val="006C1340"/>
    <w:rsid w:val="006C1BB7"/>
    <w:rsid w:val="006C23C2"/>
    <w:rsid w:val="006C3039"/>
    <w:rsid w:val="006C33AC"/>
    <w:rsid w:val="006C3886"/>
    <w:rsid w:val="006C4B1F"/>
    <w:rsid w:val="006C5C39"/>
    <w:rsid w:val="006C6FBB"/>
    <w:rsid w:val="006C723E"/>
    <w:rsid w:val="006C7B71"/>
    <w:rsid w:val="006D01E3"/>
    <w:rsid w:val="006D0CB9"/>
    <w:rsid w:val="006D1CC0"/>
    <w:rsid w:val="006D2423"/>
    <w:rsid w:val="006D3A6D"/>
    <w:rsid w:val="006D46C6"/>
    <w:rsid w:val="006D4AE0"/>
    <w:rsid w:val="006D4F91"/>
    <w:rsid w:val="006D5556"/>
    <w:rsid w:val="006D5BD3"/>
    <w:rsid w:val="006D661C"/>
    <w:rsid w:val="006D6DB3"/>
    <w:rsid w:val="006D73BA"/>
    <w:rsid w:val="006E016C"/>
    <w:rsid w:val="006E0419"/>
    <w:rsid w:val="006E0A9E"/>
    <w:rsid w:val="006E0CF5"/>
    <w:rsid w:val="006E15B5"/>
    <w:rsid w:val="006E18EB"/>
    <w:rsid w:val="006E1C31"/>
    <w:rsid w:val="006E2293"/>
    <w:rsid w:val="006E31A3"/>
    <w:rsid w:val="006E45CC"/>
    <w:rsid w:val="006E4A62"/>
    <w:rsid w:val="006E52E1"/>
    <w:rsid w:val="006E5C6C"/>
    <w:rsid w:val="006E5D11"/>
    <w:rsid w:val="006E63DE"/>
    <w:rsid w:val="006E6A42"/>
    <w:rsid w:val="006E70D1"/>
    <w:rsid w:val="006E7BE8"/>
    <w:rsid w:val="006F04D9"/>
    <w:rsid w:val="006F07FA"/>
    <w:rsid w:val="006F0E4F"/>
    <w:rsid w:val="006F0FBF"/>
    <w:rsid w:val="006F137B"/>
    <w:rsid w:val="006F1B2E"/>
    <w:rsid w:val="006F1DC1"/>
    <w:rsid w:val="006F2292"/>
    <w:rsid w:val="006F31D7"/>
    <w:rsid w:val="006F3670"/>
    <w:rsid w:val="006F3932"/>
    <w:rsid w:val="006F3B2C"/>
    <w:rsid w:val="006F40AE"/>
    <w:rsid w:val="006F48D3"/>
    <w:rsid w:val="006F4901"/>
    <w:rsid w:val="006F588F"/>
    <w:rsid w:val="006F605C"/>
    <w:rsid w:val="006F617A"/>
    <w:rsid w:val="006F6D52"/>
    <w:rsid w:val="006F7D4F"/>
    <w:rsid w:val="007001BB"/>
    <w:rsid w:val="0070184C"/>
    <w:rsid w:val="007028E7"/>
    <w:rsid w:val="007034B5"/>
    <w:rsid w:val="007039B7"/>
    <w:rsid w:val="00703CAD"/>
    <w:rsid w:val="00703F72"/>
    <w:rsid w:val="0070401B"/>
    <w:rsid w:val="00704082"/>
    <w:rsid w:val="00704E4E"/>
    <w:rsid w:val="00705371"/>
    <w:rsid w:val="007077DC"/>
    <w:rsid w:val="00707DAE"/>
    <w:rsid w:val="00710126"/>
    <w:rsid w:val="0071043F"/>
    <w:rsid w:val="00710730"/>
    <w:rsid w:val="00710C2B"/>
    <w:rsid w:val="00712622"/>
    <w:rsid w:val="00713384"/>
    <w:rsid w:val="00713D73"/>
    <w:rsid w:val="007141E1"/>
    <w:rsid w:val="00714F31"/>
    <w:rsid w:val="0071593B"/>
    <w:rsid w:val="007159C6"/>
    <w:rsid w:val="00715D18"/>
    <w:rsid w:val="0071766B"/>
    <w:rsid w:val="00720686"/>
    <w:rsid w:val="00720DB2"/>
    <w:rsid w:val="007215B7"/>
    <w:rsid w:val="007219F6"/>
    <w:rsid w:val="00722046"/>
    <w:rsid w:val="007226E3"/>
    <w:rsid w:val="00722CFC"/>
    <w:rsid w:val="0072440A"/>
    <w:rsid w:val="00724504"/>
    <w:rsid w:val="007247EB"/>
    <w:rsid w:val="007257D4"/>
    <w:rsid w:val="00726485"/>
    <w:rsid w:val="00726F2B"/>
    <w:rsid w:val="00732F1A"/>
    <w:rsid w:val="00733151"/>
    <w:rsid w:val="00733AC8"/>
    <w:rsid w:val="00733BA8"/>
    <w:rsid w:val="00734A87"/>
    <w:rsid w:val="00734CF6"/>
    <w:rsid w:val="00734DA8"/>
    <w:rsid w:val="00735189"/>
    <w:rsid w:val="007360FB"/>
    <w:rsid w:val="007369A0"/>
    <w:rsid w:val="00740E6A"/>
    <w:rsid w:val="00741039"/>
    <w:rsid w:val="007413D9"/>
    <w:rsid w:val="007413F0"/>
    <w:rsid w:val="0074150C"/>
    <w:rsid w:val="00741788"/>
    <w:rsid w:val="00742024"/>
    <w:rsid w:val="007432B7"/>
    <w:rsid w:val="007434B4"/>
    <w:rsid w:val="00743D4D"/>
    <w:rsid w:val="00744360"/>
    <w:rsid w:val="007451F5"/>
    <w:rsid w:val="007455AC"/>
    <w:rsid w:val="00745685"/>
    <w:rsid w:val="0074593E"/>
    <w:rsid w:val="00745D62"/>
    <w:rsid w:val="007460BC"/>
    <w:rsid w:val="00746586"/>
    <w:rsid w:val="00747190"/>
    <w:rsid w:val="00747779"/>
    <w:rsid w:val="0074787B"/>
    <w:rsid w:val="00747DDA"/>
    <w:rsid w:val="00747F03"/>
    <w:rsid w:val="00750446"/>
    <w:rsid w:val="00750B41"/>
    <w:rsid w:val="00751132"/>
    <w:rsid w:val="00751622"/>
    <w:rsid w:val="00751F7C"/>
    <w:rsid w:val="00752ED8"/>
    <w:rsid w:val="00753FAF"/>
    <w:rsid w:val="00755F77"/>
    <w:rsid w:val="007567BC"/>
    <w:rsid w:val="007568EE"/>
    <w:rsid w:val="00757935"/>
    <w:rsid w:val="007601F3"/>
    <w:rsid w:val="007606C3"/>
    <w:rsid w:val="00760E64"/>
    <w:rsid w:val="007611A9"/>
    <w:rsid w:val="00761945"/>
    <w:rsid w:val="00761C5D"/>
    <w:rsid w:val="00761D54"/>
    <w:rsid w:val="00761F02"/>
    <w:rsid w:val="00764188"/>
    <w:rsid w:val="00764300"/>
    <w:rsid w:val="0076488F"/>
    <w:rsid w:val="00765AED"/>
    <w:rsid w:val="0076675E"/>
    <w:rsid w:val="0076684A"/>
    <w:rsid w:val="00767220"/>
    <w:rsid w:val="00770925"/>
    <w:rsid w:val="00771449"/>
    <w:rsid w:val="0077156F"/>
    <w:rsid w:val="00771DE6"/>
    <w:rsid w:val="007723AB"/>
    <w:rsid w:val="0077273F"/>
    <w:rsid w:val="0077276B"/>
    <w:rsid w:val="007741AD"/>
    <w:rsid w:val="00774632"/>
    <w:rsid w:val="00774797"/>
    <w:rsid w:val="00775065"/>
    <w:rsid w:val="00775A31"/>
    <w:rsid w:val="00776343"/>
    <w:rsid w:val="00776E05"/>
    <w:rsid w:val="007775FA"/>
    <w:rsid w:val="00777B6C"/>
    <w:rsid w:val="00780CB0"/>
    <w:rsid w:val="00780DDA"/>
    <w:rsid w:val="00781272"/>
    <w:rsid w:val="007845C6"/>
    <w:rsid w:val="007845E0"/>
    <w:rsid w:val="007847B2"/>
    <w:rsid w:val="00784AB3"/>
    <w:rsid w:val="00784D54"/>
    <w:rsid w:val="00785952"/>
    <w:rsid w:val="00786755"/>
    <w:rsid w:val="00787111"/>
    <w:rsid w:val="00787136"/>
    <w:rsid w:val="0078751B"/>
    <w:rsid w:val="00787713"/>
    <w:rsid w:val="00787B90"/>
    <w:rsid w:val="00790724"/>
    <w:rsid w:val="007924B9"/>
    <w:rsid w:val="007928E2"/>
    <w:rsid w:val="007936B7"/>
    <w:rsid w:val="007938A2"/>
    <w:rsid w:val="00793C99"/>
    <w:rsid w:val="007946C7"/>
    <w:rsid w:val="007948EB"/>
    <w:rsid w:val="0079531F"/>
    <w:rsid w:val="00795D1A"/>
    <w:rsid w:val="0079642E"/>
    <w:rsid w:val="007972B8"/>
    <w:rsid w:val="00797518"/>
    <w:rsid w:val="007975C6"/>
    <w:rsid w:val="00797688"/>
    <w:rsid w:val="007A1324"/>
    <w:rsid w:val="007A2789"/>
    <w:rsid w:val="007A33DB"/>
    <w:rsid w:val="007A3ABD"/>
    <w:rsid w:val="007A4B56"/>
    <w:rsid w:val="007A4DBB"/>
    <w:rsid w:val="007A54CF"/>
    <w:rsid w:val="007A5A89"/>
    <w:rsid w:val="007A5DDD"/>
    <w:rsid w:val="007A69F1"/>
    <w:rsid w:val="007A6B90"/>
    <w:rsid w:val="007B00EC"/>
    <w:rsid w:val="007B0338"/>
    <w:rsid w:val="007B0520"/>
    <w:rsid w:val="007B2232"/>
    <w:rsid w:val="007B3212"/>
    <w:rsid w:val="007B3218"/>
    <w:rsid w:val="007B34CE"/>
    <w:rsid w:val="007B4A00"/>
    <w:rsid w:val="007B644C"/>
    <w:rsid w:val="007B65F8"/>
    <w:rsid w:val="007B70D4"/>
    <w:rsid w:val="007B77ED"/>
    <w:rsid w:val="007C0C56"/>
    <w:rsid w:val="007C2C9D"/>
    <w:rsid w:val="007C302F"/>
    <w:rsid w:val="007C5C1F"/>
    <w:rsid w:val="007C5F6A"/>
    <w:rsid w:val="007C6ED7"/>
    <w:rsid w:val="007C76F3"/>
    <w:rsid w:val="007D0885"/>
    <w:rsid w:val="007D1552"/>
    <w:rsid w:val="007D1565"/>
    <w:rsid w:val="007D20AF"/>
    <w:rsid w:val="007D23C8"/>
    <w:rsid w:val="007D348B"/>
    <w:rsid w:val="007D3A8A"/>
    <w:rsid w:val="007D405F"/>
    <w:rsid w:val="007D460B"/>
    <w:rsid w:val="007D4682"/>
    <w:rsid w:val="007D4EAE"/>
    <w:rsid w:val="007D50E3"/>
    <w:rsid w:val="007D57AF"/>
    <w:rsid w:val="007D5C23"/>
    <w:rsid w:val="007D6E84"/>
    <w:rsid w:val="007D71A8"/>
    <w:rsid w:val="007D7812"/>
    <w:rsid w:val="007D7B78"/>
    <w:rsid w:val="007E0993"/>
    <w:rsid w:val="007E0D7E"/>
    <w:rsid w:val="007E1305"/>
    <w:rsid w:val="007E1DC0"/>
    <w:rsid w:val="007E256E"/>
    <w:rsid w:val="007E2C2B"/>
    <w:rsid w:val="007E2F36"/>
    <w:rsid w:val="007E3355"/>
    <w:rsid w:val="007E385D"/>
    <w:rsid w:val="007E4784"/>
    <w:rsid w:val="007E4801"/>
    <w:rsid w:val="007E484A"/>
    <w:rsid w:val="007E4969"/>
    <w:rsid w:val="007E5152"/>
    <w:rsid w:val="007E5BC4"/>
    <w:rsid w:val="007E6D01"/>
    <w:rsid w:val="007F2D94"/>
    <w:rsid w:val="007F3144"/>
    <w:rsid w:val="007F344F"/>
    <w:rsid w:val="007F4181"/>
    <w:rsid w:val="007F49E8"/>
    <w:rsid w:val="007F51E2"/>
    <w:rsid w:val="007F589A"/>
    <w:rsid w:val="007F5A06"/>
    <w:rsid w:val="007F5A41"/>
    <w:rsid w:val="007F5C7E"/>
    <w:rsid w:val="007F5C8A"/>
    <w:rsid w:val="007F6ECA"/>
    <w:rsid w:val="00800BA3"/>
    <w:rsid w:val="00800C27"/>
    <w:rsid w:val="008014D4"/>
    <w:rsid w:val="00801B24"/>
    <w:rsid w:val="00801CE5"/>
    <w:rsid w:val="008022F5"/>
    <w:rsid w:val="008022FA"/>
    <w:rsid w:val="00802842"/>
    <w:rsid w:val="008029A3"/>
    <w:rsid w:val="00802D88"/>
    <w:rsid w:val="008041E9"/>
    <w:rsid w:val="0080530F"/>
    <w:rsid w:val="00805524"/>
    <w:rsid w:val="00805896"/>
    <w:rsid w:val="00805B8A"/>
    <w:rsid w:val="00805E68"/>
    <w:rsid w:val="00806578"/>
    <w:rsid w:val="00807280"/>
    <w:rsid w:val="00807527"/>
    <w:rsid w:val="008100B3"/>
    <w:rsid w:val="00811559"/>
    <w:rsid w:val="008119A0"/>
    <w:rsid w:val="00812FED"/>
    <w:rsid w:val="00813167"/>
    <w:rsid w:val="008137E0"/>
    <w:rsid w:val="00814617"/>
    <w:rsid w:val="00814F1A"/>
    <w:rsid w:val="00815685"/>
    <w:rsid w:val="008168BB"/>
    <w:rsid w:val="008171F2"/>
    <w:rsid w:val="008205E0"/>
    <w:rsid w:val="00820C24"/>
    <w:rsid w:val="00821318"/>
    <w:rsid w:val="00821369"/>
    <w:rsid w:val="00821980"/>
    <w:rsid w:val="008222DF"/>
    <w:rsid w:val="0082253F"/>
    <w:rsid w:val="00823B5F"/>
    <w:rsid w:val="00824B7E"/>
    <w:rsid w:val="00824C57"/>
    <w:rsid w:val="00825EFA"/>
    <w:rsid w:val="00826848"/>
    <w:rsid w:val="00826A07"/>
    <w:rsid w:val="00826FDC"/>
    <w:rsid w:val="0082752C"/>
    <w:rsid w:val="00830B59"/>
    <w:rsid w:val="00832795"/>
    <w:rsid w:val="008327F1"/>
    <w:rsid w:val="0083285E"/>
    <w:rsid w:val="0083358D"/>
    <w:rsid w:val="00833685"/>
    <w:rsid w:val="00834080"/>
    <w:rsid w:val="008348A7"/>
    <w:rsid w:val="00834DF7"/>
    <w:rsid w:val="008368A0"/>
    <w:rsid w:val="00836902"/>
    <w:rsid w:val="00840AB2"/>
    <w:rsid w:val="008417A5"/>
    <w:rsid w:val="00841B3A"/>
    <w:rsid w:val="00841D67"/>
    <w:rsid w:val="00842D56"/>
    <w:rsid w:val="00842F56"/>
    <w:rsid w:val="0084340B"/>
    <w:rsid w:val="00844573"/>
    <w:rsid w:val="00844C56"/>
    <w:rsid w:val="00845C17"/>
    <w:rsid w:val="00846C2C"/>
    <w:rsid w:val="00847372"/>
    <w:rsid w:val="00847E34"/>
    <w:rsid w:val="00847FEC"/>
    <w:rsid w:val="0085129C"/>
    <w:rsid w:val="00851AF4"/>
    <w:rsid w:val="00852675"/>
    <w:rsid w:val="00852853"/>
    <w:rsid w:val="00853251"/>
    <w:rsid w:val="00854301"/>
    <w:rsid w:val="00854EB1"/>
    <w:rsid w:val="008558C2"/>
    <w:rsid w:val="008570AA"/>
    <w:rsid w:val="008579D0"/>
    <w:rsid w:val="00857BE6"/>
    <w:rsid w:val="00857FB3"/>
    <w:rsid w:val="00860B56"/>
    <w:rsid w:val="00860E07"/>
    <w:rsid w:val="00860FE8"/>
    <w:rsid w:val="008613AD"/>
    <w:rsid w:val="0086223C"/>
    <w:rsid w:val="00862AC9"/>
    <w:rsid w:val="00862D09"/>
    <w:rsid w:val="00862E2B"/>
    <w:rsid w:val="00863896"/>
    <w:rsid w:val="0086468A"/>
    <w:rsid w:val="00865FC0"/>
    <w:rsid w:val="00865FEB"/>
    <w:rsid w:val="0086659F"/>
    <w:rsid w:val="00866B3B"/>
    <w:rsid w:val="00866E03"/>
    <w:rsid w:val="008706F9"/>
    <w:rsid w:val="008709BF"/>
    <w:rsid w:val="00871BBB"/>
    <w:rsid w:val="008721C9"/>
    <w:rsid w:val="00873222"/>
    <w:rsid w:val="00873CDE"/>
    <w:rsid w:val="00873FCF"/>
    <w:rsid w:val="00874C18"/>
    <w:rsid w:val="00875458"/>
    <w:rsid w:val="0087569E"/>
    <w:rsid w:val="00875CB5"/>
    <w:rsid w:val="0087604F"/>
    <w:rsid w:val="00876925"/>
    <w:rsid w:val="00877893"/>
    <w:rsid w:val="00877941"/>
    <w:rsid w:val="00877CB7"/>
    <w:rsid w:val="0088016F"/>
    <w:rsid w:val="00880359"/>
    <w:rsid w:val="0088062D"/>
    <w:rsid w:val="00880C22"/>
    <w:rsid w:val="00881012"/>
    <w:rsid w:val="0088108D"/>
    <w:rsid w:val="00881408"/>
    <w:rsid w:val="0088206F"/>
    <w:rsid w:val="008821CE"/>
    <w:rsid w:val="00882419"/>
    <w:rsid w:val="008828A3"/>
    <w:rsid w:val="008828BE"/>
    <w:rsid w:val="00882F88"/>
    <w:rsid w:val="008836B3"/>
    <w:rsid w:val="00883835"/>
    <w:rsid w:val="00884151"/>
    <w:rsid w:val="0088431A"/>
    <w:rsid w:val="00884527"/>
    <w:rsid w:val="00885429"/>
    <w:rsid w:val="00885A00"/>
    <w:rsid w:val="00886054"/>
    <w:rsid w:val="008862FF"/>
    <w:rsid w:val="00886FAE"/>
    <w:rsid w:val="00887570"/>
    <w:rsid w:val="0088767A"/>
    <w:rsid w:val="00887F8E"/>
    <w:rsid w:val="00892D2C"/>
    <w:rsid w:val="00893531"/>
    <w:rsid w:val="00893F6C"/>
    <w:rsid w:val="0089454E"/>
    <w:rsid w:val="00894F46"/>
    <w:rsid w:val="008952DA"/>
    <w:rsid w:val="00895D20"/>
    <w:rsid w:val="008961A9"/>
    <w:rsid w:val="00896E32"/>
    <w:rsid w:val="00897720"/>
    <w:rsid w:val="008978AE"/>
    <w:rsid w:val="008A0865"/>
    <w:rsid w:val="008A1CC1"/>
    <w:rsid w:val="008A1E03"/>
    <w:rsid w:val="008A3A7A"/>
    <w:rsid w:val="008A3E92"/>
    <w:rsid w:val="008A400C"/>
    <w:rsid w:val="008A4564"/>
    <w:rsid w:val="008A64F6"/>
    <w:rsid w:val="008A664A"/>
    <w:rsid w:val="008A6954"/>
    <w:rsid w:val="008A6C2A"/>
    <w:rsid w:val="008A75A2"/>
    <w:rsid w:val="008A77DA"/>
    <w:rsid w:val="008B064A"/>
    <w:rsid w:val="008B0CF2"/>
    <w:rsid w:val="008B35FF"/>
    <w:rsid w:val="008B3914"/>
    <w:rsid w:val="008B3B34"/>
    <w:rsid w:val="008B4085"/>
    <w:rsid w:val="008B4ECD"/>
    <w:rsid w:val="008B685F"/>
    <w:rsid w:val="008B6EF6"/>
    <w:rsid w:val="008B7BB3"/>
    <w:rsid w:val="008B7C50"/>
    <w:rsid w:val="008B7C74"/>
    <w:rsid w:val="008B7E9E"/>
    <w:rsid w:val="008C008E"/>
    <w:rsid w:val="008C0166"/>
    <w:rsid w:val="008C084B"/>
    <w:rsid w:val="008C0FF6"/>
    <w:rsid w:val="008C2834"/>
    <w:rsid w:val="008C29DE"/>
    <w:rsid w:val="008C2DE1"/>
    <w:rsid w:val="008C3A07"/>
    <w:rsid w:val="008C41AF"/>
    <w:rsid w:val="008C47C2"/>
    <w:rsid w:val="008C59E1"/>
    <w:rsid w:val="008C713F"/>
    <w:rsid w:val="008C722C"/>
    <w:rsid w:val="008C7964"/>
    <w:rsid w:val="008D0C02"/>
    <w:rsid w:val="008D1B80"/>
    <w:rsid w:val="008D201F"/>
    <w:rsid w:val="008D308A"/>
    <w:rsid w:val="008D3A7E"/>
    <w:rsid w:val="008D3FC4"/>
    <w:rsid w:val="008D4139"/>
    <w:rsid w:val="008D45A2"/>
    <w:rsid w:val="008D499A"/>
    <w:rsid w:val="008D4A08"/>
    <w:rsid w:val="008D531E"/>
    <w:rsid w:val="008D5A64"/>
    <w:rsid w:val="008D63C6"/>
    <w:rsid w:val="008D71E1"/>
    <w:rsid w:val="008E0AEB"/>
    <w:rsid w:val="008E0F59"/>
    <w:rsid w:val="008E16D1"/>
    <w:rsid w:val="008E17AA"/>
    <w:rsid w:val="008E1B2E"/>
    <w:rsid w:val="008E2B76"/>
    <w:rsid w:val="008E2BD1"/>
    <w:rsid w:val="008E2E02"/>
    <w:rsid w:val="008E3392"/>
    <w:rsid w:val="008E3A93"/>
    <w:rsid w:val="008E3C1A"/>
    <w:rsid w:val="008E4042"/>
    <w:rsid w:val="008E4A4E"/>
    <w:rsid w:val="008E4ED5"/>
    <w:rsid w:val="008E6566"/>
    <w:rsid w:val="008E6DFB"/>
    <w:rsid w:val="008E77AC"/>
    <w:rsid w:val="008E7CD8"/>
    <w:rsid w:val="008F0BE9"/>
    <w:rsid w:val="008F0E77"/>
    <w:rsid w:val="008F104D"/>
    <w:rsid w:val="008F1C57"/>
    <w:rsid w:val="008F201B"/>
    <w:rsid w:val="008F47E7"/>
    <w:rsid w:val="008F587E"/>
    <w:rsid w:val="008F63FC"/>
    <w:rsid w:val="008F6500"/>
    <w:rsid w:val="008F6640"/>
    <w:rsid w:val="008F73EE"/>
    <w:rsid w:val="00901406"/>
    <w:rsid w:val="0090167A"/>
    <w:rsid w:val="00901880"/>
    <w:rsid w:val="00901F5B"/>
    <w:rsid w:val="0090312E"/>
    <w:rsid w:val="00903231"/>
    <w:rsid w:val="0090323D"/>
    <w:rsid w:val="0090365C"/>
    <w:rsid w:val="009038AA"/>
    <w:rsid w:val="00903F61"/>
    <w:rsid w:val="009040DE"/>
    <w:rsid w:val="00904101"/>
    <w:rsid w:val="00904FDD"/>
    <w:rsid w:val="009051CE"/>
    <w:rsid w:val="009055CB"/>
    <w:rsid w:val="0090613D"/>
    <w:rsid w:val="009069C0"/>
    <w:rsid w:val="009074E9"/>
    <w:rsid w:val="0090766C"/>
    <w:rsid w:val="009104BE"/>
    <w:rsid w:val="009104C0"/>
    <w:rsid w:val="00910FB9"/>
    <w:rsid w:val="0091102F"/>
    <w:rsid w:val="00911637"/>
    <w:rsid w:val="009130C4"/>
    <w:rsid w:val="00913601"/>
    <w:rsid w:val="009138A1"/>
    <w:rsid w:val="00913D07"/>
    <w:rsid w:val="00914055"/>
    <w:rsid w:val="0091432A"/>
    <w:rsid w:val="009144AC"/>
    <w:rsid w:val="00915921"/>
    <w:rsid w:val="00915C2A"/>
    <w:rsid w:val="00915C60"/>
    <w:rsid w:val="00916580"/>
    <w:rsid w:val="0091715D"/>
    <w:rsid w:val="009179EE"/>
    <w:rsid w:val="00917B30"/>
    <w:rsid w:val="009212BB"/>
    <w:rsid w:val="00921556"/>
    <w:rsid w:val="0092181D"/>
    <w:rsid w:val="009220E1"/>
    <w:rsid w:val="009226FF"/>
    <w:rsid w:val="00922BF1"/>
    <w:rsid w:val="00922DDF"/>
    <w:rsid w:val="0092412A"/>
    <w:rsid w:val="0092466E"/>
    <w:rsid w:val="0092516A"/>
    <w:rsid w:val="009258D3"/>
    <w:rsid w:val="009268FA"/>
    <w:rsid w:val="00926E98"/>
    <w:rsid w:val="0093049E"/>
    <w:rsid w:val="0093062F"/>
    <w:rsid w:val="00932D24"/>
    <w:rsid w:val="0093449D"/>
    <w:rsid w:val="00936C65"/>
    <w:rsid w:val="00937236"/>
    <w:rsid w:val="0093744F"/>
    <w:rsid w:val="0094212E"/>
    <w:rsid w:val="009438E2"/>
    <w:rsid w:val="00943F2F"/>
    <w:rsid w:val="009440E8"/>
    <w:rsid w:val="0094476B"/>
    <w:rsid w:val="00944F45"/>
    <w:rsid w:val="00945C3D"/>
    <w:rsid w:val="00945FCD"/>
    <w:rsid w:val="009464A1"/>
    <w:rsid w:val="009471C8"/>
    <w:rsid w:val="00947E9D"/>
    <w:rsid w:val="00950768"/>
    <w:rsid w:val="00951B78"/>
    <w:rsid w:val="00951E05"/>
    <w:rsid w:val="009523BC"/>
    <w:rsid w:val="0095283A"/>
    <w:rsid w:val="009530CA"/>
    <w:rsid w:val="00953295"/>
    <w:rsid w:val="00953365"/>
    <w:rsid w:val="009533D4"/>
    <w:rsid w:val="0095364D"/>
    <w:rsid w:val="009536C0"/>
    <w:rsid w:val="0095598F"/>
    <w:rsid w:val="00955A0A"/>
    <w:rsid w:val="00956792"/>
    <w:rsid w:val="009573DC"/>
    <w:rsid w:val="009575AE"/>
    <w:rsid w:val="00957FF8"/>
    <w:rsid w:val="0096037C"/>
    <w:rsid w:val="009605C3"/>
    <w:rsid w:val="00960AEF"/>
    <w:rsid w:val="00963AE9"/>
    <w:rsid w:val="00963F87"/>
    <w:rsid w:val="00964404"/>
    <w:rsid w:val="00964AB5"/>
    <w:rsid w:val="009653D2"/>
    <w:rsid w:val="009663CE"/>
    <w:rsid w:val="00966666"/>
    <w:rsid w:val="00966A87"/>
    <w:rsid w:val="00967B29"/>
    <w:rsid w:val="00967EB5"/>
    <w:rsid w:val="0097053B"/>
    <w:rsid w:val="009716E8"/>
    <w:rsid w:val="00974D37"/>
    <w:rsid w:val="00974E44"/>
    <w:rsid w:val="00974F8E"/>
    <w:rsid w:val="009764A4"/>
    <w:rsid w:val="009771AA"/>
    <w:rsid w:val="00980353"/>
    <w:rsid w:val="00980E7D"/>
    <w:rsid w:val="009814C6"/>
    <w:rsid w:val="0098151F"/>
    <w:rsid w:val="0098160A"/>
    <w:rsid w:val="009822D7"/>
    <w:rsid w:val="009822F0"/>
    <w:rsid w:val="0098306E"/>
    <w:rsid w:val="00983777"/>
    <w:rsid w:val="00983A67"/>
    <w:rsid w:val="00983E55"/>
    <w:rsid w:val="00983E80"/>
    <w:rsid w:val="009842D3"/>
    <w:rsid w:val="00985495"/>
    <w:rsid w:val="00985737"/>
    <w:rsid w:val="0098582F"/>
    <w:rsid w:val="009858F1"/>
    <w:rsid w:val="00985F16"/>
    <w:rsid w:val="009864CF"/>
    <w:rsid w:val="009868D4"/>
    <w:rsid w:val="00986ADD"/>
    <w:rsid w:val="00986DCA"/>
    <w:rsid w:val="00987644"/>
    <w:rsid w:val="0099031D"/>
    <w:rsid w:val="00990682"/>
    <w:rsid w:val="00990DB0"/>
    <w:rsid w:val="00990F2C"/>
    <w:rsid w:val="00991EB4"/>
    <w:rsid w:val="009928A8"/>
    <w:rsid w:val="00992BAF"/>
    <w:rsid w:val="00992F43"/>
    <w:rsid w:val="009934F6"/>
    <w:rsid w:val="00993871"/>
    <w:rsid w:val="0099443A"/>
    <w:rsid w:val="00994C2B"/>
    <w:rsid w:val="00994DAF"/>
    <w:rsid w:val="00996896"/>
    <w:rsid w:val="00996B4D"/>
    <w:rsid w:val="00996D0D"/>
    <w:rsid w:val="00997F46"/>
    <w:rsid w:val="009A0040"/>
    <w:rsid w:val="009A0713"/>
    <w:rsid w:val="009A0AA3"/>
    <w:rsid w:val="009A0EAF"/>
    <w:rsid w:val="009A2CBF"/>
    <w:rsid w:val="009A30BF"/>
    <w:rsid w:val="009A3F9F"/>
    <w:rsid w:val="009A4C47"/>
    <w:rsid w:val="009A5E9C"/>
    <w:rsid w:val="009A7525"/>
    <w:rsid w:val="009A7664"/>
    <w:rsid w:val="009A79F2"/>
    <w:rsid w:val="009A7FB8"/>
    <w:rsid w:val="009B06BC"/>
    <w:rsid w:val="009B0BA5"/>
    <w:rsid w:val="009B1169"/>
    <w:rsid w:val="009B15B2"/>
    <w:rsid w:val="009B1687"/>
    <w:rsid w:val="009B1F47"/>
    <w:rsid w:val="009B2B6A"/>
    <w:rsid w:val="009B327E"/>
    <w:rsid w:val="009B339A"/>
    <w:rsid w:val="009B3680"/>
    <w:rsid w:val="009B43AB"/>
    <w:rsid w:val="009B4D71"/>
    <w:rsid w:val="009B56E8"/>
    <w:rsid w:val="009B5BE2"/>
    <w:rsid w:val="009B63A3"/>
    <w:rsid w:val="009B6642"/>
    <w:rsid w:val="009B7574"/>
    <w:rsid w:val="009C0328"/>
    <w:rsid w:val="009C0839"/>
    <w:rsid w:val="009C085E"/>
    <w:rsid w:val="009C098C"/>
    <w:rsid w:val="009C120F"/>
    <w:rsid w:val="009C14E5"/>
    <w:rsid w:val="009C2170"/>
    <w:rsid w:val="009C29F4"/>
    <w:rsid w:val="009C2F1E"/>
    <w:rsid w:val="009C36CD"/>
    <w:rsid w:val="009C39BD"/>
    <w:rsid w:val="009C68C5"/>
    <w:rsid w:val="009C7C41"/>
    <w:rsid w:val="009C7F22"/>
    <w:rsid w:val="009D09B9"/>
    <w:rsid w:val="009D2100"/>
    <w:rsid w:val="009D3DFD"/>
    <w:rsid w:val="009D6ABD"/>
    <w:rsid w:val="009D7095"/>
    <w:rsid w:val="009D7AA2"/>
    <w:rsid w:val="009E04AF"/>
    <w:rsid w:val="009E2B25"/>
    <w:rsid w:val="009E3495"/>
    <w:rsid w:val="009E4599"/>
    <w:rsid w:val="009E470B"/>
    <w:rsid w:val="009E4A6F"/>
    <w:rsid w:val="009E5BB5"/>
    <w:rsid w:val="009E67DF"/>
    <w:rsid w:val="009E6986"/>
    <w:rsid w:val="009E69CC"/>
    <w:rsid w:val="009E69FD"/>
    <w:rsid w:val="009E72EE"/>
    <w:rsid w:val="009F07DF"/>
    <w:rsid w:val="009F091E"/>
    <w:rsid w:val="009F09DD"/>
    <w:rsid w:val="009F0D74"/>
    <w:rsid w:val="009F2C6B"/>
    <w:rsid w:val="009F33E9"/>
    <w:rsid w:val="009F3691"/>
    <w:rsid w:val="009F3C62"/>
    <w:rsid w:val="009F3E35"/>
    <w:rsid w:val="009F3EE6"/>
    <w:rsid w:val="009F41F3"/>
    <w:rsid w:val="009F4E0A"/>
    <w:rsid w:val="009F51BF"/>
    <w:rsid w:val="009F5796"/>
    <w:rsid w:val="009F5D6A"/>
    <w:rsid w:val="009F6612"/>
    <w:rsid w:val="009F78E5"/>
    <w:rsid w:val="009F7FB0"/>
    <w:rsid w:val="00A0083A"/>
    <w:rsid w:val="00A00C9D"/>
    <w:rsid w:val="00A00FE5"/>
    <w:rsid w:val="00A025C8"/>
    <w:rsid w:val="00A03434"/>
    <w:rsid w:val="00A0440E"/>
    <w:rsid w:val="00A055A2"/>
    <w:rsid w:val="00A05BDC"/>
    <w:rsid w:val="00A068BD"/>
    <w:rsid w:val="00A079C5"/>
    <w:rsid w:val="00A10993"/>
    <w:rsid w:val="00A10DF5"/>
    <w:rsid w:val="00A117FA"/>
    <w:rsid w:val="00A118FA"/>
    <w:rsid w:val="00A11C65"/>
    <w:rsid w:val="00A1238E"/>
    <w:rsid w:val="00A13B2E"/>
    <w:rsid w:val="00A147BA"/>
    <w:rsid w:val="00A14F25"/>
    <w:rsid w:val="00A150CD"/>
    <w:rsid w:val="00A153FA"/>
    <w:rsid w:val="00A15456"/>
    <w:rsid w:val="00A165ED"/>
    <w:rsid w:val="00A17047"/>
    <w:rsid w:val="00A17AE7"/>
    <w:rsid w:val="00A20365"/>
    <w:rsid w:val="00A2099A"/>
    <w:rsid w:val="00A20DB6"/>
    <w:rsid w:val="00A21A8D"/>
    <w:rsid w:val="00A21F26"/>
    <w:rsid w:val="00A22EBE"/>
    <w:rsid w:val="00A23123"/>
    <w:rsid w:val="00A237D4"/>
    <w:rsid w:val="00A24665"/>
    <w:rsid w:val="00A24CEF"/>
    <w:rsid w:val="00A251BE"/>
    <w:rsid w:val="00A25548"/>
    <w:rsid w:val="00A26DA3"/>
    <w:rsid w:val="00A27620"/>
    <w:rsid w:val="00A308A5"/>
    <w:rsid w:val="00A30A94"/>
    <w:rsid w:val="00A30C20"/>
    <w:rsid w:val="00A31C0C"/>
    <w:rsid w:val="00A322D3"/>
    <w:rsid w:val="00A323B7"/>
    <w:rsid w:val="00A32970"/>
    <w:rsid w:val="00A33AD6"/>
    <w:rsid w:val="00A33BF9"/>
    <w:rsid w:val="00A340D8"/>
    <w:rsid w:val="00A34916"/>
    <w:rsid w:val="00A35822"/>
    <w:rsid w:val="00A36268"/>
    <w:rsid w:val="00A364E0"/>
    <w:rsid w:val="00A3740A"/>
    <w:rsid w:val="00A4070F"/>
    <w:rsid w:val="00A40786"/>
    <w:rsid w:val="00A410EA"/>
    <w:rsid w:val="00A417CF"/>
    <w:rsid w:val="00A41D9A"/>
    <w:rsid w:val="00A4267E"/>
    <w:rsid w:val="00A42F8F"/>
    <w:rsid w:val="00A437F6"/>
    <w:rsid w:val="00A43F6D"/>
    <w:rsid w:val="00A44443"/>
    <w:rsid w:val="00A4469A"/>
    <w:rsid w:val="00A44AA1"/>
    <w:rsid w:val="00A44EF7"/>
    <w:rsid w:val="00A45D07"/>
    <w:rsid w:val="00A4755F"/>
    <w:rsid w:val="00A47AC6"/>
    <w:rsid w:val="00A47B85"/>
    <w:rsid w:val="00A50D10"/>
    <w:rsid w:val="00A513BE"/>
    <w:rsid w:val="00A51B00"/>
    <w:rsid w:val="00A52BF7"/>
    <w:rsid w:val="00A52C1A"/>
    <w:rsid w:val="00A52D86"/>
    <w:rsid w:val="00A53A4C"/>
    <w:rsid w:val="00A53AA9"/>
    <w:rsid w:val="00A543D4"/>
    <w:rsid w:val="00A54ADC"/>
    <w:rsid w:val="00A54D5D"/>
    <w:rsid w:val="00A56B18"/>
    <w:rsid w:val="00A5723F"/>
    <w:rsid w:val="00A572BD"/>
    <w:rsid w:val="00A57B0B"/>
    <w:rsid w:val="00A60510"/>
    <w:rsid w:val="00A60DF9"/>
    <w:rsid w:val="00A611BB"/>
    <w:rsid w:val="00A62315"/>
    <w:rsid w:val="00A64028"/>
    <w:rsid w:val="00A64425"/>
    <w:rsid w:val="00A6634F"/>
    <w:rsid w:val="00A668FB"/>
    <w:rsid w:val="00A6702B"/>
    <w:rsid w:val="00A71189"/>
    <w:rsid w:val="00A71365"/>
    <w:rsid w:val="00A71D10"/>
    <w:rsid w:val="00A71D21"/>
    <w:rsid w:val="00A7220C"/>
    <w:rsid w:val="00A72BF3"/>
    <w:rsid w:val="00A733C4"/>
    <w:rsid w:val="00A73A8A"/>
    <w:rsid w:val="00A73B6A"/>
    <w:rsid w:val="00A73F31"/>
    <w:rsid w:val="00A74F07"/>
    <w:rsid w:val="00A75FB9"/>
    <w:rsid w:val="00A76084"/>
    <w:rsid w:val="00A7765E"/>
    <w:rsid w:val="00A806A9"/>
    <w:rsid w:val="00A807C8"/>
    <w:rsid w:val="00A80A87"/>
    <w:rsid w:val="00A812A3"/>
    <w:rsid w:val="00A81ADC"/>
    <w:rsid w:val="00A81C21"/>
    <w:rsid w:val="00A82428"/>
    <w:rsid w:val="00A8386E"/>
    <w:rsid w:val="00A83F45"/>
    <w:rsid w:val="00A8400E"/>
    <w:rsid w:val="00A862D5"/>
    <w:rsid w:val="00A867DB"/>
    <w:rsid w:val="00A869D6"/>
    <w:rsid w:val="00A86ECE"/>
    <w:rsid w:val="00A90B18"/>
    <w:rsid w:val="00A92883"/>
    <w:rsid w:val="00A92E92"/>
    <w:rsid w:val="00A93090"/>
    <w:rsid w:val="00A933B4"/>
    <w:rsid w:val="00A95AC6"/>
    <w:rsid w:val="00A95E01"/>
    <w:rsid w:val="00A963DC"/>
    <w:rsid w:val="00A96972"/>
    <w:rsid w:val="00A97082"/>
    <w:rsid w:val="00A9710F"/>
    <w:rsid w:val="00A97376"/>
    <w:rsid w:val="00A979CB"/>
    <w:rsid w:val="00AA1E17"/>
    <w:rsid w:val="00AA4277"/>
    <w:rsid w:val="00AA43C6"/>
    <w:rsid w:val="00AA4545"/>
    <w:rsid w:val="00AA4ADF"/>
    <w:rsid w:val="00AA5632"/>
    <w:rsid w:val="00AA5ACA"/>
    <w:rsid w:val="00AA5C9B"/>
    <w:rsid w:val="00AA6259"/>
    <w:rsid w:val="00AA6414"/>
    <w:rsid w:val="00AA773D"/>
    <w:rsid w:val="00AB03B3"/>
    <w:rsid w:val="00AB05A0"/>
    <w:rsid w:val="00AB0BE5"/>
    <w:rsid w:val="00AB0DD6"/>
    <w:rsid w:val="00AB126F"/>
    <w:rsid w:val="00AB1312"/>
    <w:rsid w:val="00AB179F"/>
    <w:rsid w:val="00AB210D"/>
    <w:rsid w:val="00AB27BA"/>
    <w:rsid w:val="00AB4CFA"/>
    <w:rsid w:val="00AB5225"/>
    <w:rsid w:val="00AB621A"/>
    <w:rsid w:val="00AB65F6"/>
    <w:rsid w:val="00AB704D"/>
    <w:rsid w:val="00AB70A5"/>
    <w:rsid w:val="00AB7655"/>
    <w:rsid w:val="00AB77B3"/>
    <w:rsid w:val="00AB7A04"/>
    <w:rsid w:val="00AC14AF"/>
    <w:rsid w:val="00AC17FF"/>
    <w:rsid w:val="00AC202A"/>
    <w:rsid w:val="00AC25B2"/>
    <w:rsid w:val="00AC3A3B"/>
    <w:rsid w:val="00AC47B6"/>
    <w:rsid w:val="00AC49D0"/>
    <w:rsid w:val="00AC558B"/>
    <w:rsid w:val="00AC5930"/>
    <w:rsid w:val="00AC5FEB"/>
    <w:rsid w:val="00AC7AA9"/>
    <w:rsid w:val="00AC7D32"/>
    <w:rsid w:val="00AD0017"/>
    <w:rsid w:val="00AD0343"/>
    <w:rsid w:val="00AD0B8C"/>
    <w:rsid w:val="00AD10A9"/>
    <w:rsid w:val="00AD1D3C"/>
    <w:rsid w:val="00AD2426"/>
    <w:rsid w:val="00AD3712"/>
    <w:rsid w:val="00AD3D71"/>
    <w:rsid w:val="00AD3EA2"/>
    <w:rsid w:val="00AD4070"/>
    <w:rsid w:val="00AD44DC"/>
    <w:rsid w:val="00AD4609"/>
    <w:rsid w:val="00AD4FFE"/>
    <w:rsid w:val="00AD5A5C"/>
    <w:rsid w:val="00AD5D72"/>
    <w:rsid w:val="00AD7F3E"/>
    <w:rsid w:val="00AE031E"/>
    <w:rsid w:val="00AE0B31"/>
    <w:rsid w:val="00AE0EF8"/>
    <w:rsid w:val="00AE0F91"/>
    <w:rsid w:val="00AE1BF2"/>
    <w:rsid w:val="00AE3218"/>
    <w:rsid w:val="00AE32D9"/>
    <w:rsid w:val="00AE3B1F"/>
    <w:rsid w:val="00AE43C4"/>
    <w:rsid w:val="00AE4454"/>
    <w:rsid w:val="00AE4958"/>
    <w:rsid w:val="00AE4971"/>
    <w:rsid w:val="00AE4D65"/>
    <w:rsid w:val="00AE52B3"/>
    <w:rsid w:val="00AE5544"/>
    <w:rsid w:val="00AE58AB"/>
    <w:rsid w:val="00AE7DF5"/>
    <w:rsid w:val="00AF0141"/>
    <w:rsid w:val="00AF18B3"/>
    <w:rsid w:val="00AF3BA9"/>
    <w:rsid w:val="00AF4C90"/>
    <w:rsid w:val="00AF4CCA"/>
    <w:rsid w:val="00AF5435"/>
    <w:rsid w:val="00AF7401"/>
    <w:rsid w:val="00AF7AB0"/>
    <w:rsid w:val="00AF7B5E"/>
    <w:rsid w:val="00B004D3"/>
    <w:rsid w:val="00B00935"/>
    <w:rsid w:val="00B00CF6"/>
    <w:rsid w:val="00B012BD"/>
    <w:rsid w:val="00B014E7"/>
    <w:rsid w:val="00B02511"/>
    <w:rsid w:val="00B02A7E"/>
    <w:rsid w:val="00B02D50"/>
    <w:rsid w:val="00B03499"/>
    <w:rsid w:val="00B036E5"/>
    <w:rsid w:val="00B06424"/>
    <w:rsid w:val="00B06CA6"/>
    <w:rsid w:val="00B077D0"/>
    <w:rsid w:val="00B10037"/>
    <w:rsid w:val="00B10227"/>
    <w:rsid w:val="00B10B2A"/>
    <w:rsid w:val="00B115CA"/>
    <w:rsid w:val="00B122B7"/>
    <w:rsid w:val="00B137EA"/>
    <w:rsid w:val="00B13FED"/>
    <w:rsid w:val="00B14152"/>
    <w:rsid w:val="00B14513"/>
    <w:rsid w:val="00B147C9"/>
    <w:rsid w:val="00B15ACB"/>
    <w:rsid w:val="00B15B43"/>
    <w:rsid w:val="00B1686A"/>
    <w:rsid w:val="00B17494"/>
    <w:rsid w:val="00B1758C"/>
    <w:rsid w:val="00B17737"/>
    <w:rsid w:val="00B20FEC"/>
    <w:rsid w:val="00B216C6"/>
    <w:rsid w:val="00B218D2"/>
    <w:rsid w:val="00B21BCE"/>
    <w:rsid w:val="00B221AB"/>
    <w:rsid w:val="00B2223A"/>
    <w:rsid w:val="00B22735"/>
    <w:rsid w:val="00B22ABA"/>
    <w:rsid w:val="00B22BA0"/>
    <w:rsid w:val="00B233A7"/>
    <w:rsid w:val="00B2360A"/>
    <w:rsid w:val="00B242AF"/>
    <w:rsid w:val="00B2463A"/>
    <w:rsid w:val="00B24A89"/>
    <w:rsid w:val="00B24DFF"/>
    <w:rsid w:val="00B2614F"/>
    <w:rsid w:val="00B26570"/>
    <w:rsid w:val="00B26607"/>
    <w:rsid w:val="00B27729"/>
    <w:rsid w:val="00B277C0"/>
    <w:rsid w:val="00B27EEB"/>
    <w:rsid w:val="00B30004"/>
    <w:rsid w:val="00B302AC"/>
    <w:rsid w:val="00B318AA"/>
    <w:rsid w:val="00B31CB9"/>
    <w:rsid w:val="00B31FA9"/>
    <w:rsid w:val="00B33B98"/>
    <w:rsid w:val="00B33C46"/>
    <w:rsid w:val="00B342C5"/>
    <w:rsid w:val="00B34E27"/>
    <w:rsid w:val="00B36E70"/>
    <w:rsid w:val="00B37CD6"/>
    <w:rsid w:val="00B37DCD"/>
    <w:rsid w:val="00B40CFB"/>
    <w:rsid w:val="00B41103"/>
    <w:rsid w:val="00B416F4"/>
    <w:rsid w:val="00B41991"/>
    <w:rsid w:val="00B420B0"/>
    <w:rsid w:val="00B42258"/>
    <w:rsid w:val="00B42450"/>
    <w:rsid w:val="00B44107"/>
    <w:rsid w:val="00B45413"/>
    <w:rsid w:val="00B45414"/>
    <w:rsid w:val="00B455AF"/>
    <w:rsid w:val="00B45891"/>
    <w:rsid w:val="00B45CA4"/>
    <w:rsid w:val="00B46449"/>
    <w:rsid w:val="00B46A3C"/>
    <w:rsid w:val="00B4753C"/>
    <w:rsid w:val="00B47A89"/>
    <w:rsid w:val="00B47F99"/>
    <w:rsid w:val="00B50B02"/>
    <w:rsid w:val="00B514BA"/>
    <w:rsid w:val="00B51CB4"/>
    <w:rsid w:val="00B52945"/>
    <w:rsid w:val="00B52B57"/>
    <w:rsid w:val="00B53341"/>
    <w:rsid w:val="00B533D2"/>
    <w:rsid w:val="00B53710"/>
    <w:rsid w:val="00B5399F"/>
    <w:rsid w:val="00B53D89"/>
    <w:rsid w:val="00B554FA"/>
    <w:rsid w:val="00B56ADF"/>
    <w:rsid w:val="00B56CDE"/>
    <w:rsid w:val="00B56DF1"/>
    <w:rsid w:val="00B5711A"/>
    <w:rsid w:val="00B5734F"/>
    <w:rsid w:val="00B575F0"/>
    <w:rsid w:val="00B578B5"/>
    <w:rsid w:val="00B6048A"/>
    <w:rsid w:val="00B61262"/>
    <w:rsid w:val="00B612F1"/>
    <w:rsid w:val="00B618A0"/>
    <w:rsid w:val="00B629EE"/>
    <w:rsid w:val="00B6426D"/>
    <w:rsid w:val="00B650CF"/>
    <w:rsid w:val="00B661D4"/>
    <w:rsid w:val="00B667F6"/>
    <w:rsid w:val="00B70D74"/>
    <w:rsid w:val="00B71032"/>
    <w:rsid w:val="00B71650"/>
    <w:rsid w:val="00B716F8"/>
    <w:rsid w:val="00B71E34"/>
    <w:rsid w:val="00B7229E"/>
    <w:rsid w:val="00B7326F"/>
    <w:rsid w:val="00B748E1"/>
    <w:rsid w:val="00B75E0B"/>
    <w:rsid w:val="00B762A9"/>
    <w:rsid w:val="00B76AA9"/>
    <w:rsid w:val="00B77BB6"/>
    <w:rsid w:val="00B80917"/>
    <w:rsid w:val="00B815D4"/>
    <w:rsid w:val="00B81B3B"/>
    <w:rsid w:val="00B8333A"/>
    <w:rsid w:val="00B83403"/>
    <w:rsid w:val="00B8443F"/>
    <w:rsid w:val="00B84577"/>
    <w:rsid w:val="00B87EE4"/>
    <w:rsid w:val="00B905F5"/>
    <w:rsid w:val="00B91352"/>
    <w:rsid w:val="00B917E2"/>
    <w:rsid w:val="00B924B7"/>
    <w:rsid w:val="00B924B9"/>
    <w:rsid w:val="00B92BEC"/>
    <w:rsid w:val="00B933A3"/>
    <w:rsid w:val="00B93D7E"/>
    <w:rsid w:val="00B948B3"/>
    <w:rsid w:val="00B95659"/>
    <w:rsid w:val="00B95807"/>
    <w:rsid w:val="00B95BF4"/>
    <w:rsid w:val="00B962C7"/>
    <w:rsid w:val="00B9759F"/>
    <w:rsid w:val="00BA1CF8"/>
    <w:rsid w:val="00BA27AD"/>
    <w:rsid w:val="00BA2A64"/>
    <w:rsid w:val="00BA3714"/>
    <w:rsid w:val="00BA3DEF"/>
    <w:rsid w:val="00BA43B8"/>
    <w:rsid w:val="00BA499C"/>
    <w:rsid w:val="00BA5A6A"/>
    <w:rsid w:val="00BA5F68"/>
    <w:rsid w:val="00BB014D"/>
    <w:rsid w:val="00BB1830"/>
    <w:rsid w:val="00BB220F"/>
    <w:rsid w:val="00BB4A09"/>
    <w:rsid w:val="00BB5B51"/>
    <w:rsid w:val="00BB6A4F"/>
    <w:rsid w:val="00BB6AD9"/>
    <w:rsid w:val="00BB6D97"/>
    <w:rsid w:val="00BB7E13"/>
    <w:rsid w:val="00BC06E2"/>
    <w:rsid w:val="00BC075A"/>
    <w:rsid w:val="00BC0FDA"/>
    <w:rsid w:val="00BC1A1F"/>
    <w:rsid w:val="00BC23A2"/>
    <w:rsid w:val="00BC3C3D"/>
    <w:rsid w:val="00BC43EA"/>
    <w:rsid w:val="00BC4CC0"/>
    <w:rsid w:val="00BC509C"/>
    <w:rsid w:val="00BC51EA"/>
    <w:rsid w:val="00BC5F46"/>
    <w:rsid w:val="00BC60F6"/>
    <w:rsid w:val="00BC61E8"/>
    <w:rsid w:val="00BC62F1"/>
    <w:rsid w:val="00BC67B2"/>
    <w:rsid w:val="00BC6F2C"/>
    <w:rsid w:val="00BD017A"/>
    <w:rsid w:val="00BD01E6"/>
    <w:rsid w:val="00BD1727"/>
    <w:rsid w:val="00BD313F"/>
    <w:rsid w:val="00BD3615"/>
    <w:rsid w:val="00BD362A"/>
    <w:rsid w:val="00BD42EF"/>
    <w:rsid w:val="00BD53DE"/>
    <w:rsid w:val="00BD5BEE"/>
    <w:rsid w:val="00BD6265"/>
    <w:rsid w:val="00BE09E9"/>
    <w:rsid w:val="00BE0B80"/>
    <w:rsid w:val="00BE0C22"/>
    <w:rsid w:val="00BE13A1"/>
    <w:rsid w:val="00BE1ECD"/>
    <w:rsid w:val="00BE2565"/>
    <w:rsid w:val="00BE2979"/>
    <w:rsid w:val="00BE2FF1"/>
    <w:rsid w:val="00BE3417"/>
    <w:rsid w:val="00BE37D6"/>
    <w:rsid w:val="00BE3967"/>
    <w:rsid w:val="00BE399F"/>
    <w:rsid w:val="00BE4053"/>
    <w:rsid w:val="00BE45B4"/>
    <w:rsid w:val="00BE4EF1"/>
    <w:rsid w:val="00BE5043"/>
    <w:rsid w:val="00BE623D"/>
    <w:rsid w:val="00BE66FC"/>
    <w:rsid w:val="00BE6D56"/>
    <w:rsid w:val="00BE7139"/>
    <w:rsid w:val="00BE7826"/>
    <w:rsid w:val="00BE7B13"/>
    <w:rsid w:val="00BF0581"/>
    <w:rsid w:val="00BF068E"/>
    <w:rsid w:val="00BF0D44"/>
    <w:rsid w:val="00BF1528"/>
    <w:rsid w:val="00BF19DA"/>
    <w:rsid w:val="00BF3962"/>
    <w:rsid w:val="00BF39FE"/>
    <w:rsid w:val="00BF3DF7"/>
    <w:rsid w:val="00BF473F"/>
    <w:rsid w:val="00BF4C07"/>
    <w:rsid w:val="00BF56F8"/>
    <w:rsid w:val="00BF59BE"/>
    <w:rsid w:val="00BF6097"/>
    <w:rsid w:val="00BF7233"/>
    <w:rsid w:val="00BF79D5"/>
    <w:rsid w:val="00C0010E"/>
    <w:rsid w:val="00C00957"/>
    <w:rsid w:val="00C00EE7"/>
    <w:rsid w:val="00C01D1A"/>
    <w:rsid w:val="00C02587"/>
    <w:rsid w:val="00C02620"/>
    <w:rsid w:val="00C02977"/>
    <w:rsid w:val="00C02F22"/>
    <w:rsid w:val="00C031DA"/>
    <w:rsid w:val="00C0330A"/>
    <w:rsid w:val="00C04287"/>
    <w:rsid w:val="00C0528C"/>
    <w:rsid w:val="00C072EA"/>
    <w:rsid w:val="00C07366"/>
    <w:rsid w:val="00C076FE"/>
    <w:rsid w:val="00C10BB9"/>
    <w:rsid w:val="00C11D0C"/>
    <w:rsid w:val="00C11F58"/>
    <w:rsid w:val="00C12F2F"/>
    <w:rsid w:val="00C1351F"/>
    <w:rsid w:val="00C13E27"/>
    <w:rsid w:val="00C16EF2"/>
    <w:rsid w:val="00C17281"/>
    <w:rsid w:val="00C208F9"/>
    <w:rsid w:val="00C20B7F"/>
    <w:rsid w:val="00C20C55"/>
    <w:rsid w:val="00C23328"/>
    <w:rsid w:val="00C2344E"/>
    <w:rsid w:val="00C23CC1"/>
    <w:rsid w:val="00C23D8A"/>
    <w:rsid w:val="00C23E80"/>
    <w:rsid w:val="00C2463D"/>
    <w:rsid w:val="00C251FE"/>
    <w:rsid w:val="00C26DAF"/>
    <w:rsid w:val="00C26E4E"/>
    <w:rsid w:val="00C2755A"/>
    <w:rsid w:val="00C276F5"/>
    <w:rsid w:val="00C278BE"/>
    <w:rsid w:val="00C302A8"/>
    <w:rsid w:val="00C3055B"/>
    <w:rsid w:val="00C3149C"/>
    <w:rsid w:val="00C315B1"/>
    <w:rsid w:val="00C31822"/>
    <w:rsid w:val="00C31FA3"/>
    <w:rsid w:val="00C3210C"/>
    <w:rsid w:val="00C322E1"/>
    <w:rsid w:val="00C325E9"/>
    <w:rsid w:val="00C32D6C"/>
    <w:rsid w:val="00C3302E"/>
    <w:rsid w:val="00C33EC6"/>
    <w:rsid w:val="00C35049"/>
    <w:rsid w:val="00C35288"/>
    <w:rsid w:val="00C36DAB"/>
    <w:rsid w:val="00C40DA5"/>
    <w:rsid w:val="00C40E1A"/>
    <w:rsid w:val="00C4109D"/>
    <w:rsid w:val="00C42657"/>
    <w:rsid w:val="00C42B81"/>
    <w:rsid w:val="00C4482B"/>
    <w:rsid w:val="00C44C58"/>
    <w:rsid w:val="00C4500C"/>
    <w:rsid w:val="00C4535A"/>
    <w:rsid w:val="00C469CD"/>
    <w:rsid w:val="00C47471"/>
    <w:rsid w:val="00C475AC"/>
    <w:rsid w:val="00C50BDA"/>
    <w:rsid w:val="00C50F1A"/>
    <w:rsid w:val="00C5245A"/>
    <w:rsid w:val="00C528B7"/>
    <w:rsid w:val="00C53170"/>
    <w:rsid w:val="00C53683"/>
    <w:rsid w:val="00C536AF"/>
    <w:rsid w:val="00C54135"/>
    <w:rsid w:val="00C54290"/>
    <w:rsid w:val="00C54739"/>
    <w:rsid w:val="00C54C6E"/>
    <w:rsid w:val="00C54DFC"/>
    <w:rsid w:val="00C55250"/>
    <w:rsid w:val="00C55584"/>
    <w:rsid w:val="00C55E58"/>
    <w:rsid w:val="00C5649A"/>
    <w:rsid w:val="00C57022"/>
    <w:rsid w:val="00C5741D"/>
    <w:rsid w:val="00C578FA"/>
    <w:rsid w:val="00C57BF7"/>
    <w:rsid w:val="00C6021F"/>
    <w:rsid w:val="00C613C2"/>
    <w:rsid w:val="00C61777"/>
    <w:rsid w:val="00C619D5"/>
    <w:rsid w:val="00C62CE9"/>
    <w:rsid w:val="00C62FE6"/>
    <w:rsid w:val="00C639EC"/>
    <w:rsid w:val="00C63C78"/>
    <w:rsid w:val="00C63CB0"/>
    <w:rsid w:val="00C63CF8"/>
    <w:rsid w:val="00C64CD9"/>
    <w:rsid w:val="00C64F92"/>
    <w:rsid w:val="00C65169"/>
    <w:rsid w:val="00C659FC"/>
    <w:rsid w:val="00C66D00"/>
    <w:rsid w:val="00C67517"/>
    <w:rsid w:val="00C67AF0"/>
    <w:rsid w:val="00C67B05"/>
    <w:rsid w:val="00C704F9"/>
    <w:rsid w:val="00C71E43"/>
    <w:rsid w:val="00C723F6"/>
    <w:rsid w:val="00C72881"/>
    <w:rsid w:val="00C73AB3"/>
    <w:rsid w:val="00C748AA"/>
    <w:rsid w:val="00C74F8D"/>
    <w:rsid w:val="00C75191"/>
    <w:rsid w:val="00C75910"/>
    <w:rsid w:val="00C7696B"/>
    <w:rsid w:val="00C76A28"/>
    <w:rsid w:val="00C76B08"/>
    <w:rsid w:val="00C7722E"/>
    <w:rsid w:val="00C77DF9"/>
    <w:rsid w:val="00C80904"/>
    <w:rsid w:val="00C814BA"/>
    <w:rsid w:val="00C81682"/>
    <w:rsid w:val="00C849DC"/>
    <w:rsid w:val="00C84BEE"/>
    <w:rsid w:val="00C85093"/>
    <w:rsid w:val="00C867C3"/>
    <w:rsid w:val="00C902DF"/>
    <w:rsid w:val="00C903D2"/>
    <w:rsid w:val="00C91100"/>
    <w:rsid w:val="00C93B6F"/>
    <w:rsid w:val="00C94A69"/>
    <w:rsid w:val="00C9576D"/>
    <w:rsid w:val="00C957B6"/>
    <w:rsid w:val="00C95D76"/>
    <w:rsid w:val="00C961C3"/>
    <w:rsid w:val="00C96FD0"/>
    <w:rsid w:val="00CA0823"/>
    <w:rsid w:val="00CA0DE5"/>
    <w:rsid w:val="00CA3BC1"/>
    <w:rsid w:val="00CA467A"/>
    <w:rsid w:val="00CA46D9"/>
    <w:rsid w:val="00CA473C"/>
    <w:rsid w:val="00CA5C85"/>
    <w:rsid w:val="00CA635C"/>
    <w:rsid w:val="00CA6433"/>
    <w:rsid w:val="00CA6F49"/>
    <w:rsid w:val="00CA752A"/>
    <w:rsid w:val="00CA7EA2"/>
    <w:rsid w:val="00CA7FD2"/>
    <w:rsid w:val="00CB003D"/>
    <w:rsid w:val="00CB066D"/>
    <w:rsid w:val="00CB0E79"/>
    <w:rsid w:val="00CB110F"/>
    <w:rsid w:val="00CB1C01"/>
    <w:rsid w:val="00CB2335"/>
    <w:rsid w:val="00CB28D1"/>
    <w:rsid w:val="00CB2C90"/>
    <w:rsid w:val="00CB3788"/>
    <w:rsid w:val="00CB4902"/>
    <w:rsid w:val="00CB566F"/>
    <w:rsid w:val="00CB58B3"/>
    <w:rsid w:val="00CB65B0"/>
    <w:rsid w:val="00CB67F0"/>
    <w:rsid w:val="00CB68B5"/>
    <w:rsid w:val="00CB6C72"/>
    <w:rsid w:val="00CB7392"/>
    <w:rsid w:val="00CC0B7D"/>
    <w:rsid w:val="00CC0BBB"/>
    <w:rsid w:val="00CC0F22"/>
    <w:rsid w:val="00CC14BA"/>
    <w:rsid w:val="00CC1A0F"/>
    <w:rsid w:val="00CC25F6"/>
    <w:rsid w:val="00CC26CB"/>
    <w:rsid w:val="00CC2F7B"/>
    <w:rsid w:val="00CC385C"/>
    <w:rsid w:val="00CC3B64"/>
    <w:rsid w:val="00CC44EE"/>
    <w:rsid w:val="00CC479D"/>
    <w:rsid w:val="00CC4990"/>
    <w:rsid w:val="00CC5325"/>
    <w:rsid w:val="00CC54FD"/>
    <w:rsid w:val="00CC60E8"/>
    <w:rsid w:val="00CC627D"/>
    <w:rsid w:val="00CC6CF9"/>
    <w:rsid w:val="00CC72C5"/>
    <w:rsid w:val="00CC78C4"/>
    <w:rsid w:val="00CD1183"/>
    <w:rsid w:val="00CD13E8"/>
    <w:rsid w:val="00CD2034"/>
    <w:rsid w:val="00CD2906"/>
    <w:rsid w:val="00CD2E8F"/>
    <w:rsid w:val="00CD2F46"/>
    <w:rsid w:val="00CD355D"/>
    <w:rsid w:val="00CD4432"/>
    <w:rsid w:val="00CD761E"/>
    <w:rsid w:val="00CD77FE"/>
    <w:rsid w:val="00CE45C9"/>
    <w:rsid w:val="00CE5D57"/>
    <w:rsid w:val="00CE5E4B"/>
    <w:rsid w:val="00CE6811"/>
    <w:rsid w:val="00CE7B0B"/>
    <w:rsid w:val="00CF1AD7"/>
    <w:rsid w:val="00CF2EFB"/>
    <w:rsid w:val="00CF42C0"/>
    <w:rsid w:val="00CF50E5"/>
    <w:rsid w:val="00CF5178"/>
    <w:rsid w:val="00CF565F"/>
    <w:rsid w:val="00CF5F28"/>
    <w:rsid w:val="00CF6927"/>
    <w:rsid w:val="00D0020D"/>
    <w:rsid w:val="00D008F8"/>
    <w:rsid w:val="00D01E65"/>
    <w:rsid w:val="00D03E5B"/>
    <w:rsid w:val="00D045AB"/>
    <w:rsid w:val="00D045D2"/>
    <w:rsid w:val="00D0487B"/>
    <w:rsid w:val="00D050CA"/>
    <w:rsid w:val="00D05B12"/>
    <w:rsid w:val="00D05DA4"/>
    <w:rsid w:val="00D05E78"/>
    <w:rsid w:val="00D06DEC"/>
    <w:rsid w:val="00D07EB3"/>
    <w:rsid w:val="00D102D4"/>
    <w:rsid w:val="00D10E85"/>
    <w:rsid w:val="00D1130C"/>
    <w:rsid w:val="00D11C1D"/>
    <w:rsid w:val="00D122BD"/>
    <w:rsid w:val="00D12384"/>
    <w:rsid w:val="00D13355"/>
    <w:rsid w:val="00D149C8"/>
    <w:rsid w:val="00D14AE5"/>
    <w:rsid w:val="00D153C1"/>
    <w:rsid w:val="00D1657F"/>
    <w:rsid w:val="00D16FD2"/>
    <w:rsid w:val="00D17CB4"/>
    <w:rsid w:val="00D17E6D"/>
    <w:rsid w:val="00D202CE"/>
    <w:rsid w:val="00D20A32"/>
    <w:rsid w:val="00D20FE9"/>
    <w:rsid w:val="00D215DD"/>
    <w:rsid w:val="00D21663"/>
    <w:rsid w:val="00D22742"/>
    <w:rsid w:val="00D228B2"/>
    <w:rsid w:val="00D2335F"/>
    <w:rsid w:val="00D235C6"/>
    <w:rsid w:val="00D23F76"/>
    <w:rsid w:val="00D23FAD"/>
    <w:rsid w:val="00D24163"/>
    <w:rsid w:val="00D24310"/>
    <w:rsid w:val="00D24BDB"/>
    <w:rsid w:val="00D255CF"/>
    <w:rsid w:val="00D25618"/>
    <w:rsid w:val="00D257BB"/>
    <w:rsid w:val="00D25B6D"/>
    <w:rsid w:val="00D25CB9"/>
    <w:rsid w:val="00D267DD"/>
    <w:rsid w:val="00D26FAB"/>
    <w:rsid w:val="00D270CB"/>
    <w:rsid w:val="00D2732B"/>
    <w:rsid w:val="00D27741"/>
    <w:rsid w:val="00D27D30"/>
    <w:rsid w:val="00D305EC"/>
    <w:rsid w:val="00D30D81"/>
    <w:rsid w:val="00D30FDA"/>
    <w:rsid w:val="00D31629"/>
    <w:rsid w:val="00D317A2"/>
    <w:rsid w:val="00D32569"/>
    <w:rsid w:val="00D32A90"/>
    <w:rsid w:val="00D334FE"/>
    <w:rsid w:val="00D3360B"/>
    <w:rsid w:val="00D3479D"/>
    <w:rsid w:val="00D34B16"/>
    <w:rsid w:val="00D35050"/>
    <w:rsid w:val="00D358A0"/>
    <w:rsid w:val="00D35B6A"/>
    <w:rsid w:val="00D35B85"/>
    <w:rsid w:val="00D37FA0"/>
    <w:rsid w:val="00D408EA"/>
    <w:rsid w:val="00D41A56"/>
    <w:rsid w:val="00D421F0"/>
    <w:rsid w:val="00D45F94"/>
    <w:rsid w:val="00D4637C"/>
    <w:rsid w:val="00D4671F"/>
    <w:rsid w:val="00D468AC"/>
    <w:rsid w:val="00D46F7C"/>
    <w:rsid w:val="00D506A7"/>
    <w:rsid w:val="00D5180C"/>
    <w:rsid w:val="00D5329B"/>
    <w:rsid w:val="00D539C8"/>
    <w:rsid w:val="00D53E60"/>
    <w:rsid w:val="00D53E93"/>
    <w:rsid w:val="00D54C6D"/>
    <w:rsid w:val="00D56DE3"/>
    <w:rsid w:val="00D570BC"/>
    <w:rsid w:val="00D573EA"/>
    <w:rsid w:val="00D579A6"/>
    <w:rsid w:val="00D60D2B"/>
    <w:rsid w:val="00D61D9E"/>
    <w:rsid w:val="00D6300D"/>
    <w:rsid w:val="00D63111"/>
    <w:rsid w:val="00D631D2"/>
    <w:rsid w:val="00D6330C"/>
    <w:rsid w:val="00D64B8A"/>
    <w:rsid w:val="00D64CE4"/>
    <w:rsid w:val="00D65081"/>
    <w:rsid w:val="00D65605"/>
    <w:rsid w:val="00D65906"/>
    <w:rsid w:val="00D66DC1"/>
    <w:rsid w:val="00D66EF0"/>
    <w:rsid w:val="00D66F25"/>
    <w:rsid w:val="00D66FC5"/>
    <w:rsid w:val="00D6741D"/>
    <w:rsid w:val="00D677C4"/>
    <w:rsid w:val="00D679C2"/>
    <w:rsid w:val="00D7095B"/>
    <w:rsid w:val="00D720BD"/>
    <w:rsid w:val="00D720F1"/>
    <w:rsid w:val="00D7252F"/>
    <w:rsid w:val="00D7695E"/>
    <w:rsid w:val="00D76F19"/>
    <w:rsid w:val="00D774C7"/>
    <w:rsid w:val="00D77B20"/>
    <w:rsid w:val="00D77EFF"/>
    <w:rsid w:val="00D8088C"/>
    <w:rsid w:val="00D80B69"/>
    <w:rsid w:val="00D8167D"/>
    <w:rsid w:val="00D81873"/>
    <w:rsid w:val="00D81B81"/>
    <w:rsid w:val="00D82917"/>
    <w:rsid w:val="00D82C72"/>
    <w:rsid w:val="00D83A2E"/>
    <w:rsid w:val="00D8453D"/>
    <w:rsid w:val="00D84D5F"/>
    <w:rsid w:val="00D852FB"/>
    <w:rsid w:val="00D854A2"/>
    <w:rsid w:val="00D85637"/>
    <w:rsid w:val="00D85BA2"/>
    <w:rsid w:val="00D85DC3"/>
    <w:rsid w:val="00D86957"/>
    <w:rsid w:val="00D86A93"/>
    <w:rsid w:val="00D86AD5"/>
    <w:rsid w:val="00D86C5D"/>
    <w:rsid w:val="00D90A72"/>
    <w:rsid w:val="00D90D40"/>
    <w:rsid w:val="00D91111"/>
    <w:rsid w:val="00D917C7"/>
    <w:rsid w:val="00D91CA2"/>
    <w:rsid w:val="00D92474"/>
    <w:rsid w:val="00D92719"/>
    <w:rsid w:val="00D92844"/>
    <w:rsid w:val="00D92CB8"/>
    <w:rsid w:val="00D92D7A"/>
    <w:rsid w:val="00D92E52"/>
    <w:rsid w:val="00D93845"/>
    <w:rsid w:val="00D94248"/>
    <w:rsid w:val="00D9493E"/>
    <w:rsid w:val="00D95300"/>
    <w:rsid w:val="00D9549C"/>
    <w:rsid w:val="00D95744"/>
    <w:rsid w:val="00D95C9B"/>
    <w:rsid w:val="00D95D9F"/>
    <w:rsid w:val="00D962ED"/>
    <w:rsid w:val="00D96631"/>
    <w:rsid w:val="00D9692B"/>
    <w:rsid w:val="00D96A54"/>
    <w:rsid w:val="00D96B28"/>
    <w:rsid w:val="00D96D87"/>
    <w:rsid w:val="00DA00FE"/>
    <w:rsid w:val="00DA0D7D"/>
    <w:rsid w:val="00DA0D97"/>
    <w:rsid w:val="00DA10B6"/>
    <w:rsid w:val="00DA12F4"/>
    <w:rsid w:val="00DA249E"/>
    <w:rsid w:val="00DA2AFF"/>
    <w:rsid w:val="00DA2B04"/>
    <w:rsid w:val="00DA2F07"/>
    <w:rsid w:val="00DA43CE"/>
    <w:rsid w:val="00DA5DB6"/>
    <w:rsid w:val="00DA5DC0"/>
    <w:rsid w:val="00DA5E8E"/>
    <w:rsid w:val="00DA62C1"/>
    <w:rsid w:val="00DA7691"/>
    <w:rsid w:val="00DB0054"/>
    <w:rsid w:val="00DB08E0"/>
    <w:rsid w:val="00DB11F6"/>
    <w:rsid w:val="00DB1D0E"/>
    <w:rsid w:val="00DB2595"/>
    <w:rsid w:val="00DB2DB1"/>
    <w:rsid w:val="00DB2EA3"/>
    <w:rsid w:val="00DB41CF"/>
    <w:rsid w:val="00DB5C54"/>
    <w:rsid w:val="00DB5DC6"/>
    <w:rsid w:val="00DB65C0"/>
    <w:rsid w:val="00DB74B1"/>
    <w:rsid w:val="00DC031E"/>
    <w:rsid w:val="00DC144A"/>
    <w:rsid w:val="00DC181C"/>
    <w:rsid w:val="00DC2440"/>
    <w:rsid w:val="00DC2A42"/>
    <w:rsid w:val="00DC30F3"/>
    <w:rsid w:val="00DC40C3"/>
    <w:rsid w:val="00DC4278"/>
    <w:rsid w:val="00DC4A83"/>
    <w:rsid w:val="00DC6089"/>
    <w:rsid w:val="00DC6758"/>
    <w:rsid w:val="00DC6C22"/>
    <w:rsid w:val="00DD102A"/>
    <w:rsid w:val="00DD1F39"/>
    <w:rsid w:val="00DD29A2"/>
    <w:rsid w:val="00DD2D6E"/>
    <w:rsid w:val="00DD33A0"/>
    <w:rsid w:val="00DD3AC2"/>
    <w:rsid w:val="00DD3C69"/>
    <w:rsid w:val="00DD3D4D"/>
    <w:rsid w:val="00DD4675"/>
    <w:rsid w:val="00DD565D"/>
    <w:rsid w:val="00DD5C09"/>
    <w:rsid w:val="00DD6076"/>
    <w:rsid w:val="00DD66D4"/>
    <w:rsid w:val="00DD7653"/>
    <w:rsid w:val="00DD790D"/>
    <w:rsid w:val="00DD7F47"/>
    <w:rsid w:val="00DD7F50"/>
    <w:rsid w:val="00DE024A"/>
    <w:rsid w:val="00DE0A40"/>
    <w:rsid w:val="00DE1653"/>
    <w:rsid w:val="00DE2A21"/>
    <w:rsid w:val="00DE2D8D"/>
    <w:rsid w:val="00DE372C"/>
    <w:rsid w:val="00DE3BCB"/>
    <w:rsid w:val="00DE3E07"/>
    <w:rsid w:val="00DE4A31"/>
    <w:rsid w:val="00DE6364"/>
    <w:rsid w:val="00DE6929"/>
    <w:rsid w:val="00DE7D7D"/>
    <w:rsid w:val="00DF0E04"/>
    <w:rsid w:val="00DF0EA5"/>
    <w:rsid w:val="00DF210C"/>
    <w:rsid w:val="00DF46AD"/>
    <w:rsid w:val="00DF4EB5"/>
    <w:rsid w:val="00DF53AF"/>
    <w:rsid w:val="00DF5957"/>
    <w:rsid w:val="00DF655F"/>
    <w:rsid w:val="00DF759D"/>
    <w:rsid w:val="00DF7BAE"/>
    <w:rsid w:val="00E01802"/>
    <w:rsid w:val="00E04016"/>
    <w:rsid w:val="00E04F3F"/>
    <w:rsid w:val="00E0546F"/>
    <w:rsid w:val="00E05BA4"/>
    <w:rsid w:val="00E05EE8"/>
    <w:rsid w:val="00E06272"/>
    <w:rsid w:val="00E06354"/>
    <w:rsid w:val="00E06DA8"/>
    <w:rsid w:val="00E079C3"/>
    <w:rsid w:val="00E07EB2"/>
    <w:rsid w:val="00E10BC8"/>
    <w:rsid w:val="00E10D31"/>
    <w:rsid w:val="00E112A5"/>
    <w:rsid w:val="00E1170A"/>
    <w:rsid w:val="00E12D3B"/>
    <w:rsid w:val="00E13BD4"/>
    <w:rsid w:val="00E13EE0"/>
    <w:rsid w:val="00E15609"/>
    <w:rsid w:val="00E15A39"/>
    <w:rsid w:val="00E15D11"/>
    <w:rsid w:val="00E15DAA"/>
    <w:rsid w:val="00E17FC4"/>
    <w:rsid w:val="00E22C20"/>
    <w:rsid w:val="00E23062"/>
    <w:rsid w:val="00E23E08"/>
    <w:rsid w:val="00E23EBF"/>
    <w:rsid w:val="00E24459"/>
    <w:rsid w:val="00E246D4"/>
    <w:rsid w:val="00E24977"/>
    <w:rsid w:val="00E25F5E"/>
    <w:rsid w:val="00E2648E"/>
    <w:rsid w:val="00E26F87"/>
    <w:rsid w:val="00E3015C"/>
    <w:rsid w:val="00E3066D"/>
    <w:rsid w:val="00E3127B"/>
    <w:rsid w:val="00E3145B"/>
    <w:rsid w:val="00E31A01"/>
    <w:rsid w:val="00E32B75"/>
    <w:rsid w:val="00E32F5F"/>
    <w:rsid w:val="00E33154"/>
    <w:rsid w:val="00E33BEE"/>
    <w:rsid w:val="00E34719"/>
    <w:rsid w:val="00E34AC2"/>
    <w:rsid w:val="00E35E64"/>
    <w:rsid w:val="00E372AE"/>
    <w:rsid w:val="00E372F7"/>
    <w:rsid w:val="00E37331"/>
    <w:rsid w:val="00E37ACC"/>
    <w:rsid w:val="00E40217"/>
    <w:rsid w:val="00E40A2D"/>
    <w:rsid w:val="00E411F7"/>
    <w:rsid w:val="00E42AE6"/>
    <w:rsid w:val="00E431F4"/>
    <w:rsid w:val="00E4386A"/>
    <w:rsid w:val="00E43872"/>
    <w:rsid w:val="00E44AE9"/>
    <w:rsid w:val="00E451F3"/>
    <w:rsid w:val="00E4590C"/>
    <w:rsid w:val="00E473F1"/>
    <w:rsid w:val="00E50005"/>
    <w:rsid w:val="00E5009F"/>
    <w:rsid w:val="00E50972"/>
    <w:rsid w:val="00E509DB"/>
    <w:rsid w:val="00E51949"/>
    <w:rsid w:val="00E52193"/>
    <w:rsid w:val="00E528E8"/>
    <w:rsid w:val="00E536E8"/>
    <w:rsid w:val="00E54C55"/>
    <w:rsid w:val="00E54D53"/>
    <w:rsid w:val="00E554E8"/>
    <w:rsid w:val="00E55D15"/>
    <w:rsid w:val="00E572FF"/>
    <w:rsid w:val="00E57523"/>
    <w:rsid w:val="00E57E2F"/>
    <w:rsid w:val="00E61894"/>
    <w:rsid w:val="00E62214"/>
    <w:rsid w:val="00E6245C"/>
    <w:rsid w:val="00E624FD"/>
    <w:rsid w:val="00E62C34"/>
    <w:rsid w:val="00E62D90"/>
    <w:rsid w:val="00E63140"/>
    <w:rsid w:val="00E633DC"/>
    <w:rsid w:val="00E63BDA"/>
    <w:rsid w:val="00E64700"/>
    <w:rsid w:val="00E64BA0"/>
    <w:rsid w:val="00E655E2"/>
    <w:rsid w:val="00E65CD8"/>
    <w:rsid w:val="00E66603"/>
    <w:rsid w:val="00E66839"/>
    <w:rsid w:val="00E66DD8"/>
    <w:rsid w:val="00E66E61"/>
    <w:rsid w:val="00E66F11"/>
    <w:rsid w:val="00E7078F"/>
    <w:rsid w:val="00E711EA"/>
    <w:rsid w:val="00E715D0"/>
    <w:rsid w:val="00E71B6F"/>
    <w:rsid w:val="00E72DBE"/>
    <w:rsid w:val="00E735A9"/>
    <w:rsid w:val="00E735FE"/>
    <w:rsid w:val="00E73ACF"/>
    <w:rsid w:val="00E74ECC"/>
    <w:rsid w:val="00E75691"/>
    <w:rsid w:val="00E76DB5"/>
    <w:rsid w:val="00E76EEE"/>
    <w:rsid w:val="00E776F0"/>
    <w:rsid w:val="00E80338"/>
    <w:rsid w:val="00E80640"/>
    <w:rsid w:val="00E8157E"/>
    <w:rsid w:val="00E815FC"/>
    <w:rsid w:val="00E81736"/>
    <w:rsid w:val="00E81D65"/>
    <w:rsid w:val="00E81ED7"/>
    <w:rsid w:val="00E82586"/>
    <w:rsid w:val="00E826C4"/>
    <w:rsid w:val="00E82F1F"/>
    <w:rsid w:val="00E83197"/>
    <w:rsid w:val="00E832DD"/>
    <w:rsid w:val="00E83A20"/>
    <w:rsid w:val="00E84C24"/>
    <w:rsid w:val="00E84D69"/>
    <w:rsid w:val="00E850C3"/>
    <w:rsid w:val="00E859FA"/>
    <w:rsid w:val="00E85C7C"/>
    <w:rsid w:val="00E862B6"/>
    <w:rsid w:val="00E8636C"/>
    <w:rsid w:val="00E86488"/>
    <w:rsid w:val="00E87063"/>
    <w:rsid w:val="00E8722A"/>
    <w:rsid w:val="00E90228"/>
    <w:rsid w:val="00E907F4"/>
    <w:rsid w:val="00E9145C"/>
    <w:rsid w:val="00E91604"/>
    <w:rsid w:val="00E93972"/>
    <w:rsid w:val="00E95BB8"/>
    <w:rsid w:val="00E95F4E"/>
    <w:rsid w:val="00E95F75"/>
    <w:rsid w:val="00E96E5D"/>
    <w:rsid w:val="00E9798A"/>
    <w:rsid w:val="00E979F7"/>
    <w:rsid w:val="00EA1D58"/>
    <w:rsid w:val="00EA20BF"/>
    <w:rsid w:val="00EA3000"/>
    <w:rsid w:val="00EA3725"/>
    <w:rsid w:val="00EA3936"/>
    <w:rsid w:val="00EA404D"/>
    <w:rsid w:val="00EA4DF0"/>
    <w:rsid w:val="00EA513F"/>
    <w:rsid w:val="00EA5961"/>
    <w:rsid w:val="00EA5CD1"/>
    <w:rsid w:val="00EA5E2A"/>
    <w:rsid w:val="00EA6D84"/>
    <w:rsid w:val="00EA6DD2"/>
    <w:rsid w:val="00EA7710"/>
    <w:rsid w:val="00EA7912"/>
    <w:rsid w:val="00EA7D38"/>
    <w:rsid w:val="00EA7F1A"/>
    <w:rsid w:val="00EA7F9E"/>
    <w:rsid w:val="00EB0731"/>
    <w:rsid w:val="00EB0968"/>
    <w:rsid w:val="00EB1015"/>
    <w:rsid w:val="00EB19BD"/>
    <w:rsid w:val="00EB2020"/>
    <w:rsid w:val="00EB2375"/>
    <w:rsid w:val="00EB27D5"/>
    <w:rsid w:val="00EB28E9"/>
    <w:rsid w:val="00EB2E09"/>
    <w:rsid w:val="00EB3653"/>
    <w:rsid w:val="00EB578A"/>
    <w:rsid w:val="00EB5E62"/>
    <w:rsid w:val="00EB6823"/>
    <w:rsid w:val="00EB6AFD"/>
    <w:rsid w:val="00EB6C7D"/>
    <w:rsid w:val="00EB70E5"/>
    <w:rsid w:val="00EB7476"/>
    <w:rsid w:val="00EB78AE"/>
    <w:rsid w:val="00EB7A18"/>
    <w:rsid w:val="00EB7AC2"/>
    <w:rsid w:val="00EB7C8E"/>
    <w:rsid w:val="00EC02BE"/>
    <w:rsid w:val="00EC146E"/>
    <w:rsid w:val="00EC1B1A"/>
    <w:rsid w:val="00EC271C"/>
    <w:rsid w:val="00EC2921"/>
    <w:rsid w:val="00EC35DE"/>
    <w:rsid w:val="00EC53E6"/>
    <w:rsid w:val="00EC53EF"/>
    <w:rsid w:val="00EC543A"/>
    <w:rsid w:val="00EC5975"/>
    <w:rsid w:val="00EC6130"/>
    <w:rsid w:val="00EC6766"/>
    <w:rsid w:val="00EC6B27"/>
    <w:rsid w:val="00EC6BF6"/>
    <w:rsid w:val="00EC7AE3"/>
    <w:rsid w:val="00EC7E08"/>
    <w:rsid w:val="00ED0F4E"/>
    <w:rsid w:val="00ED2563"/>
    <w:rsid w:val="00ED2A4C"/>
    <w:rsid w:val="00ED4371"/>
    <w:rsid w:val="00ED6DFC"/>
    <w:rsid w:val="00ED7286"/>
    <w:rsid w:val="00ED762B"/>
    <w:rsid w:val="00EE067C"/>
    <w:rsid w:val="00EE1275"/>
    <w:rsid w:val="00EE12A3"/>
    <w:rsid w:val="00EE1D7D"/>
    <w:rsid w:val="00EE2031"/>
    <w:rsid w:val="00EE20E5"/>
    <w:rsid w:val="00EE2D3E"/>
    <w:rsid w:val="00EE3094"/>
    <w:rsid w:val="00EE3404"/>
    <w:rsid w:val="00EE35DE"/>
    <w:rsid w:val="00EE404F"/>
    <w:rsid w:val="00EE4924"/>
    <w:rsid w:val="00EE715E"/>
    <w:rsid w:val="00EE7A5E"/>
    <w:rsid w:val="00EF039F"/>
    <w:rsid w:val="00EF11CE"/>
    <w:rsid w:val="00EF13FE"/>
    <w:rsid w:val="00EF2143"/>
    <w:rsid w:val="00EF256E"/>
    <w:rsid w:val="00EF3159"/>
    <w:rsid w:val="00EF384D"/>
    <w:rsid w:val="00EF39CA"/>
    <w:rsid w:val="00EF4569"/>
    <w:rsid w:val="00EF4B37"/>
    <w:rsid w:val="00EF4DA7"/>
    <w:rsid w:val="00EF4F51"/>
    <w:rsid w:val="00EF5E8E"/>
    <w:rsid w:val="00EF6960"/>
    <w:rsid w:val="00EF74D6"/>
    <w:rsid w:val="00EF7950"/>
    <w:rsid w:val="00EF7D4C"/>
    <w:rsid w:val="00EF7FA9"/>
    <w:rsid w:val="00F01034"/>
    <w:rsid w:val="00F01314"/>
    <w:rsid w:val="00F02F33"/>
    <w:rsid w:val="00F03706"/>
    <w:rsid w:val="00F05DE1"/>
    <w:rsid w:val="00F062AC"/>
    <w:rsid w:val="00F062DC"/>
    <w:rsid w:val="00F068A0"/>
    <w:rsid w:val="00F0745D"/>
    <w:rsid w:val="00F10C63"/>
    <w:rsid w:val="00F10FF2"/>
    <w:rsid w:val="00F112AD"/>
    <w:rsid w:val="00F115CA"/>
    <w:rsid w:val="00F121CB"/>
    <w:rsid w:val="00F12787"/>
    <w:rsid w:val="00F12A78"/>
    <w:rsid w:val="00F143A0"/>
    <w:rsid w:val="00F152AB"/>
    <w:rsid w:val="00F15AB4"/>
    <w:rsid w:val="00F15BE9"/>
    <w:rsid w:val="00F17101"/>
    <w:rsid w:val="00F175F6"/>
    <w:rsid w:val="00F177DC"/>
    <w:rsid w:val="00F17AC1"/>
    <w:rsid w:val="00F20A25"/>
    <w:rsid w:val="00F20D6E"/>
    <w:rsid w:val="00F21433"/>
    <w:rsid w:val="00F216D9"/>
    <w:rsid w:val="00F225F8"/>
    <w:rsid w:val="00F22810"/>
    <w:rsid w:val="00F23521"/>
    <w:rsid w:val="00F2359F"/>
    <w:rsid w:val="00F25573"/>
    <w:rsid w:val="00F25733"/>
    <w:rsid w:val="00F25A5B"/>
    <w:rsid w:val="00F25C89"/>
    <w:rsid w:val="00F25E05"/>
    <w:rsid w:val="00F266D5"/>
    <w:rsid w:val="00F26F08"/>
    <w:rsid w:val="00F2710C"/>
    <w:rsid w:val="00F274F9"/>
    <w:rsid w:val="00F306BC"/>
    <w:rsid w:val="00F30FE3"/>
    <w:rsid w:val="00F314CA"/>
    <w:rsid w:val="00F31F31"/>
    <w:rsid w:val="00F32113"/>
    <w:rsid w:val="00F3344B"/>
    <w:rsid w:val="00F33B3C"/>
    <w:rsid w:val="00F34F34"/>
    <w:rsid w:val="00F351B4"/>
    <w:rsid w:val="00F35350"/>
    <w:rsid w:val="00F35D14"/>
    <w:rsid w:val="00F35E37"/>
    <w:rsid w:val="00F36318"/>
    <w:rsid w:val="00F36CF6"/>
    <w:rsid w:val="00F37737"/>
    <w:rsid w:val="00F4022D"/>
    <w:rsid w:val="00F40B19"/>
    <w:rsid w:val="00F40BDA"/>
    <w:rsid w:val="00F410DC"/>
    <w:rsid w:val="00F419C8"/>
    <w:rsid w:val="00F419EA"/>
    <w:rsid w:val="00F41C30"/>
    <w:rsid w:val="00F428FD"/>
    <w:rsid w:val="00F4352C"/>
    <w:rsid w:val="00F435DD"/>
    <w:rsid w:val="00F43806"/>
    <w:rsid w:val="00F4480D"/>
    <w:rsid w:val="00F44A54"/>
    <w:rsid w:val="00F466C3"/>
    <w:rsid w:val="00F46DC9"/>
    <w:rsid w:val="00F47051"/>
    <w:rsid w:val="00F47776"/>
    <w:rsid w:val="00F47812"/>
    <w:rsid w:val="00F47DFA"/>
    <w:rsid w:val="00F50670"/>
    <w:rsid w:val="00F5078F"/>
    <w:rsid w:val="00F522A8"/>
    <w:rsid w:val="00F523DC"/>
    <w:rsid w:val="00F536C5"/>
    <w:rsid w:val="00F53F77"/>
    <w:rsid w:val="00F54EBA"/>
    <w:rsid w:val="00F5565B"/>
    <w:rsid w:val="00F5569E"/>
    <w:rsid w:val="00F55FB7"/>
    <w:rsid w:val="00F56418"/>
    <w:rsid w:val="00F56757"/>
    <w:rsid w:val="00F6001B"/>
    <w:rsid w:val="00F607D6"/>
    <w:rsid w:val="00F6084C"/>
    <w:rsid w:val="00F61083"/>
    <w:rsid w:val="00F61830"/>
    <w:rsid w:val="00F6193C"/>
    <w:rsid w:val="00F61F2B"/>
    <w:rsid w:val="00F62979"/>
    <w:rsid w:val="00F632F0"/>
    <w:rsid w:val="00F650C6"/>
    <w:rsid w:val="00F6654F"/>
    <w:rsid w:val="00F670C5"/>
    <w:rsid w:val="00F672F3"/>
    <w:rsid w:val="00F67E52"/>
    <w:rsid w:val="00F717A9"/>
    <w:rsid w:val="00F717D7"/>
    <w:rsid w:val="00F71939"/>
    <w:rsid w:val="00F71F62"/>
    <w:rsid w:val="00F72151"/>
    <w:rsid w:val="00F72893"/>
    <w:rsid w:val="00F72F75"/>
    <w:rsid w:val="00F743F9"/>
    <w:rsid w:val="00F744CB"/>
    <w:rsid w:val="00F74885"/>
    <w:rsid w:val="00F75C37"/>
    <w:rsid w:val="00F75D7F"/>
    <w:rsid w:val="00F761BB"/>
    <w:rsid w:val="00F76499"/>
    <w:rsid w:val="00F7766B"/>
    <w:rsid w:val="00F776C9"/>
    <w:rsid w:val="00F803B4"/>
    <w:rsid w:val="00F80530"/>
    <w:rsid w:val="00F808C8"/>
    <w:rsid w:val="00F81447"/>
    <w:rsid w:val="00F81691"/>
    <w:rsid w:val="00F82E3D"/>
    <w:rsid w:val="00F82F71"/>
    <w:rsid w:val="00F8319D"/>
    <w:rsid w:val="00F831A4"/>
    <w:rsid w:val="00F844D4"/>
    <w:rsid w:val="00F852AC"/>
    <w:rsid w:val="00F87873"/>
    <w:rsid w:val="00F8797F"/>
    <w:rsid w:val="00F87FEB"/>
    <w:rsid w:val="00F90368"/>
    <w:rsid w:val="00F90801"/>
    <w:rsid w:val="00F90CEE"/>
    <w:rsid w:val="00F90FCD"/>
    <w:rsid w:val="00F90FD1"/>
    <w:rsid w:val="00F92427"/>
    <w:rsid w:val="00F928A7"/>
    <w:rsid w:val="00F93A58"/>
    <w:rsid w:val="00F94429"/>
    <w:rsid w:val="00F94832"/>
    <w:rsid w:val="00F950C7"/>
    <w:rsid w:val="00F951A8"/>
    <w:rsid w:val="00F95E39"/>
    <w:rsid w:val="00F96BB0"/>
    <w:rsid w:val="00F973B8"/>
    <w:rsid w:val="00FA074C"/>
    <w:rsid w:val="00FA10E1"/>
    <w:rsid w:val="00FA15DB"/>
    <w:rsid w:val="00FA1715"/>
    <w:rsid w:val="00FA189F"/>
    <w:rsid w:val="00FA1F82"/>
    <w:rsid w:val="00FA2AE4"/>
    <w:rsid w:val="00FA2C51"/>
    <w:rsid w:val="00FA33EA"/>
    <w:rsid w:val="00FA3B31"/>
    <w:rsid w:val="00FA4E6A"/>
    <w:rsid w:val="00FA6021"/>
    <w:rsid w:val="00FA6E71"/>
    <w:rsid w:val="00FA7041"/>
    <w:rsid w:val="00FA7644"/>
    <w:rsid w:val="00FB1AF5"/>
    <w:rsid w:val="00FB1F32"/>
    <w:rsid w:val="00FB2026"/>
    <w:rsid w:val="00FB38C1"/>
    <w:rsid w:val="00FB496B"/>
    <w:rsid w:val="00FB4EEC"/>
    <w:rsid w:val="00FB5305"/>
    <w:rsid w:val="00FB5539"/>
    <w:rsid w:val="00FB580A"/>
    <w:rsid w:val="00FB5CDA"/>
    <w:rsid w:val="00FB5D0B"/>
    <w:rsid w:val="00FB5E04"/>
    <w:rsid w:val="00FB6219"/>
    <w:rsid w:val="00FB6344"/>
    <w:rsid w:val="00FB63C7"/>
    <w:rsid w:val="00FC0BB0"/>
    <w:rsid w:val="00FC0FF7"/>
    <w:rsid w:val="00FC18C6"/>
    <w:rsid w:val="00FC22ED"/>
    <w:rsid w:val="00FC2AA2"/>
    <w:rsid w:val="00FC2AD8"/>
    <w:rsid w:val="00FC2BFC"/>
    <w:rsid w:val="00FC2E82"/>
    <w:rsid w:val="00FC2FEF"/>
    <w:rsid w:val="00FC3FCB"/>
    <w:rsid w:val="00FC4681"/>
    <w:rsid w:val="00FC4E0A"/>
    <w:rsid w:val="00FC507A"/>
    <w:rsid w:val="00FC5721"/>
    <w:rsid w:val="00FC5D38"/>
    <w:rsid w:val="00FC6A1E"/>
    <w:rsid w:val="00FC6FB8"/>
    <w:rsid w:val="00FC7057"/>
    <w:rsid w:val="00FC70C1"/>
    <w:rsid w:val="00FC7C5E"/>
    <w:rsid w:val="00FD0107"/>
    <w:rsid w:val="00FD037B"/>
    <w:rsid w:val="00FD0552"/>
    <w:rsid w:val="00FD0E92"/>
    <w:rsid w:val="00FD1F7B"/>
    <w:rsid w:val="00FD2A36"/>
    <w:rsid w:val="00FD45B6"/>
    <w:rsid w:val="00FD5B9A"/>
    <w:rsid w:val="00FD5BAB"/>
    <w:rsid w:val="00FD6621"/>
    <w:rsid w:val="00FD7CC7"/>
    <w:rsid w:val="00FE058D"/>
    <w:rsid w:val="00FE0A73"/>
    <w:rsid w:val="00FE0C46"/>
    <w:rsid w:val="00FE135D"/>
    <w:rsid w:val="00FE1E66"/>
    <w:rsid w:val="00FE2FFD"/>
    <w:rsid w:val="00FE3335"/>
    <w:rsid w:val="00FE369C"/>
    <w:rsid w:val="00FE45FA"/>
    <w:rsid w:val="00FE477F"/>
    <w:rsid w:val="00FE4CED"/>
    <w:rsid w:val="00FE4CEE"/>
    <w:rsid w:val="00FE53AC"/>
    <w:rsid w:val="00FE641C"/>
    <w:rsid w:val="00FE6F80"/>
    <w:rsid w:val="00FE78F3"/>
    <w:rsid w:val="00FF0141"/>
    <w:rsid w:val="00FF028C"/>
    <w:rsid w:val="00FF1535"/>
    <w:rsid w:val="00FF2229"/>
    <w:rsid w:val="00FF309C"/>
    <w:rsid w:val="00FF5CDC"/>
    <w:rsid w:val="00FF6FAA"/>
    <w:rsid w:val="00FF70AB"/>
    <w:rsid w:val="00FF771D"/>
    <w:rsid w:val="00FF77B0"/>
    <w:rsid w:val="01176EA7"/>
    <w:rsid w:val="01416F54"/>
    <w:rsid w:val="016025FC"/>
    <w:rsid w:val="01730192"/>
    <w:rsid w:val="018E7B86"/>
    <w:rsid w:val="01EC3E90"/>
    <w:rsid w:val="021D4A79"/>
    <w:rsid w:val="02203B3A"/>
    <w:rsid w:val="023F66B6"/>
    <w:rsid w:val="025C7268"/>
    <w:rsid w:val="02640C22"/>
    <w:rsid w:val="026575DA"/>
    <w:rsid w:val="02661E94"/>
    <w:rsid w:val="02833D81"/>
    <w:rsid w:val="02906F11"/>
    <w:rsid w:val="02A81B3F"/>
    <w:rsid w:val="02B842C2"/>
    <w:rsid w:val="02C10E79"/>
    <w:rsid w:val="02F6478D"/>
    <w:rsid w:val="02FE031F"/>
    <w:rsid w:val="030D5B84"/>
    <w:rsid w:val="03304250"/>
    <w:rsid w:val="03382C0C"/>
    <w:rsid w:val="03465B2E"/>
    <w:rsid w:val="03634626"/>
    <w:rsid w:val="03737E74"/>
    <w:rsid w:val="037B196F"/>
    <w:rsid w:val="03874539"/>
    <w:rsid w:val="03C048AD"/>
    <w:rsid w:val="03C24B8A"/>
    <w:rsid w:val="03E91499"/>
    <w:rsid w:val="03F60FF6"/>
    <w:rsid w:val="041A2355"/>
    <w:rsid w:val="0453580C"/>
    <w:rsid w:val="045710E6"/>
    <w:rsid w:val="04592E3B"/>
    <w:rsid w:val="04657F2A"/>
    <w:rsid w:val="047B3FDA"/>
    <w:rsid w:val="04C92C17"/>
    <w:rsid w:val="04C9370B"/>
    <w:rsid w:val="04E25B35"/>
    <w:rsid w:val="050B6D23"/>
    <w:rsid w:val="053F077B"/>
    <w:rsid w:val="05470262"/>
    <w:rsid w:val="05502988"/>
    <w:rsid w:val="05616943"/>
    <w:rsid w:val="056401E1"/>
    <w:rsid w:val="05A54A82"/>
    <w:rsid w:val="05AD1B88"/>
    <w:rsid w:val="05C60ECA"/>
    <w:rsid w:val="05DC6A14"/>
    <w:rsid w:val="05F872A7"/>
    <w:rsid w:val="05F96B7B"/>
    <w:rsid w:val="060043AE"/>
    <w:rsid w:val="060E2B1D"/>
    <w:rsid w:val="061B4D44"/>
    <w:rsid w:val="062E2056"/>
    <w:rsid w:val="0638389F"/>
    <w:rsid w:val="063B53E6"/>
    <w:rsid w:val="06477ADF"/>
    <w:rsid w:val="06486A27"/>
    <w:rsid w:val="064918B1"/>
    <w:rsid w:val="06532B03"/>
    <w:rsid w:val="066A1827"/>
    <w:rsid w:val="067A5372"/>
    <w:rsid w:val="067D155B"/>
    <w:rsid w:val="06840B3B"/>
    <w:rsid w:val="06A26266"/>
    <w:rsid w:val="06BC4C21"/>
    <w:rsid w:val="06CD24E2"/>
    <w:rsid w:val="06E710CA"/>
    <w:rsid w:val="06F718EC"/>
    <w:rsid w:val="07267D88"/>
    <w:rsid w:val="072C44ED"/>
    <w:rsid w:val="07487DBA"/>
    <w:rsid w:val="075F5104"/>
    <w:rsid w:val="077D23AB"/>
    <w:rsid w:val="07AF1BE8"/>
    <w:rsid w:val="07B22115"/>
    <w:rsid w:val="07F21901"/>
    <w:rsid w:val="081D6FC0"/>
    <w:rsid w:val="08377F2B"/>
    <w:rsid w:val="08393BA7"/>
    <w:rsid w:val="08536A17"/>
    <w:rsid w:val="085A3C11"/>
    <w:rsid w:val="085A5FF7"/>
    <w:rsid w:val="086F623A"/>
    <w:rsid w:val="08AC4379"/>
    <w:rsid w:val="08FB32E3"/>
    <w:rsid w:val="09067F2D"/>
    <w:rsid w:val="090D306A"/>
    <w:rsid w:val="0913264A"/>
    <w:rsid w:val="093F0D49"/>
    <w:rsid w:val="095E1B17"/>
    <w:rsid w:val="096165AB"/>
    <w:rsid w:val="098F195C"/>
    <w:rsid w:val="09ED2E9B"/>
    <w:rsid w:val="09FF065B"/>
    <w:rsid w:val="0A2B02DE"/>
    <w:rsid w:val="0A375EC4"/>
    <w:rsid w:val="0A4F7879"/>
    <w:rsid w:val="0A9F4195"/>
    <w:rsid w:val="0AA00088"/>
    <w:rsid w:val="0AA611B3"/>
    <w:rsid w:val="0AC63129"/>
    <w:rsid w:val="0ACE482D"/>
    <w:rsid w:val="0ADD10CA"/>
    <w:rsid w:val="0B154419"/>
    <w:rsid w:val="0B174585"/>
    <w:rsid w:val="0B220922"/>
    <w:rsid w:val="0B3F3282"/>
    <w:rsid w:val="0B8D2240"/>
    <w:rsid w:val="0B941DDD"/>
    <w:rsid w:val="0BAB426D"/>
    <w:rsid w:val="0C071527"/>
    <w:rsid w:val="0C320059"/>
    <w:rsid w:val="0C471320"/>
    <w:rsid w:val="0C4A2454"/>
    <w:rsid w:val="0C5B2527"/>
    <w:rsid w:val="0C816A2D"/>
    <w:rsid w:val="0C9870EE"/>
    <w:rsid w:val="0C9A56A7"/>
    <w:rsid w:val="0CAA2ACE"/>
    <w:rsid w:val="0CAE6912"/>
    <w:rsid w:val="0CBC1305"/>
    <w:rsid w:val="0D185F81"/>
    <w:rsid w:val="0D244E26"/>
    <w:rsid w:val="0D2A5A31"/>
    <w:rsid w:val="0D382E44"/>
    <w:rsid w:val="0D5C04CB"/>
    <w:rsid w:val="0DB516D4"/>
    <w:rsid w:val="0DF82212"/>
    <w:rsid w:val="0DF920C1"/>
    <w:rsid w:val="0E0950B4"/>
    <w:rsid w:val="0E097B78"/>
    <w:rsid w:val="0E2D0D97"/>
    <w:rsid w:val="0E323F8A"/>
    <w:rsid w:val="0E325320"/>
    <w:rsid w:val="0E4532A6"/>
    <w:rsid w:val="0E507674"/>
    <w:rsid w:val="0E675CD8"/>
    <w:rsid w:val="0E745939"/>
    <w:rsid w:val="0E860018"/>
    <w:rsid w:val="0E870FD4"/>
    <w:rsid w:val="0E8F1D2A"/>
    <w:rsid w:val="0E910299"/>
    <w:rsid w:val="0E9377BA"/>
    <w:rsid w:val="0E9B1118"/>
    <w:rsid w:val="0EA0228A"/>
    <w:rsid w:val="0ECF2B6F"/>
    <w:rsid w:val="0ED36262"/>
    <w:rsid w:val="0F562068"/>
    <w:rsid w:val="0F672DA8"/>
    <w:rsid w:val="0F68289E"/>
    <w:rsid w:val="0FAA3E38"/>
    <w:rsid w:val="0FD074BC"/>
    <w:rsid w:val="0FF509EA"/>
    <w:rsid w:val="10200403"/>
    <w:rsid w:val="1031756B"/>
    <w:rsid w:val="105C3960"/>
    <w:rsid w:val="106D61C5"/>
    <w:rsid w:val="109A0F5B"/>
    <w:rsid w:val="11246BB6"/>
    <w:rsid w:val="116424A7"/>
    <w:rsid w:val="11845E93"/>
    <w:rsid w:val="119A56B6"/>
    <w:rsid w:val="11BE6AD3"/>
    <w:rsid w:val="11C12C43"/>
    <w:rsid w:val="11D44ABA"/>
    <w:rsid w:val="12560B6F"/>
    <w:rsid w:val="12572439"/>
    <w:rsid w:val="126129C7"/>
    <w:rsid w:val="126E269F"/>
    <w:rsid w:val="127A17D9"/>
    <w:rsid w:val="128B6AA4"/>
    <w:rsid w:val="12AA1929"/>
    <w:rsid w:val="12AE2828"/>
    <w:rsid w:val="12BF7844"/>
    <w:rsid w:val="12CB228E"/>
    <w:rsid w:val="13547AE7"/>
    <w:rsid w:val="136046DE"/>
    <w:rsid w:val="1378127B"/>
    <w:rsid w:val="13952EB3"/>
    <w:rsid w:val="13A84922"/>
    <w:rsid w:val="13C96B5A"/>
    <w:rsid w:val="13CE7899"/>
    <w:rsid w:val="13D44784"/>
    <w:rsid w:val="13DF4C1E"/>
    <w:rsid w:val="13EE7E50"/>
    <w:rsid w:val="13F211D0"/>
    <w:rsid w:val="13FA41EA"/>
    <w:rsid w:val="14144A1C"/>
    <w:rsid w:val="141513DB"/>
    <w:rsid w:val="144B0EEA"/>
    <w:rsid w:val="1461426A"/>
    <w:rsid w:val="14A979BF"/>
    <w:rsid w:val="14C62CDA"/>
    <w:rsid w:val="14F11B56"/>
    <w:rsid w:val="14F7697C"/>
    <w:rsid w:val="14FB2F80"/>
    <w:rsid w:val="150177FB"/>
    <w:rsid w:val="150317C5"/>
    <w:rsid w:val="151933B7"/>
    <w:rsid w:val="151C354A"/>
    <w:rsid w:val="1534197E"/>
    <w:rsid w:val="153E4911"/>
    <w:rsid w:val="154A79FC"/>
    <w:rsid w:val="15597637"/>
    <w:rsid w:val="15640282"/>
    <w:rsid w:val="1567237C"/>
    <w:rsid w:val="157601E9"/>
    <w:rsid w:val="15991506"/>
    <w:rsid w:val="159A3ED7"/>
    <w:rsid w:val="159B7C4F"/>
    <w:rsid w:val="15A541E3"/>
    <w:rsid w:val="15A542C3"/>
    <w:rsid w:val="15AF6DE7"/>
    <w:rsid w:val="15B6539B"/>
    <w:rsid w:val="15C82479"/>
    <w:rsid w:val="160475A2"/>
    <w:rsid w:val="162E6BAE"/>
    <w:rsid w:val="16393363"/>
    <w:rsid w:val="163B0AEA"/>
    <w:rsid w:val="164344DD"/>
    <w:rsid w:val="16592588"/>
    <w:rsid w:val="16644039"/>
    <w:rsid w:val="16822ED3"/>
    <w:rsid w:val="16AC786A"/>
    <w:rsid w:val="16B25250"/>
    <w:rsid w:val="16D57191"/>
    <w:rsid w:val="16DF591A"/>
    <w:rsid w:val="16E80C03"/>
    <w:rsid w:val="16EB0762"/>
    <w:rsid w:val="16EB2510"/>
    <w:rsid w:val="16F13FCB"/>
    <w:rsid w:val="17013AE2"/>
    <w:rsid w:val="17630FAE"/>
    <w:rsid w:val="1782733C"/>
    <w:rsid w:val="17A70B2D"/>
    <w:rsid w:val="17AE033A"/>
    <w:rsid w:val="17D15BAA"/>
    <w:rsid w:val="17D2722C"/>
    <w:rsid w:val="17E843B4"/>
    <w:rsid w:val="18383533"/>
    <w:rsid w:val="183D0B4A"/>
    <w:rsid w:val="1841587C"/>
    <w:rsid w:val="18607117"/>
    <w:rsid w:val="188449CB"/>
    <w:rsid w:val="18870C36"/>
    <w:rsid w:val="1888270D"/>
    <w:rsid w:val="188B108C"/>
    <w:rsid w:val="18B82F32"/>
    <w:rsid w:val="18C27546"/>
    <w:rsid w:val="18D750AD"/>
    <w:rsid w:val="18D96C49"/>
    <w:rsid w:val="1903089F"/>
    <w:rsid w:val="192D5062"/>
    <w:rsid w:val="19314B52"/>
    <w:rsid w:val="193261D5"/>
    <w:rsid w:val="19551133"/>
    <w:rsid w:val="19740F1F"/>
    <w:rsid w:val="19921062"/>
    <w:rsid w:val="1A072992"/>
    <w:rsid w:val="1A0B3F2C"/>
    <w:rsid w:val="1A226308"/>
    <w:rsid w:val="1A244D0E"/>
    <w:rsid w:val="1A266D7C"/>
    <w:rsid w:val="1A4E0334"/>
    <w:rsid w:val="1A5F56EF"/>
    <w:rsid w:val="1AA67A69"/>
    <w:rsid w:val="1AC50DC4"/>
    <w:rsid w:val="1AD27C6F"/>
    <w:rsid w:val="1B1C713C"/>
    <w:rsid w:val="1B1D1726"/>
    <w:rsid w:val="1B577DA2"/>
    <w:rsid w:val="1B6469E6"/>
    <w:rsid w:val="1B801528"/>
    <w:rsid w:val="1B806099"/>
    <w:rsid w:val="1B8A585F"/>
    <w:rsid w:val="1B9E2F6B"/>
    <w:rsid w:val="1BBC5D0B"/>
    <w:rsid w:val="1BC36701"/>
    <w:rsid w:val="1BC852CB"/>
    <w:rsid w:val="1BD23C9F"/>
    <w:rsid w:val="1BF64102"/>
    <w:rsid w:val="1BFB4FA4"/>
    <w:rsid w:val="1C026332"/>
    <w:rsid w:val="1C1918CE"/>
    <w:rsid w:val="1C191BC6"/>
    <w:rsid w:val="1C1B3CDE"/>
    <w:rsid w:val="1C36422E"/>
    <w:rsid w:val="1C42120C"/>
    <w:rsid w:val="1C4C30B4"/>
    <w:rsid w:val="1C813E12"/>
    <w:rsid w:val="1C8A5447"/>
    <w:rsid w:val="1CB559D1"/>
    <w:rsid w:val="1CBA09BB"/>
    <w:rsid w:val="1CDA72AF"/>
    <w:rsid w:val="1CEC0D90"/>
    <w:rsid w:val="1D175E0D"/>
    <w:rsid w:val="1D2D5631"/>
    <w:rsid w:val="1D445EF1"/>
    <w:rsid w:val="1D6E56A0"/>
    <w:rsid w:val="1D82200D"/>
    <w:rsid w:val="1DAD49C3"/>
    <w:rsid w:val="1DBC0763"/>
    <w:rsid w:val="1DD3548B"/>
    <w:rsid w:val="1DD43CFE"/>
    <w:rsid w:val="1DD56997"/>
    <w:rsid w:val="1DDC1D26"/>
    <w:rsid w:val="1DED21D8"/>
    <w:rsid w:val="1DF57149"/>
    <w:rsid w:val="1DF60A19"/>
    <w:rsid w:val="1E200BF1"/>
    <w:rsid w:val="1E3E39E6"/>
    <w:rsid w:val="1E401394"/>
    <w:rsid w:val="1E404555"/>
    <w:rsid w:val="1E675F3A"/>
    <w:rsid w:val="1E8F5E77"/>
    <w:rsid w:val="1E915775"/>
    <w:rsid w:val="1E953A02"/>
    <w:rsid w:val="1EA57449"/>
    <w:rsid w:val="1EC93137"/>
    <w:rsid w:val="1ED32208"/>
    <w:rsid w:val="1ED53E63"/>
    <w:rsid w:val="1EDC138F"/>
    <w:rsid w:val="1EED151B"/>
    <w:rsid w:val="1F0E3DA5"/>
    <w:rsid w:val="1F1C28E1"/>
    <w:rsid w:val="1F531359"/>
    <w:rsid w:val="1FF561AE"/>
    <w:rsid w:val="1FF94191"/>
    <w:rsid w:val="2004280E"/>
    <w:rsid w:val="20104D96"/>
    <w:rsid w:val="20223AA4"/>
    <w:rsid w:val="2042454C"/>
    <w:rsid w:val="20515ADA"/>
    <w:rsid w:val="20516442"/>
    <w:rsid w:val="2063580D"/>
    <w:rsid w:val="206C6470"/>
    <w:rsid w:val="20863AF3"/>
    <w:rsid w:val="20CE49AC"/>
    <w:rsid w:val="20DF30E6"/>
    <w:rsid w:val="20ED60C3"/>
    <w:rsid w:val="20F3656C"/>
    <w:rsid w:val="21014CEA"/>
    <w:rsid w:val="21130FE1"/>
    <w:rsid w:val="215238B8"/>
    <w:rsid w:val="2192709C"/>
    <w:rsid w:val="21967F75"/>
    <w:rsid w:val="21AB2FC8"/>
    <w:rsid w:val="21D0685C"/>
    <w:rsid w:val="22066450"/>
    <w:rsid w:val="221C5C74"/>
    <w:rsid w:val="222B6497"/>
    <w:rsid w:val="22341ABF"/>
    <w:rsid w:val="224E3661"/>
    <w:rsid w:val="22765384"/>
    <w:rsid w:val="22B11922"/>
    <w:rsid w:val="22B20386"/>
    <w:rsid w:val="22CF430A"/>
    <w:rsid w:val="22E646A2"/>
    <w:rsid w:val="22EE2ABE"/>
    <w:rsid w:val="22F75C0D"/>
    <w:rsid w:val="22FD5AA5"/>
    <w:rsid w:val="2351194D"/>
    <w:rsid w:val="237A7F73"/>
    <w:rsid w:val="23841D23"/>
    <w:rsid w:val="238E2BA1"/>
    <w:rsid w:val="23B048C6"/>
    <w:rsid w:val="23B30DCB"/>
    <w:rsid w:val="23B55F80"/>
    <w:rsid w:val="23B720F8"/>
    <w:rsid w:val="23C1633C"/>
    <w:rsid w:val="23C465C3"/>
    <w:rsid w:val="243879EB"/>
    <w:rsid w:val="2443398C"/>
    <w:rsid w:val="246508B0"/>
    <w:rsid w:val="24821797"/>
    <w:rsid w:val="24912949"/>
    <w:rsid w:val="2493324B"/>
    <w:rsid w:val="24992662"/>
    <w:rsid w:val="24A96B1D"/>
    <w:rsid w:val="24B6415E"/>
    <w:rsid w:val="24B71C84"/>
    <w:rsid w:val="24C0322E"/>
    <w:rsid w:val="24D40A88"/>
    <w:rsid w:val="24E24157"/>
    <w:rsid w:val="250C0222"/>
    <w:rsid w:val="25114177"/>
    <w:rsid w:val="25135385"/>
    <w:rsid w:val="254766E3"/>
    <w:rsid w:val="25520E53"/>
    <w:rsid w:val="2557002B"/>
    <w:rsid w:val="25902495"/>
    <w:rsid w:val="25A03272"/>
    <w:rsid w:val="25A35396"/>
    <w:rsid w:val="25C23900"/>
    <w:rsid w:val="25E43467"/>
    <w:rsid w:val="2637155F"/>
    <w:rsid w:val="26403198"/>
    <w:rsid w:val="26425FFF"/>
    <w:rsid w:val="265E4AAD"/>
    <w:rsid w:val="26635CA4"/>
    <w:rsid w:val="26B022C4"/>
    <w:rsid w:val="26F251F5"/>
    <w:rsid w:val="270B7864"/>
    <w:rsid w:val="270D0281"/>
    <w:rsid w:val="27400656"/>
    <w:rsid w:val="27514612"/>
    <w:rsid w:val="27653C19"/>
    <w:rsid w:val="27870033"/>
    <w:rsid w:val="278F7CA3"/>
    <w:rsid w:val="279B1038"/>
    <w:rsid w:val="27B63A90"/>
    <w:rsid w:val="27CE17BE"/>
    <w:rsid w:val="27D74B17"/>
    <w:rsid w:val="2802590C"/>
    <w:rsid w:val="28335AC5"/>
    <w:rsid w:val="28724E88"/>
    <w:rsid w:val="28975AC5"/>
    <w:rsid w:val="28D23530"/>
    <w:rsid w:val="28DE48B6"/>
    <w:rsid w:val="28E374EB"/>
    <w:rsid w:val="290F7096"/>
    <w:rsid w:val="29253EF7"/>
    <w:rsid w:val="294066EC"/>
    <w:rsid w:val="298E56A9"/>
    <w:rsid w:val="29B63FED"/>
    <w:rsid w:val="29BD1AEA"/>
    <w:rsid w:val="29E4155C"/>
    <w:rsid w:val="29F7252B"/>
    <w:rsid w:val="29FD4D7A"/>
    <w:rsid w:val="2A2B5CA6"/>
    <w:rsid w:val="2A664D9A"/>
    <w:rsid w:val="2A6C4441"/>
    <w:rsid w:val="2A7D74CC"/>
    <w:rsid w:val="2A8744B1"/>
    <w:rsid w:val="2AAD1B5F"/>
    <w:rsid w:val="2ACB1E2D"/>
    <w:rsid w:val="2AD85991"/>
    <w:rsid w:val="2ADB0606"/>
    <w:rsid w:val="2B2D0EF2"/>
    <w:rsid w:val="2B376C66"/>
    <w:rsid w:val="2B3B6215"/>
    <w:rsid w:val="2B51698E"/>
    <w:rsid w:val="2BA705B9"/>
    <w:rsid w:val="2BD13068"/>
    <w:rsid w:val="2BF51A0F"/>
    <w:rsid w:val="2BFA3B6F"/>
    <w:rsid w:val="2C306598"/>
    <w:rsid w:val="2C597C67"/>
    <w:rsid w:val="2C5A3F68"/>
    <w:rsid w:val="2C5D1363"/>
    <w:rsid w:val="2C602C01"/>
    <w:rsid w:val="2C6170A5"/>
    <w:rsid w:val="2C626979"/>
    <w:rsid w:val="2C693E53"/>
    <w:rsid w:val="2C70392E"/>
    <w:rsid w:val="2C775759"/>
    <w:rsid w:val="2CA4601B"/>
    <w:rsid w:val="2CB25B52"/>
    <w:rsid w:val="2CBD5274"/>
    <w:rsid w:val="2CC27D3F"/>
    <w:rsid w:val="2CC40044"/>
    <w:rsid w:val="2CC80ED2"/>
    <w:rsid w:val="2CFD263D"/>
    <w:rsid w:val="2D067C4C"/>
    <w:rsid w:val="2D2101FF"/>
    <w:rsid w:val="2D2F2CFF"/>
    <w:rsid w:val="2D3622E0"/>
    <w:rsid w:val="2DB87198"/>
    <w:rsid w:val="2DBA372D"/>
    <w:rsid w:val="2DCC49F2"/>
    <w:rsid w:val="2DF45CF7"/>
    <w:rsid w:val="2E1343CF"/>
    <w:rsid w:val="2E1D524D"/>
    <w:rsid w:val="2E205929"/>
    <w:rsid w:val="2E285B1E"/>
    <w:rsid w:val="2E2E2FB7"/>
    <w:rsid w:val="2E312AA7"/>
    <w:rsid w:val="2E422F06"/>
    <w:rsid w:val="2E517468"/>
    <w:rsid w:val="2E5C7307"/>
    <w:rsid w:val="2E5D564A"/>
    <w:rsid w:val="2E782484"/>
    <w:rsid w:val="2E876002"/>
    <w:rsid w:val="2E9C65F2"/>
    <w:rsid w:val="2ED47C66"/>
    <w:rsid w:val="2ED578D6"/>
    <w:rsid w:val="2EED69CE"/>
    <w:rsid w:val="2F350375"/>
    <w:rsid w:val="2F4013BC"/>
    <w:rsid w:val="2F45680A"/>
    <w:rsid w:val="2F592E6F"/>
    <w:rsid w:val="2F5E326A"/>
    <w:rsid w:val="2F7B5976"/>
    <w:rsid w:val="2F8C1E45"/>
    <w:rsid w:val="2F972DDE"/>
    <w:rsid w:val="2FB46BCA"/>
    <w:rsid w:val="2FBE7CB1"/>
    <w:rsid w:val="2FCA7487"/>
    <w:rsid w:val="2FEA6BB4"/>
    <w:rsid w:val="2FEC4DF6"/>
    <w:rsid w:val="303B4D10"/>
    <w:rsid w:val="30437E24"/>
    <w:rsid w:val="30446459"/>
    <w:rsid w:val="30466CDD"/>
    <w:rsid w:val="30512881"/>
    <w:rsid w:val="305E3499"/>
    <w:rsid w:val="308A5C72"/>
    <w:rsid w:val="30B54A49"/>
    <w:rsid w:val="30CB71E3"/>
    <w:rsid w:val="30DC3D95"/>
    <w:rsid w:val="310B53F4"/>
    <w:rsid w:val="310D7A87"/>
    <w:rsid w:val="31210BB1"/>
    <w:rsid w:val="31556AAC"/>
    <w:rsid w:val="31A02610"/>
    <w:rsid w:val="31D976DD"/>
    <w:rsid w:val="31DE4721"/>
    <w:rsid w:val="320F4EAD"/>
    <w:rsid w:val="32222E32"/>
    <w:rsid w:val="323B5CA2"/>
    <w:rsid w:val="324A339B"/>
    <w:rsid w:val="32583CCA"/>
    <w:rsid w:val="325D4A32"/>
    <w:rsid w:val="325E7BC0"/>
    <w:rsid w:val="327F58CC"/>
    <w:rsid w:val="329D695D"/>
    <w:rsid w:val="32A80A7D"/>
    <w:rsid w:val="32B85FAD"/>
    <w:rsid w:val="32C94EEE"/>
    <w:rsid w:val="32CB29BD"/>
    <w:rsid w:val="32E14A9C"/>
    <w:rsid w:val="32E57849"/>
    <w:rsid w:val="32F27DA0"/>
    <w:rsid w:val="331B5941"/>
    <w:rsid w:val="33244988"/>
    <w:rsid w:val="3350390F"/>
    <w:rsid w:val="33514E01"/>
    <w:rsid w:val="33661445"/>
    <w:rsid w:val="33847C67"/>
    <w:rsid w:val="33B75EE9"/>
    <w:rsid w:val="33C57F19"/>
    <w:rsid w:val="33CC574C"/>
    <w:rsid w:val="33F144DC"/>
    <w:rsid w:val="33FC183D"/>
    <w:rsid w:val="34050C5E"/>
    <w:rsid w:val="34474C18"/>
    <w:rsid w:val="34762D0C"/>
    <w:rsid w:val="347831DE"/>
    <w:rsid w:val="3479200D"/>
    <w:rsid w:val="34880F47"/>
    <w:rsid w:val="348D61BA"/>
    <w:rsid w:val="34904863"/>
    <w:rsid w:val="34A31C90"/>
    <w:rsid w:val="34AE4E51"/>
    <w:rsid w:val="34CE05D4"/>
    <w:rsid w:val="34D04DC8"/>
    <w:rsid w:val="34E40873"/>
    <w:rsid w:val="35325A82"/>
    <w:rsid w:val="354423B8"/>
    <w:rsid w:val="35574FD1"/>
    <w:rsid w:val="35A453EE"/>
    <w:rsid w:val="35B5220F"/>
    <w:rsid w:val="35C00A12"/>
    <w:rsid w:val="35C16E06"/>
    <w:rsid w:val="35C91DF7"/>
    <w:rsid w:val="36354CC1"/>
    <w:rsid w:val="36424549"/>
    <w:rsid w:val="36557C1C"/>
    <w:rsid w:val="365F4D76"/>
    <w:rsid w:val="366B28CE"/>
    <w:rsid w:val="36721CF2"/>
    <w:rsid w:val="368E7C0F"/>
    <w:rsid w:val="36A5471B"/>
    <w:rsid w:val="36B424C7"/>
    <w:rsid w:val="36BA1E1E"/>
    <w:rsid w:val="36CE17DB"/>
    <w:rsid w:val="36E3085B"/>
    <w:rsid w:val="36EA5EE9"/>
    <w:rsid w:val="37023232"/>
    <w:rsid w:val="370C40B1"/>
    <w:rsid w:val="373541BF"/>
    <w:rsid w:val="37580E07"/>
    <w:rsid w:val="376B010F"/>
    <w:rsid w:val="379C5435"/>
    <w:rsid w:val="37B04395"/>
    <w:rsid w:val="37DD15AA"/>
    <w:rsid w:val="37E2764B"/>
    <w:rsid w:val="37FB07C3"/>
    <w:rsid w:val="38094F23"/>
    <w:rsid w:val="383C77C2"/>
    <w:rsid w:val="38601CF2"/>
    <w:rsid w:val="387737AC"/>
    <w:rsid w:val="38966328"/>
    <w:rsid w:val="38A201BB"/>
    <w:rsid w:val="38B16CBE"/>
    <w:rsid w:val="38BB55C0"/>
    <w:rsid w:val="38C26B8B"/>
    <w:rsid w:val="38C77681"/>
    <w:rsid w:val="38C818E7"/>
    <w:rsid w:val="38E85271"/>
    <w:rsid w:val="390019F4"/>
    <w:rsid w:val="39211402"/>
    <w:rsid w:val="39227BBC"/>
    <w:rsid w:val="39477622"/>
    <w:rsid w:val="39581830"/>
    <w:rsid w:val="396226AE"/>
    <w:rsid w:val="39706B79"/>
    <w:rsid w:val="39B1494A"/>
    <w:rsid w:val="39D85952"/>
    <w:rsid w:val="39FF2B56"/>
    <w:rsid w:val="3A143BF2"/>
    <w:rsid w:val="3A331955"/>
    <w:rsid w:val="3A3556CD"/>
    <w:rsid w:val="3A5011E0"/>
    <w:rsid w:val="3A6B7341"/>
    <w:rsid w:val="3A946897"/>
    <w:rsid w:val="3AA2383A"/>
    <w:rsid w:val="3AD62A0C"/>
    <w:rsid w:val="3B0357CB"/>
    <w:rsid w:val="3B0E09E5"/>
    <w:rsid w:val="3B247C1B"/>
    <w:rsid w:val="3B283C19"/>
    <w:rsid w:val="3B4C7172"/>
    <w:rsid w:val="3B6A5348"/>
    <w:rsid w:val="3B6E70E8"/>
    <w:rsid w:val="3B6F0C4C"/>
    <w:rsid w:val="3B81506E"/>
    <w:rsid w:val="3B852106"/>
    <w:rsid w:val="3B946C85"/>
    <w:rsid w:val="3BA41A36"/>
    <w:rsid w:val="3BB46C0F"/>
    <w:rsid w:val="3C1E7DFF"/>
    <w:rsid w:val="3C2105FF"/>
    <w:rsid w:val="3C3E306A"/>
    <w:rsid w:val="3C5C33E5"/>
    <w:rsid w:val="3C6B65DE"/>
    <w:rsid w:val="3C6F136A"/>
    <w:rsid w:val="3CE53F8F"/>
    <w:rsid w:val="3CEB6CA3"/>
    <w:rsid w:val="3D037D04"/>
    <w:rsid w:val="3D232155"/>
    <w:rsid w:val="3D3141FE"/>
    <w:rsid w:val="3D510A70"/>
    <w:rsid w:val="3D64736B"/>
    <w:rsid w:val="3DB03FCF"/>
    <w:rsid w:val="3DF8713D"/>
    <w:rsid w:val="3E033D2A"/>
    <w:rsid w:val="3E106F2A"/>
    <w:rsid w:val="3E196FDB"/>
    <w:rsid w:val="3E3A59A8"/>
    <w:rsid w:val="3E532FA2"/>
    <w:rsid w:val="3E594080"/>
    <w:rsid w:val="3E5E5032"/>
    <w:rsid w:val="3E611186"/>
    <w:rsid w:val="3E703177"/>
    <w:rsid w:val="3E8A3EC6"/>
    <w:rsid w:val="3E9C33B9"/>
    <w:rsid w:val="3EC41C57"/>
    <w:rsid w:val="3EE57199"/>
    <w:rsid w:val="3F1845E7"/>
    <w:rsid w:val="3F185CE9"/>
    <w:rsid w:val="3F2530A2"/>
    <w:rsid w:val="3F4431AE"/>
    <w:rsid w:val="3F4F5483"/>
    <w:rsid w:val="3F5D36FC"/>
    <w:rsid w:val="3FAE10F8"/>
    <w:rsid w:val="3FC2057E"/>
    <w:rsid w:val="3FF34060"/>
    <w:rsid w:val="3FF56FED"/>
    <w:rsid w:val="402204A1"/>
    <w:rsid w:val="40271D55"/>
    <w:rsid w:val="404E573A"/>
    <w:rsid w:val="40550877"/>
    <w:rsid w:val="40C8523A"/>
    <w:rsid w:val="40E40203"/>
    <w:rsid w:val="40EA7211"/>
    <w:rsid w:val="410A7538"/>
    <w:rsid w:val="412070D7"/>
    <w:rsid w:val="416F7716"/>
    <w:rsid w:val="417E09B5"/>
    <w:rsid w:val="418A27A2"/>
    <w:rsid w:val="41A1116B"/>
    <w:rsid w:val="41BF3386"/>
    <w:rsid w:val="41D34149"/>
    <w:rsid w:val="421309EA"/>
    <w:rsid w:val="422C5607"/>
    <w:rsid w:val="42415557"/>
    <w:rsid w:val="4242450A"/>
    <w:rsid w:val="4249440B"/>
    <w:rsid w:val="425B01F2"/>
    <w:rsid w:val="426656CA"/>
    <w:rsid w:val="426B6130"/>
    <w:rsid w:val="42A25B3A"/>
    <w:rsid w:val="42A653BA"/>
    <w:rsid w:val="42B11F4A"/>
    <w:rsid w:val="42B7048F"/>
    <w:rsid w:val="42CE66BF"/>
    <w:rsid w:val="42D02437"/>
    <w:rsid w:val="42D1721A"/>
    <w:rsid w:val="42F5572A"/>
    <w:rsid w:val="42FE5538"/>
    <w:rsid w:val="4322349F"/>
    <w:rsid w:val="4329203E"/>
    <w:rsid w:val="43313698"/>
    <w:rsid w:val="434D7F2B"/>
    <w:rsid w:val="435A0168"/>
    <w:rsid w:val="436D5ED7"/>
    <w:rsid w:val="437329A2"/>
    <w:rsid w:val="43790D20"/>
    <w:rsid w:val="43972F54"/>
    <w:rsid w:val="43980B5C"/>
    <w:rsid w:val="43DB36F4"/>
    <w:rsid w:val="441E5BDD"/>
    <w:rsid w:val="44383138"/>
    <w:rsid w:val="44586B88"/>
    <w:rsid w:val="44872504"/>
    <w:rsid w:val="4492209A"/>
    <w:rsid w:val="44923F91"/>
    <w:rsid w:val="44B44BBC"/>
    <w:rsid w:val="44B77E98"/>
    <w:rsid w:val="44CB55AC"/>
    <w:rsid w:val="44EC7E33"/>
    <w:rsid w:val="45176598"/>
    <w:rsid w:val="45513D03"/>
    <w:rsid w:val="45515F3F"/>
    <w:rsid w:val="455F7AA2"/>
    <w:rsid w:val="457072B4"/>
    <w:rsid w:val="45815C6A"/>
    <w:rsid w:val="458E4A1E"/>
    <w:rsid w:val="458F3F3A"/>
    <w:rsid w:val="459A37B6"/>
    <w:rsid w:val="45B918A8"/>
    <w:rsid w:val="45BE0C6C"/>
    <w:rsid w:val="45D4324C"/>
    <w:rsid w:val="45F14B9E"/>
    <w:rsid w:val="46116FEE"/>
    <w:rsid w:val="463D43CF"/>
    <w:rsid w:val="46625A9C"/>
    <w:rsid w:val="46637D41"/>
    <w:rsid w:val="466E68C1"/>
    <w:rsid w:val="46784BF4"/>
    <w:rsid w:val="47083327"/>
    <w:rsid w:val="470B29DF"/>
    <w:rsid w:val="476969DA"/>
    <w:rsid w:val="477C493B"/>
    <w:rsid w:val="479954ED"/>
    <w:rsid w:val="479A3013"/>
    <w:rsid w:val="47A3011A"/>
    <w:rsid w:val="47B40579"/>
    <w:rsid w:val="47BC567F"/>
    <w:rsid w:val="47EA7AF7"/>
    <w:rsid w:val="47F15329"/>
    <w:rsid w:val="482733FC"/>
    <w:rsid w:val="484E277B"/>
    <w:rsid w:val="48597AF6"/>
    <w:rsid w:val="48735D3E"/>
    <w:rsid w:val="48742EFF"/>
    <w:rsid w:val="48A203D1"/>
    <w:rsid w:val="48A94DE7"/>
    <w:rsid w:val="48C42A3E"/>
    <w:rsid w:val="48DB0D1F"/>
    <w:rsid w:val="48F134B2"/>
    <w:rsid w:val="49105C83"/>
    <w:rsid w:val="49401B8D"/>
    <w:rsid w:val="499C0B00"/>
    <w:rsid w:val="499E328F"/>
    <w:rsid w:val="49B74350"/>
    <w:rsid w:val="49D8445C"/>
    <w:rsid w:val="49EE115D"/>
    <w:rsid w:val="4A114048"/>
    <w:rsid w:val="4A160FCB"/>
    <w:rsid w:val="4A166124"/>
    <w:rsid w:val="4A4C6847"/>
    <w:rsid w:val="4A60723A"/>
    <w:rsid w:val="4A67453C"/>
    <w:rsid w:val="4A7C1949"/>
    <w:rsid w:val="4AA96FA0"/>
    <w:rsid w:val="4B0306D3"/>
    <w:rsid w:val="4B2B3DC2"/>
    <w:rsid w:val="4B35552D"/>
    <w:rsid w:val="4B447E66"/>
    <w:rsid w:val="4B5310D8"/>
    <w:rsid w:val="4BDC3AE7"/>
    <w:rsid w:val="4BEB208F"/>
    <w:rsid w:val="4C0D46FC"/>
    <w:rsid w:val="4C0F7306"/>
    <w:rsid w:val="4C2C2DD4"/>
    <w:rsid w:val="4C2C67E0"/>
    <w:rsid w:val="4C3D3D8C"/>
    <w:rsid w:val="4C3E6663"/>
    <w:rsid w:val="4C9E7102"/>
    <w:rsid w:val="4CA5038F"/>
    <w:rsid w:val="4CAB305F"/>
    <w:rsid w:val="4CC13D97"/>
    <w:rsid w:val="4CE216E4"/>
    <w:rsid w:val="4CEC5BEE"/>
    <w:rsid w:val="4D16138E"/>
    <w:rsid w:val="4D210D00"/>
    <w:rsid w:val="4D303F5D"/>
    <w:rsid w:val="4D40640B"/>
    <w:rsid w:val="4D4324E8"/>
    <w:rsid w:val="4D5D520F"/>
    <w:rsid w:val="4D6046FD"/>
    <w:rsid w:val="4D63190D"/>
    <w:rsid w:val="4D8D1626"/>
    <w:rsid w:val="4DCC5629"/>
    <w:rsid w:val="4DDD7F17"/>
    <w:rsid w:val="4DE17BEE"/>
    <w:rsid w:val="4DF94B22"/>
    <w:rsid w:val="4DFC723D"/>
    <w:rsid w:val="4DFE10C7"/>
    <w:rsid w:val="4E16325C"/>
    <w:rsid w:val="4E1660FF"/>
    <w:rsid w:val="4E167D70"/>
    <w:rsid w:val="4E4837C9"/>
    <w:rsid w:val="4E545770"/>
    <w:rsid w:val="4E6879C7"/>
    <w:rsid w:val="4E710F72"/>
    <w:rsid w:val="4E80701F"/>
    <w:rsid w:val="4E930C9C"/>
    <w:rsid w:val="4EA2343C"/>
    <w:rsid w:val="4EB0179A"/>
    <w:rsid w:val="4EB23B13"/>
    <w:rsid w:val="4EF63E37"/>
    <w:rsid w:val="4F091FD7"/>
    <w:rsid w:val="4F1765C0"/>
    <w:rsid w:val="4F1F541C"/>
    <w:rsid w:val="4F4E12B3"/>
    <w:rsid w:val="4F734876"/>
    <w:rsid w:val="4F754A92"/>
    <w:rsid w:val="4F9714EA"/>
    <w:rsid w:val="4FA50F25"/>
    <w:rsid w:val="4FDA66A3"/>
    <w:rsid w:val="501A2F43"/>
    <w:rsid w:val="502121E3"/>
    <w:rsid w:val="503121D9"/>
    <w:rsid w:val="50432585"/>
    <w:rsid w:val="5046083E"/>
    <w:rsid w:val="50546455"/>
    <w:rsid w:val="505B3C87"/>
    <w:rsid w:val="5076286F"/>
    <w:rsid w:val="5086682B"/>
    <w:rsid w:val="509F0081"/>
    <w:rsid w:val="511F294A"/>
    <w:rsid w:val="51256043"/>
    <w:rsid w:val="51402E7D"/>
    <w:rsid w:val="514A7858"/>
    <w:rsid w:val="515661FD"/>
    <w:rsid w:val="51600E2A"/>
    <w:rsid w:val="51863000"/>
    <w:rsid w:val="518A6447"/>
    <w:rsid w:val="51A21442"/>
    <w:rsid w:val="51A263D9"/>
    <w:rsid w:val="51C82784"/>
    <w:rsid w:val="51D05856"/>
    <w:rsid w:val="51F41470"/>
    <w:rsid w:val="51F779E0"/>
    <w:rsid w:val="51FD1C53"/>
    <w:rsid w:val="520B0F72"/>
    <w:rsid w:val="52157E66"/>
    <w:rsid w:val="523F4EE3"/>
    <w:rsid w:val="52407CCC"/>
    <w:rsid w:val="528D4FE8"/>
    <w:rsid w:val="529516C5"/>
    <w:rsid w:val="52E10DFA"/>
    <w:rsid w:val="52E37F64"/>
    <w:rsid w:val="52EA7E7B"/>
    <w:rsid w:val="52F11C32"/>
    <w:rsid w:val="52FC4B82"/>
    <w:rsid w:val="52FE4D9E"/>
    <w:rsid w:val="5313232E"/>
    <w:rsid w:val="531617D1"/>
    <w:rsid w:val="53283BC9"/>
    <w:rsid w:val="532A0F1F"/>
    <w:rsid w:val="532C6999"/>
    <w:rsid w:val="53620E89"/>
    <w:rsid w:val="536F4D7B"/>
    <w:rsid w:val="53A34C8C"/>
    <w:rsid w:val="53B92A73"/>
    <w:rsid w:val="53BE42DE"/>
    <w:rsid w:val="53D94AEF"/>
    <w:rsid w:val="53DF072C"/>
    <w:rsid w:val="540168F4"/>
    <w:rsid w:val="54204D91"/>
    <w:rsid w:val="545E3AF6"/>
    <w:rsid w:val="54684BC5"/>
    <w:rsid w:val="54850D33"/>
    <w:rsid w:val="54972DB4"/>
    <w:rsid w:val="54B439CC"/>
    <w:rsid w:val="54C12C84"/>
    <w:rsid w:val="54CD4A28"/>
    <w:rsid w:val="54D43474"/>
    <w:rsid w:val="54ED6242"/>
    <w:rsid w:val="54EF11F6"/>
    <w:rsid w:val="55085A60"/>
    <w:rsid w:val="55120D38"/>
    <w:rsid w:val="551C2BA2"/>
    <w:rsid w:val="554034F9"/>
    <w:rsid w:val="55581E8F"/>
    <w:rsid w:val="55BB6F76"/>
    <w:rsid w:val="55CA7AFB"/>
    <w:rsid w:val="55EF2CAA"/>
    <w:rsid w:val="56002BDB"/>
    <w:rsid w:val="56032ACE"/>
    <w:rsid w:val="562634CB"/>
    <w:rsid w:val="563357D9"/>
    <w:rsid w:val="563A0E9C"/>
    <w:rsid w:val="565A05B8"/>
    <w:rsid w:val="568D446F"/>
    <w:rsid w:val="569357FD"/>
    <w:rsid w:val="56957957"/>
    <w:rsid w:val="56C37E91"/>
    <w:rsid w:val="571C5EDB"/>
    <w:rsid w:val="573174F0"/>
    <w:rsid w:val="573E7E5F"/>
    <w:rsid w:val="57521214"/>
    <w:rsid w:val="576950AE"/>
    <w:rsid w:val="57747482"/>
    <w:rsid w:val="57792C45"/>
    <w:rsid w:val="577E46FF"/>
    <w:rsid w:val="577F3EFF"/>
    <w:rsid w:val="578735B4"/>
    <w:rsid w:val="578F2469"/>
    <w:rsid w:val="57BB14B0"/>
    <w:rsid w:val="57CD634E"/>
    <w:rsid w:val="57D66E92"/>
    <w:rsid w:val="580F3EA8"/>
    <w:rsid w:val="5814471C"/>
    <w:rsid w:val="58287F0E"/>
    <w:rsid w:val="586948C5"/>
    <w:rsid w:val="58791752"/>
    <w:rsid w:val="588C69A8"/>
    <w:rsid w:val="58A957AC"/>
    <w:rsid w:val="58A9755A"/>
    <w:rsid w:val="58B3351D"/>
    <w:rsid w:val="58BF671F"/>
    <w:rsid w:val="58E24566"/>
    <w:rsid w:val="58F651E1"/>
    <w:rsid w:val="591C5F7E"/>
    <w:rsid w:val="59211A73"/>
    <w:rsid w:val="59275F76"/>
    <w:rsid w:val="592D1F39"/>
    <w:rsid w:val="595449A7"/>
    <w:rsid w:val="59572561"/>
    <w:rsid w:val="59A86EE7"/>
    <w:rsid w:val="59F44805"/>
    <w:rsid w:val="59FF38D6"/>
    <w:rsid w:val="5A0B1A94"/>
    <w:rsid w:val="5A3410A5"/>
    <w:rsid w:val="5A355549"/>
    <w:rsid w:val="5A6E45B7"/>
    <w:rsid w:val="5A792AF9"/>
    <w:rsid w:val="5A980B76"/>
    <w:rsid w:val="5ACE08E9"/>
    <w:rsid w:val="5ADB0B97"/>
    <w:rsid w:val="5AE2630A"/>
    <w:rsid w:val="5AE605F2"/>
    <w:rsid w:val="5AF251E8"/>
    <w:rsid w:val="5B164869"/>
    <w:rsid w:val="5B1A473F"/>
    <w:rsid w:val="5B294982"/>
    <w:rsid w:val="5B5163B3"/>
    <w:rsid w:val="5B61236E"/>
    <w:rsid w:val="5B687259"/>
    <w:rsid w:val="5B743702"/>
    <w:rsid w:val="5B792163"/>
    <w:rsid w:val="5B7E7C0D"/>
    <w:rsid w:val="5BB719F9"/>
    <w:rsid w:val="5C485634"/>
    <w:rsid w:val="5C7F4EAC"/>
    <w:rsid w:val="5C824F24"/>
    <w:rsid w:val="5CCA7977"/>
    <w:rsid w:val="5CD252D1"/>
    <w:rsid w:val="5CF64FE0"/>
    <w:rsid w:val="5CFD2ACC"/>
    <w:rsid w:val="5D1E2550"/>
    <w:rsid w:val="5D2B3479"/>
    <w:rsid w:val="5D4B6E32"/>
    <w:rsid w:val="5DB449D7"/>
    <w:rsid w:val="5DC52F62"/>
    <w:rsid w:val="5DD06C0A"/>
    <w:rsid w:val="5E115985"/>
    <w:rsid w:val="5E20206C"/>
    <w:rsid w:val="5E316028"/>
    <w:rsid w:val="5E626B77"/>
    <w:rsid w:val="5E6B1402"/>
    <w:rsid w:val="5EAF13FC"/>
    <w:rsid w:val="5EB04A41"/>
    <w:rsid w:val="5EB822A5"/>
    <w:rsid w:val="5EBC5FDD"/>
    <w:rsid w:val="5ED209B4"/>
    <w:rsid w:val="5EE30451"/>
    <w:rsid w:val="5EEB3581"/>
    <w:rsid w:val="5EFC63CC"/>
    <w:rsid w:val="5EFD415C"/>
    <w:rsid w:val="5F16521D"/>
    <w:rsid w:val="5F342B39"/>
    <w:rsid w:val="5F5A15AE"/>
    <w:rsid w:val="5F9C1BC7"/>
    <w:rsid w:val="5FAA6092"/>
    <w:rsid w:val="5FD46A22"/>
    <w:rsid w:val="5FDC1FC3"/>
    <w:rsid w:val="5FEB0801"/>
    <w:rsid w:val="600B28A8"/>
    <w:rsid w:val="60275934"/>
    <w:rsid w:val="60C02657"/>
    <w:rsid w:val="60C35EC4"/>
    <w:rsid w:val="60CD24CB"/>
    <w:rsid w:val="60D7618F"/>
    <w:rsid w:val="61096DE8"/>
    <w:rsid w:val="61161505"/>
    <w:rsid w:val="612400C6"/>
    <w:rsid w:val="617701F5"/>
    <w:rsid w:val="618725FC"/>
    <w:rsid w:val="619D030E"/>
    <w:rsid w:val="61A66D2D"/>
    <w:rsid w:val="61B96A60"/>
    <w:rsid w:val="61D70C94"/>
    <w:rsid w:val="620B3C48"/>
    <w:rsid w:val="6211323E"/>
    <w:rsid w:val="621E68C3"/>
    <w:rsid w:val="622163B3"/>
    <w:rsid w:val="6235591B"/>
    <w:rsid w:val="623D40A4"/>
    <w:rsid w:val="62953243"/>
    <w:rsid w:val="62A85ACE"/>
    <w:rsid w:val="62AC0373"/>
    <w:rsid w:val="62AC2121"/>
    <w:rsid w:val="62CD171B"/>
    <w:rsid w:val="62DD22DA"/>
    <w:rsid w:val="62FB2C69"/>
    <w:rsid w:val="63097573"/>
    <w:rsid w:val="630F1249"/>
    <w:rsid w:val="631B6318"/>
    <w:rsid w:val="63465AC7"/>
    <w:rsid w:val="634E31D8"/>
    <w:rsid w:val="63B5357F"/>
    <w:rsid w:val="63B57B8D"/>
    <w:rsid w:val="63C07D4F"/>
    <w:rsid w:val="63ED5E38"/>
    <w:rsid w:val="63F7561D"/>
    <w:rsid w:val="63FA0AFF"/>
    <w:rsid w:val="64001606"/>
    <w:rsid w:val="640146EE"/>
    <w:rsid w:val="641F3802"/>
    <w:rsid w:val="64217AD8"/>
    <w:rsid w:val="64242E1E"/>
    <w:rsid w:val="646627A3"/>
    <w:rsid w:val="6481138B"/>
    <w:rsid w:val="649E018F"/>
    <w:rsid w:val="64A95261"/>
    <w:rsid w:val="64CB349A"/>
    <w:rsid w:val="65062E64"/>
    <w:rsid w:val="65272825"/>
    <w:rsid w:val="653A164C"/>
    <w:rsid w:val="65565F75"/>
    <w:rsid w:val="655D3BA6"/>
    <w:rsid w:val="655D59BC"/>
    <w:rsid w:val="6562503C"/>
    <w:rsid w:val="656C290F"/>
    <w:rsid w:val="65B55790"/>
    <w:rsid w:val="65D64A96"/>
    <w:rsid w:val="65DF422C"/>
    <w:rsid w:val="65E816C2"/>
    <w:rsid w:val="66076C42"/>
    <w:rsid w:val="66081D64"/>
    <w:rsid w:val="660D737A"/>
    <w:rsid w:val="66467096"/>
    <w:rsid w:val="66AB0F78"/>
    <w:rsid w:val="66C76A63"/>
    <w:rsid w:val="66D659BE"/>
    <w:rsid w:val="66E63727"/>
    <w:rsid w:val="66EB2562"/>
    <w:rsid w:val="66F922A0"/>
    <w:rsid w:val="670C0772"/>
    <w:rsid w:val="671604B0"/>
    <w:rsid w:val="67263EE0"/>
    <w:rsid w:val="673F7A07"/>
    <w:rsid w:val="67554111"/>
    <w:rsid w:val="675B4115"/>
    <w:rsid w:val="677B0314"/>
    <w:rsid w:val="678913E7"/>
    <w:rsid w:val="67D16595"/>
    <w:rsid w:val="67D902D7"/>
    <w:rsid w:val="67DF5BC9"/>
    <w:rsid w:val="67E75169"/>
    <w:rsid w:val="67EA4D73"/>
    <w:rsid w:val="68060525"/>
    <w:rsid w:val="68091DC3"/>
    <w:rsid w:val="680E4009"/>
    <w:rsid w:val="681B5BF7"/>
    <w:rsid w:val="68294FA5"/>
    <w:rsid w:val="6833374D"/>
    <w:rsid w:val="684047CF"/>
    <w:rsid w:val="6848469A"/>
    <w:rsid w:val="687852B0"/>
    <w:rsid w:val="687A05CB"/>
    <w:rsid w:val="68837A86"/>
    <w:rsid w:val="688B46D1"/>
    <w:rsid w:val="68C31F72"/>
    <w:rsid w:val="68C47A98"/>
    <w:rsid w:val="68C765FD"/>
    <w:rsid w:val="68CF4DBB"/>
    <w:rsid w:val="68D506CC"/>
    <w:rsid w:val="68E5638C"/>
    <w:rsid w:val="68EA5751"/>
    <w:rsid w:val="68FB3BE5"/>
    <w:rsid w:val="690643FC"/>
    <w:rsid w:val="690B09A1"/>
    <w:rsid w:val="691427CE"/>
    <w:rsid w:val="69280D1E"/>
    <w:rsid w:val="69311E5B"/>
    <w:rsid w:val="693C6DF1"/>
    <w:rsid w:val="695075A8"/>
    <w:rsid w:val="6985632B"/>
    <w:rsid w:val="69902B8E"/>
    <w:rsid w:val="699102C2"/>
    <w:rsid w:val="69A47FF6"/>
    <w:rsid w:val="69A647FF"/>
    <w:rsid w:val="69AD252C"/>
    <w:rsid w:val="69B813AB"/>
    <w:rsid w:val="69F833A3"/>
    <w:rsid w:val="69FA542C"/>
    <w:rsid w:val="69FA7C16"/>
    <w:rsid w:val="6A2D5364"/>
    <w:rsid w:val="6A2F3DAA"/>
    <w:rsid w:val="6A4470E3"/>
    <w:rsid w:val="6A470981"/>
    <w:rsid w:val="6A576E16"/>
    <w:rsid w:val="6A613D28"/>
    <w:rsid w:val="6A730885"/>
    <w:rsid w:val="6AA47B81"/>
    <w:rsid w:val="6AF418AC"/>
    <w:rsid w:val="6B1C5D1F"/>
    <w:rsid w:val="6B2667E8"/>
    <w:rsid w:val="6B383F7F"/>
    <w:rsid w:val="6B482C03"/>
    <w:rsid w:val="6B4F21E3"/>
    <w:rsid w:val="6B5E41D4"/>
    <w:rsid w:val="6B732539"/>
    <w:rsid w:val="6B866F76"/>
    <w:rsid w:val="6B915026"/>
    <w:rsid w:val="6BA22313"/>
    <w:rsid w:val="6BA50055"/>
    <w:rsid w:val="6BA660F8"/>
    <w:rsid w:val="6BF20C40"/>
    <w:rsid w:val="6C040369"/>
    <w:rsid w:val="6C20148A"/>
    <w:rsid w:val="6C3A69EF"/>
    <w:rsid w:val="6C6770B8"/>
    <w:rsid w:val="6C84318C"/>
    <w:rsid w:val="6CB31740"/>
    <w:rsid w:val="6CB32CA9"/>
    <w:rsid w:val="6CBF7ACC"/>
    <w:rsid w:val="6CDC3602"/>
    <w:rsid w:val="6D170ADE"/>
    <w:rsid w:val="6D1A187F"/>
    <w:rsid w:val="6D1C3C9B"/>
    <w:rsid w:val="6D1E7A9D"/>
    <w:rsid w:val="6D2A25C0"/>
    <w:rsid w:val="6D317DF2"/>
    <w:rsid w:val="6D3B2A1F"/>
    <w:rsid w:val="6D57712D"/>
    <w:rsid w:val="6DB37278"/>
    <w:rsid w:val="6DB66549"/>
    <w:rsid w:val="6DC262B1"/>
    <w:rsid w:val="6DC81DD9"/>
    <w:rsid w:val="6DCF3167"/>
    <w:rsid w:val="6DD67814"/>
    <w:rsid w:val="6DEF1E0D"/>
    <w:rsid w:val="6E0A23F1"/>
    <w:rsid w:val="6E251CF8"/>
    <w:rsid w:val="6E3D03F1"/>
    <w:rsid w:val="6E7C6AF5"/>
    <w:rsid w:val="6EBE3907"/>
    <w:rsid w:val="6EBE56B6"/>
    <w:rsid w:val="6ED62013"/>
    <w:rsid w:val="6F337BD9"/>
    <w:rsid w:val="6F362E8C"/>
    <w:rsid w:val="6F54601A"/>
    <w:rsid w:val="6F674DBE"/>
    <w:rsid w:val="6F95760D"/>
    <w:rsid w:val="6FDC5837"/>
    <w:rsid w:val="6FFD67D6"/>
    <w:rsid w:val="700E4CD4"/>
    <w:rsid w:val="703F3111"/>
    <w:rsid w:val="7055204A"/>
    <w:rsid w:val="70673092"/>
    <w:rsid w:val="707D334E"/>
    <w:rsid w:val="708A15C7"/>
    <w:rsid w:val="70AB7EBB"/>
    <w:rsid w:val="70B825D8"/>
    <w:rsid w:val="70B8410C"/>
    <w:rsid w:val="70E34784"/>
    <w:rsid w:val="70E76A1A"/>
    <w:rsid w:val="71282F7E"/>
    <w:rsid w:val="71347EB1"/>
    <w:rsid w:val="71502811"/>
    <w:rsid w:val="7161057A"/>
    <w:rsid w:val="71777D9E"/>
    <w:rsid w:val="717C7162"/>
    <w:rsid w:val="717E5165"/>
    <w:rsid w:val="71883D59"/>
    <w:rsid w:val="71A90121"/>
    <w:rsid w:val="71B02D05"/>
    <w:rsid w:val="71C805F9"/>
    <w:rsid w:val="71CF1988"/>
    <w:rsid w:val="71DE4E50"/>
    <w:rsid w:val="71DF3D12"/>
    <w:rsid w:val="71FB452B"/>
    <w:rsid w:val="72247F25"/>
    <w:rsid w:val="722C2B09"/>
    <w:rsid w:val="724E21E5"/>
    <w:rsid w:val="7265786C"/>
    <w:rsid w:val="726E73F3"/>
    <w:rsid w:val="727D5888"/>
    <w:rsid w:val="727E1346"/>
    <w:rsid w:val="72865C45"/>
    <w:rsid w:val="72952BD1"/>
    <w:rsid w:val="729B74F5"/>
    <w:rsid w:val="72A97FDC"/>
    <w:rsid w:val="72C35F42"/>
    <w:rsid w:val="72D07765"/>
    <w:rsid w:val="72FB055A"/>
    <w:rsid w:val="733C707A"/>
    <w:rsid w:val="7356736B"/>
    <w:rsid w:val="73691968"/>
    <w:rsid w:val="73886292"/>
    <w:rsid w:val="7390524E"/>
    <w:rsid w:val="739A566B"/>
    <w:rsid w:val="73E33BBC"/>
    <w:rsid w:val="73EC1445"/>
    <w:rsid w:val="73FF675C"/>
    <w:rsid w:val="74034E50"/>
    <w:rsid w:val="741B2C62"/>
    <w:rsid w:val="74365CEE"/>
    <w:rsid w:val="74793E2D"/>
    <w:rsid w:val="74B05AB8"/>
    <w:rsid w:val="74BC04A6"/>
    <w:rsid w:val="751B4EE4"/>
    <w:rsid w:val="752E4C17"/>
    <w:rsid w:val="7530126D"/>
    <w:rsid w:val="75530B22"/>
    <w:rsid w:val="757E49E2"/>
    <w:rsid w:val="758D5DE2"/>
    <w:rsid w:val="75A77847"/>
    <w:rsid w:val="75BD0103"/>
    <w:rsid w:val="75D21A46"/>
    <w:rsid w:val="75D42F56"/>
    <w:rsid w:val="762027B2"/>
    <w:rsid w:val="76285B0A"/>
    <w:rsid w:val="766461A0"/>
    <w:rsid w:val="76733229"/>
    <w:rsid w:val="7675322E"/>
    <w:rsid w:val="767E3D59"/>
    <w:rsid w:val="768F24C5"/>
    <w:rsid w:val="76E45ED5"/>
    <w:rsid w:val="76FA0BC0"/>
    <w:rsid w:val="76FB6D7B"/>
    <w:rsid w:val="77182123"/>
    <w:rsid w:val="77183DD1"/>
    <w:rsid w:val="778A22C8"/>
    <w:rsid w:val="779E0754"/>
    <w:rsid w:val="77A05FDA"/>
    <w:rsid w:val="77AD0427"/>
    <w:rsid w:val="77B533CE"/>
    <w:rsid w:val="77D71596"/>
    <w:rsid w:val="77F63F04"/>
    <w:rsid w:val="77F7665F"/>
    <w:rsid w:val="7803603C"/>
    <w:rsid w:val="78144598"/>
    <w:rsid w:val="782621EC"/>
    <w:rsid w:val="78497403"/>
    <w:rsid w:val="78521D2D"/>
    <w:rsid w:val="787768D5"/>
    <w:rsid w:val="78825504"/>
    <w:rsid w:val="789F15CA"/>
    <w:rsid w:val="78C22A85"/>
    <w:rsid w:val="78CA4409"/>
    <w:rsid w:val="78D6426A"/>
    <w:rsid w:val="79006A68"/>
    <w:rsid w:val="79020895"/>
    <w:rsid w:val="791800B8"/>
    <w:rsid w:val="794E7636"/>
    <w:rsid w:val="79DD4E32"/>
    <w:rsid w:val="79DD6C0C"/>
    <w:rsid w:val="79E2331C"/>
    <w:rsid w:val="7A115CEF"/>
    <w:rsid w:val="7A1E4258"/>
    <w:rsid w:val="7A316FC1"/>
    <w:rsid w:val="7A6A1622"/>
    <w:rsid w:val="7A7B6DE2"/>
    <w:rsid w:val="7A9D616C"/>
    <w:rsid w:val="7AB756AF"/>
    <w:rsid w:val="7ABD2CC5"/>
    <w:rsid w:val="7AC76A42"/>
    <w:rsid w:val="7AED182A"/>
    <w:rsid w:val="7AF64429"/>
    <w:rsid w:val="7AFD3627"/>
    <w:rsid w:val="7B0A51DF"/>
    <w:rsid w:val="7B152141"/>
    <w:rsid w:val="7B1F572E"/>
    <w:rsid w:val="7B332F87"/>
    <w:rsid w:val="7B38178B"/>
    <w:rsid w:val="7B3A24FC"/>
    <w:rsid w:val="7B5F3B6B"/>
    <w:rsid w:val="7B954F14"/>
    <w:rsid w:val="7B9B0B2D"/>
    <w:rsid w:val="7BB67714"/>
    <w:rsid w:val="7BBB4D2B"/>
    <w:rsid w:val="7BE61DA8"/>
    <w:rsid w:val="7C2D235E"/>
    <w:rsid w:val="7C4371FA"/>
    <w:rsid w:val="7C5424EB"/>
    <w:rsid w:val="7C594C70"/>
    <w:rsid w:val="7C63164A"/>
    <w:rsid w:val="7C980F5D"/>
    <w:rsid w:val="7C995174"/>
    <w:rsid w:val="7CAA1288"/>
    <w:rsid w:val="7CBA1B54"/>
    <w:rsid w:val="7CBB75D8"/>
    <w:rsid w:val="7CBD6F32"/>
    <w:rsid w:val="7CD73DE6"/>
    <w:rsid w:val="7CD95DB0"/>
    <w:rsid w:val="7CF14EFE"/>
    <w:rsid w:val="7CF71AB3"/>
    <w:rsid w:val="7D0B78D9"/>
    <w:rsid w:val="7D525481"/>
    <w:rsid w:val="7D9E017D"/>
    <w:rsid w:val="7DB65895"/>
    <w:rsid w:val="7DF033B2"/>
    <w:rsid w:val="7E0A0E85"/>
    <w:rsid w:val="7E1846B6"/>
    <w:rsid w:val="7E547A4A"/>
    <w:rsid w:val="7E573431"/>
    <w:rsid w:val="7E7F4735"/>
    <w:rsid w:val="7EE50A3C"/>
    <w:rsid w:val="7EF02F3D"/>
    <w:rsid w:val="7EF73FE6"/>
    <w:rsid w:val="7F453289"/>
    <w:rsid w:val="7F57463B"/>
    <w:rsid w:val="7F622A13"/>
    <w:rsid w:val="7F772E61"/>
    <w:rsid w:val="7F9A28DC"/>
    <w:rsid w:val="7FA80C7D"/>
    <w:rsid w:val="7FAF4BA7"/>
    <w:rsid w:val="7FBC5C1E"/>
    <w:rsid w:val="7FEB74D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nhideWhenUsed="0"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uiPriority="99"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qFormat="1" w:unhideWhenUsed="0" w:uiPriority="0" w:semiHidden="0" w:name="Salutation"/>
    <w:lsdException w:qFormat="1" w:unhideWhenUsed="0" w:uiPriority="0" w:semiHidden="0" w:name="Date"/>
    <w:lsdException w:uiPriority="99" w:name="Body Text First Indent"/>
    <w:lsdException w:qFormat="1" w:uiPriority="99"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49"/>
    <w:qFormat/>
    <w:uiPriority w:val="9"/>
    <w:pPr>
      <w:keepNext/>
      <w:jc w:val="center"/>
      <w:outlineLvl w:val="0"/>
    </w:pPr>
    <w:rPr>
      <w:b/>
      <w:bCs/>
      <w:sz w:val="24"/>
      <w:szCs w:val="20"/>
    </w:rPr>
  </w:style>
  <w:style w:type="paragraph" w:styleId="3">
    <w:name w:val="heading 2"/>
    <w:basedOn w:val="1"/>
    <w:next w:val="1"/>
    <w:link w:val="50"/>
    <w:qFormat/>
    <w:uiPriority w:val="0"/>
    <w:pPr>
      <w:keepNext/>
      <w:keepLines/>
      <w:spacing w:line="360" w:lineRule="auto"/>
      <w:outlineLvl w:val="1"/>
    </w:pPr>
    <w:rPr>
      <w:rFonts w:ascii="Arial" w:hAnsi="Arial"/>
      <w:b/>
      <w:bCs/>
      <w:sz w:val="24"/>
      <w:szCs w:val="32"/>
    </w:rPr>
  </w:style>
  <w:style w:type="paragraph" w:styleId="4">
    <w:name w:val="heading 3"/>
    <w:basedOn w:val="1"/>
    <w:next w:val="1"/>
    <w:link w:val="51"/>
    <w:qFormat/>
    <w:uiPriority w:val="0"/>
    <w:pPr>
      <w:keepNext/>
      <w:keepLines/>
      <w:spacing w:before="260" w:after="260" w:line="416" w:lineRule="auto"/>
      <w:outlineLvl w:val="2"/>
    </w:pPr>
    <w:rPr>
      <w:b/>
      <w:bCs/>
      <w:sz w:val="32"/>
      <w:szCs w:val="32"/>
    </w:rPr>
  </w:style>
  <w:style w:type="paragraph" w:styleId="5">
    <w:name w:val="heading 4"/>
    <w:basedOn w:val="1"/>
    <w:next w:val="1"/>
    <w:link w:val="52"/>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53"/>
    <w:qFormat/>
    <w:uiPriority w:val="0"/>
    <w:pPr>
      <w:keepNext/>
      <w:keepLines/>
      <w:adjustRightInd w:val="0"/>
      <w:spacing w:before="280" w:after="290" w:line="376" w:lineRule="atLeast"/>
      <w:jc w:val="left"/>
      <w:textAlignment w:val="baseline"/>
      <w:outlineLvl w:val="4"/>
    </w:pPr>
    <w:rPr>
      <w:b/>
      <w:bCs/>
      <w:kern w:val="0"/>
      <w:sz w:val="28"/>
      <w:szCs w:val="28"/>
    </w:rPr>
  </w:style>
  <w:style w:type="paragraph" w:styleId="7">
    <w:name w:val="heading 6"/>
    <w:basedOn w:val="1"/>
    <w:next w:val="1"/>
    <w:link w:val="54"/>
    <w:qFormat/>
    <w:uiPriority w:val="0"/>
    <w:pPr>
      <w:keepNext/>
      <w:keepLines/>
      <w:adjustRightInd w:val="0"/>
      <w:spacing w:before="240" w:after="64" w:line="320" w:lineRule="atLeast"/>
      <w:jc w:val="left"/>
      <w:textAlignment w:val="baseline"/>
      <w:outlineLvl w:val="5"/>
    </w:pPr>
    <w:rPr>
      <w:rFonts w:ascii="Arial" w:hAnsi="Arial" w:eastAsia="黑体"/>
      <w:b/>
      <w:bCs/>
      <w:kern w:val="0"/>
      <w:sz w:val="24"/>
    </w:rPr>
  </w:style>
  <w:style w:type="paragraph" w:styleId="8">
    <w:name w:val="heading 7"/>
    <w:basedOn w:val="1"/>
    <w:next w:val="1"/>
    <w:link w:val="55"/>
    <w:qFormat/>
    <w:uiPriority w:val="0"/>
    <w:pPr>
      <w:keepNext/>
      <w:keepLines/>
      <w:adjustRightInd w:val="0"/>
      <w:spacing w:before="240" w:after="64" w:line="320" w:lineRule="atLeast"/>
      <w:jc w:val="left"/>
      <w:textAlignment w:val="baseline"/>
      <w:outlineLvl w:val="6"/>
    </w:pPr>
    <w:rPr>
      <w:b/>
      <w:bCs/>
      <w:kern w:val="0"/>
      <w:sz w:val="24"/>
    </w:rPr>
  </w:style>
  <w:style w:type="paragraph" w:styleId="9">
    <w:name w:val="heading 8"/>
    <w:basedOn w:val="1"/>
    <w:next w:val="1"/>
    <w:link w:val="56"/>
    <w:qFormat/>
    <w:uiPriority w:val="0"/>
    <w:pPr>
      <w:keepNext/>
      <w:keepLines/>
      <w:adjustRightInd w:val="0"/>
      <w:spacing w:before="240" w:after="64" w:line="320" w:lineRule="atLeast"/>
      <w:jc w:val="left"/>
      <w:textAlignment w:val="baseline"/>
      <w:outlineLvl w:val="7"/>
    </w:pPr>
    <w:rPr>
      <w:rFonts w:ascii="Arial" w:hAnsi="Arial" w:eastAsia="黑体"/>
      <w:kern w:val="0"/>
      <w:sz w:val="24"/>
    </w:rPr>
  </w:style>
  <w:style w:type="paragraph" w:styleId="10">
    <w:name w:val="heading 9"/>
    <w:basedOn w:val="1"/>
    <w:next w:val="1"/>
    <w:link w:val="57"/>
    <w:qFormat/>
    <w:uiPriority w:val="0"/>
    <w:pPr>
      <w:keepNext/>
      <w:keepLines/>
      <w:adjustRightInd w:val="0"/>
      <w:spacing w:before="240" w:after="64" w:line="320" w:lineRule="atLeast"/>
      <w:jc w:val="left"/>
      <w:textAlignment w:val="baseline"/>
      <w:outlineLvl w:val="8"/>
    </w:pPr>
    <w:rPr>
      <w:rFonts w:ascii="Arial" w:hAnsi="Arial" w:eastAsia="黑体"/>
      <w:kern w:val="0"/>
      <w:szCs w:val="21"/>
    </w:rPr>
  </w:style>
  <w:style w:type="character" w:default="1" w:styleId="43">
    <w:name w:val="Default Paragraph Font"/>
    <w:semiHidden/>
    <w:unhideWhenUsed/>
    <w:qFormat/>
    <w:uiPriority w:val="1"/>
  </w:style>
  <w:style w:type="table" w:default="1" w:styleId="41">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ind w:left="2520" w:leftChars="1200"/>
    </w:pPr>
    <w:rPr>
      <w:rFonts w:asciiTheme="minorHAnsi" w:hAnsiTheme="minorHAnsi" w:eastAsiaTheme="minorEastAsia" w:cstheme="minorBidi"/>
      <w:szCs w:val="22"/>
    </w:rPr>
  </w:style>
  <w:style w:type="paragraph" w:styleId="12">
    <w:name w:val="Normal Indent"/>
    <w:basedOn w:val="1"/>
    <w:qFormat/>
    <w:uiPriority w:val="99"/>
    <w:pPr>
      <w:widowControl/>
      <w:ind w:firstLine="420"/>
      <w:jc w:val="left"/>
    </w:pPr>
    <w:rPr>
      <w:kern w:val="0"/>
      <w:sz w:val="20"/>
      <w:szCs w:val="20"/>
    </w:rPr>
  </w:style>
  <w:style w:type="paragraph" w:styleId="13">
    <w:name w:val="Document Map"/>
    <w:basedOn w:val="1"/>
    <w:link w:val="81"/>
    <w:semiHidden/>
    <w:qFormat/>
    <w:uiPriority w:val="0"/>
    <w:pPr>
      <w:shd w:val="clear" w:color="auto" w:fill="000080"/>
    </w:pPr>
  </w:style>
  <w:style w:type="paragraph" w:styleId="14">
    <w:name w:val="annotation text"/>
    <w:basedOn w:val="1"/>
    <w:link w:val="65"/>
    <w:qFormat/>
    <w:uiPriority w:val="99"/>
    <w:pPr>
      <w:jc w:val="left"/>
    </w:pPr>
  </w:style>
  <w:style w:type="paragraph" w:styleId="15">
    <w:name w:val="Salutation"/>
    <w:basedOn w:val="1"/>
    <w:next w:val="1"/>
    <w:link w:val="70"/>
    <w:qFormat/>
    <w:uiPriority w:val="0"/>
    <w:rPr>
      <w:rFonts w:ascii="仿宋_GB2312" w:eastAsia="仿宋_GB2312"/>
      <w:sz w:val="24"/>
    </w:rPr>
  </w:style>
  <w:style w:type="paragraph" w:styleId="16">
    <w:name w:val="Body Text"/>
    <w:basedOn w:val="1"/>
    <w:link w:val="59"/>
    <w:qFormat/>
    <w:uiPriority w:val="0"/>
    <w:pPr>
      <w:spacing w:after="120"/>
    </w:pPr>
  </w:style>
  <w:style w:type="paragraph" w:styleId="17">
    <w:name w:val="Body Text Indent"/>
    <w:basedOn w:val="1"/>
    <w:link w:val="62"/>
    <w:qFormat/>
    <w:uiPriority w:val="0"/>
    <w:pPr>
      <w:spacing w:after="120"/>
      <w:ind w:left="420" w:leftChars="200"/>
    </w:pPr>
  </w:style>
  <w:style w:type="paragraph" w:styleId="18">
    <w:name w:val="Block Text"/>
    <w:basedOn w:val="1"/>
    <w:qFormat/>
    <w:uiPriority w:val="0"/>
    <w:pPr>
      <w:ind w:left="1171" w:right="91" w:hanging="1080"/>
    </w:pPr>
    <w:rPr>
      <w:rFonts w:eastAsia="楷体_GB2312"/>
      <w:szCs w:val="20"/>
    </w:rPr>
  </w:style>
  <w:style w:type="paragraph" w:styleId="19">
    <w:name w:val="toc 5"/>
    <w:basedOn w:val="1"/>
    <w:next w:val="1"/>
    <w:unhideWhenUsed/>
    <w:qFormat/>
    <w:uiPriority w:val="39"/>
    <w:pPr>
      <w:adjustRightInd w:val="0"/>
      <w:snapToGrid w:val="0"/>
      <w:spacing w:line="360" w:lineRule="auto"/>
      <w:ind w:left="800" w:leftChars="800"/>
    </w:pPr>
    <w:rPr>
      <w:rFonts w:asciiTheme="minorHAnsi" w:hAnsiTheme="minorHAnsi" w:eastAsiaTheme="minorEastAsia" w:cstheme="minorBidi"/>
      <w:szCs w:val="22"/>
    </w:rPr>
  </w:style>
  <w:style w:type="paragraph" w:styleId="20">
    <w:name w:val="toc 3"/>
    <w:basedOn w:val="1"/>
    <w:next w:val="1"/>
    <w:unhideWhenUsed/>
    <w:qFormat/>
    <w:uiPriority w:val="39"/>
    <w:pPr>
      <w:adjustRightInd w:val="0"/>
      <w:snapToGrid w:val="0"/>
      <w:spacing w:line="360" w:lineRule="auto"/>
      <w:ind w:left="400" w:leftChars="400"/>
    </w:pPr>
    <w:rPr>
      <w:rFonts w:eastAsiaTheme="minorEastAsia"/>
      <w:b/>
    </w:rPr>
  </w:style>
  <w:style w:type="paragraph" w:styleId="21">
    <w:name w:val="Plain Text"/>
    <w:basedOn w:val="1"/>
    <w:link w:val="64"/>
    <w:qFormat/>
    <w:uiPriority w:val="0"/>
    <w:rPr>
      <w:rFonts w:ascii="宋体" w:hAnsi="Courier New" w:cs="Courier New"/>
      <w:szCs w:val="21"/>
    </w:rPr>
  </w:style>
  <w:style w:type="paragraph" w:styleId="22">
    <w:name w:val="toc 8"/>
    <w:basedOn w:val="1"/>
    <w:next w:val="1"/>
    <w:unhideWhenUsed/>
    <w:qFormat/>
    <w:uiPriority w:val="39"/>
    <w:pPr>
      <w:ind w:left="2940" w:leftChars="1400"/>
    </w:pPr>
    <w:rPr>
      <w:rFonts w:asciiTheme="minorHAnsi" w:hAnsiTheme="minorHAnsi" w:eastAsiaTheme="minorEastAsia" w:cstheme="minorBidi"/>
      <w:szCs w:val="22"/>
    </w:rPr>
  </w:style>
  <w:style w:type="paragraph" w:styleId="23">
    <w:name w:val="Date"/>
    <w:basedOn w:val="1"/>
    <w:next w:val="1"/>
    <w:link w:val="75"/>
    <w:qFormat/>
    <w:uiPriority w:val="0"/>
    <w:rPr>
      <w:sz w:val="24"/>
      <w:szCs w:val="20"/>
    </w:rPr>
  </w:style>
  <w:style w:type="paragraph" w:styleId="24">
    <w:name w:val="Body Text Indent 2"/>
    <w:basedOn w:val="1"/>
    <w:link w:val="72"/>
    <w:qFormat/>
    <w:uiPriority w:val="0"/>
    <w:pPr>
      <w:spacing w:after="120" w:line="480" w:lineRule="auto"/>
      <w:ind w:left="420" w:leftChars="200"/>
    </w:pPr>
  </w:style>
  <w:style w:type="paragraph" w:styleId="25">
    <w:name w:val="Balloon Text"/>
    <w:basedOn w:val="1"/>
    <w:link w:val="89"/>
    <w:qFormat/>
    <w:uiPriority w:val="0"/>
    <w:rPr>
      <w:sz w:val="18"/>
      <w:szCs w:val="18"/>
    </w:rPr>
  </w:style>
  <w:style w:type="paragraph" w:styleId="26">
    <w:name w:val="footer"/>
    <w:basedOn w:val="1"/>
    <w:link w:val="60"/>
    <w:qFormat/>
    <w:uiPriority w:val="99"/>
    <w:pPr>
      <w:tabs>
        <w:tab w:val="center" w:pos="4153"/>
        <w:tab w:val="right" w:pos="8306"/>
      </w:tabs>
      <w:snapToGrid w:val="0"/>
      <w:jc w:val="left"/>
    </w:pPr>
    <w:rPr>
      <w:sz w:val="18"/>
      <w:szCs w:val="18"/>
    </w:rPr>
  </w:style>
  <w:style w:type="paragraph" w:styleId="27">
    <w:name w:val="header"/>
    <w:basedOn w:val="1"/>
    <w:link w:val="61"/>
    <w:qFormat/>
    <w:uiPriority w:val="99"/>
    <w:pPr>
      <w:pBdr>
        <w:bottom w:val="single" w:color="auto" w:sz="6" w:space="1"/>
      </w:pBdr>
      <w:tabs>
        <w:tab w:val="center" w:pos="4153"/>
        <w:tab w:val="right" w:pos="8306"/>
      </w:tabs>
      <w:snapToGrid w:val="0"/>
      <w:jc w:val="center"/>
    </w:pPr>
    <w:rPr>
      <w:sz w:val="18"/>
      <w:szCs w:val="18"/>
    </w:rPr>
  </w:style>
  <w:style w:type="paragraph" w:styleId="28">
    <w:name w:val="toc 1"/>
    <w:basedOn w:val="1"/>
    <w:next w:val="1"/>
    <w:qFormat/>
    <w:uiPriority w:val="39"/>
    <w:pPr>
      <w:spacing w:line="360" w:lineRule="auto"/>
    </w:pPr>
    <w:rPr>
      <w:rFonts w:asciiTheme="minorEastAsia" w:hAnsiTheme="minorEastAsia" w:eastAsiaTheme="minorEastAsia"/>
      <w:b/>
      <w:sz w:val="24"/>
      <w:szCs w:val="21"/>
    </w:rPr>
  </w:style>
  <w:style w:type="paragraph" w:styleId="29">
    <w:name w:val="toc 4"/>
    <w:basedOn w:val="1"/>
    <w:next w:val="1"/>
    <w:unhideWhenUsed/>
    <w:qFormat/>
    <w:uiPriority w:val="39"/>
    <w:pPr>
      <w:adjustRightInd w:val="0"/>
      <w:snapToGrid w:val="0"/>
      <w:spacing w:line="360" w:lineRule="auto"/>
      <w:ind w:left="600" w:leftChars="600"/>
    </w:pPr>
    <w:rPr>
      <w:rFonts w:asciiTheme="minorHAnsi" w:hAnsiTheme="minorHAnsi" w:eastAsiaTheme="minorEastAsia" w:cstheme="minorBidi"/>
      <w:b/>
      <w:szCs w:val="22"/>
    </w:rPr>
  </w:style>
  <w:style w:type="paragraph" w:styleId="30">
    <w:name w:val="toc 6"/>
    <w:basedOn w:val="1"/>
    <w:next w:val="1"/>
    <w:qFormat/>
    <w:uiPriority w:val="39"/>
    <w:pPr>
      <w:ind w:left="2100"/>
    </w:pPr>
    <w:rPr>
      <w:szCs w:val="20"/>
    </w:rPr>
  </w:style>
  <w:style w:type="paragraph" w:styleId="31">
    <w:name w:val="Body Text Indent 3"/>
    <w:basedOn w:val="1"/>
    <w:link w:val="74"/>
    <w:qFormat/>
    <w:uiPriority w:val="0"/>
    <w:pPr>
      <w:spacing w:after="120"/>
      <w:ind w:left="420" w:leftChars="200"/>
    </w:pPr>
    <w:rPr>
      <w:sz w:val="16"/>
      <w:szCs w:val="16"/>
    </w:rPr>
  </w:style>
  <w:style w:type="paragraph" w:styleId="32">
    <w:name w:val="toc 2"/>
    <w:basedOn w:val="1"/>
    <w:next w:val="1"/>
    <w:unhideWhenUsed/>
    <w:qFormat/>
    <w:uiPriority w:val="39"/>
    <w:pPr>
      <w:spacing w:line="360" w:lineRule="auto"/>
      <w:ind w:left="200" w:leftChars="200"/>
    </w:pPr>
    <w:rPr>
      <w:rFonts w:eastAsiaTheme="majorEastAsia"/>
      <w:b/>
    </w:rPr>
  </w:style>
  <w:style w:type="paragraph" w:styleId="33">
    <w:name w:val="toc 9"/>
    <w:basedOn w:val="1"/>
    <w:next w:val="1"/>
    <w:unhideWhenUsed/>
    <w:qFormat/>
    <w:uiPriority w:val="39"/>
    <w:pPr>
      <w:ind w:left="3360" w:leftChars="1600"/>
    </w:pPr>
    <w:rPr>
      <w:rFonts w:asciiTheme="minorHAnsi" w:hAnsiTheme="minorHAnsi" w:eastAsiaTheme="minorEastAsia" w:cstheme="minorBidi"/>
      <w:szCs w:val="22"/>
    </w:rPr>
  </w:style>
  <w:style w:type="paragraph" w:styleId="34">
    <w:name w:val="Body Text 2"/>
    <w:basedOn w:val="1"/>
    <w:link w:val="71"/>
    <w:qFormat/>
    <w:uiPriority w:val="0"/>
    <w:pPr>
      <w:spacing w:after="120" w:line="480" w:lineRule="auto"/>
    </w:pPr>
  </w:style>
  <w:style w:type="paragraph" w:styleId="35">
    <w:name w:val="HTML Preformatted"/>
    <w:basedOn w:val="1"/>
    <w:link w:val="69"/>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kern w:val="0"/>
      <w:sz w:val="24"/>
    </w:rPr>
  </w:style>
  <w:style w:type="paragraph" w:styleId="36">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37">
    <w:name w:val="index 1"/>
    <w:basedOn w:val="1"/>
    <w:next w:val="1"/>
    <w:qFormat/>
    <w:uiPriority w:val="0"/>
    <w:pPr>
      <w:spacing w:line="220" w:lineRule="exact"/>
      <w:jc w:val="center"/>
    </w:pPr>
    <w:rPr>
      <w:rFonts w:ascii="仿宋_GB2312" w:eastAsia="仿宋_GB2312"/>
      <w:szCs w:val="20"/>
    </w:rPr>
  </w:style>
  <w:style w:type="paragraph" w:styleId="38">
    <w:name w:val="Title"/>
    <w:basedOn w:val="1"/>
    <w:link w:val="106"/>
    <w:qFormat/>
    <w:uiPriority w:val="0"/>
    <w:pPr>
      <w:jc w:val="center"/>
      <w:outlineLvl w:val="0"/>
    </w:pPr>
    <w:rPr>
      <w:rFonts w:asciiTheme="minorHAnsi" w:hAnsiTheme="minorHAnsi" w:eastAsiaTheme="minorEastAsia" w:cstheme="minorBidi"/>
      <w:b/>
      <w:sz w:val="32"/>
      <w:szCs w:val="22"/>
    </w:rPr>
  </w:style>
  <w:style w:type="paragraph" w:styleId="39">
    <w:name w:val="annotation subject"/>
    <w:basedOn w:val="14"/>
    <w:next w:val="14"/>
    <w:link w:val="88"/>
    <w:qFormat/>
    <w:uiPriority w:val="0"/>
    <w:rPr>
      <w:b/>
      <w:bCs/>
    </w:rPr>
  </w:style>
  <w:style w:type="paragraph" w:styleId="40">
    <w:name w:val="Body Text First Indent 2"/>
    <w:basedOn w:val="17"/>
    <w:link w:val="112"/>
    <w:semiHidden/>
    <w:unhideWhenUsed/>
    <w:qFormat/>
    <w:uiPriority w:val="99"/>
    <w:pPr>
      <w:ind w:firstLine="420" w:firstLineChars="200"/>
    </w:pPr>
  </w:style>
  <w:style w:type="table" w:styleId="42">
    <w:name w:val="Table Grid"/>
    <w:basedOn w:val="41"/>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4">
    <w:name w:val="Strong"/>
    <w:qFormat/>
    <w:uiPriority w:val="0"/>
    <w:rPr>
      <w:b/>
      <w:bCs/>
    </w:rPr>
  </w:style>
  <w:style w:type="character" w:styleId="45">
    <w:name w:val="page number"/>
    <w:basedOn w:val="43"/>
    <w:qFormat/>
    <w:uiPriority w:val="0"/>
  </w:style>
  <w:style w:type="character" w:styleId="46">
    <w:name w:val="FollowedHyperlink"/>
    <w:qFormat/>
    <w:uiPriority w:val="0"/>
    <w:rPr>
      <w:color w:val="800080"/>
      <w:u w:val="single"/>
    </w:rPr>
  </w:style>
  <w:style w:type="character" w:styleId="47">
    <w:name w:val="Hyperlink"/>
    <w:qFormat/>
    <w:uiPriority w:val="99"/>
    <w:rPr>
      <w:color w:val="136EC2"/>
      <w:u w:val="single"/>
    </w:rPr>
  </w:style>
  <w:style w:type="character" w:styleId="48">
    <w:name w:val="annotation reference"/>
    <w:qFormat/>
    <w:uiPriority w:val="0"/>
    <w:rPr>
      <w:sz w:val="21"/>
      <w:szCs w:val="21"/>
    </w:rPr>
  </w:style>
  <w:style w:type="character" w:customStyle="1" w:styleId="49">
    <w:name w:val="标题 1 字符"/>
    <w:basedOn w:val="43"/>
    <w:link w:val="2"/>
    <w:qFormat/>
    <w:uiPriority w:val="0"/>
    <w:rPr>
      <w:rFonts w:ascii="Times New Roman" w:hAnsi="Times New Roman" w:eastAsia="宋体" w:cs="Times New Roman"/>
      <w:b/>
      <w:bCs/>
      <w:sz w:val="24"/>
      <w:szCs w:val="20"/>
    </w:rPr>
  </w:style>
  <w:style w:type="character" w:customStyle="1" w:styleId="50">
    <w:name w:val="标题 2 字符"/>
    <w:basedOn w:val="43"/>
    <w:link w:val="3"/>
    <w:qFormat/>
    <w:uiPriority w:val="0"/>
    <w:rPr>
      <w:rFonts w:ascii="Arial" w:hAnsi="Arial" w:eastAsia="宋体" w:cs="Times New Roman"/>
      <w:b/>
      <w:bCs/>
      <w:sz w:val="24"/>
      <w:szCs w:val="32"/>
    </w:rPr>
  </w:style>
  <w:style w:type="character" w:customStyle="1" w:styleId="51">
    <w:name w:val="标题 3 字符"/>
    <w:basedOn w:val="43"/>
    <w:link w:val="4"/>
    <w:qFormat/>
    <w:uiPriority w:val="0"/>
    <w:rPr>
      <w:rFonts w:ascii="Times New Roman" w:hAnsi="Times New Roman" w:eastAsia="宋体" w:cs="Times New Roman"/>
      <w:b/>
      <w:bCs/>
      <w:sz w:val="32"/>
      <w:szCs w:val="32"/>
    </w:rPr>
  </w:style>
  <w:style w:type="character" w:customStyle="1" w:styleId="52">
    <w:name w:val="标题 4 字符"/>
    <w:basedOn w:val="43"/>
    <w:link w:val="5"/>
    <w:qFormat/>
    <w:uiPriority w:val="0"/>
    <w:rPr>
      <w:rFonts w:ascii="Arial" w:hAnsi="Arial" w:eastAsia="黑体" w:cs="Times New Roman"/>
      <w:b/>
      <w:bCs/>
      <w:sz w:val="28"/>
      <w:szCs w:val="28"/>
    </w:rPr>
  </w:style>
  <w:style w:type="character" w:customStyle="1" w:styleId="53">
    <w:name w:val="标题 5 字符"/>
    <w:basedOn w:val="43"/>
    <w:link w:val="6"/>
    <w:qFormat/>
    <w:uiPriority w:val="0"/>
    <w:rPr>
      <w:rFonts w:ascii="Times New Roman" w:hAnsi="Times New Roman" w:eastAsia="宋体" w:cs="Times New Roman"/>
      <w:b/>
      <w:bCs/>
      <w:kern w:val="0"/>
      <w:sz w:val="28"/>
      <w:szCs w:val="28"/>
    </w:rPr>
  </w:style>
  <w:style w:type="character" w:customStyle="1" w:styleId="54">
    <w:name w:val="标题 6 字符"/>
    <w:basedOn w:val="43"/>
    <w:link w:val="7"/>
    <w:qFormat/>
    <w:uiPriority w:val="0"/>
    <w:rPr>
      <w:rFonts w:ascii="Arial" w:hAnsi="Arial" w:eastAsia="黑体" w:cs="Times New Roman"/>
      <w:b/>
      <w:bCs/>
      <w:kern w:val="0"/>
      <w:sz w:val="24"/>
      <w:szCs w:val="24"/>
    </w:rPr>
  </w:style>
  <w:style w:type="character" w:customStyle="1" w:styleId="55">
    <w:name w:val="标题 7 字符"/>
    <w:basedOn w:val="43"/>
    <w:link w:val="8"/>
    <w:qFormat/>
    <w:uiPriority w:val="0"/>
    <w:rPr>
      <w:rFonts w:ascii="Times New Roman" w:hAnsi="Times New Roman" w:eastAsia="宋体" w:cs="Times New Roman"/>
      <w:b/>
      <w:bCs/>
      <w:kern w:val="0"/>
      <w:sz w:val="24"/>
      <w:szCs w:val="24"/>
    </w:rPr>
  </w:style>
  <w:style w:type="character" w:customStyle="1" w:styleId="56">
    <w:name w:val="标题 8 字符"/>
    <w:basedOn w:val="43"/>
    <w:link w:val="9"/>
    <w:qFormat/>
    <w:uiPriority w:val="0"/>
    <w:rPr>
      <w:rFonts w:ascii="Arial" w:hAnsi="Arial" w:eastAsia="黑体" w:cs="Times New Roman"/>
      <w:kern w:val="0"/>
      <w:sz w:val="24"/>
      <w:szCs w:val="24"/>
    </w:rPr>
  </w:style>
  <w:style w:type="character" w:customStyle="1" w:styleId="57">
    <w:name w:val="标题 9 字符"/>
    <w:basedOn w:val="43"/>
    <w:link w:val="10"/>
    <w:qFormat/>
    <w:uiPriority w:val="0"/>
    <w:rPr>
      <w:rFonts w:ascii="Arial" w:hAnsi="Arial" w:eastAsia="黑体" w:cs="Times New Roman"/>
      <w:kern w:val="0"/>
      <w:szCs w:val="21"/>
    </w:rPr>
  </w:style>
  <w:style w:type="paragraph" w:customStyle="1" w:styleId="58">
    <w:name w:val="表格内容"/>
    <w:basedOn w:val="16"/>
    <w:qFormat/>
    <w:uiPriority w:val="0"/>
    <w:pPr>
      <w:suppressLineNumbers/>
      <w:suppressAutoHyphens/>
      <w:jc w:val="left"/>
    </w:pPr>
    <w:rPr>
      <w:rFonts w:cs="Tahoma"/>
      <w:kern w:val="0"/>
      <w:sz w:val="24"/>
    </w:rPr>
  </w:style>
  <w:style w:type="character" w:customStyle="1" w:styleId="59">
    <w:name w:val="正文文本 字符"/>
    <w:basedOn w:val="43"/>
    <w:link w:val="16"/>
    <w:qFormat/>
    <w:uiPriority w:val="0"/>
    <w:rPr>
      <w:rFonts w:ascii="Times New Roman" w:hAnsi="Times New Roman" w:eastAsia="宋体" w:cs="Times New Roman"/>
      <w:szCs w:val="24"/>
    </w:rPr>
  </w:style>
  <w:style w:type="character" w:customStyle="1" w:styleId="60">
    <w:name w:val="页脚 字符"/>
    <w:basedOn w:val="43"/>
    <w:link w:val="26"/>
    <w:qFormat/>
    <w:uiPriority w:val="99"/>
    <w:rPr>
      <w:rFonts w:ascii="Times New Roman" w:hAnsi="Times New Roman" w:eastAsia="宋体" w:cs="Times New Roman"/>
      <w:sz w:val="18"/>
      <w:szCs w:val="18"/>
    </w:rPr>
  </w:style>
  <w:style w:type="character" w:customStyle="1" w:styleId="61">
    <w:name w:val="页眉 字符"/>
    <w:basedOn w:val="43"/>
    <w:link w:val="27"/>
    <w:qFormat/>
    <w:uiPriority w:val="99"/>
    <w:rPr>
      <w:rFonts w:ascii="Times New Roman" w:hAnsi="Times New Roman" w:eastAsia="宋体" w:cs="Times New Roman"/>
      <w:sz w:val="18"/>
      <w:szCs w:val="18"/>
    </w:rPr>
  </w:style>
  <w:style w:type="character" w:customStyle="1" w:styleId="62">
    <w:name w:val="正文文本缩进 字符"/>
    <w:basedOn w:val="43"/>
    <w:link w:val="17"/>
    <w:qFormat/>
    <w:uiPriority w:val="0"/>
    <w:rPr>
      <w:rFonts w:ascii="Times New Roman" w:hAnsi="Times New Roman" w:eastAsia="宋体" w:cs="Times New Roman"/>
      <w:szCs w:val="24"/>
    </w:rPr>
  </w:style>
  <w:style w:type="paragraph" w:customStyle="1" w:styleId="63">
    <w:name w:val="Char Char Char Char Char Char Char"/>
    <w:basedOn w:val="1"/>
    <w:qFormat/>
    <w:uiPriority w:val="0"/>
    <w:pPr>
      <w:snapToGrid w:val="0"/>
      <w:spacing w:line="360" w:lineRule="auto"/>
      <w:ind w:firstLine="200" w:firstLineChars="200"/>
    </w:pPr>
    <w:rPr>
      <w:rFonts w:eastAsia="仿宋_GB2312"/>
      <w:sz w:val="24"/>
    </w:rPr>
  </w:style>
  <w:style w:type="character" w:customStyle="1" w:styleId="64">
    <w:name w:val="纯文本 字符"/>
    <w:basedOn w:val="43"/>
    <w:link w:val="21"/>
    <w:qFormat/>
    <w:uiPriority w:val="0"/>
    <w:rPr>
      <w:rFonts w:ascii="宋体" w:hAnsi="Courier New" w:eastAsia="宋体" w:cs="Courier New"/>
      <w:szCs w:val="21"/>
    </w:rPr>
  </w:style>
  <w:style w:type="character" w:customStyle="1" w:styleId="65">
    <w:name w:val="批注文字 字符"/>
    <w:basedOn w:val="43"/>
    <w:link w:val="14"/>
    <w:qFormat/>
    <w:uiPriority w:val="99"/>
    <w:rPr>
      <w:rFonts w:ascii="Times New Roman" w:hAnsi="Times New Roman" w:eastAsia="宋体" w:cs="Times New Roman"/>
      <w:szCs w:val="24"/>
    </w:rPr>
  </w:style>
  <w:style w:type="paragraph" w:customStyle="1" w:styleId="66">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67">
    <w:name w:val="Char Char Char"/>
    <w:basedOn w:val="1"/>
    <w:qFormat/>
    <w:uiPriority w:val="0"/>
    <w:rPr>
      <w:rFonts w:ascii="宋体" w:hAnsi="宋体"/>
      <w:b/>
      <w:sz w:val="28"/>
      <w:szCs w:val="28"/>
    </w:rPr>
  </w:style>
  <w:style w:type="paragraph" w:customStyle="1" w:styleId="68">
    <w:name w:val="Char Char1 Char Char Char Char Char Char Char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character" w:customStyle="1" w:styleId="69">
    <w:name w:val="HTML 预设格式 字符"/>
    <w:basedOn w:val="43"/>
    <w:link w:val="35"/>
    <w:qFormat/>
    <w:uiPriority w:val="0"/>
    <w:rPr>
      <w:rFonts w:ascii="Arial" w:hAnsi="Arial" w:eastAsia="宋体" w:cs="Arial"/>
      <w:kern w:val="0"/>
      <w:sz w:val="24"/>
      <w:szCs w:val="24"/>
    </w:rPr>
  </w:style>
  <w:style w:type="character" w:customStyle="1" w:styleId="70">
    <w:name w:val="称呼 字符"/>
    <w:basedOn w:val="43"/>
    <w:link w:val="15"/>
    <w:qFormat/>
    <w:uiPriority w:val="0"/>
    <w:rPr>
      <w:rFonts w:ascii="仿宋_GB2312" w:hAnsi="Times New Roman" w:eastAsia="仿宋_GB2312" w:cs="Times New Roman"/>
      <w:sz w:val="24"/>
      <w:szCs w:val="24"/>
    </w:rPr>
  </w:style>
  <w:style w:type="character" w:customStyle="1" w:styleId="71">
    <w:name w:val="正文文本 2 字符"/>
    <w:basedOn w:val="43"/>
    <w:link w:val="34"/>
    <w:qFormat/>
    <w:uiPriority w:val="0"/>
    <w:rPr>
      <w:rFonts w:ascii="Times New Roman" w:hAnsi="Times New Roman" w:eastAsia="宋体" w:cs="Times New Roman"/>
      <w:szCs w:val="24"/>
    </w:rPr>
  </w:style>
  <w:style w:type="character" w:customStyle="1" w:styleId="72">
    <w:name w:val="正文文本缩进 2 字符"/>
    <w:basedOn w:val="43"/>
    <w:link w:val="24"/>
    <w:qFormat/>
    <w:uiPriority w:val="0"/>
    <w:rPr>
      <w:rFonts w:ascii="Times New Roman" w:hAnsi="Times New Roman" w:eastAsia="宋体" w:cs="Times New Roman"/>
      <w:szCs w:val="24"/>
    </w:rPr>
  </w:style>
  <w:style w:type="paragraph" w:customStyle="1" w:styleId="73">
    <w:name w:val="Char"/>
    <w:basedOn w:val="1"/>
    <w:qFormat/>
    <w:uiPriority w:val="0"/>
    <w:pPr>
      <w:tabs>
        <w:tab w:val="left" w:pos="360"/>
      </w:tabs>
      <w:ind w:left="360" w:hanging="360" w:hangingChars="200"/>
    </w:pPr>
    <w:rPr>
      <w:sz w:val="24"/>
    </w:rPr>
  </w:style>
  <w:style w:type="character" w:customStyle="1" w:styleId="74">
    <w:name w:val="正文文本缩进 3 字符"/>
    <w:basedOn w:val="43"/>
    <w:link w:val="31"/>
    <w:qFormat/>
    <w:uiPriority w:val="0"/>
    <w:rPr>
      <w:rFonts w:ascii="Times New Roman" w:hAnsi="Times New Roman" w:eastAsia="宋体" w:cs="Times New Roman"/>
      <w:sz w:val="16"/>
      <w:szCs w:val="16"/>
    </w:rPr>
  </w:style>
  <w:style w:type="character" w:customStyle="1" w:styleId="75">
    <w:name w:val="日期 字符"/>
    <w:basedOn w:val="43"/>
    <w:link w:val="23"/>
    <w:qFormat/>
    <w:uiPriority w:val="0"/>
    <w:rPr>
      <w:rFonts w:ascii="Times New Roman" w:hAnsi="Times New Roman" w:eastAsia="宋体" w:cs="Times New Roman"/>
      <w:sz w:val="24"/>
      <w:szCs w:val="20"/>
    </w:rPr>
  </w:style>
  <w:style w:type="paragraph" w:customStyle="1" w:styleId="76">
    <w:name w:val="样式1"/>
    <w:basedOn w:val="1"/>
    <w:link w:val="108"/>
    <w:qFormat/>
    <w:uiPriority w:val="0"/>
    <w:pPr>
      <w:tabs>
        <w:tab w:val="left" w:pos="360"/>
      </w:tabs>
      <w:adjustRightInd w:val="0"/>
      <w:ind w:left="360" w:hanging="360"/>
      <w:textAlignment w:val="baseline"/>
    </w:pPr>
    <w:rPr>
      <w:rFonts w:ascii="宋体" w:hAnsi="宋体"/>
      <w:kern w:val="0"/>
      <w:szCs w:val="21"/>
    </w:rPr>
  </w:style>
  <w:style w:type="character" w:customStyle="1" w:styleId="77">
    <w:name w:val="p0 Char"/>
    <w:link w:val="78"/>
    <w:qFormat/>
    <w:uiPriority w:val="0"/>
    <w:rPr>
      <w:rFonts w:eastAsia="宋体"/>
      <w:szCs w:val="21"/>
    </w:rPr>
  </w:style>
  <w:style w:type="paragraph" w:customStyle="1" w:styleId="78">
    <w:name w:val="p0"/>
    <w:basedOn w:val="1"/>
    <w:link w:val="77"/>
    <w:qFormat/>
    <w:uiPriority w:val="0"/>
    <w:pPr>
      <w:widowControl/>
    </w:pPr>
    <w:rPr>
      <w:rFonts w:asciiTheme="minorHAnsi" w:hAnsiTheme="minorHAnsi" w:cstheme="minorBidi"/>
      <w:szCs w:val="21"/>
    </w:rPr>
  </w:style>
  <w:style w:type="paragraph" w:customStyle="1" w:styleId="79">
    <w:name w:val="Char11"/>
    <w:basedOn w:val="1"/>
    <w:qFormat/>
    <w:uiPriority w:val="0"/>
    <w:pPr>
      <w:widowControl/>
      <w:spacing w:after="160" w:line="240" w:lineRule="exact"/>
      <w:jc w:val="left"/>
    </w:pPr>
    <w:rPr>
      <w:rFonts w:ascii="Verdana" w:hAnsi="Verdana"/>
      <w:kern w:val="0"/>
      <w:sz w:val="20"/>
      <w:szCs w:val="20"/>
      <w:lang w:eastAsia="en-US"/>
    </w:rPr>
  </w:style>
  <w:style w:type="paragraph" w:customStyle="1" w:styleId="80">
    <w:name w:val="Char Char1 Char Char Char Char Char1 Char Char Char Char"/>
    <w:basedOn w:val="13"/>
    <w:qFormat/>
    <w:uiPriority w:val="0"/>
    <w:rPr>
      <w:rFonts w:ascii="Tahoma" w:hAnsi="Tahoma"/>
    </w:rPr>
  </w:style>
  <w:style w:type="character" w:customStyle="1" w:styleId="81">
    <w:name w:val="文档结构图 字符"/>
    <w:basedOn w:val="43"/>
    <w:link w:val="13"/>
    <w:semiHidden/>
    <w:qFormat/>
    <w:uiPriority w:val="0"/>
    <w:rPr>
      <w:rFonts w:ascii="Times New Roman" w:hAnsi="Times New Roman" w:eastAsia="宋体" w:cs="Times New Roman"/>
      <w:szCs w:val="24"/>
      <w:shd w:val="clear" w:color="auto" w:fill="000080"/>
    </w:rPr>
  </w:style>
  <w:style w:type="paragraph" w:customStyle="1" w:styleId="82">
    <w:name w:val="样式 样式 样式 样式 标题 2 + 宋体 五号 非加粗 黑色 + 段前: 6 磅 段后: 0 磅 行距: 单倍行距 + 段前:..."/>
    <w:basedOn w:val="1"/>
    <w:qFormat/>
    <w:uiPriority w:val="0"/>
    <w:pPr>
      <w:keepNext/>
      <w:keepLines/>
      <w:tabs>
        <w:tab w:val="left" w:pos="840"/>
      </w:tabs>
      <w:adjustRightInd w:val="0"/>
      <w:spacing w:before="240"/>
      <w:ind w:left="840" w:hanging="420"/>
      <w:jc w:val="left"/>
      <w:textAlignment w:val="baseline"/>
      <w:outlineLvl w:val="1"/>
    </w:pPr>
    <w:rPr>
      <w:rFonts w:ascii="宋体" w:hAnsi="宋体"/>
      <w:b/>
      <w:bCs/>
      <w:color w:val="000000"/>
      <w:kern w:val="0"/>
      <w:szCs w:val="20"/>
    </w:rPr>
  </w:style>
  <w:style w:type="paragraph" w:customStyle="1" w:styleId="83">
    <w:name w:val="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84">
    <w:name w:val="Default"/>
    <w:qFormat/>
    <w:uiPriority w:val="0"/>
    <w:pPr>
      <w:widowControl w:val="0"/>
      <w:autoSpaceDE w:val="0"/>
      <w:autoSpaceDN w:val="0"/>
      <w:adjustRightInd w:val="0"/>
    </w:pPr>
    <w:rPr>
      <w:rFonts w:ascii="黑体" w:hAnsi="Times New Roman" w:eastAsia="黑体" w:cs="Times New Roman"/>
      <w:lang w:val="en-US" w:eastAsia="zh-CN" w:bidi="ar-SA"/>
    </w:rPr>
  </w:style>
  <w:style w:type="paragraph" w:customStyle="1" w:styleId="85">
    <w:name w:val="1"/>
    <w:basedOn w:val="1"/>
    <w:qFormat/>
    <w:uiPriority w:val="0"/>
    <w:pPr>
      <w:spacing w:afterLines="50" w:line="360" w:lineRule="auto"/>
    </w:pPr>
    <w:rPr>
      <w:rFonts w:ascii="宋体" w:hAnsi="宋体"/>
      <w:b/>
      <w:sz w:val="30"/>
      <w:szCs w:val="21"/>
    </w:rPr>
  </w:style>
  <w:style w:type="paragraph" w:customStyle="1" w:styleId="86">
    <w:name w:val="样式 标题 2 + 宋体 五号 行距: 单倍行距"/>
    <w:basedOn w:val="3"/>
    <w:qFormat/>
    <w:uiPriority w:val="0"/>
    <w:pPr>
      <w:tabs>
        <w:tab w:val="left" w:pos="2175"/>
      </w:tabs>
      <w:adjustRightInd w:val="0"/>
      <w:spacing w:before="260" w:after="260" w:line="240" w:lineRule="auto"/>
      <w:ind w:left="2175" w:hanging="1275"/>
      <w:jc w:val="left"/>
      <w:textAlignment w:val="baseline"/>
    </w:pPr>
    <w:rPr>
      <w:rFonts w:ascii="宋体" w:hAnsi="宋体"/>
      <w:kern w:val="0"/>
      <w:sz w:val="21"/>
      <w:szCs w:val="20"/>
    </w:rPr>
  </w:style>
  <w:style w:type="paragraph" w:customStyle="1" w:styleId="87">
    <w:name w:val="标题 1 +"/>
    <w:basedOn w:val="2"/>
    <w:next w:val="1"/>
    <w:qFormat/>
    <w:uiPriority w:val="0"/>
    <w:pPr>
      <w:keepLines/>
      <w:spacing w:line="600" w:lineRule="auto"/>
    </w:pPr>
    <w:rPr>
      <w:rFonts w:eastAsia="黑体"/>
      <w:kern w:val="0"/>
      <w:sz w:val="32"/>
      <w:szCs w:val="32"/>
    </w:rPr>
  </w:style>
  <w:style w:type="character" w:customStyle="1" w:styleId="88">
    <w:name w:val="批注主题 字符"/>
    <w:basedOn w:val="65"/>
    <w:link w:val="39"/>
    <w:qFormat/>
    <w:uiPriority w:val="0"/>
    <w:rPr>
      <w:rFonts w:ascii="Times New Roman" w:hAnsi="Times New Roman" w:eastAsia="宋体" w:cs="Times New Roman"/>
      <w:b/>
      <w:bCs/>
      <w:szCs w:val="24"/>
    </w:rPr>
  </w:style>
  <w:style w:type="character" w:customStyle="1" w:styleId="89">
    <w:name w:val="批注框文本 字符"/>
    <w:basedOn w:val="43"/>
    <w:link w:val="25"/>
    <w:qFormat/>
    <w:uiPriority w:val="0"/>
    <w:rPr>
      <w:rFonts w:ascii="Times New Roman" w:hAnsi="Times New Roman" w:eastAsia="宋体" w:cs="Times New Roman"/>
      <w:sz w:val="18"/>
      <w:szCs w:val="18"/>
    </w:rPr>
  </w:style>
  <w:style w:type="paragraph" w:customStyle="1" w:styleId="90">
    <w:name w:val="样式 标题 2 + Times New Roman 四号 非加粗 段前: 5 磅 段后: 0 磅 行距: 固定值 20..."/>
    <w:basedOn w:val="3"/>
    <w:qFormat/>
    <w:uiPriority w:val="0"/>
    <w:pPr>
      <w:spacing w:before="100" w:line="400" w:lineRule="exact"/>
    </w:pPr>
    <w:rPr>
      <w:rFonts w:ascii="Times New Roman" w:hAnsi="Times New Roman" w:eastAsia="黑体"/>
      <w:b w:val="0"/>
      <w:bCs w:val="0"/>
      <w:sz w:val="28"/>
      <w:szCs w:val="20"/>
    </w:rPr>
  </w:style>
  <w:style w:type="paragraph" w:customStyle="1" w:styleId="91">
    <w:name w:val="p15"/>
    <w:basedOn w:val="1"/>
    <w:qFormat/>
    <w:uiPriority w:val="0"/>
    <w:pPr>
      <w:widowControl/>
      <w:spacing w:line="220" w:lineRule="atLeast"/>
      <w:jc w:val="center"/>
    </w:pPr>
    <w:rPr>
      <w:rFonts w:ascii="仿宋_GB2312" w:hAnsi="宋体" w:eastAsia="仿宋_GB2312" w:cs="宋体"/>
      <w:kern w:val="0"/>
      <w:szCs w:val="21"/>
    </w:rPr>
  </w:style>
  <w:style w:type="paragraph" w:customStyle="1" w:styleId="92">
    <w:name w:val="Char1 Char Char Char 字元 Char Char 字元 Char 字元 Char1 Char Char Char"/>
    <w:basedOn w:val="1"/>
    <w:qFormat/>
    <w:uiPriority w:val="0"/>
    <w:rPr>
      <w:szCs w:val="20"/>
    </w:rPr>
  </w:style>
  <w:style w:type="paragraph" w:customStyle="1" w:styleId="93">
    <w:name w:val="p16"/>
    <w:basedOn w:val="1"/>
    <w:qFormat/>
    <w:uiPriority w:val="0"/>
    <w:pPr>
      <w:widowControl/>
      <w:jc w:val="left"/>
    </w:pPr>
    <w:rPr>
      <w:kern w:val="0"/>
      <w:szCs w:val="21"/>
    </w:rPr>
  </w:style>
  <w:style w:type="paragraph" w:customStyle="1" w:styleId="94">
    <w:name w:val="xl31"/>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95">
    <w:name w:val="Blockquote"/>
    <w:basedOn w:val="1"/>
    <w:qFormat/>
    <w:uiPriority w:val="0"/>
    <w:pPr>
      <w:autoSpaceDE w:val="0"/>
      <w:autoSpaceDN w:val="0"/>
      <w:adjustRightInd w:val="0"/>
      <w:spacing w:before="100" w:after="100"/>
      <w:ind w:left="360" w:right="360"/>
      <w:jc w:val="left"/>
    </w:pPr>
    <w:rPr>
      <w:kern w:val="0"/>
      <w:sz w:val="24"/>
      <w:szCs w:val="20"/>
    </w:rPr>
  </w:style>
  <w:style w:type="paragraph" w:customStyle="1" w:styleId="96">
    <w:name w:val="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97">
    <w:name w:val="xl25"/>
    <w:basedOn w:val="1"/>
    <w:qFormat/>
    <w:uiPriority w:val="0"/>
    <w:pPr>
      <w:widowControl/>
      <w:pBdr>
        <w:left w:val="single" w:color="auto" w:sz="4" w:space="0"/>
        <w:bottom w:val="single" w:color="auto" w:sz="4" w:space="0"/>
        <w:right w:val="double" w:color="auto" w:sz="6" w:space="0"/>
      </w:pBdr>
      <w:spacing w:before="100" w:beforeAutospacing="1" w:after="100" w:afterAutospacing="1"/>
      <w:jc w:val="center"/>
    </w:pPr>
    <w:rPr>
      <w:rFonts w:ascii="Arial Unicode MS" w:hAnsi="Arial Unicode MS" w:eastAsia="Arial Unicode MS" w:cs="Arial Unicode MS"/>
      <w:kern w:val="0"/>
      <w:sz w:val="24"/>
    </w:rPr>
  </w:style>
  <w:style w:type="paragraph" w:customStyle="1" w:styleId="98">
    <w:name w:val="Char Char Char1 Char"/>
    <w:basedOn w:val="1"/>
    <w:qFormat/>
    <w:uiPriority w:val="0"/>
    <w:pPr>
      <w:tabs>
        <w:tab w:val="left" w:pos="360"/>
      </w:tabs>
      <w:snapToGrid w:val="0"/>
      <w:spacing w:line="360" w:lineRule="auto"/>
    </w:pPr>
    <w:rPr>
      <w:rFonts w:eastAsia="仿宋_GB2312" w:cs="宋体"/>
      <w:sz w:val="24"/>
    </w:rPr>
  </w:style>
  <w:style w:type="paragraph" w:styleId="99">
    <w:name w:val="List Paragraph"/>
    <w:basedOn w:val="1"/>
    <w:link w:val="105"/>
    <w:qFormat/>
    <w:uiPriority w:val="0"/>
    <w:pPr>
      <w:ind w:firstLine="420" w:firstLineChars="200"/>
    </w:pPr>
  </w:style>
  <w:style w:type="character" w:customStyle="1" w:styleId="100">
    <w:name w:val="fontstyle01"/>
    <w:basedOn w:val="43"/>
    <w:qFormat/>
    <w:uiPriority w:val="0"/>
    <w:rPr>
      <w:rFonts w:hint="eastAsia" w:ascii="宋体" w:hAnsi="宋体" w:eastAsia="宋体"/>
      <w:color w:val="000000"/>
      <w:sz w:val="24"/>
      <w:szCs w:val="24"/>
    </w:rPr>
  </w:style>
  <w:style w:type="character" w:customStyle="1" w:styleId="101">
    <w:name w:val="fontstyle11"/>
    <w:basedOn w:val="43"/>
    <w:qFormat/>
    <w:uiPriority w:val="0"/>
    <w:rPr>
      <w:rFonts w:hint="default" w:ascii="TimesNewRomanPSMT" w:hAnsi="TimesNewRomanPSMT"/>
      <w:color w:val="000000"/>
      <w:sz w:val="24"/>
      <w:szCs w:val="24"/>
    </w:rPr>
  </w:style>
  <w:style w:type="paragraph" w:customStyle="1" w:styleId="102">
    <w:name w:val="TOC 标题1"/>
    <w:basedOn w:val="2"/>
    <w:next w:val="1"/>
    <w:semiHidden/>
    <w:unhideWhenUsed/>
    <w:qFormat/>
    <w:uiPriority w:val="39"/>
    <w:pPr>
      <w:keepLines/>
      <w:widowControl/>
      <w:spacing w:before="48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103">
    <w:name w:val="fontstyle21"/>
    <w:basedOn w:val="43"/>
    <w:qFormat/>
    <w:uiPriority w:val="0"/>
    <w:rPr>
      <w:rFonts w:hint="eastAsia" w:ascii="宋体" w:hAnsi="宋体" w:eastAsia="宋体"/>
      <w:color w:val="993300"/>
      <w:sz w:val="24"/>
      <w:szCs w:val="24"/>
    </w:rPr>
  </w:style>
  <w:style w:type="character" w:customStyle="1" w:styleId="104">
    <w:name w:val="fontstyle31"/>
    <w:basedOn w:val="43"/>
    <w:qFormat/>
    <w:uiPriority w:val="0"/>
    <w:rPr>
      <w:rFonts w:hint="default" w:ascii="Arial" w:hAnsi="Arial" w:cs="Arial"/>
      <w:color w:val="993300"/>
      <w:sz w:val="24"/>
      <w:szCs w:val="24"/>
    </w:rPr>
  </w:style>
  <w:style w:type="character" w:customStyle="1" w:styleId="105">
    <w:name w:val="列表段落 字符"/>
    <w:link w:val="99"/>
    <w:qFormat/>
    <w:uiPriority w:val="0"/>
    <w:rPr>
      <w:rFonts w:ascii="Times New Roman" w:hAnsi="Times New Roman" w:eastAsia="宋体" w:cs="Times New Roman"/>
      <w:szCs w:val="24"/>
    </w:rPr>
  </w:style>
  <w:style w:type="character" w:customStyle="1" w:styleId="106">
    <w:name w:val="标题 字符"/>
    <w:link w:val="38"/>
    <w:qFormat/>
    <w:uiPriority w:val="0"/>
    <w:rPr>
      <w:b/>
      <w:sz w:val="32"/>
    </w:rPr>
  </w:style>
  <w:style w:type="character" w:customStyle="1" w:styleId="107">
    <w:name w:val="标题 Char1"/>
    <w:basedOn w:val="43"/>
    <w:qFormat/>
    <w:uiPriority w:val="10"/>
    <w:rPr>
      <w:rFonts w:eastAsia="宋体" w:asciiTheme="majorHAnsi" w:hAnsiTheme="majorHAnsi" w:cstheme="majorBidi"/>
      <w:b/>
      <w:bCs/>
      <w:sz w:val="32"/>
      <w:szCs w:val="32"/>
    </w:rPr>
  </w:style>
  <w:style w:type="character" w:customStyle="1" w:styleId="108">
    <w:name w:val="样式1 Char Char"/>
    <w:link w:val="76"/>
    <w:qFormat/>
    <w:uiPriority w:val="0"/>
    <w:rPr>
      <w:rFonts w:ascii="宋体" w:hAnsi="宋体" w:eastAsia="宋体" w:cs="Times New Roman"/>
      <w:kern w:val="0"/>
      <w:szCs w:val="21"/>
    </w:rPr>
  </w:style>
  <w:style w:type="character" w:customStyle="1" w:styleId="109">
    <w:name w:val="纯文本 Char1"/>
    <w:semiHidden/>
    <w:qFormat/>
    <w:locked/>
    <w:uiPriority w:val="0"/>
    <w:rPr>
      <w:rFonts w:ascii="宋体" w:hAnsi="Courier New" w:eastAsia="宋体" w:cs="Courier New"/>
      <w:kern w:val="2"/>
      <w:sz w:val="21"/>
      <w:szCs w:val="21"/>
      <w:lang w:val="en-US" w:eastAsia="zh-CN" w:bidi="ar-SA"/>
    </w:rPr>
  </w:style>
  <w:style w:type="character" w:customStyle="1" w:styleId="110">
    <w:name w:val="标题 1 字符2"/>
    <w:qFormat/>
    <w:uiPriority w:val="0"/>
    <w:rPr>
      <w:rFonts w:eastAsia="宋体"/>
      <w:b/>
      <w:bCs/>
      <w:kern w:val="2"/>
      <w:sz w:val="24"/>
      <w:lang w:val="en-US" w:eastAsia="zh-CN" w:bidi="ar-SA"/>
    </w:rPr>
  </w:style>
  <w:style w:type="character" w:customStyle="1" w:styleId="111">
    <w:name w:val="未处理的提及1"/>
    <w:basedOn w:val="43"/>
    <w:semiHidden/>
    <w:unhideWhenUsed/>
    <w:qFormat/>
    <w:uiPriority w:val="99"/>
    <w:rPr>
      <w:color w:val="605E5C"/>
      <w:shd w:val="clear" w:color="auto" w:fill="E1DFDD"/>
    </w:rPr>
  </w:style>
  <w:style w:type="character" w:customStyle="1" w:styleId="112">
    <w:name w:val="正文文本首行缩进 2 字符"/>
    <w:basedOn w:val="62"/>
    <w:link w:val="40"/>
    <w:semiHidden/>
    <w:qFormat/>
    <w:uiPriority w:val="99"/>
    <w:rPr>
      <w:rFonts w:ascii="Times New Roman" w:hAnsi="Times New Roman" w:eastAsia="宋体" w:cs="Times New Roman"/>
      <w:kern w:val="2"/>
      <w:sz w:val="21"/>
      <w:szCs w:val="24"/>
    </w:rPr>
  </w:style>
  <w:style w:type="paragraph" w:customStyle="1" w:styleId="113">
    <w:name w:val="BodyText1I2"/>
    <w:basedOn w:val="114"/>
    <w:qFormat/>
    <w:uiPriority w:val="0"/>
    <w:pPr>
      <w:ind w:firstLine="420"/>
      <w:jc w:val="left"/>
    </w:pPr>
    <w:rPr>
      <w:rFonts w:ascii="Calibri" w:hAnsi="Calibri"/>
      <w:kern w:val="0"/>
    </w:rPr>
  </w:style>
  <w:style w:type="paragraph" w:customStyle="1" w:styleId="114">
    <w:name w:val="BodyTextIndent"/>
    <w:basedOn w:val="1"/>
    <w:qFormat/>
    <w:uiPriority w:val="0"/>
    <w:pPr>
      <w:spacing w:after="120"/>
      <w:ind w:left="420" w:leftChars="200"/>
    </w:pPr>
  </w:style>
  <w:style w:type="paragraph" w:customStyle="1" w:styleId="115">
    <w:name w:val="列出段落1"/>
    <w:qFormat/>
    <w:uiPriority w:val="34"/>
    <w:pPr>
      <w:widowControl w:val="0"/>
      <w:ind w:firstLine="420" w:firstLineChars="200"/>
      <w:jc w:val="both"/>
    </w:pPr>
    <w:rPr>
      <w:rFonts w:ascii="Times New Roman" w:hAnsi="Times New Roman" w:eastAsia="宋体" w:cs="Times New Roman"/>
      <w:kern w:val="2"/>
      <w:sz w:val="21"/>
      <w:szCs w:val="24"/>
      <w:lang w:val="en-US" w:eastAsia="zh-CN" w:bidi="ar-SA"/>
    </w:rPr>
  </w:style>
  <w:style w:type="paragraph" w:customStyle="1" w:styleId="116">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1.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4813244-06A6-4A95-824A-A1637C1EB1BB}">
  <ds:schemaRefs/>
</ds:datastoreItem>
</file>

<file path=docProps/app.xml><?xml version="1.0" encoding="utf-8"?>
<Properties xmlns="http://schemas.openxmlformats.org/officeDocument/2006/extended-properties" xmlns:vt="http://schemas.openxmlformats.org/officeDocument/2006/docPropsVTypes">
  <Template>Normal.dotm</Template>
  <Company>user</Company>
  <Pages>100</Pages>
  <Words>52043</Words>
  <Characters>55952</Characters>
  <Lines>552</Lines>
  <Paragraphs>155</Paragraphs>
  <TotalTime>28</TotalTime>
  <ScaleCrop>false</ScaleCrop>
  <LinksUpToDate>false</LinksUpToDate>
  <CharactersWithSpaces>60514</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2024-04-18T07:16:00Z</dcterms:created>
  <dc:creator>admin</dc:creator>
  <cp:lastModifiedBy>IY</cp:lastModifiedBy>
  <cp:lastPrinted>2024-12-18T09:17:00Z</cp:lastPrinted>
  <dcterms:modified xsi:type="dcterms:W3CDTF">2025-03-11T04:07:47Z</dcterms:modified>
  <cp:revision>122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9320992F2F414664A5360AD3F53BAAFC_13</vt:lpwstr>
  </property>
  <property fmtid="{D5CDD505-2E9C-101B-9397-08002B2CF9AE}" pid="4" name="KSOTemplateDocerSaveRecord">
    <vt:lpwstr>eyJoZGlkIjoiZGZlZDk2YjQ2MWZhN2QwMjJkZDFjOGRiNjViMDU2OGMiLCJ1c2VySWQiOiIzMTc5NDM4MTYifQ==</vt:lpwstr>
  </property>
</Properties>
</file>