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26F773">
      <w:pPr>
        <w:pStyle w:val="2"/>
        <w:widowControl/>
        <w:snapToGrid w:val="0"/>
        <w:spacing w:before="0" w:after="0" w:line="360" w:lineRule="auto"/>
        <w:jc w:val="center"/>
        <w:rPr>
          <w:rFonts w:ascii="宋体" w:hAnsi="宋体" w:eastAsia="仿宋"/>
          <w:highlight w:val="none"/>
        </w:rPr>
      </w:pPr>
      <w:bookmarkStart w:id="3" w:name="_GoBack"/>
      <w:bookmarkEnd w:id="3"/>
      <w:bookmarkStart w:id="0" w:name="_Toc466024555"/>
      <w:bookmarkStart w:id="1" w:name="_Toc3154"/>
      <w:bookmarkStart w:id="2" w:name="_Toc445554746"/>
      <w:r>
        <w:rPr>
          <w:rFonts w:hint="eastAsia" w:ascii="宋体" w:hAnsi="宋体" w:eastAsia="仿宋"/>
          <w:highlight w:val="none"/>
        </w:rPr>
        <w:t>采购需求</w:t>
      </w:r>
      <w:bookmarkEnd w:id="0"/>
      <w:bookmarkEnd w:id="1"/>
      <w:bookmarkEnd w:id="2"/>
    </w:p>
    <w:p w14:paraId="5347F2EB">
      <w:pPr>
        <w:pStyle w:val="3"/>
        <w:rPr>
          <w:rStyle w:val="7"/>
          <w:rFonts w:ascii="宋体" w:hAnsi="宋体" w:eastAsia="仿宋"/>
          <w:b/>
          <w:bCs/>
          <w:sz w:val="24"/>
          <w:szCs w:val="24"/>
          <w:highlight w:val="none"/>
        </w:rPr>
      </w:pPr>
      <w:r>
        <w:rPr>
          <w:rStyle w:val="7"/>
          <w:rFonts w:hint="eastAsia" w:ascii="宋体" w:hAnsi="宋体" w:eastAsia="仿宋"/>
          <w:b/>
          <w:bCs/>
          <w:sz w:val="24"/>
          <w:szCs w:val="24"/>
          <w:highlight w:val="none"/>
        </w:rPr>
        <w:t>一、总体说明</w:t>
      </w:r>
    </w:p>
    <w:p w14:paraId="61F01EE1">
      <w:pPr>
        <w:widowControl/>
        <w:tabs>
          <w:tab w:val="left" w:pos="1406"/>
        </w:tabs>
        <w:snapToGrid w:val="0"/>
        <w:spacing w:line="360" w:lineRule="auto"/>
        <w:ind w:firstLine="480" w:firstLineChars="200"/>
        <w:rPr>
          <w:rFonts w:ascii="宋体" w:hAnsi="宋体" w:eastAsia="仿宋"/>
          <w:color w:val="FF0000"/>
          <w:sz w:val="24"/>
          <w:highlight w:val="none"/>
        </w:rPr>
      </w:pPr>
      <w:r>
        <w:rPr>
          <w:rFonts w:hint="eastAsia" w:ascii="宋体" w:hAnsi="宋体" w:eastAsia="仿宋"/>
          <w:sz w:val="24"/>
          <w:highlight w:val="none"/>
        </w:rPr>
        <w:t>1.1 本章所提出的技术要求是对本次招标货物及伴随服务的基本要求，并未涉及所有技术细节，也未充分引述有关标准、规范的全部条款。投标人应保证其提供的货物及伴随服务除了满足本技术要求外，还应符合中国国家、行业、地方或设备制造商所在国的有关强制性标准、规范。当上述标准、规范的有关规定之间存在差异时，应以要求高的为准。</w:t>
      </w:r>
    </w:p>
    <w:p w14:paraId="45B59678">
      <w:pPr>
        <w:widowControl/>
        <w:tabs>
          <w:tab w:val="left" w:pos="1406"/>
        </w:tabs>
        <w:snapToGrid w:val="0"/>
        <w:spacing w:line="360" w:lineRule="auto"/>
        <w:ind w:firstLine="480" w:firstLineChars="200"/>
        <w:rPr>
          <w:rFonts w:ascii="宋体" w:hAnsi="宋体" w:eastAsia="仿宋"/>
          <w:sz w:val="24"/>
          <w:highlight w:val="none"/>
        </w:rPr>
      </w:pPr>
      <w:r>
        <w:rPr>
          <w:rFonts w:hint="eastAsia" w:ascii="宋体" w:hAnsi="宋体" w:eastAsia="仿宋"/>
          <w:sz w:val="24"/>
          <w:highlight w:val="none"/>
        </w:rPr>
        <w:t>1.2 本章中提及的工艺、材料、设备的标准及品牌或型号（如有）仅起说明作用，并没有强制性。投标人在投标中可以用替代工艺、材料、设备的标准及品牌或型号，但这种替代须实质上满足、等同或优于本章技术要求，同时须提供相关证明材料，否则可能被评标委员会认定为负偏离。</w:t>
      </w:r>
    </w:p>
    <w:p w14:paraId="1095A78A">
      <w:pPr>
        <w:widowControl/>
        <w:tabs>
          <w:tab w:val="left" w:pos="1406"/>
        </w:tabs>
        <w:snapToGrid w:val="0"/>
        <w:spacing w:line="360" w:lineRule="auto"/>
        <w:ind w:firstLine="480" w:firstLineChars="200"/>
        <w:rPr>
          <w:rFonts w:hint="eastAsia" w:ascii="宋体" w:hAnsi="宋体" w:eastAsia="仿宋"/>
          <w:sz w:val="24"/>
          <w:highlight w:val="none"/>
        </w:rPr>
      </w:pPr>
      <w:r>
        <w:rPr>
          <w:rFonts w:hint="eastAsia" w:ascii="宋体" w:hAnsi="宋体" w:eastAsia="仿宋"/>
          <w:sz w:val="24"/>
          <w:highlight w:val="none"/>
        </w:rPr>
        <w:t>1.3 除非有特别说明，本章中所列的具体参数或参数范围，均理解为采购人可接受的最低要求。</w:t>
      </w:r>
    </w:p>
    <w:p w14:paraId="78F48961">
      <w:pPr>
        <w:widowControl/>
        <w:tabs>
          <w:tab w:val="left" w:pos="1406"/>
        </w:tabs>
        <w:snapToGrid w:val="0"/>
        <w:spacing w:line="360" w:lineRule="auto"/>
        <w:ind w:firstLine="482" w:firstLineChars="200"/>
        <w:rPr>
          <w:rFonts w:ascii="宋体" w:hAnsi="宋体" w:eastAsia="仿宋"/>
          <w:b/>
          <w:bCs/>
          <w:sz w:val="24"/>
          <w:highlight w:val="none"/>
        </w:rPr>
      </w:pPr>
      <w:r>
        <w:rPr>
          <w:rFonts w:hint="eastAsia" w:ascii="宋体" w:hAnsi="宋体" w:eastAsia="仿宋"/>
          <w:b/>
          <w:bCs/>
          <w:sz w:val="24"/>
          <w:highlight w:val="none"/>
        </w:rPr>
        <w:t>1.4本项目核心产品为湿式救援服。</w:t>
      </w:r>
    </w:p>
    <w:p w14:paraId="022E9168">
      <w:pPr>
        <w:pStyle w:val="3"/>
        <w:rPr>
          <w:rFonts w:hint="eastAsia" w:ascii="宋体" w:hAnsi="宋体" w:eastAsia="仿宋"/>
          <w:sz w:val="24"/>
          <w:szCs w:val="24"/>
          <w:highlight w:val="none"/>
        </w:rPr>
      </w:pPr>
      <w:r>
        <w:rPr>
          <w:rStyle w:val="7"/>
          <w:rFonts w:hint="eastAsia" w:ascii="宋体" w:hAnsi="宋体" w:eastAsia="仿宋"/>
          <w:b/>
          <w:bCs/>
          <w:sz w:val="24"/>
          <w:szCs w:val="24"/>
          <w:highlight w:val="none"/>
        </w:rPr>
        <w:t>二、采购内容</w:t>
      </w:r>
    </w:p>
    <w:tbl>
      <w:tblPr>
        <w:tblStyle w:val="5"/>
        <w:tblW w:w="0" w:type="auto"/>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79"/>
        <w:gridCol w:w="2693"/>
        <w:gridCol w:w="1134"/>
        <w:gridCol w:w="1843"/>
        <w:gridCol w:w="2027"/>
      </w:tblGrid>
      <w:tr w14:paraId="41ECD7C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A67DBC">
            <w:pPr>
              <w:widowControl/>
              <w:autoSpaceDN w:val="0"/>
              <w:jc w:val="center"/>
              <w:rPr>
                <w:rFonts w:ascii="仿宋" w:hAnsi="仿宋" w:eastAsia="仿宋" w:cs="仿宋"/>
                <w:sz w:val="24"/>
                <w:highlight w:val="none"/>
              </w:rPr>
            </w:pPr>
            <w:r>
              <w:rPr>
                <w:rFonts w:hint="eastAsia" w:ascii="仿宋" w:hAnsi="仿宋" w:eastAsia="仿宋" w:cs="仿宋"/>
                <w:sz w:val="24"/>
                <w:highlight w:val="none"/>
              </w:rPr>
              <w:t>序号</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13785C">
            <w:pPr>
              <w:widowControl/>
              <w:autoSpaceDN w:val="0"/>
              <w:jc w:val="center"/>
              <w:rPr>
                <w:rFonts w:ascii="仿宋" w:hAnsi="仿宋" w:eastAsia="仿宋" w:cs="仿宋"/>
                <w:sz w:val="24"/>
                <w:highlight w:val="none"/>
              </w:rPr>
            </w:pPr>
            <w:r>
              <w:rPr>
                <w:rFonts w:hint="eastAsia" w:ascii="仿宋" w:hAnsi="仿宋" w:eastAsia="仿宋" w:cs="仿宋"/>
                <w:sz w:val="24"/>
                <w:highlight w:val="none"/>
              </w:rPr>
              <w:t>产品名称</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007259">
            <w:pPr>
              <w:widowControl/>
              <w:autoSpaceDN w:val="0"/>
              <w:jc w:val="center"/>
              <w:rPr>
                <w:rFonts w:ascii="仿宋" w:hAnsi="仿宋" w:eastAsia="仿宋" w:cs="仿宋"/>
                <w:sz w:val="24"/>
                <w:highlight w:val="none"/>
              </w:rPr>
            </w:pPr>
            <w:r>
              <w:rPr>
                <w:rFonts w:hint="eastAsia" w:ascii="仿宋" w:hAnsi="仿宋" w:eastAsia="仿宋" w:cs="仿宋"/>
                <w:sz w:val="24"/>
                <w:highlight w:val="none"/>
              </w:rPr>
              <w:t>单位</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247234">
            <w:pPr>
              <w:widowControl/>
              <w:autoSpaceDN w:val="0"/>
              <w:jc w:val="center"/>
              <w:rPr>
                <w:rFonts w:ascii="仿宋" w:hAnsi="仿宋" w:eastAsia="仿宋" w:cs="仿宋"/>
                <w:sz w:val="24"/>
                <w:highlight w:val="none"/>
              </w:rPr>
            </w:pPr>
            <w:r>
              <w:rPr>
                <w:rFonts w:hint="eastAsia" w:ascii="仿宋" w:hAnsi="仿宋" w:eastAsia="仿宋" w:cs="仿宋"/>
                <w:sz w:val="24"/>
                <w:highlight w:val="none"/>
              </w:rPr>
              <w:t>数量</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31A2A5">
            <w:pPr>
              <w:widowControl/>
              <w:autoSpaceDN w:val="0"/>
              <w:jc w:val="center"/>
              <w:rPr>
                <w:rFonts w:ascii="仿宋" w:hAnsi="仿宋" w:eastAsia="仿宋" w:cs="仿宋"/>
                <w:color w:val="FF0000"/>
                <w:sz w:val="24"/>
                <w:highlight w:val="none"/>
              </w:rPr>
            </w:pPr>
            <w:r>
              <w:rPr>
                <w:rFonts w:hint="eastAsia" w:ascii="仿宋" w:hAnsi="仿宋" w:eastAsia="仿宋" w:cs="仿宋"/>
                <w:sz w:val="24"/>
                <w:highlight w:val="none"/>
              </w:rPr>
              <w:t>备注</w:t>
            </w:r>
          </w:p>
        </w:tc>
      </w:tr>
      <w:tr w14:paraId="1B472B1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05370A">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5DD9AE">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水域救援头盔</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ACF9C5">
            <w:pPr>
              <w:spacing w:line="360" w:lineRule="auto"/>
              <w:jc w:val="center"/>
              <w:rPr>
                <w:rFonts w:ascii="仿宋" w:hAnsi="仿宋" w:eastAsia="仿宋" w:cs="宋体"/>
                <w:sz w:val="24"/>
                <w:highlight w:val="none"/>
              </w:rPr>
            </w:pPr>
            <w:r>
              <w:rPr>
                <w:rFonts w:hint="eastAsia" w:ascii="仿宋" w:hAnsi="仿宋" w:eastAsia="仿宋" w:cs="宋体"/>
                <w:sz w:val="24"/>
                <w:highlight w:val="none"/>
              </w:rPr>
              <w:t>个</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65FFA5">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CE1D7A">
            <w:pPr>
              <w:widowControl/>
              <w:autoSpaceDN w:val="0"/>
              <w:jc w:val="center"/>
              <w:rPr>
                <w:rFonts w:hint="eastAsia" w:ascii="仿宋" w:hAnsi="仿宋" w:eastAsia="仿宋" w:cs="仿宋"/>
                <w:sz w:val="24"/>
                <w:highlight w:val="none"/>
              </w:rPr>
            </w:pPr>
          </w:p>
        </w:tc>
      </w:tr>
      <w:tr w14:paraId="4D458C7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8527EC">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106FC7">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水域救援靴</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FFA1DA">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双</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350DF5">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9990B7">
            <w:pPr>
              <w:widowControl/>
              <w:autoSpaceDN w:val="0"/>
              <w:jc w:val="center"/>
              <w:rPr>
                <w:rFonts w:hint="eastAsia" w:ascii="仿宋" w:hAnsi="仿宋" w:eastAsia="仿宋" w:cs="仿宋"/>
                <w:sz w:val="24"/>
                <w:highlight w:val="none"/>
              </w:rPr>
            </w:pPr>
          </w:p>
        </w:tc>
      </w:tr>
      <w:tr w14:paraId="1E3B41E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A77981">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23EA9D">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激流救生衣</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941318">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件</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F31B62">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6E3473">
            <w:pPr>
              <w:widowControl/>
              <w:autoSpaceDN w:val="0"/>
              <w:jc w:val="center"/>
              <w:rPr>
                <w:rFonts w:hint="eastAsia" w:ascii="仿宋" w:hAnsi="仿宋" w:eastAsia="仿宋" w:cs="仿宋"/>
                <w:sz w:val="24"/>
                <w:highlight w:val="none"/>
              </w:rPr>
            </w:pPr>
          </w:p>
        </w:tc>
      </w:tr>
      <w:tr w14:paraId="7469D09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4B6C3F">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D3B936">
            <w:pPr>
              <w:widowControl/>
              <w:autoSpaceDN w:val="0"/>
              <w:jc w:val="center"/>
              <w:rPr>
                <w:rFonts w:hint="eastAsia" w:ascii="仿宋" w:hAnsi="仿宋" w:eastAsia="仿宋" w:cs="仿宋"/>
                <w:sz w:val="24"/>
                <w:highlight w:val="none"/>
              </w:rPr>
            </w:pPr>
            <w:r>
              <w:rPr>
                <w:rFonts w:hint="eastAsia" w:ascii="仿宋" w:hAnsi="仿宋" w:eastAsia="仿宋" w:cs="宋体"/>
                <w:color w:val="000000"/>
                <w:sz w:val="24"/>
                <w:highlight w:val="none"/>
              </w:rPr>
              <w:t>▲</w:t>
            </w:r>
            <w:r>
              <w:rPr>
                <w:rFonts w:hint="eastAsia" w:ascii="仿宋" w:hAnsi="仿宋" w:eastAsia="仿宋" w:cs="仿宋"/>
                <w:sz w:val="24"/>
                <w:highlight w:val="none"/>
              </w:rPr>
              <w:t>湿式救援服</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D0D1EE">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件</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63CE17">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1320B0">
            <w:pPr>
              <w:widowControl/>
              <w:autoSpaceDN w:val="0"/>
              <w:jc w:val="center"/>
              <w:rPr>
                <w:rFonts w:hint="eastAsia" w:ascii="仿宋" w:hAnsi="仿宋" w:eastAsia="仿宋" w:cs="仿宋"/>
                <w:sz w:val="24"/>
                <w:highlight w:val="none"/>
              </w:rPr>
            </w:pPr>
          </w:p>
        </w:tc>
      </w:tr>
      <w:tr w14:paraId="4CE5409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74825A">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5</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06C1ED">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水域割绳刀</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5717C4">
            <w:pPr>
              <w:spacing w:line="360" w:lineRule="auto"/>
              <w:jc w:val="center"/>
              <w:rPr>
                <w:rFonts w:ascii="仿宋" w:hAnsi="仿宋" w:eastAsia="仿宋" w:cs="宋体"/>
                <w:sz w:val="24"/>
                <w:highlight w:val="none"/>
              </w:rPr>
            </w:pPr>
            <w:r>
              <w:rPr>
                <w:rFonts w:hint="eastAsia" w:ascii="仿宋" w:hAnsi="仿宋" w:eastAsia="仿宋" w:cs="宋体"/>
                <w:sz w:val="24"/>
                <w:highlight w:val="none"/>
              </w:rPr>
              <w:t>把</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B04783">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65C10E">
            <w:pPr>
              <w:widowControl/>
              <w:autoSpaceDN w:val="0"/>
              <w:jc w:val="center"/>
              <w:rPr>
                <w:rFonts w:hint="eastAsia" w:ascii="仿宋" w:hAnsi="仿宋" w:eastAsia="仿宋" w:cs="仿宋"/>
                <w:sz w:val="24"/>
                <w:highlight w:val="none"/>
              </w:rPr>
            </w:pPr>
          </w:p>
        </w:tc>
      </w:tr>
      <w:tr w14:paraId="5639003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8EB7C7">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6</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8D81DC">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水域抛绳包</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AB9880">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个</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7C7DEF">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C50CA1">
            <w:pPr>
              <w:widowControl/>
              <w:autoSpaceDN w:val="0"/>
              <w:jc w:val="center"/>
              <w:rPr>
                <w:rFonts w:hint="eastAsia" w:ascii="仿宋" w:hAnsi="仿宋" w:eastAsia="仿宋" w:cs="仿宋"/>
                <w:sz w:val="24"/>
                <w:highlight w:val="none"/>
              </w:rPr>
            </w:pPr>
          </w:p>
        </w:tc>
      </w:tr>
      <w:tr w14:paraId="3304422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C56517">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7</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B45882">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荧光指挥棒</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75BA12">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个</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57BAC4">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C95608">
            <w:pPr>
              <w:widowControl/>
              <w:autoSpaceDN w:val="0"/>
              <w:jc w:val="center"/>
              <w:rPr>
                <w:rFonts w:hint="eastAsia" w:ascii="仿宋" w:hAnsi="仿宋" w:eastAsia="仿宋" w:cs="仿宋"/>
                <w:sz w:val="24"/>
                <w:highlight w:val="none"/>
              </w:rPr>
            </w:pPr>
          </w:p>
        </w:tc>
      </w:tr>
      <w:tr w14:paraId="5A3F3D3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DAABD9">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8</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55CC5F">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防爆强光手电筒</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B6EFA8">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个</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9EC2DB">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B0B943">
            <w:pPr>
              <w:widowControl/>
              <w:autoSpaceDN w:val="0"/>
              <w:jc w:val="center"/>
              <w:rPr>
                <w:rFonts w:hint="eastAsia" w:ascii="仿宋" w:hAnsi="仿宋" w:eastAsia="仿宋" w:cs="仿宋"/>
                <w:sz w:val="24"/>
                <w:highlight w:val="none"/>
              </w:rPr>
            </w:pPr>
          </w:p>
        </w:tc>
      </w:tr>
      <w:tr w14:paraId="719F17D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DEAB18">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9</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7F09BB">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水域救援装备包</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DCC464">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个</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CEFB63">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C029F3">
            <w:pPr>
              <w:widowControl/>
              <w:autoSpaceDN w:val="0"/>
              <w:jc w:val="center"/>
              <w:rPr>
                <w:rFonts w:hint="eastAsia" w:ascii="仿宋" w:hAnsi="仿宋" w:eastAsia="仿宋" w:cs="仿宋"/>
                <w:sz w:val="24"/>
                <w:highlight w:val="none"/>
              </w:rPr>
            </w:pPr>
          </w:p>
        </w:tc>
      </w:tr>
      <w:tr w14:paraId="7C15E6C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A59AD3">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0</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958502">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对讲机</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B44F6B">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台</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FE2B51">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8AC39C">
            <w:pPr>
              <w:widowControl/>
              <w:autoSpaceDN w:val="0"/>
              <w:jc w:val="center"/>
              <w:rPr>
                <w:rFonts w:hint="eastAsia" w:ascii="仿宋" w:hAnsi="仿宋" w:eastAsia="仿宋" w:cs="仿宋"/>
                <w:sz w:val="24"/>
                <w:highlight w:val="none"/>
              </w:rPr>
            </w:pPr>
          </w:p>
        </w:tc>
      </w:tr>
      <w:tr w14:paraId="41871CD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C3255E">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1</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41BC63">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运动相机</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AAAF4">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台</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BD943A">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2</w:t>
            </w:r>
            <w:r>
              <w:rPr>
                <w:rFonts w:ascii="仿宋" w:hAnsi="仿宋" w:eastAsia="仿宋" w:cs="仿宋"/>
                <w:sz w:val="24"/>
                <w:highlight w:val="none"/>
              </w:rPr>
              <w:t>4</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CE290D">
            <w:pPr>
              <w:widowControl/>
              <w:autoSpaceDN w:val="0"/>
              <w:jc w:val="center"/>
              <w:rPr>
                <w:rFonts w:hint="eastAsia" w:ascii="仿宋" w:hAnsi="仿宋" w:eastAsia="仿宋" w:cs="仿宋"/>
                <w:sz w:val="24"/>
                <w:highlight w:val="none"/>
              </w:rPr>
            </w:pPr>
          </w:p>
        </w:tc>
      </w:tr>
      <w:tr w14:paraId="441CED3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1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3D7FE1">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w:t>
            </w:r>
          </w:p>
        </w:tc>
        <w:tc>
          <w:tcPr>
            <w:tcW w:w="26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FF7896">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防水头灯</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3774B0">
            <w:pPr>
              <w:spacing w:line="360" w:lineRule="auto"/>
              <w:jc w:val="center"/>
              <w:rPr>
                <w:rFonts w:hint="eastAsia" w:ascii="仿宋" w:hAnsi="仿宋" w:eastAsia="仿宋" w:cs="宋体"/>
                <w:sz w:val="24"/>
                <w:highlight w:val="none"/>
              </w:rPr>
            </w:pPr>
            <w:r>
              <w:rPr>
                <w:rFonts w:hint="eastAsia" w:ascii="仿宋" w:hAnsi="仿宋" w:eastAsia="仿宋" w:cs="宋体"/>
                <w:sz w:val="24"/>
                <w:highlight w:val="none"/>
              </w:rPr>
              <w:t>台</w:t>
            </w:r>
          </w:p>
        </w:tc>
        <w:tc>
          <w:tcPr>
            <w:tcW w:w="1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535291">
            <w:pPr>
              <w:widowControl/>
              <w:autoSpaceDN w:val="0"/>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20</w:t>
            </w:r>
          </w:p>
        </w:tc>
        <w:tc>
          <w:tcPr>
            <w:tcW w:w="2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35E0F3">
            <w:pPr>
              <w:widowControl/>
              <w:autoSpaceDN w:val="0"/>
              <w:jc w:val="center"/>
              <w:rPr>
                <w:rFonts w:hint="eastAsia" w:ascii="仿宋" w:hAnsi="仿宋" w:eastAsia="仿宋" w:cs="仿宋"/>
                <w:sz w:val="24"/>
                <w:highlight w:val="none"/>
              </w:rPr>
            </w:pPr>
          </w:p>
        </w:tc>
      </w:tr>
    </w:tbl>
    <w:p w14:paraId="611A7249">
      <w:pPr>
        <w:pStyle w:val="4"/>
        <w:widowControl/>
        <w:snapToGrid w:val="0"/>
        <w:spacing w:line="360" w:lineRule="auto"/>
        <w:outlineLvl w:val="1"/>
        <w:rPr>
          <w:rStyle w:val="7"/>
          <w:rFonts w:hint="eastAsia" w:ascii="宋体" w:hAnsi="宋体" w:eastAsia="仿宋"/>
          <w:sz w:val="24"/>
          <w:szCs w:val="24"/>
          <w:highlight w:val="none"/>
        </w:rPr>
      </w:pPr>
      <w:r>
        <w:rPr>
          <w:rStyle w:val="7"/>
          <w:rFonts w:hint="eastAsia" w:ascii="宋体" w:hAnsi="宋体" w:eastAsia="仿宋"/>
          <w:sz w:val="24"/>
          <w:szCs w:val="24"/>
          <w:highlight w:val="none"/>
        </w:rPr>
        <w:t>三、技术要求</w:t>
      </w:r>
    </w:p>
    <w:p w14:paraId="0D1823CA">
      <w:pPr>
        <w:pStyle w:val="4"/>
        <w:widowControl/>
        <w:snapToGrid w:val="0"/>
        <w:spacing w:line="360" w:lineRule="auto"/>
        <w:ind w:firstLine="482" w:firstLineChars="200"/>
        <w:outlineLvl w:val="2"/>
        <w:rPr>
          <w:rFonts w:hAnsi="宋体" w:eastAsia="仿宋"/>
          <w:b/>
          <w:bCs/>
          <w:sz w:val="24"/>
          <w:szCs w:val="24"/>
          <w:highlight w:val="none"/>
        </w:rPr>
      </w:pPr>
      <w:r>
        <w:rPr>
          <w:rFonts w:hint="eastAsia" w:hAnsi="宋体" w:eastAsia="仿宋"/>
          <w:b/>
          <w:bCs/>
          <w:sz w:val="24"/>
          <w:szCs w:val="24"/>
          <w:highlight w:val="none"/>
        </w:rPr>
        <w:t>（一）标识符号</w:t>
      </w:r>
    </w:p>
    <w:tbl>
      <w:tblPr>
        <w:tblStyle w:val="5"/>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5"/>
        <w:gridCol w:w="1323"/>
        <w:gridCol w:w="5349"/>
      </w:tblGrid>
      <w:tr w14:paraId="684C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41" w:type="pct"/>
            <w:noWrap w:val="0"/>
            <w:vAlign w:val="center"/>
          </w:tcPr>
          <w:p w14:paraId="1C3F9F37">
            <w:pPr>
              <w:jc w:val="center"/>
              <w:rPr>
                <w:rFonts w:ascii="仿宋" w:hAnsi="仿宋" w:eastAsia="仿宋" w:cs="仿宋"/>
                <w:b/>
                <w:sz w:val="24"/>
                <w:highlight w:val="none"/>
              </w:rPr>
            </w:pPr>
            <w:r>
              <w:rPr>
                <w:rFonts w:hint="eastAsia" w:ascii="仿宋" w:hAnsi="仿宋" w:eastAsia="仿宋" w:cs="仿宋"/>
                <w:b/>
                <w:sz w:val="24"/>
                <w:highlight w:val="none"/>
              </w:rPr>
              <w:t>标识类型</w:t>
            </w:r>
          </w:p>
        </w:tc>
        <w:tc>
          <w:tcPr>
            <w:tcW w:w="785" w:type="pct"/>
            <w:noWrap w:val="0"/>
            <w:vAlign w:val="center"/>
          </w:tcPr>
          <w:p w14:paraId="11103E27">
            <w:pPr>
              <w:jc w:val="center"/>
              <w:rPr>
                <w:rFonts w:ascii="仿宋" w:hAnsi="仿宋" w:eastAsia="仿宋" w:cs="仿宋"/>
                <w:b/>
                <w:sz w:val="24"/>
                <w:highlight w:val="none"/>
              </w:rPr>
            </w:pPr>
            <w:r>
              <w:rPr>
                <w:rFonts w:hint="eastAsia" w:ascii="仿宋" w:hAnsi="仿宋" w:eastAsia="仿宋" w:cs="仿宋"/>
                <w:b/>
                <w:sz w:val="24"/>
                <w:highlight w:val="none"/>
              </w:rPr>
              <w:t>标识符号</w:t>
            </w:r>
          </w:p>
        </w:tc>
        <w:tc>
          <w:tcPr>
            <w:tcW w:w="3173" w:type="pct"/>
            <w:noWrap w:val="0"/>
            <w:vAlign w:val="center"/>
          </w:tcPr>
          <w:p w14:paraId="1D79D41C">
            <w:pPr>
              <w:jc w:val="center"/>
              <w:rPr>
                <w:rFonts w:ascii="仿宋" w:hAnsi="仿宋" w:eastAsia="仿宋" w:cs="仿宋"/>
                <w:b/>
                <w:sz w:val="24"/>
                <w:highlight w:val="none"/>
              </w:rPr>
            </w:pPr>
            <w:r>
              <w:rPr>
                <w:rFonts w:hint="eastAsia" w:ascii="仿宋" w:hAnsi="仿宋" w:eastAsia="仿宋" w:cs="仿宋"/>
                <w:b/>
                <w:sz w:val="24"/>
                <w:highlight w:val="none"/>
              </w:rPr>
              <w:t>标识符号含义</w:t>
            </w:r>
          </w:p>
        </w:tc>
      </w:tr>
      <w:tr w14:paraId="22FD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41" w:type="pct"/>
            <w:noWrap w:val="0"/>
            <w:vAlign w:val="center"/>
          </w:tcPr>
          <w:p w14:paraId="0A524252">
            <w:pPr>
              <w:jc w:val="center"/>
              <w:rPr>
                <w:rFonts w:ascii="仿宋" w:hAnsi="仿宋" w:eastAsia="仿宋" w:cs="仿宋"/>
                <w:sz w:val="24"/>
                <w:highlight w:val="none"/>
              </w:rPr>
            </w:pPr>
            <w:r>
              <w:rPr>
                <w:rFonts w:hint="eastAsia" w:ascii="仿宋" w:hAnsi="仿宋" w:eastAsia="仿宋" w:cs="仿宋"/>
                <w:sz w:val="24"/>
                <w:highlight w:val="none"/>
              </w:rPr>
              <w:t>重要参数</w:t>
            </w:r>
          </w:p>
        </w:tc>
        <w:tc>
          <w:tcPr>
            <w:tcW w:w="785" w:type="pct"/>
            <w:noWrap w:val="0"/>
            <w:vAlign w:val="center"/>
          </w:tcPr>
          <w:p w14:paraId="43F218D9">
            <w:pPr>
              <w:jc w:val="center"/>
              <w:rPr>
                <w:rFonts w:ascii="仿宋" w:hAnsi="仿宋" w:eastAsia="仿宋" w:cs="仿宋"/>
                <w:bCs/>
                <w:sz w:val="24"/>
                <w:highlight w:val="none"/>
              </w:rPr>
            </w:pPr>
            <w:r>
              <w:rPr>
                <w:rFonts w:hint="eastAsia" w:ascii="仿宋" w:hAnsi="仿宋" w:eastAsia="仿宋" w:cs="仿宋"/>
                <w:sz w:val="24"/>
                <w:highlight w:val="none"/>
              </w:rPr>
              <w:t>★</w:t>
            </w:r>
          </w:p>
        </w:tc>
        <w:tc>
          <w:tcPr>
            <w:tcW w:w="3173" w:type="pct"/>
            <w:noWrap w:val="0"/>
            <w:vAlign w:val="center"/>
          </w:tcPr>
          <w:p w14:paraId="22F31E5D">
            <w:pPr>
              <w:spacing w:line="360" w:lineRule="auto"/>
              <w:jc w:val="center"/>
              <w:rPr>
                <w:rFonts w:hint="eastAsia" w:ascii="仿宋" w:hAnsi="仿宋" w:eastAsia="仿宋" w:cs="仿宋"/>
                <w:bCs/>
                <w:sz w:val="24"/>
                <w:highlight w:val="none"/>
              </w:rPr>
            </w:pPr>
            <w:r>
              <w:rPr>
                <w:rFonts w:hint="eastAsia" w:ascii="仿宋" w:hAnsi="仿宋" w:eastAsia="仿宋" w:cs="仿宋"/>
                <w:b/>
                <w:bCs/>
                <w:sz w:val="24"/>
                <w:highlight w:val="none"/>
              </w:rPr>
              <w:t>重要技术指标，根据评分办法中相关要求进行评审。</w:t>
            </w:r>
          </w:p>
        </w:tc>
      </w:tr>
      <w:tr w14:paraId="49B1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41" w:type="pct"/>
            <w:noWrap w:val="0"/>
            <w:vAlign w:val="center"/>
          </w:tcPr>
          <w:p w14:paraId="13DE28EC">
            <w:pPr>
              <w:jc w:val="center"/>
              <w:rPr>
                <w:rFonts w:ascii="仿宋" w:hAnsi="仿宋" w:eastAsia="仿宋" w:cs="仿宋"/>
                <w:sz w:val="24"/>
                <w:highlight w:val="none"/>
              </w:rPr>
            </w:pPr>
            <w:r>
              <w:rPr>
                <w:rFonts w:hint="eastAsia" w:ascii="仿宋" w:hAnsi="仿宋" w:eastAsia="仿宋" w:cs="仿宋"/>
                <w:sz w:val="24"/>
                <w:highlight w:val="none"/>
              </w:rPr>
              <w:t>一般参数</w:t>
            </w:r>
          </w:p>
        </w:tc>
        <w:tc>
          <w:tcPr>
            <w:tcW w:w="785" w:type="pct"/>
            <w:noWrap w:val="0"/>
            <w:vAlign w:val="center"/>
          </w:tcPr>
          <w:p w14:paraId="10F9AA82">
            <w:pPr>
              <w:jc w:val="center"/>
              <w:rPr>
                <w:rFonts w:ascii="仿宋" w:hAnsi="仿宋" w:eastAsia="仿宋" w:cs="仿宋"/>
                <w:sz w:val="24"/>
                <w:highlight w:val="none"/>
              </w:rPr>
            </w:pPr>
            <w:r>
              <w:rPr>
                <w:rFonts w:hint="eastAsia" w:ascii="仿宋" w:hAnsi="仿宋" w:eastAsia="仿宋" w:cs="仿宋"/>
                <w:sz w:val="24"/>
                <w:highlight w:val="none"/>
              </w:rPr>
              <w:t>无标识</w:t>
            </w:r>
          </w:p>
        </w:tc>
        <w:tc>
          <w:tcPr>
            <w:tcW w:w="3173" w:type="pct"/>
            <w:noWrap w:val="0"/>
            <w:vAlign w:val="center"/>
          </w:tcPr>
          <w:p w14:paraId="077531A3">
            <w:pPr>
              <w:spacing w:line="360" w:lineRule="auto"/>
              <w:jc w:val="left"/>
              <w:rPr>
                <w:rFonts w:hint="eastAsia" w:eastAsia="仿宋"/>
                <w:highlight w:val="none"/>
              </w:rPr>
            </w:pPr>
            <w:r>
              <w:rPr>
                <w:rFonts w:hint="eastAsia" w:ascii="仿宋" w:hAnsi="仿宋" w:eastAsia="仿宋" w:cs="仿宋"/>
                <w:b/>
                <w:bCs/>
                <w:sz w:val="24"/>
                <w:highlight w:val="none"/>
              </w:rPr>
              <w:t>一般技术指标，投标人须全部满足要求，负偏离将投标无效。以“技术要求偏离表”中列出的负偏离为评审依据，未列出偏离的，视为完全响应。无标识项投标时无需提供证明材料，可在合同签订前按照采购人要求提供相关证明材料原件供采购人核验（如检测报告、产品彩页、官网截图等）。若无法提供，采购人有权取消其中标资格。</w:t>
            </w:r>
          </w:p>
        </w:tc>
      </w:tr>
      <w:tr w14:paraId="69012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5000" w:type="pct"/>
            <w:gridSpan w:val="3"/>
            <w:noWrap w:val="0"/>
            <w:vAlign w:val="center"/>
          </w:tcPr>
          <w:p w14:paraId="31C33EC2">
            <w:pPr>
              <w:jc w:val="left"/>
              <w:rPr>
                <w:rFonts w:ascii="仿宋" w:hAnsi="仿宋" w:eastAsia="仿宋" w:cs="仿宋"/>
                <w:sz w:val="24"/>
                <w:highlight w:val="none"/>
              </w:rPr>
            </w:pPr>
            <w:r>
              <w:rPr>
                <w:rFonts w:hint="eastAsia" w:ascii="仿宋" w:hAnsi="仿宋" w:eastAsia="仿宋" w:cs="仿宋"/>
                <w:sz w:val="24"/>
                <w:highlight w:val="none"/>
              </w:rPr>
              <w:t>注：</w:t>
            </w:r>
          </w:p>
          <w:p w14:paraId="214057AE">
            <w:pPr>
              <w:jc w:val="left"/>
              <w:rPr>
                <w:rFonts w:ascii="仿宋" w:hAnsi="仿宋" w:cs="仿宋"/>
                <w:sz w:val="24"/>
                <w:highlight w:val="none"/>
              </w:rPr>
            </w:pPr>
            <w:r>
              <w:rPr>
                <w:rFonts w:hint="eastAsia" w:ascii="仿宋" w:hAnsi="仿宋" w:eastAsia="仿宋" w:cs="仿宋"/>
                <w:sz w:val="24"/>
                <w:highlight w:val="none"/>
              </w:rPr>
              <w:t>标识条款中如包含多条子项技术参数或要求，则需满足或优于该标识条款内所有子项技术参数或要求。</w:t>
            </w:r>
          </w:p>
        </w:tc>
      </w:tr>
    </w:tbl>
    <w:p w14:paraId="0EABD465">
      <w:pPr>
        <w:pStyle w:val="4"/>
        <w:widowControl/>
        <w:snapToGrid w:val="0"/>
        <w:spacing w:line="360" w:lineRule="auto"/>
        <w:ind w:firstLine="480" w:firstLineChars="200"/>
        <w:rPr>
          <w:rFonts w:hAnsi="宋体" w:eastAsia="仿宋"/>
          <w:color w:val="FF0000"/>
          <w:sz w:val="24"/>
          <w:szCs w:val="24"/>
          <w:highlight w:val="none"/>
        </w:rPr>
      </w:pPr>
    </w:p>
    <w:p w14:paraId="70D570CD">
      <w:pPr>
        <w:pStyle w:val="4"/>
        <w:widowControl/>
        <w:snapToGrid w:val="0"/>
        <w:spacing w:line="360" w:lineRule="auto"/>
        <w:ind w:firstLine="482" w:firstLineChars="200"/>
        <w:outlineLvl w:val="2"/>
        <w:rPr>
          <w:rFonts w:hint="eastAsia" w:hAnsi="宋体" w:eastAsia="仿宋"/>
          <w:b/>
          <w:bCs/>
          <w:sz w:val="24"/>
          <w:szCs w:val="24"/>
          <w:highlight w:val="none"/>
        </w:rPr>
      </w:pPr>
      <w:r>
        <w:rPr>
          <w:rFonts w:hint="eastAsia" w:hAnsi="宋体" w:eastAsia="仿宋"/>
          <w:b/>
          <w:bCs/>
          <w:sz w:val="24"/>
          <w:szCs w:val="24"/>
          <w:highlight w:val="none"/>
        </w:rPr>
        <w:t>（二）质量技术标准</w:t>
      </w:r>
    </w:p>
    <w:p w14:paraId="31F98EEB">
      <w:pPr>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水域救援防护装备由水域救援头盔、水域救援靴、激流救生衣、湿式救援服、水域割绳刀、水域抛绳包、荧光指挥棒、防爆强光手电筒、水域救援装备包、对讲机、运动相机和防水头灯组成：</w:t>
      </w:r>
    </w:p>
    <w:p w14:paraId="27EC00E4">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1.水域救援头盔</w:t>
      </w:r>
    </w:p>
    <w:p w14:paraId="78BC406C">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1.1顶端≥8个透气孔，头盔内腔气流通畅，大温差环境中，具有高舒适度；</w:t>
      </w:r>
    </w:p>
    <w:p w14:paraId="1EBD93BC">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1.2头盔两侧带战术导轨前端墨鱼干设计，两侧护耳拥有模压一体式通气排水孔，更能保证水流排出、通气顺畅，方便清洗，保护耳部的同时不影响听力；</w:t>
      </w:r>
    </w:p>
    <w:p w14:paraId="50CD955B">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1.3 ABS工程塑料注塑成型盔壳，高冲击强度，良好的机械性能；</w:t>
      </w:r>
    </w:p>
    <w:p w14:paraId="68DA3CB2">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1.4 高密度EVA缓冲垫，密闭泡孔结构，不吸水，回弹性和抗张力高，良好的耐水性能和低速冲击能量吸收能力；</w:t>
      </w:r>
    </w:p>
    <w:p w14:paraId="3EE44592">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1.5 头箍设有整体包裹全防护型EVA衬垫，增加佩戴者后脑勺部分的舒适性，魔术贴固位，易于拆卸清洁和更换；</w:t>
      </w:r>
    </w:p>
    <w:p w14:paraId="1F102B4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1.6 快调式帽衬，可单手操作，全方位满足个性化尺寸调节需求；</w:t>
      </w:r>
    </w:p>
    <w:p w14:paraId="3974743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1.7 盔壳材质为优质ABS工程塑料;</w:t>
      </w:r>
    </w:p>
    <w:p w14:paraId="0106D18A">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1.8 系带为宽15MM尼龙织带材质，塑钢快插扣闭合；</w:t>
      </w:r>
    </w:p>
    <w:p w14:paraId="3E16801F">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1.9 头盔的漂浮性能佳，经过检验测试，放入水中漂浮≥4小时后，头盔能始终漂浮在水面上；</w:t>
      </w:r>
    </w:p>
    <w:p w14:paraId="2A762868">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1.10冲击吸收性能：分别经过高温50℃环境和低温-25℃环境保持4小时后，头模所受到最大冲击力≤2800N，帽壳不应有碎片脱落；</w:t>
      </w:r>
    </w:p>
    <w:p w14:paraId="35AC373D">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1.11 重量：≤550g；</w:t>
      </w:r>
    </w:p>
    <w:p w14:paraId="30E7BEA6">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1.12 侧向刚性：救援头盔帽壳的最大变形≤20mm,卸载后变形值≤1mm。</w:t>
      </w:r>
    </w:p>
    <w:p w14:paraId="46AFD933">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2.水域救援靴</w:t>
      </w:r>
    </w:p>
    <w:p w14:paraId="2F8A3BA5">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2.1 水域救援靴由靴头、靴外底、靴跟、靴底和带舒适层的靴帮等组成，鞋帮高于脚踝，提供良好的关节保护；</w:t>
      </w:r>
    </w:p>
    <w:p w14:paraId="1A412106">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2.2 整体为系带加侧拉链设计，贴合舒适，且穿脱快捷，魔术贴收紧设计，靴子不易脱落；</w:t>
      </w:r>
    </w:p>
    <w:p w14:paraId="1AADB58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2.3 靴子内侧设有排水孔，方便出水；</w:t>
      </w:r>
    </w:p>
    <w:p w14:paraId="611B1F1B">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2.4 跟处凸起设计，方便与脚蹼搭配使用；</w:t>
      </w:r>
    </w:p>
    <w:p w14:paraId="4B8D3E05">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2.5 防滑性能：静摩擦系数：≥0.27；动摩擦系数：≥0.08；</w:t>
      </w:r>
    </w:p>
    <w:p w14:paraId="60B3B576">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2.6 整鞋耐折性能：割口裂口长度≤6mm，外底无新裂纹，帮面不应出现破损，帮底结合部位无开胶；</w:t>
      </w:r>
    </w:p>
    <w:p w14:paraId="6E732231">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2.7 鞋帮拉出强度：≥70N/cm；</w:t>
      </w:r>
    </w:p>
    <w:p w14:paraId="62FB10F5">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2.8 靴底抗刺穿性能：靴底的抗刺穿力≥1200N；</w:t>
      </w:r>
    </w:p>
    <w:p w14:paraId="6CCABB75">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2.9靴帮抗刺穿性能：靴帮材料的最大抗刺穿力≥70N。</w:t>
      </w:r>
    </w:p>
    <w:p w14:paraId="09F17C1F">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3.激流救生衣</w:t>
      </w:r>
    </w:p>
    <w:p w14:paraId="68CB7054">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3.1激流救生衣浮力：≥160N，浮力损失≤1%；</w:t>
      </w:r>
    </w:p>
    <w:p w14:paraId="444D6C34">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3.2面料断裂强力：经向≥5500N，纬向≥7000N，撕破强力：经向≥1000N，纬向≥1100N;</w:t>
      </w:r>
    </w:p>
    <w:p w14:paraId="06DBFB94">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3.3穿脱性能：经指导后穿着人员正确地穿上救生衣的时间≤22s，经指导后穿着人员在水中脱掉救生衣的时间≤8s；</w:t>
      </w:r>
    </w:p>
    <w:p w14:paraId="7B3EDEB5">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3.4救生衣质量：≤2.5Kg；</w:t>
      </w:r>
    </w:p>
    <w:p w14:paraId="2EA726A2">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3.5水中姿态:穿着救生衣在水中全身放松，人体能处于直立姿态，且人嘴高出水面≥160mm；</w:t>
      </w:r>
    </w:p>
    <w:p w14:paraId="63B09D0B">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3.6快脱带在扣减闭合状态下能承受不大于2500N的拉力，且扣件未出现开启或损坏现象；</w:t>
      </w:r>
    </w:p>
    <w:p w14:paraId="57C955A6">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3.10救生衣衣身能承受3250N的作用力30min而不损坏；</w:t>
      </w:r>
    </w:p>
    <w:p w14:paraId="075DA9D1">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3.11救生衣肩部能承受1000N的作用力30min而不损坏；</w:t>
      </w:r>
    </w:p>
    <w:p w14:paraId="6B3161D1">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3.12裆带与救生衣衣体之间能承受1000N的作用力而不发生脱离或损坏；</w:t>
      </w:r>
    </w:p>
    <w:p w14:paraId="5E0CF34F">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3.13胸前织带破断力≥17500N。</w:t>
      </w:r>
    </w:p>
    <w:p w14:paraId="4AC83821">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4.湿式救援服</w:t>
      </w:r>
    </w:p>
    <w:p w14:paraId="30F56E1C">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4.1 厚度≥3mm的三层防水氯丁橡胶复合面料，有较强的拉伸强度和耐磨性能，良好的抗皱性与保形性，着身后更贴身便于行动；</w:t>
      </w:r>
    </w:p>
    <w:p w14:paraId="0F644DCB">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4.2 连体前穿式湿式服，前部纵向主入口，裤脚和袖口设有可调节开口大小的拉链。保证穿着时的便捷性，高强抗拉性且易于拉开与闭合；</w:t>
      </w:r>
    </w:p>
    <w:p w14:paraId="6BD28A31">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4.3臀部、肘部和膝部，优质耐磨抗撕裂面料大面积补强，高效缓解冲击力，增加抗磨性，有全面的保护能力；</w:t>
      </w:r>
    </w:p>
    <w:p w14:paraId="4E6DA3E0">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4.4湿式服的面料经150N、持续10s的拉伸强度试验，试样的经向、纬向均未出现断裂现象；</w:t>
      </w:r>
    </w:p>
    <w:p w14:paraId="514F8D91">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4.5湿式服的接缝经250N、持续10s的接缝强度试验，试样未出现断裂现象；</w:t>
      </w:r>
    </w:p>
    <w:p w14:paraId="5DD2897A">
      <w:pPr>
        <w:ind w:firstLine="720" w:firstLineChars="300"/>
        <w:jc w:val="left"/>
        <w:rPr>
          <w:rFonts w:hint="eastAsia" w:ascii="仿宋" w:hAnsi="仿宋" w:eastAsia="仿宋" w:cs="仿宋"/>
          <w:bCs/>
          <w:sz w:val="24"/>
          <w:highlight w:val="none"/>
        </w:rPr>
      </w:pPr>
      <w:r>
        <w:rPr>
          <w:rFonts w:hint="eastAsia" w:ascii="仿宋" w:hAnsi="仿宋" w:eastAsia="仿宋" w:cs="仿宋"/>
          <w:bCs/>
          <w:sz w:val="24"/>
          <w:highlight w:val="none"/>
        </w:rPr>
        <w:t>★4.6面料抗永久变形：纵向≤ 2％，横向≤ 3％；</w:t>
      </w:r>
    </w:p>
    <w:p w14:paraId="1A5FBDB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4.7湿式服的面料在静水压100kpa下5min后，试样未出现水滴渗漏；</w:t>
      </w:r>
    </w:p>
    <w:p w14:paraId="1BF8D42B">
      <w:pPr>
        <w:ind w:firstLine="720" w:firstLineChars="300"/>
        <w:jc w:val="left"/>
        <w:rPr>
          <w:rFonts w:hint="eastAsia" w:ascii="仿宋" w:hAnsi="仿宋" w:eastAsia="仿宋" w:cs="仿宋"/>
          <w:bCs/>
          <w:sz w:val="24"/>
          <w:highlight w:val="none"/>
        </w:rPr>
      </w:pPr>
      <w:r>
        <w:rPr>
          <w:rFonts w:hint="eastAsia" w:ascii="仿宋" w:hAnsi="仿宋" w:eastAsia="仿宋" w:cs="仿宋"/>
          <w:bCs/>
          <w:sz w:val="24"/>
          <w:highlight w:val="none"/>
        </w:rPr>
        <w:t>★4.8面料耐磨性能≥35000r；</w:t>
      </w:r>
    </w:p>
    <w:p w14:paraId="37ED01C1">
      <w:pPr>
        <w:ind w:firstLine="960" w:firstLineChars="400"/>
        <w:jc w:val="left"/>
        <w:rPr>
          <w:rFonts w:ascii="仿宋" w:hAnsi="仿宋" w:eastAsia="仿宋" w:cs="仿宋"/>
          <w:bCs/>
          <w:sz w:val="24"/>
          <w:highlight w:val="none"/>
        </w:rPr>
      </w:pPr>
      <w:r>
        <w:rPr>
          <w:rFonts w:hint="eastAsia" w:ascii="仿宋" w:hAnsi="仿宋" w:eastAsia="仿宋" w:cs="仿宋"/>
          <w:bCs/>
          <w:sz w:val="24"/>
          <w:highlight w:val="none"/>
        </w:rPr>
        <w:t>4.9色牢度：耐皂洗色牢度（变色、沾色）≥4-5级、耐酸汗渍色牢度变色≥4-5级，沾色≥4级、耐碱汗渍色牢度变色≥4-5级，沾色≥4级，耐摩擦色牢度（干摩、湿摩）≥4-5级，耐光色牢度变色≥4级。</w:t>
      </w:r>
    </w:p>
    <w:p w14:paraId="651A1D80">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5.水域割绳刀</w:t>
      </w:r>
    </w:p>
    <w:p w14:paraId="13454986">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5.1采用钛合金或不锈钢刀刃，结实耐用，刃口锋利，可快速切断5mm尼龙绳，防锈蚀。防滑刀柄，形状便于抓握。刀背带锯齿设计，带缺口，无刀头，带快卡扣，硬塑料刀鞘手柄带护口；</w:t>
      </w:r>
    </w:p>
    <w:p w14:paraId="0113424C">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5.2整体长度≤190mm，刀柄长度≤110mm，刀刃长度≤80mm；</w:t>
      </w:r>
    </w:p>
    <w:p w14:paraId="383D455A">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5.3刀体抗弯性能：刀体悬挂 60kg重物，保持30min，不应发生断裂和明显变形；</w:t>
      </w:r>
    </w:p>
    <w:p w14:paraId="2B009492">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5.4切割性能：能切断直径9.5mm的消防安全绳，切割时间≤7s，能切断直径 12.5mm的消防安全绳，切割时间≤8.5s，能切断直径16mm的消防安全绳，切割时间≤9s；</w:t>
      </w:r>
    </w:p>
    <w:p w14:paraId="719F4E94">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5.5硬度≥56HRC；</w:t>
      </w:r>
    </w:p>
    <w:p w14:paraId="57444A2E">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5.6耐低温及跌落：在-35℃±2℃低温箱内恒温2h后，分别按照水平状态、头部垂直向下状态、尾部垂直向下状态从1.5m高度自由落体跌落，刀鞘不应破裂或损坏，刀体不应从刀鞘中脱出，各零部件应无损坏或变形，工具和附件不散落。</w:t>
      </w:r>
    </w:p>
    <w:p w14:paraId="08893A46">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6.水域抛绳包</w:t>
      </w:r>
    </w:p>
    <w:p w14:paraId="6EF955D6">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6.1腰挂式水域救援抛绳包由腰带和抛绳包组成，能很方便地环绕在腰间；模块化设计，功能齐全。绳包可以在水上漂浮起来，收口型的顶端设计，方便流畅的进行抛投动作和更便捷的填充；</w:t>
      </w:r>
    </w:p>
    <w:p w14:paraId="2723AC2C">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6.2绳索表面凹凸花纹，防滑，抓握有力；</w:t>
      </w:r>
    </w:p>
    <w:p w14:paraId="349E4ECF">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6.3安全绳直径≤6mm，破断强度≥5KN；</w:t>
      </w:r>
    </w:p>
    <w:p w14:paraId="06F1E0B7">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6.4漂浮性能：完全收纳配用绳索后，经48h 的漂浮性能试验,抛绳包始终漂浮在水面上；</w:t>
      </w:r>
    </w:p>
    <w:p w14:paraId="65A1F87F">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6.5绳子长度≥20m。</w:t>
      </w:r>
    </w:p>
    <w:p w14:paraId="3ACFDAD8">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7.荧光指挥棒</w:t>
      </w:r>
    </w:p>
    <w:p w14:paraId="207E9511">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7.1符合GA/T 1428-2017《消防用荧光棒》或符合 XF/T1428-2017 全项检测标准《消防用荧光棒》。</w:t>
      </w:r>
    </w:p>
    <w:p w14:paraId="42E765B8">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7.2尺寸：直径≥15mm，长度15±0.5cm。</w:t>
      </w:r>
    </w:p>
    <w:p w14:paraId="779FE2D4">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7.3初始亮度≥210cd/m²，有效亮度≥20cd/m²。</w:t>
      </w:r>
    </w:p>
    <w:p w14:paraId="7487CF82">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7.4低温、高温持续时间≥2h，湿热持续时间≥24h。</w:t>
      </w:r>
    </w:p>
    <w:p w14:paraId="35196B3F">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7.5内部溶液闪点温度≥90℃。</w:t>
      </w:r>
    </w:p>
    <w:p w14:paraId="4493D21E">
      <w:pPr>
        <w:ind w:firstLine="482" w:firstLineChars="200"/>
        <w:jc w:val="left"/>
        <w:rPr>
          <w:rFonts w:hint="eastAsia" w:ascii="仿宋" w:hAnsi="仿宋" w:eastAsia="仿宋" w:cs="仿宋"/>
          <w:bCs/>
          <w:sz w:val="24"/>
          <w:highlight w:val="none"/>
        </w:rPr>
      </w:pPr>
      <w:r>
        <w:rPr>
          <w:rFonts w:hint="eastAsia" w:ascii="仿宋" w:hAnsi="仿宋" w:eastAsia="仿宋" w:cs="仿宋"/>
          <w:b/>
          <w:sz w:val="24"/>
          <w:highlight w:val="none"/>
        </w:rPr>
        <w:t>8.防爆强光手电筒</w:t>
      </w:r>
    </w:p>
    <w:p w14:paraId="1086DF43">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8.1采用大功率超高亮度固态光源，发热量低，工作电流小，防爆性能优良，工作寿命长，可达到长期免维护的效果。</w:t>
      </w:r>
    </w:p>
    <w:p w14:paraId="277996C5">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8.2额定电压:DC3.7V;额定功率:≥5W；Ex ib IIC T4 Gb。</w:t>
      </w:r>
    </w:p>
    <w:p w14:paraId="6FC9366F">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8.3额定容量:≥1900mAh。</w:t>
      </w:r>
    </w:p>
    <w:p w14:paraId="2F40FAC0">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8.4灯具切换强光模式1米处初始中心照度:≥17000 1x、灯具切换弱光模式1米处初始中心照度:≥6400 1x，灯具切换强光模式2米处初始中心照度:≥4500</w:t>
      </w:r>
      <w:r>
        <w:rPr>
          <w:rFonts w:ascii="仿宋" w:hAnsi="仿宋" w:eastAsia="仿宋" w:cs="仿宋"/>
          <w:bCs/>
          <w:sz w:val="24"/>
          <w:highlight w:val="none"/>
        </w:rPr>
        <w:t xml:space="preserve"> </w:t>
      </w:r>
      <w:r>
        <w:rPr>
          <w:rFonts w:hint="eastAsia" w:ascii="仿宋" w:hAnsi="仿宋" w:eastAsia="仿宋" w:cs="仿宋"/>
          <w:bCs/>
          <w:sz w:val="24"/>
          <w:highlight w:val="none"/>
        </w:rPr>
        <w:t>lx、灯具切换弱光模式2米处初始 中心照度:≥20001x。</w:t>
      </w:r>
    </w:p>
    <w:p w14:paraId="2EAD6CEA">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8.5采用轻质合金精密加工而成，抗强力碰撞和冲击，耐高低温，满足在恶劣环境及气候条件下使用。</w:t>
      </w:r>
    </w:p>
    <w:p w14:paraId="3B247804">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8.6强光放电时间≥4小时，工作光放电时间≥8小时。</w:t>
      </w:r>
    </w:p>
    <w:p w14:paraId="0BD9DAF8">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8.7电池具有过充、过放和短路保护功能，灯具选用5V-Type-C充电口。</w:t>
      </w:r>
    </w:p>
    <w:p w14:paraId="7D0534B3">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8.8灯具选配有液晶显示屏，可直观查看灯具工作状态、电量、剩余工作时间等信息，根据需求可选配显示单位，人员的信息。</w:t>
      </w:r>
    </w:p>
    <w:p w14:paraId="6C30E061">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8.9灯具尾部带有红色信号指示功能，大开关设计，灯具开启照明时开关呈红色警示状态，警示灯可视距离不小于200米，给后方作战人员提供警示作用。</w:t>
      </w:r>
    </w:p>
    <w:p w14:paraId="7F20BE20">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8.10可采用手持、腰挎、袋装、头盔佩戴等携带方式，携带非常方便。</w:t>
      </w:r>
    </w:p>
    <w:p w14:paraId="28E9C25C">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9.水域救援装备包</w:t>
      </w:r>
    </w:p>
    <w:p w14:paraId="3459423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9.1分仓式设计，主仓用来放置救生衣、水域救援服、头盔、靴子等大件，副仓用于单独放置其它小件救援装备；</w:t>
      </w:r>
    </w:p>
    <w:p w14:paraId="76C5A52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9.2背囊可手提，可单肩背，可双肩背，可手动拖拉；</w:t>
      </w:r>
    </w:p>
    <w:p w14:paraId="42E88536">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9.3震荡冲击性能（20Kg）：手提、肩带300次，双肩背带400次，拉杆500次，试验后箱体无变形，无开裂;各部件不变形，无断裂、损坏；</w:t>
      </w:r>
    </w:p>
    <w:p w14:paraId="25F73C8D">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9.4行走性能：4km/h负重20KG试验,走轮转动灵活、无卡阻、无变形;轮架、轮轴无变形、开裂;</w:t>
      </w:r>
    </w:p>
    <w:p w14:paraId="55919376">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9.5外层面料断裂强力：经向≥1800N，纬向≥1200N；</w:t>
      </w:r>
    </w:p>
    <w:p w14:paraId="6CE48213">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9.6外层面料撕破强力：≥150N；</w:t>
      </w:r>
    </w:p>
    <w:p w14:paraId="112425F4">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9.7外层面料耐磨性能≥50000r；</w:t>
      </w:r>
    </w:p>
    <w:p w14:paraId="0FBA868D">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9.8外层面料防水性能-静水压法≥200kPa；</w:t>
      </w:r>
    </w:p>
    <w:p w14:paraId="50FC8E4F">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9.9跌落性能（20Kg，距冲击平面900mm），试验后箱体无开裂，走轮、轮轴、支架不断裂。</w:t>
      </w:r>
    </w:p>
    <w:p w14:paraId="7CCE51F4">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10.对讲机</w:t>
      </w:r>
    </w:p>
    <w:p w14:paraId="212B7D83">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sz w:val="24"/>
          <w:highlight w:val="none"/>
        </w:rPr>
        <w:t>10.1在国家无线</w:t>
      </w:r>
      <w:r>
        <w:rPr>
          <w:rFonts w:hint="eastAsia" w:ascii="仿宋" w:hAnsi="仿宋" w:eastAsia="仿宋" w:cs="仿宋"/>
          <w:bCs/>
          <w:color w:val="auto"/>
          <w:sz w:val="24"/>
          <w:highlight w:val="none"/>
        </w:rPr>
        <w:t>电委员会有备案；</w:t>
      </w:r>
    </w:p>
    <w:p w14:paraId="5096A7A4">
      <w:pPr>
        <w:ind w:firstLine="723" w:firstLineChars="300"/>
        <w:jc w:val="lef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w:t>
      </w:r>
      <w:r>
        <w:rPr>
          <w:rFonts w:hint="eastAsia" w:ascii="仿宋" w:hAnsi="仿宋" w:eastAsia="仿宋" w:cs="仿宋"/>
          <w:bCs/>
          <w:color w:val="auto"/>
          <w:sz w:val="24"/>
          <w:highlight w:val="none"/>
        </w:rPr>
        <w:t>10.2具备防尘防水功能，检测等级不低于IP68级；</w:t>
      </w:r>
    </w:p>
    <w:p w14:paraId="0762CAB0">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10.3电池：≤1600毫安时的锂离子电池；</w:t>
      </w:r>
    </w:p>
    <w:p w14:paraId="35871002">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10.4 DMR标准制式，在单机数字模式下可以保持两组语音或数据通道；</w:t>
      </w:r>
    </w:p>
    <w:p w14:paraId="4DB4B5C7">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10.5可以按照模拟模式或数字模式运行；</w:t>
      </w:r>
    </w:p>
    <w:p w14:paraId="564A4644">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10.6内置话筒、扬声器、PTT按钮需做防滑处理、具备不少于2个自定义开关；</w:t>
      </w:r>
    </w:p>
    <w:p w14:paraId="0C6571C6">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10.7支持写入双区域，能支持写入32个信道；</w:t>
      </w:r>
    </w:p>
    <w:p w14:paraId="2A36609A">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10.8支持声控激活（VOX）功能；</w:t>
      </w:r>
    </w:p>
    <w:p w14:paraId="06FB2B07">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10.9数字信道语音加密功能；</w:t>
      </w:r>
    </w:p>
    <w:p w14:paraId="1E091118">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10.10 MIC增益自动可调；</w:t>
      </w:r>
    </w:p>
    <w:p w14:paraId="5CC6CD40">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10.11呼叫方身份识别；</w:t>
      </w:r>
    </w:p>
    <w:p w14:paraId="35ABCB12">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10.12射频功率 　 H：&lt;4W     L：2W</w:t>
      </w:r>
    </w:p>
    <w:p w14:paraId="5FAC4576">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10.13假信号响应 　 ≧70dB；</w:t>
      </w:r>
    </w:p>
    <w:p w14:paraId="3335C3DD">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10.14音频输出功率 　 ≧1000 mW；</w:t>
      </w:r>
    </w:p>
    <w:p w14:paraId="1D052E08">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10.15音频失真 　 ≦ 5%；</w:t>
      </w:r>
    </w:p>
    <w:p w14:paraId="757A7D73">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10.16信道间隔 　 25 kHz/12.5 kHz；</w:t>
      </w:r>
    </w:p>
    <w:p w14:paraId="51BD5B07">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10.17频率稳定度 　 ±2.5ppm；</w:t>
      </w:r>
    </w:p>
    <w:p w14:paraId="3595936E">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10.18工作电压 　 7.5VDC；</w:t>
      </w:r>
    </w:p>
    <w:p w14:paraId="7CFD6A5E">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10.19天线阻抗    50Ω；</w:t>
      </w:r>
    </w:p>
    <w:p w14:paraId="27325C40">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10.20话筒阻抗 　 2.2KΩ。</w:t>
      </w:r>
    </w:p>
    <w:p w14:paraId="5AF7A93B">
      <w:pPr>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11.运动相机</w:t>
      </w:r>
    </w:p>
    <w:p w14:paraId="2812EFC0">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11.1尺寸（宽*高*深）：≤80*60*50（mm）；</w:t>
      </w:r>
    </w:p>
    <w:p w14:paraId="2867BC21">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11.2重量：≤180g；</w:t>
      </w:r>
    </w:p>
    <w:p w14:paraId="308953AB">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11.3电池容量：≥1500mAh；</w:t>
      </w:r>
    </w:p>
    <w:p w14:paraId="1794B273">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11.4防水≥10m；</w:t>
      </w:r>
    </w:p>
    <w:p w14:paraId="1A0C0ADA">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11.5工作温度：-10℃~35℃；</w:t>
      </w:r>
    </w:p>
    <w:p w14:paraId="42F2F0AF">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11.6全新蓝牙音频支持 AirPods 和其他蓝牙音频设备，实现无线录制音频及语音控制。</w:t>
      </w:r>
    </w:p>
    <w:p w14:paraId="4C0535CE">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11.7</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5.3K60、4K120 和 2.7K240 视频分辨率；</w:t>
      </w:r>
    </w:p>
    <w:p w14:paraId="193A6286">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11.8前后双液晶屏：前置1.4英寸显示屏，背面2.27英寸触控屏。</w:t>
      </w:r>
    </w:p>
    <w:p w14:paraId="70A41BD1">
      <w:pPr>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12.防水头灯</w:t>
      </w:r>
    </w:p>
    <w:p w14:paraId="254CB680">
      <w:pPr>
        <w:ind w:firstLine="960" w:firstLineChars="4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12.1为水域救援提供光源，采用三颗3W光源，亮度≥300lm，泛，聚光，信号灯，三种模式搭配。</w:t>
      </w:r>
    </w:p>
    <w:p w14:paraId="4D29F9EB">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12.2泛光、聚光、聚光渐暗、闪烁、红、蓝、绿信号等7种照明模式，灯具聚光具有10%-100%无极调光功能和具有触摸感应开关功能。</w:t>
      </w:r>
    </w:p>
    <w:p w14:paraId="57AEF224">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12.3强光模式下连续照明时间≥90min，工作光模式下连续照明时间≥50h，节能模式下连续照明时间≥200h。</w:t>
      </w:r>
    </w:p>
    <w:p w14:paraId="1F630AA6">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12.4灯具具有四波段式蓝色电量显示功能，可以随时直观的查询电量剩余情况。</w:t>
      </w:r>
    </w:p>
    <w:p w14:paraId="6E40619D">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12.5聚泛光同时开启、满电状态下，lm处强光照度应≥1900lx，2m处强光照度应≥500lx,5m处强光照度应≥60lx。</w:t>
      </w:r>
    </w:p>
    <w:p w14:paraId="45F27CF3">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12.6灯具的外壳防护等级应符合GB/T4208-2017中IP68等级的规定，可在水下使用，1米工作≥100分钟灯具不进水，防水等级≥IP68。</w:t>
      </w:r>
    </w:p>
    <w:p w14:paraId="016CC1D7">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12.7灯具的重量应≤100g。</w:t>
      </w:r>
    </w:p>
    <w:p w14:paraId="1AE7C838">
      <w:pPr>
        <w:ind w:firstLine="723" w:firstLineChars="300"/>
        <w:jc w:val="left"/>
        <w:rPr>
          <w:rFonts w:hint="eastAsia" w:ascii="仿宋" w:hAnsi="仿宋" w:eastAsia="仿宋" w:cs="仿宋"/>
          <w:bCs/>
          <w:sz w:val="24"/>
          <w:highlight w:val="none"/>
        </w:rPr>
      </w:pPr>
      <w:r>
        <w:rPr>
          <w:rFonts w:hint="eastAsia" w:ascii="仿宋" w:hAnsi="仿宋" w:eastAsia="仿宋" w:cs="仿宋"/>
          <w:b/>
          <w:sz w:val="24"/>
          <w:highlight w:val="none"/>
        </w:rPr>
        <w:t>★</w:t>
      </w:r>
      <w:r>
        <w:rPr>
          <w:rFonts w:hint="eastAsia" w:ascii="仿宋" w:hAnsi="仿宋" w:eastAsia="仿宋" w:cs="仿宋"/>
          <w:bCs/>
          <w:sz w:val="24"/>
          <w:highlight w:val="none"/>
        </w:rPr>
        <w:t>12.8灯具信号光夜间可视距离应≥150米。</w:t>
      </w:r>
    </w:p>
    <w:p w14:paraId="1FFD613A">
      <w:pPr>
        <w:ind w:firstLine="960" w:firstLineChars="400"/>
        <w:jc w:val="left"/>
        <w:rPr>
          <w:rFonts w:hint="eastAsia" w:ascii="仿宋" w:hAnsi="仿宋" w:eastAsia="仿宋" w:cs="仿宋"/>
          <w:bCs/>
          <w:sz w:val="24"/>
          <w:highlight w:val="none"/>
        </w:rPr>
      </w:pPr>
      <w:r>
        <w:rPr>
          <w:rFonts w:hint="eastAsia" w:ascii="仿宋" w:hAnsi="仿宋" w:eastAsia="仿宋" w:cs="仿宋"/>
          <w:bCs/>
          <w:sz w:val="24"/>
          <w:highlight w:val="none"/>
        </w:rPr>
        <w:t>12.9灯具可配夹扣卡在头盔上使用，也可选配头带直接戴头上或套在头盔上使用。</w:t>
      </w:r>
    </w:p>
    <w:p w14:paraId="656029AD">
      <w:pPr>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t>注：上述带“★”技术参数，投标时须提供具有CMA或CNAS标志第三方检测机构出具的检测报告作为佐证，带“★”参数须在检测报告中体现。</w:t>
      </w:r>
    </w:p>
    <w:p w14:paraId="2ACF5B28">
      <w:pPr>
        <w:ind w:firstLine="482" w:firstLineChars="200"/>
        <w:jc w:val="left"/>
        <w:rPr>
          <w:rFonts w:hint="eastAsia" w:ascii="仿宋" w:hAnsi="仿宋" w:eastAsia="仿宋" w:cs="仿宋"/>
          <w:b/>
          <w:sz w:val="24"/>
          <w:highlight w:val="none"/>
        </w:rPr>
      </w:pPr>
    </w:p>
    <w:p w14:paraId="65F2C088">
      <w:pPr>
        <w:numPr>
          <w:ilvl w:val="0"/>
          <w:numId w:val="1"/>
        </w:numPr>
        <w:jc w:val="left"/>
        <w:rPr>
          <w:rStyle w:val="7"/>
          <w:rFonts w:hint="eastAsia" w:ascii="宋体" w:hAnsi="宋体" w:eastAsia="仿宋"/>
          <w:sz w:val="24"/>
          <w:szCs w:val="24"/>
          <w:highlight w:val="none"/>
        </w:rPr>
      </w:pPr>
      <w:r>
        <w:rPr>
          <w:rStyle w:val="7"/>
          <w:rFonts w:hint="eastAsia" w:ascii="宋体" w:hAnsi="宋体" w:eastAsia="仿宋"/>
          <w:sz w:val="24"/>
          <w:szCs w:val="24"/>
          <w:highlight w:val="none"/>
        </w:rPr>
        <w:t>其他要求</w:t>
      </w:r>
    </w:p>
    <w:p w14:paraId="37A1DD81">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1、货物的生产、安装、维修、检验、验收等按照以下原则执行：有国家标准的执行国家标准；无国家标准的执行行业标准；无行业标准的执行地方标准；无地方标准的执行企业标准。 </w:t>
      </w:r>
    </w:p>
    <w:p w14:paraId="7292633F">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2、供货时所有货物（包括零部件）须为全新的、未使用过的原装正品，并完全符合国家质量标准，提供厂家出具的合格证书、有国家强制性认证要求的产品须提供相应证书。 </w:t>
      </w:r>
    </w:p>
    <w:p w14:paraId="6D0E408F">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3、质保及售后服务 </w:t>
      </w:r>
    </w:p>
    <w:p w14:paraId="05542FAC">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1）质保期除对讲机、运动相机和防水头灯为自验收合格之日起不少于3年，其余采购货物质保期为自验收合格之日起不少于1年。</w:t>
      </w:r>
    </w:p>
    <w:p w14:paraId="04BD07BF">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2）所投产品所有功能符合或优于招标文件的要求。</w:t>
      </w:r>
    </w:p>
    <w:p w14:paraId="111AE840">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3）设备质保期间，应给产品进行维修服务。 </w:t>
      </w:r>
    </w:p>
    <w:p w14:paraId="3D911FD3">
      <w:pPr>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4、验收</w:t>
      </w:r>
    </w:p>
    <w:p w14:paraId="2EBD3F54">
      <w:pPr>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1）采购人和相关部门按照国家、省、市相关规定标准验收，中标人予以配合。</w:t>
      </w:r>
    </w:p>
    <w:p w14:paraId="09C7ABDB">
      <w:pPr>
        <w:spacing w:line="360" w:lineRule="auto"/>
        <w:ind w:firstLine="480" w:firstLineChars="200"/>
        <w:jc w:val="left"/>
        <w:rPr>
          <w:rStyle w:val="7"/>
          <w:rFonts w:hint="eastAsia" w:ascii="仿宋" w:hAnsi="仿宋" w:eastAsia="仿宋" w:cs="仿宋"/>
          <w:sz w:val="24"/>
          <w:szCs w:val="24"/>
          <w:highlight w:val="none"/>
        </w:rPr>
      </w:pPr>
      <w:r>
        <w:rPr>
          <w:rFonts w:hint="eastAsia" w:ascii="仿宋" w:hAnsi="仿宋" w:eastAsia="仿宋" w:cs="仿宋"/>
          <w:color w:val="000000"/>
          <w:sz w:val="24"/>
          <w:highlight w:val="none"/>
        </w:rPr>
        <w:t>2）货物在验收时，中标供应商应提供制造厂家出具的产品合格证书、装箱清单等相关资料。</w:t>
      </w:r>
    </w:p>
    <w:p w14:paraId="6EAB38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4013AA"/>
    <w:multiLevelType w:val="singleLevel"/>
    <w:tmpl w:val="134013AA"/>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8F64DA"/>
    <w:rsid w:val="1C0F3C96"/>
    <w:rsid w:val="208F64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character" w:customStyle="1" w:styleId="7">
    <w:name w:val="标题 2 Char Char"/>
    <w:qFormat/>
    <w:uiPriority w:val="0"/>
    <w:rPr>
      <w:rFonts w:ascii="Arial" w:hAnsi="Arial" w:eastAsia="黑体" w:cs="Times New Roman"/>
      <w:b/>
      <w:bCs/>
      <w:kern w:val="2"/>
      <w:sz w:val="32"/>
      <w:szCs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2025-06-24T02:40:00Z</dcterms:created>
  <dc:creator>hhd</dc:creator>
  <cp:lastModifiedBy>hhd</cp:lastModifiedBy>
  <dcterms:modified xsi:type="dcterms:W3CDTF">2025-06-24T02:40:33Z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8709053F66F144D0BA254191E5AA4E8D_11</vt:lpwstr>
  </property>
  <property fmtid="{D5CDD505-2E9C-101B-9397-08002B2CF9AE}" pid="4" name="KSOTemplateDocerSaveRecord">
    <vt:lpwstr>eyJoZGlkIjoiNTUzNjY0NWRkYzIzOTUxOWM1NTFlNGUwOTkzNDA1ZTciLCJ1c2VySWQiOiIxNDMyODk3MjMzIn0=</vt:lpwstr>
  </property>
</Properties>
</file>