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60BB9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725D7B7">
      <w:pPr>
        <w:pStyle w:val="4"/>
        <w:jc w:val="left"/>
        <w:outlineLvl w:val="2"/>
      </w:pPr>
      <w:r>
        <w:rPr>
          <w:rFonts w:ascii="仿宋_GB2312" w:hAnsi="仿宋_GB2312" w:eastAsia="仿宋_GB2312" w:cs="仿宋_GB2312"/>
          <w:b/>
          <w:sz w:val="28"/>
        </w:rPr>
        <w:t>3.1.采购内容</w:t>
      </w:r>
    </w:p>
    <w:p w14:paraId="6DEF2741">
      <w:pPr>
        <w:pStyle w:val="4"/>
        <w:jc w:val="left"/>
      </w:pPr>
      <w:r>
        <w:rPr>
          <w:rFonts w:ascii="仿宋_GB2312" w:hAnsi="仿宋_GB2312" w:eastAsia="仿宋_GB2312" w:cs="仿宋_GB2312"/>
        </w:rPr>
        <w:t>采购包1：</w:t>
      </w:r>
    </w:p>
    <w:p w14:paraId="121D9F46">
      <w:pPr>
        <w:pStyle w:val="4"/>
        <w:jc w:val="left"/>
      </w:pPr>
      <w:r>
        <w:rPr>
          <w:rFonts w:ascii="仿宋_GB2312" w:hAnsi="仿宋_GB2312" w:eastAsia="仿宋_GB2312" w:cs="仿宋_GB2312"/>
        </w:rPr>
        <w:t>采购包预算金额（元）: 1,700,000.00</w:t>
      </w:r>
    </w:p>
    <w:p w14:paraId="08DF20F7">
      <w:pPr>
        <w:pStyle w:val="4"/>
        <w:jc w:val="left"/>
      </w:pPr>
      <w:r>
        <w:rPr>
          <w:rFonts w:ascii="仿宋_GB2312" w:hAnsi="仿宋_GB2312" w:eastAsia="仿宋_GB2312" w:cs="仿宋_GB2312"/>
        </w:rPr>
        <w:t>采购包最高限价（元）: 1,659,000.00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1"/>
        <w:gridCol w:w="1116"/>
        <w:gridCol w:w="711"/>
        <w:gridCol w:w="1016"/>
        <w:gridCol w:w="1416"/>
        <w:gridCol w:w="676"/>
        <w:gridCol w:w="676"/>
        <w:gridCol w:w="676"/>
        <w:gridCol w:w="676"/>
        <w:gridCol w:w="559"/>
        <w:gridCol w:w="559"/>
      </w:tblGrid>
      <w:tr w14:paraId="3CC5A073">
        <w:tblPrEx>
          <w:tblCellMar>
            <w:top w:w="0" w:type="dxa"/>
            <w:left w:w="108" w:type="dxa"/>
            <w:bottom w:w="0" w:type="dxa"/>
            <w:right w:w="108" w:type="dxa"/>
          </w:tblCellMar>
        </w:tblPrEx>
        <w:tc>
          <w:tcPr>
            <w:tcW w:w="456" w:type="dxa"/>
          </w:tcPr>
          <w:p w14:paraId="6443C6F8">
            <w:pPr>
              <w:pStyle w:val="4"/>
              <w:jc w:val="center"/>
            </w:pPr>
            <w:r>
              <w:rPr>
                <w:rFonts w:ascii="仿宋_GB2312" w:hAnsi="仿宋_GB2312" w:eastAsia="仿宋_GB2312" w:cs="仿宋_GB2312"/>
              </w:rPr>
              <w:t>序号</w:t>
            </w:r>
          </w:p>
        </w:tc>
        <w:tc>
          <w:tcPr>
            <w:tcW w:w="821" w:type="dxa"/>
          </w:tcPr>
          <w:p w14:paraId="179ADF83">
            <w:pPr>
              <w:pStyle w:val="4"/>
              <w:jc w:val="center"/>
            </w:pPr>
            <w:r>
              <w:rPr>
                <w:rFonts w:ascii="仿宋_GB2312" w:hAnsi="仿宋_GB2312" w:eastAsia="仿宋_GB2312" w:cs="仿宋_GB2312"/>
              </w:rPr>
              <w:t>采购品目名称</w:t>
            </w:r>
          </w:p>
        </w:tc>
        <w:tc>
          <w:tcPr>
            <w:tcW w:w="821" w:type="dxa"/>
          </w:tcPr>
          <w:p w14:paraId="4C06C56D">
            <w:pPr>
              <w:pStyle w:val="4"/>
              <w:jc w:val="center"/>
            </w:pPr>
            <w:r>
              <w:rPr>
                <w:rFonts w:ascii="仿宋_GB2312" w:hAnsi="仿宋_GB2312" w:eastAsia="仿宋_GB2312" w:cs="仿宋_GB2312"/>
              </w:rPr>
              <w:t>标的名称</w:t>
            </w:r>
          </w:p>
        </w:tc>
        <w:tc>
          <w:tcPr>
            <w:tcW w:w="821" w:type="dxa"/>
          </w:tcPr>
          <w:p w14:paraId="207E6D5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D5DC5EE">
            <w:pPr>
              <w:pStyle w:val="4"/>
              <w:jc w:val="center"/>
            </w:pPr>
            <w:r>
              <w:rPr>
                <w:rFonts w:ascii="仿宋_GB2312" w:hAnsi="仿宋_GB2312" w:eastAsia="仿宋_GB2312" w:cs="仿宋_GB2312"/>
              </w:rPr>
              <w:t>标的金额 （元）</w:t>
            </w:r>
          </w:p>
        </w:tc>
        <w:tc>
          <w:tcPr>
            <w:tcW w:w="821" w:type="dxa"/>
          </w:tcPr>
          <w:p w14:paraId="4B5FBFFB">
            <w:pPr>
              <w:pStyle w:val="4"/>
              <w:jc w:val="center"/>
            </w:pPr>
            <w:r>
              <w:rPr>
                <w:rFonts w:ascii="仿宋_GB2312" w:hAnsi="仿宋_GB2312" w:eastAsia="仿宋_GB2312" w:cs="仿宋_GB2312"/>
              </w:rPr>
              <w:t>所属行业</w:t>
            </w:r>
          </w:p>
        </w:tc>
        <w:tc>
          <w:tcPr>
            <w:tcW w:w="821" w:type="dxa"/>
          </w:tcPr>
          <w:p w14:paraId="769C17A2">
            <w:pPr>
              <w:pStyle w:val="4"/>
              <w:jc w:val="center"/>
            </w:pPr>
            <w:r>
              <w:rPr>
                <w:rFonts w:ascii="仿宋_GB2312" w:hAnsi="仿宋_GB2312" w:eastAsia="仿宋_GB2312" w:cs="仿宋_GB2312"/>
              </w:rPr>
              <w:t>是否涉及核心产品</w:t>
            </w:r>
          </w:p>
        </w:tc>
        <w:tc>
          <w:tcPr>
            <w:tcW w:w="821" w:type="dxa"/>
          </w:tcPr>
          <w:p w14:paraId="258C4EC4">
            <w:pPr>
              <w:pStyle w:val="4"/>
              <w:jc w:val="center"/>
            </w:pPr>
            <w:r>
              <w:rPr>
                <w:rFonts w:ascii="仿宋_GB2312" w:hAnsi="仿宋_GB2312" w:eastAsia="仿宋_GB2312" w:cs="仿宋_GB2312"/>
              </w:rPr>
              <w:t>是否涉及采购进口产品</w:t>
            </w:r>
          </w:p>
        </w:tc>
        <w:tc>
          <w:tcPr>
            <w:tcW w:w="821" w:type="dxa"/>
          </w:tcPr>
          <w:p w14:paraId="50C422E9">
            <w:pPr>
              <w:pStyle w:val="4"/>
              <w:jc w:val="center"/>
            </w:pPr>
            <w:r>
              <w:rPr>
                <w:rFonts w:ascii="仿宋_GB2312" w:hAnsi="仿宋_GB2312" w:eastAsia="仿宋_GB2312" w:cs="仿宋_GB2312"/>
              </w:rPr>
              <w:t>是否涉及强制采购节能产品</w:t>
            </w:r>
          </w:p>
        </w:tc>
        <w:tc>
          <w:tcPr>
            <w:tcW w:w="639" w:type="dxa"/>
          </w:tcPr>
          <w:p w14:paraId="5AEFE169">
            <w:pPr>
              <w:pStyle w:val="4"/>
              <w:jc w:val="center"/>
            </w:pPr>
            <w:r>
              <w:rPr>
                <w:rFonts w:ascii="仿宋_GB2312" w:hAnsi="仿宋_GB2312" w:eastAsia="仿宋_GB2312" w:cs="仿宋_GB2312"/>
              </w:rPr>
              <w:t>是否涉及优先采购节能产品</w:t>
            </w:r>
          </w:p>
        </w:tc>
        <w:tc>
          <w:tcPr>
            <w:tcW w:w="639" w:type="dxa"/>
          </w:tcPr>
          <w:p w14:paraId="41496BC9">
            <w:pPr>
              <w:pStyle w:val="4"/>
              <w:jc w:val="center"/>
            </w:pPr>
            <w:r>
              <w:rPr>
                <w:rFonts w:ascii="仿宋_GB2312" w:hAnsi="仿宋_GB2312" w:eastAsia="仿宋_GB2312" w:cs="仿宋_GB2312"/>
              </w:rPr>
              <w:t>是否涉及优先采购环境标志产品</w:t>
            </w:r>
          </w:p>
        </w:tc>
      </w:tr>
      <w:tr w14:paraId="517836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479343">
            <w:pPr>
              <w:pStyle w:val="4"/>
              <w:jc w:val="left"/>
            </w:pPr>
            <w:r>
              <w:rPr>
                <w:rFonts w:ascii="仿宋_GB2312" w:hAnsi="仿宋_GB2312" w:eastAsia="仿宋_GB2312" w:cs="仿宋_GB2312"/>
              </w:rPr>
              <w:t>1</w:t>
            </w:r>
          </w:p>
        </w:tc>
        <w:tc>
          <w:tcPr>
            <w:tcW w:w="821" w:type="dxa"/>
          </w:tcPr>
          <w:p w14:paraId="6044602F">
            <w:pPr>
              <w:pStyle w:val="4"/>
              <w:jc w:val="left"/>
            </w:pPr>
            <w:r>
              <w:rPr>
                <w:rFonts w:ascii="仿宋_GB2312" w:hAnsi="仿宋_GB2312" w:eastAsia="仿宋_GB2312" w:cs="仿宋_GB2312"/>
              </w:rPr>
              <w:t>A02061908 室内照明灯具</w:t>
            </w:r>
          </w:p>
        </w:tc>
        <w:tc>
          <w:tcPr>
            <w:tcW w:w="821" w:type="dxa"/>
          </w:tcPr>
          <w:p w14:paraId="1908333E">
            <w:pPr>
              <w:pStyle w:val="4"/>
              <w:jc w:val="left"/>
            </w:pPr>
            <w:r>
              <w:rPr>
                <w:rFonts w:ascii="仿宋_GB2312" w:hAnsi="仿宋_GB2312" w:eastAsia="仿宋_GB2312" w:cs="仿宋_GB2312"/>
              </w:rPr>
              <w:t>LED教室灯</w:t>
            </w:r>
          </w:p>
        </w:tc>
        <w:tc>
          <w:tcPr>
            <w:tcW w:w="821" w:type="dxa"/>
          </w:tcPr>
          <w:p w14:paraId="4D6A9045">
            <w:pPr>
              <w:pStyle w:val="4"/>
              <w:jc w:val="right"/>
            </w:pPr>
            <w:r>
              <w:rPr>
                <w:rFonts w:ascii="仿宋_GB2312" w:hAnsi="仿宋_GB2312" w:eastAsia="仿宋_GB2312" w:cs="仿宋_GB2312"/>
              </w:rPr>
              <w:t>1,800.00（个）</w:t>
            </w:r>
          </w:p>
        </w:tc>
        <w:tc>
          <w:tcPr>
            <w:tcW w:w="821" w:type="dxa"/>
          </w:tcPr>
          <w:p w14:paraId="22E43164">
            <w:pPr>
              <w:pStyle w:val="4"/>
              <w:jc w:val="right"/>
            </w:pPr>
            <w:r>
              <w:rPr>
                <w:rFonts w:ascii="仿宋_GB2312" w:hAnsi="仿宋_GB2312" w:eastAsia="仿宋_GB2312" w:cs="仿宋_GB2312"/>
              </w:rPr>
              <w:t>1,242,000.00</w:t>
            </w:r>
          </w:p>
        </w:tc>
        <w:tc>
          <w:tcPr>
            <w:tcW w:w="821" w:type="dxa"/>
          </w:tcPr>
          <w:p w14:paraId="6F8B6B5B">
            <w:pPr>
              <w:pStyle w:val="4"/>
              <w:jc w:val="left"/>
            </w:pPr>
            <w:r>
              <w:rPr>
                <w:rFonts w:ascii="仿宋_GB2312" w:hAnsi="仿宋_GB2312" w:eastAsia="仿宋_GB2312" w:cs="仿宋_GB2312"/>
              </w:rPr>
              <w:t>工业</w:t>
            </w:r>
          </w:p>
        </w:tc>
        <w:tc>
          <w:tcPr>
            <w:tcW w:w="821" w:type="dxa"/>
          </w:tcPr>
          <w:p w14:paraId="3A0D231B">
            <w:pPr>
              <w:pStyle w:val="4"/>
              <w:jc w:val="left"/>
            </w:pPr>
            <w:r>
              <w:rPr>
                <w:rFonts w:ascii="仿宋_GB2312" w:hAnsi="仿宋_GB2312" w:eastAsia="仿宋_GB2312" w:cs="仿宋_GB2312"/>
              </w:rPr>
              <w:t>是</w:t>
            </w:r>
          </w:p>
        </w:tc>
        <w:tc>
          <w:tcPr>
            <w:tcW w:w="821" w:type="dxa"/>
          </w:tcPr>
          <w:p w14:paraId="3FFFB3CE">
            <w:pPr>
              <w:pStyle w:val="4"/>
              <w:jc w:val="left"/>
            </w:pPr>
            <w:r>
              <w:rPr>
                <w:rFonts w:ascii="仿宋_GB2312" w:hAnsi="仿宋_GB2312" w:eastAsia="仿宋_GB2312" w:cs="仿宋_GB2312"/>
              </w:rPr>
              <w:t>否</w:t>
            </w:r>
          </w:p>
        </w:tc>
        <w:tc>
          <w:tcPr>
            <w:tcW w:w="821" w:type="dxa"/>
          </w:tcPr>
          <w:p w14:paraId="093A8EB5">
            <w:pPr>
              <w:pStyle w:val="4"/>
              <w:jc w:val="left"/>
            </w:pPr>
            <w:r>
              <w:rPr>
                <w:rFonts w:ascii="仿宋_GB2312" w:hAnsi="仿宋_GB2312" w:eastAsia="仿宋_GB2312" w:cs="仿宋_GB2312"/>
              </w:rPr>
              <w:t>否</w:t>
            </w:r>
          </w:p>
        </w:tc>
        <w:tc>
          <w:tcPr>
            <w:tcW w:w="639" w:type="dxa"/>
          </w:tcPr>
          <w:p w14:paraId="5651914C">
            <w:pPr>
              <w:pStyle w:val="4"/>
              <w:jc w:val="left"/>
            </w:pPr>
            <w:r>
              <w:rPr>
                <w:rFonts w:ascii="仿宋_GB2312" w:hAnsi="仿宋_GB2312" w:eastAsia="仿宋_GB2312" w:cs="仿宋_GB2312"/>
              </w:rPr>
              <w:t>是</w:t>
            </w:r>
          </w:p>
        </w:tc>
        <w:tc>
          <w:tcPr>
            <w:tcW w:w="639" w:type="dxa"/>
          </w:tcPr>
          <w:p w14:paraId="386BD01E">
            <w:pPr>
              <w:pStyle w:val="4"/>
              <w:jc w:val="left"/>
            </w:pPr>
            <w:r>
              <w:rPr>
                <w:rFonts w:ascii="仿宋_GB2312" w:hAnsi="仿宋_GB2312" w:eastAsia="仿宋_GB2312" w:cs="仿宋_GB2312"/>
              </w:rPr>
              <w:t>是</w:t>
            </w:r>
          </w:p>
        </w:tc>
      </w:tr>
      <w:tr w14:paraId="0DB6D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D6E51C">
            <w:pPr>
              <w:pStyle w:val="4"/>
              <w:jc w:val="left"/>
            </w:pPr>
            <w:r>
              <w:rPr>
                <w:rFonts w:ascii="仿宋_GB2312" w:hAnsi="仿宋_GB2312" w:eastAsia="仿宋_GB2312" w:cs="仿宋_GB2312"/>
              </w:rPr>
              <w:t>2</w:t>
            </w:r>
          </w:p>
        </w:tc>
        <w:tc>
          <w:tcPr>
            <w:tcW w:w="821" w:type="dxa"/>
          </w:tcPr>
          <w:p w14:paraId="2CCC33F3">
            <w:pPr>
              <w:pStyle w:val="4"/>
              <w:jc w:val="left"/>
            </w:pPr>
            <w:r>
              <w:rPr>
                <w:rFonts w:ascii="仿宋_GB2312" w:hAnsi="仿宋_GB2312" w:eastAsia="仿宋_GB2312" w:cs="仿宋_GB2312"/>
              </w:rPr>
              <w:t>A02061908 室内照明灯具</w:t>
            </w:r>
          </w:p>
        </w:tc>
        <w:tc>
          <w:tcPr>
            <w:tcW w:w="821" w:type="dxa"/>
          </w:tcPr>
          <w:p w14:paraId="0BF6A414">
            <w:pPr>
              <w:pStyle w:val="4"/>
              <w:jc w:val="left"/>
            </w:pPr>
            <w:r>
              <w:rPr>
                <w:rFonts w:ascii="仿宋_GB2312" w:hAnsi="仿宋_GB2312" w:eastAsia="仿宋_GB2312" w:cs="仿宋_GB2312"/>
              </w:rPr>
              <w:t>LED黑板灯</w:t>
            </w:r>
          </w:p>
        </w:tc>
        <w:tc>
          <w:tcPr>
            <w:tcW w:w="821" w:type="dxa"/>
          </w:tcPr>
          <w:p w14:paraId="6FCFAB28">
            <w:pPr>
              <w:pStyle w:val="4"/>
              <w:jc w:val="right"/>
            </w:pPr>
            <w:r>
              <w:rPr>
                <w:rFonts w:ascii="仿宋_GB2312" w:hAnsi="仿宋_GB2312" w:eastAsia="仿宋_GB2312" w:cs="仿宋_GB2312"/>
              </w:rPr>
              <w:t>600.00（个）</w:t>
            </w:r>
          </w:p>
        </w:tc>
        <w:tc>
          <w:tcPr>
            <w:tcW w:w="821" w:type="dxa"/>
          </w:tcPr>
          <w:p w14:paraId="363F59CF">
            <w:pPr>
              <w:pStyle w:val="4"/>
              <w:jc w:val="right"/>
            </w:pPr>
            <w:r>
              <w:rPr>
                <w:rFonts w:ascii="仿宋_GB2312" w:hAnsi="仿宋_GB2312" w:eastAsia="仿宋_GB2312" w:cs="仿宋_GB2312"/>
              </w:rPr>
              <w:t>417,000.00</w:t>
            </w:r>
          </w:p>
        </w:tc>
        <w:tc>
          <w:tcPr>
            <w:tcW w:w="821" w:type="dxa"/>
          </w:tcPr>
          <w:p w14:paraId="73B7AEC3">
            <w:pPr>
              <w:pStyle w:val="4"/>
              <w:jc w:val="left"/>
            </w:pPr>
            <w:r>
              <w:rPr>
                <w:rFonts w:ascii="仿宋_GB2312" w:hAnsi="仿宋_GB2312" w:eastAsia="仿宋_GB2312" w:cs="仿宋_GB2312"/>
              </w:rPr>
              <w:t>工业</w:t>
            </w:r>
          </w:p>
        </w:tc>
        <w:tc>
          <w:tcPr>
            <w:tcW w:w="821" w:type="dxa"/>
          </w:tcPr>
          <w:p w14:paraId="7ACEFA10">
            <w:pPr>
              <w:pStyle w:val="4"/>
              <w:jc w:val="left"/>
            </w:pPr>
            <w:r>
              <w:rPr>
                <w:rFonts w:ascii="仿宋_GB2312" w:hAnsi="仿宋_GB2312" w:eastAsia="仿宋_GB2312" w:cs="仿宋_GB2312"/>
              </w:rPr>
              <w:t>否</w:t>
            </w:r>
          </w:p>
        </w:tc>
        <w:tc>
          <w:tcPr>
            <w:tcW w:w="821" w:type="dxa"/>
          </w:tcPr>
          <w:p w14:paraId="641D0605">
            <w:pPr>
              <w:pStyle w:val="4"/>
              <w:jc w:val="left"/>
            </w:pPr>
            <w:r>
              <w:rPr>
                <w:rFonts w:ascii="仿宋_GB2312" w:hAnsi="仿宋_GB2312" w:eastAsia="仿宋_GB2312" w:cs="仿宋_GB2312"/>
              </w:rPr>
              <w:t>否</w:t>
            </w:r>
          </w:p>
        </w:tc>
        <w:tc>
          <w:tcPr>
            <w:tcW w:w="821" w:type="dxa"/>
          </w:tcPr>
          <w:p w14:paraId="3B83CD4F">
            <w:pPr>
              <w:pStyle w:val="4"/>
              <w:jc w:val="left"/>
            </w:pPr>
            <w:r>
              <w:rPr>
                <w:rFonts w:ascii="仿宋_GB2312" w:hAnsi="仿宋_GB2312" w:eastAsia="仿宋_GB2312" w:cs="仿宋_GB2312"/>
              </w:rPr>
              <w:t>否</w:t>
            </w:r>
          </w:p>
        </w:tc>
        <w:tc>
          <w:tcPr>
            <w:tcW w:w="639" w:type="dxa"/>
          </w:tcPr>
          <w:p w14:paraId="50596B44">
            <w:pPr>
              <w:pStyle w:val="4"/>
              <w:jc w:val="left"/>
            </w:pPr>
            <w:r>
              <w:rPr>
                <w:rFonts w:ascii="仿宋_GB2312" w:hAnsi="仿宋_GB2312" w:eastAsia="仿宋_GB2312" w:cs="仿宋_GB2312"/>
              </w:rPr>
              <w:t>是</w:t>
            </w:r>
          </w:p>
        </w:tc>
        <w:tc>
          <w:tcPr>
            <w:tcW w:w="639" w:type="dxa"/>
          </w:tcPr>
          <w:p w14:paraId="004BE9CD">
            <w:pPr>
              <w:pStyle w:val="4"/>
              <w:jc w:val="left"/>
            </w:pPr>
            <w:r>
              <w:rPr>
                <w:rFonts w:ascii="仿宋_GB2312" w:hAnsi="仿宋_GB2312" w:eastAsia="仿宋_GB2312" w:cs="仿宋_GB2312"/>
              </w:rPr>
              <w:t>是</w:t>
            </w:r>
          </w:p>
        </w:tc>
      </w:tr>
    </w:tbl>
    <w:p w14:paraId="4FE4802A">
      <w:pPr>
        <w:pStyle w:val="4"/>
        <w:jc w:val="left"/>
      </w:pPr>
      <w:r>
        <w:rPr>
          <w:rFonts w:ascii="仿宋_GB2312" w:hAnsi="仿宋_GB2312" w:eastAsia="仿宋_GB2312" w:cs="仿宋_GB2312"/>
        </w:rPr>
        <w:t>是否适用本国产品标准：是</w:t>
      </w:r>
    </w:p>
    <w:p w14:paraId="56F66982">
      <w:pPr>
        <w:pStyle w:val="4"/>
        <w:jc w:val="left"/>
        <w:outlineLvl w:val="3"/>
      </w:pPr>
      <w:r>
        <w:rPr>
          <w:rFonts w:ascii="仿宋_GB2312" w:hAnsi="仿宋_GB2312" w:eastAsia="仿宋_GB2312" w:cs="仿宋_GB2312"/>
          <w:b/>
          <w:sz w:val="24"/>
        </w:rPr>
        <w:t>报价要求</w:t>
      </w:r>
    </w:p>
    <w:p w14:paraId="26F82D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C9666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085FAB">
            <w:pPr>
              <w:pStyle w:val="4"/>
              <w:jc w:val="center"/>
            </w:pPr>
            <w:r>
              <w:rPr>
                <w:rFonts w:ascii="仿宋_GB2312" w:hAnsi="仿宋_GB2312" w:eastAsia="仿宋_GB2312" w:cs="仿宋_GB2312"/>
              </w:rPr>
              <w:t>序号</w:t>
            </w:r>
          </w:p>
        </w:tc>
        <w:tc>
          <w:tcPr>
            <w:tcW w:w="1707" w:type="dxa"/>
          </w:tcPr>
          <w:p w14:paraId="1FA5F74C">
            <w:pPr>
              <w:pStyle w:val="4"/>
              <w:jc w:val="center"/>
            </w:pPr>
            <w:r>
              <w:rPr>
                <w:rFonts w:ascii="仿宋_GB2312" w:hAnsi="仿宋_GB2312" w:eastAsia="仿宋_GB2312" w:cs="仿宋_GB2312"/>
              </w:rPr>
              <w:t>报价内容</w:t>
            </w:r>
          </w:p>
        </w:tc>
        <w:tc>
          <w:tcPr>
            <w:tcW w:w="1138" w:type="dxa"/>
          </w:tcPr>
          <w:p w14:paraId="40F4C81A">
            <w:pPr>
              <w:pStyle w:val="4"/>
              <w:jc w:val="center"/>
            </w:pPr>
            <w:r>
              <w:rPr>
                <w:rFonts w:ascii="仿宋_GB2312" w:hAnsi="仿宋_GB2312" w:eastAsia="仿宋_GB2312" w:cs="仿宋_GB2312"/>
              </w:rPr>
              <w:t>数量（计量单位）</w:t>
            </w:r>
          </w:p>
        </w:tc>
        <w:tc>
          <w:tcPr>
            <w:tcW w:w="1365" w:type="dxa"/>
          </w:tcPr>
          <w:p w14:paraId="1BB7644B">
            <w:pPr>
              <w:pStyle w:val="4"/>
              <w:jc w:val="center"/>
            </w:pPr>
            <w:r>
              <w:rPr>
                <w:rFonts w:ascii="仿宋_GB2312" w:hAnsi="仿宋_GB2312" w:eastAsia="仿宋_GB2312" w:cs="仿宋_GB2312"/>
              </w:rPr>
              <w:t>最高限价</w:t>
            </w:r>
          </w:p>
        </w:tc>
        <w:tc>
          <w:tcPr>
            <w:tcW w:w="1138" w:type="dxa"/>
          </w:tcPr>
          <w:p w14:paraId="5BB918FD">
            <w:pPr>
              <w:pStyle w:val="4"/>
              <w:jc w:val="center"/>
            </w:pPr>
            <w:r>
              <w:rPr>
                <w:rFonts w:ascii="仿宋_GB2312" w:hAnsi="仿宋_GB2312" w:eastAsia="仿宋_GB2312" w:cs="仿宋_GB2312"/>
              </w:rPr>
              <w:t>价款形式</w:t>
            </w:r>
          </w:p>
        </w:tc>
        <w:tc>
          <w:tcPr>
            <w:tcW w:w="1934" w:type="dxa"/>
          </w:tcPr>
          <w:p w14:paraId="535446DC">
            <w:pPr>
              <w:pStyle w:val="4"/>
              <w:jc w:val="center"/>
            </w:pPr>
            <w:r>
              <w:rPr>
                <w:rFonts w:ascii="仿宋_GB2312" w:hAnsi="仿宋_GB2312" w:eastAsia="仿宋_GB2312" w:cs="仿宋_GB2312"/>
              </w:rPr>
              <w:t>报价说明</w:t>
            </w:r>
          </w:p>
        </w:tc>
      </w:tr>
      <w:tr w14:paraId="63BC2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4AC09A">
            <w:pPr>
              <w:pStyle w:val="4"/>
              <w:jc w:val="center"/>
            </w:pPr>
            <w:r>
              <w:rPr>
                <w:rFonts w:ascii="仿宋_GB2312" w:hAnsi="仿宋_GB2312" w:eastAsia="仿宋_GB2312" w:cs="仿宋_GB2312"/>
              </w:rPr>
              <w:t>1</w:t>
            </w:r>
          </w:p>
        </w:tc>
        <w:tc>
          <w:tcPr>
            <w:tcW w:w="1707" w:type="dxa"/>
          </w:tcPr>
          <w:p w14:paraId="0E8D6E7A">
            <w:pPr>
              <w:pStyle w:val="4"/>
              <w:jc w:val="center"/>
            </w:pPr>
            <w:r>
              <w:rPr>
                <w:rFonts w:ascii="仿宋_GB2312" w:hAnsi="仿宋_GB2312" w:eastAsia="仿宋_GB2312" w:cs="仿宋_GB2312"/>
              </w:rPr>
              <w:t>LED教室灯</w:t>
            </w:r>
          </w:p>
        </w:tc>
        <w:tc>
          <w:tcPr>
            <w:tcW w:w="1138" w:type="dxa"/>
          </w:tcPr>
          <w:p w14:paraId="7438C1CE">
            <w:pPr>
              <w:pStyle w:val="4"/>
              <w:jc w:val="center"/>
            </w:pPr>
            <w:r>
              <w:rPr>
                <w:rFonts w:ascii="仿宋_GB2312" w:hAnsi="仿宋_GB2312" w:eastAsia="仿宋_GB2312" w:cs="仿宋_GB2312"/>
              </w:rPr>
              <w:t>1,800.00（个）</w:t>
            </w:r>
          </w:p>
        </w:tc>
        <w:tc>
          <w:tcPr>
            <w:tcW w:w="1365" w:type="dxa"/>
          </w:tcPr>
          <w:p w14:paraId="331A6754">
            <w:pPr>
              <w:pStyle w:val="4"/>
              <w:jc w:val="center"/>
            </w:pPr>
            <w:r>
              <w:rPr>
                <w:rFonts w:ascii="仿宋_GB2312" w:hAnsi="仿宋_GB2312" w:eastAsia="仿宋_GB2312" w:cs="仿宋_GB2312"/>
              </w:rPr>
              <w:t>1,242,000.00</w:t>
            </w:r>
          </w:p>
        </w:tc>
        <w:tc>
          <w:tcPr>
            <w:tcW w:w="1138" w:type="dxa"/>
          </w:tcPr>
          <w:p w14:paraId="1B015E09">
            <w:pPr>
              <w:pStyle w:val="4"/>
              <w:jc w:val="center"/>
            </w:pPr>
            <w:r>
              <w:rPr>
                <w:rFonts w:ascii="仿宋_GB2312" w:hAnsi="仿宋_GB2312" w:eastAsia="仿宋_GB2312" w:cs="仿宋_GB2312"/>
              </w:rPr>
              <w:t>总价</w:t>
            </w:r>
          </w:p>
        </w:tc>
        <w:tc>
          <w:tcPr>
            <w:tcW w:w="1934" w:type="dxa"/>
          </w:tcPr>
          <w:p w14:paraId="526B483C">
            <w:pPr>
              <w:pStyle w:val="4"/>
              <w:jc w:val="left"/>
            </w:pPr>
            <w:r>
              <w:rPr>
                <w:rFonts w:ascii="仿宋_GB2312" w:hAnsi="仿宋_GB2312" w:eastAsia="仿宋_GB2312" w:cs="仿宋_GB2312"/>
              </w:rPr>
              <w:t>无</w:t>
            </w:r>
          </w:p>
        </w:tc>
      </w:tr>
      <w:tr w14:paraId="305CA2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7AF2F5">
            <w:pPr>
              <w:pStyle w:val="4"/>
              <w:jc w:val="center"/>
            </w:pPr>
            <w:r>
              <w:rPr>
                <w:rFonts w:ascii="仿宋_GB2312" w:hAnsi="仿宋_GB2312" w:eastAsia="仿宋_GB2312" w:cs="仿宋_GB2312"/>
              </w:rPr>
              <w:t>2</w:t>
            </w:r>
          </w:p>
        </w:tc>
        <w:tc>
          <w:tcPr>
            <w:tcW w:w="1707" w:type="dxa"/>
          </w:tcPr>
          <w:p w14:paraId="238905BD">
            <w:pPr>
              <w:pStyle w:val="4"/>
              <w:jc w:val="center"/>
            </w:pPr>
            <w:r>
              <w:rPr>
                <w:rFonts w:ascii="仿宋_GB2312" w:hAnsi="仿宋_GB2312" w:eastAsia="仿宋_GB2312" w:cs="仿宋_GB2312"/>
              </w:rPr>
              <w:t>LED黑板灯</w:t>
            </w:r>
          </w:p>
        </w:tc>
        <w:tc>
          <w:tcPr>
            <w:tcW w:w="1138" w:type="dxa"/>
          </w:tcPr>
          <w:p w14:paraId="6C7D630F">
            <w:pPr>
              <w:pStyle w:val="4"/>
              <w:jc w:val="center"/>
            </w:pPr>
            <w:r>
              <w:rPr>
                <w:rFonts w:ascii="仿宋_GB2312" w:hAnsi="仿宋_GB2312" w:eastAsia="仿宋_GB2312" w:cs="仿宋_GB2312"/>
              </w:rPr>
              <w:t>600.00（个）</w:t>
            </w:r>
          </w:p>
        </w:tc>
        <w:tc>
          <w:tcPr>
            <w:tcW w:w="1365" w:type="dxa"/>
          </w:tcPr>
          <w:p w14:paraId="7BB4637B">
            <w:pPr>
              <w:pStyle w:val="4"/>
              <w:jc w:val="center"/>
            </w:pPr>
            <w:r>
              <w:rPr>
                <w:rFonts w:ascii="仿宋_GB2312" w:hAnsi="仿宋_GB2312" w:eastAsia="仿宋_GB2312" w:cs="仿宋_GB2312"/>
              </w:rPr>
              <w:t>417,000.00</w:t>
            </w:r>
          </w:p>
        </w:tc>
        <w:tc>
          <w:tcPr>
            <w:tcW w:w="1138" w:type="dxa"/>
          </w:tcPr>
          <w:p w14:paraId="7F5CB216">
            <w:pPr>
              <w:pStyle w:val="4"/>
              <w:jc w:val="center"/>
            </w:pPr>
            <w:r>
              <w:rPr>
                <w:rFonts w:ascii="仿宋_GB2312" w:hAnsi="仿宋_GB2312" w:eastAsia="仿宋_GB2312" w:cs="仿宋_GB2312"/>
              </w:rPr>
              <w:t>总价</w:t>
            </w:r>
          </w:p>
        </w:tc>
        <w:tc>
          <w:tcPr>
            <w:tcW w:w="1934" w:type="dxa"/>
          </w:tcPr>
          <w:p w14:paraId="0C0DD56C">
            <w:pPr>
              <w:pStyle w:val="4"/>
              <w:jc w:val="left"/>
            </w:pPr>
            <w:r>
              <w:rPr>
                <w:rFonts w:ascii="仿宋_GB2312" w:hAnsi="仿宋_GB2312" w:eastAsia="仿宋_GB2312" w:cs="仿宋_GB2312"/>
              </w:rPr>
              <w:t>无</w:t>
            </w:r>
          </w:p>
        </w:tc>
      </w:tr>
    </w:tbl>
    <w:p w14:paraId="74C4C170">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C79DBA3">
      <w:pPr>
        <w:pStyle w:val="4"/>
        <w:jc w:val="left"/>
        <w:outlineLvl w:val="3"/>
      </w:pPr>
      <w:r>
        <w:rPr>
          <w:rFonts w:ascii="仿宋_GB2312" w:hAnsi="仿宋_GB2312" w:eastAsia="仿宋_GB2312" w:cs="仿宋_GB2312"/>
          <w:b/>
          <w:sz w:val="24"/>
        </w:rPr>
        <w:t>本项目涉及核心产品：</w:t>
      </w:r>
    </w:p>
    <w:p w14:paraId="571DA34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DDF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25A5664">
            <w:pPr>
              <w:pStyle w:val="4"/>
              <w:jc w:val="center"/>
            </w:pPr>
            <w:r>
              <w:rPr>
                <w:rFonts w:ascii="仿宋_GB2312" w:hAnsi="仿宋_GB2312" w:eastAsia="仿宋_GB2312" w:cs="仿宋_GB2312"/>
              </w:rPr>
              <w:t>序号</w:t>
            </w:r>
          </w:p>
        </w:tc>
        <w:tc>
          <w:tcPr>
            <w:tcW w:w="2492" w:type="dxa"/>
          </w:tcPr>
          <w:p w14:paraId="69BB65D1">
            <w:pPr>
              <w:pStyle w:val="4"/>
              <w:jc w:val="center"/>
            </w:pPr>
            <w:r>
              <w:rPr>
                <w:rFonts w:ascii="仿宋_GB2312" w:hAnsi="仿宋_GB2312" w:eastAsia="仿宋_GB2312" w:cs="仿宋_GB2312"/>
              </w:rPr>
              <w:t>采购品目名称</w:t>
            </w:r>
          </w:p>
        </w:tc>
        <w:tc>
          <w:tcPr>
            <w:tcW w:w="2492" w:type="dxa"/>
          </w:tcPr>
          <w:p w14:paraId="3516DF6E">
            <w:pPr>
              <w:pStyle w:val="4"/>
              <w:jc w:val="center"/>
            </w:pPr>
            <w:r>
              <w:rPr>
                <w:rFonts w:ascii="仿宋_GB2312" w:hAnsi="仿宋_GB2312" w:eastAsia="仿宋_GB2312" w:cs="仿宋_GB2312"/>
              </w:rPr>
              <w:t>标的名称</w:t>
            </w:r>
          </w:p>
        </w:tc>
        <w:tc>
          <w:tcPr>
            <w:tcW w:w="2492" w:type="dxa"/>
          </w:tcPr>
          <w:p w14:paraId="79DEC597">
            <w:pPr>
              <w:pStyle w:val="4"/>
              <w:jc w:val="center"/>
            </w:pPr>
            <w:r>
              <w:rPr>
                <w:rFonts w:ascii="仿宋_GB2312" w:hAnsi="仿宋_GB2312" w:eastAsia="仿宋_GB2312" w:cs="仿宋_GB2312"/>
              </w:rPr>
              <w:t>产品名称</w:t>
            </w:r>
          </w:p>
        </w:tc>
      </w:tr>
      <w:tr w14:paraId="629DA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773923">
            <w:pPr>
              <w:pStyle w:val="4"/>
              <w:jc w:val="left"/>
            </w:pPr>
            <w:r>
              <w:rPr>
                <w:rFonts w:ascii="仿宋_GB2312" w:hAnsi="仿宋_GB2312" w:eastAsia="仿宋_GB2312" w:cs="仿宋_GB2312"/>
              </w:rPr>
              <w:t>1</w:t>
            </w:r>
          </w:p>
        </w:tc>
        <w:tc>
          <w:tcPr>
            <w:tcW w:w="2492" w:type="dxa"/>
          </w:tcPr>
          <w:p w14:paraId="2998945F">
            <w:pPr>
              <w:pStyle w:val="4"/>
              <w:jc w:val="left"/>
            </w:pPr>
            <w:r>
              <w:rPr>
                <w:rFonts w:ascii="仿宋_GB2312" w:hAnsi="仿宋_GB2312" w:eastAsia="仿宋_GB2312" w:cs="仿宋_GB2312"/>
              </w:rPr>
              <w:t>A02061908 室内照明灯具</w:t>
            </w:r>
          </w:p>
        </w:tc>
        <w:tc>
          <w:tcPr>
            <w:tcW w:w="2492" w:type="dxa"/>
          </w:tcPr>
          <w:p w14:paraId="1EF9DBB8">
            <w:pPr>
              <w:pStyle w:val="4"/>
              <w:jc w:val="left"/>
            </w:pPr>
            <w:r>
              <w:rPr>
                <w:rFonts w:ascii="仿宋_GB2312" w:hAnsi="仿宋_GB2312" w:eastAsia="仿宋_GB2312" w:cs="仿宋_GB2312"/>
              </w:rPr>
              <w:t>LED教室灯</w:t>
            </w:r>
          </w:p>
        </w:tc>
        <w:tc>
          <w:tcPr>
            <w:tcW w:w="2492" w:type="dxa"/>
          </w:tcPr>
          <w:p w14:paraId="6474190C">
            <w:pPr>
              <w:pStyle w:val="4"/>
              <w:jc w:val="left"/>
            </w:pPr>
            <w:r>
              <w:rPr>
                <w:rFonts w:ascii="仿宋_GB2312" w:hAnsi="仿宋_GB2312" w:eastAsia="仿宋_GB2312" w:cs="仿宋_GB2312"/>
              </w:rPr>
              <w:t>LED教室灯</w:t>
            </w:r>
          </w:p>
        </w:tc>
      </w:tr>
    </w:tbl>
    <w:p w14:paraId="0F9427AF">
      <w:pPr>
        <w:pStyle w:val="4"/>
        <w:ind w:firstLine="480"/>
        <w:jc w:val="left"/>
      </w:pPr>
      <w:r>
        <w:rPr>
          <w:rFonts w:ascii="仿宋_GB2312" w:hAnsi="仿宋_GB2312" w:eastAsia="仿宋_GB2312" w:cs="仿宋_GB2312"/>
        </w:rPr>
        <w:t>注：涉及核心产品的，具体评审规定见第五章。</w:t>
      </w:r>
    </w:p>
    <w:p w14:paraId="6CB63D31">
      <w:pPr>
        <w:pStyle w:val="4"/>
        <w:jc w:val="left"/>
        <w:outlineLvl w:val="3"/>
      </w:pPr>
      <w:r>
        <w:rPr>
          <w:rFonts w:ascii="仿宋_GB2312" w:hAnsi="仿宋_GB2312" w:eastAsia="仿宋_GB2312" w:cs="仿宋_GB2312"/>
          <w:b/>
          <w:sz w:val="24"/>
        </w:rPr>
        <w:t>本项目涉及采购进口产品：</w:t>
      </w:r>
    </w:p>
    <w:p w14:paraId="04EF7FD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F134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83601C">
            <w:pPr>
              <w:pStyle w:val="4"/>
              <w:jc w:val="center"/>
            </w:pPr>
            <w:r>
              <w:rPr>
                <w:rFonts w:ascii="仿宋_GB2312" w:hAnsi="仿宋_GB2312" w:eastAsia="仿宋_GB2312" w:cs="仿宋_GB2312"/>
              </w:rPr>
              <w:t>序号</w:t>
            </w:r>
          </w:p>
        </w:tc>
        <w:tc>
          <w:tcPr>
            <w:tcW w:w="2492" w:type="dxa"/>
          </w:tcPr>
          <w:p w14:paraId="233AA3CF">
            <w:pPr>
              <w:pStyle w:val="4"/>
              <w:jc w:val="center"/>
            </w:pPr>
            <w:r>
              <w:rPr>
                <w:rFonts w:ascii="仿宋_GB2312" w:hAnsi="仿宋_GB2312" w:eastAsia="仿宋_GB2312" w:cs="仿宋_GB2312"/>
              </w:rPr>
              <w:t>采购品目名称</w:t>
            </w:r>
          </w:p>
        </w:tc>
        <w:tc>
          <w:tcPr>
            <w:tcW w:w="2492" w:type="dxa"/>
          </w:tcPr>
          <w:p w14:paraId="08BF9A0F">
            <w:pPr>
              <w:pStyle w:val="4"/>
              <w:jc w:val="center"/>
            </w:pPr>
            <w:r>
              <w:rPr>
                <w:rFonts w:ascii="仿宋_GB2312" w:hAnsi="仿宋_GB2312" w:eastAsia="仿宋_GB2312" w:cs="仿宋_GB2312"/>
              </w:rPr>
              <w:t>标的名称</w:t>
            </w:r>
          </w:p>
        </w:tc>
        <w:tc>
          <w:tcPr>
            <w:tcW w:w="2492" w:type="dxa"/>
          </w:tcPr>
          <w:p w14:paraId="02EFD6C7">
            <w:pPr>
              <w:pStyle w:val="4"/>
              <w:jc w:val="center"/>
            </w:pPr>
            <w:r>
              <w:rPr>
                <w:rFonts w:ascii="仿宋_GB2312" w:hAnsi="仿宋_GB2312" w:eastAsia="仿宋_GB2312" w:cs="仿宋_GB2312"/>
              </w:rPr>
              <w:t>产品名称</w:t>
            </w:r>
          </w:p>
        </w:tc>
      </w:tr>
      <w:tr w14:paraId="76F57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F88D3DB">
            <w:pPr>
              <w:pStyle w:val="4"/>
              <w:jc w:val="center"/>
            </w:pPr>
            <w:r>
              <w:rPr>
                <w:rFonts w:ascii="仿宋_GB2312" w:hAnsi="仿宋_GB2312" w:eastAsia="仿宋_GB2312" w:cs="仿宋_GB2312"/>
              </w:rPr>
              <w:t>不涉及</w:t>
            </w:r>
          </w:p>
        </w:tc>
      </w:tr>
    </w:tbl>
    <w:p w14:paraId="7520976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DB606FB">
      <w:pPr>
        <w:pStyle w:val="4"/>
        <w:jc w:val="left"/>
        <w:outlineLvl w:val="3"/>
      </w:pPr>
      <w:r>
        <w:rPr>
          <w:rFonts w:ascii="仿宋_GB2312" w:hAnsi="仿宋_GB2312" w:eastAsia="仿宋_GB2312" w:cs="仿宋_GB2312"/>
          <w:b/>
          <w:sz w:val="24"/>
        </w:rPr>
        <w:t>本项目涉及强制采购节能产品：</w:t>
      </w:r>
    </w:p>
    <w:p w14:paraId="29B81B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8FC123">
        <w:tblPrEx>
          <w:tblCellMar>
            <w:top w:w="0" w:type="dxa"/>
            <w:left w:w="108" w:type="dxa"/>
            <w:bottom w:w="0" w:type="dxa"/>
            <w:right w:w="108" w:type="dxa"/>
          </w:tblCellMar>
        </w:tblPrEx>
        <w:tc>
          <w:tcPr>
            <w:tcW w:w="831" w:type="dxa"/>
          </w:tcPr>
          <w:p w14:paraId="4B269724">
            <w:pPr>
              <w:pStyle w:val="4"/>
              <w:jc w:val="center"/>
            </w:pPr>
            <w:r>
              <w:rPr>
                <w:rFonts w:ascii="仿宋_GB2312" w:hAnsi="仿宋_GB2312" w:eastAsia="仿宋_GB2312" w:cs="仿宋_GB2312"/>
              </w:rPr>
              <w:t>序号</w:t>
            </w:r>
          </w:p>
        </w:tc>
        <w:tc>
          <w:tcPr>
            <w:tcW w:w="2492" w:type="dxa"/>
          </w:tcPr>
          <w:p w14:paraId="6B6F03A3">
            <w:pPr>
              <w:pStyle w:val="4"/>
              <w:jc w:val="center"/>
            </w:pPr>
            <w:r>
              <w:rPr>
                <w:rFonts w:ascii="仿宋_GB2312" w:hAnsi="仿宋_GB2312" w:eastAsia="仿宋_GB2312" w:cs="仿宋_GB2312"/>
              </w:rPr>
              <w:t>采购品目名称</w:t>
            </w:r>
          </w:p>
        </w:tc>
        <w:tc>
          <w:tcPr>
            <w:tcW w:w="2492" w:type="dxa"/>
          </w:tcPr>
          <w:p w14:paraId="33209A98">
            <w:pPr>
              <w:pStyle w:val="4"/>
              <w:jc w:val="center"/>
            </w:pPr>
            <w:r>
              <w:rPr>
                <w:rFonts w:ascii="仿宋_GB2312" w:hAnsi="仿宋_GB2312" w:eastAsia="仿宋_GB2312" w:cs="仿宋_GB2312"/>
              </w:rPr>
              <w:t>标的名称</w:t>
            </w:r>
          </w:p>
        </w:tc>
        <w:tc>
          <w:tcPr>
            <w:tcW w:w="2492" w:type="dxa"/>
          </w:tcPr>
          <w:p w14:paraId="464B351D">
            <w:pPr>
              <w:pStyle w:val="4"/>
              <w:jc w:val="center"/>
            </w:pPr>
            <w:r>
              <w:rPr>
                <w:rFonts w:ascii="仿宋_GB2312" w:hAnsi="仿宋_GB2312" w:eastAsia="仿宋_GB2312" w:cs="仿宋_GB2312"/>
              </w:rPr>
              <w:t>产品名称</w:t>
            </w:r>
          </w:p>
        </w:tc>
      </w:tr>
      <w:tr w14:paraId="7AD034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A4BE1D">
            <w:pPr>
              <w:pStyle w:val="4"/>
              <w:jc w:val="center"/>
            </w:pPr>
            <w:r>
              <w:rPr>
                <w:rFonts w:ascii="仿宋_GB2312" w:hAnsi="仿宋_GB2312" w:eastAsia="仿宋_GB2312" w:cs="仿宋_GB2312"/>
              </w:rPr>
              <w:t>不涉及</w:t>
            </w:r>
          </w:p>
        </w:tc>
      </w:tr>
    </w:tbl>
    <w:p w14:paraId="3E449C3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4B374D1">
      <w:pPr>
        <w:pStyle w:val="4"/>
        <w:jc w:val="left"/>
      </w:pPr>
      <w:r>
        <w:rPr>
          <w:rFonts w:ascii="仿宋_GB2312" w:hAnsi="仿宋_GB2312" w:eastAsia="仿宋_GB2312" w:cs="仿宋_GB2312"/>
          <w:b/>
        </w:rPr>
        <w:t>本项目涉及优先采购节能产品：</w:t>
      </w:r>
    </w:p>
    <w:p w14:paraId="462B136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8E68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71419C">
            <w:pPr>
              <w:pStyle w:val="4"/>
              <w:jc w:val="center"/>
            </w:pPr>
            <w:r>
              <w:rPr>
                <w:rFonts w:ascii="仿宋_GB2312" w:hAnsi="仿宋_GB2312" w:eastAsia="仿宋_GB2312" w:cs="仿宋_GB2312"/>
              </w:rPr>
              <w:t>序号</w:t>
            </w:r>
          </w:p>
        </w:tc>
        <w:tc>
          <w:tcPr>
            <w:tcW w:w="2492" w:type="dxa"/>
          </w:tcPr>
          <w:p w14:paraId="428E357C">
            <w:pPr>
              <w:pStyle w:val="4"/>
              <w:jc w:val="center"/>
            </w:pPr>
            <w:r>
              <w:rPr>
                <w:rFonts w:ascii="仿宋_GB2312" w:hAnsi="仿宋_GB2312" w:eastAsia="仿宋_GB2312" w:cs="仿宋_GB2312"/>
              </w:rPr>
              <w:t>采购品目名称</w:t>
            </w:r>
          </w:p>
        </w:tc>
        <w:tc>
          <w:tcPr>
            <w:tcW w:w="2492" w:type="dxa"/>
          </w:tcPr>
          <w:p w14:paraId="05A3E4B8">
            <w:pPr>
              <w:pStyle w:val="4"/>
              <w:jc w:val="center"/>
            </w:pPr>
            <w:r>
              <w:rPr>
                <w:rFonts w:ascii="仿宋_GB2312" w:hAnsi="仿宋_GB2312" w:eastAsia="仿宋_GB2312" w:cs="仿宋_GB2312"/>
              </w:rPr>
              <w:t>标的名称</w:t>
            </w:r>
          </w:p>
        </w:tc>
        <w:tc>
          <w:tcPr>
            <w:tcW w:w="2492" w:type="dxa"/>
          </w:tcPr>
          <w:p w14:paraId="44F0E177">
            <w:pPr>
              <w:pStyle w:val="4"/>
              <w:jc w:val="center"/>
            </w:pPr>
            <w:r>
              <w:rPr>
                <w:rFonts w:ascii="仿宋_GB2312" w:hAnsi="仿宋_GB2312" w:eastAsia="仿宋_GB2312" w:cs="仿宋_GB2312"/>
              </w:rPr>
              <w:t>产品名称</w:t>
            </w:r>
          </w:p>
        </w:tc>
      </w:tr>
      <w:tr w14:paraId="6BC158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237B8F">
            <w:pPr>
              <w:pStyle w:val="4"/>
              <w:jc w:val="left"/>
            </w:pPr>
            <w:r>
              <w:rPr>
                <w:rFonts w:ascii="仿宋_GB2312" w:hAnsi="仿宋_GB2312" w:eastAsia="仿宋_GB2312" w:cs="仿宋_GB2312"/>
              </w:rPr>
              <w:t>1</w:t>
            </w:r>
          </w:p>
        </w:tc>
        <w:tc>
          <w:tcPr>
            <w:tcW w:w="2492" w:type="dxa"/>
          </w:tcPr>
          <w:p w14:paraId="4E210FFA">
            <w:pPr>
              <w:pStyle w:val="4"/>
              <w:jc w:val="left"/>
            </w:pPr>
            <w:r>
              <w:rPr>
                <w:rFonts w:ascii="仿宋_GB2312" w:hAnsi="仿宋_GB2312" w:eastAsia="仿宋_GB2312" w:cs="仿宋_GB2312"/>
              </w:rPr>
              <w:t>A02061908 室内照明灯具</w:t>
            </w:r>
          </w:p>
        </w:tc>
        <w:tc>
          <w:tcPr>
            <w:tcW w:w="2492" w:type="dxa"/>
          </w:tcPr>
          <w:p w14:paraId="3C0BEA8F">
            <w:pPr>
              <w:pStyle w:val="4"/>
              <w:jc w:val="left"/>
            </w:pPr>
            <w:r>
              <w:rPr>
                <w:rFonts w:ascii="仿宋_GB2312" w:hAnsi="仿宋_GB2312" w:eastAsia="仿宋_GB2312" w:cs="仿宋_GB2312"/>
              </w:rPr>
              <w:t>LED教室灯</w:t>
            </w:r>
          </w:p>
        </w:tc>
        <w:tc>
          <w:tcPr>
            <w:tcW w:w="2492" w:type="dxa"/>
          </w:tcPr>
          <w:p w14:paraId="6128A20B">
            <w:pPr>
              <w:pStyle w:val="4"/>
              <w:jc w:val="left"/>
            </w:pPr>
            <w:r>
              <w:rPr>
                <w:rFonts w:ascii="仿宋_GB2312" w:hAnsi="仿宋_GB2312" w:eastAsia="仿宋_GB2312" w:cs="仿宋_GB2312"/>
              </w:rPr>
              <w:t>LED教室灯</w:t>
            </w:r>
          </w:p>
        </w:tc>
      </w:tr>
      <w:tr w14:paraId="16F3D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9B556C">
            <w:pPr>
              <w:pStyle w:val="4"/>
              <w:jc w:val="left"/>
            </w:pPr>
            <w:r>
              <w:rPr>
                <w:rFonts w:ascii="仿宋_GB2312" w:hAnsi="仿宋_GB2312" w:eastAsia="仿宋_GB2312" w:cs="仿宋_GB2312"/>
              </w:rPr>
              <w:t>2</w:t>
            </w:r>
          </w:p>
        </w:tc>
        <w:tc>
          <w:tcPr>
            <w:tcW w:w="2492" w:type="dxa"/>
          </w:tcPr>
          <w:p w14:paraId="2C565DBA">
            <w:pPr>
              <w:pStyle w:val="4"/>
              <w:jc w:val="left"/>
            </w:pPr>
            <w:r>
              <w:rPr>
                <w:rFonts w:ascii="仿宋_GB2312" w:hAnsi="仿宋_GB2312" w:eastAsia="仿宋_GB2312" w:cs="仿宋_GB2312"/>
              </w:rPr>
              <w:t>A02061908 室内照明灯具</w:t>
            </w:r>
          </w:p>
        </w:tc>
        <w:tc>
          <w:tcPr>
            <w:tcW w:w="2492" w:type="dxa"/>
          </w:tcPr>
          <w:p w14:paraId="6C9BBB1D">
            <w:pPr>
              <w:pStyle w:val="4"/>
              <w:jc w:val="left"/>
            </w:pPr>
            <w:r>
              <w:rPr>
                <w:rFonts w:ascii="仿宋_GB2312" w:hAnsi="仿宋_GB2312" w:eastAsia="仿宋_GB2312" w:cs="仿宋_GB2312"/>
              </w:rPr>
              <w:t>LED黑板灯</w:t>
            </w:r>
          </w:p>
        </w:tc>
        <w:tc>
          <w:tcPr>
            <w:tcW w:w="2492" w:type="dxa"/>
          </w:tcPr>
          <w:p w14:paraId="3FB428D2">
            <w:pPr>
              <w:pStyle w:val="4"/>
              <w:jc w:val="left"/>
            </w:pPr>
            <w:r>
              <w:rPr>
                <w:rFonts w:ascii="仿宋_GB2312" w:hAnsi="仿宋_GB2312" w:eastAsia="仿宋_GB2312" w:cs="仿宋_GB2312"/>
              </w:rPr>
              <w:t>LED黑板灯</w:t>
            </w:r>
          </w:p>
        </w:tc>
      </w:tr>
    </w:tbl>
    <w:p w14:paraId="026AE97A">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D6B4DD4">
      <w:pPr>
        <w:pStyle w:val="4"/>
        <w:jc w:val="left"/>
        <w:outlineLvl w:val="3"/>
      </w:pPr>
      <w:r>
        <w:rPr>
          <w:rFonts w:ascii="仿宋_GB2312" w:hAnsi="仿宋_GB2312" w:eastAsia="仿宋_GB2312" w:cs="仿宋_GB2312"/>
          <w:b/>
          <w:sz w:val="24"/>
        </w:rPr>
        <w:t>本项目涉及优先采购环境标志产品：</w:t>
      </w:r>
    </w:p>
    <w:p w14:paraId="5B685B3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9C9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96F700">
            <w:pPr>
              <w:pStyle w:val="4"/>
              <w:jc w:val="center"/>
            </w:pPr>
            <w:r>
              <w:rPr>
                <w:rFonts w:ascii="仿宋_GB2312" w:hAnsi="仿宋_GB2312" w:eastAsia="仿宋_GB2312" w:cs="仿宋_GB2312"/>
              </w:rPr>
              <w:t>序号</w:t>
            </w:r>
          </w:p>
        </w:tc>
        <w:tc>
          <w:tcPr>
            <w:tcW w:w="2492" w:type="dxa"/>
          </w:tcPr>
          <w:p w14:paraId="32FAE8F0">
            <w:pPr>
              <w:pStyle w:val="4"/>
              <w:jc w:val="center"/>
            </w:pPr>
            <w:r>
              <w:rPr>
                <w:rFonts w:ascii="仿宋_GB2312" w:hAnsi="仿宋_GB2312" w:eastAsia="仿宋_GB2312" w:cs="仿宋_GB2312"/>
              </w:rPr>
              <w:t>采购品目名称</w:t>
            </w:r>
          </w:p>
        </w:tc>
        <w:tc>
          <w:tcPr>
            <w:tcW w:w="2492" w:type="dxa"/>
          </w:tcPr>
          <w:p w14:paraId="238EB6DD">
            <w:pPr>
              <w:pStyle w:val="4"/>
              <w:jc w:val="center"/>
            </w:pPr>
            <w:r>
              <w:rPr>
                <w:rFonts w:ascii="仿宋_GB2312" w:hAnsi="仿宋_GB2312" w:eastAsia="仿宋_GB2312" w:cs="仿宋_GB2312"/>
              </w:rPr>
              <w:t>标的名称</w:t>
            </w:r>
          </w:p>
        </w:tc>
        <w:tc>
          <w:tcPr>
            <w:tcW w:w="2492" w:type="dxa"/>
          </w:tcPr>
          <w:p w14:paraId="70E7CA63">
            <w:pPr>
              <w:pStyle w:val="4"/>
              <w:jc w:val="center"/>
            </w:pPr>
            <w:r>
              <w:rPr>
                <w:rFonts w:ascii="仿宋_GB2312" w:hAnsi="仿宋_GB2312" w:eastAsia="仿宋_GB2312" w:cs="仿宋_GB2312"/>
              </w:rPr>
              <w:t>产品名称</w:t>
            </w:r>
          </w:p>
        </w:tc>
      </w:tr>
      <w:tr w14:paraId="421CA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61838B">
            <w:pPr>
              <w:pStyle w:val="4"/>
              <w:jc w:val="left"/>
            </w:pPr>
            <w:r>
              <w:rPr>
                <w:rFonts w:ascii="仿宋_GB2312" w:hAnsi="仿宋_GB2312" w:eastAsia="仿宋_GB2312" w:cs="仿宋_GB2312"/>
              </w:rPr>
              <w:t>1</w:t>
            </w:r>
          </w:p>
        </w:tc>
        <w:tc>
          <w:tcPr>
            <w:tcW w:w="2492" w:type="dxa"/>
          </w:tcPr>
          <w:p w14:paraId="6FDAA616">
            <w:pPr>
              <w:pStyle w:val="4"/>
              <w:jc w:val="left"/>
            </w:pPr>
            <w:r>
              <w:rPr>
                <w:rFonts w:ascii="仿宋_GB2312" w:hAnsi="仿宋_GB2312" w:eastAsia="仿宋_GB2312" w:cs="仿宋_GB2312"/>
              </w:rPr>
              <w:t>A02061908 室内照明灯具</w:t>
            </w:r>
          </w:p>
        </w:tc>
        <w:tc>
          <w:tcPr>
            <w:tcW w:w="2492" w:type="dxa"/>
          </w:tcPr>
          <w:p w14:paraId="2EE93829">
            <w:pPr>
              <w:pStyle w:val="4"/>
              <w:jc w:val="left"/>
            </w:pPr>
            <w:r>
              <w:rPr>
                <w:rFonts w:ascii="仿宋_GB2312" w:hAnsi="仿宋_GB2312" w:eastAsia="仿宋_GB2312" w:cs="仿宋_GB2312"/>
              </w:rPr>
              <w:t>LED教室灯</w:t>
            </w:r>
          </w:p>
        </w:tc>
        <w:tc>
          <w:tcPr>
            <w:tcW w:w="2492" w:type="dxa"/>
          </w:tcPr>
          <w:p w14:paraId="1936DC25">
            <w:pPr>
              <w:pStyle w:val="4"/>
              <w:jc w:val="left"/>
            </w:pPr>
            <w:r>
              <w:rPr>
                <w:rFonts w:ascii="仿宋_GB2312" w:hAnsi="仿宋_GB2312" w:eastAsia="仿宋_GB2312" w:cs="仿宋_GB2312"/>
              </w:rPr>
              <w:t>LED教室灯</w:t>
            </w:r>
          </w:p>
        </w:tc>
      </w:tr>
      <w:tr w14:paraId="57680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20581A">
            <w:pPr>
              <w:pStyle w:val="4"/>
              <w:jc w:val="left"/>
            </w:pPr>
            <w:r>
              <w:rPr>
                <w:rFonts w:ascii="仿宋_GB2312" w:hAnsi="仿宋_GB2312" w:eastAsia="仿宋_GB2312" w:cs="仿宋_GB2312"/>
              </w:rPr>
              <w:t>2</w:t>
            </w:r>
          </w:p>
        </w:tc>
        <w:tc>
          <w:tcPr>
            <w:tcW w:w="2492" w:type="dxa"/>
          </w:tcPr>
          <w:p w14:paraId="758E5035">
            <w:pPr>
              <w:pStyle w:val="4"/>
              <w:jc w:val="left"/>
            </w:pPr>
            <w:r>
              <w:rPr>
                <w:rFonts w:ascii="仿宋_GB2312" w:hAnsi="仿宋_GB2312" w:eastAsia="仿宋_GB2312" w:cs="仿宋_GB2312"/>
              </w:rPr>
              <w:t>A02061908 室内照明灯具</w:t>
            </w:r>
          </w:p>
        </w:tc>
        <w:tc>
          <w:tcPr>
            <w:tcW w:w="2492" w:type="dxa"/>
          </w:tcPr>
          <w:p w14:paraId="10901FEC">
            <w:pPr>
              <w:pStyle w:val="4"/>
              <w:jc w:val="left"/>
            </w:pPr>
            <w:r>
              <w:rPr>
                <w:rFonts w:ascii="仿宋_GB2312" w:hAnsi="仿宋_GB2312" w:eastAsia="仿宋_GB2312" w:cs="仿宋_GB2312"/>
              </w:rPr>
              <w:t>LED黑板灯</w:t>
            </w:r>
          </w:p>
        </w:tc>
        <w:tc>
          <w:tcPr>
            <w:tcW w:w="2492" w:type="dxa"/>
          </w:tcPr>
          <w:p w14:paraId="78BEEDE8">
            <w:pPr>
              <w:pStyle w:val="4"/>
              <w:jc w:val="left"/>
            </w:pPr>
            <w:r>
              <w:rPr>
                <w:rFonts w:ascii="仿宋_GB2312" w:hAnsi="仿宋_GB2312" w:eastAsia="仿宋_GB2312" w:cs="仿宋_GB2312"/>
              </w:rPr>
              <w:t>LED黑板灯</w:t>
            </w:r>
          </w:p>
        </w:tc>
      </w:tr>
    </w:tbl>
    <w:p w14:paraId="72DE6CFC">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81D1B06">
      <w:pPr>
        <w:pStyle w:val="4"/>
        <w:jc w:val="left"/>
        <w:outlineLvl w:val="2"/>
      </w:pPr>
      <w:r>
        <w:rPr>
          <w:rFonts w:ascii="仿宋_GB2312" w:hAnsi="仿宋_GB2312" w:eastAsia="仿宋_GB2312" w:cs="仿宋_GB2312"/>
          <w:b/>
          <w:sz w:val="28"/>
        </w:rPr>
        <w:t>3.2.技术要求</w:t>
      </w:r>
    </w:p>
    <w:p w14:paraId="3296D753">
      <w:pPr>
        <w:pStyle w:val="4"/>
        <w:jc w:val="left"/>
      </w:pPr>
      <w:r>
        <w:rPr>
          <w:rFonts w:ascii="仿宋_GB2312" w:hAnsi="仿宋_GB2312" w:eastAsia="仿宋_GB2312" w:cs="仿宋_GB2312"/>
        </w:rPr>
        <w:t>采购包1：</w:t>
      </w:r>
    </w:p>
    <w:p w14:paraId="544AE696">
      <w:pPr>
        <w:pStyle w:val="4"/>
        <w:jc w:val="left"/>
      </w:pPr>
      <w:r>
        <w:rPr>
          <w:rFonts w:ascii="仿宋_GB2312" w:hAnsi="仿宋_GB2312" w:eastAsia="仿宋_GB2312" w:cs="仿宋_GB2312"/>
        </w:rPr>
        <w:t>标的名称：LED教室灯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31143E">
        <w:tc>
          <w:tcPr>
            <w:tcW w:w="415" w:type="dxa"/>
          </w:tcPr>
          <w:p w14:paraId="369F59BE">
            <w:pPr>
              <w:pStyle w:val="4"/>
              <w:jc w:val="center"/>
            </w:pPr>
            <w:r>
              <w:rPr>
                <w:rFonts w:ascii="仿宋_GB2312" w:hAnsi="仿宋_GB2312" w:eastAsia="仿宋_GB2312" w:cs="仿宋_GB2312"/>
              </w:rPr>
              <w:t>序号</w:t>
            </w:r>
          </w:p>
        </w:tc>
        <w:tc>
          <w:tcPr>
            <w:tcW w:w="581" w:type="dxa"/>
          </w:tcPr>
          <w:p w14:paraId="5BA7A650">
            <w:pPr>
              <w:pStyle w:val="4"/>
              <w:jc w:val="center"/>
            </w:pPr>
            <w:r>
              <w:rPr>
                <w:rFonts w:ascii="仿宋_GB2312" w:hAnsi="仿宋_GB2312" w:eastAsia="仿宋_GB2312" w:cs="仿宋_GB2312"/>
              </w:rPr>
              <w:t>符号标识</w:t>
            </w:r>
          </w:p>
        </w:tc>
        <w:tc>
          <w:tcPr>
            <w:tcW w:w="1495" w:type="dxa"/>
          </w:tcPr>
          <w:p w14:paraId="6E917787">
            <w:pPr>
              <w:pStyle w:val="4"/>
              <w:jc w:val="center"/>
            </w:pPr>
            <w:r>
              <w:rPr>
                <w:rFonts w:ascii="仿宋_GB2312" w:hAnsi="仿宋_GB2312" w:eastAsia="仿宋_GB2312" w:cs="仿宋_GB2312"/>
              </w:rPr>
              <w:t>技术要求名称</w:t>
            </w:r>
          </w:p>
        </w:tc>
        <w:tc>
          <w:tcPr>
            <w:tcW w:w="5814" w:type="dxa"/>
          </w:tcPr>
          <w:p w14:paraId="7DC7209E">
            <w:pPr>
              <w:pStyle w:val="4"/>
              <w:jc w:val="center"/>
            </w:pPr>
            <w:r>
              <w:rPr>
                <w:rFonts w:ascii="仿宋_GB2312" w:hAnsi="仿宋_GB2312" w:eastAsia="仿宋_GB2312" w:cs="仿宋_GB2312"/>
              </w:rPr>
              <w:t>技术参数与性能指标</w:t>
            </w:r>
          </w:p>
        </w:tc>
      </w:tr>
      <w:tr w14:paraId="19C3C3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15328F">
            <w:pPr>
              <w:pStyle w:val="4"/>
              <w:jc w:val="center"/>
            </w:pPr>
            <w:r>
              <w:rPr>
                <w:rFonts w:ascii="仿宋_GB2312" w:hAnsi="仿宋_GB2312" w:eastAsia="仿宋_GB2312" w:cs="仿宋_GB2312"/>
              </w:rPr>
              <w:t>1</w:t>
            </w:r>
          </w:p>
        </w:tc>
        <w:tc>
          <w:tcPr>
            <w:tcW w:w="581" w:type="dxa"/>
          </w:tcPr>
          <w:p w14:paraId="48356C48"/>
        </w:tc>
        <w:tc>
          <w:tcPr>
            <w:tcW w:w="1495" w:type="dxa"/>
          </w:tcPr>
          <w:p w14:paraId="2BAB34F8">
            <w:pPr>
              <w:pStyle w:val="4"/>
              <w:jc w:val="left"/>
            </w:pPr>
            <w:r>
              <w:rPr>
                <w:rFonts w:ascii="仿宋_GB2312" w:hAnsi="仿宋_GB2312" w:eastAsia="仿宋_GB2312" w:cs="仿宋_GB2312"/>
              </w:rPr>
              <w:t>LED教室灯</w:t>
            </w:r>
          </w:p>
        </w:tc>
        <w:tc>
          <w:tcPr>
            <w:tcW w:w="5814" w:type="dxa"/>
          </w:tcPr>
          <w:p w14:paraId="2B9A179A">
            <w:pPr>
              <w:pStyle w:val="4"/>
              <w:jc w:val="both"/>
            </w:pPr>
            <w:r>
              <w:rPr>
                <w:rFonts w:ascii="仿宋_GB2312" w:hAnsi="仿宋_GB2312" w:eastAsia="仿宋_GB2312" w:cs="仿宋_GB2312"/>
                <w:sz w:val="24"/>
              </w:rPr>
              <w:t>●1、LED教室灯出光口面尺寸长≥1100mm。</w:t>
            </w:r>
          </w:p>
          <w:p w14:paraId="5BFDD831">
            <w:pPr>
              <w:pStyle w:val="4"/>
              <w:jc w:val="both"/>
            </w:pPr>
            <w:r>
              <w:rPr>
                <w:rFonts w:ascii="仿宋_GB2312" w:hAnsi="仿宋_GB2312" w:eastAsia="仿宋_GB2312" w:cs="仿宋_GB2312"/>
                <w:sz w:val="24"/>
              </w:rPr>
              <w:t>●2、LED教室灯功率36W±4W，功率因数≥0.90，显色指数Ra≥90（R9≥50）。</w:t>
            </w:r>
          </w:p>
          <w:p w14:paraId="029A1399">
            <w:pPr>
              <w:pStyle w:val="4"/>
              <w:jc w:val="both"/>
            </w:pPr>
            <w:r>
              <w:rPr>
                <w:rFonts w:ascii="仿宋_GB2312" w:hAnsi="仿宋_GB2312" w:eastAsia="仿宋_GB2312" w:cs="仿宋_GB2312"/>
                <w:sz w:val="24"/>
              </w:rPr>
              <w:t>●3、LED教室灯总光通量≥2800 lm，向上光通量占比(或上射光通比）≥15%。</w:t>
            </w:r>
          </w:p>
          <w:p w14:paraId="70025AD4">
            <w:pPr>
              <w:pStyle w:val="4"/>
              <w:jc w:val="both"/>
            </w:pPr>
            <w:r>
              <w:rPr>
                <w:rFonts w:ascii="仿宋_GB2312" w:hAnsi="仿宋_GB2312" w:eastAsia="仿宋_GB2312" w:cs="仿宋_GB2312"/>
                <w:sz w:val="24"/>
              </w:rPr>
              <w:t>●4、LED教室灯色温在3300K-5300K之间，色容差≤3 SDCM,色品空间不一致性≤0.004。</w:t>
            </w:r>
          </w:p>
          <w:p w14:paraId="79A82208">
            <w:pPr>
              <w:pStyle w:val="4"/>
              <w:jc w:val="both"/>
            </w:pPr>
            <w:r>
              <w:rPr>
                <w:rFonts w:ascii="仿宋_GB2312" w:hAnsi="仿宋_GB2312" w:eastAsia="仿宋_GB2312" w:cs="仿宋_GB2312"/>
                <w:sz w:val="24"/>
              </w:rPr>
              <w:t>●5、LED教室灯频闪符合不可察觉等级（无显著影响）要求，光生物安全性测试结果为“无危险类”。</w:t>
            </w:r>
          </w:p>
          <w:p w14:paraId="338B1F2E">
            <w:pPr>
              <w:pStyle w:val="4"/>
              <w:jc w:val="both"/>
            </w:pPr>
            <w:r>
              <w:rPr>
                <w:rFonts w:ascii="仿宋_GB2312" w:hAnsi="仿宋_GB2312" w:eastAsia="仿宋_GB2312" w:cs="仿宋_GB2312"/>
                <w:sz w:val="24"/>
              </w:rPr>
              <w:t>●6、LED教室灯蓝光检测结果符合《GB/Z 39942》要求达到RG0无危险类，蓝光加权辐亮度LB检测结果≤20W/(㎡•sr）。</w:t>
            </w:r>
          </w:p>
          <w:p w14:paraId="2C4374C0">
            <w:pPr>
              <w:pStyle w:val="4"/>
              <w:jc w:val="both"/>
            </w:pPr>
            <w:r>
              <w:rPr>
                <w:rFonts w:ascii="仿宋_GB2312" w:hAnsi="仿宋_GB2312" w:eastAsia="仿宋_GB2312" w:cs="仿宋_GB2312"/>
                <w:sz w:val="24"/>
              </w:rPr>
              <w:t>▲7、为方便灯具后期维护便利，LED教室灯驱动电源（控制装置）为外置，以实现快速更换，且阻燃符合《GB/T 5169.16》技术要求：V-0等级。</w:t>
            </w:r>
          </w:p>
          <w:p w14:paraId="37AC218F">
            <w:pPr>
              <w:pStyle w:val="4"/>
              <w:jc w:val="both"/>
            </w:pPr>
            <w:r>
              <w:rPr>
                <w:rFonts w:ascii="仿宋_GB2312" w:hAnsi="仿宋_GB2312" w:eastAsia="仿宋_GB2312" w:cs="仿宋_GB2312"/>
                <w:sz w:val="24"/>
              </w:rPr>
              <w:t>▲8、为避免粉笔粉尘、粉屑可能侵入灯具内部，要求LED教室灯防护等级≥IP55；</w:t>
            </w:r>
          </w:p>
          <w:p w14:paraId="230DE153">
            <w:pPr>
              <w:pStyle w:val="4"/>
              <w:jc w:val="both"/>
            </w:pPr>
            <w:r>
              <w:rPr>
                <w:rFonts w:ascii="仿宋_GB2312" w:hAnsi="仿宋_GB2312" w:eastAsia="仿宋_GB2312" w:cs="仿宋_GB2312"/>
                <w:sz w:val="24"/>
              </w:rPr>
              <w:t>▲9、LED教室灯的安装需符合中小学校普通教室照明设计安装卫生要求：教室灯距课桌垂直距离≥1700mm时，教室维持平均照度≥300lx，教室照度均匀度≥0.7，统一眩光值≤16。</w:t>
            </w:r>
          </w:p>
          <w:p w14:paraId="5627D3D5">
            <w:pPr>
              <w:pStyle w:val="4"/>
              <w:jc w:val="left"/>
            </w:pPr>
            <w:r>
              <w:rPr>
                <w:rFonts w:ascii="仿宋_GB2312" w:hAnsi="仿宋_GB2312" w:eastAsia="仿宋_GB2312" w:cs="仿宋_GB2312"/>
                <w:sz w:val="24"/>
              </w:rPr>
              <w:t>说明：序号1-9项参数均需在投标时提供第三方检测机构出具的检测报告影印件。</w:t>
            </w:r>
          </w:p>
        </w:tc>
      </w:tr>
      <w:tr w14:paraId="4B471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84A103">
            <w:pPr>
              <w:pStyle w:val="4"/>
              <w:jc w:val="center"/>
            </w:pPr>
            <w:r>
              <w:rPr>
                <w:rFonts w:ascii="仿宋_GB2312" w:hAnsi="仿宋_GB2312" w:eastAsia="仿宋_GB2312" w:cs="仿宋_GB2312"/>
              </w:rPr>
              <w:t>2</w:t>
            </w:r>
          </w:p>
        </w:tc>
        <w:tc>
          <w:tcPr>
            <w:tcW w:w="581" w:type="dxa"/>
          </w:tcPr>
          <w:p w14:paraId="3212D372">
            <w:pPr>
              <w:pStyle w:val="4"/>
              <w:jc w:val="center"/>
            </w:pPr>
            <w:r>
              <w:rPr>
                <w:rFonts w:ascii="仿宋_GB2312" w:hAnsi="仿宋_GB2312" w:eastAsia="仿宋_GB2312" w:cs="仿宋_GB2312"/>
              </w:rPr>
              <w:t>★</w:t>
            </w:r>
          </w:p>
        </w:tc>
        <w:tc>
          <w:tcPr>
            <w:tcW w:w="1495" w:type="dxa"/>
          </w:tcPr>
          <w:p w14:paraId="5A450E79">
            <w:pPr>
              <w:pStyle w:val="4"/>
              <w:jc w:val="left"/>
            </w:pPr>
            <w:r>
              <w:rPr>
                <w:rFonts w:ascii="仿宋_GB2312" w:hAnsi="仿宋_GB2312" w:eastAsia="仿宋_GB2312" w:cs="仿宋_GB2312"/>
              </w:rPr>
              <w:t>其他技术要求</w:t>
            </w:r>
          </w:p>
        </w:tc>
        <w:tc>
          <w:tcPr>
            <w:tcW w:w="5814" w:type="dxa"/>
          </w:tcPr>
          <w:p w14:paraId="2BF11912">
            <w:pPr>
              <w:pStyle w:val="4"/>
              <w:jc w:val="left"/>
            </w:pPr>
            <w:r>
              <w:rPr>
                <w:rFonts w:ascii="仿宋_GB2312" w:hAnsi="仿宋_GB2312" w:eastAsia="仿宋_GB2312" w:cs="仿宋_GB2312"/>
                <w:b/>
                <w:sz w:val="24"/>
              </w:rPr>
              <w:t>（一）总体质量要求</w:t>
            </w:r>
          </w:p>
          <w:p w14:paraId="18F570E1">
            <w:pPr>
              <w:pStyle w:val="4"/>
              <w:ind w:firstLine="480"/>
              <w:jc w:val="left"/>
            </w:pPr>
            <w:r>
              <w:rPr>
                <w:rFonts w:ascii="仿宋_GB2312" w:hAnsi="仿宋_GB2312" w:eastAsia="仿宋_GB2312" w:cs="仿宋_GB2312"/>
                <w:sz w:val="24"/>
              </w:rPr>
              <w:t>1、供应商须提供全新的货物(含零部件、配件、使用说明书等)，表面无划伤、无碰撞痕迹，且权属清楚，不得侵害他人的知识产权，不得以次充好，产品来源渠道必须合法，同时应根据国家有关规定、采购单位的要求做好售后服务工作。</w:t>
            </w:r>
          </w:p>
          <w:p w14:paraId="495C8105">
            <w:pPr>
              <w:pStyle w:val="4"/>
              <w:ind w:firstLine="480"/>
              <w:jc w:val="left"/>
            </w:pPr>
            <w:r>
              <w:rPr>
                <w:rFonts w:ascii="仿宋_GB2312" w:hAnsi="仿宋_GB2312" w:eastAsia="仿宋_GB2312" w:cs="仿宋_GB2312"/>
                <w:sz w:val="24"/>
              </w:rPr>
              <w:t>2、供应商提供的产品符合国家标准、行业标准、地方标准等标准、规范，以及采购文件的质量要求和技术指标与出厂标准。</w:t>
            </w:r>
          </w:p>
          <w:p w14:paraId="415DFF2E">
            <w:pPr>
              <w:pStyle w:val="4"/>
              <w:ind w:firstLine="480"/>
              <w:jc w:val="left"/>
            </w:pPr>
            <w:r>
              <w:rPr>
                <w:rFonts w:ascii="仿宋_GB2312" w:hAnsi="仿宋_GB2312" w:eastAsia="仿宋_GB2312" w:cs="仿宋_GB2312"/>
                <w:sz w:val="24"/>
              </w:rPr>
              <w:t>3、货物制造质量出现问题，供应商应负责三包(包修、包换、包退)，费用由供应商负担。</w:t>
            </w:r>
          </w:p>
          <w:p w14:paraId="233FF557">
            <w:pPr>
              <w:pStyle w:val="4"/>
              <w:ind w:firstLine="480"/>
              <w:jc w:val="left"/>
            </w:pPr>
            <w:r>
              <w:rPr>
                <w:rFonts w:ascii="仿宋_GB2312" w:hAnsi="仿宋_GB2312" w:eastAsia="仿宋_GB2312" w:cs="仿宋_GB2312"/>
                <w:sz w:val="24"/>
              </w:rPr>
              <w:t>4、货到现场交付完成后由于采购人保管不当造成的质量问题，供应商亦应负责修理，但费用由采购人负担。</w:t>
            </w:r>
          </w:p>
          <w:p w14:paraId="0EEE10B2">
            <w:pPr>
              <w:pStyle w:val="4"/>
              <w:ind w:firstLine="480"/>
              <w:jc w:val="left"/>
            </w:pPr>
            <w:r>
              <w:rPr>
                <w:rFonts w:ascii="仿宋_GB2312" w:hAnsi="仿宋_GB2312" w:eastAsia="仿宋_GB2312" w:cs="仿宋_GB2312"/>
                <w:sz w:val="24"/>
              </w:rPr>
              <w:t>（二）安装要求</w:t>
            </w:r>
          </w:p>
          <w:p w14:paraId="71F7BE90">
            <w:pPr>
              <w:pStyle w:val="4"/>
              <w:jc w:val="left"/>
            </w:pPr>
            <w:r>
              <w:rPr>
                <w:rFonts w:ascii="仿宋_GB2312" w:hAnsi="仿宋_GB2312" w:eastAsia="仿宋_GB2312" w:cs="仿宋_GB2312"/>
                <w:sz w:val="24"/>
              </w:rPr>
              <w:t>本项目针对天全县城区200间教室进行照明环境改造，涉及学校及教室数量如下：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96"/>
              <w:gridCol w:w="2797"/>
            </w:tblGrid>
            <w:tr w14:paraId="56BF70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112DCF">
                  <w:pPr>
                    <w:pStyle w:val="4"/>
                    <w:jc w:val="center"/>
                  </w:pPr>
                  <w:r>
                    <w:rPr>
                      <w:rFonts w:ascii="仿宋_GB2312" w:hAnsi="仿宋_GB2312" w:eastAsia="仿宋_GB2312" w:cs="仿宋_GB2312"/>
                      <w:sz w:val="24"/>
                    </w:rPr>
                    <w:t>学校名称</w:t>
                  </w:r>
                </w:p>
              </w:tc>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04D253">
                  <w:pPr>
                    <w:pStyle w:val="4"/>
                    <w:jc w:val="center"/>
                  </w:pPr>
                  <w:r>
                    <w:rPr>
                      <w:rFonts w:ascii="仿宋_GB2312" w:hAnsi="仿宋_GB2312" w:eastAsia="仿宋_GB2312" w:cs="仿宋_GB2312"/>
                      <w:sz w:val="24"/>
                    </w:rPr>
                    <w:t>教室数（间）</w:t>
                  </w:r>
                </w:p>
              </w:tc>
            </w:tr>
            <w:tr w14:paraId="573F97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1E225">
                  <w:pPr>
                    <w:pStyle w:val="4"/>
                    <w:jc w:val="center"/>
                  </w:pPr>
                  <w:r>
                    <w:rPr>
                      <w:rFonts w:ascii="仿宋_GB2312" w:hAnsi="仿宋_GB2312" w:eastAsia="仿宋_GB2312" w:cs="仿宋_GB2312"/>
                      <w:sz w:val="24"/>
                    </w:rPr>
                    <w:t>四川省天全中学</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59018">
                  <w:pPr>
                    <w:pStyle w:val="4"/>
                    <w:jc w:val="center"/>
                  </w:pPr>
                  <w:r>
                    <w:rPr>
                      <w:rFonts w:ascii="仿宋_GB2312" w:hAnsi="仿宋_GB2312" w:eastAsia="仿宋_GB2312" w:cs="仿宋_GB2312"/>
                      <w:sz w:val="24"/>
                    </w:rPr>
                    <w:t>48</w:t>
                  </w:r>
                </w:p>
              </w:tc>
            </w:tr>
            <w:tr w14:paraId="7D8570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C8F25">
                  <w:pPr>
                    <w:pStyle w:val="4"/>
                    <w:jc w:val="center"/>
                  </w:pPr>
                  <w:r>
                    <w:rPr>
                      <w:rFonts w:ascii="仿宋_GB2312" w:hAnsi="仿宋_GB2312" w:eastAsia="仿宋_GB2312" w:cs="仿宋_GB2312"/>
                      <w:sz w:val="24"/>
                    </w:rPr>
                    <w:t>县一中</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F311C">
                  <w:pPr>
                    <w:pStyle w:val="4"/>
                    <w:jc w:val="center"/>
                  </w:pPr>
                  <w:r>
                    <w:rPr>
                      <w:rFonts w:ascii="仿宋_GB2312" w:hAnsi="仿宋_GB2312" w:eastAsia="仿宋_GB2312" w:cs="仿宋_GB2312"/>
                      <w:sz w:val="24"/>
                    </w:rPr>
                    <w:t>33</w:t>
                  </w:r>
                </w:p>
              </w:tc>
            </w:tr>
            <w:tr w14:paraId="41F764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31B46">
                  <w:pPr>
                    <w:pStyle w:val="4"/>
                    <w:jc w:val="center"/>
                  </w:pPr>
                  <w:r>
                    <w:rPr>
                      <w:rFonts w:ascii="仿宋_GB2312" w:hAnsi="仿宋_GB2312" w:eastAsia="仿宋_GB2312" w:cs="仿宋_GB2312"/>
                      <w:sz w:val="24"/>
                    </w:rPr>
                    <w:t>县二中</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098AA">
                  <w:pPr>
                    <w:pStyle w:val="4"/>
                    <w:jc w:val="center"/>
                  </w:pPr>
                  <w:r>
                    <w:rPr>
                      <w:rFonts w:ascii="仿宋_GB2312" w:hAnsi="仿宋_GB2312" w:eastAsia="仿宋_GB2312" w:cs="仿宋_GB2312"/>
                      <w:sz w:val="24"/>
                    </w:rPr>
                    <w:t>30</w:t>
                  </w:r>
                </w:p>
              </w:tc>
            </w:tr>
            <w:tr w14:paraId="147773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FD936">
                  <w:pPr>
                    <w:pStyle w:val="4"/>
                    <w:jc w:val="center"/>
                  </w:pPr>
                  <w:r>
                    <w:rPr>
                      <w:rFonts w:ascii="仿宋_GB2312" w:hAnsi="仿宋_GB2312" w:eastAsia="仿宋_GB2312" w:cs="仿宋_GB2312"/>
                      <w:sz w:val="24"/>
                    </w:rPr>
                    <w:t>城区一小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D0764C">
                  <w:pPr>
                    <w:pStyle w:val="4"/>
                    <w:jc w:val="center"/>
                  </w:pPr>
                  <w:r>
                    <w:rPr>
                      <w:rFonts w:ascii="仿宋_GB2312" w:hAnsi="仿宋_GB2312" w:eastAsia="仿宋_GB2312" w:cs="仿宋_GB2312"/>
                      <w:sz w:val="24"/>
                    </w:rPr>
                    <w:t>40</w:t>
                  </w:r>
                </w:p>
              </w:tc>
            </w:tr>
            <w:tr w14:paraId="62C5C0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8F8EC">
                  <w:pPr>
                    <w:pStyle w:val="4"/>
                    <w:jc w:val="center"/>
                  </w:pPr>
                  <w:r>
                    <w:rPr>
                      <w:rFonts w:ascii="仿宋_GB2312" w:hAnsi="仿宋_GB2312" w:eastAsia="仿宋_GB2312" w:cs="仿宋_GB2312"/>
                      <w:sz w:val="24"/>
                    </w:rPr>
                    <w:t>城区二小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B3B41">
                  <w:pPr>
                    <w:pStyle w:val="4"/>
                    <w:jc w:val="center"/>
                  </w:pPr>
                  <w:r>
                    <w:rPr>
                      <w:rFonts w:ascii="仿宋_GB2312" w:hAnsi="仿宋_GB2312" w:eastAsia="仿宋_GB2312" w:cs="仿宋_GB2312"/>
                      <w:sz w:val="24"/>
                    </w:rPr>
                    <w:t>20</w:t>
                  </w:r>
                </w:p>
              </w:tc>
            </w:tr>
            <w:tr w14:paraId="7DD906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941F2">
                  <w:pPr>
                    <w:pStyle w:val="4"/>
                    <w:jc w:val="center"/>
                  </w:pPr>
                  <w:r>
                    <w:rPr>
                      <w:rFonts w:ascii="仿宋_GB2312" w:hAnsi="仿宋_GB2312" w:eastAsia="仿宋_GB2312" w:cs="仿宋_GB2312"/>
                      <w:sz w:val="24"/>
                    </w:rPr>
                    <w:t>城区三小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CFE4A">
                  <w:pPr>
                    <w:pStyle w:val="4"/>
                    <w:jc w:val="center"/>
                  </w:pPr>
                  <w:r>
                    <w:rPr>
                      <w:rFonts w:ascii="仿宋_GB2312" w:hAnsi="仿宋_GB2312" w:eastAsia="仿宋_GB2312" w:cs="仿宋_GB2312"/>
                      <w:sz w:val="24"/>
                    </w:rPr>
                    <w:t>29</w:t>
                  </w:r>
                </w:p>
              </w:tc>
            </w:tr>
            <w:tr w14:paraId="7B0AD1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619C0">
                  <w:pPr>
                    <w:pStyle w:val="4"/>
                    <w:jc w:val="center"/>
                  </w:pPr>
                  <w:r>
                    <w:rPr>
                      <w:rFonts w:ascii="仿宋_GB2312" w:hAnsi="仿宋_GB2312" w:eastAsia="仿宋_GB2312" w:cs="仿宋_GB2312"/>
                      <w:sz w:val="24"/>
                    </w:rPr>
                    <w:t>合计</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3F4BD">
                  <w:pPr>
                    <w:pStyle w:val="4"/>
                    <w:jc w:val="center"/>
                  </w:pPr>
                  <w:r>
                    <w:rPr>
                      <w:rFonts w:ascii="仿宋_GB2312" w:hAnsi="仿宋_GB2312" w:eastAsia="仿宋_GB2312" w:cs="仿宋_GB2312"/>
                      <w:sz w:val="24"/>
                    </w:rPr>
                    <w:t>200</w:t>
                  </w:r>
                </w:p>
              </w:tc>
            </w:tr>
          </w:tbl>
          <w:p w14:paraId="52BDE9AC">
            <w:pPr>
              <w:pStyle w:val="4"/>
              <w:ind w:firstLine="480"/>
              <w:jc w:val="left"/>
            </w:pPr>
            <w:r>
              <w:rPr>
                <w:rFonts w:ascii="仿宋_GB2312" w:hAnsi="仿宋_GB2312" w:eastAsia="仿宋_GB2312" w:cs="仿宋_GB2312"/>
                <w:sz w:val="24"/>
              </w:rPr>
              <w:t>1.包含电线、线管、开关、回路控制器、安装支架、固定件、安全防护辅材等，符合国家电气安全标准；支持教室灯、黑板灯分路控制，可根据需求提供单控/分组控制方案。</w:t>
            </w:r>
          </w:p>
          <w:p w14:paraId="6F63BBF3">
            <w:pPr>
              <w:pStyle w:val="4"/>
              <w:ind w:firstLine="480"/>
              <w:jc w:val="left"/>
            </w:pPr>
            <w:r>
              <w:rPr>
                <w:rFonts w:ascii="仿宋_GB2312" w:hAnsi="仿宋_GB2312" w:eastAsia="仿宋_GB2312" w:cs="仿宋_GB2312"/>
                <w:sz w:val="24"/>
              </w:rPr>
              <w:t>2. 包含电气辅材：符合国标最新标准的阻燃电线、线管、开关、配电箱配件等，绝缘、阻燃性能达标，保障用电安全。</w:t>
            </w:r>
          </w:p>
          <w:p w14:paraId="50CB7326">
            <w:pPr>
              <w:pStyle w:val="4"/>
              <w:ind w:firstLine="480"/>
              <w:jc w:val="left"/>
            </w:pPr>
            <w:r>
              <w:rPr>
                <w:rFonts w:ascii="仿宋_GB2312" w:hAnsi="仿宋_GB2312" w:eastAsia="仿宋_GB2312" w:cs="仿宋_GB2312"/>
                <w:sz w:val="24"/>
              </w:rPr>
              <w:t>3. 包含安装辅材：防锈膨胀螺丝、金属支架、吊杆、接线端子等，适配不同教室天花板结构，安装牢固可靠。</w:t>
            </w:r>
          </w:p>
          <w:p w14:paraId="7059F3FA">
            <w:pPr>
              <w:pStyle w:val="4"/>
              <w:ind w:firstLine="480"/>
              <w:jc w:val="left"/>
            </w:pPr>
            <w:r>
              <w:rPr>
                <w:rFonts w:ascii="仿宋_GB2312" w:hAnsi="仿宋_GB2312" w:eastAsia="仿宋_GB2312" w:cs="仿宋_GB2312"/>
                <w:sz w:val="24"/>
              </w:rPr>
              <w:t>4. 包含拆除辅材：旧灯具拆除、清运所需工具及防护材料，确保施工过程安全、环保，无二次污染。</w:t>
            </w:r>
          </w:p>
          <w:p w14:paraId="50BDCDC8">
            <w:pPr>
              <w:pStyle w:val="4"/>
              <w:ind w:firstLine="480"/>
              <w:jc w:val="left"/>
            </w:pPr>
            <w:r>
              <w:rPr>
                <w:rFonts w:ascii="仿宋_GB2312" w:hAnsi="仿宋_GB2312" w:eastAsia="仿宋_GB2312" w:cs="仿宋_GB2312"/>
                <w:sz w:val="24"/>
              </w:rPr>
              <w:t>5.本次教室照明系统配置的9个独立控制回路，开关采用物理按键开关，整体划分为三大控制维度，分别为：3盏黑板灯独立控制3个回路、教室灯具横向三排分区3个回路、教室灯具纵向三列分区3个回路，九大回路相互独立、互不干扰、单独可控，实现教室全域照明网格化、立体化、精细化全覆盖控制。</w:t>
            </w:r>
          </w:p>
          <w:p w14:paraId="5F742256">
            <w:pPr>
              <w:pStyle w:val="4"/>
              <w:ind w:firstLine="480"/>
              <w:jc w:val="left"/>
            </w:pPr>
            <w:r>
              <w:rPr>
                <w:rFonts w:ascii="仿宋_GB2312" w:hAnsi="仿宋_GB2312" w:eastAsia="仿宋_GB2312" w:cs="仿宋_GB2312"/>
                <w:sz w:val="24"/>
              </w:rPr>
              <w:t>（三）其他要求</w:t>
            </w:r>
          </w:p>
          <w:p w14:paraId="708B9FD3">
            <w:pPr>
              <w:pStyle w:val="4"/>
              <w:ind w:firstLine="480"/>
              <w:jc w:val="left"/>
            </w:pPr>
            <w:r>
              <w:rPr>
                <w:rFonts w:ascii="仿宋_GB2312" w:hAnsi="仿宋_GB2312" w:eastAsia="仿宋_GB2312" w:cs="仿宋_GB2312"/>
                <w:sz w:val="24"/>
              </w:rPr>
              <w:t>履约期间涉及国家强制标准如有更新，以最新要求为准。</w:t>
            </w:r>
          </w:p>
        </w:tc>
      </w:tr>
    </w:tbl>
    <w:p w14:paraId="49039688">
      <w:pPr>
        <w:pStyle w:val="4"/>
        <w:jc w:val="left"/>
      </w:pPr>
      <w:r>
        <w:rPr>
          <w:rFonts w:ascii="仿宋_GB2312" w:hAnsi="仿宋_GB2312" w:eastAsia="仿宋_GB2312" w:cs="仿宋_GB2312"/>
        </w:rPr>
        <w:t>标的名称：LED黑板灯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DFBA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0B556B">
            <w:pPr>
              <w:pStyle w:val="4"/>
              <w:jc w:val="center"/>
            </w:pPr>
            <w:r>
              <w:rPr>
                <w:rFonts w:ascii="仿宋_GB2312" w:hAnsi="仿宋_GB2312" w:eastAsia="仿宋_GB2312" w:cs="仿宋_GB2312"/>
              </w:rPr>
              <w:t>序号</w:t>
            </w:r>
          </w:p>
        </w:tc>
        <w:tc>
          <w:tcPr>
            <w:tcW w:w="581" w:type="dxa"/>
          </w:tcPr>
          <w:p w14:paraId="7DE338B8">
            <w:pPr>
              <w:pStyle w:val="4"/>
              <w:jc w:val="center"/>
            </w:pPr>
            <w:r>
              <w:rPr>
                <w:rFonts w:ascii="仿宋_GB2312" w:hAnsi="仿宋_GB2312" w:eastAsia="仿宋_GB2312" w:cs="仿宋_GB2312"/>
              </w:rPr>
              <w:t>符号标识</w:t>
            </w:r>
          </w:p>
        </w:tc>
        <w:tc>
          <w:tcPr>
            <w:tcW w:w="1495" w:type="dxa"/>
          </w:tcPr>
          <w:p w14:paraId="0E10E7FD">
            <w:pPr>
              <w:pStyle w:val="4"/>
              <w:jc w:val="center"/>
            </w:pPr>
            <w:r>
              <w:rPr>
                <w:rFonts w:ascii="仿宋_GB2312" w:hAnsi="仿宋_GB2312" w:eastAsia="仿宋_GB2312" w:cs="仿宋_GB2312"/>
              </w:rPr>
              <w:t>技术要求名称</w:t>
            </w:r>
          </w:p>
        </w:tc>
        <w:tc>
          <w:tcPr>
            <w:tcW w:w="5814" w:type="dxa"/>
          </w:tcPr>
          <w:p w14:paraId="122407D2">
            <w:pPr>
              <w:pStyle w:val="4"/>
              <w:jc w:val="center"/>
            </w:pPr>
            <w:r>
              <w:rPr>
                <w:rFonts w:ascii="仿宋_GB2312" w:hAnsi="仿宋_GB2312" w:eastAsia="仿宋_GB2312" w:cs="仿宋_GB2312"/>
              </w:rPr>
              <w:t>技术参数与性能指标</w:t>
            </w:r>
          </w:p>
        </w:tc>
      </w:tr>
      <w:tr w14:paraId="06BB42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1DD818">
            <w:pPr>
              <w:pStyle w:val="4"/>
              <w:jc w:val="center"/>
            </w:pPr>
            <w:r>
              <w:rPr>
                <w:rFonts w:ascii="仿宋_GB2312" w:hAnsi="仿宋_GB2312" w:eastAsia="仿宋_GB2312" w:cs="仿宋_GB2312"/>
              </w:rPr>
              <w:t>1</w:t>
            </w:r>
          </w:p>
        </w:tc>
        <w:tc>
          <w:tcPr>
            <w:tcW w:w="581" w:type="dxa"/>
          </w:tcPr>
          <w:p w14:paraId="13E23C87"/>
        </w:tc>
        <w:tc>
          <w:tcPr>
            <w:tcW w:w="1495" w:type="dxa"/>
          </w:tcPr>
          <w:p w14:paraId="1918768D">
            <w:pPr>
              <w:pStyle w:val="4"/>
              <w:jc w:val="left"/>
            </w:pPr>
            <w:r>
              <w:rPr>
                <w:rFonts w:ascii="仿宋_GB2312" w:hAnsi="仿宋_GB2312" w:eastAsia="仿宋_GB2312" w:cs="仿宋_GB2312"/>
              </w:rPr>
              <w:t>LED黑板灯</w:t>
            </w:r>
          </w:p>
        </w:tc>
        <w:tc>
          <w:tcPr>
            <w:tcW w:w="5814" w:type="dxa"/>
          </w:tcPr>
          <w:p w14:paraId="764BCB3B">
            <w:pPr>
              <w:pStyle w:val="4"/>
              <w:jc w:val="both"/>
            </w:pPr>
            <w:r>
              <w:rPr>
                <w:rFonts w:ascii="仿宋_GB2312" w:hAnsi="仿宋_GB2312" w:eastAsia="仿宋_GB2312" w:cs="仿宋_GB2312"/>
                <w:sz w:val="24"/>
              </w:rPr>
              <w:t>▲1、LED黑板灯出光口面尺寸长≥1100mm。同时整体出光口面长度占灯具总长比例＞90%。</w:t>
            </w:r>
          </w:p>
          <w:p w14:paraId="4603E588">
            <w:pPr>
              <w:pStyle w:val="4"/>
              <w:jc w:val="both"/>
            </w:pPr>
            <w:r>
              <w:rPr>
                <w:rFonts w:ascii="仿宋_GB2312" w:hAnsi="仿宋_GB2312" w:eastAsia="仿宋_GB2312" w:cs="仿宋_GB2312"/>
                <w:sz w:val="24"/>
              </w:rPr>
              <w:t>●2、LED黑板灯功率36W±4W，功率因数≥0.90，显色指数Ra≥90（R9≥50）。</w:t>
            </w:r>
          </w:p>
          <w:p w14:paraId="6C7003DF">
            <w:pPr>
              <w:pStyle w:val="4"/>
              <w:jc w:val="both"/>
            </w:pPr>
            <w:r>
              <w:rPr>
                <w:rFonts w:ascii="仿宋_GB2312" w:hAnsi="仿宋_GB2312" w:eastAsia="仿宋_GB2312" w:cs="仿宋_GB2312"/>
                <w:sz w:val="24"/>
              </w:rPr>
              <w:t>●3、LED黑板灯总光通量≥2800 lm。</w:t>
            </w:r>
          </w:p>
          <w:p w14:paraId="083F3809">
            <w:pPr>
              <w:pStyle w:val="4"/>
              <w:jc w:val="both"/>
            </w:pPr>
            <w:r>
              <w:rPr>
                <w:rFonts w:ascii="仿宋_GB2312" w:hAnsi="仿宋_GB2312" w:eastAsia="仿宋_GB2312" w:cs="仿宋_GB2312"/>
                <w:sz w:val="24"/>
              </w:rPr>
              <w:t>●4、LED黑板灯色温在3300K-5300K之间，色容差≤3 SDCM,色品空间不一致性≤0.004。</w:t>
            </w:r>
          </w:p>
          <w:p w14:paraId="5213985B">
            <w:pPr>
              <w:pStyle w:val="4"/>
              <w:jc w:val="both"/>
            </w:pPr>
            <w:r>
              <w:rPr>
                <w:rFonts w:ascii="仿宋_GB2312" w:hAnsi="仿宋_GB2312" w:eastAsia="仿宋_GB2312" w:cs="仿宋_GB2312"/>
                <w:sz w:val="24"/>
              </w:rPr>
              <w:t>●5、LED黑板灯频闪符合不可察觉等级（无显著影响）要求，光生物安全性测试结果为“无危险类”。</w:t>
            </w:r>
          </w:p>
          <w:p w14:paraId="53F0E44A">
            <w:pPr>
              <w:pStyle w:val="4"/>
              <w:jc w:val="both"/>
            </w:pPr>
            <w:r>
              <w:rPr>
                <w:rFonts w:ascii="仿宋_GB2312" w:hAnsi="仿宋_GB2312" w:eastAsia="仿宋_GB2312" w:cs="仿宋_GB2312"/>
                <w:sz w:val="24"/>
              </w:rPr>
              <w:t>●6、LED黑板灯蓝光检测结果符合《GB/Z 39942》要求达到RG0无危险类，蓝光加权辐亮度LB检测结果≤30W/(㎡ •sr）</w:t>
            </w:r>
          </w:p>
          <w:p w14:paraId="53142A6E">
            <w:pPr>
              <w:pStyle w:val="4"/>
              <w:jc w:val="both"/>
            </w:pPr>
            <w:r>
              <w:rPr>
                <w:rFonts w:ascii="仿宋_GB2312" w:hAnsi="仿宋_GB2312" w:eastAsia="仿宋_GB2312" w:cs="仿宋_GB2312"/>
                <w:sz w:val="24"/>
              </w:rPr>
              <w:t>▲7、为方便灯具后期维护便利，LED黑板灯驱动电源（控制装置）为外置，以实现快速更换，且阻燃符合《GB/T 5169.16》技术要求：V-0等级。</w:t>
            </w:r>
          </w:p>
          <w:p w14:paraId="221F7FDD">
            <w:pPr>
              <w:pStyle w:val="4"/>
              <w:jc w:val="both"/>
            </w:pPr>
            <w:r>
              <w:rPr>
                <w:rFonts w:ascii="仿宋_GB2312" w:hAnsi="仿宋_GB2312" w:eastAsia="仿宋_GB2312" w:cs="仿宋_GB2312"/>
                <w:sz w:val="24"/>
              </w:rPr>
              <w:t>▲8、为避免粉笔粉尘、粉屑可能侵入灯具内部，要求LED黑板灯防护等级≥IP55；。</w:t>
            </w:r>
          </w:p>
          <w:p w14:paraId="2FE47A03">
            <w:pPr>
              <w:pStyle w:val="4"/>
              <w:jc w:val="both"/>
            </w:pPr>
            <w:r>
              <w:rPr>
                <w:rFonts w:ascii="仿宋_GB2312" w:hAnsi="仿宋_GB2312" w:eastAsia="仿宋_GB2312" w:cs="仿宋_GB2312"/>
                <w:sz w:val="24"/>
              </w:rPr>
              <w:t>▲9、LED黑板灯的安装需符合中小学校普通教室照明设计安装卫生要求：黑板灯距黑板平行间距700mm-1000mm、距黑板上缘垂直距离100mm-200mm时，黑板面维持平均照度≥500lx，黑板面照度均匀度≥0.8。</w:t>
            </w:r>
          </w:p>
          <w:p w14:paraId="746E6507">
            <w:pPr>
              <w:pStyle w:val="4"/>
              <w:jc w:val="left"/>
            </w:pPr>
            <w:r>
              <w:rPr>
                <w:rFonts w:ascii="仿宋_GB2312" w:hAnsi="仿宋_GB2312" w:eastAsia="仿宋_GB2312" w:cs="仿宋_GB2312"/>
                <w:sz w:val="24"/>
              </w:rPr>
              <w:t>说明：序号1-9项参数均需在投标时提供第三方检测机构出具的检测报告影印件。</w:t>
            </w:r>
          </w:p>
        </w:tc>
      </w:tr>
      <w:tr w14:paraId="1414D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1A2B7C">
            <w:pPr>
              <w:pStyle w:val="4"/>
              <w:jc w:val="center"/>
            </w:pPr>
            <w:r>
              <w:rPr>
                <w:rFonts w:ascii="仿宋_GB2312" w:hAnsi="仿宋_GB2312" w:eastAsia="仿宋_GB2312" w:cs="仿宋_GB2312"/>
              </w:rPr>
              <w:t>2</w:t>
            </w:r>
          </w:p>
        </w:tc>
        <w:tc>
          <w:tcPr>
            <w:tcW w:w="581" w:type="dxa"/>
          </w:tcPr>
          <w:p w14:paraId="2F3FD5F9">
            <w:pPr>
              <w:pStyle w:val="4"/>
              <w:jc w:val="center"/>
            </w:pPr>
            <w:r>
              <w:rPr>
                <w:rFonts w:ascii="仿宋_GB2312" w:hAnsi="仿宋_GB2312" w:eastAsia="仿宋_GB2312" w:cs="仿宋_GB2312"/>
              </w:rPr>
              <w:t>★</w:t>
            </w:r>
          </w:p>
        </w:tc>
        <w:tc>
          <w:tcPr>
            <w:tcW w:w="1495" w:type="dxa"/>
          </w:tcPr>
          <w:p w14:paraId="0EF4EA2F">
            <w:pPr>
              <w:pStyle w:val="4"/>
              <w:jc w:val="left"/>
            </w:pPr>
            <w:r>
              <w:rPr>
                <w:rFonts w:ascii="仿宋_GB2312" w:hAnsi="仿宋_GB2312" w:eastAsia="仿宋_GB2312" w:cs="仿宋_GB2312"/>
              </w:rPr>
              <w:t>其他技术要求</w:t>
            </w:r>
          </w:p>
        </w:tc>
        <w:tc>
          <w:tcPr>
            <w:tcW w:w="5814" w:type="dxa"/>
          </w:tcPr>
          <w:p w14:paraId="248AB63D">
            <w:pPr>
              <w:pStyle w:val="4"/>
              <w:jc w:val="left"/>
            </w:pPr>
            <w:r>
              <w:rPr>
                <w:rFonts w:ascii="仿宋_GB2312" w:hAnsi="仿宋_GB2312" w:eastAsia="仿宋_GB2312" w:cs="仿宋_GB2312"/>
                <w:b/>
                <w:sz w:val="24"/>
              </w:rPr>
              <w:t>（一）总体质量要求</w:t>
            </w:r>
          </w:p>
          <w:p w14:paraId="4B849806">
            <w:pPr>
              <w:pStyle w:val="4"/>
              <w:ind w:firstLine="480"/>
              <w:jc w:val="left"/>
            </w:pPr>
            <w:r>
              <w:rPr>
                <w:rFonts w:ascii="仿宋_GB2312" w:hAnsi="仿宋_GB2312" w:eastAsia="仿宋_GB2312" w:cs="仿宋_GB2312"/>
                <w:sz w:val="24"/>
              </w:rPr>
              <w:t>1、供应商须提供全新的货物(含零部件、配件、使用说明书等)，表面无划伤、无碰撞痕迹，且权属清楚，不得侵害他人的知识产权，不得以次充好，产品来源渠道必须合法，同时应根据国家有关规定、采购单位的要求做好售后服务工作。</w:t>
            </w:r>
          </w:p>
          <w:p w14:paraId="6D4EDF1E">
            <w:pPr>
              <w:pStyle w:val="4"/>
              <w:ind w:firstLine="480"/>
              <w:jc w:val="left"/>
            </w:pPr>
            <w:r>
              <w:rPr>
                <w:rFonts w:ascii="仿宋_GB2312" w:hAnsi="仿宋_GB2312" w:eastAsia="仿宋_GB2312" w:cs="仿宋_GB2312"/>
                <w:sz w:val="24"/>
              </w:rPr>
              <w:t>2、供应商提供的产品符合国家标准、行业标准、地方标准等标准、规范，以及采购文件的质量要求和技术指标与出厂标准。</w:t>
            </w:r>
          </w:p>
          <w:p w14:paraId="3F3053ED">
            <w:pPr>
              <w:pStyle w:val="4"/>
              <w:ind w:firstLine="480"/>
              <w:jc w:val="left"/>
            </w:pPr>
            <w:r>
              <w:rPr>
                <w:rFonts w:ascii="仿宋_GB2312" w:hAnsi="仿宋_GB2312" w:eastAsia="仿宋_GB2312" w:cs="仿宋_GB2312"/>
                <w:sz w:val="24"/>
              </w:rPr>
              <w:t>3、货物制造质量出现问题，供应商应负责三包(包修、包换、包退)，费用由供应商负担。</w:t>
            </w:r>
          </w:p>
          <w:p w14:paraId="3758A72D">
            <w:pPr>
              <w:pStyle w:val="4"/>
              <w:ind w:firstLine="480"/>
              <w:jc w:val="left"/>
            </w:pPr>
            <w:r>
              <w:rPr>
                <w:rFonts w:ascii="仿宋_GB2312" w:hAnsi="仿宋_GB2312" w:eastAsia="仿宋_GB2312" w:cs="仿宋_GB2312"/>
                <w:sz w:val="24"/>
              </w:rPr>
              <w:t>4、货到现场交付完成后由于采购人保管不当造成的质量问题，供应商亦应负责修理，但费用由采购人负担。</w:t>
            </w:r>
          </w:p>
          <w:p w14:paraId="611C3D3B">
            <w:pPr>
              <w:pStyle w:val="4"/>
              <w:ind w:firstLine="480"/>
              <w:jc w:val="left"/>
            </w:pPr>
            <w:r>
              <w:rPr>
                <w:rFonts w:ascii="仿宋_GB2312" w:hAnsi="仿宋_GB2312" w:eastAsia="仿宋_GB2312" w:cs="仿宋_GB2312"/>
                <w:sz w:val="24"/>
              </w:rPr>
              <w:t>（二）安装要求</w:t>
            </w:r>
          </w:p>
          <w:p w14:paraId="250F137C">
            <w:pPr>
              <w:pStyle w:val="4"/>
              <w:jc w:val="left"/>
            </w:pPr>
            <w:r>
              <w:rPr>
                <w:rFonts w:ascii="仿宋_GB2312" w:hAnsi="仿宋_GB2312" w:eastAsia="仿宋_GB2312" w:cs="仿宋_GB2312"/>
                <w:sz w:val="24"/>
              </w:rPr>
              <w:t>本项目针对天全县城区200间教室进行照明环境改造，涉及学校及教室数量如下：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96"/>
              <w:gridCol w:w="2797"/>
            </w:tblGrid>
            <w:tr w14:paraId="35D37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C25A61">
                  <w:pPr>
                    <w:pStyle w:val="4"/>
                    <w:jc w:val="center"/>
                  </w:pPr>
                  <w:r>
                    <w:rPr>
                      <w:rFonts w:ascii="仿宋_GB2312" w:hAnsi="仿宋_GB2312" w:eastAsia="仿宋_GB2312" w:cs="仿宋_GB2312"/>
                      <w:sz w:val="24"/>
                    </w:rPr>
                    <w:t>学校名称</w:t>
                  </w:r>
                </w:p>
              </w:tc>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189963">
                  <w:pPr>
                    <w:pStyle w:val="4"/>
                    <w:jc w:val="center"/>
                  </w:pPr>
                  <w:r>
                    <w:rPr>
                      <w:rFonts w:ascii="仿宋_GB2312" w:hAnsi="仿宋_GB2312" w:eastAsia="仿宋_GB2312" w:cs="仿宋_GB2312"/>
                      <w:sz w:val="24"/>
                    </w:rPr>
                    <w:t>教室数（间）</w:t>
                  </w:r>
                </w:p>
              </w:tc>
            </w:tr>
            <w:tr w14:paraId="5480EA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C9BB5">
                  <w:pPr>
                    <w:pStyle w:val="4"/>
                    <w:jc w:val="center"/>
                  </w:pPr>
                  <w:r>
                    <w:rPr>
                      <w:rFonts w:ascii="仿宋_GB2312" w:hAnsi="仿宋_GB2312" w:eastAsia="仿宋_GB2312" w:cs="仿宋_GB2312"/>
                      <w:sz w:val="24"/>
                    </w:rPr>
                    <w:t>四川省天全中学</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E8C63D">
                  <w:pPr>
                    <w:pStyle w:val="4"/>
                    <w:jc w:val="center"/>
                  </w:pPr>
                  <w:r>
                    <w:rPr>
                      <w:rFonts w:ascii="仿宋_GB2312" w:hAnsi="仿宋_GB2312" w:eastAsia="仿宋_GB2312" w:cs="仿宋_GB2312"/>
                      <w:sz w:val="24"/>
                    </w:rPr>
                    <w:t>48</w:t>
                  </w:r>
                </w:p>
              </w:tc>
            </w:tr>
            <w:tr w14:paraId="79C821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818B78">
                  <w:pPr>
                    <w:pStyle w:val="4"/>
                    <w:jc w:val="center"/>
                  </w:pPr>
                  <w:r>
                    <w:rPr>
                      <w:rFonts w:ascii="仿宋_GB2312" w:hAnsi="仿宋_GB2312" w:eastAsia="仿宋_GB2312" w:cs="仿宋_GB2312"/>
                      <w:sz w:val="24"/>
                    </w:rPr>
                    <w:t>县一中</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05460">
                  <w:pPr>
                    <w:pStyle w:val="4"/>
                    <w:jc w:val="center"/>
                  </w:pPr>
                  <w:r>
                    <w:rPr>
                      <w:rFonts w:ascii="仿宋_GB2312" w:hAnsi="仿宋_GB2312" w:eastAsia="仿宋_GB2312" w:cs="仿宋_GB2312"/>
                      <w:sz w:val="24"/>
                    </w:rPr>
                    <w:t>33</w:t>
                  </w:r>
                </w:p>
              </w:tc>
            </w:tr>
            <w:tr w14:paraId="6118B9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D4759">
                  <w:pPr>
                    <w:pStyle w:val="4"/>
                    <w:jc w:val="center"/>
                  </w:pPr>
                  <w:r>
                    <w:rPr>
                      <w:rFonts w:ascii="仿宋_GB2312" w:hAnsi="仿宋_GB2312" w:eastAsia="仿宋_GB2312" w:cs="仿宋_GB2312"/>
                      <w:sz w:val="24"/>
                    </w:rPr>
                    <w:t>县二中</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FD93A9">
                  <w:pPr>
                    <w:pStyle w:val="4"/>
                    <w:jc w:val="center"/>
                  </w:pPr>
                  <w:r>
                    <w:rPr>
                      <w:rFonts w:ascii="仿宋_GB2312" w:hAnsi="仿宋_GB2312" w:eastAsia="仿宋_GB2312" w:cs="仿宋_GB2312"/>
                      <w:sz w:val="24"/>
                    </w:rPr>
                    <w:t>30</w:t>
                  </w:r>
                </w:p>
              </w:tc>
            </w:tr>
            <w:tr w14:paraId="0026F6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115A48">
                  <w:pPr>
                    <w:pStyle w:val="4"/>
                    <w:jc w:val="center"/>
                  </w:pPr>
                  <w:r>
                    <w:rPr>
                      <w:rFonts w:ascii="仿宋_GB2312" w:hAnsi="仿宋_GB2312" w:eastAsia="仿宋_GB2312" w:cs="仿宋_GB2312"/>
                      <w:sz w:val="24"/>
                    </w:rPr>
                    <w:t>城区一小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C6069">
                  <w:pPr>
                    <w:pStyle w:val="4"/>
                    <w:jc w:val="center"/>
                  </w:pPr>
                  <w:r>
                    <w:rPr>
                      <w:rFonts w:ascii="仿宋_GB2312" w:hAnsi="仿宋_GB2312" w:eastAsia="仿宋_GB2312" w:cs="仿宋_GB2312"/>
                      <w:sz w:val="24"/>
                    </w:rPr>
                    <w:t>40</w:t>
                  </w:r>
                </w:p>
              </w:tc>
            </w:tr>
            <w:tr w14:paraId="63364C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65687">
                  <w:pPr>
                    <w:pStyle w:val="4"/>
                    <w:jc w:val="center"/>
                  </w:pPr>
                  <w:r>
                    <w:rPr>
                      <w:rFonts w:ascii="仿宋_GB2312" w:hAnsi="仿宋_GB2312" w:eastAsia="仿宋_GB2312" w:cs="仿宋_GB2312"/>
                      <w:sz w:val="24"/>
                    </w:rPr>
                    <w:t>城区二小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35BD2">
                  <w:pPr>
                    <w:pStyle w:val="4"/>
                    <w:jc w:val="center"/>
                  </w:pPr>
                  <w:r>
                    <w:rPr>
                      <w:rFonts w:ascii="仿宋_GB2312" w:hAnsi="仿宋_GB2312" w:eastAsia="仿宋_GB2312" w:cs="仿宋_GB2312"/>
                      <w:sz w:val="24"/>
                    </w:rPr>
                    <w:t>20</w:t>
                  </w:r>
                </w:p>
              </w:tc>
            </w:tr>
            <w:tr w14:paraId="26D500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A7C9E">
                  <w:pPr>
                    <w:pStyle w:val="4"/>
                    <w:jc w:val="center"/>
                  </w:pPr>
                  <w:r>
                    <w:rPr>
                      <w:rFonts w:ascii="仿宋_GB2312" w:hAnsi="仿宋_GB2312" w:eastAsia="仿宋_GB2312" w:cs="仿宋_GB2312"/>
                      <w:sz w:val="24"/>
                    </w:rPr>
                    <w:t>城区三小</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27B644">
                  <w:pPr>
                    <w:pStyle w:val="4"/>
                    <w:jc w:val="center"/>
                  </w:pPr>
                  <w:r>
                    <w:rPr>
                      <w:rFonts w:ascii="仿宋_GB2312" w:hAnsi="仿宋_GB2312" w:eastAsia="仿宋_GB2312" w:cs="仿宋_GB2312"/>
                      <w:sz w:val="24"/>
                    </w:rPr>
                    <w:t>29</w:t>
                  </w:r>
                </w:p>
              </w:tc>
            </w:tr>
            <w:tr w14:paraId="4F53C7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06D9D">
                  <w:pPr>
                    <w:pStyle w:val="4"/>
                    <w:jc w:val="center"/>
                  </w:pPr>
                  <w:r>
                    <w:rPr>
                      <w:rFonts w:ascii="仿宋_GB2312" w:hAnsi="仿宋_GB2312" w:eastAsia="仿宋_GB2312" w:cs="仿宋_GB2312"/>
                      <w:sz w:val="24"/>
                    </w:rPr>
                    <w:t>合计</w:t>
                  </w:r>
                </w:p>
              </w:tc>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4429E">
                  <w:pPr>
                    <w:pStyle w:val="4"/>
                    <w:jc w:val="center"/>
                  </w:pPr>
                  <w:r>
                    <w:rPr>
                      <w:rFonts w:ascii="仿宋_GB2312" w:hAnsi="仿宋_GB2312" w:eastAsia="仿宋_GB2312" w:cs="仿宋_GB2312"/>
                      <w:sz w:val="24"/>
                    </w:rPr>
                    <w:t>200</w:t>
                  </w:r>
                </w:p>
              </w:tc>
            </w:tr>
          </w:tbl>
          <w:p w14:paraId="66FA0C13">
            <w:pPr>
              <w:pStyle w:val="4"/>
              <w:ind w:firstLine="480"/>
              <w:jc w:val="left"/>
            </w:pPr>
            <w:r>
              <w:rPr>
                <w:rFonts w:ascii="仿宋_GB2312" w:hAnsi="仿宋_GB2312" w:eastAsia="仿宋_GB2312" w:cs="仿宋_GB2312"/>
                <w:sz w:val="24"/>
              </w:rPr>
              <w:t>1.包含电线、线管、开关、回路控制器、安装支架、固定件、安全防护辅材等，符合国家电气安全标准；支持教室灯、黑板灯分路控制，可根据需求提供单控/分组控制方案。</w:t>
            </w:r>
          </w:p>
          <w:p w14:paraId="5037A8D1">
            <w:pPr>
              <w:pStyle w:val="4"/>
              <w:ind w:firstLine="480"/>
              <w:jc w:val="left"/>
            </w:pPr>
            <w:r>
              <w:rPr>
                <w:rFonts w:ascii="仿宋_GB2312" w:hAnsi="仿宋_GB2312" w:eastAsia="仿宋_GB2312" w:cs="仿宋_GB2312"/>
                <w:sz w:val="24"/>
              </w:rPr>
              <w:t>2. 包含电气辅材：符合国标最新标准的阻燃电线、线管、开关、配电箱配件等，绝缘、阻燃性能达标，保障用电安全。</w:t>
            </w:r>
          </w:p>
          <w:p w14:paraId="782C7E65">
            <w:pPr>
              <w:pStyle w:val="4"/>
              <w:ind w:firstLine="480"/>
              <w:jc w:val="left"/>
            </w:pPr>
            <w:r>
              <w:rPr>
                <w:rFonts w:ascii="仿宋_GB2312" w:hAnsi="仿宋_GB2312" w:eastAsia="仿宋_GB2312" w:cs="仿宋_GB2312"/>
                <w:sz w:val="24"/>
              </w:rPr>
              <w:t>3. 包含安装辅材：防锈膨胀螺丝、金属支架、吊杆、接线端子等，适配不同教室天花板结构，安装牢固可靠。</w:t>
            </w:r>
          </w:p>
          <w:p w14:paraId="2A23999A">
            <w:pPr>
              <w:pStyle w:val="4"/>
              <w:ind w:firstLine="480"/>
              <w:jc w:val="left"/>
            </w:pPr>
            <w:r>
              <w:rPr>
                <w:rFonts w:ascii="仿宋_GB2312" w:hAnsi="仿宋_GB2312" w:eastAsia="仿宋_GB2312" w:cs="仿宋_GB2312"/>
                <w:sz w:val="24"/>
              </w:rPr>
              <w:t>4. 包含拆除辅材：旧灯具拆除、清运所需工具及防护材料，确保施工过程安全、环保，无二次污染。</w:t>
            </w:r>
          </w:p>
          <w:p w14:paraId="476A1DD5">
            <w:pPr>
              <w:pStyle w:val="4"/>
              <w:ind w:firstLine="480"/>
              <w:jc w:val="left"/>
            </w:pPr>
            <w:r>
              <w:rPr>
                <w:rFonts w:ascii="仿宋_GB2312" w:hAnsi="仿宋_GB2312" w:eastAsia="仿宋_GB2312" w:cs="仿宋_GB2312"/>
                <w:sz w:val="24"/>
              </w:rPr>
              <w:t>5.本次教室照明系统配置的9个独立控制回路，开关采用物理按键开关，整体划分为三大控制维度，分别为：3盏黑板灯独立控制3个回路、教室灯具横向三排分区3个回路、教室灯具纵向三列分区3个回路，九大回路相互独立、互不干扰、单独可控，实现教室全域照明网格化、立体化、精细化全覆盖控制。</w:t>
            </w:r>
          </w:p>
          <w:p w14:paraId="4DD8F404">
            <w:pPr>
              <w:pStyle w:val="4"/>
              <w:ind w:firstLine="480"/>
              <w:jc w:val="left"/>
            </w:pPr>
            <w:r>
              <w:rPr>
                <w:rFonts w:ascii="仿宋_GB2312" w:hAnsi="仿宋_GB2312" w:eastAsia="仿宋_GB2312" w:cs="仿宋_GB2312"/>
                <w:sz w:val="24"/>
              </w:rPr>
              <w:t>（三）其他要求</w:t>
            </w:r>
          </w:p>
          <w:p w14:paraId="6DCF6306">
            <w:pPr>
              <w:pStyle w:val="4"/>
              <w:ind w:firstLine="480"/>
              <w:jc w:val="left"/>
            </w:pPr>
            <w:r>
              <w:rPr>
                <w:rFonts w:ascii="仿宋_GB2312" w:hAnsi="仿宋_GB2312" w:eastAsia="仿宋_GB2312" w:cs="仿宋_GB2312"/>
                <w:sz w:val="24"/>
              </w:rPr>
              <w:t>履约期间涉及国家强制标准如有更新，以最新要求为准。</w:t>
            </w:r>
          </w:p>
        </w:tc>
      </w:tr>
    </w:tbl>
    <w:p w14:paraId="77C8A6C2">
      <w:pPr>
        <w:pStyle w:val="4"/>
        <w:jc w:val="left"/>
        <w:outlineLvl w:val="2"/>
      </w:pPr>
      <w:r>
        <w:rPr>
          <w:rFonts w:ascii="仿宋_GB2312" w:hAnsi="仿宋_GB2312" w:eastAsia="仿宋_GB2312" w:cs="仿宋_GB2312"/>
          <w:b/>
          <w:sz w:val="28"/>
        </w:rPr>
        <w:t>3.3.服务要求</w:t>
      </w:r>
    </w:p>
    <w:p w14:paraId="7599476E">
      <w:pPr>
        <w:pStyle w:val="4"/>
        <w:jc w:val="left"/>
        <w:outlineLvl w:val="3"/>
      </w:pPr>
      <w:r>
        <w:rPr>
          <w:rFonts w:ascii="仿宋_GB2312" w:hAnsi="仿宋_GB2312" w:eastAsia="仿宋_GB2312" w:cs="仿宋_GB2312"/>
          <w:b/>
          <w:sz w:val="24"/>
        </w:rPr>
        <w:t>3.3.1.服务内容要求</w:t>
      </w:r>
    </w:p>
    <w:p w14:paraId="252424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7391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98744F">
            <w:pPr>
              <w:pStyle w:val="4"/>
              <w:jc w:val="center"/>
            </w:pPr>
            <w:r>
              <w:rPr>
                <w:rFonts w:ascii="仿宋_GB2312" w:hAnsi="仿宋_GB2312" w:eastAsia="仿宋_GB2312" w:cs="仿宋_GB2312"/>
              </w:rPr>
              <w:t xml:space="preserve"> 序号</w:t>
            </w:r>
          </w:p>
        </w:tc>
        <w:tc>
          <w:tcPr>
            <w:tcW w:w="581" w:type="dxa"/>
          </w:tcPr>
          <w:p w14:paraId="14C88D06">
            <w:pPr>
              <w:pStyle w:val="4"/>
              <w:jc w:val="center"/>
            </w:pPr>
            <w:r>
              <w:rPr>
                <w:rFonts w:ascii="仿宋_GB2312" w:hAnsi="仿宋_GB2312" w:eastAsia="仿宋_GB2312" w:cs="仿宋_GB2312"/>
              </w:rPr>
              <w:t xml:space="preserve"> 符号标识</w:t>
            </w:r>
          </w:p>
        </w:tc>
        <w:tc>
          <w:tcPr>
            <w:tcW w:w="1495" w:type="dxa"/>
          </w:tcPr>
          <w:p w14:paraId="7F9ADCE2">
            <w:pPr>
              <w:pStyle w:val="4"/>
              <w:jc w:val="center"/>
            </w:pPr>
            <w:r>
              <w:rPr>
                <w:rFonts w:ascii="仿宋_GB2312" w:hAnsi="仿宋_GB2312" w:eastAsia="仿宋_GB2312" w:cs="仿宋_GB2312"/>
              </w:rPr>
              <w:t xml:space="preserve"> 服务要求名称</w:t>
            </w:r>
          </w:p>
        </w:tc>
        <w:tc>
          <w:tcPr>
            <w:tcW w:w="5814" w:type="dxa"/>
          </w:tcPr>
          <w:p w14:paraId="15390127">
            <w:pPr>
              <w:pStyle w:val="4"/>
              <w:jc w:val="center"/>
            </w:pPr>
            <w:r>
              <w:rPr>
                <w:rFonts w:ascii="仿宋_GB2312" w:hAnsi="仿宋_GB2312" w:eastAsia="仿宋_GB2312" w:cs="仿宋_GB2312"/>
              </w:rPr>
              <w:t xml:space="preserve"> 服务要求内容</w:t>
            </w:r>
          </w:p>
        </w:tc>
      </w:tr>
      <w:tr w14:paraId="4EC1B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6C86BB">
            <w:pPr>
              <w:pStyle w:val="4"/>
              <w:jc w:val="center"/>
            </w:pPr>
            <w:r>
              <w:rPr>
                <w:rFonts w:ascii="仿宋_GB2312" w:hAnsi="仿宋_GB2312" w:eastAsia="仿宋_GB2312" w:cs="仿宋_GB2312"/>
              </w:rPr>
              <w:t>1</w:t>
            </w:r>
          </w:p>
        </w:tc>
        <w:tc>
          <w:tcPr>
            <w:tcW w:w="581" w:type="dxa"/>
          </w:tcPr>
          <w:p w14:paraId="21A78D3E"/>
        </w:tc>
        <w:tc>
          <w:tcPr>
            <w:tcW w:w="1495" w:type="dxa"/>
          </w:tcPr>
          <w:p w14:paraId="714FBA39">
            <w:pPr>
              <w:pStyle w:val="4"/>
              <w:jc w:val="left"/>
            </w:pPr>
            <w:r>
              <w:rPr>
                <w:rFonts w:ascii="仿宋_GB2312" w:hAnsi="仿宋_GB2312" w:eastAsia="仿宋_GB2312" w:cs="仿宋_GB2312"/>
              </w:rPr>
              <w:t>履约能力要求</w:t>
            </w:r>
          </w:p>
        </w:tc>
        <w:tc>
          <w:tcPr>
            <w:tcW w:w="5814" w:type="dxa"/>
          </w:tcPr>
          <w:p w14:paraId="70D11A85">
            <w:pPr>
              <w:pStyle w:val="4"/>
              <w:jc w:val="both"/>
            </w:pPr>
            <w:r>
              <w:rPr>
                <w:rFonts w:ascii="仿宋_GB2312" w:hAnsi="仿宋_GB2312" w:eastAsia="仿宋_GB2312" w:cs="仿宋_GB2312"/>
              </w:rPr>
              <w:t>1、项目实施方案：</w:t>
            </w:r>
          </w:p>
          <w:p w14:paraId="0631DBF7">
            <w:pPr>
              <w:pStyle w:val="4"/>
              <w:jc w:val="left"/>
            </w:pPr>
            <w:r>
              <w:rPr>
                <w:rFonts w:ascii="仿宋_GB2312" w:hAnsi="仿宋_GB2312" w:eastAsia="仿宋_GB2312" w:cs="仿宋_GB2312"/>
              </w:rPr>
              <w:t>项目实施方案（包含①货源组织及包装运输②项目实施流程及时间进度安排③装卸及设备安装调试④质量控制措施及验收方案⑤项目人员职责分工⑥安全防护措施及应急预案）。</w:t>
            </w:r>
          </w:p>
          <w:p w14:paraId="5A541C04">
            <w:pPr>
              <w:pStyle w:val="4"/>
              <w:jc w:val="left"/>
            </w:pPr>
            <w:r>
              <w:rPr>
                <w:rFonts w:ascii="仿宋_GB2312" w:hAnsi="仿宋_GB2312" w:eastAsia="仿宋_GB2312" w:cs="仿宋_GB2312"/>
              </w:rPr>
              <w:t>2.售后服务方案：</w:t>
            </w:r>
          </w:p>
          <w:p w14:paraId="73C01C23">
            <w:pPr>
              <w:pStyle w:val="4"/>
              <w:jc w:val="left"/>
            </w:pPr>
            <w:r>
              <w:rPr>
                <w:rFonts w:ascii="仿宋_GB2312" w:hAnsi="仿宋_GB2312" w:eastAsia="仿宋_GB2312" w:cs="仿宋_GB2312"/>
              </w:rPr>
              <w:t>售后服务方案（包含①售后服务范围②售后服务流程及响应③售后实施人员配置④售后服务质量保障措施）。</w:t>
            </w:r>
          </w:p>
          <w:p w14:paraId="76242B57">
            <w:pPr>
              <w:pStyle w:val="4"/>
              <w:jc w:val="left"/>
            </w:pPr>
            <w:r>
              <w:rPr>
                <w:rFonts w:ascii="仿宋_GB2312" w:hAnsi="仿宋_GB2312" w:eastAsia="仿宋_GB2312" w:cs="仿宋_GB2312"/>
                <w:sz w:val="21"/>
              </w:rPr>
              <w:t>3、履约经验：投标人提供自2023年1月1日(含)以来具有类似项目履约经验。</w:t>
            </w:r>
          </w:p>
        </w:tc>
      </w:tr>
      <w:tr w14:paraId="111671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D63B45">
            <w:pPr>
              <w:pStyle w:val="4"/>
              <w:jc w:val="center"/>
            </w:pPr>
            <w:r>
              <w:rPr>
                <w:rFonts w:ascii="仿宋_GB2312" w:hAnsi="仿宋_GB2312" w:eastAsia="仿宋_GB2312" w:cs="仿宋_GB2312"/>
              </w:rPr>
              <w:t>2</w:t>
            </w:r>
          </w:p>
        </w:tc>
        <w:tc>
          <w:tcPr>
            <w:tcW w:w="581" w:type="dxa"/>
          </w:tcPr>
          <w:p w14:paraId="25E6C492">
            <w:pPr>
              <w:pStyle w:val="4"/>
              <w:jc w:val="center"/>
            </w:pPr>
            <w:r>
              <w:rPr>
                <w:rFonts w:ascii="仿宋_GB2312" w:hAnsi="仿宋_GB2312" w:eastAsia="仿宋_GB2312" w:cs="仿宋_GB2312"/>
              </w:rPr>
              <w:t>★</w:t>
            </w:r>
          </w:p>
        </w:tc>
        <w:tc>
          <w:tcPr>
            <w:tcW w:w="1495" w:type="dxa"/>
          </w:tcPr>
          <w:p w14:paraId="39E43CBD">
            <w:pPr>
              <w:pStyle w:val="4"/>
              <w:jc w:val="left"/>
            </w:pPr>
            <w:r>
              <w:rPr>
                <w:rFonts w:ascii="仿宋_GB2312" w:hAnsi="仿宋_GB2312" w:eastAsia="仿宋_GB2312" w:cs="仿宋_GB2312"/>
              </w:rPr>
              <w:t>其他服务要求</w:t>
            </w:r>
          </w:p>
        </w:tc>
        <w:tc>
          <w:tcPr>
            <w:tcW w:w="5814" w:type="dxa"/>
          </w:tcPr>
          <w:p w14:paraId="7B2A6BAF">
            <w:pPr>
              <w:pStyle w:val="4"/>
              <w:jc w:val="left"/>
            </w:pPr>
            <w:r>
              <w:rPr>
                <w:rFonts w:ascii="仿宋_GB2312" w:hAnsi="仿宋_GB2312" w:eastAsia="仿宋_GB2312" w:cs="仿宋_GB2312"/>
              </w:rPr>
              <w:t>成交后，采购人有权在签订合同前要求成交人对本项目采购文件所要求的检测报告或者产品功能要求进行核查，如果发现原件与响应文件不符或虚假响应，采购人将上报财政部门按虚假应标处理，供应商自行承担相应的法律后果（供应商应在响应文件中单独提供承诺函，格式自拟）</w:t>
            </w:r>
          </w:p>
        </w:tc>
      </w:tr>
    </w:tbl>
    <w:p w14:paraId="5528C415">
      <w:pPr>
        <w:pStyle w:val="4"/>
        <w:jc w:val="left"/>
        <w:outlineLvl w:val="3"/>
      </w:pPr>
      <w:r>
        <w:rPr>
          <w:rFonts w:ascii="仿宋_GB2312" w:hAnsi="仿宋_GB2312" w:eastAsia="仿宋_GB2312" w:cs="仿宋_GB2312"/>
          <w:b/>
          <w:sz w:val="24"/>
        </w:rPr>
        <w:t>3.3.2.商务要求</w:t>
      </w:r>
    </w:p>
    <w:p w14:paraId="5ACDA0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C1BC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A707C4">
            <w:pPr>
              <w:pStyle w:val="4"/>
              <w:jc w:val="left"/>
            </w:pPr>
            <w:r>
              <w:rPr>
                <w:rFonts w:ascii="仿宋_GB2312" w:hAnsi="仿宋_GB2312" w:eastAsia="仿宋_GB2312" w:cs="仿宋_GB2312"/>
              </w:rPr>
              <w:t>序号</w:t>
            </w:r>
          </w:p>
        </w:tc>
        <w:tc>
          <w:tcPr>
            <w:tcW w:w="2076" w:type="dxa"/>
          </w:tcPr>
          <w:p w14:paraId="446EE950">
            <w:pPr>
              <w:pStyle w:val="4"/>
              <w:jc w:val="left"/>
            </w:pPr>
            <w:r>
              <w:rPr>
                <w:rFonts w:ascii="仿宋_GB2312" w:hAnsi="仿宋_GB2312" w:eastAsia="仿宋_GB2312" w:cs="仿宋_GB2312"/>
              </w:rPr>
              <w:t>符号标识</w:t>
            </w:r>
          </w:p>
        </w:tc>
        <w:tc>
          <w:tcPr>
            <w:tcW w:w="2076" w:type="dxa"/>
          </w:tcPr>
          <w:p w14:paraId="586BE0C0">
            <w:pPr>
              <w:pStyle w:val="4"/>
              <w:jc w:val="left"/>
            </w:pPr>
            <w:r>
              <w:rPr>
                <w:rFonts w:ascii="仿宋_GB2312" w:hAnsi="仿宋_GB2312" w:eastAsia="仿宋_GB2312" w:cs="仿宋_GB2312"/>
              </w:rPr>
              <w:t>商务要求名称</w:t>
            </w:r>
          </w:p>
        </w:tc>
        <w:tc>
          <w:tcPr>
            <w:tcW w:w="2076" w:type="dxa"/>
          </w:tcPr>
          <w:p w14:paraId="7EAD6F84">
            <w:pPr>
              <w:pStyle w:val="4"/>
              <w:jc w:val="left"/>
            </w:pPr>
            <w:r>
              <w:rPr>
                <w:rFonts w:ascii="仿宋_GB2312" w:hAnsi="仿宋_GB2312" w:eastAsia="仿宋_GB2312" w:cs="仿宋_GB2312"/>
              </w:rPr>
              <w:t>商务要求内容</w:t>
            </w:r>
          </w:p>
        </w:tc>
      </w:tr>
      <w:tr w14:paraId="61D2E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F47306">
            <w:pPr>
              <w:pStyle w:val="4"/>
              <w:jc w:val="left"/>
            </w:pPr>
            <w:r>
              <w:rPr>
                <w:rFonts w:ascii="仿宋_GB2312" w:hAnsi="仿宋_GB2312" w:eastAsia="仿宋_GB2312" w:cs="仿宋_GB2312"/>
              </w:rPr>
              <w:t>1</w:t>
            </w:r>
          </w:p>
        </w:tc>
        <w:tc>
          <w:tcPr>
            <w:tcW w:w="2076" w:type="dxa"/>
          </w:tcPr>
          <w:p w14:paraId="07CB6B71">
            <w:pPr>
              <w:pStyle w:val="4"/>
              <w:jc w:val="left"/>
            </w:pPr>
            <w:r>
              <w:rPr>
                <w:rFonts w:ascii="仿宋_GB2312" w:hAnsi="仿宋_GB2312" w:eastAsia="仿宋_GB2312" w:cs="仿宋_GB2312"/>
              </w:rPr>
              <w:t>★</w:t>
            </w:r>
          </w:p>
        </w:tc>
        <w:tc>
          <w:tcPr>
            <w:tcW w:w="2076" w:type="dxa"/>
          </w:tcPr>
          <w:p w14:paraId="47A3DAC3">
            <w:pPr>
              <w:pStyle w:val="4"/>
              <w:jc w:val="left"/>
            </w:pPr>
            <w:r>
              <w:rPr>
                <w:rFonts w:ascii="仿宋_GB2312" w:hAnsi="仿宋_GB2312" w:eastAsia="仿宋_GB2312" w:cs="仿宋_GB2312"/>
              </w:rPr>
              <w:t>交货时间</w:t>
            </w:r>
          </w:p>
        </w:tc>
        <w:tc>
          <w:tcPr>
            <w:tcW w:w="2076" w:type="dxa"/>
          </w:tcPr>
          <w:p w14:paraId="1CB95FC1">
            <w:pPr>
              <w:pStyle w:val="4"/>
              <w:jc w:val="left"/>
            </w:pPr>
            <w:r>
              <w:rPr>
                <w:rFonts w:ascii="仿宋_GB2312" w:hAnsi="仿宋_GB2312" w:eastAsia="仿宋_GB2312" w:cs="仿宋_GB2312"/>
              </w:rPr>
              <w:t>采购合同签订生效后30日（2026年11月10日之前完成安装调试投入运行，施工安装时间需回避正常上课时间，不得干扰学校正常教学秩序）</w:t>
            </w:r>
          </w:p>
        </w:tc>
      </w:tr>
      <w:tr w14:paraId="24F03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EC4F8B">
            <w:pPr>
              <w:pStyle w:val="4"/>
              <w:jc w:val="left"/>
            </w:pPr>
            <w:r>
              <w:rPr>
                <w:rFonts w:ascii="仿宋_GB2312" w:hAnsi="仿宋_GB2312" w:eastAsia="仿宋_GB2312" w:cs="仿宋_GB2312"/>
              </w:rPr>
              <w:t>2</w:t>
            </w:r>
          </w:p>
        </w:tc>
        <w:tc>
          <w:tcPr>
            <w:tcW w:w="2076" w:type="dxa"/>
          </w:tcPr>
          <w:p w14:paraId="00DD435E">
            <w:pPr>
              <w:pStyle w:val="4"/>
              <w:jc w:val="left"/>
            </w:pPr>
            <w:r>
              <w:rPr>
                <w:rFonts w:ascii="仿宋_GB2312" w:hAnsi="仿宋_GB2312" w:eastAsia="仿宋_GB2312" w:cs="仿宋_GB2312"/>
              </w:rPr>
              <w:t>★</w:t>
            </w:r>
          </w:p>
        </w:tc>
        <w:tc>
          <w:tcPr>
            <w:tcW w:w="2076" w:type="dxa"/>
          </w:tcPr>
          <w:p w14:paraId="3967D463">
            <w:pPr>
              <w:pStyle w:val="4"/>
              <w:jc w:val="left"/>
            </w:pPr>
            <w:r>
              <w:rPr>
                <w:rFonts w:ascii="仿宋_GB2312" w:hAnsi="仿宋_GB2312" w:eastAsia="仿宋_GB2312" w:cs="仿宋_GB2312"/>
              </w:rPr>
              <w:t>交货地点</w:t>
            </w:r>
          </w:p>
        </w:tc>
        <w:tc>
          <w:tcPr>
            <w:tcW w:w="2076" w:type="dxa"/>
          </w:tcPr>
          <w:p w14:paraId="3FD9CB1A">
            <w:pPr>
              <w:pStyle w:val="4"/>
              <w:jc w:val="left"/>
            </w:pPr>
            <w:r>
              <w:rPr>
                <w:rFonts w:ascii="仿宋_GB2312" w:hAnsi="仿宋_GB2312" w:eastAsia="仿宋_GB2312" w:cs="仿宋_GB2312"/>
              </w:rPr>
              <w:t>雅安市天全县</w:t>
            </w:r>
          </w:p>
        </w:tc>
      </w:tr>
      <w:tr w14:paraId="39B5A2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4A2B4E">
            <w:pPr>
              <w:pStyle w:val="4"/>
              <w:jc w:val="left"/>
            </w:pPr>
            <w:r>
              <w:rPr>
                <w:rFonts w:ascii="仿宋_GB2312" w:hAnsi="仿宋_GB2312" w:eastAsia="仿宋_GB2312" w:cs="仿宋_GB2312"/>
              </w:rPr>
              <w:t>3</w:t>
            </w:r>
          </w:p>
        </w:tc>
        <w:tc>
          <w:tcPr>
            <w:tcW w:w="2076" w:type="dxa"/>
          </w:tcPr>
          <w:p w14:paraId="68328DBE">
            <w:pPr>
              <w:pStyle w:val="4"/>
              <w:jc w:val="left"/>
            </w:pPr>
            <w:r>
              <w:rPr>
                <w:rFonts w:ascii="仿宋_GB2312" w:hAnsi="仿宋_GB2312" w:eastAsia="仿宋_GB2312" w:cs="仿宋_GB2312"/>
              </w:rPr>
              <w:t>★</w:t>
            </w:r>
          </w:p>
        </w:tc>
        <w:tc>
          <w:tcPr>
            <w:tcW w:w="2076" w:type="dxa"/>
          </w:tcPr>
          <w:p w14:paraId="64FF2EC1">
            <w:pPr>
              <w:pStyle w:val="4"/>
              <w:jc w:val="left"/>
            </w:pPr>
            <w:r>
              <w:rPr>
                <w:rFonts w:ascii="仿宋_GB2312" w:hAnsi="仿宋_GB2312" w:eastAsia="仿宋_GB2312" w:cs="仿宋_GB2312"/>
              </w:rPr>
              <w:t>支付方式</w:t>
            </w:r>
          </w:p>
        </w:tc>
        <w:tc>
          <w:tcPr>
            <w:tcW w:w="2076" w:type="dxa"/>
          </w:tcPr>
          <w:p w14:paraId="3F14B22A">
            <w:pPr>
              <w:pStyle w:val="4"/>
              <w:jc w:val="left"/>
            </w:pPr>
            <w:r>
              <w:rPr>
                <w:rFonts w:ascii="仿宋_GB2312" w:hAnsi="仿宋_GB2312" w:eastAsia="仿宋_GB2312" w:cs="仿宋_GB2312"/>
              </w:rPr>
              <w:t>分期付款</w:t>
            </w:r>
          </w:p>
        </w:tc>
      </w:tr>
      <w:tr w14:paraId="5B9AC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9E4222">
            <w:pPr>
              <w:pStyle w:val="4"/>
              <w:jc w:val="left"/>
            </w:pPr>
            <w:r>
              <w:rPr>
                <w:rFonts w:ascii="仿宋_GB2312" w:hAnsi="仿宋_GB2312" w:eastAsia="仿宋_GB2312" w:cs="仿宋_GB2312"/>
              </w:rPr>
              <w:t>4</w:t>
            </w:r>
          </w:p>
        </w:tc>
        <w:tc>
          <w:tcPr>
            <w:tcW w:w="2076" w:type="dxa"/>
          </w:tcPr>
          <w:p w14:paraId="53A9320D">
            <w:pPr>
              <w:pStyle w:val="4"/>
              <w:jc w:val="left"/>
            </w:pPr>
            <w:r>
              <w:rPr>
                <w:rFonts w:ascii="仿宋_GB2312" w:hAnsi="仿宋_GB2312" w:eastAsia="仿宋_GB2312" w:cs="仿宋_GB2312"/>
              </w:rPr>
              <w:t>★</w:t>
            </w:r>
          </w:p>
        </w:tc>
        <w:tc>
          <w:tcPr>
            <w:tcW w:w="2076" w:type="dxa"/>
          </w:tcPr>
          <w:p w14:paraId="026D9F46">
            <w:pPr>
              <w:pStyle w:val="4"/>
              <w:jc w:val="left"/>
            </w:pPr>
            <w:r>
              <w:rPr>
                <w:rFonts w:ascii="仿宋_GB2312" w:hAnsi="仿宋_GB2312" w:eastAsia="仿宋_GB2312" w:cs="仿宋_GB2312"/>
              </w:rPr>
              <w:t>付款进度安排</w:t>
            </w:r>
          </w:p>
        </w:tc>
        <w:tc>
          <w:tcPr>
            <w:tcW w:w="2076" w:type="dxa"/>
          </w:tcPr>
          <w:p w14:paraId="36F076E8">
            <w:pPr>
              <w:pStyle w:val="4"/>
              <w:jc w:val="left"/>
            </w:pPr>
            <w:r>
              <w:rPr>
                <w:rFonts w:ascii="仿宋_GB2312" w:hAnsi="仿宋_GB2312" w:eastAsia="仿宋_GB2312" w:cs="仿宋_GB2312"/>
              </w:rPr>
              <w:t>1付款条件：合同签订后，达到该付款条件起5个工作日内，支付合同总金额的40.00%</w:t>
            </w:r>
          </w:p>
          <w:p w14:paraId="6C66ACAA">
            <w:pPr>
              <w:pStyle w:val="4"/>
              <w:jc w:val="left"/>
            </w:pPr>
            <w:r>
              <w:rPr>
                <w:rFonts w:ascii="仿宋_GB2312" w:hAnsi="仿宋_GB2312" w:eastAsia="仿宋_GB2312" w:cs="仿宋_GB2312"/>
              </w:rPr>
              <w:t>2付款条件：履约完成验收合格后，收到乙方有效票据后，达到该付款条件起10个工作日内，支付合同总金额的60.00%</w:t>
            </w:r>
          </w:p>
        </w:tc>
      </w:tr>
      <w:tr w14:paraId="34106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C0597F">
            <w:pPr>
              <w:pStyle w:val="4"/>
              <w:jc w:val="left"/>
            </w:pPr>
            <w:r>
              <w:rPr>
                <w:rFonts w:ascii="仿宋_GB2312" w:hAnsi="仿宋_GB2312" w:eastAsia="仿宋_GB2312" w:cs="仿宋_GB2312"/>
              </w:rPr>
              <w:t>5</w:t>
            </w:r>
          </w:p>
        </w:tc>
        <w:tc>
          <w:tcPr>
            <w:tcW w:w="2076" w:type="dxa"/>
          </w:tcPr>
          <w:p w14:paraId="092E928D">
            <w:pPr>
              <w:pStyle w:val="4"/>
              <w:jc w:val="left"/>
            </w:pPr>
            <w:r>
              <w:rPr>
                <w:rFonts w:ascii="仿宋_GB2312" w:hAnsi="仿宋_GB2312" w:eastAsia="仿宋_GB2312" w:cs="仿宋_GB2312"/>
              </w:rPr>
              <w:t>★</w:t>
            </w:r>
          </w:p>
        </w:tc>
        <w:tc>
          <w:tcPr>
            <w:tcW w:w="2076" w:type="dxa"/>
          </w:tcPr>
          <w:p w14:paraId="656C8B69">
            <w:pPr>
              <w:pStyle w:val="4"/>
              <w:jc w:val="left"/>
            </w:pPr>
            <w:r>
              <w:rPr>
                <w:rFonts w:ascii="仿宋_GB2312" w:hAnsi="仿宋_GB2312" w:eastAsia="仿宋_GB2312" w:cs="仿宋_GB2312"/>
              </w:rPr>
              <w:t>验收、交付标准和方法</w:t>
            </w:r>
          </w:p>
        </w:tc>
        <w:tc>
          <w:tcPr>
            <w:tcW w:w="2076" w:type="dxa"/>
          </w:tcPr>
          <w:p w14:paraId="5CF76B9C">
            <w:pPr>
              <w:pStyle w:val="4"/>
              <w:jc w:val="left"/>
            </w:pPr>
            <w:r>
              <w:rPr>
                <w:rFonts w:ascii="仿宋_GB2312" w:hAnsi="仿宋_GB2312" w:eastAsia="仿宋_GB2312" w:cs="仿宋_GB2312"/>
              </w:rPr>
              <w:t>（一）本项目现场验收由甲方组织，乙方配合进行。甲方将邀请具有检测资质的第三方检测机构（检测实行抽检，抽检比列不低于10%）。 (二)所有货物安装调试完毕，甲方收到乙方验收申请后5日内组织验收。 (三)验收标准：按国家有关规定以及采购文件的质量要求和技术指标(包括每一项技术和商务要求的履约情况)、乙方的投标（响应）文件及承诺与本合同约定标准进行验收；甲乙双方如对质量要求和技术指标的约定标准有相互抵触或异议的事项，由甲方在采购文件中按质量要求和技术指标比较优胜的原则确定该项的约定标准进行验收； (四)验收时如发现所提交的成果不符合标准及本合同规定之情形者，甲方应做出详尽的现场记录，或由甲乙双方签署备忘录，此现场记录或备忘录可用作补充、缺失和整改的有效证据，由此产生的时间延误与有关费用由乙方承担，验收期限相应顺延；(五)如验收合格，双方签署验收报告。 (六)验收不合格且拒不整改的，将不予支付采购资金，还可能上报本项目同级财政部门按照政府采购法律法规等有关规定给予行政处罚； (七)其他未尽事宜应严格按照《财政部关于进一步加强政府采购需求和履约验收管理的指导意见》(财库〔2016〕205号)、《政府采购需求管理办法》（财库〔2021〕22号）、《雅安市财政局关于规范政府采购履约验收工作的通知》（雅财采〔2021〕50号）和采购文件相关要求进行验收。</w:t>
            </w:r>
          </w:p>
        </w:tc>
      </w:tr>
      <w:tr w14:paraId="52DB2B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5026F0">
            <w:pPr>
              <w:pStyle w:val="4"/>
              <w:jc w:val="left"/>
            </w:pPr>
            <w:r>
              <w:rPr>
                <w:rFonts w:ascii="仿宋_GB2312" w:hAnsi="仿宋_GB2312" w:eastAsia="仿宋_GB2312" w:cs="仿宋_GB2312"/>
              </w:rPr>
              <w:t>6</w:t>
            </w:r>
          </w:p>
        </w:tc>
        <w:tc>
          <w:tcPr>
            <w:tcW w:w="2076" w:type="dxa"/>
          </w:tcPr>
          <w:p w14:paraId="3EF7154D">
            <w:pPr>
              <w:pStyle w:val="4"/>
              <w:jc w:val="left"/>
            </w:pPr>
            <w:r>
              <w:rPr>
                <w:rFonts w:ascii="仿宋_GB2312" w:hAnsi="仿宋_GB2312" w:eastAsia="仿宋_GB2312" w:cs="仿宋_GB2312"/>
              </w:rPr>
              <w:t>★</w:t>
            </w:r>
          </w:p>
        </w:tc>
        <w:tc>
          <w:tcPr>
            <w:tcW w:w="2076" w:type="dxa"/>
          </w:tcPr>
          <w:p w14:paraId="05792F30">
            <w:pPr>
              <w:pStyle w:val="4"/>
              <w:jc w:val="left"/>
            </w:pPr>
            <w:r>
              <w:rPr>
                <w:rFonts w:ascii="仿宋_GB2312" w:hAnsi="仿宋_GB2312" w:eastAsia="仿宋_GB2312" w:cs="仿宋_GB2312"/>
              </w:rPr>
              <w:t>包装方式及运输</w:t>
            </w:r>
          </w:p>
        </w:tc>
        <w:tc>
          <w:tcPr>
            <w:tcW w:w="2076" w:type="dxa"/>
          </w:tcPr>
          <w:p w14:paraId="5B36ACC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4358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7C63EC">
            <w:pPr>
              <w:pStyle w:val="4"/>
              <w:jc w:val="left"/>
            </w:pPr>
            <w:r>
              <w:rPr>
                <w:rFonts w:ascii="仿宋_GB2312" w:hAnsi="仿宋_GB2312" w:eastAsia="仿宋_GB2312" w:cs="仿宋_GB2312"/>
              </w:rPr>
              <w:t>7</w:t>
            </w:r>
          </w:p>
        </w:tc>
        <w:tc>
          <w:tcPr>
            <w:tcW w:w="2076" w:type="dxa"/>
          </w:tcPr>
          <w:p w14:paraId="709AA3DE">
            <w:pPr>
              <w:pStyle w:val="4"/>
              <w:jc w:val="left"/>
            </w:pPr>
            <w:r>
              <w:rPr>
                <w:rFonts w:ascii="仿宋_GB2312" w:hAnsi="仿宋_GB2312" w:eastAsia="仿宋_GB2312" w:cs="仿宋_GB2312"/>
              </w:rPr>
              <w:t>★</w:t>
            </w:r>
          </w:p>
        </w:tc>
        <w:tc>
          <w:tcPr>
            <w:tcW w:w="2076" w:type="dxa"/>
          </w:tcPr>
          <w:p w14:paraId="12B95E9D">
            <w:pPr>
              <w:pStyle w:val="4"/>
              <w:jc w:val="left"/>
            </w:pPr>
            <w:r>
              <w:rPr>
                <w:rFonts w:ascii="仿宋_GB2312" w:hAnsi="仿宋_GB2312" w:eastAsia="仿宋_GB2312" w:cs="仿宋_GB2312"/>
              </w:rPr>
              <w:t>质量保修范围和保修期</w:t>
            </w:r>
          </w:p>
        </w:tc>
        <w:tc>
          <w:tcPr>
            <w:tcW w:w="2076" w:type="dxa"/>
          </w:tcPr>
          <w:p w14:paraId="59C4B231">
            <w:pPr>
              <w:pStyle w:val="4"/>
              <w:jc w:val="left"/>
            </w:pPr>
            <w:r>
              <w:rPr>
                <w:rFonts w:ascii="仿宋_GB2312" w:hAnsi="仿宋_GB2312" w:eastAsia="仿宋_GB2312" w:cs="仿宋_GB2312"/>
              </w:rPr>
              <w:t>1.质保期：所有产品质保期≥5年(质保期为验收合格之日起开始计算)。 2.供应商具有专门固定的售后服务电话。 3.供应商针对本项目向采购人提供培训服务，培训内容包括性能、原理、操作、保存等内容，达到采购人可独立使用，培训人数和地点由采购人指定，并在培训后提供技术咨询服务，费用包含在投标报价中。 4.在质保期内货物出现质量问题，供应商应在接到通知后2个工作日内完成更换。 5.货物经供应商3次更换仍不能达到本合同约定的质量标准，视作供应商未能按时交货，采购人有权退货并追究供应商的违约责任。 6.质保期内供应商负责所有因货物质量问题而产生的费用，所有服务采购人不再支付费用。</w:t>
            </w:r>
          </w:p>
        </w:tc>
      </w:tr>
      <w:tr w14:paraId="63137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4BF348">
            <w:pPr>
              <w:pStyle w:val="4"/>
              <w:jc w:val="left"/>
            </w:pPr>
            <w:r>
              <w:rPr>
                <w:rFonts w:ascii="仿宋_GB2312" w:hAnsi="仿宋_GB2312" w:eastAsia="仿宋_GB2312" w:cs="仿宋_GB2312"/>
              </w:rPr>
              <w:t>8</w:t>
            </w:r>
          </w:p>
        </w:tc>
        <w:tc>
          <w:tcPr>
            <w:tcW w:w="2076" w:type="dxa"/>
          </w:tcPr>
          <w:p w14:paraId="117FF78A">
            <w:pPr>
              <w:pStyle w:val="4"/>
              <w:jc w:val="left"/>
            </w:pPr>
            <w:r>
              <w:rPr>
                <w:rFonts w:ascii="仿宋_GB2312" w:hAnsi="仿宋_GB2312" w:eastAsia="仿宋_GB2312" w:cs="仿宋_GB2312"/>
              </w:rPr>
              <w:t>★</w:t>
            </w:r>
          </w:p>
        </w:tc>
        <w:tc>
          <w:tcPr>
            <w:tcW w:w="2076" w:type="dxa"/>
          </w:tcPr>
          <w:p w14:paraId="274EB229">
            <w:pPr>
              <w:pStyle w:val="4"/>
              <w:jc w:val="left"/>
            </w:pPr>
            <w:r>
              <w:rPr>
                <w:rFonts w:ascii="仿宋_GB2312" w:hAnsi="仿宋_GB2312" w:eastAsia="仿宋_GB2312" w:cs="仿宋_GB2312"/>
              </w:rPr>
              <w:t>违约责任与解决争议的方法</w:t>
            </w:r>
          </w:p>
        </w:tc>
        <w:tc>
          <w:tcPr>
            <w:tcW w:w="2076" w:type="dxa"/>
          </w:tcPr>
          <w:p w14:paraId="08AE797A">
            <w:pPr>
              <w:pStyle w:val="4"/>
              <w:jc w:val="left"/>
            </w:pPr>
            <w:r>
              <w:rPr>
                <w:rFonts w:ascii="仿宋_GB2312" w:hAnsi="仿宋_GB2312" w:eastAsia="仿宋_GB2312" w:cs="仿宋_GB2312"/>
              </w:rPr>
              <w:t>一、违约责任：（1）甲方违约责任 1）甲方无正当理由拒收货物的，甲方应偿付合同总价百分之10的违约金。 2）甲方逾期支付货款的，除应及时付足货款外，应向乙方偿付欠款总额万分之1 /天的违约金；逾期付款超过90个工作日的，乙方有权终止合同。3）甲方偿付的违约金不足以弥补乙方损失的，还应按乙方损失尚未弥补的部分，支付赔偿金给乙方。（2）乙方违约责任1）乙方交付的货物质量不符合合同规定的，乙方应向甲方支付中标金额的百分之10的违约金。2）乙方因自身原因不能交付货物或逾期交付货物而违约的，除应及时交足货物外，应向甲方支付合同总额万分之 1 /天的违约金。因乙方原因逾期交货超过20天，甲方有权解除合同，乙方则应按合同总价的百分之10的款额向甲方偿付赔偿金，并须全额退还甲方已经付给乙方的货款及其利息。3）乙方货物经甲方送交具有法定资格条件的质量技术监督机构检测后，如检测结果认定货物质量不符合本合同规定标准的，则视为乙方没有按时交货而违约。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 10向甲方支付违约金并赔偿因此给甲方造成的一切损失。5）乙方偿付的违约金不足以弥补甲方损失的，还应按甲方损失尚未弥补的部分，支付赔偿金给甲方。6）经过调查核实或者检测检验，乙方响应产品的实际技术参数与其投标（响应）文件中提供的响应产品的宣传资料标注的技术参数不一致的，或者投标（响应）文件中响应的技术参数与宣传资料标注的参数不一致，或者投标（响应）文件中响应的技术参数与产品实际参数不一致的，按照《中华人民共和国政府采购法》第七十七条第一款第（一）项以“提供虚假材料谋取中标、成交的”规定进行处罚。 二、解决争议的方法：(1)因货物的质量问题发生争议，由质量技术监督部门或其指定的质量鉴定机构进行质量鉴定。货物符合标准的，鉴定费由甲方承担；货物不符合质量标准的，鉴定费由乙方承担。(2)合同履行期间，若双方发生争议，可协商或由有关部门调解解决，协商或调解不成的，由甲方所在地的人民法院依法处理。</w:t>
            </w:r>
          </w:p>
        </w:tc>
      </w:tr>
    </w:tbl>
    <w:p w14:paraId="5E257C8C">
      <w:pPr>
        <w:pStyle w:val="4"/>
        <w:jc w:val="left"/>
        <w:outlineLvl w:val="2"/>
      </w:pPr>
      <w:r>
        <w:rPr>
          <w:rFonts w:ascii="仿宋_GB2312" w:hAnsi="仿宋_GB2312" w:eastAsia="仿宋_GB2312" w:cs="仿宋_GB2312"/>
          <w:b/>
          <w:sz w:val="28"/>
        </w:rPr>
        <w:t>3.4.其他要求</w:t>
      </w:r>
    </w:p>
    <w:p w14:paraId="10A53C2A">
      <w:pPr>
        <w:pStyle w:val="4"/>
        <w:jc w:val="left"/>
      </w:pPr>
      <w:r>
        <w:rPr>
          <w:rFonts w:ascii="仿宋_GB2312" w:hAnsi="仿宋_GB2312" w:eastAsia="仿宋_GB2312" w:cs="仿宋_GB2312"/>
        </w:rPr>
        <w:t>★(一)付款说明：①采购人不得向成交供应商提出任何不合理的要求作为签订合同的条件，不得将竞争性磋商文件和合同中未规定的义务作为向成交供应商付款的条件。 ②对于满足采购合同约定资金支付条件的，釆购人应当自收到发票后10日内(第一次付款或预付款除外)将资金按时足额支付到约定账户。釆购人不得以机构变动、人员更替、内部程序、政策调整、单位放假等为由延迟付款，釆购人无故拒绝或者延迟支付政府采购合同款项的，应当依照采购合同约定承担违约责任。 ③每次付款前，成交供应商须向采购人出具合法有效完整的增值税发票及凭证资料后进行支付结算，付款方式均采用公对公的银行转账，采购人接受转账的开户信息以合同载明的为准。如因成交供应商未按照要求提供合法有效的发票导致逾期付款的，不视为采购人违约，采购人不承担任何责任。④鼓励采购人完善内部流程，自收到发票后1个工作日内完成资金支付事宜。 （二）★合同事项 1：（1）政府采购合同签订时间：①按照《雅安市财政局关于优化政府采购营商环境的通知》雅财采〔2021〕22号要求，采购人应当加快与中标人签订政府采购合同，原则上不超过10个工作日，因情况特殊须确保在成交通知书发出后30日法定期限内及时签订采购合同。②采购人因不可抗力原因迟延签订合同的，应当自不可抗力事由消除之日起7日内完成合同签订事宜。 （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政府采购合同变更公告应当包括原合同编号、名称和文本，原合同变更的条款号，变更后作为原合同组成部分的补充合同文本，合同变更时间，变更公告日期等。 2.供应商在项目执行过程中定期及时向采购人通告本项目重大事项及其进度。 3.接受项目行业管理部门及政府有关部门的指导，接受采购人的监督。4.本项目采购过程和合同履行过程中的风险严格按照采购人的风险控制管理要求执行。★（三）保险 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 2.供应商应为本项目提供履约的所有人员按照国家规定购买相关保险。（四）供应商投诉受理单位：天全县财政局 0835-7220966地址：四川省雅安市天全县城厢镇向阳路8号 邮编：625500 注：①供应商投诉应当有明确的请求和必要的证明材料。供应商投诉的事项不得超出已质疑事项的范围，须符合《政府采购质疑和投诉办法》(财政部令第94号)规定，并使用财政部下发《投诉书》范本，格式详见附件。②供应商可通过在线、现场、邮寄、邮箱等多种方式提起投诉。（五）★本项目涉及国家强制标准、企业资质、产品认证、人员执业资格等描述与国家最新要求不一致时以最新要求为准。（六）特别说明:《四川省政府采购项目电子化采购管理办法》第三十二条同一采购项目合同项下采购活动中,供应商有下列情形之一的,视为串通,其投标(响应)无效：（1）不同供应商的投标(响应)文件异常一致；（2）不同供应商的投标(响应)报价呈规律性差异；（3）不同供应商的投标(响应)文件相互装；（4）不同供应商的投标(响应)保证金从同一单位或者个人的账户转出；（5）不同供应商编制或者提交投标(响应)文件的计算机网卡 MAC地址、CPU序列号、硬盘序列号等硬件信息均异常一致；6、法律法规规章制度规定的其他情形。</w:t>
      </w:r>
    </w:p>
    <w:p w14:paraId="3821DA9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44"/>
    <w:rsid w:val="00410344"/>
    <w:rsid w:val="44F84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2026-08-24T10:27:00Z</dcterms:created>
  <dc:creator>詹巧</dc:creator>
  <cp:lastModifiedBy>詹巧</cp:lastModifiedBy>
  <dcterms:modified xsi:type="dcterms:W3CDTF">2026-08-24T10:27:48Z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22A4EE93A1DF47A7BB186739C715FAB1_13</vt:lpwstr>
  </property>
  <property fmtid="{D5CDD505-2E9C-101B-9397-08002B2CF9AE}" pid="4" name="KSOTemplateDocerSaveRecord">
    <vt:lpwstr>eyJoZGlkIjoiY2Q5Y2E5ODE3ZWJhOWEyMjFiODE5MjE5NWNkNGIzMjgiLCJ1c2VySWQiOiIxNzA4Mzg0NDYyIn0=</vt:lpwstr>
  </property>
</Properties>
</file>