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441721-2024-02479</w:t>
      </w:r>
    </w:p>
    <w:p>
      <w:pPr>
        <w:pStyle w:val="null3"/>
        <w:jc w:val="center"/>
        <w:outlineLvl w:val="3"/>
      </w:pPr>
      <w:r>
        <w:rPr>
          <w:sz w:val="24"/>
          <w:b/>
        </w:rPr>
        <w:t>采购项目编号：</w:t>
      </w:r>
      <w:r>
        <w:rPr>
          <w:sz w:val="24"/>
          <w:b/>
        </w:rPr>
        <w:t>GDCD20240857</w:t>
      </w:r>
    </w:p>
    <w:p>
      <w:pPr>
        <w:pStyle w:val="null3"/>
        <w:jc w:val="center"/>
        <w:outlineLvl w:val="3"/>
      </w:pPr>
      <w:r>
        <w:rPr>
          <w:sz w:val="24"/>
          <w:b/>
        </w:rPr>
        <w:t>项目名称：</w:t>
      </w:r>
      <w:r>
        <w:rPr>
          <w:sz w:val="24"/>
          <w:b/>
        </w:rPr>
        <w:t>阳西县不动产登记平台网络安全等级保护整改建设项目</w:t>
      </w:r>
    </w:p>
    <w:p>
      <w:pPr>
        <w:pStyle w:val="null3"/>
        <w:jc w:val="center"/>
        <w:outlineLvl w:val="3"/>
      </w:pPr>
      <w:r>
        <w:rPr>
          <w:sz w:val="24"/>
          <w:b/>
        </w:rPr>
        <w:t>采购人：</w:t>
      </w:r>
      <w:r>
        <w:rPr>
          <w:sz w:val="24"/>
          <w:b/>
        </w:rPr>
        <w:t>阳西县自然资源局</w:t>
      </w:r>
    </w:p>
    <w:p>
      <w:pPr>
        <w:pStyle w:val="null3"/>
        <w:jc w:val="center"/>
        <w:outlineLvl w:val="3"/>
      </w:pPr>
      <w:r>
        <w:rPr>
          <w:sz w:val="24"/>
          <w:b/>
        </w:rPr>
        <w:t>采购代理机构：</w:t>
      </w:r>
      <w:r>
        <w:rPr>
          <w:sz w:val="24"/>
          <w:b/>
        </w:rPr>
        <w:t>广东畅达项目管理有限公司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广东畅达项目管理有限公司</w:t>
      </w:r>
      <w:r>
        <w:rPr/>
        <w:t>受</w:t>
      </w:r>
      <w:r>
        <w:rPr/>
        <w:t>阳西县自然资源局</w:t>
      </w:r>
      <w:r>
        <w:rPr/>
        <w:t>的委托，采用</w:t>
      </w:r>
      <w:r>
        <w:rPr/>
        <w:t>公开招标</w:t>
      </w:r>
      <w:r>
        <w:rPr/>
        <w:t>方式组织采购</w:t>
      </w:r>
      <w:r>
        <w:rPr/>
        <w:t>阳西县不动产登记平台网络安全等级保护整改建设项目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阳西县不动产登记平台网络安全等级保护整改建设项目</w:t>
      </w:r>
    </w:p>
    <w:p>
      <w:pPr>
        <w:pStyle w:val="null3"/>
        <w:ind w:firstLine="480"/>
      </w:pPr>
      <w:r>
        <w:rPr/>
        <w:t>采购计划编号：</w:t>
      </w:r>
      <w:r>
        <w:rPr/>
        <w:t>441721-2024-02479</w:t>
      </w:r>
    </w:p>
    <w:p>
      <w:pPr>
        <w:pStyle w:val="null3"/>
        <w:ind w:firstLine="480"/>
      </w:pPr>
      <w:r>
        <w:rPr/>
        <w:t>采购项目编号：</w:t>
      </w:r>
      <w:r>
        <w:rPr/>
        <w:t>GDCD20240857</w:t>
      </w:r>
    </w:p>
    <w:p>
      <w:pPr>
        <w:pStyle w:val="null3"/>
        <w:ind w:firstLine="480"/>
      </w:pPr>
      <w:r>
        <w:rPr/>
        <w:t>采购方式：</w:t>
      </w:r>
      <w:r>
        <w:rPr/>
        <w:t>公开招标</w:t>
      </w:r>
    </w:p>
    <w:p>
      <w:pPr>
        <w:pStyle w:val="null3"/>
        <w:ind w:firstLine="480"/>
      </w:pPr>
      <w:r>
        <w:rPr/>
        <w:t>预算金额：</w:t>
      </w:r>
      <w:r>
        <w:rPr/>
        <w:t>1,308,400.00</w:t>
      </w:r>
      <w:r>
        <w:rPr/>
        <w:t>元</w:t>
      </w:r>
    </w:p>
    <w:p>
      <w:pPr>
        <w:pStyle w:val="null3"/>
        <w:outlineLvl w:val="3"/>
      </w:pPr>
      <w:r>
        <w:rPr>
          <w:sz w:val="24"/>
          <w:b/>
        </w:rPr>
        <w:t>2.项目内容及需求情况（采购项目技术规格、参数及要求）</w:t>
      </w:r>
    </w:p>
    <w:p>
      <w:pPr>
        <w:pStyle w:val="null3"/>
      </w:pPr>
      <w:r>
        <w:rPr/>
        <w:t>采购包1(阳西县不动产登记平台网络安全等级保护整改建设项目):</w:t>
      </w:r>
    </w:p>
    <w:p>
      <w:pPr>
        <w:pStyle w:val="null3"/>
      </w:pPr>
      <w:r>
        <w:rPr/>
        <w:t>采购包预算金额：1,308,400.00元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其他信息安全设备</w:t>
            </w:r>
          </w:p>
        </w:tc>
        <w:tc>
          <w:tcPr>
            <w:tcW w:type="dxa" w:w="2052"/>
          </w:tcPr>
          <w:p>
            <w:pPr>
              <w:pStyle w:val="null3"/>
            </w:pPr>
            <w:r>
              <w:rPr/>
              <w:t>阳西县不动产登记平台网络安全等级保护整改建设项目</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1,213,400.00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其他信息安全设备</w:t>
            </w:r>
          </w:p>
        </w:tc>
        <w:tc>
          <w:tcPr>
            <w:tcW w:type="dxa" w:w="2052"/>
          </w:tcPr>
          <w:p>
            <w:pPr>
              <w:pStyle w:val="null3"/>
            </w:pPr>
            <w:r>
              <w:rPr/>
              <w:t>横向网络接入区防火墙</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95,000.00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合同履行期限：合同签订生效后并接到采购人开工令之日起45个日历天内完成交货、安装、调试。若不能及时交货影响采购人使用所带的一切损失及费用开销，由中标供应商承担。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2）有依法缴纳税收和社会保障资金的良好记录：提供《阳江市政府采购供应商资格信用承诺函》（格式详见附件）。</w:t>
      </w:r>
    </w:p>
    <w:p>
      <w:pPr>
        <w:pStyle w:val="null3"/>
      </w:pPr>
      <w:r>
        <w:rPr/>
        <w:t>3）具有良好的商业信誉和健全的财务会计制度：提供《阳江市政府采购供应商资格信用承诺函》（格式详见附件）。</w:t>
      </w:r>
    </w:p>
    <w:p>
      <w:pPr>
        <w:pStyle w:val="null3"/>
      </w:pPr>
      <w:r>
        <w:rPr/>
        <w:t>4）履行合同所必需的设备和专业技术能力：提供《阳江市政府采购供应商资格信用承诺函》（格式详见附件）。</w:t>
      </w:r>
    </w:p>
    <w:p>
      <w:pPr>
        <w:pStyle w:val="null3"/>
      </w:pPr>
      <w:r>
        <w:rPr/>
        <w:t>5）参加采购活动前3年内，在经营活动中没有重大违法记录：提供《阳江市政府采购供应商资格信用承诺函》（格式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采购包1（阳西县不动产登记平台网络安全等级保护整改建设项目）：</w:t>
      </w:r>
      <w:r>
        <w:rPr/>
        <w:t>本项目非专门面向中小企业采购。</w:t>
      </w:r>
    </w:p>
    <w:p>
      <w:pPr>
        <w:pStyle w:val="null3"/>
        <w:outlineLvl w:val="3"/>
      </w:pPr>
      <w:r>
        <w:rPr>
          <w:sz w:val="24"/>
          <w:b/>
        </w:rPr>
        <w:t>3.本项目特定的资格要求：</w:t>
      </w:r>
    </w:p>
    <w:p>
      <w:pPr>
        <w:pStyle w:val="null3"/>
      </w:pPr>
      <w:r>
        <w:rPr/>
        <w:t>采购包1（阳西县不动产登记平台网络安全等级保护整改建设项目）：</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阳西县自然资源局</w:t>
      </w:r>
    </w:p>
    <w:p>
      <w:pPr>
        <w:pStyle w:val="null3"/>
        <w:ind w:firstLine="480"/>
      </w:pPr>
      <w:r>
        <w:rPr/>
        <w:t xml:space="preserve"> 地址：</w:t>
      </w:r>
      <w:r>
        <w:rPr/>
        <w:t>广东省阳江市阳西县城情侣路1号</w:t>
      </w:r>
    </w:p>
    <w:p>
      <w:pPr>
        <w:pStyle w:val="null3"/>
        <w:ind w:firstLine="480"/>
      </w:pPr>
      <w:r>
        <w:rPr/>
        <w:t xml:space="preserve"> 联系方式：</w:t>
      </w:r>
      <w:r>
        <w:rPr/>
        <w:t>0662-5522078</w:t>
      </w:r>
    </w:p>
    <w:p>
      <w:pPr>
        <w:pStyle w:val="null3"/>
        <w:outlineLvl w:val="3"/>
      </w:pPr>
      <w:r>
        <w:rPr>
          <w:sz w:val="24"/>
          <w:b/>
        </w:rPr>
        <w:t xml:space="preserve"> 2.采购代理机构信息</w:t>
      </w:r>
    </w:p>
    <w:p>
      <w:pPr>
        <w:pStyle w:val="null3"/>
        <w:ind w:firstLine="480"/>
      </w:pPr>
      <w:r>
        <w:rPr/>
        <w:t xml:space="preserve"> 名称：</w:t>
      </w:r>
      <w:r>
        <w:rPr/>
        <w:t>广东畅达项目管理有限公司</w:t>
      </w:r>
    </w:p>
    <w:p>
      <w:pPr>
        <w:pStyle w:val="null3"/>
        <w:ind w:firstLine="480"/>
      </w:pPr>
      <w:r>
        <w:rPr/>
        <w:t xml:space="preserve"> 地址：</w:t>
      </w:r>
      <w:r>
        <w:rPr/>
        <w:t>阳江市阳东区东城镇福兴路123号五楼</w:t>
      </w:r>
    </w:p>
    <w:p>
      <w:pPr>
        <w:pStyle w:val="null3"/>
        <w:ind w:firstLine="480"/>
      </w:pPr>
      <w:r>
        <w:rPr/>
        <w:t xml:space="preserve"> 联系方式：</w:t>
      </w:r>
      <w:r>
        <w:rPr/>
        <w:t>0662-3687868</w:t>
      </w:r>
    </w:p>
    <w:p>
      <w:pPr>
        <w:pStyle w:val="null3"/>
        <w:outlineLvl w:val="3"/>
      </w:pPr>
      <w:r>
        <w:rPr>
          <w:sz w:val="24"/>
          <w:b/>
        </w:rPr>
        <w:t xml:space="preserve"> 3.项目联系方式</w:t>
      </w:r>
    </w:p>
    <w:p>
      <w:pPr>
        <w:pStyle w:val="null3"/>
        <w:ind w:firstLine="480"/>
      </w:pPr>
      <w:r>
        <w:rPr/>
        <w:t xml:space="preserve"> 项目联系人：</w:t>
      </w:r>
      <w:r>
        <w:rPr/>
        <w:t>陈工</w:t>
      </w:r>
    </w:p>
    <w:p>
      <w:pPr>
        <w:pStyle w:val="null3"/>
        <w:ind w:firstLine="480"/>
      </w:pPr>
      <w:r>
        <w:rPr/>
        <w:t xml:space="preserve"> 电话：</w:t>
      </w:r>
      <w:r>
        <w:rPr/>
        <w:t>0662-3687868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广东畅达项目管理有限公司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783"/>
        <w:gridCol w:w="6384"/>
        <w:gridCol w:w="1140"/>
      </w:tblGrid>
      <w:tr>
        <w:tc>
          <w:tcPr>
            <w:tcW w:type="dxa" w:w="7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6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项目名称</w:t>
            </w:r>
          </w:p>
        </w:tc>
        <w:tc>
          <w:tcPr>
            <w:tcW w:type="dxa" w:w="1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r>
      <w:tr>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6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阳西县不动产登记平台网络安全等级保护整改建设项目</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1项</w:t>
            </w:r>
          </w:p>
        </w:tc>
      </w:tr>
    </w:tbl>
    <w:p>
      <w:pPr>
        <w:pStyle w:val="null3"/>
        <w:ind w:firstLine="420"/>
        <w:jc w:val="left"/>
      </w:pPr>
      <w:r>
        <w:rPr/>
        <w:t>采购包1（阳西县不动产登记平台网络安全等级保护整改建设项目）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合同签订生效后并接到采购人开工令之日起45个日历天内完成交货、安装、调试。若不能及时交货影响采购人使用所带的一切损失及费用开销，由中标供应商承担。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1期：支付比例30%,合同签订生效后十个工作日内，采购人向中标供应商支付合同总价的30%作预付款</w:t>
            </w:r>
          </w:p>
          <w:p>
            <w:pPr>
              <w:pStyle w:val="null3"/>
            </w:pPr>
            <w:r>
              <w:rPr/>
              <w:t>2期：支付比例50%,所有货物到达指定地点经采购人确认后十个工作日内，采购人向中标供应商支付至合同总价的80%</w:t>
            </w:r>
          </w:p>
          <w:p>
            <w:pPr>
              <w:pStyle w:val="null3"/>
            </w:pPr>
            <w:r>
              <w:rPr/>
              <w:t>3期：支付比例20%,经中标供应商调试、试运行、培训，经采购人验收合格后五个工作日内，采购人向中标供应商支付至合同总价的100%。 注：上述付款时间为中标供应商按采购人和政府采购支付部门要求提供齐备的请款资料后，采购人向政府采购支付部门提出支付申请的时间（不含审核时间），在规定时间提交付款申请即视为采购人已履行付款义务，中标供应商不得以付款期限已过为由要求采购人承担违约责任</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1期：1.交付验收：中标人须为验收提供必需的一切条件及相关费用。中标人须把本项目的全部有关运维说明书、各项成果等文档汇集成册交付采购人。 2.项目验收依次序对照执行标准为：①符合中华人民共和国国家和履约地相关安全质量标准、行业技术规范标准；②符合采购文件和响应承诺中各方共同认可的合理配置、参数规格及各项要求；③双方约定的其他验收标准。 3.由采购人组织相关专业第三方人员对中标供应商所投设备进行验收。 4.中标供应商须开展数据备份恢复演练，攻防演练工作。 5.中标人在漏洞扫描、安全加固等具有风险的项目实施前，应编制实施方案并提交用户确认。服务项目在实施时应做好风险管控措施，任何服务项目的实施都不得中断或影响用户的工作。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实施要求，1.本项目中标供应商需向采购人提供本项目中除等保测评外的全部服务工作。等保测评服务由本项目中标供应商委托具有资质的第三方测评机构完成，等保测评相关费用由本项目中标供应商承担。中标供应商需履行督促测评机构按照规范完成等保测评工作，并在项目验收前交付等保测评成果。 2.为顺利完成本次项目，在服务有效期内，中标供应商需及时响应采购人的服务要求，在经双方确认的约定工作量范围内提供技术支持和服务。服务实施过程涉及网络、计算、安全设备配置的，中标供应商应派出具有相应技术认证的工程师现场实施。 3.中标供应商在漏洞扫描、安全加固等具有风险的项目实施前，应编制实施方案并提交用户确认。服务项目在实施时应做好风险管控措施，任何服务项目的实施都不得中断或影响用户的工作。 4.在服务实施期间，由中标供应商和用户方共同参与项目的管理。服务实施应有相应的规范文件，中标供应商应进行现场详细记录。 二、保密要求: 1.在任何情况下，中标供应商不得向第三方透露采购人的业务活动和商务方面的情况。 2.信息保密：中标供应商须和采购人就项目执行过程中可能涉及的保密内容，单独签订保密协议。 三、顾问咨询与工作协助服务要求： 中标供应商应在服务期内配置一位资深顾问，为采购人提供网络安全行业政策、技术发展等方面的咨询服务。中标供应商应为采购人提供7*24技术支持服务。 1.日常咨询服务要求：提供网络安全行业政策、技术发展等方面的咨询服务,同时对采购人在日常工作中遇到信息系统安全方面的问题进行分析和研究，从而给出建议。 2.安全管理制度制定要求：中标供应商应协助采购人根据等保及省自然资源厅要求制定各项管理制度，提高不动产登记平台的安全管理水平，并满足等保对安全管理的要求。 3.安全培训服务要求：中标供应商为采购人提供一次安全培训，不断提高不动产登记平台用户和管理员的安全意识和安全知识品。安全培训内容包括但不限于：国家网络安全、数据安全等方面的法律法规政策解读与培训；上级主管部门的政策、技术规范等解读培训；日常安全操作、应急响应、运维与管理等方面的培训。 4.检查与测评协助服务要求：在上级进行安全检查时，或进行等保测评时，需要协助采购人进行相关资料整理、整改加固、过程问题解答等，使能够顺利通过检查或测评，如需要增加工作量，可通过双方协商解决。 四、软件升级服务要求： 1.中标供应商在服务期内定期需要提供系统软件升级包、更新授权以及远程升级指导，通过新版本功能持续提升用户体验。 2.采购人在升级过程中的疑难问题，可获取中标供应商远程升级指导及支持，通过修复已发现的问题持续提升软件环境稳定性。 3.中标供应商需为采购人提供定制的软件升级授权问题的咨询与处置服务。 五、远程技术支持服务要求： 服务期内中标供应商需提供全天响应远程支持，采购人可以随时获得帮助，具体服务内容如下： 1.受理与处置产品及软件相关技术问题。 2.告警威胁相关问题咨询与处置。 3.硬件维修相关问题受理。 4.服务咨询与解答，含产品功能咨询、使用配置咨询、订单合同咨询、账号咨询、服务续费咨询等。 六、响应与应急演练服务要求： 1.中标供应商需提供7*24的应急响应服务，发生安全事件时，中标供应商应急处置人员需立即响应。在信息系统遭受病毒传播、网络攻击、黑客入侵、安全事件从而导致信息业务中断、系统宕机、网络瘫痪，数据丢失、声誉受损，并对组织和业务运行产生直接或间接的负面影响时，提供专业的入侵原因分析、业务损失评估、系统恢复和加固、以及黑客溯源取证的安全应急响应。 2.应急响应完成后，须出具《应急响应总结报告》，报告须包含事件发生的原因、类型、详细描述、处理的方式和过程以及后续的建议等。 3.在服务期内中标供应商需与采购人共同开展1次的应急演练。应急演练需在采购人网络安全管理制度的指导下，在应急演练开展前，编制《应急演练方案》，密切结合应急预案开展应急演练，完成演练后，应出具《应急演练报告》。 七、运行监控与监测服务要求（服务周期1年）： 1.安全运行监控 中标供应商需每周定期、攻防演练期间每天通过不动产登记业拟专网，远程对不动产登记平台及网络安全运行进行常态化监控，以及时发现威胁，及时进行处置。 2.安全日志分析及安全事件调查 中标供应商需每月定期对网络安全设备的相关安全日志进行分析，及时发现可能的安全威胁。对于异常及告警，进行深入调查，确定题所在干可疑的日志记录，对其进一步分析，包括是否是攻击事件、被攻击系是否有相关漏洞、系统是否被入侵等，形成周报并给出应对建议。</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报价不得超过最高限价：人民币壹佰叁拾万零捌仟肆佰元整（小写:￥1308400.00），否则作无效投标处理。中标总报价为完成本项目所需费用的总和，即含税全包价。投标人的投标报价须以人民币为单位，需提供各项货物报价清单。 2.投标报价含运至合同指定地点的设备费、运输费、卸装就位费、保险费、安装调试费和验收以及培训等一切费用，采购人不再支付任何费用。</w:t>
            </w:r>
          </w:p>
        </w:tc>
      </w:tr>
      <w:tr>
        <w:tc>
          <w:tcPr>
            <w:tcW w:type="dxa" w:w="2076"/>
          </w:tcPr>
          <w:p/>
        </w:tc>
        <w:tc>
          <w:tcPr>
            <w:tcW w:type="dxa" w:w="2076"/>
          </w:tcPr>
          <w:p>
            <w:pPr>
              <w:pStyle w:val="null3"/>
              <w:jc w:val="center"/>
            </w:pPr>
            <w:r>
              <w:rPr/>
              <w:t>2</w:t>
            </w:r>
          </w:p>
        </w:tc>
        <w:tc>
          <w:tcPr>
            <w:tcW w:type="dxa" w:w="2076"/>
          </w:tcPr>
          <w:p>
            <w:pPr>
              <w:pStyle w:val="null3"/>
              <w:jc w:val="left"/>
            </w:pPr>
            <w:r>
              <w:rPr/>
              <w:t>设备及实施要求</w:t>
            </w:r>
          </w:p>
        </w:tc>
        <w:tc>
          <w:tcPr>
            <w:tcW w:type="dxa" w:w="2076"/>
          </w:tcPr>
          <w:p>
            <w:pPr>
              <w:pStyle w:val="null3"/>
              <w:jc w:val="left"/>
            </w:pPr>
            <w:r>
              <w:rPr/>
              <w:t>1.中标供应商到货的所有设备在开箱时必须完好、无破损，必须提供品牌厂商原装符合国家质量检测标准的全新、未使用过的货物；货物的数量、质量及性能与招标文件和投标文件要求一致。 2.投标人在签订合同前必须提供以下产品（纵向网防火墙、纵向网加密机、横向网络接入区防火墙、安全管理区堡垒机）货物生产厂家的合法来源证明文件、售后服务承诺函及型号参数确认函（原件加盖厂家公章）。签订合同后，采购人可要求中标供应商通过演示逐一验证每条技术参数功能，若发现虚假应标，采购人有权拒绝向中标供应商付款，并终止合同，中标供应商要退还所有货款，所造成的损失由其承担。 3.为保证该项目所采购产品与原厂保证一致，在项目验收时如果采购人认为货物有可疑，可邀请原厂参与查验，如检验结果不符，按相关规定处理。 4.所有设备均须由中标供应商送货上门并安装调试，采购人不再支付任何费用。 5.中标供应商必须免费负责设备的安装调试并提供设备使用说明书、软件等相关资料，必须提供货物的供货配置清单；中标供应商必须免费负责设备使用的培训，人数不限。 6.中标供应商要有完整的项目组织方案和合理性的实施计划，以保证货物质量、运输安全和工期如期完成。</w:t>
            </w:r>
          </w:p>
        </w:tc>
      </w:tr>
      <w:tr>
        <w:tc>
          <w:tcPr>
            <w:tcW w:type="dxa" w:w="2076"/>
          </w:tcPr>
          <w:p/>
        </w:tc>
        <w:tc>
          <w:tcPr>
            <w:tcW w:type="dxa" w:w="2076"/>
          </w:tcPr>
          <w:p>
            <w:pPr>
              <w:pStyle w:val="null3"/>
              <w:jc w:val="center"/>
            </w:pPr>
            <w:r>
              <w:rPr/>
              <w:t>3</w:t>
            </w:r>
          </w:p>
        </w:tc>
        <w:tc>
          <w:tcPr>
            <w:tcW w:type="dxa" w:w="2076"/>
          </w:tcPr>
          <w:p>
            <w:pPr>
              <w:pStyle w:val="null3"/>
              <w:jc w:val="left"/>
            </w:pPr>
            <w:r>
              <w:rPr/>
              <w:t>质量保证及售后服务</w:t>
            </w:r>
          </w:p>
        </w:tc>
        <w:tc>
          <w:tcPr>
            <w:tcW w:type="dxa" w:w="2076"/>
          </w:tcPr>
          <w:p>
            <w:pPr>
              <w:pStyle w:val="null3"/>
              <w:jc w:val="left"/>
            </w:pPr>
            <w:r>
              <w:rPr/>
              <w:t>1.质量保修期及售后服务：在安全系统清单内的设备需要提供3年质保服务及3年售后服务，共3年，其他设备提供一年质保服务及售后服务，共1年，自项目验收之日起算。所有设备的包换和包修服务遵从国家三包规定，如生产厂商公布的质量保证标准大于1年的，按生产厂商公布的质量保证标准执行；保修期自项目整体验收合格签字之日起计算。 2.中标供应商提供设备免费安装、调试、培训使用；7*24小时免费提供电话技术指导和咨询服务。 3.质保期内提供上门服务。对采购人的服务通知，中标供应商在接报后1小时内响应，4小时内到达现场，24小时内处理完毕。若在48小时内仍未能有效解决，中标供应商须免费提供同等级的设备予采购人临时使用，不得影响采购人的正常业务工作。 4.在任何时候，中标供应商均不能免除因货物本身的缺陷所应负的责任。货物在质保期内发生质量问题，中标供应商须无条件给予退换。 5.针对采购人本次设备采购内容，中标供应商须对本项目的售后服务进行承诺，并提供售后服务方案，同时提供技术支持热线及技术支持方案。</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其他信息安全设备</w:t>
            </w:r>
          </w:p>
        </w:tc>
        <w:tc>
          <w:tcPr>
            <w:tcW w:type="dxa" w:w="831"/>
          </w:tcPr>
          <w:p>
            <w:pPr>
              <w:pStyle w:val="null3"/>
              <w:jc w:val="left"/>
            </w:pPr>
            <w:r>
              <w:rPr/>
              <w:t>阳西县不动产登记平台网络安全等级保护整改建设项目</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1,213,400.00</w:t>
            </w:r>
          </w:p>
        </w:tc>
        <w:tc>
          <w:tcPr>
            <w:tcW w:type="dxa" w:w="831"/>
          </w:tcPr>
          <w:p>
            <w:pPr>
              <w:pStyle w:val="null3"/>
              <w:jc w:val="right"/>
            </w:pPr>
            <w:r>
              <w:rPr/>
              <w:t>1,213,400.00</w:t>
            </w:r>
          </w:p>
        </w:tc>
        <w:tc>
          <w:tcPr>
            <w:tcW w:type="dxa" w:w="831"/>
          </w:tcPr>
          <w:p>
            <w:pPr>
              <w:pStyle w:val="null3"/>
            </w:pPr>
            <w:r>
              <w:rPr/>
              <w:t>软件和信息技术服务业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其他信息安全设备</w:t>
            </w:r>
          </w:p>
        </w:tc>
        <w:tc>
          <w:tcPr>
            <w:tcW w:type="dxa" w:w="831"/>
          </w:tcPr>
          <w:p>
            <w:pPr>
              <w:pStyle w:val="null3"/>
              <w:jc w:val="left"/>
            </w:pPr>
            <w:r>
              <w:rPr/>
              <w:t>横向网络接入区防火墙</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95,000.00</w:t>
            </w:r>
          </w:p>
        </w:tc>
        <w:tc>
          <w:tcPr>
            <w:tcW w:type="dxa" w:w="831"/>
          </w:tcPr>
          <w:p>
            <w:pPr>
              <w:pStyle w:val="null3"/>
              <w:jc w:val="right"/>
            </w:pPr>
            <w:r>
              <w:rPr/>
              <w:t>95,000.00</w:t>
            </w:r>
          </w:p>
        </w:tc>
        <w:tc>
          <w:tcPr>
            <w:tcW w:type="dxa" w:w="831"/>
          </w:tcPr>
          <w:p>
            <w:pPr>
              <w:pStyle w:val="null3"/>
            </w:pPr>
            <w:r>
              <w:rPr/>
              <w:t>软件和信息技术服务业</w:t>
            </w:r>
          </w:p>
        </w:tc>
        <w:tc>
          <w:tcPr>
            <w:tcW w:type="dxa" w:w="831"/>
          </w:tcPr>
          <w:p>
            <w:pPr>
              <w:pStyle w:val="null3"/>
            </w:pPr>
            <w:r>
              <w:rPr/>
              <w:t>详见附表二</w:t>
            </w:r>
          </w:p>
        </w:tc>
      </w:tr>
    </w:tbl>
    <w:p>
      <w:pPr>
        <w:pStyle w:val="null3"/>
      </w:pPr>
      <w:r>
        <w:rPr>
          <w:b/>
        </w:rPr>
        <w:t>附表</w:t>
      </w:r>
      <w:r>
        <w:rPr>
          <w:b/>
        </w:rPr>
        <w:t>一</w:t>
      </w:r>
      <w:r>
        <w:rPr>
          <w:b/>
        </w:rPr>
        <w:t>：</w:t>
      </w:r>
      <w:r>
        <w:rPr>
          <w:b/>
        </w:rPr>
        <w:t>阳西县不动产登记平台网络安全等级保护整改建设项目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jc w:val="left"/>
            </w:pPr>
            <w:r>
              <w:rPr>
                <w:sz w:val="21"/>
              </w:rPr>
              <w:t>注：（</w:t>
            </w:r>
            <w:r>
              <w:rPr>
                <w:sz w:val="21"/>
              </w:rPr>
              <w:t>1）“★”号条款为实质性条款，若有任何一条负偏离或不满足则导致投标无效。</w:t>
            </w:r>
          </w:p>
          <w:p>
            <w:pPr>
              <w:pStyle w:val="null3"/>
              <w:ind w:firstLine="420"/>
              <w:jc w:val="left"/>
            </w:pPr>
            <w:r>
              <w:rPr>
                <w:sz w:val="21"/>
              </w:rPr>
              <w:t>（</w:t>
            </w:r>
            <w:r>
              <w:rPr>
                <w:sz w:val="21"/>
              </w:rPr>
              <w:t>2）“▲”号条款为重要技术参数，若有部分“▲”条款未响应或不满足，将导致其响应性评审加重扣分，但不作为无效投标条款。</w:t>
            </w:r>
          </w:p>
          <w:p>
            <w:pPr>
              <w:pStyle w:val="null3"/>
              <w:ind w:firstLine="420"/>
              <w:jc w:val="left"/>
            </w:pPr>
            <w:r>
              <w:rPr>
                <w:sz w:val="21"/>
              </w:rPr>
              <w:t>（</w:t>
            </w:r>
            <w:r>
              <w:rPr>
                <w:sz w:val="21"/>
              </w:rPr>
              <w:t>3）技术要求中带“※”为提供U 盘( 或光盘）视频演示文件进行功能演示。（视频演示时间不超过20分钟，演示方式：视频演示，该项目不提供投标人现场讲解，如投标人认为有需要可在视频演示文件中进行相应的讲解）。</w:t>
            </w:r>
          </w:p>
          <w:p>
            <w:pPr>
              <w:pStyle w:val="null3"/>
              <w:ind w:firstLine="422"/>
              <w:jc w:val="left"/>
            </w:pPr>
            <w:r>
              <w:rPr>
                <w:sz w:val="21"/>
                <w:b/>
              </w:rPr>
              <w:t>一、建设背景及目标</w:t>
            </w:r>
          </w:p>
          <w:p>
            <w:pPr>
              <w:pStyle w:val="null3"/>
              <w:ind w:firstLine="420"/>
              <w:jc w:val="left"/>
            </w:pPr>
            <w:r>
              <w:rPr>
                <w:sz w:val="21"/>
              </w:rPr>
              <w:t>1.建设背景</w:t>
            </w:r>
          </w:p>
          <w:p>
            <w:pPr>
              <w:pStyle w:val="null3"/>
              <w:ind w:firstLine="420"/>
              <w:jc w:val="left"/>
            </w:pPr>
            <w:r>
              <w:rPr>
                <w:sz w:val="21"/>
              </w:rPr>
              <w:t>不动产登记信息管理基础平台</w:t>
            </w:r>
            <w:r>
              <w:rPr>
                <w:sz w:val="21"/>
              </w:rPr>
              <w:t>(简称“不动产登记平台”)的安全运行，直接关系到不动产登记业务的可用性，关系到不动产登记数据的保密性和完整性。由于不动产登记信息量大面广，涉及国家秘密、商业秘密和个人隐私，关系百姓切身利益。对不动产登记信息而言，其信息共享除了面对各级政府部门外，还需通过互联网面对公众用户，对外信息出口及入口众多，存在网络安全风险隐患大、攻击入口多的特点。不动产登记平台出现安全问题，将会导致不动产业务中断、数据丢失、信息泄密、数据被篡改等安全事件，造成群众财产受损、敏感数据大规模泄漏、不动产登记相关业务无法办理等后果，严重时甚至可能导致群体性事件，影响社会的稳定。在信息安全整体形势愈加严峻的环境下，如何提升不动产登记平台的信息安全管理水平，是每一个从业者关心的问题。而科学合理的安全防护架构和技术防护体系是信息系统安全运行的有力保障。</w:t>
            </w:r>
          </w:p>
          <w:p>
            <w:pPr>
              <w:pStyle w:val="null3"/>
              <w:ind w:firstLine="420"/>
              <w:jc w:val="left"/>
            </w:pPr>
            <w:r>
              <w:rPr>
                <w:sz w:val="21"/>
              </w:rPr>
              <w:t>2017年6月，《网络安全法》正式实施，其中第二十一条规定“国家实行网络安全等级保护制度”。2019年5月，国家标准化管理委员会正式发布了网络安全等级保护2.0核心技术标准。2021年12月22日，广东省自然资源厅下发《广东省自然资源厅关于“区块链+不动产登记”运行环境网络安全专项核查情况的通报》，对全省“区块链+不动产登记”运行环境（市县节点）的网络安全专项核查的情况进行了通报，指出阳西县不动产登记平台未进行等保测评、权籍系统未按照要求部署于内网、仍存在较多高危漏洞待修复，平台在网络安全方面的性能有待提升等问题。</w:t>
            </w:r>
          </w:p>
          <w:p>
            <w:pPr>
              <w:pStyle w:val="null3"/>
              <w:ind w:firstLine="420"/>
              <w:jc w:val="left"/>
            </w:pPr>
            <w:r>
              <w:rPr>
                <w:sz w:val="21"/>
              </w:rPr>
              <w:t>故为履行网络安全主体责任，阳西县自然资源局依据网络安全等级保护制度和法规标准的要求，针对不动产登记平台开展网络安全等级保护建设工作，通过本项目的建设对以上问题进行整改，确保不动产登记信息平台的安全运行。</w:t>
            </w:r>
          </w:p>
          <w:p>
            <w:pPr>
              <w:pStyle w:val="null3"/>
              <w:ind w:firstLine="420"/>
              <w:jc w:val="left"/>
            </w:pPr>
            <w:r>
              <w:rPr>
                <w:sz w:val="21"/>
              </w:rPr>
              <w:t>2.建设目标</w:t>
            </w:r>
          </w:p>
          <w:p>
            <w:pPr>
              <w:pStyle w:val="null3"/>
              <w:ind w:firstLine="420"/>
              <w:jc w:val="left"/>
            </w:pPr>
            <w:r>
              <w:rPr>
                <w:sz w:val="21"/>
              </w:rPr>
              <w:t>根据《信息安全技术网络安全等级保护基本要求》（</w:t>
            </w:r>
            <w:r>
              <w:rPr>
                <w:sz w:val="21"/>
              </w:rPr>
              <w:t>GB/T 22239-2019）的有关规定，本次网络安全等级保护建设完成后，单位不动产登记平台应当具备如下安全保护能力：</w:t>
            </w:r>
          </w:p>
          <w:p>
            <w:pPr>
              <w:pStyle w:val="null3"/>
              <w:ind w:firstLine="420"/>
              <w:jc w:val="left"/>
            </w:pPr>
            <w:r>
              <w:rPr>
                <w:sz w:val="21"/>
              </w:rPr>
              <w:t>应能够防护免受来自外部小型组织的、拥有少量资源的威胁源发起的恶意攻击、一般的自然灾难、以及其他相当危害程度的威胁所造成的重要资源损害，能够发现重要的安全漏洞和处置安全事件，在自身遭到损害后，能够在一段时间内恢复部分功能。</w:t>
            </w:r>
          </w:p>
          <w:p>
            <w:pPr>
              <w:pStyle w:val="null3"/>
              <w:ind w:firstLine="420"/>
              <w:jc w:val="left"/>
            </w:pPr>
            <w:r>
              <w:rPr>
                <w:sz w:val="21"/>
              </w:rPr>
              <w:t>为满足上述安全保护能力，将通过系统性、体系化的需求分析、方案设计和风险控制等方式，使单位网络达到以下</w:t>
            </w:r>
            <w:r>
              <w:rPr>
                <w:sz w:val="21"/>
              </w:rPr>
              <w:t>5个方面的建设目标：</w:t>
            </w:r>
          </w:p>
          <w:p>
            <w:pPr>
              <w:pStyle w:val="null3"/>
              <w:ind w:right="210" w:firstLine="420"/>
              <w:jc w:val="left"/>
            </w:pPr>
            <w:r>
              <w:rPr>
                <w:sz w:val="21"/>
              </w:rPr>
              <w:t>完善网络安全防护技术措施，提升出口边界的技术防护能力，满足第三级系统网络安全等级保护相关技术要求；</w:t>
            </w:r>
          </w:p>
          <w:p>
            <w:pPr>
              <w:pStyle w:val="null3"/>
              <w:ind w:right="210" w:firstLine="420"/>
              <w:jc w:val="left"/>
            </w:pPr>
            <w:r>
              <w:rPr>
                <w:sz w:val="21"/>
              </w:rPr>
              <w:t>建立、健全单位网络安全管理制度、机构和人员要求，提升人员网络安全管理能力，满足第三级系统网络安全等级保护相关管理要求；</w:t>
            </w:r>
          </w:p>
          <w:p>
            <w:pPr>
              <w:pStyle w:val="null3"/>
              <w:ind w:right="210" w:firstLine="420"/>
              <w:jc w:val="left"/>
            </w:pPr>
            <w:r>
              <w:rPr>
                <w:sz w:val="21"/>
              </w:rPr>
              <w:t>建立、健全网络安全运营体系，提升系统网络全生命周期网络安全保护能力，满足网络安全等级保护整体框架和关键技术落实等相关要求；</w:t>
            </w:r>
          </w:p>
          <w:p>
            <w:pPr>
              <w:pStyle w:val="null3"/>
              <w:ind w:right="210" w:firstLine="420"/>
              <w:jc w:val="left"/>
            </w:pPr>
            <w:r>
              <w:rPr>
                <w:sz w:val="21"/>
              </w:rPr>
              <w:t>建立、健全基于</w:t>
            </w:r>
            <w:r>
              <w:rPr>
                <w:sz w:val="21"/>
              </w:rPr>
              <w:t>APDRO能力模型的安全保护架构，具备安全可视、持续检测和协同防御等安全能力，提升网络安全解决方案整体价值；</w:t>
            </w:r>
          </w:p>
          <w:p>
            <w:pPr>
              <w:pStyle w:val="null3"/>
              <w:ind w:right="210" w:firstLine="420"/>
              <w:jc w:val="left"/>
            </w:pPr>
            <w:r>
              <w:rPr>
                <w:sz w:val="21"/>
              </w:rPr>
              <w:t>通过体系化的网络安全建设，满足第三级系统等级保护合法、合规要求，有效维护社会秩序、公共利益以及公民、法人和其他组织的合法权益。</w:t>
            </w:r>
          </w:p>
          <w:p>
            <w:pPr>
              <w:pStyle w:val="null3"/>
              <w:ind w:firstLine="422"/>
              <w:jc w:val="left"/>
            </w:pPr>
            <w:r>
              <w:rPr>
                <w:sz w:val="21"/>
                <w:b/>
              </w:rPr>
              <w:t>二、国家相关政策文件</w:t>
            </w:r>
          </w:p>
          <w:p>
            <w:pPr>
              <w:pStyle w:val="null3"/>
              <w:ind w:right="210" w:firstLine="420"/>
              <w:jc w:val="left"/>
            </w:pPr>
            <w:r>
              <w:rPr>
                <w:sz w:val="21"/>
              </w:rPr>
              <w:t>《中华人民共和国网络安全法》</w:t>
            </w:r>
          </w:p>
          <w:p>
            <w:pPr>
              <w:pStyle w:val="null3"/>
              <w:ind w:right="210" w:firstLine="420"/>
              <w:jc w:val="left"/>
            </w:pPr>
            <w:r>
              <w:rPr>
                <w:sz w:val="21"/>
              </w:rPr>
              <w:t>《中华人民共和国计算机信息系统安全保护条例》（国务院令</w:t>
            </w:r>
            <w:r>
              <w:rPr>
                <w:sz w:val="21"/>
              </w:rPr>
              <w:t>147号）</w:t>
            </w:r>
          </w:p>
          <w:p>
            <w:pPr>
              <w:pStyle w:val="null3"/>
              <w:ind w:right="210" w:firstLine="420"/>
              <w:jc w:val="left"/>
            </w:pPr>
            <w:r>
              <w:rPr>
                <w:sz w:val="21"/>
              </w:rPr>
              <w:t>《信息安全等级保护管理办法》（公通字</w:t>
            </w:r>
            <w:r>
              <w:rPr>
                <w:sz w:val="21"/>
              </w:rPr>
              <w:t>[2007]43号）</w:t>
            </w:r>
          </w:p>
          <w:p>
            <w:pPr>
              <w:pStyle w:val="null3"/>
              <w:ind w:right="210" w:firstLine="420"/>
              <w:jc w:val="left"/>
            </w:pPr>
            <w:r>
              <w:rPr>
                <w:sz w:val="21"/>
              </w:rPr>
              <w:t>《关于开展全国重要信息系统安全等级保护定级工作的通知》（公信安</w:t>
            </w:r>
            <w:r>
              <w:rPr>
                <w:sz w:val="21"/>
              </w:rPr>
              <w:t>[2007]861号）</w:t>
            </w:r>
          </w:p>
          <w:p>
            <w:pPr>
              <w:pStyle w:val="null3"/>
              <w:ind w:right="210" w:firstLine="420"/>
              <w:jc w:val="left"/>
            </w:pPr>
            <w:r>
              <w:rPr>
                <w:sz w:val="21"/>
              </w:rPr>
              <w:t>《公安机关信息安全等级保护检查工作规范》（公信安</w:t>
            </w:r>
            <w:r>
              <w:rPr>
                <w:sz w:val="21"/>
              </w:rPr>
              <w:t>[2008]736号）</w:t>
            </w:r>
          </w:p>
          <w:p>
            <w:pPr>
              <w:pStyle w:val="null3"/>
              <w:ind w:right="210" w:firstLine="420"/>
              <w:jc w:val="left"/>
            </w:pPr>
            <w:r>
              <w:rPr>
                <w:sz w:val="21"/>
              </w:rPr>
              <w:t>《关于开展信息安全等级保护安全建设整改工作的指导意见》（公信安</w:t>
            </w:r>
            <w:r>
              <w:rPr>
                <w:sz w:val="21"/>
              </w:rPr>
              <w:t>[2009]1429号）</w:t>
            </w:r>
          </w:p>
          <w:p>
            <w:pPr>
              <w:pStyle w:val="null3"/>
              <w:ind w:right="210" w:firstLine="420"/>
              <w:jc w:val="left"/>
            </w:pPr>
            <w:r>
              <w:rPr>
                <w:sz w:val="21"/>
              </w:rPr>
              <w:t>《广东省国土资源厅关于加强全省不动产登记网络与信息安全保障工作的通知》（粤国土资登记函</w:t>
            </w:r>
            <w:r>
              <w:rPr>
                <w:sz w:val="21"/>
              </w:rPr>
              <w:t>[2018]2624号）</w:t>
            </w:r>
          </w:p>
          <w:p>
            <w:pPr>
              <w:pStyle w:val="null3"/>
              <w:ind w:right="210" w:firstLine="420"/>
              <w:jc w:val="left"/>
            </w:pPr>
            <w:r>
              <w:rPr>
                <w:sz w:val="21"/>
              </w:rPr>
              <w:t>《自然资源部办公厅</w:t>
            </w:r>
            <w:r>
              <w:rPr>
                <w:sz w:val="21"/>
              </w:rPr>
              <w:t xml:space="preserve"> 关于完善信息平台网络运维环境 推动不动产登记信息共享集成有关工作的通知》（自然资办函[2019]1041号）</w:t>
            </w:r>
          </w:p>
          <w:p>
            <w:pPr>
              <w:pStyle w:val="null3"/>
              <w:ind w:right="210" w:firstLine="420"/>
              <w:jc w:val="left"/>
            </w:pPr>
            <w:r>
              <w:rPr>
                <w:sz w:val="21"/>
              </w:rPr>
              <w:t>《广东省自然资源厅关于开展</w:t>
            </w:r>
            <w:r>
              <w:rPr>
                <w:sz w:val="21"/>
              </w:rPr>
              <w:t>“区块链+不动产登记”运行环境网络安全专项核查的通知》（粤自然资科技〔2021〕1700号）</w:t>
            </w:r>
          </w:p>
          <w:p>
            <w:pPr>
              <w:pStyle w:val="null3"/>
              <w:ind w:right="210" w:firstLine="420"/>
              <w:jc w:val="left"/>
            </w:pPr>
            <w:r>
              <w:rPr>
                <w:sz w:val="21"/>
              </w:rPr>
              <w:t>《阳西县</w:t>
            </w:r>
            <w:r>
              <w:rPr>
                <w:sz w:val="21"/>
              </w:rPr>
              <w:t>“区块链+不动产登记”运行环境网络安全专项核查情况报告》</w:t>
            </w:r>
          </w:p>
          <w:p>
            <w:pPr>
              <w:pStyle w:val="null3"/>
              <w:ind w:right="210" w:firstLine="420"/>
              <w:jc w:val="left"/>
            </w:pPr>
            <w:r>
              <w:rPr>
                <w:sz w:val="21"/>
              </w:rPr>
              <w:t>《阳西县</w:t>
            </w:r>
            <w:r>
              <w:rPr>
                <w:sz w:val="21"/>
              </w:rPr>
              <w:t>“区块链+不动产登记”运行环境网络安全整改建议》</w:t>
            </w:r>
          </w:p>
          <w:p>
            <w:pPr>
              <w:pStyle w:val="null3"/>
              <w:ind w:firstLine="422"/>
              <w:jc w:val="left"/>
            </w:pPr>
            <w:r>
              <w:rPr>
                <w:sz w:val="21"/>
                <w:b/>
              </w:rPr>
              <w:t>三、相关标准及规范</w:t>
            </w:r>
          </w:p>
          <w:p>
            <w:pPr>
              <w:pStyle w:val="null3"/>
              <w:ind w:right="210" w:firstLine="420"/>
              <w:jc w:val="left"/>
            </w:pPr>
            <w:r>
              <w:rPr>
                <w:sz w:val="21"/>
              </w:rPr>
              <w:t>《计算机信息系统安全等级保护划分准则》（</w:t>
            </w:r>
            <w:r>
              <w:rPr>
                <w:sz w:val="21"/>
              </w:rPr>
              <w:t>GB 17859-1999）</w:t>
            </w:r>
          </w:p>
          <w:p>
            <w:pPr>
              <w:pStyle w:val="null3"/>
              <w:ind w:right="210" w:firstLine="420"/>
              <w:jc w:val="left"/>
            </w:pPr>
            <w:r>
              <w:rPr>
                <w:sz w:val="21"/>
              </w:rPr>
              <w:t>《信息安全技术</w:t>
            </w:r>
            <w:r>
              <w:rPr>
                <w:sz w:val="21"/>
              </w:rPr>
              <w:t xml:space="preserve"> 信息系统安全管理要求》（GB/T 20269-2006）</w:t>
            </w:r>
          </w:p>
          <w:p>
            <w:pPr>
              <w:pStyle w:val="null3"/>
              <w:ind w:right="210" w:firstLine="420"/>
              <w:jc w:val="left"/>
            </w:pPr>
            <w:r>
              <w:rPr>
                <w:sz w:val="21"/>
              </w:rPr>
              <w:t>《信息安全技术</w:t>
            </w:r>
            <w:r>
              <w:rPr>
                <w:sz w:val="21"/>
              </w:rPr>
              <w:t xml:space="preserve"> 网络基础安全技术要求》（GB/T 20270-2006）</w:t>
            </w:r>
          </w:p>
          <w:p>
            <w:pPr>
              <w:pStyle w:val="null3"/>
              <w:ind w:right="210" w:firstLine="420"/>
              <w:jc w:val="left"/>
            </w:pPr>
            <w:r>
              <w:rPr>
                <w:sz w:val="21"/>
              </w:rPr>
              <w:t>《信息技术</w:t>
            </w:r>
            <w:r>
              <w:rPr>
                <w:sz w:val="21"/>
              </w:rPr>
              <w:t xml:space="preserve"> 安全技术 信息安全管理体系 要求》（GB/T 22080-2016）</w:t>
            </w:r>
          </w:p>
          <w:p>
            <w:pPr>
              <w:pStyle w:val="null3"/>
              <w:ind w:right="210" w:firstLine="420"/>
              <w:jc w:val="left"/>
            </w:pPr>
            <w:r>
              <w:rPr>
                <w:sz w:val="21"/>
              </w:rPr>
              <w:t>《数据中心设计规范》（</w:t>
            </w:r>
            <w:r>
              <w:rPr>
                <w:sz w:val="21"/>
              </w:rPr>
              <w:t>GB 50174-2017）</w:t>
            </w:r>
          </w:p>
          <w:p>
            <w:pPr>
              <w:pStyle w:val="null3"/>
              <w:ind w:right="210" w:firstLine="420"/>
              <w:jc w:val="left"/>
            </w:pPr>
            <w:r>
              <w:rPr>
                <w:sz w:val="21"/>
              </w:rPr>
              <w:t>《信息安全技术</w:t>
            </w:r>
            <w:r>
              <w:rPr>
                <w:sz w:val="21"/>
              </w:rPr>
              <w:t xml:space="preserve"> 网络安全等级保护基本要求》（GB/T 22239-2019）</w:t>
            </w:r>
          </w:p>
          <w:p>
            <w:pPr>
              <w:pStyle w:val="null3"/>
              <w:ind w:right="210" w:firstLine="420"/>
              <w:jc w:val="left"/>
            </w:pPr>
            <w:r>
              <w:rPr>
                <w:sz w:val="21"/>
              </w:rPr>
              <w:t>《信息安全技术</w:t>
            </w:r>
            <w:r>
              <w:rPr>
                <w:sz w:val="21"/>
              </w:rPr>
              <w:t xml:space="preserve"> 网络安全等级保护安全设计技术要求》（GB/T 25070-2019）</w:t>
            </w:r>
          </w:p>
          <w:p>
            <w:pPr>
              <w:pStyle w:val="null3"/>
              <w:jc w:val="both"/>
            </w:pPr>
            <w:r>
              <w:rPr>
                <w:sz w:val="21"/>
              </w:rPr>
              <w:t>《信息安全管理体系要求》（</w:t>
            </w:r>
            <w:r>
              <w:rPr>
                <w:sz w:val="21"/>
              </w:rPr>
              <w:t>ISO/IEC 27001-2013）或《信息安全、网络安全和隐私保护 信息安全管理体系 要求》（ISO/IEC 27001:2022）</w:t>
            </w:r>
          </w:p>
          <w:p>
            <w:pPr>
              <w:pStyle w:val="null3"/>
            </w:pPr>
            <w:r>
              <w:rPr>
                <w:sz w:val="21"/>
                <w:b/>
              </w:rPr>
              <w:t>四、采购项目设备清单及技术规格参数要求</w:t>
            </w:r>
          </w:p>
          <w:tbl>
            <w:tblPr>
              <w:tblBorders>
                <w:top w:val="none" w:color="000000" w:sz="4"/>
                <w:left w:val="none" w:color="000000" w:sz="4"/>
                <w:bottom w:val="none" w:color="000000" w:sz="4"/>
                <w:right w:val="none" w:color="000000" w:sz="4"/>
                <w:insideH w:val="none"/>
                <w:insideV w:val="none"/>
              </w:tblBorders>
            </w:tblPr>
            <w:tblGrid>
              <w:gridCol w:w="268"/>
              <w:gridCol w:w="552"/>
              <w:gridCol w:w="2761"/>
              <w:gridCol w:w="320"/>
              <w:gridCol w:w="320"/>
            </w:tblGrid>
            <w:tr>
              <w:tc>
                <w:tcPr>
                  <w:tcW w:type="dxa" w:w="26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序号</w:t>
                  </w:r>
                </w:p>
              </w:tc>
              <w:tc>
                <w:tcPr>
                  <w:tcW w:type="dxa" w:w="55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产品名称</w:t>
                  </w:r>
                </w:p>
              </w:tc>
              <w:tc>
                <w:tcPr>
                  <w:tcW w:type="dxa" w:w="276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设备规格、技术参数</w:t>
                  </w:r>
                </w:p>
              </w:tc>
              <w:tc>
                <w:tcPr>
                  <w:tcW w:type="dxa" w:w="32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数量</w:t>
                  </w:r>
                </w:p>
              </w:tc>
              <w:tc>
                <w:tcPr>
                  <w:tcW w:type="dxa" w:w="32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单位</w:t>
                  </w:r>
                </w:p>
              </w:tc>
            </w:tr>
            <w:tr>
              <w:tc>
                <w:tcPr>
                  <w:tcW w:type="dxa" w:w="4221"/>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一、安全系统清单</w:t>
                  </w:r>
                </w:p>
              </w:tc>
            </w:tr>
            <w:tr>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55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纵向网防火墙</w:t>
                  </w:r>
                </w:p>
              </w:tc>
              <w:tc>
                <w:tcPr>
                  <w:tcW w:type="dxa" w:w="276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1、硬件参数：规格≥1U，内存大小≥4G，硬盘容量≥128G SSD，电源：单电源，接口≥8千兆电口+2千兆光口SFP。</w:t>
                  </w:r>
                </w:p>
                <w:p>
                  <w:pPr>
                    <w:pStyle w:val="null3"/>
                    <w:jc w:val="both"/>
                  </w:pPr>
                  <w:r>
                    <w:rPr>
                      <w:sz w:val="21"/>
                    </w:rPr>
                    <w:t>2、性能参数：网络层吞吐量≥4G，应用层吞吐量≥1G，IPS吞吐量≥300M，并发连接数≥100万，HTTP新建连接数≥2.5万，IPSec VPN 最大接入数≥200，IPSec VPN吞吐量≥200M。</w:t>
                  </w:r>
                </w:p>
                <w:p>
                  <w:pPr>
                    <w:pStyle w:val="null3"/>
                    <w:jc w:val="both"/>
                  </w:pPr>
                  <w:r>
                    <w:rPr>
                      <w:sz w:val="21"/>
                    </w:rPr>
                    <w:t>3、产品支持路由模式、透明模式、虚拟网线模式、旁路镜像模式等多种部署方式。</w:t>
                  </w:r>
                </w:p>
                <w:p>
                  <w:pPr>
                    <w:pStyle w:val="null3"/>
                    <w:jc w:val="both"/>
                  </w:pPr>
                  <w:r>
                    <w:rPr>
                      <w:sz w:val="21"/>
                    </w:rPr>
                    <w:t>4、产品支持虚拟防火墙功能，支持虚拟防火墙的创建和删除，具备独立的接口、会话管理、应用控制策略、NAT等资源。</w:t>
                  </w:r>
                </w:p>
                <w:p>
                  <w:pPr>
                    <w:pStyle w:val="null3"/>
                    <w:jc w:val="both"/>
                  </w:pPr>
                  <w:r>
                    <w:rPr>
                      <w:sz w:val="21"/>
                    </w:rPr>
                    <w:t>5、产品支持路由类型、协议类型、网络对象、国家地区等条件进行自动选路的策略路由，支持不少于3种的调度算法，至少包括带宽比例、加权流量、线路优先等。</w:t>
                  </w:r>
                  <w:r>
                    <w:rPr>
                      <w:sz w:val="21"/>
                      <w:b/>
                    </w:rPr>
                    <w:t>（需提供产品功能截图证明加盖供应商公章）</w:t>
                  </w:r>
                </w:p>
                <w:p>
                  <w:pPr>
                    <w:pStyle w:val="null3"/>
                    <w:jc w:val="both"/>
                  </w:pPr>
                  <w:r>
                    <w:rPr>
                      <w:sz w:val="21"/>
                    </w:rPr>
                    <w:t>6、产品支持IPv4/IPv6双栈工作模式，以适应IPv6发展趋势。</w:t>
                  </w:r>
                </w:p>
                <w:p>
                  <w:pPr>
                    <w:pStyle w:val="null3"/>
                    <w:jc w:val="both"/>
                  </w:pPr>
                  <w:r>
                    <w:rPr>
                      <w:sz w:val="21"/>
                    </w:rPr>
                    <w:t>7、▲产品支持IPSec VPN智能选路功能，根据线路质量和应用实现自动链路切换。</w:t>
                  </w:r>
                  <w:r>
                    <w:rPr>
                      <w:sz w:val="21"/>
                      <w:b/>
                    </w:rPr>
                    <w:t>（需提供产品功能截图证明加盖供应商公章以及提供第三方检测机构出具关于</w:t>
                  </w:r>
                  <w:r>
                    <w:rPr>
                      <w:sz w:val="21"/>
                      <w:b/>
                    </w:rPr>
                    <w:t>“SD-WAN智能选路”的证书或检测报告证明功能有效性。）</w:t>
                  </w:r>
                </w:p>
                <w:p>
                  <w:pPr>
                    <w:pStyle w:val="null3"/>
                    <w:jc w:val="both"/>
                  </w:pPr>
                  <w:r>
                    <w:rPr>
                      <w:sz w:val="21"/>
                    </w:rPr>
                    <w:t>8、▲产品支持与终端安全软件联动管理，在防火墙产品完成终端安全策略设置和内网终端安全软件的统一管理，对终端恶意文件进行隔离。</w:t>
                  </w:r>
                  <w:r>
                    <w:rPr>
                      <w:sz w:val="21"/>
                      <w:b/>
                    </w:rPr>
                    <w:t>（需提供产品功能截图证明加盖供应商公章）</w:t>
                  </w:r>
                </w:p>
              </w:tc>
              <w:tc>
                <w:tcPr>
                  <w:tcW w:type="dxa" w:w="32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2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r>
            <w:tr>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纵向网加密机</w:t>
                  </w:r>
                </w:p>
              </w:tc>
              <w:tc>
                <w:tcPr>
                  <w:tcW w:type="dxa" w:w="27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1、硬件参数：规格≥1U，内存大小≥16G，硬盘容量≥128G SSD，电源：单电源，接口≥6千兆电口+2千兆光口SFP。</w:t>
                  </w:r>
                </w:p>
                <w:p>
                  <w:pPr>
                    <w:pStyle w:val="null3"/>
                    <w:jc w:val="both"/>
                  </w:pPr>
                  <w:r>
                    <w:rPr>
                      <w:sz w:val="21"/>
                    </w:rPr>
                    <w:t>2、性能参数：接入授权≥50套，最大理论加密流量≥350Mbps，最大理论并发用户数≥600个。</w:t>
                  </w:r>
                </w:p>
                <w:p>
                  <w:pPr>
                    <w:pStyle w:val="null3"/>
                    <w:jc w:val="both"/>
                  </w:pPr>
                  <w:r>
                    <w:rPr>
                      <w:sz w:val="21"/>
                    </w:rPr>
                    <w:t>3、▲支持使用商密密码卡进行加密；支持在控制台对密码卡进行管理（包括：激活、取消激活、密钥备份/恢复、管理KEY口令）</w:t>
                  </w:r>
                  <w:r>
                    <w:rPr>
                      <w:sz w:val="21"/>
                      <w:b/>
                    </w:rPr>
                    <w:t>（需提供产品功能截图证明加盖供应商公章）</w:t>
                  </w:r>
                </w:p>
                <w:p>
                  <w:pPr>
                    <w:pStyle w:val="null3"/>
                    <w:jc w:val="both"/>
                  </w:pPr>
                  <w:r>
                    <w:rPr>
                      <w:sz w:val="21"/>
                    </w:rPr>
                    <w:t>4、为了满足灵活部署的要求，综合网关应支持IPV4/IPV6双栈网络IP配置，可自主选择配置LAN口或WAN口。为了保护设备的安全，可支持默认限制所有IP通过WAN口访问系统，支持通过配置IP白名单的方式来放通WAN口接入的特殊需求。</w:t>
                  </w:r>
                </w:p>
                <w:p>
                  <w:pPr>
                    <w:pStyle w:val="null3"/>
                    <w:jc w:val="both"/>
                  </w:pPr>
                  <w:r>
                    <w:rPr>
                      <w:sz w:val="21"/>
                    </w:rPr>
                    <w:t>5、为充分利用设备的网络性能，综合网关部署时支持配置聚合网口，并支持将聚合网口作为综合网关的网络部署IP。聚合网口支持通过哈希或802.3ad等标准对闲置网口进行网口绑定，支持通过ARP探测机制对聚合网口进行健康检查。</w:t>
                  </w:r>
                </w:p>
                <w:p>
                  <w:pPr>
                    <w:pStyle w:val="null3"/>
                    <w:jc w:val="both"/>
                  </w:pPr>
                  <w:r>
                    <w:rPr>
                      <w:sz w:val="21"/>
                    </w:rPr>
                    <w:t>6、为强化系统认证安全性，可配置在触发异常环境的条件时，用户需完成增强认证才可登录。可配置的异常环境包括但不限于：帐号首次登录、帐号在该终端首次登录、账号在该地点首次登录、账号在新地点登录、账号在非常用地点登录、闲置帐号登录、弱密码登录、异常时间登录等。</w:t>
                  </w:r>
                  <w:r>
                    <w:rPr>
                      <w:sz w:val="21"/>
                      <w:b/>
                    </w:rPr>
                    <w:t>（需提供产品功能截图证明加盖供应商公章）</w:t>
                  </w:r>
                </w:p>
                <w:p>
                  <w:pPr>
                    <w:pStyle w:val="null3"/>
                    <w:jc w:val="both"/>
                  </w:pPr>
                  <w:r>
                    <w:rPr>
                      <w:sz w:val="21"/>
                    </w:rPr>
                    <w:t>7、支持管理员自定义用户密码组合方式是否需要包含字母、数字、特殊字符；支持管理员根据情况自行选择密码能否包含用户名、新密码不能与历史前N次密码重复、密码不能包含连续重复字符的次数、密码能否包含键盘连续排序字符等安全规则。</w:t>
                  </w:r>
                </w:p>
                <w:p>
                  <w:pPr>
                    <w:pStyle w:val="null3"/>
                    <w:jc w:val="both"/>
                  </w:pPr>
                  <w:r>
                    <w:rPr>
                      <w:sz w:val="21"/>
                    </w:rPr>
                    <w:t>8、▲为了最大程度缩小网络、业务暴露面，零信任平台需提供单包授权能力（SPA），支持UDP+TCP组合的单包授权技术，未授权用户无法连接零信任设备，无法扫描到服务端口，不会出现敲门放大漏洞。</w:t>
                  </w:r>
                  <w:r>
                    <w:rPr>
                      <w:sz w:val="21"/>
                      <w:b/>
                    </w:rPr>
                    <w:t>（需提供产品功能截图证明加盖供应商公章）</w:t>
                  </w:r>
                </w:p>
                <w:p>
                  <w:pPr>
                    <w:pStyle w:val="null3"/>
                    <w:jc w:val="both"/>
                  </w:pPr>
                  <w:r>
                    <w:rPr>
                      <w:sz w:val="21"/>
                    </w:rPr>
                    <w:t>9、PC端和移动端均支持通过安全码激活客户端为授权客户端，从而可进行SPA敲门和连接，安全码支持共享码和一人一码两种模式，支持短信分发安全码，保障业务的安全性。</w:t>
                  </w:r>
                </w:p>
                <w:p>
                  <w:pPr>
                    <w:pStyle w:val="null3"/>
                    <w:jc w:val="both"/>
                  </w:pPr>
                  <w:r>
                    <w:rPr>
                      <w:sz w:val="21"/>
                    </w:rPr>
                    <w:t>10、一人一码模式下，当实际登录用户跟分发SPA安全码绑定的用户不一致时，零信任系统可以阻止用户登录上线并产生安全告警，帮助管理员溯源，进一步提升系统安全性。</w:t>
                  </w:r>
                </w:p>
                <w:p>
                  <w:pPr>
                    <w:pStyle w:val="null3"/>
                    <w:jc w:val="both"/>
                  </w:pPr>
                  <w:r>
                    <w:rPr>
                      <w:sz w:val="21"/>
                    </w:rPr>
                    <w:t>11、</w:t>
                  </w:r>
                  <w:r>
                    <w:rPr>
                      <w:sz w:val="21"/>
                      <w:b/>
                    </w:rPr>
                    <w:t>※</w:t>
                  </w:r>
                  <w:r>
                    <w:rPr>
                      <w:sz w:val="21"/>
                    </w:rPr>
                    <w:t>针对</w:t>
                  </w:r>
                  <w:r>
                    <w:rPr>
                      <w:sz w:val="21"/>
                    </w:rPr>
                    <w:t>Windows系统用户，支持配置虚拟专线功能，当用户登录零信任客户端之后，自动断开互联网连接，避免互联网威胁影响内网业务系统。</w:t>
                  </w:r>
                  <w:r>
                    <w:rPr>
                      <w:sz w:val="21"/>
                      <w:b/>
                    </w:rPr>
                    <w:t>（</w:t>
                  </w:r>
                  <w:r>
                    <w:rPr>
                      <w:sz w:val="21"/>
                      <w:b/>
                    </w:rPr>
                    <w:t>提供</w:t>
                  </w:r>
                  <w:r>
                    <w:rPr>
                      <w:sz w:val="21"/>
                      <w:b/>
                    </w:rPr>
                    <w:t>U 盘( 或光盘）视频演示文件进行</w:t>
                  </w:r>
                  <w:r>
                    <w:rPr>
                      <w:sz w:val="21"/>
                      <w:b/>
                    </w:rPr>
                    <w:t>平台功能</w:t>
                  </w:r>
                  <w:r>
                    <w:rPr>
                      <w:sz w:val="21"/>
                      <w:b/>
                    </w:rPr>
                    <w:t>演示</w:t>
                  </w:r>
                  <w:r>
                    <w:rPr>
                      <w:sz w:val="21"/>
                      <w:b/>
                    </w:rPr>
                    <w:t>）</w:t>
                  </w:r>
                </w:p>
                <w:p>
                  <w:pPr>
                    <w:pStyle w:val="null3"/>
                    <w:jc w:val="both"/>
                  </w:pPr>
                  <w:r>
                    <w:rPr>
                      <w:sz w:val="21"/>
                    </w:rPr>
                    <w:t>12、支持用户安全日志提取，审计中心应将具有异常登录行为的用户日志自动打标签为用户安全日志，以便于管理员快速审计定位。用户安全日志包括但不限于：帐号安全（应包含帐号首次登录、异常时间登录、非常用地点登录、弱密码登录、爆破登录、闲置帐号登录、帐号在新终端登录等）、中间人攻击、SPA安全（应包含SPA端口扫描、SPA爆破攻击、SPA敲门伪造、SPA重放攻击、SPA安全码泄漏等）、COOKIE劫持等。</w:t>
                  </w:r>
                  <w:r>
                    <w:rPr>
                      <w:sz w:val="21"/>
                      <w:b/>
                    </w:rPr>
                    <w:t>（需提供产品功能截图证明加盖供应商公章）</w:t>
                  </w:r>
                </w:p>
                <w:p>
                  <w:pPr>
                    <w:pStyle w:val="null3"/>
                    <w:jc w:val="both"/>
                  </w:pPr>
                  <w:r>
                    <w:rPr>
                      <w:sz w:val="21"/>
                    </w:rPr>
                    <w:t>13、支持将设备安全事件单独记录在设备安全日志中，事件类型包括但不限于：接口扫描、接口webshall攻击、接口参数爆破、接口越权调用等设备API防护日志。</w:t>
                  </w:r>
                </w:p>
                <w:p>
                  <w:pPr>
                    <w:pStyle w:val="null3"/>
                    <w:jc w:val="both"/>
                  </w:pPr>
                  <w:r>
                    <w:rPr>
                      <w:sz w:val="21"/>
                    </w:rPr>
                    <w:t>14、▲支持以虚拟IP方式，访问真实的业务系统，以配合其他对IP有要求的安全设备工作，以及便于流量分析类设备进行流量分析。支持共享虚拟IP池模式，为用户组分配一个IP地址段，用户组内的用户首次连接时分配一个IP端内的虚拟IP，可根据IP资源的充裕情况配置用户注销后立即释放虚拟IP或注销后指定时间再释放，若未释放时则代表用户与虚拟IP绑定，便于用户访问行为可追溯。</w:t>
                  </w:r>
                  <w:r>
                    <w:rPr>
                      <w:sz w:val="21"/>
                      <w:b/>
                    </w:rPr>
                    <w:t>（需提供产品功能截图证明加盖供应商公章）</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r>
            <w:tr>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入侵检测系统</w:t>
                  </w:r>
                </w:p>
              </w:tc>
              <w:tc>
                <w:tcPr>
                  <w:tcW w:type="dxa" w:w="27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1、硬件参数：规格≥1U，内存大小≥4G，硬盘容量≥128G SSD，电源：单电源，接口≥8千兆电口+2千兆光口SFP。</w:t>
                  </w:r>
                </w:p>
                <w:p>
                  <w:pPr>
                    <w:pStyle w:val="null3"/>
                    <w:jc w:val="both"/>
                  </w:pPr>
                  <w:r>
                    <w:rPr>
                      <w:sz w:val="21"/>
                    </w:rPr>
                    <w:t>2、性能参数：网络层吞吐量≥4G，应用层吞吐量≥2G，IPS吞吐量≥600M，并发连接数≥200万，HTTP新建连接数≥6万，IPSec VPN 最大接入数≥300，IPSec VPN吞吐量≥270M。</w:t>
                  </w:r>
                </w:p>
                <w:p>
                  <w:pPr>
                    <w:pStyle w:val="null3"/>
                    <w:jc w:val="both"/>
                  </w:pPr>
                  <w:r>
                    <w:rPr>
                      <w:sz w:val="21"/>
                    </w:rPr>
                    <w:t>3、产品支持路由模式、透明模式、虚拟网线模式、旁路镜像模式等多种部署方式。</w:t>
                  </w:r>
                </w:p>
                <w:p>
                  <w:pPr>
                    <w:pStyle w:val="null3"/>
                    <w:jc w:val="both"/>
                  </w:pPr>
                  <w:r>
                    <w:rPr>
                      <w:sz w:val="21"/>
                    </w:rPr>
                    <w:t>4、▲产品支持僵尸主机检测功能，产品内置僵尸网络特征库超过128万种，可识别主机的异常外联行为。</w:t>
                  </w:r>
                  <w:r>
                    <w:rPr>
                      <w:sz w:val="21"/>
                      <w:b/>
                    </w:rPr>
                    <w:t>（需提供产品功能截图证明加盖供应商公章）</w:t>
                  </w:r>
                </w:p>
                <w:p>
                  <w:pPr>
                    <w:pStyle w:val="null3"/>
                    <w:jc w:val="both"/>
                  </w:pPr>
                  <w:r>
                    <w:rPr>
                      <w:sz w:val="21"/>
                    </w:rPr>
                    <w:t>5、▲产品内置超过4580种WEB应用攻击特征，支持对跨站脚本（XSS）攻击、SQL注入、文件包含攻击、信息泄露攻击、WEBSHELL、网站扫描、网页木马等攻击类型进行防护。</w:t>
                  </w:r>
                  <w:r>
                    <w:rPr>
                      <w:sz w:val="21"/>
                      <w:b/>
                    </w:rPr>
                    <w:t>（需提供产品功能截图证明加盖供应商公章以及具备</w:t>
                  </w:r>
                  <w:r>
                    <w:rPr>
                      <w:sz w:val="21"/>
                      <w:b/>
                    </w:rPr>
                    <w:t>CMA和CNAS标识的第三方检测报告）</w:t>
                  </w:r>
                </w:p>
                <w:p>
                  <w:pPr>
                    <w:pStyle w:val="null3"/>
                    <w:jc w:val="both"/>
                  </w:pPr>
                  <w:r>
                    <w:rPr>
                      <w:sz w:val="21"/>
                    </w:rPr>
                    <w:t>6、▲产品支持X-Forworded-For字段检测，并对非法源IP进行日志记录和联动封锁。</w:t>
                  </w:r>
                  <w:r>
                    <w:rPr>
                      <w:sz w:val="21"/>
                      <w:b/>
                    </w:rPr>
                    <w:t>（需提供产品功能截图证明加盖供应商公章）</w:t>
                  </w:r>
                </w:p>
                <w:p>
                  <w:pPr>
                    <w:pStyle w:val="null3"/>
                    <w:jc w:val="both"/>
                  </w:pPr>
                  <w:r>
                    <w:rPr>
                      <w:sz w:val="21"/>
                    </w:rPr>
                    <w:t>7、产品支持策略生命周期管理功能，支持对安全策略修改的时间、原因、变更类型进行统一管理，便于策略的运维与管理。</w:t>
                  </w:r>
                  <w:r>
                    <w:rPr>
                      <w:sz w:val="21"/>
                      <w:b/>
                    </w:rPr>
                    <w:t>（需提供产品功能截图证明加盖供应商公章）</w:t>
                  </w:r>
                </w:p>
                <w:p>
                  <w:pPr>
                    <w:pStyle w:val="null3"/>
                    <w:jc w:val="both"/>
                  </w:pPr>
                  <w:r>
                    <w:rPr>
                      <w:sz w:val="21"/>
                    </w:rPr>
                    <w:t>8、产品支持三权分立功能，根据管理员权限分为安全管理员、审计员、系统管理员三种角色。</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r>
            <w:tr>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服务器区防火墙</w:t>
                  </w:r>
                </w:p>
              </w:tc>
              <w:tc>
                <w:tcPr>
                  <w:tcW w:type="dxa" w:w="27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1、硬件参数：规格≥1U，内存大小≥8G，硬盘容量≥128G SSD，电源：单电源，接口≥8千兆电口+2万兆光口SFP+。</w:t>
                  </w:r>
                </w:p>
                <w:p>
                  <w:pPr>
                    <w:pStyle w:val="null3"/>
                    <w:jc w:val="both"/>
                  </w:pPr>
                  <w:r>
                    <w:rPr>
                      <w:sz w:val="21"/>
                    </w:rPr>
                    <w:t>2、性能参数：网络层吞吐量≥20G，应用层吞吐量≥9G，IPS吞吐量≥1.3G，并发连接数≥200万，HTTP新建连接数≥9万，IPSec VPN 最大接入数≥1000，IPSec VPN吞吐量≥700M。</w:t>
                  </w:r>
                </w:p>
                <w:p>
                  <w:pPr>
                    <w:pStyle w:val="null3"/>
                    <w:jc w:val="both"/>
                  </w:pPr>
                  <w:r>
                    <w:rPr>
                      <w:sz w:val="21"/>
                    </w:rPr>
                    <w:t>3、产品支持路由模式、透明模式、虚拟网线模式、旁路镜像模式等多种部署方式。</w:t>
                  </w:r>
                </w:p>
                <w:p>
                  <w:pPr>
                    <w:pStyle w:val="null3"/>
                    <w:jc w:val="both"/>
                  </w:pPr>
                  <w:r>
                    <w:rPr>
                      <w:sz w:val="21"/>
                    </w:rPr>
                    <w:t>4、产品支持虚拟防火墙功能，支持虚拟防火墙的创建和删除，具备独立的接口、会话管理、应用控制策略、NAT等资源。</w:t>
                  </w:r>
                </w:p>
                <w:p>
                  <w:pPr>
                    <w:pStyle w:val="null3"/>
                    <w:jc w:val="both"/>
                  </w:pPr>
                  <w:r>
                    <w:rPr>
                      <w:sz w:val="21"/>
                    </w:rPr>
                    <w:t>5、</w:t>
                  </w:r>
                  <w:r>
                    <w:rPr>
                      <w:sz w:val="21"/>
                      <w:b/>
                    </w:rPr>
                    <w:t>※</w:t>
                  </w:r>
                  <w:r>
                    <w:rPr>
                      <w:sz w:val="21"/>
                    </w:rPr>
                    <w:t>产品支持服务器漏洞防扫描功能，并对扫描源</w:t>
                  </w:r>
                  <w:r>
                    <w:rPr>
                      <w:sz w:val="21"/>
                    </w:rPr>
                    <w:t>IP进行日志记录和联动封锁。</w:t>
                  </w:r>
                  <w:r>
                    <w:rPr>
                      <w:sz w:val="21"/>
                      <w:b/>
                    </w:rPr>
                    <w:t>（</w:t>
                  </w:r>
                  <w:r>
                    <w:rPr>
                      <w:sz w:val="21"/>
                      <w:b/>
                    </w:rPr>
                    <w:t>提供</w:t>
                  </w:r>
                  <w:r>
                    <w:rPr>
                      <w:sz w:val="21"/>
                      <w:b/>
                    </w:rPr>
                    <w:t>U 盘( 或光盘）视频演示文件进行</w:t>
                  </w:r>
                  <w:r>
                    <w:rPr>
                      <w:sz w:val="21"/>
                      <w:b/>
                    </w:rPr>
                    <w:t>平台功能</w:t>
                  </w:r>
                  <w:r>
                    <w:rPr>
                      <w:sz w:val="21"/>
                      <w:b/>
                    </w:rPr>
                    <w:t>演示</w:t>
                  </w:r>
                  <w:r>
                    <w:rPr>
                      <w:sz w:val="21"/>
                      <w:b/>
                    </w:rPr>
                    <w:t>）</w:t>
                  </w:r>
                  <w:r>
                    <w:rPr>
                      <w:sz w:val="21"/>
                      <w:b/>
                    </w:rPr>
                    <w:t>。</w:t>
                  </w:r>
                </w:p>
                <w:p>
                  <w:pPr>
                    <w:pStyle w:val="null3"/>
                    <w:jc w:val="both"/>
                  </w:pPr>
                  <w:r>
                    <w:rPr>
                      <w:sz w:val="21"/>
                    </w:rPr>
                    <w:t>6、▲产品支持Cookie攻击防护功能，并通过日志记录Cookie被篡改。</w:t>
                  </w:r>
                  <w:r>
                    <w:rPr>
                      <w:sz w:val="21"/>
                      <w:b/>
                    </w:rPr>
                    <w:t>（需提供产品功能截图证明加盖供应商公章和具备</w:t>
                  </w:r>
                  <w:r>
                    <w:rPr>
                      <w:sz w:val="21"/>
                      <w:b/>
                    </w:rPr>
                    <w:t>CMA和CNAS标识的第三方检测报告）</w:t>
                  </w:r>
                </w:p>
                <w:p>
                  <w:pPr>
                    <w:pStyle w:val="null3"/>
                    <w:jc w:val="both"/>
                  </w:pPr>
                  <w:r>
                    <w:rPr>
                      <w:sz w:val="21"/>
                    </w:rPr>
                    <w:t>7、产品支持用户账号全生命周期保护功能，包括用户账号多余入口检测、用户账号弱口令检测、用户账号暴力破解检测、失陷账号检测，防止因账号被暴力破解导致的非法提权情况发生。</w:t>
                  </w:r>
                  <w:r>
                    <w:rPr>
                      <w:sz w:val="21"/>
                      <w:b/>
                    </w:rPr>
                    <w:t>（需提供产品功能截图证明加盖供应商公章）</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r>
            <w:tr>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安全管理区日志审计系统</w:t>
                  </w:r>
                </w:p>
              </w:tc>
              <w:tc>
                <w:tcPr>
                  <w:tcW w:type="dxa" w:w="27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1、性能参数：包含资产授权数量(个) ≥50。</w:t>
                  </w:r>
                </w:p>
                <w:p>
                  <w:pPr>
                    <w:pStyle w:val="null3"/>
                    <w:jc w:val="both"/>
                  </w:pPr>
                  <w:r>
                    <w:rPr>
                      <w:sz w:val="21"/>
                    </w:rPr>
                    <w:t>2、支持安全设备、网络设备、中间件、服务器、数据库、操作系统、业务系统等不少于800种日志对象的日志数据采集。</w:t>
                  </w:r>
                </w:p>
                <w:p>
                  <w:pPr>
                    <w:pStyle w:val="null3"/>
                    <w:jc w:val="both"/>
                  </w:pPr>
                  <w:r>
                    <w:rPr>
                      <w:sz w:val="21"/>
                    </w:rPr>
                    <w:t>3、支持主动、被动相结合的数据采集方式，支持通过Agent采集日志数据，支持通过syslog、SNMP Trap、JDBC、WMI、webservice、FTP、SFTP、文件\文件夹读取、Kafka等多种方式完成日志收集。</w:t>
                  </w:r>
                </w:p>
                <w:p>
                  <w:pPr>
                    <w:pStyle w:val="null3"/>
                    <w:jc w:val="both"/>
                  </w:pPr>
                  <w:r>
                    <w:rPr>
                      <w:sz w:val="21"/>
                    </w:rPr>
                    <w:t>4、▲支持通过正则、分隔符、json、xml的可视方式进行自定义规则解析，支持对解析结果字段的新增、合并、映射，以满足除内置解析规则之外未被覆盖的日志类型的解析。</w:t>
                  </w:r>
                  <w:r>
                    <w:rPr>
                      <w:sz w:val="21"/>
                      <w:b/>
                    </w:rPr>
                    <w:t>（需提供产品功能截图证明加盖供应商公章）</w:t>
                  </w:r>
                </w:p>
                <w:p>
                  <w:pPr>
                    <w:pStyle w:val="null3"/>
                    <w:jc w:val="both"/>
                  </w:pPr>
                  <w:r>
                    <w:rPr>
                      <w:sz w:val="21"/>
                    </w:rPr>
                    <w:t>5、支持对每个日志源设置过滤条件规则，自动过滤无用日志，满足根据实际业务需求减少采集对象发送到核心服务器的安全事件数，减少对网络带宽和数据库存储空间的占用。</w:t>
                  </w:r>
                </w:p>
                <w:p>
                  <w:pPr>
                    <w:pStyle w:val="null3"/>
                    <w:jc w:val="both"/>
                  </w:pPr>
                  <w:r>
                    <w:rPr>
                      <w:sz w:val="21"/>
                    </w:rPr>
                    <w:t>6、支持对单个/多个日志源批量转发，支持定时转发，可通过syslog和kafka方式转发到第三方平台，同时支持转发已解析日志和原始日志的两种日志。</w:t>
                  </w:r>
                </w:p>
                <w:p>
                  <w:pPr>
                    <w:pStyle w:val="null3"/>
                    <w:jc w:val="both"/>
                  </w:pPr>
                  <w:r>
                    <w:rPr>
                      <w:sz w:val="21"/>
                    </w:rPr>
                    <w:t>7、▲支持TLS加密方式进行日志传输，支持日志传输状态、最近同步时间进行监控，可统计每个日志源的今日传输量和传输总量。</w:t>
                  </w:r>
                  <w:r>
                    <w:rPr>
                      <w:sz w:val="21"/>
                      <w:b/>
                    </w:rPr>
                    <w:t>（需提供产品功能截图证明加盖供应商公章）</w:t>
                  </w:r>
                </w:p>
                <w:p>
                  <w:pPr>
                    <w:pStyle w:val="null3"/>
                    <w:jc w:val="both"/>
                  </w:pPr>
                  <w:r>
                    <w:rPr>
                      <w:sz w:val="21"/>
                    </w:rPr>
                    <w:t>8、支持以FTP方式将日志数据备份至外部存储空间，支持备份数据的恢复和查询。</w:t>
                  </w:r>
                </w:p>
                <w:p>
                  <w:pPr>
                    <w:pStyle w:val="null3"/>
                    <w:jc w:val="both"/>
                  </w:pPr>
                  <w:r>
                    <w:rPr>
                      <w:sz w:val="21"/>
                    </w:rPr>
                    <w:t>9、支持解码小工具，按照不同的解码方式解码成不同的目标内容，编码格式包括base64、Unicode、GBK、HEX、UTF-8等。</w:t>
                  </w:r>
                </w:p>
                <w:p>
                  <w:pPr>
                    <w:pStyle w:val="null3"/>
                    <w:jc w:val="both"/>
                  </w:pPr>
                  <w:r>
                    <w:rPr>
                      <w:sz w:val="21"/>
                    </w:rPr>
                    <w:t>10、支持网站攻击、漏洞利用、C&amp;C通信、暴力破解、拒绝服务、主机脆弱性、主机异常、恶意软件、账号异常、权限异常、侦查探测等内置关联分析规则，内置关联分析规则数量达到350条以上，支持自定义关联分析规则。</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r>
            <w:tr>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安全管理区数据库审计系统</w:t>
                  </w:r>
                </w:p>
              </w:tc>
              <w:tc>
                <w:tcPr>
                  <w:tcW w:type="dxa" w:w="27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1、性能参数：数据库流量≥500M，日志检索≥25000条/s</w:t>
                  </w:r>
                </w:p>
                <w:p>
                  <w:pPr>
                    <w:pStyle w:val="null3"/>
                    <w:jc w:val="both"/>
                  </w:pPr>
                  <w:r>
                    <w:rPr>
                      <w:sz w:val="21"/>
                    </w:rPr>
                    <w:t>2、数据库审计产品可以旁路镜像模式部署，不影响数据库性能和网络架构。支持集中管理，可集中管理多台审计设备审计事件的存储、分析，实现统一配置、统一报表、统一查询。</w:t>
                  </w:r>
                </w:p>
                <w:p>
                  <w:pPr>
                    <w:pStyle w:val="null3"/>
                    <w:jc w:val="both"/>
                  </w:pPr>
                  <w:r>
                    <w:rPr>
                      <w:sz w:val="21"/>
                    </w:rPr>
                    <w:t>3、支持主流数据库Oracle、SQL-Server、DB2、MySQL、Informix、Sybase、Postgresql、Cache、达梦、人大金仓、南大通用、MongDB、K-DB、虚谷。</w:t>
                  </w:r>
                </w:p>
                <w:p>
                  <w:pPr>
                    <w:pStyle w:val="null3"/>
                    <w:jc w:val="both"/>
                  </w:pPr>
                  <w:r>
                    <w:rPr>
                      <w:sz w:val="21"/>
                    </w:rPr>
                    <w:t>4、支持同时审计多种数据库及跨多种数据库平台操作。</w:t>
                  </w:r>
                </w:p>
                <w:p>
                  <w:pPr>
                    <w:pStyle w:val="null3"/>
                    <w:jc w:val="both"/>
                  </w:pPr>
                  <w:r>
                    <w:rPr>
                      <w:sz w:val="21"/>
                    </w:rPr>
                    <w:t>5、支持白名单审计，系统使用审计白名单将非关注的内容进行过滤，不进行记录，降低了存储空间和无用信息的堆砌。</w:t>
                  </w:r>
                </w:p>
                <w:p>
                  <w:pPr>
                    <w:pStyle w:val="null3"/>
                    <w:jc w:val="both"/>
                  </w:pPr>
                  <w:r>
                    <w:rPr>
                      <w:sz w:val="21"/>
                    </w:rPr>
                    <w:t>6、支持时间段、源IP、客户端程序、业务系统、数据库用户、数据库名、操作类型、表名、返回行数、影响行数、响应时长、响应码等对数据库日志进行精细检索；</w:t>
                  </w:r>
                </w:p>
                <w:p>
                  <w:pPr>
                    <w:pStyle w:val="null3"/>
                    <w:jc w:val="both"/>
                  </w:pPr>
                  <w:r>
                    <w:rPr>
                      <w:sz w:val="21"/>
                    </w:rPr>
                    <w:t>7、支持客户端程序、数据库用户、操作类型、数据库名表名、响应时间、返回行数、影响行数、响应内容等实现对敏感数据库操作的精细监控。</w:t>
                  </w:r>
                </w:p>
                <w:p>
                  <w:pPr>
                    <w:pStyle w:val="null3"/>
                    <w:jc w:val="both"/>
                  </w:pPr>
                  <w:r>
                    <w:rPr>
                      <w:sz w:val="21"/>
                    </w:rPr>
                    <w:t>8、支持吞吐量分析，包括SQL语句吞吐量排行、SQL语句吞吐量趋势、SQL操作类型吞吐量排行、SQL操作类型吞吐量趋势、数据库用户吞吐量排行、数据库用户吞吐量趋势、业务主机吞吐量排行、业务主机吞吐量趋势。</w:t>
                  </w:r>
                </w:p>
                <w:p>
                  <w:pPr>
                    <w:pStyle w:val="null3"/>
                    <w:jc w:val="both"/>
                  </w:pPr>
                  <w:r>
                    <w:rPr>
                      <w:sz w:val="21"/>
                    </w:rPr>
                    <w:t>9、▲精细化日志秒级查询，通过SQL串模式抽取保障磁盘IO的读写性能；分离式存储SQL语句保障数据审计速度快。</w:t>
                  </w:r>
                  <w:r>
                    <w:rPr>
                      <w:sz w:val="21"/>
                      <w:b/>
                    </w:rPr>
                    <w:t>（需提供产品功能截图证明加盖供应商公章）</w:t>
                  </w:r>
                </w:p>
                <w:p>
                  <w:pPr>
                    <w:pStyle w:val="null3"/>
                    <w:jc w:val="both"/>
                  </w:pPr>
                  <w:r>
                    <w:rPr>
                      <w:sz w:val="21"/>
                    </w:rPr>
                    <w:t>10、支持TB级日志秒级查询、支持指定源IP、时间日期、客户端程序、业务系统、数据库用户、操作类型等精细日志查询、支持操作类型精细化日志查询、支持风险级别排行统计查询、支持数据库条件的统计查询、支持统计趋势查询分析、支持风险级别查询分析、支持通过多SQL语句的统计查询、支持统计分析下钻、支持业务系统元素统计查询。</w:t>
                  </w:r>
                </w:p>
                <w:p>
                  <w:pPr>
                    <w:pStyle w:val="null3"/>
                    <w:jc w:val="both"/>
                  </w:pPr>
                  <w:r>
                    <w:rPr>
                      <w:sz w:val="21"/>
                    </w:rPr>
                    <w:t>11、支持自定义报表拖拽，通过自定义报表拖拽功能可以随意拖拽用户预期的统计报表，帮助用户提升通过高级选项筛选报表的可读性，更方便达到预期效果。</w:t>
                  </w:r>
                </w:p>
                <w:p>
                  <w:pPr>
                    <w:pStyle w:val="null3"/>
                    <w:jc w:val="both"/>
                  </w:pPr>
                  <w:r>
                    <w:rPr>
                      <w:sz w:val="21"/>
                    </w:rPr>
                    <w:t>12、提供管理员权限设置和分权管理，提供三权分立功能，系统可以对使用人员的操作进行审计记录，可以由审计员进行查询，具有自身安全审计功能。</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r>
            <w:tr>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安全管理区堡垒机</w:t>
                  </w:r>
                </w:p>
              </w:tc>
              <w:tc>
                <w:tcPr>
                  <w:tcW w:type="dxa" w:w="27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1、性能参数：提供≥50个资源授权。</w:t>
                  </w:r>
                </w:p>
                <w:p>
                  <w:pPr>
                    <w:pStyle w:val="null3"/>
                    <w:jc w:val="both"/>
                  </w:pPr>
                  <w:r>
                    <w:rPr>
                      <w:sz w:val="21"/>
                    </w:rPr>
                    <w:t>2、▲支持通过动作流配置提供广泛的应用接入支持，无论被接入的资源如何设计登录动作，通过动作流配置都可以实现单点登陆和审计接入。</w:t>
                  </w:r>
                  <w:r>
                    <w:rPr>
                      <w:sz w:val="21"/>
                      <w:b/>
                    </w:rPr>
                    <w:t>（需提供产品功能截图证明加盖供应商公章）</w:t>
                  </w:r>
                </w:p>
                <w:p>
                  <w:pPr>
                    <w:pStyle w:val="null3"/>
                    <w:jc w:val="both"/>
                  </w:pPr>
                  <w:r>
                    <w:rPr>
                      <w:sz w:val="21"/>
                    </w:rPr>
                    <w:t>3、支持批量导入、导出用户信息；支持用户手动添加、删除、编辑、设定角色、单独指定登陆认证方式、设定用户有效期。</w:t>
                  </w:r>
                </w:p>
                <w:p>
                  <w:pPr>
                    <w:pStyle w:val="null3"/>
                    <w:jc w:val="both"/>
                  </w:pPr>
                  <w:r>
                    <w:rPr>
                      <w:sz w:val="21"/>
                    </w:rPr>
                    <w:t>4、用户登陆认证方式支持静态口令认证、手机动态口令认证、Usbkey（数字证书）认证、短信认证（移动云mas)、AD域/LADP认证、Radius认证等认证方式；并支持各种认证方式和静态口令组合认证。</w:t>
                  </w:r>
                </w:p>
                <w:p>
                  <w:pPr>
                    <w:pStyle w:val="null3"/>
                    <w:jc w:val="both"/>
                  </w:pPr>
                  <w:r>
                    <w:rPr>
                      <w:sz w:val="21"/>
                    </w:rPr>
                    <w:t>5、内置三员角色的同时支持角色灵活自定义，可根据用户实际的管理特性或特殊的安全管理组织架构，划分管理角色的管理范畴。</w:t>
                  </w:r>
                </w:p>
                <w:p>
                  <w:pPr>
                    <w:pStyle w:val="null3"/>
                    <w:jc w:val="both"/>
                  </w:pPr>
                  <w:r>
                    <w:rPr>
                      <w:sz w:val="21"/>
                    </w:rPr>
                    <w:t>6、支持对用户指定限制登录IP、登录时间段（可循环，如每周一到周五9：00-17：00时）等规则，以确保可信用户登陆系统。</w:t>
                  </w:r>
                </w:p>
                <w:p>
                  <w:pPr>
                    <w:pStyle w:val="null3"/>
                    <w:jc w:val="both"/>
                  </w:pPr>
                  <w:r>
                    <w:rPr>
                      <w:sz w:val="21"/>
                    </w:rPr>
                    <w:t>7、支持自定义紧急运维流程开启或关闭，紧急运维开启时，运维人员可通过紧急运维流程直接访问目标设备，系统记录为紧急运维工单，审批人员可在事后查看或审批。</w:t>
                  </w:r>
                </w:p>
                <w:p>
                  <w:pPr>
                    <w:pStyle w:val="null3"/>
                    <w:jc w:val="both"/>
                  </w:pPr>
                  <w:r>
                    <w:rPr>
                      <w:sz w:val="21"/>
                    </w:rPr>
                    <w:t>8、支持生成授权报表和可访问外部资源报表，报表详细展示用户和资源的授权关系，并提供EXCEL、WORD、PDF、HTML等格式导出。</w:t>
                  </w:r>
                </w:p>
                <w:p>
                  <w:pPr>
                    <w:pStyle w:val="null3"/>
                    <w:jc w:val="both"/>
                  </w:pPr>
                  <w:r>
                    <w:rPr>
                      <w:sz w:val="21"/>
                    </w:rPr>
                    <w:t>9、支持SQL语句阻断，对SELECT、DELETE、DROP等SQL语句执行进行阻断。</w:t>
                  </w:r>
                </w:p>
                <w:p>
                  <w:pPr>
                    <w:pStyle w:val="null3"/>
                    <w:jc w:val="both"/>
                  </w:pPr>
                  <w:r>
                    <w:rPr>
                      <w:sz w:val="21"/>
                    </w:rPr>
                    <w:t>10、支持web页面直接发起运维，无需安装任何控件，并同时支持调用SecureCRT、Xshell、Putty、WinSCP、FileZilla、RDP等客户端工具实现单点登陆，不改变运维人员操作习惯。</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r>
            <w:tr>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安全管理区终端准入审计系统</w:t>
                  </w:r>
                </w:p>
              </w:tc>
              <w:tc>
                <w:tcPr>
                  <w:tcW w:type="dxa" w:w="27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1、硬件参数：规格≥1U，内存大小≥4G，硬盘容量≥128G SSD，电源：单电源，接口≥4千兆电口。</w:t>
                  </w:r>
                </w:p>
                <w:p>
                  <w:pPr>
                    <w:pStyle w:val="null3"/>
                    <w:jc w:val="both"/>
                  </w:pPr>
                  <w:r>
                    <w:rPr>
                      <w:sz w:val="21"/>
                    </w:rPr>
                    <w:t>2、性能参数：网络层吞吐量≥3Gb，应用层吞吐量≥300Mb，带宽性能≥200Mb，IPSEC VPN加密性能≥50Mb，支持用户数≥500，准入终端数≥300，包转发率≥27Kpps，每秒新建连接数≥2400，最大并发连接数≥120000。</w:t>
                  </w:r>
                </w:p>
                <w:p>
                  <w:pPr>
                    <w:pStyle w:val="null3"/>
                    <w:jc w:val="both"/>
                  </w:pPr>
                  <w:r>
                    <w:rPr>
                      <w:sz w:val="21"/>
                    </w:rPr>
                    <w:t>3、支持路由模式、网桥模式、旁路模式。</w:t>
                  </w:r>
                </w:p>
                <w:p>
                  <w:pPr>
                    <w:pStyle w:val="null3"/>
                    <w:jc w:val="both"/>
                  </w:pPr>
                  <w:r>
                    <w:rPr>
                      <w:sz w:val="21"/>
                    </w:rPr>
                    <w:t>4、支持首页分析显示接入用户人数、终端类型；带宽质量分析、实时流量排名；资产类型分布、新设备发现趋势、终端违规检查项排行、终端违规用户排行；</w:t>
                  </w:r>
                  <w:r>
                    <w:rPr>
                      <w:sz w:val="21"/>
                      <w:b/>
                    </w:rPr>
                    <w:t>（需提供产品功能截图证明加盖供应商公章）</w:t>
                  </w:r>
                </w:p>
                <w:p>
                  <w:pPr>
                    <w:pStyle w:val="null3"/>
                    <w:jc w:val="both"/>
                  </w:pPr>
                  <w:r>
                    <w:rPr>
                      <w:sz w:val="21"/>
                    </w:rPr>
                    <w:t>5、可设置四类管理员，分别为系统管理员、安全管理员、审计管理员，以及多种权限的超级管理员；管理员支持分级，高级别管理员的策略配置优先生效，并可修改低级管理员的策略；</w:t>
                  </w:r>
                </w:p>
                <w:p>
                  <w:pPr>
                    <w:pStyle w:val="null3"/>
                    <w:jc w:val="both"/>
                  </w:pPr>
                  <w:r>
                    <w:rPr>
                      <w:sz w:val="21"/>
                    </w:rPr>
                    <w:t>6、支持网络故障排查，支持PPS异常、丢包异常、ARP异常、内网DOS攻击等异常情况实时监测，显示每日异常事件个数及情况；</w:t>
                  </w:r>
                  <w:r>
                    <w:rPr>
                      <w:sz w:val="21"/>
                      <w:b/>
                    </w:rPr>
                    <w:t>（需提供产品功能截图证明加盖供应商公章）</w:t>
                  </w:r>
                </w:p>
                <w:p>
                  <w:pPr>
                    <w:pStyle w:val="null3"/>
                    <w:jc w:val="both"/>
                  </w:pPr>
                  <w:r>
                    <w:rPr>
                      <w:sz w:val="21"/>
                    </w:rPr>
                    <w:t>7、▲SSL解密故障排查，支持客户端解密排障，自动检测解密审计不成功原因；</w:t>
                  </w:r>
                  <w:r>
                    <w:rPr>
                      <w:sz w:val="21"/>
                      <w:b/>
                    </w:rPr>
                    <w:t>（需提供产品功能截图证明加盖供应商公章）</w:t>
                  </w:r>
                </w:p>
                <w:p>
                  <w:pPr>
                    <w:pStyle w:val="null3"/>
                    <w:jc w:val="both"/>
                  </w:pPr>
                  <w:r>
                    <w:rPr>
                      <w:sz w:val="21"/>
                    </w:rPr>
                    <w:t>8、Web访问质量检测，针对内网用户的web访问质量进行检测，对整体网络提供清晰的整体网络质量评级；</w:t>
                  </w:r>
                  <w:r>
                    <w:rPr>
                      <w:sz w:val="21"/>
                      <w:b/>
                    </w:rPr>
                    <w:t>（需提供产品功能截图证明加盖供应商公章）</w:t>
                  </w:r>
                </w:p>
                <w:p>
                  <w:pPr>
                    <w:pStyle w:val="null3"/>
                    <w:jc w:val="both"/>
                  </w:pPr>
                  <w:r>
                    <w:rPr>
                      <w:sz w:val="21"/>
                    </w:rPr>
                    <w:t>9、支持在不同线路上，根据不同的应用、目标IP、时间段、日期、用户/用户组、位置、终端类型来保证或者限制流量，可根据百分比或数值设置通道带宽，并支持设置各通道的优先级；</w:t>
                  </w:r>
                </w:p>
                <w:p>
                  <w:pPr>
                    <w:pStyle w:val="null3"/>
                    <w:jc w:val="both"/>
                  </w:pPr>
                  <w:r>
                    <w:rPr>
                      <w:sz w:val="21"/>
                    </w:rPr>
                    <w:t>10、能够实时看到各级流控通道的状态：包括所属线路、瞬时速率、通道占用比例、用户数、保证带宽、最大带宽，启用状态等；</w:t>
                  </w:r>
                </w:p>
                <w:p>
                  <w:pPr>
                    <w:pStyle w:val="null3"/>
                    <w:jc w:val="both"/>
                  </w:pPr>
                  <w:r>
                    <w:rPr>
                      <w:sz w:val="21"/>
                    </w:rPr>
                    <w:t>11、设备内置应用识别规则库，支持超过9000种以上应用规则数、支持超过6000种以上的应用；支持根据标签选择应用，并支持给每个应用自定义标签；支持根据标签选择一类应用做控制；</w:t>
                  </w:r>
                  <w:r>
                    <w:rPr>
                      <w:sz w:val="21"/>
                      <w:b/>
                    </w:rPr>
                    <w:t>（需提供产品功能截图证明加盖供应商公章）</w:t>
                  </w:r>
                </w:p>
                <w:p>
                  <w:pPr>
                    <w:pStyle w:val="null3"/>
                    <w:jc w:val="both"/>
                  </w:pPr>
                  <w:r>
                    <w:rPr>
                      <w:sz w:val="21"/>
                    </w:rPr>
                    <w:t>12、</w:t>
                  </w:r>
                  <w:r>
                    <w:rPr>
                      <w:sz w:val="21"/>
                      <w:b/>
                    </w:rPr>
                    <w:t>※</w:t>
                  </w:r>
                  <w:r>
                    <w:rPr>
                      <w:sz w:val="21"/>
                    </w:rPr>
                    <w:t>支持客户端</w:t>
                  </w:r>
                  <w:r>
                    <w:rPr>
                      <w:sz w:val="21"/>
                    </w:rPr>
                    <w:t>SSL解密，客户端会自动推送根证书安装；</w:t>
                  </w:r>
                  <w:r>
                    <w:rPr>
                      <w:sz w:val="21"/>
                      <w:b/>
                    </w:rPr>
                    <w:t>（</w:t>
                  </w:r>
                  <w:r>
                    <w:rPr>
                      <w:sz w:val="21"/>
                      <w:b/>
                    </w:rPr>
                    <w:t>提供</w:t>
                  </w:r>
                  <w:r>
                    <w:rPr>
                      <w:sz w:val="21"/>
                      <w:b/>
                    </w:rPr>
                    <w:t>U 盘( 或光盘）视频演示文件进行</w:t>
                  </w:r>
                  <w:r>
                    <w:rPr>
                      <w:sz w:val="21"/>
                      <w:b/>
                    </w:rPr>
                    <w:t>平台功能</w:t>
                  </w:r>
                  <w:r>
                    <w:rPr>
                      <w:sz w:val="21"/>
                      <w:b/>
                    </w:rPr>
                    <w:t>演示</w:t>
                  </w:r>
                  <w:r>
                    <w:rPr>
                      <w:sz w:val="21"/>
                      <w:b/>
                    </w:rPr>
                    <w:t>）</w:t>
                  </w:r>
                </w:p>
                <w:p>
                  <w:pPr>
                    <w:pStyle w:val="null3"/>
                    <w:jc w:val="both"/>
                  </w:pPr>
                  <w:r>
                    <w:rPr>
                      <w:sz w:val="21"/>
                    </w:rPr>
                    <w:t>13、支持发现私接路由（或者共享软件等）共享网络的行为，以IP或用户名的维度统计一段时间内的趋势图；</w:t>
                  </w:r>
                </w:p>
                <w:p>
                  <w:pPr>
                    <w:pStyle w:val="null3"/>
                    <w:jc w:val="both"/>
                  </w:pPr>
                  <w:r>
                    <w:rPr>
                      <w:sz w:val="21"/>
                    </w:rPr>
                    <w:t>14、自动发现网络里面的终端，并获取IP、Mac、厂商、操作系统等信息，设备必须支持PC、移动设备、哑终端、专用设备的发现和型号识别：至少支持Windows、Linux、MAC、瘦客户机等PC；至少支持手机、平板等移动设备；至少支持服务器、交换机、无线控制器等网络设备；至少支持打印机、投影仪、电视、摄像头、门禁系统等哑终端；支持自定义终端类型。</w:t>
                  </w:r>
                </w:p>
                <w:p>
                  <w:pPr>
                    <w:pStyle w:val="null3"/>
                    <w:jc w:val="both"/>
                  </w:pPr>
                  <w:r>
                    <w:rPr>
                      <w:sz w:val="21"/>
                    </w:rPr>
                    <w:t>15、</w:t>
                  </w:r>
                  <w:r>
                    <w:rPr>
                      <w:sz w:val="21"/>
                      <w:b/>
                    </w:rPr>
                    <w:t>※</w:t>
                  </w:r>
                  <w:r>
                    <w:rPr>
                      <w:sz w:val="21"/>
                    </w:rPr>
                    <w:t>支持</w:t>
                  </w:r>
                  <w:r>
                    <w:rPr>
                      <w:sz w:val="21"/>
                    </w:rPr>
                    <w:t>Windows终端安全检查，包括：杀软检查、登录域检查、操作系统检查、进程检查、文件检查、注册表检查、补丁检查、Windows账号检查、防篡改检查、客户端集成检查、软件检查，对不满足检查要求的终端可弹窗提示、禁止上网、违规修复。</w:t>
                  </w:r>
                  <w:r>
                    <w:rPr>
                      <w:sz w:val="21"/>
                      <w:b/>
                    </w:rPr>
                    <w:t>（</w:t>
                  </w:r>
                  <w:r>
                    <w:rPr>
                      <w:sz w:val="21"/>
                      <w:b/>
                    </w:rPr>
                    <w:t>提供</w:t>
                  </w:r>
                  <w:r>
                    <w:rPr>
                      <w:sz w:val="21"/>
                      <w:b/>
                    </w:rPr>
                    <w:t>U 盘( 或光盘）视频演示文件进行</w:t>
                  </w:r>
                  <w:r>
                    <w:rPr>
                      <w:sz w:val="21"/>
                      <w:b/>
                    </w:rPr>
                    <w:t>平台功能</w:t>
                  </w:r>
                  <w:r>
                    <w:rPr>
                      <w:sz w:val="21"/>
                      <w:b/>
                    </w:rPr>
                    <w:t>演示</w:t>
                  </w:r>
                  <w:r>
                    <w:rPr>
                      <w:sz w:val="21"/>
                      <w:b/>
                    </w:rPr>
                    <w:t>）</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r>
            <w:tr>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安全管理区漏洞扫描系统</w:t>
                  </w:r>
                </w:p>
              </w:tc>
              <w:tc>
                <w:tcPr>
                  <w:tcW w:type="dxa" w:w="27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1、授权：系统漏扫授权IP数≥50，WEB漏扫授权URL数≥10；性能指标：系统漏扫最大并发IP数≥150，WEB漏扫最大并发URL数≥5；</w:t>
                  </w:r>
                </w:p>
                <w:p>
                  <w:pPr>
                    <w:pStyle w:val="null3"/>
                    <w:jc w:val="both"/>
                  </w:pPr>
                  <w:r>
                    <w:rPr>
                      <w:sz w:val="21"/>
                    </w:rPr>
                    <w:t>2、支持全局风险统计功能，通过扇形图、条状图、标签、表格等形式直观展示资产风险分布、漏洞风险等级分布、紧急漏洞、风险资产清单等信息，并可查看详情。</w:t>
                  </w:r>
                  <w:r>
                    <w:rPr>
                      <w:sz w:val="21"/>
                      <w:b/>
                    </w:rPr>
                    <w:t>（需提供产品功能截图证明加盖供应商公章）</w:t>
                  </w:r>
                </w:p>
                <w:p>
                  <w:pPr>
                    <w:pStyle w:val="null3"/>
                    <w:jc w:val="both"/>
                  </w:pPr>
                  <w:r>
                    <w:rPr>
                      <w:sz w:val="21"/>
                    </w:rPr>
                    <w:t>3、支持全局风险统计时段自定义，展示最近24小时、最近1周、最近2周、最近30天、最近6个月、按周、按月或自定义统计区间的风险分布和详情，时间跨度不限制。</w:t>
                  </w:r>
                </w:p>
                <w:p>
                  <w:pPr>
                    <w:pStyle w:val="null3"/>
                    <w:jc w:val="both"/>
                  </w:pPr>
                  <w:r>
                    <w:rPr>
                      <w:sz w:val="21"/>
                    </w:rPr>
                    <w:t>4、支持从“严重”、“高危”、“中危”、“低危”四个安全级别展示资产的风险分布情况。</w:t>
                  </w:r>
                </w:p>
                <w:p>
                  <w:pPr>
                    <w:pStyle w:val="null3"/>
                    <w:jc w:val="both"/>
                  </w:pPr>
                  <w:r>
                    <w:rPr>
                      <w:sz w:val="21"/>
                    </w:rPr>
                    <w:t>5、支持从紧急漏洞的视角展示主机风险，清晰呈现已发生和未发生的紧急漏洞类型，支持以报表形式展示紧急漏洞的风险等级、影响资产数、漏洞数量、最近发现时间，可关联漏洞详情。</w:t>
                  </w:r>
                </w:p>
                <w:p>
                  <w:pPr>
                    <w:pStyle w:val="null3"/>
                    <w:jc w:val="both"/>
                  </w:pPr>
                  <w:r>
                    <w:rPr>
                      <w:sz w:val="21"/>
                    </w:rPr>
                    <w:t>6、支持从主机视角呈现当前关键资产的漏洞风险信息，可从“严重”“高”、“中”、“低”四个等级划分漏洞风险等级，支持客户对于重要资产标记为“核心资产”，便于根据资产价值确定修复优先级。</w:t>
                  </w:r>
                </w:p>
                <w:p>
                  <w:pPr>
                    <w:pStyle w:val="null3"/>
                    <w:jc w:val="both"/>
                  </w:pPr>
                  <w:r>
                    <w:rPr>
                      <w:sz w:val="21"/>
                    </w:rPr>
                    <w:t>7、支持全面扫描、资产发现、系统漏洞扫描、弱口令扫描、WEB漏洞扫描、基线配置核查六种任务类型，其中全面扫描支持系统漏洞扫描、WEB漏洞扫描、弱口令扫描同时执行。</w:t>
                  </w:r>
                  <w:r>
                    <w:rPr>
                      <w:sz w:val="21"/>
                      <w:b/>
                    </w:rPr>
                    <w:t>（需提供产品功能截图证明加盖供应商公章）</w:t>
                  </w:r>
                </w:p>
                <w:p>
                  <w:pPr>
                    <w:pStyle w:val="null3"/>
                    <w:jc w:val="both"/>
                  </w:pPr>
                  <w:r>
                    <w:rPr>
                      <w:sz w:val="21"/>
                    </w:rPr>
                    <w:t>8、资产发现支持存活探测、服务和端口探测、操作系统识别、应用识别、和设备指纹识别等功能，其中服务和端口探测支持常用端口、全量端口和自定义端口三种探测方式。</w:t>
                  </w:r>
                </w:p>
                <w:p>
                  <w:pPr>
                    <w:pStyle w:val="null3"/>
                    <w:jc w:val="both"/>
                  </w:pPr>
                  <w:r>
                    <w:rPr>
                      <w:sz w:val="21"/>
                    </w:rPr>
                    <w:t>9、支持检测的漏洞数大于230000条，兼容CVE、CNNVD、CNVD、Bugtraq等主流标准。</w:t>
                  </w:r>
                </w:p>
                <w:p>
                  <w:pPr>
                    <w:pStyle w:val="null3"/>
                    <w:jc w:val="both"/>
                  </w:pPr>
                  <w:r>
                    <w:rPr>
                      <w:sz w:val="21"/>
                    </w:rPr>
                    <w:t>10、支持采用SMB、RDP、Telnet、SSH等协议对系统进行登录扫描。</w:t>
                  </w:r>
                </w:p>
                <w:p>
                  <w:pPr>
                    <w:pStyle w:val="null3"/>
                    <w:jc w:val="both"/>
                  </w:pPr>
                  <w:r>
                    <w:rPr>
                      <w:sz w:val="21"/>
                    </w:rPr>
                    <w:t>11、内置不同的系统漏洞模板，包括高可利用系统漏洞、原理检测系统漏洞、中间件漏洞、数据库漏洞等类型，支持报表形式展示漏洞模板风险等级分布概览，支持报表形式展示漏洞模板详情，包括漏洞总数、漏洞名称、漏洞类型、风险等级等信息。</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r>
            <w:tr>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安全管理区防病毒系统</w:t>
                  </w:r>
                </w:p>
              </w:tc>
              <w:tc>
                <w:tcPr>
                  <w:tcW w:type="dxa" w:w="27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1、包含终端安全管理系统软件（产品控制中心），PC端点安全软件≥100套，服务器端点安全软件≥20套。</w:t>
                  </w:r>
                </w:p>
                <w:p>
                  <w:pPr>
                    <w:pStyle w:val="null3"/>
                    <w:jc w:val="both"/>
                  </w:pPr>
                  <w:r>
                    <w:rPr>
                      <w:sz w:val="21"/>
                    </w:rPr>
                    <w:t>2、支持流行Windows高危漏洞的轻补丁免疫防御，支持Windows补丁批量一键修复。</w:t>
                  </w:r>
                </w:p>
                <w:p>
                  <w:pPr>
                    <w:pStyle w:val="null3"/>
                    <w:jc w:val="both"/>
                  </w:pPr>
                  <w:r>
                    <w:rPr>
                      <w:sz w:val="21"/>
                    </w:rPr>
                    <w:t>3、支持自定义拦截终端软件弹窗，可在终端设置自动拦截骚扰弹窗开关。。</w:t>
                  </w:r>
                </w:p>
                <w:p>
                  <w:pPr>
                    <w:pStyle w:val="null3"/>
                    <w:jc w:val="both"/>
                  </w:pPr>
                  <w:r>
                    <w:rPr>
                      <w:sz w:val="21"/>
                    </w:rPr>
                    <w:t>4、支持终端用户一键式垃圾清理功能，通过一键式垃圾清理来缓解终端因为堆积太多缓存导致卡顿的情况。</w:t>
                  </w:r>
                </w:p>
                <w:p>
                  <w:pPr>
                    <w:pStyle w:val="null3"/>
                    <w:jc w:val="both"/>
                  </w:pPr>
                  <w:r>
                    <w:rPr>
                      <w:sz w:val="21"/>
                    </w:rPr>
                    <w:t>5、支持应用管控功能，内置常用的系统应用，包括IM、下载工具、代理工具、办公软件等，并且支持新增自定义应用，辅助客户限制恶意软件、盗版软件的使用，加强正版软件配置规范建设，事前可拦截终端进程运行，事中可结束终端应用的运行，事后可审计进程管控日志。</w:t>
                  </w:r>
                </w:p>
                <w:p>
                  <w:pPr>
                    <w:pStyle w:val="null3"/>
                    <w:jc w:val="both"/>
                  </w:pPr>
                  <w:r>
                    <w:rPr>
                      <w:sz w:val="21"/>
                    </w:rPr>
                    <w:t>6、支持对Windows停更的系统提供专项防护，包括0day漏洞防护、文件防护、暴破入侵防护、系统脆弱点识别和风险端口封堵等多项核心功能。</w:t>
                  </w:r>
                </w:p>
                <w:p>
                  <w:pPr>
                    <w:pStyle w:val="null3"/>
                    <w:jc w:val="both"/>
                  </w:pPr>
                  <w:r>
                    <w:rPr>
                      <w:sz w:val="21"/>
                    </w:rPr>
                    <w:t>7、支持与同厂商的防火墙进行安全联动，管理员可以在防火墙管理界面下发快速查杀任务，并查看任务状态、结果并进行处置，支持在管理平台查询和统计联动信息。</w:t>
                  </w:r>
                </w:p>
                <w:p>
                  <w:pPr>
                    <w:pStyle w:val="null3"/>
                    <w:jc w:val="both"/>
                  </w:pPr>
                  <w:r>
                    <w:rPr>
                      <w:sz w:val="21"/>
                    </w:rPr>
                    <w:t>8、▲提供勒索病毒整体防护体系入口，直观展示最近七天勒索病毒防护效果，包括已处置的勒索病毒数量、已阻止的勒索病毒行为次数、已阻止的未知进程操作次数、已阻止的暴力破解攻击次数。</w:t>
                  </w:r>
                  <w:r>
                    <w:rPr>
                      <w:sz w:val="21"/>
                      <w:b/>
                    </w:rPr>
                    <w:t>（需提供产品功能截图证明加盖供应商公章）</w:t>
                  </w:r>
                </w:p>
                <w:p>
                  <w:pPr>
                    <w:pStyle w:val="null3"/>
                    <w:jc w:val="both"/>
                  </w:pPr>
                  <w:r>
                    <w:rPr>
                      <w:sz w:val="21"/>
                    </w:rPr>
                    <w:t>9、支持跳转链接至云端威胁情报中心，针对已发生的威胁提供详细的分析结果，包含威胁分析、网络行为、静态分析、分析环境和影响分析。</w:t>
                  </w:r>
                  <w:r>
                    <w:rPr>
                      <w:sz w:val="21"/>
                      <w:b/>
                    </w:rPr>
                    <w:t>（需提供产品功能截图证明加盖供应商公章）</w:t>
                  </w:r>
                </w:p>
                <w:p>
                  <w:pPr>
                    <w:pStyle w:val="null3"/>
                    <w:jc w:val="both"/>
                  </w:pPr>
                  <w:r>
                    <w:rPr>
                      <w:sz w:val="21"/>
                    </w:rPr>
                    <w:t>10、支持对系统账号信息进行梳理，了解账号权限分布概况以及风险账号分布情况，可按照隐藏账号、弱密码账号、可疑root权限账号、长期未使用账号、夜间登录、多IP登录进行账号分类查看，支持统计最近一年未修改密码的账户。</w:t>
                  </w:r>
                </w:p>
                <w:p>
                  <w:pPr>
                    <w:pStyle w:val="null3"/>
                    <w:jc w:val="both"/>
                  </w:pPr>
                  <w:r>
                    <w:rPr>
                      <w:sz w:val="21"/>
                    </w:rPr>
                    <w:t>11、支持配置不同的权限角色，支持超级管理员、普通管理员（管理）、审计管理员（查看）三种权限，并配置可管辖的终端范围，支持管理员账号限制IP登录；支持管理员账号采用双因素认证。</w:t>
                  </w:r>
                </w:p>
                <w:p>
                  <w:pPr>
                    <w:pStyle w:val="null3"/>
                    <w:jc w:val="both"/>
                  </w:pPr>
                  <w:r>
                    <w:rPr>
                      <w:sz w:val="21"/>
                    </w:rPr>
                    <w:t>12、可通过多维度引擎进行漏斗式检测，保障查杀效果在低误报率的情况下保持高检出率。</w:t>
                  </w:r>
                </w:p>
                <w:p>
                  <w:pPr>
                    <w:pStyle w:val="null3"/>
                    <w:jc w:val="both"/>
                  </w:pPr>
                  <w:r>
                    <w:rPr>
                      <w:sz w:val="21"/>
                    </w:rPr>
                    <w:t>13、基于勒索病毒攻击过程，建立多维度立体防护机制，提供事前入侵防御-事中反加密-事后检测响应的完整防护体系，展示勒索病毒处置情况，对勒索病毒及变种实现专门有效防御。</w:t>
                  </w:r>
                </w:p>
                <w:p>
                  <w:pPr>
                    <w:pStyle w:val="null3"/>
                    <w:jc w:val="both"/>
                  </w:pPr>
                  <w:r>
                    <w:rPr>
                      <w:sz w:val="21"/>
                    </w:rPr>
                    <w:t>14、▲支持用户直接对勒索病毒的家族名、病毒名、加密文件后缀名执行链接查询，可通过直接上传加密文件的方式确定勒索病毒类型，如果能解密可以提供必要的解密工具。</w:t>
                  </w:r>
                  <w:r>
                    <w:rPr>
                      <w:sz w:val="21"/>
                      <w:b/>
                    </w:rPr>
                    <w:t>（需提供产品功能截图证明加盖供应商公章）</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r>
            <w:tr>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w:t>
                  </w:r>
                </w:p>
              </w:tc>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安全管理平台</w:t>
                  </w:r>
                </w:p>
              </w:tc>
              <w:tc>
                <w:tcPr>
                  <w:tcW w:type="dxa" w:w="27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1、硬件参数：规格≥2U，CPU≥2颗Silver 4214R 2.40 GHz（12C），内存≥4*32GB DDR4 2933，系统盘≥1*240GB SATA SSD，缓存盘≥1*480GB，数据盘≥2*4TB，标配盘位数≥8，电源：白金，冗余电源，接口≥6千兆电口+2万兆光口。</w:t>
                  </w:r>
                </w:p>
                <w:p>
                  <w:pPr>
                    <w:pStyle w:val="null3"/>
                    <w:jc w:val="both"/>
                  </w:pPr>
                  <w:r>
                    <w:rPr>
                      <w:sz w:val="21"/>
                    </w:rPr>
                    <w:t>2、支持网桥、路由、旁路模式部署。</w:t>
                  </w:r>
                </w:p>
                <w:p>
                  <w:pPr>
                    <w:pStyle w:val="null3"/>
                    <w:jc w:val="both"/>
                  </w:pPr>
                  <w:r>
                    <w:rPr>
                      <w:sz w:val="21"/>
                    </w:rPr>
                    <w:t>3、平台可根据实际业务环境定义业务安全区域，简化运维管理；</w:t>
                  </w:r>
                </w:p>
                <w:p>
                  <w:pPr>
                    <w:pStyle w:val="null3"/>
                    <w:jc w:val="both"/>
                  </w:pPr>
                  <w:r>
                    <w:rPr>
                      <w:sz w:val="21"/>
                    </w:rPr>
                    <w:t>4、在管理平台上可以通过拖拽虚拟设备图标和连线就能完成网络拓扑的构建，快速的实现整个业务逻辑的编排，并且可以连接、开启、关闭虚拟网络设备。</w:t>
                  </w:r>
                  <w:r>
                    <w:rPr>
                      <w:sz w:val="21"/>
                      <w:b/>
                    </w:rPr>
                    <w:t>（需提供产品功能截图证明加盖供应商公章）</w:t>
                  </w:r>
                </w:p>
                <w:p>
                  <w:pPr>
                    <w:pStyle w:val="null3"/>
                    <w:jc w:val="both"/>
                  </w:pPr>
                  <w:r>
                    <w:rPr>
                      <w:sz w:val="21"/>
                    </w:rPr>
                    <w:t>5、平台首页可以展示详细主机状态、磁盘状态及应用状态，以及业务和用户遭受的安全风险、待处理的系统事件等相关安全信息。</w:t>
                  </w:r>
                </w:p>
                <w:p>
                  <w:pPr>
                    <w:pStyle w:val="null3"/>
                    <w:jc w:val="both"/>
                  </w:pPr>
                  <w:r>
                    <w:rPr>
                      <w:sz w:val="21"/>
                    </w:rPr>
                    <w:t>6、平台支持模板化的组件部署模式，至少支持出口边界安全模板、等保合规安全模板。</w:t>
                  </w:r>
                </w:p>
                <w:p>
                  <w:pPr>
                    <w:pStyle w:val="null3"/>
                    <w:jc w:val="both"/>
                  </w:pPr>
                  <w:r>
                    <w:rPr>
                      <w:sz w:val="21"/>
                    </w:rPr>
                    <w:t>7、为了提供更好的排障手段，支持在平台内节点抓包分析分析功能，能够设置抓包的网口、过滤条件、文件大小等参数。</w:t>
                  </w:r>
                </w:p>
                <w:p>
                  <w:pPr>
                    <w:pStyle w:val="null3"/>
                    <w:jc w:val="both"/>
                  </w:pPr>
                  <w:r>
                    <w:rPr>
                      <w:sz w:val="21"/>
                    </w:rPr>
                    <w:t>8、支持基于一体化平台的安全运营中心功能，至少能够提供业务、用户视角的安全风险展示。</w:t>
                  </w:r>
                </w:p>
                <w:p>
                  <w:pPr>
                    <w:pStyle w:val="null3"/>
                    <w:jc w:val="both"/>
                  </w:pPr>
                  <w:r>
                    <w:rPr>
                      <w:sz w:val="21"/>
                    </w:rPr>
                    <w:t>9、支持双因素认证功能，用户需在登录时进行双重认证，以此提高用户的安全性。</w:t>
                  </w:r>
                </w:p>
                <w:p>
                  <w:pPr>
                    <w:pStyle w:val="null3"/>
                    <w:jc w:val="both"/>
                  </w:pPr>
                  <w:r>
                    <w:rPr>
                      <w:sz w:val="21"/>
                    </w:rPr>
                    <w:t>10、支持禁用默认超级管理员账号，防止特权账号被滥用。</w:t>
                  </w:r>
                </w:p>
                <w:p>
                  <w:pPr>
                    <w:pStyle w:val="null3"/>
                    <w:jc w:val="both"/>
                  </w:pPr>
                  <w:r>
                    <w:rPr>
                      <w:sz w:val="21"/>
                    </w:rPr>
                    <w:t>11、支持针对安全组件账号的三权分立管理，实现平台管理员账号与安全组件账号权限的对应，防止平台管理员对安全组件进行越权操作。</w:t>
                  </w:r>
                </w:p>
                <w:p>
                  <w:pPr>
                    <w:pStyle w:val="null3"/>
                    <w:jc w:val="both"/>
                  </w:pPr>
                  <w:r>
                    <w:rPr>
                      <w:sz w:val="21"/>
                    </w:rPr>
                    <w:t>12、支持基于一体化平台的安全管理中心功能，能够对设备进行统一纳管，包括规则库与补丁包的统一升级、策略的统一配置、客户端补丁包统一升级等。</w:t>
                  </w:r>
                </w:p>
                <w:p>
                  <w:pPr>
                    <w:pStyle w:val="null3"/>
                    <w:jc w:val="both"/>
                  </w:pPr>
                  <w:r>
                    <w:rPr>
                      <w:sz w:val="21"/>
                    </w:rPr>
                    <w:t>13、支持等保2.0安全管理中心要求自评功能，能够进行完整度评估，支持安全管理中心交付模板，帮助用户快速交付安全管理中心各项功能。</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r>
            <w:tr>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备份一体机</w:t>
                  </w:r>
                </w:p>
              </w:tc>
              <w:tc>
                <w:tcPr>
                  <w:tcW w:type="dxa" w:w="27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1、硬件参数：规格≥2U，内存≥4*32GB DDR4 3200，系统盘≥2*240GB SATA SSD，数据盘≥6*4T HDD，标配盘位数≥12，电源：白金，冗余电源，接口≥2千兆电口+2万兆光口。</w:t>
                  </w:r>
                </w:p>
                <w:p>
                  <w:pPr>
                    <w:pStyle w:val="null3"/>
                    <w:jc w:val="both"/>
                  </w:pPr>
                  <w:r>
                    <w:rPr>
                      <w:sz w:val="21"/>
                    </w:rPr>
                    <w:t>2、配置≥10 TB软件可用容量授权。</w:t>
                  </w:r>
                </w:p>
                <w:p>
                  <w:pPr>
                    <w:pStyle w:val="null3"/>
                    <w:jc w:val="both"/>
                  </w:pPr>
                  <w:r>
                    <w:rPr>
                      <w:sz w:val="21"/>
                    </w:rPr>
                    <w:t>3、提供基于磁盘数据块复制技术的整机备份，无需了解主机业务系统类型、部署方法、业务系统间的数据交互机制、数据结构/逻辑关系和数据库的品牌/版本。</w:t>
                  </w:r>
                </w:p>
                <w:p>
                  <w:pPr>
                    <w:pStyle w:val="null3"/>
                    <w:jc w:val="both"/>
                  </w:pPr>
                  <w:r>
                    <w:rPr>
                      <w:sz w:val="21"/>
                    </w:rPr>
                    <w:t>4、对X86架构下的物理机、虚拟机、超融合、私有云和公有云提供统一的将主机的操作系统、应用系统、数据库和数据/文件作为一个整体的一致性备份保护。</w:t>
                  </w:r>
                </w:p>
                <w:p>
                  <w:pPr>
                    <w:pStyle w:val="null3"/>
                    <w:jc w:val="both"/>
                  </w:pPr>
                  <w:r>
                    <w:rPr>
                      <w:sz w:val="21"/>
                    </w:rPr>
                    <w:t>5、支持对X86下的物理主机、虚拟化主机、超融合主机、云主机提供CDP持续数据保护，实时备份磁盘任意时刻的状态，备份时间粒度最小可达秒级实现RPO趋近于0。</w:t>
                  </w:r>
                  <w:r>
                    <w:rPr>
                      <w:sz w:val="21"/>
                      <w:b/>
                    </w:rPr>
                    <w:t>（需提供产品功能截图证明加盖供应商公章）</w:t>
                  </w:r>
                </w:p>
                <w:p>
                  <w:pPr>
                    <w:pStyle w:val="null3"/>
                    <w:jc w:val="both"/>
                  </w:pPr>
                  <w:r>
                    <w:rPr>
                      <w:sz w:val="21"/>
                    </w:rPr>
                    <w:t>6、支持任意的小时/天/月/年/仅备份一次等策略执行定时备份，操作简单，策略灵活；</w:t>
                  </w:r>
                </w:p>
                <w:p>
                  <w:pPr>
                    <w:pStyle w:val="null3"/>
                    <w:jc w:val="both"/>
                  </w:pPr>
                  <w:r>
                    <w:rPr>
                      <w:sz w:val="21"/>
                    </w:rPr>
                    <w:t>7、支持基于Vmware虚拟化平台主机定时备份保护功能，无需在虚拟机中安装任何客户端代理;</w:t>
                  </w:r>
                </w:p>
                <w:p>
                  <w:pPr>
                    <w:pStyle w:val="null3"/>
                    <w:jc w:val="both"/>
                  </w:pPr>
                  <w:r>
                    <w:rPr>
                      <w:sz w:val="21"/>
                    </w:rPr>
                    <w:t>8、▲可自建隔离私有虚拟化验证环境，（结合客户的实际应用系统和数据库名称、数据量和部署方式，修改为特定的参数）无论备份任务是否停止，可同时选一个备份任务的多个备份点执行虚拟化验证备份数据的一致性和可靠性，在灾难发生时采用二分法快速定位出最佳数据恢复的备份历史点。</w:t>
                  </w:r>
                  <w:r>
                    <w:rPr>
                      <w:sz w:val="21"/>
                      <w:b/>
                    </w:rPr>
                    <w:t>（需提供产品功能截图证明加盖供应商公章）</w:t>
                  </w:r>
                </w:p>
                <w:p>
                  <w:pPr>
                    <w:pStyle w:val="null3"/>
                    <w:jc w:val="both"/>
                  </w:pPr>
                  <w:r>
                    <w:rPr>
                      <w:sz w:val="21"/>
                    </w:rPr>
                    <w:t>9、支持应急演练，演练时，演练目标机无需预置任何演练环境（目标机无操作系统、目标机和原机操作系统不一致、目标机无应用系统、目标机无数据库等）可即时开展对指定业务模拟故障后的演练重建功能。</w:t>
                  </w:r>
                </w:p>
                <w:p>
                  <w:pPr>
                    <w:pStyle w:val="null3"/>
                    <w:jc w:val="both"/>
                  </w:pPr>
                  <w:r>
                    <w:rPr>
                      <w:sz w:val="21"/>
                    </w:rPr>
                    <w:t>10、用户日常运维过程中丢失单个文件/文件夹，备份系统支持将任意时间的备份点加载为网络共享路径或在WEB浏览器中直接URL访问的方式，管理员可轻松找到该文件并复制出来。</w:t>
                  </w:r>
                </w:p>
                <w:p>
                  <w:pPr>
                    <w:pStyle w:val="null3"/>
                    <w:jc w:val="both"/>
                  </w:pPr>
                  <w:r>
                    <w:rPr>
                      <w:sz w:val="21"/>
                    </w:rPr>
                    <w:t>11、▲支持整机全场景恢复，无需部署配置操作系统、应用和数据库等系统环境，实现全场景带业务逻辑的整机灾难重建，无需人工手动安装驱动、更改注册表信息、应用配置信息等，极大降低灾难重建恢复难度和效率。</w:t>
                  </w:r>
                  <w:r>
                    <w:rPr>
                      <w:sz w:val="21"/>
                      <w:b/>
                    </w:rPr>
                    <w:t>（需提供产品功能截图证明加盖供应商公章）</w:t>
                  </w:r>
                </w:p>
                <w:p>
                  <w:pPr>
                    <w:pStyle w:val="null3"/>
                    <w:jc w:val="both"/>
                  </w:pPr>
                  <w:r>
                    <w:rPr>
                      <w:sz w:val="21"/>
                    </w:rPr>
                    <w:t>12、支持对备份系统的用户的分级管理，如：系统管理员、普通用户等不同的角色，并且可以纪录所有的用户的操作情况。</w:t>
                  </w:r>
                </w:p>
                <w:p>
                  <w:pPr>
                    <w:pStyle w:val="null3"/>
                    <w:jc w:val="both"/>
                  </w:pPr>
                  <w:r>
                    <w:rPr>
                      <w:sz w:val="21"/>
                    </w:rPr>
                    <w:t>13、支持以邮件、企业微信告警的方式，针对于备份存储系统的软件故障、存储空间、备份任务、操作状态等信息及时通知管理员。</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r>
            <w:tr>
              <w:tc>
                <w:tcPr>
                  <w:tcW w:type="dxa" w:w="4221"/>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二、安全服务和测评</w:t>
                  </w:r>
                </w:p>
              </w:tc>
            </w:tr>
            <w:tr>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55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等保整改服务</w:t>
                  </w:r>
                </w:p>
              </w:tc>
              <w:tc>
                <w:tcPr>
                  <w:tcW w:type="dxa" w:w="276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1、风险问题整改加固服务：对服务器操作系统、数据库、中间件的安全问题进行风险整改服务，并协助业务系统开发厂家进行业务系统层面安全整改加固咨询服务支撑，使系统满足等级保护要求。</w:t>
                  </w:r>
                </w:p>
                <w:p>
                  <w:pPr>
                    <w:pStyle w:val="null3"/>
                    <w:jc w:val="left"/>
                  </w:pPr>
                  <w:r>
                    <w:rPr>
                      <w:sz w:val="21"/>
                    </w:rPr>
                    <w:t>2、建立符合等级保护2.0标准要求的安全管理制度体系建设服务。</w:t>
                  </w:r>
                </w:p>
              </w:tc>
              <w:tc>
                <w:tcPr>
                  <w:tcW w:type="dxa" w:w="32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2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次</w:t>
                  </w:r>
                </w:p>
              </w:tc>
            </w:tr>
            <w:tr>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安全培训</w:t>
                  </w:r>
                </w:p>
              </w:tc>
              <w:tc>
                <w:tcPr>
                  <w:tcW w:type="dxa" w:w="27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网络安全意识、安全技术培训，包括网络安全等级保护、网络安全法、国内外网络安全形势等内容</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次</w:t>
                  </w:r>
                </w:p>
              </w:tc>
            </w:tr>
            <w:tr>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等保测评</w:t>
                  </w:r>
                </w:p>
              </w:tc>
              <w:tc>
                <w:tcPr>
                  <w:tcW w:type="dxa" w:w="27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三级等保测评</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次</w:t>
                  </w:r>
                </w:p>
              </w:tc>
            </w:tr>
            <w:tr>
              <w:tc>
                <w:tcPr>
                  <w:tcW w:type="dxa" w:w="4221"/>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三、机房消防系统</w:t>
                  </w:r>
                </w:p>
              </w:tc>
            </w:tr>
            <w:tr>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55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柜式灭火装置</w:t>
                  </w:r>
                </w:p>
              </w:tc>
              <w:tc>
                <w:tcPr>
                  <w:tcW w:type="dxa" w:w="276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1、灭火形式：全淹没式</w:t>
                  </w:r>
                </w:p>
                <w:p>
                  <w:pPr>
                    <w:pStyle w:val="null3"/>
                    <w:jc w:val="left"/>
                  </w:pPr>
                  <w:r>
                    <w:rPr>
                      <w:sz w:val="21"/>
                    </w:rPr>
                    <w:t>2、充装密度：≤1120kg/L</w:t>
                  </w:r>
                </w:p>
                <w:p>
                  <w:pPr>
                    <w:pStyle w:val="null3"/>
                    <w:jc w:val="left"/>
                  </w:pPr>
                  <w:r>
                    <w:rPr>
                      <w:sz w:val="21"/>
                    </w:rPr>
                    <w:t>3、充装压力（20℃）：2.5MPa</w:t>
                  </w:r>
                </w:p>
                <w:p>
                  <w:pPr>
                    <w:pStyle w:val="null3"/>
                    <w:jc w:val="left"/>
                  </w:pPr>
                  <w:r>
                    <w:rPr>
                      <w:sz w:val="21"/>
                    </w:rPr>
                    <w:t>4、使用电源：DC24V</w:t>
                  </w:r>
                </w:p>
                <w:p>
                  <w:pPr>
                    <w:pStyle w:val="null3"/>
                    <w:jc w:val="left"/>
                  </w:pPr>
                  <w:r>
                    <w:rPr>
                      <w:sz w:val="21"/>
                    </w:rPr>
                    <w:t>5、启动方式：电启动（DC18～DC24V）</w:t>
                  </w:r>
                </w:p>
                <w:p>
                  <w:pPr>
                    <w:pStyle w:val="null3"/>
                    <w:jc w:val="left"/>
                  </w:pPr>
                  <w:r>
                    <w:rPr>
                      <w:sz w:val="21"/>
                    </w:rPr>
                    <w:t>6、应急机械手动启动：机械操作力≤150N</w:t>
                  </w:r>
                </w:p>
                <w:p>
                  <w:pPr>
                    <w:pStyle w:val="null3"/>
                    <w:jc w:val="left"/>
                  </w:pPr>
                  <w:r>
                    <w:rPr>
                      <w:sz w:val="21"/>
                    </w:rPr>
                    <w:t xml:space="preserve">7、灭火剂喷放时间：≤10s     </w:t>
                  </w:r>
                </w:p>
                <w:p>
                  <w:pPr>
                    <w:pStyle w:val="null3"/>
                    <w:jc w:val="left"/>
                  </w:pPr>
                  <w:r>
                    <w:rPr>
                      <w:sz w:val="21"/>
                    </w:rPr>
                    <w:t>8、GQQ40/2.5-QIYU。</w:t>
                  </w:r>
                </w:p>
                <w:p>
                  <w:pPr>
                    <w:pStyle w:val="null3"/>
                    <w:jc w:val="left"/>
                  </w:pPr>
                  <w:r>
                    <w:rPr>
                      <w:sz w:val="21"/>
                    </w:rPr>
                    <w:t>9、外形尺寸长宽高，450*400*1300，钢瓶内径：300、高度：760、重量35公斤、壁厚5.2mm</w:t>
                  </w:r>
                </w:p>
              </w:tc>
              <w:tc>
                <w:tcPr>
                  <w:tcW w:type="dxa" w:w="32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2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r>
            <w:tr>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七氟丙烷灭火剂</w:t>
                  </w:r>
                </w:p>
              </w:tc>
              <w:tc>
                <w:tcPr>
                  <w:tcW w:type="dxa" w:w="27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主体材质：冷轧钢板制成；规格：</w:t>
                  </w:r>
                  <w:r>
                    <w:rPr>
                      <w:sz w:val="21"/>
                    </w:rPr>
                    <w:t>300*300；防护要求：平时呈关闭状态，当气体喷放时产生的压力超过承受压力将超压部分泄放；执行标准：动作压力1000Pa±50 Pa、关闭压力850Pa±50 Pa</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kg</w:t>
                  </w:r>
                </w:p>
              </w:tc>
            </w:tr>
            <w:tr>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0.07泄压口</w:t>
                  </w:r>
                </w:p>
              </w:tc>
              <w:tc>
                <w:tcPr>
                  <w:tcW w:type="dxa" w:w="27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七氟丙烷（</w:t>
                  </w:r>
                  <w:r>
                    <w:rPr>
                      <w:sz w:val="21"/>
                    </w:rPr>
                    <w:t>HFC-227ea/FM200）是一种以化学灭火为主兼有物理灭火作用的洁净气体化学灭火剂，属于多氟代烷烃，分子式为C3HF7；它无色、无味、低毒、不导电、不污染被保护对象，不会对财物和精密设施造成损坏。</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r>
            <w:tr>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灭火控制器（一区）</w:t>
                  </w:r>
                </w:p>
              </w:tc>
              <w:tc>
                <w:tcPr>
                  <w:tcW w:type="dxa" w:w="27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供电电源</w:t>
                  </w:r>
                </w:p>
                <w:p>
                  <w:pPr>
                    <w:pStyle w:val="null3"/>
                    <w:jc w:val="left"/>
                  </w:pPr>
                  <w:r>
                    <w:rPr>
                      <w:sz w:val="21"/>
                    </w:rPr>
                    <w:t>主电：</w:t>
                  </w:r>
                  <w:r>
                    <w:rPr>
                      <w:sz w:val="21"/>
                    </w:rPr>
                    <w:t>AC 220V±20%/50Hz或DC24V；</w:t>
                  </w:r>
                </w:p>
                <w:p>
                  <w:pPr>
                    <w:pStyle w:val="null3"/>
                    <w:jc w:val="left"/>
                  </w:pPr>
                  <w:r>
                    <w:rPr>
                      <w:sz w:val="21"/>
                    </w:rPr>
                    <w:t>备电：</w:t>
                  </w:r>
                  <w:r>
                    <w:rPr>
                      <w:sz w:val="21"/>
                    </w:rPr>
                    <w:t>DC24V 免维护蓄电池</w:t>
                  </w:r>
                </w:p>
                <w:p>
                  <w:pPr>
                    <w:pStyle w:val="null3"/>
                    <w:jc w:val="left"/>
                  </w:pPr>
                  <w:r>
                    <w:rPr>
                      <w:sz w:val="21"/>
                    </w:rPr>
                    <w:t>系统工作环境</w:t>
                  </w:r>
                </w:p>
                <w:p>
                  <w:pPr>
                    <w:pStyle w:val="null3"/>
                    <w:jc w:val="left"/>
                  </w:pPr>
                  <w:r>
                    <w:rPr>
                      <w:sz w:val="21"/>
                    </w:rPr>
                    <w:t>环境温度：工作</w:t>
                  </w:r>
                  <w:r>
                    <w:rPr>
                      <w:sz w:val="21"/>
                    </w:rPr>
                    <w:t xml:space="preserve"> -10℃～+55℃</w:t>
                  </w:r>
                </w:p>
                <w:p>
                  <w:pPr>
                    <w:pStyle w:val="null3"/>
                    <w:jc w:val="left"/>
                  </w:pPr>
                  <w:r>
                    <w:rPr>
                      <w:sz w:val="21"/>
                    </w:rPr>
                    <w:t>环境湿度：</w:t>
                  </w:r>
                  <w:r>
                    <w:rPr>
                      <w:sz w:val="21"/>
                    </w:rPr>
                    <w:t>≤95%（40℃±2℃，无凝露）</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r>
            <w:tr>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放气指示灯</w:t>
                  </w:r>
                </w:p>
              </w:tc>
              <w:tc>
                <w:tcPr>
                  <w:tcW w:type="dxa" w:w="27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1、执行标准:GB26851-2011</w:t>
                  </w:r>
                </w:p>
                <w:p>
                  <w:pPr>
                    <w:pStyle w:val="null3"/>
                    <w:jc w:val="left"/>
                  </w:pPr>
                  <w:r>
                    <w:rPr>
                      <w:sz w:val="21"/>
                    </w:rPr>
                    <w:t>2、工作电压:总线24V(脉冲调制)+DC24V</w:t>
                  </w:r>
                </w:p>
                <w:p>
                  <w:pPr>
                    <w:pStyle w:val="null3"/>
                    <w:jc w:val="left"/>
                  </w:pPr>
                  <w:r>
                    <w:rPr>
                      <w:sz w:val="21"/>
                    </w:rPr>
                    <w:t>3、工作电流:静右时:总线消耗电流≤500wA:报警时:总线消耗电流≤4mA，DC24V消耗电流≤150mA</w:t>
                  </w:r>
                </w:p>
                <w:p>
                  <w:pPr>
                    <w:pStyle w:val="null3"/>
                    <w:jc w:val="left"/>
                  </w:pPr>
                  <w:r>
                    <w:rPr>
                      <w:sz w:val="21"/>
                    </w:rPr>
                    <w:t>4、使用环境:温度:0℃~+55℃(±3℃)相对湿度:≤95%(40℃±2℃无凝露)</w:t>
                  </w:r>
                </w:p>
                <w:p>
                  <w:pPr>
                    <w:pStyle w:val="null3"/>
                    <w:jc w:val="left"/>
                  </w:pPr>
                  <w:r>
                    <w:rPr>
                      <w:sz w:val="21"/>
                    </w:rPr>
                    <w:t>5、闪光频率:1Hz一2Hz发光字体表面亮度:50cd/m~300cd/m点亮与非点亮时间比:≥3:2</w:t>
                  </w:r>
                </w:p>
                <w:p>
                  <w:pPr>
                    <w:pStyle w:val="null3"/>
                    <w:jc w:val="left"/>
                  </w:pPr>
                  <w:r>
                    <w:rPr>
                      <w:sz w:val="21"/>
                    </w:rPr>
                    <w:t>6、声压级:75dB-120dB:变调周期:0.2S~5S</w:t>
                  </w:r>
                </w:p>
                <w:p>
                  <w:pPr>
                    <w:pStyle w:val="null3"/>
                    <w:jc w:val="left"/>
                  </w:pPr>
                  <w:r>
                    <w:rPr>
                      <w:sz w:val="21"/>
                    </w:rPr>
                    <w:t>7、外型尺寸:330*150x35(mm)</w:t>
                  </w:r>
                </w:p>
                <w:p>
                  <w:pPr>
                    <w:pStyle w:val="null3"/>
                    <w:jc w:val="left"/>
                  </w:pPr>
                  <w:r>
                    <w:rPr>
                      <w:sz w:val="21"/>
                    </w:rPr>
                    <w:t>8、重量:约435g</w:t>
                  </w:r>
                </w:p>
                <w:p>
                  <w:pPr>
                    <w:pStyle w:val="null3"/>
                    <w:jc w:val="left"/>
                  </w:pPr>
                  <w:r>
                    <w:rPr>
                      <w:sz w:val="21"/>
                    </w:rPr>
                    <w:t>9、使用场所:室内(非住宅)</w:t>
                  </w:r>
                </w:p>
                <w:p>
                  <w:pPr>
                    <w:pStyle w:val="null3"/>
                    <w:jc w:val="left"/>
                  </w:pPr>
                  <w:r>
                    <w:rPr>
                      <w:sz w:val="21"/>
                    </w:rPr>
                    <w:t>10、编码方式:电子编码</w:t>
                  </w:r>
                </w:p>
                <w:p>
                  <w:pPr>
                    <w:pStyle w:val="null3"/>
                    <w:jc w:val="left"/>
                  </w:pPr>
                  <w:r>
                    <w:rPr>
                      <w:sz w:val="21"/>
                    </w:rPr>
                    <w:t>11、线制:四线制,无极性信号二总线(LI、L2) +DC24V电源线(接线时不分极性)</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r>
            <w:tr>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气体启停按钮</w:t>
                  </w:r>
                </w:p>
              </w:tc>
              <w:tc>
                <w:tcPr>
                  <w:tcW w:type="dxa" w:w="27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1、工作电压:24V(脉冲调制)</w:t>
                  </w:r>
                </w:p>
                <w:p>
                  <w:pPr>
                    <w:pStyle w:val="null3"/>
                    <w:jc w:val="left"/>
                  </w:pPr>
                  <w:r>
                    <w:rPr>
                      <w:sz w:val="21"/>
                    </w:rPr>
                    <w:t>2、工作电流:监视状态≤600uA，动作状态≤2m</w:t>
                  </w:r>
                </w:p>
                <w:p>
                  <w:pPr>
                    <w:pStyle w:val="null3"/>
                    <w:jc w:val="left"/>
                  </w:pPr>
                  <w:r>
                    <w:rPr>
                      <w:sz w:val="21"/>
                    </w:rPr>
                    <w:t>3、接线方式:无极性两总线(LI、L2)</w:t>
                  </w:r>
                </w:p>
                <w:p>
                  <w:pPr>
                    <w:pStyle w:val="null3"/>
                    <w:jc w:val="left"/>
                  </w:pPr>
                  <w:r>
                    <w:rPr>
                      <w:sz w:val="21"/>
                    </w:rPr>
                    <w:t>4、编码方式:电子编码:地址范围1~324任选</w:t>
                  </w:r>
                </w:p>
                <w:p>
                  <w:pPr>
                    <w:pStyle w:val="null3"/>
                    <w:jc w:val="left"/>
                  </w:pPr>
                  <w:r>
                    <w:rPr>
                      <w:sz w:val="21"/>
                    </w:rPr>
                    <w:t>5、启动方式:人工按下绿色启动按钮(长按1s)</w:t>
                  </w:r>
                </w:p>
                <w:p>
                  <w:pPr>
                    <w:pStyle w:val="null3"/>
                    <w:jc w:val="left"/>
                  </w:pPr>
                  <w:r>
                    <w:rPr>
                      <w:sz w:val="21"/>
                    </w:rPr>
                    <w:t>6、指示灯:红色启动指示灯，正常状态下不亮，按下后闪亮，收到控制器确认命令后常亮红色停止指示灯，正常状态下不亮，按下后闪亮，收到控制器确认命令后常亮绿色巡检指示灯，正常巡检时，绿色指示灯闪亮黄色故障指示灯，按钮故障发生时，黄色指示灯常亮</w:t>
                  </w:r>
                </w:p>
                <w:p>
                  <w:pPr>
                    <w:pStyle w:val="null3"/>
                    <w:jc w:val="left"/>
                  </w:pPr>
                  <w:r>
                    <w:rPr>
                      <w:sz w:val="21"/>
                    </w:rPr>
                    <w:t>7、使用环境:温度-10℃-+55℃，相对湿度≤95%40℃±2℃，无凝露)</w:t>
                  </w:r>
                </w:p>
                <w:p>
                  <w:pPr>
                    <w:pStyle w:val="null3"/>
                    <w:jc w:val="left"/>
                  </w:pPr>
                  <w:r>
                    <w:rPr>
                      <w:sz w:val="21"/>
                    </w:rPr>
                    <w:t>8、配接主机:气体灭火控制器</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r>
            <w:tr>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警示牌</w:t>
                  </w:r>
                </w:p>
              </w:tc>
              <w:tc>
                <w:tcPr>
                  <w:tcW w:type="dxa" w:w="27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根据现场定制</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r>
            <w:tr>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声光报警器</w:t>
                  </w:r>
                </w:p>
              </w:tc>
              <w:tc>
                <w:tcPr>
                  <w:tcW w:type="dxa" w:w="27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1、执行标准:GB 26851-2011</w:t>
                  </w:r>
                </w:p>
                <w:p>
                  <w:pPr>
                    <w:pStyle w:val="null3"/>
                    <w:jc w:val="left"/>
                  </w:pPr>
                  <w:r>
                    <w:rPr>
                      <w:sz w:val="21"/>
                    </w:rPr>
                    <w:t>2、工作电压24V(脉冲调制)</w:t>
                  </w:r>
                </w:p>
                <w:p>
                  <w:pPr>
                    <w:pStyle w:val="null3"/>
                    <w:jc w:val="left"/>
                  </w:pPr>
                  <w:r>
                    <w:rPr>
                      <w:sz w:val="21"/>
                    </w:rPr>
                    <w:t>3、工作电流:静态电流≤1mA(总线消耗电流)，报警电流≤60mA@DC24V</w:t>
                  </w:r>
                </w:p>
                <w:p>
                  <w:pPr>
                    <w:pStyle w:val="null3"/>
                    <w:jc w:val="left"/>
                  </w:pPr>
                  <w:r>
                    <w:rPr>
                      <w:sz w:val="21"/>
                    </w:rPr>
                    <w:t>4、使用环境:温度:0℃~+55℃,相对湿度:≤95%(40℃无凝露)</w:t>
                  </w:r>
                </w:p>
                <w:p>
                  <w:pPr>
                    <w:pStyle w:val="null3"/>
                    <w:jc w:val="left"/>
                  </w:pPr>
                  <w:r>
                    <w:rPr>
                      <w:sz w:val="21"/>
                    </w:rPr>
                    <w:t>5、变调周期:3.5s~5.0s</w:t>
                  </w:r>
                </w:p>
                <w:p>
                  <w:pPr>
                    <w:pStyle w:val="null3"/>
                    <w:jc w:val="left"/>
                  </w:pPr>
                  <w:r>
                    <w:rPr>
                      <w:sz w:val="21"/>
                    </w:rPr>
                    <w:t>6、闪光频率:1.0Hz~1.5Hz</w:t>
                  </w:r>
                </w:p>
                <w:p>
                  <w:pPr>
                    <w:pStyle w:val="null3"/>
                    <w:jc w:val="left"/>
                  </w:pPr>
                  <w:r>
                    <w:rPr>
                      <w:sz w:val="21"/>
                    </w:rPr>
                    <w:t>7、报警音量 75dB~95dB</w:t>
                  </w:r>
                </w:p>
                <w:p>
                  <w:pPr>
                    <w:pStyle w:val="null3"/>
                    <w:jc w:val="left"/>
                  </w:pPr>
                  <w:r>
                    <w:rPr>
                      <w:sz w:val="21"/>
                    </w:rPr>
                    <w:t>8、重量:约155g(含底座)</w:t>
                  </w:r>
                </w:p>
                <w:p>
                  <w:pPr>
                    <w:pStyle w:val="null3"/>
                    <w:jc w:val="left"/>
                  </w:pPr>
                  <w:r>
                    <w:rPr>
                      <w:sz w:val="21"/>
                    </w:rPr>
                    <w:t>9、使用场所:室内</w:t>
                  </w:r>
                </w:p>
                <w:p>
                  <w:pPr>
                    <w:pStyle w:val="null3"/>
                    <w:jc w:val="left"/>
                  </w:pPr>
                  <w:r>
                    <w:rPr>
                      <w:sz w:val="21"/>
                    </w:rPr>
                    <w:t>10、编码方式:电子编码</w:t>
                  </w:r>
                </w:p>
                <w:p>
                  <w:pPr>
                    <w:pStyle w:val="null3"/>
                    <w:jc w:val="left"/>
                  </w:pPr>
                  <w:r>
                    <w:rPr>
                      <w:sz w:val="21"/>
                    </w:rPr>
                    <w:t>11、线制:四线制,无极性信号二总线(L1、L2)+电源线(+D1、D2)</w:t>
                  </w:r>
                </w:p>
                <w:p>
                  <w:pPr>
                    <w:pStyle w:val="null3"/>
                    <w:jc w:val="left"/>
                  </w:pPr>
                  <w:r>
                    <w:rPr>
                      <w:sz w:val="21"/>
                    </w:rPr>
                    <w:t>12、配接主机:火灾报警控制器、消防联动控制器</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r>
            <w:tr>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点型光电感烟火灾探测器</w:t>
                  </w:r>
                </w:p>
              </w:tc>
              <w:tc>
                <w:tcPr>
                  <w:tcW w:type="dxa" w:w="27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1、执行标准:GB 4715-2005</w:t>
                  </w:r>
                </w:p>
                <w:p>
                  <w:pPr>
                    <w:pStyle w:val="null3"/>
                    <w:jc w:val="left"/>
                  </w:pPr>
                  <w:r>
                    <w:rPr>
                      <w:sz w:val="21"/>
                    </w:rPr>
                    <w:t>2、工作电压:24V(脉冲调制)</w:t>
                  </w:r>
                </w:p>
                <w:p>
                  <w:pPr>
                    <w:pStyle w:val="null3"/>
                    <w:jc w:val="left"/>
                  </w:pPr>
                  <w:r>
                    <w:rPr>
                      <w:sz w:val="21"/>
                    </w:rPr>
                    <w:t>3、工作电流监视状态≤300uA报警状态≤1.5mA</w:t>
                  </w:r>
                </w:p>
                <w:p>
                  <w:pPr>
                    <w:pStyle w:val="null3"/>
                    <w:jc w:val="left"/>
                  </w:pPr>
                  <w:r>
                    <w:rPr>
                      <w:sz w:val="21"/>
                    </w:rPr>
                    <w:t>4、工作指示:监视状态红色指示灯闪烁，报警状态红色指示灯常亮</w:t>
                  </w:r>
                </w:p>
                <w:p>
                  <w:pPr>
                    <w:pStyle w:val="null3"/>
                    <w:jc w:val="left"/>
                  </w:pPr>
                  <w:r>
                    <w:rPr>
                      <w:sz w:val="21"/>
                    </w:rPr>
                    <w:t>5、重量:约82g(带底座)</w:t>
                  </w:r>
                </w:p>
                <w:p>
                  <w:pPr>
                    <w:pStyle w:val="null3"/>
                    <w:jc w:val="left"/>
                  </w:pPr>
                  <w:r>
                    <w:rPr>
                      <w:sz w:val="21"/>
                    </w:rPr>
                    <w:t>6、外形尺寸:直径100mm,高54mm(带底座)</w:t>
                  </w:r>
                </w:p>
                <w:p>
                  <w:pPr>
                    <w:pStyle w:val="null3"/>
                    <w:jc w:val="left"/>
                  </w:pPr>
                  <w:r>
                    <w:rPr>
                      <w:sz w:val="21"/>
                    </w:rPr>
                    <w:t>7、接线方式无极性二总线制(L1、L2)</w:t>
                  </w:r>
                </w:p>
                <w:p>
                  <w:pPr>
                    <w:pStyle w:val="null3"/>
                    <w:jc w:val="left"/>
                  </w:pPr>
                  <w:r>
                    <w:rPr>
                      <w:sz w:val="21"/>
                    </w:rPr>
                    <w:t>8、使用环境 室内，温度-10℃~+55℃,相对湿度≤95%(40℃+2℃无凝露)</w:t>
                  </w:r>
                </w:p>
                <w:p>
                  <w:pPr>
                    <w:pStyle w:val="null3"/>
                    <w:jc w:val="left"/>
                  </w:pPr>
                  <w:r>
                    <w:rPr>
                      <w:sz w:val="21"/>
                    </w:rPr>
                    <w:t>9、编码方式:通过编码器可现场编码，地址编码1~324任选</w:t>
                  </w:r>
                </w:p>
                <w:p>
                  <w:pPr>
                    <w:pStyle w:val="null3"/>
                    <w:jc w:val="left"/>
                  </w:pPr>
                  <w:r>
                    <w:rPr>
                      <w:sz w:val="21"/>
                    </w:rPr>
                    <w:t>10、安装高度s12m</w:t>
                  </w:r>
                </w:p>
                <w:p>
                  <w:pPr>
                    <w:pStyle w:val="null3"/>
                    <w:jc w:val="left"/>
                  </w:pPr>
                  <w:r>
                    <w:rPr>
                      <w:sz w:val="21"/>
                    </w:rPr>
                    <w:t>11、保护面积:约60m，具体参考国标 GB 50116-2013《火灾自动报警系统设计规范》中相关规定</w:t>
                  </w:r>
                </w:p>
                <w:p>
                  <w:pPr>
                    <w:pStyle w:val="null3"/>
                    <w:jc w:val="left"/>
                  </w:pPr>
                  <w:r>
                    <w:rPr>
                      <w:sz w:val="21"/>
                    </w:rPr>
                    <w:t>12、配接主机:火灾报警控制器、消防联动控制器</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r>
            <w:tr>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点型感温火灾探测器</w:t>
                  </w:r>
                </w:p>
              </w:tc>
              <w:tc>
                <w:tcPr>
                  <w:tcW w:type="dxa" w:w="27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1、执行标准GB4716-2005</w:t>
                  </w:r>
                </w:p>
                <w:p>
                  <w:pPr>
                    <w:pStyle w:val="null3"/>
                    <w:jc w:val="left"/>
                  </w:pPr>
                  <w:r>
                    <w:rPr>
                      <w:sz w:val="21"/>
                    </w:rPr>
                    <w:t>2、工作电压:24V(脉冲调制)</w:t>
                  </w:r>
                </w:p>
                <w:p>
                  <w:pPr>
                    <w:pStyle w:val="null3"/>
                    <w:jc w:val="left"/>
                  </w:pPr>
                  <w:r>
                    <w:rPr>
                      <w:sz w:val="21"/>
                    </w:rPr>
                    <w:t>3、工作电流 监视状态≤300uA.报警状态≤15mA</w:t>
                  </w:r>
                </w:p>
                <w:p>
                  <w:pPr>
                    <w:pStyle w:val="null3"/>
                    <w:jc w:val="left"/>
                  </w:pPr>
                  <w:r>
                    <w:rPr>
                      <w:sz w:val="21"/>
                    </w:rPr>
                    <w:t>4、工作指示</w:t>
                  </w:r>
                </w:p>
                <w:p>
                  <w:pPr>
                    <w:pStyle w:val="null3"/>
                    <w:jc w:val="left"/>
                  </w:pPr>
                  <w:r>
                    <w:rPr>
                      <w:sz w:val="21"/>
                    </w:rPr>
                    <w:t>监视状态红色指示灯闪烁，报警状态红色指示灯常亮</w:t>
                  </w:r>
                </w:p>
                <w:p>
                  <w:pPr>
                    <w:pStyle w:val="null3"/>
                    <w:jc w:val="left"/>
                  </w:pPr>
                  <w:r>
                    <w:rPr>
                      <w:sz w:val="21"/>
                    </w:rPr>
                    <w:t>5、重量:约65g</w:t>
                  </w:r>
                </w:p>
                <w:p>
                  <w:pPr>
                    <w:pStyle w:val="null3"/>
                    <w:jc w:val="left"/>
                  </w:pPr>
                  <w:r>
                    <w:rPr>
                      <w:sz w:val="21"/>
                    </w:rPr>
                    <w:t>6、产品类别:A2</w:t>
                  </w:r>
                </w:p>
                <w:p>
                  <w:pPr>
                    <w:pStyle w:val="null3"/>
                    <w:jc w:val="left"/>
                  </w:pPr>
                  <w:r>
                    <w:rPr>
                      <w:sz w:val="21"/>
                    </w:rPr>
                    <w:t>7、外形尺寸:直径100mm,高56mm(带底座)</w:t>
                  </w:r>
                </w:p>
                <w:p>
                  <w:pPr>
                    <w:pStyle w:val="null3"/>
                    <w:jc w:val="left"/>
                  </w:pPr>
                  <w:r>
                    <w:rPr>
                      <w:sz w:val="21"/>
                    </w:rPr>
                    <w:t>8、接线方式:无极性二总线制(L1.L2)</w:t>
                  </w:r>
                </w:p>
                <w:p>
                  <w:pPr>
                    <w:pStyle w:val="null3"/>
                    <w:jc w:val="left"/>
                  </w:pPr>
                  <w:r>
                    <w:rPr>
                      <w:sz w:val="21"/>
                    </w:rPr>
                    <w:t>9、使用环境:室内，温度-10℃~+50℃，相对温度≤95%(40℃+2℃无凝露)</w:t>
                  </w:r>
                </w:p>
                <w:p>
                  <w:pPr>
                    <w:pStyle w:val="null3"/>
                    <w:jc w:val="left"/>
                  </w:pPr>
                  <w:r>
                    <w:rPr>
                      <w:sz w:val="21"/>
                    </w:rPr>
                    <w:t>10、编码方式:通过编码器可现场编码，地址范围1-324任选</w:t>
                  </w:r>
                </w:p>
                <w:p>
                  <w:pPr>
                    <w:pStyle w:val="null3"/>
                    <w:jc w:val="left"/>
                  </w:pPr>
                  <w:r>
                    <w:rPr>
                      <w:sz w:val="21"/>
                    </w:rPr>
                    <w:t>11、安装高度≤8m</w:t>
                  </w:r>
                </w:p>
                <w:p>
                  <w:pPr>
                    <w:pStyle w:val="null3"/>
                    <w:jc w:val="left"/>
                  </w:pPr>
                  <w:r>
                    <w:rPr>
                      <w:sz w:val="21"/>
                    </w:rPr>
                    <w:t>12、保护面积:具体参考国标GB 50116-2013《火灾自动报警系统设计规范》相关规定</w:t>
                  </w:r>
                </w:p>
                <w:p>
                  <w:pPr>
                    <w:pStyle w:val="null3"/>
                    <w:jc w:val="left"/>
                  </w:pPr>
                  <w:r>
                    <w:rPr>
                      <w:sz w:val="21"/>
                    </w:rPr>
                    <w:t>13、配接主机:火灾报警控制器、消防联动控制器</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r>
            <w:tr>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w:t>
                  </w:r>
                </w:p>
              </w:tc>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手持编码器</w:t>
                  </w:r>
                </w:p>
              </w:tc>
              <w:tc>
                <w:tcPr>
                  <w:tcW w:type="dxa" w:w="27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1、工作电压：DC5V 可外接5V适配器对电池充电或直接作为工作电源。</w:t>
                  </w:r>
                </w:p>
                <w:p>
                  <w:pPr>
                    <w:pStyle w:val="null3"/>
                    <w:jc w:val="left"/>
                  </w:pPr>
                  <w:r>
                    <w:rPr>
                      <w:sz w:val="21"/>
                    </w:rPr>
                    <w:t>2、备用电源：内置2400mAh锂电池。</w:t>
                  </w:r>
                </w:p>
                <w:p>
                  <w:pPr>
                    <w:pStyle w:val="null3"/>
                    <w:jc w:val="left"/>
                  </w:pPr>
                  <w:r>
                    <w:rPr>
                      <w:sz w:val="21"/>
                    </w:rPr>
                    <w:t>3、输出容量：恒输出电流200mA，脉冲输出电流500mA@50ms。4、工作环境：温度-20℃-60℃，相对温度5%-95%，编码器的参数</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r>
            <w:tr>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阻燃电线</w:t>
                  </w:r>
                </w:p>
              </w:tc>
              <w:tc>
                <w:tcPr>
                  <w:tcW w:type="dxa" w:w="27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ZR-RVS 2X1.5mm</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米</w:t>
                  </w:r>
                </w:p>
              </w:tc>
            </w:tr>
            <w:tr>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阻燃电线</w:t>
                  </w:r>
                </w:p>
              </w:tc>
              <w:tc>
                <w:tcPr>
                  <w:tcW w:type="dxa" w:w="27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ZR-RVS 2X2.5mm</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米</w:t>
                  </w:r>
                </w:p>
              </w:tc>
            </w:tr>
            <w:tr>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w:t>
                  </w:r>
                </w:p>
              </w:tc>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金属线管</w:t>
                  </w:r>
                </w:p>
              </w:tc>
              <w:tc>
                <w:tcPr>
                  <w:tcW w:type="dxa" w:w="27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电线走线管绝缘阻燃加厚耐腐蚀</w:t>
                  </w:r>
                  <w:r>
                    <w:rPr>
                      <w:sz w:val="21"/>
                    </w:rPr>
                    <w:t>4分管DN20，绝缘防电，阻燃防火，抗压坚固，耐腐蚀，环保材料。</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米</w:t>
                  </w:r>
                </w:p>
              </w:tc>
            </w:tr>
            <w:tr>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w:t>
                  </w:r>
                </w:p>
              </w:tc>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接线盒</w:t>
                  </w:r>
                </w:p>
              </w:tc>
              <w:tc>
                <w:tcPr>
                  <w:tcW w:type="dxa" w:w="27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75*40*0.8</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r>
            <w:tr>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w:t>
                  </w:r>
                </w:p>
              </w:tc>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排气扇</w:t>
                  </w:r>
                </w:p>
              </w:tc>
              <w:tc>
                <w:tcPr>
                  <w:tcW w:type="dxa" w:w="27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10寸</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r>
            <w:tr>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w:t>
                  </w:r>
                </w:p>
              </w:tc>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配件</w:t>
                  </w:r>
                </w:p>
              </w:tc>
              <w:tc>
                <w:tcPr>
                  <w:tcW w:type="dxa" w:w="27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接线头、扎带、胶布等</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项</w:t>
                  </w:r>
                </w:p>
              </w:tc>
            </w:tr>
            <w:tr>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w:t>
                  </w:r>
                </w:p>
              </w:tc>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动环系统</w:t>
                  </w:r>
                </w:p>
              </w:tc>
              <w:tc>
                <w:tcPr>
                  <w:tcW w:type="dxa" w:w="27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功能要求</w:t>
                  </w:r>
                </w:p>
                <w:p>
                  <w:pPr>
                    <w:pStyle w:val="null3"/>
                    <w:jc w:val="left"/>
                  </w:pPr>
                  <w:r>
                    <w:rPr>
                      <w:sz w:val="21"/>
                    </w:rPr>
                    <w:t>1、电话报警模块</w:t>
                  </w:r>
                </w:p>
                <w:p>
                  <w:pPr>
                    <w:pStyle w:val="null3"/>
                    <w:jc w:val="left"/>
                  </w:pPr>
                  <w:r>
                    <w:rPr>
                      <w:sz w:val="21"/>
                    </w:rPr>
                    <w:t>2、声光报警器</w:t>
                  </w:r>
                </w:p>
                <w:p>
                  <w:pPr>
                    <w:pStyle w:val="null3"/>
                    <w:jc w:val="left"/>
                  </w:pPr>
                  <w:r>
                    <w:rPr>
                      <w:sz w:val="21"/>
                    </w:rPr>
                    <w:t>3、手机APP微信公众号端</w:t>
                  </w:r>
                </w:p>
                <w:p>
                  <w:pPr>
                    <w:pStyle w:val="null3"/>
                    <w:jc w:val="left"/>
                  </w:pPr>
                  <w:r>
                    <w:rPr>
                      <w:sz w:val="21"/>
                    </w:rPr>
                    <w:t>4、邮件报警端</w:t>
                  </w:r>
                </w:p>
                <w:p>
                  <w:pPr>
                    <w:pStyle w:val="null3"/>
                    <w:jc w:val="left"/>
                  </w:pPr>
                  <w:r>
                    <w:rPr>
                      <w:sz w:val="21"/>
                    </w:rPr>
                    <w:t>5、烟感报警器</w:t>
                  </w:r>
                </w:p>
                <w:p>
                  <w:pPr>
                    <w:pStyle w:val="null3"/>
                    <w:jc w:val="left"/>
                  </w:pPr>
                  <w:r>
                    <w:rPr>
                      <w:sz w:val="21"/>
                    </w:rPr>
                    <w:t>6、漏水监测器</w:t>
                  </w:r>
                </w:p>
                <w:p>
                  <w:pPr>
                    <w:pStyle w:val="null3"/>
                    <w:jc w:val="left"/>
                  </w:pPr>
                  <w:r>
                    <w:rPr>
                      <w:sz w:val="21"/>
                    </w:rPr>
                    <w:t>7、精密空调温湿度监控</w:t>
                  </w:r>
                </w:p>
                <w:p>
                  <w:pPr>
                    <w:pStyle w:val="null3"/>
                    <w:jc w:val="left"/>
                  </w:pPr>
                  <w:r>
                    <w:rPr>
                      <w:sz w:val="21"/>
                    </w:rPr>
                    <w:t>8、电池监控</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r>
            <w:tr>
              <w:tc>
                <w:tcPr>
                  <w:tcW w:type="dxa" w:w="4221"/>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四、机房安全整改</w:t>
                  </w:r>
                </w:p>
              </w:tc>
            </w:tr>
            <w:tr>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55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机房甲级防火门</w:t>
                  </w:r>
                </w:p>
              </w:tc>
              <w:tc>
                <w:tcPr>
                  <w:tcW w:type="dxa" w:w="276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门框墙厚</w:t>
                  </w:r>
                  <w:r>
                    <w:rPr>
                      <w:sz w:val="21"/>
                    </w:rPr>
                    <w:t>:10公分，</w:t>
                  </w:r>
                </w:p>
                <w:p>
                  <w:pPr>
                    <w:pStyle w:val="null3"/>
                    <w:jc w:val="left"/>
                  </w:pPr>
                  <w:r>
                    <w:rPr>
                      <w:sz w:val="21"/>
                    </w:rPr>
                    <w:t>门框料板材</w:t>
                  </w:r>
                  <w:r>
                    <w:rPr>
                      <w:sz w:val="21"/>
                    </w:rPr>
                    <w:t>:≥1.2mm，</w:t>
                  </w:r>
                </w:p>
                <w:p>
                  <w:pPr>
                    <w:pStyle w:val="null3"/>
                    <w:jc w:val="left"/>
                  </w:pPr>
                  <w:r>
                    <w:rPr>
                      <w:sz w:val="21"/>
                    </w:rPr>
                    <w:t>门扇板材</w:t>
                  </w:r>
                  <w:r>
                    <w:rPr>
                      <w:sz w:val="21"/>
                    </w:rPr>
                    <w:t>:≥0.8mm</w:t>
                  </w:r>
                </w:p>
                <w:p>
                  <w:pPr>
                    <w:pStyle w:val="null3"/>
                    <w:jc w:val="left"/>
                  </w:pPr>
                  <w:r>
                    <w:rPr>
                      <w:sz w:val="21"/>
                    </w:rPr>
                    <w:t>门扇厚度</w:t>
                  </w:r>
                  <w:r>
                    <w:rPr>
                      <w:sz w:val="21"/>
                    </w:rPr>
                    <w:t>:≥5公分</w:t>
                  </w:r>
                </w:p>
                <w:p>
                  <w:pPr>
                    <w:pStyle w:val="null3"/>
                    <w:jc w:val="left"/>
                  </w:pPr>
                  <w:r>
                    <w:rPr>
                      <w:sz w:val="21"/>
                    </w:rPr>
                    <w:t>填充料</w:t>
                  </w:r>
                  <w:r>
                    <w:rPr>
                      <w:sz w:val="21"/>
                    </w:rPr>
                    <w:t>:防火珍珠岩</w:t>
                  </w:r>
                </w:p>
                <w:p>
                  <w:pPr>
                    <w:pStyle w:val="null3"/>
                    <w:jc w:val="left"/>
                  </w:pPr>
                  <w:r>
                    <w:rPr>
                      <w:sz w:val="21"/>
                    </w:rPr>
                    <w:t>颜色</w:t>
                  </w:r>
                  <w:r>
                    <w:rPr>
                      <w:sz w:val="21"/>
                    </w:rPr>
                    <w:t>:浅灰色</w:t>
                  </w:r>
                </w:p>
                <w:p>
                  <w:pPr>
                    <w:pStyle w:val="null3"/>
                    <w:jc w:val="left"/>
                  </w:pPr>
                  <w:r>
                    <w:rPr>
                      <w:sz w:val="21"/>
                    </w:rPr>
                    <w:t>需要具备有防火标志</w:t>
                  </w:r>
                </w:p>
              </w:tc>
              <w:tc>
                <w:tcPr>
                  <w:tcW w:type="dxa" w:w="32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2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扇</w:t>
                  </w:r>
                </w:p>
              </w:tc>
            </w:tr>
            <w:tr>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指纹锁</w:t>
                  </w:r>
                </w:p>
              </w:tc>
              <w:tc>
                <w:tcPr>
                  <w:tcW w:type="dxa" w:w="27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产品规格</w:t>
                  </w:r>
                  <w:r>
                    <w:rPr>
                      <w:sz w:val="21"/>
                    </w:rPr>
                    <w:t>:352mm*70mm*67mm(面板)</w:t>
                  </w:r>
                </w:p>
                <w:p>
                  <w:pPr>
                    <w:pStyle w:val="null3"/>
                    <w:jc w:val="left"/>
                  </w:pPr>
                  <w:r>
                    <w:rPr>
                      <w:sz w:val="21"/>
                    </w:rPr>
                    <w:t>电源参数</w:t>
                  </w:r>
                  <w:r>
                    <w:rPr>
                      <w:sz w:val="21"/>
                    </w:rPr>
                    <w:t>:DC 3V</w:t>
                  </w:r>
                </w:p>
                <w:p>
                  <w:pPr>
                    <w:pStyle w:val="null3"/>
                    <w:jc w:val="left"/>
                  </w:pPr>
                  <w:r>
                    <w:rPr>
                      <w:sz w:val="21"/>
                    </w:rPr>
                    <w:t>电池类型</w:t>
                  </w:r>
                  <w:r>
                    <w:rPr>
                      <w:sz w:val="21"/>
                    </w:rPr>
                    <w:t>:4节AA电池2节/组</w:t>
                  </w:r>
                </w:p>
                <w:p>
                  <w:pPr>
                    <w:pStyle w:val="null3"/>
                    <w:jc w:val="left"/>
                  </w:pPr>
                  <w:r>
                    <w:rPr>
                      <w:sz w:val="21"/>
                    </w:rPr>
                    <w:t>工作电流</w:t>
                  </w:r>
                  <w:r>
                    <w:rPr>
                      <w:sz w:val="21"/>
                    </w:rPr>
                    <w:t>:&lt;100mA</w:t>
                  </w:r>
                </w:p>
                <w:p>
                  <w:pPr>
                    <w:pStyle w:val="null3"/>
                    <w:jc w:val="left"/>
                  </w:pPr>
                  <w:r>
                    <w:rPr>
                      <w:sz w:val="21"/>
                    </w:rPr>
                    <w:t>待机电流</w:t>
                  </w:r>
                  <w:r>
                    <w:rPr>
                      <w:sz w:val="21"/>
                    </w:rPr>
                    <w:t>:&lt;50uA(续航时间600天)</w:t>
                  </w:r>
                </w:p>
                <w:p>
                  <w:pPr>
                    <w:pStyle w:val="null3"/>
                    <w:jc w:val="left"/>
                  </w:pPr>
                  <w:r>
                    <w:rPr>
                      <w:sz w:val="21"/>
                    </w:rPr>
                    <w:t>用户容量</w:t>
                  </w:r>
                  <w:r>
                    <w:rPr>
                      <w:sz w:val="21"/>
                    </w:rPr>
                    <w:t>:≥25位用户(每位用户支持4个指纹和2组密码 2组卡)</w:t>
                  </w:r>
                </w:p>
                <w:p>
                  <w:pPr>
                    <w:pStyle w:val="null3"/>
                    <w:jc w:val="left"/>
                  </w:pPr>
                  <w:r>
                    <w:rPr>
                      <w:sz w:val="21"/>
                    </w:rPr>
                    <w:t>无线模块</w:t>
                  </w:r>
                  <w:r>
                    <w:rPr>
                      <w:sz w:val="21"/>
                    </w:rPr>
                    <w:t>:WiFi(联网/门锁本地设置)</w:t>
                  </w:r>
                </w:p>
                <w:p>
                  <w:pPr>
                    <w:pStyle w:val="null3"/>
                    <w:jc w:val="left"/>
                  </w:pPr>
                  <w:r>
                    <w:rPr>
                      <w:sz w:val="21"/>
                    </w:rPr>
                    <w:t>开锁方式</w:t>
                  </w:r>
                  <w:r>
                    <w:rPr>
                      <w:sz w:val="21"/>
                    </w:rPr>
                    <w:t>:指纹、密码、卡、机械钥匙、APP远程授权、手机NFC加密开锁</w:t>
                  </w:r>
                </w:p>
                <w:p>
                  <w:pPr>
                    <w:pStyle w:val="null3"/>
                    <w:jc w:val="left"/>
                  </w:pPr>
                  <w:r>
                    <w:rPr>
                      <w:sz w:val="21"/>
                    </w:rPr>
                    <w:t>智能报警</w:t>
                  </w:r>
                  <w:r>
                    <w:rPr>
                      <w:sz w:val="21"/>
                    </w:rPr>
                    <w:t>:防播锁报警、防试开锁定报警、胁迫报警、电话报警、低电量报警</w:t>
                  </w:r>
                </w:p>
                <w:p>
                  <w:pPr>
                    <w:pStyle w:val="null3"/>
                    <w:jc w:val="left"/>
                  </w:pPr>
                  <w:r>
                    <w:rPr>
                      <w:sz w:val="21"/>
                    </w:rPr>
                    <w:t>工作温度</w:t>
                  </w:r>
                  <w:r>
                    <w:rPr>
                      <w:sz w:val="21"/>
                    </w:rPr>
                    <w:t>:-20C~50%C</w:t>
                  </w:r>
                </w:p>
                <w:p>
                  <w:pPr>
                    <w:pStyle w:val="null3"/>
                    <w:jc w:val="left"/>
                  </w:pPr>
                  <w:r>
                    <w:rPr>
                      <w:sz w:val="21"/>
                    </w:rPr>
                    <w:t>门锁材料</w:t>
                  </w:r>
                  <w:r>
                    <w:rPr>
                      <w:sz w:val="21"/>
                    </w:rPr>
                    <w:t>:铝合金+ABS+钢化玻璃</w:t>
                  </w:r>
                </w:p>
                <w:p>
                  <w:pPr>
                    <w:pStyle w:val="null3"/>
                    <w:jc w:val="left"/>
                  </w:pPr>
                  <w:r>
                    <w:rPr>
                      <w:sz w:val="21"/>
                    </w:rPr>
                    <w:t>工作湿度</w:t>
                  </w:r>
                  <w:r>
                    <w:rPr>
                      <w:sz w:val="21"/>
                    </w:rPr>
                    <w:t>:0~90%RH</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把</w:t>
                  </w:r>
                </w:p>
              </w:tc>
            </w:tr>
            <w:tr>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蓄电池</w:t>
                  </w:r>
                </w:p>
              </w:tc>
              <w:tc>
                <w:tcPr>
                  <w:tcW w:type="dxa" w:w="27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1、功率 12V 容量：100AH</w:t>
                  </w:r>
                </w:p>
                <w:p>
                  <w:pPr>
                    <w:pStyle w:val="null3"/>
                    <w:jc w:val="left"/>
                  </w:pPr>
                  <w:r>
                    <w:rPr>
                      <w:sz w:val="21"/>
                    </w:rPr>
                    <w:t>2、性能特点：超长的使用寿命，免维护的专业设计，良好的批量一致性极小的自放电流、极宽的工作湿度范围，合理的安装和结构设计。</w:t>
                  </w:r>
                </w:p>
                <w:p>
                  <w:pPr>
                    <w:pStyle w:val="null3"/>
                    <w:jc w:val="left"/>
                  </w:pPr>
                  <w:r>
                    <w:rPr>
                      <w:sz w:val="21"/>
                    </w:rPr>
                    <w:t>3、尺寸：330mm*173mm*215mm*219.5mm（±5%）</w:t>
                  </w:r>
                </w:p>
                <w:p>
                  <w:pPr>
                    <w:pStyle w:val="null3"/>
                    <w:jc w:val="left"/>
                  </w:pPr>
                  <w:r>
                    <w:rPr>
                      <w:sz w:val="21"/>
                    </w:rPr>
                    <w:t>4、重量：约27.5KG</w:t>
                  </w:r>
                </w:p>
                <w:p>
                  <w:pPr>
                    <w:pStyle w:val="null3"/>
                    <w:jc w:val="left"/>
                  </w:pPr>
                  <w:r>
                    <w:rPr>
                      <w:sz w:val="21"/>
                    </w:rPr>
                    <w:t>5、工作温度范围：充电：-20℃~+50℃</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块</w:t>
                  </w:r>
                </w:p>
              </w:tc>
            </w:tr>
            <w:tr>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蓄电池配件</w:t>
                  </w:r>
                </w:p>
              </w:tc>
              <w:tc>
                <w:tcPr>
                  <w:tcW w:type="dxa" w:w="27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1、箱体采用环保镀锌板材料，承载能力大，整柜静电喷塑、耐磨、防腐蚀、防火性能好、绝缘、经久耐用；</w:t>
                  </w:r>
                </w:p>
                <w:p>
                  <w:pPr>
                    <w:pStyle w:val="null3"/>
                    <w:jc w:val="left"/>
                  </w:pPr>
                  <w:r>
                    <w:rPr>
                      <w:sz w:val="21"/>
                    </w:rPr>
                    <w:t>2、4层1列，外观尺寸：780*470*1190mm（±5%），用于装置12V100AH16节蓄电池</w:t>
                  </w:r>
                </w:p>
                <w:p>
                  <w:pPr>
                    <w:pStyle w:val="null3"/>
                    <w:jc w:val="left"/>
                  </w:pPr>
                  <w:r>
                    <w:rPr>
                      <w:sz w:val="21"/>
                    </w:rPr>
                    <w:t>3、电池连接线，主机至电池箱连接线、线耳。</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r>
            <w:tr>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机房设备机柜</w:t>
                  </w:r>
                </w:p>
              </w:tc>
              <w:tc>
                <w:tcPr>
                  <w:tcW w:type="dxa" w:w="27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42U黑色(宽600*深600*高2000)标配2张层板，中厚</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r>
            <w:tr>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PDU</w:t>
                  </w:r>
                </w:p>
              </w:tc>
              <w:tc>
                <w:tcPr>
                  <w:tcW w:type="dxa" w:w="27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250V/16A/4000W输入1.0U 7位10A新国标孔输出+热插拔指示灯+16A接线盒（可自接2.5平方电源线）+水平安装</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个</w:t>
                  </w:r>
                </w:p>
              </w:tc>
            </w:tr>
            <w:tr>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辅材</w:t>
                  </w:r>
                </w:p>
              </w:tc>
              <w:tc>
                <w:tcPr>
                  <w:tcW w:type="dxa" w:w="27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螺丝、标签、玻璃胶、螺丝、环氧树脂胶、绝缘胶布、捆扎带、焊锡丝（膏）、焊条、切割片、锤花、钻花、锯片、塑料膨胀管、穿线钢丝、手套、口罩、插头、插座等其它低值易耗材料</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项</w:t>
                  </w:r>
                </w:p>
              </w:tc>
            </w:tr>
            <w:tr>
              <w:tc>
                <w:tcPr>
                  <w:tcW w:type="dxa" w:w="26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55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安装调试服务</w:t>
                  </w:r>
                </w:p>
              </w:tc>
              <w:tc>
                <w:tcPr>
                  <w:tcW w:type="dxa" w:w="27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设备安装调试服务</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3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项</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横向网络接入区防火墙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58"/>
              <w:gridCol w:w="626"/>
              <w:gridCol w:w="3149"/>
              <w:gridCol w:w="365"/>
              <w:gridCol w:w="477"/>
            </w:tblGrid>
            <w:tr>
              <w:tc>
                <w:tcPr>
                  <w:tcW w:type="dxa" w:w="35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序号</w:t>
                  </w:r>
                </w:p>
              </w:tc>
              <w:tc>
                <w:tcPr>
                  <w:tcW w:type="dxa" w:w="62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产品名称</w:t>
                  </w:r>
                </w:p>
              </w:tc>
              <w:tc>
                <w:tcPr>
                  <w:tcW w:type="dxa" w:w="314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设备规格、技术参数</w:t>
                  </w:r>
                </w:p>
              </w:tc>
              <w:tc>
                <w:tcPr>
                  <w:tcW w:type="dxa" w:w="36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数量</w:t>
                  </w:r>
                </w:p>
              </w:tc>
              <w:tc>
                <w:tcPr>
                  <w:tcW w:type="dxa" w:w="47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单位</w:t>
                  </w:r>
                </w:p>
              </w:tc>
            </w:tr>
            <w:tr>
              <w:tc>
                <w:tcPr>
                  <w:tcW w:type="dxa" w:w="3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62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横向网络接入区防火墙</w:t>
                  </w:r>
                </w:p>
              </w:tc>
              <w:tc>
                <w:tcPr>
                  <w:tcW w:type="dxa" w:w="31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1</w:t>
                  </w:r>
                  <w:r>
                    <w:rPr>
                      <w:sz w:val="21"/>
                    </w:rPr>
                    <w:t>、硬件参数：规格≥</w:t>
                  </w:r>
                  <w:r>
                    <w:rPr>
                      <w:sz w:val="21"/>
                    </w:rPr>
                    <w:t>1U</w:t>
                  </w:r>
                  <w:r>
                    <w:rPr>
                      <w:sz w:val="21"/>
                    </w:rPr>
                    <w:t>，内存大小≥</w:t>
                  </w:r>
                  <w:r>
                    <w:rPr>
                      <w:sz w:val="21"/>
                    </w:rPr>
                    <w:t>8G</w:t>
                  </w:r>
                  <w:r>
                    <w:rPr>
                      <w:sz w:val="21"/>
                    </w:rPr>
                    <w:t>，硬盘容量≥</w:t>
                  </w:r>
                  <w:r>
                    <w:rPr>
                      <w:sz w:val="21"/>
                    </w:rPr>
                    <w:t>128G SSD</w:t>
                  </w:r>
                  <w:r>
                    <w:rPr>
                      <w:sz w:val="21"/>
                    </w:rPr>
                    <w:t>，电源：单电源，接口≥</w:t>
                  </w:r>
                  <w:r>
                    <w:rPr>
                      <w:sz w:val="21"/>
                    </w:rPr>
                    <w:t>8</w:t>
                  </w:r>
                  <w:r>
                    <w:rPr>
                      <w:sz w:val="21"/>
                    </w:rPr>
                    <w:t>千兆电口</w:t>
                  </w:r>
                  <w:r>
                    <w:rPr>
                      <w:sz w:val="21"/>
                    </w:rPr>
                    <w:t>+2</w:t>
                  </w:r>
                  <w:r>
                    <w:rPr>
                      <w:sz w:val="21"/>
                    </w:rPr>
                    <w:t>万兆光口</w:t>
                  </w:r>
                  <w:r>
                    <w:rPr>
                      <w:sz w:val="21"/>
                    </w:rPr>
                    <w:t>SFP+</w:t>
                  </w:r>
                  <w:r>
                    <w:rPr>
                      <w:sz w:val="21"/>
                    </w:rPr>
                    <w:t>。</w:t>
                  </w:r>
                </w:p>
                <w:p>
                  <w:pPr>
                    <w:pStyle w:val="null3"/>
                    <w:jc w:val="left"/>
                  </w:pPr>
                  <w:r>
                    <w:rPr>
                      <w:sz w:val="21"/>
                    </w:rPr>
                    <w:t>2</w:t>
                  </w:r>
                  <w:r>
                    <w:rPr>
                      <w:sz w:val="21"/>
                    </w:rPr>
                    <w:t>、性能参数：网络层吞吐量≥</w:t>
                  </w:r>
                  <w:r>
                    <w:rPr>
                      <w:sz w:val="21"/>
                    </w:rPr>
                    <w:t>20G</w:t>
                  </w:r>
                  <w:r>
                    <w:rPr>
                      <w:sz w:val="21"/>
                    </w:rPr>
                    <w:t>，应用层吞吐量≥</w:t>
                  </w:r>
                  <w:r>
                    <w:rPr>
                      <w:sz w:val="21"/>
                    </w:rPr>
                    <w:t>9G</w:t>
                  </w:r>
                  <w:r>
                    <w:rPr>
                      <w:sz w:val="21"/>
                    </w:rPr>
                    <w:t>，</w:t>
                  </w:r>
                  <w:r>
                    <w:rPr>
                      <w:sz w:val="21"/>
                    </w:rPr>
                    <w:t>IPS</w:t>
                  </w:r>
                  <w:r>
                    <w:rPr>
                      <w:sz w:val="21"/>
                    </w:rPr>
                    <w:t>吞吐量≥</w:t>
                  </w:r>
                  <w:r>
                    <w:rPr>
                      <w:sz w:val="21"/>
                    </w:rPr>
                    <w:t>1.3G</w:t>
                  </w:r>
                  <w:r>
                    <w:rPr>
                      <w:sz w:val="21"/>
                    </w:rPr>
                    <w:t>，并发连接数≥</w:t>
                  </w:r>
                  <w:r>
                    <w:rPr>
                      <w:sz w:val="21"/>
                    </w:rPr>
                    <w:t>200</w:t>
                  </w:r>
                  <w:r>
                    <w:rPr>
                      <w:sz w:val="21"/>
                    </w:rPr>
                    <w:t>万，</w:t>
                  </w:r>
                  <w:r>
                    <w:rPr>
                      <w:sz w:val="21"/>
                    </w:rPr>
                    <w:t>HTTP</w:t>
                  </w:r>
                  <w:r>
                    <w:rPr>
                      <w:sz w:val="21"/>
                    </w:rPr>
                    <w:t>新建连接数≥</w:t>
                  </w:r>
                  <w:r>
                    <w:rPr>
                      <w:sz w:val="21"/>
                    </w:rPr>
                    <w:t>9</w:t>
                  </w:r>
                  <w:r>
                    <w:rPr>
                      <w:sz w:val="21"/>
                    </w:rPr>
                    <w:t>万，</w:t>
                  </w:r>
                  <w:r>
                    <w:rPr>
                      <w:sz w:val="21"/>
                    </w:rPr>
                    <w:t xml:space="preserve">IPSec VPN </w:t>
                  </w:r>
                  <w:r>
                    <w:rPr>
                      <w:sz w:val="21"/>
                    </w:rPr>
                    <w:t>最大接入数≥</w:t>
                  </w:r>
                  <w:r>
                    <w:rPr>
                      <w:sz w:val="21"/>
                    </w:rPr>
                    <w:t>1000</w:t>
                  </w:r>
                  <w:r>
                    <w:rPr>
                      <w:sz w:val="21"/>
                    </w:rPr>
                    <w:t>，</w:t>
                  </w:r>
                  <w:r>
                    <w:rPr>
                      <w:sz w:val="21"/>
                    </w:rPr>
                    <w:t>IPSec VPN</w:t>
                  </w:r>
                  <w:r>
                    <w:rPr>
                      <w:sz w:val="21"/>
                    </w:rPr>
                    <w:t>吞吐量≥</w:t>
                  </w:r>
                  <w:r>
                    <w:rPr>
                      <w:sz w:val="21"/>
                    </w:rPr>
                    <w:t>700M</w:t>
                  </w:r>
                  <w:r>
                    <w:rPr>
                      <w:sz w:val="21"/>
                    </w:rPr>
                    <w:t>。</w:t>
                  </w:r>
                </w:p>
                <w:p>
                  <w:pPr>
                    <w:pStyle w:val="null3"/>
                    <w:jc w:val="left"/>
                  </w:pPr>
                  <w:r>
                    <w:rPr>
                      <w:sz w:val="21"/>
                    </w:rPr>
                    <w:t>3</w:t>
                  </w:r>
                  <w:r>
                    <w:rPr>
                      <w:sz w:val="21"/>
                    </w:rPr>
                    <w:t>、产品支持路由模式、透明模式、虚拟网线模式、旁路镜像模式等多种部署方式。</w:t>
                  </w:r>
                </w:p>
                <w:p>
                  <w:pPr>
                    <w:pStyle w:val="null3"/>
                    <w:jc w:val="left"/>
                  </w:pPr>
                  <w:r>
                    <w:rPr>
                      <w:sz w:val="21"/>
                    </w:rPr>
                    <w:t>4</w:t>
                  </w:r>
                  <w:r>
                    <w:rPr>
                      <w:sz w:val="21"/>
                    </w:rPr>
                    <w:t>、产品支持虚拟防火墙功能，支持虚拟防火墙的创建和删除，具备独立的接口、会话管理、应用控制策略、</w:t>
                  </w:r>
                  <w:r>
                    <w:rPr>
                      <w:sz w:val="21"/>
                    </w:rPr>
                    <w:t>NAT</w:t>
                  </w:r>
                  <w:r>
                    <w:rPr>
                      <w:sz w:val="21"/>
                    </w:rPr>
                    <w:t>等资源。</w:t>
                  </w:r>
                </w:p>
                <w:p>
                  <w:pPr>
                    <w:pStyle w:val="null3"/>
                    <w:jc w:val="left"/>
                  </w:pPr>
                  <w:r>
                    <w:rPr>
                      <w:sz w:val="21"/>
                    </w:rPr>
                    <w:t>5</w:t>
                  </w:r>
                  <w:r>
                    <w:rPr>
                      <w:sz w:val="21"/>
                    </w:rPr>
                    <w:t>、</w:t>
                  </w:r>
                  <w:r>
                    <w:rPr>
                      <w:sz w:val="21"/>
                      <w:b/>
                    </w:rPr>
                    <w:t>※</w:t>
                  </w:r>
                  <w:r>
                    <w:rPr>
                      <w:sz w:val="21"/>
                    </w:rPr>
                    <w:t>产品支持对不少于</w:t>
                  </w:r>
                  <w:r>
                    <w:rPr>
                      <w:sz w:val="21"/>
                    </w:rPr>
                    <w:t>9000</w:t>
                  </w:r>
                  <w:r>
                    <w:rPr>
                      <w:sz w:val="21"/>
                    </w:rPr>
                    <w:t>种应用的识别和控制，应用类型包括游戏、购物、图书百科、工作招聘、</w:t>
                  </w:r>
                  <w:r>
                    <w:rPr>
                      <w:sz w:val="21"/>
                    </w:rPr>
                    <w:t>P2P</w:t>
                  </w:r>
                  <w:r>
                    <w:rPr>
                      <w:sz w:val="21"/>
                    </w:rPr>
                    <w:t>下载、聊天工具、旅游出行、股票软件等类型应用进行检测与控制。</w:t>
                  </w:r>
                  <w:r>
                    <w:rPr>
                      <w:sz w:val="21"/>
                      <w:b/>
                    </w:rPr>
                    <w:t>（提供</w:t>
                  </w:r>
                  <w:r>
                    <w:rPr>
                      <w:sz w:val="21"/>
                      <w:b/>
                    </w:rPr>
                    <w:t xml:space="preserve">U </w:t>
                  </w:r>
                  <w:r>
                    <w:rPr>
                      <w:sz w:val="21"/>
                      <w:b/>
                    </w:rPr>
                    <w:t>盘</w:t>
                  </w:r>
                  <w:r>
                    <w:rPr>
                      <w:sz w:val="21"/>
                      <w:b/>
                    </w:rPr>
                    <w:t xml:space="preserve">( </w:t>
                  </w:r>
                  <w:r>
                    <w:rPr>
                      <w:sz w:val="21"/>
                      <w:b/>
                    </w:rPr>
                    <w:t>或光盘）视频演示文件进行平台功能演示）</w:t>
                  </w:r>
                </w:p>
                <w:p>
                  <w:pPr>
                    <w:pStyle w:val="null3"/>
                    <w:jc w:val="left"/>
                  </w:pPr>
                  <w:r>
                    <w:rPr>
                      <w:sz w:val="21"/>
                    </w:rPr>
                    <w:t>6</w:t>
                  </w:r>
                  <w:r>
                    <w:rPr>
                      <w:sz w:val="21"/>
                    </w:rPr>
                    <w:t>、产品支持对</w:t>
                  </w:r>
                  <w:r>
                    <w:rPr>
                      <w:sz w:val="21"/>
                    </w:rPr>
                    <w:t>SMTP</w:t>
                  </w:r>
                  <w:r>
                    <w:rPr>
                      <w:sz w:val="21"/>
                    </w:rPr>
                    <w:t>、</w:t>
                  </w:r>
                  <w:r>
                    <w:rPr>
                      <w:sz w:val="21"/>
                    </w:rPr>
                    <w:t>HTTP</w:t>
                  </w:r>
                  <w:r>
                    <w:rPr>
                      <w:sz w:val="21"/>
                    </w:rPr>
                    <w:t>、</w:t>
                  </w:r>
                  <w:r>
                    <w:rPr>
                      <w:sz w:val="21"/>
                    </w:rPr>
                    <w:t>FTP</w:t>
                  </w:r>
                  <w:r>
                    <w:rPr>
                      <w:sz w:val="21"/>
                    </w:rPr>
                    <w:t>、</w:t>
                  </w:r>
                  <w:r>
                    <w:rPr>
                      <w:sz w:val="21"/>
                    </w:rPr>
                    <w:t>SMB</w:t>
                  </w:r>
                  <w:r>
                    <w:rPr>
                      <w:sz w:val="21"/>
                    </w:rPr>
                    <w:t>、</w:t>
                  </w:r>
                  <w:r>
                    <w:rPr>
                      <w:sz w:val="21"/>
                    </w:rPr>
                    <w:t>POP3</w:t>
                  </w:r>
                  <w:r>
                    <w:rPr>
                      <w:sz w:val="21"/>
                    </w:rPr>
                    <w:t>、</w:t>
                  </w:r>
                  <w:r>
                    <w:rPr>
                      <w:sz w:val="21"/>
                    </w:rPr>
                    <w:t>HTTPS</w:t>
                  </w:r>
                  <w:r>
                    <w:rPr>
                      <w:sz w:val="21"/>
                    </w:rPr>
                    <w:t>、</w:t>
                  </w:r>
                  <w:r>
                    <w:rPr>
                      <w:sz w:val="21"/>
                    </w:rPr>
                    <w:t>IMAP</w:t>
                  </w:r>
                  <w:r>
                    <w:rPr>
                      <w:sz w:val="21"/>
                    </w:rPr>
                    <w:t>等协议进行病毒防御。</w:t>
                  </w:r>
                </w:p>
                <w:p>
                  <w:pPr>
                    <w:pStyle w:val="null3"/>
                    <w:jc w:val="left"/>
                  </w:pPr>
                  <w:r>
                    <w:rPr>
                      <w:sz w:val="21"/>
                    </w:rPr>
                    <w:t>7</w:t>
                  </w:r>
                  <w:r>
                    <w:rPr>
                      <w:sz w:val="21"/>
                    </w:rPr>
                    <w:t>、</w:t>
                  </w:r>
                  <w:r>
                    <w:rPr>
                      <w:sz w:val="21"/>
                      <w:b/>
                    </w:rPr>
                    <w:t>※</w:t>
                  </w:r>
                  <w:r>
                    <w:rPr>
                      <w:sz w:val="21"/>
                    </w:rPr>
                    <w:t>产品支持对压缩病毒文件进行检测和拦截。</w:t>
                  </w:r>
                  <w:r>
                    <w:rPr>
                      <w:sz w:val="21"/>
                      <w:b/>
                    </w:rPr>
                    <w:t>（提供</w:t>
                  </w:r>
                  <w:r>
                    <w:rPr>
                      <w:sz w:val="21"/>
                      <w:b/>
                    </w:rPr>
                    <w:t xml:space="preserve">U </w:t>
                  </w:r>
                  <w:r>
                    <w:rPr>
                      <w:sz w:val="21"/>
                      <w:b/>
                    </w:rPr>
                    <w:t>盘</w:t>
                  </w:r>
                  <w:r>
                    <w:rPr>
                      <w:sz w:val="21"/>
                      <w:b/>
                    </w:rPr>
                    <w:t xml:space="preserve">( </w:t>
                  </w:r>
                  <w:r>
                    <w:rPr>
                      <w:sz w:val="21"/>
                      <w:b/>
                    </w:rPr>
                    <w:t>或光盘）视频演示文件进行平台功能演示）</w:t>
                  </w:r>
                </w:p>
                <w:p>
                  <w:pPr>
                    <w:pStyle w:val="null3"/>
                    <w:jc w:val="left"/>
                  </w:pPr>
                  <w:r>
                    <w:rPr>
                      <w:sz w:val="21"/>
                    </w:rPr>
                    <w:t>8</w:t>
                  </w:r>
                  <w:r>
                    <w:rPr>
                      <w:sz w:val="21"/>
                    </w:rPr>
                    <w:t>、▲产品支持勒索病毒检测与防御功能，需提供产品功能截图证明。</w:t>
                  </w:r>
                  <w:r>
                    <w:rPr>
                      <w:sz w:val="21"/>
                      <w:b/>
                    </w:rPr>
                    <w:t>（需提供产品功能截图证明加盖供应商公章以及提供第三方检测机构出具关于</w:t>
                  </w:r>
                  <w:r>
                    <w:rPr>
                      <w:sz w:val="21"/>
                      <w:b/>
                    </w:rPr>
                    <w:t>“勒索病毒”的证书或检测报告证明功能有效性）</w:t>
                  </w:r>
                </w:p>
                <w:p>
                  <w:pPr>
                    <w:pStyle w:val="null3"/>
                    <w:jc w:val="left"/>
                  </w:pPr>
                  <w:r>
                    <w:rPr>
                      <w:sz w:val="21"/>
                    </w:rPr>
                    <w:t>9</w:t>
                  </w:r>
                  <w:r>
                    <w:rPr>
                      <w:sz w:val="21"/>
                    </w:rPr>
                    <w:t>、产品内置不低于</w:t>
                  </w:r>
                  <w:r>
                    <w:rPr>
                      <w:sz w:val="21"/>
                    </w:rPr>
                    <w:t>13000</w:t>
                  </w:r>
                  <w:r>
                    <w:rPr>
                      <w:sz w:val="21"/>
                    </w:rPr>
                    <w:t>种漏洞规则，同时支持在控制台界面通过漏洞</w:t>
                  </w:r>
                  <w:r>
                    <w:rPr>
                      <w:sz w:val="21"/>
                    </w:rPr>
                    <w:t>ID</w:t>
                  </w:r>
                  <w:r>
                    <w:rPr>
                      <w:sz w:val="21"/>
                    </w:rPr>
                    <w:t>、漏洞名称、危险等级、漏洞</w:t>
                  </w:r>
                  <w:r>
                    <w:rPr>
                      <w:sz w:val="21"/>
                    </w:rPr>
                    <w:t>CVE</w:t>
                  </w:r>
                  <w:r>
                    <w:rPr>
                      <w:sz w:val="21"/>
                    </w:rPr>
                    <w:t>标识、漏洞描述等条件查询漏洞特征信息，支持用户自定义</w:t>
                  </w:r>
                  <w:r>
                    <w:rPr>
                      <w:sz w:val="21"/>
                    </w:rPr>
                    <w:t>IPS</w:t>
                  </w:r>
                  <w:r>
                    <w:rPr>
                      <w:sz w:val="21"/>
                    </w:rPr>
                    <w:t>规则。</w:t>
                  </w:r>
                  <w:r>
                    <w:rPr>
                      <w:sz w:val="21"/>
                      <w:b/>
                    </w:rPr>
                    <w:t>（需提供产品功能截图证明加盖供应商公章）</w:t>
                  </w:r>
                </w:p>
              </w:tc>
              <w:tc>
                <w:tcPr>
                  <w:tcW w:type="dxa" w:w="3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4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1.采购代理机构：本项目是指广东畅达项目管理有限公司，负责整个采购活动的组织，依法负责编制和发布招标文件，对招标文件拥有最终的解释权，不以任何身份出任评标委员会成员。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阳西县自然资源局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采购机构代理服务收费标准：参照原国家计委颁布的（发改价格[2011]534号文）的收费标准执行。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其他，采购人有权在发放中标通知书前要求中标（成交）供应商提供《阳江市政府采购供应商资格信用承诺函》的证明材料，以备核实供应商承诺事项的真实性。</w:t>
            </w:r>
          </w:p>
          <w:p>
            <w:pPr>
              <w:pStyle w:val="null3"/>
              <w:jc w:val="left"/>
            </w:pPr>
            <w:r>
              <w:rPr/>
              <w:t>演示视频文件(U盘或光盘)提交要求，1.演示内容:以本项目采购文件中“第二章 采购需求”的要求为准;2.演示视频文件需单独密封，密封袋上须含有项目名称、项目编号、投标人名称联系电话等相关信息并加盖投标人公章，演示视频文件统一于开标当天9:30:00至10:00:00(北京时间)递交至阳江市阳东区东城镇福兴路123号五楼开标室。工作人员将登记接收演示视频文件，投标截止时间后不再接收任何文件。</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广东畅达项目管理有限公司</w:t>
      </w:r>
      <w:r>
        <w:rPr/>
        <w:t>代收。具体操作要求详见</w:t>
      </w:r>
      <w:r>
        <w:rPr/>
        <w:t>广东畅达项目管理有限公司</w:t>
      </w:r>
      <w:r>
        <w:rPr/>
        <w:t>有关指引，递交事宜请自行咨询</w:t>
      </w:r>
      <w:r>
        <w:rPr/>
        <w:t>广东畅达项目管理有限公司</w:t>
      </w:r>
      <w:r>
        <w:rPr/>
        <w:t>；请各投标人在投标文件递交截止时间前按须知前附表规定的金额递交至</w:t>
      </w:r>
      <w:r>
        <w:rPr/>
        <w:t>广东畅达项目管理有限公司</w:t>
      </w:r>
      <w:r>
        <w:rPr/>
        <w:t>，到账情况以开标时</w:t>
      </w:r>
      <w:r>
        <w:rPr/>
        <w:t>广东畅达项目管理有限公司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陈工</w:t>
      </w:r>
    </w:p>
    <w:p>
      <w:pPr>
        <w:pStyle w:val="null3"/>
        <w:ind w:firstLine="480"/>
      </w:pPr>
      <w:r>
        <w:rPr/>
        <w:t>电话：</w:t>
      </w:r>
      <w:r>
        <w:rPr/>
        <w:t>0662-3687868</w:t>
      </w:r>
    </w:p>
    <w:p>
      <w:pPr>
        <w:pStyle w:val="null3"/>
        <w:ind w:firstLine="480"/>
      </w:pPr>
      <w:r>
        <w:rPr/>
        <w:t>传真：</w:t>
      </w:r>
      <w:r>
        <w:rPr/>
        <w:t>/</w:t>
      </w:r>
    </w:p>
    <w:p>
      <w:pPr>
        <w:pStyle w:val="null3"/>
        <w:ind w:firstLine="480"/>
      </w:pPr>
      <w:r>
        <w:rPr/>
        <w:t>邮箱：</w:t>
      </w:r>
      <w:r>
        <w:rPr/>
        <w:t>gdcdgs01@126.com</w:t>
      </w:r>
    </w:p>
    <w:p>
      <w:pPr>
        <w:pStyle w:val="null3"/>
        <w:ind w:firstLine="480"/>
      </w:pPr>
      <w:r>
        <w:rPr/>
        <w:t>地址：</w:t>
      </w:r>
      <w:r>
        <w:rPr/>
        <w:t>阳江市阳东区东城镇福兴路123号五楼</w:t>
      </w:r>
    </w:p>
    <w:p>
      <w:pPr>
        <w:pStyle w:val="null3"/>
        <w:ind w:firstLine="480"/>
      </w:pPr>
      <w:r>
        <w:rPr/>
        <w:t>邮编：</w:t>
      </w:r>
      <w:r>
        <w:rPr/>
        <w:t>529900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政府采购监督管理机构名称：阳西县政府采购管理办公室</w:t>
      </w:r>
    </w:p>
    <w:p>
      <w:pPr>
        <w:pStyle w:val="null3"/>
      </w:pPr>
      <w:r>
        <w:rPr/>
        <w:t>地 址：阳江市阳西县福兴一街5号</w:t>
      </w:r>
    </w:p>
    <w:p>
      <w:pPr>
        <w:pStyle w:val="null3"/>
      </w:pPr>
      <w:r>
        <w:rPr/>
        <w:t>电 话：0662-5533089</w:t>
      </w:r>
    </w:p>
    <w:p>
      <w:pPr>
        <w:pStyle w:val="null3"/>
      </w:pPr>
      <w:r>
        <w:rPr/>
        <w:t>邮 编：529800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阳西县不动产登记平台网络安全等级保护整改建设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广东畅达项目管理有限公司</w:t>
      </w:r>
      <w:r>
        <w:rPr/>
        <w:t>统一对外发布。</w:t>
      </w:r>
    </w:p>
    <w:p>
      <w:pPr>
        <w:pStyle w:val="null3"/>
        <w:ind w:firstLine="480"/>
      </w:pPr>
      <w:r>
        <w:rPr/>
        <w:t>（2）对</w:t>
      </w:r>
      <w:r>
        <w:rPr/>
        <w:t>广东畅达项目管理有限公司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采购包1（阳西县不动产登记平台网络安全等级保护整改建设项目）：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采购包1（阳西县不动产登记平台网络安全等级保护整改建设项目）：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提供《阳江市政府采购供应商资格信用承诺函》（格式详见附件）。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提供《阳江市政府采购供应商资格信用承诺函》（格式详见附件）。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提供《阳江市政府采购供应商资格信用承诺函》（格式详见附件）。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阳江市政府采购供应商资格信用承诺函》（格式详见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本项目非专门面向中小企业采购。</w:t>
            </w:r>
          </w:p>
        </w:tc>
        <w:tc>
          <w:tcPr>
            <w:tcW w:type="dxa" w:w="4238"/>
          </w:tcPr>
          <w:p>
            <w:pPr>
              <w:pStyle w:val="null3"/>
            </w:pPr>
            <w:r>
              <w:rPr/>
              <w:t>本项目非专门面向中小企业采购。</w:t>
            </w:r>
          </w:p>
        </w:tc>
      </w:tr>
    </w:tbl>
    <w:p>
      <w:pPr>
        <w:pStyle w:val="null3"/>
        <w:ind w:firstLine="480"/>
      </w:pPr>
      <w:r>
        <w:rPr/>
        <w:t>表二符合性审查表：</w:t>
      </w:r>
    </w:p>
    <w:p>
      <w:pPr>
        <w:pStyle w:val="null3"/>
      </w:pPr>
      <w:r>
        <w:rPr/>
        <w:t>采购包1（阳西县不动产登记平台网络安全等级保护整改建设项目）：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投标文件签署、盖章</w:t>
            </w:r>
          </w:p>
        </w:tc>
        <w:tc>
          <w:tcPr>
            <w:tcW w:type="dxa" w:w="4238"/>
          </w:tcPr>
          <w:p>
            <w:pPr>
              <w:pStyle w:val="null3"/>
            </w:pPr>
            <w:r>
              <w:rPr/>
              <w:t>投标文件符合招标文件规定的签署和盖章要求。</w:t>
            </w:r>
          </w:p>
        </w:tc>
      </w:tr>
      <w:tr>
        <w:tc>
          <w:tcPr>
            <w:tcW w:type="dxa" w:w="890"/>
          </w:tcPr>
          <w:p>
            <w:pPr>
              <w:pStyle w:val="null3"/>
            </w:pPr>
            <w:r>
              <w:rPr/>
              <w:t>2</w:t>
            </w:r>
          </w:p>
        </w:tc>
        <w:tc>
          <w:tcPr>
            <w:tcW w:type="dxa" w:w="3178"/>
          </w:tcPr>
          <w:p>
            <w:pPr>
              <w:pStyle w:val="null3"/>
            </w:pPr>
            <w:r>
              <w:rPr/>
              <w:t>法定代表人证明书/法定代表人授权书</w:t>
            </w:r>
          </w:p>
        </w:tc>
        <w:tc>
          <w:tcPr>
            <w:tcW w:type="dxa" w:w="4238"/>
          </w:tcPr>
          <w:p>
            <w:pPr>
              <w:pStyle w:val="null3"/>
            </w:pPr>
            <w:r>
              <w:rPr/>
              <w:t>按照招标文件规定提供有效的法定代表人证明书及法定代表人授权书。（若法定代表人作为投标代表参加投标，则不需提供法定代表人授权书）</w:t>
            </w:r>
          </w:p>
        </w:tc>
      </w:tr>
      <w:tr>
        <w:tc>
          <w:tcPr>
            <w:tcW w:type="dxa" w:w="890"/>
          </w:tcPr>
          <w:p>
            <w:pPr>
              <w:pStyle w:val="null3"/>
            </w:pPr>
            <w:r>
              <w:rPr/>
              <w:t>3</w:t>
            </w:r>
          </w:p>
        </w:tc>
        <w:tc>
          <w:tcPr>
            <w:tcW w:type="dxa" w:w="3178"/>
          </w:tcPr>
          <w:p>
            <w:pPr>
              <w:pStyle w:val="null3"/>
            </w:pPr>
            <w:r>
              <w:rPr/>
              <w:t>法定代表人及被授权人身份证</w:t>
            </w:r>
          </w:p>
        </w:tc>
        <w:tc>
          <w:tcPr>
            <w:tcW w:type="dxa" w:w="4238"/>
          </w:tcPr>
          <w:p>
            <w:pPr>
              <w:pStyle w:val="null3"/>
            </w:pPr>
            <w:r>
              <w:rPr/>
              <w:t>提供法定代表人及被授权人身份证复印件。（若法定代表人作为投标代表参加投标，则不需提供被授权人身份证复印件）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提交投标文件的截止之日起90日历天。</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投标报价不超过招标文件中规定的预算金额或最高限价。</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采购包1(阳西县不动产登记平台网络安全等级保护整改建设项目):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商务部分17.0分</w:t>
            </w:r>
          </w:p>
          <w:p>
            <w:pPr>
              <w:pStyle w:val="null3"/>
            </w:pPr>
            <w:r>
              <w:rPr/>
              <w:t>技术部分53.0分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技术参数响应程度 (37.0分)</w:t>
            </w:r>
          </w:p>
        </w:tc>
        <w:tc>
          <w:tcPr>
            <w:tcW w:type="dxa" w:w="5076"/>
          </w:tcPr>
          <w:p>
            <w:pPr>
              <w:pStyle w:val="null3"/>
              <w:jc w:val="left"/>
            </w:pPr>
            <w:r>
              <w:rPr/>
              <w:t>根据各投标人对招标文件采购需求中技术参数响应情况进行评审，完全满足或优于招标文件要求的得37分。 1.标注“▲”的为重要技术参数，全部满足得28.5分，未响应或不满足，每条扣1.5分。2.未标注“▲”的为一般技术参数，全部满足得8.5分，未响应或不满足，每条扣0.5分，扣完为止。注：如招标文件中有明确要求证明材料的，需提供相关证明材料加盖投标人公章，未明确要求证明材料的提供《技术和服务要求响应表》响应，不提供视为未响应或不满足。</w:t>
            </w:r>
          </w:p>
        </w:tc>
      </w:tr>
      <w:tr>
        <w:tc>
          <w:tcPr>
            <w:tcW w:type="dxa" w:w="922"/>
            <w:gridSpan w:val="2"/>
            <w:vMerge/>
          </w:tcPr>
          <w:p/>
        </w:tc>
        <w:tc>
          <w:tcPr>
            <w:tcW w:type="dxa" w:w="2307"/>
          </w:tcPr>
          <w:p>
            <w:pPr>
              <w:pStyle w:val="null3"/>
              <w:jc w:val="left"/>
            </w:pPr>
            <w:r>
              <w:rPr/>
              <w:t>视频演示 (6.0分)</w:t>
            </w:r>
          </w:p>
        </w:tc>
        <w:tc>
          <w:tcPr>
            <w:tcW w:type="dxa" w:w="5076"/>
          </w:tcPr>
          <w:p>
            <w:pPr>
              <w:pStyle w:val="null3"/>
              <w:jc w:val="left"/>
            </w:pPr>
            <w:r>
              <w:rPr/>
              <w:t>采购需求中技术参数带“※”为提供U盘(或光盘）视频演示文件进行功能演示。全部满足的得6分，不能成功演示的每一项扣1分，不提供视频功能演示的不得分。</w:t>
            </w:r>
          </w:p>
        </w:tc>
      </w:tr>
      <w:tr>
        <w:tc>
          <w:tcPr>
            <w:tcW w:type="dxa" w:w="922"/>
            <w:gridSpan w:val="2"/>
            <w:vMerge/>
          </w:tcPr>
          <w:p/>
        </w:tc>
        <w:tc>
          <w:tcPr>
            <w:tcW w:type="dxa" w:w="2307"/>
          </w:tcPr>
          <w:p>
            <w:pPr>
              <w:pStyle w:val="null3"/>
              <w:jc w:val="left"/>
            </w:pPr>
            <w:r>
              <w:rPr/>
              <w:t>技术方案 (10.0分)</w:t>
            </w:r>
            <w:r>
              <w:rPr/>
              <w:t>，（等次分值选择：</w:t>
            </w:r>
            <w:r>
              <w:rPr/>
              <w:t>0.0;</w:t>
            </w:r>
            <w:r>
              <w:rPr/>
              <w:t>2.0;</w:t>
            </w:r>
            <w:r>
              <w:rPr/>
              <w:t>6.0;</w:t>
            </w:r>
            <w:r>
              <w:rPr/>
              <w:t>10.0;</w:t>
            </w:r>
            <w:r>
              <w:rPr/>
              <w:t>）</w:t>
            </w:r>
          </w:p>
        </w:tc>
        <w:tc>
          <w:tcPr>
            <w:tcW w:type="dxa" w:w="5076"/>
          </w:tcPr>
          <w:p>
            <w:pPr>
              <w:pStyle w:val="null3"/>
              <w:jc w:val="left"/>
            </w:pPr>
            <w:r>
              <w:rPr/>
              <w:t>根据各投标人针对本项目制定的项目实施方案（包括但不限于对项目组织实施、项目工作进度安排、系统维保服务、网络安全运维服务等）进行评审： 1.服务方案全面详细，对项目需求内容全部进行了响应，实施安排计划清晰，技术标准规范，完全满足或优于采购需求相关要求的，得10分； 2.服务方案全面但不详细，对项目需求主要内容进行了响应，实施安排计划基本清楚，技术标准基本规范，基本满足采购需求相关要求的，得6分； 3.服务方案不全面，对项目需求内容没有全部响应或提供的实施安排计划不清楚，技术标准不规范，不能满足采购需求相关要求的，得2分； 4.提供的服务方案完全不适用采购需求的相关要求或未提供相关内容的，得0分。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 (3.0分)</w:t>
            </w:r>
          </w:p>
        </w:tc>
        <w:tc>
          <w:tcPr>
            <w:tcW w:type="dxa" w:w="5076"/>
          </w:tcPr>
          <w:p>
            <w:pPr>
              <w:pStyle w:val="null3"/>
              <w:jc w:val="left"/>
            </w:pPr>
            <w:r>
              <w:rPr/>
              <w:t>投标人具有国家行政监督主管部门认可认证机构颁发的以下认证证书：1.ISO 9001 质量管理体系。2.ISO 14001 环境管理体系。3. ISO 45001职业健康安全管理体系 注：需提供证书复印件并加盖投标人公章，每提供一项得1分，最高得3分。注：须提供证书复印件和国家认证认可监督管理委员会官方网站(www.cnca.gov.cn)网页查询结果截图（且证书处于有效状态）并加盖投标人公章，否则不得分。分公司参与投标的，有总公司对分公司的投标授权，总公司提供的上述材料对分公司有效。</w:t>
            </w:r>
          </w:p>
        </w:tc>
      </w:tr>
      <w:tr>
        <w:tc>
          <w:tcPr>
            <w:tcW w:type="dxa" w:w="922"/>
            <w:gridSpan w:val="2"/>
            <w:vMerge/>
          </w:tcPr>
          <w:p/>
        </w:tc>
        <w:tc>
          <w:tcPr>
            <w:tcW w:type="dxa" w:w="2307"/>
          </w:tcPr>
          <w:p>
            <w:pPr>
              <w:pStyle w:val="null3"/>
              <w:jc w:val="left"/>
            </w:pPr>
            <w:r>
              <w:rPr/>
              <w:t>拟派技术服务团队 (4.0分)</w:t>
            </w:r>
          </w:p>
        </w:tc>
        <w:tc>
          <w:tcPr>
            <w:tcW w:type="dxa" w:w="5076"/>
          </w:tcPr>
          <w:p>
            <w:pPr>
              <w:pStyle w:val="null3"/>
              <w:jc w:val="left"/>
            </w:pPr>
            <w:r>
              <w:rPr/>
              <w:t>根据各投标人拟派本项目的技术服务团队进行评审：1.具有电子技术高级工程师(或以上)职称证书得2分； 2.具有信息系统管理工程师(或以上)资格证书得1分； 3.具有系统集成项目管理工程师(或以上)资格证书得1分。 注：以上人员不重复得分，按最高分计取，最高得4分；须提供上述人员证书复印件及投标截止日前六个月内任意一个月在投标单位购买社保的证明材料并加盖投标人公章。分公司参与投标的，有总公司对分公司的投标授权，总公司提供的上述材料对分公司有效。</w:t>
            </w:r>
          </w:p>
        </w:tc>
      </w:tr>
      <w:tr>
        <w:tc>
          <w:tcPr>
            <w:tcW w:type="dxa" w:w="922"/>
            <w:gridSpan w:val="2"/>
            <w:vMerge/>
          </w:tcPr>
          <w:p/>
        </w:tc>
        <w:tc>
          <w:tcPr>
            <w:tcW w:type="dxa" w:w="2307"/>
          </w:tcPr>
          <w:p>
            <w:pPr>
              <w:pStyle w:val="null3"/>
              <w:jc w:val="left"/>
            </w:pPr>
            <w:r>
              <w:rPr/>
              <w:t>售后服务 (10.0分)</w:t>
            </w:r>
            <w:r>
              <w:rPr/>
              <w:t>，（等次分值选择：</w:t>
            </w:r>
            <w:r>
              <w:rPr/>
              <w:t>0.0;</w:t>
            </w:r>
            <w:r>
              <w:rPr/>
              <w:t>2.0;</w:t>
            </w:r>
            <w:r>
              <w:rPr/>
              <w:t>6.0;</w:t>
            </w:r>
            <w:r>
              <w:rPr/>
              <w:t>10.0;</w:t>
            </w:r>
            <w:r>
              <w:rPr/>
              <w:t>）</w:t>
            </w:r>
          </w:p>
        </w:tc>
        <w:tc>
          <w:tcPr>
            <w:tcW w:type="dxa" w:w="5076"/>
          </w:tcPr>
          <w:p>
            <w:pPr>
              <w:pStyle w:val="null3"/>
              <w:jc w:val="left"/>
            </w:pPr>
            <w:r>
              <w:rPr/>
              <w:t>根据投标人所提供的售后服务方案（包括但不限于售后服务承诺、培训服务计划、维修响应时间、应急处理方式等）进行评审： 1.售后服务方案内容完整详细，维修响应时间及时，应急处理措施到位，完全满足采购文件要求的，得10分； 2.售后服务方案内容较完整详细，维修响应速度较快，应急处理措施一般，基本满足采购文件要求的，得6分； 3.售后服务方案内容简单，响应速度不及时，应急处理措施简单，采购文件响应度较低的，得2分； 4.不提供不得分。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both"/>
      </w:pPr>
      <w:r>
        <w:rPr>
          <w:sz w:val="27"/>
          <w:b/>
        </w:rPr>
        <w:t>甲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b/>
        </w:rPr>
        <w:t>乙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rPr>
        <w:t xml:space="preserve"> </w:t>
      </w:r>
    </w:p>
    <w:p>
      <w:pPr>
        <w:pStyle w:val="null3"/>
        <w:spacing w:before="0" w:after="0" w:lineRule="auto" w:line="360"/>
        <w:ind w:left="0" w:right="0" w:firstLine="404"/>
        <w:jc w:val="both"/>
      </w:pPr>
      <w:r>
        <w:rPr>
          <w:sz w:val="27"/>
        </w:rPr>
        <w:t xml:space="preserve">根据 </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pStyle w:val="null3"/>
        <w:spacing w:before="0" w:after="0" w:lineRule="auto" w:line="360"/>
        <w:ind w:left="1092" w:right="0"/>
        <w:jc w:val="both"/>
      </w:pPr>
      <w:r>
        <w:rPr>
          <w:sz w:val="27"/>
          <w:b/>
        </w:rPr>
        <w:t>一、</w:t>
      </w:r>
      <w:r>
        <w:rPr>
          <w:sz w:val="27"/>
          <w:b/>
        </w:rPr>
        <w:t>货物内容</w:t>
      </w: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tcMar>
              <w:top w:type="dxa" w:w="37"/>
              <w:left w:type="dxa" w:w="67"/>
              <w:bottom w:type="dxa" w:w="30"/>
              <w:right w:type="dxa" w:w="67"/>
            </w:tcMar>
            <w:vAlign w:val="center"/>
          </w:tcPr>
          <w:p>
            <w:pPr>
              <w:pStyle w:val="null3"/>
              <w:spacing w:before="0" w:after="0"/>
              <w:ind w:left="0" w:right="0"/>
              <w:jc w:val="both"/>
            </w:pPr>
            <w:r>
              <w:rPr>
                <w:sz w:val="24"/>
              </w:rPr>
              <w:t>名称</w:t>
            </w:r>
          </w:p>
        </w:tc>
        <w:tc>
          <w:tcPr>
            <w:tcW w:type="dxa" w:w="351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品牌、规格、标准/主要服务内容</w:t>
            </w:r>
            <w:r>
              <w:rPr>
                <w:sz w:val="24"/>
              </w:rPr>
              <w:t xml:space="preserve"> </w:t>
            </w:r>
          </w:p>
        </w:tc>
        <w:tc>
          <w:tcPr>
            <w:tcW w:type="dxa" w:w="69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both"/>
            </w:pPr>
            <w:r>
              <w:rPr>
                <w:sz w:val="24"/>
              </w:rPr>
              <w:t>产地</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150" w:after="150"/>
              <w:ind w:left="0" w:right="0"/>
              <w:jc w:val="center"/>
            </w:pPr>
            <w:r>
              <w:rPr>
                <w:sz w:val="24"/>
              </w:rPr>
              <w:t>数量</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单位</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单价</w:t>
            </w:r>
          </w:p>
          <w:p>
            <w:pPr>
              <w:pStyle w:val="null3"/>
              <w:spacing w:before="0" w:after="0"/>
              <w:ind w:left="0" w:right="0"/>
              <w:jc w:val="center"/>
            </w:pPr>
            <w:r>
              <w:rPr>
                <w:sz w:val="24"/>
              </w:rPr>
              <w:t>（元）</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金额</w:t>
            </w:r>
          </w:p>
          <w:p>
            <w:pPr>
              <w:pStyle w:val="null3"/>
              <w:spacing w:before="0" w:after="0"/>
              <w:ind w:left="0" w:right="0"/>
              <w:jc w:val="center"/>
            </w:pPr>
            <w:r>
              <w:rPr>
                <w:sz w:val="24"/>
              </w:rPr>
              <w:t>（元）</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r>
              <w:rPr>
                <w:sz w:val="24"/>
              </w:rPr>
              <w:t>**</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r>
              <w:rPr>
                <w:sz w:val="24"/>
              </w:rPr>
              <w:t>**</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553"/>
            <w:gridSpan w:val="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150" w:after="150"/>
              <w:ind w:left="0" w:right="0"/>
              <w:jc w:val="center"/>
            </w:pPr>
            <w:r>
              <w:rPr>
                <w:sz w:val="24"/>
              </w:rPr>
              <w:t>合计：人民币大写：**元整</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p>
        </w:tc>
      </w:tr>
      <w:tr>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3516"/>
            <w:tcBorders>
              <w:top w:val="none" w:color="000000" w:sz="4"/>
              <w:left w:val="none" w:color="000000" w:sz="4"/>
              <w:bottom w:val="none" w:color="000000" w:sz="4"/>
              <w:right w:val="none" w:color="000000" w:sz="4"/>
            </w:tcBorders>
          </w:tcPr>
          <w:p>
            <w:pPr>
              <w:pStyle w:val="null3"/>
              <w:jc w:val="center"/>
            </w:pPr>
            <w:r>
              <w:rPr/>
              <w:t xml:space="preserve"> </w:t>
            </w:r>
          </w:p>
        </w:tc>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r>
    </w:tbl>
    <w:p>
      <w:pPr>
        <w:pStyle w:val="null3"/>
        <w:spacing w:before="0" w:after="0"/>
        <w:ind w:left="0" w:right="0"/>
        <w:jc w:val="both"/>
      </w:pPr>
      <w:r>
        <w:rPr>
          <w:sz w:val="32"/>
        </w:rPr>
        <w:t xml:space="preserve"> </w:t>
      </w:r>
    </w:p>
    <w:p>
      <w:pPr>
        <w:pStyle w:val="null3"/>
        <w:spacing w:before="0" w:after="0" w:lineRule="auto" w:line="360"/>
        <w:ind w:left="0" w:right="0" w:firstLine="400"/>
        <w:jc w:val="both"/>
      </w:pPr>
      <w:r>
        <w:rPr>
          <w:sz w:val="27"/>
        </w:rPr>
        <w:t>合同总额包括乙方设计、安装、随机零配件、标配工具、运输保险、调试、培训、质保期服务、各项税费及合同实施过程中不可预见费用等。</w:t>
      </w:r>
    </w:p>
    <w:p>
      <w:pPr>
        <w:pStyle w:val="null3"/>
        <w:spacing w:before="0" w:after="0" w:lineRule="auto" w:line="360"/>
        <w:ind w:left="0" w:right="0" w:firstLine="400"/>
        <w:jc w:val="both"/>
      </w:pPr>
      <w:r>
        <w:rPr>
          <w:sz w:val="27"/>
        </w:rPr>
        <w:t>注：货物名称内容必须与投标文件中货物名称内容一致。</w:t>
      </w:r>
    </w:p>
    <w:p>
      <w:pPr>
        <w:pStyle w:val="null3"/>
        <w:spacing w:before="0" w:after="0" w:lineRule="auto" w:line="360"/>
        <w:ind w:left="1092" w:right="0"/>
        <w:jc w:val="both"/>
      </w:pPr>
      <w:r>
        <w:rPr>
          <w:sz w:val="27"/>
          <w:b/>
        </w:rPr>
        <w:t>二、</w:t>
      </w:r>
      <w:r>
        <w:rPr>
          <w:sz w:val="27"/>
          <w:b/>
        </w:rPr>
        <w:t>合同金额</w:t>
      </w:r>
    </w:p>
    <w:p>
      <w:pPr>
        <w:pStyle w:val="null3"/>
        <w:spacing w:before="0" w:after="0" w:lineRule="auto" w:line="360"/>
        <w:ind w:left="0" w:right="0"/>
        <w:jc w:val="both"/>
      </w:pPr>
      <w:r>
        <w:rPr>
          <w:sz w:val="27"/>
        </w:rPr>
        <w:t>合同金额为（大写）：_________________元（￥_______________元）人民币。</w:t>
      </w:r>
    </w:p>
    <w:p>
      <w:pPr>
        <w:pStyle w:val="null3"/>
        <w:spacing w:before="0" w:after="0" w:lineRule="auto" w:line="360"/>
        <w:ind w:left="1092" w:right="0"/>
        <w:jc w:val="both"/>
      </w:pPr>
      <w:r>
        <w:rPr>
          <w:sz w:val="27"/>
          <w:b/>
        </w:rPr>
        <w:t>三、</w:t>
      </w:r>
      <w:r>
        <w:rPr>
          <w:sz w:val="27"/>
          <w:b/>
        </w:rPr>
        <w:t>设备要求</w:t>
      </w:r>
    </w:p>
    <w:p>
      <w:pPr>
        <w:pStyle w:val="null3"/>
        <w:spacing w:before="0" w:after="0" w:lineRule="auto" w:line="360"/>
        <w:ind w:left="0" w:right="0"/>
        <w:jc w:val="both"/>
      </w:pPr>
      <w:r>
        <w:rPr>
          <w:sz w:val="27"/>
        </w:rPr>
        <w:t>货物为原制造商制造的全新产品，整机无污染，无侵权行为、表面无划损、无任何缺陷隐患，在中国境内可依常规安全合法使用。</w:t>
      </w:r>
    </w:p>
    <w:p>
      <w:pPr>
        <w:pStyle w:val="null3"/>
        <w:spacing w:before="0" w:after="0" w:lineRule="auto" w:line="360"/>
        <w:ind w:left="1092" w:right="0"/>
        <w:jc w:val="both"/>
      </w:pPr>
      <w:r>
        <w:rPr>
          <w:sz w:val="27"/>
          <w:b/>
        </w:rPr>
        <w:t>四、</w:t>
      </w:r>
      <w:r>
        <w:rPr>
          <w:sz w:val="27"/>
          <w:b/>
        </w:rPr>
        <w:t>交货期、交货方式及交货地点</w:t>
      </w:r>
    </w:p>
    <w:p>
      <w:pPr>
        <w:pStyle w:val="null3"/>
        <w:spacing w:before="0" w:after="0" w:lineRule="auto" w:line="360"/>
        <w:ind w:left="0" w:right="0"/>
        <w:jc w:val="both"/>
      </w:pPr>
      <w:r>
        <w:rPr>
          <w:sz w:val="27"/>
        </w:rPr>
        <w:t xml:space="preserve">        </w:t>
      </w:r>
      <w:r>
        <w:rPr>
          <w:sz w:val="27"/>
        </w:rPr>
        <w:t>1.</w:t>
      </w:r>
      <w:r>
        <w:rPr>
          <w:sz w:val="27"/>
        </w:rPr>
        <w:t>交货期：</w:t>
      </w:r>
    </w:p>
    <w:p>
      <w:pPr>
        <w:pStyle w:val="null3"/>
        <w:spacing w:before="0" w:after="0" w:lineRule="auto" w:line="360"/>
        <w:ind w:left="0" w:right="0"/>
        <w:jc w:val="both"/>
      </w:pPr>
      <w:r>
        <w:rPr>
          <w:sz w:val="27"/>
        </w:rPr>
        <w:t xml:space="preserve">        </w:t>
      </w:r>
      <w:r>
        <w:rPr>
          <w:sz w:val="27"/>
        </w:rPr>
        <w:t>2.</w:t>
      </w:r>
      <w:r>
        <w:rPr>
          <w:sz w:val="27"/>
        </w:rPr>
        <w:t>交货方式：</w:t>
      </w:r>
    </w:p>
    <w:p>
      <w:pPr>
        <w:pStyle w:val="null3"/>
        <w:spacing w:before="0" w:after="0" w:lineRule="auto" w:line="360"/>
        <w:ind w:left="0" w:right="0"/>
        <w:jc w:val="both"/>
      </w:pPr>
      <w:r>
        <w:rPr>
          <w:sz w:val="27"/>
        </w:rPr>
        <w:t xml:space="preserve">        </w:t>
      </w:r>
      <w:r>
        <w:rPr>
          <w:sz w:val="27"/>
        </w:rPr>
        <w:t>3.</w:t>
      </w:r>
      <w:r>
        <w:rPr>
          <w:sz w:val="27"/>
        </w:rPr>
        <w:t>交货地点：</w:t>
      </w:r>
    </w:p>
    <w:p>
      <w:pPr>
        <w:pStyle w:val="null3"/>
        <w:spacing w:before="0" w:after="0" w:lineRule="auto" w:line="360"/>
        <w:ind w:left="1092" w:right="0"/>
        <w:jc w:val="both"/>
      </w:pPr>
      <w:r>
        <w:rPr>
          <w:sz w:val="27"/>
          <w:b/>
        </w:rPr>
        <w:t>五、</w:t>
      </w:r>
      <w:r>
        <w:rPr>
          <w:sz w:val="27"/>
          <w:b/>
        </w:rPr>
        <w:t>付款方式</w:t>
      </w:r>
    </w:p>
    <w:p>
      <w:pPr>
        <w:pStyle w:val="null3"/>
        <w:spacing w:before="0" w:after="0" w:lineRule="auto" w:line="360"/>
        <w:ind w:left="0" w:right="0"/>
        <w:jc w:val="both"/>
      </w:pPr>
      <w:r>
        <w:rPr>
          <w:sz w:val="27"/>
        </w:rPr>
        <w:t>由甲方按下列程序在</w:t>
      </w:r>
      <w:r>
        <w:rPr>
          <w:sz w:val="27"/>
          <w:u w:val="single"/>
        </w:rPr>
        <w:t xml:space="preserve">        </w:t>
      </w:r>
      <w:r>
        <w:rPr>
          <w:sz w:val="27"/>
        </w:rPr>
        <w:t>内付款：</w:t>
      </w:r>
    </w:p>
    <w:p>
      <w:pPr>
        <w:pStyle w:val="null3"/>
        <w:spacing w:before="0" w:after="0" w:lineRule="auto" w:line="360"/>
        <w:ind w:left="0" w:right="0"/>
        <w:jc w:val="both"/>
      </w:pPr>
      <w:r>
        <w:rPr>
          <w:sz w:val="27"/>
        </w:rPr>
        <w:t>1.</w:t>
      </w:r>
      <w:r>
        <w:rPr>
          <w:sz w:val="27"/>
        </w:rPr>
        <w:t>预付款：签订合同后，支付合同总价的</w:t>
      </w:r>
      <w:r>
        <w:rPr>
          <w:sz w:val="27"/>
          <w:u w:val="single"/>
        </w:rPr>
        <w:t xml:space="preserve">      </w:t>
      </w:r>
      <w:r>
        <w:rPr>
          <w:sz w:val="27"/>
        </w:rPr>
        <w:t>%。</w:t>
      </w:r>
    </w:p>
    <w:p>
      <w:pPr>
        <w:pStyle w:val="null3"/>
        <w:spacing w:before="0" w:after="0" w:lineRule="auto" w:line="360"/>
        <w:ind w:left="0" w:right="0"/>
        <w:jc w:val="both"/>
      </w:pPr>
      <w:r>
        <w:rPr>
          <w:sz w:val="27"/>
        </w:rPr>
        <w:t>2.</w:t>
      </w:r>
      <w:r>
        <w:rPr>
          <w:sz w:val="27"/>
        </w:rPr>
        <w:t>设备安装调试结束，提交全部报告材料，调试完成并验收合格后，支付至合同金额的</w:t>
      </w:r>
      <w:r>
        <w:rPr>
          <w:sz w:val="27"/>
          <w:u w:val="single"/>
        </w:rPr>
        <w:t xml:space="preserve">      </w:t>
      </w:r>
      <w:r>
        <w:rPr>
          <w:sz w:val="27"/>
        </w:rPr>
        <w:t>%，同时无息退还乙方的合同履约保证金。</w:t>
      </w:r>
    </w:p>
    <w:p>
      <w:pPr>
        <w:pStyle w:val="null3"/>
        <w:spacing w:before="0" w:after="0" w:lineRule="auto" w:line="360"/>
        <w:ind w:left="0" w:right="0"/>
        <w:jc w:val="both"/>
      </w:pPr>
      <w:r>
        <w:rPr>
          <w:sz w:val="27"/>
        </w:rPr>
        <w:t>3.</w:t>
      </w:r>
      <w:r>
        <w:rPr>
          <w:sz w:val="27"/>
        </w:rPr>
        <w:t>从验收合格之日起，正常使用</w:t>
      </w:r>
      <w:r>
        <w:rPr>
          <w:sz w:val="27"/>
          <w:u w:val="single"/>
        </w:rPr>
        <w:t xml:space="preserve">     </w:t>
      </w:r>
      <w:r>
        <w:rPr>
          <w:sz w:val="27"/>
        </w:rPr>
        <w:t>个月后，支付合同总价的</w:t>
      </w:r>
      <w:r>
        <w:rPr>
          <w:sz w:val="27"/>
          <w:u w:val="single"/>
        </w:rPr>
        <w:t xml:space="preserve">    </w:t>
      </w:r>
      <w:r>
        <w:rPr>
          <w:sz w:val="27"/>
        </w:rPr>
        <w:t>％。</w:t>
      </w:r>
    </w:p>
    <w:p>
      <w:pPr>
        <w:pStyle w:val="null3"/>
        <w:spacing w:before="0" w:after="0" w:lineRule="auto" w:line="360"/>
        <w:ind w:left="0" w:right="0"/>
        <w:jc w:val="both"/>
      </w:pPr>
      <w:r>
        <w:rPr>
          <w:sz w:val="27"/>
        </w:rPr>
        <w:t xml:space="preserve">4.   </w:t>
      </w:r>
      <w:r>
        <w:rPr>
          <w:sz w:val="27"/>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lineRule="auto" w:line="360"/>
        <w:ind w:left="1092" w:right="0"/>
        <w:jc w:val="both"/>
      </w:pPr>
      <w:r>
        <w:rPr>
          <w:sz w:val="27"/>
          <w:b/>
        </w:rPr>
        <w:t>六、</w:t>
      </w:r>
      <w:r>
        <w:rPr>
          <w:sz w:val="27"/>
          <w:b/>
        </w:rPr>
        <w:t>质保期及售后服务要求</w:t>
      </w:r>
    </w:p>
    <w:p>
      <w:pPr>
        <w:pStyle w:val="null3"/>
        <w:spacing w:before="0" w:after="0" w:lineRule="auto" w:line="360"/>
        <w:ind w:left="0" w:right="0"/>
        <w:jc w:val="both"/>
      </w:pPr>
      <w:r>
        <w:rPr>
          <w:sz w:val="27"/>
        </w:rPr>
        <w:t>1.</w:t>
      </w:r>
      <w:r>
        <w:rPr>
          <w:sz w:val="27"/>
        </w:rPr>
        <w:t>本合同的质量保证期（简称“质保期”）为</w:t>
      </w:r>
      <w:r>
        <w:rPr>
          <w:sz w:val="27"/>
          <w:u w:val="single"/>
        </w:rPr>
        <w:t xml:space="preserve">     </w:t>
      </w:r>
      <w:r>
        <w:rPr>
          <w:sz w:val="27"/>
        </w:rPr>
        <w:t>年，质保期内乙方对所供货物实行包修、包换、包退及合同约定的其它事项，期满后可同时提供终身</w:t>
      </w:r>
      <w:r>
        <w:rPr>
          <w:sz w:val="27"/>
          <w:u w:val="single"/>
        </w:rPr>
        <w:t>(免费/有偿)</w:t>
      </w:r>
      <w:r>
        <w:rPr>
          <w:sz w:val="27"/>
        </w:rPr>
        <w:t>维修保养服务。</w:t>
      </w:r>
    </w:p>
    <w:p>
      <w:pPr>
        <w:pStyle w:val="null3"/>
        <w:spacing w:before="0" w:after="0" w:lineRule="auto" w:line="360"/>
        <w:ind w:left="0" w:right="0"/>
        <w:jc w:val="both"/>
      </w:pPr>
      <w:r>
        <w:rPr>
          <w:sz w:val="27"/>
        </w:rPr>
        <w:t>2.</w:t>
      </w:r>
      <w:r>
        <w:rPr>
          <w:sz w:val="27"/>
        </w:rPr>
        <w:t>质保期内，如设备或零部件因质量原因出现故障而造成短期停用时，则质保期和免费维修期相应顺延。如停用时间累计超过60天则质保期重新计算。</w:t>
      </w:r>
    </w:p>
    <w:p>
      <w:pPr>
        <w:pStyle w:val="null3"/>
        <w:spacing w:before="0" w:after="0" w:lineRule="auto" w:line="360"/>
        <w:ind w:left="0" w:right="0"/>
        <w:jc w:val="both"/>
      </w:pPr>
      <w:r>
        <w:rPr>
          <w:sz w:val="27"/>
        </w:rPr>
        <w:t>3.</w:t>
      </w:r>
      <w:r>
        <w:rPr>
          <w:sz w:val="27"/>
        </w:rPr>
        <w:t>对甲方的服务通知，乙方在接报后1小时内响应，4小时内到达现场，48小时内处理完毕。若在48小时内仍未能有效解决，乙方须免费提供同等级的设备予甲方临时使用。</w:t>
      </w:r>
    </w:p>
    <w:p>
      <w:pPr>
        <w:pStyle w:val="null3"/>
        <w:spacing w:before="0" w:after="0" w:lineRule="auto" w:line="360"/>
        <w:ind w:left="1092" w:right="0"/>
        <w:jc w:val="both"/>
      </w:pPr>
      <w:r>
        <w:rPr>
          <w:sz w:val="27"/>
          <w:b/>
        </w:rPr>
        <w:t>七、</w:t>
      </w:r>
      <w:r>
        <w:rPr>
          <w:sz w:val="27"/>
          <w:b/>
        </w:rPr>
        <w:t>安装与调试</w:t>
      </w:r>
    </w:p>
    <w:p>
      <w:pPr>
        <w:pStyle w:val="null3"/>
        <w:spacing w:before="0" w:after="0" w:lineRule="auto" w:line="360"/>
        <w:ind w:left="0" w:right="0"/>
        <w:jc w:val="both"/>
      </w:pPr>
      <w:r>
        <w:rPr>
          <w:sz w:val="27"/>
        </w:rPr>
        <w:t>1.</w:t>
      </w:r>
      <w:r>
        <w:rPr>
          <w:sz w:val="27"/>
        </w:rPr>
        <w:t>乙方必须依照招标文件的要求和报价文件的承诺，将设备、系统安装并调试至正常运行的最佳状态。</w:t>
      </w:r>
    </w:p>
    <w:p>
      <w:pPr>
        <w:pStyle w:val="null3"/>
        <w:spacing w:before="0" w:after="0" w:lineRule="auto" w:line="360"/>
        <w:ind w:left="1092" w:right="0"/>
        <w:jc w:val="both"/>
      </w:pPr>
      <w:r>
        <w:rPr>
          <w:sz w:val="27"/>
          <w:b/>
        </w:rPr>
        <w:t>八、</w:t>
      </w:r>
      <w:r>
        <w:rPr>
          <w:sz w:val="27"/>
          <w:b/>
        </w:rPr>
        <w:t>验收：</w:t>
      </w:r>
    </w:p>
    <w:p>
      <w:pPr>
        <w:pStyle w:val="null3"/>
        <w:spacing w:before="0" w:after="0" w:lineRule="auto" w:line="360"/>
        <w:ind w:left="0" w:right="0"/>
        <w:jc w:val="both"/>
      </w:pPr>
      <w:r>
        <w:rPr>
          <w:sz w:val="27"/>
        </w:rPr>
        <w:t>1.</w:t>
      </w:r>
      <w:r>
        <w:rPr>
          <w:sz w:val="27"/>
        </w:rPr>
        <w:t>交付验收标准</w:t>
      </w:r>
      <w:r>
        <w:rPr>
          <w:sz w:val="27"/>
        </w:rPr>
        <w:t>依次序对照适用</w:t>
      </w:r>
      <w:r>
        <w:rPr>
          <w:sz w:val="27"/>
        </w:rPr>
        <w:t>标准</w:t>
      </w:r>
      <w:r>
        <w:rPr>
          <w:sz w:val="27"/>
        </w:rPr>
        <w:t>为：</w:t>
      </w:r>
      <w:r>
        <w:rPr>
          <w:sz w:val="27"/>
        </w:rPr>
        <w:t>①符合中华人民共和国国家安全质量标准、环保标准或行业标准；②符合招标文件和响应承诺中甲方认可的合理最佳配置、参数及各项要求；③货物来源国官方标准。</w:t>
      </w:r>
    </w:p>
    <w:p>
      <w:pPr>
        <w:pStyle w:val="null3"/>
        <w:spacing w:before="0" w:after="0" w:lineRule="auto" w:line="360"/>
        <w:ind w:left="0" w:right="0"/>
        <w:jc w:val="both"/>
      </w:pPr>
      <w:r>
        <w:rPr>
          <w:sz w:val="27"/>
        </w:rPr>
        <w:t>2.</w:t>
      </w:r>
      <w:r>
        <w:rPr>
          <w:sz w:val="27"/>
        </w:rPr>
        <w:t>进口产品必须具备原产地证明和商检局的检验证明及合法进货渠道证明。</w:t>
      </w:r>
    </w:p>
    <w:p>
      <w:pPr>
        <w:pStyle w:val="null3"/>
        <w:spacing w:before="0" w:after="0" w:lineRule="auto" w:line="360"/>
        <w:ind w:left="0" w:right="0"/>
        <w:jc w:val="both"/>
      </w:pPr>
      <w:r>
        <w:rPr>
          <w:sz w:val="27"/>
        </w:rPr>
        <w:t>3.</w:t>
      </w:r>
      <w:r>
        <w:rPr>
          <w:sz w:val="27"/>
        </w:rPr>
        <w:t>货物为原厂商未启封全新包装，具出厂合格证，序列号、包装箱号与出厂批号一致，并可追索查阅。所有随设备的附件必须齐全。</w:t>
      </w:r>
    </w:p>
    <w:p>
      <w:pPr>
        <w:pStyle w:val="null3"/>
        <w:spacing w:before="0" w:after="0" w:lineRule="auto" w:line="360"/>
        <w:ind w:left="0" w:right="0"/>
        <w:jc w:val="both"/>
      </w:pPr>
      <w:r>
        <w:rPr>
          <w:sz w:val="27"/>
        </w:rPr>
        <w:t>4.</w:t>
      </w:r>
      <w:r>
        <w:rPr>
          <w:sz w:val="27"/>
        </w:rPr>
        <w:t>乙方应将关键主机设备的用户手册、保修手册、有关单证资料及配备件、随机工具等交付给甲方，使用操作及安全须知等重要资料应附有中文说明。</w:t>
      </w:r>
    </w:p>
    <w:p>
      <w:pPr>
        <w:pStyle w:val="null3"/>
        <w:spacing w:before="0" w:after="0" w:lineRule="auto" w:line="360"/>
        <w:ind w:left="0" w:right="0"/>
        <w:jc w:val="both"/>
      </w:pPr>
      <w:r>
        <w:rPr>
          <w:sz w:val="27"/>
        </w:rPr>
        <w:t>5.</w:t>
      </w:r>
      <w:r>
        <w:rPr>
          <w:sz w:val="27"/>
        </w:rPr>
        <w:t>甲方组成验收小组按国家有关规定、规范进行验收，必要时邀请</w:t>
      </w:r>
      <w:r>
        <w:rPr>
          <w:sz w:val="27"/>
        </w:rPr>
        <w:t>相关的专业人员或机构参与验收。因货物质量问题发生争议时，由本地质量技术监督部门鉴定。货物符合质量技术标准的，鉴定费由甲方承担；否则鉴定费由乙方承担。</w:t>
      </w:r>
    </w:p>
    <w:p>
      <w:pPr>
        <w:pStyle w:val="null3"/>
        <w:spacing w:before="0" w:after="0" w:lineRule="auto" w:line="360"/>
        <w:ind w:left="1092" w:right="0"/>
        <w:jc w:val="both"/>
      </w:pPr>
      <w:r>
        <w:rPr>
          <w:sz w:val="27"/>
          <w:b/>
        </w:rPr>
        <w:t>九、</w:t>
      </w:r>
      <w:r>
        <w:rPr>
          <w:sz w:val="27"/>
          <w:b/>
        </w:rPr>
        <w:t>违约责任与赔偿损失</w:t>
      </w:r>
    </w:p>
    <w:p>
      <w:pPr>
        <w:pStyle w:val="null3"/>
        <w:spacing w:before="0" w:after="0" w:lineRule="auto" w:line="360"/>
        <w:ind w:left="0" w:right="0"/>
        <w:jc w:val="both"/>
      </w:pPr>
      <w:r>
        <w:rPr>
          <w:sz w:val="27"/>
        </w:rPr>
        <w:t>1.</w:t>
      </w:r>
      <w:r>
        <w:rPr>
          <w:sz w:val="27"/>
        </w:rPr>
        <w:t>乙方交付的货物、工程/提供的服务不符合本合同规定的，甲方有权拒收，并且乙方须向甲方支付本合同总价5%的违约金。</w:t>
      </w:r>
    </w:p>
    <w:p>
      <w:pPr>
        <w:pStyle w:val="null3"/>
        <w:spacing w:before="0" w:after="0" w:lineRule="auto" w:line="360"/>
        <w:ind w:left="0" w:right="0"/>
        <w:jc w:val="both"/>
      </w:pPr>
      <w:r>
        <w:rPr>
          <w:sz w:val="27"/>
        </w:rPr>
        <w:t>2.</w:t>
      </w:r>
      <w:r>
        <w:rPr>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spacing w:before="0" w:after="0" w:lineRule="auto" w:line="360"/>
        <w:ind w:left="0" w:right="0"/>
        <w:jc w:val="both"/>
      </w:pPr>
      <w:r>
        <w:rPr>
          <w:sz w:val="27"/>
        </w:rPr>
        <w:t>3.</w:t>
      </w:r>
      <w:r>
        <w:rPr>
          <w:sz w:val="27"/>
        </w:rPr>
        <w:t>甲方无正当理由拒收货物/接受服务，到期拒付货物/服务款项的，甲方向乙方偿付本合同总的5%的违约金。甲方人逾期付款，则每日按本合同总价的3‰向乙方偿付违约金。</w:t>
      </w:r>
    </w:p>
    <w:p>
      <w:pPr>
        <w:pStyle w:val="null3"/>
        <w:spacing w:before="0" w:after="0" w:lineRule="auto" w:line="360"/>
        <w:ind w:left="0" w:right="0"/>
        <w:jc w:val="both"/>
      </w:pPr>
      <w:r>
        <w:rPr>
          <w:sz w:val="27"/>
        </w:rPr>
        <w:t>4.   对于因甲方原因导致变更、中止或者终止政府采购合同的，甲方应当依照以下合同约定对供应商受到的损失予以赔偿或者补偿：</w:t>
      </w:r>
    </w:p>
    <w:p>
      <w:pPr>
        <w:pStyle w:val="null3"/>
        <w:spacing w:before="0" w:after="0" w:lineRule="auto" w:line="360"/>
        <w:ind w:left="0" w:right="0"/>
        <w:jc w:val="both"/>
      </w:pPr>
      <w:r>
        <w:rPr>
          <w:sz w:val="27"/>
        </w:rPr>
        <w:t xml:space="preserve">       </w:t>
      </w:r>
      <w:r>
        <w:rPr>
          <w:sz w:val="27"/>
          <w:u w:val="single"/>
        </w:rPr>
        <w:t xml:space="preserve">                                                </w:t>
      </w:r>
    </w:p>
    <w:p>
      <w:pPr>
        <w:pStyle w:val="null3"/>
        <w:spacing w:before="0" w:after="0" w:lineRule="auto" w:line="360"/>
        <w:ind w:left="0" w:right="0"/>
        <w:jc w:val="both"/>
      </w:pPr>
      <w:r>
        <w:rPr>
          <w:sz w:val="27"/>
        </w:rPr>
        <w:t>5.</w:t>
      </w:r>
      <w:r>
        <w:rPr>
          <w:sz w:val="27"/>
        </w:rPr>
        <w:t>其它违约责任按《中华人民</w:t>
      </w:r>
      <w:r>
        <w:rPr>
          <w:sz w:val="27"/>
        </w:rPr>
        <w:t>共和国民法典(合同编)》处理。</w:t>
      </w:r>
    </w:p>
    <w:p>
      <w:pPr>
        <w:pStyle w:val="null3"/>
        <w:spacing w:before="0" w:after="0" w:lineRule="auto" w:line="360"/>
        <w:ind w:left="1092" w:right="0"/>
        <w:jc w:val="both"/>
      </w:pPr>
      <w:r>
        <w:rPr>
          <w:sz w:val="27"/>
          <w:b/>
        </w:rPr>
        <w:t>十、</w:t>
      </w:r>
      <w:r>
        <w:rPr>
          <w:sz w:val="27"/>
          <w:b/>
        </w:rPr>
        <w:t>争议的解决</w:t>
      </w:r>
      <w:r>
        <w:rPr>
          <w:sz w:val="27"/>
        </w:rPr>
        <w:t xml:space="preserve">   合同执行过程中发生的任何争议，如双方不能通过友好协商解决，按相关法律法规处理。</w:t>
      </w:r>
    </w:p>
    <w:p>
      <w:pPr>
        <w:pStyle w:val="null3"/>
        <w:spacing w:before="0" w:after="0" w:lineRule="auto" w:line="360"/>
        <w:ind w:left="1092" w:right="0"/>
        <w:jc w:val="both"/>
      </w:pPr>
      <w:r>
        <w:rPr>
          <w:sz w:val="27"/>
          <w:b/>
        </w:rPr>
        <w:t>十一、不可抗力</w:t>
      </w:r>
    </w:p>
    <w:p>
      <w:pPr>
        <w:pStyle w:val="null3"/>
        <w:spacing w:before="0" w:after="0" w:lineRule="auto" w:line="360"/>
        <w:ind w:left="0" w:right="0"/>
        <w:jc w:val="both"/>
      </w:pPr>
      <w:r>
        <w:rPr>
          <w:sz w:val="27"/>
        </w:rPr>
        <w:t>1.</w:t>
      </w:r>
      <w:r>
        <w:rPr>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lineRule="auto" w:line="360"/>
        <w:ind w:left="1092" w:right="0"/>
        <w:jc w:val="both"/>
      </w:pPr>
      <w:r>
        <w:rPr>
          <w:sz w:val="27"/>
          <w:b/>
        </w:rPr>
        <w:t>十二、</w:t>
      </w:r>
      <w:r>
        <w:rPr>
          <w:sz w:val="27"/>
          <w:b/>
        </w:rPr>
        <w:t>税费</w:t>
      </w:r>
    </w:p>
    <w:p>
      <w:pPr>
        <w:pStyle w:val="null3"/>
        <w:spacing w:before="0" w:after="0" w:lineRule="auto" w:line="360"/>
        <w:ind w:left="0" w:right="0"/>
        <w:jc w:val="both"/>
      </w:pPr>
      <w:r>
        <w:rPr>
          <w:sz w:val="27"/>
        </w:rPr>
        <w:t>1.</w:t>
      </w:r>
      <w:r>
        <w:rPr>
          <w:sz w:val="27"/>
        </w:rPr>
        <w:t>在中国境内、外发生的与本合同执行有关的一切税费均由乙方负担。</w:t>
      </w:r>
    </w:p>
    <w:p>
      <w:pPr>
        <w:pStyle w:val="null3"/>
        <w:spacing w:before="0" w:after="0" w:lineRule="auto" w:line="360"/>
        <w:ind w:left="1092" w:right="0"/>
        <w:jc w:val="both"/>
      </w:pPr>
      <w:r>
        <w:rPr>
          <w:sz w:val="27"/>
          <w:b/>
        </w:rPr>
        <w:t>十三、</w:t>
      </w:r>
      <w:r>
        <w:rPr>
          <w:sz w:val="27"/>
        </w:rPr>
        <w:t xml:space="preserve"> </w:t>
      </w:r>
      <w:r>
        <w:rPr>
          <w:sz w:val="27"/>
          <w:b/>
        </w:rPr>
        <w:t>其它</w:t>
      </w:r>
    </w:p>
    <w:p>
      <w:pPr>
        <w:pStyle w:val="null3"/>
        <w:spacing w:before="0" w:after="0" w:lineRule="auto" w:line="360"/>
        <w:ind w:left="0" w:right="0"/>
        <w:jc w:val="both"/>
      </w:pPr>
      <w:r>
        <w:rPr>
          <w:sz w:val="27"/>
        </w:rPr>
        <w:t>1.</w:t>
      </w:r>
      <w:r>
        <w:rPr>
          <w:sz w:val="27"/>
        </w:rPr>
        <w:t>本合同所有附件、招标文件、投标文件、中标通知书均为合同的有效组成部分，与本合同具有同等法律效力。</w:t>
      </w:r>
    </w:p>
    <w:p>
      <w:pPr>
        <w:pStyle w:val="null3"/>
        <w:spacing w:before="0" w:after="0" w:lineRule="auto" w:line="360"/>
        <w:ind w:left="0" w:right="0"/>
        <w:jc w:val="both"/>
      </w:pPr>
      <w:r>
        <w:rPr>
          <w:sz w:val="27"/>
        </w:rPr>
        <w:t>2.</w:t>
      </w:r>
      <w:r>
        <w:rPr>
          <w:sz w:val="27"/>
        </w:rPr>
        <w:t>在执行本合同的过程中，所有经双方签署确认的文件（包括会议纪要、补充协议、往来信函）即成为本合同的有效组成部分。</w:t>
      </w:r>
    </w:p>
    <w:p>
      <w:pPr>
        <w:pStyle w:val="null3"/>
        <w:spacing w:before="0" w:after="0" w:lineRule="auto" w:line="360"/>
        <w:ind w:left="0" w:right="0"/>
        <w:jc w:val="both"/>
      </w:pPr>
      <w:r>
        <w:rPr>
          <w:sz w:val="27"/>
        </w:rPr>
        <w:t>3.</w:t>
      </w:r>
      <w:r>
        <w:rPr>
          <w:sz w:val="27"/>
        </w:rPr>
        <w:t>如一方地址、电话、传真号码有变更，应在变更当日内书面通知对方，否则，应承担相应责任。</w:t>
      </w:r>
    </w:p>
    <w:p>
      <w:pPr>
        <w:pStyle w:val="null3"/>
        <w:spacing w:before="0" w:after="0" w:lineRule="auto" w:line="360"/>
        <w:ind w:left="0" w:right="0"/>
        <w:jc w:val="both"/>
      </w:pPr>
      <w:r>
        <w:rPr>
          <w:sz w:val="27"/>
        </w:rPr>
        <w:t>4.</w:t>
      </w:r>
      <w:r>
        <w:rPr>
          <w:sz w:val="27"/>
        </w:rPr>
        <w:t>除甲方事先书面同意外，乙方不得部分或全部转让其应履行的合同项下的义务。</w:t>
      </w:r>
    </w:p>
    <w:p>
      <w:pPr>
        <w:pStyle w:val="null3"/>
        <w:spacing w:before="0" w:after="0" w:lineRule="auto" w:line="360"/>
        <w:ind w:left="1092" w:right="0"/>
        <w:jc w:val="both"/>
      </w:pPr>
      <w:r>
        <w:rPr>
          <w:sz w:val="27"/>
          <w:b/>
        </w:rPr>
        <w:t>十四、</w:t>
      </w:r>
      <w:r>
        <w:rPr>
          <w:sz w:val="27"/>
        </w:rPr>
        <w:t xml:space="preserve">      </w:t>
      </w:r>
      <w:r>
        <w:rPr>
          <w:sz w:val="27"/>
          <w:b/>
        </w:rPr>
        <w:t>合同生效</w:t>
      </w:r>
    </w:p>
    <w:p>
      <w:pPr>
        <w:pStyle w:val="null3"/>
        <w:spacing w:before="0" w:after="0" w:lineRule="auto" w:line="360"/>
        <w:ind w:left="0" w:right="0"/>
        <w:jc w:val="both"/>
      </w:pPr>
      <w:r>
        <w:rPr>
          <w:sz w:val="27"/>
        </w:rPr>
        <w:t>1.</w:t>
      </w:r>
      <w:r>
        <w:rPr>
          <w:sz w:val="27"/>
        </w:rPr>
        <w:t>本合同在甲乙双方法人代表或其授权代表签字盖章后生效。</w:t>
      </w:r>
    </w:p>
    <w:p>
      <w:pPr>
        <w:pStyle w:val="null3"/>
        <w:spacing w:before="0" w:after="0" w:lineRule="auto" w:line="360"/>
        <w:ind w:left="0" w:right="0"/>
        <w:jc w:val="both"/>
      </w:pPr>
      <w:r>
        <w:rPr>
          <w:sz w:val="27"/>
        </w:rPr>
        <w:t>2.</w:t>
      </w:r>
      <w:r>
        <w:rPr>
          <w:sz w:val="27"/>
        </w:rPr>
        <w:t>合同一式</w:t>
      </w:r>
      <w:r>
        <w:rPr>
          <w:sz w:val="27"/>
          <w:u w:val="single"/>
        </w:rPr>
        <w:t xml:space="preserve">    </w:t>
      </w:r>
      <w:r>
        <w:rPr>
          <w:sz w:val="27"/>
        </w:rPr>
        <w:t>份。</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b/>
        </w:rPr>
        <w:t>甲方（盖章）：</w:t>
      </w:r>
      <w:r>
        <w:rPr>
          <w:sz w:val="27"/>
          <w:b/>
        </w:rPr>
        <w:t>乙方（盖章）：</w:t>
      </w:r>
    </w:p>
    <w:p>
      <w:pPr>
        <w:pStyle w:val="null3"/>
        <w:spacing w:before="0" w:after="0" w:lineRule="auto" w:line="360"/>
        <w:ind w:left="0" w:right="0"/>
        <w:jc w:val="both"/>
      </w:pPr>
      <w:r>
        <w:rPr>
          <w:sz w:val="27"/>
          <w:b/>
        </w:rPr>
        <w:t>代表：</w:t>
      </w:r>
      <w:r>
        <w:rPr>
          <w:sz w:val="27"/>
          <w:b/>
        </w:rPr>
        <w:t>代表：</w:t>
      </w:r>
    </w:p>
    <w:p>
      <w:pPr>
        <w:pStyle w:val="null3"/>
        <w:spacing w:before="0" w:after="0" w:lineRule="auto" w:line="360"/>
        <w:ind w:left="0" w:right="0"/>
        <w:jc w:val="both"/>
      </w:pPr>
      <w:r>
        <w:rPr>
          <w:sz w:val="27"/>
        </w:rPr>
        <w:t>签订地点：</w:t>
      </w:r>
    </w:p>
    <w:p>
      <w:pPr>
        <w:pStyle w:val="null3"/>
        <w:spacing w:before="0" w:after="0" w:lineRule="auto" w:line="360"/>
        <w:ind w:left="0" w:right="0"/>
        <w:jc w:val="both"/>
      </w:pPr>
      <w:r>
        <w:rPr>
          <w:sz w:val="27"/>
        </w:rPr>
        <w:t>签订日期：　　　年　　月　　日</w:t>
      </w:r>
      <w:r>
        <w:rPr>
          <w:sz w:val="27"/>
        </w:rPr>
        <w:t>签订日期：　　　年　　月　　日</w:t>
      </w:r>
    </w:p>
    <w:p>
      <w:pPr>
        <w:pStyle w:val="null3"/>
        <w:spacing w:before="0" w:after="0" w:lineRule="auto" w:line="360"/>
        <w:ind w:left="0" w:right="0"/>
        <w:jc w:val="both"/>
      </w:pPr>
      <w:r>
        <w:rPr>
          <w:sz w:val="27"/>
        </w:rPr>
        <w:t>开户名称：</w:t>
      </w:r>
    </w:p>
    <w:p>
      <w:pPr>
        <w:pStyle w:val="null3"/>
        <w:spacing w:before="0" w:after="0" w:lineRule="auto" w:line="360"/>
        <w:ind w:left="0" w:right="0"/>
        <w:jc w:val="both"/>
      </w:pPr>
      <w:r>
        <w:rPr>
          <w:sz w:val="27"/>
        </w:rPr>
        <w:t>银行帐号：</w:t>
      </w:r>
    </w:p>
    <w:p>
      <w:pPr>
        <w:pStyle w:val="null3"/>
        <w:spacing w:before="0" w:after="0" w:lineRule="auto" w:line="360"/>
        <w:ind w:left="0" w:right="0"/>
        <w:jc w:val="both"/>
      </w:pPr>
      <w:r>
        <w:rPr>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441721-2024-02479</w:t>
      </w:r>
    </w:p>
    <w:p>
      <w:pPr>
        <w:pStyle w:val="null3"/>
        <w:jc w:val="center"/>
        <w:outlineLvl w:val="3"/>
      </w:pPr>
      <w:r>
        <w:rPr>
          <w:sz w:val="24"/>
          <w:b/>
        </w:rPr>
        <w:t>采购项目编号：</w:t>
      </w:r>
      <w:r>
        <w:rPr>
          <w:sz w:val="24"/>
          <w:b/>
        </w:rPr>
        <w:t>GDCD20240857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广东畅达项目管理有限公司</w:t>
      </w:r>
    </w:p>
    <w:p>
      <w:pPr>
        <w:pStyle w:val="null3"/>
        <w:ind w:firstLine="480"/>
      </w:pPr>
      <w:r>
        <w:rPr/>
        <w:t xml:space="preserve"> 你方组织的</w:t>
      </w:r>
      <w:r>
        <w:rPr>
          <w:u w:val="single"/>
        </w:rPr>
        <w:t>“</w:t>
      </w:r>
      <w:r>
        <w:rPr>
          <w:u w:val="single"/>
        </w:rPr>
        <w:t>阳西县不动产登记平台网络安全等级保护整改建设项目</w:t>
      </w:r>
      <w:r>
        <w:rPr>
          <w:u w:val="single"/>
        </w:rPr>
        <w:t>”</w:t>
      </w:r>
      <w:r>
        <w:rPr/>
        <w:t>项目的招标[采购项目编号为：</w:t>
      </w:r>
      <w:r>
        <w:rPr>
          <w:u w:val="single"/>
        </w:rPr>
        <w:t>GDCD20240857</w:t>
      </w:r>
      <w:r>
        <w:rPr/>
        <w:t>]，我方愿参与投标。</w:t>
      </w:r>
    </w:p>
    <w:p>
      <w:pPr>
        <w:pStyle w:val="null3"/>
        <w:ind w:firstLine="480"/>
      </w:pPr>
      <w:r>
        <w:rPr/>
        <w:t>我方确认收到贵方提供的</w:t>
      </w:r>
      <w:r>
        <w:rPr>
          <w:u w:val="single"/>
        </w:rPr>
        <w:t>“</w:t>
      </w:r>
      <w:r>
        <w:rPr>
          <w:u w:val="single"/>
        </w:rPr>
        <w:t>阳西县不动产登记平台网络安全等级保护整改建设项目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广东畅达项目管理有限公司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阳西县不动产登记平台网络安全等级保护整改建设项目</w:t>
      </w:r>
      <w:r>
        <w:rPr/>
        <w:t>”项目采购[采购项目编号为</w:t>
      </w:r>
      <w:r>
        <w:rPr/>
        <w:t>GDCD20240857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阳西县自然资源局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广东畅达项目管理有限公司</w:t>
      </w:r>
    </w:p>
    <w:p>
      <w:pPr>
        <w:pStyle w:val="null3"/>
        <w:ind w:firstLine="480"/>
      </w:pPr>
      <w:r>
        <w:rPr/>
        <w:t xml:space="preserve"> 如果我方在贵采购代理机构组织的</w:t>
      </w:r>
      <w:r>
        <w:rPr/>
        <w:t>阳西县不动产登记平台网络安全等级保护整改建设项目</w:t>
      </w:r>
      <w:r>
        <w:rPr/>
        <w:t>招标中获中标（采购项目编号：</w:t>
      </w:r>
      <w:r>
        <w:rPr/>
        <w:t>GDCD20240857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广东畅达项目管理有限公司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广东畅达项目管理有限公司</w:t>
      </w:r>
    </w:p>
    <w:p>
      <w:pPr>
        <w:pStyle w:val="null3"/>
        <w:ind w:firstLine="480"/>
      </w:pPr>
      <w:r>
        <w:rPr/>
        <w:t>我单位已登记并准备参与“</w:t>
      </w:r>
      <w:r>
        <w:rPr/>
        <w:t>阳西县不动产登记平台网络安全等级保护整改建设项目</w:t>
      </w:r>
      <w:r>
        <w:rPr/>
        <w:t>”项目（采购项目编号：</w:t>
      </w:r>
      <w:r>
        <w:rPr/>
        <w:t>GDCD20240857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