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b/>
          <w:bCs/>
          <w:color w:val="auto"/>
          <w:sz w:val="44"/>
          <w:szCs w:val="44"/>
          <w:highlight w:val="none"/>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9"/>
        <w:rPr>
          <w:rFonts w:hint="eastAsia" w:eastAsia="宋体"/>
          <w:b/>
          <w:bCs/>
          <w:color w:val="auto"/>
          <w:sz w:val="44"/>
          <w:szCs w:val="44"/>
          <w:highlight w:val="none"/>
          <w:lang w:eastAsia="zh-CN"/>
        </w:rPr>
      </w:pPr>
      <w:r>
        <w:rPr>
          <w:rFonts w:hint="eastAsia"/>
          <w:b/>
          <w:bCs/>
          <w:color w:val="auto"/>
          <w:sz w:val="44"/>
          <w:szCs w:val="44"/>
          <w:highlight w:val="none"/>
          <w:lang w:eastAsia="zh-CN"/>
        </w:rPr>
        <w:t>香格里拉市教育体育局2025年度学校食堂营养餐集中配送（净菜）服务</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sz w:val="84"/>
          <w:szCs w:val="84"/>
          <w:highlight w:val="none"/>
          <w:lang w:eastAsia="zh-CN"/>
        </w:rPr>
      </w:pPr>
      <w:r>
        <w:rPr>
          <w:rFonts w:hint="eastAsia"/>
          <w:color w:val="auto"/>
          <w:sz w:val="84"/>
          <w:szCs w:val="84"/>
          <w:highlight w:val="none"/>
          <w:lang w:eastAsia="zh-CN"/>
        </w:rPr>
        <w:t>招</w:t>
      </w:r>
      <w:r>
        <w:rPr>
          <w:rFonts w:hint="eastAsia"/>
          <w:color w:val="auto"/>
          <w:sz w:val="84"/>
          <w:szCs w:val="84"/>
          <w:highlight w:val="none"/>
          <w:lang w:val="en-US" w:eastAsia="zh-CN"/>
        </w:rPr>
        <w:t xml:space="preserve"> </w:t>
      </w:r>
      <w:r>
        <w:rPr>
          <w:rFonts w:hint="eastAsia"/>
          <w:color w:val="auto"/>
          <w:sz w:val="84"/>
          <w:szCs w:val="84"/>
          <w:highlight w:val="none"/>
          <w:lang w:eastAsia="zh-CN"/>
        </w:rPr>
        <w:t>标</w:t>
      </w:r>
      <w:r>
        <w:rPr>
          <w:rFonts w:hint="eastAsia"/>
          <w:color w:val="auto"/>
          <w:sz w:val="84"/>
          <w:szCs w:val="84"/>
          <w:highlight w:val="none"/>
          <w:lang w:val="en-US" w:eastAsia="zh-CN"/>
        </w:rPr>
        <w:t xml:space="preserve"> </w:t>
      </w:r>
      <w:r>
        <w:rPr>
          <w:rFonts w:hint="eastAsia"/>
          <w:color w:val="auto"/>
          <w:sz w:val="84"/>
          <w:szCs w:val="84"/>
          <w:highlight w:val="none"/>
          <w:lang w:eastAsia="zh-CN"/>
        </w:rPr>
        <w:t>文</w:t>
      </w:r>
      <w:r>
        <w:rPr>
          <w:rFonts w:hint="eastAsia"/>
          <w:color w:val="auto"/>
          <w:sz w:val="84"/>
          <w:szCs w:val="84"/>
          <w:highlight w:val="none"/>
          <w:lang w:val="en-US" w:eastAsia="zh-CN"/>
        </w:rPr>
        <w:t xml:space="preserve"> </w:t>
      </w:r>
      <w:r>
        <w:rPr>
          <w:rFonts w:hint="eastAsia"/>
          <w:color w:val="auto"/>
          <w:sz w:val="84"/>
          <w:szCs w:val="84"/>
          <w:highlight w:val="none"/>
          <w:lang w:eastAsia="zh-CN"/>
        </w:rPr>
        <w:t>件</w:t>
      </w: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b/>
          <w:bCs/>
          <w:color w:val="auto"/>
          <w:sz w:val="32"/>
          <w:szCs w:val="32"/>
          <w:highlight w:val="none"/>
          <w:lang w:eastAsia="zh-CN"/>
        </w:rPr>
      </w:pPr>
      <w:r>
        <w:rPr>
          <w:rFonts w:hint="eastAsia"/>
          <w:b/>
          <w:bCs/>
          <w:color w:val="auto"/>
          <w:sz w:val="32"/>
          <w:szCs w:val="32"/>
          <w:highlight w:val="none"/>
          <w:lang w:eastAsia="zh-CN"/>
        </w:rPr>
        <w:t>项目编号：亿达滇招[202</w:t>
      </w:r>
      <w:r>
        <w:rPr>
          <w:rFonts w:hint="eastAsia"/>
          <w:b/>
          <w:bCs/>
          <w:color w:val="auto"/>
          <w:sz w:val="32"/>
          <w:szCs w:val="32"/>
          <w:highlight w:val="none"/>
          <w:lang w:val="en-US" w:eastAsia="zh-CN"/>
        </w:rPr>
        <w:t>5</w:t>
      </w:r>
      <w:r>
        <w:rPr>
          <w:rFonts w:hint="eastAsia"/>
          <w:b/>
          <w:bCs/>
          <w:color w:val="auto"/>
          <w:sz w:val="32"/>
          <w:szCs w:val="32"/>
          <w:highlight w:val="none"/>
          <w:lang w:eastAsia="zh-CN"/>
        </w:rPr>
        <w:t>]011号</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eastAsia="zh-CN"/>
        </w:rPr>
      </w:pPr>
    </w:p>
    <w:p>
      <w:pPr>
        <w:pageBreakBefore w:val="0"/>
        <w:widowControl w:val="0"/>
        <w:kinsoku/>
        <w:overflowPunct/>
        <w:topLinePunct w:val="0"/>
        <w:autoSpaceDE/>
        <w:autoSpaceDN/>
        <w:bidi w:val="0"/>
        <w:adjustRightInd/>
        <w:snapToGrid/>
        <w:spacing w:line="360" w:lineRule="auto"/>
        <w:ind w:left="0" w:leftChars="0" w:right="0" w:rightChars="0" w:firstLine="904" w:firstLineChars="300"/>
        <w:textAlignment w:val="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lang w:eastAsia="zh-CN"/>
        </w:rPr>
        <w:t>联合采购牵头单位</w:t>
      </w:r>
      <w:r>
        <w:rPr>
          <w:rFonts w:hint="eastAsia" w:ascii="宋体" w:hAnsi="宋体" w:eastAsia="宋体" w:cs="宋体"/>
          <w:b/>
          <w:bCs/>
          <w:color w:val="auto"/>
          <w:sz w:val="30"/>
          <w:szCs w:val="30"/>
          <w:highlight w:val="none"/>
          <w:lang w:eastAsia="zh-CN"/>
        </w:rPr>
        <w:t>：</w:t>
      </w:r>
      <w:r>
        <w:rPr>
          <w:rFonts w:hint="eastAsia" w:ascii="宋体" w:hAnsi="宋体" w:cs="宋体"/>
          <w:b/>
          <w:bCs/>
          <w:color w:val="auto"/>
          <w:sz w:val="30"/>
          <w:szCs w:val="30"/>
          <w:highlight w:val="none"/>
          <w:lang w:eastAsia="zh-CN"/>
        </w:rPr>
        <w:t>香格里拉市教育体育局</w:t>
      </w:r>
      <w:r>
        <w:rPr>
          <w:rFonts w:hint="eastAsia" w:ascii="宋体" w:hAnsi="宋体" w:eastAsia="宋体" w:cs="宋体"/>
          <w:b/>
          <w:bCs/>
          <w:color w:val="auto"/>
          <w:sz w:val="30"/>
          <w:szCs w:val="30"/>
          <w:highlight w:val="none"/>
          <w:lang w:eastAsia="zh-CN"/>
        </w:rPr>
        <w:t>（盖单位章）</w:t>
      </w:r>
    </w:p>
    <w:p>
      <w:pPr>
        <w:pageBreakBefore w:val="0"/>
        <w:widowControl w:val="0"/>
        <w:kinsoku/>
        <w:overflowPunct/>
        <w:topLinePunct w:val="0"/>
        <w:autoSpaceDE/>
        <w:autoSpaceDN/>
        <w:bidi w:val="0"/>
        <w:adjustRightInd/>
        <w:snapToGrid/>
        <w:spacing w:line="360" w:lineRule="auto"/>
        <w:ind w:left="0" w:leftChars="0" w:right="0" w:rightChars="0" w:firstLine="904" w:firstLineChars="300"/>
        <w:textAlignment w:val="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lang w:eastAsia="zh-CN"/>
        </w:rPr>
        <w:t>采购代理机构：福建省亿达工程咨询有限公司（盖单位章）</w:t>
      </w:r>
    </w:p>
    <w:p>
      <w:pPr>
        <w:pageBreakBefore w:val="0"/>
        <w:widowControl w:val="0"/>
        <w:kinsoku/>
        <w:overflowPunct/>
        <w:topLinePunct w:val="0"/>
        <w:autoSpaceDE/>
        <w:autoSpaceDN/>
        <w:bidi w:val="0"/>
        <w:adjustRightInd/>
        <w:snapToGrid/>
        <w:spacing w:line="360" w:lineRule="auto"/>
        <w:ind w:left="0" w:leftChars="0" w:right="0" w:rightChars="0" w:firstLine="904" w:firstLineChars="300"/>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eastAsia="zh-CN"/>
        </w:rPr>
        <w:t>日期：</w:t>
      </w:r>
      <w:r>
        <w:rPr>
          <w:rFonts w:hint="eastAsia" w:ascii="宋体" w:hAnsi="宋体" w:eastAsia="宋体" w:cs="宋体"/>
          <w:b/>
          <w:bCs/>
          <w:color w:val="auto"/>
          <w:sz w:val="30"/>
          <w:szCs w:val="30"/>
          <w:highlight w:val="none"/>
          <w:lang w:val="en-US" w:eastAsia="zh-CN"/>
        </w:rPr>
        <w:t>202</w:t>
      </w:r>
      <w:r>
        <w:rPr>
          <w:rFonts w:hint="eastAsia" w:ascii="宋体" w:hAnsi="宋体" w:cs="宋体"/>
          <w:b/>
          <w:bCs/>
          <w:color w:val="auto"/>
          <w:sz w:val="30"/>
          <w:szCs w:val="30"/>
          <w:highlight w:val="none"/>
          <w:lang w:val="en-US" w:eastAsia="zh-CN"/>
        </w:rPr>
        <w:t>5</w:t>
      </w:r>
      <w:r>
        <w:rPr>
          <w:rFonts w:hint="eastAsia" w:ascii="宋体" w:hAnsi="宋体" w:eastAsia="宋体" w:cs="宋体"/>
          <w:b/>
          <w:bCs/>
          <w:color w:val="auto"/>
          <w:sz w:val="30"/>
          <w:szCs w:val="30"/>
          <w:highlight w:val="none"/>
          <w:lang w:val="en-US" w:eastAsia="zh-CN"/>
        </w:rPr>
        <w:t>年</w:t>
      </w:r>
      <w:r>
        <w:rPr>
          <w:rFonts w:hint="eastAsia" w:ascii="宋体" w:hAnsi="宋体" w:cs="宋体"/>
          <w:b/>
          <w:bCs/>
          <w:color w:val="auto"/>
          <w:sz w:val="30"/>
          <w:szCs w:val="30"/>
          <w:highlight w:val="none"/>
          <w:lang w:val="en-US" w:eastAsia="zh-CN"/>
        </w:rPr>
        <w:t>03</w:t>
      </w:r>
      <w:r>
        <w:rPr>
          <w:rFonts w:hint="eastAsia" w:ascii="宋体" w:hAnsi="宋体" w:eastAsia="宋体" w:cs="宋体"/>
          <w:b/>
          <w:bCs/>
          <w:color w:val="auto"/>
          <w:sz w:val="30"/>
          <w:szCs w:val="30"/>
          <w:highlight w:val="none"/>
          <w:lang w:val="en-US" w:eastAsia="zh-CN"/>
        </w:rPr>
        <w:t>月</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30"/>
          <w:szCs w:val="30"/>
          <w:highlight w:val="none"/>
          <w:lang w:val="en-US" w:eastAsia="zh-CN"/>
        </w:rPr>
        <w:sectPr>
          <w:pgSz w:w="11900" w:h="16838"/>
          <w:pgMar w:top="1417" w:right="1417" w:bottom="1417" w:left="1417" w:header="850" w:footer="850" w:gutter="0"/>
          <w:pgNumType w:fmt="decimal"/>
          <w:cols w:space="0" w:num="1"/>
          <w:titlePg/>
          <w:docGrid w:linePitch="360" w:charSpace="0"/>
        </w:sectPr>
      </w:pPr>
    </w:p>
    <w:sdt>
      <w:sdtPr>
        <w:rPr>
          <w:rFonts w:ascii="宋体" w:hAnsi="宋体" w:eastAsia="宋体" w:cstheme="minorBidi"/>
          <w:color w:val="auto"/>
          <w:kern w:val="2"/>
          <w:sz w:val="21"/>
          <w:szCs w:val="24"/>
          <w:highlight w:val="none"/>
          <w:lang w:val="en-US" w:eastAsia="zh-CN" w:bidi="ar-SA"/>
        </w:rPr>
        <w:id w:val="147480635"/>
        <w15:color w:val="DBDBDB"/>
        <w:docPartObj>
          <w:docPartGallery w:val="Table of Contents"/>
          <w:docPartUnique/>
        </w:docPartObj>
      </w:sdtPr>
      <w:sdtEndPr>
        <w:rPr>
          <w:rFonts w:hint="eastAsia" w:ascii="Calibri" w:hAnsi="Calibri" w:eastAsia="黑体" w:cs="Times New Roman"/>
          <w:b/>
          <w:color w:val="auto"/>
          <w:spacing w:val="20"/>
          <w:kern w:val="44"/>
          <w:sz w:val="36"/>
          <w:szCs w:val="20"/>
          <w:highlight w:val="none"/>
          <w:lang w:val="en-US" w:eastAsia="zh-CN" w:bidi="ar-SA"/>
        </w:rPr>
      </w:sdtEndPr>
      <w:sdtContent>
        <w:p>
          <w:pPr>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目录</w:t>
          </w:r>
        </w:p>
        <w:p>
          <w:pPr>
            <w:pStyle w:val="13"/>
            <w:tabs>
              <w:tab w:val="right" w:leader="dot" w:pos="9066"/>
            </w:tabs>
            <w:rPr>
              <w:color w:val="auto"/>
              <w:highlight w:val="none"/>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TOC \o "1-2" \h \u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_Toc19183 </w:instrText>
          </w:r>
          <w:r>
            <w:rPr>
              <w:rFonts w:hint="eastAsia" w:ascii="宋体" w:hAnsi="宋体" w:eastAsia="宋体" w:cs="宋体"/>
              <w:color w:val="auto"/>
              <w:szCs w:val="21"/>
              <w:highlight w:val="none"/>
              <w:lang w:val="en-US" w:eastAsia="zh-CN"/>
            </w:rPr>
            <w:fldChar w:fldCharType="separate"/>
          </w:r>
          <w:r>
            <w:rPr>
              <w:rFonts w:hint="eastAsia"/>
              <w:bCs/>
              <w:color w:val="auto"/>
              <w:szCs w:val="32"/>
              <w:highlight w:val="none"/>
              <w:lang w:val="en-US" w:eastAsia="zh-CN"/>
            </w:rPr>
            <w:t>第一章  招标公告</w:t>
          </w:r>
          <w:r>
            <w:rPr>
              <w:color w:val="auto"/>
              <w:highlight w:val="none"/>
            </w:rPr>
            <w:tab/>
          </w:r>
          <w:r>
            <w:rPr>
              <w:color w:val="auto"/>
              <w:highlight w:val="none"/>
            </w:rPr>
            <w:fldChar w:fldCharType="begin"/>
          </w:r>
          <w:r>
            <w:rPr>
              <w:color w:val="auto"/>
              <w:highlight w:val="none"/>
            </w:rPr>
            <w:instrText xml:space="preserve"> PAGEREF _Toc19183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_Toc29052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一、项目基本情况</w:t>
          </w:r>
          <w:r>
            <w:rPr>
              <w:color w:val="auto"/>
              <w:highlight w:val="none"/>
            </w:rPr>
            <w:tab/>
          </w:r>
          <w:r>
            <w:rPr>
              <w:color w:val="auto"/>
              <w:highlight w:val="none"/>
            </w:rPr>
            <w:fldChar w:fldCharType="begin"/>
          </w:r>
          <w:r>
            <w:rPr>
              <w:color w:val="auto"/>
              <w:highlight w:val="none"/>
            </w:rPr>
            <w:instrText xml:space="preserve"> PAGEREF _Toc29052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_Toc10838 </w:instrText>
          </w:r>
          <w:r>
            <w:rPr>
              <w:rFonts w:hint="eastAsia" w:ascii="宋体" w:hAnsi="宋体" w:eastAsia="宋体" w:cs="宋体"/>
              <w:color w:val="auto"/>
              <w:szCs w:val="21"/>
              <w:highlight w:val="none"/>
              <w:lang w:val="en-US" w:eastAsia="zh-CN"/>
            </w:rPr>
            <w:fldChar w:fldCharType="separate"/>
          </w:r>
          <w:r>
            <w:rPr>
              <w:rFonts w:hint="eastAsia" w:eastAsia="宋体"/>
              <w:bCs/>
              <w:color w:val="auto"/>
              <w:highlight w:val="none"/>
              <w:lang w:val="en-US" w:eastAsia="zh-CN"/>
            </w:rPr>
            <w:t>二、投标人资格要求</w:t>
          </w:r>
          <w:r>
            <w:rPr>
              <w:color w:val="auto"/>
              <w:highlight w:val="none"/>
            </w:rPr>
            <w:tab/>
          </w:r>
          <w:r>
            <w:rPr>
              <w:color w:val="auto"/>
              <w:highlight w:val="none"/>
            </w:rPr>
            <w:fldChar w:fldCharType="begin"/>
          </w:r>
          <w:r>
            <w:rPr>
              <w:color w:val="auto"/>
              <w:highlight w:val="none"/>
            </w:rPr>
            <w:instrText xml:space="preserve"> PAGEREF _Toc10838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_Toc2553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三、招标文件的获取</w:t>
          </w:r>
          <w:r>
            <w:rPr>
              <w:color w:val="auto"/>
              <w:highlight w:val="none"/>
            </w:rPr>
            <w:tab/>
          </w:r>
          <w:r>
            <w:rPr>
              <w:color w:val="auto"/>
              <w:highlight w:val="none"/>
            </w:rPr>
            <w:fldChar w:fldCharType="begin"/>
          </w:r>
          <w:r>
            <w:rPr>
              <w:color w:val="auto"/>
              <w:highlight w:val="none"/>
            </w:rPr>
            <w:instrText xml:space="preserve"> PAGEREF _Toc2553 \h </w:instrText>
          </w:r>
          <w:r>
            <w:rPr>
              <w:color w:val="auto"/>
              <w:highlight w:val="none"/>
            </w:rPr>
            <w:fldChar w:fldCharType="separate"/>
          </w:r>
          <w:r>
            <w:rPr>
              <w:color w:val="auto"/>
              <w:highlight w:val="none"/>
            </w:rPr>
            <w:t>4</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_Toc23921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四、响应文件的递交、开标时间及地点</w:t>
          </w:r>
          <w:r>
            <w:rPr>
              <w:color w:val="auto"/>
              <w:highlight w:val="none"/>
            </w:rPr>
            <w:tab/>
          </w:r>
          <w:r>
            <w:rPr>
              <w:color w:val="auto"/>
              <w:highlight w:val="none"/>
            </w:rPr>
            <w:fldChar w:fldCharType="begin"/>
          </w:r>
          <w:r>
            <w:rPr>
              <w:color w:val="auto"/>
              <w:highlight w:val="none"/>
            </w:rPr>
            <w:instrText xml:space="preserve"> PAGEREF _Toc23921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_Toc6420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六、公告发布媒介</w:t>
          </w:r>
          <w:r>
            <w:rPr>
              <w:color w:val="auto"/>
              <w:highlight w:val="none"/>
            </w:rPr>
            <w:tab/>
          </w:r>
          <w:r>
            <w:rPr>
              <w:color w:val="auto"/>
              <w:highlight w:val="none"/>
            </w:rPr>
            <w:fldChar w:fldCharType="begin"/>
          </w:r>
          <w:r>
            <w:rPr>
              <w:color w:val="auto"/>
              <w:highlight w:val="none"/>
            </w:rPr>
            <w:instrText xml:space="preserve"> PAGEREF _Toc6420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_Toc23672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七</w:t>
          </w:r>
          <w:r>
            <w:rPr>
              <w:rFonts w:hint="eastAsia" w:eastAsia="宋体"/>
              <w:bCs/>
              <w:color w:val="auto"/>
              <w:highlight w:val="none"/>
              <w:lang w:val="en-US" w:eastAsia="zh-CN"/>
            </w:rPr>
            <w:t>、联系方式</w:t>
          </w:r>
          <w:r>
            <w:rPr>
              <w:color w:val="auto"/>
              <w:highlight w:val="none"/>
            </w:rPr>
            <w:tab/>
          </w:r>
          <w:r>
            <w:rPr>
              <w:color w:val="auto"/>
              <w:highlight w:val="none"/>
            </w:rPr>
            <w:fldChar w:fldCharType="begin"/>
          </w:r>
          <w:r>
            <w:rPr>
              <w:color w:val="auto"/>
              <w:highlight w:val="none"/>
            </w:rPr>
            <w:instrText xml:space="preserve"> PAGEREF _Toc23672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_Toc9748 </w:instrText>
          </w:r>
          <w:r>
            <w:rPr>
              <w:rFonts w:hint="eastAsia" w:ascii="宋体" w:hAnsi="宋体" w:eastAsia="宋体" w:cs="宋体"/>
              <w:color w:val="auto"/>
              <w:szCs w:val="21"/>
              <w:highlight w:val="none"/>
              <w:lang w:val="en-US" w:eastAsia="zh-CN"/>
            </w:rPr>
            <w:fldChar w:fldCharType="separate"/>
          </w:r>
          <w:r>
            <w:rPr>
              <w:rFonts w:hint="eastAsia"/>
              <w:bCs/>
              <w:color w:val="auto"/>
              <w:szCs w:val="32"/>
              <w:highlight w:val="none"/>
              <w:lang w:val="en-US" w:eastAsia="zh-CN"/>
            </w:rPr>
            <w:t>第二章  投标人须知</w:t>
          </w:r>
          <w:r>
            <w:rPr>
              <w:color w:val="auto"/>
              <w:highlight w:val="none"/>
            </w:rPr>
            <w:tab/>
          </w:r>
          <w:r>
            <w:rPr>
              <w:color w:val="auto"/>
              <w:highlight w:val="none"/>
            </w:rPr>
            <w:fldChar w:fldCharType="begin"/>
          </w:r>
          <w:r>
            <w:rPr>
              <w:color w:val="auto"/>
              <w:highlight w:val="none"/>
            </w:rPr>
            <w:instrText xml:space="preserve"> PAGEREF _Toc9748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_Toc27101 </w:instrText>
          </w:r>
          <w:r>
            <w:rPr>
              <w:rFonts w:hint="eastAsia" w:ascii="宋体" w:hAnsi="宋体" w:eastAsia="宋体" w:cs="宋体"/>
              <w:color w:val="auto"/>
              <w:szCs w:val="21"/>
              <w:highlight w:val="none"/>
              <w:lang w:val="en-US" w:eastAsia="zh-CN"/>
            </w:rPr>
            <w:fldChar w:fldCharType="separate"/>
          </w:r>
          <w:r>
            <w:rPr>
              <w:rFonts w:hint="eastAsia"/>
              <w:bCs/>
              <w:color w:val="auto"/>
              <w:highlight w:val="none"/>
              <w:lang w:val="en-US" w:eastAsia="zh-CN"/>
            </w:rPr>
            <w:t>投标人须知前附表</w:t>
          </w:r>
          <w:r>
            <w:rPr>
              <w:color w:val="auto"/>
              <w:highlight w:val="none"/>
            </w:rPr>
            <w:tab/>
          </w:r>
          <w:r>
            <w:rPr>
              <w:color w:val="auto"/>
              <w:highlight w:val="none"/>
            </w:rPr>
            <w:fldChar w:fldCharType="begin"/>
          </w:r>
          <w:r>
            <w:rPr>
              <w:color w:val="auto"/>
              <w:highlight w:val="none"/>
            </w:rPr>
            <w:instrText xml:space="preserve"> PAGEREF _Toc27101 \h </w:instrText>
          </w:r>
          <w:r>
            <w:rPr>
              <w:color w:val="auto"/>
              <w:highlight w:val="none"/>
            </w:rPr>
            <w:fldChar w:fldCharType="separate"/>
          </w:r>
          <w:r>
            <w:rPr>
              <w:color w:val="auto"/>
              <w:highlight w:val="none"/>
            </w:rPr>
            <w:t>7</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_Toc26842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szCs w:val="24"/>
              <w:highlight w:val="none"/>
              <w:lang w:val="en-US" w:eastAsia="zh-CN"/>
            </w:rPr>
            <w:t>投标人须知正文</w:t>
          </w:r>
          <w:r>
            <w:rPr>
              <w:color w:val="auto"/>
              <w:highlight w:val="none"/>
            </w:rPr>
            <w:tab/>
          </w:r>
          <w:r>
            <w:rPr>
              <w:color w:val="auto"/>
              <w:highlight w:val="none"/>
            </w:rPr>
            <w:fldChar w:fldCharType="begin"/>
          </w:r>
          <w:r>
            <w:rPr>
              <w:color w:val="auto"/>
              <w:highlight w:val="none"/>
            </w:rPr>
            <w:instrText xml:space="preserve"> PAGEREF _Toc26842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_Toc18507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（一）总则</w:t>
          </w:r>
          <w:r>
            <w:rPr>
              <w:color w:val="auto"/>
              <w:highlight w:val="none"/>
            </w:rPr>
            <w:tab/>
          </w:r>
          <w:r>
            <w:rPr>
              <w:color w:val="auto"/>
              <w:highlight w:val="none"/>
            </w:rPr>
            <w:fldChar w:fldCharType="begin"/>
          </w:r>
          <w:r>
            <w:rPr>
              <w:color w:val="auto"/>
              <w:highlight w:val="none"/>
            </w:rPr>
            <w:instrText xml:space="preserve"> PAGEREF _Toc18507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_Toc8816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（二）招标文件</w:t>
          </w:r>
          <w:r>
            <w:rPr>
              <w:color w:val="auto"/>
              <w:highlight w:val="none"/>
            </w:rPr>
            <w:tab/>
          </w:r>
          <w:r>
            <w:rPr>
              <w:color w:val="auto"/>
              <w:highlight w:val="none"/>
            </w:rPr>
            <w:fldChar w:fldCharType="begin"/>
          </w:r>
          <w:r>
            <w:rPr>
              <w:color w:val="auto"/>
              <w:highlight w:val="none"/>
            </w:rPr>
            <w:instrText xml:space="preserve"> PAGEREF _Toc8816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_Toc16775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（三）投标文件</w:t>
          </w:r>
          <w:r>
            <w:rPr>
              <w:color w:val="auto"/>
              <w:highlight w:val="none"/>
            </w:rPr>
            <w:tab/>
          </w:r>
          <w:r>
            <w:rPr>
              <w:color w:val="auto"/>
              <w:highlight w:val="none"/>
            </w:rPr>
            <w:fldChar w:fldCharType="begin"/>
          </w:r>
          <w:r>
            <w:rPr>
              <w:color w:val="auto"/>
              <w:highlight w:val="none"/>
            </w:rPr>
            <w:instrText xml:space="preserve"> PAGEREF _Toc16775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_Toc22242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（四）投标</w:t>
          </w:r>
          <w:r>
            <w:rPr>
              <w:color w:val="auto"/>
              <w:highlight w:val="none"/>
            </w:rPr>
            <w:tab/>
          </w:r>
          <w:r>
            <w:rPr>
              <w:color w:val="auto"/>
              <w:highlight w:val="none"/>
            </w:rPr>
            <w:fldChar w:fldCharType="begin"/>
          </w:r>
          <w:r>
            <w:rPr>
              <w:color w:val="auto"/>
              <w:highlight w:val="none"/>
            </w:rPr>
            <w:instrText xml:space="preserve"> PAGEREF _Toc22242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_Toc3421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（五）开标</w:t>
          </w:r>
          <w:r>
            <w:rPr>
              <w:color w:val="auto"/>
              <w:highlight w:val="none"/>
            </w:rPr>
            <w:tab/>
          </w:r>
          <w:r>
            <w:rPr>
              <w:color w:val="auto"/>
              <w:highlight w:val="none"/>
            </w:rPr>
            <w:fldChar w:fldCharType="begin"/>
          </w:r>
          <w:r>
            <w:rPr>
              <w:color w:val="auto"/>
              <w:highlight w:val="none"/>
            </w:rPr>
            <w:instrText xml:space="preserve"> PAGEREF _Toc3421 \h </w:instrText>
          </w:r>
          <w:r>
            <w:rPr>
              <w:color w:val="auto"/>
              <w:highlight w:val="none"/>
            </w:rPr>
            <w:fldChar w:fldCharType="separate"/>
          </w:r>
          <w:r>
            <w:rPr>
              <w:color w:val="auto"/>
              <w:highlight w:val="none"/>
            </w:rPr>
            <w:t>18</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_Toc23284 </w:instrText>
          </w:r>
          <w:r>
            <w:rPr>
              <w:rFonts w:hint="eastAsia" w:ascii="宋体" w:hAnsi="宋体" w:eastAsia="宋体" w:cs="宋体"/>
              <w:color w:val="auto"/>
              <w:szCs w:val="21"/>
              <w:highlight w:val="none"/>
              <w:lang w:val="en-US" w:eastAsia="zh-CN"/>
            </w:rPr>
            <w:fldChar w:fldCharType="separate"/>
          </w:r>
          <w:r>
            <w:rPr>
              <w:rFonts w:hint="eastAsia" w:ascii="宋体" w:hAnsi="宋体"/>
              <w:color w:val="auto"/>
              <w:szCs w:val="21"/>
              <w:highlight w:val="none"/>
            </w:rPr>
            <w:t>（二）大写金额和小写金额不一致的，以大写金额为准；</w:t>
          </w:r>
          <w:r>
            <w:rPr>
              <w:color w:val="auto"/>
              <w:highlight w:val="none"/>
            </w:rPr>
            <w:tab/>
          </w:r>
          <w:r>
            <w:rPr>
              <w:color w:val="auto"/>
              <w:highlight w:val="none"/>
            </w:rPr>
            <w:fldChar w:fldCharType="begin"/>
          </w:r>
          <w:r>
            <w:rPr>
              <w:color w:val="auto"/>
              <w:highlight w:val="none"/>
            </w:rPr>
            <w:instrText xml:space="preserve"> PAGEREF _Toc23284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_Toc24839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（六）评标</w:t>
          </w:r>
          <w:r>
            <w:rPr>
              <w:color w:val="auto"/>
              <w:highlight w:val="none"/>
            </w:rPr>
            <w:tab/>
          </w:r>
          <w:r>
            <w:rPr>
              <w:color w:val="auto"/>
              <w:highlight w:val="none"/>
            </w:rPr>
            <w:fldChar w:fldCharType="begin"/>
          </w:r>
          <w:r>
            <w:rPr>
              <w:color w:val="auto"/>
              <w:highlight w:val="none"/>
            </w:rPr>
            <w:instrText xml:space="preserve"> PAGEREF _Toc24839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_Toc31861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（七）中标及合同</w:t>
          </w:r>
          <w:r>
            <w:rPr>
              <w:color w:val="auto"/>
              <w:highlight w:val="none"/>
            </w:rPr>
            <w:tab/>
          </w:r>
          <w:r>
            <w:rPr>
              <w:color w:val="auto"/>
              <w:highlight w:val="none"/>
            </w:rPr>
            <w:fldChar w:fldCharType="begin"/>
          </w:r>
          <w:r>
            <w:rPr>
              <w:color w:val="auto"/>
              <w:highlight w:val="none"/>
            </w:rPr>
            <w:instrText xml:space="preserve"> PAGEREF _Toc31861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_Toc29354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（八）重新采购</w:t>
          </w:r>
          <w:r>
            <w:rPr>
              <w:color w:val="auto"/>
              <w:highlight w:val="none"/>
            </w:rPr>
            <w:tab/>
          </w:r>
          <w:r>
            <w:rPr>
              <w:color w:val="auto"/>
              <w:highlight w:val="none"/>
            </w:rPr>
            <w:fldChar w:fldCharType="begin"/>
          </w:r>
          <w:r>
            <w:rPr>
              <w:color w:val="auto"/>
              <w:highlight w:val="none"/>
            </w:rPr>
            <w:instrText xml:space="preserve"> PAGEREF _Toc29354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_Toc572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（九）纪律和监督</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_Toc23007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olor w:val="auto"/>
              <w:szCs w:val="24"/>
              <w:highlight w:val="none"/>
              <w:lang w:val="zh-CN"/>
            </w:rPr>
            <w:t>（十）需要补充的其他内容</w:t>
          </w:r>
          <w:r>
            <w:rPr>
              <w:color w:val="auto"/>
              <w:highlight w:val="none"/>
            </w:rPr>
            <w:tab/>
          </w:r>
          <w:r>
            <w:rPr>
              <w:color w:val="auto"/>
              <w:highlight w:val="none"/>
            </w:rPr>
            <w:fldChar w:fldCharType="begin"/>
          </w:r>
          <w:r>
            <w:rPr>
              <w:color w:val="auto"/>
              <w:highlight w:val="none"/>
            </w:rPr>
            <w:instrText xml:space="preserve"> PAGEREF _Toc23007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_Toc26908 </w:instrText>
          </w:r>
          <w:r>
            <w:rPr>
              <w:rFonts w:hint="eastAsia" w:ascii="宋体" w:hAnsi="宋体" w:eastAsia="宋体" w:cs="宋体"/>
              <w:color w:val="auto"/>
              <w:szCs w:val="21"/>
              <w:highlight w:val="none"/>
              <w:lang w:val="en-US" w:eastAsia="zh-CN"/>
            </w:rPr>
            <w:fldChar w:fldCharType="separate"/>
          </w:r>
          <w:r>
            <w:rPr>
              <w:rFonts w:hint="eastAsia"/>
              <w:bCs/>
              <w:color w:val="auto"/>
              <w:szCs w:val="32"/>
              <w:highlight w:val="none"/>
              <w:lang w:val="en-US" w:eastAsia="zh-CN"/>
            </w:rPr>
            <w:t>第三章  合同书样式及主要条款</w:t>
          </w:r>
          <w:r>
            <w:rPr>
              <w:color w:val="auto"/>
              <w:highlight w:val="none"/>
            </w:rPr>
            <w:tab/>
          </w:r>
          <w:r>
            <w:rPr>
              <w:color w:val="auto"/>
              <w:highlight w:val="none"/>
            </w:rPr>
            <w:fldChar w:fldCharType="begin"/>
          </w:r>
          <w:r>
            <w:rPr>
              <w:color w:val="auto"/>
              <w:highlight w:val="none"/>
            </w:rPr>
            <w:instrText xml:space="preserve"> PAGEREF _Toc26908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_Toc15715 </w:instrText>
          </w:r>
          <w:r>
            <w:rPr>
              <w:rFonts w:hint="eastAsia" w:ascii="宋体" w:hAnsi="宋体" w:eastAsia="宋体" w:cs="宋体"/>
              <w:color w:val="auto"/>
              <w:szCs w:val="21"/>
              <w:highlight w:val="none"/>
              <w:lang w:val="en-US" w:eastAsia="zh-CN"/>
            </w:rPr>
            <w:fldChar w:fldCharType="separate"/>
          </w:r>
          <w:r>
            <w:rPr>
              <w:rFonts w:hint="eastAsia"/>
              <w:bCs/>
              <w:color w:val="auto"/>
              <w:szCs w:val="32"/>
              <w:highlight w:val="none"/>
              <w:lang w:val="en-US" w:eastAsia="zh-CN"/>
            </w:rPr>
            <w:t>第四章  投标文件格式</w:t>
          </w:r>
          <w:r>
            <w:rPr>
              <w:color w:val="auto"/>
              <w:highlight w:val="none"/>
            </w:rPr>
            <w:tab/>
          </w:r>
          <w:r>
            <w:rPr>
              <w:color w:val="auto"/>
              <w:highlight w:val="none"/>
            </w:rPr>
            <w:fldChar w:fldCharType="begin"/>
          </w:r>
          <w:r>
            <w:rPr>
              <w:color w:val="auto"/>
              <w:highlight w:val="none"/>
            </w:rPr>
            <w:instrText xml:space="preserve"> PAGEREF _Toc15715 \h </w:instrText>
          </w:r>
          <w:r>
            <w:rPr>
              <w:color w:val="auto"/>
              <w:highlight w:val="none"/>
            </w:rPr>
            <w:fldChar w:fldCharType="separate"/>
          </w:r>
          <w:r>
            <w:rPr>
              <w:color w:val="auto"/>
              <w:highlight w:val="none"/>
            </w:rPr>
            <w:t>27</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_Toc11591 </w:instrText>
          </w:r>
          <w:r>
            <w:rPr>
              <w:rFonts w:hint="eastAsia" w:ascii="宋体" w:hAnsi="宋体" w:eastAsia="宋体" w:cs="宋体"/>
              <w:color w:val="auto"/>
              <w:szCs w:val="21"/>
              <w:highlight w:val="none"/>
              <w:lang w:val="en-US" w:eastAsia="zh-CN"/>
            </w:rPr>
            <w:fldChar w:fldCharType="separate"/>
          </w:r>
          <w:r>
            <w:rPr>
              <w:rFonts w:hint="eastAsia" w:eastAsia="宋体" w:cs="宋体"/>
              <w:bCs/>
              <w:color w:val="auto"/>
              <w:szCs w:val="36"/>
              <w:highlight w:val="none"/>
              <w:lang w:eastAsia="zh-CN"/>
            </w:rPr>
            <w:t>一</w:t>
          </w:r>
          <w:r>
            <w:rPr>
              <w:rFonts w:hint="eastAsia" w:ascii="宋体" w:hAnsi="宋体" w:eastAsia="宋体" w:cs="宋体"/>
              <w:bCs/>
              <w:color w:val="auto"/>
              <w:szCs w:val="36"/>
              <w:highlight w:val="none"/>
            </w:rPr>
            <w:t>、资格文件部分</w:t>
          </w:r>
          <w:r>
            <w:rPr>
              <w:color w:val="auto"/>
              <w:highlight w:val="none"/>
            </w:rPr>
            <w:tab/>
          </w:r>
          <w:r>
            <w:rPr>
              <w:color w:val="auto"/>
              <w:highlight w:val="none"/>
            </w:rPr>
            <w:fldChar w:fldCharType="begin"/>
          </w:r>
          <w:r>
            <w:rPr>
              <w:color w:val="auto"/>
              <w:highlight w:val="none"/>
            </w:rPr>
            <w:instrText xml:space="preserve"> PAGEREF _Toc11591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_Toc32607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szCs w:val="36"/>
              <w:highlight w:val="none"/>
              <w:lang w:eastAsia="zh-CN"/>
            </w:rPr>
            <w:t>二</w:t>
          </w:r>
          <w:r>
            <w:rPr>
              <w:rFonts w:hint="eastAsia" w:ascii="宋体" w:hAnsi="宋体" w:eastAsia="宋体" w:cs="宋体"/>
              <w:bCs/>
              <w:color w:val="auto"/>
              <w:szCs w:val="36"/>
              <w:highlight w:val="none"/>
            </w:rPr>
            <w:t>、</w:t>
          </w:r>
          <w:r>
            <w:rPr>
              <w:rFonts w:hint="eastAsia" w:ascii="宋体" w:hAnsi="宋体" w:eastAsia="宋体" w:cs="宋体"/>
              <w:bCs/>
              <w:color w:val="auto"/>
              <w:szCs w:val="36"/>
              <w:highlight w:val="none"/>
              <w:lang w:eastAsia="zh-CN"/>
            </w:rPr>
            <w:t>报价文件部分</w:t>
          </w:r>
          <w:r>
            <w:rPr>
              <w:color w:val="auto"/>
              <w:highlight w:val="none"/>
            </w:rPr>
            <w:tab/>
          </w:r>
          <w:r>
            <w:rPr>
              <w:color w:val="auto"/>
              <w:highlight w:val="none"/>
            </w:rPr>
            <w:fldChar w:fldCharType="begin"/>
          </w:r>
          <w:r>
            <w:rPr>
              <w:color w:val="auto"/>
              <w:highlight w:val="none"/>
            </w:rPr>
            <w:instrText xml:space="preserve"> PAGEREF _Toc32607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_Toc11259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szCs w:val="36"/>
              <w:highlight w:val="none"/>
            </w:rPr>
            <w:t>开标一览表</w:t>
          </w:r>
          <w:r>
            <w:rPr>
              <w:color w:val="auto"/>
              <w:highlight w:val="none"/>
            </w:rPr>
            <w:tab/>
          </w:r>
          <w:r>
            <w:rPr>
              <w:color w:val="auto"/>
              <w:highlight w:val="none"/>
            </w:rPr>
            <w:fldChar w:fldCharType="begin"/>
          </w:r>
          <w:r>
            <w:rPr>
              <w:color w:val="auto"/>
              <w:highlight w:val="none"/>
            </w:rPr>
            <w:instrText xml:space="preserve"> PAGEREF _Toc11259 \h </w:instrText>
          </w:r>
          <w:r>
            <w:rPr>
              <w:color w:val="auto"/>
              <w:highlight w:val="none"/>
            </w:rPr>
            <w:fldChar w:fldCharType="separate"/>
          </w:r>
          <w:r>
            <w:rPr>
              <w:color w:val="auto"/>
              <w:highlight w:val="none"/>
            </w:rPr>
            <w:t>33</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_Toc25838 </w:instrText>
          </w:r>
          <w:r>
            <w:rPr>
              <w:rFonts w:hint="eastAsia" w:ascii="宋体" w:hAnsi="宋体" w:eastAsia="宋体" w:cs="宋体"/>
              <w:color w:val="auto"/>
              <w:szCs w:val="21"/>
              <w:highlight w:val="none"/>
              <w:lang w:val="en-US" w:eastAsia="zh-CN"/>
            </w:rPr>
            <w:fldChar w:fldCharType="separate"/>
          </w:r>
          <w:r>
            <w:rPr>
              <w:rFonts w:hint="eastAsia"/>
              <w:bCs/>
              <w:color w:val="auto"/>
              <w:szCs w:val="36"/>
              <w:highlight w:val="none"/>
              <w:lang w:val="en-US" w:eastAsia="zh-CN"/>
            </w:rPr>
            <w:t>三、商务文件部分</w:t>
          </w:r>
          <w:r>
            <w:rPr>
              <w:color w:val="auto"/>
              <w:highlight w:val="none"/>
            </w:rPr>
            <w:tab/>
          </w:r>
          <w:r>
            <w:rPr>
              <w:color w:val="auto"/>
              <w:highlight w:val="none"/>
            </w:rPr>
            <w:fldChar w:fldCharType="begin"/>
          </w:r>
          <w:r>
            <w:rPr>
              <w:color w:val="auto"/>
              <w:highlight w:val="none"/>
            </w:rPr>
            <w:instrText xml:space="preserve"> PAGEREF _Toc25838 \h </w:instrText>
          </w:r>
          <w:r>
            <w:rPr>
              <w:color w:val="auto"/>
              <w:highlight w:val="none"/>
            </w:rPr>
            <w:fldChar w:fldCharType="separate"/>
          </w:r>
          <w:r>
            <w:rPr>
              <w:color w:val="auto"/>
              <w:highlight w:val="none"/>
            </w:rPr>
            <w:t>34</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_Toc18288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szCs w:val="36"/>
              <w:highlight w:val="none"/>
            </w:rPr>
            <w:t>四、技术文件部分</w:t>
          </w:r>
          <w:r>
            <w:rPr>
              <w:color w:val="auto"/>
              <w:highlight w:val="none"/>
            </w:rPr>
            <w:tab/>
          </w:r>
          <w:r>
            <w:rPr>
              <w:color w:val="auto"/>
              <w:highlight w:val="none"/>
            </w:rPr>
            <w:fldChar w:fldCharType="begin"/>
          </w:r>
          <w:r>
            <w:rPr>
              <w:color w:val="auto"/>
              <w:highlight w:val="none"/>
            </w:rPr>
            <w:instrText xml:space="preserve"> PAGEREF _Toc18288 \h </w:instrText>
          </w:r>
          <w:r>
            <w:rPr>
              <w:color w:val="auto"/>
              <w:highlight w:val="none"/>
            </w:rPr>
            <w:fldChar w:fldCharType="separate"/>
          </w:r>
          <w:r>
            <w:rPr>
              <w:color w:val="auto"/>
              <w:highlight w:val="none"/>
            </w:rPr>
            <w:t>44</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_Toc23238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szCs w:val="32"/>
              <w:highlight w:val="none"/>
              <w:lang w:val="en-US" w:eastAsia="zh-CN"/>
            </w:rPr>
            <w:t>第五章  采购需求</w:t>
          </w:r>
          <w:r>
            <w:rPr>
              <w:color w:val="auto"/>
              <w:highlight w:val="none"/>
            </w:rPr>
            <w:tab/>
          </w:r>
          <w:r>
            <w:rPr>
              <w:color w:val="auto"/>
              <w:highlight w:val="none"/>
            </w:rPr>
            <w:fldChar w:fldCharType="begin"/>
          </w:r>
          <w:r>
            <w:rPr>
              <w:color w:val="auto"/>
              <w:highlight w:val="none"/>
            </w:rPr>
            <w:instrText xml:space="preserve"> PAGEREF _Toc23238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_Toc1888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highlight w:val="none"/>
              <w:lang w:val="en-US" w:eastAsia="zh-CN"/>
            </w:rPr>
            <w:t>一、</w:t>
          </w:r>
          <w:r>
            <w:rPr>
              <w:rFonts w:hint="eastAsia" w:ascii="宋体" w:hAnsi="宋体" w:cs="宋体"/>
              <w:bCs/>
              <w:color w:val="auto"/>
              <w:highlight w:val="none"/>
              <w:lang w:val="en-US" w:eastAsia="zh-CN"/>
            </w:rPr>
            <w:t>商务要求</w:t>
          </w:r>
          <w:r>
            <w:rPr>
              <w:color w:val="auto"/>
              <w:highlight w:val="none"/>
            </w:rPr>
            <w:tab/>
          </w:r>
          <w:r>
            <w:rPr>
              <w:color w:val="auto"/>
              <w:highlight w:val="none"/>
            </w:rPr>
            <w:fldChar w:fldCharType="begin"/>
          </w:r>
          <w:r>
            <w:rPr>
              <w:color w:val="auto"/>
              <w:highlight w:val="none"/>
            </w:rPr>
            <w:instrText xml:space="preserve"> PAGEREF _Toc1888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_Toc18478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highlight w:val="none"/>
              <w:lang w:val="en-US" w:eastAsia="zh-CN"/>
            </w:rPr>
            <w:t>二</w:t>
          </w:r>
          <w:r>
            <w:rPr>
              <w:rFonts w:hint="eastAsia" w:ascii="宋体" w:hAnsi="宋体" w:eastAsia="宋体" w:cs="宋体"/>
              <w:bCs/>
              <w:color w:val="auto"/>
              <w:highlight w:val="none"/>
              <w:lang w:val="en-US" w:eastAsia="zh-CN"/>
            </w:rPr>
            <w:t>、技术、服务要求</w:t>
          </w:r>
          <w:r>
            <w:rPr>
              <w:color w:val="auto"/>
              <w:highlight w:val="none"/>
            </w:rPr>
            <w:tab/>
          </w:r>
          <w:r>
            <w:rPr>
              <w:color w:val="auto"/>
              <w:highlight w:val="none"/>
            </w:rPr>
            <w:fldChar w:fldCharType="begin"/>
          </w:r>
          <w:r>
            <w:rPr>
              <w:color w:val="auto"/>
              <w:highlight w:val="none"/>
            </w:rPr>
            <w:instrText xml:space="preserve"> PAGEREF _Toc18478 \h </w:instrText>
          </w:r>
          <w:r>
            <w:rPr>
              <w:color w:val="auto"/>
              <w:highlight w:val="none"/>
            </w:rPr>
            <w:fldChar w:fldCharType="separate"/>
          </w:r>
          <w:r>
            <w:rPr>
              <w:color w:val="auto"/>
              <w:highlight w:val="none"/>
            </w:rPr>
            <w:t>52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_Toc672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highlight w:val="none"/>
              <w:lang w:val="en-US" w:eastAsia="zh-CN"/>
            </w:rPr>
            <w:t>三</w:t>
          </w:r>
          <w:r>
            <w:rPr>
              <w:rFonts w:hint="eastAsia" w:ascii="宋体" w:hAnsi="宋体" w:eastAsia="宋体" w:cs="宋体"/>
              <w:bCs/>
              <w:color w:val="auto"/>
              <w:highlight w:val="none"/>
              <w:lang w:val="en-US" w:eastAsia="zh-CN"/>
            </w:rPr>
            <w:t>、其他履约和服务要求</w:t>
          </w:r>
          <w:r>
            <w:rPr>
              <w:color w:val="auto"/>
              <w:highlight w:val="none"/>
            </w:rPr>
            <w:tab/>
          </w:r>
          <w:r>
            <w:rPr>
              <w:color w:val="auto"/>
              <w:highlight w:val="none"/>
            </w:rPr>
            <w:fldChar w:fldCharType="begin"/>
          </w:r>
          <w:r>
            <w:rPr>
              <w:color w:val="auto"/>
              <w:highlight w:val="none"/>
            </w:rPr>
            <w:instrText xml:space="preserve"> PAGEREF _Toc672 \h </w:instrText>
          </w:r>
          <w:r>
            <w:rPr>
              <w:color w:val="auto"/>
              <w:highlight w:val="none"/>
            </w:rPr>
            <w:fldChar w:fldCharType="separate"/>
          </w:r>
          <w:r>
            <w:rPr>
              <w:color w:val="auto"/>
              <w:highlight w:val="none"/>
            </w:rPr>
            <w:t>58</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_Toc10922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szCs w:val="32"/>
              <w:highlight w:val="none"/>
              <w:lang w:val="en-US" w:eastAsia="zh-CN"/>
            </w:rPr>
            <w:t>第六章  资格审查办法</w:t>
          </w:r>
          <w:r>
            <w:rPr>
              <w:color w:val="auto"/>
              <w:highlight w:val="none"/>
            </w:rPr>
            <w:tab/>
          </w:r>
          <w:r>
            <w:rPr>
              <w:color w:val="auto"/>
              <w:highlight w:val="none"/>
            </w:rPr>
            <w:fldChar w:fldCharType="begin"/>
          </w:r>
          <w:r>
            <w:rPr>
              <w:color w:val="auto"/>
              <w:highlight w:val="none"/>
            </w:rPr>
            <w:instrText xml:space="preserve"> PAGEREF _Toc10922 \h </w:instrText>
          </w:r>
          <w:r>
            <w:rPr>
              <w:color w:val="auto"/>
              <w:highlight w:val="none"/>
            </w:rPr>
            <w:fldChar w:fldCharType="separate"/>
          </w:r>
          <w:r>
            <w:rPr>
              <w:color w:val="auto"/>
              <w:highlight w:val="none"/>
            </w:rPr>
            <w:t>60</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_Toc668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4"/>
              <w:highlight w:val="none"/>
            </w:rPr>
            <w:t>1.资格审查</w:t>
          </w:r>
          <w:r>
            <w:rPr>
              <w:color w:val="auto"/>
              <w:highlight w:val="none"/>
            </w:rPr>
            <w:tab/>
          </w:r>
          <w:r>
            <w:rPr>
              <w:color w:val="auto"/>
              <w:highlight w:val="none"/>
            </w:rPr>
            <w:fldChar w:fldCharType="begin"/>
          </w:r>
          <w:r>
            <w:rPr>
              <w:color w:val="auto"/>
              <w:highlight w:val="none"/>
            </w:rPr>
            <w:instrText xml:space="preserve"> PAGEREF _Toc668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_Toc18436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szCs w:val="24"/>
              <w:highlight w:val="none"/>
            </w:rPr>
            <w:t>2.资格审查报告</w:t>
          </w:r>
          <w:r>
            <w:rPr>
              <w:color w:val="auto"/>
              <w:highlight w:val="none"/>
            </w:rPr>
            <w:tab/>
          </w:r>
          <w:r>
            <w:rPr>
              <w:color w:val="auto"/>
              <w:highlight w:val="none"/>
            </w:rPr>
            <w:fldChar w:fldCharType="begin"/>
          </w:r>
          <w:r>
            <w:rPr>
              <w:color w:val="auto"/>
              <w:highlight w:val="none"/>
            </w:rPr>
            <w:instrText xml:space="preserve"> PAGEREF _Toc18436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_Toc6081 </w:instrText>
          </w:r>
          <w:r>
            <w:rPr>
              <w:rFonts w:hint="eastAsia" w:ascii="宋体" w:hAnsi="宋体" w:eastAsia="宋体" w:cs="宋体"/>
              <w:color w:val="auto"/>
              <w:szCs w:val="21"/>
              <w:highlight w:val="none"/>
              <w:lang w:val="en-US" w:eastAsia="zh-CN"/>
            </w:rPr>
            <w:fldChar w:fldCharType="separate"/>
          </w:r>
          <w:r>
            <w:rPr>
              <w:rFonts w:hint="eastAsia" w:ascii="宋体" w:hAnsi="宋体" w:cs="宋体"/>
              <w:bCs/>
              <w:color w:val="auto"/>
              <w:szCs w:val="32"/>
              <w:highlight w:val="none"/>
              <w:lang w:val="en-US" w:eastAsia="zh-CN"/>
            </w:rPr>
            <w:t>第七章  评标办法（综合评分法）</w:t>
          </w:r>
          <w:r>
            <w:rPr>
              <w:color w:val="auto"/>
              <w:highlight w:val="none"/>
            </w:rPr>
            <w:tab/>
          </w:r>
          <w:r>
            <w:rPr>
              <w:color w:val="auto"/>
              <w:highlight w:val="none"/>
            </w:rPr>
            <w:fldChar w:fldCharType="begin"/>
          </w:r>
          <w:r>
            <w:rPr>
              <w:color w:val="auto"/>
              <w:highlight w:val="none"/>
            </w:rPr>
            <w:instrText xml:space="preserve"> PAGEREF _Toc6081 \h </w:instrText>
          </w:r>
          <w:r>
            <w:rPr>
              <w:color w:val="auto"/>
              <w:highlight w:val="none"/>
            </w:rPr>
            <w:fldChar w:fldCharType="separate"/>
          </w:r>
          <w:r>
            <w:rPr>
              <w:color w:val="auto"/>
              <w:highlight w:val="none"/>
            </w:rPr>
            <w:t>62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_Toc29082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szCs w:val="24"/>
              <w:highlight w:val="none"/>
            </w:rPr>
            <w:t>评标方法前附表</w:t>
          </w:r>
          <w:r>
            <w:rPr>
              <w:color w:val="auto"/>
              <w:highlight w:val="none"/>
            </w:rPr>
            <w:tab/>
          </w:r>
          <w:r>
            <w:rPr>
              <w:color w:val="auto"/>
              <w:highlight w:val="none"/>
            </w:rPr>
            <w:fldChar w:fldCharType="begin"/>
          </w:r>
          <w:r>
            <w:rPr>
              <w:color w:val="auto"/>
              <w:highlight w:val="none"/>
            </w:rPr>
            <w:instrText xml:space="preserve"> PAGEREF _Toc29082 \h </w:instrText>
          </w:r>
          <w:r>
            <w:rPr>
              <w:color w:val="auto"/>
              <w:highlight w:val="none"/>
            </w:rPr>
            <w:fldChar w:fldCharType="separate"/>
          </w:r>
          <w:r>
            <w:rPr>
              <w:color w:val="auto"/>
              <w:highlight w:val="none"/>
            </w:rPr>
            <w:t>62</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_Toc19986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kern w:val="0"/>
              <w:szCs w:val="24"/>
              <w:highlight w:val="none"/>
            </w:rPr>
            <w:t>一、</w:t>
          </w:r>
          <w:r>
            <w:rPr>
              <w:rFonts w:hint="eastAsia" w:ascii="宋体" w:hAnsi="宋体" w:eastAsia="宋体" w:cs="宋体"/>
              <w:color w:val="auto"/>
              <w:kern w:val="0"/>
              <w:szCs w:val="24"/>
              <w:highlight w:val="none"/>
            </w:rPr>
            <w:t>评标方法</w:t>
          </w:r>
          <w:r>
            <w:rPr>
              <w:color w:val="auto"/>
              <w:highlight w:val="none"/>
            </w:rPr>
            <w:tab/>
          </w:r>
          <w:r>
            <w:rPr>
              <w:color w:val="auto"/>
              <w:highlight w:val="none"/>
            </w:rPr>
            <w:fldChar w:fldCharType="begin"/>
          </w:r>
          <w:r>
            <w:rPr>
              <w:color w:val="auto"/>
              <w:highlight w:val="none"/>
            </w:rPr>
            <w:instrText xml:space="preserve"> PAGEREF _Toc19986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_Toc27414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kern w:val="0"/>
              <w:szCs w:val="24"/>
              <w:highlight w:val="none"/>
            </w:rPr>
            <w:t>二、评审标准</w:t>
          </w:r>
          <w:r>
            <w:rPr>
              <w:color w:val="auto"/>
              <w:highlight w:val="none"/>
            </w:rPr>
            <w:tab/>
          </w:r>
          <w:r>
            <w:rPr>
              <w:color w:val="auto"/>
              <w:highlight w:val="none"/>
            </w:rPr>
            <w:fldChar w:fldCharType="begin"/>
          </w:r>
          <w:r>
            <w:rPr>
              <w:color w:val="auto"/>
              <w:highlight w:val="none"/>
            </w:rPr>
            <w:instrText xml:space="preserve"> PAGEREF _Toc27414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_Toc27510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kern w:val="0"/>
              <w:szCs w:val="24"/>
              <w:highlight w:val="none"/>
            </w:rPr>
            <w:t>三、评标程序</w:t>
          </w:r>
          <w:r>
            <w:rPr>
              <w:color w:val="auto"/>
              <w:highlight w:val="none"/>
            </w:rPr>
            <w:tab/>
          </w:r>
          <w:r>
            <w:rPr>
              <w:color w:val="auto"/>
              <w:highlight w:val="none"/>
            </w:rPr>
            <w:fldChar w:fldCharType="begin"/>
          </w:r>
          <w:r>
            <w:rPr>
              <w:color w:val="auto"/>
              <w:highlight w:val="none"/>
            </w:rPr>
            <w:instrText xml:space="preserve"> PAGEREF _Toc27510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4"/>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_Toc22529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color w:val="auto"/>
              <w:kern w:val="0"/>
              <w:szCs w:val="24"/>
              <w:highlight w:val="none"/>
            </w:rPr>
            <w:t>四、其它</w:t>
          </w:r>
          <w:r>
            <w:rPr>
              <w:color w:val="auto"/>
              <w:highlight w:val="none"/>
            </w:rPr>
            <w:tab/>
          </w:r>
          <w:r>
            <w:rPr>
              <w:color w:val="auto"/>
              <w:highlight w:val="none"/>
            </w:rPr>
            <w:fldChar w:fldCharType="begin"/>
          </w:r>
          <w:r>
            <w:rPr>
              <w:color w:val="auto"/>
              <w:highlight w:val="none"/>
            </w:rPr>
            <w:instrText xml:space="preserve"> PAGEREF _Toc22529 \h </w:instrText>
          </w:r>
          <w:r>
            <w:rPr>
              <w:color w:val="auto"/>
              <w:highlight w:val="none"/>
            </w:rPr>
            <w:fldChar w:fldCharType="separate"/>
          </w:r>
          <w:r>
            <w:rPr>
              <w:color w:val="auto"/>
              <w:highlight w:val="none"/>
            </w:rPr>
            <w:t>67</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13"/>
            <w:tabs>
              <w:tab w:val="right" w:leader="dot" w:pos="9066"/>
            </w:tabs>
            <w:rPr>
              <w:color w:val="auto"/>
              <w:highlight w:val="none"/>
            </w:rPr>
          </w:pPr>
          <w:r>
            <w:rPr>
              <w:rFonts w:hint="eastAsia" w:ascii="宋体" w:hAnsi="宋体" w:eastAsia="宋体" w:cs="宋体"/>
              <w:color w:val="auto"/>
              <w:szCs w:val="21"/>
              <w:highlight w:val="none"/>
              <w:lang w:val="en-US" w:eastAsia="zh-CN"/>
            </w:rPr>
            <w:fldChar w:fldCharType="begin"/>
          </w:r>
          <w:r>
            <w:rPr>
              <w:rFonts w:hint="eastAsia" w:ascii="宋体" w:hAnsi="宋体" w:eastAsia="宋体" w:cs="宋体"/>
              <w:color w:val="auto"/>
              <w:szCs w:val="21"/>
              <w:highlight w:val="none"/>
              <w:lang w:val="en-US" w:eastAsia="zh-CN"/>
            </w:rPr>
            <w:instrText xml:space="preserve"> HYPERLINK \l _Toc11661 </w:instrText>
          </w:r>
          <w:r>
            <w:rPr>
              <w:rFonts w:hint="eastAsia" w:ascii="宋体" w:hAnsi="宋体" w:eastAsia="宋体" w:cs="宋体"/>
              <w:color w:val="auto"/>
              <w:szCs w:val="21"/>
              <w:highlight w:val="none"/>
              <w:lang w:val="en-US" w:eastAsia="zh-CN"/>
            </w:rPr>
            <w:fldChar w:fldCharType="separate"/>
          </w:r>
          <w:r>
            <w:rPr>
              <w:rFonts w:hint="eastAsia" w:ascii="宋体" w:hAnsi="宋体" w:eastAsia="宋体" w:cs="宋体"/>
              <w:bCs/>
              <w:color w:val="auto"/>
              <w:szCs w:val="24"/>
              <w:highlight w:val="none"/>
            </w:rPr>
            <w:t>中小企业划型标准规定</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71</w:t>
          </w:r>
          <w:r>
            <w:rPr>
              <w:color w:val="auto"/>
              <w:highlight w:val="none"/>
            </w:rPr>
            <w:fldChar w:fldCharType="end"/>
          </w:r>
          <w:r>
            <w:rPr>
              <w:rFonts w:hint="eastAsia" w:ascii="宋体" w:hAnsi="宋体" w:eastAsia="宋体" w:cs="宋体"/>
              <w:color w:val="auto"/>
              <w:szCs w:val="21"/>
              <w:highlight w:val="none"/>
              <w:lang w:val="en-US" w:eastAsia="zh-CN"/>
            </w:rPr>
            <w:fldChar w:fldCharType="end"/>
          </w:r>
        </w:p>
        <w:p>
          <w:pPr>
            <w:pStyle w:val="3"/>
            <w:pageBreakBefore w:val="0"/>
            <w:kinsoku/>
            <w:wordWrap/>
            <w:overflowPunct/>
            <w:topLinePunct w:val="0"/>
            <w:autoSpaceDE/>
            <w:autoSpaceDN/>
            <w:bidi w:val="0"/>
            <w:adjustRightInd/>
            <w:snapToGrid/>
            <w:spacing w:beforeLines="0" w:afterLines="0" w:line="360" w:lineRule="auto"/>
            <w:ind w:left="0" w:leftChars="0" w:right="0" w:rightChars="0"/>
            <w:textAlignment w:val="auto"/>
            <w:outlineLvl w:val="9"/>
            <w:rPr>
              <w:rFonts w:hint="eastAsia"/>
              <w:color w:val="auto"/>
              <w:highlight w:val="none"/>
              <w:lang w:val="en-US" w:eastAsia="zh-CN"/>
            </w:rPr>
            <w:sectPr>
              <w:footerReference r:id="rId4" w:type="first"/>
              <w:footerReference r:id="rId3" w:type="default"/>
              <w:pgSz w:w="11900" w:h="16838"/>
              <w:pgMar w:top="1417" w:right="1417" w:bottom="1417" w:left="1417" w:header="850" w:footer="850" w:gutter="0"/>
              <w:pgNumType w:fmt="decimal" w:start="1"/>
              <w:cols w:space="0" w:num="1"/>
              <w:titlePg/>
              <w:docGrid w:linePitch="360" w:charSpace="0"/>
            </w:sectPr>
          </w:pPr>
          <w:r>
            <w:rPr>
              <w:rFonts w:hint="eastAsia" w:ascii="宋体" w:hAnsi="宋体" w:eastAsia="宋体" w:cs="宋体"/>
              <w:color w:val="auto"/>
              <w:szCs w:val="21"/>
              <w:highlight w:val="none"/>
              <w:lang w:val="en-US" w:eastAsia="zh-CN"/>
            </w:rPr>
            <w:fldChar w:fldCharType="end"/>
          </w:r>
        </w:p>
      </w:sdtContent>
    </w:sdt>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0"/>
        <w:rPr>
          <w:rFonts w:hint="eastAsia"/>
          <w:color w:val="auto"/>
          <w:highlight w:val="none"/>
          <w:lang w:val="en-US" w:eastAsia="zh-CN"/>
        </w:rPr>
      </w:pPr>
      <w:bookmarkStart w:id="0" w:name="_Toc16096"/>
      <w:bookmarkStart w:id="1" w:name="_Toc4998"/>
      <w:bookmarkStart w:id="2" w:name="_Toc19183"/>
      <w:r>
        <w:rPr>
          <w:rFonts w:hint="eastAsia"/>
          <w:b/>
          <w:bCs/>
          <w:color w:val="auto"/>
          <w:sz w:val="32"/>
          <w:szCs w:val="32"/>
          <w:highlight w:val="none"/>
          <w:lang w:val="en-US" w:eastAsia="zh-CN"/>
        </w:rPr>
        <w:t>第一章  招标公告</w:t>
      </w:r>
      <w:bookmarkEnd w:id="0"/>
      <w:bookmarkEnd w:id="1"/>
      <w:bookmarkEnd w:id="2"/>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cs="宋体"/>
                <w:b/>
                <w:bCs/>
                <w:color w:val="auto"/>
                <w:sz w:val="24"/>
                <w:szCs w:val="24"/>
                <w:highlight w:val="none"/>
                <w:vertAlign w:val="baseline"/>
                <w:lang w:val="en-US" w:eastAsia="zh-CN"/>
              </w:rPr>
            </w:pPr>
            <w:bookmarkStart w:id="3" w:name="_Toc15520"/>
            <w:r>
              <w:rPr>
                <w:rFonts w:hint="default" w:ascii="宋体" w:hAnsi="宋体" w:cs="宋体"/>
                <w:b/>
                <w:bCs/>
                <w:color w:val="auto"/>
                <w:sz w:val="24"/>
                <w:szCs w:val="24"/>
                <w:highlight w:val="none"/>
                <w:vertAlign w:val="baseline"/>
                <w:lang w:val="en-US" w:eastAsia="zh-CN"/>
              </w:rPr>
              <w:t>项目概况</w:t>
            </w:r>
            <w:r>
              <w:rPr>
                <w:rFonts w:hint="eastAsia" w:ascii="宋体" w:hAnsi="宋体" w:cs="宋体"/>
                <w:b/>
                <w:bCs/>
                <w:color w:val="auto"/>
                <w:sz w:val="24"/>
                <w:szCs w:val="24"/>
                <w:highlight w:val="none"/>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u w:val="single"/>
                <w:vertAlign w:val="baseline"/>
                <w:lang w:val="en-US" w:eastAsia="zh-CN"/>
              </w:rPr>
              <w:t>香格里拉市教育体育局2025年度学校食堂营养餐集中配送（净菜）服务</w:t>
            </w:r>
            <w:r>
              <w:rPr>
                <w:rFonts w:hint="eastAsia" w:ascii="宋体" w:hAnsi="宋体" w:cs="宋体"/>
                <w:b/>
                <w:bCs/>
                <w:color w:val="auto"/>
                <w:sz w:val="24"/>
                <w:szCs w:val="24"/>
                <w:highlight w:val="none"/>
                <w:u w:val="none"/>
                <w:vertAlign w:val="baseline"/>
                <w:lang w:val="en-US" w:eastAsia="zh-CN"/>
              </w:rPr>
              <w:t>（项目名称）</w:t>
            </w:r>
            <w:r>
              <w:rPr>
                <w:rFonts w:hint="default" w:ascii="宋体" w:hAnsi="宋体" w:cs="宋体"/>
                <w:b/>
                <w:bCs/>
                <w:color w:val="auto"/>
                <w:sz w:val="24"/>
                <w:szCs w:val="24"/>
                <w:highlight w:val="none"/>
                <w:vertAlign w:val="baseline"/>
                <w:lang w:val="en-US" w:eastAsia="zh-CN"/>
              </w:rPr>
              <w:t>招标项目的潜在投标人应在 政采云平台（https://www.zcygov.cn/）获取招标文件，并于202</w:t>
            </w:r>
            <w:r>
              <w:rPr>
                <w:rFonts w:hint="eastAsia" w:ascii="宋体" w:hAnsi="宋体" w:cs="宋体"/>
                <w:b/>
                <w:bCs/>
                <w:color w:val="auto"/>
                <w:sz w:val="24"/>
                <w:szCs w:val="24"/>
                <w:highlight w:val="none"/>
                <w:vertAlign w:val="baseline"/>
                <w:lang w:val="en-US" w:eastAsia="zh-CN"/>
              </w:rPr>
              <w:t>5</w:t>
            </w:r>
            <w:r>
              <w:rPr>
                <w:rFonts w:hint="default" w:ascii="宋体" w:hAnsi="宋体" w:cs="宋体"/>
                <w:b/>
                <w:bCs/>
                <w:color w:val="auto"/>
                <w:sz w:val="24"/>
                <w:szCs w:val="24"/>
                <w:highlight w:val="none"/>
                <w:vertAlign w:val="baseline"/>
                <w:lang w:val="en-US" w:eastAsia="zh-CN"/>
              </w:rPr>
              <w:t>年</w:t>
            </w:r>
            <w:r>
              <w:rPr>
                <w:rFonts w:hint="eastAsia" w:ascii="宋体" w:hAnsi="宋体" w:cs="宋体"/>
                <w:b/>
                <w:bCs/>
                <w:color w:val="auto"/>
                <w:sz w:val="24"/>
                <w:szCs w:val="24"/>
                <w:highlight w:val="none"/>
                <w:vertAlign w:val="baseline"/>
                <w:lang w:val="en-US" w:eastAsia="zh-CN"/>
              </w:rPr>
              <w:t>04</w:t>
            </w:r>
            <w:r>
              <w:rPr>
                <w:rFonts w:hint="default" w:ascii="宋体" w:hAnsi="宋体" w:cs="宋体"/>
                <w:b/>
                <w:bCs/>
                <w:color w:val="auto"/>
                <w:sz w:val="24"/>
                <w:szCs w:val="24"/>
                <w:highlight w:val="none"/>
                <w:vertAlign w:val="baseline"/>
                <w:lang w:val="en-US" w:eastAsia="zh-CN"/>
              </w:rPr>
              <w:t>月</w:t>
            </w:r>
            <w:r>
              <w:rPr>
                <w:rFonts w:hint="eastAsia" w:ascii="宋体" w:hAnsi="宋体" w:cs="宋体"/>
                <w:b/>
                <w:bCs/>
                <w:color w:val="auto"/>
                <w:sz w:val="24"/>
                <w:szCs w:val="24"/>
                <w:highlight w:val="none"/>
                <w:vertAlign w:val="baseline"/>
                <w:lang w:val="en-US" w:eastAsia="zh-CN"/>
              </w:rPr>
              <w:t>22</w:t>
            </w:r>
            <w:r>
              <w:rPr>
                <w:rFonts w:hint="default" w:ascii="宋体" w:hAnsi="宋体" w:cs="宋体"/>
                <w:b/>
                <w:bCs/>
                <w:color w:val="auto"/>
                <w:sz w:val="24"/>
                <w:szCs w:val="24"/>
                <w:highlight w:val="none"/>
                <w:vertAlign w:val="baseline"/>
                <w:lang w:val="en-US" w:eastAsia="zh-CN"/>
              </w:rPr>
              <w:t>日</w:t>
            </w:r>
            <w:r>
              <w:rPr>
                <w:rFonts w:hint="eastAsia" w:ascii="宋体" w:hAnsi="宋体" w:cs="宋体"/>
                <w:b/>
                <w:bCs/>
                <w:color w:val="auto"/>
                <w:sz w:val="24"/>
                <w:szCs w:val="24"/>
                <w:highlight w:val="none"/>
                <w:vertAlign w:val="baseline"/>
                <w:lang w:val="en-US" w:eastAsia="zh-CN"/>
              </w:rPr>
              <w:t>09</w:t>
            </w:r>
            <w:r>
              <w:rPr>
                <w:rFonts w:hint="default" w:ascii="宋体" w:hAnsi="宋体" w:cs="宋体"/>
                <w:b/>
                <w:bCs/>
                <w:color w:val="auto"/>
                <w:sz w:val="24"/>
                <w:szCs w:val="24"/>
                <w:highlight w:val="none"/>
                <w:vertAlign w:val="baseline"/>
                <w:lang w:val="en-US" w:eastAsia="zh-CN"/>
              </w:rPr>
              <w:t>时</w:t>
            </w:r>
            <w:r>
              <w:rPr>
                <w:rFonts w:hint="eastAsia" w:ascii="宋体" w:hAnsi="宋体" w:cs="宋体"/>
                <w:b/>
                <w:bCs/>
                <w:color w:val="auto"/>
                <w:sz w:val="24"/>
                <w:szCs w:val="24"/>
                <w:highlight w:val="none"/>
                <w:vertAlign w:val="baseline"/>
                <w:lang w:val="en-US" w:eastAsia="zh-CN"/>
              </w:rPr>
              <w:t>30</w:t>
            </w:r>
            <w:r>
              <w:rPr>
                <w:rFonts w:hint="default" w:ascii="宋体" w:hAnsi="宋体" w:cs="宋体"/>
                <w:b/>
                <w:bCs/>
                <w:color w:val="auto"/>
                <w:sz w:val="24"/>
                <w:szCs w:val="24"/>
                <w:highlight w:val="none"/>
                <w:vertAlign w:val="baseline"/>
                <w:lang w:val="en-US" w:eastAsia="zh-CN"/>
              </w:rPr>
              <w:t>分（北京时间）前上传投标文件。</w:t>
            </w:r>
          </w:p>
        </w:tc>
      </w:tr>
    </w:tbl>
    <w:p>
      <w:pPr>
        <w:pageBreakBefore w:val="0"/>
        <w:widowControl w:val="0"/>
        <w:kinsoku/>
        <w:overflowPunct/>
        <w:topLinePunct w:val="0"/>
        <w:autoSpaceDE/>
        <w:autoSpaceDN/>
        <w:bidi w:val="0"/>
        <w:adjustRightInd/>
        <w:snapToGrid/>
        <w:spacing w:line="360" w:lineRule="auto"/>
        <w:ind w:left="0" w:leftChars="0" w:right="0" w:rightChars="0"/>
        <w:jc w:val="both"/>
        <w:textAlignment w:val="auto"/>
        <w:outlineLvl w:val="9"/>
        <w:rPr>
          <w:rFonts w:hint="eastAsia"/>
          <w:b/>
          <w:bCs/>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b/>
          <w:bCs/>
          <w:color w:val="auto"/>
          <w:highlight w:val="none"/>
          <w:lang w:val="en-US" w:eastAsia="zh-CN"/>
        </w:rPr>
      </w:pPr>
      <w:bookmarkStart w:id="4" w:name="_Toc441"/>
      <w:bookmarkStart w:id="5" w:name="_Toc29052"/>
      <w:r>
        <w:rPr>
          <w:rFonts w:hint="eastAsia"/>
          <w:b/>
          <w:bCs/>
          <w:color w:val="auto"/>
          <w:highlight w:val="none"/>
          <w:lang w:val="en-US" w:eastAsia="zh-CN"/>
        </w:rPr>
        <w:t>一、项目基本情况</w:t>
      </w:r>
      <w:bookmarkEnd w:id="3"/>
      <w:bookmarkEnd w:id="4"/>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1.1项目编号：亿达滇招[2025]011号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1.2项目名称：香格里拉市教育体育局2025年度学校食堂营养餐集中配送（净菜）服务；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1.3采购方式：公开招标；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1.4资金来源及预算金额：资金来源：财政资金，预算金额1184.00万元，最终采购金额以实际为准；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1.5采购需求：拟采购一家供应商，为香格里拉市第一中学、香格里拉市第三中学、香格里拉市东旺乡小学、香格里拉市格咱乡小学、香格里拉市尼西乡小学、香格里拉市五境乡小学、香格里拉市上江乡小学、香格里拉市金江镇小学、香格里拉市虎跳峡镇小学、香格里拉市小中甸镇小学、香格里拉市洛吉乡小学、香格里拉市三坝乡白水台小学、香格里拉市三坝乡东坝小学、香格里拉市建塘镇尼史小学、香格里拉市建塘镇纳赤塘小学、香格里拉市实验小学、香格里拉市虎跳峡镇第二小学提供2025年度学校食堂营养餐集中配送（净菜）服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1.6合同履行期限：合同签订之日起至2025年度秋季学期结束止；</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1.7本项目不接受联合体投标。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1.8 服务地点：本项目属于联合采购项目，各学校与中标人分别签订合同，按合同约定按时配送到各学校指定地点。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1.9 标包划分：本项目不划分标包。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1.10本项目为联合采购项目，牵头采购单位为香格里拉市教育体育局，成员单位为：香格里拉市第一中学、香格里拉市第三中学、香格里拉市东旺乡小学、香格里拉市格咱乡小学、香格里拉市尼西乡小学、香格里拉市五境乡小学、香格里拉市上江乡小学、香格里拉市金江镇小学、香格里拉市虎跳峡镇小学、香格里拉市小中甸镇小学、香格里拉市洛吉乡小学、香格里拉市三坝乡白水台小学、香格里拉市三坝乡东坝小学、香格里拉市建塘镇尼史小学、香格里拉市建塘镇纳赤塘小学、香格里拉市实验小学、香格里拉市虎跳峡镇第二小学。</w:t>
      </w: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eastAsia="宋体"/>
          <w:b/>
          <w:bCs/>
          <w:color w:val="auto"/>
          <w:highlight w:val="none"/>
          <w:lang w:val="en-US" w:eastAsia="zh-CN"/>
        </w:rPr>
      </w:pPr>
      <w:bookmarkStart w:id="6" w:name="_Toc29516"/>
      <w:bookmarkStart w:id="7" w:name="_Toc18032"/>
      <w:bookmarkStart w:id="8" w:name="_Toc10838"/>
      <w:r>
        <w:rPr>
          <w:rFonts w:hint="eastAsia" w:eastAsia="宋体"/>
          <w:b/>
          <w:bCs/>
          <w:color w:val="auto"/>
          <w:highlight w:val="none"/>
          <w:lang w:val="en-US" w:eastAsia="zh-CN"/>
        </w:rPr>
        <w:t>二、投标人资格要求</w:t>
      </w:r>
      <w:bookmarkEnd w:id="6"/>
      <w:bookmarkEnd w:id="7"/>
      <w:bookmarkEnd w:id="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1.1</w:t>
      </w:r>
      <w:r>
        <w:rPr>
          <w:rFonts w:hint="eastAsia" w:ascii="宋体" w:hAnsi="宋体" w:eastAsia="宋体" w:cs="宋体"/>
          <w:color w:val="auto"/>
          <w:highlight w:val="none"/>
          <w:lang w:val="en-US" w:eastAsia="zh-CN"/>
        </w:rPr>
        <w:t>具有独立承担民事责任的能力</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投标人须在中华人民共和国境内注册，具有独立承担民事责任能力的法人、其他组织或者自然人</w:t>
      </w:r>
      <w:r>
        <w:rPr>
          <w:rFonts w:hint="eastAsia" w:ascii="宋体" w:hAnsi="宋体" w:eastAsia="宋体" w:cs="宋体"/>
          <w:b/>
          <w:bCs/>
          <w:color w:val="auto"/>
          <w:highlight w:val="none"/>
          <w:lang w:val="en-US" w:eastAsia="zh-CN"/>
        </w:rPr>
        <w:t>（提供市场监督管理部门核发的有效的三证合一营业执照或民办非企业登记证书或社会团体登记证或自然人身份证明）</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1.2</w:t>
      </w:r>
      <w:r>
        <w:rPr>
          <w:rFonts w:hint="eastAsia" w:ascii="宋体" w:hAnsi="宋体" w:eastAsia="宋体" w:cs="宋体"/>
          <w:color w:val="auto"/>
          <w:highlight w:val="none"/>
          <w:lang w:val="en-US" w:eastAsia="zh-CN"/>
        </w:rPr>
        <w:t>具有良好的商业信誉和健全的财务会计制度</w:t>
      </w:r>
      <w:r>
        <w:rPr>
          <w:rFonts w:hint="eastAsia" w:ascii="宋体" w:hAnsi="宋体" w:cs="宋体"/>
          <w:color w:val="auto"/>
          <w:highlight w:val="none"/>
          <w:lang w:val="en-US" w:eastAsia="zh-CN"/>
        </w:rPr>
        <w:t>：根据《财政部关于在政府采购活动中查询及使用信用记录有关问题的通知-财库〔2016〕125号》相关要求，对被列入失信被执行人、重大税收违法失信主体、政府采购严重违法失信行为记录名单之一的投标人拒绝其参与本次政府采购活动。</w:t>
      </w:r>
      <w:r>
        <w:rPr>
          <w:rFonts w:hint="eastAsia" w:ascii="宋体" w:hAnsi="宋体" w:eastAsia="宋体" w:cs="宋体"/>
          <w:b w:val="0"/>
          <w:bCs w:val="0"/>
          <w:color w:val="auto"/>
          <w:sz w:val="24"/>
          <w:szCs w:val="24"/>
          <w:highlight w:val="none"/>
          <w:lang w:val="en-US" w:eastAsia="zh-CN"/>
        </w:rPr>
        <w:t>提供2021年至2023年任意一年经第三方审计的审计报告和财务报表（注：提供的财务报表应包含资产负债表、现金流量表、利润表（损益表）及财务报表附注）；成立不足三年的企业按照实际成立年限提供，成立不足一年的企业提供成立至今的公司财务报表或</w:t>
      </w:r>
      <w:r>
        <w:rPr>
          <w:rFonts w:hint="eastAsia" w:ascii="宋体" w:hAnsi="宋体" w:cs="宋体"/>
          <w:color w:val="auto"/>
          <w:highlight w:val="none"/>
          <w:lang w:val="en-US" w:eastAsia="zh-CN"/>
        </w:rPr>
        <w:t>提供自投标文件提交截止时间前三个月内基本户开户银行出具的资信证明或提供财政部门认可的政府采购专业担保机构对投标人进行资信审查后出具的投标担保函</w:t>
      </w:r>
      <w:r>
        <w:rPr>
          <w:rFonts w:hint="eastAsia" w:ascii="宋体" w:hAnsi="宋体" w:cs="宋体"/>
          <w:b/>
          <w:bCs/>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1.3</w:t>
      </w:r>
      <w:r>
        <w:rPr>
          <w:rFonts w:hint="eastAsia" w:ascii="宋体" w:hAnsi="宋体" w:eastAsia="宋体" w:cs="宋体"/>
          <w:color w:val="auto"/>
          <w:highlight w:val="none"/>
          <w:lang w:val="en-US" w:eastAsia="zh-CN"/>
        </w:rPr>
        <w:t>具有履行合同所必需的设备和专业技术能力</w:t>
      </w:r>
      <w:r>
        <w:rPr>
          <w:rFonts w:hint="eastAsia" w:ascii="宋体" w:hAnsi="宋体" w:cs="宋体"/>
          <w:color w:val="auto"/>
          <w:highlight w:val="none"/>
          <w:lang w:val="en-US" w:eastAsia="zh-CN"/>
        </w:rPr>
        <w:t>：提供投标人具有履行合同所必需的设备和专业技术能力证明材料或承诺书。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b/>
          <w:bCs/>
          <w:color w:val="auto"/>
          <w:highlight w:val="none"/>
          <w:lang w:val="en-US" w:eastAsia="zh-CN"/>
        </w:rPr>
      </w:pPr>
      <w:r>
        <w:rPr>
          <w:rFonts w:hint="eastAsia" w:ascii="宋体" w:hAnsi="宋体" w:cs="宋体"/>
          <w:color w:val="auto"/>
          <w:highlight w:val="none"/>
          <w:lang w:val="en-US" w:eastAsia="zh-CN"/>
        </w:rPr>
        <w:t>1.4</w:t>
      </w:r>
      <w:r>
        <w:rPr>
          <w:rFonts w:hint="eastAsia" w:ascii="宋体" w:hAnsi="宋体" w:eastAsia="宋体" w:cs="宋体"/>
          <w:color w:val="auto"/>
          <w:highlight w:val="none"/>
          <w:lang w:val="en-US" w:eastAsia="zh-CN"/>
        </w:rPr>
        <w:t>有依法缴纳税收和社会保障资金的良好记录</w:t>
      </w:r>
      <w:r>
        <w:rPr>
          <w:rFonts w:hint="eastAsia" w:ascii="宋体" w:hAnsi="宋体" w:cs="宋体"/>
          <w:color w:val="auto"/>
          <w:highlight w:val="none"/>
          <w:lang w:val="en-US" w:eastAsia="zh-CN"/>
        </w:rPr>
        <w:t>：提供参加政府采购活动前段时间2024年03月至今任意1个月依法缴纳税收（税收是指增值税或营业税或企业所得税等）的凭据（凭据是指税务局税收通用缴款书或银行电子缴税（费）凭证或税务局出具纳税情况的相关证明）；如在参加政府采购活动前段时间上税为零，提供该段时间税收为零的《增值税或营业税或企业所得税等税款申报表》或《增值税或营业税或企业所得税等税款网上办税受理通知单》；若注册成立不足1个月的，提供相关内容情况说明或证明材料；依法免税的投标人，须提供相应文件证明其依法免税</w:t>
      </w:r>
      <w:r>
        <w:rPr>
          <w:rFonts w:hint="eastAsia" w:ascii="宋体" w:hAnsi="宋体" w:cs="宋体"/>
          <w:b w:val="0"/>
          <w:bCs w:val="0"/>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b/>
          <w:bCs/>
          <w:color w:val="auto"/>
          <w:highlight w:val="none"/>
          <w:lang w:val="en-US" w:eastAsia="zh-CN"/>
        </w:rPr>
      </w:pPr>
      <w:r>
        <w:rPr>
          <w:rFonts w:hint="eastAsia" w:ascii="宋体" w:hAnsi="宋体" w:cs="宋体"/>
          <w:color w:val="auto"/>
          <w:highlight w:val="none"/>
          <w:lang w:val="en-US" w:eastAsia="zh-CN"/>
        </w:rPr>
        <w:t>提供参加政府采购活动前段时间2024年03月至今任意1个月依法缴纳社会保险（社会保险是指养老保险、工伤保险、医疗保险和失业保险）的凭据（凭据是指社会保险费缴款书或银行电子缴税（费）凭证或社保管理部门出具的有效的缴款证明）；若公司成立不足1个月的，提供相关内容情况说明或证明材料；依法不需要缴纳社会保险的投标人，须提供相应文件证明其不需要缴纳社会保险</w:t>
      </w:r>
      <w:r>
        <w:rPr>
          <w:rFonts w:hint="eastAsia" w:ascii="宋体" w:hAnsi="宋体" w:cs="宋体"/>
          <w:b/>
          <w:bCs/>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1.5</w:t>
      </w:r>
      <w:r>
        <w:rPr>
          <w:rFonts w:hint="eastAsia" w:ascii="宋体" w:hAnsi="宋体" w:eastAsia="宋体" w:cs="宋体"/>
          <w:color w:val="auto"/>
          <w:highlight w:val="none"/>
          <w:lang w:val="en-US" w:eastAsia="zh-CN"/>
        </w:rPr>
        <w:t>参加政府采购活动前三年内，在经营活动中没有重大违法记录</w:t>
      </w:r>
      <w:r>
        <w:rPr>
          <w:rFonts w:hint="eastAsia" w:ascii="宋体" w:hAnsi="宋体" w:cs="宋体"/>
          <w:color w:val="auto"/>
          <w:highlight w:val="none"/>
          <w:lang w:val="en-US" w:eastAsia="zh-CN"/>
        </w:rPr>
        <w:t>：提供投标人参加政府采购活动前三年内，在经营活动中没有重大违法记录（重大违法记录，是指投标人因违法经营受到刑事处罚或者责令停产停业、吊销许可证或者执照、较大数额罚款等行政处罚）的承诺书。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1.6截至投标（响应）文件递交时间，未被“信用中国”（www.creditchina.gov.cn）、中国政府采购网（www.ccgp.gov.cn）列入失信被执行人、重大税收违法案件当事人名单、政府采购严重违法失信行为记录名单。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1.7</w:t>
      </w:r>
      <w:r>
        <w:rPr>
          <w:rFonts w:hint="eastAsia" w:ascii="宋体" w:hAnsi="宋体" w:eastAsia="宋体" w:cs="宋体"/>
          <w:color w:val="auto"/>
          <w:highlight w:val="none"/>
          <w:lang w:val="en-US" w:eastAsia="zh-CN"/>
        </w:rPr>
        <w:t>法律、行政法规规定的其他条件</w:t>
      </w:r>
      <w:r>
        <w:rPr>
          <w:rFonts w:hint="eastAsia" w:ascii="宋体" w:hAnsi="宋体" w:cs="宋体"/>
          <w:color w:val="auto"/>
          <w:highlight w:val="none"/>
          <w:lang w:val="en-US" w:eastAsia="zh-CN"/>
        </w:rPr>
        <w:t>：无</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2.落实政府采购政策需满足的资格要求：本项目属于专门面向中小企业采购的项目</w:t>
      </w:r>
      <w:r>
        <w:rPr>
          <w:rFonts w:hint="eastAsia" w:ascii="宋体" w:hAnsi="宋体" w:cs="宋体"/>
          <w:color w:val="auto"/>
          <w:highlight w:val="none"/>
          <w:lang w:val="en-US" w:eastAsia="zh-CN"/>
        </w:rPr>
        <w:t>，投标人若为中小微企业，须按要求提供《中小企业声明函》，监狱企业、残疾人福利性单位视同小型或微型企业，提供残疾人福利性单位声明函或监狱企业证明文件</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3.1</w:t>
      </w:r>
      <w:r>
        <w:rPr>
          <w:rFonts w:hint="eastAsia" w:ascii="宋体" w:hAnsi="宋体" w:eastAsia="宋体" w:cs="宋体"/>
          <w:color w:val="auto"/>
          <w:highlight w:val="none"/>
          <w:lang w:val="en-US" w:eastAsia="zh-CN"/>
        </w:rPr>
        <w:t>投标人应具有有效期限内的食品生产许可证或食品经营许可证。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3.2根据《中华人民共和国政府采购法实施条例》第十八条规定，单位负责人为同一人或者存在直接控股、管理关系的不同投标人，不得参加同一合同项下的政府采购活动</w:t>
      </w:r>
      <w:r>
        <w:rPr>
          <w:rFonts w:hint="eastAsia" w:ascii="宋体" w:hAnsi="宋体" w:eastAsia="宋体" w:cs="宋体"/>
          <w:color w:val="auto"/>
          <w:highlight w:val="none"/>
          <w:lang w:val="en-US" w:eastAsia="zh-CN"/>
        </w:rPr>
        <w:t>。</w:t>
      </w: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b/>
          <w:bCs/>
          <w:color w:val="auto"/>
          <w:highlight w:val="none"/>
          <w:lang w:val="en-US" w:eastAsia="zh-CN"/>
        </w:rPr>
      </w:pPr>
      <w:bookmarkStart w:id="9" w:name="_Toc29053"/>
      <w:bookmarkStart w:id="10" w:name="_Toc7229"/>
      <w:bookmarkStart w:id="11" w:name="_Toc2553"/>
      <w:r>
        <w:rPr>
          <w:rFonts w:hint="eastAsia"/>
          <w:b/>
          <w:bCs/>
          <w:color w:val="auto"/>
          <w:highlight w:val="none"/>
          <w:lang w:val="en-US" w:eastAsia="zh-CN"/>
        </w:rPr>
        <w:t>三、招标文件的获取</w:t>
      </w:r>
      <w:bookmarkEnd w:id="9"/>
      <w:bookmarkEnd w:id="10"/>
      <w:bookmarkEnd w:id="11"/>
    </w:p>
    <w:p>
      <w:pPr>
        <w:spacing w:line="37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至202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09</w:t>
      </w:r>
      <w:r>
        <w:rPr>
          <w:rFonts w:hint="eastAsia" w:ascii="宋体" w:hAnsi="宋体" w:eastAsia="宋体" w:cs="宋体"/>
          <w:color w:val="auto"/>
          <w:sz w:val="24"/>
          <w:szCs w:val="24"/>
          <w:highlight w:val="none"/>
        </w:rPr>
        <w:t>日23:59(提供期限自本公告发布之日起不得少于5个工作日,北京时间，法定节假日除外)。</w:t>
      </w:r>
    </w:p>
    <w:p>
      <w:pPr>
        <w:widowControl w:val="0"/>
        <w:spacing w:line="37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地点（网址）：本项目不发放纸质</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可自行在“政采云”平台（ https://www.zcygov.cn/）下载采购文件（操作路径：登录“政采云”平台-项目采购-获取采购文件-找到本项目-点击“申请获取采购文件”），电子响应文件制作需要基于“政采云”平台（ https://www.zcygov.cn/）获取的采购文件编制。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z w:val="24"/>
          <w:szCs w:val="24"/>
          <w:highlight w:val="none"/>
        </w:rPr>
        <w:t>方式：1.凡有意参加投标者，须在政采云平台办理数字证书（CA），CA申领链接：https://middle.zcygov.cn/ca/apply/list?_app_=zcy.sys，并在政采云绑定数字证书（CA）后在网上获取采购文件及其它采购资料，数字证书（CA）详见其办理流程。注：云南本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在政采云平台办理的其他CA可直接使用，无需重复办理。2.按上述要求获取文件的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视为合法获取了本项目采购文件，具备本项目的投标资格，此为获取招标文件的唯一途径</w:t>
      </w:r>
      <w:r>
        <w:rPr>
          <w:rFonts w:hint="eastAsia" w:ascii="宋体" w:hAnsi="宋体" w:eastAsia="宋体" w:cs="宋体"/>
          <w:color w:val="auto"/>
          <w:spacing w:val="-2"/>
          <w:sz w:val="24"/>
          <w:szCs w:val="24"/>
          <w:highlight w:val="none"/>
          <w:lang w:eastAsia="zh-CN"/>
        </w:rPr>
        <w:t>。</w:t>
      </w: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default"/>
          <w:b/>
          <w:bCs/>
          <w:color w:val="auto"/>
          <w:highlight w:val="none"/>
          <w:lang w:val="en-US" w:eastAsia="zh-CN"/>
        </w:rPr>
      </w:pPr>
      <w:bookmarkStart w:id="12" w:name="_Toc23296"/>
      <w:bookmarkStart w:id="13" w:name="_Toc3053"/>
      <w:bookmarkStart w:id="14" w:name="_Toc23921"/>
      <w:r>
        <w:rPr>
          <w:rFonts w:hint="eastAsia"/>
          <w:b/>
          <w:bCs/>
          <w:color w:val="auto"/>
          <w:highlight w:val="none"/>
          <w:lang w:val="en-US" w:eastAsia="zh-CN"/>
        </w:rPr>
        <w:t>四、响应文件的递交</w:t>
      </w:r>
      <w:bookmarkEnd w:id="12"/>
      <w:r>
        <w:rPr>
          <w:rFonts w:hint="eastAsia"/>
          <w:b/>
          <w:bCs/>
          <w:color w:val="auto"/>
          <w:highlight w:val="none"/>
          <w:lang w:val="en-US" w:eastAsia="zh-CN"/>
        </w:rPr>
        <w:t>、开标时间及地点</w:t>
      </w:r>
      <w:bookmarkEnd w:id="13"/>
      <w:bookmarkEnd w:id="14"/>
    </w:p>
    <w:p>
      <w:pPr>
        <w:widowControl w:val="0"/>
        <w:spacing w:line="360" w:lineRule="auto"/>
        <w:ind w:firstLine="480" w:firstLineChars="200"/>
        <w:rPr>
          <w:rFonts w:hint="eastAsia" w:ascii="宋体" w:hAnsi="宋体" w:eastAsia="宋体" w:cs="宋体"/>
          <w:bCs/>
          <w:color w:val="auto"/>
          <w:sz w:val="24"/>
          <w:szCs w:val="24"/>
          <w:highlight w:val="none"/>
        </w:rPr>
      </w:pPr>
      <w:bookmarkStart w:id="15" w:name="_Toc21024"/>
      <w:r>
        <w:rPr>
          <w:rFonts w:hint="eastAsia" w:ascii="宋体" w:hAnsi="宋体" w:eastAsia="宋体" w:cs="宋体"/>
          <w:bCs/>
          <w:color w:val="auto"/>
          <w:sz w:val="24"/>
          <w:szCs w:val="24"/>
          <w:highlight w:val="none"/>
        </w:rPr>
        <w:t>提交投标文件截止时间：202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04</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09时</w:t>
      </w:r>
      <w:r>
        <w:rPr>
          <w:rFonts w:hint="eastAsia" w:ascii="宋体" w:hAnsi="宋体" w:eastAsia="宋体" w:cs="宋体"/>
          <w:bCs/>
          <w:color w:val="auto"/>
          <w:sz w:val="24"/>
          <w:szCs w:val="24"/>
          <w:highlight w:val="none"/>
        </w:rPr>
        <w:t>30分（北京时间）</w:t>
      </w:r>
    </w:p>
    <w:p>
      <w:pPr>
        <w:pStyle w:val="28"/>
        <w:widowControl w:val="0"/>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bCs/>
          <w:color w:val="auto"/>
          <w:sz w:val="24"/>
          <w:szCs w:val="24"/>
          <w:highlight w:val="none"/>
        </w:rPr>
        <w:t>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04</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22</w:t>
      </w: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09时</w:t>
      </w:r>
      <w:r>
        <w:rPr>
          <w:rFonts w:hint="eastAsia" w:ascii="宋体" w:hAnsi="宋体" w:eastAsia="宋体" w:cs="宋体"/>
          <w:bCs/>
          <w:color w:val="auto"/>
          <w:sz w:val="24"/>
          <w:szCs w:val="24"/>
          <w:highlight w:val="none"/>
        </w:rPr>
        <w:t>30分（北京时间）</w:t>
      </w: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开标地点：政府采购云平台开标大厅“政采云”平台（https://www.zcygov.cn/）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应按照本项目</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政采云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平台的要求编制、加密后在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文件提交截止时间前上传至"政采云"平台，</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文件提交截止时间前未完成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文件上传的，视为撤回</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在"政采云"平台提交电子版</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文件时，请填写参加远程采购活动经办人联系方式</w:t>
      </w:r>
      <w:r>
        <w:rPr>
          <w:rFonts w:hint="eastAsia" w:ascii="宋体" w:hAnsi="宋体" w:cs="宋体"/>
          <w:color w:val="auto"/>
          <w:sz w:val="24"/>
          <w:szCs w:val="24"/>
          <w:highlight w:val="none"/>
          <w:lang w:eastAsia="zh-CN"/>
        </w:rPr>
        <w:t>。</w:t>
      </w:r>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right="0" w:rightChars="0"/>
        <w:textAlignment w:val="auto"/>
        <w:outlineLvl w:val="9"/>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五、其他补充事宜</w:t>
      </w:r>
    </w:p>
    <w:p>
      <w:pPr>
        <w:adjustRightInd w:val="0"/>
        <w:snapToGrid w:val="0"/>
        <w:spacing w:line="360" w:lineRule="auto"/>
        <w:ind w:firstLine="456" w:firstLineChars="19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b/>
          <w:bCs/>
          <w:color w:val="auto"/>
          <w:sz w:val="24"/>
          <w:szCs w:val="24"/>
          <w:highlight w:val="none"/>
        </w:rPr>
        <w:t>开标方式：网上开标</w:t>
      </w:r>
      <w:r>
        <w:rPr>
          <w:rFonts w:hint="eastAsia" w:ascii="宋体" w:hAnsi="宋体" w:eastAsia="宋体" w:cs="宋体"/>
          <w:b/>
          <w:bCs/>
          <w:color w:val="auto"/>
          <w:sz w:val="24"/>
          <w:szCs w:val="24"/>
          <w:highlight w:val="none"/>
          <w:lang w:eastAsia="zh-CN"/>
        </w:rPr>
        <w:t xml:space="preserve">，本项目为不见面开标，投标人无需到达现场； </w:t>
      </w:r>
    </w:p>
    <w:p>
      <w:pPr>
        <w:adjustRightInd w:val="0"/>
        <w:snapToGrid w:val="0"/>
        <w:spacing w:line="360" w:lineRule="auto"/>
        <w:ind w:firstLine="456" w:firstLineChars="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.本项目实行网上投标，采用电子响应文件； </w:t>
      </w:r>
    </w:p>
    <w:p>
      <w:pPr>
        <w:adjustRightInd w:val="0"/>
        <w:snapToGrid w:val="0"/>
        <w:spacing w:line="360" w:lineRule="auto"/>
        <w:ind w:firstLine="456" w:firstLineChars="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3.各投标人应在开标前应确保成为政采云平台投标人，并完成CA数字证书申领。因未注册入库、未办理CA数字证书等原因造成无法投标或投标失败等后果由投标人自行承担。 凡有意参加投标的投标人，须在政采云平台办理数字证书（CA）CA申领链接：https://middle.zcygov.cn/ca/apply/list?_app_=zcy.sys，并通过政采云绑定数字证书（CA）后在网上获取采购文件及其它采购资料，数字证书（CA）详见其办理流程； </w:t>
      </w:r>
    </w:p>
    <w:p>
      <w:pPr>
        <w:adjustRightInd w:val="0"/>
        <w:snapToGrid w:val="0"/>
        <w:spacing w:line="360" w:lineRule="auto"/>
        <w:ind w:firstLine="456" w:firstLineChars="1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遇技术问题或需技术支持，可通过省电子交易系统右侧“采小蜜”自助解决，或咨询政采云有限公司客服热线95763及省级驻场服务电话0871-6395734</w:t>
      </w:r>
    </w:p>
    <w:p>
      <w:pPr>
        <w:adjustRightInd w:val="0"/>
        <w:snapToGrid w:val="0"/>
        <w:spacing w:line="360" w:lineRule="auto"/>
        <w:ind w:firstLine="456" w:firstLineChars="19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5、本项目须缴纳投标保证金，金额为8.00万元，缴纳方式为网上银行转账、保函、支票、汇票、本票、保证保险等非现金方式。</w:t>
      </w:r>
    </w:p>
    <w:p>
      <w:pPr>
        <w:adjustRightInd w:val="0"/>
        <w:snapToGrid w:val="0"/>
        <w:spacing w:line="360" w:lineRule="auto"/>
        <w:ind w:firstLine="456" w:firstLineChars="19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缴纳截止时间同投标文件递交截止时间</w:t>
      </w:r>
    </w:p>
    <w:p>
      <w:pPr>
        <w:adjustRightInd w:val="0"/>
        <w:snapToGrid w:val="0"/>
        <w:spacing w:line="360" w:lineRule="auto"/>
        <w:ind w:firstLine="456" w:firstLineChars="19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名称：福建省亿达工程咨询有限公司云南分公司</w:t>
      </w:r>
    </w:p>
    <w:p>
      <w:pPr>
        <w:adjustRightInd w:val="0"/>
        <w:snapToGrid w:val="0"/>
        <w:spacing w:line="360" w:lineRule="auto"/>
        <w:ind w:firstLine="456" w:firstLineChars="19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开户银行：广发银行昆明国贸支行</w:t>
      </w:r>
    </w:p>
    <w:p>
      <w:pPr>
        <w:adjustRightInd w:val="0"/>
        <w:snapToGrid w:val="0"/>
        <w:spacing w:line="360" w:lineRule="auto"/>
        <w:ind w:firstLine="456" w:firstLineChars="19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银行账户：9550880245575500131</w:t>
      </w: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b/>
          <w:bCs/>
          <w:color w:val="auto"/>
          <w:highlight w:val="none"/>
          <w:lang w:val="en-US" w:eastAsia="zh-CN"/>
        </w:rPr>
      </w:pPr>
      <w:bookmarkStart w:id="16" w:name="_Toc4803"/>
      <w:bookmarkStart w:id="17" w:name="_Toc6420"/>
      <w:r>
        <w:rPr>
          <w:rFonts w:hint="eastAsia"/>
          <w:b/>
          <w:bCs/>
          <w:color w:val="auto"/>
          <w:highlight w:val="none"/>
          <w:lang w:val="en-US" w:eastAsia="zh-CN"/>
        </w:rPr>
        <w:t>六、公告发布媒介</w:t>
      </w:r>
      <w:bookmarkEnd w:id="15"/>
      <w:bookmarkEnd w:id="16"/>
      <w:bookmarkEnd w:id="17"/>
    </w:p>
    <w:p>
      <w:pPr>
        <w:pageBreakBefore w:val="0"/>
        <w:widowControl w:val="0"/>
        <w:kinsoku/>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ascii="宋体" w:hAnsi="宋体" w:eastAsia="宋体" w:cs="宋体"/>
          <w:color w:val="auto"/>
          <w:sz w:val="24"/>
          <w:szCs w:val="24"/>
          <w:highlight w:val="none"/>
        </w:rPr>
        <w:t>本次</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公告在云南省政府采购网（http://www.cebpubservice.com/）</w:t>
      </w:r>
      <w:r>
        <w:rPr>
          <w:rFonts w:hint="eastAsia" w:ascii="宋体" w:hAnsi="宋体" w:cs="宋体"/>
          <w:color w:val="auto"/>
          <w:sz w:val="24"/>
          <w:szCs w:val="24"/>
          <w:highlight w:val="none"/>
          <w:lang w:eastAsia="zh-CN"/>
        </w:rPr>
        <w:t>、“政采云”平台（https://www.zcygov.cn/）</w:t>
      </w:r>
      <w:r>
        <w:rPr>
          <w:rFonts w:hint="eastAsia" w:ascii="宋体" w:hAnsi="宋体" w:eastAsia="宋体" w:cs="宋体"/>
          <w:color w:val="auto"/>
          <w:sz w:val="24"/>
          <w:szCs w:val="24"/>
          <w:highlight w:val="none"/>
        </w:rPr>
        <w:t>上发布，我公司对其他网站或媒体转载的公告及公告内容不承担任何责任</w:t>
      </w:r>
      <w:r>
        <w:rPr>
          <w:rFonts w:hint="eastAsia"/>
          <w:color w:val="auto"/>
          <w:highlight w:val="none"/>
          <w:lang w:val="en-US" w:eastAsia="zh-CN"/>
        </w:rPr>
        <w:t>。</w:t>
      </w: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color w:val="auto"/>
          <w:highlight w:val="none"/>
          <w:lang w:val="en-US" w:eastAsia="zh-CN"/>
        </w:rPr>
      </w:pPr>
      <w:bookmarkStart w:id="18" w:name="_Toc16638"/>
      <w:bookmarkStart w:id="19" w:name="_Toc29169"/>
      <w:bookmarkStart w:id="20" w:name="_Toc23672"/>
      <w:r>
        <w:rPr>
          <w:rFonts w:hint="eastAsia"/>
          <w:b/>
          <w:bCs/>
          <w:color w:val="auto"/>
          <w:highlight w:val="none"/>
          <w:lang w:val="en-US" w:eastAsia="zh-CN"/>
        </w:rPr>
        <w:t>七</w:t>
      </w:r>
      <w:r>
        <w:rPr>
          <w:rFonts w:hint="eastAsia" w:eastAsia="宋体"/>
          <w:b/>
          <w:bCs/>
          <w:color w:val="auto"/>
          <w:highlight w:val="none"/>
          <w:lang w:val="en-US" w:eastAsia="zh-CN"/>
        </w:rPr>
        <w:t>、联系方式</w:t>
      </w:r>
      <w:bookmarkEnd w:id="18"/>
      <w:bookmarkEnd w:id="19"/>
      <w:bookmarkEnd w:id="2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 xml:space="preserve">1.联合采购牵头单位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名 称：</w:t>
      </w:r>
      <w:r>
        <w:rPr>
          <w:rFonts w:hint="eastAsia" w:ascii="宋体" w:hAnsi="宋体" w:cs="宋体"/>
          <w:color w:val="auto"/>
          <w:highlight w:val="none"/>
          <w:lang w:eastAsia="zh-CN"/>
        </w:rPr>
        <w:t>香格里拉市教育体育局</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地 址：香格里拉市市级行政中心3号楼3楼</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联系人：刘老师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联系方式：13988733447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2.采购代理机构信息</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名 称：福建省亿达工程咨询有限公司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地 址：昆明市官渡区巫家坝中海国际中心写字楼2楼201室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联系人： 康工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联系方式： 15125215994</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0"/>
        <w:rPr>
          <w:rFonts w:hint="default"/>
          <w:b/>
          <w:bCs/>
          <w:color w:val="auto"/>
          <w:sz w:val="32"/>
          <w:szCs w:val="32"/>
          <w:highlight w:val="none"/>
          <w:lang w:val="en-US" w:eastAsia="zh-CN"/>
        </w:rPr>
      </w:pPr>
      <w:bookmarkStart w:id="21" w:name="_Toc25179"/>
      <w:bookmarkStart w:id="22" w:name="_Toc24773"/>
      <w:bookmarkStart w:id="23" w:name="_Toc9748"/>
      <w:r>
        <w:rPr>
          <w:rFonts w:hint="eastAsia"/>
          <w:b/>
          <w:bCs/>
          <w:color w:val="auto"/>
          <w:sz w:val="32"/>
          <w:szCs w:val="32"/>
          <w:highlight w:val="none"/>
          <w:lang w:val="en-US" w:eastAsia="zh-CN"/>
        </w:rPr>
        <w:t>第二章  投标人须知</w:t>
      </w:r>
      <w:bookmarkEnd w:id="21"/>
      <w:bookmarkEnd w:id="22"/>
      <w:bookmarkEnd w:id="23"/>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1"/>
        <w:rPr>
          <w:rFonts w:hint="eastAsia"/>
          <w:b/>
          <w:bCs/>
          <w:color w:val="auto"/>
          <w:highlight w:val="none"/>
          <w:lang w:val="en-US" w:eastAsia="zh-CN"/>
        </w:rPr>
      </w:pPr>
      <w:bookmarkStart w:id="24" w:name="_Toc17209"/>
      <w:bookmarkStart w:id="25" w:name="_Toc27125"/>
      <w:bookmarkStart w:id="26" w:name="_Toc27101"/>
      <w:r>
        <w:rPr>
          <w:rFonts w:hint="eastAsia"/>
          <w:b/>
          <w:bCs/>
          <w:color w:val="auto"/>
          <w:highlight w:val="none"/>
          <w:lang w:val="en-US" w:eastAsia="zh-CN"/>
        </w:rPr>
        <w:t>投标人须知前附表</w:t>
      </w:r>
      <w:bookmarkEnd w:id="24"/>
      <w:bookmarkEnd w:id="25"/>
      <w:bookmarkEnd w:id="26"/>
    </w:p>
    <w:tbl>
      <w:tblPr>
        <w:tblStyle w:val="1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698"/>
        <w:gridCol w:w="7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条款号</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条款名称</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1.1.2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联合</w:t>
            </w:r>
            <w:r>
              <w:rPr>
                <w:rFonts w:hint="eastAsia" w:ascii="宋体" w:hAnsi="宋体" w:cs="宋体"/>
                <w:color w:val="auto"/>
                <w:sz w:val="21"/>
                <w:szCs w:val="21"/>
                <w:highlight w:val="none"/>
              </w:rPr>
              <w:t>采购</w:t>
            </w:r>
            <w:r>
              <w:rPr>
                <w:rFonts w:hint="eastAsia" w:ascii="宋体" w:hAnsi="宋体" w:cs="宋体"/>
                <w:color w:val="auto"/>
                <w:sz w:val="21"/>
                <w:szCs w:val="21"/>
                <w:highlight w:val="none"/>
                <w:lang w:val="en-US" w:eastAsia="zh-CN"/>
              </w:rPr>
              <w:t>牵头单位</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名称：</w:t>
            </w:r>
            <w:r>
              <w:rPr>
                <w:rFonts w:hint="eastAsia" w:ascii="宋体" w:hAnsi="宋体" w:cs="宋体"/>
                <w:color w:val="auto"/>
                <w:sz w:val="21"/>
                <w:szCs w:val="21"/>
                <w:highlight w:val="none"/>
                <w:lang w:eastAsia="zh-CN"/>
              </w:rPr>
              <w:t>香格里拉市教育体育局</w:t>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lang w:eastAsia="zh-CN"/>
              </w:rPr>
              <w:t>香格里拉市市级行政中心3号楼3楼</w:t>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联系人：</w:t>
            </w:r>
            <w:r>
              <w:rPr>
                <w:rFonts w:hint="eastAsia" w:ascii="宋体" w:hAnsi="宋体" w:cs="宋体"/>
                <w:color w:val="auto"/>
                <w:sz w:val="21"/>
                <w:szCs w:val="21"/>
                <w:highlight w:val="none"/>
                <w:lang w:val="en-US" w:eastAsia="zh-CN"/>
              </w:rPr>
              <w:t>刘</w:t>
            </w:r>
            <w:r>
              <w:rPr>
                <w:rFonts w:hint="eastAsia" w:ascii="宋体" w:hAnsi="宋体" w:cs="宋体"/>
                <w:color w:val="auto"/>
                <w:sz w:val="21"/>
                <w:szCs w:val="21"/>
                <w:highlight w:val="none"/>
              </w:rPr>
              <w:t>老师</w:t>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联系方式：</w:t>
            </w:r>
            <w:r>
              <w:rPr>
                <w:rFonts w:hint="eastAsia" w:ascii="宋体" w:hAnsi="宋体" w:cs="宋体"/>
                <w:color w:val="auto"/>
                <w:sz w:val="21"/>
                <w:szCs w:val="21"/>
                <w:highlight w:val="none"/>
                <w:lang w:eastAsia="zh-CN"/>
              </w:rPr>
              <w:t>13988733447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1.1.3</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采购代理机构</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名称：福建省亿达工程咨询有限公司</w:t>
            </w:r>
          </w:p>
          <w:p>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地址：昆明市官渡区巫家坝中海国际中心写字楼2楼201室</w:t>
            </w:r>
          </w:p>
          <w:p>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联系人：</w:t>
            </w:r>
            <w:r>
              <w:rPr>
                <w:rFonts w:hint="eastAsia" w:ascii="宋体" w:hAnsi="宋体" w:cs="宋体"/>
                <w:color w:val="auto"/>
                <w:sz w:val="21"/>
                <w:szCs w:val="21"/>
                <w:highlight w:val="none"/>
                <w:lang w:val="en-US" w:eastAsia="zh-CN"/>
              </w:rPr>
              <w:t>康工</w:t>
            </w:r>
          </w:p>
          <w:p>
            <w:pP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联系方式： 15125215994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1.1.4</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项目名称及项目编号</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项目名称：</w:t>
            </w:r>
            <w:r>
              <w:rPr>
                <w:rFonts w:hint="eastAsia" w:ascii="宋体" w:hAnsi="宋体" w:cs="宋体"/>
                <w:color w:val="auto"/>
                <w:sz w:val="21"/>
                <w:szCs w:val="21"/>
                <w:highlight w:val="none"/>
                <w:lang w:eastAsia="zh-CN"/>
              </w:rPr>
              <w:t>香格里拉市教育体育局2025年度学校食堂营养餐集中配送（净菜）服务</w:t>
            </w:r>
            <w:r>
              <w:rPr>
                <w:rFonts w:hint="eastAsia" w:ascii="宋体" w:hAnsi="宋体" w:cs="宋体"/>
                <w:color w:val="auto"/>
                <w:sz w:val="21"/>
                <w:szCs w:val="21"/>
                <w:highlight w:val="none"/>
              </w:rPr>
              <w:t xml:space="preserve"> </w:t>
            </w:r>
          </w:p>
          <w:p>
            <w:pPr>
              <w:spacing w:line="360" w:lineRule="auto"/>
              <w:rPr>
                <w:rFonts w:hint="eastAsia" w:ascii="宋体" w:hAnsi="宋体" w:eastAsia="宋体"/>
                <w:color w:val="auto"/>
                <w:sz w:val="21"/>
                <w:szCs w:val="21"/>
                <w:highlight w:val="none"/>
                <w:lang w:eastAsia="zh-CN"/>
              </w:rPr>
            </w:pPr>
            <w:r>
              <w:rPr>
                <w:rFonts w:hint="eastAsia" w:ascii="宋体" w:hAnsi="宋体" w:cs="宋体"/>
                <w:color w:val="auto"/>
                <w:sz w:val="21"/>
                <w:szCs w:val="21"/>
                <w:highlight w:val="none"/>
              </w:rPr>
              <w:t>项目编号：亿达滇招[202</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011号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1.2.1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资金来源</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1.2.2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最高限价</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1.2.3</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资金落实情况</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olor w:val="auto"/>
                <w:sz w:val="21"/>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1.3.1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采购需求</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.3.2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合同履</w:t>
            </w:r>
            <w:r>
              <w:rPr>
                <w:rFonts w:hint="eastAsia" w:ascii="宋体" w:hAnsi="宋体" w:cs="宋体"/>
                <w:color w:val="auto"/>
                <w:sz w:val="21"/>
                <w:szCs w:val="21"/>
                <w:highlight w:val="none"/>
                <w:lang w:val="en-US" w:eastAsia="zh-CN"/>
              </w:rPr>
              <w:t>约</w:t>
            </w:r>
            <w:r>
              <w:rPr>
                <w:rFonts w:hint="eastAsia" w:ascii="宋体" w:hAnsi="宋体" w:cs="宋体"/>
                <w:color w:val="auto"/>
                <w:sz w:val="21"/>
                <w:szCs w:val="21"/>
                <w:highlight w:val="none"/>
              </w:rPr>
              <w:t>期限</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3</w:t>
            </w:r>
            <w:r>
              <w:rPr>
                <w:rFonts w:hint="eastAsia" w:ascii="宋体" w:hAnsi="宋体" w:cs="宋体"/>
                <w:color w:val="auto"/>
                <w:sz w:val="21"/>
                <w:szCs w:val="21"/>
                <w:highlight w:val="none"/>
              </w:rPr>
              <w:t>.</w:t>
            </w:r>
            <w:r>
              <w:rPr>
                <w:rFonts w:ascii="宋体" w:hAnsi="宋体" w:cs="宋体"/>
                <w:color w:val="auto"/>
                <w:sz w:val="21"/>
                <w:szCs w:val="21"/>
                <w:highlight w:val="none"/>
              </w:rPr>
              <w:t>3</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服务</w:t>
            </w:r>
            <w:r>
              <w:rPr>
                <w:rFonts w:hint="eastAsia" w:ascii="宋体" w:hAnsi="宋体" w:cs="宋体"/>
                <w:color w:val="auto"/>
                <w:sz w:val="21"/>
                <w:szCs w:val="21"/>
                <w:highlight w:val="none"/>
              </w:rPr>
              <w:t>地点</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3</w:t>
            </w:r>
            <w:r>
              <w:rPr>
                <w:rFonts w:hint="eastAsia" w:ascii="宋体" w:hAnsi="宋体" w:cs="宋体"/>
                <w:color w:val="auto"/>
                <w:sz w:val="21"/>
                <w:szCs w:val="21"/>
                <w:highlight w:val="none"/>
              </w:rPr>
              <w:t>.</w:t>
            </w:r>
            <w:r>
              <w:rPr>
                <w:rFonts w:ascii="宋体" w:hAnsi="宋体" w:cs="宋体"/>
                <w:color w:val="auto"/>
                <w:sz w:val="21"/>
                <w:szCs w:val="21"/>
                <w:highlight w:val="none"/>
              </w:rPr>
              <w:t>4</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质量</w:t>
            </w:r>
            <w:r>
              <w:rPr>
                <w:rFonts w:hint="eastAsia" w:ascii="宋体" w:hAnsi="宋体" w:cs="宋体"/>
                <w:color w:val="auto"/>
                <w:sz w:val="21"/>
                <w:szCs w:val="21"/>
                <w:highlight w:val="none"/>
                <w:lang w:val="en-US" w:eastAsia="zh-CN"/>
              </w:rPr>
              <w:t>要求</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120" w:beforeLines="50"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详见 第</w:t>
            </w:r>
            <w:r>
              <w:rPr>
                <w:rFonts w:hint="eastAsia" w:ascii="宋体" w:hAnsi="宋体" w:cs="宋体"/>
                <w:color w:val="auto"/>
                <w:sz w:val="21"/>
                <w:szCs w:val="21"/>
                <w:highlight w:val="none"/>
                <w:lang w:eastAsia="zh-CN"/>
              </w:rPr>
              <w:t>五</w:t>
            </w:r>
            <w:r>
              <w:rPr>
                <w:rFonts w:hint="eastAsia" w:ascii="宋体" w:hAnsi="宋体" w:cs="宋体"/>
                <w:color w:val="auto"/>
                <w:sz w:val="21"/>
                <w:szCs w:val="21"/>
                <w:highlight w:val="none"/>
              </w:rPr>
              <w:t xml:space="preserve">章 </w:t>
            </w:r>
            <w:r>
              <w:rPr>
                <w:rFonts w:hint="eastAsia" w:ascii="宋体" w:hAnsi="宋体" w:cs="宋体"/>
                <w:color w:val="auto"/>
                <w:sz w:val="21"/>
                <w:szCs w:val="21"/>
                <w:highlight w:val="none"/>
                <w:lang w:eastAsia="zh-CN"/>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1.3.</w:t>
            </w:r>
            <w:r>
              <w:rPr>
                <w:rFonts w:ascii="宋体" w:hAnsi="宋体" w:cs="宋体"/>
                <w:color w:val="auto"/>
                <w:sz w:val="21"/>
                <w:szCs w:val="21"/>
                <w:highlight w:val="none"/>
              </w:rPr>
              <w:t>5</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标包划分</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1.4.1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投标人资格要求</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1.4</w:t>
            </w:r>
            <w:r>
              <w:rPr>
                <w:rFonts w:ascii="宋体" w:hAnsi="宋体" w:cs="宋体"/>
                <w:color w:val="auto"/>
                <w:sz w:val="21"/>
                <w:szCs w:val="21"/>
                <w:highlight w:val="none"/>
              </w:rPr>
              <w:t>.2</w:t>
            </w:r>
          </w:p>
        </w:tc>
        <w:tc>
          <w:tcPr>
            <w:tcW w:w="1698"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是否接受联合体投标</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1.9.1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踏勘现场</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1.10</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开标前答疑会</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1.11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分包</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1.12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偏离</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2.1</w:t>
            </w:r>
          </w:p>
        </w:tc>
        <w:tc>
          <w:tcPr>
            <w:tcW w:w="1698"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构成招标文件的其他材料</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澄清、修改、补充通知等。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2.2.2</w:t>
            </w:r>
          </w:p>
        </w:tc>
        <w:tc>
          <w:tcPr>
            <w:tcW w:w="1698"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招标文件的询问联系方式</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询问联系人：</w:t>
            </w:r>
            <w:r>
              <w:rPr>
                <w:rFonts w:hint="eastAsia" w:ascii="宋体" w:hAnsi="宋体" w:cs="宋体"/>
                <w:color w:val="auto"/>
                <w:sz w:val="21"/>
                <w:szCs w:val="21"/>
                <w:highlight w:val="none"/>
                <w:lang w:val="en-US" w:eastAsia="zh-CN"/>
              </w:rPr>
              <w:t>康工</w:t>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联系电话：15125215994 </w:t>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邮箱：2415558329@qq.com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2.3.2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招标文件的澄清或修改</w:t>
            </w:r>
          </w:p>
        </w:tc>
        <w:tc>
          <w:tcPr>
            <w:tcW w:w="7085" w:type="dxa"/>
            <w:tcBorders>
              <w:top w:val="single" w:color="auto" w:sz="4" w:space="0"/>
              <w:left w:val="single" w:color="auto" w:sz="4" w:space="0"/>
              <w:bottom w:val="single" w:color="auto" w:sz="4" w:space="0"/>
              <w:right w:val="single" w:color="auto" w:sz="4" w:space="0"/>
            </w:tcBorders>
            <w:vAlign w:val="center"/>
          </w:tcPr>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（1）投标人应仔细阅读和检查招标文件的全部内容。如发现缺页或附件不全，应在</w:t>
            </w:r>
            <w:r>
              <w:rPr>
                <w:rFonts w:hint="eastAsia" w:ascii="宋体" w:hAnsi="宋体" w:cs="宋体"/>
                <w:color w:val="auto"/>
                <w:sz w:val="21"/>
                <w:szCs w:val="21"/>
                <w:highlight w:val="none"/>
                <w:lang w:val="en-US" w:eastAsia="zh-CN"/>
              </w:rPr>
              <w:t>投标文件递交截止时间至少10日前</w:t>
            </w:r>
            <w:r>
              <w:rPr>
                <w:rFonts w:hint="eastAsia" w:ascii="宋体" w:hAnsi="宋体" w:cs="宋体"/>
                <w:color w:val="auto"/>
                <w:sz w:val="21"/>
                <w:szCs w:val="21"/>
                <w:highlight w:val="none"/>
              </w:rPr>
              <w:t>向采购人提出询问，以便采购人补齐。</w:t>
            </w:r>
          </w:p>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2</w:t>
            </w:r>
            <w:r>
              <w:rPr>
                <w:rFonts w:hint="eastAsia" w:ascii="宋体" w:hAnsi="宋体" w:cs="宋体"/>
                <w:color w:val="auto"/>
                <w:sz w:val="21"/>
                <w:szCs w:val="21"/>
                <w:highlight w:val="none"/>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投标人；不足15日的，采购人或者采购代理机构将顺延提交投标文件的截止时间。</w:t>
            </w:r>
          </w:p>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3</w:t>
            </w:r>
            <w:r>
              <w:rPr>
                <w:rFonts w:hint="eastAsia" w:ascii="宋体" w:hAnsi="宋体" w:cs="宋体"/>
                <w:color w:val="auto"/>
                <w:sz w:val="21"/>
                <w:szCs w:val="21"/>
                <w:highlight w:val="none"/>
              </w:rPr>
              <w:t>）所有获取了招标文件的潜在投标人应认真阅读招标文件，如有疑问的，投标人可在</w:t>
            </w:r>
            <w:r>
              <w:rPr>
                <w:rFonts w:hint="eastAsia" w:ascii="宋体" w:hAnsi="宋体" w:cs="宋体"/>
                <w:color w:val="auto"/>
                <w:sz w:val="21"/>
                <w:szCs w:val="21"/>
                <w:highlight w:val="none"/>
                <w:lang w:val="en-US" w:eastAsia="zh-CN"/>
              </w:rPr>
              <w:t>投标文件递交截止时间至少10日前以书面形式</w:t>
            </w:r>
            <w:r>
              <w:rPr>
                <w:rFonts w:hint="eastAsia" w:ascii="宋体" w:hAnsi="宋体" w:cs="宋体"/>
                <w:color w:val="auto"/>
                <w:sz w:val="21"/>
                <w:szCs w:val="21"/>
                <w:highlight w:val="none"/>
              </w:rPr>
              <w:t>向采购人或采购代理机构进行询问、质疑。采购人或者采购代理机构在接到询问后的3个工作日内对投标人依法提出的询问作出答复,但答复的内容不涉及商业秘密。</w:t>
            </w:r>
          </w:p>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4</w:t>
            </w:r>
            <w:r>
              <w:rPr>
                <w:rFonts w:hint="eastAsia" w:ascii="宋体" w:hAnsi="宋体" w:cs="宋体"/>
                <w:color w:val="auto"/>
                <w:sz w:val="21"/>
                <w:szCs w:val="21"/>
                <w:highlight w:val="none"/>
              </w:rPr>
              <w:t>）采购人对招标文件中的涉及评标办法、评审项目等重要评审内容做出变更，将同时发布补遗文件进行说明，以保证各投标人都能重新下载并用于编制电子投标文件。招标人无论对评标办法、评审项目等重要评审内容作何种变更，都要重新制作电子招标文件，同时发布补遗文件进行说明以保证各投标人都能重新下载最新的电子招标文件用于编制电子投标文件。招标文件的修改将在“云南省政府采购网</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发布</w:t>
            </w:r>
            <w:r>
              <w:rPr>
                <w:rFonts w:hint="eastAsia" w:ascii="宋体" w:hAnsi="宋体" w:cs="宋体"/>
                <w:color w:val="auto"/>
                <w:sz w:val="21"/>
                <w:szCs w:val="21"/>
                <w:highlight w:val="none"/>
              </w:rPr>
              <w:t>，招标文件的修改作为招标文件的组成部分，并具有约束力。</w:t>
            </w:r>
          </w:p>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5</w:t>
            </w:r>
            <w:r>
              <w:rPr>
                <w:rFonts w:hint="eastAsia" w:ascii="宋体" w:hAnsi="宋体" w:cs="宋体"/>
                <w:color w:val="auto"/>
                <w:sz w:val="21"/>
                <w:szCs w:val="21"/>
                <w:highlight w:val="none"/>
              </w:rPr>
              <w:t>）投标人应在投标截止时间前及时登录“云南省政府采购网</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中查看有关该项目招标文件的答疑、补遗内容。否则，后果自负。</w:t>
            </w:r>
          </w:p>
          <w:p>
            <w:pPr>
              <w:widowControl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w:t>
            </w:r>
            <w:r>
              <w:rPr>
                <w:rFonts w:ascii="宋体" w:hAnsi="宋体" w:cs="宋体"/>
                <w:color w:val="auto"/>
                <w:sz w:val="21"/>
                <w:szCs w:val="21"/>
                <w:highlight w:val="none"/>
              </w:rPr>
              <w:t>6</w:t>
            </w:r>
            <w:r>
              <w:rPr>
                <w:rFonts w:hint="eastAsia" w:ascii="宋体" w:hAnsi="宋体" w:cs="宋体"/>
                <w:color w:val="auto"/>
                <w:sz w:val="21"/>
                <w:szCs w:val="21"/>
                <w:highlight w:val="none"/>
              </w:rPr>
              <w:t>）招标文件澄清、招标文件修改文件内容均以网上电子文件为准，当招标文件、招标文件澄清、招标文件修改文件内容后前相互矛盾时，以最新发布的招标文件为准。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2.3.3</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olor w:val="auto"/>
                <w:sz w:val="21"/>
                <w:szCs w:val="21"/>
                <w:highlight w:val="none"/>
              </w:rPr>
              <w:t>投标人确认收到招标文件澄清、修改时间</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rPr>
                <w:rFonts w:ascii="宋体" w:hAnsi="宋体" w:cs="宋体"/>
                <w:color w:val="auto"/>
                <w:sz w:val="21"/>
                <w:szCs w:val="21"/>
                <w:highlight w:val="none"/>
              </w:rPr>
            </w:pPr>
            <w:r>
              <w:rPr>
                <w:rFonts w:hint="eastAsia" w:ascii="宋体" w:hAnsi="宋体"/>
                <w:color w:val="auto"/>
                <w:sz w:val="21"/>
                <w:szCs w:val="21"/>
                <w:highlight w:val="none"/>
              </w:rPr>
              <w:t>所有获取了</w:t>
            </w:r>
            <w:r>
              <w:rPr>
                <w:rFonts w:hint="eastAsia"/>
                <w:color w:val="auto"/>
                <w:sz w:val="21"/>
                <w:szCs w:val="21"/>
                <w:highlight w:val="none"/>
                <w:lang w:val="en-US" w:eastAsia="zh-CN"/>
              </w:rPr>
              <w:t>招标</w:t>
            </w:r>
            <w:r>
              <w:rPr>
                <w:rFonts w:hint="eastAsia" w:ascii="宋体" w:hAnsi="宋体"/>
                <w:color w:val="auto"/>
                <w:sz w:val="21"/>
                <w:szCs w:val="21"/>
                <w:highlight w:val="none"/>
              </w:rPr>
              <w:t>文件的潜在</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在收到澄清或者修改的内容后，当日以书面形式予以确认，该澄清或者修改的内容作为</w:t>
            </w:r>
            <w:r>
              <w:rPr>
                <w:rFonts w:hint="eastAsia"/>
                <w:color w:val="auto"/>
                <w:sz w:val="21"/>
                <w:szCs w:val="21"/>
                <w:highlight w:val="none"/>
                <w:lang w:val="en-US" w:eastAsia="zh-CN"/>
              </w:rPr>
              <w:t>招标</w:t>
            </w:r>
            <w:r>
              <w:rPr>
                <w:rFonts w:hint="eastAsia" w:ascii="宋体" w:hAnsi="宋体"/>
                <w:color w:val="auto"/>
                <w:sz w:val="21"/>
                <w:szCs w:val="21"/>
                <w:highlight w:val="none"/>
              </w:rPr>
              <w:t>文件的组成部分，对双方均具有约束力。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6"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olor w:val="auto"/>
                <w:sz w:val="21"/>
                <w:szCs w:val="21"/>
                <w:highlight w:val="none"/>
              </w:rPr>
              <w:t>3.2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投标报价</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(1)确定方式</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报价方式：各投标人根据市场行情及企业实力自行测算出满足采购要求，以下浮率的形式进行报价。中标下浮率在合同执行期间不得进行调整。投标人不得哄抬报价，也不应低于成本价（或进价）报价。该投标报价须包含投标人食材、税费、工资、分拣、</w:t>
            </w:r>
            <w:r>
              <w:rPr>
                <w:rFonts w:hint="eastAsia" w:ascii="宋体" w:hAnsi="宋体"/>
                <w:b/>
                <w:bCs/>
                <w:color w:val="auto"/>
                <w:sz w:val="21"/>
                <w:szCs w:val="21"/>
                <w:highlight w:val="none"/>
                <w:lang w:eastAsia="zh-CN"/>
              </w:rPr>
              <w:t>清洗切配</w:t>
            </w:r>
            <w:r>
              <w:rPr>
                <w:rFonts w:hint="eastAsia" w:ascii="宋体" w:hAnsi="宋体"/>
                <w:b/>
                <w:bCs/>
                <w:color w:val="auto"/>
                <w:sz w:val="21"/>
                <w:szCs w:val="21"/>
                <w:highlight w:val="none"/>
              </w:rPr>
              <w:t>、包装、运输、配送、调换、损耗、检测、培训、利润、风险、安全责任等所有费用，采购人无须另向中标人支付合同规定之外的其他任何费用。</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基础价的确定：详见招标文件第五章  采购需求；</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w:t>
            </w: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投标人不得哄抬报价，也不应低于成本价（或进价）报价。评标委员会认为投标人的投标报价明显不合理或者低于成本，有可能影响质量和不能诚信履约的，将要求其在规定的期限内提供书面文件予以解释说明，并提交相关证明材料；投标人不能证明其报价合理性的，评标委员会将认定投标人投标文件无效。</w:t>
            </w:r>
          </w:p>
          <w:p>
            <w:pP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当月其它食材结算价格=（询价食材价格×（1-中标下浮率）×实际配送食材数量</w:t>
            </w:r>
          </w:p>
          <w:p>
            <w:pPr>
              <w:spacing w:line="360" w:lineRule="auto"/>
              <w:rPr>
                <w:rFonts w:ascii="宋体" w:hAnsi="宋体"/>
                <w:color w:val="auto"/>
                <w:sz w:val="21"/>
                <w:szCs w:val="21"/>
                <w:highlight w:val="none"/>
              </w:rPr>
            </w:pPr>
            <w:r>
              <w:rPr>
                <w:rFonts w:hint="eastAsia" w:ascii="宋体" w:hAnsi="宋体"/>
                <w:b/>
                <w:bCs/>
                <w:color w:val="auto"/>
                <w:sz w:val="21"/>
                <w:szCs w:val="21"/>
                <w:highlight w:val="none"/>
              </w:rPr>
              <w:t>当月净菜实际结算金额 = （毛菜原材料价格×（1-中标下浮率）÷出净率）×净菜使用量。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3.3.1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投标有效期</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自提交投标文件截止之日起90日历天。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3.4.1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投标保证金</w:t>
            </w:r>
          </w:p>
        </w:tc>
        <w:tc>
          <w:tcPr>
            <w:tcW w:w="7085" w:type="dxa"/>
            <w:tcBorders>
              <w:top w:val="single" w:color="auto" w:sz="4" w:space="0"/>
              <w:left w:val="single" w:color="auto" w:sz="4" w:space="0"/>
              <w:bottom w:val="single" w:color="auto" w:sz="4" w:space="0"/>
              <w:right w:val="single" w:color="auto" w:sz="4" w:space="0"/>
            </w:tcBorders>
            <w:vAlign w:val="center"/>
          </w:tcPr>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本项目投标保证金金额为：80000.00元</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投标保证金缴纳截止时间：同投标截止时间</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投标保证金缴纳方式：银行转账或银行保函或投标保证保险</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名称：福建省亿达工程咨询有限公司云南分公司</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开户银行：广发银行昆明国贸支行</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银行账户：9550880245575500131</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中标候选人公示结束后退还中标候选人以外投标人的投标保证金（银行转账方式递交的），中标人与采购人签订合同协议书并将合同协议书复印件发代理机构后退还中标候选人的投标保证金（银行转账方式递交的）。</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2.投标人采用银行转账或电汇缴纳保证金时，投标保证金必须从投标人基本账户转出并到达代理机构指定的账户,如以其它账户或个人汇款，视为无效。</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投标人采用银行转账或电汇缴纳保证金时，必须在转账凭证汇款附言中注明项目名称或项目编号（亿达滇招[2025]011号投标保证金），因未注明项目名称或项目编号而造成查询不到或直接退款的，视为未缴纳，后果由投标人自负。投标保证金缴款单位名称必须和投标人名称一致，未按要求提交投标保证金的视为放弃参与此次投标活动。</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银行保函；保函申请人应是投标人，受益人应是招标人，保证人应是投标人基本账号的开户银行。银行保函应正确填写受益人和申请人的全称，并与招标文件规定的项目名称相一致，以免造成投标无效。当投标人违反招标投标法律法规规章等规定且符合保证金不予退回情形的，由银行按照银行保函合同对招标人代偿投标保证金额。银行保函办理：潜在投标人采用银行保函形式的，应按潜在投标人基本账户开户银行保函办理的相关要求办理银行保函，并将银行保函原件放到投标文件中。</w:t>
            </w:r>
          </w:p>
          <w:p>
            <w:pPr>
              <w:widowControl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4.保证保险；在投标保证保险中，投标人为投保人，招标人为被保险人。当投标人违反法律法规且符合投标保证金不予退回情形的，由保险公司按照保险合同对招标人代偿投标保证金金额。</w:t>
            </w:r>
          </w:p>
          <w:p>
            <w:pPr>
              <w:widowControl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5.若投标人采用银行保函或保证保险缴纳投标保证金的，须保证其真实性，投标文件中须提供承诺书。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.5.1</w:t>
            </w:r>
          </w:p>
        </w:tc>
        <w:tc>
          <w:tcPr>
            <w:tcW w:w="1698"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投标文件编制及格式</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（1）电子投标（响应）文件应使用“政采云”平台（ https://www.zcygov.cn/）中下载的政采云电子投标客户端制作，并进行电子签章及加密后上传至政采云平台。编制要求见附件《电子投标文件编制要求》。</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（2）如投标人提交的电子标书不符合（1）要求或开标时无法读取导入或解密，其投标（响应）文件将不予受理。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3.5.3</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投标文件的签署</w:t>
            </w:r>
          </w:p>
        </w:tc>
        <w:tc>
          <w:tcPr>
            <w:tcW w:w="7085" w:type="dxa"/>
            <w:tcBorders>
              <w:top w:val="single" w:color="auto" w:sz="4" w:space="0"/>
              <w:left w:val="single" w:color="auto" w:sz="4" w:space="0"/>
              <w:bottom w:val="single" w:color="auto" w:sz="4" w:space="0"/>
              <w:right w:val="single" w:color="auto" w:sz="4" w:space="0"/>
            </w:tcBorders>
            <w:vAlign w:val="center"/>
          </w:tcPr>
          <w:p>
            <w:pPr>
              <w:tabs>
                <w:tab w:val="left" w:pos="6200"/>
              </w:tabs>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按照</w:t>
            </w:r>
            <w:r>
              <w:rPr>
                <w:rFonts w:hint="eastAsia" w:ascii="宋体" w:hAnsi="宋体" w:cs="宋体"/>
                <w:color w:val="auto"/>
                <w:sz w:val="21"/>
                <w:szCs w:val="21"/>
                <w:highlight w:val="none"/>
                <w:lang w:val="en-US" w:eastAsia="zh-CN"/>
              </w:rPr>
              <w:t>投标</w:t>
            </w:r>
            <w:r>
              <w:rPr>
                <w:rFonts w:hint="eastAsia" w:ascii="宋体" w:hAnsi="宋体" w:cs="宋体"/>
                <w:color w:val="auto"/>
                <w:sz w:val="21"/>
                <w:szCs w:val="21"/>
                <w:highlight w:val="none"/>
              </w:rPr>
              <w:t>文件格式，采用单位和个人数字证书电子签章或电子签名。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3.</w:t>
            </w:r>
            <w:r>
              <w:rPr>
                <w:rFonts w:ascii="宋体" w:hAnsi="宋体" w:cs="宋体"/>
                <w:color w:val="auto"/>
                <w:sz w:val="21"/>
                <w:szCs w:val="21"/>
                <w:highlight w:val="none"/>
              </w:rPr>
              <w:t>5</w:t>
            </w:r>
            <w:r>
              <w:rPr>
                <w:rFonts w:hint="eastAsia" w:ascii="宋体" w:hAnsi="宋体" w:cs="宋体"/>
                <w:color w:val="auto"/>
                <w:sz w:val="21"/>
                <w:szCs w:val="21"/>
                <w:highlight w:val="none"/>
              </w:rPr>
              <w:t>.4</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color w:val="auto"/>
                <w:sz w:val="21"/>
                <w:szCs w:val="21"/>
                <w:highlight w:val="none"/>
              </w:rPr>
              <w:t>电子开标及投标（响应）文件解密</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rPr>
                <w:color w:val="auto"/>
                <w:sz w:val="21"/>
                <w:szCs w:val="21"/>
                <w:highlight w:val="none"/>
              </w:rPr>
            </w:pPr>
            <w:r>
              <w:rPr>
                <w:rFonts w:hint="eastAsia"/>
                <w:color w:val="auto"/>
                <w:sz w:val="21"/>
                <w:szCs w:val="21"/>
                <w:highlight w:val="none"/>
              </w:rPr>
              <w:t>（1）若</w:t>
            </w:r>
            <w:r>
              <w:rPr>
                <w:rFonts w:hint="eastAsia"/>
                <w:color w:val="auto"/>
                <w:sz w:val="21"/>
                <w:szCs w:val="21"/>
                <w:highlight w:val="none"/>
                <w:lang w:val="en-US" w:eastAsia="zh-CN"/>
              </w:rPr>
              <w:t>投标人</w:t>
            </w:r>
            <w:r>
              <w:rPr>
                <w:rFonts w:hint="eastAsia"/>
                <w:color w:val="auto"/>
                <w:sz w:val="21"/>
                <w:szCs w:val="21"/>
                <w:highlight w:val="none"/>
              </w:rPr>
              <w:t>熟悉“政采云”相关投标程序，不到现场参加投标，应提前在自有场地配置可音视频通话（带摄像头及话筒的电脑）的相应设备及稳定网络环境，并按“政采云”开标大厅中的提示完成采购活动。</w:t>
            </w:r>
          </w:p>
          <w:p>
            <w:pPr>
              <w:spacing w:line="360" w:lineRule="auto"/>
              <w:rPr>
                <w:color w:val="auto"/>
                <w:sz w:val="21"/>
                <w:szCs w:val="21"/>
                <w:highlight w:val="none"/>
              </w:rPr>
            </w:pPr>
            <w:r>
              <w:rPr>
                <w:rFonts w:hint="eastAsia"/>
                <w:color w:val="auto"/>
                <w:sz w:val="21"/>
                <w:szCs w:val="21"/>
                <w:highlight w:val="none"/>
              </w:rPr>
              <w:t>（2）到现场参与投标的</w:t>
            </w:r>
            <w:r>
              <w:rPr>
                <w:rFonts w:hint="eastAsia"/>
                <w:color w:val="auto"/>
                <w:sz w:val="21"/>
                <w:szCs w:val="21"/>
                <w:highlight w:val="none"/>
                <w:lang w:val="en-US" w:eastAsia="zh-CN"/>
              </w:rPr>
              <w:t>投标人</w:t>
            </w:r>
            <w:r>
              <w:rPr>
                <w:rFonts w:hint="eastAsia"/>
                <w:color w:val="auto"/>
                <w:sz w:val="21"/>
                <w:szCs w:val="21"/>
                <w:highlight w:val="none"/>
              </w:rPr>
              <w:t>，建议于</w:t>
            </w:r>
            <w:r>
              <w:rPr>
                <w:rFonts w:hint="eastAsia"/>
                <w:color w:val="auto"/>
                <w:sz w:val="21"/>
                <w:szCs w:val="21"/>
                <w:highlight w:val="none"/>
                <w:lang w:val="en-US" w:eastAsia="zh-CN"/>
              </w:rPr>
              <w:t>投标</w:t>
            </w:r>
            <w:r>
              <w:rPr>
                <w:rFonts w:hint="eastAsia"/>
                <w:color w:val="auto"/>
                <w:sz w:val="21"/>
                <w:szCs w:val="21"/>
                <w:highlight w:val="none"/>
              </w:rPr>
              <w:t>文件提交截止时间前携带编制投标（响应）文件时的加密数字证书、具有摄像头及话筒的笔记本电脑至采购代理机构开标地点参与投标。</w:t>
            </w:r>
          </w:p>
          <w:p>
            <w:pPr>
              <w:spacing w:line="360" w:lineRule="auto"/>
              <w:rPr>
                <w:rFonts w:ascii="宋体" w:hAnsi="宋体"/>
                <w:color w:val="auto"/>
                <w:sz w:val="21"/>
                <w:szCs w:val="21"/>
                <w:highlight w:val="none"/>
              </w:rPr>
            </w:pPr>
            <w:r>
              <w:rPr>
                <w:rFonts w:hint="eastAsia"/>
                <w:color w:val="auto"/>
                <w:sz w:val="21"/>
                <w:szCs w:val="21"/>
                <w:highlight w:val="none"/>
              </w:rPr>
              <w:t>（3）采购人宣布开启电子投标（响应）文件后，投标人登陆“政采云”开标大厅，使用投标人编制投标（响应）文件时的加密数字证书对投标（响应）文件进行解密。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4.2</w:t>
            </w:r>
            <w:r>
              <w:rPr>
                <w:rFonts w:ascii="宋体" w:hAnsi="宋体" w:cs="宋体"/>
                <w:color w:val="auto"/>
                <w:sz w:val="21"/>
                <w:szCs w:val="21"/>
                <w:highlight w:val="none"/>
              </w:rPr>
              <w:t>.</w:t>
            </w:r>
            <w:r>
              <w:rPr>
                <w:rFonts w:hint="eastAsia" w:ascii="宋体" w:hAnsi="宋体" w:cs="宋体"/>
                <w:color w:val="auto"/>
                <w:sz w:val="21"/>
                <w:szCs w:val="21"/>
                <w:highlight w:val="none"/>
                <w:lang w:val="en-US" w:eastAsia="zh-CN"/>
              </w:rPr>
              <w:t>1</w:t>
            </w:r>
          </w:p>
        </w:tc>
        <w:tc>
          <w:tcPr>
            <w:tcW w:w="1698" w:type="dxa"/>
            <w:tcBorders>
              <w:top w:val="single" w:color="auto" w:sz="4" w:space="0"/>
              <w:left w:val="single" w:color="auto" w:sz="4" w:space="0"/>
              <w:bottom w:val="single" w:color="auto" w:sz="4" w:space="0"/>
              <w:right w:val="single" w:color="auto" w:sz="4" w:space="0"/>
            </w:tcBorders>
            <w:vAlign w:val="center"/>
          </w:tcPr>
          <w:p>
            <w:pPr>
              <w:adjustRightInd w:val="0"/>
              <w:spacing w:line="360" w:lineRule="auto"/>
              <w:jc w:val="center"/>
              <w:rPr>
                <w:rFonts w:ascii="宋体" w:hAnsi="宋体" w:cs="宋体"/>
                <w:color w:val="auto"/>
                <w:sz w:val="21"/>
                <w:szCs w:val="21"/>
                <w:highlight w:val="none"/>
              </w:rPr>
            </w:pPr>
            <w:r>
              <w:rPr>
                <w:rFonts w:hint="eastAsia" w:ascii="宋体" w:hAnsi="宋体"/>
                <w:color w:val="auto"/>
                <w:sz w:val="21"/>
                <w:szCs w:val="21"/>
                <w:highlight w:val="none"/>
              </w:rPr>
              <w:t>提交投标文件的截止时间及地点</w:t>
            </w:r>
          </w:p>
        </w:tc>
        <w:tc>
          <w:tcPr>
            <w:tcW w:w="7085" w:type="dxa"/>
            <w:tcBorders>
              <w:top w:val="single" w:color="auto" w:sz="4" w:space="0"/>
              <w:left w:val="single" w:color="auto" w:sz="4" w:space="0"/>
              <w:bottom w:val="single" w:color="auto" w:sz="4" w:space="0"/>
              <w:right w:val="single" w:color="auto" w:sz="4" w:space="0"/>
            </w:tcBorders>
            <w:vAlign w:val="center"/>
          </w:tcPr>
          <w:p>
            <w:pPr>
              <w:adjustRightInd w:val="0"/>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详见 第一章 招标公告 “四、</w:t>
            </w:r>
            <w:r>
              <w:rPr>
                <w:rFonts w:hint="eastAsia" w:ascii="宋体" w:hAnsi="宋体" w:cs="宋体"/>
                <w:color w:val="auto"/>
                <w:sz w:val="21"/>
                <w:szCs w:val="21"/>
                <w:highlight w:val="none"/>
                <w:lang w:val="en-US" w:eastAsia="zh-CN"/>
              </w:rPr>
              <w:t>响应文件递交</w:t>
            </w:r>
            <w:r>
              <w:rPr>
                <w:rFonts w:hint="eastAsia" w:ascii="宋体" w:hAnsi="宋体" w:cs="宋体"/>
                <w:color w:val="auto"/>
                <w:sz w:val="21"/>
                <w:szCs w:val="21"/>
                <w:highlight w:val="none"/>
              </w:rPr>
              <w:t>、开标时间和地点”。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评标委员会的组建</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both"/>
              <w:rPr>
                <w:rFonts w:ascii="宋体" w:hAnsi="宋体"/>
                <w:color w:val="auto"/>
                <w:sz w:val="21"/>
                <w:szCs w:val="21"/>
                <w:highlight w:val="none"/>
              </w:rPr>
            </w:pPr>
            <w:r>
              <w:rPr>
                <w:rFonts w:hint="eastAsia" w:ascii="宋体" w:hAnsi="宋体"/>
                <w:color w:val="auto"/>
                <w:sz w:val="21"/>
                <w:szCs w:val="21"/>
                <w:highlight w:val="none"/>
              </w:rPr>
              <w:t>评标委员会构成：评标委员会由采购人代表和评审专家组成，成员人数应当为5人</w:t>
            </w:r>
            <w:r>
              <w:rPr>
                <w:rFonts w:hint="eastAsia" w:ascii="宋体" w:hAnsi="宋体"/>
                <w:color w:val="auto"/>
                <w:sz w:val="21"/>
                <w:szCs w:val="21"/>
                <w:highlight w:val="none"/>
                <w:lang w:eastAsia="zh-CN"/>
              </w:rPr>
              <w:t>或</w:t>
            </w:r>
            <w:r>
              <w:rPr>
                <w:rFonts w:hint="eastAsia" w:ascii="宋体" w:hAnsi="宋体"/>
                <w:color w:val="auto"/>
                <w:sz w:val="21"/>
                <w:szCs w:val="21"/>
                <w:highlight w:val="none"/>
                <w:lang w:val="en-US" w:eastAsia="zh-CN"/>
              </w:rPr>
              <w:t>5人</w:t>
            </w:r>
            <w:r>
              <w:rPr>
                <w:rFonts w:hint="eastAsia" w:ascii="宋体" w:hAnsi="宋体"/>
                <w:color w:val="auto"/>
                <w:sz w:val="21"/>
                <w:szCs w:val="21"/>
                <w:highlight w:val="none"/>
              </w:rPr>
              <w:t>以上单数，其中评审专家不得少于成员总数的三分之二。</w:t>
            </w:r>
          </w:p>
          <w:p>
            <w:pPr>
              <w:spacing w:line="360" w:lineRule="auto"/>
              <w:jc w:val="both"/>
              <w:rPr>
                <w:rFonts w:ascii="宋体" w:hAnsi="宋体"/>
                <w:color w:val="auto"/>
                <w:sz w:val="21"/>
                <w:szCs w:val="21"/>
                <w:highlight w:val="none"/>
              </w:rPr>
            </w:pPr>
            <w:r>
              <w:rPr>
                <w:rFonts w:hint="eastAsia" w:ascii="宋体" w:hAnsi="宋体"/>
                <w:color w:val="auto"/>
                <w:sz w:val="21"/>
                <w:szCs w:val="21"/>
                <w:highlight w:val="none"/>
              </w:rPr>
              <w:t>采购项目符合下列情形之一的,评标委员会成员人数应当为7人以上单数：</w:t>
            </w:r>
          </w:p>
          <w:p>
            <w:pPr>
              <w:spacing w:line="360" w:lineRule="auto"/>
              <w:jc w:val="both"/>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w:t>
            </w:r>
            <w:r>
              <w:rPr>
                <w:rFonts w:hint="eastAsia" w:ascii="宋体" w:hAnsi="宋体"/>
                <w:color w:val="auto"/>
                <w:sz w:val="21"/>
                <w:szCs w:val="21"/>
                <w:highlight w:val="none"/>
              </w:rPr>
              <w:t>采购预算金额在1000万元以上；</w:t>
            </w:r>
          </w:p>
          <w:p>
            <w:pPr>
              <w:spacing w:line="360" w:lineRule="auto"/>
              <w:jc w:val="both"/>
              <w:rPr>
                <w:rFonts w:ascii="宋体" w:hAnsi="宋体"/>
                <w:color w:val="auto"/>
                <w:sz w:val="21"/>
                <w:szCs w:val="21"/>
                <w:highlight w:val="none"/>
              </w:rPr>
            </w:pPr>
            <w:r>
              <w:rPr>
                <w:rFonts w:hint="eastAsia" w:ascii="宋体" w:hAnsi="宋体"/>
                <w:color w:val="auto"/>
                <w:sz w:val="21"/>
                <w:szCs w:val="21"/>
                <w:highlight w:val="none"/>
              </w:rPr>
              <w:t>2.技术复杂；</w:t>
            </w:r>
          </w:p>
          <w:p>
            <w:pPr>
              <w:spacing w:line="360" w:lineRule="auto"/>
              <w:jc w:val="both"/>
              <w:rPr>
                <w:rFonts w:ascii="宋体" w:hAnsi="宋体"/>
                <w:color w:val="auto"/>
                <w:sz w:val="21"/>
                <w:szCs w:val="21"/>
                <w:highlight w:val="none"/>
                <w:u w:val="single"/>
              </w:rPr>
            </w:pP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社会影响较大。</w:t>
            </w:r>
          </w:p>
          <w:p>
            <w:pPr>
              <w:spacing w:line="360" w:lineRule="auto"/>
              <w:jc w:val="both"/>
              <w:rPr>
                <w:rFonts w:ascii="宋体" w:hAnsi="宋体"/>
                <w:color w:val="auto"/>
                <w:sz w:val="21"/>
                <w:szCs w:val="21"/>
                <w:highlight w:val="none"/>
              </w:rPr>
            </w:pPr>
            <w:r>
              <w:rPr>
                <w:rFonts w:hint="eastAsia" w:ascii="宋体" w:hAnsi="宋体"/>
                <w:color w:val="auto"/>
                <w:sz w:val="21"/>
                <w:szCs w:val="21"/>
                <w:highlight w:val="none"/>
              </w:rPr>
              <w:t>评标专家确定方式：由采购人代表和云南省政府采购专家库中随机抽取的专家组成。</w:t>
            </w:r>
          </w:p>
          <w:p>
            <w:pPr>
              <w:spacing w:line="360" w:lineRule="auto"/>
              <w:rPr>
                <w:rFonts w:ascii="宋体" w:hAnsi="宋体" w:cs="宋体"/>
                <w:color w:val="auto"/>
                <w:sz w:val="21"/>
                <w:szCs w:val="21"/>
                <w:highlight w:val="none"/>
              </w:rPr>
            </w:pPr>
            <w:r>
              <w:rPr>
                <w:rFonts w:hint="eastAsia" w:ascii="宋体" w:hAnsi="宋体"/>
                <w:color w:val="auto"/>
                <w:sz w:val="21"/>
                <w:szCs w:val="21"/>
                <w:highlight w:val="none"/>
              </w:rPr>
              <w:t>注：特殊情况专家名单经审批后确定。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ascii="宋体" w:hAnsi="宋体" w:cs="宋体"/>
                <w:color w:val="auto"/>
                <w:sz w:val="21"/>
                <w:szCs w:val="21"/>
                <w:highlight w:val="none"/>
              </w:rPr>
              <w:t>6.2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pacing w:val="-3"/>
                <w:sz w:val="21"/>
                <w:szCs w:val="21"/>
                <w:highlight w:val="none"/>
              </w:rPr>
              <w:t>评标办法</w:t>
            </w:r>
          </w:p>
        </w:tc>
        <w:tc>
          <w:tcPr>
            <w:tcW w:w="7085"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ascii="宋体" w:hAnsi="宋体"/>
                <w:color w:val="auto"/>
                <w:sz w:val="21"/>
                <w:szCs w:val="21"/>
                <w:highlight w:val="none"/>
              </w:rPr>
            </w:pPr>
            <w:r>
              <w:rPr>
                <w:rFonts w:hint="eastAsia" w:ascii="宋体" w:hAnsi="宋体" w:cs="宋体"/>
                <w:color w:val="auto"/>
                <w:spacing w:val="-3"/>
                <w:sz w:val="21"/>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7</w:t>
            </w:r>
            <w:r>
              <w:rPr>
                <w:rFonts w:ascii="宋体" w:hAnsi="宋体" w:cs="宋体"/>
                <w:color w:val="auto"/>
                <w:sz w:val="21"/>
                <w:szCs w:val="21"/>
                <w:highlight w:val="none"/>
              </w:rPr>
              <w:t>.1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中标人的确定</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jc w:val="both"/>
              <w:rPr>
                <w:rFonts w:ascii="宋体" w:hAnsi="宋体"/>
                <w:color w:val="auto"/>
                <w:sz w:val="21"/>
                <w:szCs w:val="21"/>
                <w:highlight w:val="none"/>
              </w:rPr>
            </w:pPr>
            <w:r>
              <w:rPr>
                <w:rFonts w:hint="eastAsia" w:ascii="宋体" w:hAnsi="宋体" w:cs="宋体"/>
                <w:color w:val="auto"/>
                <w:sz w:val="21"/>
                <w:szCs w:val="21"/>
                <w:highlight w:val="none"/>
              </w:rPr>
              <w:t>采购人自收到评标报告之日起５个工作日内，在评标报告确定的中标候选人名单中按顺序确定中标人。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7</w:t>
            </w:r>
            <w:r>
              <w:rPr>
                <w:rFonts w:ascii="宋体" w:hAnsi="宋体" w:cs="宋体"/>
                <w:color w:val="auto"/>
                <w:sz w:val="21"/>
                <w:szCs w:val="21"/>
                <w:highlight w:val="none"/>
              </w:rPr>
              <w:t>.2</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中标公告媒介及期限</w:t>
            </w:r>
          </w:p>
        </w:tc>
        <w:tc>
          <w:tcPr>
            <w:tcW w:w="7085" w:type="dxa"/>
            <w:tcBorders>
              <w:top w:val="single" w:color="auto" w:sz="4" w:space="0"/>
              <w:left w:val="single" w:color="auto" w:sz="4" w:space="0"/>
              <w:bottom w:val="single" w:color="auto" w:sz="4" w:space="0"/>
              <w:right w:val="single" w:color="auto" w:sz="4" w:space="0"/>
            </w:tcBorders>
            <w:vAlign w:val="center"/>
          </w:tcPr>
          <w:p>
            <w:pPr>
              <w:spacing w:before="72" w:beforeLines="30" w:line="360" w:lineRule="auto"/>
              <w:rPr>
                <w:rFonts w:ascii="宋体" w:hAnsi="宋体" w:cs="宋体"/>
                <w:color w:val="auto"/>
                <w:sz w:val="21"/>
                <w:szCs w:val="21"/>
                <w:highlight w:val="none"/>
              </w:rPr>
            </w:pPr>
            <w:r>
              <w:rPr>
                <w:rFonts w:hint="eastAsia" w:ascii="宋体" w:hAnsi="宋体" w:cs="宋体"/>
                <w:color w:val="auto"/>
                <w:sz w:val="21"/>
                <w:szCs w:val="21"/>
                <w:highlight w:val="none"/>
              </w:rPr>
              <w:t>公告媒介：云南省政府采购网（网址：http://www.yngp.com/）。</w:t>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公告期限：</w:t>
            </w:r>
            <w:r>
              <w:rPr>
                <w:rFonts w:hint="eastAsia" w:ascii="宋体" w:hAnsi="宋体" w:cs="宋体"/>
                <w:color w:val="auto"/>
                <w:sz w:val="21"/>
                <w:szCs w:val="21"/>
                <w:highlight w:val="none"/>
                <w:lang w:val="en-US" w:eastAsia="zh-CN"/>
              </w:rPr>
              <w:t>1个</w:t>
            </w:r>
            <w:r>
              <w:rPr>
                <w:rFonts w:hint="eastAsia" w:ascii="宋体" w:hAnsi="宋体" w:cs="宋体"/>
                <w:color w:val="auto"/>
                <w:sz w:val="21"/>
                <w:szCs w:val="21"/>
                <w:highlight w:val="none"/>
              </w:rPr>
              <w:t>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7.</w:t>
            </w:r>
            <w:r>
              <w:rPr>
                <w:rFonts w:ascii="宋体" w:hAnsi="宋体" w:cs="宋体"/>
                <w:color w:val="auto"/>
                <w:sz w:val="21"/>
                <w:szCs w:val="21"/>
                <w:highlight w:val="none"/>
              </w:rPr>
              <w:t>4</w:t>
            </w:r>
            <w:r>
              <w:rPr>
                <w:rFonts w:hint="eastAsia" w:ascii="宋体" w:hAnsi="宋体" w:cs="宋体"/>
                <w:color w:val="auto"/>
                <w:sz w:val="21"/>
                <w:szCs w:val="21"/>
                <w:highlight w:val="none"/>
              </w:rPr>
              <w:t>.1</w:t>
            </w:r>
          </w:p>
        </w:tc>
        <w:tc>
          <w:tcPr>
            <w:tcW w:w="169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履约保证金</w:t>
            </w:r>
          </w:p>
        </w:tc>
        <w:tc>
          <w:tcPr>
            <w:tcW w:w="7085" w:type="dxa"/>
            <w:tcBorders>
              <w:top w:val="single" w:color="auto" w:sz="4" w:space="0"/>
              <w:left w:val="single" w:color="auto" w:sz="4" w:space="0"/>
              <w:bottom w:val="single" w:color="auto" w:sz="4" w:space="0"/>
              <w:right w:val="single" w:color="auto" w:sz="4" w:space="0"/>
            </w:tcBorders>
            <w:vAlign w:val="center"/>
          </w:tcPr>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履约保证金的形式：银行转账、支票、汇票、本票或者金融机构、担保机构出具的保函</w:t>
            </w:r>
            <w:r>
              <w:rPr>
                <w:rFonts w:hint="eastAsia" w:ascii="宋体" w:hAnsi="宋体" w:cs="宋体"/>
                <w:color w:val="auto"/>
                <w:sz w:val="21"/>
                <w:szCs w:val="21"/>
                <w:highlight w:val="none"/>
                <w:lang w:eastAsia="zh-CN"/>
              </w:rPr>
              <w:t>、保险</w:t>
            </w:r>
            <w:r>
              <w:rPr>
                <w:rFonts w:hint="eastAsia" w:ascii="宋体" w:hAnsi="宋体" w:eastAsia="宋体" w:cs="宋体"/>
                <w:color w:val="auto"/>
                <w:sz w:val="21"/>
                <w:szCs w:val="21"/>
                <w:highlight w:val="none"/>
              </w:rPr>
              <w:t>等非现金形式提交。</w:t>
            </w: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履约保证金的金额：合同价款的5%。</w:t>
            </w:r>
          </w:p>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提交时间：</w:t>
            </w:r>
            <w:r>
              <w:rPr>
                <w:rFonts w:hint="eastAsia" w:ascii="宋体" w:hAnsi="宋体" w:cs="宋体"/>
                <w:color w:val="auto"/>
                <w:sz w:val="21"/>
                <w:szCs w:val="21"/>
                <w:highlight w:val="none"/>
                <w:lang w:eastAsia="zh-CN"/>
              </w:rPr>
              <w:t>双方协商确定</w:t>
            </w:r>
            <w:r>
              <w:rPr>
                <w:rFonts w:hint="eastAsia" w:ascii="宋体" w:hAnsi="宋体" w:eastAsia="宋体" w:cs="宋体"/>
                <w:color w:val="auto"/>
                <w:sz w:val="21"/>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93"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10</w:t>
            </w:r>
          </w:p>
        </w:tc>
        <w:tc>
          <w:tcPr>
            <w:tcW w:w="8783" w:type="dxa"/>
            <w:gridSpan w:val="2"/>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93" w:type="dxa"/>
            <w:vAlign w:val="center"/>
          </w:tcPr>
          <w:p>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1</w:t>
            </w:r>
            <w:r>
              <w:rPr>
                <w:rFonts w:ascii="宋体" w:hAnsi="宋体"/>
                <w:color w:val="auto"/>
                <w:sz w:val="21"/>
                <w:szCs w:val="21"/>
                <w:highlight w:val="none"/>
              </w:rPr>
              <w:t>0.4</w:t>
            </w:r>
          </w:p>
        </w:tc>
        <w:tc>
          <w:tcPr>
            <w:tcW w:w="1698" w:type="dxa"/>
            <w:vAlign w:val="center"/>
          </w:tcPr>
          <w:p>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政府采购政策</w:t>
            </w:r>
          </w:p>
        </w:tc>
        <w:tc>
          <w:tcPr>
            <w:tcW w:w="7085" w:type="dxa"/>
            <w:vAlign w:val="center"/>
          </w:tcPr>
          <w:p>
            <w:pPr>
              <w:pStyle w:val="29"/>
              <w:widowControl w:val="0"/>
              <w:spacing w:line="360" w:lineRule="auto"/>
              <w:ind w:firstLine="25" w:firstLineChars="1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一、小微企业应考虑的优先条件和价格折扣</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在政府采购活动中，投标人提供的货物、工程或者服务符合下列情形的，享受中小企业扶持政策：</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（1）在货物采购项目中，货物由中小企业制造，即货物由中小企业生产且使用该中小企业商号或者注册商标；</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（2）在工程采购项目中，工程由中小企业承建，即工程施工单位为中小企业；</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（3）在服务采购项目中，服务由中小企业承接，即提供服务的人员为中小企业依照《中华人民共和国劳动合同法》订立劳动合同的从业人员。</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在货物采购项目中，投标人提供的货物既有中小企业制造货物，也有大型企业制造货物的，不享受中小企业扶持政策。</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以联合体形式参加政府采购活动，联合体各方均为中小企业的，联合体视同中小企业。其中，联合体各方均为小微企业的，联合体视同小微企业。</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组成联合体或者接受分包合同的中小企业与联合体内其他企业、分包企业之间不得存在直接控股、管理关系。</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2、中小企业参加政府采购活动，应当出具文件中规定的《中小企业声明函》，否则不得享受相关中小企业扶持政策。</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3、依据规定享受扶持政策获得政府采购合同的，小微企业不得将合同分包给大中型企业，中型企业不得将合同分包给大型企业。</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对符合条件的小型和微型</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，对其报价给予10%的扣除，用扣除后的价格进行排序。请</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根据自身情况提供声明函，无声明函的在报价时不予扣除。</w:t>
            </w:r>
          </w:p>
          <w:p>
            <w:pPr>
              <w:pStyle w:val="29"/>
              <w:widowControl w:val="0"/>
              <w:spacing w:line="360" w:lineRule="auto"/>
              <w:ind w:firstLine="25" w:firstLineChars="1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二、关于监狱企业、残疾人福利性单位：</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29"/>
              <w:widowControl w:val="0"/>
              <w:spacing w:line="360" w:lineRule="auto"/>
              <w:ind w:firstLine="25" w:firstLineChars="12"/>
              <w:jc w:val="both"/>
              <w:rPr>
                <w:rFonts w:ascii="宋体" w:hAnsi="宋体" w:cs="宋体"/>
                <w:color w:val="auto"/>
                <w:sz w:val="21"/>
                <w:szCs w:val="21"/>
                <w:highlight w:val="none"/>
              </w:rPr>
            </w:pPr>
            <w:r>
              <w:rPr>
                <w:rFonts w:hint="eastAsia" w:ascii="宋体" w:hAnsi="宋体" w:cs="宋体"/>
                <w:color w:val="auto"/>
                <w:sz w:val="21"/>
                <w:szCs w:val="21"/>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为残疾人福利性单位的，采购人或者其委托的采购代理机构应当随中标、成交结果同时公告其《残疾人福利性单位声明函》，接受社会监督。</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提供的《残疾人福利性单位声明函》与事实不符的，依照《政府采购法》第七十七条第一款的规定追究法律责任。</w:t>
            </w:r>
          </w:p>
          <w:p>
            <w:pPr>
              <w:pStyle w:val="29"/>
              <w:widowControl w:val="0"/>
              <w:spacing w:line="360" w:lineRule="auto"/>
              <w:ind w:firstLine="25" w:firstLineChars="12"/>
              <w:jc w:val="both"/>
              <w:rPr>
                <w:rFonts w:ascii="宋体" w:hAnsi="宋体"/>
                <w:color w:val="auto"/>
                <w:sz w:val="21"/>
                <w:szCs w:val="21"/>
                <w:highlight w:val="none"/>
              </w:rPr>
            </w:pPr>
            <w:r>
              <w:rPr>
                <w:rFonts w:hint="eastAsia" w:ascii="宋体" w:hAnsi="宋体" w:cs="宋体"/>
                <w:color w:val="auto"/>
                <w:sz w:val="21"/>
                <w:szCs w:val="21"/>
                <w:highlight w:val="none"/>
              </w:rPr>
              <w:t>注：对符合条件的监狱企业、残疾人福利性单位</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，对其报价给予10%的扣除，用扣除后的价格进行排序（不重复享受政策）。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93" w:type="dxa"/>
            <w:vAlign w:val="center"/>
          </w:tcPr>
          <w:p>
            <w:pPr>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10.</w:t>
            </w:r>
            <w:r>
              <w:rPr>
                <w:rFonts w:ascii="宋体" w:hAnsi="宋体" w:cs="宋体"/>
                <w:color w:val="auto"/>
                <w:sz w:val="21"/>
                <w:szCs w:val="21"/>
                <w:highlight w:val="none"/>
              </w:rPr>
              <w:t>5</w:t>
            </w:r>
          </w:p>
        </w:tc>
        <w:tc>
          <w:tcPr>
            <w:tcW w:w="1698" w:type="dxa"/>
            <w:vAlign w:val="center"/>
          </w:tcPr>
          <w:p>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采购人补充的其他内容</w:t>
            </w:r>
          </w:p>
        </w:tc>
        <w:tc>
          <w:tcPr>
            <w:tcW w:w="7085" w:type="dxa"/>
            <w:vAlign w:val="center"/>
          </w:tcPr>
          <w:p>
            <w:pPr>
              <w:pStyle w:val="28"/>
              <w:widowControl w:val="0"/>
              <w:spacing w:before="72" w:beforeLines="30"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一、根据《财政部关于在政府采购活动中查询及使用信用记录有关问题的通知》（财库〔2016〕125号）相关要求，采购人或者采购代理机构对信用记录进行核实，对列入失信被执行人、</w:t>
            </w:r>
            <w:r>
              <w:rPr>
                <w:rFonts w:hint="eastAsia" w:ascii="宋体" w:hAnsi="宋体"/>
                <w:color w:val="auto"/>
                <w:sz w:val="21"/>
                <w:szCs w:val="21"/>
                <w:highlight w:val="none"/>
              </w:rPr>
              <w:t>重大税收违法</w:t>
            </w:r>
            <w:r>
              <w:rPr>
                <w:rFonts w:hint="eastAsia" w:ascii="宋体" w:hAnsi="宋体"/>
                <w:color w:val="auto"/>
                <w:sz w:val="21"/>
                <w:szCs w:val="21"/>
                <w:highlight w:val="none"/>
                <w:lang w:val="en-US" w:eastAsia="zh-CN"/>
              </w:rPr>
              <w:t>失信主体</w:t>
            </w:r>
            <w:r>
              <w:rPr>
                <w:rFonts w:hint="eastAsia" w:ascii="宋体" w:hAnsi="宋体" w:cs="宋体"/>
                <w:color w:val="auto"/>
                <w:sz w:val="21"/>
                <w:szCs w:val="21"/>
                <w:highlight w:val="none"/>
              </w:rPr>
              <w:t>、政府采购严重违法失信行为记录名单及其他不符合《中华人民共和国政府采购法》第二十二条规定条件的投标人，拒绝其参与政府采购活动。</w:t>
            </w:r>
          </w:p>
          <w:p>
            <w:pPr>
              <w:pStyle w:val="28"/>
              <w:widowControl w:val="0"/>
              <w:spacing w:line="360" w:lineRule="auto"/>
              <w:jc w:val="both"/>
              <w:rPr>
                <w:rFonts w:ascii="宋体" w:hAnsi="宋体" w:cs="宋体"/>
                <w:color w:val="auto"/>
                <w:sz w:val="21"/>
                <w:szCs w:val="21"/>
                <w:highlight w:val="none"/>
              </w:rPr>
            </w:pPr>
            <w:r>
              <w:rPr>
                <w:rFonts w:hint="eastAsia" w:ascii="宋体" w:hAnsi="宋体" w:cs="宋体"/>
                <w:color w:val="auto"/>
                <w:sz w:val="21"/>
                <w:szCs w:val="21"/>
                <w:highlight w:val="none"/>
              </w:rPr>
              <w:t>二、自购买招标文件之日起，投标人应保证其提供的联系方式（电话、传真、电子邮件）一直有效，以保证往来函件（投标文件的澄清、修改等）能及时通知投标人，并能及时反馈信息，否则采购人或采购代理机构不承担由此引起的一切后果。</w:t>
            </w:r>
          </w:p>
          <w:p>
            <w:pPr>
              <w:pStyle w:val="28"/>
              <w:spacing w:line="360" w:lineRule="auto"/>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三、本项目属于电子投标，招标文件中所提及到的相关证明材料的复印件，投标单位可对应替换为电子扫描件。</w:t>
            </w:r>
          </w:p>
          <w:p>
            <w:pPr>
              <w:pStyle w:val="28"/>
              <w:spacing w:line="360" w:lineRule="auto"/>
              <w:ind w:firstLine="0" w:firstLineChars="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四、投标人应对所提交的业绩资料、信誉、证书、证件、证明的真实性负责，采购人有权对资料的真实性进行查询，一旦发现造假，采购人有权向相关部门报告其不良行为，投标人自行承担相关后果及法律责任。</w:t>
            </w:r>
          </w:p>
          <w:p>
            <w:pPr>
              <w:pStyle w:val="28"/>
              <w:spacing w:line="360" w:lineRule="auto"/>
              <w:ind w:firstLine="0" w:firstLineChars="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四：中标单位须提供与电子投标书完全一致的纸质文档标书及电子标书未加密版PDF格式（具体份数按照招标人要求提供）。纸质版投标文件采用线装或胶装成册方式装，装订应牢固、不易拆散和换页，不得采用活页装订。</w:t>
            </w:r>
          </w:p>
          <w:p>
            <w:pPr>
              <w:pStyle w:val="28"/>
              <w:spacing w:line="360" w:lineRule="auto"/>
              <w:ind w:firstLine="0" w:firstLineChars="0"/>
              <w:rPr>
                <w:rFonts w:hint="default" w:eastAsia="宋体"/>
                <w:color w:val="auto"/>
                <w:sz w:val="21"/>
                <w:szCs w:val="21"/>
                <w:highlight w:val="none"/>
                <w:lang w:val="en-US" w:eastAsia="zh-CN"/>
              </w:rPr>
            </w:pPr>
            <w:r>
              <w:rPr>
                <w:rFonts w:hint="eastAsia" w:ascii="宋体" w:hAnsi="宋体" w:cs="宋体"/>
                <w:color w:val="auto"/>
                <w:sz w:val="21"/>
                <w:szCs w:val="21"/>
                <w:highlight w:val="none"/>
                <w:lang w:val="en-US" w:eastAsia="zh-CN"/>
              </w:rPr>
              <w:t>五、本项目中标服务费由中标人领取中标通知书前一次性缴纳给招标代理机构。参照《招标代理服务收费标准》（计价格〔2002） 1980号）规定，按服务类以中标价为计费基数计算后下浮20.00%收取。</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b w:val="0"/>
          <w:bCs w:val="0"/>
          <w:color w:val="auto"/>
          <w:sz w:val="24"/>
          <w:szCs w:val="24"/>
          <w:highlight w:val="none"/>
          <w:lang w:val="en-US" w:eastAsia="zh-CN"/>
        </w:rPr>
      </w:pPr>
    </w:p>
    <w:p>
      <w:pPr>
        <w:pStyle w:val="2"/>
        <w:rPr>
          <w:rFonts w:hint="eastAsia" w:ascii="宋体" w:hAnsi="宋体" w:cs="宋体"/>
          <w:b w:val="0"/>
          <w:bCs w:val="0"/>
          <w:color w:val="auto"/>
          <w:sz w:val="24"/>
          <w:szCs w:val="24"/>
          <w:highlight w:val="none"/>
          <w:lang w:val="en-US" w:eastAsia="zh-CN"/>
        </w:rPr>
      </w:pPr>
    </w:p>
    <w:p>
      <w:pPr>
        <w:rPr>
          <w:rFonts w:hint="eastAsia" w:ascii="宋体" w:hAnsi="宋体" w:cs="宋体"/>
          <w:b w:val="0"/>
          <w:bCs w:val="0"/>
          <w:color w:val="auto"/>
          <w:sz w:val="24"/>
          <w:szCs w:val="24"/>
          <w:highlight w:val="none"/>
          <w:lang w:val="en-US" w:eastAsia="zh-CN"/>
        </w:rPr>
      </w:pPr>
    </w:p>
    <w:p>
      <w:pPr>
        <w:pStyle w:val="2"/>
        <w:rPr>
          <w:rFonts w:hint="eastAsia" w:ascii="宋体" w:hAnsi="宋体" w:cs="宋体"/>
          <w:b w:val="0"/>
          <w:bCs w:val="0"/>
          <w:color w:val="auto"/>
          <w:sz w:val="24"/>
          <w:szCs w:val="24"/>
          <w:highlight w:val="none"/>
          <w:lang w:val="en-US" w:eastAsia="zh-CN"/>
        </w:rPr>
      </w:pPr>
    </w:p>
    <w:p>
      <w:pPr>
        <w:rPr>
          <w:rFonts w:hint="eastAsia" w:ascii="宋体" w:hAnsi="宋体" w:cs="宋体"/>
          <w:b w:val="0"/>
          <w:bCs w:val="0"/>
          <w:color w:val="auto"/>
          <w:sz w:val="24"/>
          <w:szCs w:val="24"/>
          <w:highlight w:val="none"/>
          <w:lang w:val="en-US" w:eastAsia="zh-CN"/>
        </w:rPr>
      </w:pPr>
    </w:p>
    <w:p>
      <w:pPr>
        <w:pStyle w:val="2"/>
        <w:rPr>
          <w:rFonts w:hint="eastAsia" w:ascii="宋体" w:hAnsi="宋体" w:cs="宋体"/>
          <w:b w:val="0"/>
          <w:bCs w:val="0"/>
          <w:color w:val="auto"/>
          <w:sz w:val="24"/>
          <w:szCs w:val="24"/>
          <w:highlight w:val="none"/>
          <w:lang w:val="en-US" w:eastAsia="zh-CN"/>
        </w:rPr>
      </w:pPr>
    </w:p>
    <w:p>
      <w:pPr>
        <w:rPr>
          <w:rFonts w:hint="eastAsia" w:ascii="宋体" w:hAnsi="宋体" w:cs="宋体"/>
          <w:b w:val="0"/>
          <w:bCs w:val="0"/>
          <w:color w:val="auto"/>
          <w:sz w:val="24"/>
          <w:szCs w:val="24"/>
          <w:highlight w:val="none"/>
          <w:lang w:val="en-US" w:eastAsia="zh-CN"/>
        </w:rPr>
      </w:pPr>
    </w:p>
    <w:p>
      <w:pPr>
        <w:pStyle w:val="2"/>
        <w:rPr>
          <w:rFonts w:hint="eastAsia" w:ascii="宋体" w:hAnsi="宋体" w:cs="宋体"/>
          <w:b w:val="0"/>
          <w:bCs w:val="0"/>
          <w:color w:val="auto"/>
          <w:sz w:val="24"/>
          <w:szCs w:val="24"/>
          <w:highlight w:val="none"/>
          <w:lang w:val="en-US" w:eastAsia="zh-CN"/>
        </w:rPr>
      </w:pPr>
    </w:p>
    <w:p>
      <w:pPr>
        <w:rPr>
          <w:rFonts w:hint="eastAsia" w:ascii="宋体" w:hAnsi="宋体" w:cs="宋体"/>
          <w:b w:val="0"/>
          <w:bCs w:val="0"/>
          <w:color w:val="auto"/>
          <w:sz w:val="24"/>
          <w:szCs w:val="24"/>
          <w:highlight w:val="none"/>
          <w:lang w:val="en-US" w:eastAsia="zh-CN"/>
        </w:rPr>
      </w:pPr>
    </w:p>
    <w:p>
      <w:pPr>
        <w:pStyle w:val="2"/>
        <w:rPr>
          <w:rFonts w:hint="eastAsia"/>
          <w:color w:val="auto"/>
          <w:highlight w:val="none"/>
          <w:lang w:val="en-US" w:eastAsia="zh-CN"/>
        </w:rPr>
      </w:pPr>
    </w:p>
    <w:p>
      <w:pPr>
        <w:pStyle w:val="2"/>
        <w:rPr>
          <w:rFonts w:hint="eastAsia" w:ascii="宋体" w:hAnsi="宋体" w:cs="宋体"/>
          <w:b w:val="0"/>
          <w:bCs w:val="0"/>
          <w:color w:val="auto"/>
          <w:sz w:val="24"/>
          <w:szCs w:val="24"/>
          <w:highlight w:val="none"/>
          <w:lang w:val="en-US" w:eastAsia="zh-CN"/>
        </w:rPr>
      </w:pPr>
    </w:p>
    <w:p>
      <w:pPr>
        <w:rPr>
          <w:rFonts w:hint="eastAsia" w:ascii="宋体" w:hAnsi="宋体" w:cs="宋体"/>
          <w:b w:val="0"/>
          <w:bCs w:val="0"/>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outlineLvl w:val="1"/>
        <w:rPr>
          <w:rFonts w:hint="eastAsia" w:ascii="宋体" w:hAnsi="宋体" w:cs="宋体"/>
          <w:b/>
          <w:bCs/>
          <w:color w:val="auto"/>
          <w:sz w:val="24"/>
          <w:szCs w:val="24"/>
          <w:highlight w:val="none"/>
          <w:lang w:val="en-US" w:eastAsia="zh-CN"/>
        </w:rPr>
      </w:pPr>
      <w:bookmarkStart w:id="27" w:name="_Toc7433"/>
      <w:bookmarkStart w:id="28" w:name="_Toc3569"/>
      <w:bookmarkStart w:id="29" w:name="_Toc26842"/>
      <w:r>
        <w:rPr>
          <w:rFonts w:hint="eastAsia" w:ascii="宋体" w:hAnsi="宋体" w:cs="宋体"/>
          <w:b/>
          <w:bCs/>
          <w:color w:val="auto"/>
          <w:sz w:val="24"/>
          <w:szCs w:val="24"/>
          <w:highlight w:val="none"/>
          <w:lang w:val="en-US" w:eastAsia="zh-CN"/>
        </w:rPr>
        <w:t>投标人须知正文</w:t>
      </w:r>
      <w:bookmarkEnd w:id="27"/>
      <w:bookmarkEnd w:id="28"/>
      <w:bookmarkEnd w:id="29"/>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ascii="宋体" w:hAnsi="宋体" w:eastAsia="宋体"/>
          <w:color w:val="auto"/>
          <w:sz w:val="24"/>
          <w:szCs w:val="24"/>
          <w:highlight w:val="none"/>
          <w:lang w:val="zh-CN"/>
        </w:rPr>
      </w:pPr>
      <w:bookmarkStart w:id="30" w:name="_Toc1000"/>
      <w:bookmarkStart w:id="31" w:name="_Toc16212"/>
      <w:bookmarkStart w:id="32" w:name="_Toc260908187"/>
      <w:bookmarkStart w:id="33" w:name="_Toc29257"/>
      <w:bookmarkStart w:id="34" w:name="_Toc260907971"/>
      <w:bookmarkStart w:id="35" w:name="_Toc18507"/>
      <w:r>
        <w:rPr>
          <w:rFonts w:hint="eastAsia" w:ascii="宋体" w:hAnsi="宋体" w:eastAsia="宋体"/>
          <w:color w:val="auto"/>
          <w:sz w:val="24"/>
          <w:szCs w:val="24"/>
          <w:highlight w:val="none"/>
          <w:lang w:val="zh-CN"/>
        </w:rPr>
        <w:t>（一）总则</w:t>
      </w:r>
      <w:bookmarkEnd w:id="30"/>
      <w:bookmarkEnd w:id="31"/>
      <w:bookmarkEnd w:id="32"/>
      <w:bookmarkEnd w:id="33"/>
      <w:bookmarkEnd w:id="34"/>
      <w:bookmarkEnd w:id="35"/>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1.1 项目概况</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1.1.1根据《中华人民共和国政府采购法》、《中华人民共和国政府采购法实施条例》、《政府采购货物和服务招标投标管理办法》（财政部令87号）等有关法律法规的规定，本招标项目已具备采购条件，现对本项目进行公开招标。</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1.1.2本项目采购人：见投标人须知前附表。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1.1.3本项目采购代理机构：见投标人须知前附表。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1.1.4本项目项目名称及项目编号：见投标人须知前附表。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1.2 资金来源、最高限价和资金落实情况</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1.2.1本项目的资金来源：见投标人须知前附表。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1.2.2本项目的最高限价：见投标人须知前附表。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1.2.3本项目的资金落实情况：见投标人须知前附表。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1.3采购需求、合同履</w:t>
      </w:r>
      <w:r>
        <w:rPr>
          <w:rFonts w:hint="eastAsia" w:ascii="宋体" w:hAnsi="宋体" w:eastAsia="宋体"/>
          <w:b/>
          <w:bCs/>
          <w:color w:val="auto"/>
          <w:highlight w:val="none"/>
          <w:lang w:val="en-US" w:eastAsia="zh-CN"/>
        </w:rPr>
        <w:t>约</w:t>
      </w:r>
      <w:r>
        <w:rPr>
          <w:rFonts w:hint="eastAsia" w:ascii="宋体" w:hAnsi="宋体" w:eastAsia="宋体"/>
          <w:b/>
          <w:bCs/>
          <w:color w:val="auto"/>
          <w:highlight w:val="none"/>
          <w:lang w:val="zh-CN"/>
        </w:rPr>
        <w:t>期限、</w:t>
      </w:r>
      <w:r>
        <w:rPr>
          <w:rFonts w:hint="eastAsia" w:ascii="宋体" w:hAnsi="宋体" w:eastAsia="宋体"/>
          <w:b/>
          <w:bCs/>
          <w:color w:val="auto"/>
          <w:highlight w:val="none"/>
          <w:lang w:val="en-US" w:eastAsia="zh-CN"/>
        </w:rPr>
        <w:t>项目实施地点</w:t>
      </w:r>
      <w:r>
        <w:rPr>
          <w:rFonts w:hint="eastAsia" w:ascii="宋体" w:hAnsi="宋体" w:eastAsia="宋体"/>
          <w:b/>
          <w:bCs/>
          <w:color w:val="auto"/>
          <w:highlight w:val="none"/>
          <w:lang w:val="zh-CN"/>
        </w:rPr>
        <w:t>、质量标准及标段划分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1.3.1本项目的采购需求：见投标人须知前附表。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1.3.2本项目的合同履</w:t>
      </w:r>
      <w:r>
        <w:rPr>
          <w:rFonts w:hint="eastAsia" w:ascii="宋体" w:hAnsi="宋体" w:cs="宋体"/>
          <w:color w:val="auto"/>
          <w:sz w:val="21"/>
          <w:szCs w:val="21"/>
          <w:highlight w:val="none"/>
          <w:lang w:val="en-US" w:eastAsia="zh-CN"/>
        </w:rPr>
        <w:t>约</w:t>
      </w:r>
      <w:r>
        <w:rPr>
          <w:rFonts w:hint="eastAsia" w:ascii="宋体" w:hAnsi="宋体" w:cs="宋体"/>
          <w:color w:val="auto"/>
          <w:sz w:val="21"/>
          <w:szCs w:val="21"/>
          <w:highlight w:val="none"/>
        </w:rPr>
        <w:t>期限：见投标人须知前附表。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1.3.3本项目的</w:t>
      </w:r>
      <w:r>
        <w:rPr>
          <w:rFonts w:hint="eastAsia" w:ascii="宋体" w:hAnsi="宋体" w:cs="宋体"/>
          <w:color w:val="auto"/>
          <w:sz w:val="21"/>
          <w:szCs w:val="21"/>
          <w:highlight w:val="none"/>
          <w:lang w:val="en-US" w:eastAsia="zh-CN"/>
        </w:rPr>
        <w:t>项目实施地点</w:t>
      </w:r>
      <w:r>
        <w:rPr>
          <w:rFonts w:hint="eastAsia" w:ascii="宋体" w:hAnsi="宋体" w:cs="宋体"/>
          <w:color w:val="auto"/>
          <w:sz w:val="21"/>
          <w:szCs w:val="21"/>
          <w:highlight w:val="none"/>
        </w:rPr>
        <w:t>：见投标人须知前附表。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1.3.</w:t>
      </w:r>
      <w:r>
        <w:rPr>
          <w:rFonts w:ascii="宋体" w:hAnsi="宋体" w:cs="宋体"/>
          <w:color w:val="auto"/>
          <w:sz w:val="21"/>
          <w:szCs w:val="21"/>
          <w:highlight w:val="none"/>
        </w:rPr>
        <w:t>4</w:t>
      </w:r>
      <w:r>
        <w:rPr>
          <w:rFonts w:hint="eastAsia" w:ascii="宋体" w:hAnsi="宋体" w:cs="宋体"/>
          <w:color w:val="auto"/>
          <w:sz w:val="21"/>
          <w:szCs w:val="21"/>
          <w:highlight w:val="none"/>
        </w:rPr>
        <w:t>本项目的质量标准：见投标人须知前附表。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1.3.</w:t>
      </w:r>
      <w:r>
        <w:rPr>
          <w:rFonts w:ascii="宋体" w:hAnsi="宋体" w:cs="宋体"/>
          <w:color w:val="auto"/>
          <w:sz w:val="21"/>
          <w:szCs w:val="21"/>
          <w:highlight w:val="none"/>
        </w:rPr>
        <w:t>5</w:t>
      </w:r>
      <w:r>
        <w:rPr>
          <w:rFonts w:hint="eastAsia" w:ascii="宋体" w:hAnsi="宋体" w:cs="宋体"/>
          <w:color w:val="auto"/>
          <w:sz w:val="21"/>
          <w:szCs w:val="21"/>
          <w:highlight w:val="none"/>
        </w:rPr>
        <w:t>本项目的标段划分：见投标人须知前附表。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1.4投标人资格要求</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1.4.1投标人资格要求：见投标人须知前附表。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1.4.2本项目是否接受联合体投标：见投标人须知前附表。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1.4.</w:t>
      </w:r>
      <w:r>
        <w:rPr>
          <w:rFonts w:ascii="宋体" w:hAnsi="宋体" w:cs="宋体"/>
          <w:color w:val="auto"/>
          <w:sz w:val="21"/>
          <w:szCs w:val="21"/>
          <w:highlight w:val="none"/>
        </w:rPr>
        <w:t>3</w:t>
      </w:r>
      <w:r>
        <w:rPr>
          <w:rFonts w:hint="eastAsia" w:ascii="宋体" w:hAnsi="宋体" w:cs="宋体"/>
          <w:color w:val="auto"/>
          <w:sz w:val="21"/>
          <w:szCs w:val="21"/>
          <w:highlight w:val="none"/>
        </w:rPr>
        <w:t>投标人存在下列情况之一的，投标无效：</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（1）未按照招标文件的规定提交投标保证金的；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（2）投标文件未按招标文件要求签署、盖章的；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（3）不具备招标文件中规定的资格要求的；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（4）报价超过招标文件中规定的预算金额或者最高限价的；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（5）投标文件含有采购人不能接受的附加条件的；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（6）法律、法规和招标文件规定的其他无效情形。</w:t>
      </w:r>
    </w:p>
    <w:p>
      <w:pPr>
        <w:keepNext/>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1.4.</w:t>
      </w:r>
      <w:r>
        <w:rPr>
          <w:rFonts w:ascii="宋体" w:hAnsi="宋体" w:cs="宋体"/>
          <w:color w:val="auto"/>
          <w:sz w:val="21"/>
          <w:szCs w:val="21"/>
          <w:highlight w:val="none"/>
        </w:rPr>
        <w:t>4</w:t>
      </w:r>
      <w:r>
        <w:rPr>
          <w:rFonts w:hint="eastAsia" w:ascii="宋体" w:hAnsi="宋体" w:cs="宋体"/>
          <w:color w:val="auto"/>
          <w:sz w:val="21"/>
          <w:szCs w:val="21"/>
          <w:highlight w:val="none"/>
        </w:rPr>
        <w:t>有下列情形之一的，视为投标人串通投标，其投标无效：</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（1）不同投标人的投标文件由同一单位或者个人编制；</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（2）不同投标人委托同一单位或者个人办理投标事宜；</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（3）不同投标人的投标文件载明的项目管理成员或者联系人员为同一人；</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（4）不同投标人的投标文件异常一致或者投标报价呈规律性差异；</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（5）不同投标人的投标文件相互混装；</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（6）不同投标人的投标保证金从同一单位或者个人的账户转出。</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bookmarkStart w:id="36" w:name="_Hlk14882148"/>
      <w:r>
        <w:rPr>
          <w:rFonts w:hint="eastAsia" w:ascii="宋体" w:hAnsi="宋体" w:eastAsia="宋体"/>
          <w:b/>
          <w:bCs/>
          <w:color w:val="auto"/>
          <w:highlight w:val="none"/>
          <w:lang w:val="zh-CN"/>
        </w:rPr>
        <w:t>1.5费用承担</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bookmarkStart w:id="37" w:name="_Hlk14881168"/>
      <w:bookmarkStart w:id="38" w:name="_Hlk14887853"/>
      <w:r>
        <w:rPr>
          <w:rFonts w:hint="eastAsia" w:ascii="宋体" w:hAnsi="宋体" w:cs="宋体"/>
          <w:color w:val="auto"/>
          <w:sz w:val="21"/>
          <w:szCs w:val="21"/>
          <w:highlight w:val="none"/>
        </w:rPr>
        <w:t>1.5.1</w:t>
      </w:r>
      <w:r>
        <w:rPr>
          <w:rFonts w:hint="eastAsia" w:ascii="宋体" w:hAnsi="宋体"/>
          <w:color w:val="auto"/>
          <w:sz w:val="21"/>
          <w:szCs w:val="21"/>
          <w:highlight w:val="none"/>
        </w:rPr>
        <w:t>投标人准备和参加投标活动发生的费用自理</w:t>
      </w:r>
      <w:r>
        <w:rPr>
          <w:rFonts w:hint="eastAsia" w:ascii="宋体" w:hAnsi="宋体" w:cs="宋体"/>
          <w:color w:val="auto"/>
          <w:sz w:val="21"/>
          <w:szCs w:val="21"/>
          <w:highlight w:val="none"/>
        </w:rPr>
        <w:t>。</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Cs w:val="21"/>
          <w:highlight w:val="none"/>
        </w:rPr>
      </w:pPr>
      <w:r>
        <w:rPr>
          <w:rFonts w:hint="eastAsia" w:ascii="宋体" w:hAnsi="宋体" w:cs="宋体"/>
          <w:color w:val="auto"/>
          <w:sz w:val="21"/>
          <w:szCs w:val="21"/>
          <w:highlight w:val="none"/>
        </w:rPr>
        <w:t>1.5.2</w:t>
      </w:r>
      <w:r>
        <w:rPr>
          <w:rFonts w:hint="eastAsia" w:ascii="宋体" w:hAnsi="宋体"/>
          <w:color w:val="auto"/>
          <w:sz w:val="21"/>
          <w:szCs w:val="21"/>
          <w:highlight w:val="none"/>
        </w:rPr>
        <w:t>招标代理服务费按国家计委关于《招标代理服务收费管理暂行办法》（计价格【2002】1980号文）的规定,以中标总金额为计算基数按“服务招标”计算后</w:t>
      </w:r>
      <w:r>
        <w:rPr>
          <w:rFonts w:hint="eastAsia" w:ascii="宋体" w:hAnsi="宋体"/>
          <w:color w:val="auto"/>
          <w:sz w:val="21"/>
          <w:szCs w:val="21"/>
          <w:highlight w:val="none"/>
          <w:lang w:eastAsia="zh-CN"/>
        </w:rPr>
        <w:t>下浮</w:t>
      </w:r>
      <w:r>
        <w:rPr>
          <w:rFonts w:hint="eastAsia" w:ascii="宋体" w:hAnsi="宋体"/>
          <w:color w:val="auto"/>
          <w:sz w:val="21"/>
          <w:szCs w:val="21"/>
          <w:highlight w:val="none"/>
          <w:lang w:val="en-US" w:eastAsia="zh-CN"/>
        </w:rPr>
        <w:t>20%</w:t>
      </w:r>
      <w:r>
        <w:rPr>
          <w:rFonts w:hint="eastAsia" w:ascii="宋体" w:hAnsi="宋体"/>
          <w:color w:val="auto"/>
          <w:sz w:val="21"/>
          <w:szCs w:val="21"/>
          <w:highlight w:val="none"/>
        </w:rPr>
        <w:t>收取招标代理服务费；招标代理服务费及其它相关费用在发放中标通知书前由中标单位一次性缴清给本项目的采购代理机构。</w:t>
      </w:r>
    </w:p>
    <w:tbl>
      <w:tblPr>
        <w:tblStyle w:val="18"/>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5"/>
        <w:gridCol w:w="2110"/>
        <w:gridCol w:w="2110"/>
        <w:gridCol w:w="2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vMerge w:val="restart"/>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中标金额</w:t>
            </w:r>
          </w:p>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（万元）</w:t>
            </w:r>
          </w:p>
        </w:tc>
        <w:tc>
          <w:tcPr>
            <w:tcW w:w="6647" w:type="dxa"/>
            <w:gridSpan w:val="3"/>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收费标准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vMerge w:val="continue"/>
            <w:shd w:val="clear" w:color="auto" w:fill="auto"/>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p>
        </w:tc>
        <w:tc>
          <w:tcPr>
            <w:tcW w:w="2110" w:type="dxa"/>
            <w:shd w:val="clear" w:color="auto" w:fill="FFFFFF"/>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货物</w:t>
            </w:r>
          </w:p>
        </w:tc>
        <w:tc>
          <w:tcPr>
            <w:tcW w:w="2110" w:type="dxa"/>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服务</w:t>
            </w:r>
          </w:p>
        </w:tc>
        <w:tc>
          <w:tcPr>
            <w:tcW w:w="2427" w:type="dxa"/>
            <w:vAlign w:val="center"/>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shd w:val="clear" w:color="auto" w:fill="auto"/>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100以下</w:t>
            </w:r>
          </w:p>
        </w:tc>
        <w:tc>
          <w:tcPr>
            <w:tcW w:w="2110" w:type="dxa"/>
            <w:shd w:val="clear" w:color="auto" w:fill="FFFFFF"/>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1.5%</w:t>
            </w:r>
          </w:p>
        </w:tc>
        <w:tc>
          <w:tcPr>
            <w:tcW w:w="2110"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1.5%</w:t>
            </w:r>
          </w:p>
        </w:tc>
        <w:tc>
          <w:tcPr>
            <w:tcW w:w="2427"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jc w:val="center"/>
        </w:trPr>
        <w:tc>
          <w:tcPr>
            <w:tcW w:w="2215" w:type="dxa"/>
            <w:shd w:val="clear" w:color="auto" w:fill="auto"/>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100</w:t>
            </w:r>
            <w:r>
              <w:rPr>
                <w:rFonts w:ascii="宋体" w:hAnsi="宋体"/>
                <w:color w:val="auto"/>
                <w:sz w:val="21"/>
                <w:szCs w:val="21"/>
                <w:highlight w:val="none"/>
              </w:rPr>
              <w:t>—</w:t>
            </w:r>
            <w:r>
              <w:rPr>
                <w:rFonts w:hint="eastAsia" w:ascii="宋体" w:hAnsi="宋体"/>
                <w:color w:val="auto"/>
                <w:sz w:val="21"/>
                <w:szCs w:val="21"/>
                <w:highlight w:val="none"/>
              </w:rPr>
              <w:t>500</w:t>
            </w:r>
          </w:p>
        </w:tc>
        <w:tc>
          <w:tcPr>
            <w:tcW w:w="2110" w:type="dxa"/>
            <w:shd w:val="clear" w:color="auto" w:fill="FFFFFF"/>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1.1%</w:t>
            </w:r>
          </w:p>
        </w:tc>
        <w:tc>
          <w:tcPr>
            <w:tcW w:w="2110"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0.8%</w:t>
            </w:r>
          </w:p>
        </w:tc>
        <w:tc>
          <w:tcPr>
            <w:tcW w:w="2427"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jc w:val="center"/>
        </w:trPr>
        <w:tc>
          <w:tcPr>
            <w:tcW w:w="2215" w:type="dxa"/>
            <w:shd w:val="clear" w:color="auto" w:fill="auto"/>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500</w:t>
            </w:r>
            <w:r>
              <w:rPr>
                <w:rFonts w:ascii="宋体" w:hAnsi="宋体"/>
                <w:color w:val="auto"/>
                <w:sz w:val="21"/>
                <w:szCs w:val="21"/>
                <w:highlight w:val="none"/>
              </w:rPr>
              <w:t>—</w:t>
            </w:r>
            <w:r>
              <w:rPr>
                <w:rFonts w:hint="eastAsia" w:ascii="宋体" w:hAnsi="宋体"/>
                <w:color w:val="auto"/>
                <w:sz w:val="21"/>
                <w:szCs w:val="21"/>
                <w:highlight w:val="none"/>
              </w:rPr>
              <w:t>1000</w:t>
            </w:r>
          </w:p>
        </w:tc>
        <w:tc>
          <w:tcPr>
            <w:tcW w:w="2110" w:type="dxa"/>
            <w:shd w:val="clear" w:color="auto" w:fill="FFFFFF"/>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0.8%</w:t>
            </w:r>
          </w:p>
        </w:tc>
        <w:tc>
          <w:tcPr>
            <w:tcW w:w="2110"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0.45%</w:t>
            </w:r>
          </w:p>
        </w:tc>
        <w:tc>
          <w:tcPr>
            <w:tcW w:w="2427"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215" w:type="dxa"/>
            <w:shd w:val="clear" w:color="auto" w:fill="auto"/>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1000</w:t>
            </w:r>
            <w:r>
              <w:rPr>
                <w:rFonts w:ascii="宋体" w:hAnsi="宋体"/>
                <w:color w:val="auto"/>
                <w:sz w:val="21"/>
                <w:szCs w:val="21"/>
                <w:highlight w:val="none"/>
              </w:rPr>
              <w:t>—</w:t>
            </w:r>
            <w:r>
              <w:rPr>
                <w:rFonts w:hint="eastAsia" w:ascii="宋体" w:hAnsi="宋体"/>
                <w:color w:val="auto"/>
                <w:sz w:val="21"/>
                <w:szCs w:val="21"/>
                <w:highlight w:val="none"/>
              </w:rPr>
              <w:t>5000</w:t>
            </w:r>
          </w:p>
        </w:tc>
        <w:tc>
          <w:tcPr>
            <w:tcW w:w="2110" w:type="dxa"/>
            <w:shd w:val="clear" w:color="auto" w:fill="FFFFFF"/>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0.5%</w:t>
            </w:r>
          </w:p>
        </w:tc>
        <w:tc>
          <w:tcPr>
            <w:tcW w:w="2110"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0.25%</w:t>
            </w:r>
          </w:p>
        </w:tc>
        <w:tc>
          <w:tcPr>
            <w:tcW w:w="2427"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8" w:hRule="atLeast"/>
          <w:jc w:val="center"/>
        </w:trPr>
        <w:tc>
          <w:tcPr>
            <w:tcW w:w="2215" w:type="dxa"/>
            <w:shd w:val="clear" w:color="auto" w:fill="auto"/>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5000</w:t>
            </w:r>
            <w:r>
              <w:rPr>
                <w:rFonts w:ascii="宋体" w:hAnsi="宋体"/>
                <w:color w:val="auto"/>
                <w:sz w:val="21"/>
                <w:szCs w:val="21"/>
                <w:highlight w:val="none"/>
              </w:rPr>
              <w:t>—</w:t>
            </w:r>
            <w:r>
              <w:rPr>
                <w:rFonts w:hint="eastAsia" w:ascii="宋体" w:hAnsi="宋体"/>
                <w:color w:val="auto"/>
                <w:sz w:val="21"/>
                <w:szCs w:val="21"/>
                <w:highlight w:val="none"/>
              </w:rPr>
              <w:t>10000</w:t>
            </w:r>
          </w:p>
        </w:tc>
        <w:tc>
          <w:tcPr>
            <w:tcW w:w="2110" w:type="dxa"/>
            <w:shd w:val="clear" w:color="auto" w:fill="FFFFFF"/>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0.25%</w:t>
            </w:r>
          </w:p>
        </w:tc>
        <w:tc>
          <w:tcPr>
            <w:tcW w:w="2110"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0.1%</w:t>
            </w:r>
          </w:p>
        </w:tc>
        <w:tc>
          <w:tcPr>
            <w:tcW w:w="2427" w:type="dxa"/>
          </w:tcPr>
          <w:p>
            <w:pPr>
              <w:pageBreakBefore w:val="0"/>
              <w:kinsoku/>
              <w:overflowPunct/>
              <w:topLinePunct w:val="0"/>
              <w:autoSpaceDE/>
              <w:autoSpaceDN/>
              <w:bidi w:val="0"/>
              <w:adjustRightInd/>
              <w:snapToGrid/>
              <w:spacing w:line="360" w:lineRule="auto"/>
              <w:ind w:left="0" w:leftChars="0"/>
              <w:jc w:val="center"/>
              <w:textAlignment w:val="auto"/>
              <w:rPr>
                <w:rFonts w:ascii="宋体" w:hAnsi="宋体"/>
                <w:color w:val="auto"/>
                <w:sz w:val="21"/>
                <w:szCs w:val="21"/>
                <w:highlight w:val="none"/>
              </w:rPr>
            </w:pPr>
            <w:r>
              <w:rPr>
                <w:rFonts w:hint="eastAsia" w:ascii="宋体" w:hAnsi="宋体"/>
                <w:color w:val="auto"/>
                <w:sz w:val="21"/>
                <w:szCs w:val="21"/>
                <w:highlight w:val="none"/>
              </w:rPr>
              <w:t>0.2%</w:t>
            </w:r>
          </w:p>
        </w:tc>
      </w:tr>
    </w:tbl>
    <w:p>
      <w:pPr>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备注：招标代理服务收费按差额定率累进法计算。</w:t>
      </w:r>
    </w:p>
    <w:bookmarkEnd w:id="36"/>
    <w:bookmarkEnd w:id="37"/>
    <w:bookmarkEnd w:id="38"/>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1.6保密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参与招标投标活动的各方应对招标文件和投标文件中的商业和技术等秘密保密，违者应对由此造成的后果承担法律责任。</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1.7语言文字</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除专用术语外，与招标投标有关的语言均使用中文。必要时专用术语应附中文注释。</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1.8计量单位</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所有计量均采用中华人民共和国法定计量单位。</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1.9踏勘现场</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1.9.1采购人不组织踏勘现场，投标人需要了解现场情况的，由投标人根据自身情况自行踏勘项目现场。自行组织对项目现场及周围环境进行踏勘，以便投标人获取有关编制投标文件和签署合同所涉及现场的资料。</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1.9.2投标人踏勘现场发生的费用自理。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1.9.3投标人自行负责在踏勘现场中所发生的人员伤亡和财产损失。</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1.10开标前答疑会</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1.12偏离</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bookmarkStart w:id="39" w:name="_Toc260907972"/>
      <w:bookmarkStart w:id="40" w:name="_Toc260908188"/>
      <w:r>
        <w:rPr>
          <w:rFonts w:hint="eastAsia" w:ascii="宋体" w:hAnsi="宋体" w:eastAsia="宋体"/>
          <w:b/>
          <w:bCs/>
          <w:color w:val="auto"/>
          <w:highlight w:val="none"/>
          <w:lang w:val="zh-CN"/>
        </w:rPr>
        <w:t>1.11分包</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见投标人须知前附表。</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ascii="宋体" w:hAnsi="宋体" w:eastAsia="宋体"/>
          <w:color w:val="auto"/>
          <w:sz w:val="24"/>
          <w:szCs w:val="24"/>
          <w:highlight w:val="none"/>
          <w:lang w:val="zh-CN"/>
        </w:rPr>
      </w:pPr>
      <w:bookmarkStart w:id="41" w:name="_Toc28560"/>
      <w:bookmarkStart w:id="42" w:name="_Toc598"/>
      <w:bookmarkStart w:id="43" w:name="_Toc32139"/>
      <w:bookmarkStart w:id="44" w:name="_Toc8816"/>
      <w:r>
        <w:rPr>
          <w:rFonts w:hint="eastAsia" w:ascii="宋体" w:hAnsi="宋体" w:eastAsia="宋体"/>
          <w:color w:val="auto"/>
          <w:sz w:val="24"/>
          <w:szCs w:val="24"/>
          <w:highlight w:val="none"/>
          <w:lang w:val="zh-CN"/>
        </w:rPr>
        <w:t>（二）招标文件</w:t>
      </w:r>
      <w:bookmarkEnd w:id="39"/>
      <w:bookmarkEnd w:id="40"/>
      <w:bookmarkEnd w:id="41"/>
      <w:bookmarkEnd w:id="42"/>
      <w:bookmarkEnd w:id="43"/>
      <w:bookmarkEnd w:id="44"/>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2.1招标文件的组成</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2.1.1本招标文件包括：招标公告（或投标邀请书）、投标人须知、合同条款及格式、投标文件格式、采购需求、资格审查、评标办法、投标人须知前附表规定的其他材料；</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.1.2</w:t>
      </w:r>
      <w:r>
        <w:rPr>
          <w:rFonts w:hint="eastAsia" w:ascii="宋体" w:hAnsi="宋体" w:cs="宋体"/>
          <w:color w:val="auto"/>
          <w:sz w:val="21"/>
          <w:szCs w:val="21"/>
          <w:highlight w:val="none"/>
        </w:rPr>
        <w:t>对招标文件所作的澄清、修改、补充通知等是构成招标文件的组成部分。</w:t>
      </w:r>
    </w:p>
    <w:p>
      <w:pPr>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2.1.3投标人同时应认真审阅招标文件中所有的事项、格式、条款和规范要求等，如果投标人的投标文件没有按照招标文件要求递交全部资料或者投标文件没有对招标文件做出实质性响应，其风险由投标人自行承担。实质上不响应招标文件要求的投标文件视为无效标被拒绝。</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2.2招标文件的询问</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2.2.1投标人应认真阅读招标文件，如有疑问的，投标人可以向采购人或采购代理机构提出询问，采购人或者采购代理机构在接到询问后的3个工作日内对投标人依法提出的询问作出答复，但答复的内容不涉及商业秘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2.2.2招标文件的询问联系方式：见</w:t>
      </w:r>
      <w:r>
        <w:rPr>
          <w:rFonts w:hint="eastAsia" w:ascii="宋体" w:hAnsi="宋体" w:cs="宋体"/>
          <w:color w:val="auto"/>
          <w:sz w:val="21"/>
          <w:szCs w:val="21"/>
          <w:highlight w:val="none"/>
          <w:lang w:eastAsia="zh-CN"/>
        </w:rPr>
        <w:t>第一章招标公告</w:t>
      </w:r>
      <w:r>
        <w:rPr>
          <w:rFonts w:hint="eastAsia" w:ascii="宋体" w:hAnsi="宋体" w:cs="宋体"/>
          <w:color w:val="auto"/>
          <w:sz w:val="21"/>
          <w:szCs w:val="21"/>
          <w:highlight w:val="none"/>
        </w:rPr>
        <w:t>。</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2.3招标文件的澄清、修改</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bookmarkStart w:id="45" w:name="_Toc229583203"/>
      <w:bookmarkStart w:id="46" w:name="_Toc260907973"/>
      <w:bookmarkStart w:id="47" w:name="_Toc260908189"/>
      <w:r>
        <w:rPr>
          <w:rFonts w:hint="eastAsia" w:ascii="宋体" w:hAnsi="宋体" w:cs="宋体"/>
          <w:color w:val="auto"/>
          <w:sz w:val="21"/>
          <w:szCs w:val="21"/>
          <w:highlight w:val="none"/>
        </w:rPr>
        <w:t>2.3.1采购人、采购代理机构可以对已发出的招标文件进行必要的澄清或者修改，并在原公告发布媒体上发布澄清公告，澄清或者修改的内容作为招标文件的组成部分。</w:t>
      </w:r>
    </w:p>
    <w:p>
      <w:pPr>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2.3.2投标人应仔细阅读和检查招标文件的全部内容。如发现缺页或附件不全，应在投标文件递交截止时间至少10日前向采购人提出询问，以便采购人补齐。如有疑问，投标人可在</w:t>
      </w:r>
      <w:r>
        <w:rPr>
          <w:rFonts w:hint="eastAsia" w:ascii="宋体" w:hAnsi="宋体" w:cs="宋体"/>
          <w:color w:val="auto"/>
          <w:sz w:val="21"/>
          <w:szCs w:val="21"/>
          <w:highlight w:val="none"/>
          <w:lang w:val="en-US" w:eastAsia="zh-CN"/>
        </w:rPr>
        <w:t>投标文件递交截止时间至少10日前以书面形式</w:t>
      </w:r>
      <w:r>
        <w:rPr>
          <w:rFonts w:hint="eastAsia" w:ascii="宋体" w:hAnsi="宋体" w:cs="宋体"/>
          <w:color w:val="auto"/>
          <w:sz w:val="21"/>
          <w:szCs w:val="21"/>
          <w:highlight w:val="none"/>
        </w:rPr>
        <w:t>向采购人或采购代理机构进行询问、质疑，要求采购人对招标文件予以澄清。澄清或者修改的内容可能影响投标文件编制的，采购人或者采购代理机构将当在投标截止时间至少15日前，以书面形式通知所有获取招标文件的潜在投标人；不足15日的，采购人或者采购代理机构将顺延提交投标文件的截止时间。</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2.3.3招标文件的修改将在“云南省政府采购网（网址：http://www.yngp.com/）”发布，招标文件的修改作为招标文件的组成部分，并具有约束力。</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2.3.4招标文件澄清、招标文件修改文件内容均以网上电子文件为准，当招标文件、招标文件澄清、招标文件修改文件内容后前相互矛盾时，以最新发布的招标文件为准。</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2.3.</w:t>
      </w:r>
      <w:r>
        <w:rPr>
          <w:rFonts w:ascii="宋体" w:hAnsi="宋体" w:cs="宋体"/>
          <w:color w:val="auto"/>
          <w:sz w:val="21"/>
          <w:szCs w:val="21"/>
          <w:highlight w:val="none"/>
        </w:rPr>
        <w:t>5</w:t>
      </w:r>
      <w:r>
        <w:rPr>
          <w:rFonts w:hint="eastAsia" w:ascii="宋体" w:hAnsi="宋体" w:cs="宋体"/>
          <w:color w:val="auto"/>
          <w:sz w:val="21"/>
          <w:szCs w:val="21"/>
          <w:highlight w:val="none"/>
        </w:rPr>
        <w:t>投标截止时间：见投标人须知前附表。</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48" w:name="_Toc31864"/>
      <w:bookmarkStart w:id="49" w:name="_Toc13910"/>
      <w:bookmarkStart w:id="50" w:name="_Toc16775"/>
      <w:r>
        <w:rPr>
          <w:rFonts w:hint="eastAsia" w:ascii="宋体" w:hAnsi="宋体" w:eastAsia="宋体"/>
          <w:color w:val="auto"/>
          <w:sz w:val="24"/>
          <w:szCs w:val="24"/>
          <w:highlight w:val="none"/>
          <w:lang w:val="zh-CN"/>
        </w:rPr>
        <w:t>（三）投标文件</w:t>
      </w:r>
      <w:bookmarkEnd w:id="45"/>
      <w:bookmarkEnd w:id="46"/>
      <w:bookmarkEnd w:id="47"/>
      <w:bookmarkEnd w:id="48"/>
      <w:bookmarkEnd w:id="49"/>
      <w:bookmarkEnd w:id="50"/>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3.1 投标文件的组成</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投标文件全部采用电子文档，具体内容及格式详见招标文件第</w:t>
      </w:r>
      <w:r>
        <w:rPr>
          <w:rFonts w:hint="eastAsia" w:ascii="宋体" w:hAnsi="宋体" w:cs="宋体"/>
          <w:color w:val="auto"/>
          <w:sz w:val="21"/>
          <w:szCs w:val="21"/>
          <w:highlight w:val="none"/>
          <w:lang w:eastAsia="zh-CN"/>
        </w:rPr>
        <w:t>四</w:t>
      </w:r>
      <w:r>
        <w:rPr>
          <w:rFonts w:hint="eastAsia" w:ascii="宋体" w:hAnsi="宋体" w:cs="宋体"/>
          <w:color w:val="auto"/>
          <w:sz w:val="21"/>
          <w:szCs w:val="21"/>
          <w:highlight w:val="none"/>
        </w:rPr>
        <w:t>章“投标文件格式”。</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3.2 投标报价</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3.2.1投标报价方式：详见“投标人须知前附表”。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3.2.2</w:t>
      </w:r>
      <w:r>
        <w:rPr>
          <w:rFonts w:hint="eastAsia" w:ascii="宋体" w:hAnsi="宋体"/>
          <w:color w:val="auto"/>
          <w:sz w:val="21"/>
          <w:szCs w:val="21"/>
          <w:highlight w:val="none"/>
        </w:rPr>
        <w:t>投标人应综合</w:t>
      </w:r>
      <w:r>
        <w:rPr>
          <w:rFonts w:hint="eastAsia" w:ascii="宋体" w:hAnsi="宋体"/>
          <w:b w:val="0"/>
          <w:bCs w:val="0"/>
          <w:color w:val="auto"/>
          <w:sz w:val="21"/>
          <w:szCs w:val="21"/>
          <w:highlight w:val="none"/>
        </w:rPr>
        <w:t>考虑自身水平及实力和目前社会平均水平等情况，包含投标人食材、税费、工资、分拣、清洗</w:t>
      </w:r>
      <w:r>
        <w:rPr>
          <w:rFonts w:hint="eastAsia" w:ascii="宋体" w:hAnsi="宋体"/>
          <w:b w:val="0"/>
          <w:bCs w:val="0"/>
          <w:color w:val="auto"/>
          <w:sz w:val="21"/>
          <w:szCs w:val="21"/>
          <w:highlight w:val="none"/>
          <w:lang w:eastAsia="zh-CN"/>
        </w:rPr>
        <w:t>切配</w:t>
      </w:r>
      <w:r>
        <w:rPr>
          <w:rFonts w:hint="eastAsia" w:ascii="宋体" w:hAnsi="宋体"/>
          <w:b w:val="0"/>
          <w:bCs w:val="0"/>
          <w:color w:val="auto"/>
          <w:sz w:val="21"/>
          <w:szCs w:val="21"/>
          <w:highlight w:val="none"/>
        </w:rPr>
        <w:t>、包装、运输、配送、调换、损耗、检测、培训、利润、风险、安全责任等所有费用，采购人无须另向中标人支付合同规定之外的其他任何费用</w:t>
      </w:r>
      <w:r>
        <w:rPr>
          <w:rFonts w:hint="eastAsia" w:ascii="宋体" w:hAnsi="宋体"/>
          <w:color w:val="auto"/>
          <w:sz w:val="21"/>
          <w:szCs w:val="21"/>
          <w:highlight w:val="none"/>
        </w:rPr>
        <w:t>，并承担合同中的一切责任</w:t>
      </w:r>
      <w:r>
        <w:rPr>
          <w:rFonts w:hint="eastAsia" w:ascii="宋体" w:hAnsi="宋体" w:cs="宋体"/>
          <w:color w:val="auto"/>
          <w:sz w:val="21"/>
          <w:szCs w:val="21"/>
          <w:highlight w:val="none"/>
        </w:rPr>
        <w:t>。</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3.2.</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投标人应依据招标文件的要求及有关资料，按国家或行业现行技术经济标准、定额及规范，自行测算出满足招标服务要求的投标报价。投标报价应包括完成本项目招标文件及合同协议书中约定的所有工作内容可能发生的全部费用。投标人需充分考虑各种不确定因素进行报价，包括物价水平、人员工资调整、市场风险、政策性风险等因素。</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3.2.4投标人应综合考虑最高投标限价、市场行情及自身情况后合理填报价格，并能保证投标人完成履行合同所需的一切工作，并承担合同中明示和暗示的一切责任；</w:t>
      </w:r>
      <w:r>
        <w:rPr>
          <w:rFonts w:hint="eastAsia" w:ascii="宋体" w:hAnsi="宋体" w:cs="宋体"/>
          <w:b/>
          <w:bCs/>
          <w:color w:val="auto"/>
          <w:sz w:val="21"/>
          <w:szCs w:val="21"/>
          <w:highlight w:val="none"/>
          <w:lang w:val="en-US" w:eastAsia="zh-CN"/>
        </w:rPr>
        <w:t>合同一旦签订，合同价格在合同实施期间将不因工作量及市场行业水平价格的变化而调整</w:t>
      </w:r>
      <w:r>
        <w:rPr>
          <w:rFonts w:hint="eastAsia" w:ascii="宋体" w:hAnsi="宋体" w:cs="宋体"/>
          <w:color w:val="auto"/>
          <w:sz w:val="21"/>
          <w:szCs w:val="21"/>
          <w:highlight w:val="none"/>
          <w:lang w:val="en-US" w:eastAsia="zh-CN"/>
        </w:rPr>
        <w:t>。</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3.3 投标有效期</w:t>
      </w:r>
    </w:p>
    <w:p>
      <w:pPr>
        <w:pageBreakBefore w:val="0"/>
        <w:kinsoku/>
        <w:wordWrap w:val="0"/>
        <w:overflowPunct/>
        <w:topLinePunct w:val="0"/>
        <w:autoSpaceDE/>
        <w:autoSpaceDN/>
        <w:bidi w:val="0"/>
        <w:adjustRightInd/>
        <w:snapToGrid/>
        <w:spacing w:line="360" w:lineRule="auto"/>
        <w:ind w:left="0" w:leftChars="0" w:firstLine="403" w:firstLineChars="192"/>
        <w:textAlignment w:val="auto"/>
        <w:rPr>
          <w:rFonts w:ascii="宋体" w:hAnsi="宋体" w:cs="宋体"/>
          <w:color w:val="auto"/>
          <w:sz w:val="21"/>
          <w:szCs w:val="21"/>
          <w:highlight w:val="none"/>
        </w:rPr>
      </w:pPr>
      <w:r>
        <w:rPr>
          <w:rFonts w:hint="eastAsia" w:ascii="宋体" w:hAnsi="宋体" w:cs="宋体"/>
          <w:color w:val="auto"/>
          <w:sz w:val="21"/>
          <w:szCs w:val="21"/>
          <w:highlight w:val="none"/>
        </w:rPr>
        <w:t>3.3.1</w:t>
      </w:r>
      <w:r>
        <w:rPr>
          <w:rFonts w:hint="eastAsia" w:ascii="宋体" w:hAnsi="宋体"/>
          <w:color w:val="auto"/>
          <w:sz w:val="21"/>
          <w:szCs w:val="21"/>
          <w:highlight w:val="none"/>
        </w:rPr>
        <w:t>在投标人须知前附表规定的投标有效期内，投标人不得要求撤销或修改其投标文件</w:t>
      </w:r>
      <w:r>
        <w:rPr>
          <w:rFonts w:hint="eastAsia" w:ascii="宋体" w:hAnsi="宋体" w:cs="宋体"/>
          <w:color w:val="auto"/>
          <w:sz w:val="21"/>
          <w:szCs w:val="21"/>
          <w:highlight w:val="none"/>
        </w:rPr>
        <w:t>。投标文件中承诺的投标有效期应当不少于招标文件载明的投标有效期。</w:t>
      </w:r>
    </w:p>
    <w:p>
      <w:pPr>
        <w:pageBreakBefore w:val="0"/>
        <w:kinsoku/>
        <w:wordWrap w:val="0"/>
        <w:overflowPunct/>
        <w:topLinePunct w:val="0"/>
        <w:autoSpaceDE/>
        <w:autoSpaceDN/>
        <w:bidi w:val="0"/>
        <w:adjustRightInd/>
        <w:snapToGrid/>
        <w:spacing w:line="360" w:lineRule="auto"/>
        <w:ind w:left="0" w:leftChars="0" w:firstLine="403" w:firstLineChars="192"/>
        <w:textAlignment w:val="auto"/>
        <w:rPr>
          <w:rFonts w:ascii="宋体" w:hAnsi="宋体" w:cs="宋体"/>
          <w:color w:val="auto"/>
          <w:sz w:val="21"/>
          <w:szCs w:val="21"/>
          <w:highlight w:val="none"/>
        </w:rPr>
      </w:pPr>
      <w:r>
        <w:rPr>
          <w:rFonts w:hint="eastAsia" w:ascii="宋体" w:hAnsi="宋体" w:cs="宋体"/>
          <w:color w:val="auto"/>
          <w:sz w:val="21"/>
          <w:szCs w:val="21"/>
          <w:highlight w:val="none"/>
        </w:rPr>
        <w:t>3.3.2在投标有效期内,投标人撤销或修改其投标文件的,应承担招标文件和法律规定的责任.</w:t>
      </w:r>
    </w:p>
    <w:p>
      <w:pPr>
        <w:pageBreakBefore w:val="0"/>
        <w:kinsoku/>
        <w:wordWrap w:val="0"/>
        <w:overflowPunct/>
        <w:topLinePunct w:val="0"/>
        <w:autoSpaceDE/>
        <w:autoSpaceDN/>
        <w:bidi w:val="0"/>
        <w:adjustRightInd/>
        <w:snapToGrid/>
        <w:spacing w:line="360" w:lineRule="auto"/>
        <w:ind w:left="0" w:leftChars="0" w:firstLine="403" w:firstLineChars="192"/>
        <w:textAlignment w:val="auto"/>
        <w:rPr>
          <w:rFonts w:ascii="宋体" w:hAnsi="宋体" w:cs="宋体"/>
          <w:color w:val="auto"/>
          <w:sz w:val="21"/>
          <w:szCs w:val="21"/>
          <w:highlight w:val="none"/>
        </w:rPr>
      </w:pPr>
      <w:r>
        <w:rPr>
          <w:rFonts w:hint="eastAsia" w:ascii="宋体" w:hAnsi="宋体" w:cs="宋体"/>
          <w:color w:val="auto"/>
          <w:sz w:val="21"/>
          <w:szCs w:val="21"/>
          <w:highlight w:val="none"/>
        </w:rPr>
        <w:t>3.3.3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3.4 投标保证金</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3.4.1</w:t>
      </w:r>
      <w:r>
        <w:rPr>
          <w:rFonts w:hint="eastAsia" w:ascii="宋体" w:hAnsi="宋体"/>
          <w:color w:val="auto"/>
          <w:sz w:val="21"/>
          <w:szCs w:val="21"/>
          <w:highlight w:val="none"/>
        </w:rPr>
        <w:t>投标人应按《投标人须知前附表》规定的金额、形式交纳投标保证金，投标保证金须在投标文件提交截止时间前从投标人基本账户交纳到指定的帐户，投标人未按照招标文件要求提交投标保证金的，投标无效。</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3.4.2</w:t>
      </w:r>
      <w:r>
        <w:rPr>
          <w:rFonts w:hint="eastAsia" w:ascii="宋体" w:hAnsi="宋体"/>
          <w:color w:val="auto"/>
          <w:sz w:val="21"/>
          <w:szCs w:val="21"/>
          <w:highlight w:val="none"/>
        </w:rPr>
        <w:t xml:space="preserve"> 采购代理机构应当在中标通知书发出后五个工作日内退还未中标人的投标保证金，自采购合同签订之日起五个工作日内退还中标人的投标保证金。</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3.4.3</w:t>
      </w:r>
      <w:r>
        <w:rPr>
          <w:rFonts w:hint="eastAsia" w:ascii="宋体" w:hAnsi="宋体"/>
          <w:color w:val="auto"/>
          <w:sz w:val="21"/>
          <w:szCs w:val="21"/>
          <w:highlight w:val="none"/>
        </w:rPr>
        <w:t>有下列情形之一的，投标保证金将不予退还：</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（1）投标人在规定的投标有效期内撤销其投标文件的；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（2）投标人在投标文件中提供虚假材料的；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（3）中标人在收到中标通知书后，无正当理由拒不与采购人签订政府采购合同，或未按招标文件规定提交履约保证金；</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（4）投标人与采购人、其他投标人或者采购代理机构恶意串通的。</w:t>
      </w:r>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3.5投标文件的编制</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bookmarkStart w:id="51" w:name="_Toc260907974"/>
      <w:bookmarkStart w:id="52" w:name="_Toc260908190"/>
      <w:bookmarkStart w:id="53" w:name="_Toc229583204"/>
      <w:r>
        <w:rPr>
          <w:rFonts w:hint="eastAsia" w:ascii="宋体" w:hAnsi="宋体"/>
          <w:color w:val="auto"/>
          <w:sz w:val="21"/>
          <w:szCs w:val="21"/>
          <w:highlight w:val="none"/>
        </w:rPr>
        <w:t>3.</w:t>
      </w:r>
      <w:r>
        <w:rPr>
          <w:rFonts w:ascii="宋体" w:hAnsi="宋体"/>
          <w:color w:val="auto"/>
          <w:sz w:val="21"/>
          <w:szCs w:val="21"/>
          <w:highlight w:val="none"/>
        </w:rPr>
        <w:t>5</w:t>
      </w:r>
      <w:r>
        <w:rPr>
          <w:rFonts w:hint="eastAsia" w:ascii="宋体" w:hAnsi="宋体"/>
          <w:color w:val="auto"/>
          <w:sz w:val="21"/>
          <w:szCs w:val="21"/>
          <w:highlight w:val="none"/>
        </w:rPr>
        <w:t>.1投标文件应按第七章“投标文件格式”进行编写，如有必要，可以增加附页，作为投标文件的组成部分。其中，投标函附录在满足招标文件实质性要求的基础上，可以提出比招标文件要求更有利于采购人的承诺。</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3.</w:t>
      </w:r>
      <w:r>
        <w:rPr>
          <w:rFonts w:ascii="宋体" w:hAnsi="宋体"/>
          <w:color w:val="auto"/>
          <w:sz w:val="21"/>
          <w:szCs w:val="21"/>
          <w:highlight w:val="none"/>
        </w:rPr>
        <w:t>5</w:t>
      </w:r>
      <w:r>
        <w:rPr>
          <w:rFonts w:hint="eastAsia" w:ascii="宋体" w:hAnsi="宋体"/>
          <w:color w:val="auto"/>
          <w:sz w:val="21"/>
          <w:szCs w:val="21"/>
          <w:highlight w:val="none"/>
        </w:rPr>
        <w:t>.2投标文件应当对招标文件有关合同履</w:t>
      </w:r>
      <w:r>
        <w:rPr>
          <w:rFonts w:hint="eastAsia" w:ascii="宋体" w:hAnsi="宋体"/>
          <w:color w:val="auto"/>
          <w:sz w:val="21"/>
          <w:szCs w:val="21"/>
          <w:highlight w:val="none"/>
          <w:lang w:val="en-US" w:eastAsia="zh-CN"/>
        </w:rPr>
        <w:t>约</w:t>
      </w:r>
      <w:r>
        <w:rPr>
          <w:rFonts w:hint="eastAsia" w:ascii="宋体" w:hAnsi="宋体"/>
          <w:color w:val="auto"/>
          <w:sz w:val="21"/>
          <w:szCs w:val="21"/>
          <w:highlight w:val="none"/>
        </w:rPr>
        <w:t>期限、投标有效期、采购范围等实质性内容作出响应。</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54" w:name="_Toc5146"/>
      <w:bookmarkStart w:id="55" w:name="_Toc25219"/>
      <w:bookmarkStart w:id="56" w:name="_Toc12784"/>
      <w:bookmarkStart w:id="57" w:name="_Toc22242"/>
      <w:r>
        <w:rPr>
          <w:rFonts w:hint="eastAsia" w:ascii="宋体" w:hAnsi="宋体" w:eastAsia="宋体"/>
          <w:color w:val="auto"/>
          <w:sz w:val="24"/>
          <w:szCs w:val="24"/>
          <w:highlight w:val="none"/>
          <w:lang w:val="zh-CN"/>
        </w:rPr>
        <w:t>（四）投标</w:t>
      </w:r>
      <w:bookmarkEnd w:id="51"/>
      <w:bookmarkEnd w:id="52"/>
      <w:bookmarkEnd w:id="53"/>
      <w:bookmarkEnd w:id="54"/>
      <w:bookmarkEnd w:id="55"/>
      <w:bookmarkEnd w:id="56"/>
      <w:bookmarkEnd w:id="57"/>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4.1投标文件的密封和标识</w:t>
      </w:r>
    </w:p>
    <w:p>
      <w:pPr>
        <w:keepNext/>
        <w:keepLines/>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rPr>
        <w:t>4.1.1</w:t>
      </w:r>
      <w:r>
        <w:rPr>
          <w:rFonts w:hint="eastAsia"/>
          <w:color w:val="auto"/>
          <w:sz w:val="21"/>
          <w:szCs w:val="21"/>
          <w:highlight w:val="none"/>
          <w:lang w:val="en-US" w:eastAsia="zh-CN"/>
        </w:rPr>
        <w:t>投标人</w:t>
      </w:r>
      <w:r>
        <w:rPr>
          <w:rFonts w:hint="eastAsia"/>
          <w:color w:val="auto"/>
          <w:sz w:val="21"/>
          <w:szCs w:val="21"/>
          <w:highlight w:val="none"/>
        </w:rPr>
        <w:t>进行电子交易应安装客户端软件—“政采云电子交易客户端”，并按照</w:t>
      </w:r>
      <w:r>
        <w:rPr>
          <w:rFonts w:hint="eastAsia"/>
          <w:color w:val="auto"/>
          <w:sz w:val="21"/>
          <w:szCs w:val="21"/>
          <w:highlight w:val="none"/>
          <w:lang w:val="en-US" w:eastAsia="zh-CN"/>
        </w:rPr>
        <w:t>招标</w:t>
      </w:r>
      <w:r>
        <w:rPr>
          <w:rFonts w:hint="eastAsia"/>
          <w:color w:val="auto"/>
          <w:sz w:val="21"/>
          <w:szCs w:val="21"/>
          <w:highlight w:val="none"/>
        </w:rPr>
        <w:t>文件和电子交易平台的要求编制并加密</w:t>
      </w:r>
      <w:r>
        <w:rPr>
          <w:rFonts w:hint="eastAsia"/>
          <w:color w:val="auto"/>
          <w:sz w:val="21"/>
          <w:szCs w:val="21"/>
          <w:highlight w:val="none"/>
          <w:lang w:val="en-US" w:eastAsia="zh-CN"/>
        </w:rPr>
        <w:t>投标</w:t>
      </w:r>
      <w:r>
        <w:rPr>
          <w:rFonts w:hint="eastAsia"/>
          <w:color w:val="auto"/>
          <w:sz w:val="21"/>
          <w:szCs w:val="21"/>
          <w:highlight w:val="none"/>
        </w:rPr>
        <w:t>文件。</w:t>
      </w:r>
      <w:r>
        <w:rPr>
          <w:rFonts w:hint="eastAsia"/>
          <w:color w:val="auto"/>
          <w:sz w:val="21"/>
          <w:szCs w:val="21"/>
          <w:highlight w:val="none"/>
          <w:lang w:val="en-US" w:eastAsia="zh-CN"/>
        </w:rPr>
        <w:t>投标人</w:t>
      </w:r>
      <w:r>
        <w:rPr>
          <w:rFonts w:hint="eastAsia"/>
          <w:color w:val="auto"/>
          <w:sz w:val="21"/>
          <w:szCs w:val="21"/>
          <w:highlight w:val="none"/>
        </w:rPr>
        <w:t>未按规定加密的</w:t>
      </w:r>
      <w:r>
        <w:rPr>
          <w:rFonts w:hint="eastAsia"/>
          <w:color w:val="auto"/>
          <w:sz w:val="21"/>
          <w:szCs w:val="21"/>
          <w:highlight w:val="none"/>
          <w:lang w:val="en-US" w:eastAsia="zh-CN"/>
        </w:rPr>
        <w:t>投标</w:t>
      </w:r>
      <w:r>
        <w:rPr>
          <w:rFonts w:hint="eastAsia"/>
          <w:color w:val="auto"/>
          <w:sz w:val="21"/>
          <w:szCs w:val="21"/>
          <w:highlight w:val="none"/>
        </w:rPr>
        <w:t>文件，电子交易平台将拒收并提示</w:t>
      </w:r>
      <w:r>
        <w:rPr>
          <w:rFonts w:hint="eastAsia" w:ascii="宋体" w:hAnsi="宋体"/>
          <w:color w:val="auto"/>
          <w:sz w:val="21"/>
          <w:szCs w:val="21"/>
          <w:highlight w:val="none"/>
        </w:rPr>
        <w:t>。</w:t>
      </w:r>
    </w:p>
    <w:p>
      <w:pPr>
        <w:pStyle w:val="2"/>
        <w:pageBreakBefore w:val="0"/>
        <w:kinsoku/>
        <w:overflowPunct/>
        <w:topLinePunct w:val="0"/>
        <w:autoSpaceDE/>
        <w:autoSpaceDN/>
        <w:bidi w:val="0"/>
        <w:adjustRightInd/>
        <w:snapToGrid/>
        <w:spacing w:after="0" w:line="360" w:lineRule="auto"/>
        <w:ind w:left="0" w:leftChars="0" w:firstLine="420" w:firstLineChars="200"/>
        <w:textAlignment w:val="auto"/>
        <w:rPr>
          <w:rFonts w:hint="eastAsia"/>
          <w:color w:val="auto"/>
          <w:sz w:val="21"/>
          <w:szCs w:val="21"/>
          <w:highlight w:val="none"/>
          <w:lang w:eastAsia="zh-CN"/>
        </w:rPr>
      </w:pPr>
      <w:r>
        <w:rPr>
          <w:rFonts w:hint="eastAsia" w:ascii="宋体" w:hAnsi="宋体"/>
          <w:color w:val="auto"/>
          <w:sz w:val="21"/>
          <w:szCs w:val="21"/>
          <w:highlight w:val="none"/>
          <w:lang w:val="en-US" w:eastAsia="zh-CN"/>
        </w:rPr>
        <w:t>4.1.2</w:t>
      </w:r>
      <w:r>
        <w:rPr>
          <w:rFonts w:hint="eastAsia"/>
          <w:color w:val="auto"/>
          <w:sz w:val="21"/>
          <w:szCs w:val="21"/>
          <w:highlight w:val="none"/>
        </w:rPr>
        <w:t>使用“政采云投标客户端”需要提前申领</w:t>
      </w:r>
      <w:r>
        <w:rPr>
          <w:rFonts w:hint="eastAsia"/>
          <w:color w:val="auto"/>
          <w:sz w:val="21"/>
          <w:szCs w:val="21"/>
          <w:highlight w:val="none"/>
          <w:lang w:val="en-US" w:eastAsia="zh-CN"/>
        </w:rPr>
        <w:t>数字证书（CA）</w:t>
      </w:r>
      <w:r>
        <w:rPr>
          <w:rFonts w:hint="eastAsia"/>
          <w:color w:val="auto"/>
          <w:sz w:val="21"/>
          <w:szCs w:val="21"/>
          <w:highlight w:val="none"/>
        </w:rPr>
        <w:t>，申领流程见该项目采购公告附件</w:t>
      </w:r>
      <w:r>
        <w:rPr>
          <w:rFonts w:hint="eastAsia"/>
          <w:color w:val="auto"/>
          <w:sz w:val="21"/>
          <w:szCs w:val="21"/>
          <w:highlight w:val="none"/>
          <w:lang w:eastAsia="zh-CN"/>
        </w:rPr>
        <w:t>“</w:t>
      </w:r>
      <w:r>
        <w:rPr>
          <w:rFonts w:hint="eastAsia"/>
          <w:color w:val="auto"/>
          <w:sz w:val="21"/>
          <w:szCs w:val="21"/>
          <w:highlight w:val="none"/>
          <w:lang w:val="en-US" w:eastAsia="zh-CN"/>
        </w:rPr>
        <w:t>温馨提示</w:t>
      </w:r>
      <w:r>
        <w:rPr>
          <w:rFonts w:hint="eastAsia"/>
          <w:color w:val="auto"/>
          <w:sz w:val="21"/>
          <w:szCs w:val="21"/>
          <w:highlight w:val="none"/>
          <w:lang w:eastAsia="zh-CN"/>
        </w:rPr>
        <w:t>”。</w:t>
      </w:r>
    </w:p>
    <w:p>
      <w:pPr>
        <w:keepNext/>
        <w:keepLines/>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4.1.3为确保网上操作合法、有效和安全，投标人应当在投标文件提交截止时间前完成在“政府采购云平台”的身份认证，确保在电子交易过程中能够对相关数据电文进行加密和使用电子签名。</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4.2投标文件的递交</w:t>
      </w:r>
    </w:p>
    <w:p>
      <w:pPr>
        <w:keepNext/>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.2.1</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应在</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须知前附表第</w:t>
      </w:r>
      <w:r>
        <w:rPr>
          <w:rFonts w:hint="eastAsia" w:ascii="宋体" w:hAnsi="宋体"/>
          <w:color w:val="auto"/>
          <w:sz w:val="21"/>
          <w:szCs w:val="21"/>
          <w:highlight w:val="none"/>
          <w:lang w:val="en-US" w:eastAsia="zh-CN"/>
        </w:rPr>
        <w:t>4.2.1</w:t>
      </w:r>
      <w:r>
        <w:rPr>
          <w:rFonts w:hint="eastAsia" w:ascii="宋体" w:hAnsi="宋体"/>
          <w:color w:val="auto"/>
          <w:sz w:val="21"/>
          <w:szCs w:val="21"/>
          <w:highlight w:val="none"/>
        </w:rPr>
        <w:t>项“提交投标文件的截止时间及地点”的规定前递交响应文件。</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同时，投标人应自行下载已上传成功的投标文件，并进行查看、解密和核验投标文件，以确保上传投标文件的正确性。</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color w:val="auto"/>
          <w:sz w:val="21"/>
          <w:szCs w:val="21"/>
          <w:highlight w:val="none"/>
        </w:rPr>
      </w:pPr>
      <w:r>
        <w:rPr>
          <w:rFonts w:hint="eastAsia" w:ascii="宋体" w:hAnsi="宋体"/>
          <w:color w:val="auto"/>
          <w:sz w:val="21"/>
          <w:szCs w:val="21"/>
          <w:highlight w:val="none"/>
        </w:rPr>
        <w:t>4</w:t>
      </w:r>
      <w:r>
        <w:rPr>
          <w:rFonts w:ascii="宋体" w:hAnsi="宋体"/>
          <w:color w:val="auto"/>
          <w:sz w:val="21"/>
          <w:szCs w:val="21"/>
          <w:highlight w:val="none"/>
        </w:rPr>
        <w:t>.2.2</w:t>
      </w:r>
      <w:r>
        <w:rPr>
          <w:rFonts w:hint="eastAsia"/>
          <w:color w:val="auto"/>
          <w:sz w:val="21"/>
          <w:szCs w:val="21"/>
          <w:highlight w:val="none"/>
        </w:rPr>
        <w:t>逾期</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color w:val="auto"/>
          <w:sz w:val="21"/>
          <w:szCs w:val="21"/>
          <w:highlight w:val="none"/>
        </w:rPr>
        <w:t>送达的或者未送达指定地点的</w:t>
      </w:r>
      <w:r>
        <w:rPr>
          <w:rFonts w:hint="eastAsia"/>
          <w:color w:val="auto"/>
          <w:sz w:val="21"/>
          <w:szCs w:val="21"/>
          <w:highlight w:val="none"/>
          <w:lang w:val="en-US" w:eastAsia="zh-CN"/>
        </w:rPr>
        <w:t>投标</w:t>
      </w:r>
      <w:r>
        <w:rPr>
          <w:rFonts w:hint="eastAsia"/>
          <w:color w:val="auto"/>
          <w:sz w:val="21"/>
          <w:szCs w:val="21"/>
          <w:highlight w:val="none"/>
        </w:rPr>
        <w:t>文件，采购人不予受理</w:t>
      </w:r>
      <w:r>
        <w:rPr>
          <w:rFonts w:hint="eastAsia" w:ascii="宋体" w:hAnsi="宋体"/>
          <w:color w:val="auto"/>
          <w:sz w:val="21"/>
          <w:szCs w:val="21"/>
          <w:highlight w:val="none"/>
        </w:rPr>
        <w:t>。</w:t>
      </w:r>
    </w:p>
    <w:p>
      <w:pPr>
        <w:pStyle w:val="30"/>
        <w:keepNext/>
        <w:keepLines/>
        <w:pageBreakBefore w:val="0"/>
        <w:widowControl w:val="0"/>
        <w:kinsoku/>
        <w:wordWrap/>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4.3投标文件的修改与撤回</w:t>
      </w:r>
    </w:p>
    <w:p>
      <w:pPr>
        <w:keepNext/>
        <w:pageBreakBefore w:val="0"/>
        <w:widowControl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bookmarkStart w:id="58" w:name="_Toc229583205"/>
      <w:bookmarkStart w:id="59" w:name="_Toc260908191"/>
      <w:bookmarkStart w:id="60" w:name="_Toc260907975"/>
      <w:r>
        <w:rPr>
          <w:rFonts w:hint="eastAsia" w:ascii="宋体" w:hAnsi="宋体" w:cs="宋体"/>
          <w:color w:val="auto"/>
          <w:sz w:val="21"/>
          <w:szCs w:val="21"/>
          <w:highlight w:val="none"/>
        </w:rPr>
        <w:t>4.3.1在投标截止时间前，投标人可以撤回在网上已递交的投标文件，修改后重新递交，无须书面形式通知采购人。</w:t>
      </w:r>
    </w:p>
    <w:p>
      <w:pPr>
        <w:pageBreakBefore w:val="0"/>
        <w:widowControl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4.3.2投标人撤回投标文件的，可在规定时间内申请退还已缴纳的投标保证金。</w:t>
      </w:r>
    </w:p>
    <w:p>
      <w:pPr>
        <w:pageBreakBefore w:val="0"/>
        <w:widowControl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4"/>
          <w:szCs w:val="24"/>
          <w:highlight w:val="none"/>
        </w:rPr>
      </w:pPr>
      <w:r>
        <w:rPr>
          <w:rFonts w:hint="eastAsia" w:ascii="宋体" w:hAnsi="宋体" w:cs="宋体"/>
          <w:color w:val="auto"/>
          <w:sz w:val="21"/>
          <w:szCs w:val="21"/>
          <w:highlight w:val="none"/>
        </w:rPr>
        <w:t>4.3.3修改的投标文件应按照本章第3条、第4条规定进行编制、加密和递交。</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61" w:name="_Toc24276"/>
      <w:bookmarkStart w:id="62" w:name="_Toc3218"/>
      <w:bookmarkStart w:id="63" w:name="_Toc3421"/>
      <w:r>
        <w:rPr>
          <w:rFonts w:hint="eastAsia" w:ascii="宋体" w:hAnsi="宋体" w:eastAsia="宋体"/>
          <w:color w:val="auto"/>
          <w:sz w:val="24"/>
          <w:szCs w:val="24"/>
          <w:highlight w:val="none"/>
          <w:lang w:val="zh-CN"/>
        </w:rPr>
        <w:t>（五）开标</w:t>
      </w:r>
      <w:bookmarkEnd w:id="58"/>
      <w:bookmarkEnd w:id="59"/>
      <w:bookmarkEnd w:id="60"/>
      <w:bookmarkEnd w:id="61"/>
      <w:bookmarkEnd w:id="62"/>
      <w:bookmarkEnd w:id="63"/>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5.1 开标时间和地点</w:t>
      </w:r>
    </w:p>
    <w:p>
      <w:pPr>
        <w:pageBreakBefore w:val="0"/>
        <w:widowControl w:val="0"/>
        <w:kinsoku/>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olor w:val="auto"/>
          <w:sz w:val="21"/>
          <w:szCs w:val="21"/>
          <w:highlight w:val="none"/>
        </w:rPr>
        <w:t>5.1.1</w:t>
      </w:r>
      <w:bookmarkStart w:id="64" w:name="_Hlk47173580"/>
      <w:r>
        <w:rPr>
          <w:rFonts w:hint="eastAsia"/>
          <w:bCs/>
          <w:color w:val="auto"/>
          <w:sz w:val="21"/>
          <w:szCs w:val="21"/>
          <w:highlight w:val="none"/>
        </w:rPr>
        <w:t>采购人在按</w:t>
      </w:r>
      <w:r>
        <w:rPr>
          <w:rFonts w:hint="eastAsia"/>
          <w:bCs/>
          <w:color w:val="auto"/>
          <w:sz w:val="21"/>
          <w:szCs w:val="21"/>
          <w:highlight w:val="none"/>
          <w:lang w:val="en-US" w:eastAsia="zh-CN"/>
        </w:rPr>
        <w:t>投标人</w:t>
      </w:r>
      <w:r>
        <w:rPr>
          <w:rFonts w:hint="eastAsia"/>
          <w:bCs/>
          <w:color w:val="auto"/>
          <w:sz w:val="21"/>
          <w:szCs w:val="21"/>
          <w:highlight w:val="none"/>
        </w:rPr>
        <w:t>须知前附表规定的时间和地点进行</w:t>
      </w:r>
      <w:r>
        <w:rPr>
          <w:rFonts w:hint="eastAsia"/>
          <w:bCs/>
          <w:color w:val="auto"/>
          <w:sz w:val="21"/>
          <w:szCs w:val="21"/>
          <w:highlight w:val="none"/>
          <w:lang w:val="en-US" w:eastAsia="zh-CN"/>
        </w:rPr>
        <w:t>投标</w:t>
      </w:r>
      <w:r>
        <w:rPr>
          <w:rFonts w:hint="eastAsia"/>
          <w:bCs/>
          <w:color w:val="auto"/>
          <w:sz w:val="21"/>
          <w:szCs w:val="21"/>
          <w:highlight w:val="none"/>
        </w:rPr>
        <w:t>，并邀请所有</w:t>
      </w:r>
      <w:r>
        <w:rPr>
          <w:rFonts w:hint="eastAsia" w:ascii="宋体" w:hAnsi="宋体"/>
          <w:color w:val="auto"/>
          <w:sz w:val="21"/>
          <w:szCs w:val="21"/>
          <w:highlight w:val="none"/>
          <w:lang w:eastAsia="zh-CN"/>
        </w:rPr>
        <w:t>投标人</w:t>
      </w:r>
      <w:r>
        <w:rPr>
          <w:rFonts w:hint="eastAsia"/>
          <w:bCs/>
          <w:color w:val="auto"/>
          <w:sz w:val="21"/>
          <w:szCs w:val="21"/>
          <w:highlight w:val="none"/>
        </w:rPr>
        <w:t>的法定代表人或其委托代理人准时参加</w:t>
      </w:r>
      <w:r>
        <w:rPr>
          <w:rFonts w:hint="eastAsia" w:ascii="宋体" w:hAnsi="宋体" w:cs="宋体"/>
          <w:color w:val="auto"/>
          <w:sz w:val="21"/>
          <w:szCs w:val="21"/>
          <w:highlight w:val="none"/>
        </w:rPr>
        <w:t>。</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5.</w:t>
      </w:r>
      <w:r>
        <w:rPr>
          <w:rFonts w:ascii="宋体" w:hAnsi="宋体" w:eastAsia="宋体"/>
          <w:b/>
          <w:bCs/>
          <w:color w:val="auto"/>
          <w:highlight w:val="none"/>
          <w:lang w:val="zh-CN"/>
        </w:rPr>
        <w:t>2</w:t>
      </w:r>
      <w:r>
        <w:rPr>
          <w:rFonts w:hint="eastAsia" w:ascii="宋体" w:hAnsi="宋体" w:eastAsia="宋体"/>
          <w:b/>
          <w:bCs/>
          <w:color w:val="auto"/>
          <w:highlight w:val="none"/>
          <w:lang w:val="zh-CN"/>
        </w:rPr>
        <w:t xml:space="preserve"> 开标程序</w:t>
      </w:r>
      <w:bookmarkEnd w:id="64"/>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5.2.</w:t>
      </w:r>
      <w:r>
        <w:rPr>
          <w:rFonts w:hint="eastAsia" w:ascii="宋体" w:hAnsi="宋体"/>
          <w:color w:val="auto"/>
          <w:sz w:val="21"/>
          <w:szCs w:val="21"/>
          <w:highlight w:val="none"/>
        </w:rPr>
        <w:t>1若</w:t>
      </w:r>
      <w:r>
        <w:rPr>
          <w:rFonts w:hint="eastAsia" w:ascii="宋体" w:hAnsi="宋体"/>
          <w:color w:val="auto"/>
          <w:sz w:val="21"/>
          <w:szCs w:val="21"/>
          <w:highlight w:val="none"/>
          <w:lang w:val="en-US" w:eastAsia="zh-CN"/>
        </w:rPr>
        <w:t>投标人</w:t>
      </w:r>
      <w:r>
        <w:rPr>
          <w:rFonts w:hint="eastAsia" w:ascii="宋体" w:hAnsi="宋体"/>
          <w:color w:val="auto"/>
          <w:sz w:val="21"/>
          <w:szCs w:val="21"/>
          <w:highlight w:val="none"/>
        </w:rPr>
        <w:t>熟悉“政采云”相关投标程序，不到现场参加投标，应提前在自有场地配置可音视频通话（带摄像头及话筒的电脑）的相应设备及稳定网络环境，并按“政采云”开标大厅中的提示完成采购活动。</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color w:val="auto"/>
          <w:sz w:val="21"/>
          <w:szCs w:val="21"/>
          <w:highlight w:val="none"/>
        </w:rPr>
      </w:pPr>
      <w:r>
        <w:rPr>
          <w:rFonts w:hint="eastAsia" w:ascii="宋体" w:hAnsi="宋体"/>
          <w:color w:val="auto"/>
          <w:sz w:val="21"/>
          <w:szCs w:val="21"/>
          <w:highlight w:val="none"/>
          <w:lang w:val="en-US" w:eastAsia="zh-CN"/>
        </w:rPr>
        <w:t>5.2.</w:t>
      </w:r>
      <w:r>
        <w:rPr>
          <w:rFonts w:hint="eastAsia" w:ascii="宋体" w:hAnsi="宋体"/>
          <w:color w:val="auto"/>
          <w:sz w:val="21"/>
          <w:szCs w:val="21"/>
          <w:highlight w:val="none"/>
        </w:rPr>
        <w:t>2采购人宣布开启电子投标（响应）文件后，投标人登陆“政采云”开标大厅，使用投标人编制投标（响应）文件时的加密数字证书对投标（响应）文件进行解密。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5.2.</w:t>
      </w:r>
      <w:r>
        <w:rPr>
          <w:rFonts w:hint="eastAsia" w:ascii="宋体" w:hAnsi="宋体"/>
          <w:color w:val="auto"/>
          <w:sz w:val="21"/>
          <w:szCs w:val="21"/>
          <w:highlight w:val="none"/>
        </w:rPr>
        <w:t>3评审程序详见第</w:t>
      </w:r>
      <w:r>
        <w:rPr>
          <w:rFonts w:hint="eastAsia" w:ascii="宋体" w:hAnsi="宋体"/>
          <w:color w:val="auto"/>
          <w:sz w:val="21"/>
          <w:szCs w:val="21"/>
          <w:highlight w:val="none"/>
          <w:lang w:val="en-US" w:eastAsia="zh-CN"/>
        </w:rPr>
        <w:t>七</w:t>
      </w:r>
      <w:r>
        <w:rPr>
          <w:rFonts w:hint="eastAsia" w:ascii="宋体" w:hAnsi="宋体"/>
          <w:color w:val="auto"/>
          <w:sz w:val="21"/>
          <w:szCs w:val="21"/>
          <w:highlight w:val="none"/>
        </w:rPr>
        <w:t>章</w:t>
      </w:r>
      <w:r>
        <w:rPr>
          <w:rFonts w:hint="eastAsia" w:ascii="宋体" w:hAnsi="宋体"/>
          <w:color w:val="auto"/>
          <w:sz w:val="21"/>
          <w:szCs w:val="21"/>
          <w:highlight w:val="none"/>
          <w:lang w:val="en-US" w:eastAsia="zh-CN"/>
        </w:rPr>
        <w:t>评标</w:t>
      </w:r>
      <w:r>
        <w:rPr>
          <w:rFonts w:hint="eastAsia" w:ascii="宋体" w:hAnsi="宋体"/>
          <w:color w:val="auto"/>
          <w:sz w:val="21"/>
          <w:szCs w:val="21"/>
          <w:highlight w:val="none"/>
        </w:rPr>
        <w:t>办法。</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5.</w:t>
      </w:r>
      <w:r>
        <w:rPr>
          <w:rFonts w:ascii="宋体" w:hAnsi="宋体" w:eastAsia="宋体"/>
          <w:b/>
          <w:bCs/>
          <w:color w:val="auto"/>
          <w:highlight w:val="none"/>
          <w:lang w:val="zh-CN"/>
        </w:rPr>
        <w:t>2</w:t>
      </w:r>
      <w:r>
        <w:rPr>
          <w:rFonts w:hint="eastAsia" w:ascii="宋体" w:hAnsi="宋体" w:eastAsia="宋体"/>
          <w:b/>
          <w:bCs/>
          <w:color w:val="auto"/>
          <w:highlight w:val="none"/>
          <w:lang w:val="zh-CN"/>
        </w:rPr>
        <w:t xml:space="preserve"> 投标报价修正</w:t>
      </w:r>
    </w:p>
    <w:p>
      <w:pPr>
        <w:keepNext/>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bookmarkStart w:id="65" w:name="_Toc229583206"/>
      <w:bookmarkStart w:id="66" w:name="_Toc260908192"/>
      <w:bookmarkStart w:id="67" w:name="_Toc260907976"/>
      <w:r>
        <w:rPr>
          <w:rFonts w:hint="eastAsia" w:ascii="宋体" w:hAnsi="宋体"/>
          <w:color w:val="auto"/>
          <w:sz w:val="21"/>
          <w:szCs w:val="21"/>
          <w:highlight w:val="none"/>
        </w:rPr>
        <w:t>投标文件报价出现前后不一致的，按照下列规定修正：</w:t>
      </w:r>
    </w:p>
    <w:p>
      <w:pPr>
        <w:keepNext/>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（一）投标文件中开标一览表（报价表）内容与投标文件中相应内容不一致的，以开标一览表（报价表）为准；</w:t>
      </w:r>
    </w:p>
    <w:p>
      <w:pPr>
        <w:keepNext/>
        <w:pageBreakBefore w:val="0"/>
        <w:kinsoku/>
        <w:overflowPunct/>
        <w:topLinePunct w:val="0"/>
        <w:autoSpaceDE/>
        <w:autoSpaceDN/>
        <w:bidi w:val="0"/>
        <w:adjustRightInd/>
        <w:snapToGrid/>
        <w:spacing w:line="360" w:lineRule="auto"/>
        <w:ind w:left="0" w:leftChars="0" w:firstLine="420" w:firstLineChars="200"/>
        <w:textAlignment w:val="auto"/>
        <w:outlineLvl w:val="1"/>
        <w:rPr>
          <w:rFonts w:ascii="宋体" w:hAnsi="宋体"/>
          <w:color w:val="auto"/>
          <w:sz w:val="21"/>
          <w:szCs w:val="21"/>
          <w:highlight w:val="none"/>
        </w:rPr>
      </w:pPr>
      <w:bookmarkStart w:id="68" w:name="_Toc13764"/>
      <w:bookmarkStart w:id="69" w:name="_Toc6594"/>
      <w:bookmarkStart w:id="70" w:name="_Toc23284"/>
      <w:r>
        <w:rPr>
          <w:rFonts w:hint="eastAsia" w:ascii="宋体" w:hAnsi="宋体"/>
          <w:color w:val="auto"/>
          <w:sz w:val="21"/>
          <w:szCs w:val="21"/>
          <w:highlight w:val="none"/>
        </w:rPr>
        <w:t>（二）大写金额和小写金额不一致的，以大写金额为准；</w:t>
      </w:r>
      <w:bookmarkEnd w:id="68"/>
      <w:bookmarkEnd w:id="69"/>
      <w:bookmarkEnd w:id="70"/>
    </w:p>
    <w:p>
      <w:pPr>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（三）单价金额小数点或者百分比有明显错位的，以开标一览表的总价为准，并修改单价；</w:t>
      </w:r>
    </w:p>
    <w:p>
      <w:pPr>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（四）总价金额与按单价汇总金额不一致的，以单价金额计算结果为准。</w:t>
      </w:r>
    </w:p>
    <w:p>
      <w:pPr>
        <w:pageBreakBefore w:val="0"/>
        <w:kinsoku/>
        <w:overflowPunct/>
        <w:topLinePunct w:val="0"/>
        <w:autoSpaceDE/>
        <w:autoSpaceDN/>
        <w:bidi w:val="0"/>
        <w:adjustRightInd/>
        <w:snapToGrid/>
        <w:spacing w:line="360" w:lineRule="auto"/>
        <w:ind w:left="0" w:leftChars="0" w:firstLine="420" w:firstLineChars="200"/>
        <w:textAlignment w:val="auto"/>
        <w:rPr>
          <w:color w:val="auto"/>
          <w:highlight w:val="none"/>
        </w:rPr>
      </w:pPr>
      <w:r>
        <w:rPr>
          <w:rFonts w:hint="eastAsia" w:ascii="宋体" w:hAnsi="宋体"/>
          <w:color w:val="auto"/>
          <w:sz w:val="21"/>
          <w:szCs w:val="21"/>
          <w:highlight w:val="none"/>
        </w:rPr>
        <w:t>同时出现两种以上不一致的，按照前款规定的顺序修正。修正后的报价按照招标文件规定并经投标人确认后产生约束力，投标人不确认的，其投标无效。</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71" w:name="_Toc20557"/>
      <w:bookmarkStart w:id="72" w:name="_Toc6980"/>
      <w:bookmarkStart w:id="73" w:name="_Toc4788"/>
      <w:bookmarkStart w:id="74" w:name="_Toc24839"/>
      <w:r>
        <w:rPr>
          <w:rFonts w:hint="eastAsia" w:ascii="宋体" w:hAnsi="宋体" w:eastAsia="宋体"/>
          <w:color w:val="auto"/>
          <w:sz w:val="24"/>
          <w:szCs w:val="24"/>
          <w:highlight w:val="none"/>
          <w:lang w:val="zh-CN"/>
        </w:rPr>
        <w:t>（六）评标</w:t>
      </w:r>
      <w:bookmarkEnd w:id="65"/>
      <w:bookmarkEnd w:id="66"/>
      <w:bookmarkEnd w:id="67"/>
      <w:bookmarkEnd w:id="71"/>
      <w:bookmarkEnd w:id="72"/>
      <w:bookmarkEnd w:id="73"/>
      <w:bookmarkEnd w:id="74"/>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bookmarkStart w:id="75" w:name="_Toc375869236"/>
      <w:r>
        <w:rPr>
          <w:rFonts w:ascii="宋体" w:hAnsi="宋体" w:eastAsia="宋体"/>
          <w:b/>
          <w:bCs/>
          <w:color w:val="auto"/>
          <w:highlight w:val="none"/>
          <w:lang w:val="zh-CN"/>
        </w:rPr>
        <w:t xml:space="preserve">6.1 </w:t>
      </w:r>
      <w:r>
        <w:rPr>
          <w:rFonts w:hint="eastAsia" w:ascii="宋体" w:hAnsi="宋体" w:eastAsia="宋体"/>
          <w:b/>
          <w:bCs/>
          <w:color w:val="auto"/>
          <w:highlight w:val="none"/>
          <w:lang w:val="zh-CN"/>
        </w:rPr>
        <w:t>评标及评标委员会</w:t>
      </w:r>
      <w:bookmarkEnd w:id="75"/>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bookmarkStart w:id="76" w:name="_Toc229583207"/>
      <w:bookmarkStart w:id="77" w:name="_Toc260907977"/>
      <w:bookmarkStart w:id="78" w:name="_Toc260908193"/>
      <w:r>
        <w:rPr>
          <w:rFonts w:hint="eastAsia" w:ascii="宋体" w:hAnsi="宋体" w:cs="宋体"/>
          <w:color w:val="auto"/>
          <w:sz w:val="21"/>
          <w:szCs w:val="21"/>
          <w:highlight w:val="none"/>
        </w:rPr>
        <w:t>6.1</w:t>
      </w:r>
      <w:r>
        <w:rPr>
          <w:rFonts w:ascii="宋体" w:hAnsi="宋体" w:cs="宋体"/>
          <w:color w:val="auto"/>
          <w:sz w:val="21"/>
          <w:szCs w:val="21"/>
          <w:highlight w:val="none"/>
        </w:rPr>
        <w:t>.1</w:t>
      </w:r>
      <w:r>
        <w:rPr>
          <w:rFonts w:hint="eastAsia" w:ascii="宋体" w:hAnsi="宋体" w:cs="宋体"/>
          <w:color w:val="auto"/>
          <w:sz w:val="21"/>
          <w:szCs w:val="21"/>
          <w:highlight w:val="none"/>
        </w:rPr>
        <w:t>开标结束后，采购人或者采购代理机构将根据招标文件规定，依法对投标人的资格进行审查。合格投标人不足3家的，不得评标。</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2评标委员会由采购人代表和评审专家组成，成员人数为5人</w:t>
      </w:r>
      <w:r>
        <w:rPr>
          <w:rFonts w:hint="eastAsia" w:ascii="宋体" w:hAnsi="宋体" w:cs="宋体"/>
          <w:color w:val="auto"/>
          <w:sz w:val="21"/>
          <w:szCs w:val="21"/>
          <w:highlight w:val="none"/>
          <w:lang w:eastAsia="zh-CN"/>
        </w:rPr>
        <w:t>或</w:t>
      </w:r>
      <w:r>
        <w:rPr>
          <w:rFonts w:hint="eastAsia" w:ascii="宋体" w:hAnsi="宋体" w:cs="宋体"/>
          <w:color w:val="auto"/>
          <w:sz w:val="21"/>
          <w:szCs w:val="21"/>
          <w:highlight w:val="none"/>
        </w:rPr>
        <w:t>以上单数，其中评审专家不得少于成员总数的三分之二。评标委员会应当推选组长，但采购人代表不得担任组长。</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3采购人委派代表参加评标委员会的，要向采购代理机构出具授权函。除授权代表外，采购人可以委派纪检监察等相关人员进入评审现场，对评审工作实施监督，但不得超过2人。</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4评标活动遵循公平</w:t>
      </w:r>
      <w:bookmarkStart w:id="79" w:name="_Toc152042341"/>
      <w:bookmarkStart w:id="80" w:name="_Toc246996209"/>
      <w:bookmarkStart w:id="81" w:name="_Toc179632583"/>
      <w:bookmarkStart w:id="82" w:name="_Toc296602454"/>
      <w:bookmarkStart w:id="83" w:name="_Toc247085723"/>
      <w:bookmarkStart w:id="84" w:name="_Toc246996952"/>
      <w:bookmarkStart w:id="85" w:name="_Toc152045565"/>
      <w:bookmarkStart w:id="86" w:name="_Toc144974533"/>
      <w:r>
        <w:rPr>
          <w:rFonts w:hint="eastAsia" w:ascii="宋体" w:hAnsi="宋体" w:cs="宋体"/>
          <w:color w:val="auto"/>
          <w:sz w:val="21"/>
          <w:szCs w:val="21"/>
          <w:highlight w:val="none"/>
        </w:rPr>
        <w:t>、公正、科学和择优的原则。</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5评标委员会各成员</w:t>
      </w:r>
      <w:bookmarkEnd w:id="79"/>
      <w:bookmarkEnd w:id="80"/>
      <w:bookmarkEnd w:id="81"/>
      <w:bookmarkEnd w:id="82"/>
      <w:bookmarkEnd w:id="83"/>
      <w:bookmarkEnd w:id="84"/>
      <w:bookmarkEnd w:id="85"/>
      <w:bookmarkEnd w:id="86"/>
      <w:r>
        <w:rPr>
          <w:rFonts w:hint="eastAsia" w:ascii="宋体" w:hAnsi="宋体" w:cs="宋体"/>
          <w:color w:val="auto"/>
          <w:sz w:val="21"/>
          <w:szCs w:val="21"/>
          <w:highlight w:val="none"/>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6评标过程的保密：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bookmarkStart w:id="87" w:name="_Toc417913976"/>
      <w:r>
        <w:rPr>
          <w:rFonts w:hint="eastAsia" w:ascii="宋体" w:hAnsi="宋体" w:cs="宋体"/>
          <w:color w:val="auto"/>
          <w:sz w:val="21"/>
          <w:szCs w:val="21"/>
          <w:highlight w:val="none"/>
        </w:rPr>
        <w:t>（1）评标在严格</w:t>
      </w:r>
      <w:bookmarkEnd w:id="87"/>
      <w:r>
        <w:rPr>
          <w:rFonts w:hint="eastAsia" w:ascii="宋体" w:hAnsi="宋体" w:cs="宋体"/>
          <w:color w:val="auto"/>
          <w:sz w:val="21"/>
          <w:szCs w:val="21"/>
          <w:highlight w:val="none"/>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任何单位和个人不得非法干预、影响评审工作。采购人、采购代理机构和评审委员会在评审工作中，依法相互监督和制约，并自觉接受财政部门的监督。对非法干预评审工作等违法违规行为，将及时向财政部门报告。</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6.1</w:t>
      </w:r>
      <w:r>
        <w:rPr>
          <w:rFonts w:ascii="宋体" w:hAnsi="宋体" w:cs="宋体"/>
          <w:color w:val="auto"/>
          <w:sz w:val="21"/>
          <w:szCs w:val="21"/>
          <w:highlight w:val="none"/>
        </w:rPr>
        <w:t>.</w:t>
      </w:r>
      <w:r>
        <w:rPr>
          <w:rFonts w:hint="eastAsia" w:ascii="宋体" w:hAnsi="宋体" w:cs="宋体"/>
          <w:color w:val="auto"/>
          <w:sz w:val="21"/>
          <w:szCs w:val="21"/>
          <w:highlight w:val="none"/>
        </w:rPr>
        <w:t>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ascii="宋体" w:hAnsi="宋体" w:eastAsia="宋体"/>
          <w:b/>
          <w:bCs/>
          <w:color w:val="auto"/>
          <w:highlight w:val="none"/>
          <w:lang w:val="zh-CN"/>
        </w:rPr>
        <w:t xml:space="preserve">6.2 </w:t>
      </w:r>
      <w:r>
        <w:rPr>
          <w:rFonts w:hint="eastAsia" w:ascii="宋体" w:hAnsi="宋体" w:eastAsia="宋体"/>
          <w:b/>
          <w:bCs/>
          <w:color w:val="auto"/>
          <w:highlight w:val="none"/>
          <w:lang w:val="zh-CN"/>
        </w:rPr>
        <w:t>评标办法</w:t>
      </w:r>
    </w:p>
    <w:p>
      <w:pPr>
        <w:pStyle w:val="29"/>
        <w:pageBreakBefore w:val="0"/>
        <w:kinsoku/>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s="宋体"/>
          <w:color w:val="auto"/>
          <w:sz w:val="21"/>
          <w:szCs w:val="21"/>
          <w:highlight w:val="none"/>
        </w:rPr>
        <w:t>本项目按“投标人须知前附表”规定的评标办法评标。在评标中，不得改变招标文件中规定的评标标准、方法和中标条件。</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88" w:name="_Toc5253"/>
      <w:bookmarkStart w:id="89" w:name="_Toc19645"/>
      <w:bookmarkStart w:id="90" w:name="_Toc7944"/>
      <w:bookmarkStart w:id="91" w:name="_Toc31861"/>
      <w:r>
        <w:rPr>
          <w:rFonts w:hint="eastAsia" w:ascii="宋体" w:hAnsi="宋体" w:eastAsia="宋体"/>
          <w:color w:val="auto"/>
          <w:sz w:val="24"/>
          <w:szCs w:val="24"/>
          <w:highlight w:val="none"/>
          <w:lang w:val="zh-CN"/>
        </w:rPr>
        <w:t>（七）</w:t>
      </w:r>
      <w:bookmarkEnd w:id="76"/>
      <w:bookmarkEnd w:id="77"/>
      <w:bookmarkEnd w:id="78"/>
      <w:r>
        <w:rPr>
          <w:rFonts w:hint="eastAsia" w:ascii="宋体" w:hAnsi="宋体" w:eastAsia="宋体"/>
          <w:color w:val="auto"/>
          <w:sz w:val="24"/>
          <w:szCs w:val="24"/>
          <w:highlight w:val="none"/>
          <w:lang w:val="zh-CN"/>
        </w:rPr>
        <w:t>中标及合同</w:t>
      </w:r>
      <w:bookmarkEnd w:id="88"/>
      <w:bookmarkEnd w:id="89"/>
      <w:bookmarkEnd w:id="90"/>
      <w:bookmarkEnd w:id="91"/>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7.1定标方式</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olor w:val="auto"/>
          <w:sz w:val="21"/>
          <w:szCs w:val="21"/>
          <w:highlight w:val="none"/>
        </w:rPr>
      </w:pPr>
      <w:r>
        <w:rPr>
          <w:rFonts w:hint="eastAsia" w:ascii="宋体" w:hAnsi="宋体"/>
          <w:color w:val="auto"/>
          <w:sz w:val="21"/>
          <w:szCs w:val="21"/>
          <w:highlight w:val="none"/>
        </w:rPr>
        <w:t>按照投标人须知前附表的规定，采购人或采购人授权的评标委员会依法确定中标人。</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7.2中标公告</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采购人或者采购代理机构应当自中标人确定之日起2个工作日内，按照投标人须知前附表规定的省级以上财政部门指定的媒介和期限公告中标结果，招标文件应当随中标结果同时公告。</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中标公告媒介及期限：详见投标人须知前附表。</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7.</w:t>
      </w:r>
      <w:r>
        <w:rPr>
          <w:rFonts w:ascii="宋体" w:hAnsi="宋体" w:eastAsia="宋体"/>
          <w:b/>
          <w:bCs/>
          <w:color w:val="auto"/>
          <w:highlight w:val="none"/>
          <w:lang w:val="zh-CN"/>
        </w:rPr>
        <w:t xml:space="preserve">3 </w:t>
      </w:r>
      <w:r>
        <w:rPr>
          <w:rFonts w:hint="eastAsia" w:ascii="宋体" w:hAnsi="宋体" w:eastAsia="宋体"/>
          <w:b/>
          <w:bCs/>
          <w:color w:val="auto"/>
          <w:highlight w:val="none"/>
          <w:lang w:val="zh-CN"/>
        </w:rPr>
        <w:t>中标通知</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在本章第3.3款规定的投标有效期内，在公告中标结果的同时，采购人或者采购代理机构应当向中标人发出中标通知书；对未通过资格审查的投标人，应当告知其未通过的原因。采用综合评分法评审的，应当告知未中标人本人的评审得分与排序。</w:t>
      </w:r>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7.</w:t>
      </w:r>
      <w:r>
        <w:rPr>
          <w:rFonts w:ascii="宋体" w:hAnsi="宋体" w:eastAsia="宋体"/>
          <w:b/>
          <w:bCs/>
          <w:color w:val="auto"/>
          <w:highlight w:val="none"/>
          <w:lang w:val="zh-CN"/>
        </w:rPr>
        <w:t xml:space="preserve">4 </w:t>
      </w:r>
      <w:r>
        <w:rPr>
          <w:rFonts w:hint="eastAsia" w:ascii="宋体" w:hAnsi="宋体" w:eastAsia="宋体"/>
          <w:b/>
          <w:bCs/>
          <w:color w:val="auto"/>
          <w:highlight w:val="none"/>
          <w:lang w:val="zh-CN"/>
        </w:rPr>
        <w:t>履约保证金</w:t>
      </w:r>
    </w:p>
    <w:p>
      <w:pPr>
        <w:pageBreakBefore w:val="0"/>
        <w:widowControl w:val="0"/>
        <w:kinsoku/>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7.4.1中标人应按投标人须知前附表规定的形式、金额向采购人提交履约保证金。</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7.</w:t>
      </w:r>
      <w:r>
        <w:rPr>
          <w:rFonts w:ascii="宋体" w:hAnsi="宋体" w:cs="宋体"/>
          <w:color w:val="auto"/>
          <w:sz w:val="21"/>
          <w:szCs w:val="21"/>
          <w:highlight w:val="none"/>
        </w:rPr>
        <w:t>4</w:t>
      </w:r>
      <w:r>
        <w:rPr>
          <w:rFonts w:hint="eastAsia" w:ascii="宋体" w:hAnsi="宋体" w:cs="宋体"/>
          <w:color w:val="auto"/>
          <w:sz w:val="21"/>
          <w:szCs w:val="21"/>
          <w:highlight w:val="none"/>
        </w:rPr>
        <w:t>.2中标人不能按本章第7.</w:t>
      </w:r>
      <w:r>
        <w:rPr>
          <w:rFonts w:ascii="宋体" w:hAnsi="宋体" w:cs="宋体"/>
          <w:color w:val="auto"/>
          <w:sz w:val="21"/>
          <w:szCs w:val="21"/>
          <w:highlight w:val="none"/>
        </w:rPr>
        <w:t>4</w:t>
      </w:r>
      <w:r>
        <w:rPr>
          <w:rFonts w:hint="eastAsia" w:ascii="宋体" w:hAnsi="宋体" w:cs="宋体"/>
          <w:color w:val="auto"/>
          <w:sz w:val="21"/>
          <w:szCs w:val="21"/>
          <w:highlight w:val="none"/>
        </w:rPr>
        <w:t>.1项要求提交履约保证金的，视为放弃中标，其投标保证金不予退还，给采购人造成的损失超过投标保证金数额的，中标人还应当对超过部分予以赔偿。</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7.</w:t>
      </w:r>
      <w:r>
        <w:rPr>
          <w:rFonts w:ascii="宋体" w:hAnsi="宋体" w:eastAsia="宋体"/>
          <w:b/>
          <w:bCs/>
          <w:color w:val="auto"/>
          <w:highlight w:val="none"/>
          <w:lang w:val="zh-CN"/>
        </w:rPr>
        <w:t xml:space="preserve">5 </w:t>
      </w:r>
      <w:r>
        <w:rPr>
          <w:rFonts w:hint="eastAsia" w:ascii="宋体" w:hAnsi="宋体" w:eastAsia="宋体"/>
          <w:b/>
          <w:bCs/>
          <w:color w:val="auto"/>
          <w:highlight w:val="none"/>
          <w:lang w:val="zh-CN"/>
        </w:rPr>
        <w:t>签订合同</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ascii="宋体" w:hAnsi="宋体" w:cs="宋体"/>
          <w:color w:val="auto"/>
          <w:sz w:val="21"/>
          <w:szCs w:val="21"/>
          <w:highlight w:val="none"/>
        </w:rPr>
        <w:t>7</w:t>
      </w:r>
      <w:r>
        <w:rPr>
          <w:rFonts w:hint="eastAsia" w:ascii="宋体" w:hAnsi="宋体" w:cs="宋体"/>
          <w:color w:val="auto"/>
          <w:sz w:val="21"/>
          <w:szCs w:val="21"/>
          <w:highlight w:val="none"/>
        </w:rPr>
        <w:t>.5.1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ascii="宋体" w:hAnsi="宋体" w:cs="宋体"/>
          <w:color w:val="auto"/>
          <w:sz w:val="21"/>
          <w:szCs w:val="21"/>
          <w:highlight w:val="none"/>
        </w:rPr>
        <w:t>7.</w:t>
      </w:r>
      <w:r>
        <w:rPr>
          <w:rFonts w:hint="eastAsia" w:ascii="宋体" w:hAnsi="宋体" w:cs="宋体"/>
          <w:color w:val="auto"/>
          <w:sz w:val="21"/>
          <w:szCs w:val="21"/>
          <w:highlight w:val="none"/>
        </w:rPr>
        <w:t>5.2中标通知书发出后，采购人不得违法改变中标结果，中标人无正当理由不得放弃中标。</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b/>
          <w:color w:val="auto"/>
          <w:sz w:val="24"/>
          <w:szCs w:val="24"/>
          <w:highlight w:val="none"/>
          <w:u w:val="single"/>
        </w:rPr>
      </w:pPr>
      <w:r>
        <w:rPr>
          <w:rFonts w:hint="eastAsia" w:ascii="宋体" w:hAnsi="宋体" w:cs="宋体"/>
          <w:color w:val="auto"/>
          <w:sz w:val="21"/>
          <w:szCs w:val="21"/>
          <w:highlight w:val="none"/>
        </w:rPr>
        <w:t>7.5.3中标或者成交</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拒绝与采购人签订合同的，采购人可以按照评审报告推荐的中标或者成交候选人名单排序，确定下一候选人为中标或者成交</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，也可以重新开展政府采购活动。</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92" w:name="_Toc260907978"/>
      <w:bookmarkStart w:id="93" w:name="_Toc260908194"/>
      <w:bookmarkStart w:id="94" w:name="_Toc24191"/>
      <w:bookmarkStart w:id="95" w:name="_Toc21283"/>
      <w:bookmarkStart w:id="96" w:name="_Toc18906"/>
      <w:bookmarkStart w:id="97" w:name="_Toc29354"/>
      <w:r>
        <w:rPr>
          <w:rFonts w:hint="eastAsia" w:ascii="宋体" w:hAnsi="宋体" w:eastAsia="宋体"/>
          <w:color w:val="auto"/>
          <w:sz w:val="24"/>
          <w:szCs w:val="24"/>
          <w:highlight w:val="none"/>
          <w:lang w:val="zh-CN"/>
        </w:rPr>
        <w:t>（八）重新</w:t>
      </w:r>
      <w:bookmarkEnd w:id="92"/>
      <w:bookmarkEnd w:id="93"/>
      <w:r>
        <w:rPr>
          <w:rFonts w:hint="eastAsia" w:ascii="宋体" w:hAnsi="宋体" w:eastAsia="宋体"/>
          <w:color w:val="auto"/>
          <w:sz w:val="24"/>
          <w:szCs w:val="24"/>
          <w:highlight w:val="none"/>
          <w:lang w:val="zh-CN"/>
        </w:rPr>
        <w:t>采购</w:t>
      </w:r>
      <w:bookmarkEnd w:id="94"/>
      <w:bookmarkEnd w:id="95"/>
      <w:bookmarkEnd w:id="96"/>
      <w:bookmarkEnd w:id="97"/>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8.1 重新采购</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有下列情形之一的，采购人将重新采购：</w:t>
      </w:r>
    </w:p>
    <w:p>
      <w:pPr>
        <w:pageBreakBefore w:val="0"/>
        <w:kinsoku/>
        <w:wordWrap w:val="0"/>
        <w:overflowPunct/>
        <w:topLinePunct w:val="0"/>
        <w:autoSpaceDE/>
        <w:autoSpaceDN/>
        <w:bidi w:val="0"/>
        <w:adjustRightInd/>
        <w:snapToGrid/>
        <w:spacing w:line="360" w:lineRule="auto"/>
        <w:ind w:left="0" w:leftChars="0" w:firstLine="473"/>
        <w:textAlignment w:val="auto"/>
        <w:rPr>
          <w:rFonts w:ascii="宋体" w:hAnsi="宋体"/>
          <w:color w:val="auto"/>
          <w:highlight w:val="none"/>
        </w:rPr>
      </w:pPr>
      <w:r>
        <w:rPr>
          <w:rFonts w:hint="eastAsia" w:ascii="宋体" w:hAnsi="宋体" w:cs="宋体"/>
          <w:color w:val="auto"/>
          <w:sz w:val="21"/>
          <w:szCs w:val="21"/>
          <w:highlight w:val="none"/>
        </w:rPr>
        <w:t>（1</w:t>
      </w:r>
      <w:r>
        <w:rPr>
          <w:rFonts w:hint="eastAsia" w:ascii="宋体" w:hAnsi="宋体" w:cs="宋体"/>
          <w:color w:val="auto"/>
          <w:szCs w:val="21"/>
          <w:highlight w:val="none"/>
        </w:rPr>
        <w:t>）</w:t>
      </w:r>
      <w:r>
        <w:rPr>
          <w:rFonts w:hint="eastAsia" w:ascii="宋体" w:hAnsi="宋体" w:cs="宋体"/>
          <w:color w:val="auto"/>
          <w:sz w:val="21"/>
          <w:szCs w:val="21"/>
          <w:highlight w:val="none"/>
        </w:rPr>
        <w:t>投标截止后投标人不足3家或者通过资格审查或符合性审查的投标人不足3</w:t>
      </w:r>
      <w:r>
        <w:rPr>
          <w:rFonts w:hint="eastAsia" w:ascii="宋体" w:hAnsi="宋体"/>
          <w:color w:val="auto"/>
          <w:sz w:val="21"/>
          <w:szCs w:val="21"/>
          <w:highlight w:val="none"/>
        </w:rPr>
        <w:t>的；</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（2）出现影响采购公正的违法、违规行为的；</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（3）投标人的报价均超过了采购预算（上限价），采购人不能支付的。</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98" w:name="_Toc21746"/>
      <w:bookmarkStart w:id="99" w:name="_Toc184635079"/>
      <w:bookmarkStart w:id="100" w:name="_Toc16877"/>
      <w:bookmarkStart w:id="101" w:name="_Toc260907979"/>
      <w:bookmarkStart w:id="102" w:name="_Toc260908195"/>
      <w:bookmarkStart w:id="103" w:name="_Toc10816"/>
      <w:bookmarkStart w:id="104" w:name="_Toc572"/>
      <w:r>
        <w:rPr>
          <w:rFonts w:hint="eastAsia" w:ascii="宋体" w:hAnsi="宋体" w:eastAsia="宋体"/>
          <w:color w:val="auto"/>
          <w:sz w:val="24"/>
          <w:szCs w:val="24"/>
          <w:highlight w:val="none"/>
          <w:lang w:val="zh-CN"/>
        </w:rPr>
        <w:t>（九）纪律和监督</w:t>
      </w:r>
      <w:bookmarkEnd w:id="98"/>
      <w:bookmarkEnd w:id="99"/>
      <w:bookmarkEnd w:id="100"/>
      <w:bookmarkEnd w:id="101"/>
      <w:bookmarkEnd w:id="102"/>
      <w:bookmarkEnd w:id="103"/>
      <w:bookmarkEnd w:id="104"/>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bookmarkStart w:id="105" w:name="_Toc260908197"/>
      <w:bookmarkStart w:id="106" w:name="_Toc184635080"/>
      <w:bookmarkStart w:id="107" w:name="_Toc260907981"/>
      <w:r>
        <w:rPr>
          <w:rFonts w:hint="eastAsia" w:ascii="宋体" w:hAnsi="宋体" w:eastAsia="宋体"/>
          <w:b/>
          <w:bCs/>
          <w:color w:val="auto"/>
          <w:highlight w:val="none"/>
          <w:lang w:val="zh-CN"/>
        </w:rPr>
        <w:t>9.1 对采购人的纪律要求</w:t>
      </w:r>
    </w:p>
    <w:p>
      <w:pPr>
        <w:pageBreakBefore w:val="0"/>
        <w:widowControl w:val="0"/>
        <w:kinsoku/>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采购人不得泄漏招标投标活动中应当保密的情况和资料，不得与投标人串通损害国有利益、社会公共利益或者他人合法权益。</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9.2 对投标人的纪律要求</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9.3 对评标委员会成员的纪律要求</w:t>
      </w:r>
    </w:p>
    <w:p>
      <w:pPr>
        <w:pageBreakBefore w:val="0"/>
        <w:widowControl w:val="0"/>
        <w:kinsoku/>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9.4 对与评标活动有关的工作人员的纪律要求</w:t>
      </w:r>
    </w:p>
    <w:p>
      <w:pPr>
        <w:pageBreakBefore w:val="0"/>
        <w:kinsoku/>
        <w:wordWrap w:val="0"/>
        <w:overflowPunct/>
        <w:topLinePunct w:val="0"/>
        <w:autoSpaceDE/>
        <w:autoSpaceDN/>
        <w:bidi w:val="0"/>
        <w:adjustRightInd/>
        <w:snapToGrid/>
        <w:spacing w:line="360" w:lineRule="auto"/>
        <w:ind w:left="0" w:leftChars="0" w:firstLine="472" w:firstLineChars="225"/>
        <w:textAlignment w:val="auto"/>
        <w:rPr>
          <w:rFonts w:ascii="宋体" w:hAnsi="宋体" w:cs="宋体"/>
          <w:color w:val="auto"/>
          <w:sz w:val="21"/>
          <w:szCs w:val="21"/>
          <w:highlight w:val="none"/>
        </w:rPr>
      </w:pPr>
      <w:r>
        <w:rPr>
          <w:rFonts w:hint="eastAsia" w:ascii="宋体" w:hAnsi="宋体" w:cs="宋体"/>
          <w:color w:val="auto"/>
          <w:sz w:val="21"/>
          <w:szCs w:val="21"/>
          <w:highlight w:val="none"/>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pPr>
        <w:pStyle w:val="30"/>
        <w:pageBreakBefore w:val="0"/>
        <w:widowControl/>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9.5 质疑和投诉</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w:t>
      </w:r>
      <w:r>
        <w:rPr>
          <w:rFonts w:hint="eastAsia" w:ascii="宋体" w:hAnsi="宋体" w:cs="宋体"/>
          <w:color w:val="auto"/>
          <w:sz w:val="21"/>
          <w:szCs w:val="21"/>
          <w:highlight w:val="none"/>
        </w:rPr>
        <w:t>.1质疑期限</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投标人认为招标文件、招标过程、中标结果使自己的权益受到损害的，可以在知道或者应知其权益受到损害之日起7个工作日内，以书面形式向采购人、采购代理机构提出质疑。</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投标人应在法定质疑期内一次性提出针对同一采购程序环节的质疑。</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ascii="宋体" w:hAnsi="宋体" w:cs="宋体"/>
          <w:color w:val="auto"/>
          <w:sz w:val="21"/>
          <w:szCs w:val="21"/>
          <w:highlight w:val="none"/>
        </w:rPr>
        <w:t>潜在</w:t>
      </w:r>
      <w:r>
        <w:rPr>
          <w:rFonts w:hint="eastAsia" w:ascii="宋体" w:hAnsi="宋体" w:cs="宋体"/>
          <w:color w:val="auto"/>
          <w:sz w:val="21"/>
          <w:szCs w:val="21"/>
          <w:highlight w:val="none"/>
        </w:rPr>
        <w:t>投标人</w:t>
      </w:r>
      <w:r>
        <w:rPr>
          <w:rFonts w:ascii="宋体" w:hAnsi="宋体" w:cs="宋体"/>
          <w:color w:val="auto"/>
          <w:sz w:val="21"/>
          <w:szCs w:val="21"/>
          <w:highlight w:val="none"/>
        </w:rPr>
        <w:t>已依法获取其可质疑的</w:t>
      </w:r>
      <w:r>
        <w:rPr>
          <w:rFonts w:hint="eastAsia" w:ascii="宋体" w:hAnsi="宋体" w:cs="宋体"/>
          <w:color w:val="auto"/>
          <w:sz w:val="21"/>
          <w:szCs w:val="21"/>
          <w:highlight w:val="none"/>
        </w:rPr>
        <w:t>招标</w:t>
      </w:r>
      <w:r>
        <w:rPr>
          <w:rFonts w:ascii="宋体" w:hAnsi="宋体" w:cs="宋体"/>
          <w:color w:val="auto"/>
          <w:sz w:val="21"/>
          <w:szCs w:val="21"/>
          <w:highlight w:val="none"/>
        </w:rPr>
        <w:t>文件的，可以对该文件提出质疑。对</w:t>
      </w:r>
      <w:r>
        <w:rPr>
          <w:rFonts w:hint="eastAsia" w:ascii="宋体" w:hAnsi="宋体" w:cs="宋体"/>
          <w:color w:val="auto"/>
          <w:sz w:val="21"/>
          <w:szCs w:val="21"/>
          <w:highlight w:val="none"/>
        </w:rPr>
        <w:t>招标</w:t>
      </w:r>
      <w:r>
        <w:rPr>
          <w:rFonts w:ascii="宋体" w:hAnsi="宋体" w:cs="宋体"/>
          <w:color w:val="auto"/>
          <w:sz w:val="21"/>
          <w:szCs w:val="21"/>
          <w:highlight w:val="none"/>
        </w:rPr>
        <w:t>文件提出质疑的，应当在获取</w:t>
      </w:r>
      <w:r>
        <w:rPr>
          <w:rFonts w:hint="eastAsia" w:ascii="宋体" w:hAnsi="宋体" w:cs="宋体"/>
          <w:color w:val="auto"/>
          <w:sz w:val="21"/>
          <w:szCs w:val="21"/>
          <w:highlight w:val="none"/>
        </w:rPr>
        <w:t>招标</w:t>
      </w:r>
      <w:r>
        <w:rPr>
          <w:rFonts w:ascii="宋体" w:hAnsi="宋体" w:cs="宋体"/>
          <w:color w:val="auto"/>
          <w:sz w:val="21"/>
          <w:szCs w:val="21"/>
          <w:highlight w:val="none"/>
        </w:rPr>
        <w:t>文件或者</w:t>
      </w:r>
      <w:r>
        <w:rPr>
          <w:rFonts w:hint="eastAsia" w:ascii="宋体" w:hAnsi="宋体" w:cs="宋体"/>
          <w:color w:val="auto"/>
          <w:sz w:val="21"/>
          <w:szCs w:val="21"/>
          <w:highlight w:val="none"/>
        </w:rPr>
        <w:t>招标</w:t>
      </w:r>
      <w:r>
        <w:rPr>
          <w:rFonts w:ascii="宋体" w:hAnsi="宋体" w:cs="宋体"/>
          <w:color w:val="auto"/>
          <w:sz w:val="21"/>
          <w:szCs w:val="21"/>
          <w:highlight w:val="none"/>
        </w:rPr>
        <w:t>文件公告期限届满之日起7个工作日内提出</w:t>
      </w:r>
      <w:r>
        <w:rPr>
          <w:rFonts w:hint="eastAsia" w:ascii="宋体" w:hAnsi="宋体" w:cs="宋体"/>
          <w:color w:val="auto"/>
          <w:sz w:val="21"/>
          <w:szCs w:val="21"/>
          <w:highlight w:val="none"/>
        </w:rPr>
        <w:t>。</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w:t>
      </w:r>
      <w:r>
        <w:rPr>
          <w:rFonts w:hint="eastAsia" w:ascii="宋体" w:hAnsi="宋体" w:cs="宋体"/>
          <w:color w:val="auto"/>
          <w:sz w:val="21"/>
          <w:szCs w:val="21"/>
          <w:highlight w:val="none"/>
        </w:rPr>
        <w:t>.2质疑主体</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提出质疑的投标人应当是参与所质疑项目采购活动的投标人。</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w:t>
      </w:r>
      <w:r>
        <w:rPr>
          <w:rFonts w:hint="eastAsia" w:ascii="宋体" w:hAnsi="宋体" w:cs="宋体"/>
          <w:color w:val="auto"/>
          <w:sz w:val="21"/>
          <w:szCs w:val="21"/>
          <w:highlight w:val="none"/>
        </w:rPr>
        <w:t>.3质疑函</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投标人应在法定质疑期内一次性提出针对同一采购程序环节的质疑。投标人提出质疑应当提交质疑函和必要的证明材料。质疑函应当包括下列内容：</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（一）投标人的姓名或者名称、地址、邮编、联系人及联系电话；</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（二）质疑项目的名称、编号；</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（三）具体、明确的质疑事项和与质疑事项相关的请求；</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（四）事实依据；</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（五）必要的法律依据；</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（六）提出质疑的日期。</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投标人为自然人的，应当由本人签字；投标人为法人或者其他组织的，应当由法定代表人、主要负责人，或者其授权代表签字或者盖章，并加盖公章。</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本招标文件中的公章是指经工商部门和公安部门登记备案的具有法律效力的行政法人公章。不包括“合同专用章”或“投标专用章”等投标人内部使用的业务章，下同。</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代理人提出质疑和投诉，应当提交</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签署的授权委托书。</w:t>
      </w:r>
    </w:p>
    <w:p>
      <w:pPr>
        <w:keepNext/>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w:t>
      </w:r>
      <w:r>
        <w:rPr>
          <w:rFonts w:hint="eastAsia" w:ascii="宋体" w:hAnsi="宋体" w:cs="宋体"/>
          <w:color w:val="auto"/>
          <w:sz w:val="21"/>
          <w:szCs w:val="21"/>
          <w:highlight w:val="none"/>
        </w:rPr>
        <w:t>.4质疑函的递交</w:t>
      </w:r>
    </w:p>
    <w:p>
      <w:pPr>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质疑函采取现场书面递交形式。由法定代表人持本人身份证原件或授权委托代理人持本人身份证原件及授权委托书原件，同时携带质疑函(原件)和加盖单位公章的相关依据和证明材料，送至采购代理机构。</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w:t>
      </w:r>
      <w:r>
        <w:rPr>
          <w:rFonts w:hint="eastAsia" w:ascii="宋体" w:hAnsi="宋体" w:cs="宋体"/>
          <w:color w:val="auto"/>
          <w:sz w:val="21"/>
          <w:szCs w:val="21"/>
          <w:highlight w:val="none"/>
        </w:rPr>
        <w:t>.5质疑回复</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采购人或者采购代理机构应在收到质疑函后7个工作日内作出答复，并以书面形式通知质疑的投标人和其他有关投标人，质疑答复的内容不得涉及商业秘密。</w:t>
      </w:r>
    </w:p>
    <w:p>
      <w:pPr>
        <w:pageBreakBefore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9.</w:t>
      </w:r>
      <w:r>
        <w:rPr>
          <w:rFonts w:ascii="宋体" w:hAnsi="宋体" w:cs="宋体"/>
          <w:color w:val="auto"/>
          <w:sz w:val="21"/>
          <w:szCs w:val="21"/>
          <w:highlight w:val="none"/>
        </w:rPr>
        <w:t>5.6</w:t>
      </w:r>
      <w:r>
        <w:rPr>
          <w:rFonts w:hint="eastAsia" w:ascii="宋体" w:hAnsi="宋体" w:cs="宋体"/>
          <w:color w:val="auto"/>
          <w:sz w:val="21"/>
          <w:szCs w:val="21"/>
          <w:highlight w:val="none"/>
        </w:rPr>
        <w:t>投诉</w:t>
      </w:r>
    </w:p>
    <w:p>
      <w:pPr>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质疑投标人对采购人、采购代理机构的答复不满意，或者采购人、采购代理机构未在规定时间内作出答复的，可以在答复期满后15个工作日内向同级政府采购监督管理部门投诉。投标人提供的投诉书和必要的证明材料应符合中华人民共和国财政部令第94号《政府采购质疑和投诉办法》的规定。</w:t>
      </w:r>
    </w:p>
    <w:p>
      <w:pPr>
        <w:pStyle w:val="4"/>
        <w:pageBreakBefore w:val="0"/>
        <w:widowControl w:val="0"/>
        <w:kinsoku/>
        <w:overflowPunct/>
        <w:topLinePunct w:val="0"/>
        <w:autoSpaceDE/>
        <w:autoSpaceDN/>
        <w:bidi w:val="0"/>
        <w:adjustRightInd/>
        <w:snapToGrid/>
        <w:spacing w:before="0" w:after="0" w:line="360" w:lineRule="auto"/>
        <w:ind w:left="0" w:leftChars="0"/>
        <w:jc w:val="left"/>
        <w:textAlignment w:val="auto"/>
        <w:rPr>
          <w:rFonts w:hint="eastAsia" w:ascii="宋体" w:hAnsi="宋体" w:eastAsia="宋体"/>
          <w:color w:val="auto"/>
          <w:sz w:val="24"/>
          <w:szCs w:val="24"/>
          <w:highlight w:val="none"/>
          <w:lang w:val="zh-CN"/>
        </w:rPr>
      </w:pPr>
      <w:bookmarkStart w:id="108" w:name="_Toc14416"/>
      <w:bookmarkStart w:id="109" w:name="_Toc2030"/>
      <w:bookmarkStart w:id="110" w:name="_Toc27777"/>
      <w:bookmarkStart w:id="111" w:name="_Toc23007"/>
      <w:r>
        <w:rPr>
          <w:rFonts w:hint="eastAsia" w:ascii="宋体" w:hAnsi="宋体" w:eastAsia="宋体"/>
          <w:color w:val="auto"/>
          <w:sz w:val="24"/>
          <w:szCs w:val="24"/>
          <w:highlight w:val="none"/>
          <w:lang w:val="zh-CN"/>
        </w:rPr>
        <w:t>（十）需要补充的其他内容</w:t>
      </w:r>
      <w:bookmarkEnd w:id="105"/>
      <w:bookmarkEnd w:id="106"/>
      <w:bookmarkEnd w:id="107"/>
      <w:bookmarkEnd w:id="108"/>
      <w:bookmarkEnd w:id="109"/>
      <w:bookmarkEnd w:id="110"/>
      <w:bookmarkEnd w:id="111"/>
    </w:p>
    <w:p>
      <w:pPr>
        <w:pStyle w:val="30"/>
        <w:pageBreakBefore w:val="0"/>
        <w:kinsoku/>
        <w:overflowPunct/>
        <w:topLinePunct w:val="0"/>
        <w:autoSpaceDE/>
        <w:autoSpaceDN/>
        <w:bidi w:val="0"/>
        <w:adjustRightInd/>
        <w:snapToGrid/>
        <w:spacing w:before="0" w:after="0" w:line="360" w:lineRule="auto"/>
        <w:ind w:left="0" w:leftChars="0"/>
        <w:textAlignment w:val="auto"/>
        <w:rPr>
          <w:rFonts w:ascii="宋体" w:hAnsi="宋体" w:eastAsia="宋体"/>
          <w:b/>
          <w:bCs/>
          <w:color w:val="auto"/>
          <w:highlight w:val="none"/>
          <w:lang w:val="zh-CN"/>
        </w:rPr>
      </w:pPr>
      <w:r>
        <w:rPr>
          <w:rFonts w:hint="eastAsia" w:ascii="宋体" w:hAnsi="宋体" w:eastAsia="宋体"/>
          <w:b/>
          <w:bCs/>
          <w:color w:val="auto"/>
          <w:highlight w:val="none"/>
          <w:lang w:val="zh-CN"/>
        </w:rPr>
        <w:t>10.</w:t>
      </w:r>
      <w:r>
        <w:rPr>
          <w:rFonts w:hint="eastAsia" w:ascii="宋体" w:hAnsi="宋体" w:eastAsia="宋体"/>
          <w:b/>
          <w:bCs/>
          <w:color w:val="auto"/>
          <w:highlight w:val="none"/>
        </w:rPr>
        <w:t>1</w:t>
      </w:r>
      <w:r>
        <w:rPr>
          <w:rFonts w:hint="eastAsia" w:ascii="宋体" w:hAnsi="宋体" w:eastAsia="宋体"/>
          <w:b/>
          <w:bCs/>
          <w:color w:val="auto"/>
          <w:highlight w:val="none"/>
          <w:lang w:val="zh-CN"/>
        </w:rPr>
        <w:t>采购人补充的其他内容</w:t>
      </w:r>
    </w:p>
    <w:p>
      <w:pPr>
        <w:pStyle w:val="2"/>
        <w:outlineLvl w:val="9"/>
        <w:rPr>
          <w:rFonts w:hint="eastAsia"/>
          <w:color w:val="auto"/>
          <w:highlight w:val="none"/>
          <w:lang w:val="en-US" w:eastAsia="zh-CN"/>
        </w:rPr>
      </w:pPr>
      <w:r>
        <w:rPr>
          <w:rFonts w:hint="eastAsia" w:ascii="宋体" w:hAnsi="宋体" w:cs="宋体"/>
          <w:color w:val="auto"/>
          <w:sz w:val="21"/>
          <w:szCs w:val="21"/>
          <w:highlight w:val="none"/>
        </w:rPr>
        <w:t>见投标人须知前附表。</w:t>
      </w:r>
    </w:p>
    <w:p>
      <w:pPr>
        <w:pStyle w:val="2"/>
        <w:outlineLvl w:val="9"/>
        <w:rPr>
          <w:rFonts w:hint="eastAsia"/>
          <w:color w:val="auto"/>
          <w:highlight w:val="none"/>
          <w:lang w:val="en-US" w:eastAsia="zh-CN"/>
        </w:rPr>
      </w:pPr>
    </w:p>
    <w:p>
      <w:pPr>
        <w:pStyle w:val="2"/>
        <w:outlineLvl w:val="9"/>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0"/>
        <w:rPr>
          <w:rFonts w:hint="eastAsia"/>
          <w:b/>
          <w:bCs/>
          <w:color w:val="auto"/>
          <w:sz w:val="32"/>
          <w:szCs w:val="32"/>
          <w:highlight w:val="none"/>
          <w:lang w:val="en-US" w:eastAsia="zh-CN"/>
        </w:rPr>
      </w:pPr>
      <w:bookmarkStart w:id="112" w:name="_Toc21342"/>
      <w:bookmarkStart w:id="113" w:name="_Toc21010"/>
      <w:bookmarkStart w:id="114" w:name="_Toc26908"/>
      <w:r>
        <w:rPr>
          <w:rFonts w:hint="eastAsia"/>
          <w:b/>
          <w:bCs/>
          <w:color w:val="auto"/>
          <w:sz w:val="32"/>
          <w:szCs w:val="32"/>
          <w:highlight w:val="none"/>
          <w:lang w:val="en-US" w:eastAsia="zh-CN"/>
        </w:rPr>
        <w:t>第三章  合同书样式及主要条款</w:t>
      </w:r>
      <w:bookmarkEnd w:id="112"/>
      <w:bookmarkEnd w:id="113"/>
      <w:bookmarkEnd w:id="114"/>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bCs/>
          <w:color w:val="auto"/>
          <w:sz w:val="24"/>
          <w:szCs w:val="24"/>
          <w:highlight w:val="none"/>
        </w:rPr>
      </w:pPr>
      <w:bookmarkStart w:id="115" w:name="_Toc13184"/>
      <w:bookmarkStart w:id="116" w:name="_Toc16728"/>
      <w:r>
        <w:rPr>
          <w:rFonts w:hint="eastAsia" w:ascii="宋体" w:hAnsi="宋体" w:eastAsia="宋体" w:cs="宋体"/>
          <w:b/>
          <w:bCs/>
          <w:color w:val="auto"/>
          <w:sz w:val="24"/>
          <w:szCs w:val="24"/>
          <w:highlight w:val="none"/>
        </w:rPr>
        <w:t>（注：招标文件内本章协议条款及格式仅作为参考，本章节中未明确内容将在协议谈判中明确，涉及专业术语根据实际情况调整，采购人保留最终修订合同的权利，最终本合同以实际签订为准。）</w:t>
      </w:r>
      <w:bookmarkEnd w:id="115"/>
      <w:bookmarkEnd w:id="116"/>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合同编号：                      合同自编号：                    招标编号：</w:t>
      </w:r>
      <w:r>
        <w:rPr>
          <w:rFonts w:hint="eastAsia" w:ascii="宋体" w:hAnsi="宋体" w:eastAsia="宋体" w:cs="宋体"/>
          <w:color w:val="auto"/>
          <w:sz w:val="24"/>
          <w:szCs w:val="24"/>
          <w:highlight w:val="none"/>
          <w:u w:val="single"/>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●本合同须加盖甲乙双方骑缝章有效</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云南省政府采购</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同</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书</w:t>
      </w:r>
    </w:p>
    <w:p>
      <w:pPr>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849" w:firstLineChars="354"/>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849" w:firstLineChars="354"/>
        <w:jc w:val="left"/>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849" w:firstLineChars="354"/>
        <w:jc w:val="center"/>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849" w:firstLineChars="354"/>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云南省财政厅  制</w:t>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sectPr>
          <w:pgSz w:w="11900" w:h="16838"/>
          <w:pgMar w:top="1417" w:right="1417" w:bottom="1417" w:left="1417" w:header="850" w:footer="850" w:gutter="0"/>
          <w:pgNumType w:fmt="decimal"/>
          <w:cols w:space="0" w:num="1"/>
          <w:titlePg/>
          <w:docGrid w:linePitch="360" w:charSpace="0"/>
        </w:sectPr>
      </w:pPr>
    </w:p>
    <w:tbl>
      <w:tblPr>
        <w:tblStyle w:val="18"/>
        <w:tblpPr w:leftFromText="180" w:rightFromText="180" w:vertAnchor="text" w:horzAnchor="page" w:tblpX="1049" w:tblpY="15"/>
        <w:tblOverlap w:val="never"/>
        <w:tblW w:w="9746"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57"/>
        <w:gridCol w:w="8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trPr>
        <w:tc>
          <w:tcPr>
            <w:tcW w:w="9746"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甲方（采购人公章）名称：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法定代表人或委托代理人：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项目（技术）负责人：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aps w:val="0"/>
                <w:color w:val="auto"/>
                <w:spacing w:val="0"/>
                <w:sz w:val="24"/>
                <w:szCs w:val="24"/>
                <w:highlight w:val="none"/>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kern w:val="0"/>
                <w:sz w:val="24"/>
                <w:szCs w:val="24"/>
                <w:highlight w:val="none"/>
                <w:lang w:val="en-US" w:eastAsia="zh-CN" w:bidi="ar"/>
              </w:rPr>
              <w:t>签订日期：</w:t>
            </w:r>
          </w:p>
        </w:tc>
      </w:tr>
    </w:tbl>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pPr>
    </w:p>
    <w:tbl>
      <w:tblPr>
        <w:tblStyle w:val="18"/>
        <w:tblpPr w:leftFromText="180" w:rightFromText="180" w:vertAnchor="text" w:horzAnchor="page" w:tblpX="1063" w:tblpY="129"/>
        <w:tblOverlap w:val="never"/>
        <w:tblW w:w="9746"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67"/>
        <w:gridCol w:w="8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trPr>
        <w:tc>
          <w:tcPr>
            <w:tcW w:w="9746"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乙方（投标人公章）名称：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法定代表人或委托代理人：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经办人：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6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7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签订日期：</w:t>
            </w:r>
          </w:p>
        </w:tc>
      </w:tr>
    </w:tbl>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pPr>
    </w:p>
    <w:tbl>
      <w:tblPr>
        <w:tblStyle w:val="18"/>
        <w:tblpPr w:leftFromText="180" w:rightFromText="180" w:vertAnchor="text" w:horzAnchor="page" w:tblpX="1049" w:tblpY="43"/>
        <w:tblOverlap w:val="never"/>
        <w:tblW w:w="9746"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657"/>
        <w:gridCol w:w="80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tblCellSpacing w:w="0" w:type="dxa"/>
        </w:trPr>
        <w:tc>
          <w:tcPr>
            <w:tcW w:w="9746"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丙方（鉴证方公章）名称：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法定代表人或委托代理人：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经办人：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trPr>
        <w:tc>
          <w:tcPr>
            <w:tcW w:w="1657"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p>
        </w:tc>
        <w:tc>
          <w:tcPr>
            <w:tcW w:w="8089" w:type="dxa"/>
            <w:vAlign w:val="center"/>
          </w:tcPr>
          <w:p>
            <w:pPr>
              <w:keepNext w:val="0"/>
              <w:keepLines w:val="0"/>
              <w:pageBreakBefore w:val="0"/>
              <w:widowControl/>
              <w:suppressLineNumbers w:val="0"/>
              <w:kinsoku/>
              <w:wordWrap/>
              <w:overflowPunct/>
              <w:topLinePunct w:val="0"/>
              <w:autoSpaceDE/>
              <w:autoSpaceDN/>
              <w:bidi w:val="0"/>
              <w:adjustRightInd/>
              <w:snapToGrid/>
              <w:spacing w:afterAutospacing="0" w:line="360" w:lineRule="auto"/>
              <w:ind w:left="0" w:leftChars="0" w:right="0" w:rightChars="0"/>
              <w:jc w:val="left"/>
              <w:textAlignment w:val="auto"/>
              <w:outlineLvl w:val="9"/>
              <w:rPr>
                <w:rFonts w:hint="eastAsia" w:ascii="宋体" w:hAnsi="宋体" w:eastAsia="宋体" w:cs="宋体"/>
                <w:caps w:val="0"/>
                <w:color w:val="auto"/>
                <w:spacing w:val="0"/>
                <w:kern w:val="0"/>
                <w:sz w:val="24"/>
                <w:szCs w:val="24"/>
                <w:highlight w:val="none"/>
                <w:lang w:val="en-US" w:eastAsia="zh-CN" w:bidi="ar"/>
              </w:rPr>
            </w:pPr>
            <w:r>
              <w:rPr>
                <w:rFonts w:hint="eastAsia" w:ascii="宋体" w:hAnsi="宋体" w:eastAsia="宋体" w:cs="宋体"/>
                <w:caps w:val="0"/>
                <w:color w:val="auto"/>
                <w:spacing w:val="0"/>
                <w:kern w:val="0"/>
                <w:sz w:val="24"/>
                <w:szCs w:val="24"/>
                <w:highlight w:val="none"/>
                <w:lang w:val="en-US" w:eastAsia="zh-CN" w:bidi="ar"/>
              </w:rPr>
              <w:t>电话：</w:t>
            </w:r>
          </w:p>
        </w:tc>
      </w:tr>
    </w:tbl>
    <w:p>
      <w:pPr>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宋体" w:hAnsi="宋体" w:eastAsia="宋体" w:cs="宋体"/>
          <w:color w:val="auto"/>
          <w:sz w:val="24"/>
          <w:szCs w:val="24"/>
          <w:highlight w:val="none"/>
        </w:rPr>
        <w:sectPr>
          <w:pgSz w:w="11900" w:h="16838"/>
          <w:pgMar w:top="1417" w:right="1417" w:bottom="1417" w:left="1417" w:header="850" w:footer="850" w:gutter="0"/>
          <w:pgNumType w:fmt="decimal"/>
          <w:cols w:space="0" w:num="1"/>
          <w:titlePg/>
          <w:docGrid w:linePitch="360" w:charSpace="0"/>
        </w:sect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602" w:firstLineChars="25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u w:val="single"/>
        </w:rPr>
        <w:t>（采购人全称）</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614" w:firstLineChars="255"/>
        <w:textAlignment w:val="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eastAsia="zh-CN"/>
        </w:rPr>
        <w:t>投标人</w:t>
      </w:r>
      <w:r>
        <w:rPr>
          <w:rFonts w:hint="eastAsia" w:ascii="宋体" w:hAnsi="宋体" w:eastAsia="宋体" w:cs="宋体"/>
          <w:b/>
          <w:color w:val="auto"/>
          <w:sz w:val="24"/>
          <w:szCs w:val="24"/>
          <w:highlight w:val="none"/>
          <w:u w:val="single"/>
        </w:rPr>
        <w:t>全称）</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甲乙双方根据《中华人民共和国政府采购法》、《中华人民共和国政府采购法实施条例》、《政府采购货物和服务招标投标管理办法》（财政部令第87号）</w:t>
      </w:r>
      <w:r>
        <w:rPr>
          <w:rFonts w:hint="eastAsia" w:ascii="宋体" w:hAnsi="宋体" w:cs="宋体"/>
          <w:color w:val="auto"/>
          <w:sz w:val="24"/>
          <w:szCs w:val="24"/>
          <w:highlight w:val="none"/>
          <w:lang w:eastAsia="zh-CN"/>
        </w:rPr>
        <w:t>等</w:t>
      </w:r>
      <w:r>
        <w:rPr>
          <w:rFonts w:hint="eastAsia" w:ascii="宋体" w:hAnsi="宋体" w:eastAsia="宋体" w:cs="宋体"/>
          <w:color w:val="auto"/>
          <w:sz w:val="24"/>
          <w:szCs w:val="24"/>
          <w:highlight w:val="none"/>
        </w:rPr>
        <w:t>相关法律法规的规定就项目编号为</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”公开招标采购结果，经双方协定达成一致，签订以下内容。</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一、名称、种类、数量、单价：</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二、质量要求</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产品质量符合标准，并满足甲方技术要求。</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color w:val="auto"/>
          <w:sz w:val="24"/>
          <w:szCs w:val="24"/>
          <w:highlight w:val="none"/>
        </w:rPr>
      </w:pPr>
      <w:bookmarkStart w:id="117" w:name="_Toc30786"/>
      <w:bookmarkStart w:id="118" w:name="_Toc12683"/>
      <w:r>
        <w:rPr>
          <w:rFonts w:hint="eastAsia" w:ascii="宋体" w:hAnsi="宋体" w:eastAsia="宋体" w:cs="宋体"/>
          <w:b/>
          <w:bCs/>
          <w:color w:val="auto"/>
          <w:sz w:val="24"/>
          <w:szCs w:val="24"/>
          <w:highlight w:val="none"/>
        </w:rPr>
        <w:t>三、合同总价</w:t>
      </w:r>
      <w:r>
        <w:rPr>
          <w:rFonts w:hint="eastAsia" w:ascii="宋体" w:hAnsi="宋体" w:eastAsia="宋体" w:cs="宋体"/>
          <w:color w:val="auto"/>
          <w:sz w:val="24"/>
          <w:szCs w:val="24"/>
          <w:highlight w:val="none"/>
        </w:rPr>
        <w:t>（大写）：           (人民币元)</w:t>
      </w:r>
      <w:bookmarkEnd w:id="117"/>
      <w:bookmarkEnd w:id="118"/>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           (人民币元)</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以上价格为甲方指定地点统一交货价并包含运输、配送、培训及税收等费用。</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本合同的供货范围，除包括上述产品外，还包括相应的技术服务与质量保证文件。</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bookmarkStart w:id="119" w:name="_Toc30215"/>
      <w:bookmarkStart w:id="120" w:name="_Toc31037"/>
      <w:r>
        <w:rPr>
          <w:rFonts w:hint="eastAsia" w:ascii="宋体" w:hAnsi="宋体" w:eastAsia="宋体" w:cs="宋体"/>
          <w:b/>
          <w:bCs/>
          <w:color w:val="auto"/>
          <w:sz w:val="24"/>
          <w:szCs w:val="24"/>
          <w:highlight w:val="none"/>
        </w:rPr>
        <w:t>四、甲乙双方的权利和义务</w:t>
      </w:r>
      <w:bookmarkEnd w:id="119"/>
      <w:bookmarkEnd w:id="120"/>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(一)甲方的权利和义务</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1,负责合同签订后项目实施的工作（如与乙方的具体联系和衔接）：</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2.负责提供产品送达后所必须的场地和环境：</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3.负责组织成立验收小组对产品进行验收并签署验收报告：</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4.按合同规定享有乙方提供的货物或项目服务：</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5.按规定落实采购资金并办理采购资金划拨手续：</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(二)乙方的权利和义务</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1.乙方保证按本合同条款负责完成甲方项目，并保证提供符合招标文件规定、具有国家有关部门注册并符合国家质量检测标准和产品出厂标准的产品：</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2.保证甲方在合同执行期间不受第三方提出侵犯其专利权、商标权和工业设计权的起诉。</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3,严格遵守投标、技术澄清、商务谈判、中标所承诺的一切规定和条款；</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4.因食品质量问题造成的食品安全事故，由乙方承担一切经济和法律责任：</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因食品质量问题发生退货或被食品安全执法部门处理等情形造成的经济损失及法律责任由乙方负责：</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.乙方每天</w:t>
      </w:r>
      <w:r>
        <w:rPr>
          <w:rFonts w:hint="eastAsia" w:ascii="宋体" w:hAnsi="宋体" w:cs="宋体"/>
          <w:color w:val="auto"/>
          <w:sz w:val="24"/>
          <w:szCs w:val="24"/>
          <w:highlight w:val="none"/>
          <w:lang w:eastAsia="zh-CN"/>
        </w:rPr>
        <w:t>配送</w:t>
      </w:r>
      <w:r>
        <w:rPr>
          <w:rFonts w:hint="eastAsia" w:ascii="宋体" w:hAnsi="宋体" w:eastAsia="宋体" w:cs="宋体"/>
          <w:color w:val="auto"/>
          <w:sz w:val="24"/>
          <w:szCs w:val="24"/>
          <w:highlight w:val="none"/>
        </w:rPr>
        <w:t>到学校的食品，每天必须免费向学校提供留样1份：</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五、以上内容与甲方采购确认和乙方中标承诺情况一致（或中标产品和设备或项目的技术及服务保证甲方正常使用)。</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bookmarkStart w:id="121" w:name="_Toc25227"/>
      <w:bookmarkStart w:id="122" w:name="_Toc17720"/>
      <w:r>
        <w:rPr>
          <w:rFonts w:hint="eastAsia" w:ascii="宋体" w:hAnsi="宋体" w:eastAsia="宋体" w:cs="宋体"/>
          <w:b/>
          <w:bCs/>
          <w:color w:val="auto"/>
          <w:sz w:val="24"/>
          <w:szCs w:val="24"/>
          <w:highlight w:val="none"/>
        </w:rPr>
        <w:t>六、技术培训：</w:t>
      </w:r>
      <w:bookmarkEnd w:id="121"/>
      <w:bookmarkEnd w:id="122"/>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天的项目学校负贵人员现场例行免费培训，培训内容包括产品的储存、食用及相关注意事项等内容。</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七、乙方售后服务联系人、联系地址、联系电话：</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八、整体项目服务时间为合同签订生效后</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日内。</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九、验收及验收标准</w:t>
      </w:r>
      <w:r>
        <w:rPr>
          <w:rFonts w:hint="eastAsia" w:ascii="宋体" w:hAnsi="宋体" w:eastAsia="宋体" w:cs="宋体"/>
          <w:color w:val="auto"/>
          <w:sz w:val="24"/>
          <w:szCs w:val="24"/>
          <w:highlight w:val="none"/>
        </w:rPr>
        <w:t>：</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货物派送学校后，由学校按照货物技术参数和标准及数量组织验收，并填制货物采购验收单。</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十、合同价款结算：</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十一、违约责任：</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甲乙双方在履行合同过程中发生纠纷，应及时向有关监督管理部门反映，以便相关部门进行协调或处理：也可以直接向合同签订地仲裁部门申请仲裁；本合同发生争议产生的诉讼，由甲方所在地人民法院管辖。</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十三、本合同其他未尽事宜，按《中华人民共和国民法典》有关规定处理。</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十四、本合同一式柒份，甲方四份，乙方二份，代理机构一份。</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十五、本合同自签订之日起生效。</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十六、本合同不可分割之部分。</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1.招标文作：</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2.中标人投标文件及澄清：</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3.中标通知书：</w:t>
      </w:r>
    </w:p>
    <w:p>
      <w:pPr>
        <w:keepNext w:val="0"/>
        <w:keepLines w:val="0"/>
        <w:pageBreakBefore w:val="0"/>
        <w:tabs>
          <w:tab w:val="left" w:pos="6930"/>
        </w:tabs>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4.合同书附件。</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1080" w:firstLineChars="450"/>
        <w:textAlignment w:val="auto"/>
        <w:rPr>
          <w:rFonts w:hint="eastAsia" w:ascii="宋体" w:hAnsi="宋体" w:eastAsia="宋体" w:cs="宋体"/>
          <w:bCs/>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left="0" w:leftChars="0" w:right="0" w:rightChars="0" w:firstLine="412"/>
        <w:jc w:val="left"/>
        <w:textAlignment w:val="auto"/>
        <w:rPr>
          <w:rFonts w:hint="eastAsia" w:ascii="宋体" w:hAnsi="宋体" w:eastAsia="宋体" w:cs="宋体"/>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jc w:val="left"/>
        <w:textAlignment w:val="auto"/>
        <w:rPr>
          <w:rFonts w:hint="eastAsia" w:ascii="宋体" w:hAnsi="宋体" w:eastAsia="宋体" w:cs="宋体"/>
          <w:color w:val="auto"/>
          <w:sz w:val="24"/>
          <w:szCs w:val="24"/>
          <w:highlight w:val="none"/>
        </w:rPr>
        <w:sectPr>
          <w:pgSz w:w="11906" w:h="16838"/>
          <w:pgMar w:top="1418" w:right="1701" w:bottom="1418" w:left="1701" w:header="851" w:footer="992" w:gutter="0"/>
          <w:pgNumType w:fmt="decimal"/>
          <w:cols w:space="708" w:num="1"/>
          <w:docGrid w:linePitch="312" w:charSpace="0"/>
        </w:sect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0"/>
        <w:rPr>
          <w:rFonts w:hint="eastAsia"/>
          <w:b/>
          <w:bCs/>
          <w:color w:val="auto"/>
          <w:sz w:val="32"/>
          <w:szCs w:val="32"/>
          <w:highlight w:val="none"/>
          <w:lang w:val="en-US" w:eastAsia="zh-CN"/>
        </w:rPr>
      </w:pPr>
      <w:bookmarkStart w:id="123" w:name="_Toc29763"/>
      <w:bookmarkStart w:id="124" w:name="_Toc14545"/>
      <w:bookmarkStart w:id="125" w:name="_Toc15715"/>
      <w:r>
        <w:rPr>
          <w:rFonts w:hint="eastAsia"/>
          <w:b/>
          <w:bCs/>
          <w:color w:val="auto"/>
          <w:sz w:val="32"/>
          <w:szCs w:val="32"/>
          <w:highlight w:val="none"/>
          <w:lang w:val="en-US" w:eastAsia="zh-CN"/>
        </w:rPr>
        <w:t>第四章  投标文件格式</w:t>
      </w:r>
      <w:bookmarkEnd w:id="123"/>
      <w:bookmarkEnd w:id="124"/>
      <w:bookmarkEnd w:id="125"/>
    </w:p>
    <w:p>
      <w:pPr>
        <w:pageBreakBefore w:val="0"/>
        <w:kinsoku/>
        <w:topLinePunct w:val="0"/>
        <w:bidi w:val="0"/>
        <w:snapToGrid/>
        <w:spacing w:line="360" w:lineRule="auto"/>
        <w:ind w:left="0" w:leftChars="0" w:right="0" w:rightChars="0" w:firstLine="0" w:firstLineChars="0"/>
        <w:jc w:val="center"/>
        <w:rPr>
          <w:rFonts w:hint="eastAsia" w:ascii="仿宋" w:hAnsi="仿宋" w:eastAsia="仿宋" w:cs="仿宋"/>
          <w:b/>
          <w:bCs/>
          <w:color w:val="auto"/>
          <w:sz w:val="52"/>
          <w:szCs w:val="52"/>
          <w:highlight w:val="none"/>
        </w:rPr>
      </w:pPr>
    </w:p>
    <w:p>
      <w:pPr>
        <w:pageBreakBefore w:val="0"/>
        <w:kinsoku/>
        <w:topLinePunct w:val="0"/>
        <w:bidi w:val="0"/>
        <w:snapToGrid/>
        <w:spacing w:line="360" w:lineRule="auto"/>
        <w:ind w:left="0" w:leftChars="0" w:right="0" w:rightChars="0" w:hanging="1" w:firstLineChars="0"/>
        <w:jc w:val="center"/>
        <w:outlineLvl w:val="9"/>
        <w:rPr>
          <w:rFonts w:hint="default" w:ascii="宋体" w:hAnsi="宋体" w:eastAsia="宋体" w:cs="宋体"/>
          <w:b/>
          <w:color w:val="auto"/>
          <w:w w:val="90"/>
          <w:sz w:val="52"/>
          <w:szCs w:val="52"/>
          <w:highlight w:val="none"/>
          <w:u w:val="none"/>
          <w:lang w:val="en-US" w:eastAsia="zh-CN"/>
        </w:rPr>
      </w:pPr>
      <w:bookmarkStart w:id="126" w:name="_Toc31133"/>
      <w:r>
        <w:rPr>
          <w:rFonts w:hint="eastAsia" w:ascii="宋体" w:hAnsi="宋体" w:cs="宋体"/>
          <w:b/>
          <w:color w:val="auto"/>
          <w:w w:val="90"/>
          <w:sz w:val="52"/>
          <w:szCs w:val="52"/>
          <w:highlight w:val="none"/>
          <w:u w:val="single"/>
          <w:lang w:val="en-US" w:eastAsia="zh-CN"/>
        </w:rPr>
        <w:t xml:space="preserve">         </w:t>
      </w:r>
      <w:r>
        <w:rPr>
          <w:rFonts w:hint="eastAsia" w:ascii="宋体" w:hAnsi="宋体" w:eastAsia="宋体" w:cs="宋体"/>
          <w:b/>
          <w:color w:val="auto"/>
          <w:w w:val="90"/>
          <w:sz w:val="52"/>
          <w:szCs w:val="52"/>
          <w:highlight w:val="none"/>
        </w:rPr>
        <w:t>（项目名称）</w:t>
      </w:r>
      <w:bookmarkEnd w:id="126"/>
      <w:r>
        <w:rPr>
          <w:rFonts w:hint="eastAsia" w:ascii="宋体" w:hAnsi="宋体" w:cs="宋体"/>
          <w:b/>
          <w:color w:val="auto"/>
          <w:w w:val="90"/>
          <w:sz w:val="52"/>
          <w:szCs w:val="52"/>
          <w:highlight w:val="none"/>
          <w:u w:val="single"/>
          <w:lang w:val="en-US" w:eastAsia="zh-CN"/>
        </w:rPr>
        <w:t xml:space="preserve">    </w:t>
      </w:r>
      <w:r>
        <w:rPr>
          <w:rFonts w:hint="eastAsia" w:ascii="宋体" w:hAnsi="宋体" w:cs="宋体"/>
          <w:b/>
          <w:color w:val="auto"/>
          <w:w w:val="90"/>
          <w:sz w:val="52"/>
          <w:szCs w:val="52"/>
          <w:highlight w:val="none"/>
          <w:u w:val="none"/>
          <w:lang w:val="en-US" w:eastAsia="zh-CN"/>
        </w:rPr>
        <w:t>标段</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sz w:val="32"/>
          <w:szCs w:val="32"/>
          <w:highlight w:val="none"/>
        </w:rPr>
      </w:pP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投标文件</w:t>
      </w:r>
    </w:p>
    <w:p>
      <w:pPr>
        <w:pageBreakBefore w:val="0"/>
        <w:kinsoku/>
        <w:topLinePunct w:val="0"/>
        <w:bidi w:val="0"/>
        <w:snapToGrid/>
        <w:spacing w:line="360" w:lineRule="auto"/>
        <w:ind w:left="0" w:leftChars="0" w:right="0" w:rightChars="0" w:firstLine="3601" w:firstLineChars="1281"/>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sz w:val="72"/>
          <w:szCs w:val="72"/>
          <w:highlight w:val="none"/>
        </w:rPr>
      </w:pP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sz w:val="72"/>
          <w:szCs w:val="72"/>
          <w:highlight w:val="none"/>
        </w:rPr>
      </w:pPr>
    </w:p>
    <w:p>
      <w:pPr>
        <w:pageBreakBefore w:val="0"/>
        <w:kinsoku/>
        <w:topLinePunct w:val="0"/>
        <w:bidi w:val="0"/>
        <w:snapToGrid/>
        <w:spacing w:line="360" w:lineRule="auto"/>
        <w:ind w:left="0" w:leftChars="0" w:right="0" w:rightChars="0" w:firstLine="1200" w:firstLineChars="500"/>
        <w:rPr>
          <w:rFonts w:hint="eastAsia" w:ascii="宋体" w:hAnsi="宋体" w:eastAsia="宋体" w:cs="宋体"/>
          <w:color w:val="auto"/>
          <w:sz w:val="24"/>
          <w:szCs w:val="24"/>
          <w:highlight w:val="none"/>
          <w:lang w:eastAsia="zh-CN"/>
        </w:rPr>
      </w:pPr>
    </w:p>
    <w:p>
      <w:pPr>
        <w:pageBreakBefore w:val="0"/>
        <w:kinsoku/>
        <w:topLinePunct w:val="0"/>
        <w:bidi w:val="0"/>
        <w:snapToGrid/>
        <w:spacing w:line="360" w:lineRule="auto"/>
        <w:ind w:left="0" w:leftChars="0" w:right="0" w:rightChars="0" w:firstLine="1200" w:firstLineChars="500"/>
        <w:rPr>
          <w:rFonts w:hint="eastAsia" w:ascii="宋体" w:hAnsi="宋体" w:eastAsia="宋体" w:cs="宋体"/>
          <w:color w:val="auto"/>
          <w:sz w:val="24"/>
          <w:szCs w:val="24"/>
          <w:highlight w:val="none"/>
          <w:lang w:eastAsia="zh-CN"/>
        </w:rPr>
      </w:pPr>
    </w:p>
    <w:p>
      <w:pPr>
        <w:pageBreakBefore w:val="0"/>
        <w:kinsoku/>
        <w:topLinePunct w:val="0"/>
        <w:bidi w:val="0"/>
        <w:snapToGrid/>
        <w:spacing w:line="360" w:lineRule="auto"/>
        <w:ind w:left="0" w:leftChars="0" w:right="0" w:rightChars="0" w:firstLine="1200" w:firstLineChars="500"/>
        <w:rPr>
          <w:rFonts w:hint="eastAsia" w:ascii="宋体" w:hAnsi="宋体" w:eastAsia="宋体" w:cs="宋体"/>
          <w:color w:val="auto"/>
          <w:sz w:val="24"/>
          <w:szCs w:val="24"/>
          <w:highlight w:val="none"/>
          <w:lang w:eastAsia="zh-CN"/>
        </w:rPr>
      </w:pPr>
    </w:p>
    <w:p>
      <w:pPr>
        <w:pageBreakBefore w:val="0"/>
        <w:kinsoku/>
        <w:topLinePunct w:val="0"/>
        <w:bidi w:val="0"/>
        <w:snapToGrid/>
        <w:spacing w:line="360" w:lineRule="auto"/>
        <w:ind w:left="0" w:leftChars="0" w:right="0" w:rightChars="0" w:firstLine="1200" w:firstLineChars="500"/>
        <w:rPr>
          <w:rFonts w:hint="eastAsia" w:ascii="宋体" w:hAnsi="宋体" w:eastAsia="宋体" w:cs="宋体"/>
          <w:color w:val="auto"/>
          <w:sz w:val="24"/>
          <w:szCs w:val="24"/>
          <w:highlight w:val="none"/>
          <w:lang w:eastAsia="zh-CN"/>
        </w:rPr>
      </w:pPr>
    </w:p>
    <w:p>
      <w:pPr>
        <w:pageBreakBefore w:val="0"/>
        <w:kinsoku/>
        <w:topLinePunct w:val="0"/>
        <w:bidi w:val="0"/>
        <w:snapToGrid/>
        <w:spacing w:line="360" w:lineRule="auto"/>
        <w:ind w:left="0" w:leftChars="0" w:right="0" w:rightChars="0" w:firstLine="1200" w:firstLineChars="5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投标人名称</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pPr>
        <w:pageBreakBefore w:val="0"/>
        <w:kinsoku/>
        <w:topLinePunct w:val="0"/>
        <w:bidi w:val="0"/>
        <w:snapToGrid/>
        <w:spacing w:line="360" w:lineRule="auto"/>
        <w:ind w:left="0" w:leftChars="0" w:right="0" w:rightChars="0" w:firstLine="960" w:firstLineChars="40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eastAsia="zh-CN"/>
        </w:rPr>
        <w:t>法定代表人或其委托代理人（</w:t>
      </w:r>
      <w:r>
        <w:rPr>
          <w:rFonts w:hint="eastAsia" w:ascii="宋体" w:hAnsi="宋体" w:cs="宋体"/>
          <w:color w:val="auto"/>
          <w:sz w:val="24"/>
          <w:szCs w:val="24"/>
          <w:highlight w:val="none"/>
          <w:lang w:val="en-US" w:eastAsia="zh-CN"/>
        </w:rPr>
        <w:t>电子签名</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u w:val="single"/>
          <w:lang w:val="en-US" w:eastAsia="zh-CN"/>
        </w:rPr>
        <w:t xml:space="preserve">               </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9"/>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9"/>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9"/>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outlineLvl w:val="9"/>
        <w:rPr>
          <w:rFonts w:hint="eastAsia"/>
          <w:color w:val="auto"/>
          <w:highlight w:val="none"/>
          <w:lang w:val="en-US" w:eastAsia="zh-CN"/>
        </w:rPr>
      </w:pPr>
    </w:p>
    <w:p>
      <w:pPr>
        <w:pageBreakBefore w:val="0"/>
        <w:kinsoku/>
        <w:topLinePunct w:val="0"/>
        <w:bidi w:val="0"/>
        <w:snapToGrid/>
        <w:spacing w:line="360" w:lineRule="auto"/>
        <w:ind w:left="0" w:leftChars="0" w:right="0" w:rightChars="0"/>
        <w:outlineLvl w:val="9"/>
        <w:rPr>
          <w:rFonts w:hint="eastAsia"/>
          <w:color w:val="auto"/>
          <w:highlight w:val="none"/>
          <w:lang w:val="en-US" w:eastAsia="zh-CN"/>
        </w:rPr>
      </w:pPr>
    </w:p>
    <w:p>
      <w:pPr>
        <w:pStyle w:val="2"/>
        <w:rPr>
          <w:rFonts w:hint="eastAsia"/>
          <w:color w:val="auto"/>
          <w:sz w:val="32"/>
          <w:szCs w:val="32"/>
          <w:highlight w:val="none"/>
          <w:lang w:val="en-US" w:eastAsia="zh-CN"/>
        </w:rPr>
      </w:pPr>
    </w:p>
    <w:p>
      <w:pPr>
        <w:pStyle w:val="2"/>
        <w:rPr>
          <w:rFonts w:hint="eastAsia"/>
          <w:color w:val="auto"/>
          <w:sz w:val="32"/>
          <w:szCs w:val="32"/>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sz w:val="32"/>
          <w:szCs w:val="32"/>
          <w:highlight w:val="none"/>
          <w:lang w:val="en-US" w:eastAsia="zh-CN"/>
        </w:rPr>
      </w:pPr>
      <w:r>
        <w:rPr>
          <w:rFonts w:hint="eastAsia"/>
          <w:color w:val="auto"/>
          <w:sz w:val="32"/>
          <w:szCs w:val="32"/>
          <w:highlight w:val="none"/>
          <w:lang w:val="en-US" w:eastAsia="zh-CN"/>
        </w:rPr>
        <w:t>目  录</w:t>
      </w: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color w:val="auto"/>
          <w:highlight w:val="none"/>
          <w:lang w:val="en-US" w:eastAsia="zh-CN"/>
        </w:rPr>
      </w:pPr>
      <w:r>
        <w:rPr>
          <w:rFonts w:hint="eastAsia"/>
          <w:color w:val="auto"/>
          <w:highlight w:val="none"/>
          <w:lang w:val="en-US" w:eastAsia="zh-CN"/>
        </w:rPr>
        <w:t>投标人自拟格式。</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3"/>
        <w:pageBreakBefore w:val="0"/>
        <w:kinsoku/>
        <w:topLinePunct w:val="0"/>
        <w:bidi w:val="0"/>
        <w:snapToGrid/>
        <w:spacing w:before="0" w:after="0" w:line="360" w:lineRule="auto"/>
        <w:ind w:left="0" w:leftChars="0" w:right="0" w:rightChars="0"/>
        <w:rPr>
          <w:rFonts w:hint="eastAsia" w:ascii="宋体" w:hAnsi="宋体" w:eastAsia="宋体" w:cs="宋体"/>
          <w:b/>
          <w:bCs/>
          <w:color w:val="auto"/>
          <w:sz w:val="36"/>
          <w:szCs w:val="36"/>
          <w:highlight w:val="none"/>
        </w:rPr>
      </w:pPr>
      <w:bookmarkStart w:id="127" w:name="_Toc13739"/>
      <w:bookmarkStart w:id="128" w:name="_Toc21866"/>
      <w:bookmarkStart w:id="129" w:name="_Toc377"/>
      <w:bookmarkStart w:id="130" w:name="_Toc913"/>
      <w:bookmarkStart w:id="131" w:name="_Toc17351"/>
      <w:bookmarkStart w:id="132" w:name="_Toc10496"/>
      <w:bookmarkStart w:id="133" w:name="_Toc11591"/>
      <w:r>
        <w:rPr>
          <w:rFonts w:hint="eastAsia" w:eastAsia="宋体" w:cs="宋体"/>
          <w:b/>
          <w:bCs/>
          <w:color w:val="auto"/>
          <w:sz w:val="36"/>
          <w:szCs w:val="36"/>
          <w:highlight w:val="none"/>
          <w:lang w:eastAsia="zh-CN"/>
        </w:rPr>
        <w:t>一</w:t>
      </w:r>
      <w:r>
        <w:rPr>
          <w:rFonts w:hint="eastAsia" w:ascii="宋体" w:hAnsi="宋体" w:eastAsia="宋体" w:cs="宋体"/>
          <w:b/>
          <w:bCs/>
          <w:color w:val="auto"/>
          <w:sz w:val="36"/>
          <w:szCs w:val="36"/>
          <w:highlight w:val="none"/>
        </w:rPr>
        <w:t>、资格文件部分</w:t>
      </w:r>
      <w:bookmarkEnd w:id="127"/>
      <w:bookmarkEnd w:id="128"/>
      <w:bookmarkEnd w:id="129"/>
      <w:bookmarkEnd w:id="130"/>
      <w:bookmarkEnd w:id="131"/>
      <w:bookmarkEnd w:id="132"/>
      <w:bookmarkEnd w:id="133"/>
    </w:p>
    <w:p>
      <w:pPr>
        <w:pageBreakBefore w:val="0"/>
        <w:widowControl w:val="0"/>
        <w:kinsoku/>
        <w:overflowPunct/>
        <w:topLinePunct w:val="0"/>
        <w:autoSpaceDE/>
        <w:autoSpaceDN/>
        <w:bidi w:val="0"/>
        <w:adjustRightInd/>
        <w:snapToGrid/>
        <w:spacing w:line="360" w:lineRule="auto"/>
        <w:ind w:left="0" w:leftChars="0" w:right="0" w:rightChars="0" w:firstLine="480" w:firstLineChars="200"/>
        <w:textAlignment w:val="auto"/>
        <w:rPr>
          <w:rFonts w:hint="default"/>
          <w:color w:val="auto"/>
          <w:highlight w:val="none"/>
          <w:lang w:val="en-US" w:eastAsia="zh-CN"/>
        </w:rPr>
      </w:pPr>
      <w:r>
        <w:rPr>
          <w:rFonts w:hint="eastAsia"/>
          <w:color w:val="auto"/>
          <w:highlight w:val="none"/>
          <w:lang w:val="en-US" w:eastAsia="zh-CN"/>
        </w:rPr>
        <w:t>按照第一章 招标公告“二、投标人资格要求”中的顺序提供证明材料。提供的材料不能证明其符合投标人资格要求的，其投标文件无效，有关文件的提交如未特别注明需提供原件的，可提供复印件。</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kinsoku/>
        <w:topLinePunct w:val="0"/>
        <w:bidi w:val="0"/>
        <w:snapToGrid/>
        <w:spacing w:line="360" w:lineRule="auto"/>
        <w:ind w:left="0" w:leftChars="0" w:right="0" w:rightChars="0" w:firstLine="0" w:firstLineChars="0"/>
        <w:jc w:val="center"/>
        <w:outlineLvl w:val="9"/>
        <w:rPr>
          <w:rFonts w:hint="eastAsia" w:ascii="宋体" w:hAnsi="宋体" w:eastAsia="宋体" w:cs="宋体"/>
          <w:b/>
          <w:bCs/>
          <w:color w:val="auto"/>
          <w:sz w:val="32"/>
          <w:szCs w:val="32"/>
          <w:highlight w:val="none"/>
        </w:rPr>
      </w:pPr>
      <w:bookmarkStart w:id="134" w:name="_Toc26783957"/>
      <w:bookmarkStart w:id="135" w:name="_Toc31169"/>
      <w:bookmarkStart w:id="136" w:name="_Toc30801"/>
      <w:bookmarkStart w:id="137" w:name="_Toc26032"/>
      <w:bookmarkStart w:id="138" w:name="_Toc7645"/>
      <w:bookmarkStart w:id="139" w:name="_Toc30171"/>
      <w:bookmarkStart w:id="140" w:name="_Toc348010006"/>
      <w:bookmarkStart w:id="141" w:name="_Toc223860530"/>
      <w:bookmarkStart w:id="142" w:name="_Toc213141110"/>
      <w:bookmarkStart w:id="143" w:name="_Toc213141109"/>
      <w:bookmarkStart w:id="144" w:name="_Toc51288990"/>
      <w:r>
        <w:rPr>
          <w:rFonts w:hint="eastAsia" w:ascii="宋体" w:hAnsi="宋体" w:eastAsia="宋体" w:cs="宋体"/>
          <w:b/>
          <w:bCs/>
          <w:color w:val="auto"/>
          <w:sz w:val="30"/>
          <w:szCs w:val="30"/>
          <w:highlight w:val="none"/>
          <w:lang w:eastAsia="zh-CN"/>
        </w:rPr>
        <w:t>投标人</w:t>
      </w:r>
      <w:r>
        <w:rPr>
          <w:rFonts w:hint="eastAsia" w:ascii="宋体" w:hAnsi="宋体" w:eastAsia="宋体" w:cs="宋体"/>
          <w:b/>
          <w:bCs/>
          <w:color w:val="auto"/>
          <w:sz w:val="30"/>
          <w:szCs w:val="30"/>
          <w:highlight w:val="none"/>
        </w:rPr>
        <w:t>具备参加政府采购活动条件承诺书</w:t>
      </w:r>
      <w:bookmarkEnd w:id="134"/>
      <w:bookmarkEnd w:id="135"/>
      <w:bookmarkEnd w:id="136"/>
      <w:bookmarkEnd w:id="137"/>
      <w:bookmarkEnd w:id="138"/>
      <w:bookmarkEnd w:id="139"/>
      <w:bookmarkEnd w:id="140"/>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致：（采购人名称）：</w:t>
      </w:r>
    </w:p>
    <w:p>
      <w:pPr>
        <w:pageBreakBefore w:val="0"/>
        <w:kinsoku/>
        <w:topLinePunct w:val="0"/>
        <w:bidi w:val="0"/>
        <w:snapToGrid/>
        <w:spacing w:line="360" w:lineRule="auto"/>
        <w:ind w:right="0" w:rightChars="0"/>
        <w:rPr>
          <w:rFonts w:hint="eastAsia" w:ascii="宋体" w:hAnsi="宋体" w:eastAsia="宋体" w:cs="宋体"/>
          <w:color w:val="auto"/>
          <w:szCs w:val="24"/>
          <w:highlight w:val="none"/>
        </w:rPr>
      </w:pPr>
    </w:p>
    <w:p>
      <w:pPr>
        <w:pageBreakBefore w:val="0"/>
        <w:kinsoku/>
        <w:topLinePunct w:val="0"/>
        <w:bidi w:val="0"/>
        <w:snapToGrid/>
        <w:spacing w:line="360" w:lineRule="auto"/>
        <w:ind w:left="0" w:leftChars="0" w:right="0" w:rightChars="0" w:firstLine="840" w:firstLineChars="35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我方（公司）承诺</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（此处填写具有或不具有）</w:t>
      </w:r>
      <w:r>
        <w:rPr>
          <w:rFonts w:hint="eastAsia" w:ascii="宋体" w:hAnsi="宋体" w:eastAsia="宋体" w:cs="宋体"/>
          <w:color w:val="auto"/>
          <w:szCs w:val="24"/>
          <w:highlight w:val="none"/>
        </w:rPr>
        <w:t>独立承担民事责任的能力；</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（此处填写具有或不具有）</w:t>
      </w:r>
      <w:r>
        <w:rPr>
          <w:rFonts w:hint="eastAsia" w:ascii="宋体" w:hAnsi="宋体" w:eastAsia="宋体" w:cs="宋体"/>
          <w:color w:val="auto"/>
          <w:szCs w:val="24"/>
          <w:highlight w:val="none"/>
        </w:rPr>
        <w:t>良好的商业信誉和健全的财务会计制度；</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（此处填写具有或不具有）</w:t>
      </w:r>
      <w:r>
        <w:rPr>
          <w:rFonts w:hint="eastAsia" w:ascii="宋体" w:hAnsi="宋体" w:eastAsia="宋体" w:cs="宋体"/>
          <w:color w:val="auto"/>
          <w:szCs w:val="24"/>
          <w:highlight w:val="none"/>
        </w:rPr>
        <w:t>履行合同所必需的设备和专业技术能力；</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（此处填写有或没有）</w:t>
      </w:r>
      <w:r>
        <w:rPr>
          <w:rFonts w:hint="eastAsia" w:ascii="宋体" w:hAnsi="宋体" w:eastAsia="宋体" w:cs="宋体"/>
          <w:color w:val="auto"/>
          <w:szCs w:val="24"/>
          <w:highlight w:val="none"/>
        </w:rPr>
        <w:t>依法缴纳税收和社会保障资金的良好记录；参加政府采购活动前三年内，在经营活动中</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（此处填写有或没有）</w:t>
      </w:r>
      <w:r>
        <w:rPr>
          <w:rFonts w:hint="eastAsia" w:ascii="宋体" w:hAnsi="宋体" w:eastAsia="宋体" w:cs="宋体"/>
          <w:color w:val="auto"/>
          <w:szCs w:val="24"/>
          <w:highlight w:val="none"/>
        </w:rPr>
        <w:t>重大违法记录；</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b/>
          <w:bCs/>
          <w:color w:val="auto"/>
          <w:szCs w:val="24"/>
          <w:highlight w:val="none"/>
          <w:lang w:val="en-US" w:eastAsia="zh-CN"/>
        </w:rPr>
        <w:t>（此处填写有或没有）</w:t>
      </w:r>
      <w:r>
        <w:rPr>
          <w:rFonts w:hint="eastAsia" w:ascii="宋体" w:hAnsi="宋体" w:eastAsia="宋体" w:cs="宋体"/>
          <w:color w:val="auto"/>
          <w:szCs w:val="24"/>
          <w:highlight w:val="none"/>
        </w:rPr>
        <w:t>法律、行政法规规定的其他条件。</w:t>
      </w: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投标人名称</w:t>
      </w:r>
      <w:r>
        <w:rPr>
          <w:rFonts w:hint="eastAsia" w:ascii="宋体" w:hAnsi="宋体" w:eastAsia="宋体" w:cs="宋体"/>
          <w:b/>
          <w:bCs/>
          <w:color w:val="auto"/>
          <w:highlight w:val="none"/>
        </w:rPr>
        <w:t>(电子签章)：</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法定代表人或其委托代理人（</w:t>
      </w:r>
      <w:r>
        <w:rPr>
          <w:rFonts w:hint="eastAsia" w:ascii="宋体" w:hAnsi="宋体" w:eastAsia="宋体" w:cs="宋体"/>
          <w:b/>
          <w:bCs/>
          <w:color w:val="auto"/>
          <w:highlight w:val="none"/>
        </w:rPr>
        <w:t>电子</w:t>
      </w:r>
      <w:r>
        <w:rPr>
          <w:rFonts w:hint="eastAsia" w:ascii="宋体" w:hAnsi="宋体" w:cs="宋体"/>
          <w:b/>
          <w:bCs/>
          <w:color w:val="auto"/>
          <w:highlight w:val="none"/>
          <w:lang w:val="en-US" w:eastAsia="zh-CN"/>
        </w:rPr>
        <w:t>签名</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highlight w:val="none"/>
        </w:rPr>
        <w:t>日期：</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日</w:t>
      </w: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u w:val="single"/>
        </w:rPr>
      </w:pPr>
    </w:p>
    <w:p>
      <w:pPr>
        <w:pageBreakBefore w:val="0"/>
        <w:kinsoku/>
        <w:topLinePunct w:val="0"/>
        <w:bidi w:val="0"/>
        <w:snapToGrid/>
        <w:spacing w:line="360" w:lineRule="auto"/>
        <w:ind w:left="0" w:leftChars="0" w:right="0" w:righ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rPr>
        <w:t>注：</w:t>
      </w:r>
    </w:p>
    <w:p>
      <w:pPr>
        <w:pageBreakBefore w:val="0"/>
        <w:kinsoku/>
        <w:topLinePunct w:val="0"/>
        <w:bidi w:val="0"/>
        <w:snapToGrid/>
        <w:spacing w:line="360" w:lineRule="auto"/>
        <w:ind w:left="0" w:leftChars="0" w:right="0" w:rightChars="0"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1、</w:t>
      </w:r>
      <w:r>
        <w:rPr>
          <w:rFonts w:hint="eastAsia" w:ascii="宋体" w:hAnsi="宋体" w:eastAsia="宋体" w:cs="宋体"/>
          <w:b/>
          <w:color w:val="auto"/>
          <w:highlight w:val="none"/>
          <w:lang w:eastAsia="zh-CN"/>
        </w:rPr>
        <w:t>投标人</w:t>
      </w:r>
      <w:r>
        <w:rPr>
          <w:rFonts w:hint="eastAsia" w:ascii="宋体" w:hAnsi="宋体" w:eastAsia="宋体" w:cs="宋体"/>
          <w:b/>
          <w:color w:val="auto"/>
          <w:highlight w:val="none"/>
        </w:rPr>
        <w:t>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pPr>
        <w:pageBreakBefore w:val="0"/>
        <w:kinsoku/>
        <w:topLinePunct w:val="0"/>
        <w:bidi w:val="0"/>
        <w:snapToGrid/>
        <w:spacing w:line="360" w:lineRule="auto"/>
        <w:ind w:left="0" w:leftChars="0" w:right="0" w:rightChars="0" w:firstLine="422"/>
        <w:rPr>
          <w:rFonts w:hint="eastAsia" w:ascii="宋体" w:hAnsi="宋体" w:eastAsia="宋体" w:cs="宋体"/>
          <w:b/>
          <w:color w:val="auto"/>
          <w:highlight w:val="none"/>
          <w:lang w:eastAsia="zh-CN"/>
        </w:rPr>
      </w:pPr>
      <w:r>
        <w:rPr>
          <w:rFonts w:hint="eastAsia" w:ascii="宋体" w:hAnsi="宋体" w:eastAsia="宋体" w:cs="宋体"/>
          <w:b/>
          <w:color w:val="auto"/>
          <w:highlight w:val="none"/>
        </w:rPr>
        <w:t>2、若招标文件中明确要求提供证明资料的，以证明资料为准</w:t>
      </w:r>
      <w:bookmarkEnd w:id="141"/>
      <w:bookmarkEnd w:id="142"/>
      <w:r>
        <w:rPr>
          <w:rFonts w:hint="eastAsia" w:ascii="宋体" w:hAnsi="宋体" w:eastAsia="宋体" w:cs="宋体"/>
          <w:b/>
          <w:color w:val="auto"/>
          <w:highlight w:val="none"/>
          <w:lang w:eastAsia="zh-CN"/>
        </w:rPr>
        <w:t>；</w:t>
      </w:r>
    </w:p>
    <w:p>
      <w:pPr>
        <w:pageBreakBefore w:val="0"/>
        <w:kinsoku/>
        <w:topLinePunct w:val="0"/>
        <w:bidi w:val="0"/>
        <w:snapToGrid/>
        <w:spacing w:line="360" w:lineRule="auto"/>
        <w:ind w:left="0" w:leftChars="0" w:right="0" w:rightChars="0" w:firstLine="422"/>
        <w:jc w:val="left"/>
        <w:rPr>
          <w:rFonts w:hint="eastAsia" w:ascii="宋体" w:hAnsi="宋体" w:eastAsia="宋体" w:cs="宋体"/>
          <w:b/>
          <w:color w:val="auto"/>
          <w:highlight w:val="none"/>
          <w:lang w:eastAsia="zh-CN"/>
        </w:rPr>
      </w:pPr>
      <w:r>
        <w:rPr>
          <w:rFonts w:hint="eastAsia" w:ascii="宋体" w:hAnsi="宋体" w:eastAsia="宋体" w:cs="宋体"/>
          <w:b/>
          <w:color w:val="auto"/>
          <w:highlight w:val="none"/>
        </w:rPr>
        <w:t>3、重大违法记录，是指</w:t>
      </w:r>
      <w:r>
        <w:rPr>
          <w:rFonts w:hint="eastAsia" w:ascii="宋体" w:hAnsi="宋体" w:eastAsia="宋体" w:cs="宋体"/>
          <w:b/>
          <w:color w:val="auto"/>
          <w:highlight w:val="none"/>
          <w:lang w:eastAsia="zh-CN"/>
        </w:rPr>
        <w:t>投标人</w:t>
      </w:r>
      <w:r>
        <w:rPr>
          <w:rFonts w:hint="eastAsia" w:ascii="宋体" w:hAnsi="宋体" w:eastAsia="宋体" w:cs="宋体"/>
          <w:b/>
          <w:color w:val="auto"/>
          <w:highlight w:val="none"/>
        </w:rPr>
        <w:t>因违法经营受到刑事处罚或者责令停产停业、吊销许可证或者执照、较大数额罚款等行政处罚</w:t>
      </w:r>
      <w:bookmarkEnd w:id="143"/>
      <w:bookmarkEnd w:id="144"/>
      <w:r>
        <w:rPr>
          <w:rFonts w:hint="eastAsia" w:ascii="宋体" w:hAnsi="宋体" w:eastAsia="宋体" w:cs="宋体"/>
          <w:b/>
          <w:color w:val="auto"/>
          <w:highlight w:val="none"/>
          <w:lang w:eastAsia="zh-CN"/>
        </w:rPr>
        <w:t>；</w:t>
      </w:r>
    </w:p>
    <w:p>
      <w:pPr>
        <w:pStyle w:val="2"/>
        <w:rPr>
          <w:rFonts w:hint="eastAsia"/>
          <w:color w:val="auto"/>
          <w:highlight w:val="none"/>
          <w:lang w:eastAsia="zh-CN"/>
        </w:rPr>
      </w:pPr>
    </w:p>
    <w:p>
      <w:pPr>
        <w:pageBreakBefore w:val="0"/>
        <w:kinsoku/>
        <w:topLinePunct w:val="0"/>
        <w:bidi w:val="0"/>
        <w:snapToGrid/>
        <w:spacing w:line="360" w:lineRule="auto"/>
        <w:ind w:left="0" w:leftChars="0" w:right="0" w:righ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联合体协议书（如有）</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牵头人名称：</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color w:val="auto"/>
          <w:spacing w:val="35"/>
          <w:szCs w:val="21"/>
          <w:highlight w:val="none"/>
        </w:rPr>
        <w:t>法定住</w:t>
      </w:r>
      <w:r>
        <w:rPr>
          <w:rFonts w:hint="eastAsia" w:ascii="宋体" w:hAnsi="宋体" w:eastAsia="宋体" w:cs="宋体"/>
          <w:color w:val="auto"/>
          <w:szCs w:val="21"/>
          <w:highlight w:val="none"/>
        </w:rPr>
        <w:t>所：</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w:t>
      </w:r>
      <w:r>
        <w:rPr>
          <w:rFonts w:hint="eastAsia" w:ascii="宋体" w:hAnsi="宋体" w:eastAsia="宋体" w:cs="宋体"/>
          <w:color w:val="auto"/>
          <w:szCs w:val="21"/>
          <w:highlight w:val="none"/>
          <w:lang w:eastAsia="zh-CN"/>
        </w:rPr>
        <w:t>一</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rPr>
      </w:pPr>
      <w:r>
        <w:rPr>
          <w:rFonts w:hint="eastAsia" w:ascii="宋体" w:hAnsi="宋体" w:eastAsia="宋体" w:cs="宋体"/>
          <w:color w:val="auto"/>
          <w:spacing w:val="35"/>
          <w:szCs w:val="21"/>
          <w:highlight w:val="none"/>
        </w:rPr>
        <w:t>法定住</w:t>
      </w:r>
      <w:r>
        <w:rPr>
          <w:rFonts w:hint="eastAsia" w:ascii="宋体" w:hAnsi="宋体" w:eastAsia="宋体" w:cs="宋体"/>
          <w:color w:val="auto"/>
          <w:szCs w:val="21"/>
          <w:highlight w:val="none"/>
        </w:rPr>
        <w:t>所：</w:t>
      </w:r>
      <w:r>
        <w:rPr>
          <w:rFonts w:hint="eastAsia" w:ascii="宋体" w:hAnsi="宋体" w:eastAsia="宋体" w:cs="宋体"/>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firstLine="48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pageBreakBefore w:val="0"/>
        <w:kinsoku/>
        <w:topLinePunct w:val="0"/>
        <w:bidi w:val="0"/>
        <w:snapToGrid/>
        <w:spacing w:line="360" w:lineRule="auto"/>
        <w:ind w:left="0" w:leftChars="0" w:right="0" w:rightChars="0" w:firstLine="410"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鉴于上述各成员单位经过友好协商，自愿组成（联合体名称）联合体，共同参加</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采购人</w:t>
      </w:r>
      <w:r>
        <w:rPr>
          <w:rFonts w:hint="eastAsia" w:ascii="宋体" w:hAnsi="宋体" w:eastAsia="宋体" w:cs="宋体"/>
          <w:color w:val="auto"/>
          <w:szCs w:val="21"/>
          <w:highlight w:val="none"/>
          <w:u w:val="single"/>
        </w:rPr>
        <w:t>名称）</w:t>
      </w:r>
      <w:r>
        <w:rPr>
          <w:rFonts w:hint="eastAsia" w:ascii="宋体" w:hAnsi="宋体" w:eastAsia="宋体" w:cs="宋体"/>
          <w:color w:val="auto"/>
          <w:szCs w:val="21"/>
          <w:highlight w:val="none"/>
        </w:rPr>
        <w:t>（以下简称</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（项目名称）</w:t>
      </w:r>
      <w:r>
        <w:rPr>
          <w:rFonts w:hint="eastAsia" w:ascii="宋体" w:hAnsi="宋体" w:eastAsia="宋体" w:cs="宋体"/>
          <w:color w:val="auto"/>
          <w:szCs w:val="21"/>
          <w:highlight w:val="none"/>
        </w:rPr>
        <w:t>（以下简称合同）。现就联合体投标事宜订立如下协议：</w:t>
      </w:r>
    </w:p>
    <w:p>
      <w:pPr>
        <w:pageBreakBefore w:val="0"/>
        <w:numPr>
          <w:ilvl w:val="0"/>
          <w:numId w:val="1"/>
        </w:numPr>
        <w:kinsoku/>
        <w:topLinePunct w:val="0"/>
        <w:bidi w:val="0"/>
        <w:snapToGrid/>
        <w:spacing w:line="360" w:lineRule="auto"/>
        <w:ind w:left="0" w:leftChars="0" w:right="0" w:rightChars="0" w:firstLine="410"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（某成员单位名称）为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（联合体名称）牵头人。</w:t>
      </w:r>
    </w:p>
    <w:p>
      <w:pPr>
        <w:pageBreakBefore w:val="0"/>
        <w:kinsoku/>
        <w:topLinePunct w:val="0"/>
        <w:bidi w:val="0"/>
        <w:snapToGrid/>
        <w:spacing w:line="360" w:lineRule="auto"/>
        <w:ind w:left="0" w:leftChars="0" w:right="0" w:rightChars="0" w:firstLine="410"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2、在本项目投标阶段，联合体牵头人合法代表联合体各成员负责本项目</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编制、盖章、签字活动，代表联合体提交和接收相关的资料、信息及指示，并处理与投标和中标有关的一切事务；联合体中标后，联合体牵头人负责合同订立和合同实施阶段的主办、组织和协调工作。</w:t>
      </w:r>
    </w:p>
    <w:p>
      <w:pPr>
        <w:pageBreakBefore w:val="0"/>
        <w:kinsoku/>
        <w:topLinePunct w:val="0"/>
        <w:bidi w:val="0"/>
        <w:snapToGrid/>
        <w:spacing w:line="360" w:lineRule="auto"/>
        <w:ind w:left="0" w:leftChars="0" w:right="0" w:rightChars="0" w:firstLine="410" w:firstLineChars="171"/>
        <w:rPr>
          <w:rFonts w:hint="eastAsia" w:ascii="宋体" w:hAnsi="宋体" w:eastAsia="宋体" w:cs="宋体"/>
          <w:color w:val="auto"/>
          <w:szCs w:val="21"/>
          <w:highlight w:val="none"/>
        </w:rPr>
      </w:pPr>
      <w:r>
        <w:rPr>
          <w:rFonts w:hint="eastAsia" w:ascii="宋体" w:hAnsi="宋体" w:eastAsia="宋体" w:cs="宋体"/>
          <w:color w:val="auto"/>
          <w:szCs w:val="21"/>
          <w:highlight w:val="none"/>
        </w:rPr>
        <w:t>3、联合体将严格按照</w:t>
      </w:r>
      <w:r>
        <w:rPr>
          <w:rFonts w:hint="eastAsia" w:ascii="宋体" w:hAnsi="宋体" w:eastAsia="宋体" w:cs="宋体"/>
          <w:color w:val="auto"/>
          <w:szCs w:val="21"/>
          <w:highlight w:val="none"/>
          <w:lang w:eastAsia="zh-CN"/>
        </w:rPr>
        <w:t>招标文件</w:t>
      </w:r>
      <w:r>
        <w:rPr>
          <w:rFonts w:hint="eastAsia" w:ascii="宋体" w:hAnsi="宋体" w:eastAsia="宋体" w:cs="宋体"/>
          <w:color w:val="auto"/>
          <w:szCs w:val="21"/>
          <w:highlight w:val="none"/>
        </w:rPr>
        <w:t>的各项要求，递交</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，履行投标义务和中标后的合同，共同承担合同规定的一切义务和责任，联合体各成员单位按照内部职责的划分，承担各自所负的责任和风险，并向</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承担连带责任。</w:t>
      </w:r>
    </w:p>
    <w:p>
      <w:pPr>
        <w:pageBreakBefore w:val="0"/>
        <w:kinsoku/>
        <w:topLinePunct w:val="0"/>
        <w:bidi w:val="0"/>
        <w:snapToGrid/>
        <w:spacing w:line="360" w:lineRule="auto"/>
        <w:ind w:left="0" w:leftChars="0" w:right="0" w:rightChars="0" w:firstLine="410" w:firstLineChars="171"/>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4、联合体各成员单位内部的职责分工如下：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按照本条上述分工，联合体成员单位各自所承担的合同工作量比例如下：</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pPr>
        <w:pageBreakBefore w:val="0"/>
        <w:kinsoku/>
        <w:topLinePunct w:val="0"/>
        <w:bidi w:val="0"/>
        <w:snapToGrid/>
        <w:spacing w:line="360" w:lineRule="auto"/>
        <w:ind w:left="0" w:leftChars="0" w:right="0" w:rightChars="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5、其他约定内容：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pPr>
        <w:pageBreakBefore w:val="0"/>
        <w:kinsoku/>
        <w:topLinePunct w:val="0"/>
        <w:bidi w:val="0"/>
        <w:snapToGrid/>
        <w:spacing w:line="360" w:lineRule="auto"/>
        <w:ind w:left="0" w:leftChars="0" w:right="0" w:rightChars="0" w:firstLine="384" w:firstLineChars="16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6、投标工作以及联合体在中标后工作实施过程中的有关费用按各自承担的工作量分摊。</w:t>
      </w:r>
    </w:p>
    <w:p>
      <w:pPr>
        <w:pageBreakBefore w:val="0"/>
        <w:kinsoku/>
        <w:topLinePunct w:val="0"/>
        <w:bidi w:val="0"/>
        <w:snapToGrid/>
        <w:spacing w:line="360" w:lineRule="auto"/>
        <w:ind w:left="0" w:leftChars="0" w:right="0" w:rightChars="0" w:firstLine="384" w:firstLineChars="16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7、联合体中标后，本联合体协议是合同的附件，对联合体各成员单位有合同约束力。</w:t>
      </w:r>
    </w:p>
    <w:p>
      <w:pPr>
        <w:pageBreakBefore w:val="0"/>
        <w:kinsoku/>
        <w:topLinePunct w:val="0"/>
        <w:bidi w:val="0"/>
        <w:snapToGrid/>
        <w:spacing w:line="360" w:lineRule="auto"/>
        <w:ind w:left="0" w:leftChars="0" w:right="0" w:rightChars="0" w:firstLine="384" w:firstLineChars="16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8、本协议书自签署之日起生效，联合体未中标或者中标时合同履行完毕后自动失效。</w:t>
      </w:r>
    </w:p>
    <w:p>
      <w:pPr>
        <w:pageBreakBefore w:val="0"/>
        <w:kinsoku/>
        <w:topLinePunct w:val="0"/>
        <w:bidi w:val="0"/>
        <w:snapToGrid/>
        <w:spacing w:line="360" w:lineRule="auto"/>
        <w:ind w:left="0" w:leftChars="0" w:right="0" w:rightChars="0" w:firstLine="384" w:firstLineChars="16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9、本协议书一式</w:t>
      </w:r>
      <w:r>
        <w:rPr>
          <w:rFonts w:hint="eastAsia" w:ascii="宋体" w:hAnsi="宋体" w:eastAsia="宋体" w:cs="宋体"/>
          <w:color w:val="auto"/>
          <w:szCs w:val="21"/>
          <w:highlight w:val="none"/>
          <w:lang w:eastAsia="zh-CN"/>
        </w:rPr>
        <w:t>两</w:t>
      </w:r>
      <w:r>
        <w:rPr>
          <w:rFonts w:hint="eastAsia" w:ascii="宋体" w:hAnsi="宋体" w:eastAsia="宋体" w:cs="宋体"/>
          <w:color w:val="auto"/>
          <w:szCs w:val="21"/>
          <w:highlight w:val="none"/>
        </w:rPr>
        <w:t>份，联合体成员和</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各执一份。</w:t>
      </w:r>
    </w:p>
    <w:p>
      <w:pPr>
        <w:pageBreakBefore w:val="0"/>
        <w:kinsoku/>
        <w:topLinePunct w:val="0"/>
        <w:bidi w:val="0"/>
        <w:snapToGrid/>
        <w:spacing w:line="360" w:lineRule="auto"/>
        <w:ind w:left="0" w:leftChars="0" w:right="0" w:rightChars="0" w:firstLine="3768" w:firstLineChars="1564"/>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牵头人名称</w:t>
      </w:r>
      <w:r>
        <w:rPr>
          <w:rFonts w:hint="eastAsia" w:ascii="宋体" w:hAnsi="宋体" w:eastAsia="宋体" w:cs="宋体"/>
          <w:b/>
          <w:bCs/>
          <w:color w:val="auto"/>
          <w:szCs w:val="21"/>
          <w:highlight w:val="none"/>
          <w:lang w:eastAsia="zh-CN"/>
        </w:rPr>
        <w:t>（全称、盖单位公章）</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firstLine="4245" w:firstLineChars="1762"/>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法定代表人</w:t>
      </w:r>
      <w:r>
        <w:rPr>
          <w:rFonts w:hint="eastAsia" w:ascii="宋体" w:hAnsi="宋体" w:eastAsia="宋体" w:cs="宋体"/>
          <w:b/>
          <w:bCs/>
          <w:color w:val="auto"/>
          <w:szCs w:val="21"/>
          <w:highlight w:val="none"/>
          <w:lang w:eastAsia="zh-CN"/>
        </w:rPr>
        <w:t>（签字或盖章）</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firstLine="3768" w:firstLineChars="1564"/>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成员</w:t>
      </w:r>
      <w:r>
        <w:rPr>
          <w:rFonts w:hint="eastAsia" w:ascii="宋体" w:hAnsi="宋体" w:eastAsia="宋体" w:cs="宋体"/>
          <w:b/>
          <w:bCs/>
          <w:color w:val="auto"/>
          <w:szCs w:val="21"/>
          <w:highlight w:val="none"/>
          <w:lang w:eastAsia="zh-CN"/>
        </w:rPr>
        <w:t>一</w:t>
      </w:r>
      <w:r>
        <w:rPr>
          <w:rFonts w:hint="eastAsia" w:ascii="宋体" w:hAnsi="宋体" w:eastAsia="宋体" w:cs="宋体"/>
          <w:b/>
          <w:bCs/>
          <w:color w:val="auto"/>
          <w:szCs w:val="21"/>
          <w:highlight w:val="none"/>
        </w:rPr>
        <w:t>名称</w:t>
      </w:r>
      <w:r>
        <w:rPr>
          <w:rFonts w:hint="eastAsia" w:ascii="宋体" w:hAnsi="宋体" w:eastAsia="宋体" w:cs="宋体"/>
          <w:b/>
          <w:bCs/>
          <w:color w:val="auto"/>
          <w:szCs w:val="21"/>
          <w:highlight w:val="none"/>
          <w:lang w:eastAsia="zh-CN"/>
        </w:rPr>
        <w:t>（全称、盖单位公章）</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lang w:val="en-US" w:eastAsia="zh-CN"/>
        </w:rPr>
        <w:t xml:space="preserve">                    </w:t>
      </w:r>
    </w:p>
    <w:p>
      <w:pPr>
        <w:pageBreakBefore w:val="0"/>
        <w:kinsoku/>
        <w:topLinePunct w:val="0"/>
        <w:bidi w:val="0"/>
        <w:snapToGrid/>
        <w:spacing w:line="360" w:lineRule="auto"/>
        <w:ind w:left="0" w:leftChars="0" w:right="0" w:rightChars="0" w:firstLine="4245" w:firstLineChars="1762"/>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法定代表人</w:t>
      </w:r>
      <w:r>
        <w:rPr>
          <w:rFonts w:hint="eastAsia" w:ascii="宋体" w:hAnsi="宋体" w:eastAsia="宋体" w:cs="宋体"/>
          <w:b/>
          <w:bCs/>
          <w:color w:val="auto"/>
          <w:szCs w:val="21"/>
          <w:highlight w:val="none"/>
          <w:lang w:eastAsia="zh-CN"/>
        </w:rPr>
        <w:t>（签字或盖章）</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u w:val="single"/>
          <w:lang w:val="en-US" w:eastAsia="zh-CN"/>
        </w:rPr>
        <w:t xml:space="preserve">                      </w:t>
      </w:r>
    </w:p>
    <w:p>
      <w:pPr>
        <w:pageBreakBefore w:val="0"/>
        <w:kinsoku/>
        <w:wordWrap w:val="0"/>
        <w:topLinePunct w:val="0"/>
        <w:bidi w:val="0"/>
        <w:snapToGrid/>
        <w:spacing w:line="360" w:lineRule="auto"/>
        <w:ind w:left="0" w:leftChars="0" w:right="0" w:rightChars="0"/>
        <w:jc w:val="righ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rPr>
        <w:t>年</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rPr>
        <w:t>月</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rPr>
        <w:t>日</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r>
        <w:rPr>
          <w:rFonts w:hint="eastAsia" w:ascii="宋体" w:hAnsi="宋体" w:eastAsia="宋体" w:cs="宋体"/>
          <w:b/>
          <w:bCs/>
          <w:color w:val="auto"/>
          <w:sz w:val="18"/>
          <w:szCs w:val="13"/>
          <w:highlight w:val="none"/>
        </w:rPr>
        <w:t>注：以联合体形式投标的，联合体牵头人</w:t>
      </w:r>
      <w:r>
        <w:rPr>
          <w:rFonts w:hint="eastAsia" w:ascii="宋体" w:hAnsi="宋体" w:eastAsia="宋体" w:cs="宋体"/>
          <w:b/>
          <w:bCs/>
          <w:color w:val="auto"/>
          <w:sz w:val="18"/>
          <w:szCs w:val="13"/>
          <w:highlight w:val="none"/>
          <w:lang w:eastAsia="zh-CN"/>
        </w:rPr>
        <w:t>及</w:t>
      </w:r>
      <w:r>
        <w:rPr>
          <w:rFonts w:hint="eastAsia" w:ascii="宋体" w:hAnsi="宋体" w:eastAsia="宋体" w:cs="宋体"/>
          <w:b/>
          <w:bCs/>
          <w:color w:val="auto"/>
          <w:sz w:val="18"/>
          <w:szCs w:val="13"/>
          <w:highlight w:val="none"/>
        </w:rPr>
        <w:t>成员单位应签署联合体协议书。</w:t>
      </w:r>
      <w:r>
        <w:rPr>
          <w:rFonts w:hint="eastAsia" w:ascii="宋体" w:hAnsi="宋体" w:eastAsia="宋体" w:cs="宋体"/>
          <w:b/>
          <w:bCs/>
          <w:color w:val="auto"/>
          <w:sz w:val="18"/>
          <w:szCs w:val="13"/>
          <w:highlight w:val="none"/>
          <w:lang w:val="en-US" w:eastAsia="zh-CN"/>
        </w:rPr>
        <w:t>若</w:t>
      </w:r>
      <w:r>
        <w:rPr>
          <w:rFonts w:hint="eastAsia" w:ascii="宋体" w:hAnsi="宋体" w:eastAsia="宋体" w:cs="宋体"/>
          <w:b/>
          <w:bCs/>
          <w:color w:val="auto"/>
          <w:sz w:val="18"/>
          <w:szCs w:val="13"/>
          <w:highlight w:val="none"/>
          <w:lang w:eastAsia="zh-CN"/>
        </w:rPr>
        <w:t>联合体由</w:t>
      </w:r>
      <w:r>
        <w:rPr>
          <w:rFonts w:hint="eastAsia" w:ascii="宋体" w:hAnsi="宋体" w:eastAsia="宋体" w:cs="宋体"/>
          <w:b/>
          <w:bCs/>
          <w:color w:val="auto"/>
          <w:sz w:val="18"/>
          <w:szCs w:val="13"/>
          <w:highlight w:val="none"/>
          <w:lang w:val="en-US" w:eastAsia="zh-CN"/>
        </w:rPr>
        <w:t>大中型企业与小微企业组成的，联合体协议书中须约定小微企业的合同份额占到合同总金额的比例，否则不得享受相关中小企业扶持政策。联合体协议书可由投标人打印出来后签字加盖公章扫描上传</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
        <w:rPr>
          <w:rFonts w:hint="eastAsia"/>
          <w:color w:val="auto"/>
          <w:highlight w:val="none"/>
          <w:lang w:val="en-US" w:eastAsia="zh-CN"/>
        </w:rPr>
      </w:pPr>
    </w:p>
    <w:p>
      <w:pPr>
        <w:rPr>
          <w:rFonts w:hint="eastAsia"/>
          <w:color w:val="auto"/>
          <w:highlight w:val="none"/>
          <w:lang w:val="en-US" w:eastAsia="zh-CN"/>
        </w:rPr>
      </w:pPr>
    </w:p>
    <w:p>
      <w:pPr>
        <w:pStyle w:val="23"/>
        <w:pageBreakBefore w:val="0"/>
        <w:kinsoku/>
        <w:topLinePunct w:val="0"/>
        <w:bidi w:val="0"/>
        <w:snapToGrid/>
        <w:spacing w:before="0" w:after="0" w:line="360" w:lineRule="auto"/>
        <w:ind w:left="0" w:leftChars="0" w:right="0" w:rightChars="0"/>
        <w:rPr>
          <w:rFonts w:hint="eastAsia" w:ascii="宋体" w:hAnsi="宋体" w:eastAsia="宋体" w:cs="宋体"/>
          <w:b/>
          <w:bCs/>
          <w:color w:val="auto"/>
          <w:sz w:val="36"/>
          <w:szCs w:val="36"/>
          <w:highlight w:val="none"/>
          <w:lang w:eastAsia="zh-CN"/>
        </w:rPr>
      </w:pPr>
      <w:bookmarkStart w:id="145" w:name="_Toc29968"/>
      <w:bookmarkStart w:id="146" w:name="_Toc25210"/>
      <w:bookmarkStart w:id="147" w:name="_Toc18287416"/>
      <w:bookmarkStart w:id="148" w:name="_Toc489145750"/>
      <w:bookmarkStart w:id="149" w:name="_Toc481694844"/>
      <w:bookmarkStart w:id="150" w:name="_Toc489197854"/>
      <w:bookmarkStart w:id="151" w:name="_Toc14603905"/>
      <w:bookmarkStart w:id="152" w:name="_Toc284"/>
      <w:bookmarkStart w:id="153" w:name="_Toc488633615"/>
      <w:bookmarkStart w:id="154" w:name="_Toc19074"/>
      <w:bookmarkStart w:id="155" w:name="_Toc213141093"/>
      <w:bookmarkStart w:id="156" w:name="_Toc24306"/>
      <w:bookmarkStart w:id="157" w:name="_Toc25861"/>
      <w:bookmarkStart w:id="158" w:name="_Toc4049"/>
      <w:bookmarkStart w:id="159" w:name="_Toc36116086"/>
      <w:bookmarkStart w:id="160" w:name="_Toc31181"/>
      <w:bookmarkStart w:id="161" w:name="_Toc27429"/>
      <w:bookmarkStart w:id="162" w:name="_Toc13559"/>
      <w:bookmarkStart w:id="163" w:name="_Toc20320"/>
      <w:bookmarkStart w:id="164" w:name="_Toc32607"/>
      <w:bookmarkStart w:id="165" w:name="_Toc4044"/>
      <w:r>
        <w:rPr>
          <w:rFonts w:hint="eastAsia" w:ascii="宋体" w:hAnsi="宋体" w:eastAsia="宋体" w:cs="宋体"/>
          <w:b/>
          <w:bCs/>
          <w:color w:val="auto"/>
          <w:sz w:val="36"/>
          <w:szCs w:val="36"/>
          <w:highlight w:val="none"/>
          <w:lang w:eastAsia="zh-CN"/>
        </w:rPr>
        <w:t>二</w:t>
      </w:r>
      <w:r>
        <w:rPr>
          <w:rFonts w:hint="eastAsia" w:ascii="宋体" w:hAnsi="宋体" w:eastAsia="宋体" w:cs="宋体"/>
          <w:b/>
          <w:bCs/>
          <w:color w:val="auto"/>
          <w:sz w:val="36"/>
          <w:szCs w:val="36"/>
          <w:highlight w:val="none"/>
        </w:rPr>
        <w:t>、</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ascii="宋体" w:hAnsi="宋体" w:eastAsia="宋体" w:cs="宋体"/>
          <w:b/>
          <w:bCs/>
          <w:color w:val="auto"/>
          <w:sz w:val="36"/>
          <w:szCs w:val="36"/>
          <w:highlight w:val="none"/>
          <w:lang w:eastAsia="zh-CN"/>
        </w:rPr>
        <w:t>报价文件部分</w:t>
      </w:r>
      <w:bookmarkEnd w:id="163"/>
      <w:bookmarkEnd w:id="164"/>
    </w:p>
    <w:p>
      <w:pPr>
        <w:pStyle w:val="23"/>
        <w:pageBreakBefore w:val="0"/>
        <w:kinsoku/>
        <w:topLinePunct w:val="0"/>
        <w:bidi w:val="0"/>
        <w:snapToGrid/>
        <w:spacing w:before="0" w:after="0" w:line="360" w:lineRule="auto"/>
        <w:ind w:left="0" w:leftChars="0" w:right="0" w:rightChars="0"/>
        <w:outlineLvl w:val="9"/>
        <w:rPr>
          <w:rFonts w:hint="eastAsia" w:ascii="宋体" w:hAnsi="宋体" w:eastAsia="宋体" w:cs="宋体"/>
          <w:b/>
          <w:bCs/>
          <w:color w:val="auto"/>
          <w:sz w:val="36"/>
          <w:szCs w:val="36"/>
          <w:highlight w:val="none"/>
          <w:lang w:eastAsia="zh-CN"/>
        </w:rPr>
      </w:pPr>
      <w:bookmarkStart w:id="166" w:name="_Toc11259"/>
      <w:r>
        <w:rPr>
          <w:rFonts w:hint="eastAsia" w:ascii="宋体" w:hAnsi="宋体" w:eastAsia="宋体" w:cs="宋体"/>
          <w:b/>
          <w:bCs/>
          <w:color w:val="auto"/>
          <w:sz w:val="36"/>
          <w:szCs w:val="36"/>
          <w:highlight w:val="none"/>
        </w:rPr>
        <w:t>开标一览表</w:t>
      </w:r>
      <w:bookmarkEnd w:id="165"/>
      <w:bookmarkEnd w:id="166"/>
    </w:p>
    <w:p>
      <w:pPr>
        <w:pageBreakBefore w:val="0"/>
        <w:kinsoku/>
        <w:topLinePunct w:val="0"/>
        <w:bidi w:val="0"/>
        <w:snapToGrid/>
        <w:spacing w:line="360" w:lineRule="auto"/>
        <w:ind w:left="0" w:leftChars="0" w:right="0" w:rightChars="0" w:firstLine="0" w:firstLineChars="0"/>
        <w:rPr>
          <w:rFonts w:hint="eastAsia" w:ascii="宋体" w:hAnsi="宋体" w:eastAsia="宋体" w:cs="宋体"/>
          <w:b/>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项目名称：                                            </w:t>
      </w: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u w:val="single"/>
        </w:rPr>
      </w:pPr>
      <w:r>
        <w:rPr>
          <w:rFonts w:hint="eastAsia" w:ascii="宋体" w:hAnsi="宋体" w:eastAsia="宋体" w:cs="宋体"/>
          <w:b/>
          <w:color w:val="auto"/>
          <w:highlight w:val="none"/>
          <w:lang w:eastAsia="zh-CN"/>
        </w:rPr>
        <w:t>项目编号</w:t>
      </w:r>
      <w:r>
        <w:rPr>
          <w:rFonts w:hint="eastAsia" w:ascii="宋体" w:hAnsi="宋体" w:eastAsia="宋体" w:cs="宋体"/>
          <w:b/>
          <w:color w:val="auto"/>
          <w:highlight w:val="none"/>
        </w:rPr>
        <w:t>：</w:t>
      </w:r>
    </w:p>
    <w:tbl>
      <w:tblPr>
        <w:tblStyle w:val="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369"/>
        <w:gridCol w:w="4205"/>
        <w:gridCol w:w="166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7" w:hRule="atLeast"/>
        </w:trPr>
        <w:tc>
          <w:tcPr>
            <w:tcW w:w="3369"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highlight w:val="none"/>
                <w:lang w:eastAsia="zh-CN"/>
              </w:rPr>
            </w:pPr>
            <w:r>
              <w:rPr>
                <w:rFonts w:hint="eastAsia" w:ascii="宋体" w:hAnsi="宋体" w:eastAsia="宋体" w:cs="宋体"/>
                <w:b/>
                <w:bCs/>
                <w:color w:val="auto"/>
                <w:kern w:val="0"/>
                <w:szCs w:val="21"/>
                <w:highlight w:val="none"/>
              </w:rPr>
              <w:t>报价</w:t>
            </w:r>
            <w:r>
              <w:rPr>
                <w:rFonts w:hint="eastAsia" w:ascii="宋体" w:hAnsi="宋体" w:eastAsia="宋体" w:cs="宋体"/>
                <w:b/>
                <w:bCs/>
                <w:color w:val="auto"/>
                <w:kern w:val="0"/>
                <w:szCs w:val="21"/>
                <w:highlight w:val="none"/>
                <w:lang w:eastAsia="zh-CN"/>
              </w:rPr>
              <w:t>内容</w:t>
            </w:r>
          </w:p>
        </w:tc>
        <w:tc>
          <w:tcPr>
            <w:tcW w:w="4205"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投标报价</w:t>
            </w:r>
          </w:p>
        </w:tc>
        <w:tc>
          <w:tcPr>
            <w:tcW w:w="1669"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369" w:type="dxa"/>
            <w:vAlign w:val="center"/>
          </w:tcPr>
          <w:p>
            <w:pPr>
              <w:pageBreakBefore w:val="0"/>
              <w:widowControl/>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投标报价</w:t>
            </w:r>
          </w:p>
        </w:tc>
        <w:tc>
          <w:tcPr>
            <w:tcW w:w="4205" w:type="dxa"/>
            <w:vAlign w:val="center"/>
          </w:tcPr>
          <w:p>
            <w:pPr>
              <w:pageBreakBefore w:val="0"/>
              <w:kinsoku/>
              <w:topLinePunct w:val="0"/>
              <w:bidi w:val="0"/>
              <w:snapToGrid/>
              <w:spacing w:line="360" w:lineRule="auto"/>
              <w:ind w:left="0" w:leftChars="0" w:right="0" w:rightChars="0" w:firstLine="0" w:firstLineChars="0"/>
              <w:jc w:val="center"/>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none"/>
                <w:lang w:eastAsia="zh-CN"/>
              </w:rPr>
              <w:t>下浮</w:t>
            </w:r>
            <w:r>
              <w:rPr>
                <w:rFonts w:hint="eastAsia" w:ascii="宋体" w:hAnsi="宋体" w:cs="宋体"/>
                <w:color w:val="auto"/>
                <w:sz w:val="24"/>
                <w:szCs w:val="24"/>
                <w:highlight w:val="none"/>
                <w:u w:val="none"/>
                <w:lang w:val="en-US" w:eastAsia="zh-CN"/>
              </w:rPr>
              <w:t xml:space="preserve">   %</w:t>
            </w:r>
          </w:p>
        </w:tc>
        <w:tc>
          <w:tcPr>
            <w:tcW w:w="1669"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保留小数点后两位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369" w:type="dxa"/>
            <w:vAlign w:val="center"/>
          </w:tcPr>
          <w:p>
            <w:pPr>
              <w:pageBreakBefore w:val="0"/>
              <w:widowControl/>
              <w:kinsoku/>
              <w:topLinePunct w:val="0"/>
              <w:bidi w:val="0"/>
              <w:snapToGrid/>
              <w:spacing w:line="360" w:lineRule="auto"/>
              <w:ind w:left="0" w:leftChars="0" w:right="0" w:rightChars="0" w:firstLine="0" w:firstLineChars="0"/>
              <w:jc w:val="center"/>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合同履行期限</w:t>
            </w:r>
          </w:p>
        </w:tc>
        <w:tc>
          <w:tcPr>
            <w:tcW w:w="5874" w:type="dxa"/>
            <w:gridSpan w:val="2"/>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3369" w:type="dxa"/>
            <w:vAlign w:val="center"/>
          </w:tcPr>
          <w:p>
            <w:pPr>
              <w:pageBreakBefore w:val="0"/>
              <w:widowControl/>
              <w:kinsoku/>
              <w:topLinePunct w:val="0"/>
              <w:bidi w:val="0"/>
              <w:snapToGrid/>
              <w:spacing w:line="360" w:lineRule="auto"/>
              <w:ind w:left="0" w:leftChars="0" w:right="0" w:rightChars="0" w:firstLine="0" w:firstLineChars="0"/>
              <w:jc w:val="center"/>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rPr>
              <w:t>投标保证金金额及形式</w:t>
            </w:r>
          </w:p>
        </w:tc>
        <w:tc>
          <w:tcPr>
            <w:tcW w:w="5874" w:type="dxa"/>
            <w:gridSpan w:val="2"/>
            <w:vAlign w:val="center"/>
          </w:tcPr>
          <w:p>
            <w:pPr>
              <w:pageBreakBefore w:val="0"/>
              <w:kinsoku/>
              <w:topLinePunct w:val="0"/>
              <w:bidi w:val="0"/>
              <w:snapToGrid/>
              <w:spacing w:line="360" w:lineRule="auto"/>
              <w:ind w:left="0" w:leftChars="0" w:right="0" w:rightChars="0" w:firstLine="0" w:firstLineChars="0"/>
              <w:jc w:val="both"/>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投标保证金金额</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人民币</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元</w:t>
            </w:r>
          </w:p>
          <w:p>
            <w:pPr>
              <w:pStyle w:val="16"/>
              <w:pageBreakBefore w:val="0"/>
              <w:kinsoku/>
              <w:topLinePunct w:val="0"/>
              <w:bidi w:val="0"/>
              <w:snapToGrid/>
              <w:spacing w:after="0" w:line="360" w:lineRule="auto"/>
              <w:ind w:left="0" w:leftChars="0" w:right="0" w:rightChars="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投标保证金形式</w:t>
            </w:r>
            <w:r>
              <w:rPr>
                <w:rFonts w:hint="eastAsia" w:ascii="宋体" w:hAnsi="宋体" w:eastAsia="宋体" w:cs="宋体"/>
                <w:color w:val="auto"/>
                <w:kern w:val="0"/>
                <w:sz w:val="24"/>
                <w:szCs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369" w:type="dxa"/>
            <w:vAlign w:val="center"/>
          </w:tcPr>
          <w:p>
            <w:pPr>
              <w:pageBreakBefore w:val="0"/>
              <w:widowControl/>
              <w:kinsoku/>
              <w:topLinePunct w:val="0"/>
              <w:bidi w:val="0"/>
              <w:snapToGrid/>
              <w:spacing w:line="360" w:lineRule="auto"/>
              <w:ind w:left="0" w:leftChars="0" w:right="0" w:rightChars="0" w:firstLine="0" w:firstLineChars="0"/>
              <w:jc w:val="center"/>
              <w:rPr>
                <w:rFonts w:hint="eastAsia" w:ascii="宋体" w:hAnsi="宋体" w:eastAsia="宋体" w:cs="宋体"/>
                <w:color w:val="auto"/>
                <w:kern w:val="0"/>
                <w:highlight w:val="none"/>
                <w:lang w:eastAsia="zh-CN"/>
              </w:rPr>
            </w:pPr>
            <w:r>
              <w:rPr>
                <w:rFonts w:hint="eastAsia" w:ascii="宋体" w:hAnsi="宋体" w:eastAsia="宋体" w:cs="宋体"/>
                <w:color w:val="auto"/>
                <w:kern w:val="0"/>
                <w:highlight w:val="none"/>
                <w:lang w:eastAsia="zh-CN"/>
              </w:rPr>
              <w:t>说明</w:t>
            </w:r>
          </w:p>
        </w:tc>
        <w:tc>
          <w:tcPr>
            <w:tcW w:w="5874" w:type="dxa"/>
            <w:gridSpan w:val="2"/>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27" w:hRule="atLeast"/>
        </w:trPr>
        <w:tc>
          <w:tcPr>
            <w:tcW w:w="9243" w:type="dxa"/>
            <w:gridSpan w:val="3"/>
            <w:vAlign w:val="center"/>
          </w:tcPr>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bookmarkStart w:id="167" w:name="_Hlk502312044"/>
            <w:r>
              <w:rPr>
                <w:rFonts w:hint="eastAsia" w:ascii="宋体" w:hAnsi="宋体" w:eastAsia="宋体" w:cs="宋体"/>
                <w:b/>
                <w:bCs/>
                <w:color w:val="auto"/>
                <w:highlight w:val="none"/>
                <w:lang w:eastAsia="zh-CN"/>
              </w:rPr>
              <w:t>投标人名称</w:t>
            </w:r>
            <w:r>
              <w:rPr>
                <w:rFonts w:hint="eastAsia" w:ascii="宋体" w:hAnsi="宋体" w:eastAsia="宋体" w:cs="宋体"/>
                <w:b/>
                <w:bCs/>
                <w:color w:val="auto"/>
                <w:highlight w:val="none"/>
              </w:rPr>
              <w:t>(电子签章</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法定代表人或其委托代理人（</w:t>
            </w:r>
            <w:r>
              <w:rPr>
                <w:rFonts w:hint="eastAsia" w:ascii="宋体" w:hAnsi="宋体" w:eastAsia="宋体" w:cs="宋体"/>
                <w:b/>
                <w:bCs/>
                <w:color w:val="auto"/>
                <w:highlight w:val="none"/>
              </w:rPr>
              <w:t>电子</w:t>
            </w:r>
            <w:r>
              <w:rPr>
                <w:rFonts w:hint="eastAsia" w:ascii="宋体" w:hAnsi="宋体" w:cs="宋体"/>
                <w:b/>
                <w:bCs/>
                <w:color w:val="auto"/>
                <w:highlight w:val="none"/>
                <w:lang w:val="en-US" w:eastAsia="zh-CN"/>
              </w:rPr>
              <w:t>签名</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0" w:firstLineChars="0"/>
              <w:rPr>
                <w:rFonts w:hint="eastAsia" w:ascii="宋体" w:hAnsi="宋体" w:eastAsia="宋体" w:cs="宋体"/>
                <w:b/>
                <w:bCs/>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r>
              <w:rPr>
                <w:rFonts w:hint="eastAsia" w:ascii="宋体" w:hAnsi="宋体" w:eastAsia="宋体" w:cs="宋体"/>
                <w:b/>
                <w:bCs/>
                <w:color w:val="auto"/>
                <w:highlight w:val="none"/>
              </w:rPr>
              <w:t>日期：</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日</w:t>
            </w:r>
            <w:bookmarkEnd w:id="167"/>
          </w:p>
        </w:tc>
      </w:tr>
    </w:tbl>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jc w:val="center"/>
        <w:textAlignment w:val="auto"/>
        <w:outlineLvl w:val="1"/>
        <w:rPr>
          <w:rFonts w:hint="eastAsia"/>
          <w:b/>
          <w:bCs/>
          <w:color w:val="auto"/>
          <w:sz w:val="36"/>
          <w:szCs w:val="36"/>
          <w:highlight w:val="none"/>
          <w:lang w:val="en-US" w:eastAsia="zh-CN"/>
        </w:rPr>
      </w:pPr>
      <w:bookmarkStart w:id="168" w:name="_Toc2789"/>
      <w:bookmarkStart w:id="169" w:name="_Toc23287"/>
      <w:bookmarkStart w:id="170" w:name="_Toc25838"/>
      <w:r>
        <w:rPr>
          <w:rFonts w:hint="eastAsia"/>
          <w:b/>
          <w:bCs/>
          <w:color w:val="auto"/>
          <w:sz w:val="36"/>
          <w:szCs w:val="36"/>
          <w:highlight w:val="none"/>
          <w:lang w:val="en-US" w:eastAsia="zh-CN"/>
        </w:rPr>
        <w:t>三、商务文件部分</w:t>
      </w:r>
      <w:bookmarkEnd w:id="168"/>
      <w:bookmarkEnd w:id="169"/>
      <w:bookmarkEnd w:id="170"/>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lang w:val="en-US" w:eastAsia="zh-CN"/>
        </w:rPr>
      </w:pPr>
      <w:bookmarkStart w:id="171" w:name="_Toc30893"/>
      <w:bookmarkStart w:id="172" w:name="_Toc51288987"/>
      <w:bookmarkStart w:id="173" w:name="_Toc13767"/>
      <w:bookmarkStart w:id="174" w:name="_Toc213141106"/>
      <w:bookmarkStart w:id="175" w:name="_Toc20392"/>
      <w:bookmarkStart w:id="176" w:name="_Toc26783960"/>
      <w:bookmarkStart w:id="177" w:name="_Toc23938"/>
      <w:bookmarkStart w:id="178" w:name="_Hlk519063903"/>
      <w:bookmarkStart w:id="179" w:name="_Toc13129"/>
      <w:bookmarkStart w:id="180" w:name="_Toc272421901"/>
      <w:r>
        <w:rPr>
          <w:rFonts w:hint="eastAsia" w:ascii="宋体" w:hAnsi="宋体" w:eastAsia="宋体" w:cs="宋体"/>
          <w:color w:val="auto"/>
          <w:sz w:val="30"/>
          <w:szCs w:val="30"/>
          <w:highlight w:val="none"/>
          <w:lang w:val="en-US" w:eastAsia="zh-CN"/>
        </w:rPr>
        <w:t>（一）法定代表人身份证明书</w:t>
      </w:r>
      <w:bookmarkEnd w:id="171"/>
      <w:bookmarkEnd w:id="172"/>
      <w:bookmarkEnd w:id="173"/>
      <w:bookmarkEnd w:id="174"/>
      <w:bookmarkEnd w:id="175"/>
      <w:bookmarkEnd w:id="176"/>
      <w:bookmarkEnd w:id="177"/>
      <w:bookmarkEnd w:id="178"/>
      <w:bookmarkEnd w:id="179"/>
      <w:bookmarkEnd w:id="18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职务：</w:t>
      </w:r>
      <w:r>
        <w:rPr>
          <w:rFonts w:hint="eastAsia" w:ascii="宋体" w:hAnsi="宋体" w:cs="宋体"/>
          <w:color w:val="auto"/>
          <w:sz w:val="24"/>
          <w:szCs w:val="24"/>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名称）的法定代表人。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w:t>
      </w:r>
      <w:r>
        <w:rPr>
          <w:rFonts w:hint="eastAsia" w:ascii="宋体" w:hAnsi="宋体" w:eastAsia="宋体" w:cs="宋体"/>
          <w:b/>
          <w:bCs/>
          <w:color w:val="auto"/>
          <w:sz w:val="24"/>
          <w:szCs w:val="24"/>
          <w:highlight w:val="none"/>
        </w:rPr>
        <w:t>：附法定代表人身份证</w:t>
      </w:r>
      <w:r>
        <w:rPr>
          <w:rFonts w:hint="eastAsia" w:ascii="宋体" w:hAnsi="宋体" w:cs="宋体"/>
          <w:b/>
          <w:color w:val="auto"/>
          <w:sz w:val="24"/>
          <w:szCs w:val="24"/>
          <w:highlight w:val="none"/>
          <w:lang w:eastAsia="zh-CN"/>
        </w:rPr>
        <w:t>复印件</w:t>
      </w:r>
      <w:r>
        <w:rPr>
          <w:rFonts w:hint="eastAsia" w:ascii="宋体" w:hAnsi="宋体" w:eastAsia="宋体" w:cs="宋体"/>
          <w:b/>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投标人名称</w:t>
      </w:r>
      <w:r>
        <w:rPr>
          <w:rFonts w:hint="eastAsia" w:ascii="宋体" w:hAnsi="宋体" w:eastAsia="宋体" w:cs="宋体"/>
          <w:b/>
          <w:bCs/>
          <w:color w:val="auto"/>
          <w:sz w:val="24"/>
          <w:szCs w:val="24"/>
          <w:highlight w:val="none"/>
        </w:rPr>
        <w:t>(</w:t>
      </w:r>
      <w:r>
        <w:rPr>
          <w:rFonts w:hint="eastAsia" w:ascii="宋体" w:hAnsi="宋体" w:eastAsia="宋体" w:cs="宋体"/>
          <w:b/>
          <w:bCs/>
          <w:color w:val="auto"/>
          <w:highlight w:val="none"/>
        </w:rPr>
        <w:t>电子签章</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u w:val="single"/>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日</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（二）法定代表人授权委托书</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r>
        <w:rPr>
          <w:rFonts w:hint="eastAsia"/>
          <w:color w:val="auto"/>
          <w:highlight w:val="none"/>
          <w:lang w:val="en-US" w:eastAsia="zh-CN"/>
        </w:rPr>
        <w:t>致：</w:t>
      </w:r>
      <w:r>
        <w:rPr>
          <w:rFonts w:hint="eastAsia"/>
          <w:color w:val="auto"/>
          <w:highlight w:val="none"/>
          <w:u w:val="single"/>
          <w:lang w:val="en-US" w:eastAsia="zh-CN"/>
        </w:rPr>
        <w:t xml:space="preserve">     </w:t>
      </w:r>
      <w:r>
        <w:rPr>
          <w:rFonts w:hint="eastAsia"/>
          <w:color w:val="auto"/>
          <w:highlight w:val="none"/>
          <w:lang w:val="en-US" w:eastAsia="zh-CN"/>
        </w:rPr>
        <w:t xml:space="preserve">（采购人名称）   </w:t>
      </w:r>
    </w:p>
    <w:p>
      <w:pPr>
        <w:pageBreakBefore w:val="0"/>
        <w:widowControl w:val="0"/>
        <w:kinsoku/>
        <w:overflowPunct/>
        <w:topLinePunct w:val="0"/>
        <w:autoSpaceDE/>
        <w:autoSpaceDN/>
        <w:bidi w:val="0"/>
        <w:adjustRightInd/>
        <w:snapToGrid/>
        <w:spacing w:line="360" w:lineRule="auto"/>
        <w:ind w:left="0" w:leftChars="0" w:right="0" w:rightChars="0" w:firstLine="480" w:firstLineChars="200"/>
        <w:textAlignment w:val="auto"/>
        <w:rPr>
          <w:rFonts w:hint="eastAsia"/>
          <w:color w:val="auto"/>
          <w:highlight w:val="none"/>
          <w:lang w:val="en-US" w:eastAsia="zh-CN"/>
        </w:rPr>
      </w:pPr>
      <w:r>
        <w:rPr>
          <w:rFonts w:hint="eastAsia"/>
          <w:color w:val="auto"/>
          <w:highlight w:val="none"/>
          <w:lang w:val="en-US" w:eastAsia="zh-CN"/>
        </w:rPr>
        <w:t>本授权书声明：</w:t>
      </w:r>
      <w:r>
        <w:rPr>
          <w:rFonts w:hint="eastAsia"/>
          <w:color w:val="auto"/>
          <w:highlight w:val="none"/>
          <w:u w:val="single"/>
          <w:lang w:val="en-US" w:eastAsia="zh-CN"/>
        </w:rPr>
        <w:t xml:space="preserve">      </w:t>
      </w:r>
      <w:r>
        <w:rPr>
          <w:rFonts w:hint="eastAsia"/>
          <w:color w:val="auto"/>
          <w:highlight w:val="none"/>
          <w:lang w:val="en-US" w:eastAsia="zh-CN"/>
        </w:rPr>
        <w:t>（投标人名称）的法定代表人代表本公司授权</w:t>
      </w:r>
      <w:r>
        <w:rPr>
          <w:rFonts w:hint="eastAsia"/>
          <w:color w:val="auto"/>
          <w:highlight w:val="none"/>
          <w:u w:val="single"/>
          <w:lang w:val="en-US" w:eastAsia="zh-CN"/>
        </w:rPr>
        <w:t xml:space="preserve">   </w:t>
      </w:r>
      <w:r>
        <w:rPr>
          <w:rFonts w:hint="eastAsia"/>
          <w:color w:val="auto"/>
          <w:highlight w:val="none"/>
          <w:lang w:val="en-US" w:eastAsia="zh-CN"/>
        </w:rPr>
        <w:t>（委托代理人姓名）为本公司合法代理人，就贵方组织的有关</w:t>
      </w:r>
      <w:r>
        <w:rPr>
          <w:rFonts w:hint="eastAsia"/>
          <w:color w:val="auto"/>
          <w:highlight w:val="none"/>
          <w:u w:val="single"/>
          <w:lang w:val="en-US" w:eastAsia="zh-CN"/>
        </w:rPr>
        <w:t xml:space="preserve">                 </w:t>
      </w:r>
      <w:r>
        <w:rPr>
          <w:rFonts w:hint="eastAsia"/>
          <w:color w:val="auto"/>
          <w:highlight w:val="none"/>
          <w:lang w:val="en-US" w:eastAsia="zh-CN"/>
        </w:rPr>
        <w:t>（采购项目名称）项目</w:t>
      </w:r>
      <w:r>
        <w:rPr>
          <w:rFonts w:hint="eastAsia"/>
          <w:color w:val="auto"/>
          <w:highlight w:val="none"/>
          <w:u w:val="single"/>
          <w:lang w:val="en-US" w:eastAsia="zh-CN"/>
        </w:rPr>
        <w:t xml:space="preserve">             </w:t>
      </w:r>
      <w:r>
        <w:rPr>
          <w:rFonts w:hint="eastAsia"/>
          <w:color w:val="auto"/>
          <w:highlight w:val="none"/>
          <w:lang w:val="en-US" w:eastAsia="zh-CN"/>
        </w:rPr>
        <w:t>（项目编号）的投标，以本单位名义处理一切与之有关的事务。</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r>
        <w:rPr>
          <w:rFonts w:hint="eastAsia"/>
          <w:color w:val="auto"/>
          <w:highlight w:val="none"/>
          <w:lang w:val="en-US" w:eastAsia="zh-CN"/>
        </w:rPr>
        <w:t>代理人无转委托权。</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default"/>
          <w:color w:val="auto"/>
          <w:highlight w:val="none"/>
          <w:u w:val="single"/>
          <w:lang w:val="en-US" w:eastAsia="zh-CN"/>
        </w:rPr>
      </w:pPr>
      <w:r>
        <w:rPr>
          <w:rFonts w:hint="eastAsia"/>
          <w:color w:val="auto"/>
          <w:highlight w:val="none"/>
          <w:lang w:val="en-US" w:eastAsia="zh-CN"/>
        </w:rPr>
        <w:t>委托期限：</w:t>
      </w:r>
      <w:r>
        <w:rPr>
          <w:rFonts w:hint="eastAsia"/>
          <w:color w:val="auto"/>
          <w:highlight w:val="none"/>
          <w:u w:val="single"/>
          <w:lang w:val="en-US" w:eastAsia="zh-CN"/>
        </w:rPr>
        <w:t xml:space="preserve">                  </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firstLine="3120" w:firstLineChars="1300"/>
        <w:textAlignment w:val="auto"/>
        <w:rPr>
          <w:rFonts w:hint="eastAsia"/>
          <w:color w:val="auto"/>
          <w:highlight w:val="none"/>
          <w:lang w:val="en-US" w:eastAsia="zh-CN"/>
        </w:rPr>
      </w:pPr>
      <w:r>
        <w:rPr>
          <w:rFonts w:hint="eastAsia"/>
          <w:color w:val="auto"/>
          <w:highlight w:val="none"/>
          <w:lang w:val="en-US" w:eastAsia="zh-CN"/>
        </w:rPr>
        <w:t>投标人名</w:t>
      </w:r>
      <w:r>
        <w:rPr>
          <w:rFonts w:hint="eastAsia" w:ascii="宋体" w:hAnsi="宋体" w:eastAsia="宋体" w:cs="宋体"/>
          <w:color w:val="auto"/>
          <w:highlight w:val="none"/>
          <w:lang w:val="en-US" w:eastAsia="zh-CN"/>
        </w:rPr>
        <w:t>称(电子签章)</w:t>
      </w:r>
      <w:r>
        <w:rPr>
          <w:rFonts w:hint="eastAsia"/>
          <w:color w:val="auto"/>
          <w:highlight w:val="none"/>
          <w:lang w:val="en-US" w:eastAsia="zh-CN"/>
        </w:rPr>
        <w:t>：</w:t>
      </w:r>
      <w:r>
        <w:rPr>
          <w:rFonts w:hint="eastAsia"/>
          <w:color w:val="auto"/>
          <w:highlight w:val="none"/>
          <w:u w:val="single"/>
          <w:lang w:val="en-US" w:eastAsia="zh-CN"/>
        </w:rPr>
        <w:t xml:space="preserve">          </w:t>
      </w:r>
      <w:r>
        <w:rPr>
          <w:rFonts w:hint="eastAsia"/>
          <w:color w:val="auto"/>
          <w:highlight w:val="none"/>
          <w:lang w:val="en-US" w:eastAsia="zh-CN"/>
        </w:rPr>
        <w:t xml:space="preserve">         </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firstLine="3120" w:firstLineChars="1300"/>
        <w:textAlignment w:val="auto"/>
        <w:rPr>
          <w:rFonts w:hint="eastAsia"/>
          <w:color w:val="auto"/>
          <w:highlight w:val="none"/>
          <w:lang w:val="en-US" w:eastAsia="zh-CN"/>
        </w:rPr>
      </w:pPr>
      <w:r>
        <w:rPr>
          <w:rFonts w:hint="eastAsia"/>
          <w:color w:val="auto"/>
          <w:highlight w:val="none"/>
          <w:lang w:val="en-US" w:eastAsia="zh-CN"/>
        </w:rPr>
        <w:t>法定代表人（电子签名）：</w:t>
      </w:r>
      <w:r>
        <w:rPr>
          <w:rFonts w:hint="eastAsia"/>
          <w:color w:val="auto"/>
          <w:highlight w:val="none"/>
          <w:u w:val="single"/>
          <w:lang w:val="en-US" w:eastAsia="zh-CN"/>
        </w:rPr>
        <w:t xml:space="preserve">          </w:t>
      </w:r>
      <w:r>
        <w:rPr>
          <w:rFonts w:hint="eastAsia"/>
          <w:color w:val="auto"/>
          <w:highlight w:val="none"/>
          <w:lang w:val="en-US" w:eastAsia="zh-CN"/>
        </w:rPr>
        <w:t xml:space="preserve">          </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firstLine="3120" w:firstLineChars="1300"/>
        <w:textAlignment w:val="auto"/>
        <w:rPr>
          <w:rFonts w:hint="eastAsia"/>
          <w:color w:val="auto"/>
          <w:highlight w:val="none"/>
          <w:lang w:val="en-US" w:eastAsia="zh-CN"/>
        </w:rPr>
      </w:pPr>
      <w:r>
        <w:rPr>
          <w:rFonts w:hint="eastAsia"/>
          <w:color w:val="auto"/>
          <w:highlight w:val="none"/>
          <w:lang w:val="en-US" w:eastAsia="zh-CN"/>
        </w:rPr>
        <w:t>日期：</w:t>
      </w:r>
      <w:r>
        <w:rPr>
          <w:rFonts w:hint="eastAsia"/>
          <w:color w:val="auto"/>
          <w:highlight w:val="none"/>
          <w:u w:val="single"/>
          <w:lang w:val="en-US" w:eastAsia="zh-CN"/>
        </w:rPr>
        <w:t xml:space="preserve">     </w:t>
      </w:r>
      <w:r>
        <w:rPr>
          <w:rFonts w:hint="eastAsia"/>
          <w:color w:val="auto"/>
          <w:highlight w:val="none"/>
          <w:lang w:val="en-US" w:eastAsia="zh-CN"/>
        </w:rPr>
        <w:t>年</w:t>
      </w:r>
      <w:r>
        <w:rPr>
          <w:rFonts w:hint="eastAsia"/>
          <w:color w:val="auto"/>
          <w:highlight w:val="none"/>
          <w:u w:val="single"/>
          <w:lang w:val="en-US" w:eastAsia="zh-CN"/>
        </w:rPr>
        <w:t xml:space="preserve">     </w:t>
      </w:r>
      <w:r>
        <w:rPr>
          <w:rFonts w:hint="eastAsia"/>
          <w:color w:val="auto"/>
          <w:highlight w:val="none"/>
          <w:lang w:val="en-US" w:eastAsia="zh-CN"/>
        </w:rPr>
        <w:t>月</w:t>
      </w:r>
      <w:r>
        <w:rPr>
          <w:rFonts w:hint="eastAsia"/>
          <w:color w:val="auto"/>
          <w:highlight w:val="none"/>
          <w:u w:val="single"/>
          <w:lang w:val="en-US" w:eastAsia="zh-CN"/>
        </w:rPr>
        <w:t xml:space="preserve">     </w:t>
      </w:r>
      <w:r>
        <w:rPr>
          <w:rFonts w:hint="eastAsia"/>
          <w:color w:val="auto"/>
          <w:highlight w:val="none"/>
          <w:lang w:val="en-US" w:eastAsia="zh-CN"/>
        </w:rPr>
        <w:t>日</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kinsoku/>
        <w:topLinePunct w:val="0"/>
        <w:bidi w:val="0"/>
        <w:snapToGrid/>
        <w:spacing w:line="360" w:lineRule="auto"/>
        <w:ind w:left="0" w:leftChars="0" w:right="0" w:rightChars="0" w:firstLine="482" w:firstLineChars="200"/>
        <w:rPr>
          <w:rFonts w:hint="eastAsia" w:ascii="宋体" w:hAnsi="宋体" w:eastAsia="宋体" w:cs="宋体"/>
          <w:b/>
          <w:color w:val="auto"/>
          <w:szCs w:val="21"/>
          <w:highlight w:val="none"/>
        </w:rPr>
      </w:pPr>
      <w:r>
        <w:rPr>
          <w:rFonts w:hint="eastAsia" w:ascii="宋体" w:hAnsi="宋体" w:eastAsia="宋体" w:cs="宋体"/>
          <w:b/>
          <w:bCs/>
          <w:color w:val="auto"/>
          <w:highlight w:val="none"/>
        </w:rPr>
        <w:t>注:</w:t>
      </w:r>
      <w:r>
        <w:rPr>
          <w:rFonts w:hint="eastAsia" w:ascii="宋体" w:hAnsi="宋体" w:eastAsia="宋体" w:cs="宋体"/>
          <w:b/>
          <w:color w:val="auto"/>
          <w:szCs w:val="21"/>
          <w:highlight w:val="none"/>
        </w:rPr>
        <w:t>1、附授权委托人身份证</w:t>
      </w:r>
      <w:r>
        <w:rPr>
          <w:rFonts w:hint="eastAsia" w:ascii="宋体" w:hAnsi="宋体" w:cs="宋体"/>
          <w:b/>
          <w:color w:val="auto"/>
          <w:szCs w:val="21"/>
          <w:highlight w:val="none"/>
          <w:lang w:eastAsia="zh-CN"/>
        </w:rPr>
        <w:t>复印件</w:t>
      </w:r>
      <w:r>
        <w:rPr>
          <w:rFonts w:hint="eastAsia" w:ascii="宋体" w:hAnsi="宋体" w:eastAsia="宋体" w:cs="宋体"/>
          <w:b/>
          <w:color w:val="auto"/>
          <w:szCs w:val="21"/>
          <w:highlight w:val="none"/>
        </w:rPr>
        <w:t>；</w:t>
      </w:r>
    </w:p>
    <w:p>
      <w:pPr>
        <w:pageBreakBefore w:val="0"/>
        <w:kinsoku/>
        <w:topLinePunct w:val="0"/>
        <w:bidi w:val="0"/>
        <w:snapToGrid/>
        <w:spacing w:line="360" w:lineRule="auto"/>
        <w:ind w:left="0" w:leftChars="0" w:right="0" w:rightChars="0" w:firstLine="48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2、如</w:t>
      </w:r>
      <w:r>
        <w:rPr>
          <w:rFonts w:hint="eastAsia" w:ascii="宋体" w:hAnsi="宋体" w:eastAsia="宋体" w:cs="宋体"/>
          <w:b/>
          <w:color w:val="auto"/>
          <w:szCs w:val="21"/>
          <w:highlight w:val="none"/>
          <w:lang w:eastAsia="zh-CN"/>
        </w:rPr>
        <w:t>投标人</w:t>
      </w:r>
      <w:r>
        <w:rPr>
          <w:rFonts w:hint="eastAsia" w:ascii="宋体" w:hAnsi="宋体" w:eastAsia="宋体" w:cs="宋体"/>
          <w:b/>
          <w:color w:val="auto"/>
          <w:szCs w:val="21"/>
          <w:highlight w:val="none"/>
        </w:rPr>
        <w:t>由法定代表人亲自签署</w:t>
      </w:r>
      <w:r>
        <w:rPr>
          <w:rFonts w:hint="eastAsia" w:ascii="宋体" w:hAnsi="宋体" w:eastAsia="宋体" w:cs="宋体"/>
          <w:b/>
          <w:color w:val="auto"/>
          <w:szCs w:val="21"/>
          <w:highlight w:val="none"/>
          <w:lang w:eastAsia="zh-CN"/>
        </w:rPr>
        <w:t>投标文件</w:t>
      </w:r>
      <w:r>
        <w:rPr>
          <w:rFonts w:hint="eastAsia" w:ascii="宋体" w:hAnsi="宋体" w:eastAsia="宋体" w:cs="宋体"/>
          <w:b/>
          <w:color w:val="auto"/>
          <w:szCs w:val="21"/>
          <w:highlight w:val="none"/>
        </w:rPr>
        <w:t>并参与相关活动，则不需要办理授权。如由被授权的代理人签署上述文件并参与相关活动，则必须按本格式规定填报并提交授权书，否则被授权的代理人将不被认可。</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Style w:val="2"/>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181" w:name="_Toc26783962"/>
      <w:bookmarkStart w:id="182" w:name="_Toc26787"/>
      <w:bookmarkStart w:id="183" w:name="_Toc438"/>
      <w:bookmarkStart w:id="184" w:name="_Toc14630"/>
      <w:bookmarkStart w:id="185" w:name="_Toc29785"/>
      <w:bookmarkStart w:id="186" w:name="_Toc5244"/>
      <w:r>
        <w:rPr>
          <w:rFonts w:hint="eastAsia" w:ascii="宋体" w:hAnsi="宋体" w:eastAsia="宋体" w:cs="宋体"/>
          <w:color w:val="auto"/>
          <w:sz w:val="30"/>
          <w:szCs w:val="30"/>
          <w:highlight w:val="none"/>
          <w:lang w:eastAsia="zh-CN"/>
        </w:rPr>
        <w:t>（三）</w:t>
      </w:r>
      <w:r>
        <w:rPr>
          <w:rFonts w:hint="eastAsia" w:ascii="宋体" w:hAnsi="宋体" w:eastAsia="宋体" w:cs="宋体"/>
          <w:color w:val="auto"/>
          <w:sz w:val="30"/>
          <w:szCs w:val="30"/>
          <w:highlight w:val="none"/>
        </w:rPr>
        <w:t>投标函</w:t>
      </w:r>
      <w:bookmarkEnd w:id="181"/>
      <w:bookmarkEnd w:id="182"/>
      <w:bookmarkEnd w:id="183"/>
      <w:bookmarkEnd w:id="184"/>
      <w:bookmarkEnd w:id="185"/>
      <w:bookmarkEnd w:id="186"/>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Cs w:val="21"/>
          <w:highlight w:val="none"/>
          <w:u w:val="single"/>
        </w:rPr>
        <w:t>（采购人名称）</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（采购项目名称）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）项目招标采购的投标邀请，正式授权下述签字人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（姓名和职务）</w:t>
      </w:r>
      <w:r>
        <w:rPr>
          <w:rFonts w:hint="eastAsia" w:ascii="宋体" w:hAnsi="宋体" w:eastAsia="宋体" w:cs="宋体"/>
          <w:color w:val="auto"/>
          <w:highlight w:val="none"/>
        </w:rPr>
        <w:t>全权代表</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投标人名称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参加投标，并提交投标文件。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据此函，签字人兹宣布同意如下：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1、</w:t>
      </w:r>
      <w:r>
        <w:rPr>
          <w:rFonts w:hint="eastAsia" w:ascii="宋体" w:hAnsi="宋体" w:eastAsia="宋体" w:cs="宋体"/>
          <w:b/>
          <w:bCs/>
          <w:color w:val="auto"/>
          <w:highlight w:val="none"/>
          <w:lang w:eastAsia="zh-CN"/>
        </w:rPr>
        <w:t>我方同意以“开标一览表”中的投标报价作为本项目最终报价。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2、我方同意在</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须知规定的开标日期起遵循本投标文件，并在</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须知前附表规定的投标文件有效期满之前均具有约束力。如果我方投标被接受，则至合同履行完、质保期满为止，本投标函保持有效。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3、我方承诺已经具备《中华人民共和国政府采购法》中规定的参加政府采购活动的</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应当具备的条件。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4、如我方投标被接受，将保证忠实地执行买卖双方所签经济合同，在承诺的期限内完成交货（或交付使用），并承担合同规定的责任义务。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5、我方已详细审核招标文件，我方知道必须放弃提出含糊不清或误解问题的权利。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6、如果在投标文件有效期内撤回投标或者有其他违约行为，我方的投标保证金可被贵方全部或部分没收。</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7、同意应贵方要求提供与本投标有关的任何数据或资料。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8、我方完全理解贵方不一定要接受最低报价的</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为中标人的行为。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9、若贵方需要，我方愿意提供我方作出的一切承诺的证明材料。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与本投标有关的正式通讯地址为：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 邮政编码：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电话：传真：</w:t>
      </w:r>
      <w:r>
        <w:rPr>
          <w:rFonts w:hint="eastAsia" w:ascii="宋体" w:hAnsi="宋体" w:eastAsia="宋体" w:cs="宋体"/>
          <w:color w:val="auto"/>
          <w:highlight w:val="none"/>
          <w:u w:val="single"/>
        </w:rPr>
        <w:t>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开户名称：开户银行：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帐    号：</w:t>
      </w:r>
    </w:p>
    <w:p>
      <w:pPr>
        <w:pageBreakBefore w:val="0"/>
        <w:kinsoku/>
        <w:topLinePunct w:val="0"/>
        <w:bidi w:val="0"/>
        <w:snapToGrid/>
        <w:spacing w:line="360" w:lineRule="auto"/>
        <w:ind w:left="0" w:leftChars="0" w:right="0" w:rightChars="0"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投标人名称</w:t>
      </w:r>
      <w:r>
        <w:rPr>
          <w:rFonts w:hint="eastAsia" w:ascii="宋体" w:hAnsi="宋体" w:eastAsia="宋体" w:cs="宋体"/>
          <w:b/>
          <w:bCs/>
          <w:color w:val="auto"/>
          <w:highlight w:val="none"/>
        </w:rPr>
        <w:t>(电子签章)：</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法定代表人或其委托代理人（</w:t>
      </w:r>
      <w:r>
        <w:rPr>
          <w:rFonts w:hint="eastAsia" w:ascii="宋体" w:hAnsi="宋体" w:eastAsia="宋体" w:cs="宋体"/>
          <w:b/>
          <w:bCs/>
          <w:color w:val="auto"/>
          <w:highlight w:val="none"/>
        </w:rPr>
        <w:t>电子</w:t>
      </w:r>
      <w:r>
        <w:rPr>
          <w:rFonts w:hint="eastAsia" w:ascii="宋体" w:hAnsi="宋体" w:cs="宋体"/>
          <w:b/>
          <w:bCs/>
          <w:color w:val="auto"/>
          <w:highlight w:val="none"/>
          <w:lang w:val="en-US" w:eastAsia="zh-CN"/>
        </w:rPr>
        <w:t>签名</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482" w:firstLineChars="200"/>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rPr>
        <w:t>日期：</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日</w:t>
      </w:r>
    </w:p>
    <w:p>
      <w:pPr>
        <w:pageBreakBefore w:val="0"/>
        <w:kinsoku/>
        <w:topLinePunct w:val="0"/>
        <w:bidi w:val="0"/>
        <w:snapToGrid/>
        <w:spacing w:line="360" w:lineRule="auto"/>
        <w:ind w:left="0" w:leftChars="0" w:right="0" w:rightChars="0"/>
        <w:outlineLvl w:val="9"/>
        <w:rPr>
          <w:rFonts w:hint="eastAsia" w:ascii="宋体" w:hAnsi="宋体" w:eastAsia="宋体" w:cs="宋体"/>
          <w:color w:val="auto"/>
          <w:highlight w:val="none"/>
          <w:lang w:eastAsia="zh-CN"/>
        </w:rPr>
        <w:sectPr>
          <w:pgSz w:w="11900" w:h="16838"/>
          <w:pgMar w:top="1417" w:right="1417" w:bottom="1417" w:left="1417" w:header="850" w:footer="850" w:gutter="0"/>
          <w:pgNumType w:fmt="decimal"/>
          <w:cols w:space="0" w:num="1"/>
          <w:titlePg/>
          <w:docGrid w:linePitch="331" w:charSpace="0"/>
        </w:sect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187" w:name="_Toc0"/>
      <w:bookmarkStart w:id="188" w:name="_Toc25081"/>
      <w:bookmarkStart w:id="189" w:name="_Toc26783966"/>
      <w:bookmarkStart w:id="190" w:name="_Toc31747"/>
      <w:bookmarkStart w:id="191" w:name="_Toc18827"/>
      <w:bookmarkStart w:id="192" w:name="_Toc26334"/>
      <w:r>
        <w:rPr>
          <w:rFonts w:hint="eastAsia" w:ascii="宋体" w:hAnsi="宋体" w:cs="宋体"/>
          <w:color w:val="auto"/>
          <w:sz w:val="30"/>
          <w:szCs w:val="30"/>
          <w:highlight w:val="none"/>
          <w:lang w:eastAsia="zh-CN"/>
        </w:rPr>
        <w:t>（四）</w:t>
      </w:r>
      <w:r>
        <w:rPr>
          <w:rFonts w:hint="eastAsia" w:ascii="宋体" w:hAnsi="宋体" w:eastAsia="宋体" w:cs="宋体"/>
          <w:color w:val="auto"/>
          <w:sz w:val="30"/>
          <w:szCs w:val="30"/>
          <w:highlight w:val="none"/>
          <w:lang w:eastAsia="zh-CN"/>
        </w:rPr>
        <w:t>投标人</w:t>
      </w:r>
      <w:r>
        <w:rPr>
          <w:rFonts w:hint="eastAsia" w:ascii="宋体" w:hAnsi="宋体" w:eastAsia="宋体" w:cs="宋体"/>
          <w:color w:val="auto"/>
          <w:sz w:val="30"/>
          <w:szCs w:val="30"/>
          <w:highlight w:val="none"/>
        </w:rPr>
        <w:t>应提供及认为有必要提供的其他报价材料</w:t>
      </w:r>
      <w:bookmarkEnd w:id="187"/>
      <w:bookmarkEnd w:id="188"/>
      <w:bookmarkEnd w:id="189"/>
      <w:bookmarkEnd w:id="190"/>
      <w:bookmarkEnd w:id="191"/>
      <w:bookmarkEnd w:id="192"/>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认为有必要提供的其他报价材料。</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（此部分格式、内容自定）</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lang w:eastAsia="zh-CN"/>
        </w:rPr>
      </w:pPr>
      <w:bookmarkStart w:id="193" w:name="_Toc26783967"/>
      <w:bookmarkStart w:id="194" w:name="_Toc281"/>
      <w:bookmarkStart w:id="195" w:name="_Toc182"/>
      <w:bookmarkStart w:id="196" w:name="_Toc28258"/>
      <w:bookmarkStart w:id="197" w:name="_Toc31562"/>
      <w:bookmarkStart w:id="198" w:name="_Toc21952"/>
      <w:bookmarkStart w:id="199" w:name="_Toc469035632"/>
      <w:r>
        <w:rPr>
          <w:rFonts w:hint="eastAsia" w:ascii="宋体" w:hAnsi="宋体" w:cs="宋体"/>
          <w:color w:val="auto"/>
          <w:sz w:val="30"/>
          <w:szCs w:val="30"/>
          <w:highlight w:val="none"/>
          <w:lang w:eastAsia="zh-CN"/>
        </w:rPr>
        <w:t>（五）</w:t>
      </w:r>
      <w:r>
        <w:rPr>
          <w:rFonts w:hint="eastAsia" w:ascii="宋体" w:hAnsi="宋体" w:eastAsia="宋体" w:cs="宋体"/>
          <w:color w:val="auto"/>
          <w:sz w:val="30"/>
          <w:szCs w:val="30"/>
          <w:highlight w:val="none"/>
        </w:rPr>
        <w:t>中小企业声明函</w:t>
      </w:r>
      <w:bookmarkEnd w:id="193"/>
      <w:bookmarkEnd w:id="194"/>
      <w:r>
        <w:rPr>
          <w:rFonts w:hint="eastAsia" w:ascii="宋体" w:hAnsi="宋体" w:eastAsia="宋体" w:cs="宋体"/>
          <w:color w:val="auto"/>
          <w:sz w:val="30"/>
          <w:szCs w:val="30"/>
          <w:highlight w:val="none"/>
          <w:lang w:eastAsia="zh-CN"/>
        </w:rPr>
        <w:t>（服务）</w:t>
      </w:r>
      <w:bookmarkEnd w:id="195"/>
      <w:bookmarkEnd w:id="196"/>
      <w:bookmarkEnd w:id="197"/>
      <w:bookmarkEnd w:id="198"/>
    </w:p>
    <w:bookmarkEnd w:id="199"/>
    <w:p>
      <w:pPr>
        <w:pStyle w:val="2"/>
        <w:pageBreakBefore w:val="0"/>
        <w:kinsoku/>
        <w:topLinePunct w:val="0"/>
        <w:bidi w:val="0"/>
        <w:snapToGrid/>
        <w:spacing w:after="0" w:line="360" w:lineRule="auto"/>
        <w:ind w:left="0" w:leftChars="0" w:right="0" w:rightChars="0"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本</w:t>
      </w:r>
      <w:r>
        <w:rPr>
          <w:rFonts w:hint="eastAsia" w:ascii="宋体" w:hAnsi="宋体" w:eastAsia="宋体" w:cs="宋体"/>
          <w:color w:val="auto"/>
          <w:spacing w:val="-2"/>
          <w:sz w:val="21"/>
          <w:szCs w:val="21"/>
          <w:highlight w:val="none"/>
          <w:u w:val="none"/>
        </w:rPr>
        <w:t>公司（联合体）</w:t>
      </w:r>
      <w:r>
        <w:rPr>
          <w:rFonts w:hint="eastAsia" w:ascii="宋体" w:hAnsi="宋体" w:eastAsia="宋体" w:cs="宋体"/>
          <w:color w:val="auto"/>
          <w:spacing w:val="-2"/>
          <w:sz w:val="21"/>
          <w:szCs w:val="21"/>
          <w:highlight w:val="none"/>
        </w:rPr>
        <w:t>郑重声明，根据《政府采购促进中小</w:t>
      </w:r>
      <w:r>
        <w:rPr>
          <w:rFonts w:hint="eastAsia" w:ascii="宋体" w:hAnsi="宋体" w:eastAsia="宋体" w:cs="宋体"/>
          <w:color w:val="auto"/>
          <w:spacing w:val="-18"/>
          <w:sz w:val="21"/>
          <w:szCs w:val="21"/>
          <w:highlight w:val="none"/>
        </w:rPr>
        <w:t>企业发展管理办法》</w:t>
      </w:r>
      <w:r>
        <w:rPr>
          <w:rFonts w:hint="eastAsia" w:ascii="宋体" w:hAnsi="宋体" w:eastAsia="宋体" w:cs="宋体"/>
          <w:color w:val="auto"/>
          <w:sz w:val="21"/>
          <w:szCs w:val="21"/>
          <w:highlight w:val="none"/>
        </w:rPr>
        <w:t>（</w:t>
      </w:r>
      <w:r>
        <w:rPr>
          <w:rFonts w:hint="eastAsia" w:ascii="宋体" w:hAnsi="宋体" w:eastAsia="宋体" w:cs="宋体"/>
          <w:color w:val="auto"/>
          <w:spacing w:val="5"/>
          <w:sz w:val="21"/>
          <w:szCs w:val="21"/>
          <w:highlight w:val="none"/>
        </w:rPr>
        <w:t>财库</w:t>
      </w:r>
      <w:r>
        <w:rPr>
          <w:rFonts w:hint="eastAsia" w:ascii="宋体" w:hAnsi="宋体" w:eastAsia="宋体" w:cs="宋体"/>
          <w:color w:val="auto"/>
          <w:sz w:val="21"/>
          <w:szCs w:val="21"/>
          <w:highlight w:val="none"/>
        </w:rPr>
        <w:t>﹝2020﹞46</w:t>
      </w:r>
      <w:r>
        <w:rPr>
          <w:rFonts w:hint="eastAsia" w:ascii="宋体" w:hAnsi="宋体" w:eastAsia="宋体" w:cs="宋体"/>
          <w:color w:val="auto"/>
          <w:spacing w:val="-38"/>
          <w:sz w:val="21"/>
          <w:szCs w:val="21"/>
          <w:highlight w:val="none"/>
        </w:rPr>
        <w:t xml:space="preserve"> 号</w:t>
      </w:r>
      <w:r>
        <w:rPr>
          <w:rFonts w:hint="eastAsia" w:ascii="宋体" w:hAnsi="宋体" w:eastAsia="宋体" w:cs="宋体"/>
          <w:color w:val="auto"/>
          <w:spacing w:val="5"/>
          <w:sz w:val="21"/>
          <w:szCs w:val="21"/>
          <w:highlight w:val="none"/>
        </w:rPr>
        <w:t>）</w:t>
      </w:r>
      <w:r>
        <w:rPr>
          <w:rFonts w:hint="eastAsia" w:ascii="宋体" w:hAnsi="宋体" w:eastAsia="宋体" w:cs="宋体"/>
          <w:color w:val="auto"/>
          <w:sz w:val="21"/>
          <w:szCs w:val="21"/>
          <w:highlight w:val="none"/>
        </w:rPr>
        <w:t>的规定，本</w:t>
      </w:r>
      <w:r>
        <w:rPr>
          <w:rFonts w:hint="eastAsia" w:ascii="宋体" w:hAnsi="宋体" w:eastAsia="宋体" w:cs="宋体"/>
          <w:color w:val="auto"/>
          <w:spacing w:val="-2"/>
          <w:sz w:val="21"/>
          <w:szCs w:val="21"/>
          <w:highlight w:val="none"/>
          <w:u w:val="none"/>
        </w:rPr>
        <w:t>公司（联合体）</w:t>
      </w:r>
      <w:r>
        <w:rPr>
          <w:rFonts w:hint="eastAsia" w:ascii="宋体" w:hAnsi="宋体" w:eastAsia="宋体" w:cs="宋体"/>
          <w:color w:val="auto"/>
          <w:spacing w:val="-2"/>
          <w:sz w:val="21"/>
          <w:szCs w:val="21"/>
          <w:highlight w:val="none"/>
        </w:rPr>
        <w:t>参加</w:t>
      </w:r>
      <w:r>
        <w:rPr>
          <w:rFonts w:hint="eastAsia" w:ascii="宋体" w:hAnsi="宋体" w:eastAsia="宋体" w:cs="宋体"/>
          <w:b/>
          <w:color w:val="auto"/>
          <w:spacing w:val="-2"/>
          <w:sz w:val="21"/>
          <w:szCs w:val="21"/>
          <w:highlight w:val="none"/>
          <w:u w:val="single"/>
        </w:rPr>
        <w:t>（单位名称）</w:t>
      </w:r>
      <w:r>
        <w:rPr>
          <w:rFonts w:hint="eastAsia" w:ascii="宋体" w:hAnsi="宋体" w:eastAsia="宋体" w:cs="宋体"/>
          <w:color w:val="auto"/>
          <w:spacing w:val="-2"/>
          <w:sz w:val="21"/>
          <w:szCs w:val="21"/>
          <w:highlight w:val="none"/>
        </w:rPr>
        <w:t>的</w:t>
      </w:r>
      <w:r>
        <w:rPr>
          <w:rFonts w:hint="eastAsia" w:ascii="宋体" w:hAnsi="宋体" w:eastAsia="宋体" w:cs="宋体"/>
          <w:b/>
          <w:color w:val="auto"/>
          <w:spacing w:val="-2"/>
          <w:sz w:val="21"/>
          <w:szCs w:val="21"/>
          <w:highlight w:val="none"/>
          <w:u w:val="single"/>
        </w:rPr>
        <w:t>（项目名称）</w:t>
      </w:r>
      <w:r>
        <w:rPr>
          <w:rFonts w:hint="eastAsia" w:ascii="宋体" w:hAnsi="宋体" w:eastAsia="宋体" w:cs="宋体"/>
          <w:color w:val="auto"/>
          <w:spacing w:val="-2"/>
          <w:sz w:val="21"/>
          <w:szCs w:val="21"/>
          <w:highlight w:val="none"/>
        </w:rPr>
        <w:t>采购活动，</w:t>
      </w:r>
      <w:r>
        <w:rPr>
          <w:rFonts w:hint="eastAsia" w:ascii="宋体" w:hAnsi="宋体" w:eastAsia="宋体" w:cs="宋体"/>
          <w:color w:val="auto"/>
          <w:spacing w:val="-2"/>
          <w:sz w:val="21"/>
          <w:szCs w:val="21"/>
          <w:highlight w:val="none"/>
          <w:lang w:eastAsia="zh-CN"/>
        </w:rPr>
        <w:t>服务</w:t>
      </w:r>
      <w:r>
        <w:rPr>
          <w:rFonts w:hint="eastAsia" w:ascii="宋体" w:hAnsi="宋体" w:eastAsia="宋体" w:cs="宋体"/>
          <w:color w:val="auto"/>
          <w:spacing w:val="-2"/>
          <w:sz w:val="21"/>
          <w:szCs w:val="21"/>
          <w:highlight w:val="none"/>
        </w:rPr>
        <w:t>全部</w:t>
      </w:r>
      <w:r>
        <w:rPr>
          <w:rFonts w:hint="eastAsia" w:ascii="宋体" w:hAnsi="宋体" w:eastAsia="宋体" w:cs="宋体"/>
          <w:color w:val="auto"/>
          <w:spacing w:val="-2"/>
          <w:sz w:val="21"/>
          <w:szCs w:val="21"/>
          <w:highlight w:val="none"/>
          <w:lang w:eastAsia="zh-CN"/>
        </w:rPr>
        <w:t>由</w:t>
      </w:r>
      <w:r>
        <w:rPr>
          <w:rFonts w:hint="eastAsia" w:ascii="宋体" w:hAnsi="宋体" w:eastAsia="宋体" w:cs="宋体"/>
          <w:color w:val="auto"/>
          <w:spacing w:val="-2"/>
          <w:sz w:val="21"/>
          <w:szCs w:val="21"/>
          <w:highlight w:val="none"/>
        </w:rPr>
        <w:t>符合政策要求的中小企业</w:t>
      </w:r>
      <w:r>
        <w:rPr>
          <w:rFonts w:hint="eastAsia" w:ascii="宋体" w:hAnsi="宋体" w:eastAsia="宋体" w:cs="宋体"/>
          <w:color w:val="auto"/>
          <w:spacing w:val="-2"/>
          <w:sz w:val="21"/>
          <w:szCs w:val="21"/>
          <w:highlight w:val="none"/>
          <w:lang w:eastAsia="zh-CN"/>
        </w:rPr>
        <w:t>承接</w:t>
      </w:r>
      <w:r>
        <w:rPr>
          <w:rFonts w:hint="eastAsia" w:ascii="宋体" w:hAnsi="宋体" w:eastAsia="宋体" w:cs="宋体"/>
          <w:color w:val="auto"/>
          <w:spacing w:val="-2"/>
          <w:sz w:val="21"/>
          <w:szCs w:val="21"/>
          <w:highlight w:val="none"/>
        </w:rPr>
        <w:t>。相关企业（含联合体中的中小企业、签订分包意向协议的中小企业）的具体情况如下：</w:t>
      </w:r>
    </w:p>
    <w:p>
      <w:pPr>
        <w:pStyle w:val="2"/>
        <w:pageBreakBefore w:val="0"/>
        <w:kinsoku/>
        <w:topLinePunct w:val="0"/>
        <w:bidi w:val="0"/>
        <w:snapToGrid/>
        <w:spacing w:after="0" w:line="360" w:lineRule="auto"/>
        <w:ind w:left="0" w:leftChars="0" w:right="0" w:rightChars="0" w:firstLine="412" w:firstLineChars="200"/>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1.</w:t>
      </w:r>
      <w:r>
        <w:rPr>
          <w:rFonts w:hint="eastAsia" w:ascii="宋体" w:hAnsi="宋体" w:eastAsia="宋体" w:cs="宋体"/>
          <w:b/>
          <w:color w:val="auto"/>
          <w:spacing w:val="-2"/>
          <w:sz w:val="21"/>
          <w:szCs w:val="21"/>
          <w:highlight w:val="none"/>
          <w:u w:val="single"/>
        </w:rPr>
        <w:t>（标的名称）</w:t>
      </w:r>
      <w:r>
        <w:rPr>
          <w:rFonts w:hint="eastAsia" w:ascii="宋体" w:hAnsi="宋体" w:eastAsia="宋体" w:cs="宋体"/>
          <w:color w:val="auto"/>
          <w:spacing w:val="-2"/>
          <w:sz w:val="21"/>
          <w:szCs w:val="21"/>
          <w:highlight w:val="none"/>
        </w:rPr>
        <w:t>，属于</w:t>
      </w:r>
      <w:r>
        <w:rPr>
          <w:rFonts w:hint="eastAsia" w:ascii="宋体" w:hAnsi="宋体" w:eastAsia="宋体" w:cs="宋体"/>
          <w:b/>
          <w:bCs/>
          <w:color w:val="auto"/>
          <w:spacing w:val="-2"/>
          <w:sz w:val="21"/>
          <w:szCs w:val="21"/>
          <w:highlight w:val="none"/>
          <w:u w:val="single"/>
          <w:lang w:val="en-US" w:eastAsia="zh-CN"/>
        </w:rPr>
        <w:t xml:space="preserve"> （</w:t>
      </w:r>
      <w:r>
        <w:rPr>
          <w:rFonts w:hint="eastAsia" w:ascii="宋体" w:hAnsi="宋体" w:cs="宋体"/>
          <w:b/>
          <w:bCs/>
          <w:color w:val="auto"/>
          <w:spacing w:val="-2"/>
          <w:sz w:val="21"/>
          <w:szCs w:val="21"/>
          <w:highlight w:val="none"/>
          <w:u w:val="single"/>
          <w:lang w:val="en-US" w:eastAsia="zh-CN"/>
        </w:rPr>
        <w:t>招标</w:t>
      </w:r>
      <w:r>
        <w:rPr>
          <w:rFonts w:hint="eastAsia" w:ascii="宋体" w:hAnsi="宋体" w:eastAsia="宋体" w:cs="宋体"/>
          <w:b/>
          <w:bCs/>
          <w:color w:val="auto"/>
          <w:spacing w:val="-2"/>
          <w:sz w:val="21"/>
          <w:szCs w:val="21"/>
          <w:highlight w:val="none"/>
          <w:u w:val="single"/>
          <w:lang w:val="en-US" w:eastAsia="zh-CN"/>
        </w:rPr>
        <w:t xml:space="preserve">文件中明确的所属行业） </w:t>
      </w:r>
      <w:r>
        <w:rPr>
          <w:rFonts w:hint="eastAsia" w:ascii="宋体" w:hAnsi="宋体" w:eastAsia="宋体" w:cs="宋体"/>
          <w:color w:val="auto"/>
          <w:spacing w:val="-2"/>
          <w:sz w:val="21"/>
          <w:szCs w:val="21"/>
          <w:highlight w:val="none"/>
        </w:rPr>
        <w:t>；</w:t>
      </w:r>
    </w:p>
    <w:p>
      <w:pPr>
        <w:pageBreakBefore w:val="0"/>
        <w:tabs>
          <w:tab w:val="left" w:pos="1806"/>
          <w:tab w:val="left" w:pos="5005"/>
          <w:tab w:val="left" w:pos="7227"/>
        </w:tabs>
        <w:kinsoku/>
        <w:topLinePunct w:val="0"/>
        <w:bidi w:val="0"/>
        <w:snapToGrid/>
        <w:spacing w:line="360" w:lineRule="auto"/>
        <w:ind w:left="0" w:leftChars="0" w:right="0" w:rightChars="0" w:firstLine="500" w:firstLineChars="200"/>
        <w:rPr>
          <w:rFonts w:hint="eastAsia" w:ascii="宋体" w:hAnsi="宋体" w:eastAsia="宋体" w:cs="宋体"/>
          <w:color w:val="auto"/>
          <w:spacing w:val="5"/>
          <w:szCs w:val="21"/>
          <w:highlight w:val="none"/>
        </w:rPr>
      </w:pPr>
      <w:r>
        <w:rPr>
          <w:rFonts w:hint="eastAsia" w:ascii="宋体" w:hAnsi="宋体" w:eastAsia="宋体" w:cs="宋体"/>
          <w:color w:val="auto"/>
          <w:spacing w:val="5"/>
          <w:szCs w:val="21"/>
          <w:highlight w:val="none"/>
          <w:lang w:eastAsia="zh-CN"/>
        </w:rPr>
        <w:t>承接</w:t>
      </w:r>
      <w:r>
        <w:rPr>
          <w:rFonts w:hint="eastAsia" w:ascii="宋体" w:hAnsi="宋体" w:eastAsia="宋体" w:cs="宋体"/>
          <w:color w:val="auto"/>
          <w:spacing w:val="5"/>
          <w:szCs w:val="21"/>
          <w:highlight w:val="none"/>
        </w:rPr>
        <w:t>企业为</w:t>
      </w:r>
      <w:r>
        <w:rPr>
          <w:rFonts w:hint="eastAsia" w:ascii="宋体" w:hAnsi="宋体" w:eastAsia="宋体" w:cs="宋体"/>
          <w:b/>
          <w:color w:val="auto"/>
          <w:spacing w:val="5"/>
          <w:szCs w:val="21"/>
          <w:highlight w:val="none"/>
          <w:u w:val="single"/>
        </w:rPr>
        <w:t>（企业名称）</w:t>
      </w:r>
      <w:r>
        <w:rPr>
          <w:rFonts w:hint="eastAsia" w:ascii="宋体" w:hAnsi="宋体" w:eastAsia="宋体" w:cs="宋体"/>
          <w:color w:val="auto"/>
          <w:spacing w:val="5"/>
          <w:szCs w:val="21"/>
          <w:highlight w:val="none"/>
        </w:rPr>
        <w:t>，从业人员</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rPr>
        <w:t>人，营业收入为</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rPr>
        <w:t>万元，资产总额为</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rPr>
        <w:t>万元，属于</w:t>
      </w:r>
      <w:r>
        <w:rPr>
          <w:rFonts w:hint="eastAsia" w:ascii="宋体" w:hAnsi="宋体" w:eastAsia="宋体" w:cs="宋体"/>
          <w:b/>
          <w:color w:val="auto"/>
          <w:spacing w:val="5"/>
          <w:szCs w:val="21"/>
          <w:highlight w:val="none"/>
          <w:u w:val="single"/>
        </w:rPr>
        <w:t>（中型企业、小型企业、微型企业）</w:t>
      </w:r>
      <w:r>
        <w:rPr>
          <w:rFonts w:hint="eastAsia" w:ascii="宋体" w:hAnsi="宋体" w:eastAsia="宋体" w:cs="宋体"/>
          <w:color w:val="auto"/>
          <w:spacing w:val="5"/>
          <w:szCs w:val="21"/>
          <w:highlight w:val="none"/>
        </w:rPr>
        <w:t>；</w:t>
      </w:r>
    </w:p>
    <w:p>
      <w:pPr>
        <w:pStyle w:val="2"/>
        <w:pageBreakBefore w:val="0"/>
        <w:kinsoku/>
        <w:topLinePunct w:val="0"/>
        <w:bidi w:val="0"/>
        <w:snapToGrid/>
        <w:spacing w:after="0" w:line="360" w:lineRule="auto"/>
        <w:ind w:left="0" w:leftChars="0" w:right="0" w:rightChars="0" w:firstLine="500" w:firstLineChars="200"/>
        <w:rPr>
          <w:rFonts w:hint="eastAsia" w:ascii="宋体" w:hAnsi="宋体" w:eastAsia="宋体" w:cs="宋体"/>
          <w:color w:val="auto"/>
          <w:spacing w:val="-2"/>
          <w:sz w:val="21"/>
          <w:szCs w:val="21"/>
          <w:highlight w:val="none"/>
        </w:rPr>
      </w:pPr>
      <w:r>
        <w:rPr>
          <w:rFonts w:hint="eastAsia" w:ascii="宋体" w:hAnsi="宋体" w:eastAsia="宋体" w:cs="宋体"/>
          <w:color w:val="auto"/>
          <w:spacing w:val="5"/>
          <w:szCs w:val="21"/>
          <w:highlight w:val="none"/>
        </w:rPr>
        <w:t>2.</w:t>
      </w:r>
      <w:r>
        <w:rPr>
          <w:rFonts w:hint="eastAsia" w:ascii="宋体" w:hAnsi="宋体" w:eastAsia="宋体" w:cs="宋体"/>
          <w:b/>
          <w:color w:val="auto"/>
          <w:spacing w:val="-2"/>
          <w:sz w:val="21"/>
          <w:szCs w:val="21"/>
          <w:highlight w:val="none"/>
          <w:u w:val="single"/>
        </w:rPr>
        <w:t xml:space="preserve"> （标的名称）</w:t>
      </w:r>
      <w:r>
        <w:rPr>
          <w:rFonts w:hint="eastAsia" w:ascii="宋体" w:hAnsi="宋体" w:eastAsia="宋体" w:cs="宋体"/>
          <w:color w:val="auto"/>
          <w:spacing w:val="-2"/>
          <w:sz w:val="21"/>
          <w:szCs w:val="21"/>
          <w:highlight w:val="none"/>
        </w:rPr>
        <w:t>，属于</w:t>
      </w:r>
      <w:r>
        <w:rPr>
          <w:rFonts w:hint="eastAsia" w:ascii="宋体" w:hAnsi="宋体" w:eastAsia="宋体" w:cs="宋体"/>
          <w:b/>
          <w:bCs/>
          <w:color w:val="auto"/>
          <w:spacing w:val="-2"/>
          <w:sz w:val="21"/>
          <w:szCs w:val="21"/>
          <w:highlight w:val="none"/>
          <w:u w:val="single"/>
          <w:lang w:val="en-US" w:eastAsia="zh-CN"/>
        </w:rPr>
        <w:t xml:space="preserve"> （采购文件中明确的所属行业） </w:t>
      </w:r>
      <w:r>
        <w:rPr>
          <w:rFonts w:hint="eastAsia" w:ascii="宋体" w:hAnsi="宋体" w:eastAsia="宋体" w:cs="宋体"/>
          <w:color w:val="auto"/>
          <w:spacing w:val="-2"/>
          <w:sz w:val="21"/>
          <w:szCs w:val="21"/>
          <w:highlight w:val="none"/>
        </w:rPr>
        <w:t>；</w:t>
      </w:r>
    </w:p>
    <w:p>
      <w:pPr>
        <w:pageBreakBefore w:val="0"/>
        <w:tabs>
          <w:tab w:val="left" w:pos="1130"/>
          <w:tab w:val="left" w:pos="5005"/>
          <w:tab w:val="left" w:pos="7227"/>
        </w:tabs>
        <w:kinsoku/>
        <w:topLinePunct w:val="0"/>
        <w:bidi w:val="0"/>
        <w:snapToGrid/>
        <w:spacing w:line="360" w:lineRule="auto"/>
        <w:ind w:left="0" w:leftChars="0" w:right="0" w:rightChars="0" w:firstLine="500" w:firstLineChars="200"/>
        <w:rPr>
          <w:rFonts w:hint="eastAsia" w:ascii="宋体" w:hAnsi="宋体" w:eastAsia="宋体" w:cs="宋体"/>
          <w:color w:val="auto"/>
          <w:spacing w:val="5"/>
          <w:szCs w:val="21"/>
          <w:highlight w:val="none"/>
        </w:rPr>
      </w:pPr>
      <w:r>
        <w:rPr>
          <w:rFonts w:hint="eastAsia" w:ascii="宋体" w:hAnsi="宋体" w:eastAsia="宋体" w:cs="宋体"/>
          <w:color w:val="auto"/>
          <w:spacing w:val="5"/>
          <w:szCs w:val="21"/>
          <w:highlight w:val="none"/>
          <w:lang w:eastAsia="zh-CN"/>
        </w:rPr>
        <w:t>承接</w:t>
      </w:r>
      <w:r>
        <w:rPr>
          <w:rFonts w:hint="eastAsia" w:ascii="宋体" w:hAnsi="宋体" w:eastAsia="宋体" w:cs="宋体"/>
          <w:color w:val="auto"/>
          <w:spacing w:val="5"/>
          <w:szCs w:val="21"/>
          <w:highlight w:val="none"/>
        </w:rPr>
        <w:t>企业为</w:t>
      </w:r>
      <w:r>
        <w:rPr>
          <w:rFonts w:hint="eastAsia" w:ascii="宋体" w:hAnsi="宋体" w:eastAsia="宋体" w:cs="宋体"/>
          <w:b/>
          <w:color w:val="auto"/>
          <w:spacing w:val="5"/>
          <w:szCs w:val="21"/>
          <w:highlight w:val="none"/>
          <w:u w:val="single"/>
        </w:rPr>
        <w:t>（企业名称）</w:t>
      </w:r>
      <w:r>
        <w:rPr>
          <w:rFonts w:hint="eastAsia" w:ascii="宋体" w:hAnsi="宋体" w:eastAsia="宋体" w:cs="宋体"/>
          <w:color w:val="auto"/>
          <w:spacing w:val="5"/>
          <w:szCs w:val="21"/>
          <w:highlight w:val="none"/>
        </w:rPr>
        <w:t>，从业人员</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rPr>
        <w:t>人，营业收入为</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u w:val="single"/>
        </w:rPr>
        <w:tab/>
      </w:r>
      <w:r>
        <w:rPr>
          <w:rFonts w:hint="eastAsia" w:ascii="宋体" w:hAnsi="宋体" w:eastAsia="宋体" w:cs="宋体"/>
          <w:color w:val="auto"/>
          <w:spacing w:val="5"/>
          <w:szCs w:val="21"/>
          <w:highlight w:val="none"/>
        </w:rPr>
        <w:t>万元，资产总额为</w:t>
      </w:r>
      <w:r>
        <w:rPr>
          <w:rFonts w:hint="eastAsia" w:ascii="宋体" w:hAnsi="宋体" w:eastAsia="宋体" w:cs="宋体"/>
          <w:color w:val="auto"/>
          <w:spacing w:val="5"/>
          <w:szCs w:val="21"/>
          <w:highlight w:val="none"/>
          <w:u w:val="single"/>
        </w:rPr>
        <w:t xml:space="preserve">     </w:t>
      </w:r>
      <w:r>
        <w:rPr>
          <w:rFonts w:hint="eastAsia" w:ascii="宋体" w:hAnsi="宋体" w:eastAsia="宋体" w:cs="宋体"/>
          <w:color w:val="auto"/>
          <w:spacing w:val="5"/>
          <w:szCs w:val="21"/>
          <w:highlight w:val="none"/>
        </w:rPr>
        <w:t>万元，属于</w:t>
      </w:r>
      <w:r>
        <w:rPr>
          <w:rFonts w:hint="eastAsia" w:ascii="宋体" w:hAnsi="宋体" w:eastAsia="宋体" w:cs="宋体"/>
          <w:b/>
          <w:color w:val="auto"/>
          <w:spacing w:val="5"/>
          <w:szCs w:val="21"/>
          <w:highlight w:val="none"/>
          <w:u w:val="single"/>
        </w:rPr>
        <w:t>（中型企业、小型企业、微型企业）</w:t>
      </w:r>
      <w:r>
        <w:rPr>
          <w:rFonts w:hint="eastAsia" w:ascii="宋体" w:hAnsi="宋体" w:eastAsia="宋体" w:cs="宋体"/>
          <w:color w:val="auto"/>
          <w:spacing w:val="5"/>
          <w:szCs w:val="21"/>
          <w:highlight w:val="none"/>
        </w:rPr>
        <w:t>；</w:t>
      </w:r>
    </w:p>
    <w:p>
      <w:pPr>
        <w:pageBreakBefore w:val="0"/>
        <w:tabs>
          <w:tab w:val="left" w:pos="1806"/>
          <w:tab w:val="left" w:pos="5005"/>
          <w:tab w:val="left" w:pos="7227"/>
        </w:tabs>
        <w:kinsoku/>
        <w:topLinePunct w:val="0"/>
        <w:bidi w:val="0"/>
        <w:snapToGrid/>
        <w:spacing w:line="360" w:lineRule="auto"/>
        <w:ind w:left="0" w:leftChars="0" w:right="0" w:rightChars="0" w:firstLine="500" w:firstLineChars="200"/>
        <w:rPr>
          <w:rFonts w:hint="eastAsia" w:ascii="宋体" w:hAnsi="宋体" w:eastAsia="宋体" w:cs="宋体"/>
          <w:color w:val="auto"/>
          <w:spacing w:val="5"/>
          <w:szCs w:val="21"/>
          <w:highlight w:val="none"/>
        </w:rPr>
      </w:pPr>
      <w:r>
        <w:rPr>
          <w:rFonts w:hint="eastAsia" w:ascii="宋体" w:hAnsi="宋体" w:eastAsia="宋体" w:cs="宋体"/>
          <w:color w:val="auto"/>
          <w:spacing w:val="5"/>
          <w:szCs w:val="21"/>
          <w:highlight w:val="none"/>
        </w:rPr>
        <w:t>……</w:t>
      </w:r>
    </w:p>
    <w:p>
      <w:pPr>
        <w:pStyle w:val="2"/>
        <w:pageBreakBefore w:val="0"/>
        <w:kinsoku/>
        <w:topLinePunct w:val="0"/>
        <w:bidi w:val="0"/>
        <w:snapToGrid/>
        <w:spacing w:after="0" w:line="360" w:lineRule="auto"/>
        <w:ind w:left="0" w:leftChars="0" w:right="0" w:rightChars="0" w:firstLine="408"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以上企业，不属于大企业的分支机构，不存在控股股东</w:t>
      </w:r>
      <w:r>
        <w:rPr>
          <w:rFonts w:hint="eastAsia" w:ascii="宋体" w:hAnsi="宋体" w:eastAsia="宋体" w:cs="宋体"/>
          <w:color w:val="auto"/>
          <w:spacing w:val="-5"/>
          <w:sz w:val="21"/>
          <w:szCs w:val="21"/>
          <w:highlight w:val="none"/>
        </w:rPr>
        <w:t>为大企业的情形，也不存在与大企业的负责人为同一人的情形。</w:t>
      </w:r>
    </w:p>
    <w:p>
      <w:pPr>
        <w:pStyle w:val="15"/>
        <w:pageBreakBefore w:val="0"/>
        <w:kinsoku/>
        <w:topLinePunct w:val="0"/>
        <w:bidi w:val="0"/>
        <w:snapToGrid/>
        <w:spacing w:before="0" w:beforeAutospacing="0" w:after="0" w:afterAutospacing="0" w:line="360" w:lineRule="auto"/>
        <w:ind w:left="0" w:leftChars="0" w:right="0" w:rightChars="0"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w:t>
      </w:r>
      <w:bookmarkStart w:id="399" w:name="_GoBack"/>
      <w:bookmarkEnd w:id="399"/>
      <w:r>
        <w:rPr>
          <w:rFonts w:hint="eastAsia" w:ascii="宋体" w:hAnsi="宋体" w:eastAsia="宋体" w:cs="宋体"/>
          <w:color w:val="auto"/>
          <w:sz w:val="21"/>
          <w:szCs w:val="21"/>
          <w:highlight w:val="none"/>
        </w:rPr>
        <w:t>明内容的真实性负责。如有虚假，将依法承担相应责任。</w:t>
      </w: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lang w:eastAsia="zh-CN"/>
        </w:rPr>
      </w:pPr>
    </w:p>
    <w:p>
      <w:pPr>
        <w:pageBreakBefore w:val="0"/>
        <w:kinsoku/>
        <w:topLinePunct w:val="0"/>
        <w:bidi w:val="0"/>
        <w:snapToGrid/>
        <w:spacing w:line="360" w:lineRule="auto"/>
        <w:ind w:left="0" w:leftChars="0" w:right="0" w:rightChars="0" w:firstLine="400"/>
        <w:rPr>
          <w:rFonts w:hint="eastAsia" w:ascii="宋体" w:hAnsi="宋体" w:eastAsia="宋体" w:cs="宋体"/>
          <w:b/>
          <w:bCs/>
          <w:color w:val="auto"/>
          <w:highlight w:val="none"/>
          <w:u w:val="single"/>
        </w:rPr>
      </w:pPr>
      <w:r>
        <w:rPr>
          <w:rFonts w:hint="eastAsia" w:ascii="宋体" w:hAnsi="宋体" w:eastAsia="宋体" w:cs="宋体"/>
          <w:b/>
          <w:bCs/>
          <w:color w:val="auto"/>
          <w:highlight w:val="none"/>
          <w:lang w:eastAsia="zh-CN"/>
        </w:rPr>
        <w:t>投标人名称</w:t>
      </w:r>
      <w:r>
        <w:rPr>
          <w:rFonts w:hint="eastAsia" w:ascii="宋体" w:hAnsi="宋体" w:eastAsia="宋体" w:cs="宋体"/>
          <w:b/>
          <w:bCs/>
          <w:color w:val="auto"/>
          <w:highlight w:val="none"/>
        </w:rPr>
        <w:t>(电子签章)：</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400"/>
        <w:rPr>
          <w:rFonts w:hint="eastAsia" w:ascii="宋体" w:hAnsi="宋体" w:eastAsia="宋体" w:cs="宋体"/>
          <w:b/>
          <w:bCs/>
          <w:color w:val="auto"/>
          <w:sz w:val="20"/>
          <w:szCs w:val="20"/>
          <w:highlight w:val="none"/>
        </w:rPr>
      </w:pPr>
      <w:r>
        <w:rPr>
          <w:rFonts w:hint="eastAsia" w:ascii="宋体" w:hAnsi="宋体" w:eastAsia="宋体" w:cs="宋体"/>
          <w:b/>
          <w:bCs/>
          <w:color w:val="auto"/>
          <w:highlight w:val="none"/>
        </w:rPr>
        <w:t>日 期：</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日</w:t>
      </w:r>
    </w:p>
    <w:p>
      <w:pPr>
        <w:pageBreakBefore w:val="0"/>
        <w:kinsoku/>
        <w:topLinePunct w:val="0"/>
        <w:bidi w:val="0"/>
        <w:snapToGrid/>
        <w:spacing w:line="360" w:lineRule="auto"/>
        <w:ind w:left="0" w:leftChars="0" w:right="0" w:rightChars="0" w:firstLine="400"/>
        <w:rPr>
          <w:rFonts w:hint="eastAsia" w:ascii="宋体" w:hAnsi="宋体" w:eastAsia="宋体" w:cs="宋体"/>
          <w:color w:val="auto"/>
          <w:sz w:val="20"/>
          <w:szCs w:val="20"/>
          <w:highlight w:val="none"/>
        </w:rPr>
      </w:pPr>
    </w:p>
    <w:p>
      <w:pPr>
        <w:pageBreakBefore w:val="0"/>
        <w:kinsoku/>
        <w:topLinePunct w:val="0"/>
        <w:bidi w:val="0"/>
        <w:snapToGrid/>
        <w:spacing w:line="360" w:lineRule="auto"/>
        <w:ind w:left="0" w:leftChars="0" w:right="0" w:rightChars="0" w:firstLine="400"/>
        <w:rPr>
          <w:rFonts w:hint="eastAsia" w:ascii="宋体" w:hAnsi="宋体" w:eastAsia="宋体" w:cs="宋体"/>
          <w:b/>
          <w:color w:val="auto"/>
          <w:sz w:val="18"/>
          <w:szCs w:val="18"/>
          <w:highlight w:val="none"/>
        </w:rPr>
      </w:pPr>
      <w:r>
        <w:rPr>
          <w:rFonts w:hint="eastAsia" w:ascii="宋体" w:hAnsi="宋体" w:eastAsia="宋体" w:cs="宋体"/>
          <w:b/>
          <w:bCs/>
          <w:color w:val="auto"/>
          <w:sz w:val="18"/>
          <w:szCs w:val="18"/>
          <w:highlight w:val="none"/>
        </w:rPr>
        <w:t>注</w:t>
      </w:r>
      <w:r>
        <w:rPr>
          <w:rFonts w:hint="eastAsia" w:ascii="宋体" w:hAnsi="宋体" w:eastAsia="宋体" w:cs="宋体"/>
          <w:b/>
          <w:bCs/>
          <w:color w:val="auto"/>
          <w:sz w:val="18"/>
          <w:szCs w:val="18"/>
          <w:highlight w:val="none"/>
          <w:lang w:eastAsia="zh-CN"/>
        </w:rPr>
        <w:t>：</w:t>
      </w:r>
      <w:r>
        <w:rPr>
          <w:rFonts w:hint="eastAsia" w:ascii="宋体" w:hAnsi="宋体" w:eastAsia="宋体" w:cs="宋体"/>
          <w:b/>
          <w:color w:val="auto"/>
          <w:sz w:val="18"/>
          <w:szCs w:val="18"/>
          <w:highlight w:val="none"/>
        </w:rPr>
        <w:t>1、以联合体形式参加政府采购活动，联合体各方均为中小企业的，联合体视同中小企业。其中，联合体各方均为小微企业的，联合体视同小微企业。组成联合体的中小企业与联合体内其他企业之间不得存在直接控股、管理关系。</w:t>
      </w:r>
    </w:p>
    <w:p>
      <w:pPr>
        <w:pageBreakBefore w:val="0"/>
        <w:kinsoku/>
        <w:topLinePunct w:val="0"/>
        <w:bidi w:val="0"/>
        <w:snapToGrid/>
        <w:spacing w:line="360" w:lineRule="auto"/>
        <w:ind w:left="0" w:leftChars="0" w:right="0" w:rightChars="0" w:firstLine="400"/>
        <w:rPr>
          <w:rFonts w:hint="eastAsia" w:ascii="宋体" w:hAnsi="宋体" w:eastAsia="宋体" w:cs="宋体"/>
          <w:b/>
          <w:color w:val="auto"/>
          <w:sz w:val="18"/>
          <w:szCs w:val="18"/>
          <w:highlight w:val="none"/>
          <w:lang w:val="en-US" w:eastAsia="zh-CN"/>
        </w:rPr>
      </w:pPr>
      <w:r>
        <w:rPr>
          <w:rFonts w:hint="eastAsia" w:ascii="宋体" w:hAnsi="宋体" w:eastAsia="宋体" w:cs="宋体"/>
          <w:b/>
          <w:color w:val="auto"/>
          <w:sz w:val="18"/>
          <w:szCs w:val="18"/>
          <w:highlight w:val="none"/>
          <w:lang w:val="en-US" w:eastAsia="zh-CN"/>
        </w:rPr>
        <w:t>2、若本次采购范围内所有标的物均由小微型企业承接或由以联合体形式投标的企业承接且联合体成员企业划型或小微企业承担的合同份额符合财政部门针对小微企业价格扣除政策要求的，应按上述格式出具《中小企业声明函》（注：小微企业为大企业的分支机构的、控股股东为大企业的或存在与大企业的负责人为同一人的除外）；否则不得享受相关中小企业扶持政策。</w:t>
      </w:r>
    </w:p>
    <w:p>
      <w:pPr>
        <w:pageBreakBefore w:val="0"/>
        <w:kinsoku/>
        <w:topLinePunct w:val="0"/>
        <w:bidi w:val="0"/>
        <w:snapToGrid/>
        <w:spacing w:line="360" w:lineRule="auto"/>
        <w:ind w:left="0" w:leftChars="0" w:right="0" w:rightChars="0" w:firstLine="361"/>
        <w:rPr>
          <w:rFonts w:hint="eastAsia" w:ascii="宋体" w:hAnsi="宋体" w:eastAsia="宋体" w:cs="宋体"/>
          <w:b/>
          <w:color w:val="auto"/>
          <w:sz w:val="18"/>
          <w:szCs w:val="18"/>
          <w:highlight w:val="none"/>
        </w:rPr>
      </w:pPr>
      <w:bookmarkStart w:id="200" w:name="_Hlk110266515"/>
      <w:r>
        <w:rPr>
          <w:rFonts w:hint="eastAsia" w:ascii="宋体" w:hAnsi="宋体" w:eastAsia="宋体" w:cs="宋体"/>
          <w:b/>
          <w:color w:val="auto"/>
          <w:sz w:val="18"/>
          <w:szCs w:val="18"/>
          <w:highlight w:val="none"/>
          <w:lang w:val="en-US" w:eastAsia="zh-CN"/>
        </w:rPr>
        <w:t>3</w:t>
      </w:r>
      <w:r>
        <w:rPr>
          <w:rFonts w:hint="eastAsia" w:ascii="宋体" w:hAnsi="宋体" w:eastAsia="宋体" w:cs="宋体"/>
          <w:b/>
          <w:color w:val="auto"/>
          <w:sz w:val="18"/>
          <w:szCs w:val="18"/>
          <w:highlight w:val="none"/>
        </w:rPr>
        <w:t>、上述声明函中从业人员、营业收入、资产总额填报上一年度数据，无上一年度数据的新成立企业可不填报。</w:t>
      </w:r>
      <w:bookmarkEnd w:id="200"/>
    </w:p>
    <w:p>
      <w:pPr>
        <w:pageBreakBefore w:val="0"/>
        <w:kinsoku/>
        <w:topLinePunct w:val="0"/>
        <w:bidi w:val="0"/>
        <w:snapToGrid/>
        <w:spacing w:line="360" w:lineRule="auto"/>
        <w:ind w:left="0" w:leftChars="0" w:right="0" w:rightChars="0" w:firstLine="361"/>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lang w:val="en-US" w:eastAsia="zh-CN"/>
        </w:rPr>
        <w:t>4</w:t>
      </w:r>
      <w:r>
        <w:rPr>
          <w:rFonts w:hint="eastAsia" w:ascii="宋体" w:hAnsi="宋体" w:eastAsia="宋体" w:cs="宋体"/>
          <w:b/>
          <w:color w:val="auto"/>
          <w:sz w:val="18"/>
          <w:szCs w:val="18"/>
          <w:highlight w:val="none"/>
        </w:rPr>
        <w:t>、</w:t>
      </w:r>
      <w:r>
        <w:rPr>
          <w:rFonts w:hint="eastAsia" w:ascii="宋体" w:hAnsi="宋体" w:eastAsia="宋体" w:cs="宋体"/>
          <w:b/>
          <w:color w:val="auto"/>
          <w:sz w:val="18"/>
          <w:szCs w:val="18"/>
          <w:highlight w:val="none"/>
          <w:lang w:eastAsia="zh-CN"/>
        </w:rPr>
        <w:t>投标人</w:t>
      </w:r>
      <w:r>
        <w:rPr>
          <w:rFonts w:hint="eastAsia" w:ascii="宋体" w:hAnsi="宋体" w:eastAsia="宋体" w:cs="宋体"/>
          <w:b/>
          <w:color w:val="auto"/>
          <w:sz w:val="18"/>
          <w:szCs w:val="18"/>
          <w:highlight w:val="none"/>
        </w:rPr>
        <w:t>须核对《关于印发中小企业划型标准规定的通知》（工信部联企业〔2011〕300号）规定的中小企业划型标准，如实填写声明函中相关信息。所声明的从业人员人数或营业收入金额不符合中小企业划型标准规定填写的，评标委员会将不予</w:t>
      </w:r>
      <w:r>
        <w:rPr>
          <w:rFonts w:hint="eastAsia" w:ascii="宋体" w:hAnsi="宋体" w:eastAsia="宋体" w:cs="宋体"/>
          <w:b/>
          <w:color w:val="auto"/>
          <w:sz w:val="18"/>
          <w:szCs w:val="18"/>
          <w:highlight w:val="none"/>
          <w:lang w:eastAsia="zh-CN"/>
        </w:rPr>
        <w:t>认定为中小企业</w:t>
      </w:r>
      <w:r>
        <w:rPr>
          <w:rFonts w:hint="eastAsia" w:ascii="宋体" w:hAnsi="宋体" w:eastAsia="宋体" w:cs="宋体"/>
          <w:b/>
          <w:color w:val="auto"/>
          <w:sz w:val="18"/>
          <w:szCs w:val="18"/>
          <w:highlight w:val="none"/>
        </w:rPr>
        <w:t>。请各</w:t>
      </w:r>
      <w:r>
        <w:rPr>
          <w:rFonts w:hint="eastAsia" w:ascii="宋体" w:hAnsi="宋体" w:eastAsia="宋体" w:cs="宋体"/>
          <w:b/>
          <w:color w:val="auto"/>
          <w:sz w:val="18"/>
          <w:szCs w:val="18"/>
          <w:highlight w:val="none"/>
          <w:lang w:eastAsia="zh-CN"/>
        </w:rPr>
        <w:t>投标人</w:t>
      </w:r>
      <w:r>
        <w:rPr>
          <w:rFonts w:hint="eastAsia" w:ascii="宋体" w:hAnsi="宋体" w:eastAsia="宋体" w:cs="宋体"/>
          <w:b/>
          <w:color w:val="auto"/>
          <w:sz w:val="18"/>
          <w:szCs w:val="18"/>
          <w:highlight w:val="none"/>
        </w:rPr>
        <w:t>如实填写相关信息。</w:t>
      </w:r>
    </w:p>
    <w:p>
      <w:pPr>
        <w:pStyle w:val="6"/>
        <w:pageBreakBefore w:val="0"/>
        <w:kinsoku/>
        <w:topLinePunct w:val="0"/>
        <w:bidi w:val="0"/>
        <w:snapToGrid/>
        <w:spacing w:line="360" w:lineRule="auto"/>
        <w:ind w:left="0" w:leftChars="0" w:right="0" w:rightChars="0" w:firstLine="361"/>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lang w:val="en-US" w:eastAsia="zh-CN"/>
        </w:rPr>
        <w:t>5</w:t>
      </w:r>
      <w:r>
        <w:rPr>
          <w:rFonts w:hint="eastAsia" w:ascii="宋体" w:hAnsi="宋体" w:eastAsia="宋体" w:cs="宋体"/>
          <w:b/>
          <w:color w:val="auto"/>
          <w:sz w:val="18"/>
          <w:szCs w:val="18"/>
          <w:highlight w:val="none"/>
        </w:rPr>
        <w:t>、</w:t>
      </w:r>
      <w:r>
        <w:rPr>
          <w:rFonts w:hint="eastAsia" w:ascii="宋体" w:hAnsi="宋体" w:eastAsia="宋体" w:cs="宋体"/>
          <w:b/>
          <w:color w:val="auto"/>
          <w:sz w:val="18"/>
          <w:szCs w:val="18"/>
          <w:highlight w:val="none"/>
          <w:lang w:eastAsia="zh-CN"/>
        </w:rPr>
        <w:t>投标人</w:t>
      </w:r>
      <w:r>
        <w:rPr>
          <w:rFonts w:hint="eastAsia" w:ascii="宋体" w:hAnsi="宋体" w:eastAsia="宋体" w:cs="宋体"/>
          <w:b/>
          <w:color w:val="auto"/>
          <w:sz w:val="18"/>
          <w:szCs w:val="18"/>
          <w:highlight w:val="none"/>
        </w:rPr>
        <w:t>提供声明函内容不实的，属于提供虚假材料谋取中标、成交，依照《中华人民共和国政府采购法》等国家有关规定追究相应责任。</w:t>
      </w:r>
    </w:p>
    <w:p>
      <w:pPr>
        <w:pageBreakBefore w:val="0"/>
        <w:kinsoku/>
        <w:topLinePunct w:val="0"/>
        <w:bidi w:val="0"/>
        <w:snapToGrid/>
        <w:spacing w:line="360" w:lineRule="auto"/>
        <w:ind w:left="0" w:leftChars="0" w:right="0" w:rightChars="0" w:firstLine="0" w:firstLineChars="0"/>
        <w:jc w:val="center"/>
        <w:outlineLvl w:val="9"/>
        <w:rPr>
          <w:rFonts w:hint="eastAsia" w:ascii="宋体" w:hAnsi="宋体" w:eastAsia="宋体" w:cs="宋体"/>
          <w:color w:val="auto"/>
          <w:sz w:val="30"/>
          <w:szCs w:val="30"/>
          <w:highlight w:val="none"/>
        </w:rPr>
        <w:sectPr>
          <w:pgSz w:w="11900" w:h="16838"/>
          <w:pgMar w:top="1417" w:right="1417" w:bottom="1417" w:left="1417" w:header="850" w:footer="850" w:gutter="0"/>
          <w:pgNumType w:fmt="decimal"/>
          <w:cols w:space="0" w:num="1"/>
          <w:titlePg/>
          <w:docGrid w:linePitch="326" w:charSpace="0"/>
        </w:sectPr>
      </w:pPr>
      <w:bookmarkStart w:id="201" w:name="_Toc23023"/>
      <w:bookmarkStart w:id="202" w:name="_Toc26783968"/>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203" w:name="_Toc19998"/>
      <w:bookmarkStart w:id="204" w:name="_Toc16234"/>
      <w:bookmarkStart w:id="205" w:name="_Toc23013"/>
      <w:bookmarkStart w:id="206" w:name="_Toc375"/>
      <w:r>
        <w:rPr>
          <w:rFonts w:hint="eastAsia" w:ascii="宋体" w:hAnsi="宋体" w:cs="宋体"/>
          <w:color w:val="auto"/>
          <w:sz w:val="30"/>
          <w:szCs w:val="30"/>
          <w:highlight w:val="none"/>
          <w:lang w:eastAsia="zh-CN"/>
        </w:rPr>
        <w:t>（六）</w:t>
      </w:r>
      <w:r>
        <w:rPr>
          <w:rFonts w:hint="eastAsia" w:ascii="宋体" w:hAnsi="宋体" w:eastAsia="宋体" w:cs="宋体"/>
          <w:color w:val="auto"/>
          <w:sz w:val="30"/>
          <w:szCs w:val="30"/>
          <w:highlight w:val="none"/>
        </w:rPr>
        <w:t>监狱企业</w:t>
      </w:r>
      <w:bookmarkEnd w:id="201"/>
      <w:bookmarkEnd w:id="202"/>
      <w:r>
        <w:rPr>
          <w:rFonts w:hint="eastAsia" w:ascii="宋体" w:hAnsi="宋体" w:eastAsia="宋体" w:cs="宋体"/>
          <w:color w:val="auto"/>
          <w:sz w:val="30"/>
          <w:szCs w:val="30"/>
          <w:highlight w:val="none"/>
        </w:rPr>
        <w:t>证明文件</w:t>
      </w:r>
      <w:bookmarkEnd w:id="203"/>
      <w:bookmarkEnd w:id="204"/>
      <w:bookmarkEnd w:id="205"/>
      <w:bookmarkEnd w:id="206"/>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 w:val="18"/>
          <w:highlight w:val="none"/>
          <w:u w:val="single"/>
        </w:rPr>
      </w:pPr>
      <w:r>
        <w:rPr>
          <w:rFonts w:hint="eastAsia" w:ascii="宋体" w:hAnsi="宋体" w:eastAsia="宋体" w:cs="宋体"/>
          <w:color w:val="auto"/>
          <w:szCs w:val="24"/>
          <w:highlight w:val="none"/>
        </w:rPr>
        <w:t>（不属于监狱企业的无需填写）</w:t>
      </w:r>
    </w:p>
    <w:p>
      <w:pPr>
        <w:pageBreakBefore w:val="0"/>
        <w:kinsoku/>
        <w:topLinePunct w:val="0"/>
        <w:bidi w:val="0"/>
        <w:snapToGrid/>
        <w:spacing w:line="360" w:lineRule="auto"/>
        <w:ind w:left="0" w:leftChars="0" w:right="0" w:rightChars="0"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ageBreakBefore w:val="0"/>
        <w:kinsoku/>
        <w:topLinePunct w:val="0"/>
        <w:bidi w:val="0"/>
        <w:snapToGrid/>
        <w:spacing w:line="360" w:lineRule="auto"/>
        <w:ind w:left="0" w:leftChars="0" w:right="0" w:rightChars="0" w:firstLine="420"/>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监狱企业参加政府采购活动时，应当提供由省级以上监狱管理局、戒毒管理局（含新疆生产建设兵团）出具的属于监狱企业的证明文件。</w:t>
      </w:r>
    </w:p>
    <w:p>
      <w:pPr>
        <w:pageBreakBefore w:val="0"/>
        <w:kinsoku/>
        <w:topLinePunct w:val="0"/>
        <w:bidi w:val="0"/>
        <w:snapToGrid/>
        <w:spacing w:line="360" w:lineRule="auto"/>
        <w:ind w:left="0" w:leftChars="0" w:right="0" w:rightChars="0" w:firstLine="480"/>
        <w:rPr>
          <w:rFonts w:hint="eastAsia" w:ascii="宋体" w:hAnsi="宋体" w:eastAsia="宋体" w:cs="宋体"/>
          <w:color w:val="auto"/>
          <w:sz w:val="24"/>
          <w:szCs w:val="24"/>
          <w:highlight w:val="none"/>
        </w:rPr>
      </w:pPr>
    </w:p>
    <w:p>
      <w:pPr>
        <w:pageBreakBefore w:val="0"/>
        <w:kinsoku/>
        <w:topLinePunct w:val="0"/>
        <w:bidi w:val="0"/>
        <w:snapToGrid/>
        <w:spacing w:line="360" w:lineRule="auto"/>
        <w:ind w:left="0" w:leftChars="0" w:right="0" w:rightChars="0" w:firstLine="420"/>
        <w:rPr>
          <w:rFonts w:hint="eastAsia" w:ascii="宋体" w:hAnsi="宋体" w:eastAsia="宋体" w:cs="宋体"/>
          <w:color w:val="auto"/>
          <w:szCs w:val="21"/>
          <w:highlight w:val="none"/>
          <w:u w:val="single"/>
        </w:rPr>
      </w:pPr>
    </w:p>
    <w:p>
      <w:pPr>
        <w:pageBreakBefore w:val="0"/>
        <w:kinsoku/>
        <w:topLinePunct w:val="0"/>
        <w:bidi w:val="0"/>
        <w:snapToGrid/>
        <w:spacing w:line="360" w:lineRule="auto"/>
        <w:ind w:left="0" w:leftChars="0" w:right="0" w:rightChars="0"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r>
        <w:rPr>
          <w:rFonts w:hint="eastAsia" w:ascii="宋体" w:hAnsi="宋体" w:eastAsia="宋体" w:cs="宋体"/>
          <w:b/>
          <w:color w:val="auto"/>
          <w:szCs w:val="21"/>
          <w:highlight w:val="none"/>
          <w:lang w:val="en-US" w:eastAsia="zh-CN"/>
        </w:rPr>
        <w:t>1、</w:t>
      </w:r>
      <w:r>
        <w:rPr>
          <w:rFonts w:hint="eastAsia" w:ascii="宋体" w:hAnsi="宋体" w:eastAsia="宋体" w:cs="宋体"/>
          <w:b/>
          <w:color w:val="auto"/>
          <w:szCs w:val="21"/>
          <w:highlight w:val="none"/>
        </w:rPr>
        <w:t>符合条件的监狱企业在参加政府采购活动时，应当按《财政部 司法部关于政府采购支持监狱企业发展有关问题的通知》（财库[2014]68号）提供规定的《监狱企业证明文件》，并对提供的证明文件真实性负责。</w:t>
      </w:r>
    </w:p>
    <w:p>
      <w:pPr>
        <w:pageBreakBefore w:val="0"/>
        <w:kinsoku/>
        <w:topLinePunct w:val="0"/>
        <w:bidi w:val="0"/>
        <w:snapToGrid/>
        <w:spacing w:line="360" w:lineRule="auto"/>
        <w:ind w:left="0" w:leftChars="0" w:right="0" w:rightChars="0" w:firstLine="422"/>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w:t>
      </w:r>
      <w:r>
        <w:rPr>
          <w:rFonts w:hint="eastAsia" w:ascii="宋体" w:hAnsi="宋体" w:eastAsia="宋体" w:cs="宋体"/>
          <w:b/>
          <w:color w:val="auto"/>
          <w:szCs w:val="21"/>
          <w:highlight w:val="none"/>
        </w:rPr>
        <w:t>以联合体形式投标的</w:t>
      </w:r>
      <w:r>
        <w:rPr>
          <w:rFonts w:hint="eastAsia" w:ascii="宋体" w:hAnsi="宋体" w:eastAsia="宋体" w:cs="宋体"/>
          <w:b/>
          <w:color w:val="auto"/>
          <w:szCs w:val="21"/>
          <w:highlight w:val="none"/>
          <w:lang w:eastAsia="zh-CN"/>
        </w:rPr>
        <w:t>，联合体各方均需提供，不属于监狱企业的无需填写。</w:t>
      </w: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207" w:name="_Toc18234"/>
      <w:bookmarkStart w:id="208" w:name="_Toc21016"/>
      <w:bookmarkStart w:id="209" w:name="_Toc1482"/>
      <w:bookmarkStart w:id="210" w:name="_Toc26783969"/>
      <w:bookmarkStart w:id="211" w:name="_Toc28757"/>
      <w:bookmarkStart w:id="212" w:name="_Toc12477"/>
      <w:bookmarkStart w:id="213" w:name="OLE_LINK13"/>
      <w:bookmarkStart w:id="214" w:name="OLE_LINK14"/>
      <w:r>
        <w:rPr>
          <w:rFonts w:hint="eastAsia" w:ascii="宋体" w:hAnsi="宋体" w:cs="宋体"/>
          <w:color w:val="auto"/>
          <w:sz w:val="30"/>
          <w:szCs w:val="30"/>
          <w:highlight w:val="none"/>
          <w:lang w:eastAsia="zh-CN"/>
        </w:rPr>
        <w:t>（七）</w:t>
      </w:r>
      <w:r>
        <w:rPr>
          <w:rFonts w:hint="eastAsia" w:ascii="宋体" w:hAnsi="宋体" w:eastAsia="宋体" w:cs="宋体"/>
          <w:color w:val="auto"/>
          <w:sz w:val="30"/>
          <w:szCs w:val="30"/>
          <w:highlight w:val="none"/>
        </w:rPr>
        <w:t>残疾人福利性单位声明函</w:t>
      </w:r>
      <w:bookmarkEnd w:id="207"/>
      <w:bookmarkEnd w:id="208"/>
      <w:bookmarkEnd w:id="209"/>
      <w:bookmarkEnd w:id="210"/>
      <w:bookmarkEnd w:id="211"/>
      <w:bookmarkEnd w:id="212"/>
    </w:p>
    <w:bookmarkEnd w:id="213"/>
    <w:bookmarkEnd w:id="214"/>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（不属于残疾人福利性单位的无需填写）</w:t>
      </w:r>
    </w:p>
    <w:p>
      <w:pPr>
        <w:pageBreakBefore w:val="0"/>
        <w:kinsoku/>
        <w:topLinePunct w:val="0"/>
        <w:bidi w:val="0"/>
        <w:snapToGrid/>
        <w:spacing w:line="360" w:lineRule="auto"/>
        <w:ind w:left="0" w:leftChars="0" w:right="0" w:rightChars="0" w:firstLine="444"/>
        <w:rPr>
          <w:rFonts w:hint="eastAsia" w:ascii="宋体" w:hAnsi="宋体" w:eastAsia="宋体" w:cs="宋体"/>
          <w:color w:val="auto"/>
          <w:spacing w:val="6"/>
          <w:szCs w:val="21"/>
          <w:highlight w:val="none"/>
        </w:rPr>
      </w:pPr>
      <w:bookmarkStart w:id="215" w:name="_Hlk110266551"/>
      <w:r>
        <w:rPr>
          <w:rFonts w:hint="eastAsia" w:ascii="宋体" w:hAnsi="宋体" w:eastAsia="宋体" w:cs="宋体"/>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宋体"/>
          <w:color w:val="auto"/>
          <w:szCs w:val="21"/>
          <w:highlight w:val="none"/>
        </w:rPr>
        <w:t>〔2017〕 141</w:t>
      </w:r>
      <w:r>
        <w:rPr>
          <w:rFonts w:hint="eastAsia" w:ascii="宋体" w:hAnsi="宋体" w:eastAsia="宋体" w:cs="宋体"/>
          <w:color w:val="auto"/>
          <w:spacing w:val="6"/>
          <w:szCs w:val="21"/>
          <w:highlight w:val="none"/>
        </w:rPr>
        <w:t>号）的规定，本单位为符合条件的残疾人福利性单位，且本单位参加_____单位的_____项目采购活动提供本单位制造的货物，或者提供其他残疾人福利性单位制造的货物（不包括使用非残疾人福利性单位注册商标的货物）。</w:t>
      </w:r>
    </w:p>
    <w:p>
      <w:pPr>
        <w:pageBreakBefore w:val="0"/>
        <w:kinsoku/>
        <w:topLinePunct w:val="0"/>
        <w:bidi w:val="0"/>
        <w:snapToGrid/>
        <w:spacing w:line="360" w:lineRule="auto"/>
        <w:ind w:left="0" w:leftChars="0" w:right="0" w:rightChars="0" w:firstLine="44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本单位对上述声明的真实性负责。如有虚假，将依法承担相应责任。</w:t>
      </w:r>
      <w:bookmarkEnd w:id="215"/>
    </w:p>
    <w:p>
      <w:pPr>
        <w:pageBreakBefore w:val="0"/>
        <w:kinsoku/>
        <w:topLinePunct w:val="0"/>
        <w:bidi w:val="0"/>
        <w:snapToGrid/>
        <w:spacing w:line="360" w:lineRule="auto"/>
        <w:ind w:left="0" w:leftChars="0" w:right="0" w:rightChars="0" w:firstLine="444"/>
        <w:rPr>
          <w:rFonts w:hint="eastAsia" w:ascii="宋体" w:hAnsi="宋体" w:eastAsia="宋体" w:cs="宋体"/>
          <w:color w:val="auto"/>
          <w:spacing w:val="6"/>
          <w:szCs w:val="21"/>
          <w:highlight w:val="none"/>
        </w:rPr>
      </w:pPr>
    </w:p>
    <w:p>
      <w:pPr>
        <w:pageBreakBefore w:val="0"/>
        <w:kinsoku/>
        <w:topLinePunct w:val="0"/>
        <w:bidi w:val="0"/>
        <w:snapToGrid/>
        <w:spacing w:line="360" w:lineRule="auto"/>
        <w:ind w:left="0" w:leftChars="0" w:right="0" w:rightChars="0" w:firstLine="400"/>
        <w:rPr>
          <w:rFonts w:hint="eastAsia" w:ascii="宋体" w:hAnsi="宋体" w:eastAsia="宋体" w:cs="宋体"/>
          <w:b/>
          <w:bCs/>
          <w:color w:val="auto"/>
          <w:highlight w:val="none"/>
          <w:u w:val="single"/>
        </w:rPr>
      </w:pPr>
      <w:r>
        <w:rPr>
          <w:rFonts w:hint="eastAsia" w:ascii="宋体" w:hAnsi="宋体" w:eastAsia="宋体" w:cs="宋体"/>
          <w:b/>
          <w:bCs/>
          <w:color w:val="auto"/>
          <w:highlight w:val="none"/>
          <w:lang w:eastAsia="zh-CN"/>
        </w:rPr>
        <w:t>投标人名称</w:t>
      </w:r>
      <w:r>
        <w:rPr>
          <w:rFonts w:hint="eastAsia" w:ascii="宋体" w:hAnsi="宋体" w:eastAsia="宋体" w:cs="宋体"/>
          <w:b/>
          <w:bCs/>
          <w:color w:val="auto"/>
          <w:highlight w:val="none"/>
        </w:rPr>
        <w:t>(电子签章)：</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w:t>
      </w:r>
    </w:p>
    <w:p>
      <w:pPr>
        <w:pageBreakBefore w:val="0"/>
        <w:kinsoku/>
        <w:topLinePunct w:val="0"/>
        <w:bidi w:val="0"/>
        <w:snapToGrid/>
        <w:spacing w:line="360" w:lineRule="auto"/>
        <w:ind w:left="0" w:leftChars="0" w:right="0" w:rightChars="0" w:firstLine="400"/>
        <w:rPr>
          <w:rFonts w:hint="eastAsia" w:ascii="宋体" w:hAnsi="宋体" w:eastAsia="宋体" w:cs="宋体"/>
          <w:b/>
          <w:bCs/>
          <w:color w:val="auto"/>
          <w:sz w:val="20"/>
          <w:szCs w:val="20"/>
          <w:highlight w:val="none"/>
        </w:rPr>
      </w:pPr>
      <w:r>
        <w:rPr>
          <w:rFonts w:hint="eastAsia" w:ascii="宋体" w:hAnsi="宋体" w:eastAsia="宋体" w:cs="宋体"/>
          <w:b/>
          <w:bCs/>
          <w:color w:val="auto"/>
          <w:highlight w:val="none"/>
        </w:rPr>
        <w:t>日 期：</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w:t>
      </w:r>
      <w:r>
        <w:rPr>
          <w:rFonts w:hint="eastAsia" w:ascii="宋体" w:hAnsi="宋体" w:eastAsia="宋体" w:cs="宋体"/>
          <w:b/>
          <w:bCs/>
          <w:color w:val="auto"/>
          <w:highlight w:val="none"/>
        </w:rPr>
        <w:t>日</w:t>
      </w:r>
    </w:p>
    <w:p>
      <w:pPr>
        <w:pageBreakBefore w:val="0"/>
        <w:tabs>
          <w:tab w:val="left" w:pos="4860"/>
        </w:tabs>
        <w:kinsoku/>
        <w:topLinePunct w:val="0"/>
        <w:bidi w:val="0"/>
        <w:snapToGrid/>
        <w:spacing w:line="360" w:lineRule="auto"/>
        <w:ind w:left="0" w:leftChars="0" w:right="0" w:rightChars="0" w:firstLine="444"/>
        <w:jc w:val="left"/>
        <w:rPr>
          <w:rFonts w:hint="eastAsia" w:ascii="宋体" w:hAnsi="宋体" w:eastAsia="宋体" w:cs="宋体"/>
          <w:color w:val="auto"/>
          <w:spacing w:val="6"/>
          <w:szCs w:val="21"/>
          <w:highlight w:val="none"/>
        </w:rPr>
      </w:pPr>
    </w:p>
    <w:p>
      <w:pPr>
        <w:pageBreakBefore w:val="0"/>
        <w:kinsoku/>
        <w:topLinePunct w:val="0"/>
        <w:bidi w:val="0"/>
        <w:snapToGrid/>
        <w:spacing w:line="360" w:lineRule="auto"/>
        <w:ind w:left="0" w:leftChars="0" w:right="0" w:rightChars="0" w:firstLine="422"/>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注：</w:t>
      </w:r>
      <w:r>
        <w:rPr>
          <w:rFonts w:hint="eastAsia" w:ascii="宋体" w:hAnsi="宋体" w:eastAsia="宋体" w:cs="宋体"/>
          <w:b/>
          <w:color w:val="auto"/>
          <w:spacing w:val="6"/>
          <w:szCs w:val="21"/>
          <w:highlight w:val="none"/>
          <w:lang w:val="en-US" w:eastAsia="zh-CN"/>
        </w:rPr>
        <w:t>1、</w:t>
      </w:r>
      <w:r>
        <w:rPr>
          <w:rFonts w:hint="eastAsia" w:ascii="宋体" w:hAnsi="宋体" w:eastAsia="宋体" w:cs="宋体"/>
          <w:b/>
          <w:color w:val="auto"/>
          <w:spacing w:val="6"/>
          <w:szCs w:val="21"/>
          <w:highlight w:val="none"/>
        </w:rPr>
        <w:t>符合条件的残疾人福利性单位在参加政府采购活动时，应当</w:t>
      </w:r>
      <w:r>
        <w:rPr>
          <w:rFonts w:hint="eastAsia" w:ascii="宋体" w:hAnsi="宋体" w:eastAsia="宋体" w:cs="宋体"/>
          <w:b/>
          <w:color w:val="auto"/>
          <w:szCs w:val="21"/>
          <w:highlight w:val="none"/>
        </w:rPr>
        <w:t>按《三部门联合发布关于促进残疾人就业政府采购政策的通知》（财库〔2017〕141号）</w:t>
      </w:r>
      <w:r>
        <w:rPr>
          <w:rFonts w:hint="eastAsia" w:ascii="宋体" w:hAnsi="宋体" w:eastAsia="宋体" w:cs="宋体"/>
          <w:b/>
          <w:color w:val="auto"/>
          <w:spacing w:val="6"/>
          <w:szCs w:val="21"/>
          <w:highlight w:val="none"/>
        </w:rPr>
        <w:t>提供规定的《残疾人福利性单位声明函》，并对声明的真实性负责。采购代理机构在随中标、成交结果同时公告其《残疾人福利性单位声明函》，接受社会监督。</w:t>
      </w:r>
      <w:r>
        <w:rPr>
          <w:rFonts w:hint="eastAsia" w:ascii="宋体" w:hAnsi="宋体" w:eastAsia="宋体" w:cs="宋体"/>
          <w:b/>
          <w:color w:val="auto"/>
          <w:spacing w:val="6"/>
          <w:szCs w:val="21"/>
          <w:highlight w:val="none"/>
          <w:lang w:eastAsia="zh-CN"/>
        </w:rPr>
        <w:t>投标人</w:t>
      </w:r>
      <w:r>
        <w:rPr>
          <w:rFonts w:hint="eastAsia" w:ascii="宋体" w:hAnsi="宋体" w:eastAsia="宋体" w:cs="宋体"/>
          <w:b/>
          <w:color w:val="auto"/>
          <w:spacing w:val="6"/>
          <w:szCs w:val="21"/>
          <w:highlight w:val="none"/>
        </w:rPr>
        <w:t>提供的《残疾人福利性单位声明函》与事实不符的，依照《政府采购法》第七十七条第一款的规定追究法律责任。</w:t>
      </w:r>
    </w:p>
    <w:p>
      <w:pPr>
        <w:pageBreakBefore w:val="0"/>
        <w:kinsoku/>
        <w:topLinePunct w:val="0"/>
        <w:bidi w:val="0"/>
        <w:snapToGrid/>
        <w:spacing w:line="360" w:lineRule="auto"/>
        <w:ind w:left="0" w:leftChars="0" w:right="0" w:rightChars="0" w:firstLine="422"/>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w:t>
      </w:r>
      <w:r>
        <w:rPr>
          <w:rFonts w:hint="eastAsia" w:ascii="宋体" w:hAnsi="宋体" w:eastAsia="宋体" w:cs="宋体"/>
          <w:b/>
          <w:color w:val="auto"/>
          <w:szCs w:val="21"/>
          <w:highlight w:val="none"/>
        </w:rPr>
        <w:t>以联合体形式投标的</w:t>
      </w:r>
      <w:r>
        <w:rPr>
          <w:rFonts w:hint="eastAsia" w:ascii="宋体" w:hAnsi="宋体" w:eastAsia="宋体" w:cs="宋体"/>
          <w:b/>
          <w:color w:val="auto"/>
          <w:szCs w:val="21"/>
          <w:highlight w:val="none"/>
          <w:lang w:eastAsia="zh-CN"/>
        </w:rPr>
        <w:t>，联合体各方均需提供，不属于残疾人福利性单位的无需填写。</w:t>
      </w: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pageBreakBefore w:val="0"/>
        <w:widowControl w:val="0"/>
        <w:kinsoku/>
        <w:overflowPunct/>
        <w:topLinePunct w:val="0"/>
        <w:autoSpaceDE/>
        <w:autoSpaceDN/>
        <w:bidi w:val="0"/>
        <w:adjustRightInd/>
        <w:snapToGrid/>
        <w:spacing w:line="360" w:lineRule="auto"/>
        <w:ind w:left="0" w:leftChars="0" w:right="0" w:rightChars="0"/>
        <w:textAlignment w:val="auto"/>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2"/>
        <w:rPr>
          <w:rFonts w:hint="eastAsia" w:ascii="宋体" w:hAnsi="宋体" w:eastAsia="宋体" w:cs="宋体"/>
          <w:color w:val="auto"/>
          <w:szCs w:val="24"/>
          <w:highlight w:val="none"/>
        </w:rPr>
      </w:pPr>
      <w:bookmarkStart w:id="216" w:name="_Toc6228"/>
      <w:bookmarkStart w:id="217" w:name="_Toc4289"/>
      <w:bookmarkStart w:id="218" w:name="_Toc17786"/>
      <w:bookmarkStart w:id="219" w:name="_Toc26783973"/>
      <w:bookmarkStart w:id="220" w:name="_Toc29948"/>
      <w:bookmarkStart w:id="221" w:name="_Toc11479"/>
      <w:r>
        <w:rPr>
          <w:rFonts w:hint="eastAsia" w:ascii="宋体" w:hAnsi="宋体" w:cs="宋体"/>
          <w:color w:val="auto"/>
          <w:sz w:val="30"/>
          <w:szCs w:val="30"/>
          <w:highlight w:val="none"/>
          <w:lang w:eastAsia="zh-CN"/>
        </w:rPr>
        <w:t>（八）</w:t>
      </w:r>
      <w:r>
        <w:rPr>
          <w:rFonts w:hint="eastAsia" w:ascii="宋体" w:hAnsi="宋体" w:eastAsia="宋体" w:cs="宋体"/>
          <w:color w:val="auto"/>
          <w:sz w:val="30"/>
          <w:szCs w:val="30"/>
          <w:highlight w:val="none"/>
        </w:rPr>
        <w:t>商务条款偏离表</w:t>
      </w:r>
      <w:bookmarkEnd w:id="216"/>
      <w:bookmarkEnd w:id="217"/>
      <w:bookmarkEnd w:id="218"/>
      <w:bookmarkEnd w:id="219"/>
      <w:bookmarkEnd w:id="220"/>
      <w:bookmarkEnd w:id="22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rPr>
      </w:pPr>
      <w:bookmarkStart w:id="222" w:name="_Hlk478972650"/>
      <w:r>
        <w:rPr>
          <w:rFonts w:hint="eastAsia" w:ascii="宋体" w:hAnsi="宋体" w:eastAsia="宋体" w:cs="宋体"/>
          <w:color w:val="auto"/>
          <w:highlight w:val="none"/>
        </w:rPr>
        <w:t>请对应招标文件的</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eastAsia="zh-CN"/>
        </w:rPr>
        <w:t>投标人</w:t>
      </w:r>
      <w:r>
        <w:rPr>
          <w:rFonts w:hint="eastAsia" w:ascii="宋体" w:hAnsi="宋体" w:eastAsia="宋体" w:cs="宋体"/>
          <w:b/>
          <w:color w:val="auto"/>
          <w:highlight w:val="none"/>
        </w:rPr>
        <w:t>须知前附表”、“</w:t>
      </w:r>
      <w:r>
        <w:rPr>
          <w:rFonts w:hint="eastAsia" w:ascii="宋体" w:hAnsi="宋体" w:eastAsia="宋体" w:cs="宋体"/>
          <w:b/>
          <w:color w:val="auto"/>
          <w:highlight w:val="none"/>
          <w:lang w:eastAsia="zh-CN"/>
        </w:rPr>
        <w:t>采购需求</w:t>
      </w:r>
      <w:r>
        <w:rPr>
          <w:rFonts w:hint="eastAsia" w:ascii="宋体" w:hAnsi="宋体" w:eastAsia="宋体" w:cs="宋体"/>
          <w:b/>
          <w:color w:val="auto"/>
          <w:highlight w:val="none"/>
        </w:rPr>
        <w:t>”</w:t>
      </w:r>
      <w:r>
        <w:rPr>
          <w:rFonts w:hint="eastAsia" w:ascii="宋体" w:hAnsi="宋体" w:eastAsia="宋体" w:cs="宋体"/>
          <w:color w:val="auto"/>
          <w:highlight w:val="none"/>
        </w:rPr>
        <w:t>和</w:t>
      </w:r>
      <w:r>
        <w:rPr>
          <w:rFonts w:hint="eastAsia" w:ascii="宋体" w:hAnsi="宋体" w:eastAsia="宋体" w:cs="宋体"/>
          <w:b/>
          <w:color w:val="auto"/>
          <w:highlight w:val="none"/>
        </w:rPr>
        <w:t>“</w:t>
      </w:r>
      <w:r>
        <w:rPr>
          <w:rFonts w:hint="eastAsia" w:ascii="宋体" w:hAnsi="宋体" w:eastAsia="宋体" w:cs="宋体"/>
          <w:b/>
          <w:bCs/>
          <w:color w:val="auto"/>
          <w:highlight w:val="none"/>
        </w:rPr>
        <w:t>合同条款</w:t>
      </w:r>
      <w:r>
        <w:rPr>
          <w:rFonts w:hint="eastAsia" w:ascii="宋体" w:hAnsi="宋体" w:eastAsia="宋体" w:cs="宋体"/>
          <w:b/>
          <w:color w:val="auto"/>
          <w:highlight w:val="none"/>
        </w:rPr>
        <w:t>”</w:t>
      </w:r>
      <w:r>
        <w:rPr>
          <w:rFonts w:hint="eastAsia" w:ascii="宋体" w:hAnsi="宋体" w:eastAsia="宋体" w:cs="宋体"/>
          <w:color w:val="auto"/>
          <w:highlight w:val="none"/>
        </w:rPr>
        <w:t>中要求的主要商务条件（</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、配送地点、</w:t>
      </w:r>
      <w:r>
        <w:rPr>
          <w:rFonts w:hint="eastAsia" w:ascii="宋体" w:hAnsi="宋体" w:eastAsia="宋体" w:cs="宋体"/>
          <w:color w:val="auto"/>
          <w:highlight w:val="none"/>
          <w:lang w:eastAsia="zh-CN"/>
        </w:rPr>
        <w:t>价款结算</w:t>
      </w:r>
      <w:r>
        <w:rPr>
          <w:rFonts w:hint="eastAsia" w:ascii="宋体" w:hAnsi="宋体" w:eastAsia="宋体" w:cs="宋体"/>
          <w:color w:val="auto"/>
          <w:highlight w:val="none"/>
        </w:rPr>
        <w:t>）等要求，请认真填写该表</w:t>
      </w:r>
      <w:bookmarkEnd w:id="222"/>
      <w:r>
        <w:rPr>
          <w:rFonts w:hint="eastAsia" w:ascii="宋体" w:hAnsi="宋体" w:eastAsia="宋体" w:cs="宋体"/>
          <w:color w:val="auto"/>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项目名称：                                             </w:t>
      </w:r>
      <w:r>
        <w:rPr>
          <w:rFonts w:hint="eastAsia" w:ascii="宋体" w:hAnsi="宋体" w:eastAsia="宋体" w:cs="宋体"/>
          <w:b/>
          <w:color w:val="auto"/>
          <w:highlight w:val="none"/>
          <w:lang w:eastAsia="zh-CN"/>
        </w:rPr>
        <w:t>项目编号</w:t>
      </w:r>
      <w:r>
        <w:rPr>
          <w:rFonts w:hint="eastAsia" w:ascii="宋体" w:hAnsi="宋体" w:eastAsia="宋体" w:cs="宋体"/>
          <w:b/>
          <w:color w:val="auto"/>
          <w:highlight w:val="none"/>
        </w:rPr>
        <w:t>：</w:t>
      </w:r>
    </w:p>
    <w:tbl>
      <w:tblPr>
        <w:tblStyle w:val="18"/>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21"/>
        <w:gridCol w:w="2274"/>
        <w:gridCol w:w="2256"/>
        <w:gridCol w:w="231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721"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招标文件条目号</w:t>
            </w:r>
          </w:p>
        </w:tc>
        <w:tc>
          <w:tcPr>
            <w:tcW w:w="2274"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招标文件的商务条款</w:t>
            </w:r>
          </w:p>
        </w:tc>
        <w:tc>
          <w:tcPr>
            <w:tcW w:w="2256"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投标文件的商务条款</w:t>
            </w:r>
          </w:p>
        </w:tc>
        <w:tc>
          <w:tcPr>
            <w:tcW w:w="2315" w:type="dxa"/>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1721"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74"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256"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c>
          <w:tcPr>
            <w:tcW w:w="2315" w:type="dxa"/>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注：“偏离”系指“正偏离”、“负偏离”或“无偏离”。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 w:val="22"/>
          <w:highlight w:val="none"/>
        </w:rPr>
      </w:pPr>
      <w:r>
        <w:rPr>
          <w:rFonts w:hint="eastAsia" w:ascii="宋体" w:hAnsi="宋体" w:eastAsia="宋体" w:cs="宋体"/>
          <w:b/>
          <w:color w:val="auto"/>
          <w:sz w:val="22"/>
          <w:highlight w:val="none"/>
        </w:rPr>
        <w:t>注：如无偏差，</w:t>
      </w:r>
      <w:r>
        <w:rPr>
          <w:rFonts w:hint="eastAsia" w:ascii="宋体" w:hAnsi="宋体" w:eastAsia="宋体" w:cs="宋体"/>
          <w:b/>
          <w:color w:val="auto"/>
          <w:sz w:val="22"/>
          <w:highlight w:val="none"/>
          <w:lang w:eastAsia="zh-CN"/>
        </w:rPr>
        <w:t>投标人</w:t>
      </w:r>
      <w:r>
        <w:rPr>
          <w:rFonts w:hint="eastAsia" w:ascii="宋体" w:hAnsi="宋体" w:eastAsia="宋体" w:cs="宋体"/>
          <w:b/>
          <w:color w:val="auto"/>
          <w:sz w:val="22"/>
          <w:highlight w:val="none"/>
        </w:rPr>
        <w:t>不需要填表，但应声明：“</w:t>
      </w:r>
      <w:r>
        <w:rPr>
          <w:rFonts w:hint="eastAsia" w:ascii="宋体" w:hAnsi="宋体" w:eastAsia="宋体" w:cs="宋体"/>
          <w:b/>
          <w:color w:val="auto"/>
          <w:sz w:val="36"/>
          <w:szCs w:val="22"/>
          <w:highlight w:val="none"/>
        </w:rPr>
        <w:t>本投标文件完全响应招标文件所有商务条款的要求，无偏差</w:t>
      </w:r>
      <w:r>
        <w:rPr>
          <w:rFonts w:hint="eastAsia" w:ascii="宋体" w:hAnsi="宋体" w:eastAsia="宋体" w:cs="宋体"/>
          <w:b/>
          <w:color w:val="auto"/>
          <w:sz w:val="32"/>
          <w:highlight w:val="none"/>
        </w:rPr>
        <w:t>。</w:t>
      </w:r>
      <w:r>
        <w:rPr>
          <w:rFonts w:hint="eastAsia" w:ascii="宋体" w:hAnsi="宋体" w:eastAsia="宋体" w:cs="宋体"/>
          <w:b/>
          <w:color w:val="auto"/>
          <w:sz w:val="28"/>
          <w:szCs w:val="20"/>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2"/>
        <w:rPr>
          <w:rFonts w:hint="eastAsia" w:ascii="宋体" w:hAnsi="宋体" w:eastAsia="宋体" w:cs="宋体"/>
          <w:color w:val="auto"/>
          <w:sz w:val="30"/>
          <w:szCs w:val="30"/>
          <w:highlight w:val="none"/>
          <w:lang w:eastAsia="zh-CN"/>
        </w:rPr>
      </w:pPr>
      <w:bookmarkStart w:id="223" w:name="_Toc6213"/>
      <w:bookmarkStart w:id="224" w:name="_Toc16469"/>
      <w:bookmarkStart w:id="225" w:name="_Toc13749"/>
      <w:r>
        <w:rPr>
          <w:rFonts w:hint="eastAsia" w:ascii="宋体" w:hAnsi="宋体" w:eastAsia="宋体" w:cs="宋体"/>
          <w:color w:val="auto"/>
          <w:sz w:val="30"/>
          <w:szCs w:val="30"/>
          <w:highlight w:val="none"/>
          <w:lang w:eastAsia="zh-CN"/>
        </w:rPr>
        <w:t>（</w:t>
      </w:r>
      <w:r>
        <w:rPr>
          <w:rFonts w:hint="eastAsia" w:ascii="宋体" w:hAnsi="宋体" w:cs="宋体"/>
          <w:color w:val="auto"/>
          <w:sz w:val="30"/>
          <w:szCs w:val="30"/>
          <w:highlight w:val="none"/>
          <w:lang w:val="en-US" w:eastAsia="zh-CN"/>
        </w:rPr>
        <w:t>九</w:t>
      </w:r>
      <w:r>
        <w:rPr>
          <w:rFonts w:hint="eastAsia" w:ascii="宋体" w:hAnsi="宋体" w:eastAsia="宋体" w:cs="宋体"/>
          <w:color w:val="auto"/>
          <w:sz w:val="30"/>
          <w:szCs w:val="30"/>
          <w:highlight w:val="none"/>
          <w:lang w:eastAsia="zh-CN"/>
        </w:rPr>
        <w:t>）设施设备</w:t>
      </w:r>
      <w:bookmarkEnd w:id="223"/>
      <w:bookmarkEnd w:id="224"/>
      <w:bookmarkEnd w:id="22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(格式内容</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2"/>
        <w:rPr>
          <w:rFonts w:hint="eastAsia" w:ascii="宋体" w:hAnsi="宋体" w:eastAsia="宋体" w:cs="宋体"/>
          <w:color w:val="auto"/>
          <w:sz w:val="30"/>
          <w:szCs w:val="30"/>
          <w:highlight w:val="none"/>
          <w:lang w:eastAsia="zh-CN"/>
        </w:rPr>
      </w:pPr>
      <w:bookmarkStart w:id="226" w:name="_Toc30731"/>
      <w:bookmarkStart w:id="227" w:name="_Toc12920"/>
      <w:bookmarkStart w:id="228" w:name="_Toc4812"/>
      <w:r>
        <w:rPr>
          <w:rFonts w:hint="eastAsia" w:ascii="宋体" w:hAnsi="宋体" w:eastAsia="宋体" w:cs="宋体"/>
          <w:color w:val="auto"/>
          <w:sz w:val="30"/>
          <w:szCs w:val="30"/>
          <w:highlight w:val="none"/>
          <w:lang w:eastAsia="zh-CN"/>
        </w:rPr>
        <w:t>（十）食品供应保障</w:t>
      </w:r>
      <w:bookmarkEnd w:id="226"/>
      <w:bookmarkEnd w:id="227"/>
      <w:bookmarkEnd w:id="22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(格式内容</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2"/>
        <w:rPr>
          <w:rFonts w:hint="eastAsia" w:ascii="宋体" w:hAnsi="宋体" w:eastAsia="宋体" w:cs="宋体"/>
          <w:color w:val="auto"/>
          <w:sz w:val="30"/>
          <w:szCs w:val="30"/>
          <w:highlight w:val="none"/>
          <w:lang w:eastAsia="zh-CN"/>
        </w:rPr>
      </w:pPr>
      <w:bookmarkStart w:id="229" w:name="_Toc24641"/>
      <w:bookmarkStart w:id="230" w:name="_Toc21529"/>
      <w:bookmarkStart w:id="231" w:name="_Toc15282"/>
      <w:r>
        <w:rPr>
          <w:rFonts w:hint="eastAsia" w:ascii="宋体" w:hAnsi="宋体" w:eastAsia="宋体" w:cs="宋体"/>
          <w:color w:val="auto"/>
          <w:sz w:val="30"/>
          <w:szCs w:val="30"/>
          <w:highlight w:val="none"/>
          <w:lang w:eastAsia="zh-CN"/>
        </w:rPr>
        <w:t>（十</w:t>
      </w:r>
      <w:r>
        <w:rPr>
          <w:rFonts w:hint="eastAsia" w:ascii="宋体" w:hAnsi="宋体" w:cs="宋体"/>
          <w:color w:val="auto"/>
          <w:sz w:val="30"/>
          <w:szCs w:val="30"/>
          <w:highlight w:val="none"/>
          <w:lang w:eastAsia="zh-CN"/>
        </w:rPr>
        <w:t>一</w:t>
      </w:r>
      <w:r>
        <w:rPr>
          <w:rFonts w:hint="eastAsia" w:ascii="宋体" w:hAnsi="宋体" w:eastAsia="宋体" w:cs="宋体"/>
          <w:color w:val="auto"/>
          <w:sz w:val="30"/>
          <w:szCs w:val="30"/>
          <w:highlight w:val="none"/>
          <w:lang w:eastAsia="zh-CN"/>
        </w:rPr>
        <w:t>）服务经验</w:t>
      </w:r>
      <w:bookmarkEnd w:id="229"/>
      <w:bookmarkEnd w:id="230"/>
      <w:bookmarkEnd w:id="23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(格式内容</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szCs w:val="20"/>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30"/>
          <w:szCs w:val="30"/>
          <w:highlight w:val="none"/>
        </w:rPr>
      </w:pPr>
      <w:bookmarkStart w:id="232" w:name="_Toc14292"/>
      <w:bookmarkStart w:id="233" w:name="_Toc2678397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30"/>
          <w:szCs w:val="30"/>
          <w:highlight w:val="none"/>
        </w:rPr>
        <w:sectPr>
          <w:pgSz w:w="11900" w:h="16838"/>
          <w:pgMar w:top="1417" w:right="1417" w:bottom="1417" w:left="1417" w:header="850" w:footer="850" w:gutter="0"/>
          <w:pgNumType w:fmt="decimal"/>
          <w:cols w:space="0" w:num="1"/>
          <w:titlePg/>
          <w:docGrid w:linePitch="360" w:charSpace="0"/>
        </w:sect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eastAsia="zh-CN"/>
        </w:rPr>
        <w:t>（十</w:t>
      </w:r>
      <w:r>
        <w:rPr>
          <w:rFonts w:hint="eastAsia" w:ascii="宋体" w:hAnsi="宋体" w:cs="宋体"/>
          <w:color w:val="auto"/>
          <w:sz w:val="30"/>
          <w:szCs w:val="30"/>
          <w:highlight w:val="none"/>
          <w:lang w:val="en-US" w:eastAsia="zh-CN"/>
        </w:rPr>
        <w:t>二</w:t>
      </w:r>
      <w:r>
        <w:rPr>
          <w:rFonts w:hint="eastAsia" w:ascii="宋体" w:hAnsi="宋体" w:cs="宋体"/>
          <w:color w:val="auto"/>
          <w:sz w:val="30"/>
          <w:szCs w:val="30"/>
          <w:highlight w:val="none"/>
          <w:lang w:eastAsia="zh-CN"/>
        </w:rPr>
        <w:t>）</w:t>
      </w:r>
      <w:r>
        <w:rPr>
          <w:rFonts w:hint="eastAsia" w:ascii="宋体" w:hAnsi="宋体" w:eastAsia="宋体" w:cs="宋体"/>
          <w:color w:val="auto"/>
          <w:sz w:val="30"/>
          <w:szCs w:val="30"/>
          <w:highlight w:val="none"/>
        </w:rPr>
        <w:t>其它商务资料</w:t>
      </w:r>
      <w:bookmarkEnd w:id="232"/>
      <w:bookmarkEnd w:id="23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投标保证金缴纳凭证</w:t>
      </w:r>
      <w:r>
        <w:rPr>
          <w:rFonts w:hint="eastAsia" w:ascii="宋体" w:hAnsi="宋体" w:eastAsia="宋体" w:cs="宋体"/>
          <w:b/>
          <w:bCs/>
          <w:color w:val="auto"/>
          <w:highlight w:val="none"/>
          <w:lang w:eastAsia="zh-CN"/>
        </w:rPr>
        <w:t>（未提供</w:t>
      </w:r>
      <w:r>
        <w:rPr>
          <w:rFonts w:hint="eastAsia" w:ascii="宋体" w:hAnsi="宋体" w:eastAsia="宋体" w:cs="宋体"/>
          <w:b/>
          <w:bCs/>
          <w:color w:val="auto"/>
          <w:highlight w:val="none"/>
        </w:rPr>
        <w:t>投标保证金缴纳凭证</w:t>
      </w:r>
      <w:r>
        <w:rPr>
          <w:rFonts w:hint="eastAsia" w:ascii="宋体" w:hAnsi="宋体" w:eastAsia="宋体" w:cs="宋体"/>
          <w:b/>
          <w:bCs/>
          <w:color w:val="auto"/>
          <w:highlight w:val="none"/>
          <w:lang w:eastAsia="zh-CN"/>
        </w:rPr>
        <w:t>的其投标无效）</w:t>
      </w:r>
      <w:r>
        <w:rPr>
          <w:rFonts w:hint="eastAsia" w:ascii="宋体" w:hAnsi="宋体" w:cs="宋体"/>
          <w:b/>
          <w:bCs/>
          <w:color w:val="auto"/>
          <w:highlight w:val="none"/>
          <w:lang w:val="en-US" w:eastAsia="zh-CN"/>
        </w:rPr>
        <w:t>及基本户开户许可证复印件</w:t>
      </w:r>
      <w:r>
        <w:rPr>
          <w:rFonts w:hint="eastAsia" w:ascii="宋体" w:hAnsi="宋体" w:eastAsia="宋体" w:cs="宋体"/>
          <w:b/>
          <w:bCs/>
          <w:color w:val="auto"/>
          <w:highlight w:val="none"/>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eastAsia="宋体" w:cs="宋体"/>
          <w:color w:val="auto"/>
          <w:highlight w:val="none"/>
        </w:rPr>
      </w:pPr>
      <w:r>
        <w:rPr>
          <w:rFonts w:hint="eastAsia" w:ascii="宋体" w:hAnsi="宋体" w:eastAsia="宋体" w:cs="宋体"/>
          <w:color w:val="auto"/>
          <w:highlight w:val="none"/>
        </w:rPr>
        <w:t>招标文件要求及</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认为有必要提供的其它商务资料。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pStyle w:val="23"/>
        <w:pageBreakBefore w:val="0"/>
        <w:kinsoku/>
        <w:topLinePunct w:val="0"/>
        <w:bidi w:val="0"/>
        <w:snapToGrid/>
        <w:spacing w:before="0" w:after="0" w:line="360" w:lineRule="auto"/>
        <w:ind w:left="0" w:leftChars="0" w:right="0" w:rightChars="0"/>
        <w:rPr>
          <w:rFonts w:hint="eastAsia" w:ascii="宋体" w:hAnsi="宋体" w:eastAsia="宋体" w:cs="宋体"/>
          <w:b/>
          <w:bCs/>
          <w:color w:val="auto"/>
          <w:sz w:val="36"/>
          <w:szCs w:val="36"/>
          <w:highlight w:val="none"/>
        </w:rPr>
      </w:pPr>
      <w:bookmarkStart w:id="234" w:name="_Toc26752"/>
      <w:bookmarkStart w:id="235" w:name="_Toc21013"/>
      <w:bookmarkStart w:id="236" w:name="_Toc8541"/>
      <w:bookmarkStart w:id="237" w:name="_Toc26474"/>
      <w:bookmarkStart w:id="238" w:name="_Toc20608"/>
      <w:bookmarkStart w:id="239" w:name="_Toc14589"/>
      <w:bookmarkStart w:id="240" w:name="_Toc18288"/>
      <w:r>
        <w:rPr>
          <w:rFonts w:hint="eastAsia" w:ascii="宋体" w:hAnsi="宋体" w:eastAsia="宋体" w:cs="宋体"/>
          <w:b/>
          <w:bCs/>
          <w:color w:val="auto"/>
          <w:sz w:val="36"/>
          <w:szCs w:val="36"/>
          <w:highlight w:val="none"/>
        </w:rPr>
        <w:t>四、技术文件部分</w:t>
      </w:r>
      <w:bookmarkEnd w:id="234"/>
      <w:bookmarkEnd w:id="235"/>
      <w:bookmarkEnd w:id="236"/>
      <w:bookmarkEnd w:id="237"/>
      <w:bookmarkEnd w:id="238"/>
      <w:bookmarkEnd w:id="239"/>
      <w:bookmarkEnd w:id="240"/>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highlight w:val="none"/>
        </w:rPr>
      </w:pPr>
      <w:bookmarkStart w:id="241" w:name="_Toc14866"/>
      <w:bookmarkStart w:id="242" w:name="_Toc31798"/>
      <w:bookmarkStart w:id="243" w:name="_Toc98"/>
      <w:bookmarkStart w:id="244" w:name="_Toc7579"/>
      <w:bookmarkStart w:id="245" w:name="_Toc25147"/>
      <w:r>
        <w:rPr>
          <w:rFonts w:hint="eastAsia" w:ascii="宋体" w:hAnsi="宋体" w:cs="宋体"/>
          <w:color w:val="auto"/>
          <w:sz w:val="30"/>
          <w:szCs w:val="30"/>
          <w:highlight w:val="none"/>
          <w:lang w:eastAsia="zh-CN"/>
        </w:rPr>
        <w:t>（一）</w:t>
      </w:r>
      <w:r>
        <w:rPr>
          <w:rFonts w:hint="eastAsia" w:ascii="宋体" w:hAnsi="宋体" w:eastAsia="宋体" w:cs="宋体"/>
          <w:color w:val="auto"/>
          <w:sz w:val="30"/>
          <w:szCs w:val="30"/>
          <w:highlight w:val="none"/>
        </w:rPr>
        <w:t>技术条款偏离表</w:t>
      </w:r>
      <w:bookmarkEnd w:id="241"/>
      <w:bookmarkEnd w:id="242"/>
      <w:bookmarkEnd w:id="243"/>
      <w:bookmarkEnd w:id="244"/>
      <w:bookmarkEnd w:id="245"/>
    </w:p>
    <w:p>
      <w:pPr>
        <w:pageBreakBefore w:val="0"/>
        <w:kinsoku/>
        <w:topLinePunct w:val="0"/>
        <w:bidi w:val="0"/>
        <w:snapToGrid/>
        <w:spacing w:line="360" w:lineRule="auto"/>
        <w:ind w:left="0" w:leftChars="0" w:right="0" w:rightChars="0"/>
        <w:rPr>
          <w:rFonts w:hint="eastAsia" w:ascii="宋体" w:hAnsi="宋体" w:eastAsia="宋体" w:cs="宋体"/>
          <w:color w:val="auto"/>
          <w:highlight w:val="none"/>
        </w:rPr>
      </w:pP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应对应招标文件的第五章“采购需求”中要求的技术规范如实、完整、准确的填写该表，该表不能作为所投产品的技术文件。</w:t>
      </w:r>
    </w:p>
    <w:p>
      <w:pPr>
        <w:pageBreakBefore w:val="0"/>
        <w:kinsoku/>
        <w:topLinePunct w:val="0"/>
        <w:bidi w:val="0"/>
        <w:snapToGrid/>
        <w:spacing w:line="360" w:lineRule="auto"/>
        <w:ind w:left="0" w:leftChars="0" w:right="0" w:rightChars="0" w:firstLine="0" w:firstLineChars="0"/>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项目名称：                                       </w:t>
      </w:r>
      <w:r>
        <w:rPr>
          <w:rFonts w:hint="eastAsia" w:ascii="宋体" w:hAnsi="宋体" w:eastAsia="宋体" w:cs="宋体"/>
          <w:b/>
          <w:color w:val="auto"/>
          <w:highlight w:val="none"/>
          <w:lang w:eastAsia="zh-CN"/>
        </w:rPr>
        <w:t>项目编号</w:t>
      </w:r>
      <w:r>
        <w:rPr>
          <w:rFonts w:hint="eastAsia" w:ascii="宋体" w:hAnsi="宋体" w:eastAsia="宋体" w:cs="宋体"/>
          <w:b/>
          <w:color w:val="auto"/>
          <w:highlight w:val="none"/>
        </w:rPr>
        <w:t>：</w:t>
      </w:r>
    </w:p>
    <w:tbl>
      <w:tblPr>
        <w:tblStyle w:val="18"/>
        <w:tblW w:w="0" w:type="auto"/>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1461"/>
        <w:gridCol w:w="2268"/>
        <w:gridCol w:w="1701"/>
        <w:gridCol w:w="185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260"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名称</w:t>
            </w:r>
          </w:p>
        </w:tc>
        <w:tc>
          <w:tcPr>
            <w:tcW w:w="1461"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招标文件技术规范、要求</w:t>
            </w:r>
          </w:p>
        </w:tc>
        <w:tc>
          <w:tcPr>
            <w:tcW w:w="2268"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投标技术响应</w:t>
            </w:r>
          </w:p>
        </w:tc>
        <w:tc>
          <w:tcPr>
            <w:tcW w:w="1701"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偏离</w:t>
            </w:r>
          </w:p>
        </w:tc>
        <w:tc>
          <w:tcPr>
            <w:tcW w:w="1855"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554"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260"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461"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2268"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701" w:type="dxa"/>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855"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260"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461"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2268"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701" w:type="dxa"/>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855"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 w:hRule="atLeast"/>
        </w:trPr>
        <w:tc>
          <w:tcPr>
            <w:tcW w:w="554"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260"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461"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2268"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701" w:type="dxa"/>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c>
          <w:tcPr>
            <w:tcW w:w="1855" w:type="dxa"/>
            <w:vAlign w:val="center"/>
          </w:tcPr>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tc>
      </w:tr>
    </w:tbl>
    <w:p>
      <w:pPr>
        <w:pageBreakBefore w:val="0"/>
        <w:kinsoku/>
        <w:topLinePunct w:val="0"/>
        <w:bidi w:val="0"/>
        <w:snapToGrid/>
        <w:spacing w:line="360" w:lineRule="auto"/>
        <w:ind w:left="0" w:leftChars="0" w:right="0" w:rightChars="0" w:firstLine="0" w:firstLineChars="0"/>
        <w:rPr>
          <w:rFonts w:hint="eastAsia" w:ascii="宋体" w:hAnsi="宋体" w:eastAsia="宋体" w:cs="宋体"/>
          <w:b/>
          <w:color w:val="auto"/>
          <w:highlight w:val="none"/>
        </w:rPr>
      </w:pPr>
      <w:r>
        <w:rPr>
          <w:rFonts w:hint="eastAsia" w:ascii="宋体" w:hAnsi="宋体" w:eastAsia="宋体" w:cs="宋体"/>
          <w:b/>
          <w:color w:val="auto"/>
          <w:highlight w:val="none"/>
        </w:rPr>
        <w:t>表格填写说明：</w:t>
      </w:r>
    </w:p>
    <w:p>
      <w:pPr>
        <w:pageBreakBefore w:val="0"/>
        <w:kinsoku/>
        <w:topLinePunct w:val="0"/>
        <w:bidi w:val="0"/>
        <w:snapToGrid/>
        <w:spacing w:line="360" w:lineRule="auto"/>
        <w:ind w:left="0" w:leftChars="0" w:right="0" w:rightChars="0"/>
        <w:rPr>
          <w:rFonts w:hint="eastAsia" w:ascii="宋体" w:hAnsi="宋体" w:eastAsia="宋体" w:cs="宋体"/>
          <w:color w:val="auto"/>
          <w:highlight w:val="none"/>
        </w:rPr>
      </w:pPr>
      <w:r>
        <w:rPr>
          <w:rFonts w:hint="eastAsia" w:ascii="宋体" w:hAnsi="宋体" w:eastAsia="宋体" w:cs="宋体"/>
          <w:color w:val="auto"/>
          <w:highlight w:val="none"/>
        </w:rPr>
        <w:t>1、</w:t>
      </w:r>
      <w:bookmarkStart w:id="246" w:name="_Hlk502312282"/>
      <w:r>
        <w:rPr>
          <w:rFonts w:hint="eastAsia" w:ascii="宋体" w:hAnsi="宋体" w:eastAsia="宋体" w:cs="宋体"/>
          <w:color w:val="auto"/>
          <w:highlight w:val="none"/>
        </w:rPr>
        <w:t>表格中“名称”及“招标文件技术规范、要求”可按“采购需求”内容复制</w:t>
      </w:r>
      <w:bookmarkEnd w:id="246"/>
      <w:r>
        <w:rPr>
          <w:rFonts w:hint="eastAsia" w:ascii="宋体" w:hAnsi="宋体" w:eastAsia="宋体" w:cs="宋体"/>
          <w:color w:val="auto"/>
          <w:highlight w:val="none"/>
        </w:rPr>
        <w:t>。</w:t>
      </w:r>
    </w:p>
    <w:p>
      <w:pPr>
        <w:pageBreakBefore w:val="0"/>
        <w:kinsoku/>
        <w:topLinePunct w:val="0"/>
        <w:bidi w:val="0"/>
        <w:snapToGrid/>
        <w:spacing w:line="360" w:lineRule="auto"/>
        <w:ind w:left="0" w:leftChars="0" w:right="0" w:rightChars="0"/>
        <w:rPr>
          <w:rFonts w:hint="eastAsia" w:ascii="宋体" w:hAnsi="宋体" w:eastAsia="宋体" w:cs="宋体"/>
          <w:b/>
          <w:color w:val="auto"/>
          <w:highlight w:val="none"/>
        </w:rPr>
      </w:pPr>
      <w:r>
        <w:rPr>
          <w:rFonts w:hint="eastAsia" w:ascii="宋体" w:hAnsi="宋体" w:eastAsia="宋体" w:cs="宋体"/>
          <w:color w:val="auto"/>
          <w:highlight w:val="none"/>
        </w:rPr>
        <w:t>2、表格中“投标技术响应”请</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根据实际投标情况如实、完整、准确地填写，请勿复制、粘贴招标要求。</w:t>
      </w:r>
      <w:r>
        <w:rPr>
          <w:rFonts w:hint="eastAsia" w:ascii="宋体" w:hAnsi="宋体" w:eastAsia="宋体" w:cs="宋体"/>
          <w:b/>
          <w:color w:val="auto"/>
          <w:highlight w:val="none"/>
        </w:rPr>
        <w:t>若由于</w:t>
      </w:r>
      <w:r>
        <w:rPr>
          <w:rFonts w:hint="eastAsia" w:ascii="宋体" w:hAnsi="宋体" w:eastAsia="宋体" w:cs="宋体"/>
          <w:b/>
          <w:color w:val="auto"/>
          <w:highlight w:val="none"/>
          <w:lang w:eastAsia="zh-CN"/>
        </w:rPr>
        <w:t>投标人</w:t>
      </w:r>
      <w:r>
        <w:rPr>
          <w:rFonts w:hint="eastAsia" w:ascii="宋体" w:hAnsi="宋体" w:eastAsia="宋体" w:cs="宋体"/>
          <w:b/>
          <w:color w:val="auto"/>
          <w:highlight w:val="none"/>
        </w:rPr>
        <w:t>的疏忽大意或未能完整、如实填写，导致的一切后果由</w:t>
      </w:r>
      <w:r>
        <w:rPr>
          <w:rFonts w:hint="eastAsia" w:ascii="宋体" w:hAnsi="宋体" w:eastAsia="宋体" w:cs="宋体"/>
          <w:b/>
          <w:color w:val="auto"/>
          <w:highlight w:val="none"/>
          <w:lang w:eastAsia="zh-CN"/>
        </w:rPr>
        <w:t>投标人</w:t>
      </w:r>
      <w:r>
        <w:rPr>
          <w:rFonts w:hint="eastAsia" w:ascii="宋体" w:hAnsi="宋体" w:eastAsia="宋体" w:cs="宋体"/>
          <w:b/>
          <w:color w:val="auto"/>
          <w:highlight w:val="none"/>
        </w:rPr>
        <w:t>自行承担。</w:t>
      </w:r>
    </w:p>
    <w:p>
      <w:pPr>
        <w:pageBreakBefore w:val="0"/>
        <w:kinsoku/>
        <w:topLinePunct w:val="0"/>
        <w:bidi w:val="0"/>
        <w:snapToGrid/>
        <w:spacing w:line="360" w:lineRule="auto"/>
        <w:ind w:left="0" w:leftChars="0" w:right="0" w:rightChars="0"/>
        <w:rPr>
          <w:rFonts w:hint="eastAsia" w:ascii="宋体" w:hAnsi="宋体" w:eastAsia="宋体" w:cs="宋体"/>
          <w:color w:val="auto"/>
          <w:highlight w:val="none"/>
        </w:rPr>
      </w:pPr>
      <w:r>
        <w:rPr>
          <w:rFonts w:hint="eastAsia" w:ascii="宋体" w:hAnsi="宋体" w:eastAsia="宋体" w:cs="宋体"/>
          <w:color w:val="auto"/>
          <w:highlight w:val="none"/>
        </w:rPr>
        <w:t>3、表格中“偏离”部分，</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只能如实填写“正偏离”、“负偏离”或“无偏离”。凡投标内容与招标文件要求有区别的在说明栏中写明。</w:t>
      </w: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highlight w:val="none"/>
        </w:rPr>
      </w:pPr>
    </w:p>
    <w:p>
      <w:pPr>
        <w:pageBreakBefore w:val="0"/>
        <w:kinsoku/>
        <w:topLinePunct w:val="0"/>
        <w:bidi w:val="0"/>
        <w:snapToGrid/>
        <w:spacing w:line="360" w:lineRule="auto"/>
        <w:ind w:left="0" w:leftChars="0" w:right="0" w:rightChars="0" w:firstLine="0" w:firstLineChars="0"/>
        <w:rPr>
          <w:rFonts w:hint="eastAsia" w:ascii="宋体" w:hAnsi="宋体" w:eastAsia="宋体" w:cs="宋体"/>
          <w:color w:val="auto"/>
          <w:szCs w:val="24"/>
          <w:highlight w:val="none"/>
        </w:rPr>
      </w:pPr>
      <w:r>
        <w:rPr>
          <w:rFonts w:hint="eastAsia" w:ascii="宋体" w:hAnsi="宋体" w:eastAsia="宋体" w:cs="宋体"/>
          <w:color w:val="auto"/>
          <w:highlight w:val="none"/>
        </w:rPr>
        <w:br w:type="page"/>
      </w: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247" w:name="_Toc31288"/>
      <w:bookmarkStart w:id="248" w:name="_Toc15070"/>
      <w:bookmarkStart w:id="249" w:name="_Toc19185"/>
      <w:r>
        <w:rPr>
          <w:rFonts w:hint="eastAsia" w:ascii="宋体" w:hAnsi="宋体" w:eastAsia="宋体" w:cs="宋体"/>
          <w:color w:val="auto"/>
          <w:sz w:val="30"/>
          <w:szCs w:val="30"/>
          <w:highlight w:val="none"/>
          <w:lang w:val="en-US" w:eastAsia="zh-CN"/>
        </w:rPr>
        <w:t>（二）</w:t>
      </w:r>
      <w:bookmarkStart w:id="250" w:name="_Toc31379"/>
      <w:bookmarkStart w:id="251" w:name="_Toc5220"/>
      <w:bookmarkStart w:id="252" w:name="_Toc13964"/>
      <w:r>
        <w:rPr>
          <w:rFonts w:hint="eastAsia" w:ascii="宋体" w:hAnsi="宋体" w:cs="宋体"/>
          <w:color w:val="auto"/>
          <w:sz w:val="30"/>
          <w:szCs w:val="30"/>
          <w:highlight w:val="none"/>
          <w:lang w:eastAsia="zh-CN"/>
        </w:rPr>
        <w:t>总体</w:t>
      </w:r>
      <w:r>
        <w:rPr>
          <w:rFonts w:hint="eastAsia" w:ascii="宋体" w:hAnsi="宋体" w:eastAsia="宋体" w:cs="宋体"/>
          <w:color w:val="auto"/>
          <w:sz w:val="30"/>
          <w:szCs w:val="30"/>
          <w:highlight w:val="none"/>
          <w:lang w:eastAsia="zh-CN"/>
        </w:rPr>
        <w:t>服务方案</w:t>
      </w:r>
      <w:bookmarkEnd w:id="247"/>
      <w:bookmarkEnd w:id="248"/>
      <w:bookmarkEnd w:id="249"/>
      <w:bookmarkEnd w:id="250"/>
      <w:bookmarkEnd w:id="251"/>
      <w:bookmarkEnd w:id="252"/>
    </w:p>
    <w:p>
      <w:pPr>
        <w:pageBreakBefore w:val="0"/>
        <w:kinsoku/>
        <w:topLinePunct w:val="0"/>
        <w:bidi w:val="0"/>
        <w:snapToGrid/>
        <w:spacing w:line="360"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(格式内容自拟)</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sz w:val="21"/>
          <w:szCs w:val="21"/>
          <w:highlight w:val="none"/>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rPr>
      </w:pPr>
      <w:bookmarkStart w:id="253" w:name="_Toc15733"/>
      <w:bookmarkStart w:id="254" w:name="_Toc25540"/>
      <w:bookmarkStart w:id="255" w:name="_Toc11478"/>
      <w:bookmarkStart w:id="256" w:name="_Toc11151"/>
      <w:bookmarkStart w:id="257" w:name="_Toc13601"/>
      <w:bookmarkStart w:id="258" w:name="_Toc14110"/>
      <w:r>
        <w:rPr>
          <w:rFonts w:hint="eastAsia" w:ascii="宋体" w:hAnsi="宋体" w:eastAsia="宋体" w:cs="宋体"/>
          <w:color w:val="auto"/>
          <w:sz w:val="30"/>
          <w:szCs w:val="30"/>
          <w:highlight w:val="none"/>
          <w:lang w:eastAsia="zh-CN"/>
        </w:rPr>
        <w:t>（三）</w:t>
      </w:r>
      <w:r>
        <w:rPr>
          <w:rFonts w:hint="eastAsia" w:ascii="宋体" w:hAnsi="宋体" w:eastAsia="宋体" w:cs="宋体"/>
          <w:color w:val="auto"/>
          <w:sz w:val="30"/>
          <w:szCs w:val="30"/>
          <w:highlight w:val="none"/>
        </w:rPr>
        <w:t>食品质量、安全保证方案</w:t>
      </w:r>
      <w:bookmarkEnd w:id="253"/>
      <w:bookmarkEnd w:id="254"/>
      <w:bookmarkEnd w:id="255"/>
      <w:bookmarkEnd w:id="256"/>
      <w:bookmarkEnd w:id="257"/>
      <w:bookmarkEnd w:id="258"/>
    </w:p>
    <w:p>
      <w:pPr>
        <w:pageBreakBefore w:val="0"/>
        <w:kinsoku/>
        <w:topLinePunct w:val="0"/>
        <w:bidi w:val="0"/>
        <w:snapToGrid/>
        <w:spacing w:line="360" w:lineRule="auto"/>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(格式内容自拟)</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sz w:val="21"/>
          <w:szCs w:val="21"/>
          <w:highlight w:val="none"/>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lang w:eastAsia="zh-CN"/>
        </w:rPr>
      </w:pPr>
      <w:bookmarkStart w:id="259" w:name="_Toc21119"/>
      <w:bookmarkStart w:id="260" w:name="_Toc4912"/>
      <w:bookmarkStart w:id="261" w:name="_Toc24795"/>
      <w:bookmarkStart w:id="262" w:name="_Toc21639"/>
      <w:bookmarkStart w:id="263" w:name="_Toc24805"/>
      <w:bookmarkStart w:id="264" w:name="_Toc31559"/>
      <w:r>
        <w:rPr>
          <w:rFonts w:hint="eastAsia" w:ascii="宋体" w:hAnsi="宋体" w:eastAsia="宋体" w:cs="宋体"/>
          <w:color w:val="auto"/>
          <w:sz w:val="30"/>
          <w:szCs w:val="30"/>
          <w:highlight w:val="none"/>
          <w:lang w:eastAsia="zh-CN"/>
        </w:rPr>
        <w:t>（四）应急处置方案</w:t>
      </w:r>
      <w:bookmarkEnd w:id="259"/>
      <w:bookmarkEnd w:id="260"/>
      <w:bookmarkEnd w:id="261"/>
      <w:bookmarkEnd w:id="262"/>
      <w:bookmarkEnd w:id="263"/>
      <w:bookmarkEnd w:id="264"/>
    </w:p>
    <w:p>
      <w:pPr>
        <w:pageBreakBefore w:val="0"/>
        <w:kinsoku/>
        <w:topLinePunct w:val="0"/>
        <w:bidi w:val="0"/>
        <w:snapToGrid/>
        <w:spacing w:line="360" w:lineRule="auto"/>
        <w:ind w:left="0" w:leftChars="0" w:right="0" w:rightChars="0" w:firstLine="4320" w:firstLineChars="1800"/>
        <w:jc w:val="both"/>
        <w:rPr>
          <w:rFonts w:hint="eastAsia" w:ascii="宋体" w:hAnsi="宋体" w:eastAsia="宋体" w:cs="宋体"/>
          <w:color w:val="auto"/>
          <w:highlight w:val="none"/>
        </w:rPr>
      </w:pPr>
      <w:r>
        <w:rPr>
          <w:rFonts w:hint="eastAsia" w:ascii="宋体" w:hAnsi="宋体" w:eastAsia="宋体" w:cs="宋体"/>
          <w:color w:val="auto"/>
          <w:highlight w:val="none"/>
        </w:rPr>
        <w:t>(格式内容自拟)</w:t>
      </w: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b/>
          <w:bCs/>
          <w:color w:val="auto"/>
          <w:highlight w:val="none"/>
        </w:rPr>
      </w:pPr>
    </w:p>
    <w:p>
      <w:pPr>
        <w:pageBreakBefore w:val="0"/>
        <w:kinsoku/>
        <w:topLinePunct w:val="0"/>
        <w:bidi w:val="0"/>
        <w:snapToGrid/>
        <w:spacing w:line="360" w:lineRule="auto"/>
        <w:ind w:left="0" w:leftChars="0" w:right="0" w:rightChars="0" w:firstLine="0" w:firstLineChars="0"/>
        <w:jc w:val="center"/>
        <w:outlineLvl w:val="2"/>
        <w:rPr>
          <w:rFonts w:hint="eastAsia" w:ascii="宋体" w:hAnsi="宋体" w:eastAsia="宋体" w:cs="宋体"/>
          <w:color w:val="auto"/>
          <w:sz w:val="30"/>
          <w:szCs w:val="30"/>
          <w:highlight w:val="none"/>
          <w:lang w:eastAsia="zh-CN"/>
        </w:rPr>
      </w:pPr>
      <w:bookmarkStart w:id="265" w:name="_Toc18641"/>
      <w:bookmarkStart w:id="266" w:name="_Toc20067"/>
      <w:r>
        <w:rPr>
          <w:rFonts w:hint="eastAsia" w:ascii="宋体" w:hAnsi="宋体" w:eastAsia="宋体" w:cs="宋体"/>
          <w:color w:val="auto"/>
          <w:sz w:val="30"/>
          <w:szCs w:val="30"/>
          <w:highlight w:val="none"/>
          <w:lang w:eastAsia="zh-CN"/>
        </w:rPr>
        <w:t>（五）售后服务方案</w:t>
      </w:r>
      <w:bookmarkEnd w:id="265"/>
      <w:bookmarkEnd w:id="266"/>
    </w:p>
    <w:p>
      <w:pPr>
        <w:pageBreakBefore w:val="0"/>
        <w:kinsoku/>
        <w:topLinePunct w:val="0"/>
        <w:bidi w:val="0"/>
        <w:snapToGrid/>
        <w:spacing w:line="360" w:lineRule="auto"/>
        <w:ind w:left="0" w:leftChars="0" w:right="0" w:rightChars="0"/>
        <w:jc w:val="center"/>
        <w:rPr>
          <w:rFonts w:hint="eastAsia" w:ascii="宋体" w:hAnsi="宋体" w:eastAsia="宋体" w:cs="宋体"/>
          <w:color w:val="auto"/>
          <w:highlight w:val="none"/>
        </w:rPr>
      </w:pPr>
      <w:r>
        <w:rPr>
          <w:rFonts w:hint="eastAsia" w:ascii="宋体" w:hAnsi="宋体" w:eastAsia="宋体" w:cs="宋体"/>
          <w:color w:val="auto"/>
          <w:highlight w:val="none"/>
        </w:rPr>
        <w:t>(格式内容自拟)</w:t>
      </w:r>
    </w:p>
    <w:p>
      <w:pPr>
        <w:pageBreakBefore w:val="0"/>
        <w:kinsoku/>
        <w:topLinePunct w:val="0"/>
        <w:bidi w:val="0"/>
        <w:snapToGrid/>
        <w:spacing w:line="360" w:lineRule="auto"/>
        <w:ind w:left="0" w:leftChars="0" w:right="0" w:rightChars="0" w:firstLine="0" w:firstLineChars="0"/>
        <w:jc w:val="both"/>
        <w:rPr>
          <w:rFonts w:hint="eastAsia" w:ascii="宋体" w:hAnsi="宋体" w:eastAsia="宋体" w:cs="宋体"/>
          <w:color w:val="auto"/>
          <w:highlight w:val="none"/>
        </w:rPr>
      </w:pPr>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bookmarkStart w:id="267" w:name="_Hlk478978464"/>
    </w:p>
    <w:p>
      <w:pPr>
        <w:pageBreakBefore w:val="0"/>
        <w:kinsoku/>
        <w:topLinePunct w:val="0"/>
        <w:bidi w:val="0"/>
        <w:snapToGrid/>
        <w:spacing w:line="360" w:lineRule="auto"/>
        <w:ind w:left="0" w:leftChars="0" w:right="0" w:rightChars="0" w:firstLine="0" w:firstLineChars="0"/>
        <w:jc w:val="center"/>
        <w:rPr>
          <w:rFonts w:hint="eastAsia" w:ascii="宋体" w:hAnsi="宋体" w:eastAsia="宋体" w:cs="宋体"/>
          <w:color w:val="auto"/>
          <w:highlight w:val="none"/>
        </w:rPr>
      </w:pPr>
    </w:p>
    <w:bookmarkEnd w:id="267"/>
    <w:p>
      <w:pPr>
        <w:pageBreakBefore w:val="0"/>
        <w:kinsoku/>
        <w:topLinePunct w:val="0"/>
        <w:bidi w:val="0"/>
        <w:snapToGrid/>
        <w:spacing w:line="360" w:lineRule="auto"/>
        <w:ind w:left="0" w:leftChars="0" w:right="0" w:rightChars="0" w:firstLine="0" w:firstLineChars="0"/>
        <w:jc w:val="center"/>
        <w:outlineLvl w:val="9"/>
        <w:rPr>
          <w:rFonts w:hint="eastAsia" w:ascii="宋体" w:hAnsi="宋体" w:eastAsia="宋体" w:cs="宋体"/>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0"/>
        <w:rPr>
          <w:rFonts w:hint="default" w:ascii="宋体" w:hAnsi="宋体" w:eastAsia="宋体" w:cs="宋体"/>
          <w:b/>
          <w:bCs/>
          <w:color w:val="auto"/>
          <w:sz w:val="32"/>
          <w:szCs w:val="32"/>
          <w:highlight w:val="none"/>
          <w:lang w:val="en-US" w:eastAsia="zh-CN"/>
        </w:rPr>
      </w:pPr>
      <w:bookmarkStart w:id="268" w:name="_Toc15929"/>
      <w:bookmarkStart w:id="269" w:name="_Toc15913"/>
      <w:bookmarkStart w:id="270" w:name="_Toc23238"/>
      <w:bookmarkStart w:id="271" w:name="OLE_LINK1"/>
      <w:r>
        <w:rPr>
          <w:rFonts w:hint="eastAsia" w:ascii="宋体" w:hAnsi="宋体" w:cs="宋体"/>
          <w:b/>
          <w:bCs/>
          <w:color w:val="auto"/>
          <w:sz w:val="32"/>
          <w:szCs w:val="32"/>
          <w:highlight w:val="none"/>
          <w:lang w:val="en-US" w:eastAsia="zh-CN"/>
        </w:rPr>
        <w:t>第五章  采购需求</w:t>
      </w:r>
      <w:bookmarkEnd w:id="268"/>
      <w:bookmarkEnd w:id="269"/>
      <w:bookmarkEnd w:id="27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说明：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 各投标人必须对招标文件第五章《采购需求》中的技术、服务要求作出全面、真实的反映，同时填写技术规格偏离表。若投标文件中响应情况与招标文件采购需求内容不符或无有效证明，而投标人又未在投标文件中作出说明和解释的，评标委员会在评审时将视为不响应该条技术、服务要求的规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 本章各项技术参数、规格和性能要求如出现引用某一特定的专利技术、商标、名称、设计、原产地或供应者等情况，则仅起参考作用。投标人可选用实质上“相当于”或“优于”该参考技术规格要求的产品投标。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取消该中标人的中标资格，并保留追究其法律责任的权利</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本项目为联合采购项目，</w:t>
      </w:r>
      <w:r>
        <w:rPr>
          <w:rFonts w:hint="eastAsia"/>
          <w:color w:val="auto"/>
          <w:highlight w:val="none"/>
          <w:lang w:val="en-US" w:eastAsia="zh-CN"/>
        </w:rPr>
        <w:t>牵头采购单位为香格里拉市教育体育局，成员单位为：香格里拉市第一中学、香格里拉市第三中学、香格里拉市东旺乡小学、香格里拉市格咱乡小学、香格里拉市尼西乡小学、香格里拉市五境乡小学、香格里拉市上江乡小学、香格里拉市金江镇小学、香格里拉市虎跳峡镇小学、香格里拉市小中甸镇小学、香格里拉市洛吉乡小学、香格里拉市三坝乡白水台小学、香格里拉市三坝乡东坝小学、香格里拉市建塘镇尼史小学、香格里拉市建塘镇纳赤塘小学、香格里拉市实验小学、香格里拉市虎跳峡镇第二小学</w:t>
      </w:r>
      <w:r>
        <w:rPr>
          <w:rFonts w:hint="eastAsia" w:ascii="宋体" w:hAnsi="宋体" w:cs="宋体"/>
          <w:b/>
          <w:bCs/>
          <w:color w:val="auto"/>
          <w:highlight w:val="none"/>
          <w:lang w:val="en-US" w:eastAsia="zh-CN"/>
        </w:rPr>
        <w:t>。</w:t>
      </w:r>
    </w:p>
    <w:tbl>
      <w:tblPr>
        <w:tblStyle w:val="18"/>
        <w:tblW w:w="911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5114"/>
        <w:gridCol w:w="919"/>
        <w:gridCol w:w="919"/>
        <w:gridCol w:w="1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标的名称</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单位</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数量</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预算金额（元）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香格里拉市第一中学2025年度学校食堂营养餐集中配送（净菜）服务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2455488.00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香格里拉市第三中学2025年度学校食堂营养餐集中配送（净菜）服务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1583568.00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香格里拉市东旺乡小学2025年度学校食堂营养餐集中配送（净菜）服务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439322.00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香格里拉市格咱乡小学2025年度学校食堂营养餐集中配送（净菜）服务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500810.00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香格里拉市尼西乡小学2025年度学校食堂营养餐集中配送（净菜）服务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292154.00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香格里拉市五境乡小学2025年度学校食堂营养餐集中配送（净菜）服务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347594.00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香格里拉市上江乡小学2025年度学校食堂营养餐集中配送（净菜）服务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535082.00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香格里拉市金江镇小学2025年度学校食堂营养餐集中配送（净菜）服务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786074.00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香格里拉市虎跳峡镇小学2025年度学校食堂营养餐集中配送（净菜）服务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1029010.00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香格里拉市小中甸镇小学2025年度学校食堂营养餐集中配送（净菜）服务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624794.00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香格里拉市洛吉乡小学2025年度学校食堂营养餐集中配送（净菜）服务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273002.00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香格里拉市三坝乡白水台小学2025年度学校食堂营养餐集中配送（净菜）服务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521978.00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香格里拉市三坝乡东坝小学2025年度学校食堂营养餐集中配送（净菜）服务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156074.00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香格里拉市建塘镇尼史小学2025年度学校食堂营养餐集中配送（净菜）服务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261072.00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香格里拉市建塘镇纳赤塘小学2025年度学校食堂营养餐集中配送（净菜）服务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650160.00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香格里拉市实验小学2025年度学校食堂营养餐集中配送（净菜）服务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1107792.00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51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香格里拉市虎跳峡镇第二小学2025年度学校食堂营养餐集中配送（净菜）服务</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276026.00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695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合计（元）</w:t>
            </w:r>
          </w:p>
        </w:tc>
        <w:tc>
          <w:tcPr>
            <w:tcW w:w="15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11840000.00 </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textAlignment w:val="auto"/>
        <w:rPr>
          <w:rFonts w:hint="eastAsia" w:ascii="宋体" w:hAnsi="宋体" w:cs="宋体"/>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本项目食材配送部分学校存在山区道路通行状况差、运输成本高、食材保鲜（尤其鲜肉类食材）质量要求高等复杂性；同时，本项目涉及多所学校所有学校师生的食材配送，对于食材需求量很大、保鲜质量要求很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风险说明：投标人针对本项目实施地现场情况进行自行踏勘，业主不组织现场踏勘。投标人如未现场踏勘，则视为其已充分了解本项目合同履约的一切风险，并由投标人自行承担投标及合同履约（如果中标的话）的一切风险。</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p>
    <w:p>
      <w:pPr>
        <w:pStyle w:val="2"/>
        <w:rPr>
          <w:rFonts w:hint="eastAsia" w:ascii="宋体" w:hAnsi="宋体" w:cs="宋体"/>
          <w:b/>
          <w:bCs/>
          <w:color w:val="auto"/>
          <w:highlight w:val="none"/>
          <w:lang w:val="en-US" w:eastAsia="zh-CN"/>
        </w:rPr>
      </w:pPr>
    </w:p>
    <w:p>
      <w:pPr>
        <w:rPr>
          <w:rFonts w:hint="eastAsia" w:ascii="宋体" w:hAnsi="宋体" w:cs="宋体"/>
          <w:b/>
          <w:bCs/>
          <w:color w:val="auto"/>
          <w:highlight w:val="none"/>
          <w:lang w:val="en-US" w:eastAsia="zh-CN"/>
        </w:rPr>
      </w:pPr>
    </w:p>
    <w:p>
      <w:pPr>
        <w:pStyle w:val="2"/>
        <w:rPr>
          <w:rFonts w:hint="eastAsia" w:ascii="宋体" w:hAnsi="宋体" w:cs="宋体"/>
          <w:b/>
          <w:bCs/>
          <w:color w:val="auto"/>
          <w:highlight w:val="none"/>
          <w:lang w:val="en-US" w:eastAsia="zh-CN"/>
        </w:rPr>
      </w:pPr>
    </w:p>
    <w:p>
      <w:pPr>
        <w:rPr>
          <w:rFonts w:hint="eastAsia" w:ascii="宋体" w:hAnsi="宋体" w:cs="宋体"/>
          <w:b/>
          <w:bCs/>
          <w:color w:val="auto"/>
          <w:highlight w:val="none"/>
          <w:lang w:val="en-US" w:eastAsia="zh-CN"/>
        </w:rPr>
      </w:pPr>
    </w:p>
    <w:p>
      <w:pPr>
        <w:pStyle w:val="2"/>
        <w:rPr>
          <w:rFonts w:hint="eastAsia" w:ascii="宋体" w:hAnsi="宋体" w:cs="宋体"/>
          <w:b/>
          <w:bCs/>
          <w:color w:val="auto"/>
          <w:highlight w:val="none"/>
          <w:lang w:val="en-US" w:eastAsia="zh-CN"/>
        </w:rPr>
      </w:pPr>
    </w:p>
    <w:p>
      <w:pPr>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hint="eastAsia" w:ascii="宋体" w:hAnsi="宋体" w:eastAsia="宋体" w:cs="宋体"/>
          <w:b/>
          <w:bCs/>
          <w:color w:val="auto"/>
          <w:highlight w:val="none"/>
          <w:lang w:val="en-US" w:eastAsia="zh-CN"/>
        </w:rPr>
      </w:pPr>
      <w:bookmarkStart w:id="272" w:name="_Toc17929"/>
      <w:bookmarkStart w:id="273" w:name="_Toc26597"/>
      <w:bookmarkStart w:id="274" w:name="_Toc1888"/>
      <w:r>
        <w:rPr>
          <w:rFonts w:hint="eastAsia" w:ascii="宋体" w:hAnsi="宋体" w:eastAsia="宋体" w:cs="宋体"/>
          <w:b/>
          <w:bCs/>
          <w:color w:val="auto"/>
          <w:highlight w:val="none"/>
          <w:lang w:val="en-US" w:eastAsia="zh-CN"/>
        </w:rPr>
        <w:t>一、</w:t>
      </w:r>
      <w:bookmarkEnd w:id="272"/>
      <w:r>
        <w:rPr>
          <w:rFonts w:hint="eastAsia" w:ascii="宋体" w:hAnsi="宋体" w:cs="宋体"/>
          <w:b/>
          <w:bCs/>
          <w:color w:val="auto"/>
          <w:highlight w:val="none"/>
          <w:lang w:val="en-US" w:eastAsia="zh-CN"/>
        </w:rPr>
        <w:t>商务要求</w:t>
      </w:r>
      <w:bookmarkEnd w:id="273"/>
      <w:bookmarkEnd w:id="27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b w:val="0"/>
          <w:bCs w:val="0"/>
          <w:color w:val="auto"/>
          <w:highlight w:val="none"/>
          <w:lang w:val="en-US" w:eastAsia="zh-CN"/>
        </w:rPr>
        <w:t>1、配送内容：</w:t>
      </w:r>
      <w:r>
        <w:rPr>
          <w:rFonts w:hint="eastAsia" w:ascii="宋体" w:hAnsi="宋体" w:eastAsia="宋体" w:cs="宋体"/>
          <w:color w:val="auto"/>
          <w:highlight w:val="none"/>
          <w:lang w:val="en-US" w:eastAsia="zh-CN"/>
        </w:rPr>
        <w:t>包含但不仅限于禽肉、禽蛋</w:t>
      </w:r>
      <w:r>
        <w:rPr>
          <w:rFonts w:hint="eastAsia" w:ascii="宋体" w:hAnsi="宋体" w:cs="宋体"/>
          <w:color w:val="auto"/>
          <w:highlight w:val="none"/>
          <w:lang w:val="en-US" w:eastAsia="zh-CN"/>
        </w:rPr>
        <w:t>、鲜肉</w:t>
      </w:r>
      <w:r>
        <w:rPr>
          <w:rFonts w:hint="eastAsia" w:ascii="宋体" w:hAnsi="宋体" w:eastAsia="宋体" w:cs="宋体"/>
          <w:color w:val="auto"/>
          <w:highlight w:val="none"/>
          <w:lang w:val="en-US" w:eastAsia="zh-CN"/>
        </w:rPr>
        <w:t>、净蔬菜料(叶菜类、根茎类)、大米、油及食材其他辅料等</w:t>
      </w:r>
      <w:r>
        <w:rPr>
          <w:rFonts w:hint="eastAsia" w:ascii="宋体" w:hAnsi="宋体" w:cs="宋体"/>
          <w:color w:val="auto"/>
          <w:highlight w:val="none"/>
          <w:lang w:val="en-US" w:eastAsia="zh-CN"/>
        </w:rPr>
        <w:t>。具体配送品种、数量以甲方实际通知为准</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合同履行期限：合同签订之日起至</w:t>
      </w:r>
      <w:r>
        <w:rPr>
          <w:rFonts w:hint="eastAsia" w:ascii="宋体" w:hAnsi="宋体" w:cs="宋体"/>
          <w:color w:val="auto"/>
          <w:highlight w:val="none"/>
          <w:lang w:val="en-US" w:eastAsia="zh-CN"/>
        </w:rPr>
        <w:t>2025年度秋季学期结束止</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3</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服务地点：本项目属于联合采购项目，各学校与中标人分别签订合同，按合同约定按时配送到各学校指定地点</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4、质量要求：符合《中华人民共和国食品安全法》和《中华人民共和国食品安全法实施条例》，《食品安全国家标准管理办法》（卫生部令第 77 号）等，满足采购人验收标准及使用需求。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5、交货时间、地点、方式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（1）交货时间：在收到学校下达的配送申请后，应及时按配送申请单中的要求，积极组织货源按要求配送。粮、油、禽蛋等保质期较长的原料，采用“月报周配”，新鲜猪肉等原料，采用“周报日配”方式。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交货地点：各</w:t>
      </w:r>
      <w:r>
        <w:rPr>
          <w:rFonts w:hint="eastAsia" w:ascii="宋体" w:hAnsi="宋体" w:cs="宋体"/>
          <w:color w:val="auto"/>
          <w:highlight w:val="none"/>
          <w:lang w:val="en-US" w:eastAsia="zh-CN"/>
        </w:rPr>
        <w:t>学校指定地点</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方式：由投标人负责运输、装卸，所产生的费用和产生的风险均由投标人承担。供货企业必须具备相应的配送能力，配送食品的专用车辆必须达到规定标准，确保配送过程的安全，配送过程中的损失由供货方承担，采购学校不承担配送过程中的任何事故责任</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6、合同期限内，如遇国家或地方政府政策性调整导致合同无法履行的，应视为不可抗力，合同双方应当友好协商依法终止合同。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服务标准：学生营养餐采购需执行《中华人民共和国食品安全法》《学生集体用餐卫生监督办法》《学生营养餐生产企业卫生规范》《餐饮业和集体用餐配送单位卫生规范》和《餐饮服务食品安全操作指南》，以及国家卫计委发布的《学生餐营养指南》（标准编号：WS/T554-2017）。学生营养餐既要考虑到不同年龄阶段学生的生长发育和智力发展的营养需求特点，又要考虑到食物的科学合理搭配</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8、</w:t>
      </w:r>
      <w:r>
        <w:rPr>
          <w:rFonts w:hint="eastAsia" w:ascii="宋体" w:hAnsi="宋体" w:eastAsia="宋体" w:cs="宋体"/>
          <w:b/>
          <w:bCs/>
          <w:color w:val="auto"/>
          <w:highlight w:val="none"/>
          <w:lang w:val="en-US" w:eastAsia="zh-CN"/>
        </w:rPr>
        <w:t>履约安全要求（需单独提供承诺函，格式自拟）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本项目自中标人签订合同之日起至服务期限止，中标人将负责本项目实施过程中的工作人员人身安全和财产安全。因本项目实施过程中上述安全问题造成的损失，均由中标人自行承担。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本次食材</w:t>
      </w:r>
      <w:r>
        <w:rPr>
          <w:rFonts w:hint="eastAsia" w:ascii="宋体" w:hAnsi="宋体" w:cs="宋体"/>
          <w:color w:val="auto"/>
          <w:highlight w:val="none"/>
          <w:lang w:val="en-US" w:eastAsia="zh-CN"/>
        </w:rPr>
        <w:t>配送</w:t>
      </w:r>
      <w:r>
        <w:rPr>
          <w:rFonts w:hint="eastAsia" w:ascii="宋体" w:hAnsi="宋体" w:eastAsia="宋体" w:cs="宋体"/>
          <w:color w:val="auto"/>
          <w:highlight w:val="none"/>
          <w:lang w:val="en-US" w:eastAsia="zh-CN"/>
        </w:rPr>
        <w:t>，需承诺中标人配送的商品无任何质量安全问题，如投标人中标后出现任何质量问题导致的不良情形，一切法律责任由中标人承担，中标人须采取严密的安全质量管理措施，确保该项目安全实施。</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（3）中标人</w:t>
      </w:r>
      <w:r>
        <w:rPr>
          <w:rFonts w:hint="eastAsia" w:ascii="宋体" w:hAnsi="宋体" w:eastAsia="宋体" w:cs="宋体"/>
          <w:color w:val="auto"/>
          <w:highlight w:val="none"/>
          <w:lang w:val="en-US" w:eastAsia="zh-CN"/>
        </w:rPr>
        <w:t>应做好运输过程中的食品安全保障工作。运输中要防止雨淋日晒及交叉污染，确保配送的食材优质、安全、可靠，确保运输安全。若采购人发现配送的产品存在包装破损或变质，将及时通知配送</w:t>
      </w:r>
      <w:r>
        <w:rPr>
          <w:rFonts w:hint="eastAsia" w:ascii="宋体" w:hAnsi="宋体" w:cs="宋体"/>
          <w:color w:val="auto"/>
          <w:highlight w:val="none"/>
          <w:lang w:val="en-US" w:eastAsia="zh-CN"/>
        </w:rPr>
        <w:t>中标人</w:t>
      </w:r>
      <w:r>
        <w:rPr>
          <w:rFonts w:hint="eastAsia" w:ascii="宋体" w:hAnsi="宋体" w:eastAsia="宋体" w:cs="宋体"/>
          <w:color w:val="auto"/>
          <w:highlight w:val="none"/>
          <w:lang w:val="en-US" w:eastAsia="zh-CN"/>
        </w:rPr>
        <w:t>进行处理并做好记录，配送</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需无偿更换相同品种相同数量的原材料，所产生的费用全部由供货商承担。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9、</w:t>
      </w:r>
      <w:r>
        <w:rPr>
          <w:rFonts w:hint="eastAsia" w:ascii="宋体" w:hAnsi="宋体" w:eastAsia="宋体" w:cs="宋体"/>
          <w:b/>
          <w:bCs/>
          <w:color w:val="auto"/>
          <w:highlight w:val="none"/>
          <w:lang w:val="en-US" w:eastAsia="zh-CN"/>
        </w:rPr>
        <w:t>合同款项的结算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价格评估与执行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1.1 净菜价格说明</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1）净菜价格获取方式： 出净率的核定方式由采购人及校方代表、中标人等组成测算小组，实地测算原材料加工成净菜的出净率。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出净率=处理后净菜量÷毛菜原材料量（如：500g土豆经过处理后得到400g土豆丝，即土豆出净率为400÷500=80%）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净菜量=毛菜原材料量×出净率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净菜价格=毛菜原材料价格÷出净率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所报价格应包括食材、税费、工资、</w:t>
      </w:r>
      <w:r>
        <w:rPr>
          <w:rFonts w:hint="eastAsia" w:ascii="宋体" w:hAnsi="宋体" w:cs="宋体"/>
          <w:color w:val="auto"/>
          <w:highlight w:val="none"/>
          <w:lang w:val="en-US" w:eastAsia="zh-CN"/>
        </w:rPr>
        <w:t>分拣、清洗切配</w:t>
      </w:r>
      <w:r>
        <w:rPr>
          <w:rFonts w:hint="eastAsia" w:ascii="宋体" w:hAnsi="宋体" w:eastAsia="宋体" w:cs="宋体"/>
          <w:color w:val="auto"/>
          <w:highlight w:val="none"/>
          <w:lang w:val="en-US" w:eastAsia="zh-CN"/>
        </w:rPr>
        <w:t>、包装、运输、配送、调换、 损耗、检测、培训、</w:t>
      </w:r>
      <w:r>
        <w:rPr>
          <w:rFonts w:hint="eastAsia" w:ascii="宋体" w:hAnsi="宋体" w:cs="宋体"/>
          <w:color w:val="auto"/>
          <w:highlight w:val="none"/>
          <w:lang w:val="en-US" w:eastAsia="zh-CN"/>
        </w:rPr>
        <w:t>利润、风险、</w:t>
      </w:r>
      <w:r>
        <w:rPr>
          <w:rFonts w:hint="eastAsia" w:ascii="宋体" w:hAnsi="宋体" w:eastAsia="宋体" w:cs="宋体"/>
          <w:color w:val="auto"/>
          <w:highlight w:val="none"/>
          <w:lang w:val="en-US" w:eastAsia="zh-CN"/>
        </w:rPr>
        <w:t>安全责任等所有费用，采购人无须另向中标人支付合同规定之外的其他任何费用。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中标人</w:t>
      </w:r>
      <w:r>
        <w:rPr>
          <w:rFonts w:hint="eastAsia" w:ascii="宋体" w:hAnsi="宋体" w:cs="宋体"/>
          <w:color w:val="auto"/>
          <w:highlight w:val="none"/>
          <w:lang w:val="en-US" w:eastAsia="zh-CN"/>
        </w:rPr>
        <w:t>净菜</w:t>
      </w:r>
      <w:r>
        <w:rPr>
          <w:rFonts w:hint="eastAsia" w:ascii="宋体" w:hAnsi="宋体" w:eastAsia="宋体" w:cs="宋体"/>
          <w:color w:val="auto"/>
          <w:highlight w:val="none"/>
          <w:lang w:val="en-US" w:eastAsia="zh-CN"/>
        </w:rPr>
        <w:t>最终结算价格</w:t>
      </w:r>
      <w:r>
        <w:rPr>
          <w:rFonts w:hint="eastAsia" w:ascii="宋体" w:hAnsi="宋体" w:cs="宋体"/>
          <w:color w:val="auto"/>
          <w:highlight w:val="none"/>
          <w:lang w:val="en-US" w:eastAsia="zh-CN"/>
        </w:rPr>
        <w:t>：当月净菜食材实际结算金额 = （毛菜原材料价格×（1-中标下浮率）÷出净率）×净菜使用量</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 询价组构成与操作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1）询价小组</w:t>
      </w:r>
      <w:r>
        <w:rPr>
          <w:rFonts w:hint="eastAsia" w:ascii="宋体" w:hAnsi="宋体" w:cs="宋体"/>
          <w:color w:val="auto"/>
          <w:highlight w:val="none"/>
          <w:lang w:val="en-US" w:eastAsia="zh-CN"/>
        </w:rPr>
        <w:t>暂定由中标人、教育体育局、各学校等相关人员组成</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2）询价地点及</w:t>
      </w:r>
      <w:r>
        <w:rPr>
          <w:rFonts w:hint="eastAsia" w:ascii="宋体" w:hAnsi="宋体" w:cs="宋体"/>
          <w:color w:val="auto"/>
          <w:highlight w:val="none"/>
          <w:lang w:val="en-US" w:eastAsia="zh-CN"/>
        </w:rPr>
        <w:t>毛菜原材料价格：每月组织一次随机市场调查询价，询价小组以供货当月在香格里拉市城区内的三家大型农贸市场或三家大型商超产品询价为准，以询价的平均数作为毛菜原材料价格（经核实的农贸市场、大型商超的引流价及特价商品、处理品不作询价标准）</w:t>
      </w:r>
      <w:r>
        <w:rPr>
          <w:rFonts w:hint="eastAsia" w:ascii="宋体" w:hAnsi="宋体" w:eastAsia="宋体" w:cs="宋体"/>
          <w:color w:val="auto"/>
          <w:highlight w:val="none"/>
          <w:lang w:val="en-US" w:eastAsia="zh-CN"/>
        </w:rPr>
        <w:t>，按合同中双方签订的下浮比例</w:t>
      </w:r>
      <w:r>
        <w:rPr>
          <w:rFonts w:hint="eastAsia" w:ascii="宋体" w:hAnsi="宋体" w:cs="宋体"/>
          <w:color w:val="auto"/>
          <w:highlight w:val="none"/>
          <w:lang w:val="en-US" w:eastAsia="zh-CN"/>
        </w:rPr>
        <w:t>及配送数量</w:t>
      </w:r>
      <w:r>
        <w:rPr>
          <w:rFonts w:hint="eastAsia" w:ascii="宋体" w:hAnsi="宋体" w:eastAsia="宋体" w:cs="宋体"/>
          <w:color w:val="auto"/>
          <w:highlight w:val="none"/>
          <w:lang w:val="en-US" w:eastAsia="zh-CN"/>
        </w:rPr>
        <w:t>据实结算。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3）市场询价时限：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在每月初进行一次询价作为本月结算基准单价，每学期询价不得低于四次。由</w:t>
      </w:r>
      <w:r>
        <w:rPr>
          <w:rFonts w:hint="eastAsia" w:ascii="宋体" w:hAnsi="宋体" w:cs="宋体"/>
          <w:color w:val="auto"/>
          <w:highlight w:val="none"/>
          <w:lang w:val="en-US" w:eastAsia="zh-CN"/>
        </w:rPr>
        <w:t>香格里拉市教育体育局</w:t>
      </w:r>
      <w:r>
        <w:rPr>
          <w:rFonts w:hint="eastAsia" w:ascii="宋体" w:hAnsi="宋体" w:eastAsia="宋体" w:cs="宋体"/>
          <w:color w:val="auto"/>
          <w:highlight w:val="none"/>
          <w:lang w:val="en-US" w:eastAsia="zh-CN"/>
        </w:rPr>
        <w:t>组织核实，并将核实情况签字盖章后返各学校。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 开学月和放假月不足半月的，</w:t>
      </w:r>
      <w:r>
        <w:rPr>
          <w:rFonts w:hint="eastAsia" w:ascii="宋体" w:hAnsi="宋体" w:cs="宋体"/>
          <w:color w:val="auto"/>
          <w:highlight w:val="none"/>
          <w:lang w:val="en-US" w:eastAsia="zh-CN"/>
        </w:rPr>
        <w:t>开学月以下月的采购结算价计算，放假月按上月的采购结算价计算</w:t>
      </w:r>
      <w:r>
        <w:rPr>
          <w:rFonts w:hint="eastAsia" w:ascii="宋体" w:hAnsi="宋体" w:eastAsia="宋体" w:cs="宋体"/>
          <w:color w:val="auto"/>
          <w:highlight w:val="none"/>
          <w:lang w:val="en-US" w:eastAsia="zh-CN"/>
        </w:rPr>
        <w:t>，其他上课月份按市场询价执行。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货款资金结算</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每月根据询价结果及报价方式据实结算，凭发票进行结算</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（3）服务合同执行过程中如遇国家政策变化，导致配送量减少的，双方均不承担违约责任，最终按照实际配送量据实结算</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10、</w:t>
      </w:r>
      <w:r>
        <w:rPr>
          <w:rFonts w:hint="eastAsia" w:ascii="宋体" w:hAnsi="宋体" w:eastAsia="宋体" w:cs="宋体"/>
          <w:b/>
          <w:bCs/>
          <w:color w:val="auto"/>
          <w:highlight w:val="none"/>
          <w:lang w:val="en-US" w:eastAsia="zh-CN"/>
        </w:rPr>
        <w:t>食材货物单批次交付验收和项目总体履约验收标准、要求及监督管理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本项目验收工作由</w:t>
      </w:r>
      <w:r>
        <w:rPr>
          <w:rFonts w:hint="eastAsia" w:ascii="宋体" w:hAnsi="宋体" w:cs="宋体"/>
          <w:color w:val="auto"/>
          <w:highlight w:val="none"/>
          <w:lang w:val="en-US" w:eastAsia="zh-CN"/>
        </w:rPr>
        <w:t>教育体育局、</w:t>
      </w:r>
      <w:r>
        <w:rPr>
          <w:rFonts w:hint="eastAsia" w:ascii="宋体" w:hAnsi="宋体" w:eastAsia="宋体" w:cs="宋体"/>
          <w:color w:val="auto"/>
          <w:highlight w:val="none"/>
          <w:lang w:val="en-US" w:eastAsia="zh-CN"/>
        </w:rPr>
        <w:t>各学校完成。组成项目验收小组，对每批次食材进行现场验收。如有短缺、规格质量不符、资料不全等，由中标人在本日内无偿给予更换、补齐，并承担由此产生的全部费用。对于不符规格要求、以次充好、质量问题等现象，学校有权退货，中标人必须无条件退换，并保证师生正常就餐。</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监督管理：学校组成的领导小组成员单位按照各自职能，每学期定期或不定期对食材供应企业(商)进行督导检查。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学校验收人员会同供货商依据当天所提供的所供鲜肉的“两证两章”，即“动物检疫合格证明”、“肉品品质检验合格证”、“动物检疫合格验讫印章”和“肉品品质检验合格验讫印章”、保质期、质量、数量等有关资料及非洲猪瘟检测阴性报告共同验收，签字确认。如有短缺、规格质量不符、资料不全等，由供货商在当日内无偿给予更换、补齐，并承担由此产生的全部费用。</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（4）投标人</w:t>
      </w:r>
      <w:r>
        <w:rPr>
          <w:rFonts w:hint="eastAsia" w:ascii="宋体" w:hAnsi="宋体" w:eastAsia="宋体" w:cs="宋体"/>
          <w:color w:val="auto"/>
          <w:highlight w:val="none"/>
          <w:lang w:val="en-US" w:eastAsia="zh-CN"/>
        </w:rPr>
        <w:t>每批次食材货物送达学校食堂应完好无损，与学校收货人员共同详细精准清点、 精细化检查包装及各类食材是否符合质量要求和数量要求，并当场做好签收记录，双方签字确认，做到账账相符、账表相符、账实（实际货物）相符。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w:t>
      </w:r>
      <w:r>
        <w:rPr>
          <w:rFonts w:hint="eastAsia" w:ascii="宋体" w:hAnsi="宋体" w:eastAsia="宋体" w:cs="宋体"/>
          <w:color w:val="auto"/>
          <w:highlight w:val="none"/>
          <w:lang w:val="en-US" w:eastAsia="zh-CN"/>
        </w:rPr>
        <w:t>采购人需要中标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对交付的产品 (包括质量、技术参数等) 进行确认的，</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应予以配合，并出具书面意见。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货款支付管理。实行银行转账支付管理，由采购学校根据采购合同约定的付款期限，凭发票实行转账支付，不得使用现金。</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具有良好的售后服务能力和态度，出现质量问题响应时间在</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小时内。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中标人每次配送的食材均必须符合国家相关法律法规、严格执行质量标准、做好配送和售后服务；并且本项目涉及的相关证件证明必须是合法有效。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11、</w:t>
      </w:r>
      <w:r>
        <w:rPr>
          <w:rFonts w:hint="eastAsia" w:ascii="宋体" w:hAnsi="宋体" w:eastAsia="宋体" w:cs="宋体"/>
          <w:b/>
          <w:bCs/>
          <w:color w:val="auto"/>
          <w:highlight w:val="none"/>
          <w:lang w:val="en-US" w:eastAsia="zh-CN"/>
        </w:rPr>
        <w:t>履约责任要求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bCs/>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对食材的质量安全负责，若因产品本身质量问题或配送中污染、变质造成食品安全事故，中标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负全部责任，采购人将终止合同并追究相应责任。</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b/>
          <w:bCs/>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产品发生质量安全事故时，中标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必须派员立即到学校妥善处理，负责做好入院就医事项，做好学生及家长安抚工作，并承担所产生的一切费用。因质量问题给学生造成身体伤害及经济损失时，由中标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负责赔偿并承担法律责任。</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对食材配送过程中的安全负责，出现交通事故、食品损坏等所有安全事故由中标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承担所有经济赔偿及法律责任。</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责任追究制度：采购人将定期或不定期地对配送工作进行督查。对中标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提供不合格产品或不按要求配送，影响正常就餐的，给予警告；情节严重的采购人有权终止合同。因配送产品引发的食品安全事故或造成责任事故的，取消</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配送资格，并将追究其法律责任。</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color w:val="auto"/>
          <w:highlight w:val="none"/>
          <w:lang w:val="en-US" w:eastAsia="zh-CN"/>
        </w:rPr>
      </w:pPr>
      <w:r>
        <w:rPr>
          <w:rFonts w:hint="eastAsia" w:ascii="宋体" w:hAnsi="宋体" w:cs="宋体"/>
          <w:b/>
          <w:bCs/>
          <w:color w:val="auto"/>
          <w:highlight w:val="none"/>
          <w:lang w:val="en-US" w:eastAsia="zh-CN"/>
        </w:rPr>
        <w:t>12、</w:t>
      </w:r>
      <w:r>
        <w:rPr>
          <w:rFonts w:hint="eastAsia" w:ascii="宋体" w:hAnsi="宋体" w:eastAsia="宋体" w:cs="宋体"/>
          <w:b/>
          <w:bCs/>
          <w:color w:val="auto"/>
          <w:highlight w:val="none"/>
          <w:lang w:val="en-US" w:eastAsia="zh-CN"/>
        </w:rPr>
        <w:t>包装方式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涉及的商品包装和均应符合《商品包装政府采购需求标准（试行）》的要求，包装应适应于远距离运输、防潮、防震、防锈和防野蛮装卸，以确保货物安全无损运抵指定地点</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13、配送食材规格要求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(1)一级大米，符合《GB/T 1354-2018（大米）》标准。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(2)非转基因压榨一级菜籽油，GB/T 1536-2021 菜籽油（含第1号修改单）；要求：感官：色泽呈淡黄色至浅黄色，澄清、透明，具有菜籽油固有的香味和滋味，无异味。2、理化指标：酸价（KOH）≤1.5mg/g；过氧化值≤0.125g/100g。3、包装产品标签：符合《GB 7718-2011食品安全国家标准 预包装食品标签通则》。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新鲜肉类，质量达到国家最新标准要求，并提供动物产品检疫合格证、畜禽产品检验合格证和动物产品检疫验讫印章、肉品质量检验合格印章。配送的猪肉不能是病猪肉、冰冻肉、注水肉。配送企业一律不得将猪头、边油、心肺及大小肠配送给学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(4)禽蛋，要求外壳完好、新鲜，有动物检验检疫合格证的无公害产品。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(5)其余食材规格标准必须满足《中华人民共和国食品安全法》、《农村义务教育学生营养改善计划实施办法》、《学校集中用餐食品安全管理规定》、《学校食品安全与营养健康管理规定》、《中华人民共和国农产品质量安全法》、《动物检疫管理办法》规定</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hint="eastAsia" w:ascii="宋体" w:hAnsi="宋体" w:eastAsia="宋体" w:cs="宋体"/>
          <w:color w:val="auto"/>
          <w:highlight w:val="none"/>
          <w:lang w:val="en-US" w:eastAsia="zh-CN"/>
        </w:rPr>
      </w:pPr>
      <w:bookmarkStart w:id="275" w:name="_Toc21987"/>
      <w:bookmarkStart w:id="276" w:name="_Toc18187"/>
      <w:bookmarkStart w:id="277" w:name="_Toc18478"/>
      <w:r>
        <w:rPr>
          <w:rFonts w:hint="eastAsia" w:ascii="宋体" w:hAnsi="宋体" w:cs="宋体"/>
          <w:b/>
          <w:bCs/>
          <w:color w:val="auto"/>
          <w:highlight w:val="none"/>
          <w:lang w:val="en-US" w:eastAsia="zh-CN"/>
        </w:rPr>
        <w:t>二</w:t>
      </w:r>
      <w:r>
        <w:rPr>
          <w:rFonts w:hint="eastAsia" w:ascii="宋体" w:hAnsi="宋体" w:eastAsia="宋体" w:cs="宋体"/>
          <w:b/>
          <w:bCs/>
          <w:color w:val="auto"/>
          <w:highlight w:val="none"/>
          <w:lang w:val="en-US" w:eastAsia="zh-CN"/>
        </w:rPr>
        <w:t>、技术、服务要求</w:t>
      </w:r>
      <w:bookmarkEnd w:id="275"/>
      <w:bookmarkEnd w:id="276"/>
      <w:bookmarkEnd w:id="27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本项目</w:t>
      </w:r>
      <w:r>
        <w:rPr>
          <w:rFonts w:hint="eastAsia" w:ascii="宋体" w:hAnsi="宋体" w:cs="宋体"/>
          <w:b/>
          <w:bCs/>
          <w:color w:val="auto"/>
          <w:highlight w:val="none"/>
          <w:lang w:val="en-US" w:eastAsia="zh-CN"/>
        </w:rPr>
        <w:t>配送</w:t>
      </w:r>
      <w:r>
        <w:rPr>
          <w:rFonts w:hint="eastAsia" w:ascii="宋体" w:hAnsi="宋体" w:eastAsia="宋体" w:cs="宋体"/>
          <w:b/>
          <w:bCs/>
          <w:color w:val="auto"/>
          <w:highlight w:val="none"/>
          <w:lang w:val="en-US" w:eastAsia="zh-CN"/>
        </w:rPr>
        <w:t>的</w:t>
      </w:r>
      <w:r>
        <w:rPr>
          <w:rFonts w:hint="eastAsia" w:ascii="宋体" w:hAnsi="宋体" w:cs="宋体"/>
          <w:b/>
          <w:bCs/>
          <w:color w:val="auto"/>
          <w:highlight w:val="none"/>
          <w:lang w:val="en-US" w:eastAsia="zh-CN"/>
        </w:rPr>
        <w:t>食材</w:t>
      </w:r>
      <w:r>
        <w:rPr>
          <w:rFonts w:hint="eastAsia" w:ascii="宋体" w:hAnsi="宋体" w:eastAsia="宋体" w:cs="宋体"/>
          <w:b/>
          <w:bCs/>
          <w:color w:val="auto"/>
          <w:highlight w:val="none"/>
          <w:lang w:val="en-US" w:eastAsia="zh-CN"/>
        </w:rPr>
        <w:t>质量保证能力及服务要求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（1）投标人配送</w:t>
      </w:r>
      <w:r>
        <w:rPr>
          <w:rFonts w:hint="eastAsia" w:ascii="宋体" w:hAnsi="宋体" w:eastAsia="宋体" w:cs="宋体"/>
          <w:b w:val="0"/>
          <w:bCs w:val="0"/>
          <w:color w:val="auto"/>
          <w:highlight w:val="none"/>
          <w:lang w:val="en-US" w:eastAsia="zh-CN"/>
        </w:rPr>
        <w:t>的食品必须是合格产品，产品质量指标有国家标准的应符合现行国家标准,无国家标准的应符合部颁标准或行业标准。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（2）投标人</w:t>
      </w:r>
      <w:r>
        <w:rPr>
          <w:rFonts w:hint="eastAsia" w:ascii="宋体" w:hAnsi="宋体" w:eastAsia="宋体" w:cs="宋体"/>
          <w:b w:val="0"/>
          <w:bCs w:val="0"/>
          <w:color w:val="auto"/>
          <w:highlight w:val="none"/>
          <w:lang w:val="en-US" w:eastAsia="zh-CN"/>
        </w:rPr>
        <w:t>所</w:t>
      </w:r>
      <w:r>
        <w:rPr>
          <w:rFonts w:hint="eastAsia" w:ascii="宋体" w:hAnsi="宋体" w:cs="宋体"/>
          <w:b w:val="0"/>
          <w:bCs w:val="0"/>
          <w:color w:val="auto"/>
          <w:highlight w:val="none"/>
          <w:lang w:val="en-US" w:eastAsia="zh-CN"/>
        </w:rPr>
        <w:t>配送</w:t>
      </w:r>
      <w:r>
        <w:rPr>
          <w:rFonts w:hint="eastAsia" w:ascii="宋体" w:hAnsi="宋体" w:eastAsia="宋体" w:cs="宋体"/>
          <w:b w:val="0"/>
          <w:bCs w:val="0"/>
          <w:color w:val="auto"/>
          <w:highlight w:val="none"/>
          <w:lang w:val="en-US" w:eastAsia="zh-CN"/>
        </w:rPr>
        <w:t>的食品必须符合卫生食品安全要求，质量必须通过检验合格，不得以次充好，不得以劣充优，不得有过期、变质、霉烂的副食品（调料类商品必须为各大超市上柜品牌）。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（3）</w:t>
      </w:r>
      <w:r>
        <w:rPr>
          <w:rFonts w:hint="eastAsia" w:ascii="宋体" w:hAnsi="宋体" w:eastAsia="宋体" w:cs="宋体"/>
          <w:b w:val="0"/>
          <w:bCs w:val="0"/>
          <w:color w:val="auto"/>
          <w:highlight w:val="none"/>
          <w:lang w:val="en-US" w:eastAsia="zh-CN"/>
        </w:rPr>
        <w:t>在质量保证期内，如果食品的质量或规格与合同不符，或证实食品是有缺陷的，包括潜在的缺陷或使用不符合要求的材料等，采购单位可以向</w:t>
      </w:r>
      <w:r>
        <w:rPr>
          <w:rFonts w:hint="eastAsia" w:ascii="宋体" w:hAnsi="宋体" w:cs="宋体"/>
          <w:b w:val="0"/>
          <w:bCs w:val="0"/>
          <w:color w:val="auto"/>
          <w:highlight w:val="none"/>
          <w:lang w:val="en-US" w:eastAsia="zh-CN"/>
        </w:rPr>
        <w:t>投标人</w:t>
      </w:r>
      <w:r>
        <w:rPr>
          <w:rFonts w:hint="eastAsia" w:ascii="宋体" w:hAnsi="宋体" w:eastAsia="宋体" w:cs="宋体"/>
          <w:b w:val="0"/>
          <w:bCs w:val="0"/>
          <w:color w:val="auto"/>
          <w:highlight w:val="none"/>
          <w:lang w:val="en-US" w:eastAsia="zh-CN"/>
        </w:rPr>
        <w:t>提出补救措施或索赔。</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（4）投标人</w:t>
      </w:r>
      <w:r>
        <w:rPr>
          <w:rFonts w:hint="eastAsia" w:ascii="宋体" w:hAnsi="宋体" w:eastAsia="宋体" w:cs="宋体"/>
          <w:b w:val="0"/>
          <w:bCs w:val="0"/>
          <w:color w:val="auto"/>
          <w:highlight w:val="none"/>
          <w:lang w:val="en-US" w:eastAsia="zh-CN"/>
        </w:rPr>
        <w:t>在约定的时间内未能弥补缺陷，采购单位可采取必要的补救措施，但其风险和费用将由</w:t>
      </w:r>
      <w:r>
        <w:rPr>
          <w:rFonts w:hint="eastAsia" w:ascii="宋体" w:hAnsi="宋体" w:cs="宋体"/>
          <w:b w:val="0"/>
          <w:bCs w:val="0"/>
          <w:color w:val="auto"/>
          <w:highlight w:val="none"/>
          <w:lang w:val="en-US" w:eastAsia="zh-CN"/>
        </w:rPr>
        <w:t>投标人</w:t>
      </w:r>
      <w:r>
        <w:rPr>
          <w:rFonts w:hint="eastAsia" w:ascii="宋体" w:hAnsi="宋体" w:eastAsia="宋体" w:cs="宋体"/>
          <w:b w:val="0"/>
          <w:bCs w:val="0"/>
          <w:color w:val="auto"/>
          <w:highlight w:val="none"/>
          <w:lang w:val="en-US" w:eastAsia="zh-CN"/>
        </w:rPr>
        <w:t>承担，采购单位根据合同规定对</w:t>
      </w:r>
      <w:r>
        <w:rPr>
          <w:rFonts w:hint="eastAsia" w:ascii="宋体" w:hAnsi="宋体" w:cs="宋体"/>
          <w:b w:val="0"/>
          <w:bCs w:val="0"/>
          <w:color w:val="auto"/>
          <w:highlight w:val="none"/>
          <w:lang w:val="en-US" w:eastAsia="zh-CN"/>
        </w:rPr>
        <w:t>投标人</w:t>
      </w:r>
      <w:r>
        <w:rPr>
          <w:rFonts w:hint="eastAsia" w:ascii="宋体" w:hAnsi="宋体" w:eastAsia="宋体" w:cs="宋体"/>
          <w:b w:val="0"/>
          <w:bCs w:val="0"/>
          <w:color w:val="auto"/>
          <w:highlight w:val="none"/>
          <w:lang w:val="en-US" w:eastAsia="zh-CN"/>
        </w:rPr>
        <w:t>行使的其他权利不受影响。</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（5）</w:t>
      </w:r>
      <w:r>
        <w:rPr>
          <w:rFonts w:hint="eastAsia" w:ascii="宋体" w:hAnsi="宋体" w:eastAsia="宋体" w:cs="宋体"/>
          <w:b w:val="0"/>
          <w:bCs w:val="0"/>
          <w:color w:val="auto"/>
          <w:highlight w:val="none"/>
          <w:lang w:val="en-US" w:eastAsia="zh-CN"/>
        </w:rPr>
        <w:t>合同中约定的其它质量标准</w:t>
      </w:r>
      <w:r>
        <w:rPr>
          <w:rFonts w:hint="eastAsia" w:ascii="宋体" w:hAnsi="宋体" w:cs="宋体"/>
          <w:b w:val="0"/>
          <w:bCs w:val="0"/>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（6）投标人必须提供当日食品检验检疫证明或按批次检验检疫证明</w:t>
      </w:r>
      <w:r>
        <w:rPr>
          <w:rFonts w:hint="eastAsia" w:ascii="宋体" w:hAnsi="宋体" w:eastAsia="宋体" w:cs="宋体"/>
          <w:b w:val="0"/>
          <w:bCs w:val="0"/>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（7）</w:t>
      </w:r>
      <w:r>
        <w:rPr>
          <w:rFonts w:hint="eastAsia" w:ascii="宋体" w:hAnsi="宋体" w:eastAsia="宋体" w:cs="宋体"/>
          <w:b w:val="0"/>
          <w:bCs w:val="0"/>
          <w:color w:val="auto"/>
          <w:highlight w:val="none"/>
          <w:lang w:val="en-US" w:eastAsia="zh-CN"/>
        </w:rPr>
        <w:t>食品溯源要求</w:t>
      </w:r>
      <w:r>
        <w:rPr>
          <w:rFonts w:hint="eastAsia" w:ascii="宋体" w:hAnsi="宋体" w:cs="宋体"/>
          <w:b w:val="0"/>
          <w:bCs w:val="0"/>
          <w:color w:val="auto"/>
          <w:highlight w:val="none"/>
          <w:lang w:val="en-US" w:eastAsia="zh-CN"/>
        </w:rPr>
        <w:t>：为保证粮油、肉类等质量，确保消费食用安全，实现粮油、肉类等质量追溯性，确保能追溯至其原始状态，必须制定质量追溯机制，建立追溯制度。一是保证采购原粮、肉类等符合国家无公害农产品的质量要求，建立原粮、肉类入库检验制度。二是保障储存、清洗切配、运输、销售和消费过程中不变质、无污染。三是监督管理生产、供应和消费全过程，收集整理各相关环节规章制度及记录，并监督检查执行情况。如发现销售的粮油、肉类质量问题，应及时将销售的质量不合格产品收回，对不合格产品进行追溯，并追究有关负责人的责任，及时对出现问题进行整改</w:t>
      </w:r>
      <w:r>
        <w:rPr>
          <w:rFonts w:hint="eastAsia" w:ascii="宋体" w:hAnsi="宋体" w:eastAsia="宋体" w:cs="宋体"/>
          <w:b w:val="0"/>
          <w:bCs w:val="0"/>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（8）</w:t>
      </w:r>
      <w:r>
        <w:rPr>
          <w:rFonts w:hint="eastAsia" w:ascii="宋体" w:hAnsi="宋体" w:eastAsia="宋体" w:cs="宋体"/>
          <w:b w:val="0"/>
          <w:bCs w:val="0"/>
          <w:color w:val="auto"/>
          <w:highlight w:val="none"/>
          <w:lang w:val="en-US" w:eastAsia="zh-CN"/>
        </w:rPr>
        <w:t>投标人所</w:t>
      </w:r>
      <w:r>
        <w:rPr>
          <w:rFonts w:hint="eastAsia" w:ascii="宋体" w:hAnsi="宋体" w:cs="宋体"/>
          <w:b w:val="0"/>
          <w:bCs w:val="0"/>
          <w:color w:val="auto"/>
          <w:highlight w:val="none"/>
          <w:lang w:val="en-US" w:eastAsia="zh-CN"/>
        </w:rPr>
        <w:t>配送</w:t>
      </w:r>
      <w:r>
        <w:rPr>
          <w:rFonts w:hint="eastAsia" w:ascii="宋体" w:hAnsi="宋体" w:eastAsia="宋体" w:cs="宋体"/>
          <w:b w:val="0"/>
          <w:bCs w:val="0"/>
          <w:color w:val="auto"/>
          <w:highlight w:val="none"/>
          <w:lang w:val="en-US" w:eastAsia="zh-CN"/>
        </w:rPr>
        <w:t>产品达到相关食品卫生安全规定，国家有出台新的更高标准的，以新的更高标准为准，保证所供产品配送到被服务单位时的质量、卫生和安全。(投标人必须单独提供承诺函，否则作无效投标处理，格式自拟）</w:t>
      </w:r>
      <w:r>
        <w:rPr>
          <w:rFonts w:hint="eastAsia" w:ascii="宋体" w:hAnsi="宋体" w:cs="宋体"/>
          <w:b w:val="0"/>
          <w:bCs w:val="0"/>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9）食品安全责任：中标人应严格遵守《食品安全法》和《动物检疫法》等有关规定，有下列情况并造成严重后果的，一次性没收履约质量安全保证金，终止合同，由投标人承担由此造成的经济损失和法律责任。一是所供食品腐败变质，油脂酸败、霉变、生虫、污秽不洁、混有异物或者其他感官性状异常，对人体健康有害的；二是所供食品含有毒、有害物质或者被有害物质污染，对人体健康有害的；三是发生食品质量安全事故的；四是掺假、掺杂、伪造、短斤少两等违法违规行为，影响营养、卫生的；五是用非食品原料加工的，加入非食品用化学物质或者将非食品当作食品的；六是所供食品超过保质期限或保质期不足七天的粮油制品的；七是所供食品不符合食品安全标准的；八是所供食品与中标食品不相符的；九是连续3次不能按时供货的；十是虚开税务发票，发生偷税、漏税行为的；十一是未经有关部门批准，擅自提高供应价格的；十二是私自串换供应品种、降低供应质量或私自与学校有关人员勾结谋取不正当利益的；十三是向学校供应无生产许可证、产品说明的粮油制品；十四是其他违反国家有关法律、法规规定的行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2、</w:t>
      </w:r>
      <w:r>
        <w:rPr>
          <w:rFonts w:hint="eastAsia" w:ascii="宋体" w:hAnsi="宋体" w:eastAsia="宋体" w:cs="宋体"/>
          <w:b/>
          <w:bCs/>
          <w:color w:val="auto"/>
          <w:highlight w:val="none"/>
          <w:lang w:val="en-US" w:eastAsia="zh-CN"/>
        </w:rPr>
        <w:t>食材货物的运输配送和交付要求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配送交付时间及地点要求：各学校按需求制定</w:t>
      </w:r>
      <w:r>
        <w:rPr>
          <w:rFonts w:hint="eastAsia" w:ascii="宋体" w:hAnsi="宋体" w:cs="宋体"/>
          <w:color w:val="auto"/>
          <w:highlight w:val="none"/>
          <w:lang w:val="en-US" w:eastAsia="zh-CN"/>
        </w:rPr>
        <w:t>配送</w:t>
      </w:r>
      <w:r>
        <w:rPr>
          <w:rFonts w:hint="eastAsia" w:ascii="宋体" w:hAnsi="宋体" w:eastAsia="宋体" w:cs="宋体"/>
          <w:color w:val="auto"/>
          <w:highlight w:val="none"/>
          <w:lang w:val="en-US" w:eastAsia="zh-CN"/>
        </w:rPr>
        <w:t>计划</w:t>
      </w:r>
      <w:r>
        <w:rPr>
          <w:rFonts w:hint="eastAsia" w:ascii="宋体" w:hAnsi="宋体" w:cs="宋体"/>
          <w:color w:val="auto"/>
          <w:highlight w:val="none"/>
          <w:lang w:val="en-US" w:eastAsia="zh-CN"/>
        </w:rPr>
        <w:t>并通过书面订单通知中标人。若配送计划没有即时送达或出现错误时，中标人有义务主动提醒或通知采购人。中标人根据采购人提供的食品配送计划，及时组织物资筹措和加工，确保按规定的品种、数量质量供应。如需要更换供应品种时，须经采购人同意方可施行。中标人送货时需提供注明货品名称、单位、数量的商品送货清单交于各学校管理员验收无误后签字确认，作为双方验收凭证，同时中标人每月或根据采购人需要提供配送食物的食品检验检疫报告</w:t>
      </w:r>
      <w:r>
        <w:rPr>
          <w:rFonts w:hint="eastAsia" w:ascii="宋体" w:hAnsi="宋体" w:eastAsia="宋体" w:cs="宋体"/>
          <w:color w:val="auto"/>
          <w:highlight w:val="none"/>
          <w:lang w:val="en-US" w:eastAsia="zh-CN"/>
        </w:rPr>
        <w:t>。为保障广大学生正常就餐，</w:t>
      </w:r>
      <w:r>
        <w:rPr>
          <w:rFonts w:hint="eastAsia" w:ascii="宋体" w:hAnsi="宋体" w:cs="宋体"/>
          <w:color w:val="auto"/>
          <w:highlight w:val="none"/>
          <w:lang w:val="en-US" w:eastAsia="zh-CN"/>
        </w:rPr>
        <w:t>中标人</w:t>
      </w:r>
      <w:r>
        <w:rPr>
          <w:rFonts w:hint="eastAsia" w:ascii="宋体" w:hAnsi="宋体" w:eastAsia="宋体" w:cs="宋体"/>
          <w:color w:val="auto"/>
          <w:highlight w:val="none"/>
          <w:lang w:val="en-US" w:eastAsia="zh-CN"/>
        </w:rPr>
        <w:t>必须保证在规定时间和规定质量要求内高标准实施，由于中标人原因，未在合同约定时间配送到场和质量不符合配送要求的视为违约，同时采购人将依法追究</w:t>
      </w:r>
      <w:r>
        <w:rPr>
          <w:rFonts w:hint="eastAsia" w:ascii="宋体" w:hAnsi="宋体" w:cs="宋体"/>
          <w:color w:val="auto"/>
          <w:highlight w:val="none"/>
          <w:lang w:val="en-US" w:eastAsia="zh-CN"/>
        </w:rPr>
        <w:t>中标人</w:t>
      </w:r>
      <w:r>
        <w:rPr>
          <w:rFonts w:hint="eastAsia" w:ascii="宋体" w:hAnsi="宋体" w:eastAsia="宋体" w:cs="宋体"/>
          <w:color w:val="auto"/>
          <w:highlight w:val="none"/>
          <w:lang w:val="en-US" w:eastAsia="zh-CN"/>
        </w:rPr>
        <w:t>的违约责任。</w:t>
      </w:r>
      <w:r>
        <w:rPr>
          <w:rFonts w:hint="eastAsia" w:ascii="宋体" w:hAnsi="宋体" w:eastAsia="宋体" w:cs="宋体"/>
          <w:b/>
          <w:bCs/>
          <w:color w:val="auto"/>
          <w:highlight w:val="none"/>
          <w:lang w:val="en-US" w:eastAsia="zh-CN"/>
        </w:rPr>
        <w:t>（以学校与中标人合同中约定的交货时间和地点为准）</w:t>
      </w:r>
      <w:r>
        <w:rPr>
          <w:rFonts w:hint="eastAsia" w:ascii="宋体" w:hAnsi="宋体" w:eastAsia="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r>
        <w:rPr>
          <w:rFonts w:hint="eastAsia" w:ascii="宋体" w:hAnsi="宋体" w:eastAsia="宋体" w:cs="宋体"/>
          <w:color w:val="auto"/>
          <w:highlight w:val="none"/>
          <w:lang w:val="en-US" w:eastAsia="zh-CN"/>
        </w:rPr>
        <w:t>配送车辆要求：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2.1 所提供的物品运输应由中标人负责，必须采用符合卫生标准的外包装和运载工具，并且要保持清洁和定期消毒。运输车厢的内仓应使用抗腐蚀、防潮、易清洁消毒的材料。车厢内无不良气味、异味</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2.2</w:t>
      </w:r>
      <w:r>
        <w:rPr>
          <w:rFonts w:hint="eastAsia" w:ascii="宋体" w:hAnsi="宋体" w:eastAsia="宋体" w:cs="宋体"/>
          <w:color w:val="auto"/>
          <w:highlight w:val="none"/>
          <w:lang w:val="en-US" w:eastAsia="zh-CN"/>
        </w:rPr>
        <w:t>针对本项目肉类，应全部配备冷藏车配送。配送车辆车厢的内仓，包括地面、墙面和顶，应使用抗腐蚀、防潮，易清洁消毒的材料。车厢内无异味，做到每日清洗、消毒并做好消毒记录。禁止不开制冷而用冰块降温，畜禽肉搬运时有专用容器盛放，保证所有食材新鲜、清洁卫生。</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2.2 投标人</w:t>
      </w:r>
      <w:r>
        <w:rPr>
          <w:rFonts w:hint="eastAsia" w:ascii="宋体" w:hAnsi="宋体" w:cs="宋体"/>
          <w:color w:val="auto"/>
          <w:highlight w:val="none"/>
          <w:lang w:val="en-US" w:eastAsia="zh-CN"/>
        </w:rPr>
        <w:t>须配备</w:t>
      </w:r>
      <w:r>
        <w:rPr>
          <w:rFonts w:hint="eastAsia" w:ascii="宋体" w:hAnsi="宋体" w:eastAsia="宋体" w:cs="宋体"/>
          <w:color w:val="auto"/>
          <w:highlight w:val="none"/>
          <w:lang w:val="en-US" w:eastAsia="zh-CN"/>
        </w:rPr>
        <w:t>冷链运输车辆</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确保履约配送顺利保质保量进行</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color w:val="auto"/>
          <w:highlight w:val="none"/>
          <w:lang w:val="en-US" w:eastAsia="zh-CN"/>
        </w:rPr>
      </w:pPr>
      <w:r>
        <w:rPr>
          <w:rFonts w:hint="eastAsia" w:ascii="宋体" w:hAnsi="宋体" w:cs="宋体"/>
          <w:b/>
          <w:bCs/>
          <w:color w:val="auto"/>
          <w:highlight w:val="none"/>
          <w:lang w:val="en-US" w:eastAsia="zh-CN"/>
        </w:rPr>
        <w:t>（3）</w:t>
      </w:r>
      <w:r>
        <w:rPr>
          <w:rFonts w:hint="eastAsia" w:ascii="宋体" w:hAnsi="宋体" w:eastAsia="宋体" w:cs="宋体"/>
          <w:b/>
          <w:bCs/>
          <w:color w:val="auto"/>
          <w:highlight w:val="none"/>
          <w:lang w:val="en-US" w:eastAsia="zh-CN"/>
        </w:rPr>
        <w:t>食材配送要求（需单独提供承诺函，格式自拟）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3.1 配送时提供产品检验合格报告或证明：生鲜肉类由产地检疫部门出具当日的《动物产品合格证明》和动物产品检疫合格验讫印章以及定点屠宰厂肉品品质检验合格证明和肉品品质检验合格验讫印章；其它家畜白条肉应提供当日《动物产品合格证明》；其他食材，配送</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必须向采购人提供每批次货物的有效产品检验合格报告和盖有</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企业印章的配送清单。采购人有权拒收无相关报告或证明的食材，并严格按响应文件内容及采购人要求供应，否则，采购人有权拒收。如因市场流通问题确实需要变更的，应事先书面申请，并经采购人同意后方可改变</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3.2中标人须具备净菜加工的能力，须按采购人要求提供净菜配送服务。净肉类是指加工为半成品的片、丝、块、沫；净蔬菜类是指洗好切好可以直接烹饪的叶菜类、根茎类等食材。在确保配送的菜品卫生安全后清洗干净并包装冷冻或冷藏，再冷链配送到各校，到校后学校能直接烹饪食用，包装袋上必须属上该批次菜的菜名，检验检疫结果及信息，检验检疫负责人、生产厂家、生产日期、保质期等。</w:t>
      </w:r>
      <w:r>
        <w:rPr>
          <w:rFonts w:hint="eastAsia" w:ascii="宋体" w:hAnsi="宋体" w:eastAsia="宋体" w:cs="宋体"/>
          <w:b/>
          <w:bCs/>
          <w:color w:val="auto"/>
          <w:highlight w:val="none"/>
          <w:lang w:val="en-US" w:eastAsia="zh-CN"/>
        </w:rPr>
        <w:t>（需单独提供承诺函，格式自拟）</w:t>
      </w:r>
      <w:r>
        <w:rPr>
          <w:rFonts w:hint="eastAsia" w:ascii="宋体" w:hAnsi="宋体" w:cs="宋体"/>
          <w:b/>
          <w:bCs/>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3.3投标人在向学校交付食品时，双方经办人员须当场抽取食堂样品进行封存，封条要注明学校名称、封存日期、样品有效期等内容，经双方经办人员签字确认并加盖学校公章后密闭贴封，样品交由双方分别保管，投标人应指导学校做好样品保管工作，避免样品因保管不善发生质量劣变。为减少不必要的食品损耗，以食品(粮油)供货质量检验报告为依据，分次配送。但属于同一批次的食品(粮油)仅抽样一次。样品有效期同食品(粮油)质量检验报告的有效期一致，因抽样形成的费用由投标人承担，每次交接食品(粮油)时，学校经办人员应认真核对质量检验报告与食品(粮油)实物的一致性。该批次食品(粮油)使用完2日后，如无食品安全事故，留存样品自动失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3.4投标人应帮助学校建立符合食品安全标准的储藏仓库。配备必要的食品原料储藏保鲜设施，配置良好的通风、防潮、防鼠、防虫、防绳、防霉变等设施并能正常使用；食品原料储藏应当分类、分架、离地安全管理，遵循先进先出的原则摆放,不同区域应有明显标识，建立健全出入库管理制度，并有专人管理</w:t>
      </w:r>
      <w:r>
        <w:rPr>
          <w:rFonts w:hint="eastAsia" w:ascii="宋体" w:hAnsi="宋体" w:eastAsia="宋体" w:cs="宋体"/>
          <w:b/>
          <w:bCs/>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（4）</w:t>
      </w:r>
      <w:r>
        <w:rPr>
          <w:rFonts w:hint="eastAsia" w:ascii="宋体" w:hAnsi="宋体" w:eastAsia="宋体" w:cs="宋体"/>
          <w:b/>
          <w:bCs/>
          <w:color w:val="auto"/>
          <w:highlight w:val="none"/>
          <w:lang w:val="en-US" w:eastAsia="zh-CN"/>
        </w:rPr>
        <w:t>运输配送人员要求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4.1 人员要求：配送</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针对本项目，应配备相关的专职服务保障人员</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合同签订前向采购人提供</w:t>
      </w:r>
      <w:r>
        <w:rPr>
          <w:rFonts w:hint="eastAsia" w:ascii="宋体" w:hAnsi="宋体" w:cs="宋体"/>
          <w:color w:val="auto"/>
          <w:highlight w:val="none"/>
          <w:lang w:val="en-US" w:eastAsia="zh-CN"/>
        </w:rPr>
        <w:t>相关人员</w:t>
      </w:r>
      <w:r>
        <w:rPr>
          <w:rFonts w:hint="eastAsia" w:ascii="宋体" w:hAnsi="宋体" w:eastAsia="宋体" w:cs="宋体"/>
          <w:color w:val="auto"/>
          <w:highlight w:val="none"/>
          <w:lang w:val="en-US" w:eastAsia="zh-CN"/>
        </w:rPr>
        <w:t>健康证明材料；配送人员必须穿着便于辨认的工衣和配戴胸卡。中标</w:t>
      </w:r>
      <w:r>
        <w:rPr>
          <w:rFonts w:hint="eastAsia" w:ascii="宋体" w:hAnsi="宋体" w:cs="宋体"/>
          <w:color w:val="auto"/>
          <w:highlight w:val="none"/>
          <w:lang w:val="en-US" w:eastAsia="zh-CN"/>
        </w:rPr>
        <w:t>投标人</w:t>
      </w:r>
      <w:r>
        <w:rPr>
          <w:rFonts w:hint="eastAsia" w:ascii="宋体" w:hAnsi="宋体" w:eastAsia="宋体" w:cs="宋体"/>
          <w:color w:val="auto"/>
          <w:highlight w:val="none"/>
          <w:lang w:val="en-US" w:eastAsia="zh-CN"/>
        </w:rPr>
        <w:t>应将项目食材配送人员名单向采购人备案，更换配送人员至少提前</w:t>
      </w:r>
      <w:r>
        <w:rPr>
          <w:rFonts w:hint="eastAsia" w:ascii="宋体" w:hAnsi="宋体" w:cs="宋体"/>
          <w:color w:val="auto"/>
          <w:highlight w:val="none"/>
          <w:lang w:val="en-US" w:eastAsia="zh-CN"/>
        </w:rPr>
        <w:t>7天</w:t>
      </w:r>
      <w:r>
        <w:rPr>
          <w:rFonts w:hint="eastAsia" w:ascii="宋体" w:hAnsi="宋体" w:eastAsia="宋体" w:cs="宋体"/>
          <w:color w:val="auto"/>
          <w:highlight w:val="none"/>
          <w:lang w:val="en-US" w:eastAsia="zh-CN"/>
        </w:rPr>
        <w:t>向采购人提交相关材料。</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 日常食材的配送品种按照采购人要求执行，应指派专人负责配送工作的联系，该联系人若需变更须至少提前 </w:t>
      </w:r>
      <w:r>
        <w:rPr>
          <w:rFonts w:hint="eastAsia" w:ascii="宋体" w:hAnsi="宋体" w:cs="宋体"/>
          <w:color w:val="auto"/>
          <w:highlight w:val="none"/>
          <w:lang w:val="en-US" w:eastAsia="zh-CN"/>
        </w:rPr>
        <w:t>7天</w:t>
      </w:r>
      <w:r>
        <w:rPr>
          <w:rFonts w:hint="eastAsia" w:ascii="宋体" w:hAnsi="宋体" w:eastAsia="宋体" w:cs="宋体"/>
          <w:color w:val="auto"/>
          <w:highlight w:val="none"/>
          <w:lang w:val="en-US" w:eastAsia="zh-CN"/>
        </w:rPr>
        <w:t>向采购人提交相关材料。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4.3 项目食材配送人员无吸毒、犯罪记录。</w:t>
      </w:r>
      <w:r>
        <w:rPr>
          <w:rFonts w:hint="eastAsia" w:ascii="宋体" w:hAnsi="宋体" w:eastAsia="宋体" w:cs="宋体"/>
          <w:b/>
          <w:bCs/>
          <w:color w:val="auto"/>
          <w:highlight w:val="none"/>
          <w:lang w:val="en-US" w:eastAsia="zh-CN"/>
        </w:rPr>
        <w:t>（需单独提供承诺函，格式自拟）</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5、中标人供应的食材还应符合《云南省食品药品监督管理局 云南省教育厅关于印发《云南省学校食堂与学生集体供餐食品安全监督管理规范》的通知》云食药监餐〔2017〕34号文相关要求。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（5）配送清单（食材配送内容及质量技术（参数）要求）</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5"/>
        <w:gridCol w:w="1768"/>
        <w:gridCol w:w="5"/>
        <w:gridCol w:w="5146"/>
        <w:gridCol w:w="1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一、粮油米面类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标的名称</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参数质量标准及要求</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大米</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大米等级：一级大米，符合《GB/T 1354-2018（大米）》标准。要求：1、感观：符合应有品种的色泽，呈透明，半透明或白色，有光泽。符合应有品种形状椭圆或长粒状。具有新鲜大米特有香气，生米无异味，煮熟后有鲜香味。2、理化指标：籼米和糯米、碎米≤15%，粳米和糯粳米≤10%；杂质≤0.25%；黄米粒≤1.0%。3、包装产品标签：符合《GB 7718-2011食品安全国家标准预包装食品标签通则》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菜籽油</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非转基因压榨一级菜籽油，GB/T 1536-2021 菜籽油（含第1号修改单）；要求：感官：色泽呈淡黄色至浅黄色，澄清、透明，具有菜籽油固有的香味和滋味，无异味。2、理化指标：酸价（KOH）≤1.5mg/g；过氧化值≤0.125g/100g。3、包装产品标签：符合《GB 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面粉</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特级面粉（标准粉），符合《GB/T 1355-2021（小麦粉）》标准。要求：1、感官：具有小麦粉正常的色泽和气味，粉状或微粒状，无结块。2、理化指标：灰分（干基） ≤1.10%；湿面筋量≥ 22.0%；水分≤ 14.5%；脂肪酸值（以湿基，KOH计）≤80mg/100g。3、包装产品标签：符合《GB 7718-2011食品安全国家标准 预包装食品标签通则》。 </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面条</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特级面条，符合《GB/T 40636-2021（挂面）》标准。要求：1、感官：色泽均匀一致，无酸味、霉味及其他异味，煮熟后在口中咀嚼时不牙碜，无正常视力可见的异物。2、理化指标：水分≤14.5%，酸度≤4.0mL/10g。3、包装产品标签：符合《GB 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4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二、鲜肉类、水产冻货类（含禽蛋）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标的名称</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参数质量标准及要求</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鲜肉类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每批鲜肉、骨应保持较好的外观和质量等级，符合国家食品部门的有关标准，保证无异味、无腐烂变质，鲜肉确保每日新鲜、无异味，并注明保鲜期。</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其他肉类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冷冻肉要求肉体冻实而且坚硬，无化冻现象，肉质紧密而有弹性，色泽均匀，不粘手，交货时干净、新鲜、无异味。食品安全可追溯。</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禽蛋类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蛋体大小均匀，无斑点、无污染，鸡群健康，无公害无药残无激素。</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三、</w:t>
            </w:r>
            <w:r>
              <w:rPr>
                <w:rFonts w:hint="eastAsia" w:ascii="宋体" w:hAnsi="宋体" w:eastAsia="宋体" w:cs="宋体"/>
                <w:b/>
                <w:bCs/>
                <w:i w:val="0"/>
                <w:iCs w:val="0"/>
                <w:color w:val="auto"/>
                <w:kern w:val="0"/>
                <w:sz w:val="21"/>
                <w:szCs w:val="21"/>
                <w:highlight w:val="none"/>
                <w:u w:val="none"/>
                <w:lang w:val="en-US" w:eastAsia="zh-CN" w:bidi="ar"/>
              </w:rPr>
              <w:t>瓜果蔬菜类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标的名称</w:t>
            </w:r>
          </w:p>
        </w:tc>
        <w:tc>
          <w:tcPr>
            <w:tcW w:w="5146"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参数质量标准及要求</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叶菜类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大白菜、小白菜、菠菜、甘蓝、荠菜、空心菜、南蒿、苋菜、芹菜等绿叶菜类。肉质鲜嫩形态好，色泽正常，茎基部削平，无枯黄叶、病叶、泥土，无明显机械伤</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和病虫害伤，无烧心焦边、腐烂等现象，无抽苔(菜心除外)，无畸形、异味，结球叶菜要结球适度，花椰菜应新鲜洁白，不带叶麸，无畸形花。</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茄果类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番茄、茄子、甜椒、辣椒等。果实整洁，成熟度适中，番茄花蒂不明显，无裂果及空洞现象，茄果不能有裂蒂及果皮变硬现象，无腐烂、畸形、异味，无明显机械伤。</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瓜果类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黃瓜、冬瓜、丝瓜、苦瓜、南瓜、毛节瓜等。形状、色泽一致，瓜条均匀，无疤点，无断裂，无腐烂、畸形、异味、明显机械伤，不带泥土。</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根菜类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萝卜、胡萝卜等。皮细光滑，大小均匀，肉质脆嫩致密新鲜，无腐烂、畸形、裂痕、异味，不带泥沙，不带茎叶和须根。</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薯芋类</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马铃薯、芋、姜等。色泽一致，不带泥沙，不带须根、茎叶，不干瘪，无腐烂、畸形、异味、明显机械伤、病虫害斑，马铃薯无发芽，皮不变绿。</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葱蒜类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葱、蒜、韭菜、洋葱等。葱、蒜、韭莱不带老叶，蒜头、洋葱去根去桔叶，可食部分新鲜幼嫩，无腐烂、畸形、异味。</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水生菜类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藕、慈菇、菱白、马蹄等。肉质嫩，成熟度适中，无腐烂、畸形、异味，无明显机械伤，不带泥土和杂质，不干瘪，菱白不黑心</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芽苗类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绿豆芽、黄豆芽、香精苗等。芽苗幼嫩，不带豆壳杂质，新鲜，不浸水，无腐烂、异味。</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四、水果类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6"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76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标的名称</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参数质量标准及要求</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水果类</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1、符合国家《食品卫生法》的有关规定且为非转基因的产品。 2、符合国家食品行业的标准。 3、水果应色泽新鲜,不含有染色剂,无虫眼、碰伤、压伤、花斑、枯烂、出水、异味霉变等现象,成熟度应适当。 4、农药残留量及其它有害元素含量不得超过国家食品安全的有关规定标准。 5、具有产品质量检测合格报告或检疫报告且为非转基因的证明。</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2" w:type="dxa"/>
            <w:gridSpan w:val="6"/>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cs="宋体"/>
                <w:b/>
                <w:bCs/>
                <w:color w:val="auto"/>
                <w:sz w:val="21"/>
                <w:szCs w:val="21"/>
                <w:highlight w:val="none"/>
                <w:vertAlign w:val="baseline"/>
                <w:lang w:val="en-US" w:eastAsia="zh-CN"/>
              </w:rPr>
              <w:t>五</w:t>
            </w:r>
            <w:r>
              <w:rPr>
                <w:rFonts w:hint="eastAsia" w:ascii="宋体" w:hAnsi="宋体" w:eastAsia="宋体" w:cs="宋体"/>
                <w:b/>
                <w:bCs/>
                <w:color w:val="auto"/>
                <w:sz w:val="21"/>
                <w:szCs w:val="21"/>
                <w:highlight w:val="none"/>
                <w:vertAlign w:val="baseline"/>
                <w:lang w:val="en-US" w:eastAsia="zh-CN"/>
              </w:rPr>
              <w:t>、干货、调料类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1773"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标的名称</w:t>
            </w:r>
          </w:p>
        </w:tc>
        <w:tc>
          <w:tcPr>
            <w:tcW w:w="5151"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参数质量标准及要求</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食盐</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2721-2015食品安全国家标准》（食用盐）和《GB26878-2011食品安全国家标准》（食用盐碘含量）。1、感官：味咸，无异味，结晶体，无正常视力可见外来异物。2、理化指标：氯化钠（以干基计）≥97g/100g（不适用于低钠盐），氯化钾（仅适用于低钠盐）：10-35g/100g，碘含量平均水平（以碘元素计算）20mg/kg～30mg/kg，钡（以Ba计）≤15mg/kg。3、预包装产品标签符合《GB 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味精</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 2720-2015 食品安全国家标准》（味精）。1、感官：无色至白色，具有特殊的鲜味，无异味，结晶状颗粒或粉末状，无正常视力可见外来异物。2、理化指标：谷氨酸钠（g/100g）：味精≥99，加盐味精≥80，增鲜味精≥97。3、预包装产品标签符合《GB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鸡精</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符合《SB/T 10371-2003（鸡精调味料）标准。1、感官：具有原、辅料混合加工后特有的色泽。鸡香味纯正，无不良气味。具有鸡的鲜美滋味，口感和顺，无不良滋味。可为粉状、小颗粒状或块状。2、理化指标：谷氨酸钠（g/100g）≥35.0，呈味核苷酸二钠（g/100g≥1.10）。3、预包装产品标签符合《GB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干草果</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符合《中药材商品规格等级—草果》（T/CACM 1021.150-2018）标准。1、感官：干货，呈长椭圆形，具三钝棱，表面灰棕色至红棕色，有特异香气，无开裂，无破损。2、等级：一等，无柄，每500克≤150个；二等，有柄，每500克≤200个。</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干辣椒</w:t>
            </w:r>
          </w:p>
        </w:tc>
        <w:tc>
          <w:tcPr>
            <w:tcW w:w="5151" w:type="dxa"/>
            <w:gridSpan w:val="2"/>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符合《GB/T 30382-2013/ISO 972: 1997 辣椒（整的或粉状）》标准：辣椒干形状均匀，具有品种固有特征，果面整洁，色泽呈鲜红或紫红色，油亮光洁。长度不足2/3和破裂长度达椒身1/3以上的不得超过３％；不允许有黑斑椒和虫蛀椒；黄梢和以红色为主显浅红色暗斑且其面积在全果1/4以下的花壳椒，总量不得超过2％；不允许有白壳和不熟椒，不完善椒总量≤５％；异品种≤１％；各类杂质总量不超过0.5％，不允许有有害杂质；水分≤14％ 。</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辣椒面</w:t>
            </w:r>
          </w:p>
        </w:tc>
        <w:tc>
          <w:tcPr>
            <w:tcW w:w="5151" w:type="dxa"/>
            <w:gridSpan w:val="2"/>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color w:val="auto"/>
                <w:sz w:val="21"/>
                <w:szCs w:val="21"/>
                <w:highlight w:val="none"/>
                <w:vertAlign w:val="baseline"/>
                <w:lang w:val="en-US" w:eastAsia="zh-CN"/>
              </w:rPr>
            </w:pP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八角</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符合《GB/T 7652-2016》（八角)标准。大红八角。1、感官：颜色棕红或褐红，气味芳香，果形特征角瓣粗短、果壮厚实、无黑变、无霉变，干爽。2、理化指标：果体大小850-1200个/㎏,杂质≤0.5%,水分含量≤13.5%，总灰分≤3%，芳香油含量≥7。</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花椒</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符合《GB/T 30391-2013》（花椒）标准。干花椒。1、感官：油腺凸出，手握硬脆。青花椒褐色或绿褐色；红花椒鲜红或紫红色。气味清香、芳香，无异味。2、理化指标：精油≥2.5mL/100g，不挥发性乙醚提取物（质量分数）≥6.5%，水分≤10.5%，总灰分≤5.5%，杂质≤5.0%。</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豆瓣酱</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符合《GB 2718-2014食品安全国家标准（酿造酱）》。 1、感官：无异味，无异嗅，无正常视力可见霉斑、外来异物。2、理化指标：氨基酸态氮≥0.3g/100g</w:t>
            </w:r>
          </w:p>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3、包装产品标签符合《GB 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酱油生抽</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 2717-2018 食品安全国家标准（酱油）》。1、感官：具有产品应有的色泽，具有产品应有的滋味和气味,无异味,不浑浊，无正常视力可见外来异物，无霉花浮膜。2、理化指标：氨基酸态氮≥0.4g/100mL。3、包装产品标签符合《GB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醋</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符合《GB 2719-2018 食品安全国家标准（食醋）》。1、感官：具有产品应有的色泽，具有产品应有的滋味和气味,卷味部涩，无异味，不浑浊，可有少量沉淀，无正常视力可见外来异物。2、理化指标：总酸≥3.5g/100mL。3、包装产品标签符合《GB7718-2011食品安全国家标准 预包装食品标签通则》</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1773"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其他干货调料类</w:t>
            </w:r>
          </w:p>
        </w:tc>
        <w:tc>
          <w:tcPr>
            <w:tcW w:w="5151"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both"/>
              <w:textAlignment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符合国家规定标准</w:t>
            </w:r>
          </w:p>
        </w:tc>
        <w:tc>
          <w:tcPr>
            <w:tcW w:w="16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以实际</w:t>
            </w:r>
            <w:r>
              <w:rPr>
                <w:rFonts w:hint="eastAsia" w:ascii="宋体" w:hAnsi="宋体" w:cs="宋体"/>
                <w:color w:val="auto"/>
                <w:sz w:val="21"/>
                <w:szCs w:val="21"/>
                <w:highlight w:val="none"/>
                <w:vertAlign w:val="baseline"/>
                <w:lang w:val="en-US" w:eastAsia="zh-CN"/>
              </w:rPr>
              <w:t>配送量</w:t>
            </w:r>
            <w:r>
              <w:rPr>
                <w:rFonts w:hint="eastAsia" w:ascii="宋体" w:hAnsi="宋体" w:eastAsia="宋体" w:cs="宋体"/>
                <w:color w:val="auto"/>
                <w:sz w:val="21"/>
                <w:szCs w:val="21"/>
                <w:highlight w:val="none"/>
                <w:vertAlign w:val="baseline"/>
                <w:lang w:val="en-US" w:eastAsia="zh-CN"/>
              </w:rPr>
              <w:t>为结算依据</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hint="eastAsia" w:ascii="宋体" w:hAnsi="宋体" w:eastAsia="宋体" w:cs="宋体"/>
          <w:b/>
          <w:bCs/>
          <w:color w:val="auto"/>
          <w:highlight w:val="none"/>
          <w:lang w:val="en-US" w:eastAsia="zh-CN"/>
        </w:rPr>
      </w:pPr>
      <w:bookmarkStart w:id="278" w:name="_Toc24866"/>
      <w:bookmarkStart w:id="279" w:name="_Toc25030"/>
      <w:bookmarkStart w:id="280" w:name="_Toc672"/>
      <w:r>
        <w:rPr>
          <w:rFonts w:hint="eastAsia" w:ascii="宋体" w:hAnsi="宋体" w:cs="宋体"/>
          <w:b/>
          <w:bCs/>
          <w:color w:val="auto"/>
          <w:highlight w:val="none"/>
          <w:lang w:val="en-US" w:eastAsia="zh-CN"/>
        </w:rPr>
        <w:t>三</w:t>
      </w:r>
      <w:r>
        <w:rPr>
          <w:rFonts w:hint="eastAsia" w:ascii="宋体" w:hAnsi="宋体" w:eastAsia="宋体" w:cs="宋体"/>
          <w:b/>
          <w:bCs/>
          <w:color w:val="auto"/>
          <w:highlight w:val="none"/>
          <w:lang w:val="en-US" w:eastAsia="zh-CN"/>
        </w:rPr>
        <w:t>、其他履约和服务要求</w:t>
      </w:r>
      <w:bookmarkEnd w:id="278"/>
      <w:bookmarkEnd w:id="279"/>
      <w:bookmarkEnd w:id="28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微软雅黑" w:hAnsi="微软雅黑" w:eastAsia="微软雅黑" w:cs="微软雅黑"/>
          <w:color w:val="auto"/>
          <w:highlight w:val="none"/>
          <w:lang w:val="en-US"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val="en-US" w:eastAsia="zh-CN"/>
        </w:rPr>
        <w:t>、为防止重大安全责任等事故的发生，投标人承诺中标后签订合同前为本项目购买食品安全责任保险</w:t>
      </w:r>
      <w:r>
        <w:rPr>
          <w:rFonts w:hint="eastAsia" w:ascii="宋体" w:hAnsi="宋体" w:cs="宋体"/>
          <w:color w:val="auto"/>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2、投标人员工在配送食品过程中造成的意外事故（含第三人侵权、交通事故、工伤及其他不可抗因素等）造成投标人人员受损,由投标人承担，各学校学校不承担任何责任。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3、每次配送的食品必须免费向各校点提供每批次留样1份，具体留样情况，根据《全国食品安全监督抽检实施细则》(2024 年版 )的相关要求留样，并完善留样相关记录。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4、投标人必须履行的职责：严格执行《中华人民共和国食品安全法》、《中华人民共和国食品安全法实施条例》等食品安全法律法规的规定；建立健全各类食品安全管理制度和食堂食品工作应急预案；所配送的食品均应按规定索取生产企业的营业执照、生产许可证、食品质量安全定点检测有效检验报告等各种有效证明，其索证有效率达100%；凡是《食品安全法》禁止经营的食品一律不得采购和使用；参与食品配送的相关人员必须持健康证上岗；确保进货源头安全，建立进货台账，确保食品质量，保证提供健康、放心的食品，确保安全、放心食用；在不可预见的自然灾害情况下，投标人对食品运输储存、供应要有稳妥的应急办法, 确保食品安全。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5、投标人需建立各类突发意外事件应急机制并组建专门的应急服务团队，当出现产品未准时送达、送达数量不足、超过规定出厂日期、产品包装破损、规格不足、口感异常等问题时，并积极采取及时的补救措施，属于产品质量问题的，必须全力配合相关部门的调查并承担相应的一切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6、对不符合质量要求的货物由采购人使用单位验收人员提出清退，如双方对质量或重量有争议的可送具有检验资质的部门检测，同时留样备检，对数量不足或部分退货的，责成中标人以不影响物品供应为前提尽快补送。在退货过程中，对有碍公共卫生安全的食品，应按囯家有关规定处理或进行协议销毁，不退货给中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标的物所属行业：根据“《关于印发《政府采购促进中小企业发展管理办法》的通知》（财库〔2020〕46号）、《国家统计局关于印发《统计上大中小微型企业划分办法（2017）》的通知》（国统字[2017]213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18"/>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1419"/>
        <w:gridCol w:w="4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36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标的名称</w:t>
            </w:r>
          </w:p>
        </w:tc>
        <w:tc>
          <w:tcPr>
            <w:tcW w:w="141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所属行业</w:t>
            </w:r>
          </w:p>
        </w:tc>
        <w:tc>
          <w:tcPr>
            <w:tcW w:w="464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69" w:type="dxa"/>
            <w:shd w:val="clear" w:color="000000" w:fill="FFFFFF"/>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香格里拉市教育体育局2025年度学校食堂营养餐集中配送（净菜）服务</w:t>
            </w:r>
          </w:p>
        </w:tc>
        <w:tc>
          <w:tcPr>
            <w:tcW w:w="1419"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餐饮业</w:t>
            </w:r>
          </w:p>
        </w:tc>
        <w:tc>
          <w:tcPr>
            <w:tcW w:w="4644" w:type="dxa"/>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投标人应根据《关于印发中小企业划型标准规定的通知》中标准进行划型。</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1、以上打★号的为本次招标项目的实质性要求，不允许有负偏离，否则符合性审查不予以通过。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2、若技术要求中指定或变相指定品牌、型号、产地等均不作为招标文件要求</w:t>
      </w:r>
      <w:r>
        <w:rPr>
          <w:rFonts w:hint="eastAsia" w:ascii="宋体" w:hAnsi="宋体" w:cs="宋体"/>
          <w:color w:val="auto"/>
          <w:highlight w:val="none"/>
          <w:lang w:val="en-US" w:eastAsia="zh-CN"/>
        </w:rPr>
        <w:t>。</w:t>
      </w:r>
    </w:p>
    <w:bookmarkEnd w:id="271"/>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p>
    <w:p>
      <w:pPr>
        <w:pStyle w:val="2"/>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0"/>
        <w:rPr>
          <w:rFonts w:hint="default" w:ascii="宋体" w:hAnsi="宋体" w:eastAsia="宋体" w:cs="宋体"/>
          <w:b/>
          <w:bCs/>
          <w:color w:val="auto"/>
          <w:sz w:val="32"/>
          <w:szCs w:val="32"/>
          <w:highlight w:val="none"/>
          <w:lang w:val="en-US" w:eastAsia="zh-CN"/>
        </w:rPr>
      </w:pPr>
      <w:bookmarkStart w:id="281" w:name="_Toc17149"/>
      <w:bookmarkStart w:id="282" w:name="_Toc4077"/>
      <w:bookmarkStart w:id="283" w:name="_Toc10922"/>
      <w:r>
        <w:rPr>
          <w:rFonts w:hint="eastAsia" w:ascii="宋体" w:hAnsi="宋体" w:cs="宋体"/>
          <w:b/>
          <w:bCs/>
          <w:color w:val="auto"/>
          <w:sz w:val="32"/>
          <w:szCs w:val="32"/>
          <w:highlight w:val="none"/>
          <w:lang w:val="en-US" w:eastAsia="zh-CN"/>
        </w:rPr>
        <w:t>第六章  资格审查办法</w:t>
      </w:r>
      <w:bookmarkEnd w:id="281"/>
      <w:bookmarkEnd w:id="282"/>
      <w:bookmarkEnd w:id="283"/>
    </w:p>
    <w:p>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20" w:firstLineChars="200"/>
        <w:textAlignment w:val="auto"/>
        <w:rPr>
          <w:rFonts w:hint="eastAsia" w:ascii="仿宋_GB2312" w:hAnsi="仿宋_GB2312" w:eastAsia="仿宋_GB2312" w:cs="仿宋_GB2312"/>
          <w:color w:val="auto"/>
          <w:sz w:val="21"/>
          <w:szCs w:val="21"/>
          <w:highlight w:val="none"/>
        </w:rPr>
      </w:pPr>
      <w:bookmarkStart w:id="284" w:name="_Toc18287454"/>
      <w:bookmarkStart w:id="285" w:name="_Toc7171"/>
      <w:bookmarkStart w:id="286" w:name="_Toc35701035"/>
      <w:bookmarkStart w:id="287" w:name="_Toc36116115"/>
      <w:bookmarkStart w:id="288" w:name="_Toc35701821"/>
      <w:bookmarkStart w:id="289" w:name="_Toc35700964"/>
      <w:r>
        <w:rPr>
          <w:rFonts w:hint="eastAsia" w:ascii="仿宋_GB2312" w:hAnsi="仿宋_GB2312" w:eastAsia="仿宋_GB2312" w:cs="仿宋_GB2312"/>
          <w:color w:val="auto"/>
          <w:sz w:val="21"/>
          <w:szCs w:val="21"/>
          <w:highlight w:val="none"/>
        </w:rPr>
        <w:t>公开招标采购项目开标结束后,依据法律法规和招标文件的规定,对投标人的资格进行审查。合格投标人不足3家的,不得评标。只有通过资格审查的投标文件才能进入评标。</w:t>
      </w:r>
    </w:p>
    <w:tbl>
      <w:tblPr>
        <w:tblStyle w:val="18"/>
        <w:tblW w:w="94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41"/>
        <w:gridCol w:w="2022"/>
        <w:gridCol w:w="605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07" w:hRule="atLeast"/>
          <w:jc w:val="center"/>
        </w:trPr>
        <w:tc>
          <w:tcPr>
            <w:tcW w:w="1341" w:type="dxa"/>
            <w:tcBorders>
              <w:top w:val="single" w:color="auto" w:sz="4" w:space="0"/>
              <w:bottom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条款号</w:t>
            </w:r>
          </w:p>
        </w:tc>
        <w:tc>
          <w:tcPr>
            <w:tcW w:w="2022" w:type="dxa"/>
            <w:tcBorders>
              <w:top w:val="single" w:color="auto" w:sz="4" w:space="0"/>
              <w:bottom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评审因素</w:t>
            </w:r>
          </w:p>
        </w:tc>
        <w:tc>
          <w:tcPr>
            <w:tcW w:w="6055" w:type="dxa"/>
            <w:tcBorders>
              <w:top w:val="single" w:color="auto" w:sz="4" w:space="0"/>
              <w:bottom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ascii="仿宋_GB2312" w:hAnsi="仿宋_GB2312" w:eastAsia="仿宋_GB2312" w:cs="仿宋_GB2312"/>
                <w:b/>
                <w:color w:val="auto"/>
                <w:sz w:val="21"/>
                <w:szCs w:val="21"/>
                <w:highlight w:val="none"/>
              </w:rPr>
            </w:pPr>
            <w:r>
              <w:rPr>
                <w:rFonts w:hint="eastAsia" w:ascii="仿宋_GB2312" w:hAnsi="仿宋_GB2312" w:eastAsia="仿宋_GB2312" w:cs="仿宋_GB2312"/>
                <w:b/>
                <w:color w:val="auto"/>
                <w:sz w:val="21"/>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14" w:hRule="atLeast"/>
          <w:jc w:val="center"/>
        </w:trPr>
        <w:tc>
          <w:tcPr>
            <w:tcW w:w="1341" w:type="dxa"/>
            <w:tcBorders>
              <w:top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资格审查 评审标准</w:t>
            </w:r>
          </w:p>
        </w:tc>
        <w:tc>
          <w:tcPr>
            <w:tcW w:w="2022" w:type="dxa"/>
            <w:tcBorders>
              <w:top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资格条件</w:t>
            </w:r>
          </w:p>
        </w:tc>
        <w:tc>
          <w:tcPr>
            <w:tcW w:w="6055" w:type="dxa"/>
            <w:tcBorders>
              <w:top w:val="single" w:color="auto" w:sz="6" w:space="0"/>
            </w:tcBorders>
            <w:vAlign w:val="center"/>
          </w:tcPr>
          <w:p>
            <w:pPr>
              <w:keepNext w:val="0"/>
              <w:keepLines w:val="0"/>
              <w:pageBreakBefore w:val="0"/>
              <w:widowControl w:val="0"/>
              <w:kinsoku/>
              <w:overflowPunct/>
              <w:topLinePunct w:val="0"/>
              <w:autoSpaceDE/>
              <w:autoSpaceDN/>
              <w:bidi w:val="0"/>
              <w:adjustRightInd/>
              <w:snapToGrid/>
              <w:spacing w:line="360" w:lineRule="auto"/>
              <w:ind w:left="0" w:leftChars="0" w:right="0" w:rightChars="0"/>
              <w:jc w:val="both"/>
              <w:textAlignment w:val="auto"/>
              <w:rPr>
                <w:rFonts w:hint="eastAsia" w:ascii="仿宋_GB2312" w:hAnsi="仿宋_GB2312" w:eastAsia="仿宋_GB2312" w:cs="仿宋_GB2312"/>
                <w:color w:val="auto"/>
                <w:sz w:val="21"/>
                <w:szCs w:val="21"/>
                <w:highlight w:val="none"/>
                <w:lang w:val="en-US" w:eastAsia="zh-CN"/>
              </w:rPr>
            </w:pPr>
            <w:r>
              <w:rPr>
                <w:rFonts w:hint="eastAsia" w:ascii="仿宋_GB2312" w:hAnsi="仿宋_GB2312" w:eastAsia="仿宋_GB2312" w:cs="仿宋_GB2312"/>
                <w:color w:val="auto"/>
                <w:sz w:val="21"/>
                <w:szCs w:val="21"/>
                <w:highlight w:val="none"/>
                <w:lang w:eastAsia="zh-CN"/>
              </w:rPr>
              <w:t>符合第一章</w:t>
            </w:r>
            <w:r>
              <w:rPr>
                <w:rFonts w:hint="eastAsia" w:ascii="仿宋_GB2312" w:hAnsi="仿宋_GB2312" w:eastAsia="仿宋_GB2312" w:cs="仿宋_GB2312"/>
                <w:color w:val="auto"/>
                <w:sz w:val="21"/>
                <w:szCs w:val="21"/>
                <w:highlight w:val="none"/>
                <w:lang w:val="en-US" w:eastAsia="zh-CN"/>
              </w:rPr>
              <w:t xml:space="preserve">  招标公告“二、投标人资格要求”的规定</w:t>
            </w:r>
          </w:p>
        </w:tc>
      </w:tr>
    </w:tbl>
    <w:p>
      <w:pPr>
        <w:pageBreakBefore w:val="0"/>
        <w:widowControl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pPr>
        <w:pStyle w:val="5"/>
        <w:pageBreakBefore w:val="0"/>
        <w:widowControl w:val="0"/>
        <w:kinsoku/>
        <w:wordWrap/>
        <w:overflowPunct/>
        <w:topLinePunct w:val="0"/>
        <w:bidi w:val="0"/>
        <w:adjustRightInd/>
        <w:snapToGrid/>
        <w:spacing w:line="360" w:lineRule="auto"/>
        <w:ind w:left="0" w:leftChars="0" w:right="0" w:rightChars="0"/>
        <w:textAlignment w:val="auto"/>
        <w:outlineLvl w:val="1"/>
        <w:rPr>
          <w:rFonts w:hint="eastAsia" w:ascii="宋体" w:hAnsi="宋体" w:eastAsia="宋体" w:cs="宋体"/>
          <w:color w:val="auto"/>
          <w:sz w:val="24"/>
          <w:szCs w:val="24"/>
          <w:highlight w:val="none"/>
        </w:rPr>
      </w:pPr>
      <w:bookmarkStart w:id="290" w:name="_Toc25023"/>
      <w:bookmarkStart w:id="291" w:name="_Toc6953"/>
      <w:bookmarkStart w:id="292" w:name="_Toc7627"/>
      <w:bookmarkStart w:id="293" w:name="_Toc22265"/>
      <w:bookmarkStart w:id="294" w:name="_Toc29571"/>
      <w:bookmarkStart w:id="295" w:name="_Toc25878"/>
      <w:bookmarkStart w:id="296" w:name="_Toc26591"/>
      <w:bookmarkStart w:id="297" w:name="_Toc668"/>
      <w:r>
        <w:rPr>
          <w:rFonts w:hint="eastAsia" w:ascii="宋体" w:hAnsi="宋体" w:eastAsia="宋体" w:cs="宋体"/>
          <w:color w:val="auto"/>
          <w:sz w:val="24"/>
          <w:szCs w:val="24"/>
          <w:highlight w:val="none"/>
        </w:rPr>
        <w:t>1.资格审查</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开</w:t>
      </w:r>
      <w:bookmarkStart w:id="298" w:name="_Toc246996950"/>
      <w:bookmarkStart w:id="299" w:name="_Toc152042339"/>
      <w:bookmarkStart w:id="300" w:name="_Toc246996207"/>
      <w:bookmarkStart w:id="301" w:name="_Toc152045563"/>
      <w:bookmarkStart w:id="302" w:name="_Toc179632581"/>
      <w:bookmarkStart w:id="303" w:name="_Toc247085721"/>
      <w:bookmarkStart w:id="304" w:name="_Toc144974531"/>
      <w:bookmarkStart w:id="305" w:name="_Toc296602452"/>
      <w:r>
        <w:rPr>
          <w:rFonts w:hint="eastAsia" w:ascii="宋体" w:hAnsi="宋体" w:eastAsia="宋体" w:cs="宋体"/>
          <w:color w:val="auto"/>
          <w:sz w:val="24"/>
          <w:szCs w:val="24"/>
          <w:highlight w:val="none"/>
        </w:rPr>
        <w:t>标结束后，</w:t>
      </w:r>
      <w:bookmarkEnd w:id="298"/>
      <w:bookmarkEnd w:id="299"/>
      <w:bookmarkEnd w:id="300"/>
      <w:bookmarkEnd w:id="301"/>
      <w:bookmarkEnd w:id="302"/>
      <w:bookmarkEnd w:id="303"/>
      <w:bookmarkEnd w:id="304"/>
      <w:bookmarkEnd w:id="305"/>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的资格进行审查，合格</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不足3家的，不得评标。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为满足</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资格要求提供虚假材料，一经查实，视为未实质性响应招标文件，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投标文件将按无效处理。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，不得参加同一合同项下的政府采购活动。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与采购人存在利害关系可能影响采购公正性的法人、其他组织或者个人，不得参加投标。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不得直接或间接地与为采购项目提供整体设计、规范编制和项目管理、监理、检测等服务，不得与采购人、采购代理机构或其附属机构有任何关联。</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在资格审查过程中发现</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有一项不符合上述规定的，该投标文件按无效投标处理。</w:t>
      </w:r>
    </w:p>
    <w:p>
      <w:pPr>
        <w:pStyle w:val="5"/>
        <w:pageBreakBefore w:val="0"/>
        <w:widowControl w:val="0"/>
        <w:kinsoku/>
        <w:wordWrap/>
        <w:overflowPunct/>
        <w:topLinePunct w:val="0"/>
        <w:bidi w:val="0"/>
        <w:adjustRightInd/>
        <w:snapToGrid/>
        <w:spacing w:line="360" w:lineRule="auto"/>
        <w:ind w:left="0" w:leftChars="0" w:right="0" w:rightChars="0"/>
        <w:textAlignment w:val="auto"/>
        <w:outlineLvl w:val="1"/>
        <w:rPr>
          <w:rFonts w:hint="eastAsia" w:ascii="宋体" w:hAnsi="宋体" w:eastAsia="宋体" w:cs="宋体"/>
          <w:color w:val="auto"/>
          <w:sz w:val="24"/>
          <w:szCs w:val="24"/>
          <w:highlight w:val="none"/>
        </w:rPr>
      </w:pPr>
      <w:bookmarkStart w:id="306" w:name="_Toc35701036"/>
      <w:bookmarkStart w:id="307" w:name="_Toc11419"/>
      <w:bookmarkStart w:id="308" w:name="_Toc20896"/>
      <w:bookmarkStart w:id="309" w:name="_Toc20176"/>
      <w:bookmarkStart w:id="310" w:name="_Toc12078"/>
      <w:bookmarkStart w:id="311" w:name="_Toc35701822"/>
      <w:bookmarkStart w:id="312" w:name="_Toc17917"/>
      <w:bookmarkStart w:id="313" w:name="_Toc10854"/>
      <w:bookmarkStart w:id="314" w:name="_Toc4487"/>
      <w:bookmarkStart w:id="315" w:name="_Toc35700965"/>
      <w:bookmarkStart w:id="316" w:name="_Toc36116116"/>
      <w:bookmarkStart w:id="317" w:name="_Toc18436"/>
      <w:r>
        <w:rPr>
          <w:rFonts w:hint="eastAsia" w:ascii="宋体" w:hAnsi="宋体" w:eastAsia="宋体" w:cs="宋体"/>
          <w:color w:val="auto"/>
          <w:sz w:val="24"/>
          <w:szCs w:val="24"/>
          <w:highlight w:val="none"/>
        </w:rPr>
        <w:t>2.资格审查报告</w:t>
      </w:r>
      <w:bookmarkEnd w:id="306"/>
      <w:bookmarkEnd w:id="307"/>
      <w:bookmarkEnd w:id="308"/>
      <w:bookmarkEnd w:id="309"/>
      <w:bookmarkEnd w:id="310"/>
      <w:bookmarkEnd w:id="311"/>
      <w:bookmarkEnd w:id="312"/>
      <w:bookmarkEnd w:id="313"/>
      <w:bookmarkEnd w:id="314"/>
      <w:bookmarkEnd w:id="315"/>
      <w:bookmarkEnd w:id="316"/>
      <w:bookmarkEnd w:id="317"/>
    </w:p>
    <w:p>
      <w:pPr>
        <w:pageBreakBefore w:val="0"/>
        <w:widowControl w:val="0"/>
        <w:kinsoku/>
        <w:wordWrap/>
        <w:overflowPunct/>
        <w:topLinePunct w:val="0"/>
        <w:bidi w:val="0"/>
        <w:adjustRightInd/>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根据资格审查情况出具资格审查报告。</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outlineLvl w:val="0"/>
        <w:rPr>
          <w:rFonts w:hint="default" w:ascii="宋体" w:hAnsi="宋体" w:eastAsia="宋体" w:cs="宋体"/>
          <w:b/>
          <w:bCs/>
          <w:color w:val="auto"/>
          <w:sz w:val="32"/>
          <w:szCs w:val="32"/>
          <w:highlight w:val="none"/>
          <w:lang w:val="en-US" w:eastAsia="zh-CN"/>
        </w:rPr>
      </w:pPr>
      <w:bookmarkStart w:id="318" w:name="_Toc11112"/>
      <w:bookmarkStart w:id="319" w:name="_Toc28045"/>
      <w:bookmarkStart w:id="320" w:name="_Toc6081"/>
      <w:r>
        <w:rPr>
          <w:rFonts w:hint="eastAsia" w:ascii="宋体" w:hAnsi="宋体" w:cs="宋体"/>
          <w:b/>
          <w:bCs/>
          <w:color w:val="auto"/>
          <w:sz w:val="32"/>
          <w:szCs w:val="32"/>
          <w:highlight w:val="none"/>
          <w:lang w:val="en-US" w:eastAsia="zh-CN"/>
        </w:rPr>
        <w:t>第七章  评标办法（综合评分法）</w:t>
      </w:r>
      <w:bookmarkEnd w:id="318"/>
      <w:bookmarkEnd w:id="319"/>
      <w:bookmarkEnd w:id="320"/>
    </w:p>
    <w:p>
      <w:pPr>
        <w:keepLines w:val="0"/>
        <w:pageBreakBefore w:val="0"/>
        <w:kinsoku/>
        <w:wordWrap/>
        <w:topLinePunct w:val="0"/>
        <w:autoSpaceDE/>
        <w:autoSpaceDN/>
        <w:bidi w:val="0"/>
        <w:snapToGrid/>
        <w:spacing w:line="360" w:lineRule="auto"/>
        <w:ind w:left="0" w:leftChars="0" w:right="0" w:rightChars="0" w:firstLine="0" w:firstLineChars="0"/>
        <w:jc w:val="center"/>
        <w:outlineLvl w:val="1"/>
        <w:rPr>
          <w:rFonts w:hint="eastAsia" w:ascii="宋体" w:hAnsi="宋体" w:eastAsia="宋体" w:cs="宋体"/>
          <w:b/>
          <w:bCs/>
          <w:color w:val="auto"/>
          <w:sz w:val="24"/>
          <w:szCs w:val="24"/>
          <w:highlight w:val="none"/>
        </w:rPr>
      </w:pPr>
      <w:bookmarkStart w:id="321" w:name="_Toc8043"/>
      <w:bookmarkStart w:id="322" w:name="_Toc32696"/>
      <w:bookmarkStart w:id="323" w:name="_Toc31274"/>
      <w:bookmarkStart w:id="324" w:name="_Toc28328"/>
      <w:bookmarkStart w:id="325" w:name="_Toc22676"/>
      <w:bookmarkStart w:id="326" w:name="_Toc29082"/>
      <w:bookmarkStart w:id="327" w:name="_Toc326218111"/>
      <w:bookmarkStart w:id="328" w:name="_Toc21859"/>
      <w:bookmarkStart w:id="329" w:name="_Toc26783937"/>
      <w:bookmarkStart w:id="330" w:name="_Toc5331"/>
      <w:r>
        <w:rPr>
          <w:rFonts w:hint="eastAsia" w:ascii="宋体" w:hAnsi="宋体" w:eastAsia="宋体" w:cs="宋体"/>
          <w:b/>
          <w:bCs/>
          <w:color w:val="auto"/>
          <w:sz w:val="24"/>
          <w:szCs w:val="24"/>
          <w:highlight w:val="none"/>
        </w:rPr>
        <w:t>评标方法前附表</w:t>
      </w:r>
      <w:bookmarkEnd w:id="321"/>
      <w:bookmarkEnd w:id="322"/>
      <w:bookmarkEnd w:id="323"/>
      <w:bookmarkEnd w:id="324"/>
      <w:bookmarkEnd w:id="325"/>
      <w:bookmarkEnd w:id="326"/>
    </w:p>
    <w:tbl>
      <w:tblPr>
        <w:tblStyle w:val="18"/>
        <w:tblW w:w="96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5"/>
        <w:gridCol w:w="712"/>
        <w:gridCol w:w="1793"/>
        <w:gridCol w:w="657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1" w:hRule="atLeast"/>
          <w:tblHeader/>
          <w:jc w:val="center"/>
        </w:trPr>
        <w:tc>
          <w:tcPr>
            <w:tcW w:w="1247" w:type="dxa"/>
            <w:gridSpan w:val="2"/>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因 素</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 审 标 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9" w:hRule="atLeast"/>
          <w:jc w:val="center"/>
        </w:trPr>
        <w:tc>
          <w:tcPr>
            <w:tcW w:w="535"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712"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w:t>
            </w: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未出现缺项、漏项，对所投标段内所有内容作出完整唯一的投标报价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9"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3"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须知》规定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9"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投标文件格式</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按招标文件要求填写，内容齐全、关键字迹清晰（可辨）的；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47"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投标文件签署</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按照投标文件格式，在需要签字盖章的地方进行签字盖章；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88"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其它实质性要求</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1）招标文件中规定的</w:t>
            </w:r>
            <w:r>
              <w:rPr>
                <w:rFonts w:hint="eastAsia" w:ascii="宋体" w:hAnsi="宋体" w:eastAsia="宋体" w:cs="宋体"/>
                <w:color w:val="auto"/>
                <w:sz w:val="24"/>
                <w:szCs w:val="24"/>
                <w:highlight w:val="none"/>
                <w:u w:val="single"/>
              </w:rPr>
              <w:t>合同履行期限</w:t>
            </w:r>
            <w:r>
              <w:rPr>
                <w:rFonts w:hint="eastAsia" w:ascii="宋体" w:hAnsi="宋体" w:eastAsia="宋体" w:cs="宋体"/>
                <w:color w:val="auto"/>
                <w:sz w:val="24"/>
                <w:szCs w:val="24"/>
                <w:highlight w:val="none"/>
                <w:u w:val="single"/>
                <w:lang w:eastAsia="zh-CN"/>
              </w:rPr>
              <w:t>、配送地点、</w:t>
            </w:r>
            <w:r>
              <w:rPr>
                <w:rFonts w:hint="eastAsia" w:ascii="宋体" w:hAnsi="宋体" w:eastAsia="宋体" w:cs="宋体"/>
                <w:bCs/>
                <w:color w:val="auto"/>
                <w:sz w:val="24"/>
                <w:szCs w:val="24"/>
                <w:highlight w:val="none"/>
                <w:u w:val="single"/>
                <w:lang w:eastAsia="zh-CN"/>
              </w:rPr>
              <w:t>价款结算</w:t>
            </w:r>
            <w:r>
              <w:rPr>
                <w:rFonts w:hint="eastAsia" w:ascii="宋体" w:hAnsi="宋体" w:eastAsia="宋体" w:cs="宋体"/>
                <w:color w:val="auto"/>
                <w:sz w:val="24"/>
                <w:szCs w:val="24"/>
                <w:highlight w:val="none"/>
              </w:rPr>
              <w:t>不允许负偏离，否则其投标文件按无效投标处理；</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2）投标文件含有采购人不能接受的附加条件的；（如招标文件中明确规定不得改变双方的权利与义务、降低技术标准和要求等损害招标人利益的行为）；</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3）法律、法规和招标文件明确规定的其他无效情形。</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15" w:hRule="atLeast"/>
          <w:jc w:val="center"/>
        </w:trPr>
        <w:tc>
          <w:tcPr>
            <w:tcW w:w="535"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12"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（1）评标总得分计算公式</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的评标总得分＝F1＋F2＋F3</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其中：F1、F2、F3分别为投标报价、商务部分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技术部分3项评分因素的汇总得分；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（2）评分因素权重</w:t>
            </w:r>
          </w:p>
        </w:tc>
        <w:tc>
          <w:tcPr>
            <w:tcW w:w="6578" w:type="dxa"/>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r>
              <w:rPr>
                <w:rFonts w:hint="eastAsia" w:ascii="宋体" w:hAnsi="宋体" w:eastAsia="宋体" w:cs="宋体"/>
                <w:color w:val="auto"/>
                <w:sz w:val="24"/>
                <w:szCs w:val="24"/>
                <w:highlight w:val="none"/>
                <w:lang w:eastAsia="zh-CN"/>
              </w:rPr>
              <w:t>部分</w:t>
            </w:r>
            <w:r>
              <w:rPr>
                <w:rFonts w:hint="eastAsia" w:ascii="宋体" w:hAnsi="宋体" w:eastAsia="宋体" w:cs="宋体"/>
                <w:color w:val="auto"/>
                <w:sz w:val="24"/>
                <w:szCs w:val="24"/>
                <w:highlight w:val="none"/>
              </w:rPr>
              <w:t>F1：</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商务部分F</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技术部分F</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（3）投标报价得分F1（满分</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6578" w:type="dxa"/>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投标报价的评分方法：采用低价优先法计算，即满足招标需求且投标价格最低（下浮率最高）的投标报价下浮率为评标基准下浮率，其报价分为满分。</w:t>
            </w:r>
          </w:p>
          <w:p>
            <w:pPr>
              <w:keepLines w:val="0"/>
              <w:pageBreakBefore w:val="0"/>
              <w:kinsoku/>
              <w:wordWrap/>
              <w:topLinePunct w:val="0"/>
              <w:autoSpaceDE/>
              <w:autoSpaceDN/>
              <w:bidi w:val="0"/>
              <w:snapToGrid/>
              <w:spacing w:line="360" w:lineRule="auto"/>
              <w:ind w:left="0" w:leftChars="0" w:right="0" w:rightChars="0" w:firstLine="0" w:firstLineChars="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其他投标人的价格分统一按照下列公式计算：</w:t>
            </w:r>
          </w:p>
          <w:p>
            <w:pPr>
              <w:keepLines w:val="0"/>
              <w:pageBreakBefore w:val="0"/>
              <w:kinsoku/>
              <w:wordWrap/>
              <w:topLinePunct w:val="0"/>
              <w:autoSpaceDE/>
              <w:autoSpaceDN/>
              <w:bidi w:val="0"/>
              <w:snapToGrid/>
              <w:spacing w:line="360" w:lineRule="auto"/>
              <w:ind w:left="0" w:leftChars="0" w:right="0" w:rightChars="0" w:firstLine="0" w:firstLineChars="0"/>
              <w:jc w:val="left"/>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投标报价得分=（1-评标基准下浮率）/（1-报价下浮率）*</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0，如此类推，计算出所有投标报价得分。（小数点后保留两位）</w:t>
            </w:r>
            <w:r>
              <w:rPr>
                <w:rFonts w:hint="eastAsia" w:ascii="宋体" w:hAnsi="宋体" w:cs="宋体"/>
                <w:b/>
                <w:bCs/>
                <w:color w:val="auto"/>
                <w:sz w:val="24"/>
                <w:szCs w:val="24"/>
                <w:highlight w:val="none"/>
                <w:lang w:val="en-US" w:eastAsia="zh-CN"/>
              </w:rPr>
              <w:t>。</w:t>
            </w:r>
          </w:p>
          <w:p>
            <w:pPr>
              <w:keepLines w:val="0"/>
              <w:pageBreakBefore w:val="0"/>
              <w:kinsoku/>
              <w:wordWrap/>
              <w:topLinePunct w:val="0"/>
              <w:autoSpaceDE/>
              <w:autoSpaceDN/>
              <w:bidi w:val="0"/>
              <w:snapToGrid/>
              <w:spacing w:line="360" w:lineRule="auto"/>
              <w:ind w:left="0" w:leftChars="0" w:right="0" w:rightChars="0" w:firstLine="0" w:firstLineChars="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w:t>
            </w:r>
          </w:p>
          <w:p>
            <w:pPr>
              <w:keepLines w:val="0"/>
              <w:pageBreakBefore w:val="0"/>
              <w:kinsoku/>
              <w:wordWrap/>
              <w:topLinePunct w:val="0"/>
              <w:autoSpaceDE/>
              <w:autoSpaceDN/>
              <w:bidi w:val="0"/>
              <w:snapToGrid/>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本项目专门面向中小企业采购，故不给予价格扣除。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）商务部分得分F</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（满分</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c>
          <w:tcPr>
            <w:tcW w:w="6578" w:type="dxa"/>
            <w:vAlign w:val="center"/>
          </w:tcPr>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设施设备（</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p>
            <w:pPr>
              <w:keepLines w:val="0"/>
              <w:pageBreakBefore w:val="0"/>
              <w:numPr>
                <w:ilvl w:val="0"/>
                <w:numId w:val="0"/>
              </w:numPr>
              <w:kinsoku/>
              <w:wordWrap/>
              <w:topLinePunct w:val="0"/>
              <w:autoSpaceDE/>
              <w:autoSpaceDN/>
              <w:bidi w:val="0"/>
              <w:snapToGrid/>
              <w:spacing w:line="360" w:lineRule="auto"/>
              <w:ind w:right="0" w:rightChars="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r>
              <w:rPr>
                <w:rFonts w:hint="eastAsia" w:ascii="宋体" w:hAnsi="宋体" w:cs="宋体"/>
                <w:color w:val="auto"/>
                <w:sz w:val="24"/>
                <w:szCs w:val="24"/>
                <w:highlight w:val="none"/>
                <w:lang w:val="en-US" w:eastAsia="zh-CN"/>
              </w:rPr>
              <w:t>自有</w:t>
            </w:r>
            <w:r>
              <w:rPr>
                <w:rFonts w:hint="eastAsia" w:ascii="宋体" w:hAnsi="宋体" w:eastAsia="宋体" w:cs="宋体"/>
                <w:color w:val="auto"/>
                <w:sz w:val="24"/>
                <w:szCs w:val="24"/>
                <w:highlight w:val="none"/>
                <w:lang w:val="en-US" w:eastAsia="zh-CN"/>
              </w:rPr>
              <w:t>农残检测设备</w:t>
            </w:r>
            <w:r>
              <w:rPr>
                <w:rFonts w:hint="eastAsia" w:ascii="宋体" w:hAnsi="宋体" w:cs="宋体"/>
                <w:color w:val="auto"/>
                <w:sz w:val="24"/>
                <w:szCs w:val="24"/>
                <w:highlight w:val="none"/>
                <w:lang w:val="en-US" w:eastAsia="zh-CN"/>
              </w:rPr>
              <w:t>得5分。</w:t>
            </w:r>
          </w:p>
          <w:p>
            <w:pPr>
              <w:pStyle w:val="6"/>
              <w:keepLines w:val="0"/>
              <w:pageBreakBefore w:val="0"/>
              <w:kinsoku/>
              <w:wordWrap/>
              <w:topLinePunct w:val="0"/>
              <w:autoSpaceDE/>
              <w:autoSpaceDN/>
              <w:bidi w:val="0"/>
              <w:snapToGrid/>
              <w:spacing w:line="360" w:lineRule="auto"/>
              <w:ind w:left="0" w:leftChars="0" w:right="0" w:rightChars="0"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证明材料：投标人需提供检验室照片及上述设备实物照片</w:t>
            </w:r>
            <w:r>
              <w:rPr>
                <w:rFonts w:hint="eastAsia" w:ascii="宋体" w:hAnsi="宋体" w:cs="宋体"/>
                <w:color w:val="auto"/>
                <w:sz w:val="24"/>
                <w:szCs w:val="24"/>
                <w:highlight w:val="none"/>
                <w:lang w:val="en-US" w:eastAsia="zh-CN"/>
              </w:rPr>
              <w:t>及购买证明材料。</w:t>
            </w:r>
            <w:r>
              <w:rPr>
                <w:rFonts w:hint="eastAsia" w:ascii="宋体" w:hAnsi="宋体" w:eastAsia="宋体" w:cs="宋体"/>
                <w:color w:val="auto"/>
                <w:sz w:val="24"/>
                <w:szCs w:val="24"/>
                <w:highlight w:val="none"/>
                <w:lang w:val="en-US" w:eastAsia="zh-CN"/>
              </w:rPr>
              <w:t>未提供或未按要求提供以及提供的证明材料不清晰导致无法识别的不得分。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6578" w:type="dxa"/>
            <w:vAlign w:val="center"/>
          </w:tcPr>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kern w:val="0"/>
                <w:sz w:val="24"/>
                <w:szCs w:val="24"/>
                <w:highlight w:val="none"/>
                <w:lang w:bidi="en-US"/>
              </w:rPr>
            </w:pPr>
            <w:r>
              <w:rPr>
                <w:rFonts w:hint="eastAsia" w:ascii="宋体" w:hAnsi="宋体" w:eastAsia="宋体" w:cs="宋体"/>
                <w:b/>
                <w:bCs/>
                <w:color w:val="auto"/>
                <w:kern w:val="0"/>
                <w:sz w:val="24"/>
                <w:szCs w:val="24"/>
                <w:highlight w:val="none"/>
                <w:lang w:eastAsia="zh-CN" w:bidi="en-US"/>
              </w:rPr>
              <w:t>食品供应保障</w:t>
            </w:r>
            <w:r>
              <w:rPr>
                <w:rFonts w:hint="eastAsia" w:ascii="宋体" w:hAnsi="宋体" w:eastAsia="宋体" w:cs="宋体"/>
                <w:b/>
                <w:bCs/>
                <w:color w:val="auto"/>
                <w:kern w:val="0"/>
                <w:sz w:val="24"/>
                <w:szCs w:val="24"/>
                <w:highlight w:val="none"/>
                <w:lang w:bidi="en-US"/>
              </w:rPr>
              <w:t>（</w:t>
            </w:r>
            <w:r>
              <w:rPr>
                <w:rFonts w:hint="eastAsia" w:ascii="宋体" w:hAnsi="宋体" w:eastAsia="宋体" w:cs="宋体"/>
                <w:b/>
                <w:bCs/>
                <w:color w:val="auto"/>
                <w:kern w:val="0"/>
                <w:sz w:val="24"/>
                <w:szCs w:val="24"/>
                <w:highlight w:val="none"/>
                <w:lang w:val="en-US" w:eastAsia="zh-CN" w:bidi="en-US"/>
              </w:rPr>
              <w:t>10</w:t>
            </w:r>
            <w:r>
              <w:rPr>
                <w:rFonts w:hint="eastAsia" w:ascii="宋体" w:hAnsi="宋体" w:eastAsia="宋体" w:cs="宋体"/>
                <w:b/>
                <w:bCs/>
                <w:color w:val="auto"/>
                <w:kern w:val="0"/>
                <w:sz w:val="24"/>
                <w:szCs w:val="24"/>
                <w:highlight w:val="none"/>
                <w:lang w:bidi="en-US"/>
              </w:rPr>
              <w:t>分）</w:t>
            </w:r>
          </w:p>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1、</w:t>
            </w:r>
            <w:r>
              <w:rPr>
                <w:rFonts w:hint="eastAsia" w:ascii="宋体" w:hAnsi="宋体" w:eastAsia="宋体" w:cs="宋体"/>
                <w:color w:val="auto"/>
                <w:kern w:val="0"/>
                <w:sz w:val="24"/>
                <w:szCs w:val="24"/>
                <w:highlight w:val="none"/>
                <w:lang w:eastAsia="zh-CN" w:bidi="en-US"/>
              </w:rPr>
              <w:t>投标人</w:t>
            </w:r>
            <w:r>
              <w:rPr>
                <w:rFonts w:hint="eastAsia" w:ascii="宋体" w:hAnsi="宋体" w:eastAsia="宋体" w:cs="宋体"/>
                <w:color w:val="auto"/>
                <w:kern w:val="0"/>
                <w:sz w:val="24"/>
                <w:szCs w:val="24"/>
                <w:highlight w:val="none"/>
                <w:lang w:bidi="en-US"/>
              </w:rPr>
              <w:t>自有或租赁或承诺中标后建成固定食材仓储库房面积</w:t>
            </w:r>
            <w:r>
              <w:rPr>
                <w:rFonts w:hint="eastAsia" w:ascii="宋体" w:hAnsi="宋体" w:eastAsia="宋体" w:cs="宋体"/>
                <w:color w:val="auto"/>
                <w:kern w:val="0"/>
                <w:sz w:val="24"/>
                <w:szCs w:val="24"/>
                <w:highlight w:val="none"/>
                <w:lang w:val="en-US" w:eastAsia="zh-CN" w:bidi="en-US"/>
              </w:rPr>
              <w:t>≤</w:t>
            </w:r>
            <w:r>
              <w:rPr>
                <w:rFonts w:hint="eastAsia" w:ascii="宋体" w:hAnsi="宋体" w:cs="宋体"/>
                <w:color w:val="auto"/>
                <w:kern w:val="0"/>
                <w:sz w:val="24"/>
                <w:szCs w:val="24"/>
                <w:highlight w:val="none"/>
                <w:lang w:val="en-US" w:eastAsia="zh-CN" w:bidi="en-US"/>
              </w:rPr>
              <w:t>5</w:t>
            </w:r>
            <w:r>
              <w:rPr>
                <w:rFonts w:hint="eastAsia" w:ascii="宋体" w:hAnsi="宋体" w:eastAsia="宋体" w:cs="宋体"/>
                <w:color w:val="auto"/>
                <w:kern w:val="0"/>
                <w:sz w:val="24"/>
                <w:szCs w:val="24"/>
                <w:highlight w:val="none"/>
                <w:lang w:val="en-US" w:eastAsia="zh-CN" w:bidi="en-US"/>
              </w:rPr>
              <w:t>00㎡</w:t>
            </w:r>
            <w:r>
              <w:rPr>
                <w:rFonts w:hint="eastAsia" w:ascii="宋体" w:hAnsi="宋体" w:eastAsia="宋体" w:cs="宋体"/>
                <w:color w:val="auto"/>
                <w:kern w:val="0"/>
                <w:sz w:val="24"/>
                <w:szCs w:val="24"/>
                <w:highlight w:val="none"/>
                <w:lang w:bidi="en-US"/>
              </w:rPr>
              <w:t>得</w:t>
            </w:r>
            <w:r>
              <w:rPr>
                <w:rFonts w:hint="eastAsia" w:ascii="宋体" w:hAnsi="宋体" w:eastAsia="宋体" w:cs="宋体"/>
                <w:color w:val="auto"/>
                <w:kern w:val="0"/>
                <w:sz w:val="24"/>
                <w:szCs w:val="24"/>
                <w:highlight w:val="none"/>
                <w:lang w:val="en-US" w:eastAsia="zh-CN" w:bidi="en-US"/>
              </w:rPr>
              <w:t>1</w:t>
            </w:r>
            <w:r>
              <w:rPr>
                <w:rFonts w:hint="eastAsia" w:ascii="宋体" w:hAnsi="宋体" w:eastAsia="宋体" w:cs="宋体"/>
                <w:color w:val="auto"/>
                <w:kern w:val="0"/>
                <w:sz w:val="24"/>
                <w:szCs w:val="24"/>
                <w:highlight w:val="none"/>
                <w:lang w:bidi="en-US"/>
              </w:rPr>
              <w:t>分</w:t>
            </w:r>
            <w:r>
              <w:rPr>
                <w:rFonts w:hint="eastAsia" w:ascii="宋体" w:hAnsi="宋体" w:eastAsia="宋体" w:cs="宋体"/>
                <w:color w:val="auto"/>
                <w:kern w:val="0"/>
                <w:sz w:val="24"/>
                <w:szCs w:val="24"/>
                <w:highlight w:val="none"/>
                <w:lang w:eastAsia="zh-CN" w:bidi="en-US"/>
              </w:rPr>
              <w:t>，</w:t>
            </w:r>
            <w:r>
              <w:rPr>
                <w:rFonts w:hint="eastAsia" w:ascii="宋体" w:hAnsi="宋体" w:cs="宋体"/>
                <w:color w:val="auto"/>
                <w:kern w:val="0"/>
                <w:sz w:val="24"/>
                <w:szCs w:val="24"/>
                <w:highlight w:val="none"/>
                <w:lang w:val="en-US" w:eastAsia="zh-CN" w:bidi="en-US"/>
              </w:rPr>
              <w:t>5</w:t>
            </w:r>
            <w:r>
              <w:rPr>
                <w:rFonts w:hint="eastAsia" w:ascii="宋体" w:hAnsi="宋体" w:eastAsia="宋体" w:cs="宋体"/>
                <w:color w:val="auto"/>
                <w:kern w:val="0"/>
                <w:sz w:val="24"/>
                <w:szCs w:val="24"/>
                <w:highlight w:val="none"/>
                <w:lang w:bidi="en-US"/>
              </w:rPr>
              <w:t>0</w:t>
            </w:r>
            <w:r>
              <w:rPr>
                <w:rFonts w:hint="eastAsia" w:ascii="宋体" w:hAnsi="宋体" w:eastAsia="宋体" w:cs="宋体"/>
                <w:color w:val="auto"/>
                <w:kern w:val="0"/>
                <w:sz w:val="24"/>
                <w:szCs w:val="24"/>
                <w:highlight w:val="none"/>
                <w:lang w:val="en-US" w:eastAsia="zh-CN" w:bidi="en-US"/>
              </w:rPr>
              <w:t>1</w:t>
            </w:r>
            <w:r>
              <w:rPr>
                <w:rFonts w:hint="eastAsia" w:ascii="宋体" w:hAnsi="宋体" w:eastAsia="宋体" w:cs="宋体"/>
                <w:color w:val="auto"/>
                <w:kern w:val="0"/>
                <w:sz w:val="24"/>
                <w:szCs w:val="24"/>
                <w:highlight w:val="none"/>
                <w:lang w:bidi="en-US"/>
              </w:rPr>
              <w:t>㎡～</w:t>
            </w:r>
            <w:r>
              <w:rPr>
                <w:rFonts w:hint="eastAsia" w:ascii="宋体" w:hAnsi="宋体" w:cs="宋体"/>
                <w:color w:val="auto"/>
                <w:kern w:val="0"/>
                <w:sz w:val="24"/>
                <w:szCs w:val="24"/>
                <w:highlight w:val="none"/>
                <w:lang w:val="en-US" w:eastAsia="zh-CN" w:bidi="en-US"/>
              </w:rPr>
              <w:t>1</w:t>
            </w:r>
            <w:r>
              <w:rPr>
                <w:rFonts w:hint="eastAsia" w:ascii="宋体" w:hAnsi="宋体" w:eastAsia="宋体" w:cs="宋体"/>
                <w:color w:val="auto"/>
                <w:kern w:val="0"/>
                <w:sz w:val="24"/>
                <w:szCs w:val="24"/>
                <w:highlight w:val="none"/>
                <w:lang w:val="en-US" w:eastAsia="zh-CN" w:bidi="en-US"/>
              </w:rPr>
              <w:t>0</w:t>
            </w:r>
            <w:r>
              <w:rPr>
                <w:rFonts w:hint="eastAsia" w:ascii="宋体" w:hAnsi="宋体" w:eastAsia="宋体" w:cs="宋体"/>
                <w:color w:val="auto"/>
                <w:kern w:val="0"/>
                <w:sz w:val="24"/>
                <w:szCs w:val="24"/>
                <w:highlight w:val="none"/>
                <w:lang w:bidi="en-US"/>
              </w:rPr>
              <w:t>00㎡得</w:t>
            </w:r>
            <w:r>
              <w:rPr>
                <w:rFonts w:hint="eastAsia" w:ascii="宋体" w:hAnsi="宋体" w:eastAsia="宋体" w:cs="宋体"/>
                <w:color w:val="auto"/>
                <w:kern w:val="0"/>
                <w:sz w:val="24"/>
                <w:szCs w:val="24"/>
                <w:highlight w:val="none"/>
                <w:lang w:val="en-US" w:eastAsia="zh-CN" w:bidi="en-US"/>
              </w:rPr>
              <w:t>2</w:t>
            </w:r>
            <w:r>
              <w:rPr>
                <w:rFonts w:hint="eastAsia" w:ascii="宋体" w:hAnsi="宋体" w:eastAsia="宋体" w:cs="宋体"/>
                <w:color w:val="auto"/>
                <w:kern w:val="0"/>
                <w:sz w:val="24"/>
                <w:szCs w:val="24"/>
                <w:highlight w:val="none"/>
                <w:lang w:bidi="en-US"/>
              </w:rPr>
              <w:t>分，</w:t>
            </w:r>
            <w:r>
              <w:rPr>
                <w:rFonts w:hint="eastAsia" w:ascii="宋体" w:hAnsi="宋体" w:cs="宋体"/>
                <w:color w:val="auto"/>
                <w:kern w:val="0"/>
                <w:sz w:val="24"/>
                <w:szCs w:val="24"/>
                <w:highlight w:val="none"/>
                <w:lang w:val="en-US" w:eastAsia="zh-CN" w:bidi="en-US"/>
              </w:rPr>
              <w:t>1</w:t>
            </w:r>
            <w:r>
              <w:rPr>
                <w:rFonts w:hint="eastAsia" w:ascii="宋体" w:hAnsi="宋体" w:eastAsia="宋体" w:cs="宋体"/>
                <w:color w:val="auto"/>
                <w:kern w:val="0"/>
                <w:sz w:val="24"/>
                <w:szCs w:val="24"/>
                <w:highlight w:val="none"/>
                <w:lang w:bidi="en-US"/>
              </w:rPr>
              <w:t>001㎡～</w:t>
            </w:r>
            <w:r>
              <w:rPr>
                <w:rFonts w:hint="eastAsia" w:ascii="宋体" w:hAnsi="宋体" w:cs="宋体"/>
                <w:color w:val="auto"/>
                <w:kern w:val="0"/>
                <w:sz w:val="24"/>
                <w:szCs w:val="24"/>
                <w:highlight w:val="none"/>
                <w:lang w:val="en-US" w:eastAsia="zh-CN" w:bidi="en-US"/>
              </w:rPr>
              <w:t>2</w:t>
            </w:r>
            <w:r>
              <w:rPr>
                <w:rFonts w:hint="eastAsia" w:ascii="宋体" w:hAnsi="宋体" w:eastAsia="宋体" w:cs="宋体"/>
                <w:color w:val="auto"/>
                <w:kern w:val="0"/>
                <w:sz w:val="24"/>
                <w:szCs w:val="24"/>
                <w:highlight w:val="none"/>
                <w:lang w:bidi="en-US"/>
              </w:rPr>
              <w:t>000㎡得</w:t>
            </w:r>
            <w:r>
              <w:rPr>
                <w:rFonts w:hint="eastAsia" w:ascii="宋体" w:hAnsi="宋体" w:eastAsia="宋体" w:cs="宋体"/>
                <w:color w:val="auto"/>
                <w:kern w:val="0"/>
                <w:sz w:val="24"/>
                <w:szCs w:val="24"/>
                <w:highlight w:val="none"/>
                <w:lang w:val="en-US" w:eastAsia="zh-CN" w:bidi="en-US"/>
              </w:rPr>
              <w:t>4</w:t>
            </w:r>
            <w:r>
              <w:rPr>
                <w:rFonts w:hint="eastAsia" w:ascii="宋体" w:hAnsi="宋体" w:eastAsia="宋体" w:cs="宋体"/>
                <w:color w:val="auto"/>
                <w:kern w:val="0"/>
                <w:sz w:val="24"/>
                <w:szCs w:val="24"/>
                <w:highlight w:val="none"/>
                <w:lang w:bidi="en-US"/>
              </w:rPr>
              <w:t>分，</w:t>
            </w:r>
            <w:r>
              <w:rPr>
                <w:rFonts w:hint="eastAsia" w:ascii="宋体" w:hAnsi="宋体" w:cs="宋体"/>
                <w:color w:val="auto"/>
                <w:kern w:val="0"/>
                <w:sz w:val="24"/>
                <w:szCs w:val="24"/>
                <w:highlight w:val="none"/>
                <w:lang w:val="en-US" w:eastAsia="zh-CN" w:bidi="en-US"/>
              </w:rPr>
              <w:t>2</w:t>
            </w:r>
            <w:r>
              <w:rPr>
                <w:rFonts w:hint="eastAsia" w:ascii="宋体" w:hAnsi="宋体" w:eastAsia="宋体" w:cs="宋体"/>
                <w:color w:val="auto"/>
                <w:kern w:val="0"/>
                <w:sz w:val="24"/>
                <w:szCs w:val="24"/>
                <w:highlight w:val="none"/>
                <w:lang w:bidi="en-US"/>
              </w:rPr>
              <w:t>000㎡以上得</w:t>
            </w:r>
            <w:r>
              <w:rPr>
                <w:rFonts w:hint="eastAsia" w:ascii="宋体" w:hAnsi="宋体" w:eastAsia="宋体" w:cs="宋体"/>
                <w:color w:val="auto"/>
                <w:kern w:val="0"/>
                <w:sz w:val="24"/>
                <w:szCs w:val="24"/>
                <w:highlight w:val="none"/>
                <w:lang w:val="en-US" w:eastAsia="zh-CN" w:bidi="en-US"/>
              </w:rPr>
              <w:t>6</w:t>
            </w:r>
            <w:r>
              <w:rPr>
                <w:rFonts w:hint="eastAsia" w:ascii="宋体" w:hAnsi="宋体" w:eastAsia="宋体" w:cs="宋体"/>
                <w:color w:val="auto"/>
                <w:kern w:val="0"/>
                <w:sz w:val="24"/>
                <w:szCs w:val="24"/>
                <w:highlight w:val="none"/>
                <w:lang w:bidi="en-US"/>
              </w:rPr>
              <w:t>分。</w:t>
            </w:r>
          </w:p>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2、同时在固定食材仓储库房建设有冷藏冷冻库面积</w:t>
            </w:r>
            <w:r>
              <w:rPr>
                <w:rFonts w:hint="eastAsia" w:ascii="宋体" w:hAnsi="宋体" w:eastAsia="宋体" w:cs="宋体"/>
                <w:color w:val="auto"/>
                <w:kern w:val="0"/>
                <w:sz w:val="24"/>
                <w:szCs w:val="24"/>
                <w:highlight w:val="none"/>
                <w:lang w:val="en-US" w:eastAsia="zh-CN" w:bidi="en-US"/>
              </w:rPr>
              <w:t>≤200㎡得2分，</w:t>
            </w:r>
            <w:r>
              <w:rPr>
                <w:rFonts w:hint="eastAsia" w:ascii="宋体" w:hAnsi="宋体" w:eastAsia="宋体" w:cs="宋体"/>
                <w:color w:val="auto"/>
                <w:kern w:val="0"/>
                <w:sz w:val="24"/>
                <w:szCs w:val="24"/>
                <w:highlight w:val="none"/>
                <w:lang w:bidi="en-US"/>
              </w:rPr>
              <w:t>20</w:t>
            </w:r>
            <w:r>
              <w:rPr>
                <w:rFonts w:hint="eastAsia" w:ascii="宋体" w:hAnsi="宋体" w:eastAsia="宋体" w:cs="宋体"/>
                <w:color w:val="auto"/>
                <w:kern w:val="0"/>
                <w:sz w:val="24"/>
                <w:szCs w:val="24"/>
                <w:highlight w:val="none"/>
                <w:lang w:val="en-US" w:eastAsia="zh-CN" w:bidi="en-US"/>
              </w:rPr>
              <w:t>1</w:t>
            </w:r>
            <w:r>
              <w:rPr>
                <w:rFonts w:hint="eastAsia" w:ascii="宋体" w:hAnsi="宋体" w:eastAsia="宋体" w:cs="宋体"/>
                <w:color w:val="auto"/>
                <w:kern w:val="0"/>
                <w:sz w:val="24"/>
                <w:szCs w:val="24"/>
                <w:highlight w:val="none"/>
                <w:lang w:bidi="en-US"/>
              </w:rPr>
              <w:t>㎡～300㎡得</w:t>
            </w:r>
            <w:r>
              <w:rPr>
                <w:rFonts w:hint="eastAsia" w:ascii="宋体" w:hAnsi="宋体" w:eastAsia="宋体" w:cs="宋体"/>
                <w:color w:val="auto"/>
                <w:kern w:val="0"/>
                <w:sz w:val="24"/>
                <w:szCs w:val="24"/>
                <w:highlight w:val="none"/>
                <w:lang w:val="en-US" w:eastAsia="zh-CN" w:bidi="en-US"/>
              </w:rPr>
              <w:t>3</w:t>
            </w:r>
            <w:r>
              <w:rPr>
                <w:rFonts w:hint="eastAsia" w:ascii="宋体" w:hAnsi="宋体" w:eastAsia="宋体" w:cs="宋体"/>
                <w:color w:val="auto"/>
                <w:kern w:val="0"/>
                <w:sz w:val="24"/>
                <w:szCs w:val="24"/>
                <w:highlight w:val="none"/>
                <w:lang w:bidi="en-US"/>
              </w:rPr>
              <w:t>分，300㎡以上得</w:t>
            </w:r>
            <w:r>
              <w:rPr>
                <w:rFonts w:hint="eastAsia" w:ascii="宋体" w:hAnsi="宋体" w:eastAsia="宋体" w:cs="宋体"/>
                <w:color w:val="auto"/>
                <w:kern w:val="0"/>
                <w:sz w:val="24"/>
                <w:szCs w:val="24"/>
                <w:highlight w:val="none"/>
                <w:lang w:val="en-US" w:eastAsia="zh-CN" w:bidi="en-US"/>
              </w:rPr>
              <w:t>4</w:t>
            </w:r>
            <w:r>
              <w:rPr>
                <w:rFonts w:hint="eastAsia" w:ascii="宋体" w:hAnsi="宋体" w:eastAsia="宋体" w:cs="宋体"/>
                <w:color w:val="auto"/>
                <w:kern w:val="0"/>
                <w:sz w:val="24"/>
                <w:szCs w:val="24"/>
                <w:highlight w:val="none"/>
                <w:lang w:bidi="en-US"/>
              </w:rPr>
              <w:t>分。</w:t>
            </w:r>
          </w:p>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lang w:bidi="en-US"/>
              </w:rPr>
              <w:t>注：提供固定仓储</w:t>
            </w:r>
            <w:r>
              <w:rPr>
                <w:rFonts w:hint="eastAsia" w:ascii="宋体" w:hAnsi="宋体" w:cs="宋体"/>
                <w:color w:val="auto"/>
                <w:kern w:val="0"/>
                <w:sz w:val="24"/>
                <w:szCs w:val="24"/>
                <w:highlight w:val="none"/>
                <w:lang w:val="en-US" w:eastAsia="zh-CN" w:bidi="en-US"/>
              </w:rPr>
              <w:t>库房及</w:t>
            </w:r>
            <w:r>
              <w:rPr>
                <w:rFonts w:hint="eastAsia" w:ascii="宋体" w:hAnsi="宋体" w:eastAsia="宋体" w:cs="宋体"/>
                <w:color w:val="auto"/>
                <w:kern w:val="0"/>
                <w:sz w:val="24"/>
                <w:szCs w:val="24"/>
                <w:highlight w:val="none"/>
                <w:lang w:bidi="en-US"/>
              </w:rPr>
              <w:t>在固定食材仓储库房建设有冷藏冷冻库的产权证明材料或租赁合同</w:t>
            </w:r>
            <w:r>
              <w:rPr>
                <w:rFonts w:hint="eastAsia" w:ascii="宋体" w:hAnsi="宋体" w:cs="宋体"/>
                <w:color w:val="auto"/>
                <w:kern w:val="0"/>
                <w:sz w:val="24"/>
                <w:szCs w:val="24"/>
                <w:highlight w:val="none"/>
                <w:lang w:val="en-US" w:eastAsia="zh-CN" w:bidi="en-US"/>
              </w:rPr>
              <w:t>或</w:t>
            </w:r>
            <w:r>
              <w:rPr>
                <w:rFonts w:hint="eastAsia" w:ascii="宋体" w:hAnsi="宋体" w:eastAsia="宋体" w:cs="宋体"/>
                <w:color w:val="auto"/>
                <w:kern w:val="0"/>
                <w:sz w:val="24"/>
                <w:szCs w:val="24"/>
                <w:highlight w:val="none"/>
                <w:lang w:bidi="en-US"/>
              </w:rPr>
              <w:t>提供中标后合同签订前建设</w:t>
            </w:r>
            <w:r>
              <w:rPr>
                <w:rFonts w:hint="eastAsia" w:ascii="宋体" w:hAnsi="宋体" w:cs="宋体"/>
                <w:color w:val="auto"/>
                <w:kern w:val="0"/>
                <w:sz w:val="24"/>
                <w:szCs w:val="24"/>
                <w:highlight w:val="none"/>
                <w:lang w:val="en-US" w:eastAsia="zh-CN" w:bidi="en-US"/>
              </w:rPr>
              <w:t>仓储库房</w:t>
            </w:r>
            <w:r>
              <w:rPr>
                <w:rFonts w:hint="eastAsia" w:ascii="宋体" w:hAnsi="宋体" w:eastAsia="宋体" w:cs="宋体"/>
                <w:color w:val="auto"/>
                <w:kern w:val="0"/>
                <w:sz w:val="24"/>
                <w:szCs w:val="24"/>
                <w:highlight w:val="none"/>
                <w:lang w:bidi="en-US"/>
              </w:rPr>
              <w:t>的承诺函（</w:t>
            </w:r>
            <w:r>
              <w:rPr>
                <w:rFonts w:hint="eastAsia" w:ascii="宋体" w:hAnsi="宋体" w:eastAsia="宋体" w:cs="宋体"/>
                <w:color w:val="auto"/>
                <w:kern w:val="0"/>
                <w:sz w:val="24"/>
                <w:szCs w:val="24"/>
                <w:highlight w:val="none"/>
                <w:lang w:eastAsia="zh-CN" w:bidi="en-US"/>
              </w:rPr>
              <w:t>投标人</w:t>
            </w:r>
            <w:r>
              <w:rPr>
                <w:rFonts w:hint="eastAsia" w:ascii="宋体" w:hAnsi="宋体" w:eastAsia="宋体" w:cs="宋体"/>
                <w:color w:val="auto"/>
                <w:kern w:val="0"/>
                <w:sz w:val="24"/>
                <w:szCs w:val="24"/>
                <w:highlight w:val="none"/>
                <w:lang w:bidi="en-US"/>
              </w:rPr>
              <w:t>提供承诺函的，应承诺在签订合同之日起，</w:t>
            </w:r>
            <w:r>
              <w:rPr>
                <w:rFonts w:hint="eastAsia" w:ascii="宋体" w:hAnsi="宋体" w:eastAsia="宋体" w:cs="宋体"/>
                <w:color w:val="auto"/>
                <w:kern w:val="0"/>
                <w:sz w:val="24"/>
                <w:szCs w:val="24"/>
                <w:highlight w:val="none"/>
                <w:lang w:val="en-US" w:eastAsia="zh-CN" w:bidi="en-US"/>
              </w:rPr>
              <w:t>30</w:t>
            </w:r>
            <w:r>
              <w:rPr>
                <w:rFonts w:hint="eastAsia" w:ascii="宋体" w:hAnsi="宋体" w:eastAsia="宋体" w:cs="宋体"/>
                <w:color w:val="auto"/>
                <w:kern w:val="0"/>
                <w:sz w:val="24"/>
                <w:szCs w:val="24"/>
                <w:highlight w:val="none"/>
                <w:lang w:bidi="en-US"/>
              </w:rPr>
              <w:t>个日历天建成</w:t>
            </w:r>
            <w:r>
              <w:rPr>
                <w:rFonts w:hint="eastAsia" w:ascii="宋体" w:hAnsi="宋体" w:cs="宋体"/>
                <w:color w:val="auto"/>
                <w:kern w:val="0"/>
                <w:sz w:val="24"/>
                <w:szCs w:val="24"/>
                <w:highlight w:val="none"/>
                <w:lang w:val="en-US" w:eastAsia="zh-CN" w:bidi="en-US"/>
              </w:rPr>
              <w:t>仓储库房</w:t>
            </w:r>
            <w:r>
              <w:rPr>
                <w:rFonts w:hint="eastAsia" w:ascii="宋体" w:hAnsi="宋体" w:eastAsia="宋体" w:cs="宋体"/>
                <w:color w:val="auto"/>
                <w:kern w:val="0"/>
                <w:sz w:val="24"/>
                <w:szCs w:val="24"/>
                <w:highlight w:val="none"/>
                <w:lang w:bidi="en-US"/>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p>
            <w:pPr>
              <w:pStyle w:val="2"/>
              <w:rPr>
                <w:rFonts w:hint="eastAsia"/>
                <w:color w:val="auto"/>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6578" w:type="dxa"/>
            <w:vAlign w:val="center"/>
          </w:tcPr>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kern w:val="0"/>
                <w:sz w:val="24"/>
                <w:szCs w:val="24"/>
                <w:highlight w:val="none"/>
                <w:lang w:bidi="en-US"/>
              </w:rPr>
            </w:pPr>
            <w:r>
              <w:rPr>
                <w:rFonts w:hint="eastAsia" w:ascii="宋体" w:hAnsi="宋体" w:eastAsia="宋体" w:cs="宋体"/>
                <w:b/>
                <w:bCs/>
                <w:color w:val="auto"/>
                <w:kern w:val="0"/>
                <w:sz w:val="24"/>
                <w:szCs w:val="24"/>
                <w:highlight w:val="none"/>
                <w:lang w:eastAsia="zh-CN" w:bidi="en-US"/>
              </w:rPr>
              <w:t>服务经验</w:t>
            </w:r>
            <w:r>
              <w:rPr>
                <w:rFonts w:hint="eastAsia" w:ascii="宋体" w:hAnsi="宋体" w:eastAsia="宋体" w:cs="宋体"/>
                <w:b/>
                <w:bCs/>
                <w:color w:val="auto"/>
                <w:kern w:val="0"/>
                <w:sz w:val="24"/>
                <w:szCs w:val="24"/>
                <w:highlight w:val="none"/>
                <w:lang w:bidi="en-US"/>
              </w:rPr>
              <w:t>（</w:t>
            </w:r>
            <w:r>
              <w:rPr>
                <w:rFonts w:hint="eastAsia" w:ascii="宋体" w:hAnsi="宋体" w:cs="宋体"/>
                <w:b/>
                <w:bCs/>
                <w:color w:val="auto"/>
                <w:kern w:val="0"/>
                <w:sz w:val="24"/>
                <w:szCs w:val="24"/>
                <w:highlight w:val="none"/>
                <w:lang w:val="en-US" w:eastAsia="zh-CN" w:bidi="en-US"/>
              </w:rPr>
              <w:t>5</w:t>
            </w:r>
            <w:r>
              <w:rPr>
                <w:rFonts w:hint="eastAsia" w:ascii="宋体" w:hAnsi="宋体" w:eastAsia="宋体" w:cs="宋体"/>
                <w:b/>
                <w:bCs/>
                <w:color w:val="auto"/>
                <w:kern w:val="0"/>
                <w:sz w:val="24"/>
                <w:szCs w:val="24"/>
                <w:highlight w:val="none"/>
                <w:lang w:bidi="en-US"/>
              </w:rPr>
              <w:t>分）</w:t>
            </w:r>
          </w:p>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kern w:val="0"/>
                <w:sz w:val="24"/>
                <w:szCs w:val="24"/>
                <w:highlight w:val="none"/>
                <w:lang w:bidi="en-US"/>
              </w:rPr>
            </w:pPr>
            <w:r>
              <w:rPr>
                <w:rFonts w:hint="eastAsia" w:ascii="宋体" w:hAnsi="宋体" w:eastAsia="宋体" w:cs="宋体"/>
                <w:color w:val="auto"/>
                <w:kern w:val="0"/>
                <w:sz w:val="24"/>
                <w:szCs w:val="24"/>
                <w:highlight w:val="none"/>
                <w:lang w:bidi="en-US"/>
              </w:rPr>
              <w:t>投标</w:t>
            </w:r>
            <w:r>
              <w:rPr>
                <w:rFonts w:hint="eastAsia" w:ascii="宋体" w:hAnsi="宋体" w:eastAsia="宋体" w:cs="宋体"/>
                <w:color w:val="auto"/>
                <w:kern w:val="0"/>
                <w:sz w:val="24"/>
                <w:szCs w:val="24"/>
                <w:highlight w:val="none"/>
                <w:lang w:eastAsia="zh-CN" w:bidi="en-US"/>
              </w:rPr>
              <w:t>近三年</w:t>
            </w:r>
            <w:r>
              <w:rPr>
                <w:rFonts w:hint="eastAsia" w:ascii="宋体" w:hAnsi="宋体" w:cs="宋体"/>
                <w:color w:val="auto"/>
                <w:kern w:val="0"/>
                <w:sz w:val="24"/>
                <w:szCs w:val="24"/>
                <w:highlight w:val="none"/>
                <w:lang w:eastAsia="zh-CN" w:bidi="en-US"/>
              </w:rPr>
              <w:t>（</w:t>
            </w:r>
            <w:r>
              <w:rPr>
                <w:rFonts w:hint="eastAsia" w:ascii="宋体" w:hAnsi="宋体" w:cs="宋体"/>
                <w:color w:val="auto"/>
                <w:kern w:val="0"/>
                <w:sz w:val="24"/>
                <w:szCs w:val="24"/>
                <w:highlight w:val="none"/>
                <w:lang w:val="en-US" w:eastAsia="zh-CN" w:bidi="en-US"/>
              </w:rPr>
              <w:t>2022年1月1日至今</w:t>
            </w:r>
            <w:r>
              <w:rPr>
                <w:rFonts w:hint="eastAsia" w:ascii="宋体" w:hAnsi="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履约完成过一项食品配送</w:t>
            </w:r>
            <w:r>
              <w:rPr>
                <w:rFonts w:hint="eastAsia" w:ascii="宋体" w:hAnsi="宋体" w:cs="宋体"/>
                <w:color w:val="auto"/>
                <w:kern w:val="0"/>
                <w:sz w:val="24"/>
                <w:szCs w:val="24"/>
                <w:highlight w:val="none"/>
                <w:lang w:val="en-US" w:eastAsia="zh-CN" w:bidi="en-US"/>
              </w:rPr>
              <w:t>或食品销售</w:t>
            </w:r>
            <w:r>
              <w:rPr>
                <w:rFonts w:hint="eastAsia" w:ascii="宋体" w:hAnsi="宋体" w:eastAsia="宋体" w:cs="宋体"/>
                <w:color w:val="auto"/>
                <w:kern w:val="0"/>
                <w:sz w:val="24"/>
                <w:szCs w:val="24"/>
                <w:highlight w:val="none"/>
                <w:lang w:bidi="en-US"/>
              </w:rPr>
              <w:t>，每提供一项</w:t>
            </w:r>
            <w:r>
              <w:rPr>
                <w:rFonts w:hint="eastAsia" w:ascii="宋体" w:hAnsi="宋体" w:eastAsia="宋体" w:cs="宋体"/>
                <w:color w:val="auto"/>
                <w:kern w:val="0"/>
                <w:sz w:val="24"/>
                <w:szCs w:val="24"/>
                <w:highlight w:val="none"/>
                <w:lang w:eastAsia="zh-CN" w:bidi="en-US"/>
              </w:rPr>
              <w:t>经验</w:t>
            </w:r>
            <w:r>
              <w:rPr>
                <w:rFonts w:hint="eastAsia" w:ascii="宋体" w:hAnsi="宋体" w:eastAsia="宋体" w:cs="宋体"/>
                <w:color w:val="auto"/>
                <w:kern w:val="0"/>
                <w:sz w:val="24"/>
                <w:szCs w:val="24"/>
                <w:highlight w:val="none"/>
                <w:lang w:bidi="en-US"/>
              </w:rPr>
              <w:t>得</w:t>
            </w:r>
            <w:r>
              <w:rPr>
                <w:rFonts w:hint="eastAsia" w:ascii="宋体" w:hAnsi="宋体" w:cs="宋体"/>
                <w:color w:val="auto"/>
                <w:kern w:val="0"/>
                <w:sz w:val="24"/>
                <w:szCs w:val="24"/>
                <w:highlight w:val="none"/>
                <w:lang w:val="en-US" w:eastAsia="zh-CN" w:bidi="en-US"/>
              </w:rPr>
              <w:t>2.5</w:t>
            </w:r>
            <w:r>
              <w:rPr>
                <w:rFonts w:hint="eastAsia" w:ascii="宋体" w:hAnsi="宋体" w:eastAsia="宋体" w:cs="宋体"/>
                <w:color w:val="auto"/>
                <w:kern w:val="0"/>
                <w:sz w:val="24"/>
                <w:szCs w:val="24"/>
                <w:highlight w:val="none"/>
                <w:lang w:bidi="en-US"/>
              </w:rPr>
              <w:t>分，最高</w:t>
            </w:r>
            <w:r>
              <w:rPr>
                <w:rFonts w:hint="eastAsia" w:ascii="宋体" w:hAnsi="宋体" w:cs="宋体"/>
                <w:color w:val="auto"/>
                <w:kern w:val="0"/>
                <w:sz w:val="24"/>
                <w:szCs w:val="24"/>
                <w:highlight w:val="none"/>
                <w:lang w:val="en-US" w:eastAsia="zh-CN" w:bidi="en-US"/>
              </w:rPr>
              <w:t>5</w:t>
            </w:r>
            <w:r>
              <w:rPr>
                <w:rFonts w:hint="eastAsia" w:ascii="宋体" w:hAnsi="宋体" w:eastAsia="宋体" w:cs="宋体"/>
                <w:color w:val="auto"/>
                <w:kern w:val="0"/>
                <w:sz w:val="24"/>
                <w:szCs w:val="24"/>
                <w:highlight w:val="none"/>
                <w:lang w:bidi="en-US"/>
              </w:rPr>
              <w:t>分；</w:t>
            </w:r>
          </w:p>
          <w:p>
            <w:pPr>
              <w:keepLines w:val="0"/>
              <w:pageBreakBefore w:val="0"/>
              <w:widowControl/>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shd w:val="clear" w:color="auto" w:fill="auto"/>
                <w:lang w:bidi="en-US"/>
              </w:rPr>
              <w:t>中标通知书</w:t>
            </w:r>
            <w:r>
              <w:rPr>
                <w:rFonts w:hint="eastAsia" w:ascii="宋体" w:hAnsi="宋体" w:eastAsia="宋体" w:cs="宋体"/>
                <w:color w:val="auto"/>
                <w:kern w:val="0"/>
                <w:sz w:val="24"/>
                <w:szCs w:val="24"/>
                <w:highlight w:val="none"/>
                <w:shd w:val="clear" w:color="auto" w:fill="auto"/>
                <w:lang w:val="en-US" w:eastAsia="zh-CN" w:bidi="en-US"/>
              </w:rPr>
              <w:t>或合同协议书</w:t>
            </w:r>
            <w:r>
              <w:rPr>
                <w:rFonts w:hint="eastAsia" w:ascii="宋体" w:hAnsi="宋体" w:eastAsia="宋体" w:cs="宋体"/>
                <w:color w:val="auto"/>
                <w:kern w:val="0"/>
                <w:sz w:val="24"/>
                <w:szCs w:val="24"/>
                <w:highlight w:val="none"/>
                <w:shd w:val="clear" w:color="auto" w:fill="auto"/>
                <w:lang w:eastAsia="zh-CN" w:bidi="en-US"/>
              </w:rPr>
              <w:t>或</w:t>
            </w:r>
            <w:r>
              <w:rPr>
                <w:rFonts w:hint="eastAsia" w:ascii="宋体" w:hAnsi="宋体" w:eastAsia="宋体" w:cs="宋体"/>
                <w:color w:val="auto"/>
                <w:kern w:val="0"/>
                <w:sz w:val="24"/>
                <w:szCs w:val="24"/>
                <w:highlight w:val="none"/>
                <w:shd w:val="clear" w:color="auto" w:fill="auto"/>
                <w:lang w:bidi="en-US"/>
              </w:rPr>
              <w:t>合同关键页（关键信</w:t>
            </w:r>
            <w:r>
              <w:rPr>
                <w:rFonts w:hint="eastAsia" w:ascii="宋体" w:hAnsi="宋体" w:eastAsia="宋体" w:cs="宋体"/>
                <w:color w:val="auto"/>
                <w:kern w:val="0"/>
                <w:sz w:val="24"/>
                <w:szCs w:val="24"/>
                <w:highlight w:val="none"/>
                <w:lang w:bidi="en-US"/>
              </w:rPr>
              <w:t>息包括但不仅限于合同的项目名称、合同金额、服务内容、合同服务的起止时间、签订日期等），如中标通知书、合同关键页均无明确的合同金额</w:t>
            </w:r>
            <w:r>
              <w:rPr>
                <w:rFonts w:hint="eastAsia" w:ascii="宋体" w:hAnsi="宋体" w:eastAsia="宋体" w:cs="宋体"/>
                <w:color w:val="auto"/>
                <w:kern w:val="0"/>
                <w:sz w:val="24"/>
                <w:szCs w:val="24"/>
                <w:highlight w:val="none"/>
                <w:lang w:eastAsia="zh-CN" w:bidi="en-US"/>
              </w:rPr>
              <w:t>（或</w:t>
            </w:r>
            <w:r>
              <w:rPr>
                <w:rFonts w:hint="eastAsia" w:ascii="宋体" w:hAnsi="宋体" w:eastAsia="宋体" w:cs="宋体"/>
                <w:color w:val="auto"/>
                <w:kern w:val="0"/>
                <w:sz w:val="24"/>
                <w:szCs w:val="24"/>
                <w:highlight w:val="none"/>
                <w:lang w:bidi="en-US"/>
              </w:rPr>
              <w:t>预算金额</w:t>
            </w:r>
            <w:r>
              <w:rPr>
                <w:rFonts w:hint="eastAsia" w:ascii="宋体" w:hAnsi="宋体" w:eastAsia="宋体" w:cs="宋体"/>
                <w:color w:val="auto"/>
                <w:kern w:val="0"/>
                <w:sz w:val="24"/>
                <w:szCs w:val="24"/>
                <w:highlight w:val="none"/>
                <w:lang w:eastAsia="zh-CN" w:bidi="en-US"/>
              </w:rPr>
              <w:t>）</w:t>
            </w:r>
            <w:r>
              <w:rPr>
                <w:rFonts w:hint="eastAsia" w:ascii="宋体" w:hAnsi="宋体" w:eastAsia="宋体" w:cs="宋体"/>
                <w:color w:val="auto"/>
                <w:kern w:val="0"/>
                <w:sz w:val="24"/>
                <w:szCs w:val="24"/>
                <w:highlight w:val="none"/>
                <w:lang w:bidi="en-US"/>
              </w:rPr>
              <w:t>，则另须提供由用户单位盖章的证明文件：包括项目名称、</w:t>
            </w:r>
            <w:r>
              <w:rPr>
                <w:rFonts w:hint="eastAsia" w:ascii="宋体" w:hAnsi="宋体" w:eastAsia="宋体" w:cs="宋体"/>
                <w:color w:val="auto"/>
                <w:kern w:val="0"/>
                <w:sz w:val="24"/>
                <w:szCs w:val="24"/>
                <w:highlight w:val="none"/>
                <w:lang w:eastAsia="zh-CN" w:bidi="en-US"/>
              </w:rPr>
              <w:t>投标人</w:t>
            </w:r>
            <w:r>
              <w:rPr>
                <w:rFonts w:hint="eastAsia" w:ascii="宋体" w:hAnsi="宋体" w:eastAsia="宋体" w:cs="宋体"/>
                <w:color w:val="auto"/>
                <w:kern w:val="0"/>
                <w:sz w:val="24"/>
                <w:szCs w:val="24"/>
                <w:highlight w:val="none"/>
                <w:lang w:bidi="en-US"/>
              </w:rPr>
              <w:t>名称</w:t>
            </w:r>
            <w:r>
              <w:rPr>
                <w:rFonts w:hint="eastAsia" w:ascii="宋体" w:hAnsi="宋体" w:eastAsia="宋体" w:cs="宋体"/>
                <w:color w:val="auto"/>
                <w:kern w:val="0"/>
                <w:sz w:val="24"/>
                <w:szCs w:val="24"/>
                <w:highlight w:val="none"/>
                <w:lang w:eastAsia="zh-CN" w:bidi="en-US"/>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restart"/>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）技术部分得分F2（满分</w:t>
            </w:r>
            <w:r>
              <w:rPr>
                <w:rFonts w:hint="eastAsia" w:ascii="宋体" w:hAnsi="宋体" w:cs="宋体"/>
                <w:color w:val="auto"/>
                <w:sz w:val="24"/>
                <w:szCs w:val="24"/>
                <w:highlight w:val="none"/>
                <w:lang w:val="en-US" w:eastAsia="zh-CN"/>
              </w:rPr>
              <w:t>70</w:t>
            </w:r>
            <w:r>
              <w:rPr>
                <w:rFonts w:hint="eastAsia" w:ascii="宋体" w:hAnsi="宋体" w:eastAsia="宋体" w:cs="宋体"/>
                <w:color w:val="auto"/>
                <w:sz w:val="24"/>
                <w:szCs w:val="24"/>
                <w:highlight w:val="none"/>
              </w:rPr>
              <w:t>分）</w:t>
            </w:r>
          </w:p>
        </w:tc>
        <w:tc>
          <w:tcPr>
            <w:tcW w:w="6578" w:type="dxa"/>
          </w:tcPr>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总体</w:t>
            </w:r>
            <w:r>
              <w:rPr>
                <w:rFonts w:hint="eastAsia" w:ascii="宋体" w:hAnsi="宋体" w:eastAsia="宋体" w:cs="宋体"/>
                <w:b/>
                <w:bCs/>
                <w:color w:val="auto"/>
                <w:sz w:val="24"/>
                <w:szCs w:val="24"/>
                <w:highlight w:val="none"/>
                <w:lang w:bidi="en-US"/>
              </w:rPr>
              <w:t>服务方案（</w:t>
            </w:r>
            <w:r>
              <w:rPr>
                <w:rFonts w:hint="eastAsia" w:ascii="宋体" w:hAnsi="宋体" w:cs="宋体"/>
                <w:b/>
                <w:bCs/>
                <w:color w:val="auto"/>
                <w:sz w:val="24"/>
                <w:szCs w:val="24"/>
                <w:highlight w:val="none"/>
                <w:lang w:val="en-US" w:eastAsia="zh-CN" w:bidi="en-US"/>
              </w:rPr>
              <w:t>30</w:t>
            </w:r>
            <w:r>
              <w:rPr>
                <w:rFonts w:hint="eastAsia" w:ascii="宋体" w:hAnsi="宋体" w:eastAsia="宋体" w:cs="宋体"/>
                <w:b/>
                <w:bCs/>
                <w:color w:val="auto"/>
                <w:sz w:val="24"/>
                <w:szCs w:val="24"/>
                <w:highlight w:val="none"/>
                <w:lang w:bidi="en-US"/>
              </w:rPr>
              <w:t>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提供本项目配送服务</w:t>
            </w:r>
            <w:r>
              <w:rPr>
                <w:rFonts w:hint="eastAsia" w:ascii="宋体" w:hAnsi="宋体" w:cs="宋体"/>
                <w:color w:val="auto"/>
                <w:sz w:val="24"/>
                <w:szCs w:val="24"/>
                <w:highlight w:val="none"/>
                <w:lang w:eastAsia="zh-CN"/>
              </w:rPr>
              <w:t>方案</w:t>
            </w:r>
            <w:r>
              <w:rPr>
                <w:rFonts w:hint="eastAsia" w:ascii="宋体" w:hAnsi="宋体" w:cs="宋体"/>
                <w:color w:val="auto"/>
                <w:sz w:val="24"/>
                <w:szCs w:val="24"/>
                <w:highlight w:val="none"/>
                <w:lang w:val="en-US" w:eastAsia="zh-CN"/>
              </w:rPr>
              <w:t>至少包含</w:t>
            </w:r>
            <w:r>
              <w:rPr>
                <w:rFonts w:hint="eastAsia" w:ascii="宋体" w:hAnsi="宋体" w:cs="宋体"/>
                <w:color w:val="auto"/>
                <w:sz w:val="24"/>
                <w:szCs w:val="24"/>
                <w:highlight w:val="none"/>
                <w:lang w:eastAsia="zh-CN"/>
              </w:rPr>
              <w:t>：</w:t>
            </w:r>
            <w:r>
              <w:rPr>
                <w:rFonts w:hint="eastAsia" w:ascii="Calibri" w:hAnsi="Calibri" w:cs="Calibri"/>
                <w:color w:val="auto"/>
                <w:sz w:val="24"/>
                <w:szCs w:val="24"/>
                <w:highlight w:val="none"/>
                <w:lang w:eastAsia="zh-CN"/>
              </w:rPr>
              <w:t>（</w:t>
            </w:r>
            <w:r>
              <w:rPr>
                <w:rFonts w:hint="eastAsia" w:ascii="Calibri" w:hAnsi="Calibri" w:cs="Calibri"/>
                <w:color w:val="auto"/>
                <w:sz w:val="24"/>
                <w:szCs w:val="24"/>
                <w:highlight w:val="none"/>
                <w:lang w:val="en-US" w:eastAsia="zh-CN"/>
              </w:rPr>
              <w:t>1</w:t>
            </w:r>
            <w:r>
              <w:rPr>
                <w:rFonts w:hint="eastAsia" w:ascii="Calibri" w:hAnsi="Calibri" w:cs="Calibri"/>
                <w:color w:val="auto"/>
                <w:sz w:val="24"/>
                <w:szCs w:val="24"/>
                <w:highlight w:val="none"/>
                <w:lang w:eastAsia="zh-CN"/>
              </w:rPr>
              <w:t>）</w:t>
            </w:r>
            <w:r>
              <w:rPr>
                <w:rFonts w:hint="eastAsia" w:ascii="宋体" w:hAnsi="宋体" w:eastAsia="宋体" w:cs="宋体"/>
                <w:color w:val="auto"/>
                <w:sz w:val="24"/>
                <w:szCs w:val="24"/>
                <w:highlight w:val="none"/>
              </w:rPr>
              <w:t>采购</w:t>
            </w:r>
            <w:r>
              <w:rPr>
                <w:rFonts w:hint="eastAsia" w:ascii="宋体" w:hAnsi="宋体" w:cs="宋体"/>
                <w:color w:val="auto"/>
                <w:sz w:val="24"/>
                <w:szCs w:val="24"/>
                <w:highlight w:val="none"/>
                <w:lang w:val="en-US" w:eastAsia="zh-CN"/>
              </w:rPr>
              <w:t>方案</w:t>
            </w:r>
            <w:r>
              <w:rPr>
                <w:rFonts w:hint="eastAsia" w:ascii="宋体" w:hAnsi="宋体" w:cs="宋体"/>
                <w:color w:val="auto"/>
                <w:sz w:val="24"/>
                <w:szCs w:val="24"/>
                <w:highlight w:val="none"/>
                <w:lang w:eastAsia="zh-CN"/>
              </w:rPr>
              <w:t>；</w:t>
            </w:r>
            <w:r>
              <w:rPr>
                <w:rFonts w:hint="eastAsia" w:ascii="Calibri" w:hAnsi="Calibri" w:cs="Calibri"/>
                <w:color w:val="auto"/>
                <w:sz w:val="24"/>
                <w:szCs w:val="24"/>
                <w:highlight w:val="none"/>
                <w:lang w:eastAsia="zh-CN"/>
              </w:rPr>
              <w:t>（</w:t>
            </w:r>
            <w:r>
              <w:rPr>
                <w:rFonts w:hint="eastAsia" w:ascii="Calibri" w:hAnsi="Calibri" w:cs="Calibri"/>
                <w:color w:val="auto"/>
                <w:sz w:val="24"/>
                <w:szCs w:val="24"/>
                <w:highlight w:val="none"/>
                <w:lang w:val="en-US" w:eastAsia="zh-CN"/>
              </w:rPr>
              <w:t>2</w:t>
            </w:r>
            <w:r>
              <w:rPr>
                <w:rFonts w:hint="eastAsia" w:ascii="Calibri" w:hAnsi="Calibri" w:cs="Calibri"/>
                <w:color w:val="auto"/>
                <w:sz w:val="24"/>
                <w:szCs w:val="24"/>
                <w:highlight w:val="none"/>
                <w:lang w:eastAsia="zh-CN"/>
              </w:rPr>
              <w:t>）</w:t>
            </w:r>
            <w:r>
              <w:rPr>
                <w:rFonts w:hint="eastAsia" w:ascii="宋体" w:hAnsi="宋体" w:cs="宋体"/>
                <w:color w:val="auto"/>
                <w:sz w:val="24"/>
                <w:szCs w:val="24"/>
                <w:highlight w:val="none"/>
                <w:lang w:val="en-US" w:eastAsia="zh-CN"/>
              </w:rPr>
              <w:t>供应方案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加工方案；（4）仓储条件及管理方案；</w:t>
            </w:r>
            <w:r>
              <w:rPr>
                <w:rFonts w:hint="eastAsia" w:ascii="Calibri" w:hAnsi="Calibri" w:cs="Calibri"/>
                <w:color w:val="auto"/>
                <w:sz w:val="24"/>
                <w:szCs w:val="24"/>
                <w:highlight w:val="none"/>
                <w:lang w:eastAsia="zh-CN"/>
              </w:rPr>
              <w:t>（</w:t>
            </w:r>
            <w:r>
              <w:rPr>
                <w:rFonts w:hint="eastAsia" w:ascii="Calibri" w:hAnsi="Calibri" w:cs="Calibri"/>
                <w:color w:val="auto"/>
                <w:sz w:val="24"/>
                <w:szCs w:val="24"/>
                <w:highlight w:val="none"/>
                <w:lang w:val="en-US" w:eastAsia="zh-CN"/>
              </w:rPr>
              <w:t>5</w:t>
            </w:r>
            <w:r>
              <w:rPr>
                <w:rFonts w:hint="eastAsia" w:ascii="Calibri" w:hAnsi="Calibri" w:cs="Calibri"/>
                <w:color w:val="auto"/>
                <w:sz w:val="24"/>
                <w:szCs w:val="24"/>
                <w:highlight w:val="none"/>
                <w:lang w:eastAsia="zh-CN"/>
              </w:rPr>
              <w:t>）</w:t>
            </w:r>
            <w:r>
              <w:rPr>
                <w:rFonts w:hint="eastAsia" w:ascii="宋体" w:hAnsi="宋体" w:cs="宋体"/>
                <w:color w:val="auto"/>
                <w:sz w:val="24"/>
                <w:szCs w:val="24"/>
                <w:highlight w:val="none"/>
                <w:lang w:val="en-US" w:eastAsia="zh-CN"/>
              </w:rPr>
              <w:t>人员配置方案；</w:t>
            </w:r>
            <w:r>
              <w:rPr>
                <w:rFonts w:hint="eastAsia" w:ascii="微软雅黑" w:hAnsi="微软雅黑" w:eastAsia="微软雅黑" w:cs="微软雅黑"/>
                <w:color w:val="auto"/>
                <w:sz w:val="24"/>
                <w:szCs w:val="24"/>
                <w:highlight w:val="none"/>
                <w:lang w:val="en-US" w:eastAsia="zh-CN"/>
              </w:rPr>
              <w:t>（6）</w:t>
            </w:r>
            <w:r>
              <w:rPr>
                <w:rFonts w:hint="eastAsia" w:ascii="宋体" w:hAnsi="宋体" w:cs="宋体"/>
                <w:color w:val="auto"/>
                <w:sz w:val="24"/>
                <w:szCs w:val="24"/>
                <w:highlight w:val="none"/>
                <w:lang w:val="en-US" w:eastAsia="zh-CN"/>
              </w:rPr>
              <w:t>配送车辆、</w:t>
            </w:r>
            <w:r>
              <w:rPr>
                <w:rFonts w:hint="eastAsia" w:ascii="宋体" w:hAnsi="宋体" w:eastAsia="宋体" w:cs="宋体"/>
                <w:color w:val="auto"/>
                <w:sz w:val="24"/>
                <w:szCs w:val="24"/>
                <w:highlight w:val="none"/>
              </w:rPr>
              <w:t>配送线路</w:t>
            </w:r>
            <w:r>
              <w:rPr>
                <w:rFonts w:hint="eastAsia" w:ascii="宋体" w:hAnsi="宋体" w:cs="宋体"/>
                <w:color w:val="auto"/>
                <w:sz w:val="24"/>
                <w:szCs w:val="24"/>
                <w:highlight w:val="none"/>
                <w:lang w:val="en-US" w:eastAsia="zh-CN"/>
              </w:rPr>
              <w:t>方案</w:t>
            </w:r>
            <w:r>
              <w:rPr>
                <w:rFonts w:hint="eastAsia" w:ascii="宋体" w:hAnsi="宋体" w:eastAsia="宋体" w:cs="宋体"/>
                <w:color w:val="auto"/>
                <w:sz w:val="24"/>
                <w:szCs w:val="24"/>
                <w:highlight w:val="none"/>
              </w:rPr>
              <w:t>。</w:t>
            </w:r>
          </w:p>
          <w:p>
            <w:pPr>
              <w:keepLines w:val="0"/>
              <w:pageBreakBefore w:val="0"/>
              <w:numPr>
                <w:ilvl w:val="-1"/>
                <w:numId w:val="0"/>
              </w:numPr>
              <w:kinsoku/>
              <w:wordWrap/>
              <w:overflowPunct w:val="0"/>
              <w:topLinePunct w:val="0"/>
              <w:autoSpaceDE/>
              <w:autoSpaceDN/>
              <w:bidi w:val="0"/>
              <w:snapToGrid/>
              <w:spacing w:line="360" w:lineRule="auto"/>
              <w:ind w:left="0" w:leftChars="0" w:right="0" w:rightChars="0" w:firstLine="0" w:firstLineChars="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1、内容完整、阐述详细、合理、操作性及针对性强的，每项得5分；</w:t>
            </w:r>
          </w:p>
          <w:p>
            <w:pPr>
              <w:keepLines w:val="0"/>
              <w:pageBreakBefore w:val="0"/>
              <w:numPr>
                <w:ilvl w:val="-1"/>
                <w:numId w:val="0"/>
              </w:numPr>
              <w:kinsoku/>
              <w:wordWrap/>
              <w:overflowPunct w:val="0"/>
              <w:topLinePunct w:val="0"/>
              <w:autoSpaceDE/>
              <w:autoSpaceDN/>
              <w:bidi w:val="0"/>
              <w:snapToGrid/>
              <w:spacing w:line="360" w:lineRule="auto"/>
              <w:ind w:left="0" w:leftChars="0" w:right="0" w:rightChars="0" w:firstLine="0" w:firstLineChars="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2、每有一项描述不完整，阐述不明确、不合理、操作性及针对性不强的扣2.5分；</w:t>
            </w:r>
          </w:p>
          <w:p>
            <w:pPr>
              <w:keepLines w:val="0"/>
              <w:pageBreakBefore w:val="0"/>
              <w:numPr>
                <w:ilvl w:val="-1"/>
                <w:numId w:val="0"/>
              </w:numPr>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3、每缺一项扣5分</w:t>
            </w:r>
            <w:r>
              <w:rPr>
                <w:rFonts w:hint="eastAsia" w:ascii="宋体" w:hAnsi="宋体" w:eastAsia="宋体" w:cs="宋体"/>
                <w:color w:val="auto"/>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6578" w:type="dxa"/>
          </w:tcPr>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
                <w:color w:val="auto"/>
                <w:sz w:val="24"/>
                <w:szCs w:val="24"/>
                <w:highlight w:val="none"/>
                <w:lang w:bidi="en-US"/>
              </w:rPr>
            </w:pPr>
            <w:r>
              <w:rPr>
                <w:rFonts w:hint="eastAsia" w:ascii="宋体" w:hAnsi="宋体" w:eastAsia="宋体" w:cs="宋体"/>
                <w:b/>
                <w:color w:val="auto"/>
                <w:sz w:val="24"/>
                <w:szCs w:val="24"/>
                <w:highlight w:val="none"/>
                <w:lang w:bidi="en-US"/>
              </w:rPr>
              <w:t>食品质量、安全保证方案（</w:t>
            </w:r>
            <w:r>
              <w:rPr>
                <w:rFonts w:hint="eastAsia" w:ascii="宋体" w:hAnsi="宋体" w:cs="宋体"/>
                <w:b/>
                <w:color w:val="auto"/>
                <w:sz w:val="24"/>
                <w:szCs w:val="24"/>
                <w:highlight w:val="none"/>
                <w:lang w:val="en-US" w:eastAsia="zh-CN" w:bidi="en-US"/>
              </w:rPr>
              <w:t>15</w:t>
            </w:r>
            <w:r>
              <w:rPr>
                <w:rFonts w:hint="eastAsia" w:ascii="宋体" w:hAnsi="宋体" w:eastAsia="宋体" w:cs="宋体"/>
                <w:b/>
                <w:color w:val="auto"/>
                <w:sz w:val="24"/>
                <w:szCs w:val="24"/>
                <w:highlight w:val="none"/>
                <w:lang w:bidi="en-US"/>
              </w:rPr>
              <w:t>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投标人</w:t>
            </w:r>
            <w:r>
              <w:rPr>
                <w:rFonts w:hint="eastAsia" w:ascii="宋体" w:hAnsi="宋体" w:cs="宋体"/>
                <w:bCs/>
                <w:color w:val="auto"/>
                <w:sz w:val="24"/>
                <w:szCs w:val="24"/>
                <w:highlight w:val="none"/>
                <w:lang w:val="en-US" w:eastAsia="zh-CN"/>
              </w:rPr>
              <w:t>提供的食品质量、安全保证方案至少包含：（1）食品质量、安全承诺；（2）食品质量、安全违约责任承诺；（3）食品质量、安全保证措施。</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1、内容完整、阐述详细、合理、操作性及针对性强的，每项得</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2、每有一项描述不完整，阐述不明确、不合理、操作性及针对性不强的扣</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.5分；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3、每缺一项扣</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6578" w:type="dxa"/>
          </w:tcPr>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
                <w:color w:val="auto"/>
                <w:sz w:val="24"/>
                <w:szCs w:val="24"/>
                <w:highlight w:val="none"/>
                <w:lang w:bidi="en-US"/>
              </w:rPr>
            </w:pPr>
            <w:r>
              <w:rPr>
                <w:rFonts w:hint="eastAsia" w:ascii="宋体" w:hAnsi="宋体" w:eastAsia="宋体" w:cs="宋体"/>
                <w:b/>
                <w:color w:val="auto"/>
                <w:sz w:val="24"/>
                <w:szCs w:val="24"/>
                <w:highlight w:val="none"/>
                <w:lang w:bidi="en-US"/>
              </w:rPr>
              <w:t>应急处置方案（</w:t>
            </w:r>
            <w:r>
              <w:rPr>
                <w:rFonts w:hint="eastAsia" w:ascii="宋体" w:hAnsi="宋体" w:cs="宋体"/>
                <w:b/>
                <w:color w:val="auto"/>
                <w:sz w:val="24"/>
                <w:szCs w:val="24"/>
                <w:highlight w:val="none"/>
                <w:lang w:val="en-US" w:eastAsia="zh-CN" w:bidi="en-US"/>
              </w:rPr>
              <w:t>10</w:t>
            </w:r>
            <w:r>
              <w:rPr>
                <w:rFonts w:hint="eastAsia" w:ascii="宋体" w:hAnsi="宋体" w:eastAsia="宋体" w:cs="宋体"/>
                <w:b/>
                <w:color w:val="auto"/>
                <w:sz w:val="24"/>
                <w:szCs w:val="24"/>
                <w:highlight w:val="none"/>
                <w:lang w:bidi="en-US"/>
              </w:rPr>
              <w:t>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cs="宋体"/>
                <w:bCs/>
                <w:color w:val="auto"/>
                <w:sz w:val="24"/>
                <w:szCs w:val="24"/>
                <w:highlight w:val="none"/>
                <w:lang w:val="en-US" w:eastAsia="zh-CN" w:bidi="en-US"/>
              </w:rPr>
              <w:t>投标人提供的应急处置方案至少包含：（1）</w:t>
            </w:r>
            <w:r>
              <w:rPr>
                <w:rFonts w:hint="eastAsia" w:ascii="宋体" w:hAnsi="宋体" w:eastAsia="宋体" w:cs="宋体"/>
                <w:bCs/>
                <w:color w:val="auto"/>
                <w:sz w:val="24"/>
                <w:szCs w:val="24"/>
                <w:highlight w:val="none"/>
                <w:lang w:bidi="en-US"/>
              </w:rPr>
              <w:t>物流配送应急预案</w:t>
            </w:r>
            <w:r>
              <w:rPr>
                <w:rFonts w:hint="eastAsia" w:ascii="宋体" w:hAnsi="宋体" w:cs="宋体"/>
                <w:bCs/>
                <w:color w:val="auto"/>
                <w:sz w:val="24"/>
                <w:szCs w:val="24"/>
                <w:highlight w:val="none"/>
                <w:lang w:eastAsia="zh-CN" w:bidi="en-US"/>
              </w:rPr>
              <w:t>；（</w:t>
            </w:r>
            <w:r>
              <w:rPr>
                <w:rFonts w:hint="eastAsia" w:ascii="宋体" w:hAnsi="宋体" w:cs="宋体"/>
                <w:bCs/>
                <w:color w:val="auto"/>
                <w:sz w:val="24"/>
                <w:szCs w:val="24"/>
                <w:highlight w:val="none"/>
                <w:lang w:val="en-US" w:eastAsia="zh-CN" w:bidi="en-US"/>
              </w:rPr>
              <w:t>2</w:t>
            </w:r>
            <w:r>
              <w:rPr>
                <w:rFonts w:hint="eastAsia" w:ascii="宋体" w:hAnsi="宋体" w:cs="宋体"/>
                <w:bCs/>
                <w:color w:val="auto"/>
                <w:sz w:val="24"/>
                <w:szCs w:val="24"/>
                <w:highlight w:val="none"/>
                <w:lang w:eastAsia="zh-CN" w:bidi="en-US"/>
              </w:rPr>
              <w:t>）</w:t>
            </w:r>
            <w:r>
              <w:rPr>
                <w:rFonts w:hint="eastAsia" w:ascii="宋体" w:hAnsi="宋体" w:eastAsia="宋体" w:cs="宋体"/>
                <w:bCs/>
                <w:color w:val="auto"/>
                <w:sz w:val="24"/>
                <w:szCs w:val="24"/>
                <w:highlight w:val="none"/>
                <w:lang w:bidi="en-US"/>
              </w:rPr>
              <w:t>食品安全应急预案</w:t>
            </w:r>
            <w:r>
              <w:rPr>
                <w:rFonts w:hint="eastAsia" w:ascii="宋体" w:hAnsi="宋体" w:cs="宋体"/>
                <w:bCs/>
                <w:color w:val="auto"/>
                <w:sz w:val="24"/>
                <w:szCs w:val="24"/>
                <w:highlight w:val="none"/>
                <w:lang w:eastAsia="zh-CN" w:bidi="en-US"/>
              </w:rPr>
              <w:t>；（</w:t>
            </w:r>
            <w:r>
              <w:rPr>
                <w:rFonts w:hint="eastAsia" w:ascii="宋体" w:hAnsi="宋体" w:cs="宋体"/>
                <w:bCs/>
                <w:color w:val="auto"/>
                <w:sz w:val="24"/>
                <w:szCs w:val="24"/>
                <w:highlight w:val="none"/>
                <w:lang w:val="en-US" w:eastAsia="zh-CN" w:bidi="en-US"/>
              </w:rPr>
              <w:t>3</w:t>
            </w:r>
            <w:r>
              <w:rPr>
                <w:rFonts w:hint="eastAsia" w:ascii="宋体" w:hAnsi="宋体" w:cs="宋体"/>
                <w:bCs/>
                <w:color w:val="auto"/>
                <w:sz w:val="24"/>
                <w:szCs w:val="24"/>
                <w:highlight w:val="none"/>
                <w:lang w:eastAsia="zh-CN" w:bidi="en-US"/>
              </w:rPr>
              <w:t>）临时补货变更供货配送的应急预案；（</w:t>
            </w:r>
            <w:r>
              <w:rPr>
                <w:rFonts w:hint="eastAsia" w:ascii="宋体" w:hAnsi="宋体" w:cs="宋体"/>
                <w:bCs/>
                <w:color w:val="auto"/>
                <w:sz w:val="24"/>
                <w:szCs w:val="24"/>
                <w:highlight w:val="none"/>
                <w:lang w:val="en-US" w:eastAsia="zh-CN" w:bidi="en-US"/>
              </w:rPr>
              <w:t>4</w:t>
            </w:r>
            <w:r>
              <w:rPr>
                <w:rFonts w:hint="eastAsia" w:ascii="宋体" w:hAnsi="宋体" w:cs="宋体"/>
                <w:bCs/>
                <w:color w:val="auto"/>
                <w:sz w:val="24"/>
                <w:szCs w:val="24"/>
                <w:highlight w:val="none"/>
                <w:lang w:eastAsia="zh-CN" w:bidi="en-US"/>
              </w:rPr>
              <w:t>）应急响应保障措施；</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1、内容完整、阐述详细、合理、操作性及针对性强的，每项得</w:t>
            </w:r>
            <w:r>
              <w:rPr>
                <w:rFonts w:hint="eastAsia" w:ascii="宋体" w:hAnsi="宋体" w:cs="宋体"/>
                <w:bCs/>
                <w:color w:val="auto"/>
                <w:sz w:val="24"/>
                <w:szCs w:val="24"/>
                <w:highlight w:val="none"/>
                <w:lang w:val="en-US" w:eastAsia="zh-CN" w:bidi="en-US"/>
              </w:rPr>
              <w:t>2.5</w:t>
            </w:r>
            <w:r>
              <w:rPr>
                <w:rFonts w:hint="eastAsia" w:ascii="宋体" w:hAnsi="宋体" w:eastAsia="宋体" w:cs="宋体"/>
                <w:bCs/>
                <w:color w:val="auto"/>
                <w:sz w:val="24"/>
                <w:szCs w:val="24"/>
                <w:highlight w:val="none"/>
                <w:lang w:bidi="en-US"/>
              </w:rPr>
              <w:t>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2、每有一项描述不完整，阐述不明确、不合理、操作性及针对性不强的扣1.5分；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3、每缺一项扣</w:t>
            </w:r>
            <w:r>
              <w:rPr>
                <w:rFonts w:hint="eastAsia" w:ascii="宋体" w:hAnsi="宋体" w:cs="宋体"/>
                <w:bCs/>
                <w:color w:val="auto"/>
                <w:sz w:val="24"/>
                <w:szCs w:val="24"/>
                <w:highlight w:val="none"/>
                <w:lang w:val="en-US" w:eastAsia="zh-CN" w:bidi="en-US"/>
              </w:rPr>
              <w:t>2.5</w:t>
            </w:r>
            <w:r>
              <w:rPr>
                <w:rFonts w:hint="eastAsia" w:ascii="宋体" w:hAnsi="宋体" w:eastAsia="宋体" w:cs="宋体"/>
                <w:bCs/>
                <w:color w:val="auto"/>
                <w:sz w:val="24"/>
                <w:szCs w:val="24"/>
                <w:highlight w:val="none"/>
                <w:lang w:bidi="en-US"/>
              </w:rPr>
              <w:t>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7" w:hRule="atLeast"/>
          <w:jc w:val="center"/>
        </w:trPr>
        <w:tc>
          <w:tcPr>
            <w:tcW w:w="535"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712"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rPr>
            </w:pPr>
          </w:p>
        </w:tc>
        <w:tc>
          <w:tcPr>
            <w:tcW w:w="1793" w:type="dxa"/>
            <w:vMerge w:val="continue"/>
            <w:vAlign w:val="center"/>
          </w:tcPr>
          <w:p>
            <w:pPr>
              <w:keepLines w:val="0"/>
              <w:pageBreakBefore w:val="0"/>
              <w:kinsoku/>
              <w:wordWrap/>
              <w:topLinePunct w:val="0"/>
              <w:autoSpaceDE/>
              <w:autoSpaceDN/>
              <w:bidi w:val="0"/>
              <w:snapToGrid/>
              <w:spacing w:line="360" w:lineRule="auto"/>
              <w:ind w:left="0" w:leftChars="0" w:right="0" w:rightChars="0" w:firstLine="0" w:firstLineChars="0"/>
              <w:jc w:val="center"/>
              <w:rPr>
                <w:rFonts w:hint="eastAsia" w:ascii="宋体" w:hAnsi="宋体" w:eastAsia="宋体" w:cs="宋体"/>
                <w:color w:val="auto"/>
                <w:sz w:val="24"/>
                <w:szCs w:val="24"/>
                <w:highlight w:val="none"/>
              </w:rPr>
            </w:pPr>
          </w:p>
        </w:tc>
        <w:tc>
          <w:tcPr>
            <w:tcW w:w="6578" w:type="dxa"/>
          </w:tcPr>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b/>
                <w:bCs/>
                <w:color w:val="auto"/>
                <w:sz w:val="24"/>
                <w:szCs w:val="24"/>
                <w:highlight w:val="none"/>
                <w:lang w:bidi="en-US"/>
              </w:rPr>
            </w:pPr>
            <w:r>
              <w:rPr>
                <w:rFonts w:hint="eastAsia" w:ascii="宋体" w:hAnsi="宋体" w:cs="宋体"/>
                <w:b/>
                <w:bCs/>
                <w:color w:val="auto"/>
                <w:sz w:val="24"/>
                <w:szCs w:val="24"/>
                <w:highlight w:val="none"/>
                <w:lang w:val="en-US" w:eastAsia="zh-CN" w:bidi="en-US"/>
              </w:rPr>
              <w:t>售后服务</w:t>
            </w:r>
            <w:r>
              <w:rPr>
                <w:rFonts w:hint="eastAsia" w:ascii="宋体" w:hAnsi="宋体" w:eastAsia="宋体" w:cs="宋体"/>
                <w:b/>
                <w:bCs/>
                <w:color w:val="auto"/>
                <w:sz w:val="24"/>
                <w:szCs w:val="24"/>
                <w:highlight w:val="none"/>
                <w:lang w:bidi="en-US"/>
              </w:rPr>
              <w:t>方案（</w:t>
            </w:r>
            <w:r>
              <w:rPr>
                <w:rFonts w:hint="eastAsia" w:ascii="宋体" w:hAnsi="宋体" w:cs="宋体"/>
                <w:b/>
                <w:bCs/>
                <w:color w:val="auto"/>
                <w:sz w:val="24"/>
                <w:szCs w:val="24"/>
                <w:highlight w:val="none"/>
                <w:lang w:val="en-US" w:eastAsia="zh-CN" w:bidi="en-US"/>
              </w:rPr>
              <w:t>15</w:t>
            </w:r>
            <w:r>
              <w:rPr>
                <w:rFonts w:hint="eastAsia" w:ascii="宋体" w:hAnsi="宋体" w:eastAsia="宋体" w:cs="宋体"/>
                <w:b/>
                <w:bCs/>
                <w:color w:val="auto"/>
                <w:sz w:val="24"/>
                <w:szCs w:val="24"/>
                <w:highlight w:val="none"/>
                <w:lang w:bidi="en-US"/>
              </w:rPr>
              <w:t>分）</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投标人提供的售后服务方案至少包含：（1）售后服务承诺；（2）售后服务违约责任承诺；（3）售后响应时间；（4）售后服务人员配备；（5）售后服务保证措施</w:t>
            </w:r>
            <w:r>
              <w:rPr>
                <w:rFonts w:hint="eastAsia" w:ascii="宋体" w:hAnsi="宋体" w:cs="宋体"/>
                <w:color w:val="auto"/>
                <w:sz w:val="24"/>
                <w:szCs w:val="24"/>
                <w:highlight w:val="none"/>
                <w:lang w:eastAsia="zh-CN"/>
              </w:rPr>
              <w:t>。</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1、内容完整、阐述详细、合理、操作性及针对性强的，每项得3分；</w:t>
            </w:r>
          </w:p>
          <w:p>
            <w:pPr>
              <w:keepLines w:val="0"/>
              <w:pageBreakBefore w:val="0"/>
              <w:kinsoku/>
              <w:wordWrap/>
              <w:overflowPunct w:val="0"/>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bidi="en-US"/>
              </w:rPr>
            </w:pPr>
            <w:r>
              <w:rPr>
                <w:rFonts w:hint="eastAsia" w:ascii="宋体" w:hAnsi="宋体" w:eastAsia="宋体" w:cs="宋体"/>
                <w:bCs/>
                <w:color w:val="auto"/>
                <w:sz w:val="24"/>
                <w:szCs w:val="24"/>
                <w:highlight w:val="none"/>
                <w:lang w:bidi="en-US"/>
              </w:rPr>
              <w:t>2、每有一项描述不完整，阐述不明确、不合理、操作性及针对性不强的扣1.5分；</w:t>
            </w:r>
          </w:p>
          <w:p>
            <w:pPr>
              <w:keepLines w:val="0"/>
              <w:pageBreakBefore w:val="0"/>
              <w:kinsoku/>
              <w:wordWrap/>
              <w:topLinePunct w:val="0"/>
              <w:autoSpaceDE/>
              <w:autoSpaceDN/>
              <w:bidi w:val="0"/>
              <w:snapToGrid/>
              <w:spacing w:line="360" w:lineRule="auto"/>
              <w:ind w:left="0" w:leftChars="0" w:right="0" w:rightChars="0" w:firstLine="0" w:firstLineChars="0"/>
              <w:rPr>
                <w:rFonts w:hint="eastAsia" w:ascii="宋体" w:hAnsi="宋体" w:eastAsia="宋体" w:cs="宋体"/>
                <w:bCs/>
                <w:color w:val="auto"/>
                <w:sz w:val="24"/>
                <w:szCs w:val="24"/>
                <w:highlight w:val="none"/>
                <w:lang w:eastAsia="zh-CN" w:bidi="en-US"/>
              </w:rPr>
            </w:pPr>
            <w:r>
              <w:rPr>
                <w:rFonts w:hint="eastAsia" w:ascii="宋体" w:hAnsi="宋体" w:eastAsia="宋体" w:cs="宋体"/>
                <w:bCs/>
                <w:color w:val="auto"/>
                <w:sz w:val="24"/>
                <w:szCs w:val="24"/>
                <w:highlight w:val="none"/>
                <w:lang w:bidi="en-US"/>
              </w:rPr>
              <w:t>3、每缺一项扣3分</w:t>
            </w:r>
            <w:r>
              <w:rPr>
                <w:rFonts w:hint="eastAsia" w:ascii="宋体" w:hAnsi="宋体" w:eastAsia="宋体" w:cs="宋体"/>
                <w:color w:val="auto"/>
                <w:sz w:val="24"/>
                <w:szCs w:val="24"/>
                <w:highlight w:val="none"/>
              </w:rPr>
              <w:t>。</w:t>
            </w:r>
          </w:p>
        </w:tc>
      </w:tr>
    </w:tbl>
    <w:p>
      <w:pPr>
        <w:keepLines w:val="0"/>
        <w:pageBreakBefore w:val="0"/>
        <w:kinsoku/>
        <w:wordWrap/>
        <w:topLinePunct w:val="0"/>
        <w:autoSpaceDE/>
        <w:autoSpaceDN/>
        <w:bidi w:val="0"/>
        <w:snapToGrid/>
        <w:spacing w:line="360" w:lineRule="auto"/>
        <w:ind w:left="0" w:leftChars="0" w:right="0" w:rightChars="0"/>
        <w:rPr>
          <w:rFonts w:hint="eastAsia" w:ascii="宋体" w:hAnsi="宋体" w:eastAsia="宋体" w:cs="宋体"/>
          <w:color w:val="auto"/>
          <w:sz w:val="24"/>
          <w:szCs w:val="24"/>
          <w:highlight w:val="none"/>
        </w:rPr>
      </w:pPr>
    </w:p>
    <w:p>
      <w:pPr>
        <w:keepNext/>
        <w:keepLines w:val="0"/>
        <w:pageBreakBefore w:val="0"/>
        <w:tabs>
          <w:tab w:val="left" w:pos="1021"/>
        </w:tabs>
        <w:kinsoku/>
        <w:wordWrap/>
        <w:topLinePunct w:val="0"/>
        <w:autoSpaceDE/>
        <w:autoSpaceDN/>
        <w:bidi w:val="0"/>
        <w:adjustRightInd w:val="0"/>
        <w:snapToGrid/>
        <w:spacing w:line="360" w:lineRule="auto"/>
        <w:ind w:left="0" w:leftChars="0" w:right="0" w:rightChars="0" w:firstLine="0" w:firstLineChars="0"/>
        <w:textAlignment w:val="baseline"/>
        <w:outlineLvl w:val="1"/>
        <w:rPr>
          <w:rFonts w:hint="eastAsia" w:ascii="宋体" w:hAnsi="宋体" w:eastAsia="宋体" w:cs="宋体"/>
          <w:b/>
          <w:color w:val="auto"/>
          <w:kern w:val="0"/>
          <w:sz w:val="24"/>
          <w:szCs w:val="24"/>
          <w:highlight w:val="none"/>
        </w:rPr>
      </w:pPr>
      <w:bookmarkStart w:id="331" w:name="_Toc16436"/>
      <w:bookmarkStart w:id="332" w:name="_Toc22645"/>
      <w:bookmarkStart w:id="333" w:name="_Toc5232"/>
      <w:bookmarkStart w:id="334" w:name="_Toc23486"/>
      <w:bookmarkStart w:id="335" w:name="_Toc16227"/>
      <w:bookmarkStart w:id="336" w:name="_Toc19986"/>
      <w:r>
        <w:rPr>
          <w:rFonts w:hint="eastAsia" w:ascii="宋体" w:hAnsi="宋体" w:eastAsia="宋体" w:cs="宋体"/>
          <w:bCs/>
          <w:color w:val="auto"/>
          <w:kern w:val="0"/>
          <w:sz w:val="24"/>
          <w:szCs w:val="24"/>
          <w:highlight w:val="none"/>
        </w:rPr>
        <w:t>一、</w:t>
      </w:r>
      <w:r>
        <w:rPr>
          <w:rFonts w:hint="eastAsia" w:ascii="宋体" w:hAnsi="宋体" w:eastAsia="宋体" w:cs="宋体"/>
          <w:b/>
          <w:color w:val="auto"/>
          <w:kern w:val="0"/>
          <w:sz w:val="24"/>
          <w:szCs w:val="24"/>
          <w:highlight w:val="none"/>
        </w:rPr>
        <w:t>评标方法</w:t>
      </w:r>
      <w:bookmarkEnd w:id="327"/>
      <w:bookmarkEnd w:id="328"/>
      <w:bookmarkEnd w:id="329"/>
      <w:bookmarkEnd w:id="330"/>
      <w:bookmarkEnd w:id="331"/>
      <w:bookmarkEnd w:id="332"/>
      <w:bookmarkEnd w:id="333"/>
      <w:bookmarkEnd w:id="334"/>
      <w:bookmarkEnd w:id="335"/>
      <w:bookmarkEnd w:id="336"/>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根据《中华人民共和国政府采购法》、《中华人民共和国政府采购法实施条例》、《政府采购货物和服务招标投标管理办法（财政部87号令）》、《 财政部关于进一步规范政府采购评审工作有关问题的通知》（ 财政部财库[2012]69号）等有关法律规定，结合本采购实际情况指定本办法。</w:t>
      </w:r>
    </w:p>
    <w:p>
      <w:pPr>
        <w:keepNext w:val="0"/>
        <w:keepLines w:val="0"/>
        <w:pageBreakBefore w:val="0"/>
        <w:widowControl w:val="0"/>
        <w:kinsoku/>
        <w:wordWrap/>
        <w:overflowPunct/>
        <w:topLinePunct w:val="0"/>
        <w:autoSpaceDE/>
        <w:autoSpaceDN/>
        <w:bidi w:val="0"/>
        <w:adjustRightInd w:val="0"/>
        <w:snapToGrid/>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本项目采用采用综合评分法，评标结果按评审后得分由高到低顺序排列。得分相同的，</w:t>
      </w:r>
      <w:r>
        <w:rPr>
          <w:rFonts w:hint="eastAsia" w:ascii="宋体" w:hAnsi="宋体" w:cs="宋体"/>
          <w:color w:val="auto"/>
          <w:sz w:val="24"/>
          <w:szCs w:val="24"/>
          <w:highlight w:val="none"/>
          <w:lang w:val="en-US" w:eastAsia="zh-CN"/>
        </w:rPr>
        <w:t>按技术部分得分由高到低排列；技术部分得分也相同的，</w:t>
      </w:r>
      <w:r>
        <w:rPr>
          <w:rFonts w:hint="eastAsia" w:ascii="宋体" w:hAnsi="宋体" w:eastAsia="宋体" w:cs="宋体"/>
          <w:color w:val="auto"/>
          <w:sz w:val="24"/>
          <w:szCs w:val="24"/>
          <w:highlight w:val="none"/>
        </w:rPr>
        <w:t>按投标报价</w:t>
      </w:r>
      <w:r>
        <w:rPr>
          <w:rFonts w:hint="eastAsia" w:ascii="宋体" w:hAnsi="宋体" w:cs="宋体"/>
          <w:color w:val="auto"/>
          <w:sz w:val="24"/>
          <w:szCs w:val="24"/>
          <w:highlight w:val="none"/>
          <w:lang w:eastAsia="zh-CN"/>
        </w:rPr>
        <w:t>下浮率由高到低</w:t>
      </w:r>
      <w:r>
        <w:rPr>
          <w:rFonts w:hint="eastAsia" w:ascii="宋体" w:hAnsi="宋体" w:eastAsia="宋体" w:cs="宋体"/>
          <w:color w:val="auto"/>
          <w:sz w:val="24"/>
          <w:szCs w:val="24"/>
          <w:highlight w:val="none"/>
        </w:rPr>
        <w:t>顺序排列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投标报价</w:t>
      </w:r>
      <w:r>
        <w:rPr>
          <w:rFonts w:hint="eastAsia" w:ascii="宋体" w:hAnsi="宋体" w:cs="宋体"/>
          <w:color w:val="auto"/>
          <w:sz w:val="24"/>
          <w:szCs w:val="24"/>
          <w:highlight w:val="none"/>
          <w:lang w:val="en-US" w:eastAsia="zh-CN"/>
        </w:rPr>
        <w:t>下浮率也相同的，由评标委员投票决定</w:t>
      </w:r>
      <w:r>
        <w:rPr>
          <w:rFonts w:hint="eastAsia" w:ascii="宋体" w:hAnsi="宋体" w:eastAsia="宋体" w:cs="宋体"/>
          <w:color w:val="auto"/>
          <w:sz w:val="24"/>
          <w:szCs w:val="24"/>
          <w:highlight w:val="none"/>
        </w:rPr>
        <w:t>。</w:t>
      </w:r>
    </w:p>
    <w:p>
      <w:pPr>
        <w:keepNext/>
        <w:keepLines w:val="0"/>
        <w:pageBreakBefore w:val="0"/>
        <w:widowControl w:val="0"/>
        <w:tabs>
          <w:tab w:val="left" w:pos="1021"/>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1"/>
        <w:rPr>
          <w:rFonts w:hint="eastAsia" w:ascii="宋体" w:hAnsi="宋体" w:eastAsia="宋体" w:cs="宋体"/>
          <w:b/>
          <w:color w:val="auto"/>
          <w:kern w:val="0"/>
          <w:sz w:val="24"/>
          <w:szCs w:val="24"/>
          <w:highlight w:val="none"/>
        </w:rPr>
      </w:pPr>
      <w:bookmarkStart w:id="337" w:name="_Toc11994"/>
      <w:bookmarkStart w:id="338" w:name="_Toc13453"/>
      <w:bookmarkStart w:id="339" w:name="_Toc326218112"/>
      <w:bookmarkStart w:id="340" w:name="_Toc32332"/>
      <w:bookmarkStart w:id="341" w:name="_Toc26783938"/>
      <w:bookmarkStart w:id="342" w:name="_Toc15305"/>
      <w:bookmarkStart w:id="343" w:name="_Toc31751"/>
      <w:bookmarkStart w:id="344" w:name="_Toc18532"/>
      <w:bookmarkStart w:id="345" w:name="_Toc314817934"/>
      <w:bookmarkStart w:id="346" w:name="_Toc10982"/>
      <w:bookmarkStart w:id="347" w:name="_Toc27414"/>
      <w:r>
        <w:rPr>
          <w:rFonts w:hint="eastAsia" w:ascii="宋体" w:hAnsi="宋体" w:eastAsia="宋体" w:cs="宋体"/>
          <w:b/>
          <w:color w:val="auto"/>
          <w:kern w:val="0"/>
          <w:sz w:val="24"/>
          <w:szCs w:val="24"/>
          <w:highlight w:val="none"/>
        </w:rPr>
        <w:t>二、评审标准</w:t>
      </w:r>
      <w:bookmarkEnd w:id="337"/>
      <w:bookmarkEnd w:id="338"/>
      <w:bookmarkEnd w:id="339"/>
      <w:bookmarkEnd w:id="340"/>
      <w:bookmarkEnd w:id="341"/>
      <w:bookmarkEnd w:id="342"/>
      <w:bookmarkEnd w:id="343"/>
      <w:bookmarkEnd w:id="344"/>
      <w:bookmarkEnd w:id="345"/>
      <w:bookmarkEnd w:id="346"/>
      <w:bookmarkEnd w:id="347"/>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48" w:name="_Toc326218113"/>
      <w:bookmarkStart w:id="349" w:name="_Toc26783939"/>
      <w:bookmarkStart w:id="350" w:name="_Toc314817935"/>
      <w:r>
        <w:rPr>
          <w:rFonts w:hint="eastAsia" w:ascii="宋体" w:hAnsi="宋体" w:eastAsia="宋体" w:cs="宋体"/>
          <w:b/>
          <w:color w:val="auto"/>
          <w:kern w:val="0"/>
          <w:sz w:val="24"/>
          <w:szCs w:val="24"/>
          <w:highlight w:val="none"/>
        </w:rPr>
        <w:t>1.符合性评审标准</w:t>
      </w:r>
      <w:bookmarkEnd w:id="348"/>
      <w:bookmarkEnd w:id="349"/>
      <w:bookmarkEnd w:id="350"/>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评标委员会依据招标文件的规定，从投标文件的有效性、完整性和对招标文件的响应程度进行审查，以确定是否对招标文件的实质性要求作出响应；见评标方法前附表。</w:t>
      </w:r>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51" w:name="_Toc314817936"/>
      <w:bookmarkStart w:id="352" w:name="_Toc26783940"/>
      <w:bookmarkStart w:id="353" w:name="_Toc326218114"/>
      <w:r>
        <w:rPr>
          <w:rFonts w:hint="eastAsia" w:ascii="宋体" w:hAnsi="宋体" w:eastAsia="宋体" w:cs="宋体"/>
          <w:b/>
          <w:color w:val="auto"/>
          <w:kern w:val="0"/>
          <w:sz w:val="24"/>
          <w:szCs w:val="24"/>
          <w:highlight w:val="none"/>
        </w:rPr>
        <w:t>2. 分值构成与评分标准</w:t>
      </w:r>
      <w:bookmarkEnd w:id="351"/>
      <w:bookmarkEnd w:id="352"/>
      <w:bookmarkEnd w:id="353"/>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分值构成</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w:t>
      </w:r>
      <w:r>
        <w:rPr>
          <w:rFonts w:hint="eastAsia" w:ascii="宋体" w:hAnsi="宋体" w:eastAsia="宋体" w:cs="宋体"/>
          <w:color w:val="auto"/>
          <w:sz w:val="24"/>
          <w:szCs w:val="24"/>
          <w:highlight w:val="none"/>
          <w:lang w:val="en-US" w:eastAsia="zh-CN"/>
        </w:rPr>
        <w:t>部分</w:t>
      </w:r>
      <w:r>
        <w:rPr>
          <w:rFonts w:hint="eastAsia" w:ascii="宋体" w:hAnsi="宋体" w:eastAsia="宋体" w:cs="宋体"/>
          <w:color w:val="auto"/>
          <w:sz w:val="24"/>
          <w:szCs w:val="24"/>
          <w:highlight w:val="none"/>
        </w:rPr>
        <w:t>：见评标方法前附表；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（3）商务部分：见评标方法前附表。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评标基准价计算方法：见评标方法前附表。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评分标准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按招标文件中规定的评标方法和标准，对资格评审和符合性评审合格的投标文件进行商务和技术评估，综合比较与评价。</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（1）投标报价评分标准：见评标方法前附表；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（2）技术部分评分标准：见评标方法前附表；</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（3）商务部分评分标准：见评标方法前附表。</w:t>
      </w:r>
    </w:p>
    <w:p>
      <w:pPr>
        <w:keepNext/>
        <w:keepLines w:val="0"/>
        <w:pageBreakBefore w:val="0"/>
        <w:widowControl w:val="0"/>
        <w:tabs>
          <w:tab w:val="left" w:pos="1021"/>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1"/>
        <w:rPr>
          <w:rFonts w:hint="eastAsia" w:ascii="宋体" w:hAnsi="宋体" w:eastAsia="宋体" w:cs="宋体"/>
          <w:b/>
          <w:color w:val="auto"/>
          <w:kern w:val="0"/>
          <w:sz w:val="24"/>
          <w:szCs w:val="24"/>
          <w:highlight w:val="none"/>
        </w:rPr>
      </w:pPr>
      <w:bookmarkStart w:id="354" w:name="_Toc26783941"/>
      <w:bookmarkStart w:id="355" w:name="_Toc7556"/>
      <w:bookmarkStart w:id="356" w:name="_Toc22818"/>
      <w:bookmarkStart w:id="357" w:name="_Toc24661"/>
      <w:bookmarkStart w:id="358" w:name="_Toc314817937"/>
      <w:bookmarkStart w:id="359" w:name="_Toc13713"/>
      <w:bookmarkStart w:id="360" w:name="_Toc29444"/>
      <w:bookmarkStart w:id="361" w:name="_Toc27486"/>
      <w:bookmarkStart w:id="362" w:name="_Toc9262"/>
      <w:bookmarkStart w:id="363" w:name="_Toc326218115"/>
      <w:bookmarkStart w:id="364" w:name="_Toc27510"/>
      <w:r>
        <w:rPr>
          <w:rFonts w:hint="eastAsia" w:ascii="宋体" w:hAnsi="宋体" w:eastAsia="宋体" w:cs="宋体"/>
          <w:b/>
          <w:color w:val="auto"/>
          <w:kern w:val="0"/>
          <w:sz w:val="24"/>
          <w:szCs w:val="24"/>
          <w:highlight w:val="none"/>
        </w:rPr>
        <w:t>三、评标程序</w:t>
      </w:r>
      <w:bookmarkEnd w:id="354"/>
      <w:bookmarkEnd w:id="355"/>
      <w:bookmarkEnd w:id="356"/>
      <w:bookmarkEnd w:id="357"/>
      <w:bookmarkEnd w:id="358"/>
      <w:bookmarkEnd w:id="359"/>
      <w:bookmarkEnd w:id="360"/>
      <w:bookmarkEnd w:id="361"/>
      <w:bookmarkEnd w:id="362"/>
      <w:bookmarkEnd w:id="363"/>
      <w:bookmarkEnd w:id="364"/>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65" w:name="_Toc326218116"/>
      <w:bookmarkStart w:id="366" w:name="_Toc26783942"/>
      <w:bookmarkStart w:id="367" w:name="_Toc314817938"/>
      <w:r>
        <w:rPr>
          <w:rFonts w:hint="eastAsia" w:ascii="宋体" w:hAnsi="宋体" w:eastAsia="宋体" w:cs="宋体"/>
          <w:b/>
          <w:color w:val="auto"/>
          <w:kern w:val="0"/>
          <w:sz w:val="24"/>
          <w:szCs w:val="24"/>
          <w:highlight w:val="none"/>
        </w:rPr>
        <w:t>1.符合性评审</w:t>
      </w:r>
      <w:bookmarkEnd w:id="365"/>
      <w:bookmarkEnd w:id="366"/>
      <w:bookmarkEnd w:id="367"/>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1.1评标委员会依据本章“二、评审标准”第1项规定的标准对投标文件进行符合性评审。有一项不符合评审标准的，作无效投标处理。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有以下情形之一的，其投标作无效投标处理：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（1）串通投标或弄虚作假或有其他违法行为的；</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（2）不按评标委员会要求澄清、说明或补正的。</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（3）评标委员会认为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的报价，有可能影响产品质量或者不能诚信履约的，将要求其在评标现场合理的时间内提供书面说明，必要时提交相关证明材料；</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不能证明其报价合理性的，评标委员会应当将其作为无效投标处理。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投标文件如果出现计算或表达上的错误，修正错误的原则如下：</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同时出现两种以上不一致的，按照前款规定的顺序修正。修正后的报价经</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不确认的，其投标无效。</w:t>
      </w:r>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68" w:name="_Toc314817939"/>
      <w:bookmarkStart w:id="369" w:name="_Toc26783943"/>
      <w:bookmarkStart w:id="370" w:name="_Toc326218117"/>
      <w:r>
        <w:rPr>
          <w:rFonts w:hint="eastAsia" w:ascii="宋体" w:hAnsi="宋体" w:eastAsia="宋体" w:cs="宋体"/>
          <w:b/>
          <w:color w:val="auto"/>
          <w:kern w:val="0"/>
          <w:sz w:val="24"/>
          <w:szCs w:val="24"/>
          <w:highlight w:val="none"/>
        </w:rPr>
        <w:t>2. 详细评审</w:t>
      </w:r>
      <w:bookmarkEnd w:id="368"/>
      <w:bookmarkEnd w:id="369"/>
      <w:bookmarkEnd w:id="370"/>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评标委员会按本章</w:t>
      </w:r>
      <w:bookmarkStart w:id="371" w:name="_Hlk478979552"/>
      <w:r>
        <w:rPr>
          <w:rFonts w:hint="eastAsia" w:ascii="宋体" w:hAnsi="宋体" w:eastAsia="宋体" w:cs="宋体"/>
          <w:color w:val="auto"/>
          <w:sz w:val="24"/>
          <w:szCs w:val="24"/>
          <w:highlight w:val="none"/>
        </w:rPr>
        <w:t>“二、评审标准”第2.3款</w:t>
      </w:r>
      <w:bookmarkEnd w:id="371"/>
      <w:r>
        <w:rPr>
          <w:rFonts w:hint="eastAsia" w:ascii="宋体" w:hAnsi="宋体" w:eastAsia="宋体" w:cs="宋体"/>
          <w:color w:val="auto"/>
          <w:sz w:val="24"/>
          <w:szCs w:val="24"/>
          <w:highlight w:val="none"/>
        </w:rPr>
        <w:t>规定的量化因素和分值进行打分，并计算出</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的评标总得分。</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（1）按本章第2.3（1）目规定的评审因素和分值对投标报价计算出得分F1；</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（2）按本章第2.3（2）目规定的评审因素和分值对商务部分计算出得分F2；</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（3）按本章第2.3（3）目规定的评审因素和分值对技术部分计算出得分F3；</w:t>
      </w:r>
    </w:p>
    <w:p>
      <w:pPr>
        <w:keepLines w:val="0"/>
        <w:pageBreakBefore w:val="0"/>
        <w:widowControl w:val="0"/>
        <w:tabs>
          <w:tab w:val="left" w:pos="2472"/>
        </w:tabs>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（4）汇总F1、F2、F3得分即为评标总得分。</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2.2商务部分（F2）和技术部分（F3）得分由评标委员会成员独立评分，计算各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得分的算术平均值计入各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总分。评分分值计算保留小数点后两位，小数点后第三位“四舍五入”。</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2.4评标中若遇特殊问题，由评标委员会根据有关法律、法规研究决定。</w:t>
      </w:r>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72" w:name="_Toc314817940"/>
      <w:bookmarkStart w:id="373" w:name="_Toc26783944"/>
      <w:bookmarkStart w:id="374" w:name="_Toc326218118"/>
      <w:r>
        <w:rPr>
          <w:rFonts w:hint="eastAsia" w:ascii="宋体" w:hAnsi="宋体" w:eastAsia="宋体" w:cs="宋体"/>
          <w:b/>
          <w:color w:val="auto"/>
          <w:kern w:val="0"/>
          <w:sz w:val="24"/>
          <w:szCs w:val="24"/>
          <w:highlight w:val="none"/>
        </w:rPr>
        <w:t>3. 投标文件的澄清和补正原则</w:t>
      </w:r>
      <w:bookmarkEnd w:id="372"/>
      <w:bookmarkEnd w:id="373"/>
      <w:bookmarkEnd w:id="374"/>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在评标过程中，评标委员会可以书面形式（应当由评标委员会专家签字）要求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对所提交的投标文件中含义不明确、同类问题表述不一致或者有明显文字和计算错误的内容，进行书面澄清或说明，或者对细微偏差进行补正。评标委员会不接受</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主动提出的澄清、说明或补正。</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的澄清、说明或者补正应当采用书面形式，并加盖公章，或者由法定代表人或其授权的代表签字，并不得改变投标文件的实质性内容（算术性错误修正的除外）。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的书面澄清、说明和补正属于投标文件的组成部分。</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评标委员会对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提交的澄清、说明或补正有疑问的，可以要求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进一步澄清、说明或补正，直至满足评标委员会的要求。</w:t>
      </w:r>
    </w:p>
    <w:p>
      <w:pPr>
        <w:keepLines w:val="0"/>
        <w:pageBreakBefore w:val="0"/>
        <w:widowControl w:val="0"/>
        <w:tabs>
          <w:tab w:val="left" w:pos="900"/>
          <w:tab w:val="left" w:pos="1588"/>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3"/>
        <w:rPr>
          <w:rFonts w:hint="eastAsia" w:ascii="宋体" w:hAnsi="宋体" w:eastAsia="宋体" w:cs="宋体"/>
          <w:b/>
          <w:color w:val="auto"/>
          <w:kern w:val="0"/>
          <w:sz w:val="24"/>
          <w:szCs w:val="24"/>
          <w:highlight w:val="none"/>
        </w:rPr>
      </w:pPr>
      <w:bookmarkStart w:id="375" w:name="_Toc326218119"/>
      <w:bookmarkStart w:id="376" w:name="_Toc26783945"/>
      <w:bookmarkStart w:id="377" w:name="_Toc314817941"/>
      <w:r>
        <w:rPr>
          <w:rFonts w:hint="eastAsia" w:ascii="宋体" w:hAnsi="宋体" w:eastAsia="宋体" w:cs="宋体"/>
          <w:b/>
          <w:color w:val="auto"/>
          <w:kern w:val="0"/>
          <w:sz w:val="24"/>
          <w:szCs w:val="24"/>
          <w:highlight w:val="none"/>
        </w:rPr>
        <w:t>4. 评标结果</w:t>
      </w:r>
      <w:bookmarkEnd w:id="375"/>
      <w:bookmarkEnd w:id="376"/>
      <w:bookmarkEnd w:id="377"/>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评标委员会按得分由高到低顺序排列。评标结果按评审后得分由高到低顺序排列。得分相同的，按技术部分得分由高到低排列；技术部分得分也相同的，按投标报价下浮率由高到低顺序排列；投标报价下浮率也相同的，由评标委员投票决定，并提出评标报告。</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 采购人根据评标委员会提出的书面评标报告和推荐的中标候选人名单，确定中标人</w:t>
      </w:r>
      <w:r>
        <w:rPr>
          <w:rFonts w:hint="eastAsia" w:ascii="宋体" w:hAnsi="宋体" w:cs="宋体"/>
          <w:color w:val="auto"/>
          <w:sz w:val="24"/>
          <w:szCs w:val="24"/>
          <w:highlight w:val="none"/>
          <w:lang w:eastAsia="zh-CN"/>
        </w:rPr>
        <w:t>。</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中标候选人并列的，由采购人按技术部分得分高低顺序确定中标人，依然无法确定的由采购人采取随机抽取的方式确定。</w:t>
      </w:r>
    </w:p>
    <w:p>
      <w:pPr>
        <w:keepLines w:val="0"/>
        <w:pageBreakBefore w:val="0"/>
        <w:widowControl w:val="0"/>
        <w:kinsoku/>
        <w:wordWrap/>
        <w:overflowPunct/>
        <w:topLinePunct w:val="0"/>
        <w:autoSpaceDE/>
        <w:autoSpaceDN/>
        <w:bidi w:val="0"/>
        <w:snapToGrid/>
        <w:spacing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keepNext/>
        <w:keepLines w:val="0"/>
        <w:pageBreakBefore w:val="0"/>
        <w:widowControl w:val="0"/>
        <w:tabs>
          <w:tab w:val="left" w:pos="1021"/>
        </w:tabs>
        <w:kinsoku/>
        <w:wordWrap/>
        <w:overflowPunct/>
        <w:topLinePunct w:val="0"/>
        <w:autoSpaceDE/>
        <w:autoSpaceDN/>
        <w:bidi w:val="0"/>
        <w:adjustRightInd w:val="0"/>
        <w:snapToGrid/>
        <w:spacing w:line="360" w:lineRule="auto"/>
        <w:ind w:left="0" w:leftChars="0" w:right="0" w:rightChars="0" w:firstLine="482" w:firstLineChars="200"/>
        <w:textAlignment w:val="baseline"/>
        <w:outlineLvl w:val="1"/>
        <w:rPr>
          <w:rFonts w:hint="eastAsia" w:ascii="宋体" w:hAnsi="宋体" w:eastAsia="宋体" w:cs="宋体"/>
          <w:b/>
          <w:color w:val="auto"/>
          <w:kern w:val="0"/>
          <w:sz w:val="24"/>
          <w:szCs w:val="24"/>
          <w:highlight w:val="none"/>
        </w:rPr>
      </w:pPr>
      <w:bookmarkStart w:id="378" w:name="_Toc26146"/>
      <w:bookmarkStart w:id="379" w:name="_Toc14314"/>
      <w:bookmarkStart w:id="380" w:name="_Toc3357"/>
      <w:bookmarkStart w:id="381" w:name="_Toc26783946"/>
      <w:bookmarkStart w:id="382" w:name="_Toc20346"/>
      <w:bookmarkStart w:id="383" w:name="_Toc57"/>
      <w:bookmarkStart w:id="384" w:name="_Toc24770"/>
      <w:bookmarkStart w:id="385" w:name="_Toc15646"/>
      <w:bookmarkStart w:id="386" w:name="_Toc22529"/>
      <w:r>
        <w:rPr>
          <w:rFonts w:hint="eastAsia" w:ascii="宋体" w:hAnsi="宋体" w:eastAsia="宋体" w:cs="宋体"/>
          <w:b/>
          <w:color w:val="auto"/>
          <w:kern w:val="0"/>
          <w:sz w:val="24"/>
          <w:szCs w:val="24"/>
          <w:highlight w:val="none"/>
        </w:rPr>
        <w:t>四、其它</w:t>
      </w:r>
      <w:bookmarkEnd w:id="378"/>
      <w:bookmarkEnd w:id="379"/>
      <w:bookmarkEnd w:id="380"/>
      <w:bookmarkEnd w:id="381"/>
      <w:bookmarkEnd w:id="382"/>
      <w:bookmarkEnd w:id="383"/>
      <w:bookmarkEnd w:id="384"/>
      <w:bookmarkEnd w:id="385"/>
      <w:bookmarkEnd w:id="386"/>
    </w:p>
    <w:p>
      <w:pPr>
        <w:keepLines w:val="0"/>
        <w:pageBreakBefore w:val="0"/>
        <w:kinsoku/>
        <w:wordWrap/>
        <w:topLinePunct w:val="0"/>
        <w:autoSpaceDE/>
        <w:autoSpaceDN/>
        <w:bidi w:val="0"/>
        <w:snapToGrid/>
        <w:spacing w:line="360" w:lineRule="auto"/>
        <w:ind w:left="0" w:leftChars="0" w:right="0" w:rightChars="0" w:firstLine="482"/>
        <w:outlineLvl w:val="9"/>
        <w:rPr>
          <w:rFonts w:hint="eastAsia" w:ascii="宋体" w:hAnsi="宋体" w:eastAsia="宋体" w:cs="宋体"/>
          <w:b/>
          <w:bCs/>
          <w:color w:val="auto"/>
          <w:sz w:val="24"/>
          <w:szCs w:val="24"/>
          <w:highlight w:val="none"/>
        </w:rPr>
      </w:pPr>
      <w:bookmarkStart w:id="387" w:name="_Toc117503149"/>
      <w:bookmarkStart w:id="388" w:name="_Toc26783947"/>
      <w:r>
        <w:rPr>
          <w:rFonts w:hint="eastAsia" w:ascii="宋体" w:hAnsi="宋体" w:eastAsia="宋体" w:cs="宋体"/>
          <w:b/>
          <w:bCs/>
          <w:color w:val="auto"/>
          <w:sz w:val="24"/>
          <w:szCs w:val="24"/>
          <w:highlight w:val="none"/>
        </w:rPr>
        <w:t>1. 关于中小企业</w:t>
      </w:r>
      <w:bookmarkEnd w:id="387"/>
      <w:bookmarkEnd w:id="388"/>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1.1根据《关于印发&lt;政府采购促进中小企业发展管理办法&gt;的通知》（财库〔2020〕46号）的规定，中小企业（含中型、小型、微型企业，下同）应当同时符合以下条件：</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（1）在中华人民共和国境内依法设立，依据国务院批准的中小企业划分标准确定的中型企业、小型企业和微型企业，但与大企业的负责人为同一人，或者与大企业存在直接控股、管理关系的除外；</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（2）符合中小企业划分标准的个体工商户，在政府采购活动中视同中小企业。</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1.2本规定所称中小企业划分标准，是指国务院有关部门根据企业从业人员、营业收入、资产总额等指标制定的中小企业划型标准，详见《关于印发中小企业划型标准规定的通知》（工信部联企业〔2011〕300号）。</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1.3在政府采购活动中，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提供的货物、工程或者服务符合下列情形的，享受本办法规定的中小企业扶持政策：</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1.4在货物采购项目中，</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提供的货物既有中小企业制造货物，也有大型企业制造货物的，不享受《关于印发&lt;政府采购促进中小企业发展管理办法&gt;的通知》（财库〔2020〕46号）中规定的中小企业扶持政策。</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1.5以联合体形式参加政府采购活动，联合体各方均为中小企业的，联合体视同中小企业。其中，联合体各方均为小微企业的，联合体视同小微企业。</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1.6中小企业参加政府采购活动，应当出具《关于印发&lt;政府采购促进中小企业发展管理办法&gt;的通知》（财库〔2020〕46号）规定的《中小企业声明函》，否则不得享受相关中小企业扶持政策。</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eastAsia="宋体" w:cs="宋体"/>
          <w:bCs/>
          <w:color w:val="auto"/>
          <w:sz w:val="24"/>
          <w:szCs w:val="24"/>
          <w:highlight w:val="none"/>
        </w:rPr>
        <w:t>享受中小企业扶持政策获得政府采购合同的，小微企业不得将合同分包给大中型企业，中型企业不得将合同分包给大型企业。</w:t>
      </w:r>
    </w:p>
    <w:p>
      <w:pPr>
        <w:keepLines w:val="0"/>
        <w:pageBreakBefore w:val="0"/>
        <w:kinsoku/>
        <w:wordWrap/>
        <w:topLinePunct w:val="0"/>
        <w:autoSpaceDE/>
        <w:autoSpaceDN/>
        <w:bidi w:val="0"/>
        <w:snapToGrid/>
        <w:spacing w:line="360" w:lineRule="auto"/>
        <w:ind w:left="0" w:leftChars="0" w:right="0" w:rightChars="0" w:firstLine="422"/>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1.8</w:t>
      </w:r>
      <w:r>
        <w:rPr>
          <w:rFonts w:hint="eastAsia" w:ascii="宋体" w:hAnsi="宋体" w:eastAsia="宋体" w:cs="宋体"/>
          <w:b/>
          <w:color w:val="auto"/>
          <w:sz w:val="24"/>
          <w:szCs w:val="24"/>
          <w:highlight w:val="none"/>
          <w:lang w:eastAsia="zh-CN"/>
        </w:rPr>
        <w:t>投标人</w:t>
      </w:r>
      <w:r>
        <w:rPr>
          <w:rFonts w:hint="eastAsia" w:ascii="宋体" w:hAnsi="宋体" w:eastAsia="宋体" w:cs="宋体"/>
          <w:b/>
          <w:color w:val="auto"/>
          <w:sz w:val="24"/>
          <w:szCs w:val="24"/>
          <w:highlight w:val="none"/>
        </w:rPr>
        <w:t>提供的《中小企业声明函》声明函内容不实的，属于提供虚假材料谋取中标、成交，依照《中华人民共和国政府采购法》等国家有关规定追究相应责任。</w:t>
      </w:r>
    </w:p>
    <w:p>
      <w:pPr>
        <w:pStyle w:val="6"/>
        <w:keepLines w:val="0"/>
        <w:pageBreakBefore w:val="0"/>
        <w:kinsoku/>
        <w:wordWrap/>
        <w:topLinePunct w:val="0"/>
        <w:autoSpaceDE/>
        <w:autoSpaceDN/>
        <w:bidi w:val="0"/>
        <w:snapToGrid/>
        <w:spacing w:line="360" w:lineRule="auto"/>
        <w:ind w:left="0" w:leftChars="0" w:right="0" w:rightChars="0"/>
        <w:outlineLvl w:val="9"/>
        <w:rPr>
          <w:rFonts w:hint="eastAsia" w:ascii="宋体" w:hAnsi="宋体" w:eastAsia="宋体" w:cs="宋体"/>
          <w:color w:val="auto"/>
          <w:sz w:val="24"/>
          <w:szCs w:val="24"/>
          <w:highlight w:val="none"/>
        </w:rPr>
      </w:pPr>
      <w:bookmarkStart w:id="389" w:name="_Hlk110266772"/>
      <w:r>
        <w:rPr>
          <w:rFonts w:hint="eastAsia" w:ascii="宋体" w:hAnsi="宋体" w:eastAsia="宋体" w:cs="宋体"/>
          <w:color w:val="auto"/>
          <w:sz w:val="24"/>
          <w:szCs w:val="24"/>
          <w:highlight w:val="none"/>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本项目价格扣除优惠幅度以评标办法中明确为准。</w:t>
      </w:r>
      <w:bookmarkEnd w:id="389"/>
    </w:p>
    <w:p>
      <w:pPr>
        <w:keepLines w:val="0"/>
        <w:pageBreakBefore w:val="0"/>
        <w:kinsoku/>
        <w:wordWrap/>
        <w:topLinePunct w:val="0"/>
        <w:autoSpaceDE/>
        <w:autoSpaceDN/>
        <w:bidi w:val="0"/>
        <w:snapToGrid/>
        <w:spacing w:line="360" w:lineRule="auto"/>
        <w:ind w:left="0" w:leftChars="0" w:right="0" w:rightChars="0" w:firstLine="482"/>
        <w:outlineLvl w:val="9"/>
        <w:rPr>
          <w:rFonts w:hint="eastAsia" w:ascii="宋体" w:hAnsi="宋体" w:eastAsia="宋体" w:cs="宋体"/>
          <w:b/>
          <w:bCs/>
          <w:color w:val="auto"/>
          <w:sz w:val="24"/>
          <w:szCs w:val="24"/>
          <w:highlight w:val="none"/>
        </w:rPr>
      </w:pPr>
      <w:bookmarkStart w:id="390" w:name="_Toc26783948"/>
      <w:bookmarkStart w:id="391" w:name="_Toc117503150"/>
      <w:r>
        <w:rPr>
          <w:rFonts w:hint="eastAsia" w:ascii="宋体" w:hAnsi="宋体" w:eastAsia="宋体" w:cs="宋体"/>
          <w:b/>
          <w:bCs/>
          <w:color w:val="auto"/>
          <w:sz w:val="24"/>
          <w:szCs w:val="24"/>
          <w:highlight w:val="none"/>
        </w:rPr>
        <w:t>2. 关于节能产品及环境标志产品</w:t>
      </w:r>
      <w:bookmarkEnd w:id="390"/>
      <w:bookmarkEnd w:id="391"/>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2.1根据《财政部 发展改革委 生态环境部 市场监管总局 关于调整优化节能产品、环境标志产品政府采购执行机制的通知》（财库〔2019〕9号），对政府采购节能产品、环境标志产品实施品目清单管理。</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2.2节能产品是指列入财政部和发展改革委公布的《关于印发节能产品政府采购品目清单的通知》（财库〔2019〕19号）《节能产品政府采购品目清单》中的产品，其中以“★”标注的为政府强制采购产品。</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2.3环境标志产品是指列入财政部和生态环境部公布的《关于印发环境标志产品政府采购品目清单的通知》（财库〔2019〕18号）《环境标志产品政府采购品目清单》中的产品。</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2.4产品属于节能产品或环境标志产品的，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2.5若</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自行承担。</w:t>
      </w:r>
    </w:p>
    <w:p>
      <w:pPr>
        <w:keepLines w:val="0"/>
        <w:pageBreakBefore w:val="0"/>
        <w:kinsoku/>
        <w:wordWrap/>
        <w:topLinePunct w:val="0"/>
        <w:autoSpaceDE/>
        <w:autoSpaceDN/>
        <w:bidi w:val="0"/>
        <w:snapToGrid/>
        <w:spacing w:line="360" w:lineRule="auto"/>
        <w:ind w:left="0" w:leftChars="0" w:right="0" w:rightChars="0" w:firstLine="482"/>
        <w:outlineLvl w:val="9"/>
        <w:rPr>
          <w:rFonts w:hint="eastAsia" w:ascii="宋体" w:hAnsi="宋体" w:eastAsia="宋体" w:cs="宋体"/>
          <w:b/>
          <w:bCs/>
          <w:color w:val="auto"/>
          <w:sz w:val="24"/>
          <w:szCs w:val="24"/>
          <w:highlight w:val="none"/>
        </w:rPr>
      </w:pPr>
      <w:bookmarkStart w:id="392" w:name="_Toc117503151"/>
      <w:r>
        <w:rPr>
          <w:rFonts w:hint="eastAsia" w:ascii="宋体" w:hAnsi="宋体" w:eastAsia="宋体" w:cs="宋体"/>
          <w:b/>
          <w:bCs/>
          <w:color w:val="auto"/>
          <w:sz w:val="24"/>
          <w:szCs w:val="24"/>
          <w:highlight w:val="none"/>
        </w:rPr>
        <w:t>3. 关于监狱企业</w:t>
      </w:r>
      <w:bookmarkEnd w:id="392"/>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3.2监狱企业参加政府采购活动时，应当提供由省级以上监狱管理局、戒毒管理局（含新疆生产建设兵团）出具的属于监狱企业的证明文件。</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3.3在政府采购活动中，监狱企业视同小型、微型企业，享受预留份额、评审中价格扣除等政府采购促进中小企业发展的政府采购政策。</w:t>
      </w:r>
    </w:p>
    <w:p>
      <w:pPr>
        <w:keepLines w:val="0"/>
        <w:pageBreakBefore w:val="0"/>
        <w:kinsoku/>
        <w:wordWrap/>
        <w:topLinePunct w:val="0"/>
        <w:autoSpaceDE/>
        <w:autoSpaceDN/>
        <w:bidi w:val="0"/>
        <w:snapToGrid/>
        <w:spacing w:line="360" w:lineRule="auto"/>
        <w:ind w:left="0" w:leftChars="0" w:right="0" w:rightChars="0" w:firstLine="482"/>
        <w:outlineLvl w:val="9"/>
        <w:rPr>
          <w:rFonts w:hint="eastAsia" w:ascii="宋体" w:hAnsi="宋体" w:eastAsia="宋体" w:cs="宋体"/>
          <w:b/>
          <w:bCs/>
          <w:color w:val="auto"/>
          <w:sz w:val="24"/>
          <w:szCs w:val="24"/>
          <w:highlight w:val="none"/>
        </w:rPr>
      </w:pPr>
      <w:bookmarkStart w:id="393" w:name="_Toc117503152"/>
      <w:r>
        <w:rPr>
          <w:rFonts w:hint="eastAsia" w:ascii="宋体" w:hAnsi="宋体" w:eastAsia="宋体" w:cs="宋体"/>
          <w:b/>
          <w:bCs/>
          <w:color w:val="auto"/>
          <w:sz w:val="24"/>
          <w:szCs w:val="24"/>
          <w:highlight w:val="none"/>
        </w:rPr>
        <w:t>4. 关于残疾人福利性单位</w:t>
      </w:r>
      <w:bookmarkEnd w:id="393"/>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符合条件的残疾人福利性单位在参加政府采购活动时，应当按《三部门联合发布关于促进残疾人就业政府采购政策的通知》（财库〔2017〕141号）提供规定的《残疾人福利性单位声明函》，并对声明的真实性负责。</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4.2本项目针对残疾人福利性单位产品的价格给予价格扣除，用扣除后的价格参与评审。残疾人福利性单位属于小型、微型企业的，不重复享受政策。</w:t>
      </w:r>
    </w:p>
    <w:p>
      <w:pPr>
        <w:keepLines w:val="0"/>
        <w:pageBreakBefore w:val="0"/>
        <w:kinsoku/>
        <w:wordWrap/>
        <w:topLinePunct w:val="0"/>
        <w:autoSpaceDE/>
        <w:autoSpaceDN/>
        <w:bidi w:val="0"/>
        <w:snapToGrid/>
        <w:spacing w:line="360" w:lineRule="auto"/>
        <w:ind w:left="0" w:leftChars="0" w:right="0" w:rightChars="0" w:firstLine="482"/>
        <w:outlineLvl w:val="9"/>
        <w:rPr>
          <w:rFonts w:hint="eastAsia" w:ascii="宋体" w:hAnsi="宋体" w:eastAsia="宋体" w:cs="宋体"/>
          <w:b/>
          <w:bCs/>
          <w:color w:val="auto"/>
          <w:sz w:val="24"/>
          <w:szCs w:val="24"/>
          <w:highlight w:val="none"/>
        </w:rPr>
      </w:pPr>
      <w:bookmarkStart w:id="394" w:name="_Toc117503153"/>
      <w:bookmarkStart w:id="395" w:name="_Toc26783949"/>
      <w:r>
        <w:rPr>
          <w:rFonts w:hint="eastAsia" w:ascii="宋体" w:hAnsi="宋体" w:eastAsia="宋体" w:cs="宋体"/>
          <w:b/>
          <w:bCs/>
          <w:color w:val="auto"/>
          <w:sz w:val="24"/>
          <w:szCs w:val="24"/>
          <w:highlight w:val="none"/>
        </w:rPr>
        <w:t>5. 其他</w:t>
      </w:r>
      <w:bookmarkEnd w:id="394"/>
      <w:bookmarkEnd w:id="395"/>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5.1提供相同品牌产品且通过资格审查、符合性审查的不同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参加同一合同项下投标的，按一家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计算，评审后得分最高的同品牌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获得中标人推荐资格；评审得分相同的，由评标委员会投票推荐（少数服从多数的原则）的方式确定一个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获得中标人推荐资格，其他同品牌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不作为中标候选人。</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5.2非单一产品采购项目，多家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提供的核心产品品牌（核心产品由采购人根据采购项目技术构成、产品价格比重等确定）相同的，按前款规定处理。</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5.3提供相同品牌产品且通过资格审查、符合性审查的不同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参加同一合同项下投标的，按一家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计算，评审后得分最高的同品牌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获得成交人推荐资格；评审得分相同的，由磋商小组投票推荐（少数服从多数的原则）的方式确定一个</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获得成交人候选推荐资格，其他同品牌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不作为</w:t>
      </w:r>
      <w:r>
        <w:rPr>
          <w:rFonts w:hint="eastAsia" w:ascii="宋体" w:hAnsi="宋体" w:cs="宋体"/>
          <w:color w:val="auto"/>
          <w:sz w:val="24"/>
          <w:szCs w:val="24"/>
          <w:highlight w:val="none"/>
          <w:lang w:eastAsia="zh-CN"/>
        </w:rPr>
        <w:t>中标候选人</w:t>
      </w:r>
      <w:r>
        <w:rPr>
          <w:rFonts w:hint="eastAsia" w:ascii="宋体" w:hAnsi="宋体" w:eastAsia="宋体" w:cs="宋体"/>
          <w:color w:val="auto"/>
          <w:sz w:val="24"/>
          <w:szCs w:val="24"/>
          <w:highlight w:val="none"/>
        </w:rPr>
        <w:t>。</w:t>
      </w:r>
    </w:p>
    <w:p>
      <w:pPr>
        <w:keepLines w:val="0"/>
        <w:pageBreakBefore w:val="0"/>
        <w:kinsoku/>
        <w:wordWrap/>
        <w:topLinePunct w:val="0"/>
        <w:autoSpaceDE/>
        <w:autoSpaceDN/>
        <w:bidi w:val="0"/>
        <w:snapToGrid/>
        <w:spacing w:line="360" w:lineRule="auto"/>
        <w:ind w:left="0" w:leftChars="0" w:right="0" w:rightChars="0" w:firstLine="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5.4非单一产品采购项目，多家</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提供的核心产品品牌（核心产品由采购人根据采购项目技术构成、产品价格比重等确定）相同的，按前款规定处理。</w:t>
      </w:r>
    </w:p>
    <w:p>
      <w:pPr>
        <w:keepLines w:val="0"/>
        <w:pageBreakBefore w:val="0"/>
        <w:kinsoku/>
        <w:wordWrap/>
        <w:topLinePunct w:val="0"/>
        <w:autoSpaceDE/>
        <w:autoSpaceDN/>
        <w:bidi w:val="0"/>
        <w:snapToGrid/>
        <w:spacing w:line="360" w:lineRule="auto"/>
        <w:ind w:left="0" w:leftChars="0" w:right="0" w:rightChars="0"/>
        <w:rPr>
          <w:rFonts w:hint="eastAsia" w:ascii="宋体" w:hAnsi="宋体" w:eastAsia="宋体" w:cs="宋体"/>
          <w:color w:val="auto"/>
          <w:sz w:val="24"/>
          <w:szCs w:val="24"/>
          <w:highlight w:val="none"/>
        </w:rPr>
        <w:sectPr>
          <w:pgSz w:w="11900" w:h="16838"/>
          <w:pgMar w:top="1417" w:right="1417" w:bottom="1417" w:left="1417" w:header="850" w:footer="850" w:gutter="0"/>
          <w:pgNumType w:fmt="decimal"/>
          <w:cols w:space="0" w:num="1"/>
          <w:titlePg/>
          <w:docGrid w:linePitch="360" w:charSpace="0"/>
        </w:sectPr>
      </w:pPr>
    </w:p>
    <w:p>
      <w:pPr>
        <w:pStyle w:val="2"/>
        <w:keepLines w:val="0"/>
        <w:pageBreakBefore w:val="0"/>
        <w:kinsoku/>
        <w:wordWrap/>
        <w:topLinePunct w:val="0"/>
        <w:autoSpaceDE/>
        <w:autoSpaceDN/>
        <w:bidi w:val="0"/>
        <w:snapToGrid/>
        <w:spacing w:after="0" w:line="360" w:lineRule="auto"/>
        <w:ind w:left="0" w:leftChars="0" w:right="0" w:righ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pPr>
        <w:pStyle w:val="2"/>
        <w:keepLines w:val="0"/>
        <w:pageBreakBefore w:val="0"/>
        <w:kinsoku/>
        <w:wordWrap/>
        <w:topLinePunct w:val="0"/>
        <w:autoSpaceDE/>
        <w:autoSpaceDN/>
        <w:bidi w:val="0"/>
        <w:snapToGrid/>
        <w:spacing w:after="0" w:line="360" w:lineRule="auto"/>
        <w:ind w:left="0" w:leftChars="0" w:right="0" w:righ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《关于印发中小企业划型标准规定的通知》（工信部联企业〔2011〕300号）</w:t>
      </w:r>
    </w:p>
    <w:p>
      <w:pPr>
        <w:pStyle w:val="2"/>
        <w:keepLines w:val="0"/>
        <w:pageBreakBefore w:val="0"/>
        <w:kinsoku/>
        <w:wordWrap/>
        <w:topLinePunct w:val="0"/>
        <w:autoSpaceDE/>
        <w:autoSpaceDN/>
        <w:bidi w:val="0"/>
        <w:snapToGrid/>
        <w:spacing w:after="0" w:line="360" w:lineRule="auto"/>
        <w:ind w:left="0" w:leftChars="0" w:right="0" w:rightChars="0"/>
        <w:jc w:val="center"/>
        <w:outlineLvl w:val="0"/>
        <w:rPr>
          <w:rFonts w:hint="eastAsia" w:ascii="宋体" w:hAnsi="宋体" w:eastAsia="宋体" w:cs="宋体"/>
          <w:b/>
          <w:bCs/>
          <w:color w:val="auto"/>
          <w:sz w:val="24"/>
          <w:szCs w:val="24"/>
          <w:highlight w:val="none"/>
        </w:rPr>
      </w:pPr>
      <w:bookmarkStart w:id="396" w:name="_Toc28885"/>
      <w:bookmarkStart w:id="397" w:name="_Toc29523"/>
      <w:bookmarkStart w:id="398" w:name="_Toc11661"/>
      <w:r>
        <w:rPr>
          <w:rFonts w:hint="eastAsia" w:ascii="宋体" w:hAnsi="宋体" w:eastAsia="宋体" w:cs="宋体"/>
          <w:b/>
          <w:bCs/>
          <w:color w:val="auto"/>
          <w:sz w:val="24"/>
          <w:szCs w:val="24"/>
          <w:highlight w:val="none"/>
        </w:rPr>
        <w:t>中小企业划型标准规定</w:t>
      </w:r>
      <w:bookmarkEnd w:id="396"/>
      <w:bookmarkEnd w:id="397"/>
      <w:bookmarkEnd w:id="398"/>
    </w:p>
    <w:p>
      <w:pPr>
        <w:pStyle w:val="2"/>
        <w:keepLines w:val="0"/>
        <w:pageBreakBefore w:val="0"/>
        <w:kinsoku/>
        <w:wordWrap/>
        <w:topLinePunct w:val="0"/>
        <w:autoSpaceDE/>
        <w:autoSpaceDN/>
        <w:bidi w:val="0"/>
        <w:snapToGrid/>
        <w:spacing w:after="0" w:line="360" w:lineRule="auto"/>
        <w:ind w:left="0" w:leftChars="0" w:right="0" w:rightChars="0"/>
        <w:rPr>
          <w:rFonts w:hint="eastAsia" w:ascii="宋体" w:hAnsi="宋体" w:eastAsia="宋体" w:cs="宋体"/>
          <w:color w:val="auto"/>
          <w:sz w:val="24"/>
          <w:szCs w:val="24"/>
          <w:highlight w:val="none"/>
        </w:rPr>
      </w:pP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8"/>
        <w:keepLines w:val="0"/>
        <w:pageBreakBefore w:val="0"/>
        <w:tabs>
          <w:tab w:val="left" w:pos="840"/>
        </w:tabs>
        <w:kinsoku/>
        <w:wordWrap/>
        <w:topLinePunct w:val="0"/>
        <w:autoSpaceDE/>
        <w:autoSpaceDN/>
        <w:bidi w:val="0"/>
        <w:snapToGrid/>
        <w:spacing w:after="0" w:afterLines="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ascii="宋体" w:hAnsi="宋体" w:eastAsia="宋体" w:cs="宋体"/>
          <w:color w:val="auto"/>
          <w:sz w:val="24"/>
          <w:szCs w:val="24"/>
          <w:highlight w:val="none"/>
          <w:lang w:val="en-US" w:eastAsia="zh-CN"/>
        </w:rPr>
      </w:pPr>
    </w:p>
    <w:sectPr>
      <w:pgSz w:w="11906" w:h="16838"/>
      <w:pgMar w:top="1440" w:right="1440" w:bottom="144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098941"/>
    <w:multiLevelType w:val="singleLevel"/>
    <w:tmpl w:val="47098941"/>
    <w:lvl w:ilvl="0" w:tentative="0">
      <w:start w:val="1"/>
      <w:numFmt w:val="decimal"/>
      <w:suff w:val="space"/>
      <w:lvlText w:val="%1、"/>
      <w:lvlJc w:val="left"/>
    </w:lvl>
  </w:abstractNum>
  <w:abstractNum w:abstractNumId="1">
    <w:nsid w:val="4CA44A69"/>
    <w:multiLevelType w:val="singleLevel"/>
    <w:tmpl w:val="4CA44A69"/>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 w:name="KSO_WPS_MARK_KEY" w:val="559188f1-3f8a-4cb4-b4b4-0c0e58e8fd5e"/>
  </w:docVars>
  <w:rsids>
    <w:rsidRoot w:val="08817A21"/>
    <w:rsid w:val="006D6D64"/>
    <w:rsid w:val="00952E84"/>
    <w:rsid w:val="00D24FF0"/>
    <w:rsid w:val="00FD6CEB"/>
    <w:rsid w:val="012F07DC"/>
    <w:rsid w:val="01475390"/>
    <w:rsid w:val="01D1338A"/>
    <w:rsid w:val="01E1627D"/>
    <w:rsid w:val="01EC02DD"/>
    <w:rsid w:val="021B4775"/>
    <w:rsid w:val="02A46519"/>
    <w:rsid w:val="032C4EBC"/>
    <w:rsid w:val="041378FD"/>
    <w:rsid w:val="051E25B2"/>
    <w:rsid w:val="05B37F18"/>
    <w:rsid w:val="065710B9"/>
    <w:rsid w:val="06964D1E"/>
    <w:rsid w:val="06AF2D74"/>
    <w:rsid w:val="06E171BA"/>
    <w:rsid w:val="070B6B66"/>
    <w:rsid w:val="071C18C9"/>
    <w:rsid w:val="075B2E8F"/>
    <w:rsid w:val="07BD550F"/>
    <w:rsid w:val="07C05BA3"/>
    <w:rsid w:val="08817A21"/>
    <w:rsid w:val="0891161B"/>
    <w:rsid w:val="08C276F9"/>
    <w:rsid w:val="09707B14"/>
    <w:rsid w:val="09932E30"/>
    <w:rsid w:val="09BE0D28"/>
    <w:rsid w:val="0A222B45"/>
    <w:rsid w:val="0B87083F"/>
    <w:rsid w:val="0B944568"/>
    <w:rsid w:val="0BBC40D1"/>
    <w:rsid w:val="0BC429D0"/>
    <w:rsid w:val="0C9576AE"/>
    <w:rsid w:val="0CB56E1A"/>
    <w:rsid w:val="0D4512CC"/>
    <w:rsid w:val="0DC64CAF"/>
    <w:rsid w:val="0E4D0D49"/>
    <w:rsid w:val="0E9211F5"/>
    <w:rsid w:val="0EA967E6"/>
    <w:rsid w:val="0F1A042F"/>
    <w:rsid w:val="0F937076"/>
    <w:rsid w:val="0FA50043"/>
    <w:rsid w:val="104E7158"/>
    <w:rsid w:val="110411F6"/>
    <w:rsid w:val="1119164B"/>
    <w:rsid w:val="119D391A"/>
    <w:rsid w:val="11BD7BE4"/>
    <w:rsid w:val="12A01831"/>
    <w:rsid w:val="12E34E3B"/>
    <w:rsid w:val="130628D8"/>
    <w:rsid w:val="13E620B2"/>
    <w:rsid w:val="13F41A5D"/>
    <w:rsid w:val="13F5346E"/>
    <w:rsid w:val="144C4F7E"/>
    <w:rsid w:val="144E4536"/>
    <w:rsid w:val="14815B34"/>
    <w:rsid w:val="148F6BEE"/>
    <w:rsid w:val="14C50C9C"/>
    <w:rsid w:val="14D30EE0"/>
    <w:rsid w:val="15944F11"/>
    <w:rsid w:val="15D979F6"/>
    <w:rsid w:val="162C4D11"/>
    <w:rsid w:val="167C182F"/>
    <w:rsid w:val="16922E00"/>
    <w:rsid w:val="16F92E7F"/>
    <w:rsid w:val="17564EB6"/>
    <w:rsid w:val="17885868"/>
    <w:rsid w:val="17946BE8"/>
    <w:rsid w:val="17B1334A"/>
    <w:rsid w:val="18041BA6"/>
    <w:rsid w:val="188449CB"/>
    <w:rsid w:val="188F715F"/>
    <w:rsid w:val="19575C3B"/>
    <w:rsid w:val="198C33B8"/>
    <w:rsid w:val="19B66F16"/>
    <w:rsid w:val="19C7735F"/>
    <w:rsid w:val="1A017673"/>
    <w:rsid w:val="1A324575"/>
    <w:rsid w:val="1A3B730B"/>
    <w:rsid w:val="1A732F49"/>
    <w:rsid w:val="1ACB68E1"/>
    <w:rsid w:val="1AD25EC1"/>
    <w:rsid w:val="1B4B11B9"/>
    <w:rsid w:val="1BB116FE"/>
    <w:rsid w:val="1BBB5CE4"/>
    <w:rsid w:val="1C6B6A4E"/>
    <w:rsid w:val="1D512DA3"/>
    <w:rsid w:val="1D6B0524"/>
    <w:rsid w:val="1DAC18C1"/>
    <w:rsid w:val="1DCC75C8"/>
    <w:rsid w:val="1DF60118"/>
    <w:rsid w:val="1E0839A8"/>
    <w:rsid w:val="1E095E62"/>
    <w:rsid w:val="1E3E0A7F"/>
    <w:rsid w:val="1E5379F4"/>
    <w:rsid w:val="1E875215"/>
    <w:rsid w:val="1FAE1D5C"/>
    <w:rsid w:val="1FF418FF"/>
    <w:rsid w:val="20607D86"/>
    <w:rsid w:val="20946CC2"/>
    <w:rsid w:val="20E73D48"/>
    <w:rsid w:val="20E873DA"/>
    <w:rsid w:val="21554BCB"/>
    <w:rsid w:val="215A39BD"/>
    <w:rsid w:val="21DE514B"/>
    <w:rsid w:val="223F6490"/>
    <w:rsid w:val="228F6F31"/>
    <w:rsid w:val="2302130E"/>
    <w:rsid w:val="233303CB"/>
    <w:rsid w:val="234731C4"/>
    <w:rsid w:val="24547C7E"/>
    <w:rsid w:val="246D02D3"/>
    <w:rsid w:val="24737C5E"/>
    <w:rsid w:val="24950103"/>
    <w:rsid w:val="24AD7057"/>
    <w:rsid w:val="24F44C86"/>
    <w:rsid w:val="25583641"/>
    <w:rsid w:val="255F556E"/>
    <w:rsid w:val="26021907"/>
    <w:rsid w:val="26CA2710"/>
    <w:rsid w:val="270B7F7B"/>
    <w:rsid w:val="27181100"/>
    <w:rsid w:val="289438EC"/>
    <w:rsid w:val="291A47A6"/>
    <w:rsid w:val="29285153"/>
    <w:rsid w:val="2953641F"/>
    <w:rsid w:val="29695A72"/>
    <w:rsid w:val="29C125C6"/>
    <w:rsid w:val="2A047B20"/>
    <w:rsid w:val="2A3037F2"/>
    <w:rsid w:val="2A691E13"/>
    <w:rsid w:val="2D287456"/>
    <w:rsid w:val="2DA90D03"/>
    <w:rsid w:val="2DBB4418"/>
    <w:rsid w:val="2DEE172B"/>
    <w:rsid w:val="2E894D6A"/>
    <w:rsid w:val="2E9F101F"/>
    <w:rsid w:val="2EBC13A2"/>
    <w:rsid w:val="2F350375"/>
    <w:rsid w:val="2FDE2FFD"/>
    <w:rsid w:val="2FF6325E"/>
    <w:rsid w:val="30083A5D"/>
    <w:rsid w:val="30C23098"/>
    <w:rsid w:val="3284622D"/>
    <w:rsid w:val="32947F69"/>
    <w:rsid w:val="32A72832"/>
    <w:rsid w:val="331A1747"/>
    <w:rsid w:val="336C49A3"/>
    <w:rsid w:val="33DB4D01"/>
    <w:rsid w:val="33EF088B"/>
    <w:rsid w:val="34AF4725"/>
    <w:rsid w:val="34F6580F"/>
    <w:rsid w:val="34FB754D"/>
    <w:rsid w:val="354719E5"/>
    <w:rsid w:val="357950EC"/>
    <w:rsid w:val="35C8047F"/>
    <w:rsid w:val="365D53C4"/>
    <w:rsid w:val="36BE184E"/>
    <w:rsid w:val="36DA68BA"/>
    <w:rsid w:val="36DD6153"/>
    <w:rsid w:val="37643BD6"/>
    <w:rsid w:val="37E33064"/>
    <w:rsid w:val="37E402FD"/>
    <w:rsid w:val="382A765C"/>
    <w:rsid w:val="393F076E"/>
    <w:rsid w:val="3AE3337B"/>
    <w:rsid w:val="3AF123DC"/>
    <w:rsid w:val="3C5A4DFA"/>
    <w:rsid w:val="3C6250A3"/>
    <w:rsid w:val="3C9B5389"/>
    <w:rsid w:val="3D67733B"/>
    <w:rsid w:val="3D931088"/>
    <w:rsid w:val="3E703177"/>
    <w:rsid w:val="3EAD405D"/>
    <w:rsid w:val="3EC57870"/>
    <w:rsid w:val="3ED74FA5"/>
    <w:rsid w:val="3ED83CAB"/>
    <w:rsid w:val="3F2172E4"/>
    <w:rsid w:val="402204A1"/>
    <w:rsid w:val="406B75A1"/>
    <w:rsid w:val="4105229D"/>
    <w:rsid w:val="41324F7F"/>
    <w:rsid w:val="413C5593"/>
    <w:rsid w:val="413C58B0"/>
    <w:rsid w:val="415057BB"/>
    <w:rsid w:val="421E7D62"/>
    <w:rsid w:val="4225549B"/>
    <w:rsid w:val="42415A41"/>
    <w:rsid w:val="425A43EC"/>
    <w:rsid w:val="426E79CE"/>
    <w:rsid w:val="42EF2FFB"/>
    <w:rsid w:val="43331C55"/>
    <w:rsid w:val="433429C6"/>
    <w:rsid w:val="436774DB"/>
    <w:rsid w:val="43B73DE7"/>
    <w:rsid w:val="43E20C82"/>
    <w:rsid w:val="44192F9A"/>
    <w:rsid w:val="44895CDB"/>
    <w:rsid w:val="44A1408B"/>
    <w:rsid w:val="44C87131"/>
    <w:rsid w:val="44EB16E7"/>
    <w:rsid w:val="45054A10"/>
    <w:rsid w:val="451538BF"/>
    <w:rsid w:val="45D845B4"/>
    <w:rsid w:val="46427553"/>
    <w:rsid w:val="466E28F2"/>
    <w:rsid w:val="46BF7867"/>
    <w:rsid w:val="475F5827"/>
    <w:rsid w:val="47D93618"/>
    <w:rsid w:val="47EA3F9B"/>
    <w:rsid w:val="482F5E51"/>
    <w:rsid w:val="485A5004"/>
    <w:rsid w:val="49ED38CE"/>
    <w:rsid w:val="4A56081E"/>
    <w:rsid w:val="4A566406"/>
    <w:rsid w:val="4A9B64CC"/>
    <w:rsid w:val="4AB8064A"/>
    <w:rsid w:val="4B3D30C2"/>
    <w:rsid w:val="4B895879"/>
    <w:rsid w:val="4C5925A9"/>
    <w:rsid w:val="4C6B4F7E"/>
    <w:rsid w:val="4CCA5ABE"/>
    <w:rsid w:val="4D137AF0"/>
    <w:rsid w:val="4D27188B"/>
    <w:rsid w:val="4D4364D5"/>
    <w:rsid w:val="4D5048A0"/>
    <w:rsid w:val="4DAF2C1D"/>
    <w:rsid w:val="4E04765A"/>
    <w:rsid w:val="4E644A95"/>
    <w:rsid w:val="4E8E7961"/>
    <w:rsid w:val="4EBD5BF4"/>
    <w:rsid w:val="4F2E0C11"/>
    <w:rsid w:val="4F74239C"/>
    <w:rsid w:val="4F7E6E6B"/>
    <w:rsid w:val="4F941A0B"/>
    <w:rsid w:val="501D3E56"/>
    <w:rsid w:val="505644BA"/>
    <w:rsid w:val="51620707"/>
    <w:rsid w:val="519D207E"/>
    <w:rsid w:val="51D31628"/>
    <w:rsid w:val="522E717A"/>
    <w:rsid w:val="523A19D9"/>
    <w:rsid w:val="53966090"/>
    <w:rsid w:val="53CE42AB"/>
    <w:rsid w:val="53EF5B97"/>
    <w:rsid w:val="53F817ED"/>
    <w:rsid w:val="546F4695"/>
    <w:rsid w:val="5556526F"/>
    <w:rsid w:val="561843C9"/>
    <w:rsid w:val="563034C0"/>
    <w:rsid w:val="56BB73BB"/>
    <w:rsid w:val="573462A7"/>
    <w:rsid w:val="57532871"/>
    <w:rsid w:val="57CF4940"/>
    <w:rsid w:val="58296419"/>
    <w:rsid w:val="58473E17"/>
    <w:rsid w:val="58F44C79"/>
    <w:rsid w:val="597F572C"/>
    <w:rsid w:val="59FA62BF"/>
    <w:rsid w:val="5A3F1F24"/>
    <w:rsid w:val="5AE5486D"/>
    <w:rsid w:val="5B2F2389"/>
    <w:rsid w:val="5B8F0C89"/>
    <w:rsid w:val="5CCE3A33"/>
    <w:rsid w:val="5D5F6439"/>
    <w:rsid w:val="5DFE030A"/>
    <w:rsid w:val="5E9D6225"/>
    <w:rsid w:val="5EA94ACC"/>
    <w:rsid w:val="5ED64FEF"/>
    <w:rsid w:val="5F2B6F1B"/>
    <w:rsid w:val="60F90953"/>
    <w:rsid w:val="610331B8"/>
    <w:rsid w:val="61135EB8"/>
    <w:rsid w:val="6134375A"/>
    <w:rsid w:val="61552880"/>
    <w:rsid w:val="6166062F"/>
    <w:rsid w:val="61D9058B"/>
    <w:rsid w:val="625829CF"/>
    <w:rsid w:val="62641B33"/>
    <w:rsid w:val="630F288F"/>
    <w:rsid w:val="63152B80"/>
    <w:rsid w:val="63240476"/>
    <w:rsid w:val="63F029A9"/>
    <w:rsid w:val="63F8497C"/>
    <w:rsid w:val="645F07B6"/>
    <w:rsid w:val="648E2E5C"/>
    <w:rsid w:val="649015CE"/>
    <w:rsid w:val="64A70A2F"/>
    <w:rsid w:val="653E41AE"/>
    <w:rsid w:val="675D4EDF"/>
    <w:rsid w:val="678708EC"/>
    <w:rsid w:val="67B05DA6"/>
    <w:rsid w:val="67D16185"/>
    <w:rsid w:val="680B4CAC"/>
    <w:rsid w:val="6828049B"/>
    <w:rsid w:val="68906041"/>
    <w:rsid w:val="68D835A2"/>
    <w:rsid w:val="693A7AE6"/>
    <w:rsid w:val="694330B3"/>
    <w:rsid w:val="6A0953F7"/>
    <w:rsid w:val="6A38569B"/>
    <w:rsid w:val="6A603E5B"/>
    <w:rsid w:val="6ACA3A8C"/>
    <w:rsid w:val="6B863A2F"/>
    <w:rsid w:val="6D156B14"/>
    <w:rsid w:val="6D4256F4"/>
    <w:rsid w:val="6D900FA5"/>
    <w:rsid w:val="6D9B0849"/>
    <w:rsid w:val="6DF745DE"/>
    <w:rsid w:val="6FFB55DF"/>
    <w:rsid w:val="701F2876"/>
    <w:rsid w:val="70534214"/>
    <w:rsid w:val="706436E2"/>
    <w:rsid w:val="70ED1C4A"/>
    <w:rsid w:val="719630DB"/>
    <w:rsid w:val="72331F17"/>
    <w:rsid w:val="72753070"/>
    <w:rsid w:val="72E4007D"/>
    <w:rsid w:val="73171CA3"/>
    <w:rsid w:val="7329331A"/>
    <w:rsid w:val="733C17B7"/>
    <w:rsid w:val="737D3712"/>
    <w:rsid w:val="73AA4775"/>
    <w:rsid w:val="73C13552"/>
    <w:rsid w:val="73F656E3"/>
    <w:rsid w:val="74257F85"/>
    <w:rsid w:val="744C4F40"/>
    <w:rsid w:val="75792336"/>
    <w:rsid w:val="75F608F4"/>
    <w:rsid w:val="761612A2"/>
    <w:rsid w:val="768A3BF7"/>
    <w:rsid w:val="769767EC"/>
    <w:rsid w:val="76DC3903"/>
    <w:rsid w:val="771D2DAA"/>
    <w:rsid w:val="774422E4"/>
    <w:rsid w:val="77896BAA"/>
    <w:rsid w:val="77B47EBD"/>
    <w:rsid w:val="77E15F71"/>
    <w:rsid w:val="78000AED"/>
    <w:rsid w:val="789E20B4"/>
    <w:rsid w:val="7A0304D2"/>
    <w:rsid w:val="7A9279F6"/>
    <w:rsid w:val="7AAF05A8"/>
    <w:rsid w:val="7B4756F1"/>
    <w:rsid w:val="7C9603F6"/>
    <w:rsid w:val="7D097714"/>
    <w:rsid w:val="7D4315ED"/>
    <w:rsid w:val="7DB56486"/>
    <w:rsid w:val="7DEE7639"/>
    <w:rsid w:val="7DF035B5"/>
    <w:rsid w:val="7E5576B9"/>
    <w:rsid w:val="7E620362"/>
    <w:rsid w:val="7E77762F"/>
    <w:rsid w:val="7EAA3118"/>
    <w:rsid w:val="7F4B53E5"/>
    <w:rsid w:val="7F514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宋体" w:asciiTheme="minorAscii" w:hAnsiTheme="minorAscii" w:cstheme="minorBidi"/>
      <w:kern w:val="2"/>
      <w:sz w:val="24"/>
      <w:szCs w:val="24"/>
      <w:lang w:val="en-US" w:eastAsia="zh-CN" w:bidi="ar-SA"/>
    </w:rPr>
  </w:style>
  <w:style w:type="paragraph" w:styleId="3">
    <w:name w:val="heading 1"/>
    <w:basedOn w:val="1"/>
    <w:next w:val="1"/>
    <w:qFormat/>
    <w:uiPriority w:val="0"/>
    <w:pPr>
      <w:keepNext/>
      <w:keepLines/>
      <w:spacing w:beforeLines="50" w:afterLines="50"/>
      <w:jc w:val="center"/>
      <w:outlineLvl w:val="0"/>
    </w:pPr>
    <w:rPr>
      <w:rFonts w:ascii="Calibri" w:hAnsi="Calibri" w:eastAsia="黑体" w:cs="Times New Roman"/>
      <w:b/>
      <w:spacing w:val="20"/>
      <w:kern w:val="44"/>
      <w:sz w:val="36"/>
      <w:szCs w:val="20"/>
    </w:rPr>
  </w:style>
  <w:style w:type="paragraph" w:styleId="4">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qFormat/>
    <w:uiPriority w:val="0"/>
    <w:pPr>
      <w:keepNext/>
      <w:keepLines/>
      <w:ind w:firstLine="364" w:firstLineChars="151"/>
      <w:jc w:val="left"/>
      <w:outlineLvl w:val="2"/>
    </w:pPr>
    <w:rPr>
      <w:rFonts w:hAnsi="Calibri" w:eastAsia="黑体" w:cs="Times New Roman"/>
      <w:b/>
      <w:sz w:val="24"/>
      <w:szCs w:val="24"/>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rPr>
      <w:kern w:val="0"/>
      <w:sz w:val="24"/>
    </w:rPr>
  </w:style>
  <w:style w:type="paragraph" w:styleId="6">
    <w:name w:val="Normal Indent"/>
    <w:basedOn w:val="1"/>
    <w:next w:val="1"/>
    <w:qFormat/>
    <w:uiPriority w:val="99"/>
    <w:pPr>
      <w:ind w:firstLine="420"/>
    </w:pPr>
  </w:style>
  <w:style w:type="paragraph" w:styleId="7">
    <w:name w:val="annotation text"/>
    <w:basedOn w:val="1"/>
    <w:qFormat/>
    <w:uiPriority w:val="0"/>
    <w:pPr>
      <w:jc w:val="left"/>
    </w:pPr>
  </w:style>
  <w:style w:type="paragraph" w:styleId="8">
    <w:name w:val="Body Text Indent"/>
    <w:basedOn w:val="1"/>
    <w:next w:val="9"/>
    <w:qFormat/>
    <w:uiPriority w:val="0"/>
    <w:pPr>
      <w:spacing w:after="120" w:afterLines="0"/>
      <w:ind w:left="420" w:leftChars="200"/>
    </w:pPr>
  </w:style>
  <w:style w:type="paragraph" w:styleId="9">
    <w:name w:val="envelope return"/>
    <w:basedOn w:val="1"/>
    <w:qFormat/>
    <w:uiPriority w:val="0"/>
    <w:pPr>
      <w:snapToGrid w:val="0"/>
    </w:pPr>
    <w:rPr>
      <w:rFonts w:ascii="Arial" w:hAnsi="Arial"/>
      <w:szCs w:val="20"/>
    </w:rPr>
  </w:style>
  <w:style w:type="paragraph" w:styleId="10">
    <w:name w:val="Plain Text"/>
    <w:basedOn w:val="1"/>
    <w:unhideWhenUsed/>
    <w:qFormat/>
    <w:uiPriority w:val="99"/>
    <w:rPr>
      <w:rFonts w:hAnsi="Calibri" w:cs="Times New Roman"/>
      <w:szCs w:val="20"/>
    </w:rPr>
  </w:style>
  <w:style w:type="paragraph" w:styleId="11">
    <w:name w:val="footer"/>
    <w:basedOn w:val="1"/>
    <w:next w:val="12"/>
    <w:unhideWhenUsed/>
    <w:qFormat/>
    <w:uiPriority w:val="99"/>
    <w:pPr>
      <w:tabs>
        <w:tab w:val="center" w:pos="4153"/>
        <w:tab w:val="right" w:pos="8306"/>
      </w:tabs>
      <w:snapToGrid w:val="0"/>
      <w:spacing w:line="240" w:lineRule="auto"/>
      <w:jc w:val="left"/>
    </w:pPr>
    <w:rPr>
      <w:sz w:val="18"/>
      <w:szCs w:val="18"/>
    </w:rPr>
  </w:style>
  <w:style w:type="paragraph" w:styleId="12">
    <w:name w:val="header"/>
    <w:basedOn w:val="1"/>
    <w:next w:val="1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Normal (Web)"/>
    <w:basedOn w:val="1"/>
    <w:qFormat/>
    <w:uiPriority w:val="99"/>
    <w:pPr>
      <w:widowControl/>
      <w:spacing w:before="100" w:beforeAutospacing="1" w:after="100" w:afterAutospacing="1"/>
      <w:jc w:val="left"/>
    </w:pPr>
    <w:rPr>
      <w:rFonts w:cs="Times New Roman"/>
      <w:kern w:val="0"/>
      <w:szCs w:val="24"/>
    </w:rPr>
  </w:style>
  <w:style w:type="paragraph" w:styleId="16">
    <w:name w:val="Body Text First Indent"/>
    <w:basedOn w:val="2"/>
    <w:qFormat/>
    <w:uiPriority w:val="0"/>
    <w:pPr>
      <w:ind w:firstLine="420" w:firstLineChars="100"/>
    </w:pPr>
    <w:rPr>
      <w:rFonts w:ascii="Calibri" w:hAnsi="Calibri"/>
      <w:sz w:val="21"/>
    </w:rPr>
  </w:style>
  <w:style w:type="paragraph" w:styleId="17">
    <w:name w:val="Body Text First Indent 2"/>
    <w:basedOn w:val="8"/>
    <w:qFormat/>
    <w:uiPriority w:val="0"/>
    <w:pPr>
      <w:spacing w:after="120" w:line="240" w:lineRule="auto"/>
      <w:ind w:left="420" w:leftChars="200" w:firstLine="420" w:firstLineChars="200"/>
    </w:pPr>
    <w:rPr>
      <w:rFonts w:ascii="Times New Roman"/>
      <w:spacing w:val="0"/>
      <w:sz w:val="21"/>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qFormat/>
    <w:uiPriority w:val="0"/>
    <w:rPr>
      <w:rFonts w:cs="Times New Roman"/>
      <w:color w:val="0000FF"/>
      <w:u w:val="single"/>
    </w:rPr>
  </w:style>
  <w:style w:type="table" w:customStyle="1" w:styleId="22">
    <w:name w:val="网格型1"/>
    <w:basedOn w:val="1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3">
    <w:name w:val="标题2"/>
    <w:basedOn w:val="4"/>
    <w:qFormat/>
    <w:uiPriority w:val="0"/>
    <w:pPr>
      <w:spacing w:before="120" w:after="120" w:line="240" w:lineRule="auto"/>
      <w:ind w:firstLine="0" w:firstLineChars="0"/>
      <w:jc w:val="center"/>
    </w:pPr>
    <w:rPr>
      <w:rFonts w:ascii="宋体" w:hAnsi="宋体" w:eastAsia="黑体"/>
      <w:kern w:val="0"/>
      <w:sz w:val="28"/>
      <w:szCs w:val="30"/>
    </w:rPr>
  </w:style>
  <w:style w:type="paragraph" w:customStyle="1" w:styleId="24">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paragraph" w:customStyle="1" w:styleId="26">
    <w:name w:val="WPSOffice手动目录 2"/>
    <w:qFormat/>
    <w:uiPriority w:val="0"/>
    <w:pPr>
      <w:ind w:leftChars="200"/>
    </w:pPr>
    <w:rPr>
      <w:rFonts w:ascii="Times New Roman" w:hAnsi="Times New Roman" w:eastAsia="宋体" w:cs="Times New Roman"/>
      <w:sz w:val="20"/>
      <w:szCs w:val="20"/>
    </w:rPr>
  </w:style>
  <w:style w:type="paragraph" w:customStyle="1" w:styleId="27">
    <w:name w:val="Table Paragraph"/>
    <w:basedOn w:val="1"/>
    <w:qFormat/>
    <w:uiPriority w:val="1"/>
    <w:rPr>
      <w:rFonts w:ascii="宋体" w:hAnsi="宋体" w:eastAsia="宋体" w:cs="宋体"/>
      <w:lang w:val="zh-CN" w:eastAsia="zh-CN" w:bidi="zh-CN"/>
    </w:rPr>
  </w:style>
  <w:style w:type="paragraph" w:customStyle="1" w:styleId="28">
    <w:name w:val="正文缩进1"/>
    <w:basedOn w:val="1"/>
    <w:qFormat/>
    <w:uiPriority w:val="0"/>
    <w:pPr>
      <w:ind w:firstLine="420" w:firstLineChars="200"/>
    </w:pPr>
  </w:style>
  <w:style w:type="paragraph" w:customStyle="1" w:styleId="29">
    <w:name w:val="正文缩进11"/>
    <w:basedOn w:val="1"/>
    <w:qFormat/>
    <w:uiPriority w:val="0"/>
    <w:pPr>
      <w:ind w:firstLine="420"/>
    </w:pPr>
  </w:style>
  <w:style w:type="paragraph" w:customStyle="1" w:styleId="30">
    <w:name w:val="样式 标题 3 + (中文) 黑体 小四 非加粗 段前: 7.8 磅 段后: 0 磅 行距: 固定值 20 磅"/>
    <w:basedOn w:val="5"/>
    <w:qFormat/>
    <w:uiPriority w:val="0"/>
    <w:pPr>
      <w:widowControl w:val="0"/>
      <w:spacing w:before="0" w:after="0" w:line="400" w:lineRule="exact"/>
      <w:jc w:val="both"/>
    </w:pPr>
    <w:rPr>
      <w:rFonts w:eastAsia="黑体" w:cs="宋体"/>
      <w:b w:val="0"/>
      <w:kern w:val="2"/>
      <w:sz w:val="24"/>
      <w:szCs w:val="20"/>
    </w:rPr>
  </w:style>
  <w:style w:type="paragraph" w:customStyle="1" w:styleId="31">
    <w:name w:val="正文空2字"/>
    <w:basedOn w:val="32"/>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32">
    <w:name w:val="左对齐正文"/>
    <w:qFormat/>
    <w:uiPriority w:val="99"/>
    <w:rPr>
      <w:rFonts w:ascii="Calibri" w:hAnsi="Calibri" w:eastAsia="仿宋_GB2312" w:cs="Calibri"/>
      <w:kern w:val="2"/>
      <w:sz w:val="32"/>
      <w:szCs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43819</Words>
  <Characters>46644</Characters>
  <Lines>0</Lines>
  <Paragraphs>0</Paragraphs>
  <TotalTime>1</TotalTime>
  <ScaleCrop>false</ScaleCrop>
  <LinksUpToDate>false</LinksUpToDate>
  <CharactersWithSpaces>48215</CharactersWithSpaces>
  <Application>WPS Office_11.1.0.12375_F1E327BC-269C-435d-A152-05C5408002CA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2024-04-01T05:50:00Z</dcterms:created>
  <dc:creator>168998918</dc:creator>
  <cp:lastModifiedBy>168998918</cp:lastModifiedBy>
  <dcterms:modified xsi:type="dcterms:W3CDTF">2025-03-31T12:05:48Z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2052-11.1.0.12375</vt:lpwstr>
  </property>
  <property fmtid="{D5CDD505-2E9C-101B-9397-08002B2CF9AE}" pid="3" name="ICV">
    <vt:lpwstr>ED2830263F1F401C8A59AD328E657109_13</vt:lpwstr>
  </property>
  <property fmtid="{D5CDD505-2E9C-101B-9397-08002B2CF9AE}" pid="4" name="KSOTemplateDocerSaveRecord">
    <vt:lpwstr>eyJoZGlkIjoiZTIzMTgwNjJkM2FiYjhiNzY3Y2Y1MmNkZGZjYTdmYzUiLCJ1c2VySWQiOiIxNTk2MDQxMSJ9</vt:lpwstr>
  </property>
</Properties>
</file>