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版本号：SXZCZB2026-ZCCS-042720260429001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DSA介入手术室防护装修改造项目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SXZCZB2026-ZCCS-0427</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DSA介入手术室防护装修改造项目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SXZCZB2026-ZCCS-0427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DSA介入手术室防护装修改造项目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DSA介入手术室防护装修改造项目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竞争性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具备建设行政主管部门核发的【建筑装修装饰工程施工专业承包二级】及以上资质和【建筑机电安装工程专业承包三级】及以上资质并在人员、设备、资金等方面具备相应的能力，且具备合法有效的安全生产许可证；</w:t>
      </w:r>
    </w:p>
    <w:p>
      <w:pPr>
        <w:pStyle w:val="null3"/>
      </w:pPr>
      <w:r>
        <w:rPr>
          <w:rFonts w:ascii="仿宋_GB2312" w:hAnsi="仿宋_GB2312" w:cs="仿宋_GB2312" w:eastAsia="仿宋_GB2312"/>
        </w:rPr>
        <w:t>10、项目经理：供应商拟派项目经理须具备【建筑工程专业或机电工程专业】二级及以上注册建造师执业资格及合法有效的安全生产考核合格证（建安B证），未担任其它在建工程的施工项目经理或工程总承包项目负责人，且在本单位注册(提供无在建工程承诺书及近一年社保缴纳证明)；</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陕西省西安市长安区航天大道东段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倪沛、胡晓均、王欣玫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踏勘时间：2026-05-11 09:30:00</w:t>
            </w:r>
          </w:p>
          <w:p>
            <w:pPr>
              <w:pStyle w:val="null3"/>
              <w:ind w:firstLine="975"/>
            </w:pPr>
            <w:r>
              <w:rPr>
                <w:rFonts w:ascii="仿宋_GB2312" w:hAnsi="仿宋_GB2312" w:cs="仿宋_GB2312" w:eastAsia="仿宋_GB2312"/>
              </w:rPr>
              <w:t>踏勘地点：西安市胸科医院行政楼</w:t>
            </w:r>
          </w:p>
          <w:p>
            <w:pPr>
              <w:pStyle w:val="null3"/>
              <w:ind w:firstLine="975"/>
            </w:pPr>
            <w:r>
              <w:rPr>
                <w:rFonts w:ascii="仿宋_GB2312" w:hAnsi="仿宋_GB2312" w:cs="仿宋_GB2312" w:eastAsia="仿宋_GB2312"/>
              </w:rPr>
              <w:t>联系人：郑老师/倪沛</w:t>
            </w:r>
          </w:p>
          <w:p>
            <w:pPr>
              <w:pStyle w:val="null3"/>
              <w:ind w:firstLine="975"/>
            </w:pPr>
            <w:r>
              <w:rPr>
                <w:rFonts w:ascii="仿宋_GB2312" w:hAnsi="仿宋_GB2312" w:cs="仿宋_GB2312" w:eastAsia="仿宋_GB2312"/>
              </w:rPr>
              <w:t>联系电话号码：029-62500115/15902942119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联系人：倪沛、胡晓均、王欣玫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678,000.00</w:t>
      </w:r>
    </w:p>
    <w:p>
      <w:pPr>
        <w:pStyle w:val="null3"/>
      </w:pPr>
      <w:r>
        <w:rPr>
          <w:rFonts w:ascii="仿宋_GB2312" w:hAnsi="仿宋_GB2312" w:cs="仿宋_GB2312" w:eastAsia="仿宋_GB2312"/>
        </w:rPr>
        <w:t>采购包最高限价（元）: 678,000.00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DSA介入手术室防护装修改造项目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标的名称：DSA介入手术室防护装修改造项目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pPr>
            <w:r>
              <w:rPr>
                <w:rFonts w:ascii="仿宋_GB2312" w:hAnsi="仿宋_GB2312" w:cs="仿宋_GB2312" w:eastAsia="仿宋_GB2312"/>
                <w:sz w:val="24"/>
              </w:rPr>
              <w:t>（一）项目基本信息</w:t>
            </w:r>
          </w:p>
          <w:p>
            <w:pPr>
              <w:pStyle w:val="null3"/>
            </w:pPr>
            <w:r>
              <w:rPr>
                <w:rFonts w:ascii="仿宋_GB2312" w:hAnsi="仿宋_GB2312" w:cs="仿宋_GB2312" w:eastAsia="仿宋_GB2312"/>
                <w:sz w:val="24"/>
              </w:rPr>
              <w:t>项目名称：</w:t>
            </w:r>
            <w:r>
              <w:rPr>
                <w:rFonts w:ascii="仿宋_GB2312" w:hAnsi="仿宋_GB2312" w:cs="仿宋_GB2312" w:eastAsia="仿宋_GB2312"/>
                <w:sz w:val="24"/>
              </w:rPr>
              <w:t>DSA介入手术室防护装修改造项目</w:t>
            </w:r>
          </w:p>
          <w:p>
            <w:pPr>
              <w:pStyle w:val="null3"/>
            </w:pPr>
            <w:r>
              <w:rPr>
                <w:rFonts w:ascii="仿宋_GB2312" w:hAnsi="仿宋_GB2312" w:cs="仿宋_GB2312" w:eastAsia="仿宋_GB2312"/>
                <w:sz w:val="24"/>
              </w:rPr>
              <w:t>采购预算：</w:t>
            </w:r>
            <w:r>
              <w:rPr>
                <w:rFonts w:ascii="仿宋_GB2312" w:hAnsi="仿宋_GB2312" w:cs="仿宋_GB2312" w:eastAsia="仿宋_GB2312"/>
                <w:sz w:val="24"/>
              </w:rPr>
              <w:t>67.8万元，</w:t>
            </w:r>
          </w:p>
          <w:p>
            <w:pPr>
              <w:pStyle w:val="null3"/>
            </w:pPr>
            <w:r>
              <w:rPr>
                <w:rFonts w:ascii="仿宋_GB2312" w:hAnsi="仿宋_GB2312" w:cs="仿宋_GB2312" w:eastAsia="仿宋_GB2312"/>
                <w:sz w:val="24"/>
              </w:rPr>
              <w:t>项目地点：西安市胸科医院</w:t>
            </w:r>
            <w:r>
              <w:rPr>
                <w:rFonts w:ascii="仿宋_GB2312" w:hAnsi="仿宋_GB2312" w:cs="仿宋_GB2312" w:eastAsia="仿宋_GB2312"/>
                <w:sz w:val="24"/>
              </w:rPr>
              <w:t>DSA机房</w:t>
            </w:r>
          </w:p>
          <w:p>
            <w:pPr>
              <w:pStyle w:val="null3"/>
            </w:pPr>
            <w:r>
              <w:rPr>
                <w:rFonts w:ascii="仿宋_GB2312" w:hAnsi="仿宋_GB2312" w:cs="仿宋_GB2312" w:eastAsia="仿宋_GB2312"/>
                <w:sz w:val="24"/>
              </w:rPr>
              <w:t>（二）项目背景</w:t>
            </w:r>
          </w:p>
          <w:p>
            <w:pPr>
              <w:pStyle w:val="null3"/>
            </w:pPr>
            <w:r>
              <w:rPr>
                <w:rFonts w:ascii="仿宋_GB2312" w:hAnsi="仿宋_GB2312" w:cs="仿宋_GB2312" w:eastAsia="仿宋_GB2312"/>
                <w:sz w:val="24"/>
              </w:rPr>
              <w:t>本项目为医院</w:t>
            </w:r>
            <w:r>
              <w:rPr>
                <w:rFonts w:ascii="仿宋_GB2312" w:hAnsi="仿宋_GB2312" w:cs="仿宋_GB2312" w:eastAsia="仿宋_GB2312"/>
                <w:sz w:val="24"/>
              </w:rPr>
              <w:t>DSA机房升级改造工程，需通过本次改造，确保符合国家辐射防护、医疗建筑、消防安全等相关标准，保障医护人员、患者及周边人员安全，满足DSA设备正常运行及临床诊疗工作开展。</w:t>
            </w:r>
          </w:p>
          <w:p>
            <w:pPr>
              <w:pStyle w:val="null3"/>
            </w:pPr>
            <w:r>
              <w:rPr>
                <w:rFonts w:ascii="仿宋_GB2312" w:hAnsi="仿宋_GB2312" w:cs="仿宋_GB2312" w:eastAsia="仿宋_GB2312"/>
                <w:sz w:val="24"/>
              </w:rPr>
              <w:t>二、工程范围及要求</w:t>
            </w:r>
          </w:p>
          <w:p>
            <w:pPr>
              <w:pStyle w:val="null3"/>
            </w:pPr>
            <w:r>
              <w:rPr>
                <w:rFonts w:ascii="仿宋_GB2312" w:hAnsi="仿宋_GB2312" w:cs="仿宋_GB2312" w:eastAsia="仿宋_GB2312"/>
                <w:sz w:val="24"/>
              </w:rPr>
              <w:t>（一）装饰部分</w:t>
            </w:r>
          </w:p>
          <w:p>
            <w:pPr>
              <w:pStyle w:val="null3"/>
            </w:pPr>
            <w:r>
              <w:rPr>
                <w:rFonts w:ascii="仿宋_GB2312" w:hAnsi="仿宋_GB2312" w:cs="仿宋_GB2312" w:eastAsia="仿宋_GB2312"/>
                <w:sz w:val="24"/>
              </w:rPr>
              <w:t>1、DSA机房墙面安装30mm*50mm*1.2mm镀锌方管钢架,钢管的间距900mm，安装高度为4600mm，钢架安装1.2mm厚电解钢板模块面层，安装高度为2900mm,采用铝合金圆弧收口。踢脚线为2.0mmPVC塑胶地板上翻100mm（粘接至电解钢板踢脚线上），并做圆弧处理；采用电解钢板对门、窗内侧进行收口。</w:t>
            </w:r>
          </w:p>
          <w:p>
            <w:pPr>
              <w:pStyle w:val="null3"/>
            </w:pPr>
            <w:r>
              <w:rPr>
                <w:rFonts w:ascii="仿宋_GB2312" w:hAnsi="仿宋_GB2312" w:cs="仿宋_GB2312" w:eastAsia="仿宋_GB2312"/>
                <w:sz w:val="24"/>
              </w:rPr>
              <w:t>2、DSA机房顶面安装30mm*50mm*1.2mm镀锌方管钢架,钢管的间距900mm,钢架安装1.2mm厚电解钢板模块面层，阴角采用铝合金圆弧收口；</w:t>
            </w:r>
          </w:p>
          <w:p>
            <w:pPr>
              <w:pStyle w:val="null3"/>
            </w:pPr>
            <w:r>
              <w:rPr>
                <w:rFonts w:ascii="仿宋_GB2312" w:hAnsi="仿宋_GB2312" w:cs="仿宋_GB2312" w:eastAsia="仿宋_GB2312"/>
                <w:sz w:val="24"/>
              </w:rPr>
              <w:t>3、谈话间及设备间地面涂抹吸收型界面剂+3mm水泥自流+2.0mmPVC塑胶地板卷材；</w:t>
            </w:r>
          </w:p>
          <w:p>
            <w:pPr>
              <w:pStyle w:val="null3"/>
            </w:pPr>
            <w:r>
              <w:rPr>
                <w:rFonts w:ascii="仿宋_GB2312" w:hAnsi="仿宋_GB2312" w:cs="仿宋_GB2312" w:eastAsia="仿宋_GB2312"/>
                <w:sz w:val="24"/>
              </w:rPr>
              <w:t>（二）电气部分</w:t>
            </w:r>
          </w:p>
          <w:p>
            <w:pPr>
              <w:pStyle w:val="null3"/>
            </w:pPr>
            <w:r>
              <w:rPr>
                <w:rFonts w:ascii="仿宋_GB2312" w:hAnsi="仿宋_GB2312" w:cs="仿宋_GB2312" w:eastAsia="仿宋_GB2312"/>
                <w:sz w:val="24"/>
              </w:rPr>
              <w:t>1、按照DSA手术室设置要求安装1200*300mmLED净化密闭灯(40W)及1200*300mmLED应急净化密闭灯(40W)，手术室插座箱线管及电线；空调控制面板、线管及电线、网线、电话线等，其余见设计图。</w:t>
            </w:r>
          </w:p>
          <w:p>
            <w:pPr>
              <w:pStyle w:val="null3"/>
            </w:pPr>
            <w:r>
              <w:rPr>
                <w:rFonts w:ascii="仿宋_GB2312" w:hAnsi="仿宋_GB2312" w:cs="仿宋_GB2312" w:eastAsia="仿宋_GB2312"/>
                <w:sz w:val="24"/>
              </w:rPr>
              <w:t>2、按照DSA手术室设置要求安装设备动力配电箱及元器件、辐射警示灯、门机连锁、电缆桥架；</w:t>
            </w:r>
          </w:p>
          <w:p>
            <w:pPr>
              <w:pStyle w:val="null3"/>
            </w:pPr>
            <w:r>
              <w:rPr>
                <w:rFonts w:ascii="仿宋_GB2312" w:hAnsi="仿宋_GB2312" w:cs="仿宋_GB2312" w:eastAsia="仿宋_GB2312"/>
                <w:sz w:val="24"/>
              </w:rPr>
              <w:t>3、按照图纸铺设电缆，电缆规格长度参照图纸。</w:t>
            </w:r>
          </w:p>
          <w:p>
            <w:pPr>
              <w:pStyle w:val="null3"/>
            </w:pPr>
            <w:r>
              <w:rPr>
                <w:rFonts w:ascii="仿宋_GB2312" w:hAnsi="仿宋_GB2312" w:cs="仿宋_GB2312" w:eastAsia="仿宋_GB2312"/>
                <w:sz w:val="24"/>
              </w:rPr>
              <w:t>（三）设备配套部分</w:t>
            </w:r>
          </w:p>
          <w:p>
            <w:pPr>
              <w:pStyle w:val="null3"/>
            </w:pPr>
            <w:r>
              <w:rPr>
                <w:rFonts w:ascii="仿宋_GB2312" w:hAnsi="仿宋_GB2312" w:cs="仿宋_GB2312" w:eastAsia="仿宋_GB2312"/>
                <w:sz w:val="24"/>
              </w:rPr>
              <w:t>1、按照设备厂家场地要求制作DSA设备混凝土基础、电缆沟（详见图纸）；</w:t>
            </w:r>
          </w:p>
          <w:p>
            <w:pPr>
              <w:pStyle w:val="null3"/>
            </w:pPr>
            <w:r>
              <w:rPr>
                <w:rFonts w:ascii="仿宋_GB2312" w:hAnsi="仿宋_GB2312" w:cs="仿宋_GB2312" w:eastAsia="仿宋_GB2312"/>
                <w:sz w:val="24"/>
              </w:rPr>
              <w:t>2、按照设备厂家场地要求制作DSA设备悬吊钢架、规格参照场地要求，墙顶面线槽（详见图纸），悬吊钢架下平面的水平度要求（详见图纸）</w:t>
            </w:r>
          </w:p>
          <w:p>
            <w:pPr>
              <w:pStyle w:val="null3"/>
            </w:pPr>
            <w:r>
              <w:rPr>
                <w:rFonts w:ascii="仿宋_GB2312" w:hAnsi="仿宋_GB2312" w:cs="仿宋_GB2312" w:eastAsia="仿宋_GB2312"/>
                <w:sz w:val="24"/>
              </w:rPr>
              <w:t>（四）监控部分</w:t>
            </w:r>
          </w:p>
          <w:p>
            <w:pPr>
              <w:pStyle w:val="null3"/>
            </w:pPr>
            <w:r>
              <w:rPr>
                <w:rFonts w:ascii="仿宋_GB2312" w:hAnsi="仿宋_GB2312" w:cs="仿宋_GB2312" w:eastAsia="仿宋_GB2312"/>
                <w:sz w:val="24"/>
              </w:rPr>
              <w:t>1、按照图纸和设备厂家场地要求安装摄像头及线路（线路引至医生办）；</w:t>
            </w:r>
          </w:p>
          <w:p>
            <w:pPr>
              <w:pStyle w:val="null3"/>
            </w:pPr>
            <w:r>
              <w:rPr>
                <w:rFonts w:ascii="仿宋_GB2312" w:hAnsi="仿宋_GB2312" w:cs="仿宋_GB2312" w:eastAsia="仿宋_GB2312"/>
                <w:sz w:val="24"/>
              </w:rPr>
              <w:t>（五）手术室配套部分</w:t>
            </w:r>
          </w:p>
          <w:p>
            <w:pPr>
              <w:pStyle w:val="null3"/>
            </w:pPr>
            <w:r>
              <w:rPr>
                <w:rFonts w:ascii="仿宋_GB2312" w:hAnsi="仿宋_GB2312" w:cs="仿宋_GB2312" w:eastAsia="仿宋_GB2312"/>
                <w:sz w:val="24"/>
              </w:rPr>
              <w:t>1、按照设备厂家场地要求安装多功能中央控制面板、书写台、医用气体面板插口、组合式插座箱、观片箱、麻醉柜、药品柜、器械柜、导管柜（详见图纸）；</w:t>
            </w:r>
          </w:p>
          <w:p>
            <w:pPr>
              <w:pStyle w:val="null3"/>
            </w:pPr>
            <w:r>
              <w:rPr>
                <w:rFonts w:ascii="仿宋_GB2312" w:hAnsi="仿宋_GB2312" w:cs="仿宋_GB2312" w:eastAsia="仿宋_GB2312"/>
                <w:sz w:val="24"/>
              </w:rPr>
              <w:t>（六）其他</w:t>
            </w:r>
          </w:p>
          <w:p>
            <w:pPr>
              <w:pStyle w:val="null3"/>
            </w:pPr>
            <w:r>
              <w:rPr>
                <w:rFonts w:ascii="仿宋_GB2312" w:hAnsi="仿宋_GB2312" w:cs="仿宋_GB2312" w:eastAsia="仿宋_GB2312"/>
                <w:sz w:val="24"/>
              </w:rPr>
              <w:t>1、投标时须注明所用主材品牌、规格型号。所有进场材料必须满足国标要求，不符合要求的材料不得进场，如投标时未标注品牌的材料，由</w:t>
            </w:r>
            <w:r>
              <w:rPr>
                <w:rFonts w:ascii="仿宋_GB2312" w:hAnsi="仿宋_GB2312" w:cs="仿宋_GB2312" w:eastAsia="仿宋_GB2312"/>
                <w:sz w:val="24"/>
              </w:rPr>
              <w:t>采购人</w:t>
            </w:r>
            <w:r>
              <w:rPr>
                <w:rFonts w:ascii="仿宋_GB2312" w:hAnsi="仿宋_GB2312" w:cs="仿宋_GB2312" w:eastAsia="仿宋_GB2312"/>
                <w:sz w:val="24"/>
              </w:rPr>
              <w:t>现场确定。</w:t>
            </w:r>
          </w:p>
          <w:p>
            <w:pPr>
              <w:pStyle w:val="null3"/>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承担噪音、排污、渣土排放等产生的所有费用和由此产生的一切损失。</w:t>
            </w:r>
          </w:p>
          <w:p>
            <w:pPr>
              <w:pStyle w:val="null3"/>
            </w:pPr>
            <w:r>
              <w:rPr>
                <w:rFonts w:ascii="仿宋_GB2312" w:hAnsi="仿宋_GB2312" w:cs="仿宋_GB2312" w:eastAsia="仿宋_GB2312"/>
                <w:sz w:val="24"/>
              </w:rPr>
              <w:t>3、任何情况下不得拖欠农民工工资，若因农民工工资问题给</w:t>
            </w:r>
            <w:r>
              <w:rPr>
                <w:rFonts w:ascii="仿宋_GB2312" w:hAnsi="仿宋_GB2312" w:cs="仿宋_GB2312" w:eastAsia="仿宋_GB2312"/>
                <w:sz w:val="24"/>
              </w:rPr>
              <w:t>采购人</w:t>
            </w:r>
            <w:r>
              <w:rPr>
                <w:rFonts w:ascii="仿宋_GB2312" w:hAnsi="仿宋_GB2312" w:cs="仿宋_GB2312" w:eastAsia="仿宋_GB2312"/>
                <w:sz w:val="24"/>
              </w:rPr>
              <w:t>造成不良影响，</w:t>
            </w:r>
            <w:r>
              <w:rPr>
                <w:rFonts w:ascii="仿宋_GB2312" w:hAnsi="仿宋_GB2312" w:cs="仿宋_GB2312" w:eastAsia="仿宋_GB2312"/>
                <w:sz w:val="24"/>
              </w:rPr>
              <w:t>采购人</w:t>
            </w:r>
            <w:r>
              <w:rPr>
                <w:rFonts w:ascii="仿宋_GB2312" w:hAnsi="仿宋_GB2312" w:cs="仿宋_GB2312" w:eastAsia="仿宋_GB2312"/>
                <w:sz w:val="24"/>
              </w:rPr>
              <w:t>有</w:t>
            </w:r>
            <w:r>
              <w:rPr>
                <w:rFonts w:ascii="仿宋_GB2312" w:hAnsi="仿宋_GB2312" w:cs="仿宋_GB2312" w:eastAsia="仿宋_GB2312"/>
                <w:sz w:val="24"/>
              </w:rPr>
              <w:t>权</w:t>
            </w:r>
            <w:r>
              <w:rPr>
                <w:rFonts w:ascii="仿宋_GB2312" w:hAnsi="仿宋_GB2312" w:cs="仿宋_GB2312" w:eastAsia="仿宋_GB2312"/>
                <w:sz w:val="24"/>
              </w:rPr>
              <w:t>按应付费用的</w:t>
            </w:r>
            <w:r>
              <w:rPr>
                <w:rFonts w:ascii="仿宋_GB2312" w:hAnsi="仿宋_GB2312" w:cs="仿宋_GB2312" w:eastAsia="仿宋_GB2312"/>
                <w:sz w:val="24"/>
              </w:rPr>
              <w:t>2倍进行处罚。</w:t>
            </w:r>
          </w:p>
          <w:p>
            <w:pPr>
              <w:pStyle w:val="null3"/>
            </w:pPr>
            <w:r>
              <w:rPr>
                <w:rFonts w:ascii="仿宋_GB2312" w:hAnsi="仿宋_GB2312" w:cs="仿宋_GB2312" w:eastAsia="仿宋_GB2312"/>
                <w:sz w:val="24"/>
              </w:rPr>
              <w:t>4、不考虑临设住宿，</w:t>
            </w:r>
            <w:r>
              <w:rPr>
                <w:rFonts w:ascii="仿宋_GB2312" w:hAnsi="仿宋_GB2312" w:cs="仿宋_GB2312" w:eastAsia="仿宋_GB2312"/>
                <w:sz w:val="24"/>
              </w:rPr>
              <w:t>采购人</w:t>
            </w:r>
            <w:r>
              <w:rPr>
                <w:rFonts w:ascii="仿宋_GB2312" w:hAnsi="仿宋_GB2312" w:cs="仿宋_GB2312" w:eastAsia="仿宋_GB2312"/>
                <w:sz w:val="24"/>
              </w:rPr>
              <w:t>不提供施工所用加工场地。</w:t>
            </w:r>
          </w:p>
          <w:p>
            <w:pPr>
              <w:pStyle w:val="null3"/>
            </w:pPr>
            <w:r>
              <w:rPr>
                <w:rFonts w:ascii="仿宋_GB2312" w:hAnsi="仿宋_GB2312" w:cs="仿宋_GB2312" w:eastAsia="仿宋_GB2312"/>
                <w:sz w:val="24"/>
              </w:rPr>
              <w:t>5、施工期间</w:t>
            </w:r>
            <w:r>
              <w:rPr>
                <w:rFonts w:ascii="仿宋_GB2312" w:hAnsi="仿宋_GB2312" w:cs="仿宋_GB2312" w:eastAsia="仿宋_GB2312"/>
                <w:sz w:val="24"/>
              </w:rPr>
              <w:t>供应商</w:t>
            </w:r>
            <w:r>
              <w:rPr>
                <w:rFonts w:ascii="仿宋_GB2312" w:hAnsi="仿宋_GB2312" w:cs="仿宋_GB2312" w:eastAsia="仿宋_GB2312"/>
                <w:sz w:val="24"/>
              </w:rPr>
              <w:t>需对非施工部位采取有效的保护措施，如因</w:t>
            </w:r>
            <w:r>
              <w:rPr>
                <w:rFonts w:ascii="仿宋_GB2312" w:hAnsi="仿宋_GB2312" w:cs="仿宋_GB2312" w:eastAsia="仿宋_GB2312"/>
                <w:sz w:val="24"/>
              </w:rPr>
              <w:t>供应商</w:t>
            </w:r>
            <w:r>
              <w:rPr>
                <w:rFonts w:ascii="仿宋_GB2312" w:hAnsi="仿宋_GB2312" w:cs="仿宋_GB2312" w:eastAsia="仿宋_GB2312"/>
                <w:sz w:val="24"/>
              </w:rPr>
              <w:t>施工造成的损坏，由</w:t>
            </w:r>
            <w:r>
              <w:rPr>
                <w:rFonts w:ascii="仿宋_GB2312" w:hAnsi="仿宋_GB2312" w:cs="仿宋_GB2312" w:eastAsia="仿宋_GB2312"/>
                <w:sz w:val="24"/>
              </w:rPr>
              <w:t>供应商</w:t>
            </w:r>
            <w:r>
              <w:rPr>
                <w:rFonts w:ascii="仿宋_GB2312" w:hAnsi="仿宋_GB2312" w:cs="仿宋_GB2312" w:eastAsia="仿宋_GB2312"/>
                <w:sz w:val="24"/>
              </w:rPr>
              <w:t>负责维修。</w:t>
            </w:r>
          </w:p>
          <w:p>
            <w:pPr>
              <w:pStyle w:val="null3"/>
            </w:pPr>
            <w:r>
              <w:rPr>
                <w:rFonts w:ascii="仿宋_GB2312" w:hAnsi="仿宋_GB2312" w:cs="仿宋_GB2312" w:eastAsia="仿宋_GB2312"/>
                <w:sz w:val="24"/>
              </w:rPr>
              <w:t>6、施工过程采取一定措施，减少对原建筑物的影响。</w:t>
            </w:r>
          </w:p>
          <w:p>
            <w:pPr>
              <w:pStyle w:val="null3"/>
            </w:pPr>
            <w:r>
              <w:rPr>
                <w:rFonts w:ascii="仿宋_GB2312" w:hAnsi="仿宋_GB2312" w:cs="仿宋_GB2312" w:eastAsia="仿宋_GB2312"/>
                <w:sz w:val="24"/>
              </w:rPr>
              <w:t>7、施工过程中拆除的垃圾需及时清运。需要办理垃圾排放许可证、环保、城管等手续，由</w:t>
            </w:r>
            <w:r>
              <w:rPr>
                <w:rFonts w:ascii="仿宋_GB2312" w:hAnsi="仿宋_GB2312" w:cs="仿宋_GB2312" w:eastAsia="仿宋_GB2312"/>
                <w:sz w:val="24"/>
              </w:rPr>
              <w:t>供应商</w:t>
            </w:r>
            <w:r>
              <w:rPr>
                <w:rFonts w:ascii="仿宋_GB2312" w:hAnsi="仿宋_GB2312" w:cs="仿宋_GB2312" w:eastAsia="仿宋_GB2312"/>
                <w:sz w:val="24"/>
              </w:rPr>
              <w:t>负责办理。</w:t>
            </w:r>
          </w:p>
          <w:p>
            <w:pPr>
              <w:pStyle w:val="null3"/>
            </w:pPr>
            <w:r>
              <w:rPr>
                <w:rFonts w:ascii="仿宋_GB2312" w:hAnsi="仿宋_GB2312" w:cs="仿宋_GB2312" w:eastAsia="仿宋_GB2312"/>
                <w:sz w:val="24"/>
              </w:rPr>
              <w:t>8、招标文件中未涉及到的内容参照图纸及相关规范执行。</w:t>
            </w:r>
          </w:p>
          <w:p>
            <w:pPr>
              <w:pStyle w:val="null3"/>
            </w:pPr>
            <w:r>
              <w:rPr>
                <w:rFonts w:ascii="仿宋_GB2312" w:hAnsi="仿宋_GB2312" w:cs="仿宋_GB2312" w:eastAsia="仿宋_GB2312"/>
                <w:sz w:val="24"/>
              </w:rPr>
              <w:t>9、项目完成前，在</w:t>
            </w:r>
            <w:r>
              <w:rPr>
                <w:rFonts w:ascii="仿宋_GB2312" w:hAnsi="仿宋_GB2312" w:cs="仿宋_GB2312" w:eastAsia="仿宋_GB2312"/>
                <w:sz w:val="24"/>
              </w:rPr>
              <w:t>采购人</w:t>
            </w:r>
            <w:r>
              <w:rPr>
                <w:rFonts w:ascii="仿宋_GB2312" w:hAnsi="仿宋_GB2312" w:cs="仿宋_GB2312" w:eastAsia="仿宋_GB2312"/>
                <w:sz w:val="24"/>
              </w:rPr>
              <w:t>按照合同正常支付工程款的情况下，不得出现因讨要工资、工程款等原因发生围堵工地、医院等稳定事件。每发生一次</w:t>
            </w:r>
            <w:r>
              <w:rPr>
                <w:rFonts w:ascii="仿宋_GB2312" w:hAnsi="仿宋_GB2312" w:cs="仿宋_GB2312" w:eastAsia="仿宋_GB2312"/>
                <w:sz w:val="24"/>
              </w:rPr>
              <w:t>供应商</w:t>
            </w:r>
            <w:r>
              <w:rPr>
                <w:rFonts w:ascii="仿宋_GB2312" w:hAnsi="仿宋_GB2312" w:cs="仿宋_GB2312" w:eastAsia="仿宋_GB2312"/>
                <w:sz w:val="24"/>
              </w:rPr>
              <w:t>应支付</w:t>
            </w:r>
            <w:r>
              <w:rPr>
                <w:rFonts w:ascii="仿宋_GB2312" w:hAnsi="仿宋_GB2312" w:cs="仿宋_GB2312" w:eastAsia="仿宋_GB2312"/>
                <w:sz w:val="24"/>
              </w:rPr>
              <w:t>采购人</w:t>
            </w:r>
            <w:r>
              <w:rPr>
                <w:rFonts w:ascii="仿宋_GB2312" w:hAnsi="仿宋_GB2312" w:cs="仿宋_GB2312" w:eastAsia="仿宋_GB2312"/>
                <w:sz w:val="24"/>
              </w:rPr>
              <w:t>违约金</w:t>
            </w:r>
            <w:r>
              <w:rPr>
                <w:rFonts w:ascii="仿宋_GB2312" w:hAnsi="仿宋_GB2312" w:cs="仿宋_GB2312" w:eastAsia="仿宋_GB2312"/>
                <w:sz w:val="24"/>
              </w:rPr>
              <w:t>5万元整，</w:t>
            </w:r>
            <w:r>
              <w:rPr>
                <w:rFonts w:ascii="仿宋_GB2312" w:hAnsi="仿宋_GB2312" w:cs="仿宋_GB2312" w:eastAsia="仿宋_GB2312"/>
                <w:sz w:val="24"/>
              </w:rPr>
              <w:t>供应商</w:t>
            </w:r>
            <w:r>
              <w:rPr>
                <w:rFonts w:ascii="仿宋_GB2312" w:hAnsi="仿宋_GB2312" w:cs="仿宋_GB2312" w:eastAsia="仿宋_GB2312"/>
                <w:sz w:val="24"/>
              </w:rPr>
              <w:t>在</w:t>
            </w:r>
            <w:r>
              <w:rPr>
                <w:rFonts w:ascii="仿宋_GB2312" w:hAnsi="仿宋_GB2312" w:cs="仿宋_GB2312" w:eastAsia="仿宋_GB2312"/>
                <w:sz w:val="24"/>
              </w:rPr>
              <w:t>采购人</w:t>
            </w:r>
            <w:r>
              <w:rPr>
                <w:rFonts w:ascii="仿宋_GB2312" w:hAnsi="仿宋_GB2312" w:cs="仿宋_GB2312" w:eastAsia="仿宋_GB2312"/>
                <w:sz w:val="24"/>
              </w:rPr>
              <w:t>所有项目累计发生</w:t>
            </w:r>
            <w:r>
              <w:rPr>
                <w:rFonts w:ascii="仿宋_GB2312" w:hAnsi="仿宋_GB2312" w:cs="仿宋_GB2312" w:eastAsia="仿宋_GB2312"/>
                <w:sz w:val="24"/>
              </w:rPr>
              <w:t>3次以上的同类违约时，取消供应商及其法人、项目经理后续参与</w:t>
            </w:r>
            <w:r>
              <w:rPr>
                <w:rFonts w:ascii="仿宋_GB2312" w:hAnsi="仿宋_GB2312" w:cs="仿宋_GB2312" w:eastAsia="仿宋_GB2312"/>
                <w:sz w:val="24"/>
              </w:rPr>
              <w:t>采购人</w:t>
            </w:r>
            <w:r>
              <w:rPr>
                <w:rFonts w:ascii="仿宋_GB2312" w:hAnsi="仿宋_GB2312" w:cs="仿宋_GB2312" w:eastAsia="仿宋_GB2312"/>
                <w:sz w:val="24"/>
              </w:rPr>
              <w:t>采购活动的资格。</w:t>
            </w:r>
          </w:p>
          <w:p>
            <w:pPr>
              <w:pStyle w:val="null3"/>
            </w:pPr>
            <w:r>
              <w:rPr>
                <w:rFonts w:ascii="仿宋_GB2312" w:hAnsi="仿宋_GB2312" w:cs="仿宋_GB2312" w:eastAsia="仿宋_GB2312"/>
                <w:sz w:val="24"/>
              </w:rPr>
              <w:t>10、本项目涉及的所有违约金均在结算审计中予以扣除。</w:t>
            </w:r>
          </w:p>
          <w:p>
            <w:pPr>
              <w:pStyle w:val="null3"/>
            </w:pPr>
            <w:r>
              <w:rPr>
                <w:rFonts w:ascii="仿宋_GB2312" w:hAnsi="仿宋_GB2312" w:cs="仿宋_GB2312" w:eastAsia="仿宋_GB2312"/>
                <w:sz w:val="24"/>
              </w:rPr>
              <w:t>11、</w:t>
            </w:r>
            <w:r>
              <w:rPr>
                <w:rFonts w:ascii="仿宋_GB2312" w:hAnsi="仿宋_GB2312" w:cs="仿宋_GB2312" w:eastAsia="仿宋_GB2312"/>
                <w:sz w:val="24"/>
              </w:rPr>
              <w:t>供应商</w:t>
            </w:r>
            <w:r>
              <w:rPr>
                <w:rFonts w:ascii="仿宋_GB2312" w:hAnsi="仿宋_GB2312" w:cs="仿宋_GB2312" w:eastAsia="仿宋_GB2312"/>
                <w:sz w:val="24"/>
              </w:rPr>
              <w:t>必须全部响应</w:t>
            </w:r>
            <w:r>
              <w:rPr>
                <w:rFonts w:ascii="仿宋_GB2312" w:hAnsi="仿宋_GB2312" w:cs="仿宋_GB2312" w:eastAsia="仿宋_GB2312"/>
                <w:sz w:val="24"/>
              </w:rPr>
              <w:t>采购人</w:t>
            </w:r>
            <w:r>
              <w:rPr>
                <w:rFonts w:ascii="仿宋_GB2312" w:hAnsi="仿宋_GB2312" w:cs="仿宋_GB2312" w:eastAsia="仿宋_GB2312"/>
                <w:sz w:val="24"/>
              </w:rPr>
              <w:t>的采购需求。</w:t>
            </w:r>
          </w:p>
          <w:p>
            <w:pPr>
              <w:pStyle w:val="null3"/>
            </w:pPr>
            <w:r>
              <w:rPr>
                <w:rFonts w:ascii="仿宋_GB2312" w:hAnsi="仿宋_GB2312" w:cs="仿宋_GB2312" w:eastAsia="仿宋_GB2312"/>
                <w:sz w:val="24"/>
              </w:rPr>
              <w:t>材质要求：</w:t>
            </w:r>
          </w:p>
          <w:tbl>
            <w:tblPr>
              <w:tblBorders>
                <w:top w:val="none" w:color="000000" w:sz="4"/>
                <w:left w:val="none" w:color="000000" w:sz="4"/>
                <w:bottom w:val="none" w:color="000000" w:sz="4"/>
                <w:right w:val="none" w:color="000000" w:sz="4"/>
                <w:insideH w:val="none"/>
                <w:insideV w:val="none"/>
              </w:tblBorders>
            </w:tblPr>
            <w:tblGrid>
              <w:gridCol w:w="418"/>
              <w:gridCol w:w="2130"/>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2.0PVC塑胶地板</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2.0mmPVC塑胶地板卷材,B1级（难燃），零甲醛、无重金属、无 DOP，耐酸碱、抗碘酒、耐日常消毒剂腐蚀。</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灯具</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LED净化密闭灯 规格600*600mm，40W</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钢材、电解钢板</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DSA机房墙面、顶面采用1.2mm厚电解钢板，后贴12mm厚石膏板，静电粉末喷涂</w:t>
                  </w:r>
                </w:p>
              </w:tc>
            </w:tr>
          </w:tbl>
          <w:p>
            <w:pPr>
              <w:pStyle w:val="null3"/>
            </w:pPr>
            <w:r>
              <w:rPr>
                <w:rFonts w:ascii="仿宋_GB2312" w:hAnsi="仿宋_GB2312" w:cs="仿宋_GB2312" w:eastAsia="仿宋_GB2312"/>
                <w:sz w:val="24"/>
              </w:rPr>
              <w:t>所需材料全部由</w:t>
            </w:r>
            <w:r>
              <w:rPr>
                <w:rFonts w:ascii="仿宋_GB2312" w:hAnsi="仿宋_GB2312" w:cs="仿宋_GB2312" w:eastAsia="仿宋_GB2312"/>
                <w:sz w:val="24"/>
              </w:rPr>
              <w:t>供应商</w:t>
            </w:r>
            <w:r>
              <w:rPr>
                <w:rFonts w:ascii="仿宋_GB2312" w:hAnsi="仿宋_GB2312" w:cs="仿宋_GB2312" w:eastAsia="仿宋_GB2312"/>
                <w:sz w:val="24"/>
              </w:rPr>
              <w:t>自行采购，所采购材料必须符合国家相关验收标准。材料进场前需对材料进行验收。</w:t>
            </w:r>
          </w:p>
          <w:p>
            <w:pPr>
              <w:pStyle w:val="null3"/>
              <w:ind w:right="30"/>
            </w:pPr>
            <w:r>
              <w:rPr>
                <w:rFonts w:ascii="仿宋_GB2312" w:hAnsi="仿宋_GB2312" w:cs="仿宋_GB2312" w:eastAsia="仿宋_GB2312"/>
                <w:sz w:val="24"/>
              </w:rPr>
              <w:t>本项目采用综合单价计价，综合单价应包含完成该清单项目所需的人工费、材料费、机械费、管理费、利润、风险费及所有税费等全部费用，</w:t>
            </w:r>
            <w:r>
              <w:rPr>
                <w:rFonts w:ascii="仿宋_GB2312" w:hAnsi="仿宋_GB2312" w:cs="仿宋_GB2312" w:eastAsia="仿宋_GB2312"/>
                <w:sz w:val="24"/>
              </w:rPr>
              <w:t>供应商</w:t>
            </w:r>
            <w:r>
              <w:rPr>
                <w:rFonts w:ascii="仿宋_GB2312" w:hAnsi="仿宋_GB2312" w:cs="仿宋_GB2312" w:eastAsia="仿宋_GB2312"/>
                <w:sz w:val="24"/>
              </w:rPr>
              <w:t>应充分考虑并自行承担。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（一）工期要求 总工期：[40]日历天。 自合同签订且采购人下达开工令之日起计算，工期包含设计、拆除、施工、验收、备案等全部时间，投标人需合理安排施工进度，确保按期完工，不得延误。每逾期一天，按合同总价的【0.05】%向甲方支付违约金，累计不超过合同金额的5%，施工期间需配合医院运营，避免影响正常诊疗工作，夜间及节假日施工需经采购人同意。 （二）质保期要求 1. 整体工程质保期：自竣工验收合格之日起2年； 质保期内，投标人需提供免费维修、更换服务，接到采购人报修通知后，2小时内响应，24小时内到场维修，确保机房正常使用。 （三）服务要求 1. 投标人需安排专业技术人员全程负责项目施工管理、质量管控、安全管理，定期向采购人汇报施工进度； 2. 施工期间做好现场安全防护、文明施工，设置围挡、警示标识，遵守医院安全管理规定，杜绝安全事故； （四）付款方式 1.合同签订后，供应商向采购人提供等额正规发票后30日内，采购人支付合同总金额的30%作为工程预付款； 2.工程施工完成并验收合格后，供应商提供有效的等额正规发票给采购人，支付至合同总金额的80%； 3.工程审计完成后，达到付款条件30日后，支付至审定价款的97%；甲方确认无质量和服务问题后，达到付款条件30日后，一次性无息付清剩余3%；（实际结算及各节点付款计算基数均以本工程最终审计审定金额为准，按本条款约定比例执行付款。） (五）本项目采用电子招投标方式，代理机构无法掌握潜在供应商相关信息。请各潜在供应商抵达现场后主动与代理机构取得联系，由代理机构会同采购人统一组织现场踏勘；踏勘期间潜在供应商未到场参与或自行放弃踏勘的，均视同已充分了解项目现场现状、周边环境及招标全部相关情况，后续因未踏勘现场、对项目实际情况理解偏差所产生的一切责任、风险及损失，均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磋商响应方案.docx 中小企业声明函 供应商应提交的相关资格证明材料 技术服务合同条款及其他商务要求应答表 强制优先采购产品承诺函 响应文件封面 资格要求.docx 项目管理机构组成表 残疾人福利性单位声明函 报价函 标的清单 供应商类似项目业绩一览表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提供递交竞争性磋商响应文件截止日前一年内已缴存的至少一个月的社会保障资金缴存单据或社保机构开具的社会保险参保缴费情况证明，依法不需要缴纳社会保障资金的单位应提供相关证明材料；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核发的【建筑装修装饰工程施工专业承包二级】及以上资质和【建筑机电安装工程专业承包三级】及以上资质并在人员、设备、资金等方面具备相应的能力，且具备合法有效的安全生产许可证；</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或机电工程专业】二级及以上注册建造师执业资格及合法有效的安全生产考核合格证（建安B证），未担任其它在建工程的施工项目经理或工程总承包项目负责人，且在本单位注册(提供无在建工程承诺书及近一年社保缴纳证明)；</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磋商响应方案.docx 已标价工程量清单 中小企业声明函 技术服务合同条款及其他商务要求应答表 供应商应提交的相关资格证明材料 强制优先采购产品承诺函 响应文件封面 资格要求.docx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供应商应提交的相关资格证明材料 强制优先采购产品承诺函 响应文件封面 资格要求.docx 项目管理机构组成表 残疾人福利性单位声明函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1、完整性：方案必须全面，对评审内容中的各项要求有详细描述；2、可实施性：切合本项目实际情况，提出步骤清晰、合理的方案；3、针对性：方案能够紧扣项目实际情况，内容科学合理。 三、赋分标准（满分9分） ①施工目标：每完全满足一个评审标准得1分，满分3分；②施工准备：每完全满足一个评审标准得1分，满分3分；③施工平面布置与安排：每完全满足一个评审标准得1分，满分3分。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1、完整性：方案必须全面，对评审内容中的各项要求有详细描述；2、可实施性：切合本项目实际情况，提出步骤清晰、合理的方案；3、针对性：方案能够紧扣项目实际情况，内容科学合理。 三、赋分标准（满分9分） ①施工进度计划图：每完全满足一个评审标准得1分，满分3分； ②进度计划保证措施：每完全满足一个评审标准得1分，满分3分；③工期保证措施：每完全满足一个评审标准得1分，满分3分。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三、赋分标准（15分） ①工程重难点及解决措施：每完全满足一个评审标准得2分，满分6分；②工程施工方法：每完全满足一个评审标准得2分，满分6分；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2、可实施性：切合本项目实际情况，提出步骤清晰、合理的方案；3、针对性：方案能够紧扣项目实际情况，内容科学合理。 三、赋分标准（满分3分）①新材料：每完全满足一个评审标准得0.5分，满分1.5分；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附合同复印件），每提供一项上述业绩的得2分，最高得6分。不提供或缺项不得分。（合同至少包括首页、采购内容页、金额页、甲乙双方签字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