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80FE6">
      <w:pPr>
        <w:rPr>
          <w:rFonts w:hint="eastAsia" w:ascii="宋体" w:hAnsi="宋体" w:cs="宋体"/>
          <w:sz w:val="44"/>
          <w:szCs w:val="44"/>
        </w:rPr>
      </w:pPr>
    </w:p>
    <w:p w14:paraId="068D78DC">
      <w:pPr>
        <w:jc w:val="center"/>
        <w:rPr>
          <w:rFonts w:hint="eastAsia" w:ascii="宋体" w:hAnsi="宋体" w:eastAsia="宋体" w:cs="宋体"/>
          <w:b/>
          <w:bCs/>
          <w:sz w:val="44"/>
          <w:szCs w:val="44"/>
          <w:lang w:eastAsia="zh-CN"/>
        </w:rPr>
      </w:pPr>
      <w:r>
        <w:rPr>
          <w:rFonts w:hint="eastAsia" w:ascii="宋体" w:hAnsi="宋体" w:cs="宋体"/>
          <w:b/>
          <w:bCs/>
          <w:sz w:val="52"/>
          <w:szCs w:val="52"/>
          <w:lang w:eastAsia="zh-CN"/>
        </w:rPr>
        <w:t>丽江市农业农村局采购《丽江市中药材产业高质量发展规划2025-2030年》编制服务</w:t>
      </w:r>
    </w:p>
    <w:p w14:paraId="4F679F18">
      <w:pPr>
        <w:pStyle w:val="14"/>
        <w:rPr>
          <w:rFonts w:hint="eastAsia" w:ascii="宋体" w:hAnsi="宋体" w:cs="宋体"/>
          <w:sz w:val="28"/>
          <w:szCs w:val="28"/>
        </w:rPr>
      </w:pPr>
    </w:p>
    <w:p w14:paraId="1CAFE8D5">
      <w:pPr>
        <w:pStyle w:val="14"/>
        <w:rPr>
          <w:rFonts w:hint="eastAsia" w:ascii="宋体" w:hAnsi="宋体" w:cs="宋体"/>
          <w:sz w:val="28"/>
          <w:szCs w:val="28"/>
        </w:rPr>
      </w:pPr>
    </w:p>
    <w:p w14:paraId="1B197AA4">
      <w:pPr>
        <w:pStyle w:val="14"/>
        <w:rPr>
          <w:rFonts w:hint="eastAsia" w:ascii="宋体" w:hAnsi="宋体" w:cs="宋体"/>
          <w:sz w:val="28"/>
          <w:szCs w:val="28"/>
        </w:rPr>
      </w:pPr>
    </w:p>
    <w:p w14:paraId="201CDDE0">
      <w:pPr>
        <w:rPr>
          <w:rFonts w:hint="eastAsia" w:ascii="宋体" w:hAnsi="宋体" w:cs="宋体"/>
        </w:rPr>
      </w:pPr>
    </w:p>
    <w:p w14:paraId="0511B832">
      <w:pPr>
        <w:pStyle w:val="14"/>
        <w:rPr>
          <w:rFonts w:hint="eastAsia" w:ascii="宋体" w:hAnsi="宋体" w:cs="宋体"/>
          <w:sz w:val="28"/>
          <w:szCs w:val="28"/>
        </w:rPr>
      </w:pPr>
    </w:p>
    <w:p w14:paraId="0CBFE721">
      <w:pPr>
        <w:jc w:val="center"/>
        <w:rPr>
          <w:rFonts w:hint="eastAsia" w:ascii="宋体" w:hAnsi="宋体" w:cs="宋体"/>
          <w:sz w:val="28"/>
          <w:szCs w:val="28"/>
        </w:rPr>
      </w:pPr>
      <w:r>
        <w:rPr>
          <w:rFonts w:hint="eastAsia" w:ascii="宋体" w:hAnsi="宋体" w:cs="宋体"/>
          <w:b/>
          <w:bCs/>
          <w:sz w:val="96"/>
          <w:szCs w:val="96"/>
        </w:rPr>
        <w:t>竞争性磋商文件</w:t>
      </w:r>
    </w:p>
    <w:p w14:paraId="600E9B88">
      <w:pPr>
        <w:pStyle w:val="14"/>
        <w:spacing w:before="317" w:beforeLines="100" w:after="317" w:afterLines="100"/>
        <w:jc w:val="center"/>
        <w:rPr>
          <w:rFonts w:hint="eastAsia" w:ascii="宋体" w:hAnsi="宋体" w:cs="宋体"/>
          <w:b/>
          <w:bCs/>
          <w:sz w:val="32"/>
          <w:szCs w:val="32"/>
        </w:rPr>
      </w:pPr>
      <w:r>
        <w:rPr>
          <w:rFonts w:hint="eastAsia" w:ascii="宋体" w:hAnsi="宋体" w:cs="宋体"/>
          <w:b/>
          <w:bCs/>
          <w:sz w:val="32"/>
          <w:szCs w:val="32"/>
        </w:rPr>
        <w:t>项目编号：ZYZB-2025-034</w:t>
      </w:r>
    </w:p>
    <w:p w14:paraId="63532F7B">
      <w:pPr>
        <w:pStyle w:val="14"/>
        <w:rPr>
          <w:rFonts w:hint="eastAsia" w:ascii="宋体" w:hAnsi="宋体" w:cs="宋体"/>
          <w:b/>
          <w:sz w:val="36"/>
          <w:szCs w:val="36"/>
        </w:rPr>
      </w:pPr>
    </w:p>
    <w:p w14:paraId="4B491543">
      <w:pPr>
        <w:pStyle w:val="14"/>
        <w:rPr>
          <w:rFonts w:hint="eastAsia" w:ascii="宋体" w:hAnsi="宋体" w:cs="宋体"/>
          <w:b/>
          <w:sz w:val="36"/>
          <w:szCs w:val="36"/>
        </w:rPr>
      </w:pPr>
    </w:p>
    <w:p w14:paraId="2D416D35">
      <w:pPr>
        <w:pStyle w:val="14"/>
        <w:rPr>
          <w:rFonts w:hint="eastAsia" w:ascii="宋体" w:hAnsi="宋体" w:cs="宋体"/>
          <w:b/>
          <w:sz w:val="36"/>
          <w:szCs w:val="36"/>
        </w:rPr>
      </w:pPr>
    </w:p>
    <w:p w14:paraId="1A16CFE6">
      <w:pPr>
        <w:pStyle w:val="14"/>
        <w:rPr>
          <w:rFonts w:hint="eastAsia" w:ascii="宋体" w:hAnsi="宋体" w:cs="宋体"/>
          <w:b/>
          <w:sz w:val="36"/>
          <w:szCs w:val="36"/>
        </w:rPr>
      </w:pPr>
    </w:p>
    <w:p w14:paraId="47C8B2D3">
      <w:pPr>
        <w:pStyle w:val="14"/>
        <w:rPr>
          <w:rFonts w:hint="eastAsia" w:ascii="宋体" w:hAnsi="宋体" w:cs="宋体"/>
          <w:b/>
          <w:sz w:val="36"/>
          <w:szCs w:val="36"/>
        </w:rPr>
      </w:pPr>
    </w:p>
    <w:p w14:paraId="32C478EF">
      <w:pPr>
        <w:pStyle w:val="14"/>
        <w:spacing w:line="480" w:lineRule="auto"/>
        <w:ind w:firstLine="1084" w:firstLineChars="300"/>
        <w:rPr>
          <w:rFonts w:hint="eastAsia" w:ascii="宋体" w:hAnsi="宋体" w:cs="宋体"/>
          <w:b/>
          <w:sz w:val="36"/>
          <w:szCs w:val="36"/>
          <w:u w:val="single"/>
        </w:rPr>
      </w:pPr>
      <w:r>
        <w:rPr>
          <w:rFonts w:hint="eastAsia" w:ascii="宋体" w:hAnsi="宋体" w:cs="宋体"/>
          <w:b/>
          <w:sz w:val="36"/>
          <w:szCs w:val="36"/>
        </w:rPr>
        <w:t>采购人：丽江市农业农村局</w:t>
      </w:r>
    </w:p>
    <w:p w14:paraId="7B36275B">
      <w:pPr>
        <w:pStyle w:val="14"/>
        <w:spacing w:line="480" w:lineRule="auto"/>
        <w:ind w:firstLine="1084" w:firstLineChars="300"/>
        <w:rPr>
          <w:rFonts w:hint="eastAsia" w:ascii="宋体" w:hAnsi="宋体" w:cs="宋体"/>
          <w:b/>
          <w:sz w:val="36"/>
          <w:szCs w:val="36"/>
          <w:u w:val="single"/>
        </w:rPr>
      </w:pPr>
      <w:r>
        <w:rPr>
          <w:rFonts w:hint="eastAsia" w:ascii="宋体" w:hAnsi="宋体" w:cs="宋体"/>
          <w:b/>
          <w:sz w:val="36"/>
          <w:szCs w:val="36"/>
        </w:rPr>
        <w:t>采购代理机构：云南智扬工程项目管理有限公司</w:t>
      </w:r>
    </w:p>
    <w:p w14:paraId="6EB7880D">
      <w:pPr>
        <w:pStyle w:val="14"/>
        <w:spacing w:line="480" w:lineRule="auto"/>
        <w:ind w:firstLine="1084" w:firstLineChars="300"/>
        <w:rPr>
          <w:rFonts w:hint="default" w:ascii="宋体" w:hAnsi="宋体" w:eastAsia="宋体" w:cs="宋体"/>
          <w:b/>
          <w:sz w:val="36"/>
          <w:szCs w:val="36"/>
          <w:u w:val="single"/>
          <w:lang w:val="en-US" w:eastAsia="zh-CN"/>
        </w:rPr>
      </w:pPr>
      <w:r>
        <w:rPr>
          <w:rFonts w:hint="eastAsia" w:ascii="宋体" w:hAnsi="宋体" w:cs="宋体"/>
          <w:b/>
          <w:sz w:val="36"/>
          <w:szCs w:val="36"/>
        </w:rPr>
        <w:t>日        期：2025年04月</w:t>
      </w:r>
      <w:r>
        <w:rPr>
          <w:rFonts w:hint="eastAsia" w:ascii="宋体" w:hAnsi="宋体" w:cs="宋体"/>
          <w:b/>
          <w:sz w:val="36"/>
          <w:szCs w:val="36"/>
          <w:lang w:val="en-US" w:eastAsia="zh-CN"/>
        </w:rPr>
        <w:t>11日</w:t>
      </w:r>
    </w:p>
    <w:p w14:paraId="52310067">
      <w:pPr>
        <w:spacing w:before="90" w:line="225" w:lineRule="auto"/>
        <w:ind w:left="3463"/>
        <w:rPr>
          <w:rFonts w:hint="eastAsia" w:ascii="宋体" w:hAnsi="宋体" w:cs="宋体"/>
          <w:b/>
          <w:bCs/>
          <w:spacing w:val="5"/>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720" w:footer="720" w:gutter="0"/>
          <w:cols w:space="720" w:num="1"/>
          <w:titlePg/>
          <w:docGrid w:type="lines" w:linePitch="317" w:charSpace="0"/>
        </w:sectPr>
      </w:pPr>
    </w:p>
    <w:p w14:paraId="075DF574">
      <w:pPr>
        <w:spacing w:before="90" w:line="225" w:lineRule="auto"/>
        <w:ind w:left="3463"/>
        <w:rPr>
          <w:rFonts w:hint="eastAsia" w:ascii="宋体" w:hAnsi="宋体" w:cs="宋体"/>
          <w:b/>
          <w:bCs/>
          <w:sz w:val="35"/>
          <w:szCs w:val="35"/>
        </w:rPr>
      </w:pPr>
      <w:r>
        <w:rPr>
          <w:rFonts w:hint="eastAsia" w:ascii="宋体" w:hAnsi="宋体" w:cs="宋体"/>
          <w:b/>
          <w:bCs/>
          <w:spacing w:val="5"/>
          <w:sz w:val="36"/>
          <w:szCs w:val="36"/>
        </w:rPr>
        <w:t>温馨提示</w:t>
      </w:r>
    </w:p>
    <w:p w14:paraId="309C186D">
      <w:pPr>
        <w:pStyle w:val="14"/>
        <w:spacing w:line="409" w:lineRule="auto"/>
        <w:rPr>
          <w:rFonts w:hint="eastAsia" w:ascii="宋体" w:hAnsi="宋体" w:cs="宋体"/>
        </w:rPr>
      </w:pPr>
    </w:p>
    <w:p w14:paraId="5E152AC9">
      <w:pPr>
        <w:spacing w:line="800" w:lineRule="exact"/>
        <w:ind w:firstLine="562" w:firstLineChars="200"/>
        <w:jc w:val="both"/>
        <w:rPr>
          <w:rFonts w:hint="eastAsia" w:ascii="宋体" w:hAnsi="宋体" w:cs="宋体"/>
          <w:b/>
          <w:bCs/>
          <w:sz w:val="28"/>
          <w:szCs w:val="28"/>
        </w:rPr>
      </w:pPr>
      <w:r>
        <w:rPr>
          <w:rFonts w:hint="eastAsia" w:ascii="宋体" w:hAnsi="宋体" w:cs="宋体"/>
          <w:b/>
          <w:bCs/>
          <w:sz w:val="28"/>
          <w:szCs w:val="28"/>
        </w:rPr>
        <w:t>1、本项目为全流程电子化的政府采购项目，供应商应提前熟悉“政采云”相关投标程序，提前在自有场地配置可音视频通话（带摄像头及话筒的计算机）的稳定网络环境，并按“政采云”开标大厅中的提示完成磋商活动。</w:t>
      </w:r>
    </w:p>
    <w:p w14:paraId="2E2CF31D">
      <w:pPr>
        <w:spacing w:line="800" w:lineRule="exact"/>
        <w:ind w:firstLine="562" w:firstLineChars="200"/>
        <w:rPr>
          <w:rFonts w:hint="eastAsia" w:ascii="宋体" w:hAnsi="宋体" w:cs="宋体"/>
          <w:b/>
          <w:bCs/>
          <w:sz w:val="28"/>
          <w:szCs w:val="28"/>
        </w:rPr>
      </w:pPr>
      <w:r>
        <w:rPr>
          <w:rFonts w:hint="eastAsia" w:ascii="宋体" w:hAnsi="宋体" w:cs="宋体"/>
          <w:b/>
          <w:bCs/>
          <w:sz w:val="28"/>
          <w:szCs w:val="28"/>
        </w:rPr>
        <w:t>2、请各供应商认真阅读本项目提供的关于“政采云”及“云南CA”的相关办理及操作流程，以免影响投标。</w:t>
      </w:r>
    </w:p>
    <w:p w14:paraId="34DA5B44">
      <w:pPr>
        <w:spacing w:line="800" w:lineRule="exact"/>
        <w:ind w:firstLine="562" w:firstLineChars="200"/>
        <w:rPr>
          <w:rFonts w:hint="eastAsia" w:ascii="宋体" w:hAnsi="宋体" w:cs="宋体"/>
          <w:b/>
          <w:bCs/>
          <w:sz w:val="28"/>
          <w:szCs w:val="28"/>
        </w:rPr>
      </w:pPr>
      <w:r>
        <w:rPr>
          <w:rFonts w:hint="eastAsia" w:ascii="宋体" w:hAnsi="宋体" w:cs="宋体"/>
          <w:b/>
          <w:bCs/>
          <w:sz w:val="28"/>
          <w:szCs w:val="28"/>
        </w:rPr>
        <w:t>3、投标期间，如有技术问题可致电“政采云”及“云南CA”进行咨询。</w:t>
      </w:r>
    </w:p>
    <w:p w14:paraId="65065B9E">
      <w:pPr>
        <w:spacing w:line="800" w:lineRule="exact"/>
        <w:ind w:firstLine="562" w:firstLineChars="200"/>
        <w:rPr>
          <w:rFonts w:hint="eastAsia" w:ascii="宋体" w:hAnsi="宋体" w:cs="宋体"/>
          <w:b/>
          <w:bCs/>
          <w:sz w:val="28"/>
          <w:szCs w:val="28"/>
        </w:rPr>
      </w:pPr>
      <w:r>
        <w:rPr>
          <w:rFonts w:hint="eastAsia" w:ascii="宋体" w:hAnsi="宋体" w:cs="宋体"/>
          <w:b/>
          <w:bCs/>
          <w:sz w:val="28"/>
          <w:szCs w:val="28"/>
        </w:rPr>
        <w:t>政采云技术支持电话：4008817190（客服热线）；</w:t>
      </w:r>
    </w:p>
    <w:p w14:paraId="61282653">
      <w:pPr>
        <w:spacing w:line="800" w:lineRule="exact"/>
        <w:ind w:firstLine="562" w:firstLineChars="200"/>
        <w:rPr>
          <w:rFonts w:hint="eastAsia" w:ascii="宋体" w:hAnsi="宋体" w:cs="宋体"/>
          <w:b/>
          <w:bCs/>
          <w:sz w:val="28"/>
          <w:szCs w:val="28"/>
        </w:rPr>
      </w:pPr>
      <w:r>
        <w:rPr>
          <w:rFonts w:hint="eastAsia" w:ascii="宋体" w:hAnsi="宋体" w:cs="宋体"/>
          <w:b/>
          <w:bCs/>
          <w:sz w:val="28"/>
          <w:szCs w:val="28"/>
        </w:rPr>
        <w:t>云南CA技术支持电话：4006727666；</w:t>
      </w:r>
    </w:p>
    <w:p w14:paraId="5392E511">
      <w:pPr>
        <w:spacing w:line="800" w:lineRule="exact"/>
        <w:ind w:firstLine="562" w:firstLineChars="200"/>
        <w:rPr>
          <w:rFonts w:hint="eastAsia" w:ascii="宋体" w:hAnsi="宋体" w:cs="宋体"/>
          <w:spacing w:val="-2"/>
          <w:sz w:val="24"/>
          <w:szCs w:val="24"/>
        </w:rPr>
      </w:pPr>
      <w:r>
        <w:rPr>
          <w:rFonts w:hint="eastAsia" w:ascii="宋体" w:hAnsi="宋体" w:cs="宋体"/>
          <w:b/>
          <w:bCs/>
          <w:sz w:val="28"/>
          <w:szCs w:val="28"/>
        </w:rPr>
        <w:t>云南CA紧急联系电话：15288315056。</w:t>
      </w:r>
    </w:p>
    <w:p w14:paraId="46504F2C">
      <w:pPr>
        <w:jc w:val="center"/>
        <w:rPr>
          <w:rFonts w:hint="eastAsia" w:ascii="宋体" w:hAnsi="宋体" w:cs="宋体"/>
          <w:b/>
          <w:bCs/>
          <w:sz w:val="44"/>
          <w:szCs w:val="44"/>
        </w:rPr>
        <w:sectPr>
          <w:footerReference r:id="rId10" w:type="first"/>
          <w:footerReference r:id="rId9" w:type="default"/>
          <w:pgSz w:w="11906" w:h="16838"/>
          <w:pgMar w:top="1440" w:right="1080" w:bottom="1440" w:left="1080" w:header="720" w:footer="720" w:gutter="0"/>
          <w:cols w:space="720" w:num="1"/>
          <w:titlePg/>
          <w:docGrid w:type="lines" w:linePitch="317" w:charSpace="0"/>
        </w:sectPr>
      </w:pPr>
    </w:p>
    <w:p w14:paraId="7AC5AC76">
      <w:pPr>
        <w:jc w:val="center"/>
        <w:rPr>
          <w:rFonts w:hint="eastAsia" w:ascii="宋体" w:hAnsi="宋体" w:cs="宋体"/>
        </w:rPr>
      </w:pPr>
      <w:r>
        <w:rPr>
          <w:rFonts w:hint="eastAsia" w:ascii="宋体" w:hAnsi="宋体" w:cs="宋体"/>
          <w:b/>
          <w:bCs/>
          <w:sz w:val="44"/>
          <w:szCs w:val="44"/>
        </w:rPr>
        <w:t>目  录</w:t>
      </w:r>
      <w:bookmarkStart w:id="0" w:name="_Toc29067"/>
      <w:bookmarkEnd w:id="0"/>
      <w:bookmarkStart w:id="1" w:name="_Toc25108"/>
      <w:bookmarkEnd w:id="1"/>
    </w:p>
    <w:p w14:paraId="0C788FE8">
      <w:pPr>
        <w:pStyle w:val="24"/>
        <w:tabs>
          <w:tab w:val="right" w:leader="dot" w:pos="9746"/>
        </w:tabs>
        <w:rPr>
          <w:rFonts w:hint="eastAsia" w:ascii="宋体" w:hAnsi="宋体" w:cs="宋体"/>
          <w:sz w:val="24"/>
          <w:szCs w:val="24"/>
        </w:rPr>
      </w:pPr>
      <w:r>
        <w:rPr>
          <w:rFonts w:hint="eastAsia" w:ascii="宋体" w:hAnsi="宋体" w:cs="宋体"/>
        </w:rPr>
        <w:fldChar w:fldCharType="begin"/>
      </w:r>
      <w:r>
        <w:rPr>
          <w:rFonts w:hint="eastAsia" w:ascii="宋体" w:hAnsi="宋体" w:cs="宋体"/>
        </w:rPr>
        <w:instrText xml:space="preserve">TOC \o "1-2" \h \u </w:instrText>
      </w:r>
      <w:r>
        <w:rPr>
          <w:rFonts w:hint="eastAsia" w:ascii="宋体" w:hAnsi="宋体" w:cs="宋体"/>
        </w:rPr>
        <w:fldChar w:fldCharType="separate"/>
      </w:r>
      <w:r>
        <w:fldChar w:fldCharType="begin"/>
      </w:r>
      <w:r>
        <w:instrText xml:space="preserve"> HYPERLINK \l "_Toc17375" </w:instrText>
      </w:r>
      <w:r>
        <w:fldChar w:fldCharType="separate"/>
      </w:r>
      <w:r>
        <w:rPr>
          <w:rFonts w:hint="eastAsia" w:ascii="宋体" w:hAnsi="宋体" w:cs="宋体"/>
          <w:sz w:val="24"/>
          <w:szCs w:val="24"/>
        </w:rPr>
        <w:t>第一章 竞争性磋商公告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_Toc17375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14:paraId="4C54039B">
      <w:pPr>
        <w:pStyle w:val="28"/>
        <w:tabs>
          <w:tab w:val="right" w:leader="dot" w:pos="9746"/>
        </w:tabs>
        <w:rPr>
          <w:rFonts w:hint="eastAsia" w:ascii="宋体" w:hAnsi="宋体" w:cs="宋体"/>
          <w:sz w:val="24"/>
          <w:szCs w:val="24"/>
        </w:rPr>
      </w:pPr>
      <w:r>
        <w:fldChar w:fldCharType="begin"/>
      </w:r>
      <w:r>
        <w:instrText xml:space="preserve"> HYPERLINK \l "_Toc14987" </w:instrText>
      </w:r>
      <w:r>
        <w:fldChar w:fldCharType="separate"/>
      </w:r>
      <w:r>
        <w:rPr>
          <w:rFonts w:hint="eastAsia" w:ascii="宋体" w:hAnsi="宋体" w:cs="宋体"/>
          <w:sz w:val="24"/>
          <w:szCs w:val="36"/>
        </w:rPr>
        <w:t>一、项目基本情况</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_Toc14987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14:paraId="2264E10A">
      <w:pPr>
        <w:pStyle w:val="28"/>
        <w:tabs>
          <w:tab w:val="right" w:leader="dot" w:pos="9746"/>
        </w:tabs>
        <w:rPr>
          <w:rFonts w:hint="eastAsia" w:ascii="宋体" w:hAnsi="宋体" w:cs="宋体"/>
          <w:sz w:val="24"/>
          <w:szCs w:val="24"/>
        </w:rPr>
      </w:pPr>
      <w:r>
        <w:fldChar w:fldCharType="begin"/>
      </w:r>
      <w:r>
        <w:instrText xml:space="preserve"> HYPERLINK \l "_Toc29215" </w:instrText>
      </w:r>
      <w:r>
        <w:fldChar w:fldCharType="separate"/>
      </w:r>
      <w:r>
        <w:rPr>
          <w:rFonts w:hint="eastAsia" w:ascii="宋体" w:hAnsi="宋体" w:cs="宋体"/>
          <w:sz w:val="24"/>
          <w:szCs w:val="36"/>
        </w:rPr>
        <w:t>二、申请人的资格要求：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_Toc29215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14:paraId="0977BF47">
      <w:pPr>
        <w:pStyle w:val="28"/>
        <w:tabs>
          <w:tab w:val="right" w:leader="dot" w:pos="9746"/>
        </w:tabs>
        <w:rPr>
          <w:rFonts w:hint="eastAsia" w:ascii="宋体" w:hAnsi="宋体" w:cs="宋体"/>
          <w:sz w:val="24"/>
          <w:szCs w:val="24"/>
        </w:rPr>
      </w:pPr>
      <w:r>
        <w:fldChar w:fldCharType="begin"/>
      </w:r>
      <w:r>
        <w:instrText xml:space="preserve"> HYPERLINK \l "_Toc19982" </w:instrText>
      </w:r>
      <w:r>
        <w:fldChar w:fldCharType="separate"/>
      </w:r>
      <w:r>
        <w:rPr>
          <w:rFonts w:hint="eastAsia" w:ascii="宋体" w:hAnsi="宋体" w:cs="宋体"/>
          <w:sz w:val="24"/>
          <w:szCs w:val="36"/>
        </w:rPr>
        <w:t>三、获取采购文件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_Toc19982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14:paraId="3134168E">
      <w:pPr>
        <w:pStyle w:val="28"/>
        <w:tabs>
          <w:tab w:val="right" w:leader="dot" w:pos="9746"/>
        </w:tabs>
        <w:rPr>
          <w:rFonts w:hint="eastAsia" w:ascii="宋体" w:hAnsi="宋体" w:cs="宋体"/>
          <w:sz w:val="24"/>
          <w:szCs w:val="24"/>
        </w:rPr>
      </w:pPr>
      <w:r>
        <w:fldChar w:fldCharType="begin"/>
      </w:r>
      <w:r>
        <w:instrText xml:space="preserve"> HYPERLINK \l "_Toc29165" </w:instrText>
      </w:r>
      <w:r>
        <w:fldChar w:fldCharType="separate"/>
      </w:r>
      <w:r>
        <w:rPr>
          <w:rFonts w:hint="eastAsia" w:ascii="宋体" w:hAnsi="宋体" w:cs="宋体"/>
          <w:sz w:val="24"/>
          <w:szCs w:val="36"/>
        </w:rPr>
        <w:t>四、响应文件提交</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_Toc29165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524EE6FD">
      <w:pPr>
        <w:pStyle w:val="28"/>
        <w:tabs>
          <w:tab w:val="right" w:leader="dot" w:pos="9746"/>
        </w:tabs>
        <w:rPr>
          <w:rFonts w:hint="eastAsia" w:ascii="宋体" w:hAnsi="宋体" w:cs="宋体"/>
          <w:sz w:val="24"/>
          <w:szCs w:val="24"/>
        </w:rPr>
      </w:pPr>
      <w:r>
        <w:fldChar w:fldCharType="begin"/>
      </w:r>
      <w:r>
        <w:instrText xml:space="preserve"> HYPERLINK \l "_Toc17591" </w:instrText>
      </w:r>
      <w:r>
        <w:fldChar w:fldCharType="separate"/>
      </w:r>
      <w:r>
        <w:rPr>
          <w:rFonts w:hint="eastAsia" w:ascii="宋体" w:hAnsi="宋体" w:cs="宋体"/>
          <w:sz w:val="24"/>
          <w:szCs w:val="36"/>
        </w:rPr>
        <w:t>五、开启</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_Toc17591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018FBBA5">
      <w:pPr>
        <w:pStyle w:val="28"/>
        <w:tabs>
          <w:tab w:val="right" w:leader="dot" w:pos="9746"/>
        </w:tabs>
        <w:rPr>
          <w:rFonts w:hint="eastAsia" w:ascii="宋体" w:hAnsi="宋体" w:cs="宋体"/>
          <w:sz w:val="24"/>
          <w:szCs w:val="24"/>
        </w:rPr>
      </w:pPr>
      <w:r>
        <w:fldChar w:fldCharType="begin"/>
      </w:r>
      <w:r>
        <w:instrText xml:space="preserve"> HYPERLINK \l "_Toc4479" </w:instrText>
      </w:r>
      <w:r>
        <w:fldChar w:fldCharType="separate"/>
      </w:r>
      <w:r>
        <w:rPr>
          <w:rFonts w:hint="eastAsia" w:ascii="宋体" w:hAnsi="宋体" w:cs="宋体"/>
          <w:sz w:val="24"/>
          <w:szCs w:val="36"/>
        </w:rPr>
        <w:t>六、公告期限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_Toc4479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7B71EB1F">
      <w:pPr>
        <w:pStyle w:val="28"/>
        <w:tabs>
          <w:tab w:val="right" w:leader="dot" w:pos="9746"/>
        </w:tabs>
        <w:rPr>
          <w:rFonts w:hint="eastAsia" w:ascii="宋体" w:hAnsi="宋体" w:cs="宋体"/>
          <w:sz w:val="24"/>
          <w:szCs w:val="24"/>
        </w:rPr>
      </w:pPr>
      <w:r>
        <w:fldChar w:fldCharType="begin"/>
      </w:r>
      <w:r>
        <w:instrText xml:space="preserve"> HYPERLINK \l "_Toc25387" </w:instrText>
      </w:r>
      <w:r>
        <w:fldChar w:fldCharType="separate"/>
      </w:r>
      <w:r>
        <w:rPr>
          <w:rFonts w:hint="eastAsia" w:ascii="宋体" w:hAnsi="宋体" w:cs="宋体"/>
          <w:sz w:val="24"/>
          <w:szCs w:val="36"/>
        </w:rPr>
        <w:t>七、其他补充事宜</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_Toc25387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6BB53335">
      <w:pPr>
        <w:pStyle w:val="28"/>
        <w:tabs>
          <w:tab w:val="right" w:leader="dot" w:pos="9746"/>
        </w:tabs>
        <w:rPr>
          <w:rFonts w:hint="eastAsia" w:ascii="宋体" w:hAnsi="宋体" w:cs="宋体"/>
          <w:sz w:val="24"/>
          <w:szCs w:val="24"/>
        </w:rPr>
      </w:pPr>
      <w:r>
        <w:fldChar w:fldCharType="begin"/>
      </w:r>
      <w:r>
        <w:instrText xml:space="preserve"> HYPERLINK \l "_Toc4623" </w:instrText>
      </w:r>
      <w:r>
        <w:fldChar w:fldCharType="separate"/>
      </w:r>
      <w:r>
        <w:rPr>
          <w:rFonts w:hint="eastAsia" w:ascii="宋体" w:hAnsi="宋体" w:cs="宋体"/>
          <w:sz w:val="24"/>
          <w:szCs w:val="36"/>
        </w:rPr>
        <w:t>八、凡对本次采购提出询问，请按以下方式联系</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_Toc4623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1EE83349">
      <w:pPr>
        <w:pStyle w:val="24"/>
        <w:tabs>
          <w:tab w:val="right" w:leader="dot" w:pos="9746"/>
        </w:tabs>
        <w:rPr>
          <w:rFonts w:hint="eastAsia" w:ascii="宋体" w:hAnsi="宋体" w:cs="宋体"/>
          <w:sz w:val="24"/>
          <w:szCs w:val="24"/>
        </w:rPr>
      </w:pPr>
      <w:r>
        <w:fldChar w:fldCharType="begin"/>
      </w:r>
      <w:r>
        <w:instrText xml:space="preserve"> HYPERLINK \l "_Toc30167" </w:instrText>
      </w:r>
      <w:r>
        <w:fldChar w:fldCharType="separate"/>
      </w:r>
      <w:r>
        <w:rPr>
          <w:rFonts w:hint="eastAsia" w:ascii="宋体" w:hAnsi="宋体" w:cs="宋体"/>
          <w:sz w:val="24"/>
          <w:szCs w:val="24"/>
        </w:rPr>
        <w:t>第二章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_Toc30167 \h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14:paraId="5649BF0C">
      <w:pPr>
        <w:pStyle w:val="28"/>
        <w:tabs>
          <w:tab w:val="right" w:leader="dot" w:pos="9746"/>
        </w:tabs>
        <w:rPr>
          <w:rFonts w:hint="eastAsia" w:ascii="宋体" w:hAnsi="宋体" w:cs="宋体"/>
          <w:sz w:val="24"/>
          <w:szCs w:val="24"/>
        </w:rPr>
      </w:pPr>
      <w:r>
        <w:fldChar w:fldCharType="begin"/>
      </w:r>
      <w:r>
        <w:instrText xml:space="preserve"> HYPERLINK \l "_Toc9362" </w:instrText>
      </w:r>
      <w:r>
        <w:fldChar w:fldCharType="separate"/>
      </w:r>
      <w:r>
        <w:rPr>
          <w:rFonts w:hint="eastAsia" w:ascii="宋体" w:hAnsi="宋体" w:cs="宋体"/>
          <w:sz w:val="24"/>
          <w:szCs w:val="40"/>
        </w:rPr>
        <w:t>供应商须知前附表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_Toc9362 \h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14:paraId="04D463A3">
      <w:pPr>
        <w:pStyle w:val="28"/>
        <w:tabs>
          <w:tab w:val="right" w:leader="dot" w:pos="9746"/>
        </w:tabs>
        <w:rPr>
          <w:rFonts w:hint="eastAsia" w:ascii="宋体" w:hAnsi="宋体" w:cs="宋体"/>
          <w:sz w:val="24"/>
          <w:szCs w:val="24"/>
        </w:rPr>
      </w:pPr>
      <w:r>
        <w:fldChar w:fldCharType="begin"/>
      </w:r>
      <w:r>
        <w:instrText xml:space="preserve"> HYPERLINK \l "_Toc18390" </w:instrText>
      </w:r>
      <w:r>
        <w:fldChar w:fldCharType="separate"/>
      </w:r>
      <w:r>
        <w:rPr>
          <w:rFonts w:hint="eastAsia" w:ascii="宋体" w:hAnsi="宋体" w:cs="宋体"/>
          <w:sz w:val="24"/>
          <w:szCs w:val="40"/>
        </w:rPr>
        <w:t>1.总则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_Toc18390 \h </w:instrText>
      </w:r>
      <w:r>
        <w:rPr>
          <w:rFonts w:hint="eastAsia" w:ascii="宋体" w:hAnsi="宋体" w:cs="宋体"/>
          <w:sz w:val="24"/>
          <w:szCs w:val="24"/>
        </w:rPr>
        <w:fldChar w:fldCharType="separate"/>
      </w:r>
      <w:r>
        <w:rPr>
          <w:rFonts w:hint="eastAsia" w:ascii="宋体" w:hAnsi="宋体" w:cs="宋体"/>
          <w:sz w:val="24"/>
          <w:szCs w:val="24"/>
        </w:rPr>
        <w:t>17</w:t>
      </w:r>
      <w:r>
        <w:rPr>
          <w:rFonts w:hint="eastAsia" w:ascii="宋体" w:hAnsi="宋体" w:cs="宋体"/>
          <w:sz w:val="24"/>
          <w:szCs w:val="24"/>
        </w:rPr>
        <w:fldChar w:fldCharType="end"/>
      </w:r>
      <w:r>
        <w:rPr>
          <w:rFonts w:hint="eastAsia" w:ascii="宋体" w:hAnsi="宋体" w:cs="宋体"/>
          <w:sz w:val="24"/>
          <w:szCs w:val="24"/>
        </w:rPr>
        <w:fldChar w:fldCharType="end"/>
      </w:r>
    </w:p>
    <w:p w14:paraId="5DE99A80">
      <w:pPr>
        <w:pStyle w:val="28"/>
        <w:tabs>
          <w:tab w:val="right" w:leader="dot" w:pos="9746"/>
        </w:tabs>
        <w:rPr>
          <w:rFonts w:hint="eastAsia" w:ascii="宋体" w:hAnsi="宋体" w:cs="宋体"/>
          <w:sz w:val="24"/>
          <w:szCs w:val="24"/>
        </w:rPr>
      </w:pPr>
      <w:r>
        <w:fldChar w:fldCharType="begin"/>
      </w:r>
      <w:r>
        <w:instrText xml:space="preserve"> HYPERLINK \l "_Toc22171" </w:instrText>
      </w:r>
      <w:r>
        <w:fldChar w:fldCharType="separate"/>
      </w:r>
      <w:r>
        <w:rPr>
          <w:rFonts w:hint="eastAsia" w:ascii="宋体" w:hAnsi="宋体" w:cs="宋体"/>
          <w:sz w:val="24"/>
          <w:szCs w:val="40"/>
        </w:rPr>
        <w:t>2.竞争性磋商文件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_Toc22171 \h </w:instrText>
      </w:r>
      <w:r>
        <w:rPr>
          <w:rFonts w:hint="eastAsia" w:ascii="宋体" w:hAnsi="宋体" w:cs="宋体"/>
          <w:sz w:val="24"/>
          <w:szCs w:val="24"/>
        </w:rPr>
        <w:fldChar w:fldCharType="separate"/>
      </w:r>
      <w:r>
        <w:rPr>
          <w:rFonts w:hint="eastAsia" w:ascii="宋体" w:hAnsi="宋体" w:cs="宋体"/>
          <w:sz w:val="24"/>
          <w:szCs w:val="24"/>
        </w:rPr>
        <w:t>19</w:t>
      </w:r>
      <w:r>
        <w:rPr>
          <w:rFonts w:hint="eastAsia" w:ascii="宋体" w:hAnsi="宋体" w:cs="宋体"/>
          <w:sz w:val="24"/>
          <w:szCs w:val="24"/>
        </w:rPr>
        <w:fldChar w:fldCharType="end"/>
      </w:r>
      <w:r>
        <w:rPr>
          <w:rFonts w:hint="eastAsia" w:ascii="宋体" w:hAnsi="宋体" w:cs="宋体"/>
          <w:sz w:val="24"/>
          <w:szCs w:val="24"/>
        </w:rPr>
        <w:fldChar w:fldCharType="end"/>
      </w:r>
    </w:p>
    <w:p w14:paraId="5397312F">
      <w:pPr>
        <w:pStyle w:val="28"/>
        <w:tabs>
          <w:tab w:val="right" w:leader="dot" w:pos="9746"/>
        </w:tabs>
        <w:rPr>
          <w:rFonts w:hint="eastAsia" w:ascii="宋体" w:hAnsi="宋体" w:cs="宋体"/>
          <w:sz w:val="24"/>
          <w:szCs w:val="24"/>
        </w:rPr>
      </w:pPr>
      <w:r>
        <w:fldChar w:fldCharType="begin"/>
      </w:r>
      <w:r>
        <w:instrText xml:space="preserve"> HYPERLINK \l "_Toc27593" </w:instrText>
      </w:r>
      <w:r>
        <w:fldChar w:fldCharType="separate"/>
      </w:r>
      <w:r>
        <w:rPr>
          <w:rFonts w:hint="eastAsia" w:ascii="宋体" w:hAnsi="宋体" w:cs="宋体"/>
          <w:sz w:val="24"/>
          <w:szCs w:val="40"/>
        </w:rPr>
        <w:t>3.响应文件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_Toc27593 \h </w:instrText>
      </w:r>
      <w:r>
        <w:rPr>
          <w:rFonts w:hint="eastAsia" w:ascii="宋体" w:hAnsi="宋体" w:cs="宋体"/>
          <w:sz w:val="24"/>
          <w:szCs w:val="24"/>
        </w:rPr>
        <w:fldChar w:fldCharType="separate"/>
      </w:r>
      <w:r>
        <w:rPr>
          <w:rFonts w:hint="eastAsia" w:ascii="宋体" w:hAnsi="宋体" w:cs="宋体"/>
          <w:sz w:val="24"/>
          <w:szCs w:val="24"/>
        </w:rPr>
        <w:t>19</w:t>
      </w:r>
      <w:r>
        <w:rPr>
          <w:rFonts w:hint="eastAsia" w:ascii="宋体" w:hAnsi="宋体" w:cs="宋体"/>
          <w:sz w:val="24"/>
          <w:szCs w:val="24"/>
        </w:rPr>
        <w:fldChar w:fldCharType="end"/>
      </w:r>
      <w:r>
        <w:rPr>
          <w:rFonts w:hint="eastAsia" w:ascii="宋体" w:hAnsi="宋体" w:cs="宋体"/>
          <w:sz w:val="24"/>
          <w:szCs w:val="24"/>
        </w:rPr>
        <w:fldChar w:fldCharType="end"/>
      </w:r>
    </w:p>
    <w:p w14:paraId="5A9A2B88">
      <w:pPr>
        <w:pStyle w:val="28"/>
        <w:tabs>
          <w:tab w:val="right" w:leader="dot" w:pos="9746"/>
        </w:tabs>
        <w:rPr>
          <w:rFonts w:hint="eastAsia" w:ascii="宋体" w:hAnsi="宋体" w:cs="宋体"/>
          <w:sz w:val="24"/>
          <w:szCs w:val="24"/>
        </w:rPr>
      </w:pPr>
      <w:r>
        <w:fldChar w:fldCharType="begin"/>
      </w:r>
      <w:r>
        <w:instrText xml:space="preserve"> HYPERLINK \l "_Toc9786" </w:instrText>
      </w:r>
      <w:r>
        <w:fldChar w:fldCharType="separate"/>
      </w:r>
      <w:r>
        <w:rPr>
          <w:rFonts w:hint="eastAsia" w:ascii="宋体" w:hAnsi="宋体" w:cs="宋体"/>
          <w:sz w:val="24"/>
          <w:szCs w:val="40"/>
        </w:rPr>
        <w:t>4.磋商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_Toc9786 \h </w:instrText>
      </w:r>
      <w:r>
        <w:rPr>
          <w:rFonts w:hint="eastAsia" w:ascii="宋体" w:hAnsi="宋体" w:cs="宋体"/>
          <w:sz w:val="24"/>
          <w:szCs w:val="24"/>
        </w:rPr>
        <w:fldChar w:fldCharType="separate"/>
      </w:r>
      <w:r>
        <w:rPr>
          <w:rFonts w:hint="eastAsia" w:ascii="宋体" w:hAnsi="宋体" w:cs="宋体"/>
          <w:sz w:val="24"/>
          <w:szCs w:val="24"/>
        </w:rPr>
        <w:t>21</w:t>
      </w:r>
      <w:r>
        <w:rPr>
          <w:rFonts w:hint="eastAsia" w:ascii="宋体" w:hAnsi="宋体" w:cs="宋体"/>
          <w:sz w:val="24"/>
          <w:szCs w:val="24"/>
        </w:rPr>
        <w:fldChar w:fldCharType="end"/>
      </w:r>
      <w:r>
        <w:rPr>
          <w:rFonts w:hint="eastAsia" w:ascii="宋体" w:hAnsi="宋体" w:cs="宋体"/>
          <w:sz w:val="24"/>
          <w:szCs w:val="24"/>
        </w:rPr>
        <w:fldChar w:fldCharType="end"/>
      </w:r>
    </w:p>
    <w:p w14:paraId="6138BBF0">
      <w:pPr>
        <w:pStyle w:val="28"/>
        <w:tabs>
          <w:tab w:val="right" w:leader="dot" w:pos="9746"/>
        </w:tabs>
        <w:rPr>
          <w:rFonts w:hint="eastAsia" w:ascii="宋体" w:hAnsi="宋体" w:cs="宋体"/>
          <w:sz w:val="24"/>
          <w:szCs w:val="24"/>
        </w:rPr>
      </w:pPr>
      <w:r>
        <w:fldChar w:fldCharType="begin"/>
      </w:r>
      <w:r>
        <w:instrText xml:space="preserve"> HYPERLINK \l "_Toc3499" </w:instrText>
      </w:r>
      <w:r>
        <w:fldChar w:fldCharType="separate"/>
      </w:r>
      <w:r>
        <w:rPr>
          <w:rFonts w:hint="eastAsia" w:ascii="宋体" w:hAnsi="宋体" w:cs="宋体"/>
          <w:sz w:val="24"/>
          <w:szCs w:val="40"/>
        </w:rPr>
        <w:t>5.开启</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_Toc3499 \h </w:instrText>
      </w:r>
      <w:r>
        <w:rPr>
          <w:rFonts w:hint="eastAsia" w:ascii="宋体" w:hAnsi="宋体" w:cs="宋体"/>
          <w:sz w:val="24"/>
          <w:szCs w:val="24"/>
        </w:rPr>
        <w:fldChar w:fldCharType="separate"/>
      </w:r>
      <w:r>
        <w:rPr>
          <w:rFonts w:hint="eastAsia" w:ascii="宋体" w:hAnsi="宋体" w:cs="宋体"/>
          <w:sz w:val="24"/>
          <w:szCs w:val="24"/>
        </w:rPr>
        <w:t>21</w:t>
      </w:r>
      <w:r>
        <w:rPr>
          <w:rFonts w:hint="eastAsia" w:ascii="宋体" w:hAnsi="宋体" w:cs="宋体"/>
          <w:sz w:val="24"/>
          <w:szCs w:val="24"/>
        </w:rPr>
        <w:fldChar w:fldCharType="end"/>
      </w:r>
      <w:r>
        <w:rPr>
          <w:rFonts w:hint="eastAsia" w:ascii="宋体" w:hAnsi="宋体" w:cs="宋体"/>
          <w:sz w:val="24"/>
          <w:szCs w:val="24"/>
        </w:rPr>
        <w:fldChar w:fldCharType="end"/>
      </w:r>
    </w:p>
    <w:p w14:paraId="35A94D69">
      <w:pPr>
        <w:pStyle w:val="28"/>
        <w:tabs>
          <w:tab w:val="right" w:leader="dot" w:pos="9746"/>
        </w:tabs>
        <w:rPr>
          <w:rFonts w:hint="eastAsia" w:ascii="宋体" w:hAnsi="宋体" w:cs="宋体"/>
          <w:sz w:val="24"/>
          <w:szCs w:val="24"/>
        </w:rPr>
      </w:pPr>
      <w:r>
        <w:fldChar w:fldCharType="begin"/>
      </w:r>
      <w:r>
        <w:instrText xml:space="preserve"> HYPERLINK \l "_Toc17661" </w:instrText>
      </w:r>
      <w:r>
        <w:fldChar w:fldCharType="separate"/>
      </w:r>
      <w:r>
        <w:rPr>
          <w:rFonts w:hint="eastAsia" w:ascii="宋体" w:hAnsi="宋体" w:cs="宋体"/>
          <w:sz w:val="24"/>
          <w:szCs w:val="40"/>
        </w:rPr>
        <w:t>6.评审</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_Toc17661 \h </w:instrText>
      </w:r>
      <w:r>
        <w:rPr>
          <w:rFonts w:hint="eastAsia" w:ascii="宋体" w:hAnsi="宋体" w:cs="宋体"/>
          <w:sz w:val="24"/>
          <w:szCs w:val="24"/>
        </w:rPr>
        <w:fldChar w:fldCharType="separate"/>
      </w:r>
      <w:r>
        <w:rPr>
          <w:rFonts w:hint="eastAsia" w:ascii="宋体" w:hAnsi="宋体" w:cs="宋体"/>
          <w:sz w:val="24"/>
          <w:szCs w:val="24"/>
        </w:rPr>
        <w:t>22</w:t>
      </w:r>
      <w:r>
        <w:rPr>
          <w:rFonts w:hint="eastAsia" w:ascii="宋体" w:hAnsi="宋体" w:cs="宋体"/>
          <w:sz w:val="24"/>
          <w:szCs w:val="24"/>
        </w:rPr>
        <w:fldChar w:fldCharType="end"/>
      </w:r>
      <w:r>
        <w:rPr>
          <w:rFonts w:hint="eastAsia" w:ascii="宋体" w:hAnsi="宋体" w:cs="宋体"/>
          <w:sz w:val="24"/>
          <w:szCs w:val="24"/>
        </w:rPr>
        <w:fldChar w:fldCharType="end"/>
      </w:r>
    </w:p>
    <w:p w14:paraId="574EBE15">
      <w:pPr>
        <w:pStyle w:val="28"/>
        <w:tabs>
          <w:tab w:val="right" w:leader="dot" w:pos="9746"/>
        </w:tabs>
        <w:rPr>
          <w:rFonts w:hint="eastAsia" w:ascii="宋体" w:hAnsi="宋体" w:cs="宋体"/>
          <w:sz w:val="24"/>
          <w:szCs w:val="24"/>
        </w:rPr>
      </w:pPr>
      <w:r>
        <w:fldChar w:fldCharType="begin"/>
      </w:r>
      <w:r>
        <w:instrText xml:space="preserve"> HYPERLINK \l "_Toc71" </w:instrText>
      </w:r>
      <w:r>
        <w:fldChar w:fldCharType="separate"/>
      </w:r>
      <w:r>
        <w:rPr>
          <w:rFonts w:hint="eastAsia" w:ascii="宋体" w:hAnsi="宋体" w:cs="宋体"/>
          <w:sz w:val="24"/>
          <w:szCs w:val="40"/>
        </w:rPr>
        <w:t>7.成交和合同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_Toc71 \h </w:instrText>
      </w:r>
      <w:r>
        <w:rPr>
          <w:rFonts w:hint="eastAsia" w:ascii="宋体" w:hAnsi="宋体" w:cs="宋体"/>
          <w:sz w:val="24"/>
          <w:szCs w:val="24"/>
        </w:rPr>
        <w:fldChar w:fldCharType="separate"/>
      </w:r>
      <w:r>
        <w:rPr>
          <w:rFonts w:hint="eastAsia" w:ascii="宋体" w:hAnsi="宋体" w:cs="宋体"/>
          <w:sz w:val="24"/>
          <w:szCs w:val="24"/>
        </w:rPr>
        <w:t>23</w:t>
      </w:r>
      <w:r>
        <w:rPr>
          <w:rFonts w:hint="eastAsia" w:ascii="宋体" w:hAnsi="宋体" w:cs="宋体"/>
          <w:sz w:val="24"/>
          <w:szCs w:val="24"/>
        </w:rPr>
        <w:fldChar w:fldCharType="end"/>
      </w:r>
      <w:r>
        <w:rPr>
          <w:rFonts w:hint="eastAsia" w:ascii="宋体" w:hAnsi="宋体" w:cs="宋体"/>
          <w:sz w:val="24"/>
          <w:szCs w:val="24"/>
        </w:rPr>
        <w:fldChar w:fldCharType="end"/>
      </w:r>
    </w:p>
    <w:p w14:paraId="7638210C">
      <w:pPr>
        <w:pStyle w:val="28"/>
        <w:tabs>
          <w:tab w:val="right" w:leader="dot" w:pos="9746"/>
        </w:tabs>
        <w:rPr>
          <w:rFonts w:hint="eastAsia" w:ascii="宋体" w:hAnsi="宋体" w:cs="宋体"/>
          <w:sz w:val="24"/>
          <w:szCs w:val="24"/>
        </w:rPr>
      </w:pPr>
      <w:r>
        <w:fldChar w:fldCharType="begin"/>
      </w:r>
      <w:r>
        <w:instrText xml:space="preserve"> HYPERLINK \l "_Toc27670" </w:instrText>
      </w:r>
      <w:r>
        <w:fldChar w:fldCharType="separate"/>
      </w:r>
      <w:r>
        <w:rPr>
          <w:rFonts w:hint="eastAsia" w:ascii="宋体" w:hAnsi="宋体" w:cs="宋体"/>
          <w:sz w:val="24"/>
          <w:szCs w:val="40"/>
        </w:rPr>
        <w:t>8.询问与答复</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_Toc27670 \h </w:instrText>
      </w:r>
      <w:r>
        <w:rPr>
          <w:rFonts w:hint="eastAsia" w:ascii="宋体" w:hAnsi="宋体" w:cs="宋体"/>
          <w:sz w:val="24"/>
          <w:szCs w:val="24"/>
        </w:rPr>
        <w:fldChar w:fldCharType="separate"/>
      </w:r>
      <w:r>
        <w:rPr>
          <w:rFonts w:hint="eastAsia" w:ascii="宋体" w:hAnsi="宋体" w:cs="宋体"/>
          <w:sz w:val="24"/>
          <w:szCs w:val="24"/>
        </w:rPr>
        <w:t>24</w:t>
      </w:r>
      <w:r>
        <w:rPr>
          <w:rFonts w:hint="eastAsia" w:ascii="宋体" w:hAnsi="宋体" w:cs="宋体"/>
          <w:sz w:val="24"/>
          <w:szCs w:val="24"/>
        </w:rPr>
        <w:fldChar w:fldCharType="end"/>
      </w:r>
      <w:r>
        <w:rPr>
          <w:rFonts w:hint="eastAsia" w:ascii="宋体" w:hAnsi="宋体" w:cs="宋体"/>
          <w:sz w:val="24"/>
          <w:szCs w:val="24"/>
        </w:rPr>
        <w:fldChar w:fldCharType="end"/>
      </w:r>
    </w:p>
    <w:p w14:paraId="19FC8382">
      <w:pPr>
        <w:pStyle w:val="28"/>
        <w:tabs>
          <w:tab w:val="right" w:leader="dot" w:pos="9746"/>
        </w:tabs>
        <w:rPr>
          <w:rFonts w:hint="eastAsia" w:ascii="宋体" w:hAnsi="宋体" w:cs="宋体"/>
          <w:sz w:val="24"/>
          <w:szCs w:val="24"/>
        </w:rPr>
      </w:pPr>
      <w:r>
        <w:fldChar w:fldCharType="begin"/>
      </w:r>
      <w:r>
        <w:instrText xml:space="preserve"> HYPERLINK \l "_Toc19286" </w:instrText>
      </w:r>
      <w:r>
        <w:fldChar w:fldCharType="separate"/>
      </w:r>
      <w:r>
        <w:rPr>
          <w:rFonts w:hint="eastAsia" w:ascii="宋体" w:hAnsi="宋体" w:cs="宋体"/>
          <w:sz w:val="24"/>
          <w:szCs w:val="40"/>
        </w:rPr>
        <w:t>9.质疑接收、回复</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_Toc19286 \h </w:instrText>
      </w:r>
      <w:r>
        <w:rPr>
          <w:rFonts w:hint="eastAsia" w:ascii="宋体" w:hAnsi="宋体" w:cs="宋体"/>
          <w:sz w:val="24"/>
          <w:szCs w:val="24"/>
        </w:rPr>
        <w:fldChar w:fldCharType="separate"/>
      </w:r>
      <w:r>
        <w:rPr>
          <w:rFonts w:hint="eastAsia" w:ascii="宋体" w:hAnsi="宋体" w:cs="宋体"/>
          <w:sz w:val="24"/>
          <w:szCs w:val="24"/>
        </w:rPr>
        <w:t>24</w:t>
      </w:r>
      <w:r>
        <w:rPr>
          <w:rFonts w:hint="eastAsia" w:ascii="宋体" w:hAnsi="宋体" w:cs="宋体"/>
          <w:sz w:val="24"/>
          <w:szCs w:val="24"/>
        </w:rPr>
        <w:fldChar w:fldCharType="end"/>
      </w:r>
      <w:r>
        <w:rPr>
          <w:rFonts w:hint="eastAsia" w:ascii="宋体" w:hAnsi="宋体" w:cs="宋体"/>
          <w:sz w:val="24"/>
          <w:szCs w:val="24"/>
        </w:rPr>
        <w:fldChar w:fldCharType="end"/>
      </w:r>
    </w:p>
    <w:p w14:paraId="425F2593">
      <w:pPr>
        <w:pStyle w:val="28"/>
        <w:tabs>
          <w:tab w:val="right" w:leader="dot" w:pos="9746"/>
        </w:tabs>
        <w:rPr>
          <w:rFonts w:hint="eastAsia" w:ascii="宋体" w:hAnsi="宋体" w:cs="宋体"/>
          <w:sz w:val="24"/>
          <w:szCs w:val="24"/>
        </w:rPr>
      </w:pPr>
      <w:r>
        <w:fldChar w:fldCharType="begin"/>
      </w:r>
      <w:r>
        <w:instrText xml:space="preserve"> HYPERLINK \l "_Toc4731" </w:instrText>
      </w:r>
      <w:r>
        <w:fldChar w:fldCharType="separate"/>
      </w:r>
      <w:r>
        <w:rPr>
          <w:rFonts w:hint="eastAsia" w:ascii="宋体" w:hAnsi="宋体" w:cs="宋体"/>
          <w:sz w:val="24"/>
          <w:szCs w:val="40"/>
        </w:rPr>
        <w:t>10.纪律和监督</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_Toc4731 \h </w:instrText>
      </w:r>
      <w:r>
        <w:rPr>
          <w:rFonts w:hint="eastAsia" w:ascii="宋体" w:hAnsi="宋体" w:cs="宋体"/>
          <w:sz w:val="24"/>
          <w:szCs w:val="24"/>
        </w:rPr>
        <w:fldChar w:fldCharType="separate"/>
      </w:r>
      <w:r>
        <w:rPr>
          <w:rFonts w:hint="eastAsia" w:ascii="宋体" w:hAnsi="宋体" w:cs="宋体"/>
          <w:sz w:val="24"/>
          <w:szCs w:val="24"/>
        </w:rPr>
        <w:t>25</w:t>
      </w:r>
      <w:r>
        <w:rPr>
          <w:rFonts w:hint="eastAsia" w:ascii="宋体" w:hAnsi="宋体" w:cs="宋体"/>
          <w:sz w:val="24"/>
          <w:szCs w:val="24"/>
        </w:rPr>
        <w:fldChar w:fldCharType="end"/>
      </w:r>
      <w:r>
        <w:rPr>
          <w:rFonts w:hint="eastAsia" w:ascii="宋体" w:hAnsi="宋体" w:cs="宋体"/>
          <w:sz w:val="24"/>
          <w:szCs w:val="24"/>
        </w:rPr>
        <w:fldChar w:fldCharType="end"/>
      </w:r>
    </w:p>
    <w:p w14:paraId="50000FE7">
      <w:pPr>
        <w:pStyle w:val="28"/>
        <w:tabs>
          <w:tab w:val="right" w:leader="dot" w:pos="9746"/>
        </w:tabs>
        <w:rPr>
          <w:rFonts w:hint="eastAsia" w:ascii="宋体" w:hAnsi="宋体" w:cs="宋体"/>
          <w:sz w:val="24"/>
          <w:szCs w:val="24"/>
        </w:rPr>
      </w:pPr>
      <w:r>
        <w:fldChar w:fldCharType="begin"/>
      </w:r>
      <w:r>
        <w:instrText xml:space="preserve"> HYPERLINK \l "_Toc26511" </w:instrText>
      </w:r>
      <w:r>
        <w:fldChar w:fldCharType="separate"/>
      </w:r>
      <w:r>
        <w:rPr>
          <w:rFonts w:hint="eastAsia" w:ascii="宋体" w:hAnsi="宋体" w:cs="宋体"/>
          <w:sz w:val="24"/>
          <w:szCs w:val="40"/>
        </w:rPr>
        <w:t>11.需要补充的其他内容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_Toc26511 \h </w:instrText>
      </w:r>
      <w:r>
        <w:rPr>
          <w:rFonts w:hint="eastAsia" w:ascii="宋体" w:hAnsi="宋体" w:cs="宋体"/>
          <w:sz w:val="24"/>
          <w:szCs w:val="24"/>
        </w:rPr>
        <w:fldChar w:fldCharType="separate"/>
      </w:r>
      <w:r>
        <w:rPr>
          <w:rFonts w:hint="eastAsia" w:ascii="宋体" w:hAnsi="宋体" w:cs="宋体"/>
          <w:sz w:val="24"/>
          <w:szCs w:val="24"/>
        </w:rPr>
        <w:t>26</w:t>
      </w:r>
      <w:r>
        <w:rPr>
          <w:rFonts w:hint="eastAsia" w:ascii="宋体" w:hAnsi="宋体" w:cs="宋体"/>
          <w:sz w:val="24"/>
          <w:szCs w:val="24"/>
        </w:rPr>
        <w:fldChar w:fldCharType="end"/>
      </w:r>
      <w:r>
        <w:rPr>
          <w:rFonts w:hint="eastAsia" w:ascii="宋体" w:hAnsi="宋体" w:cs="宋体"/>
          <w:sz w:val="24"/>
          <w:szCs w:val="24"/>
        </w:rPr>
        <w:fldChar w:fldCharType="end"/>
      </w:r>
    </w:p>
    <w:p w14:paraId="6A46605C">
      <w:pPr>
        <w:pStyle w:val="24"/>
        <w:tabs>
          <w:tab w:val="right" w:leader="dot" w:pos="9746"/>
        </w:tabs>
        <w:rPr>
          <w:rFonts w:hint="eastAsia" w:ascii="宋体" w:hAnsi="宋体" w:cs="宋体"/>
          <w:sz w:val="24"/>
          <w:szCs w:val="24"/>
        </w:rPr>
      </w:pPr>
      <w:r>
        <w:fldChar w:fldCharType="begin"/>
      </w:r>
      <w:r>
        <w:instrText xml:space="preserve"> HYPERLINK \l "_Toc7483" </w:instrText>
      </w:r>
      <w:r>
        <w:fldChar w:fldCharType="separate"/>
      </w:r>
      <w:r>
        <w:rPr>
          <w:rFonts w:hint="eastAsia" w:ascii="宋体" w:hAnsi="宋体" w:cs="宋体"/>
          <w:sz w:val="24"/>
          <w:szCs w:val="24"/>
        </w:rPr>
        <w:t>第三章 评审办法（综合评分法）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_Toc7483 \h </w:instrText>
      </w:r>
      <w:r>
        <w:rPr>
          <w:rFonts w:hint="eastAsia" w:ascii="宋体" w:hAnsi="宋体" w:cs="宋体"/>
          <w:sz w:val="24"/>
          <w:szCs w:val="24"/>
        </w:rPr>
        <w:fldChar w:fldCharType="separate"/>
      </w:r>
      <w:r>
        <w:rPr>
          <w:rFonts w:hint="eastAsia" w:ascii="宋体" w:hAnsi="宋体" w:cs="宋体"/>
          <w:sz w:val="24"/>
          <w:szCs w:val="24"/>
        </w:rPr>
        <w:t>27</w:t>
      </w:r>
      <w:r>
        <w:rPr>
          <w:rFonts w:hint="eastAsia" w:ascii="宋体" w:hAnsi="宋体" w:cs="宋体"/>
          <w:sz w:val="24"/>
          <w:szCs w:val="24"/>
        </w:rPr>
        <w:fldChar w:fldCharType="end"/>
      </w:r>
      <w:r>
        <w:rPr>
          <w:rFonts w:hint="eastAsia" w:ascii="宋体" w:hAnsi="宋体" w:cs="宋体"/>
          <w:sz w:val="24"/>
          <w:szCs w:val="24"/>
        </w:rPr>
        <w:fldChar w:fldCharType="end"/>
      </w:r>
    </w:p>
    <w:p w14:paraId="520B8340">
      <w:pPr>
        <w:pStyle w:val="24"/>
        <w:tabs>
          <w:tab w:val="right" w:leader="dot" w:pos="9746"/>
        </w:tabs>
        <w:rPr>
          <w:rFonts w:hint="eastAsia" w:ascii="宋体" w:hAnsi="宋体" w:cs="宋体"/>
          <w:sz w:val="24"/>
          <w:szCs w:val="24"/>
        </w:rPr>
      </w:pPr>
      <w:r>
        <w:fldChar w:fldCharType="begin"/>
      </w:r>
      <w:r>
        <w:instrText xml:space="preserve"> HYPERLINK \l "_Toc45" </w:instrText>
      </w:r>
      <w:r>
        <w:fldChar w:fldCharType="separate"/>
      </w:r>
      <w:r>
        <w:rPr>
          <w:rFonts w:hint="eastAsia" w:ascii="宋体" w:hAnsi="宋体" w:cs="宋体"/>
          <w:sz w:val="24"/>
          <w:szCs w:val="24"/>
        </w:rPr>
        <w:t>第四章 合同样式及主要条款</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_Toc45 \h </w:instrText>
      </w:r>
      <w:r>
        <w:rPr>
          <w:rFonts w:hint="eastAsia" w:ascii="宋体" w:hAnsi="宋体" w:cs="宋体"/>
          <w:sz w:val="24"/>
          <w:szCs w:val="24"/>
        </w:rPr>
        <w:fldChar w:fldCharType="separate"/>
      </w:r>
      <w:r>
        <w:rPr>
          <w:rFonts w:hint="eastAsia" w:ascii="宋体" w:hAnsi="宋体" w:cs="宋体"/>
          <w:sz w:val="24"/>
          <w:szCs w:val="24"/>
        </w:rPr>
        <w:t>38</w:t>
      </w:r>
      <w:r>
        <w:rPr>
          <w:rFonts w:hint="eastAsia" w:ascii="宋体" w:hAnsi="宋体" w:cs="宋体"/>
          <w:sz w:val="24"/>
          <w:szCs w:val="24"/>
        </w:rPr>
        <w:fldChar w:fldCharType="end"/>
      </w:r>
      <w:r>
        <w:rPr>
          <w:rFonts w:hint="eastAsia" w:ascii="宋体" w:hAnsi="宋体" w:cs="宋体"/>
          <w:sz w:val="24"/>
          <w:szCs w:val="24"/>
        </w:rPr>
        <w:fldChar w:fldCharType="end"/>
      </w:r>
    </w:p>
    <w:p w14:paraId="37CD6D78">
      <w:pPr>
        <w:pStyle w:val="24"/>
        <w:tabs>
          <w:tab w:val="right" w:leader="dot" w:pos="9746"/>
        </w:tabs>
        <w:rPr>
          <w:rFonts w:hint="eastAsia" w:ascii="宋体" w:hAnsi="宋体" w:cs="宋体"/>
          <w:sz w:val="24"/>
          <w:szCs w:val="24"/>
        </w:rPr>
      </w:pPr>
      <w:r>
        <w:fldChar w:fldCharType="begin"/>
      </w:r>
      <w:r>
        <w:instrText xml:space="preserve"> HYPERLINK \l "_Toc9063" </w:instrText>
      </w:r>
      <w:r>
        <w:fldChar w:fldCharType="separate"/>
      </w:r>
      <w:r>
        <w:rPr>
          <w:rFonts w:hint="eastAsia" w:ascii="宋体" w:hAnsi="宋体" w:cs="宋体"/>
          <w:sz w:val="24"/>
          <w:szCs w:val="24"/>
        </w:rPr>
        <w:t>第五章 服务内容及要求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_Toc9063 \h </w:instrText>
      </w:r>
      <w:r>
        <w:rPr>
          <w:rFonts w:hint="eastAsia" w:ascii="宋体" w:hAnsi="宋体" w:cs="宋体"/>
          <w:sz w:val="24"/>
          <w:szCs w:val="24"/>
        </w:rPr>
        <w:fldChar w:fldCharType="separate"/>
      </w:r>
      <w:r>
        <w:rPr>
          <w:rFonts w:hint="eastAsia" w:ascii="宋体" w:hAnsi="宋体" w:cs="宋体"/>
          <w:sz w:val="24"/>
          <w:szCs w:val="24"/>
        </w:rPr>
        <w:t>45</w:t>
      </w:r>
      <w:r>
        <w:rPr>
          <w:rFonts w:hint="eastAsia" w:ascii="宋体" w:hAnsi="宋体" w:cs="宋体"/>
          <w:sz w:val="24"/>
          <w:szCs w:val="24"/>
        </w:rPr>
        <w:fldChar w:fldCharType="end"/>
      </w:r>
      <w:r>
        <w:rPr>
          <w:rFonts w:hint="eastAsia" w:ascii="宋体" w:hAnsi="宋体" w:cs="宋体"/>
          <w:sz w:val="24"/>
          <w:szCs w:val="24"/>
        </w:rPr>
        <w:fldChar w:fldCharType="end"/>
      </w:r>
    </w:p>
    <w:p w14:paraId="4FB277FA">
      <w:pPr>
        <w:pStyle w:val="24"/>
        <w:tabs>
          <w:tab w:val="right" w:leader="dot" w:pos="9746"/>
        </w:tabs>
        <w:rPr>
          <w:rFonts w:hint="eastAsia" w:ascii="宋体" w:hAnsi="宋体" w:cs="宋体"/>
          <w:sz w:val="24"/>
          <w:szCs w:val="24"/>
        </w:rPr>
      </w:pPr>
      <w:r>
        <w:fldChar w:fldCharType="begin"/>
      </w:r>
      <w:r>
        <w:instrText xml:space="preserve"> HYPERLINK \l "_Toc3514" </w:instrText>
      </w:r>
      <w:r>
        <w:fldChar w:fldCharType="separate"/>
      </w:r>
      <w:r>
        <w:rPr>
          <w:rFonts w:hint="eastAsia" w:ascii="宋体" w:hAnsi="宋体" w:cs="宋体"/>
          <w:sz w:val="24"/>
          <w:szCs w:val="24"/>
        </w:rPr>
        <w:t>第六章 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_Toc3514 \h </w:instrText>
      </w:r>
      <w:r>
        <w:rPr>
          <w:rFonts w:hint="eastAsia" w:ascii="宋体" w:hAnsi="宋体" w:cs="宋体"/>
          <w:sz w:val="24"/>
          <w:szCs w:val="24"/>
        </w:rPr>
        <w:fldChar w:fldCharType="separate"/>
      </w:r>
      <w:r>
        <w:rPr>
          <w:rFonts w:hint="eastAsia" w:ascii="宋体" w:hAnsi="宋体" w:cs="宋体"/>
          <w:sz w:val="24"/>
          <w:szCs w:val="24"/>
        </w:rPr>
        <w:t>48</w:t>
      </w:r>
      <w:r>
        <w:rPr>
          <w:rFonts w:hint="eastAsia" w:ascii="宋体" w:hAnsi="宋体" w:cs="宋体"/>
          <w:sz w:val="24"/>
          <w:szCs w:val="24"/>
        </w:rPr>
        <w:fldChar w:fldCharType="end"/>
      </w:r>
      <w:r>
        <w:rPr>
          <w:rFonts w:hint="eastAsia" w:ascii="宋体" w:hAnsi="宋体" w:cs="宋体"/>
          <w:sz w:val="24"/>
          <w:szCs w:val="24"/>
        </w:rPr>
        <w:fldChar w:fldCharType="end"/>
      </w:r>
    </w:p>
    <w:p w14:paraId="4DF57956">
      <w:pPr>
        <w:pStyle w:val="28"/>
        <w:tabs>
          <w:tab w:val="right" w:leader="dot" w:pos="9746"/>
        </w:tabs>
        <w:rPr>
          <w:rFonts w:hint="eastAsia" w:ascii="宋体" w:hAnsi="宋体" w:cs="宋体"/>
          <w:sz w:val="24"/>
          <w:szCs w:val="24"/>
        </w:rPr>
      </w:pPr>
      <w:r>
        <w:fldChar w:fldCharType="begin"/>
      </w:r>
      <w:r>
        <w:instrText xml:space="preserve"> HYPERLINK \l "_Toc27187" </w:instrText>
      </w:r>
      <w:r>
        <w:fldChar w:fldCharType="separate"/>
      </w:r>
      <w:r>
        <w:rPr>
          <w:rFonts w:hint="eastAsia" w:ascii="宋体" w:hAnsi="宋体" w:cs="宋体"/>
          <w:bCs/>
          <w:sz w:val="24"/>
          <w:szCs w:val="56"/>
        </w:rPr>
        <w:t>资格审查部分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_Toc27187 \h </w:instrText>
      </w:r>
      <w:r>
        <w:rPr>
          <w:rFonts w:hint="eastAsia" w:ascii="宋体" w:hAnsi="宋体" w:cs="宋体"/>
          <w:sz w:val="24"/>
          <w:szCs w:val="24"/>
        </w:rPr>
        <w:fldChar w:fldCharType="separate"/>
      </w:r>
      <w:r>
        <w:rPr>
          <w:rFonts w:hint="eastAsia" w:ascii="宋体" w:hAnsi="宋体" w:cs="宋体"/>
          <w:sz w:val="24"/>
          <w:szCs w:val="24"/>
        </w:rPr>
        <w:t>50</w:t>
      </w:r>
      <w:r>
        <w:rPr>
          <w:rFonts w:hint="eastAsia" w:ascii="宋体" w:hAnsi="宋体" w:cs="宋体"/>
          <w:sz w:val="24"/>
          <w:szCs w:val="24"/>
        </w:rPr>
        <w:fldChar w:fldCharType="end"/>
      </w:r>
      <w:r>
        <w:rPr>
          <w:rFonts w:hint="eastAsia" w:ascii="宋体" w:hAnsi="宋体" w:cs="宋体"/>
          <w:sz w:val="24"/>
          <w:szCs w:val="24"/>
        </w:rPr>
        <w:fldChar w:fldCharType="end"/>
      </w:r>
    </w:p>
    <w:p w14:paraId="2F2ADC85">
      <w:pPr>
        <w:pStyle w:val="28"/>
        <w:tabs>
          <w:tab w:val="right" w:leader="dot" w:pos="9746"/>
        </w:tabs>
        <w:rPr>
          <w:rFonts w:hint="eastAsia" w:ascii="宋体" w:hAnsi="宋体" w:cs="宋体"/>
          <w:sz w:val="24"/>
          <w:szCs w:val="24"/>
        </w:rPr>
      </w:pPr>
      <w:r>
        <w:fldChar w:fldCharType="begin"/>
      </w:r>
      <w:r>
        <w:instrText xml:space="preserve"> HYPERLINK \l "_Toc9029" </w:instrText>
      </w:r>
      <w:r>
        <w:fldChar w:fldCharType="separate"/>
      </w:r>
      <w:r>
        <w:rPr>
          <w:rFonts w:hint="eastAsia" w:ascii="宋体" w:hAnsi="宋体" w:cs="宋体"/>
          <w:bCs/>
          <w:sz w:val="24"/>
          <w:szCs w:val="56"/>
        </w:rPr>
        <w:t>商务部分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_Toc9029 \h </w:instrText>
      </w:r>
      <w:r>
        <w:rPr>
          <w:rFonts w:hint="eastAsia" w:ascii="宋体" w:hAnsi="宋体" w:cs="宋体"/>
          <w:sz w:val="24"/>
          <w:szCs w:val="24"/>
        </w:rPr>
        <w:fldChar w:fldCharType="separate"/>
      </w:r>
      <w:r>
        <w:rPr>
          <w:rFonts w:hint="eastAsia" w:ascii="宋体" w:hAnsi="宋体" w:cs="宋体"/>
          <w:sz w:val="24"/>
          <w:szCs w:val="24"/>
        </w:rPr>
        <w:t>57</w:t>
      </w:r>
      <w:r>
        <w:rPr>
          <w:rFonts w:hint="eastAsia" w:ascii="宋体" w:hAnsi="宋体" w:cs="宋体"/>
          <w:sz w:val="24"/>
          <w:szCs w:val="24"/>
        </w:rPr>
        <w:fldChar w:fldCharType="end"/>
      </w:r>
      <w:r>
        <w:rPr>
          <w:rFonts w:hint="eastAsia" w:ascii="宋体" w:hAnsi="宋体" w:cs="宋体"/>
          <w:sz w:val="24"/>
          <w:szCs w:val="24"/>
        </w:rPr>
        <w:fldChar w:fldCharType="end"/>
      </w:r>
    </w:p>
    <w:p w14:paraId="5A418598">
      <w:pPr>
        <w:pStyle w:val="28"/>
        <w:tabs>
          <w:tab w:val="right" w:leader="dot" w:pos="9746"/>
        </w:tabs>
        <w:rPr>
          <w:rFonts w:hint="eastAsia" w:ascii="宋体" w:hAnsi="宋体" w:cs="宋体"/>
        </w:rPr>
      </w:pPr>
      <w:r>
        <w:fldChar w:fldCharType="begin"/>
      </w:r>
      <w:r>
        <w:instrText xml:space="preserve"> HYPERLINK \l "_Toc24137" </w:instrText>
      </w:r>
      <w:r>
        <w:fldChar w:fldCharType="separate"/>
      </w:r>
      <w:r>
        <w:rPr>
          <w:rFonts w:hint="eastAsia" w:ascii="宋体" w:hAnsi="宋体" w:cs="宋体"/>
          <w:sz w:val="24"/>
          <w:szCs w:val="56"/>
        </w:rPr>
        <w:t>技术部分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_Toc24137 \h </w:instrText>
      </w:r>
      <w:r>
        <w:rPr>
          <w:rFonts w:hint="eastAsia" w:ascii="宋体" w:hAnsi="宋体" w:cs="宋体"/>
          <w:sz w:val="24"/>
          <w:szCs w:val="24"/>
        </w:rPr>
        <w:fldChar w:fldCharType="separate"/>
      </w:r>
      <w:r>
        <w:rPr>
          <w:rFonts w:hint="eastAsia" w:ascii="宋体" w:hAnsi="宋体" w:cs="宋体"/>
          <w:sz w:val="24"/>
          <w:szCs w:val="24"/>
        </w:rPr>
        <w:t>66</w:t>
      </w:r>
      <w:r>
        <w:rPr>
          <w:rFonts w:hint="eastAsia" w:ascii="宋体" w:hAnsi="宋体" w:cs="宋体"/>
          <w:sz w:val="24"/>
          <w:szCs w:val="24"/>
        </w:rPr>
        <w:fldChar w:fldCharType="end"/>
      </w:r>
      <w:r>
        <w:rPr>
          <w:rFonts w:hint="eastAsia" w:ascii="宋体" w:hAnsi="宋体" w:cs="宋体"/>
          <w:sz w:val="24"/>
          <w:szCs w:val="24"/>
        </w:rPr>
        <w:fldChar w:fldCharType="end"/>
      </w:r>
    </w:p>
    <w:p w14:paraId="05926553">
      <w:pPr>
        <w:spacing w:line="360" w:lineRule="auto"/>
        <w:rPr>
          <w:rFonts w:hint="eastAsia" w:ascii="宋体" w:hAnsi="宋体" w:cs="宋体"/>
        </w:rPr>
      </w:pPr>
      <w:r>
        <w:rPr>
          <w:rFonts w:hint="eastAsia" w:ascii="宋体" w:hAnsi="宋体" w:cs="宋体"/>
        </w:rPr>
        <w:fldChar w:fldCharType="end"/>
      </w:r>
    </w:p>
    <w:p w14:paraId="447AFFF6">
      <w:pPr>
        <w:spacing w:line="400" w:lineRule="exact"/>
        <w:rPr>
          <w:rFonts w:hint="eastAsia" w:ascii="宋体" w:hAnsi="宋体" w:cs="宋体"/>
          <w:sz w:val="24"/>
          <w:szCs w:val="24"/>
        </w:rPr>
      </w:pPr>
      <w:r>
        <w:rPr>
          <w:rFonts w:hint="eastAsia" w:ascii="宋体" w:hAnsi="宋体" w:cs="宋体"/>
          <w:sz w:val="24"/>
          <w:szCs w:val="24"/>
        </w:rPr>
        <w:t xml:space="preserve"> </w:t>
      </w:r>
    </w:p>
    <w:p w14:paraId="26B93CF4">
      <w:pPr>
        <w:pStyle w:val="2"/>
        <w:spacing w:before="0" w:after="0" w:line="360" w:lineRule="auto"/>
        <w:jc w:val="center"/>
        <w:rPr>
          <w:rFonts w:hint="eastAsia" w:ascii="宋体" w:hAnsi="宋体" w:cs="宋体"/>
        </w:rPr>
        <w:sectPr>
          <w:footerReference r:id="rId12" w:type="first"/>
          <w:footerReference r:id="rId11" w:type="default"/>
          <w:pgSz w:w="11906" w:h="16838"/>
          <w:pgMar w:top="1440" w:right="1080" w:bottom="1440" w:left="1080" w:header="720" w:footer="720" w:gutter="0"/>
          <w:cols w:space="720" w:num="1"/>
          <w:docGrid w:type="lines" w:linePitch="317" w:charSpace="0"/>
        </w:sectPr>
      </w:pPr>
      <w:bookmarkStart w:id="2" w:name="_Toc12916"/>
      <w:bookmarkEnd w:id="2"/>
      <w:bookmarkStart w:id="3" w:name="_Toc3039"/>
      <w:bookmarkEnd w:id="3"/>
      <w:bookmarkStart w:id="4" w:name="_Toc24776"/>
    </w:p>
    <w:p w14:paraId="5A986EB3">
      <w:pPr>
        <w:pStyle w:val="2"/>
        <w:spacing w:before="0" w:after="0" w:line="360" w:lineRule="auto"/>
        <w:jc w:val="center"/>
        <w:rPr>
          <w:rFonts w:hint="eastAsia" w:ascii="宋体" w:hAnsi="宋体" w:cs="宋体"/>
        </w:rPr>
      </w:pPr>
      <w:bookmarkStart w:id="5" w:name="_Toc20871"/>
      <w:bookmarkStart w:id="6" w:name="_Toc23138"/>
      <w:bookmarkStart w:id="7" w:name="_Toc165910126"/>
      <w:bookmarkStart w:id="8" w:name="_Toc4448"/>
      <w:bookmarkStart w:id="9" w:name="_Toc17375"/>
      <w:bookmarkStart w:id="10" w:name="_Toc26355"/>
      <w:bookmarkStart w:id="11" w:name="_Toc3896271"/>
      <w:r>
        <w:rPr>
          <w:rFonts w:hint="eastAsia" w:ascii="宋体" w:hAnsi="宋体" w:cs="宋体"/>
        </w:rPr>
        <w:t>第一章 竞争性磋商公告</w:t>
      </w:r>
      <w:bookmarkEnd w:id="4"/>
      <w:bookmarkEnd w:id="5"/>
      <w:bookmarkEnd w:id="6"/>
      <w:bookmarkEnd w:id="7"/>
      <w:bookmarkEnd w:id="8"/>
      <w:bookmarkEnd w:id="9"/>
      <w:bookmarkEnd w:id="10"/>
      <w:bookmarkEnd w:id="11"/>
    </w:p>
    <w:p w14:paraId="3606A789">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28"/>
          <w:szCs w:val="28"/>
          <w:lang w:eastAsia="zh-CN"/>
        </w:rPr>
      </w:pPr>
      <w:r>
        <w:rPr>
          <w:rFonts w:hint="eastAsia" w:ascii="宋体" w:hAnsi="宋体" w:cs="宋体"/>
          <w:b/>
          <w:sz w:val="28"/>
          <w:szCs w:val="28"/>
          <w:lang w:eastAsia="zh-CN"/>
        </w:rPr>
        <w:t>丽江市农业农村局采购《丽江市中药材产业高质量发展规划2025-2030年》编制服务</w:t>
      </w:r>
    </w:p>
    <w:p w14:paraId="7368E5F1">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cs="宋体"/>
          <w:sz w:val="28"/>
          <w:szCs w:val="28"/>
        </w:rPr>
      </w:pPr>
      <w:r>
        <w:rPr>
          <w:rFonts w:hint="eastAsia" w:ascii="宋体" w:hAnsi="宋体" w:cs="宋体"/>
          <w:b/>
          <w:sz w:val="28"/>
          <w:szCs w:val="28"/>
        </w:rPr>
        <w:t>竞争性磋商公告</w:t>
      </w:r>
    </w:p>
    <w:p w14:paraId="44499DD2">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cs="宋体"/>
        </w:rPr>
      </w:pPr>
      <w:r>
        <w:rPr>
          <w:rFonts w:hint="eastAsia" w:ascii="宋体" w:hAnsi="宋体" w:cs="宋体"/>
          <w:b/>
          <w:sz w:val="28"/>
          <w:szCs w:val="28"/>
        </w:rPr>
        <w:t>（项目编号：ZYZB-2025-034）</w:t>
      </w:r>
      <w:bookmarkStart w:id="12" w:name="_Toc29108"/>
      <w:bookmarkEnd w:id="12"/>
      <w:bookmarkStart w:id="13" w:name="_Toc32031"/>
      <w:bookmarkEnd w:id="13"/>
    </w:p>
    <w:p w14:paraId="4F54569D">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sz w:val="24"/>
          <w:szCs w:val="24"/>
        </w:rPr>
      </w:pPr>
      <w:r>
        <w:rPr>
          <w:rFonts w:hint="eastAsia" w:ascii="宋体" w:hAnsi="宋体" w:cs="宋体"/>
          <w:sz w:val="24"/>
          <w:szCs w:val="24"/>
        </w:rPr>
        <w:t>项目概况</w:t>
      </w:r>
    </w:p>
    <w:p w14:paraId="57DC2DC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szCs w:val="24"/>
        </w:rPr>
      </w:pPr>
      <w:r>
        <w:rPr>
          <w:rFonts w:hint="eastAsia" w:ascii="宋体" w:hAnsi="宋体" w:cs="宋体"/>
          <w:sz w:val="24"/>
          <w:szCs w:val="24"/>
          <w:u w:val="single"/>
          <w:lang w:eastAsia="zh-CN"/>
        </w:rPr>
        <w:t>丽江市农业农村局采购《丽江市中药材产业高质量发展规划2025-2030年》编制服务</w:t>
      </w:r>
      <w:r>
        <w:rPr>
          <w:rFonts w:hint="eastAsia" w:ascii="宋体" w:hAnsi="宋体" w:cs="宋体"/>
          <w:sz w:val="24"/>
          <w:szCs w:val="24"/>
        </w:rPr>
        <w:t>的潜在供应商应在</w:t>
      </w:r>
      <w:r>
        <w:rPr>
          <w:rFonts w:hint="eastAsia" w:ascii="宋体" w:hAnsi="宋体" w:cs="宋体"/>
          <w:color w:val="000000"/>
          <w:kern w:val="2"/>
          <w:sz w:val="24"/>
          <w:szCs w:val="24"/>
        </w:rPr>
        <w:t>政采云平台线上</w:t>
      </w:r>
      <w:r>
        <w:rPr>
          <w:rFonts w:hint="eastAsia" w:ascii="宋体" w:hAnsi="宋体" w:cs="宋体"/>
          <w:sz w:val="24"/>
          <w:szCs w:val="24"/>
        </w:rPr>
        <w:t>获取采购文件，并于</w:t>
      </w:r>
      <w:r>
        <w:rPr>
          <w:rFonts w:hint="eastAsia" w:ascii="宋体" w:hAnsi="宋体" w:cs="宋体"/>
          <w:sz w:val="24"/>
          <w:szCs w:val="24"/>
          <w:u w:val="single"/>
        </w:rPr>
        <w:t>2025</w:t>
      </w:r>
      <w:r>
        <w:rPr>
          <w:rFonts w:hint="eastAsia" w:ascii="宋体" w:hAnsi="宋体" w:cs="宋体"/>
          <w:bCs/>
          <w:sz w:val="24"/>
          <w:szCs w:val="24"/>
          <w:u w:val="single"/>
        </w:rPr>
        <w:t>年</w:t>
      </w:r>
      <w:r>
        <w:rPr>
          <w:rFonts w:hint="eastAsia" w:ascii="宋体" w:hAnsi="宋体" w:cs="宋体"/>
          <w:bCs/>
          <w:sz w:val="24"/>
          <w:szCs w:val="24"/>
          <w:u w:val="single"/>
          <w:lang w:val="en-US" w:eastAsia="zh-CN"/>
        </w:rPr>
        <w:t>04</w:t>
      </w:r>
      <w:r>
        <w:rPr>
          <w:rFonts w:hint="eastAsia" w:ascii="宋体" w:hAnsi="宋体" w:cs="宋体"/>
          <w:bCs/>
          <w:sz w:val="24"/>
          <w:szCs w:val="24"/>
          <w:u w:val="single"/>
        </w:rPr>
        <w:t>月</w:t>
      </w:r>
      <w:r>
        <w:rPr>
          <w:rFonts w:hint="eastAsia" w:ascii="宋体" w:hAnsi="宋体" w:cs="宋体"/>
          <w:bCs/>
          <w:sz w:val="24"/>
          <w:szCs w:val="24"/>
          <w:u w:val="single"/>
          <w:lang w:val="en-US" w:eastAsia="zh-CN"/>
        </w:rPr>
        <w:t>24</w:t>
      </w:r>
      <w:r>
        <w:rPr>
          <w:rFonts w:hint="eastAsia" w:ascii="宋体" w:hAnsi="宋体" w:cs="宋体"/>
          <w:bCs/>
          <w:sz w:val="24"/>
          <w:szCs w:val="24"/>
          <w:u w:val="single"/>
        </w:rPr>
        <w:t>日14点30分</w:t>
      </w:r>
      <w:r>
        <w:rPr>
          <w:rFonts w:hint="eastAsia" w:ascii="宋体" w:hAnsi="宋体" w:cs="宋体"/>
          <w:bCs/>
          <w:sz w:val="24"/>
          <w:szCs w:val="24"/>
        </w:rPr>
        <w:t>（北京时间）前提交响应文件</w:t>
      </w:r>
      <w:r>
        <w:rPr>
          <w:rFonts w:hint="eastAsia" w:ascii="宋体" w:hAnsi="宋体" w:cs="宋体"/>
          <w:sz w:val="24"/>
          <w:szCs w:val="24"/>
        </w:rPr>
        <w:t>。</w:t>
      </w:r>
    </w:p>
    <w:p w14:paraId="6786FEDE">
      <w:pPr>
        <w:rPr>
          <w:rFonts w:hint="eastAsia" w:ascii="宋体" w:hAnsi="宋体" w:cs="宋体"/>
        </w:rPr>
      </w:pPr>
    </w:p>
    <w:p w14:paraId="7D7EC300">
      <w:pPr>
        <w:pStyle w:val="3"/>
        <w:keepNext w:val="0"/>
        <w:keepLines w:val="0"/>
        <w:rPr>
          <w:rFonts w:hint="eastAsia" w:ascii="宋体" w:hAnsi="宋体" w:eastAsia="宋体" w:cs="宋体"/>
          <w:bCs w:val="0"/>
          <w:sz w:val="24"/>
          <w:szCs w:val="24"/>
        </w:rPr>
      </w:pPr>
      <w:bookmarkStart w:id="14" w:name="_Toc6080"/>
      <w:bookmarkStart w:id="15" w:name="_Toc28359012"/>
      <w:bookmarkStart w:id="16" w:name="_Toc35393629"/>
      <w:bookmarkStart w:id="17" w:name="_Toc14987"/>
      <w:bookmarkStart w:id="18" w:name="_Toc28359089"/>
      <w:bookmarkStart w:id="19" w:name="_Toc32743"/>
      <w:bookmarkStart w:id="20" w:name="_Toc35393798"/>
      <w:bookmarkStart w:id="21" w:name="_Toc16003"/>
      <w:bookmarkStart w:id="22" w:name="_Toc4829"/>
      <w:bookmarkStart w:id="23" w:name="_Toc165910127"/>
      <w:bookmarkStart w:id="24" w:name="_Toc20773"/>
      <w:bookmarkStart w:id="25" w:name="_Toc30368"/>
      <w:bookmarkStart w:id="26" w:name="_Toc6678"/>
      <w:r>
        <w:rPr>
          <w:rFonts w:hint="eastAsia" w:ascii="宋体" w:hAnsi="宋体" w:eastAsia="宋体" w:cs="宋体"/>
          <w:bCs w:val="0"/>
          <w:sz w:val="24"/>
          <w:szCs w:val="24"/>
        </w:rPr>
        <w:t>一、项目基本情况</w:t>
      </w:r>
      <w:bookmarkEnd w:id="14"/>
      <w:bookmarkEnd w:id="15"/>
      <w:bookmarkEnd w:id="16"/>
      <w:bookmarkEnd w:id="17"/>
      <w:bookmarkEnd w:id="18"/>
      <w:bookmarkEnd w:id="19"/>
      <w:bookmarkEnd w:id="20"/>
      <w:bookmarkEnd w:id="21"/>
      <w:bookmarkEnd w:id="22"/>
      <w:bookmarkEnd w:id="23"/>
      <w:bookmarkEnd w:id="24"/>
      <w:bookmarkEnd w:id="25"/>
      <w:bookmarkEnd w:id="26"/>
    </w:p>
    <w:p w14:paraId="70699AF7">
      <w:pPr>
        <w:spacing w:line="360" w:lineRule="auto"/>
        <w:ind w:firstLine="480" w:firstLineChars="200"/>
        <w:rPr>
          <w:rFonts w:hint="eastAsia" w:ascii="宋体" w:hAnsi="宋体" w:cs="宋体"/>
          <w:sz w:val="24"/>
          <w:szCs w:val="24"/>
        </w:rPr>
      </w:pPr>
      <w:r>
        <w:rPr>
          <w:rFonts w:hint="eastAsia" w:ascii="宋体" w:hAnsi="宋体" w:cs="宋体"/>
          <w:sz w:val="24"/>
          <w:szCs w:val="24"/>
        </w:rPr>
        <w:t>项目编号：ZYZB-2025-034；</w:t>
      </w:r>
    </w:p>
    <w:p w14:paraId="7FCB2C0E">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rPr>
        <w:t>项目名称：</w:t>
      </w:r>
      <w:r>
        <w:rPr>
          <w:rFonts w:hint="eastAsia" w:ascii="宋体" w:hAnsi="宋体" w:cs="宋体"/>
          <w:sz w:val="24"/>
          <w:szCs w:val="24"/>
          <w:lang w:eastAsia="zh-CN"/>
        </w:rPr>
        <w:t>丽江市农业农村局</w:t>
      </w:r>
      <w:r>
        <w:rPr>
          <w:rFonts w:hint="eastAsia" w:ascii="宋体" w:hAnsi="宋体" w:cs="宋体"/>
          <w:sz w:val="24"/>
          <w:szCs w:val="24"/>
          <w:highlight w:val="none"/>
          <w:lang w:eastAsia="zh-CN"/>
        </w:rPr>
        <w:t>采购《丽江市中药材产业高质量发展规划2025-2030年》编制服务</w:t>
      </w:r>
      <w:r>
        <w:rPr>
          <w:rFonts w:hint="eastAsia" w:ascii="宋体" w:hAnsi="宋体" w:cs="宋体"/>
          <w:sz w:val="24"/>
          <w:szCs w:val="24"/>
          <w:highlight w:val="none"/>
        </w:rPr>
        <w:t>；</w:t>
      </w:r>
    </w:p>
    <w:p w14:paraId="0142B37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采购方式：竞争性磋商</w:t>
      </w:r>
    </w:p>
    <w:p w14:paraId="375C8D5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预算金额：120万元</w:t>
      </w:r>
    </w:p>
    <w:p w14:paraId="06AE90A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最高限价：120万元</w:t>
      </w:r>
    </w:p>
    <w:p w14:paraId="4AAB9C6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采购需求：深入丽江市各县（区）开展实地调研，收集相关资料，结合中药材产业发展现状、前景开展规划编制工作。制定一个科学</w:t>
      </w:r>
      <w:r>
        <w:rPr>
          <w:rFonts w:hint="eastAsia" w:ascii="宋体" w:hAnsi="宋体" w:cs="宋体"/>
          <w:sz w:val="24"/>
          <w:szCs w:val="24"/>
          <w:highlight w:val="none"/>
          <w:lang w:eastAsia="zh-CN"/>
        </w:rPr>
        <w:t>、</w:t>
      </w:r>
      <w:r>
        <w:rPr>
          <w:rFonts w:hint="eastAsia" w:ascii="宋体" w:hAnsi="宋体" w:cs="宋体"/>
          <w:sz w:val="24"/>
          <w:szCs w:val="24"/>
          <w:highlight w:val="none"/>
        </w:rPr>
        <w:t>切实可行的发展规划，有效促进丽江市中药材产业高质量发展。</w:t>
      </w:r>
      <w:r>
        <w:rPr>
          <w:rFonts w:hint="eastAsia" w:ascii="宋体" w:hAnsi="宋体" w:cs="宋体"/>
          <w:bCs/>
          <w:sz w:val="24"/>
          <w:szCs w:val="24"/>
          <w:highlight w:val="none"/>
        </w:rPr>
        <w:t>具体服务内容及要求详见采购文件第五章《服务内容及要求》。</w:t>
      </w:r>
    </w:p>
    <w:p w14:paraId="51242E2B">
      <w:pPr>
        <w:spacing w:line="360" w:lineRule="auto"/>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合同履行期限：自合同签订之日起至规划通过评审验收止（总周期不超过</w:t>
      </w:r>
      <w:r>
        <w:rPr>
          <w:rFonts w:hint="eastAsia" w:ascii="宋体" w:hAnsi="宋体" w:cs="宋体"/>
          <w:sz w:val="24"/>
          <w:szCs w:val="24"/>
          <w:highlight w:val="none"/>
          <w:lang w:val="en-US" w:eastAsia="zh-CN"/>
        </w:rPr>
        <w:t>1.5</w:t>
      </w:r>
      <w:r>
        <w:rPr>
          <w:rFonts w:hint="eastAsia" w:ascii="宋体" w:hAnsi="宋体" w:cs="宋体"/>
          <w:sz w:val="24"/>
          <w:szCs w:val="24"/>
          <w:highlight w:val="none"/>
        </w:rPr>
        <w:t>个月）</w:t>
      </w:r>
      <w:r>
        <w:rPr>
          <w:rFonts w:hint="eastAsia" w:ascii="宋体" w:hAnsi="宋体" w:cs="宋体"/>
          <w:sz w:val="24"/>
          <w:szCs w:val="24"/>
          <w:highlight w:val="none"/>
          <w:lang w:eastAsia="zh-CN"/>
        </w:rPr>
        <w:t>。</w:t>
      </w:r>
    </w:p>
    <w:p w14:paraId="1137F4F2">
      <w:pPr>
        <w:spacing w:line="360" w:lineRule="auto"/>
        <w:ind w:firstLine="482" w:firstLineChars="200"/>
        <w:rPr>
          <w:rFonts w:hint="eastAsia" w:ascii="宋体" w:hAnsi="宋体" w:cs="宋体"/>
          <w:sz w:val="24"/>
          <w:szCs w:val="24"/>
          <w:highlight w:val="none"/>
        </w:rPr>
      </w:pPr>
      <w:r>
        <w:rPr>
          <w:rFonts w:hint="eastAsia" w:ascii="宋体" w:hAnsi="宋体" w:cs="宋体"/>
          <w:b/>
          <w:bCs/>
          <w:sz w:val="24"/>
          <w:szCs w:val="24"/>
          <w:highlight w:val="none"/>
        </w:rPr>
        <w:t>本项目（否）接受联合体</w:t>
      </w:r>
      <w:r>
        <w:rPr>
          <w:rFonts w:hint="eastAsia" w:ascii="宋体" w:hAnsi="宋体" w:cs="宋体"/>
          <w:sz w:val="24"/>
          <w:szCs w:val="24"/>
          <w:highlight w:val="none"/>
        </w:rPr>
        <w:t>。</w:t>
      </w:r>
    </w:p>
    <w:p w14:paraId="38D397FF">
      <w:pPr>
        <w:pStyle w:val="3"/>
        <w:keepNext w:val="0"/>
        <w:keepLines w:val="0"/>
        <w:rPr>
          <w:rFonts w:hint="eastAsia" w:ascii="宋体" w:hAnsi="宋体" w:eastAsia="宋体" w:cs="宋体"/>
          <w:bCs w:val="0"/>
          <w:sz w:val="24"/>
          <w:szCs w:val="24"/>
          <w:highlight w:val="none"/>
        </w:rPr>
      </w:pPr>
      <w:bookmarkStart w:id="27" w:name="_Toc2251"/>
      <w:bookmarkStart w:id="28" w:name="_Toc35393630"/>
      <w:bookmarkStart w:id="29" w:name="_Toc28359090"/>
      <w:bookmarkStart w:id="30" w:name="_Toc35393799"/>
      <w:bookmarkStart w:id="31" w:name="_Toc13415"/>
      <w:bookmarkStart w:id="32" w:name="_Toc28534"/>
      <w:bookmarkStart w:id="33" w:name="_Toc165910128"/>
      <w:bookmarkStart w:id="34" w:name="_Toc29624"/>
      <w:bookmarkStart w:id="35" w:name="_Toc16739"/>
      <w:bookmarkStart w:id="36" w:name="_Toc16743"/>
      <w:bookmarkStart w:id="37" w:name="_Toc26691"/>
      <w:bookmarkStart w:id="38" w:name="_Toc28359013"/>
      <w:bookmarkStart w:id="39" w:name="_Toc29215"/>
      <w:r>
        <w:rPr>
          <w:rFonts w:hint="eastAsia" w:ascii="宋体" w:hAnsi="宋体" w:eastAsia="宋体" w:cs="宋体"/>
          <w:bCs w:val="0"/>
          <w:sz w:val="24"/>
          <w:szCs w:val="24"/>
          <w:highlight w:val="none"/>
        </w:rPr>
        <w:t>二、申请人的资格要求：</w:t>
      </w:r>
      <w:bookmarkEnd w:id="27"/>
      <w:bookmarkEnd w:id="28"/>
      <w:bookmarkEnd w:id="29"/>
      <w:bookmarkEnd w:id="30"/>
      <w:bookmarkEnd w:id="31"/>
      <w:bookmarkEnd w:id="32"/>
      <w:bookmarkEnd w:id="33"/>
      <w:bookmarkEnd w:id="34"/>
      <w:bookmarkEnd w:id="35"/>
      <w:bookmarkEnd w:id="36"/>
      <w:bookmarkEnd w:id="37"/>
      <w:bookmarkEnd w:id="38"/>
      <w:bookmarkEnd w:id="39"/>
    </w:p>
    <w:p w14:paraId="02BC066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27E611D7">
      <w:pPr>
        <w:widowControl w:val="0"/>
        <w:spacing w:line="360" w:lineRule="auto"/>
        <w:ind w:firstLine="480" w:firstLineChars="200"/>
        <w:jc w:val="both"/>
        <w:rPr>
          <w:rFonts w:hint="eastAsia" w:ascii="宋体" w:hAnsi="宋体" w:cs="宋体"/>
          <w:kern w:val="2"/>
          <w:sz w:val="24"/>
          <w:szCs w:val="24"/>
          <w:highlight w:val="none"/>
        </w:rPr>
      </w:pPr>
      <w:r>
        <w:rPr>
          <w:rFonts w:hint="eastAsia" w:ascii="宋体" w:hAnsi="宋体" w:cs="宋体"/>
          <w:kern w:val="2"/>
          <w:sz w:val="24"/>
          <w:szCs w:val="24"/>
          <w:highlight w:val="none"/>
        </w:rPr>
        <w:t>1.1具有独立承担民事责任的能力。提供法人或者其他组织的营业执照等证明文件或自然人的身份证明。</w:t>
      </w:r>
    </w:p>
    <w:p w14:paraId="4A1A0890">
      <w:pPr>
        <w:widowControl w:val="0"/>
        <w:spacing w:line="360" w:lineRule="auto"/>
        <w:ind w:firstLine="480" w:firstLineChars="200"/>
        <w:jc w:val="both"/>
        <w:rPr>
          <w:rFonts w:hint="eastAsia" w:ascii="宋体" w:hAnsi="宋体" w:cs="宋体"/>
          <w:kern w:val="2"/>
          <w:sz w:val="24"/>
          <w:szCs w:val="24"/>
          <w:highlight w:val="none"/>
        </w:rPr>
      </w:pPr>
      <w:r>
        <w:rPr>
          <w:rFonts w:hint="eastAsia" w:ascii="宋体" w:hAnsi="宋体" w:cs="宋体"/>
          <w:kern w:val="2"/>
          <w:sz w:val="24"/>
          <w:szCs w:val="24"/>
          <w:highlight w:val="none"/>
        </w:rPr>
        <w:t>1.2具有良好的商业信誉和健全的财务会计制度。</w:t>
      </w:r>
      <w:r>
        <w:rPr>
          <w:rFonts w:hint="eastAsia" w:ascii="宋体" w:hAnsi="宋体" w:cs="宋体"/>
          <w:sz w:val="24"/>
          <w:szCs w:val="24"/>
          <w:highlight w:val="none"/>
        </w:rPr>
        <w:t>供应商须提供近三年（2022年-2024年）任意一年经审计的审计报告 ；成立不满1年的，提供本项目磋商响应文件提交截止时间前基本开户银行出具的资信证明</w:t>
      </w:r>
      <w:r>
        <w:rPr>
          <w:rFonts w:hint="eastAsia" w:ascii="宋体" w:hAnsi="宋体" w:cs="宋体"/>
          <w:kern w:val="2"/>
          <w:sz w:val="24"/>
          <w:szCs w:val="24"/>
          <w:highlight w:val="none"/>
        </w:rPr>
        <w:t>。</w:t>
      </w:r>
    </w:p>
    <w:p w14:paraId="5A66E1E0">
      <w:pPr>
        <w:widowControl w:val="0"/>
        <w:spacing w:line="360" w:lineRule="auto"/>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rPr>
        <w:t>1.3具有履行合同所必需的设备和专业技术能力。</w:t>
      </w:r>
      <w:r>
        <w:rPr>
          <w:rFonts w:hint="eastAsia" w:ascii="宋体" w:hAnsi="宋体" w:cs="宋体"/>
          <w:sz w:val="24"/>
          <w:szCs w:val="24"/>
          <w:highlight w:val="none"/>
        </w:rPr>
        <w:t>提供具备履行合同所必需的设备和专业技术能力的证明材料或书面声明。</w:t>
      </w:r>
    </w:p>
    <w:p w14:paraId="1E481975">
      <w:pPr>
        <w:spacing w:line="360" w:lineRule="auto"/>
        <w:ind w:firstLine="480" w:firstLineChars="200"/>
        <w:jc w:val="both"/>
        <w:rPr>
          <w:rFonts w:hint="eastAsia" w:ascii="宋体" w:hAnsi="宋体" w:cs="宋体"/>
          <w:kern w:val="2"/>
          <w:sz w:val="24"/>
          <w:szCs w:val="24"/>
          <w:highlight w:val="none"/>
        </w:rPr>
      </w:pPr>
      <w:r>
        <w:rPr>
          <w:rFonts w:hint="eastAsia" w:ascii="宋体" w:hAnsi="宋体" w:cs="宋体"/>
          <w:kern w:val="2"/>
          <w:sz w:val="24"/>
          <w:szCs w:val="24"/>
          <w:highlight w:val="none"/>
        </w:rPr>
        <w:t>1.4有依法缴纳税收和社会保障资金的良好记录。</w:t>
      </w:r>
      <w:r>
        <w:rPr>
          <w:rFonts w:hint="eastAsia" w:ascii="宋体" w:hAnsi="宋体" w:cs="宋体"/>
          <w:sz w:val="24"/>
          <w:szCs w:val="24"/>
          <w:highlight w:val="none"/>
        </w:rPr>
        <w:t>提供2024年1月至今任意1个月依法缴纳税收和缴纳社会保障资金的证明(成立未满</w:t>
      </w:r>
      <w:r>
        <w:rPr>
          <w:rFonts w:hint="eastAsia" w:ascii="宋体" w:hAnsi="宋体" w:cs="宋体"/>
          <w:sz w:val="24"/>
          <w:szCs w:val="24"/>
          <w:highlight w:val="none"/>
          <w:u w:val="single"/>
        </w:rPr>
        <w:t>1</w:t>
      </w:r>
      <w:r>
        <w:rPr>
          <w:rFonts w:hint="eastAsia" w:ascii="宋体" w:hAnsi="宋体" w:cs="宋体"/>
          <w:sz w:val="24"/>
          <w:szCs w:val="24"/>
          <w:highlight w:val="none"/>
        </w:rPr>
        <w:t>个月的提供书面声明函；依法免税或不需要缴纳社会保障资金的供应商，应提供相应文件证明其依法免税或不需要缴纳社会保障资金)。</w:t>
      </w:r>
    </w:p>
    <w:p w14:paraId="0DB18DC4">
      <w:pPr>
        <w:spacing w:line="360" w:lineRule="auto"/>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1.5参加政府采购活动前三年内，在经营活动中没有重大违法记录。提供参加政府采购活动前三年内在经营活动中没有重大违法记录的书面声明。</w:t>
      </w:r>
    </w:p>
    <w:p w14:paraId="46B77DFF">
      <w:pPr>
        <w:spacing w:line="360" w:lineRule="auto"/>
        <w:ind w:firstLine="465"/>
        <w:rPr>
          <w:rFonts w:hint="eastAsia" w:ascii="宋体" w:hAnsi="宋体" w:cs="宋体"/>
          <w:sz w:val="24"/>
          <w:szCs w:val="24"/>
          <w:highlight w:val="none"/>
        </w:rPr>
      </w:pPr>
      <w:r>
        <w:rPr>
          <w:rFonts w:hint="eastAsia" w:ascii="宋体" w:hAnsi="宋体" w:cs="宋体"/>
          <w:sz w:val="24"/>
          <w:szCs w:val="24"/>
          <w:highlight w:val="none"/>
        </w:rPr>
        <w:t>1.6法律、行政法规规定的其他条件。</w:t>
      </w:r>
    </w:p>
    <w:p w14:paraId="43CAE344">
      <w:pPr>
        <w:pStyle w:val="14"/>
        <w:ind w:firstLine="465"/>
        <w:rPr>
          <w:rFonts w:hint="eastAsia" w:ascii="宋体" w:hAnsi="宋体" w:cs="宋体"/>
          <w:kern w:val="0"/>
          <w:sz w:val="24"/>
          <w:highlight w:val="none"/>
        </w:rPr>
      </w:pPr>
      <w:r>
        <w:rPr>
          <w:rFonts w:hint="eastAsia" w:ascii="宋体" w:hAnsi="宋体" w:cs="宋体"/>
          <w:kern w:val="0"/>
          <w:sz w:val="24"/>
          <w:highlight w:val="none"/>
        </w:rPr>
        <w:t>1.6.1单位负责人为同一人或者存在直接控股、管理关系的不同供应商，不得参加同一合同项下的政府采购活动。</w:t>
      </w:r>
    </w:p>
    <w:p w14:paraId="19A999C3">
      <w:pPr>
        <w:pStyle w:val="14"/>
        <w:ind w:firstLine="465"/>
        <w:rPr>
          <w:rFonts w:hint="eastAsia" w:ascii="宋体" w:hAnsi="宋体" w:cs="宋体"/>
          <w:kern w:val="0"/>
          <w:sz w:val="24"/>
          <w:highlight w:val="none"/>
        </w:rPr>
      </w:pPr>
      <w:r>
        <w:rPr>
          <w:rFonts w:hint="eastAsia" w:ascii="宋体" w:hAnsi="宋体" w:cs="宋体"/>
          <w:kern w:val="0"/>
          <w:sz w:val="24"/>
          <w:highlight w:val="none"/>
        </w:rPr>
        <w:t>为采购项目提供整体设计、规范编制或者项目管理、监理、检测等服务的供应商，不得再参加该采购项目的其他采购活动。</w:t>
      </w:r>
    </w:p>
    <w:p w14:paraId="59F51605">
      <w:pPr>
        <w:wordWrap w:val="0"/>
        <w:spacing w:line="360" w:lineRule="auto"/>
        <w:ind w:firstLine="465"/>
        <w:rPr>
          <w:rFonts w:hint="eastAsia" w:ascii="宋体" w:hAnsi="宋体" w:cs="宋体"/>
          <w:sz w:val="24"/>
          <w:szCs w:val="24"/>
          <w:highlight w:val="none"/>
        </w:rPr>
      </w:pPr>
      <w:r>
        <w:rPr>
          <w:rFonts w:hint="eastAsia" w:ascii="宋体" w:hAnsi="宋体" w:cs="宋体"/>
          <w:sz w:val="24"/>
          <w:szCs w:val="24"/>
          <w:highlight w:val="none"/>
        </w:rPr>
        <w:t>1.6.2供应商在本项目响应文件提交截止时间前在信用中国网站（www.creditchina.gov.cn）未被列入失信被执行人、重大税收违法失信主体（查询时间为本公告发布之日起至提交响应文件截止时间止，查询结果以采购人、采购代理机构查询结果为准，并将查询记录和证据留存）；</w:t>
      </w:r>
    </w:p>
    <w:p w14:paraId="49E32489">
      <w:pPr>
        <w:spacing w:line="360" w:lineRule="auto"/>
        <w:ind w:firstLine="465"/>
        <w:rPr>
          <w:rFonts w:hint="eastAsia" w:ascii="宋体" w:hAnsi="宋体" w:cs="宋体"/>
          <w:sz w:val="24"/>
          <w:szCs w:val="24"/>
          <w:highlight w:val="none"/>
        </w:rPr>
      </w:pPr>
      <w:r>
        <w:rPr>
          <w:rFonts w:hint="eastAsia" w:ascii="宋体" w:hAnsi="宋体" w:cs="宋体"/>
          <w:sz w:val="24"/>
          <w:szCs w:val="24"/>
          <w:highlight w:val="none"/>
        </w:rPr>
        <w:t>1.6.3供应商在本项目响应文件提交截止时间前在中国政府采购网（www.ccgp.gov.cn）政府采购严重违法失信行为记录名单中无不良信息记录（查询时间为本公告发布之日起至提交响应文件截止时间止，查询结果以采购人、采购代理机构查询结果为准，并将查询记录和证据留存）</w:t>
      </w:r>
      <w:bookmarkStart w:id="40" w:name="_Toc28359091"/>
      <w:bookmarkStart w:id="41" w:name="_Toc28359014"/>
    </w:p>
    <w:p w14:paraId="17015F1D">
      <w:pPr>
        <w:pStyle w:val="14"/>
        <w:widowControl w:val="0"/>
        <w:ind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2.落实政府采购政策需满足的资格要求：本项目非专门面向中小企业采购。扶持中小企业政策：小微企业价格扣除优惠比例:10%；监狱企业和残疾人福利性单位视同小型、微型企业。</w:t>
      </w:r>
    </w:p>
    <w:p w14:paraId="1D970FCD">
      <w:pPr>
        <w:pStyle w:val="14"/>
        <w:widowControl w:val="0"/>
        <w:ind w:firstLine="480" w:firstLineChars="200"/>
        <w:rPr>
          <w:rFonts w:hint="eastAsia" w:eastAsia="宋体"/>
          <w:color w:val="auto"/>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本项目的特定资格要求：</w:t>
      </w:r>
      <w:r>
        <w:rPr>
          <w:rFonts w:hint="eastAsia" w:ascii="宋体" w:hAnsi="宋体" w:eastAsia="宋体" w:cs="宋体"/>
          <w:b/>
          <w:bCs/>
          <w:color w:val="auto"/>
          <w:sz w:val="24"/>
          <w:szCs w:val="24"/>
          <w:highlight w:val="none"/>
          <w:lang w:val="en-US" w:eastAsia="zh-CN"/>
        </w:rPr>
        <w:t>无。</w:t>
      </w:r>
    </w:p>
    <w:p w14:paraId="4BFB97BD">
      <w:pPr>
        <w:pStyle w:val="3"/>
        <w:keepNext w:val="0"/>
        <w:keepLines w:val="0"/>
        <w:rPr>
          <w:rFonts w:hint="eastAsia" w:ascii="宋体" w:hAnsi="宋体" w:eastAsia="宋体" w:cs="宋体"/>
          <w:bCs w:val="0"/>
          <w:sz w:val="24"/>
          <w:szCs w:val="24"/>
          <w:highlight w:val="none"/>
        </w:rPr>
      </w:pPr>
      <w:bookmarkStart w:id="42" w:name="_Toc9576"/>
      <w:bookmarkStart w:id="43" w:name="_Toc32619"/>
      <w:bookmarkStart w:id="44" w:name="_Toc19982"/>
      <w:bookmarkStart w:id="45" w:name="_Toc35393800"/>
      <w:bookmarkStart w:id="46" w:name="_Toc30884"/>
      <w:bookmarkStart w:id="47" w:name="_Toc22293"/>
      <w:bookmarkStart w:id="48" w:name="_Toc31143"/>
      <w:bookmarkStart w:id="49" w:name="_Toc35393631"/>
      <w:bookmarkStart w:id="50" w:name="_Toc11310"/>
      <w:bookmarkStart w:id="51" w:name="_Toc6342"/>
      <w:bookmarkStart w:id="52" w:name="_Toc165910129"/>
      <w:r>
        <w:rPr>
          <w:rFonts w:hint="eastAsia" w:ascii="宋体" w:hAnsi="宋体" w:eastAsia="宋体" w:cs="宋体"/>
          <w:bCs w:val="0"/>
          <w:sz w:val="24"/>
          <w:szCs w:val="24"/>
          <w:highlight w:val="none"/>
        </w:rPr>
        <w:t>三、获取采购文件</w:t>
      </w:r>
      <w:bookmarkEnd w:id="40"/>
      <w:bookmarkEnd w:id="41"/>
      <w:bookmarkEnd w:id="42"/>
      <w:bookmarkEnd w:id="43"/>
      <w:bookmarkEnd w:id="44"/>
      <w:bookmarkEnd w:id="45"/>
      <w:bookmarkEnd w:id="46"/>
      <w:bookmarkEnd w:id="47"/>
      <w:bookmarkEnd w:id="48"/>
      <w:bookmarkEnd w:id="49"/>
      <w:bookmarkEnd w:id="50"/>
      <w:bookmarkEnd w:id="51"/>
      <w:bookmarkEnd w:id="52"/>
    </w:p>
    <w:p w14:paraId="48345ECA">
      <w:pPr>
        <w:widowControl w:val="0"/>
        <w:spacing w:line="360" w:lineRule="auto"/>
        <w:ind w:firstLine="540"/>
        <w:jc w:val="both"/>
        <w:rPr>
          <w:rFonts w:hint="eastAsia" w:ascii="宋体" w:hAnsi="宋体" w:cs="宋体"/>
          <w:color w:val="000000"/>
          <w:sz w:val="24"/>
          <w:szCs w:val="24"/>
          <w:highlight w:val="none"/>
        </w:rPr>
      </w:pPr>
      <w:r>
        <w:rPr>
          <w:rFonts w:hint="eastAsia" w:ascii="宋体" w:hAnsi="宋体" w:cs="宋体"/>
          <w:color w:val="000000"/>
          <w:kern w:val="2"/>
          <w:sz w:val="24"/>
          <w:szCs w:val="24"/>
          <w:highlight w:val="none"/>
        </w:rPr>
        <w:t>时间：</w:t>
      </w:r>
      <w:r>
        <w:rPr>
          <w:rFonts w:hint="eastAsia" w:ascii="宋体" w:hAnsi="宋体" w:cs="宋体"/>
          <w:color w:val="000000"/>
          <w:kern w:val="2"/>
          <w:sz w:val="24"/>
          <w:szCs w:val="24"/>
          <w:highlight w:val="none"/>
          <w:u w:val="single"/>
        </w:rPr>
        <w:t>2025年</w:t>
      </w:r>
      <w:r>
        <w:rPr>
          <w:rFonts w:hint="eastAsia" w:ascii="宋体" w:hAnsi="宋体" w:cs="宋体"/>
          <w:color w:val="000000"/>
          <w:kern w:val="2"/>
          <w:sz w:val="24"/>
          <w:szCs w:val="24"/>
          <w:highlight w:val="none"/>
          <w:u w:val="single"/>
          <w:lang w:val="en-US" w:eastAsia="zh-CN"/>
        </w:rPr>
        <w:t>04</w:t>
      </w:r>
      <w:r>
        <w:rPr>
          <w:rFonts w:hint="eastAsia" w:ascii="宋体" w:hAnsi="宋体" w:cs="宋体"/>
          <w:color w:val="000000"/>
          <w:kern w:val="2"/>
          <w:sz w:val="24"/>
          <w:szCs w:val="24"/>
          <w:highlight w:val="none"/>
          <w:u w:val="single"/>
        </w:rPr>
        <w:t>月</w:t>
      </w:r>
      <w:r>
        <w:rPr>
          <w:rFonts w:hint="eastAsia" w:ascii="宋体" w:hAnsi="宋体" w:cs="宋体"/>
          <w:color w:val="000000"/>
          <w:kern w:val="2"/>
          <w:sz w:val="24"/>
          <w:szCs w:val="24"/>
          <w:highlight w:val="none"/>
          <w:u w:val="single"/>
          <w:lang w:val="en-US" w:eastAsia="zh-CN"/>
        </w:rPr>
        <w:t>11</w:t>
      </w:r>
      <w:r>
        <w:rPr>
          <w:rFonts w:hint="eastAsia" w:ascii="宋体" w:hAnsi="宋体" w:cs="宋体"/>
          <w:color w:val="000000"/>
          <w:kern w:val="2"/>
          <w:sz w:val="24"/>
          <w:szCs w:val="24"/>
          <w:highlight w:val="none"/>
          <w:u w:val="single"/>
        </w:rPr>
        <w:t>日</w:t>
      </w:r>
      <w:r>
        <w:rPr>
          <w:rFonts w:hint="eastAsia" w:ascii="宋体" w:hAnsi="宋体" w:cs="宋体"/>
          <w:color w:val="000000"/>
          <w:kern w:val="2"/>
          <w:sz w:val="24"/>
          <w:szCs w:val="24"/>
          <w:highlight w:val="none"/>
        </w:rPr>
        <w:t>至</w:t>
      </w:r>
      <w:r>
        <w:rPr>
          <w:rFonts w:hint="eastAsia" w:ascii="宋体" w:hAnsi="宋体" w:cs="宋体"/>
          <w:color w:val="000000"/>
          <w:kern w:val="2"/>
          <w:sz w:val="24"/>
          <w:szCs w:val="24"/>
          <w:highlight w:val="none"/>
          <w:u w:val="single"/>
        </w:rPr>
        <w:t>2025年</w:t>
      </w:r>
      <w:r>
        <w:rPr>
          <w:rFonts w:hint="eastAsia" w:ascii="宋体" w:hAnsi="宋体" w:cs="宋体"/>
          <w:color w:val="000000"/>
          <w:kern w:val="2"/>
          <w:sz w:val="24"/>
          <w:szCs w:val="24"/>
          <w:highlight w:val="none"/>
          <w:u w:val="single"/>
          <w:lang w:val="en-US" w:eastAsia="zh-CN"/>
        </w:rPr>
        <w:t>04</w:t>
      </w:r>
      <w:r>
        <w:rPr>
          <w:rFonts w:hint="eastAsia" w:ascii="宋体" w:hAnsi="宋体" w:cs="宋体"/>
          <w:color w:val="000000"/>
          <w:kern w:val="2"/>
          <w:sz w:val="24"/>
          <w:szCs w:val="24"/>
          <w:highlight w:val="none"/>
          <w:u w:val="single"/>
        </w:rPr>
        <w:t>月</w:t>
      </w:r>
      <w:r>
        <w:rPr>
          <w:rFonts w:hint="eastAsia" w:ascii="宋体" w:hAnsi="宋体" w:cs="宋体"/>
          <w:color w:val="000000"/>
          <w:kern w:val="2"/>
          <w:sz w:val="24"/>
          <w:szCs w:val="24"/>
          <w:highlight w:val="none"/>
          <w:u w:val="single"/>
          <w:lang w:val="en-US" w:eastAsia="zh-CN"/>
        </w:rPr>
        <w:t>18</w:t>
      </w:r>
      <w:r>
        <w:rPr>
          <w:rFonts w:hint="eastAsia" w:ascii="宋体" w:hAnsi="宋体" w:cs="宋体"/>
          <w:color w:val="000000"/>
          <w:kern w:val="2"/>
          <w:sz w:val="24"/>
          <w:szCs w:val="24"/>
          <w:highlight w:val="none"/>
          <w:u w:val="single"/>
        </w:rPr>
        <w:t>日</w:t>
      </w:r>
      <w:r>
        <w:rPr>
          <w:rFonts w:hint="eastAsia" w:ascii="宋体" w:hAnsi="宋体" w:cs="宋体"/>
          <w:color w:val="000000"/>
          <w:kern w:val="2"/>
          <w:sz w:val="24"/>
          <w:szCs w:val="24"/>
          <w:highlight w:val="none"/>
        </w:rPr>
        <w:t>，每天上午</w:t>
      </w:r>
      <w:r>
        <w:rPr>
          <w:rFonts w:hint="eastAsia" w:ascii="宋体" w:hAnsi="宋体" w:cs="宋体"/>
          <w:color w:val="000000"/>
          <w:kern w:val="2"/>
          <w:sz w:val="24"/>
          <w:szCs w:val="24"/>
          <w:highlight w:val="none"/>
          <w:u w:val="single"/>
          <w:lang w:val="en-US" w:eastAsia="zh-CN"/>
        </w:rPr>
        <w:t>06</w:t>
      </w:r>
      <w:r>
        <w:rPr>
          <w:rFonts w:hint="eastAsia" w:ascii="宋体" w:hAnsi="宋体" w:cs="宋体"/>
          <w:color w:val="000000"/>
          <w:kern w:val="2"/>
          <w:sz w:val="24"/>
          <w:szCs w:val="24"/>
          <w:highlight w:val="none"/>
          <w:u w:val="single"/>
        </w:rPr>
        <w:t>：00</w:t>
      </w:r>
      <w:r>
        <w:rPr>
          <w:rFonts w:hint="eastAsia" w:ascii="宋体" w:hAnsi="宋体" w:cs="宋体"/>
          <w:color w:val="000000"/>
          <w:kern w:val="2"/>
          <w:sz w:val="24"/>
          <w:szCs w:val="24"/>
          <w:highlight w:val="none"/>
        </w:rPr>
        <w:t>至</w:t>
      </w:r>
      <w:r>
        <w:rPr>
          <w:rFonts w:hint="eastAsia" w:ascii="宋体" w:hAnsi="宋体" w:cs="宋体"/>
          <w:color w:val="000000"/>
          <w:kern w:val="2"/>
          <w:sz w:val="24"/>
          <w:szCs w:val="24"/>
          <w:highlight w:val="none"/>
          <w:u w:val="single"/>
        </w:rPr>
        <w:t>12:00</w:t>
      </w:r>
      <w:r>
        <w:rPr>
          <w:rFonts w:hint="eastAsia" w:ascii="宋体" w:hAnsi="宋体" w:cs="宋体"/>
          <w:color w:val="000000"/>
          <w:kern w:val="2"/>
          <w:sz w:val="24"/>
          <w:szCs w:val="24"/>
          <w:highlight w:val="none"/>
        </w:rPr>
        <w:t>，下午</w:t>
      </w:r>
      <w:r>
        <w:rPr>
          <w:rFonts w:hint="eastAsia" w:ascii="宋体" w:hAnsi="宋体" w:cs="宋体"/>
          <w:color w:val="000000"/>
          <w:kern w:val="2"/>
          <w:sz w:val="24"/>
          <w:szCs w:val="24"/>
          <w:highlight w:val="none"/>
          <w:u w:val="single"/>
        </w:rPr>
        <w:t>12:00</w:t>
      </w:r>
      <w:r>
        <w:rPr>
          <w:rFonts w:hint="eastAsia" w:ascii="宋体" w:hAnsi="宋体" w:cs="宋体"/>
          <w:color w:val="000000"/>
          <w:kern w:val="2"/>
          <w:sz w:val="24"/>
          <w:szCs w:val="24"/>
          <w:highlight w:val="none"/>
        </w:rPr>
        <w:t>至</w:t>
      </w:r>
      <w:r>
        <w:rPr>
          <w:rFonts w:hint="eastAsia" w:ascii="宋体" w:hAnsi="宋体" w:cs="宋体"/>
          <w:color w:val="000000"/>
          <w:kern w:val="2"/>
          <w:sz w:val="24"/>
          <w:szCs w:val="24"/>
          <w:highlight w:val="none"/>
          <w:u w:val="single"/>
        </w:rPr>
        <w:t>23:59</w:t>
      </w:r>
      <w:r>
        <w:rPr>
          <w:rFonts w:hint="eastAsia" w:ascii="宋体" w:hAnsi="宋体" w:cs="宋体"/>
          <w:color w:val="000000"/>
          <w:kern w:val="2"/>
          <w:sz w:val="24"/>
          <w:szCs w:val="24"/>
          <w:highlight w:val="none"/>
        </w:rPr>
        <w:t>（北京时间，法定节假日除外）</w:t>
      </w:r>
    </w:p>
    <w:p w14:paraId="26804B44">
      <w:pPr>
        <w:widowControl w:val="0"/>
        <w:spacing w:line="360" w:lineRule="auto"/>
        <w:ind w:firstLine="540"/>
        <w:jc w:val="both"/>
        <w:rPr>
          <w:rFonts w:hint="eastAsia" w:ascii="宋体" w:hAnsi="宋体" w:cs="宋体"/>
          <w:color w:val="000000"/>
          <w:sz w:val="24"/>
          <w:szCs w:val="24"/>
          <w:highlight w:val="none"/>
          <w:u w:val="single"/>
        </w:rPr>
      </w:pPr>
      <w:r>
        <w:rPr>
          <w:rFonts w:hint="eastAsia" w:ascii="宋体" w:hAnsi="宋体" w:cs="宋体"/>
          <w:color w:val="000000"/>
          <w:kern w:val="2"/>
          <w:sz w:val="24"/>
          <w:szCs w:val="24"/>
          <w:highlight w:val="none"/>
        </w:rPr>
        <w:t>地点：</w:t>
      </w:r>
      <w:r>
        <w:rPr>
          <w:rFonts w:hint="eastAsia" w:ascii="宋体" w:hAnsi="宋体" w:cs="宋体"/>
          <w:color w:val="000000"/>
          <w:sz w:val="24"/>
          <w:szCs w:val="24"/>
          <w:highlight w:val="none"/>
        </w:rPr>
        <w:t>“政采云”平台（http：//www.zcygov.cn）（操作路径：登录“政采云”平台-项目采购-获取采购文件-找到本项目-点击“申请获取采购文件”）。</w:t>
      </w:r>
    </w:p>
    <w:p w14:paraId="70E336CE">
      <w:pPr>
        <w:widowControl w:val="0"/>
        <w:spacing w:line="360" w:lineRule="auto"/>
        <w:ind w:firstLine="540"/>
        <w:jc w:val="both"/>
        <w:rPr>
          <w:rFonts w:hint="eastAsia" w:ascii="宋体" w:hAnsi="宋体" w:cs="宋体"/>
          <w:color w:val="000000"/>
          <w:sz w:val="24"/>
          <w:szCs w:val="24"/>
          <w:highlight w:val="none"/>
          <w:u w:val="single"/>
        </w:rPr>
      </w:pPr>
      <w:r>
        <w:rPr>
          <w:rFonts w:hint="eastAsia" w:ascii="宋体" w:hAnsi="宋体" w:cs="宋体"/>
          <w:color w:val="000000"/>
          <w:kern w:val="2"/>
          <w:sz w:val="24"/>
          <w:szCs w:val="24"/>
          <w:highlight w:val="none"/>
        </w:rPr>
        <w:t>方式：</w:t>
      </w:r>
      <w:r>
        <w:rPr>
          <w:rFonts w:hint="eastAsia" w:ascii="宋体" w:hAnsi="宋体" w:cs="宋体"/>
          <w:color w:val="000000"/>
          <w:sz w:val="24"/>
          <w:szCs w:val="24"/>
          <w:highlight w:val="none"/>
        </w:rPr>
        <w:t>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36D06646">
      <w:pPr>
        <w:spacing w:line="360" w:lineRule="auto"/>
        <w:ind w:firstLine="540"/>
        <w:rPr>
          <w:rFonts w:hint="eastAsia" w:ascii="宋体" w:hAnsi="宋体" w:cs="宋体"/>
          <w:sz w:val="24"/>
          <w:szCs w:val="24"/>
          <w:highlight w:val="none"/>
        </w:rPr>
      </w:pPr>
      <w:r>
        <w:rPr>
          <w:rFonts w:hint="eastAsia" w:ascii="宋体" w:hAnsi="宋体" w:cs="宋体"/>
          <w:color w:val="000000"/>
          <w:kern w:val="2"/>
          <w:sz w:val="24"/>
          <w:szCs w:val="24"/>
          <w:highlight w:val="none"/>
        </w:rPr>
        <w:t>售价：0.00元/份。</w:t>
      </w:r>
    </w:p>
    <w:p w14:paraId="207590DA">
      <w:pPr>
        <w:pStyle w:val="3"/>
        <w:keepNext w:val="0"/>
        <w:keepLines w:val="0"/>
        <w:rPr>
          <w:rFonts w:hint="eastAsia" w:ascii="宋体" w:hAnsi="宋体" w:eastAsia="宋体" w:cs="宋体"/>
          <w:bCs w:val="0"/>
          <w:sz w:val="24"/>
          <w:szCs w:val="24"/>
          <w:highlight w:val="none"/>
        </w:rPr>
      </w:pPr>
      <w:bookmarkStart w:id="53" w:name="_Toc14394"/>
      <w:bookmarkStart w:id="54" w:name="_Toc165910130"/>
      <w:bookmarkStart w:id="55" w:name="_Toc1592"/>
      <w:bookmarkStart w:id="56" w:name="_Toc28359015"/>
      <w:bookmarkStart w:id="57" w:name="_Toc35393801"/>
      <w:bookmarkStart w:id="58" w:name="_Toc9060"/>
      <w:bookmarkStart w:id="59" w:name="_Toc25581"/>
      <w:bookmarkStart w:id="60" w:name="_Toc25119"/>
      <w:bookmarkStart w:id="61" w:name="_Toc25636"/>
      <w:bookmarkStart w:id="62" w:name="_Toc28359092"/>
      <w:bookmarkStart w:id="63" w:name="_Toc35393632"/>
      <w:bookmarkStart w:id="64" w:name="_Toc21049"/>
      <w:bookmarkStart w:id="65" w:name="_Toc29165"/>
      <w:r>
        <w:rPr>
          <w:rFonts w:hint="eastAsia" w:ascii="宋体" w:hAnsi="宋体" w:eastAsia="宋体" w:cs="宋体"/>
          <w:bCs w:val="0"/>
          <w:sz w:val="24"/>
          <w:szCs w:val="24"/>
          <w:highlight w:val="none"/>
        </w:rPr>
        <w:t>四、响应文件提交</w:t>
      </w:r>
      <w:bookmarkEnd w:id="53"/>
      <w:bookmarkEnd w:id="54"/>
      <w:bookmarkEnd w:id="55"/>
      <w:bookmarkEnd w:id="56"/>
      <w:bookmarkEnd w:id="57"/>
      <w:bookmarkEnd w:id="58"/>
      <w:bookmarkEnd w:id="59"/>
      <w:bookmarkEnd w:id="60"/>
      <w:bookmarkEnd w:id="61"/>
      <w:bookmarkEnd w:id="62"/>
      <w:bookmarkEnd w:id="63"/>
      <w:bookmarkEnd w:id="64"/>
      <w:bookmarkEnd w:id="65"/>
    </w:p>
    <w:p w14:paraId="1B0D6428">
      <w:pPr>
        <w:spacing w:line="360" w:lineRule="auto"/>
        <w:ind w:firstLine="480" w:firstLineChars="200"/>
        <w:rPr>
          <w:rFonts w:hint="eastAsia" w:ascii="宋体" w:hAnsi="宋体" w:cs="宋体"/>
          <w:bCs/>
          <w:sz w:val="24"/>
          <w:szCs w:val="24"/>
          <w:highlight w:val="none"/>
          <w:u w:val="single"/>
        </w:rPr>
      </w:pPr>
      <w:r>
        <w:rPr>
          <w:rFonts w:hint="eastAsia" w:ascii="宋体" w:hAnsi="宋体" w:cs="宋体"/>
          <w:sz w:val="24"/>
          <w:szCs w:val="24"/>
          <w:highlight w:val="none"/>
        </w:rPr>
        <w:t>截止时间：</w:t>
      </w:r>
      <w:r>
        <w:rPr>
          <w:rFonts w:hint="eastAsia" w:ascii="宋体" w:hAnsi="宋体" w:cs="宋体"/>
          <w:sz w:val="24"/>
          <w:szCs w:val="24"/>
          <w:highlight w:val="none"/>
          <w:u w:val="single"/>
        </w:rPr>
        <w:t>2025</w:t>
      </w:r>
      <w:r>
        <w:rPr>
          <w:rFonts w:hint="eastAsia" w:ascii="宋体" w:hAnsi="宋体" w:cs="宋体"/>
          <w:bCs/>
          <w:sz w:val="24"/>
          <w:szCs w:val="24"/>
          <w:highlight w:val="none"/>
          <w:u w:val="single"/>
        </w:rPr>
        <w:t>年</w:t>
      </w:r>
      <w:r>
        <w:rPr>
          <w:rFonts w:hint="eastAsia" w:ascii="宋体" w:hAnsi="宋体" w:cs="宋体"/>
          <w:bCs/>
          <w:sz w:val="24"/>
          <w:szCs w:val="24"/>
          <w:highlight w:val="none"/>
          <w:u w:val="single"/>
          <w:lang w:val="en-US" w:eastAsia="zh-CN"/>
        </w:rPr>
        <w:t>04</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24</w:t>
      </w:r>
      <w:r>
        <w:rPr>
          <w:rFonts w:hint="eastAsia" w:ascii="宋体" w:hAnsi="宋体" w:cs="宋体"/>
          <w:bCs/>
          <w:sz w:val="24"/>
          <w:szCs w:val="24"/>
          <w:highlight w:val="none"/>
          <w:u w:val="single"/>
        </w:rPr>
        <w:t>日14点30分</w:t>
      </w:r>
      <w:r>
        <w:rPr>
          <w:rFonts w:hint="eastAsia" w:ascii="宋体" w:hAnsi="宋体" w:cs="宋体"/>
          <w:bCs/>
          <w:sz w:val="24"/>
          <w:szCs w:val="24"/>
          <w:highlight w:val="none"/>
        </w:rPr>
        <w:t>（北京时间）</w:t>
      </w:r>
    </w:p>
    <w:p w14:paraId="1ED0E0BA">
      <w:pPr>
        <w:spacing w:line="360" w:lineRule="auto"/>
        <w:ind w:firstLine="480" w:firstLineChars="200"/>
        <w:rPr>
          <w:rFonts w:hint="eastAsia" w:ascii="宋体" w:hAnsi="宋体" w:cs="宋体"/>
          <w:bCs/>
          <w:sz w:val="24"/>
          <w:szCs w:val="24"/>
          <w:highlight w:val="none"/>
          <w:u w:val="single"/>
        </w:rPr>
      </w:pPr>
      <w:r>
        <w:rPr>
          <w:rFonts w:hint="eastAsia" w:ascii="宋体" w:hAnsi="宋体" w:cs="宋体"/>
          <w:sz w:val="24"/>
          <w:szCs w:val="24"/>
          <w:highlight w:val="none"/>
        </w:rPr>
        <w:t>地点：</w:t>
      </w:r>
      <w:r>
        <w:rPr>
          <w:rFonts w:hint="eastAsia" w:ascii="宋体" w:hAnsi="宋体" w:cs="宋体"/>
          <w:color w:val="000000"/>
          <w:sz w:val="24"/>
          <w:szCs w:val="24"/>
          <w:highlight w:val="none"/>
        </w:rPr>
        <w:t>“政采云”平台（http：//www.zcygov.cn）</w:t>
      </w:r>
    </w:p>
    <w:p w14:paraId="737E8C39">
      <w:pPr>
        <w:pStyle w:val="3"/>
        <w:keepNext w:val="0"/>
        <w:keepLines w:val="0"/>
        <w:rPr>
          <w:rFonts w:hint="eastAsia" w:ascii="宋体" w:hAnsi="宋体" w:eastAsia="宋体" w:cs="宋体"/>
          <w:bCs w:val="0"/>
          <w:sz w:val="24"/>
          <w:szCs w:val="24"/>
          <w:highlight w:val="none"/>
        </w:rPr>
      </w:pPr>
      <w:bookmarkStart w:id="66" w:name="_Toc28359093"/>
      <w:bookmarkStart w:id="67" w:name="_Toc1418"/>
      <w:bookmarkStart w:id="68" w:name="_Toc12446"/>
      <w:bookmarkStart w:id="69" w:name="_Toc17591"/>
      <w:bookmarkStart w:id="70" w:name="_Toc35393633"/>
      <w:bookmarkStart w:id="71" w:name="_Toc32187"/>
      <w:bookmarkStart w:id="72" w:name="_Toc17854"/>
      <w:bookmarkStart w:id="73" w:name="_Toc165910131"/>
      <w:bookmarkStart w:id="74" w:name="_Toc14623"/>
      <w:bookmarkStart w:id="75" w:name="_Toc24133"/>
      <w:bookmarkStart w:id="76" w:name="_Toc28359016"/>
      <w:bookmarkStart w:id="77" w:name="_Toc35393802"/>
      <w:bookmarkStart w:id="78" w:name="_Toc26452"/>
      <w:r>
        <w:rPr>
          <w:rFonts w:hint="eastAsia" w:ascii="宋体" w:hAnsi="宋体" w:eastAsia="宋体" w:cs="宋体"/>
          <w:bCs w:val="0"/>
          <w:sz w:val="24"/>
          <w:szCs w:val="24"/>
          <w:highlight w:val="none"/>
        </w:rPr>
        <w:t>五、开启</w:t>
      </w:r>
      <w:bookmarkEnd w:id="66"/>
      <w:bookmarkEnd w:id="67"/>
      <w:bookmarkEnd w:id="68"/>
      <w:bookmarkEnd w:id="69"/>
      <w:bookmarkEnd w:id="70"/>
      <w:bookmarkEnd w:id="71"/>
      <w:bookmarkEnd w:id="72"/>
      <w:bookmarkEnd w:id="73"/>
      <w:bookmarkEnd w:id="74"/>
      <w:bookmarkEnd w:id="75"/>
      <w:bookmarkEnd w:id="76"/>
      <w:bookmarkEnd w:id="77"/>
      <w:bookmarkEnd w:id="78"/>
    </w:p>
    <w:p w14:paraId="1F4FFBD8">
      <w:pPr>
        <w:spacing w:line="360" w:lineRule="auto"/>
        <w:ind w:firstLine="480" w:firstLineChars="200"/>
        <w:rPr>
          <w:rFonts w:hint="eastAsia" w:ascii="宋体" w:hAnsi="宋体" w:cs="宋体"/>
          <w:bCs/>
          <w:sz w:val="24"/>
          <w:szCs w:val="24"/>
          <w:highlight w:val="none"/>
          <w:u w:val="single"/>
        </w:rPr>
      </w:pPr>
      <w:r>
        <w:rPr>
          <w:rFonts w:hint="eastAsia" w:ascii="宋体" w:hAnsi="宋体" w:cs="宋体"/>
          <w:sz w:val="24"/>
          <w:szCs w:val="24"/>
          <w:highlight w:val="none"/>
        </w:rPr>
        <w:t>时间：</w:t>
      </w:r>
      <w:r>
        <w:rPr>
          <w:rFonts w:hint="eastAsia" w:ascii="宋体" w:hAnsi="宋体" w:cs="宋体"/>
          <w:sz w:val="24"/>
          <w:szCs w:val="24"/>
          <w:highlight w:val="none"/>
          <w:u w:val="single"/>
        </w:rPr>
        <w:t>2025</w:t>
      </w:r>
      <w:r>
        <w:rPr>
          <w:rFonts w:hint="eastAsia" w:ascii="宋体" w:hAnsi="宋体" w:cs="宋体"/>
          <w:bCs/>
          <w:sz w:val="24"/>
          <w:szCs w:val="24"/>
          <w:highlight w:val="none"/>
          <w:u w:val="single"/>
        </w:rPr>
        <w:t>年</w:t>
      </w:r>
      <w:r>
        <w:rPr>
          <w:rFonts w:hint="eastAsia" w:ascii="宋体" w:hAnsi="宋体" w:cs="宋体"/>
          <w:bCs/>
          <w:sz w:val="24"/>
          <w:szCs w:val="24"/>
          <w:highlight w:val="none"/>
          <w:u w:val="single"/>
          <w:lang w:val="en-US" w:eastAsia="zh-CN"/>
        </w:rPr>
        <w:t>04</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24</w:t>
      </w:r>
      <w:r>
        <w:rPr>
          <w:rFonts w:hint="eastAsia" w:ascii="宋体" w:hAnsi="宋体" w:cs="宋体"/>
          <w:bCs/>
          <w:sz w:val="24"/>
          <w:szCs w:val="24"/>
          <w:highlight w:val="none"/>
          <w:u w:val="single"/>
        </w:rPr>
        <w:t>日14点30分</w:t>
      </w:r>
      <w:r>
        <w:rPr>
          <w:rFonts w:hint="eastAsia" w:ascii="宋体" w:hAnsi="宋体" w:cs="宋体"/>
          <w:bCs/>
          <w:sz w:val="24"/>
          <w:szCs w:val="24"/>
          <w:highlight w:val="none"/>
        </w:rPr>
        <w:t>（北京时间）</w:t>
      </w:r>
    </w:p>
    <w:p w14:paraId="68E67B67">
      <w:pPr>
        <w:spacing w:line="360" w:lineRule="auto"/>
        <w:ind w:firstLine="480" w:firstLineChars="200"/>
        <w:rPr>
          <w:rFonts w:hint="eastAsia" w:ascii="宋体" w:hAnsi="宋体" w:cs="宋体"/>
          <w:bCs/>
          <w:sz w:val="24"/>
          <w:szCs w:val="24"/>
          <w:highlight w:val="none"/>
          <w:u w:val="single"/>
        </w:rPr>
      </w:pPr>
      <w:r>
        <w:rPr>
          <w:rFonts w:hint="eastAsia" w:ascii="宋体" w:hAnsi="宋体" w:cs="宋体"/>
          <w:sz w:val="24"/>
          <w:szCs w:val="24"/>
          <w:highlight w:val="none"/>
        </w:rPr>
        <w:t>地点：</w:t>
      </w:r>
      <w:r>
        <w:rPr>
          <w:rFonts w:hint="eastAsia" w:ascii="宋体" w:hAnsi="宋体" w:cs="宋体"/>
          <w:color w:val="000000"/>
          <w:sz w:val="24"/>
          <w:szCs w:val="24"/>
          <w:highlight w:val="none"/>
        </w:rPr>
        <w:t>“政采云”平台（http：//www.zcygov.cn）</w:t>
      </w:r>
    </w:p>
    <w:p w14:paraId="7C492FCA">
      <w:pPr>
        <w:pStyle w:val="3"/>
        <w:keepNext w:val="0"/>
        <w:keepLines w:val="0"/>
        <w:rPr>
          <w:rFonts w:hint="eastAsia" w:ascii="宋体" w:hAnsi="宋体" w:eastAsia="宋体" w:cs="宋体"/>
          <w:bCs w:val="0"/>
          <w:sz w:val="24"/>
          <w:szCs w:val="24"/>
          <w:highlight w:val="none"/>
        </w:rPr>
      </w:pPr>
      <w:bookmarkStart w:id="79" w:name="_Toc165910132"/>
      <w:bookmarkStart w:id="80" w:name="_Toc35393803"/>
      <w:bookmarkStart w:id="81" w:name="_Toc30300"/>
      <w:bookmarkStart w:id="82" w:name="_Toc9115"/>
      <w:bookmarkStart w:id="83" w:name="_Toc16334"/>
      <w:bookmarkStart w:id="84" w:name="_Toc28359094"/>
      <w:bookmarkStart w:id="85" w:name="_Toc35393634"/>
      <w:bookmarkStart w:id="86" w:name="_Toc10530"/>
      <w:bookmarkStart w:id="87" w:name="_Toc12122"/>
      <w:bookmarkStart w:id="88" w:name="_Toc3349"/>
      <w:bookmarkStart w:id="89" w:name="_Toc28359017"/>
      <w:bookmarkStart w:id="90" w:name="_Toc4479"/>
      <w:r>
        <w:rPr>
          <w:rFonts w:hint="eastAsia" w:ascii="宋体" w:hAnsi="宋体" w:eastAsia="宋体" w:cs="宋体"/>
          <w:bCs w:val="0"/>
          <w:sz w:val="24"/>
          <w:szCs w:val="24"/>
          <w:highlight w:val="none"/>
        </w:rPr>
        <w:t>六、公告期限</w:t>
      </w:r>
      <w:bookmarkEnd w:id="79"/>
      <w:bookmarkEnd w:id="80"/>
      <w:bookmarkEnd w:id="81"/>
      <w:bookmarkEnd w:id="82"/>
      <w:bookmarkEnd w:id="83"/>
      <w:bookmarkEnd w:id="84"/>
      <w:bookmarkEnd w:id="85"/>
      <w:bookmarkEnd w:id="86"/>
      <w:bookmarkEnd w:id="87"/>
      <w:bookmarkEnd w:id="88"/>
      <w:bookmarkEnd w:id="89"/>
      <w:bookmarkEnd w:id="90"/>
    </w:p>
    <w:p w14:paraId="277E572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自本公告发布之日起5个工作日。</w:t>
      </w:r>
    </w:p>
    <w:p w14:paraId="224829CA">
      <w:pPr>
        <w:pStyle w:val="3"/>
        <w:keepNext w:val="0"/>
        <w:keepLines w:val="0"/>
        <w:rPr>
          <w:rFonts w:hint="eastAsia" w:ascii="宋体" w:hAnsi="宋体" w:eastAsia="宋体" w:cs="宋体"/>
          <w:bCs w:val="0"/>
          <w:sz w:val="24"/>
          <w:szCs w:val="24"/>
          <w:highlight w:val="none"/>
        </w:rPr>
      </w:pPr>
      <w:bookmarkStart w:id="91" w:name="_Toc27192"/>
      <w:bookmarkStart w:id="92" w:name="_Toc11502"/>
      <w:bookmarkStart w:id="93" w:name="_Toc773"/>
      <w:bookmarkStart w:id="94" w:name="_Toc25387"/>
      <w:bookmarkStart w:id="95" w:name="_Toc29435"/>
      <w:bookmarkStart w:id="96" w:name="_Toc165910133"/>
      <w:bookmarkStart w:id="97" w:name="_Toc23964"/>
      <w:bookmarkStart w:id="98" w:name="_Toc7561"/>
      <w:bookmarkStart w:id="99" w:name="_Toc31536"/>
      <w:bookmarkStart w:id="100" w:name="_Toc35393635"/>
      <w:bookmarkStart w:id="101" w:name="_Toc35393804"/>
      <w:r>
        <w:rPr>
          <w:rFonts w:hint="eastAsia" w:ascii="宋体" w:hAnsi="宋体" w:eastAsia="宋体" w:cs="宋体"/>
          <w:bCs w:val="0"/>
          <w:sz w:val="24"/>
          <w:szCs w:val="24"/>
          <w:highlight w:val="none"/>
        </w:rPr>
        <w:t>七、其他补充事宜</w:t>
      </w:r>
      <w:bookmarkEnd w:id="91"/>
      <w:bookmarkEnd w:id="92"/>
      <w:bookmarkEnd w:id="93"/>
      <w:bookmarkEnd w:id="94"/>
      <w:bookmarkEnd w:id="95"/>
      <w:bookmarkEnd w:id="96"/>
      <w:bookmarkEnd w:id="97"/>
      <w:bookmarkEnd w:id="98"/>
      <w:bookmarkEnd w:id="99"/>
      <w:bookmarkEnd w:id="100"/>
      <w:bookmarkEnd w:id="101"/>
    </w:p>
    <w:p w14:paraId="24E5C035">
      <w:pPr>
        <w:widowControl w:val="0"/>
        <w:wordWrap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1.本次竞争性磋商公告在</w:t>
      </w:r>
      <w:r>
        <w:rPr>
          <w:rFonts w:hint="eastAsia" w:ascii="宋体" w:hAnsi="宋体" w:cs="宋体"/>
          <w:color w:val="000000"/>
          <w:sz w:val="24"/>
          <w:szCs w:val="24"/>
          <w:highlight w:val="none"/>
        </w:rPr>
        <w:t>《云南省政府采购网》（http://www.yngp.com/）上发布，公告内容和时间以云南省政府采购网上发布的信息为准。</w:t>
      </w:r>
    </w:p>
    <w:p w14:paraId="48F510CD">
      <w:pPr>
        <w:widowControl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2.</w:t>
      </w:r>
      <w:r>
        <w:rPr>
          <w:rFonts w:hint="eastAsia" w:ascii="宋体" w:hAnsi="宋体" w:cs="宋体"/>
          <w:sz w:val="24"/>
          <w:szCs w:val="24"/>
          <w:highlight w:val="none"/>
          <w:u w:val="single"/>
        </w:rPr>
        <w:t>本项目执行政府采购促进中小企业发展、支持监狱企业、促进残疾人就业、强制采购和优先采购节能、环保产品等政府采购政策</w:t>
      </w:r>
      <w:r>
        <w:rPr>
          <w:rFonts w:hint="eastAsia" w:ascii="宋体" w:hAnsi="宋体" w:cs="宋体"/>
          <w:sz w:val="24"/>
          <w:szCs w:val="24"/>
          <w:highlight w:val="none"/>
        </w:rPr>
        <w:t>。</w:t>
      </w:r>
    </w:p>
    <w:p w14:paraId="1C98AAAD">
      <w:pPr>
        <w:pStyle w:val="3"/>
        <w:keepNext w:val="0"/>
        <w:keepLines w:val="0"/>
        <w:ind w:left="9638" w:hanging="9638" w:hangingChars="4000"/>
        <w:rPr>
          <w:rFonts w:hint="eastAsia" w:ascii="宋体" w:hAnsi="宋体" w:eastAsia="宋体" w:cs="宋体"/>
          <w:bCs w:val="0"/>
          <w:sz w:val="24"/>
          <w:szCs w:val="24"/>
          <w:highlight w:val="none"/>
        </w:rPr>
      </w:pPr>
      <w:bookmarkStart w:id="102" w:name="_Toc165910134"/>
      <w:bookmarkStart w:id="103" w:name="_Toc17920"/>
      <w:bookmarkStart w:id="104" w:name="_Toc3457"/>
      <w:bookmarkStart w:id="105" w:name="_Toc13660"/>
      <w:bookmarkStart w:id="106" w:name="_Toc4623"/>
      <w:bookmarkStart w:id="107" w:name="_Toc35393805"/>
      <w:bookmarkStart w:id="108" w:name="_Toc35393636"/>
      <w:bookmarkStart w:id="109" w:name="_Toc21391"/>
      <w:bookmarkStart w:id="110" w:name="_Toc23015"/>
      <w:bookmarkStart w:id="111" w:name="_Toc13804"/>
      <w:bookmarkStart w:id="112" w:name="_Toc23333"/>
      <w:bookmarkStart w:id="113" w:name="_Toc28359018"/>
      <w:bookmarkStart w:id="114" w:name="_Toc28359095"/>
      <w:r>
        <w:rPr>
          <w:rFonts w:hint="eastAsia" w:ascii="宋体" w:hAnsi="宋体" w:eastAsia="宋体" w:cs="宋体"/>
          <w:bCs w:val="0"/>
          <w:sz w:val="24"/>
          <w:szCs w:val="24"/>
          <w:highlight w:val="none"/>
        </w:rPr>
        <w:t>八、凡对本次采购提出询问，请按以下方式联系</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4F2198F8">
      <w:pPr>
        <w:widowControl w:val="0"/>
        <w:spacing w:line="360" w:lineRule="auto"/>
        <w:ind w:firstLine="480" w:firstLineChars="200"/>
        <w:rPr>
          <w:rFonts w:hint="eastAsia" w:ascii="宋体" w:hAnsi="宋体" w:cs="宋体"/>
          <w:sz w:val="24"/>
          <w:szCs w:val="24"/>
          <w:highlight w:val="none"/>
        </w:rPr>
      </w:pPr>
      <w:bookmarkStart w:id="115" w:name="_Toc35393637"/>
      <w:bookmarkStart w:id="116" w:name="_Toc28359096"/>
      <w:bookmarkStart w:id="117" w:name="_Toc28359019"/>
      <w:bookmarkStart w:id="118" w:name="_Toc35393806"/>
      <w:r>
        <w:rPr>
          <w:rFonts w:hint="eastAsia" w:ascii="宋体" w:hAnsi="宋体" w:cs="宋体"/>
          <w:sz w:val="24"/>
          <w:szCs w:val="24"/>
          <w:highlight w:val="none"/>
        </w:rPr>
        <w:t>采购人名称：丽江市农业农村局</w:t>
      </w:r>
    </w:p>
    <w:p w14:paraId="045BC0AC">
      <w:pPr>
        <w:widowControl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地址：丽江市古城区长水路268号</w:t>
      </w:r>
    </w:p>
    <w:p w14:paraId="53AAD20B">
      <w:pPr>
        <w:widowControl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彭涛</w:t>
      </w:r>
    </w:p>
    <w:p w14:paraId="37553960">
      <w:pPr>
        <w:widowControl w:val="0"/>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联系方式：</w:t>
      </w:r>
      <w:r>
        <w:rPr>
          <w:rFonts w:hint="eastAsia" w:ascii="宋体" w:hAnsi="宋体" w:cs="宋体"/>
          <w:sz w:val="24"/>
          <w:szCs w:val="24"/>
          <w:highlight w:val="none"/>
          <w:lang w:val="en-US" w:eastAsia="zh-CN"/>
        </w:rPr>
        <w:t>0888-8889087</w:t>
      </w:r>
    </w:p>
    <w:p w14:paraId="694D3BE1">
      <w:pPr>
        <w:bidi w:val="0"/>
        <w:rPr>
          <w:rFonts w:hint="eastAsia"/>
        </w:rPr>
      </w:pPr>
    </w:p>
    <w:p w14:paraId="70E0A87D">
      <w:pPr>
        <w:widowControl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采购代理机构名称：云南智扬工程项目管理有限公司</w:t>
      </w:r>
    </w:p>
    <w:p w14:paraId="49ADCC0C">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地址：云南省昆明市盘龙区白云路168号瑞鼎城A座第11层1116-1118号</w:t>
      </w:r>
    </w:p>
    <w:p w14:paraId="10609375">
      <w:pPr>
        <w:widowControl w:val="0"/>
        <w:spacing w:line="360" w:lineRule="auto"/>
        <w:ind w:firstLine="480" w:firstLineChars="200"/>
        <w:rPr>
          <w:rFonts w:hint="eastAsia" w:ascii="宋体" w:hAnsi="宋体" w:cs="宋体"/>
          <w:sz w:val="24"/>
          <w:szCs w:val="24"/>
        </w:rPr>
      </w:pPr>
      <w:r>
        <w:rPr>
          <w:rFonts w:hint="eastAsia" w:ascii="宋体" w:hAnsi="宋体" w:cs="宋体"/>
          <w:sz w:val="24"/>
        </w:rPr>
        <w:t>联系人：羊振、普清秀、张洋铭、苏凤霞</w:t>
      </w:r>
    </w:p>
    <w:p w14:paraId="04EB77D5">
      <w:pPr>
        <w:widowControl w:val="0"/>
        <w:spacing w:line="360" w:lineRule="auto"/>
        <w:ind w:firstLine="480" w:firstLineChars="200"/>
        <w:rPr>
          <w:rFonts w:hint="eastAsia" w:ascii="宋体" w:hAnsi="宋体" w:cs="宋体"/>
          <w:sz w:val="24"/>
        </w:rPr>
      </w:pPr>
      <w:r>
        <w:rPr>
          <w:rFonts w:hint="eastAsia" w:ascii="宋体" w:hAnsi="宋体" w:cs="宋体"/>
          <w:sz w:val="24"/>
          <w:szCs w:val="24"/>
        </w:rPr>
        <w:t>联系方式：0871-63856268</w:t>
      </w:r>
    </w:p>
    <w:bookmarkEnd w:id="115"/>
    <w:bookmarkEnd w:id="116"/>
    <w:bookmarkEnd w:id="117"/>
    <w:bookmarkEnd w:id="118"/>
    <w:p w14:paraId="235CC492">
      <w:pPr>
        <w:pStyle w:val="2"/>
        <w:spacing w:before="0" w:after="0" w:line="360" w:lineRule="auto"/>
        <w:jc w:val="center"/>
        <w:rPr>
          <w:rStyle w:val="53"/>
          <w:rFonts w:hint="eastAsia" w:ascii="宋体" w:hAnsi="宋体" w:cs="宋体"/>
          <w:b/>
          <w:bCs/>
        </w:rPr>
      </w:pPr>
      <w:bookmarkStart w:id="119" w:name="_Toc21422"/>
      <w:bookmarkStart w:id="120" w:name="_Toc3896280"/>
      <w:bookmarkStart w:id="121" w:name="_Toc30167"/>
      <w:bookmarkStart w:id="122" w:name="_Toc18212"/>
      <w:bookmarkStart w:id="123" w:name="_Toc25109"/>
      <w:bookmarkStart w:id="124" w:name="_Toc32242"/>
      <w:bookmarkStart w:id="125" w:name="_Toc9166"/>
      <w:bookmarkStart w:id="126" w:name="_Toc165910135"/>
      <w:r>
        <w:rPr>
          <w:rStyle w:val="53"/>
          <w:rFonts w:hint="eastAsia" w:ascii="宋体" w:hAnsi="宋体" w:cs="宋体"/>
          <w:b/>
          <w:bCs/>
        </w:rPr>
        <w:t>第二章 供应商须知</w:t>
      </w:r>
      <w:bookmarkEnd w:id="119"/>
      <w:bookmarkEnd w:id="120"/>
      <w:bookmarkEnd w:id="121"/>
      <w:bookmarkEnd w:id="122"/>
      <w:bookmarkEnd w:id="123"/>
      <w:bookmarkEnd w:id="124"/>
      <w:bookmarkEnd w:id="125"/>
      <w:bookmarkEnd w:id="126"/>
    </w:p>
    <w:p w14:paraId="154735C5">
      <w:pPr>
        <w:rPr>
          <w:rFonts w:hint="eastAsia" w:ascii="宋体" w:hAnsi="宋体" w:cs="宋体"/>
        </w:rPr>
      </w:pPr>
      <w:bookmarkStart w:id="127" w:name="_Toc13590"/>
      <w:bookmarkEnd w:id="127"/>
      <w:bookmarkStart w:id="128" w:name="_Toc21714"/>
      <w:bookmarkEnd w:id="128"/>
      <w:bookmarkStart w:id="129" w:name="_Toc3896281"/>
      <w:bookmarkStart w:id="130" w:name="_Toc26144"/>
      <w:bookmarkStart w:id="131" w:name="_Toc22734"/>
    </w:p>
    <w:p w14:paraId="4A2816E4">
      <w:pPr>
        <w:pStyle w:val="3"/>
        <w:ind w:firstLine="420"/>
        <w:jc w:val="center"/>
        <w:rPr>
          <w:rFonts w:hint="eastAsia" w:ascii="宋体" w:hAnsi="宋体" w:eastAsia="宋体" w:cs="宋体"/>
          <w:sz w:val="28"/>
          <w:szCs w:val="28"/>
        </w:rPr>
      </w:pPr>
      <w:bookmarkStart w:id="132" w:name="_Toc165910136"/>
      <w:bookmarkStart w:id="133" w:name="_Toc9362"/>
      <w:bookmarkStart w:id="134" w:name="_Toc28669"/>
      <w:bookmarkStart w:id="135" w:name="_Toc6966"/>
      <w:bookmarkStart w:id="136" w:name="_Toc25321"/>
      <w:r>
        <w:rPr>
          <w:rFonts w:hint="eastAsia" w:ascii="宋体" w:hAnsi="宋体" w:eastAsia="宋体" w:cs="宋体"/>
          <w:sz w:val="28"/>
          <w:szCs w:val="28"/>
        </w:rPr>
        <w:t>供应商须知前附表</w:t>
      </w:r>
      <w:bookmarkEnd w:id="129"/>
      <w:bookmarkEnd w:id="130"/>
      <w:bookmarkEnd w:id="131"/>
      <w:bookmarkEnd w:id="132"/>
      <w:bookmarkEnd w:id="133"/>
      <w:bookmarkEnd w:id="134"/>
      <w:bookmarkEnd w:id="135"/>
      <w:bookmarkEnd w:id="136"/>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2"/>
        <w:gridCol w:w="2168"/>
        <w:gridCol w:w="6111"/>
      </w:tblGrid>
      <w:tr w14:paraId="2E0C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7F9E79E3">
            <w:pPr>
              <w:widowControl w:val="0"/>
              <w:spacing w:line="360" w:lineRule="auto"/>
              <w:jc w:val="both"/>
              <w:rPr>
                <w:rFonts w:hint="eastAsia" w:ascii="宋体" w:hAnsi="宋体" w:cs="宋体"/>
                <w:b/>
                <w:bCs/>
                <w:kern w:val="2"/>
                <w:sz w:val="24"/>
                <w:szCs w:val="24"/>
              </w:rPr>
            </w:pPr>
            <w:r>
              <w:rPr>
                <w:rFonts w:hint="eastAsia" w:ascii="宋体" w:hAnsi="宋体" w:cs="宋体"/>
                <w:b/>
                <w:bCs/>
                <w:kern w:val="2"/>
                <w:sz w:val="24"/>
                <w:szCs w:val="24"/>
              </w:rPr>
              <w:t>条款号</w:t>
            </w:r>
          </w:p>
        </w:tc>
        <w:tc>
          <w:tcPr>
            <w:tcW w:w="2168" w:type="dxa"/>
            <w:vAlign w:val="bottom"/>
          </w:tcPr>
          <w:p w14:paraId="28492933">
            <w:pPr>
              <w:widowControl w:val="0"/>
              <w:spacing w:line="360" w:lineRule="auto"/>
              <w:jc w:val="both"/>
              <w:rPr>
                <w:rFonts w:hint="eastAsia" w:ascii="宋体" w:hAnsi="宋体" w:cs="宋体"/>
                <w:b/>
                <w:bCs/>
                <w:kern w:val="2"/>
                <w:sz w:val="24"/>
                <w:szCs w:val="24"/>
              </w:rPr>
            </w:pPr>
            <w:r>
              <w:rPr>
                <w:rFonts w:hint="eastAsia" w:ascii="宋体" w:hAnsi="宋体" w:cs="宋体"/>
                <w:b/>
                <w:bCs/>
                <w:kern w:val="2"/>
                <w:sz w:val="24"/>
                <w:szCs w:val="24"/>
              </w:rPr>
              <w:t>条款名称</w:t>
            </w:r>
          </w:p>
        </w:tc>
        <w:tc>
          <w:tcPr>
            <w:tcW w:w="6111" w:type="dxa"/>
            <w:vAlign w:val="bottom"/>
          </w:tcPr>
          <w:p w14:paraId="6A0C311A">
            <w:pPr>
              <w:widowControl w:val="0"/>
              <w:spacing w:line="360" w:lineRule="auto"/>
              <w:jc w:val="both"/>
              <w:rPr>
                <w:rFonts w:hint="eastAsia" w:ascii="宋体" w:hAnsi="宋体" w:cs="宋体"/>
                <w:b/>
                <w:bCs/>
                <w:kern w:val="2"/>
                <w:sz w:val="24"/>
                <w:szCs w:val="24"/>
              </w:rPr>
            </w:pPr>
            <w:r>
              <w:rPr>
                <w:rFonts w:hint="eastAsia" w:ascii="宋体" w:hAnsi="宋体" w:cs="宋体"/>
                <w:b/>
                <w:bCs/>
                <w:kern w:val="2"/>
                <w:sz w:val="24"/>
                <w:szCs w:val="24"/>
              </w:rPr>
              <w:t>编列内容</w:t>
            </w:r>
          </w:p>
        </w:tc>
      </w:tr>
      <w:tr w14:paraId="6784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0C63122F">
            <w:pPr>
              <w:widowControl w:val="0"/>
              <w:spacing w:line="360" w:lineRule="auto"/>
              <w:rPr>
                <w:rFonts w:hint="eastAsia" w:ascii="宋体" w:hAnsi="宋体" w:cs="宋体"/>
                <w:kern w:val="2"/>
                <w:sz w:val="24"/>
                <w:szCs w:val="24"/>
              </w:rPr>
            </w:pPr>
            <w:r>
              <w:rPr>
                <w:rFonts w:hint="eastAsia" w:ascii="宋体" w:hAnsi="宋体" w:cs="宋体"/>
                <w:kern w:val="2"/>
                <w:sz w:val="24"/>
                <w:szCs w:val="24"/>
              </w:rPr>
              <w:t>1.1.2</w:t>
            </w:r>
          </w:p>
        </w:tc>
        <w:tc>
          <w:tcPr>
            <w:tcW w:w="2168" w:type="dxa"/>
            <w:vAlign w:val="center"/>
          </w:tcPr>
          <w:p w14:paraId="47EA1B0F">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采购人</w:t>
            </w:r>
          </w:p>
        </w:tc>
        <w:tc>
          <w:tcPr>
            <w:tcW w:w="6111" w:type="dxa"/>
            <w:vAlign w:val="center"/>
          </w:tcPr>
          <w:p w14:paraId="4AFFF8A3">
            <w:pPr>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名称：丽江市农业农村局</w:t>
            </w:r>
          </w:p>
          <w:p w14:paraId="194BB5B8">
            <w:pPr>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地址：丽江市古城区长水路268号</w:t>
            </w:r>
          </w:p>
          <w:p w14:paraId="59E4723B">
            <w:pPr>
              <w:widowControl w:val="0"/>
              <w:spacing w:line="360" w:lineRule="auto"/>
              <w:jc w:val="both"/>
              <w:rPr>
                <w:rFonts w:hint="eastAsia" w:ascii="宋体" w:hAnsi="宋体" w:eastAsia="宋体" w:cs="宋体"/>
                <w:kern w:val="2"/>
                <w:sz w:val="24"/>
                <w:szCs w:val="24"/>
                <w:highlight w:val="none"/>
                <w:lang w:val="en-US" w:eastAsia="zh-CN"/>
              </w:rPr>
            </w:pPr>
            <w:r>
              <w:rPr>
                <w:rFonts w:hint="eastAsia" w:ascii="宋体" w:hAnsi="宋体" w:cs="宋体"/>
                <w:kern w:val="2"/>
                <w:sz w:val="24"/>
                <w:szCs w:val="24"/>
                <w:highlight w:val="none"/>
              </w:rPr>
              <w:t>联系人：</w:t>
            </w:r>
            <w:r>
              <w:rPr>
                <w:rFonts w:hint="eastAsia" w:ascii="宋体" w:hAnsi="宋体" w:cs="宋体"/>
                <w:kern w:val="2"/>
                <w:sz w:val="24"/>
                <w:szCs w:val="24"/>
                <w:highlight w:val="none"/>
                <w:lang w:val="en-US" w:eastAsia="zh-CN"/>
              </w:rPr>
              <w:t>彭涛</w:t>
            </w:r>
          </w:p>
          <w:p w14:paraId="5F061FA7">
            <w:pPr>
              <w:widowControl w:val="0"/>
              <w:spacing w:line="360" w:lineRule="auto"/>
              <w:jc w:val="both"/>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rPr>
              <w:t>联系方式：</w:t>
            </w:r>
            <w:r>
              <w:rPr>
                <w:rFonts w:hint="eastAsia" w:ascii="宋体" w:hAnsi="宋体" w:cs="宋体"/>
                <w:sz w:val="24"/>
                <w:szCs w:val="24"/>
                <w:highlight w:val="none"/>
                <w:lang w:val="en-US" w:eastAsia="zh-CN"/>
              </w:rPr>
              <w:t>0888-8889087</w:t>
            </w:r>
          </w:p>
        </w:tc>
      </w:tr>
      <w:tr w14:paraId="2EABD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0F7A97DE">
            <w:pPr>
              <w:widowControl w:val="0"/>
              <w:spacing w:line="360" w:lineRule="auto"/>
              <w:rPr>
                <w:rFonts w:hint="eastAsia" w:ascii="宋体" w:hAnsi="宋体" w:cs="宋体"/>
                <w:kern w:val="2"/>
                <w:sz w:val="24"/>
                <w:szCs w:val="24"/>
              </w:rPr>
            </w:pPr>
            <w:r>
              <w:rPr>
                <w:rFonts w:hint="eastAsia" w:ascii="宋体" w:hAnsi="宋体" w:cs="宋体"/>
                <w:kern w:val="2"/>
                <w:sz w:val="24"/>
                <w:szCs w:val="24"/>
              </w:rPr>
              <w:t>1.1.3</w:t>
            </w:r>
          </w:p>
        </w:tc>
        <w:tc>
          <w:tcPr>
            <w:tcW w:w="2168" w:type="dxa"/>
            <w:vAlign w:val="center"/>
          </w:tcPr>
          <w:p w14:paraId="0B831451">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采购代理机构</w:t>
            </w:r>
          </w:p>
        </w:tc>
        <w:tc>
          <w:tcPr>
            <w:tcW w:w="6111" w:type="dxa"/>
            <w:vAlign w:val="center"/>
          </w:tcPr>
          <w:p w14:paraId="4A33F455">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名称：云南智扬工程项目管理有限公司</w:t>
            </w:r>
          </w:p>
          <w:p w14:paraId="77A9DC2B">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地址：云南省昆明市盘龙区白云路168号瑞鼎城A座第11层1116-1118号</w:t>
            </w:r>
          </w:p>
          <w:p w14:paraId="66267AF1">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联系人：</w:t>
            </w:r>
            <w:r>
              <w:rPr>
                <w:rFonts w:hint="eastAsia" w:ascii="宋体" w:hAnsi="宋体" w:cs="宋体"/>
                <w:sz w:val="24"/>
              </w:rPr>
              <w:t>羊振、普清秀、张洋铭、苏凤霞</w:t>
            </w:r>
          </w:p>
          <w:p w14:paraId="6DB3DE97">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联系方式：0871-63856268</w:t>
            </w:r>
          </w:p>
        </w:tc>
      </w:tr>
      <w:tr w14:paraId="7DB4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3BE62465">
            <w:pPr>
              <w:widowControl w:val="0"/>
              <w:spacing w:line="360" w:lineRule="auto"/>
              <w:rPr>
                <w:rFonts w:hint="eastAsia" w:ascii="宋体" w:hAnsi="宋体" w:cs="宋体"/>
                <w:kern w:val="2"/>
                <w:sz w:val="24"/>
                <w:szCs w:val="24"/>
              </w:rPr>
            </w:pPr>
            <w:r>
              <w:rPr>
                <w:rFonts w:hint="eastAsia" w:ascii="宋体" w:hAnsi="宋体" w:cs="宋体"/>
                <w:kern w:val="2"/>
                <w:sz w:val="24"/>
                <w:szCs w:val="24"/>
              </w:rPr>
              <w:t>1.1.4</w:t>
            </w:r>
          </w:p>
        </w:tc>
        <w:tc>
          <w:tcPr>
            <w:tcW w:w="2168" w:type="dxa"/>
            <w:vAlign w:val="center"/>
          </w:tcPr>
          <w:p w14:paraId="7DDFC8F2">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项目名称</w:t>
            </w:r>
          </w:p>
        </w:tc>
        <w:tc>
          <w:tcPr>
            <w:tcW w:w="6111" w:type="dxa"/>
            <w:vAlign w:val="center"/>
          </w:tcPr>
          <w:p w14:paraId="4AA9CF1E">
            <w:pPr>
              <w:widowControl w:val="0"/>
              <w:spacing w:line="360" w:lineRule="auto"/>
              <w:jc w:val="both"/>
              <w:rPr>
                <w:rFonts w:hint="eastAsia" w:ascii="宋体" w:hAnsi="宋体" w:eastAsia="宋体" w:cs="宋体"/>
                <w:kern w:val="2"/>
                <w:sz w:val="24"/>
                <w:szCs w:val="24"/>
                <w:lang w:eastAsia="zh-CN"/>
              </w:rPr>
            </w:pPr>
            <w:r>
              <w:rPr>
                <w:rFonts w:hint="eastAsia" w:ascii="宋体" w:hAnsi="宋体" w:cs="宋体"/>
                <w:kern w:val="2"/>
                <w:sz w:val="24"/>
                <w:szCs w:val="24"/>
                <w:lang w:eastAsia="zh-CN"/>
              </w:rPr>
              <w:t>丽江市农业农村局采购《丽江市中药材产业高质量发展规划2025-2030年》编制服务</w:t>
            </w:r>
          </w:p>
        </w:tc>
      </w:tr>
      <w:tr w14:paraId="2654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379539ED">
            <w:pPr>
              <w:widowControl w:val="0"/>
              <w:spacing w:line="360" w:lineRule="auto"/>
              <w:rPr>
                <w:rFonts w:hint="eastAsia" w:ascii="宋体" w:hAnsi="宋体" w:cs="宋体"/>
                <w:kern w:val="2"/>
                <w:sz w:val="24"/>
                <w:szCs w:val="24"/>
              </w:rPr>
            </w:pPr>
            <w:r>
              <w:rPr>
                <w:rFonts w:hint="eastAsia" w:ascii="宋体" w:hAnsi="宋体" w:cs="宋体"/>
                <w:kern w:val="2"/>
                <w:sz w:val="24"/>
                <w:szCs w:val="24"/>
              </w:rPr>
              <w:t>1.2.1</w:t>
            </w:r>
          </w:p>
        </w:tc>
        <w:tc>
          <w:tcPr>
            <w:tcW w:w="2168" w:type="dxa"/>
            <w:vAlign w:val="center"/>
          </w:tcPr>
          <w:p w14:paraId="7E8F3B1D">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资金落实情况</w:t>
            </w:r>
          </w:p>
        </w:tc>
        <w:tc>
          <w:tcPr>
            <w:tcW w:w="6111" w:type="dxa"/>
            <w:vAlign w:val="center"/>
          </w:tcPr>
          <w:p w14:paraId="3299C706">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政府资金，已落实</w:t>
            </w:r>
          </w:p>
        </w:tc>
      </w:tr>
      <w:tr w14:paraId="5FCB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0FDE150C">
            <w:pPr>
              <w:widowControl w:val="0"/>
              <w:spacing w:line="360" w:lineRule="auto"/>
              <w:rPr>
                <w:rFonts w:hint="eastAsia" w:ascii="宋体" w:hAnsi="宋体" w:cs="宋体"/>
                <w:kern w:val="2"/>
                <w:sz w:val="24"/>
                <w:szCs w:val="24"/>
              </w:rPr>
            </w:pPr>
            <w:r>
              <w:rPr>
                <w:rFonts w:hint="eastAsia" w:ascii="宋体" w:hAnsi="宋体" w:cs="宋体"/>
                <w:kern w:val="2"/>
                <w:sz w:val="24"/>
                <w:szCs w:val="24"/>
              </w:rPr>
              <w:t>1.2.2</w:t>
            </w:r>
          </w:p>
        </w:tc>
        <w:tc>
          <w:tcPr>
            <w:tcW w:w="2168" w:type="dxa"/>
            <w:vAlign w:val="center"/>
          </w:tcPr>
          <w:p w14:paraId="339B5EFA">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采购预算金额</w:t>
            </w:r>
          </w:p>
        </w:tc>
        <w:tc>
          <w:tcPr>
            <w:tcW w:w="6111" w:type="dxa"/>
            <w:vAlign w:val="center"/>
          </w:tcPr>
          <w:p w14:paraId="5C423A7D">
            <w:pPr>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120万元</w:t>
            </w:r>
          </w:p>
        </w:tc>
      </w:tr>
      <w:tr w14:paraId="395B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30544DAC">
            <w:pPr>
              <w:widowControl w:val="0"/>
              <w:spacing w:line="360" w:lineRule="auto"/>
              <w:rPr>
                <w:rFonts w:hint="eastAsia" w:ascii="宋体" w:hAnsi="宋体" w:cs="宋体"/>
                <w:kern w:val="2"/>
                <w:sz w:val="24"/>
                <w:szCs w:val="24"/>
              </w:rPr>
            </w:pPr>
            <w:r>
              <w:rPr>
                <w:rFonts w:hint="eastAsia" w:ascii="宋体" w:hAnsi="宋体" w:cs="宋体"/>
                <w:kern w:val="2"/>
                <w:sz w:val="24"/>
                <w:szCs w:val="24"/>
              </w:rPr>
              <w:t>1.2.3</w:t>
            </w:r>
          </w:p>
        </w:tc>
        <w:tc>
          <w:tcPr>
            <w:tcW w:w="2168" w:type="dxa"/>
            <w:vAlign w:val="center"/>
          </w:tcPr>
          <w:p w14:paraId="46A34C02">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最高限价</w:t>
            </w:r>
          </w:p>
        </w:tc>
        <w:tc>
          <w:tcPr>
            <w:tcW w:w="6111" w:type="dxa"/>
            <w:vAlign w:val="center"/>
          </w:tcPr>
          <w:p w14:paraId="7E23996B">
            <w:pPr>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120万元</w:t>
            </w:r>
          </w:p>
        </w:tc>
      </w:tr>
      <w:tr w14:paraId="3FF2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434F733C">
            <w:pPr>
              <w:widowControl w:val="0"/>
              <w:spacing w:line="360" w:lineRule="auto"/>
              <w:rPr>
                <w:rFonts w:hint="eastAsia" w:ascii="宋体" w:hAnsi="宋体" w:cs="宋体"/>
                <w:kern w:val="2"/>
                <w:sz w:val="24"/>
                <w:szCs w:val="24"/>
              </w:rPr>
            </w:pPr>
            <w:r>
              <w:rPr>
                <w:rFonts w:hint="eastAsia" w:ascii="宋体" w:hAnsi="宋体" w:cs="宋体"/>
                <w:kern w:val="2"/>
                <w:sz w:val="24"/>
                <w:szCs w:val="24"/>
              </w:rPr>
              <w:t>1.3.1</w:t>
            </w:r>
          </w:p>
        </w:tc>
        <w:tc>
          <w:tcPr>
            <w:tcW w:w="2168" w:type="dxa"/>
            <w:vAlign w:val="center"/>
          </w:tcPr>
          <w:p w14:paraId="4B79B059">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服务内容</w:t>
            </w:r>
          </w:p>
        </w:tc>
        <w:tc>
          <w:tcPr>
            <w:tcW w:w="6111" w:type="dxa"/>
            <w:vAlign w:val="center"/>
          </w:tcPr>
          <w:p w14:paraId="3995692E">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详见第五章《服务内容及要求》的具体内容</w:t>
            </w:r>
          </w:p>
        </w:tc>
      </w:tr>
      <w:tr w14:paraId="4AC4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88FE22B">
            <w:pPr>
              <w:widowControl w:val="0"/>
              <w:spacing w:line="360" w:lineRule="auto"/>
              <w:rPr>
                <w:rFonts w:hint="eastAsia" w:ascii="宋体" w:hAnsi="宋体" w:cs="宋体"/>
                <w:kern w:val="2"/>
                <w:sz w:val="24"/>
                <w:szCs w:val="24"/>
              </w:rPr>
            </w:pPr>
            <w:r>
              <w:rPr>
                <w:rFonts w:hint="eastAsia" w:ascii="宋体" w:hAnsi="宋体" w:cs="宋体"/>
                <w:kern w:val="2"/>
                <w:sz w:val="24"/>
                <w:szCs w:val="24"/>
              </w:rPr>
              <w:t>1.3.2</w:t>
            </w:r>
          </w:p>
        </w:tc>
        <w:tc>
          <w:tcPr>
            <w:tcW w:w="2168" w:type="dxa"/>
            <w:vAlign w:val="center"/>
          </w:tcPr>
          <w:p w14:paraId="437C5505">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合同履行期限</w:t>
            </w:r>
          </w:p>
        </w:tc>
        <w:tc>
          <w:tcPr>
            <w:tcW w:w="6111" w:type="dxa"/>
          </w:tcPr>
          <w:p w14:paraId="1BE9E450">
            <w:pPr>
              <w:widowControl w:val="0"/>
              <w:spacing w:line="360" w:lineRule="auto"/>
              <w:jc w:val="both"/>
              <w:rPr>
                <w:rFonts w:hint="eastAsia" w:ascii="宋体" w:hAnsi="宋体" w:eastAsia="宋体" w:cs="宋体"/>
                <w:kern w:val="2"/>
                <w:sz w:val="24"/>
                <w:szCs w:val="24"/>
                <w:lang w:eastAsia="zh-CN"/>
              </w:rPr>
            </w:pPr>
            <w:r>
              <w:rPr>
                <w:rFonts w:hint="eastAsia" w:ascii="宋体" w:hAnsi="宋体" w:cs="宋体"/>
                <w:kern w:val="2"/>
                <w:sz w:val="24"/>
                <w:szCs w:val="24"/>
              </w:rPr>
              <w:t>自合同签订之日起至规划通过评审验收止（总周期不超过</w:t>
            </w:r>
            <w:r>
              <w:rPr>
                <w:rFonts w:hint="eastAsia" w:ascii="宋体" w:hAnsi="宋体" w:cs="宋体"/>
                <w:kern w:val="2"/>
                <w:sz w:val="24"/>
                <w:szCs w:val="24"/>
                <w:lang w:val="en-US" w:eastAsia="zh-CN"/>
              </w:rPr>
              <w:t>1.5</w:t>
            </w:r>
            <w:r>
              <w:rPr>
                <w:rFonts w:hint="eastAsia" w:ascii="宋体" w:hAnsi="宋体" w:cs="宋体"/>
                <w:kern w:val="2"/>
                <w:sz w:val="24"/>
                <w:szCs w:val="24"/>
              </w:rPr>
              <w:t>个月）</w:t>
            </w:r>
          </w:p>
        </w:tc>
      </w:tr>
      <w:tr w14:paraId="4A1E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07B8CDAB">
            <w:pPr>
              <w:widowControl w:val="0"/>
              <w:spacing w:line="360" w:lineRule="auto"/>
              <w:rPr>
                <w:rFonts w:hint="eastAsia" w:ascii="宋体" w:hAnsi="宋体" w:cs="宋体"/>
                <w:kern w:val="2"/>
                <w:sz w:val="24"/>
                <w:szCs w:val="24"/>
              </w:rPr>
            </w:pPr>
            <w:r>
              <w:rPr>
                <w:rFonts w:hint="eastAsia" w:ascii="宋体" w:hAnsi="宋体" w:cs="宋体"/>
                <w:kern w:val="2"/>
                <w:sz w:val="24"/>
                <w:szCs w:val="24"/>
              </w:rPr>
              <w:t>1.3.3</w:t>
            </w:r>
          </w:p>
        </w:tc>
        <w:tc>
          <w:tcPr>
            <w:tcW w:w="2168" w:type="dxa"/>
            <w:vAlign w:val="center"/>
          </w:tcPr>
          <w:p w14:paraId="246A6F3A">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服务地点</w:t>
            </w:r>
          </w:p>
        </w:tc>
        <w:tc>
          <w:tcPr>
            <w:tcW w:w="6111" w:type="dxa"/>
            <w:vAlign w:val="center"/>
          </w:tcPr>
          <w:p w14:paraId="50576F19">
            <w:pPr>
              <w:spacing w:line="360" w:lineRule="auto"/>
              <w:jc w:val="both"/>
              <w:rPr>
                <w:rFonts w:hint="eastAsia" w:ascii="宋体" w:hAnsi="宋体" w:cs="宋体"/>
                <w:sz w:val="24"/>
              </w:rPr>
            </w:pPr>
            <w:r>
              <w:rPr>
                <w:rFonts w:hint="eastAsia" w:ascii="宋体" w:hAnsi="宋体" w:cs="宋体"/>
                <w:sz w:val="24"/>
              </w:rPr>
              <w:t>丽江市农业农村局指定地点（调研覆盖全市各县区）</w:t>
            </w:r>
          </w:p>
        </w:tc>
      </w:tr>
      <w:tr w14:paraId="4B08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4C8D6DE4">
            <w:pPr>
              <w:widowControl w:val="0"/>
              <w:spacing w:line="360" w:lineRule="auto"/>
              <w:rPr>
                <w:rFonts w:hint="eastAsia" w:ascii="宋体" w:hAnsi="宋体" w:cs="宋体"/>
                <w:kern w:val="2"/>
                <w:sz w:val="24"/>
                <w:szCs w:val="24"/>
              </w:rPr>
            </w:pPr>
            <w:r>
              <w:rPr>
                <w:rFonts w:hint="eastAsia" w:ascii="宋体" w:hAnsi="宋体" w:cs="宋体"/>
                <w:kern w:val="2"/>
                <w:sz w:val="24"/>
                <w:szCs w:val="24"/>
              </w:rPr>
              <w:t>1.4.1</w:t>
            </w:r>
          </w:p>
        </w:tc>
        <w:tc>
          <w:tcPr>
            <w:tcW w:w="2168" w:type="dxa"/>
            <w:vAlign w:val="center"/>
          </w:tcPr>
          <w:p w14:paraId="1B84B708">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供应商资格条件</w:t>
            </w:r>
          </w:p>
        </w:tc>
        <w:tc>
          <w:tcPr>
            <w:tcW w:w="6111" w:type="dxa"/>
            <w:vAlign w:val="center"/>
          </w:tcPr>
          <w:p w14:paraId="464287CB">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见“第一章 竞争性磋商公告</w:t>
            </w:r>
            <w:r>
              <w:rPr>
                <w:rFonts w:hint="eastAsia" w:ascii="宋体" w:hAnsi="宋体" w:cs="宋体"/>
                <w:sz w:val="24"/>
                <w:szCs w:val="24"/>
              </w:rPr>
              <w:t>二、申请人的资格要求</w:t>
            </w:r>
            <w:r>
              <w:rPr>
                <w:rFonts w:hint="eastAsia" w:ascii="宋体" w:hAnsi="宋体" w:cs="宋体"/>
                <w:kern w:val="2"/>
                <w:sz w:val="24"/>
                <w:szCs w:val="24"/>
              </w:rPr>
              <w:t>”</w:t>
            </w:r>
          </w:p>
        </w:tc>
      </w:tr>
      <w:tr w14:paraId="3A2BE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10FCA064">
            <w:pPr>
              <w:widowControl w:val="0"/>
              <w:spacing w:line="360" w:lineRule="auto"/>
              <w:rPr>
                <w:rFonts w:hint="eastAsia" w:ascii="宋体" w:hAnsi="宋体" w:cs="宋体"/>
                <w:kern w:val="2"/>
                <w:sz w:val="24"/>
                <w:szCs w:val="24"/>
              </w:rPr>
            </w:pPr>
            <w:r>
              <w:rPr>
                <w:rFonts w:hint="eastAsia" w:ascii="宋体" w:hAnsi="宋体" w:cs="宋体"/>
                <w:kern w:val="2"/>
                <w:sz w:val="24"/>
                <w:szCs w:val="24"/>
              </w:rPr>
              <w:t>1.4.2</w:t>
            </w:r>
          </w:p>
        </w:tc>
        <w:tc>
          <w:tcPr>
            <w:tcW w:w="2168" w:type="dxa"/>
            <w:vAlign w:val="center"/>
          </w:tcPr>
          <w:p w14:paraId="72B41D54">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是否接受联合体磋商</w:t>
            </w:r>
          </w:p>
        </w:tc>
        <w:tc>
          <w:tcPr>
            <w:tcW w:w="6111" w:type="dxa"/>
            <w:vAlign w:val="center"/>
          </w:tcPr>
          <w:p w14:paraId="6530C18D">
            <w:pPr>
              <w:widowControl w:val="0"/>
              <w:spacing w:line="360" w:lineRule="auto"/>
              <w:jc w:val="both"/>
              <w:rPr>
                <w:rFonts w:hint="eastAsia" w:ascii="宋体" w:hAnsi="宋体" w:cs="宋体"/>
                <w:sz w:val="24"/>
                <w:szCs w:val="24"/>
              </w:rPr>
            </w:pPr>
            <w:r>
              <w:rPr>
                <w:rFonts w:hint="eastAsia" w:ascii="宋体" w:hAnsi="宋体" w:cs="宋体"/>
                <w:sz w:val="24"/>
                <w:szCs w:val="24"/>
              </w:rPr>
              <w:t>不接受</w:t>
            </w:r>
          </w:p>
        </w:tc>
      </w:tr>
      <w:tr w14:paraId="22CB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5468CD7">
            <w:pPr>
              <w:widowControl w:val="0"/>
              <w:spacing w:line="360" w:lineRule="auto"/>
              <w:rPr>
                <w:rFonts w:hint="eastAsia" w:ascii="宋体" w:hAnsi="宋体" w:cs="宋体"/>
                <w:kern w:val="2"/>
                <w:sz w:val="24"/>
                <w:szCs w:val="24"/>
              </w:rPr>
            </w:pPr>
            <w:r>
              <w:rPr>
                <w:rFonts w:hint="eastAsia" w:ascii="宋体" w:hAnsi="宋体" w:cs="宋体"/>
                <w:kern w:val="2"/>
                <w:sz w:val="24"/>
                <w:szCs w:val="24"/>
              </w:rPr>
              <w:t>1.9.1</w:t>
            </w:r>
          </w:p>
        </w:tc>
        <w:tc>
          <w:tcPr>
            <w:tcW w:w="2168" w:type="dxa"/>
            <w:vAlign w:val="center"/>
          </w:tcPr>
          <w:p w14:paraId="5A36E32C">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现场考察</w:t>
            </w:r>
          </w:p>
        </w:tc>
        <w:tc>
          <w:tcPr>
            <w:tcW w:w="6111" w:type="dxa"/>
            <w:vAlign w:val="center"/>
          </w:tcPr>
          <w:p w14:paraId="4C23CAC9">
            <w:pPr>
              <w:pStyle w:val="13"/>
              <w:topLinePunct/>
              <w:spacing w:line="360" w:lineRule="auto"/>
              <w:rPr>
                <w:rFonts w:hint="eastAsia" w:hAnsi="宋体" w:cs="宋体"/>
                <w:kern w:val="2"/>
              </w:rPr>
            </w:pPr>
            <w:r>
              <w:rPr>
                <w:rFonts w:hint="eastAsia" w:hAnsi="宋体" w:cs="宋体"/>
                <w:kern w:val="2"/>
              </w:rPr>
              <w:t>不组织</w:t>
            </w:r>
          </w:p>
        </w:tc>
      </w:tr>
      <w:tr w14:paraId="5532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761B9806">
            <w:pPr>
              <w:widowControl w:val="0"/>
              <w:spacing w:line="360" w:lineRule="auto"/>
              <w:rPr>
                <w:rFonts w:hint="eastAsia" w:ascii="宋体" w:hAnsi="宋体" w:cs="宋体"/>
                <w:b/>
                <w:bCs/>
                <w:kern w:val="2"/>
                <w:sz w:val="24"/>
                <w:szCs w:val="24"/>
              </w:rPr>
            </w:pPr>
            <w:r>
              <w:rPr>
                <w:rFonts w:hint="eastAsia" w:ascii="宋体" w:hAnsi="宋体" w:cs="宋体"/>
                <w:b/>
                <w:bCs/>
                <w:kern w:val="2"/>
                <w:sz w:val="24"/>
                <w:szCs w:val="24"/>
              </w:rPr>
              <w:t>1.10</w:t>
            </w:r>
          </w:p>
        </w:tc>
        <w:tc>
          <w:tcPr>
            <w:tcW w:w="2168" w:type="dxa"/>
            <w:vAlign w:val="center"/>
          </w:tcPr>
          <w:p w14:paraId="409DF7FC">
            <w:pPr>
              <w:widowControl w:val="0"/>
              <w:spacing w:line="360" w:lineRule="auto"/>
              <w:jc w:val="both"/>
              <w:rPr>
                <w:rFonts w:hint="eastAsia" w:ascii="宋体" w:hAnsi="宋体" w:cs="宋体"/>
                <w:b/>
                <w:bCs/>
                <w:kern w:val="2"/>
                <w:sz w:val="24"/>
                <w:szCs w:val="24"/>
              </w:rPr>
            </w:pPr>
            <w:r>
              <w:rPr>
                <w:rFonts w:hint="eastAsia" w:ascii="宋体" w:hAnsi="宋体" w:cs="宋体"/>
                <w:b/>
                <w:bCs/>
                <w:kern w:val="2"/>
                <w:sz w:val="24"/>
                <w:szCs w:val="24"/>
              </w:rPr>
              <w:t>不允许偏离的实质性要求和条件</w:t>
            </w:r>
          </w:p>
        </w:tc>
        <w:tc>
          <w:tcPr>
            <w:tcW w:w="6111" w:type="dxa"/>
            <w:vAlign w:val="center"/>
          </w:tcPr>
          <w:p w14:paraId="20D1E859">
            <w:pPr>
              <w:widowControl w:val="0"/>
              <w:spacing w:line="360" w:lineRule="auto"/>
              <w:jc w:val="both"/>
              <w:rPr>
                <w:rFonts w:hint="eastAsia" w:ascii="宋体" w:hAnsi="宋体" w:cs="宋体"/>
                <w:kern w:val="2"/>
                <w:sz w:val="24"/>
                <w:szCs w:val="24"/>
              </w:rPr>
            </w:pPr>
            <w:r>
              <w:rPr>
                <w:rFonts w:hint="eastAsia" w:ascii="宋体" w:hAnsi="宋体" w:cs="宋体"/>
                <w:b/>
                <w:bCs/>
                <w:kern w:val="2"/>
                <w:sz w:val="24"/>
                <w:szCs w:val="24"/>
              </w:rPr>
              <w:t>资格条件和符合性审查不允许负偏离</w:t>
            </w:r>
          </w:p>
        </w:tc>
      </w:tr>
      <w:tr w14:paraId="5BC0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6758BB24">
            <w:pPr>
              <w:widowControl w:val="0"/>
              <w:spacing w:line="360" w:lineRule="auto"/>
              <w:rPr>
                <w:rFonts w:hint="eastAsia" w:ascii="宋体" w:hAnsi="宋体" w:cs="宋体"/>
                <w:kern w:val="2"/>
                <w:sz w:val="24"/>
                <w:szCs w:val="24"/>
              </w:rPr>
            </w:pPr>
            <w:r>
              <w:rPr>
                <w:rFonts w:hint="eastAsia" w:ascii="宋体" w:hAnsi="宋体" w:cs="宋体"/>
                <w:kern w:val="2"/>
                <w:sz w:val="24"/>
                <w:szCs w:val="24"/>
              </w:rPr>
              <w:t>2.1</w:t>
            </w:r>
          </w:p>
        </w:tc>
        <w:tc>
          <w:tcPr>
            <w:tcW w:w="2168" w:type="dxa"/>
            <w:vAlign w:val="center"/>
          </w:tcPr>
          <w:p w14:paraId="323694E8">
            <w:pPr>
              <w:pStyle w:val="59"/>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构成竞争性磋商文件的其他资料</w:t>
            </w:r>
          </w:p>
        </w:tc>
        <w:tc>
          <w:tcPr>
            <w:tcW w:w="6111" w:type="dxa"/>
            <w:vAlign w:val="center"/>
          </w:tcPr>
          <w:p w14:paraId="5997A5AE">
            <w:pPr>
              <w:pStyle w:val="59"/>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澄清、修改等内容</w:t>
            </w:r>
          </w:p>
        </w:tc>
      </w:tr>
      <w:tr w14:paraId="0EB5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1138286E">
            <w:pPr>
              <w:widowControl w:val="0"/>
              <w:spacing w:line="360" w:lineRule="auto"/>
              <w:rPr>
                <w:rFonts w:hint="eastAsia" w:ascii="宋体" w:hAnsi="宋体" w:cs="宋体"/>
                <w:kern w:val="2"/>
                <w:sz w:val="24"/>
                <w:szCs w:val="24"/>
              </w:rPr>
            </w:pPr>
            <w:r>
              <w:rPr>
                <w:rFonts w:hint="eastAsia" w:ascii="宋体" w:hAnsi="宋体" w:cs="宋体"/>
                <w:kern w:val="2"/>
                <w:sz w:val="24"/>
                <w:szCs w:val="24"/>
              </w:rPr>
              <w:t>2.2.2</w:t>
            </w:r>
          </w:p>
        </w:tc>
        <w:tc>
          <w:tcPr>
            <w:tcW w:w="2168" w:type="dxa"/>
            <w:vAlign w:val="center"/>
          </w:tcPr>
          <w:p w14:paraId="22A6E29E">
            <w:pPr>
              <w:pStyle w:val="59"/>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竞争性磋商文件澄清发出的形式</w:t>
            </w:r>
          </w:p>
        </w:tc>
        <w:tc>
          <w:tcPr>
            <w:tcW w:w="6111" w:type="dxa"/>
            <w:vAlign w:val="center"/>
          </w:tcPr>
          <w:p w14:paraId="65C70FCF">
            <w:pPr>
              <w:pStyle w:val="59"/>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在公告发布媒介上发布澄清公告</w:t>
            </w:r>
          </w:p>
        </w:tc>
      </w:tr>
      <w:tr w14:paraId="4758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3F281BBB">
            <w:pPr>
              <w:widowControl w:val="0"/>
              <w:spacing w:line="360" w:lineRule="auto"/>
              <w:rPr>
                <w:rFonts w:hint="eastAsia" w:ascii="宋体" w:hAnsi="宋体" w:cs="宋体"/>
                <w:kern w:val="2"/>
                <w:sz w:val="24"/>
                <w:szCs w:val="24"/>
              </w:rPr>
            </w:pPr>
            <w:r>
              <w:rPr>
                <w:rFonts w:hint="eastAsia" w:ascii="宋体" w:hAnsi="宋体" w:cs="宋体"/>
                <w:kern w:val="2"/>
                <w:sz w:val="24"/>
                <w:szCs w:val="24"/>
              </w:rPr>
              <w:t>2.3.1</w:t>
            </w:r>
          </w:p>
        </w:tc>
        <w:tc>
          <w:tcPr>
            <w:tcW w:w="2168" w:type="dxa"/>
            <w:vAlign w:val="center"/>
          </w:tcPr>
          <w:p w14:paraId="78224D56">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竞争性磋商文件修改发出的形式</w:t>
            </w:r>
          </w:p>
        </w:tc>
        <w:tc>
          <w:tcPr>
            <w:tcW w:w="6111" w:type="dxa"/>
            <w:vAlign w:val="center"/>
          </w:tcPr>
          <w:p w14:paraId="29C912BF">
            <w:pPr>
              <w:pStyle w:val="59"/>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在公告发布媒介上发布澄清公告</w:t>
            </w:r>
          </w:p>
        </w:tc>
      </w:tr>
      <w:tr w14:paraId="5CBA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10FD2CEC">
            <w:pPr>
              <w:widowControl w:val="0"/>
              <w:spacing w:line="360" w:lineRule="auto"/>
              <w:rPr>
                <w:rFonts w:hint="eastAsia" w:ascii="宋体" w:hAnsi="宋体" w:cs="宋体"/>
                <w:kern w:val="2"/>
                <w:sz w:val="24"/>
                <w:szCs w:val="24"/>
              </w:rPr>
            </w:pPr>
            <w:r>
              <w:rPr>
                <w:rFonts w:hint="eastAsia" w:ascii="宋体" w:hAnsi="宋体" w:cs="宋体"/>
                <w:kern w:val="2"/>
                <w:sz w:val="24"/>
                <w:szCs w:val="24"/>
              </w:rPr>
              <w:t>3.2.3</w:t>
            </w:r>
          </w:p>
        </w:tc>
        <w:tc>
          <w:tcPr>
            <w:tcW w:w="2168" w:type="dxa"/>
            <w:vAlign w:val="center"/>
          </w:tcPr>
          <w:p w14:paraId="14319A44">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磋商报价的其他要求</w:t>
            </w:r>
          </w:p>
        </w:tc>
        <w:tc>
          <w:tcPr>
            <w:tcW w:w="6111" w:type="dxa"/>
            <w:vAlign w:val="center"/>
          </w:tcPr>
          <w:p w14:paraId="7E556FED">
            <w:pPr>
              <w:pStyle w:val="55"/>
              <w:spacing w:line="360" w:lineRule="auto"/>
              <w:jc w:val="both"/>
              <w:rPr>
                <w:rFonts w:hint="eastAsia" w:hAnsi="宋体" w:cs="宋体"/>
                <w:sz w:val="24"/>
                <w:szCs w:val="24"/>
              </w:rPr>
            </w:pPr>
            <w:r>
              <w:rPr>
                <w:rFonts w:hint="eastAsia" w:hAnsi="宋体" w:cs="宋体"/>
                <w:sz w:val="24"/>
                <w:szCs w:val="24"/>
              </w:rPr>
              <w:t>（1）本次磋商报价为综合报价，报价应为人民币含税价（元），包括服务成本价格（含利润）、保险、税收、成交服务费、交通费、实地调研餐费、住宿费、成果资料打印装订费、其他所需材料费等不可预计费用等所需全部费用。磋商报价不得超过采购预算金额，若采购人还设有最高限价的，供应商的磋商报价还应当不得超过最高限价，否则按无效响应处理。</w:t>
            </w:r>
          </w:p>
          <w:p w14:paraId="2D330DC1">
            <w:pPr>
              <w:pStyle w:val="55"/>
              <w:spacing w:line="360" w:lineRule="auto"/>
              <w:rPr>
                <w:rFonts w:hint="eastAsia" w:hAnsi="宋体" w:cs="宋体"/>
                <w:sz w:val="24"/>
                <w:szCs w:val="24"/>
              </w:rPr>
            </w:pPr>
            <w:r>
              <w:rPr>
                <w:rFonts w:hint="eastAsia" w:hAnsi="宋体" w:cs="宋体"/>
                <w:sz w:val="24"/>
                <w:szCs w:val="24"/>
              </w:rPr>
              <w:t>（2）供应商应承担所有与参加磋商有关的自身的所有费用，不论采购的结果如何，采购代理机构和采购人在任何情况下均无义务和责任承担这些费用。</w:t>
            </w:r>
          </w:p>
          <w:p w14:paraId="3AE23635">
            <w:pPr>
              <w:pStyle w:val="55"/>
              <w:spacing w:line="360" w:lineRule="auto"/>
              <w:rPr>
                <w:rFonts w:hint="eastAsia" w:hAnsi="宋体" w:cs="宋体"/>
                <w:kern w:val="2"/>
                <w:sz w:val="24"/>
                <w:szCs w:val="24"/>
              </w:rPr>
            </w:pPr>
            <w:r>
              <w:rPr>
                <w:rFonts w:hint="eastAsia" w:hAnsi="宋体" w:cs="宋体"/>
                <w:sz w:val="24"/>
                <w:szCs w:val="24"/>
              </w:rPr>
              <w:t>（3）成交服务费</w:t>
            </w:r>
            <w:r>
              <w:rPr>
                <w:rFonts w:hint="eastAsia" w:hAnsi="宋体" w:cs="宋体"/>
                <w:kern w:val="2"/>
                <w:sz w:val="24"/>
                <w:szCs w:val="24"/>
              </w:rPr>
              <w:t>：以本项目成交价为计费基数，按</w:t>
            </w:r>
            <w:r>
              <w:rPr>
                <w:rFonts w:hint="eastAsia" w:hAnsi="宋体" w:cs="宋体"/>
                <w:kern w:val="2"/>
                <w:sz w:val="24"/>
                <w:szCs w:val="24"/>
                <w:lang w:val="zh-TW"/>
              </w:rPr>
              <w:t>照《云南省建设工程招标代理服务收费参考意见》(云建招协〔2024】58号)</w:t>
            </w:r>
            <w:r>
              <w:rPr>
                <w:rFonts w:hint="eastAsia" w:hAnsi="宋体" w:cs="宋体"/>
                <w:kern w:val="2"/>
                <w:sz w:val="24"/>
                <w:szCs w:val="24"/>
              </w:rPr>
              <w:t>计算，</w:t>
            </w:r>
            <w:r>
              <w:rPr>
                <w:rFonts w:hint="eastAsia" w:hAnsi="宋体" w:cs="宋体"/>
                <w:kern w:val="2"/>
                <w:sz w:val="24"/>
                <w:szCs w:val="24"/>
                <w:lang w:val="zh-TW"/>
              </w:rPr>
              <w:t>下浮</w:t>
            </w:r>
            <w:r>
              <w:rPr>
                <w:rFonts w:hint="eastAsia" w:hAnsi="宋体" w:cs="宋体"/>
                <w:kern w:val="2"/>
                <w:sz w:val="24"/>
                <w:szCs w:val="24"/>
              </w:rPr>
              <w:t>10</w:t>
            </w:r>
            <w:r>
              <w:rPr>
                <w:rFonts w:hint="eastAsia" w:hAnsi="宋体" w:cs="宋体"/>
                <w:kern w:val="2"/>
                <w:sz w:val="24"/>
                <w:szCs w:val="24"/>
                <w:lang w:val="zh-CN"/>
              </w:rPr>
              <w:t>％；</w:t>
            </w:r>
          </w:p>
        </w:tc>
      </w:tr>
      <w:tr w14:paraId="50547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60E4635F">
            <w:pPr>
              <w:widowControl w:val="0"/>
              <w:spacing w:line="360" w:lineRule="auto"/>
              <w:rPr>
                <w:rFonts w:hint="eastAsia" w:ascii="宋体" w:hAnsi="宋体" w:cs="宋体"/>
                <w:kern w:val="2"/>
                <w:sz w:val="24"/>
                <w:szCs w:val="24"/>
              </w:rPr>
            </w:pPr>
            <w:r>
              <w:rPr>
                <w:rFonts w:hint="eastAsia" w:ascii="宋体" w:hAnsi="宋体" w:cs="宋体"/>
                <w:kern w:val="2"/>
                <w:sz w:val="24"/>
                <w:szCs w:val="24"/>
              </w:rPr>
              <w:t>3.3.1</w:t>
            </w:r>
          </w:p>
        </w:tc>
        <w:tc>
          <w:tcPr>
            <w:tcW w:w="2168" w:type="dxa"/>
            <w:vAlign w:val="center"/>
          </w:tcPr>
          <w:p w14:paraId="2A294AED">
            <w:pPr>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磋商有效期</w:t>
            </w:r>
          </w:p>
        </w:tc>
        <w:tc>
          <w:tcPr>
            <w:tcW w:w="6111" w:type="dxa"/>
            <w:vAlign w:val="center"/>
          </w:tcPr>
          <w:p w14:paraId="56D92FE6">
            <w:pPr>
              <w:pStyle w:val="59"/>
              <w:widowControl w:val="0"/>
              <w:spacing w:line="360" w:lineRule="auto"/>
              <w:jc w:val="both"/>
              <w:rPr>
                <w:rFonts w:hint="eastAsia" w:ascii="宋体" w:hAnsi="宋体" w:cs="宋体"/>
                <w:kern w:val="2"/>
                <w:sz w:val="24"/>
                <w:szCs w:val="24"/>
                <w:highlight w:val="none"/>
              </w:rPr>
            </w:pPr>
            <w:r>
              <w:rPr>
                <w:rFonts w:hint="eastAsia" w:ascii="宋体" w:hAnsi="宋体" w:cs="宋体"/>
                <w:kern w:val="2"/>
                <w:sz w:val="24"/>
                <w:szCs w:val="24"/>
                <w:highlight w:val="none"/>
              </w:rPr>
              <w:t>磋商有效期为</w:t>
            </w:r>
            <w:r>
              <w:rPr>
                <w:rFonts w:hint="eastAsia" w:ascii="宋体" w:hAnsi="宋体" w:cs="宋体"/>
                <w:kern w:val="2"/>
                <w:sz w:val="24"/>
                <w:szCs w:val="24"/>
                <w:highlight w:val="none"/>
                <w:u w:val="single"/>
              </w:rPr>
              <w:t>90</w:t>
            </w:r>
            <w:r>
              <w:rPr>
                <w:rFonts w:hint="eastAsia" w:ascii="宋体" w:hAnsi="宋体" w:cs="宋体"/>
                <w:kern w:val="2"/>
                <w:sz w:val="24"/>
                <w:szCs w:val="24"/>
                <w:highlight w:val="none"/>
              </w:rPr>
              <w:t>日历天（从开启时间起计算）。</w:t>
            </w:r>
          </w:p>
        </w:tc>
      </w:tr>
      <w:tr w14:paraId="54277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28C4B043">
            <w:pPr>
              <w:widowControl w:val="0"/>
              <w:spacing w:line="360" w:lineRule="auto"/>
              <w:rPr>
                <w:rFonts w:hint="eastAsia" w:ascii="宋体" w:hAnsi="宋体" w:cs="宋体"/>
                <w:kern w:val="2"/>
                <w:sz w:val="24"/>
                <w:szCs w:val="24"/>
              </w:rPr>
            </w:pPr>
            <w:r>
              <w:rPr>
                <w:rFonts w:hint="eastAsia" w:ascii="宋体" w:hAnsi="宋体" w:cs="宋体"/>
                <w:kern w:val="2"/>
                <w:sz w:val="24"/>
                <w:szCs w:val="24"/>
              </w:rPr>
              <w:t>3.4.1</w:t>
            </w:r>
          </w:p>
        </w:tc>
        <w:tc>
          <w:tcPr>
            <w:tcW w:w="2168" w:type="dxa"/>
            <w:vAlign w:val="center"/>
          </w:tcPr>
          <w:p w14:paraId="0E1757D4">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磋商保证金</w:t>
            </w:r>
          </w:p>
        </w:tc>
        <w:tc>
          <w:tcPr>
            <w:tcW w:w="6111" w:type="dxa"/>
            <w:vAlign w:val="center"/>
          </w:tcPr>
          <w:p w14:paraId="01B81547">
            <w:pPr>
              <w:spacing w:line="360" w:lineRule="auto"/>
              <w:rPr>
                <w:rFonts w:hint="eastAsia" w:ascii="宋体" w:hAnsi="宋体" w:cs="宋体"/>
                <w:b/>
                <w:bCs/>
                <w:sz w:val="24"/>
              </w:rPr>
            </w:pPr>
            <w:r>
              <w:rPr>
                <w:rFonts w:hint="eastAsia" w:ascii="宋体" w:hAnsi="宋体" w:cs="宋体"/>
                <w:b/>
                <w:bCs/>
                <w:sz w:val="24"/>
              </w:rPr>
              <w:t>一、磋商保证金的提交方式</w:t>
            </w:r>
          </w:p>
          <w:p w14:paraId="5E2FD205">
            <w:pPr>
              <w:spacing w:line="360" w:lineRule="auto"/>
              <w:rPr>
                <w:rFonts w:hint="eastAsia" w:ascii="宋体" w:hAnsi="宋体" w:cs="宋体"/>
                <w:sz w:val="24"/>
              </w:rPr>
            </w:pPr>
            <w:r>
              <w:rPr>
                <w:rFonts w:hint="eastAsia" w:ascii="宋体" w:hAnsi="宋体" w:cs="宋体"/>
                <w:sz w:val="24"/>
              </w:rPr>
              <w:t>缴纳方式：通过支票、汇票、本票、金融机构、担保机构出具的保函、银行转账、电汇等其他非现金形式。</w:t>
            </w:r>
          </w:p>
          <w:p w14:paraId="503D7080">
            <w:pPr>
              <w:spacing w:line="360" w:lineRule="auto"/>
              <w:rPr>
                <w:rFonts w:hint="eastAsia" w:ascii="宋体" w:hAnsi="宋体" w:cs="宋体"/>
                <w:sz w:val="24"/>
              </w:rPr>
            </w:pPr>
            <w:r>
              <w:rPr>
                <w:rFonts w:hint="eastAsia" w:ascii="宋体" w:hAnsi="宋体" w:cs="宋体"/>
                <w:sz w:val="24"/>
              </w:rPr>
              <w:t>（一）银行转账：</w:t>
            </w:r>
          </w:p>
          <w:p w14:paraId="0525272B">
            <w:pPr>
              <w:spacing w:line="360" w:lineRule="auto"/>
              <w:rPr>
                <w:rFonts w:hint="eastAsia" w:ascii="宋体" w:hAnsi="宋体" w:cs="宋体"/>
                <w:sz w:val="24"/>
              </w:rPr>
            </w:pPr>
            <w:r>
              <w:rPr>
                <w:rFonts w:hint="eastAsia" w:ascii="宋体" w:hAnsi="宋体" w:cs="宋体"/>
                <w:sz w:val="24"/>
              </w:rPr>
              <w:t>投标保证金应以供应商自身的名义提交，不得以分支机构等其他名义提交（按照规定，供应商可以为自然人的项目除外）；</w:t>
            </w:r>
          </w:p>
          <w:p w14:paraId="18403596">
            <w:pPr>
              <w:spacing w:line="360" w:lineRule="auto"/>
              <w:rPr>
                <w:rFonts w:hint="eastAsia" w:ascii="宋体" w:hAnsi="宋体" w:cs="宋体"/>
                <w:sz w:val="24"/>
              </w:rPr>
            </w:pPr>
            <w:r>
              <w:rPr>
                <w:rFonts w:hint="eastAsia" w:ascii="宋体" w:hAnsi="宋体" w:cs="宋体"/>
                <w:sz w:val="24"/>
              </w:rPr>
              <w:t>（二）银行保函</w:t>
            </w:r>
          </w:p>
          <w:p w14:paraId="210307BE">
            <w:pPr>
              <w:spacing w:line="360" w:lineRule="auto"/>
              <w:rPr>
                <w:rFonts w:hint="eastAsia" w:ascii="宋体" w:hAnsi="宋体" w:cs="宋体"/>
                <w:sz w:val="24"/>
              </w:rPr>
            </w:pPr>
            <w:r>
              <w:rPr>
                <w:rFonts w:hint="eastAsia" w:ascii="宋体" w:hAnsi="宋体" w:cs="宋体"/>
                <w:sz w:val="24"/>
              </w:rPr>
              <w:t>1．银行保函申请人必须是供应商，受益人必须是采购人；</w:t>
            </w:r>
          </w:p>
          <w:p w14:paraId="2B46FA54">
            <w:pPr>
              <w:spacing w:line="360" w:lineRule="auto"/>
              <w:rPr>
                <w:rFonts w:hint="eastAsia" w:ascii="宋体" w:hAnsi="宋体" w:cs="宋体"/>
                <w:sz w:val="24"/>
              </w:rPr>
            </w:pPr>
            <w:r>
              <w:rPr>
                <w:rFonts w:hint="eastAsia" w:ascii="宋体" w:hAnsi="宋体" w:cs="宋体"/>
                <w:sz w:val="24"/>
              </w:rPr>
              <w:t>2．银行保函必须正确填写受益人和申请人的全称，并与采购文件规定的名称相一致。银行保函的有效期应当不小于投标有效期，以免造成投标无效；</w:t>
            </w:r>
          </w:p>
          <w:p w14:paraId="6B211F82">
            <w:pPr>
              <w:spacing w:line="360" w:lineRule="auto"/>
              <w:rPr>
                <w:rFonts w:hint="eastAsia" w:ascii="宋体" w:hAnsi="宋体" w:cs="宋体"/>
                <w:sz w:val="24"/>
              </w:rPr>
            </w:pPr>
            <w:r>
              <w:rPr>
                <w:rFonts w:hint="eastAsia" w:ascii="宋体" w:hAnsi="宋体" w:cs="宋体"/>
                <w:sz w:val="24"/>
              </w:rPr>
              <w:t>3.银行保函必须在规定的投标截止时间前递交至托管银行的服务柜台。</w:t>
            </w:r>
          </w:p>
          <w:p w14:paraId="3B3CF2FF">
            <w:pPr>
              <w:spacing w:line="360" w:lineRule="auto"/>
              <w:rPr>
                <w:rFonts w:hint="eastAsia" w:ascii="宋体" w:hAnsi="宋体" w:cs="宋体"/>
                <w:sz w:val="24"/>
              </w:rPr>
            </w:pPr>
            <w:r>
              <w:rPr>
                <w:rFonts w:hint="eastAsia" w:ascii="宋体" w:hAnsi="宋体" w:cs="宋体"/>
                <w:sz w:val="24"/>
              </w:rPr>
              <w:t>（三）保证保险</w:t>
            </w:r>
          </w:p>
          <w:p w14:paraId="309D5DEA">
            <w:pPr>
              <w:spacing w:line="360" w:lineRule="auto"/>
              <w:rPr>
                <w:rFonts w:hint="eastAsia" w:ascii="宋体" w:hAnsi="宋体" w:cs="宋体"/>
                <w:sz w:val="24"/>
              </w:rPr>
            </w:pPr>
            <w:r>
              <w:rPr>
                <w:rFonts w:hint="eastAsia" w:ascii="宋体" w:hAnsi="宋体" w:cs="宋体"/>
                <w:sz w:val="24"/>
              </w:rPr>
              <w:t>1．保证保险申请人必须是供应商，受益人必须是采购人；</w:t>
            </w:r>
          </w:p>
          <w:p w14:paraId="1FD7A72F">
            <w:pPr>
              <w:spacing w:line="360" w:lineRule="auto"/>
              <w:rPr>
                <w:rFonts w:hint="eastAsia" w:ascii="宋体" w:hAnsi="宋体" w:cs="宋体"/>
                <w:sz w:val="24"/>
              </w:rPr>
            </w:pPr>
            <w:r>
              <w:rPr>
                <w:rFonts w:hint="eastAsia" w:ascii="宋体" w:hAnsi="宋体" w:cs="宋体"/>
                <w:sz w:val="24"/>
              </w:rPr>
              <w:t>2．保证保险必须正确填写受益人和申请人的全称，并与采购文件规定的名称相一致。保证保险的有效期应当不小于投标有效期，以免造成投标无效。</w:t>
            </w:r>
          </w:p>
          <w:p w14:paraId="2351D24E">
            <w:pPr>
              <w:spacing w:line="360" w:lineRule="auto"/>
              <w:rPr>
                <w:rFonts w:hint="eastAsia" w:ascii="宋体" w:hAnsi="宋体" w:cs="宋体"/>
                <w:sz w:val="24"/>
              </w:rPr>
            </w:pPr>
            <w:r>
              <w:rPr>
                <w:rFonts w:hint="eastAsia" w:ascii="宋体" w:hAnsi="宋体" w:cs="宋体"/>
                <w:sz w:val="24"/>
              </w:rPr>
              <w:t>（四）法律法规规定的其他形式</w:t>
            </w:r>
          </w:p>
          <w:p w14:paraId="0F26054C">
            <w:pPr>
              <w:spacing w:line="360" w:lineRule="auto"/>
              <w:rPr>
                <w:rFonts w:hint="eastAsia" w:ascii="宋体" w:hAnsi="宋体" w:cs="宋体"/>
                <w:sz w:val="24"/>
              </w:rPr>
            </w:pPr>
            <w:r>
              <w:rPr>
                <w:rFonts w:hint="eastAsia" w:ascii="宋体" w:hAnsi="宋体" w:cs="宋体"/>
                <w:sz w:val="24"/>
              </w:rPr>
              <w:t>法律法规规定的其他形式包括支票、汇票、本票。</w:t>
            </w:r>
          </w:p>
          <w:p w14:paraId="10D0A32C">
            <w:pPr>
              <w:spacing w:line="360" w:lineRule="auto"/>
              <w:rPr>
                <w:rFonts w:hint="eastAsia" w:ascii="宋体" w:hAnsi="宋体" w:cs="宋体"/>
                <w:b/>
                <w:bCs/>
                <w:sz w:val="24"/>
              </w:rPr>
            </w:pPr>
            <w:r>
              <w:rPr>
                <w:rFonts w:hint="eastAsia" w:ascii="宋体" w:hAnsi="宋体" w:cs="宋体"/>
                <w:b/>
                <w:bCs/>
                <w:sz w:val="24"/>
              </w:rPr>
              <w:t>二、保证金金额：¥7000.00元（大写：人民币柒仟元整）</w:t>
            </w:r>
          </w:p>
          <w:p w14:paraId="1D1EEF31">
            <w:pPr>
              <w:spacing w:line="360" w:lineRule="auto"/>
              <w:rPr>
                <w:rFonts w:hint="eastAsia" w:ascii="宋体" w:hAnsi="宋体" w:cs="宋体"/>
                <w:sz w:val="24"/>
              </w:rPr>
            </w:pPr>
            <w:r>
              <w:rPr>
                <w:rFonts w:hint="eastAsia" w:ascii="宋体" w:hAnsi="宋体" w:cs="宋体"/>
                <w:b/>
                <w:bCs/>
                <w:sz w:val="24"/>
              </w:rPr>
              <w:t>三、缴纳时间及账户信息：</w:t>
            </w:r>
            <w:r>
              <w:rPr>
                <w:rFonts w:hint="eastAsia" w:ascii="宋体" w:hAnsi="宋体" w:cs="宋体"/>
                <w:sz w:val="24"/>
              </w:rPr>
              <w:t>到账截止时间为响应文件（响应文件）递交截止时间，到账时间以项目专项账户实际到账时间为准，未按时到账的保证金视为未提交。</w:t>
            </w:r>
          </w:p>
          <w:p w14:paraId="5171AA97">
            <w:pPr>
              <w:spacing w:line="360" w:lineRule="auto"/>
              <w:rPr>
                <w:rFonts w:hint="eastAsia" w:ascii="宋体" w:hAnsi="宋体" w:cs="宋体"/>
                <w:b/>
                <w:bCs/>
                <w:sz w:val="24"/>
              </w:rPr>
            </w:pPr>
            <w:r>
              <w:rPr>
                <w:rFonts w:hint="eastAsia" w:ascii="宋体" w:hAnsi="宋体" w:cs="宋体"/>
                <w:b/>
                <w:bCs/>
                <w:sz w:val="24"/>
              </w:rPr>
              <w:t>开户名称：云南智扬工程项目管理有限公司</w:t>
            </w:r>
          </w:p>
          <w:p w14:paraId="0F564101">
            <w:pPr>
              <w:spacing w:line="360" w:lineRule="auto"/>
              <w:rPr>
                <w:rFonts w:hint="eastAsia" w:ascii="宋体" w:hAnsi="宋体" w:cs="宋体"/>
                <w:b/>
                <w:bCs/>
                <w:sz w:val="24"/>
              </w:rPr>
            </w:pPr>
            <w:r>
              <w:rPr>
                <w:rFonts w:hint="eastAsia" w:ascii="宋体" w:hAnsi="宋体" w:cs="宋体"/>
                <w:b/>
                <w:bCs/>
                <w:sz w:val="24"/>
              </w:rPr>
              <w:t>开户银行：昆明市盘龙区农村信用合作联社龙头街信用社；</w:t>
            </w:r>
          </w:p>
          <w:p w14:paraId="43A3BF83">
            <w:pPr>
              <w:spacing w:line="360" w:lineRule="auto"/>
              <w:rPr>
                <w:rFonts w:hint="eastAsia" w:ascii="宋体" w:hAnsi="宋体" w:cs="宋体"/>
                <w:b/>
                <w:bCs/>
                <w:sz w:val="24"/>
              </w:rPr>
            </w:pPr>
            <w:r>
              <w:rPr>
                <w:rFonts w:hint="eastAsia" w:ascii="宋体" w:hAnsi="宋体" w:cs="宋体"/>
                <w:b/>
                <w:bCs/>
                <w:sz w:val="24"/>
              </w:rPr>
              <w:t>开户账号：0200053283354012；</w:t>
            </w:r>
          </w:p>
          <w:p w14:paraId="5C89A661">
            <w:pPr>
              <w:spacing w:line="360" w:lineRule="auto"/>
              <w:rPr>
                <w:rFonts w:hint="eastAsia" w:ascii="宋体" w:hAnsi="宋体" w:cs="宋体"/>
                <w:b/>
                <w:bCs/>
                <w:sz w:val="24"/>
              </w:rPr>
            </w:pPr>
            <w:r>
              <w:rPr>
                <w:rFonts w:hint="eastAsia" w:ascii="宋体" w:hAnsi="宋体" w:cs="宋体"/>
                <w:b/>
                <w:bCs/>
                <w:sz w:val="24"/>
              </w:rPr>
              <w:t>行号：402731000729。</w:t>
            </w:r>
          </w:p>
          <w:p w14:paraId="4CE1A00B">
            <w:pPr>
              <w:spacing w:line="360" w:lineRule="auto"/>
              <w:rPr>
                <w:rFonts w:hint="eastAsia" w:ascii="宋体" w:hAnsi="宋体" w:cs="宋体"/>
                <w:b/>
                <w:bCs/>
                <w:sz w:val="24"/>
              </w:rPr>
            </w:pPr>
            <w:r>
              <w:rPr>
                <w:rFonts w:hint="eastAsia" w:ascii="宋体" w:hAnsi="宋体" w:cs="宋体"/>
                <w:b/>
                <w:bCs/>
                <w:sz w:val="24"/>
              </w:rPr>
              <w:t>四、保证金提交的程序</w:t>
            </w:r>
          </w:p>
          <w:p w14:paraId="0BC97409">
            <w:pPr>
              <w:spacing w:line="360" w:lineRule="auto"/>
              <w:rPr>
                <w:rFonts w:hint="eastAsia" w:ascii="宋体" w:hAnsi="宋体" w:cs="宋体"/>
                <w:sz w:val="24"/>
              </w:rPr>
            </w:pPr>
            <w:r>
              <w:rPr>
                <w:rFonts w:hint="eastAsia" w:ascii="宋体" w:hAnsi="宋体" w:cs="宋体"/>
                <w:sz w:val="24"/>
              </w:rPr>
              <w:t>（一）采用银行转账方式提交的：</w:t>
            </w:r>
          </w:p>
          <w:p w14:paraId="4CB6E69C">
            <w:pPr>
              <w:spacing w:line="360" w:lineRule="auto"/>
              <w:rPr>
                <w:rFonts w:hint="eastAsia" w:ascii="宋体" w:hAnsi="宋体" w:cs="宋体"/>
                <w:sz w:val="24"/>
              </w:rPr>
            </w:pPr>
            <w:r>
              <w:rPr>
                <w:rFonts w:hint="eastAsia" w:ascii="宋体" w:hAnsi="宋体" w:cs="宋体"/>
                <w:sz w:val="24"/>
              </w:rPr>
              <w:t>1.供应商从其名下的账户向采购文件中载明的保证金专户转入保证金。</w:t>
            </w:r>
          </w:p>
          <w:p w14:paraId="35F39E48">
            <w:pPr>
              <w:spacing w:line="360" w:lineRule="auto"/>
              <w:rPr>
                <w:rFonts w:hint="eastAsia" w:ascii="宋体" w:hAnsi="宋体" w:cs="宋体"/>
                <w:sz w:val="24"/>
              </w:rPr>
            </w:pPr>
            <w:r>
              <w:rPr>
                <w:rFonts w:hint="eastAsia" w:ascii="宋体" w:hAnsi="宋体" w:cs="宋体"/>
                <w:sz w:val="24"/>
              </w:rPr>
              <w:t>2.保证金到帐后，供应商需将递交凭证扫描件放入其响应文件中。</w:t>
            </w:r>
          </w:p>
          <w:p w14:paraId="7AD6D810">
            <w:pPr>
              <w:spacing w:line="360" w:lineRule="auto"/>
              <w:rPr>
                <w:rFonts w:hint="eastAsia" w:ascii="宋体" w:hAnsi="宋体" w:cs="宋体"/>
                <w:sz w:val="24"/>
              </w:rPr>
            </w:pPr>
            <w:r>
              <w:rPr>
                <w:rFonts w:hint="eastAsia" w:ascii="宋体" w:hAnsi="宋体" w:cs="宋体"/>
                <w:sz w:val="24"/>
              </w:rPr>
              <w:t>（二）采用银行保函方式提交的：</w:t>
            </w:r>
          </w:p>
          <w:p w14:paraId="21F842E0">
            <w:pPr>
              <w:spacing w:line="360" w:lineRule="auto"/>
              <w:rPr>
                <w:rFonts w:hint="eastAsia" w:ascii="宋体" w:hAnsi="宋体" w:cs="宋体"/>
                <w:sz w:val="24"/>
              </w:rPr>
            </w:pPr>
            <w:r>
              <w:rPr>
                <w:rFonts w:hint="eastAsia" w:ascii="宋体" w:hAnsi="宋体" w:cs="宋体"/>
                <w:sz w:val="24"/>
              </w:rPr>
              <w:t>供应商需将银行保函递交凭证扫描件放入其响应文件中。</w:t>
            </w:r>
          </w:p>
          <w:p w14:paraId="5D747EDD">
            <w:pPr>
              <w:spacing w:line="360" w:lineRule="auto"/>
              <w:rPr>
                <w:rFonts w:hint="eastAsia" w:ascii="宋体" w:hAnsi="宋体" w:cs="宋体"/>
                <w:sz w:val="24"/>
              </w:rPr>
            </w:pPr>
            <w:r>
              <w:rPr>
                <w:rFonts w:hint="eastAsia" w:ascii="宋体" w:hAnsi="宋体" w:cs="宋体"/>
                <w:sz w:val="24"/>
              </w:rPr>
              <w:t>（三）采用保证保险方式提交的：</w:t>
            </w:r>
          </w:p>
          <w:p w14:paraId="5DE90FC6">
            <w:pPr>
              <w:spacing w:line="360" w:lineRule="auto"/>
              <w:rPr>
                <w:rFonts w:hint="eastAsia" w:ascii="宋体" w:hAnsi="宋体" w:cs="宋体"/>
                <w:sz w:val="24"/>
              </w:rPr>
            </w:pPr>
            <w:r>
              <w:rPr>
                <w:rFonts w:hint="eastAsia" w:ascii="宋体" w:hAnsi="宋体" w:cs="宋体"/>
                <w:sz w:val="24"/>
              </w:rPr>
              <w:t>供应商需将保证保险递交凭证扫描件放入其响应文件中。</w:t>
            </w:r>
          </w:p>
          <w:p w14:paraId="0DA5EE1E">
            <w:pPr>
              <w:spacing w:line="360" w:lineRule="auto"/>
              <w:rPr>
                <w:rFonts w:hint="eastAsia" w:ascii="宋体" w:hAnsi="宋体" w:cs="宋体"/>
                <w:sz w:val="24"/>
              </w:rPr>
            </w:pPr>
            <w:r>
              <w:rPr>
                <w:rFonts w:hint="eastAsia" w:ascii="宋体" w:hAnsi="宋体" w:cs="宋体"/>
                <w:sz w:val="24"/>
              </w:rPr>
              <w:t>（四）采用汇票、本票、保函、保险提交的，由采购人或采购代理机构自行收取。供应商如按上述方式（汇票、本票、保函、保险）办理保证金的请在开标截止时间前将相关保证金凭证扫描件发送至采购代理机构邮箱：yunnanzhiyang@126.com。</w:t>
            </w:r>
          </w:p>
          <w:p w14:paraId="66A69523">
            <w:pPr>
              <w:spacing w:line="360" w:lineRule="auto"/>
              <w:rPr>
                <w:rFonts w:hint="eastAsia" w:ascii="宋体" w:hAnsi="宋体" w:cs="宋体"/>
                <w:b/>
                <w:bCs/>
                <w:sz w:val="24"/>
              </w:rPr>
            </w:pPr>
            <w:r>
              <w:rPr>
                <w:rFonts w:hint="eastAsia" w:ascii="宋体" w:hAnsi="宋体" w:cs="宋体"/>
                <w:b/>
                <w:bCs/>
                <w:sz w:val="24"/>
              </w:rPr>
              <w:t>五、投标保证金退还的时间</w:t>
            </w:r>
          </w:p>
          <w:p w14:paraId="69E6AA6E">
            <w:pPr>
              <w:spacing w:line="360" w:lineRule="auto"/>
              <w:rPr>
                <w:rFonts w:hint="eastAsia" w:ascii="宋体" w:hAnsi="宋体" w:cs="宋体"/>
                <w:sz w:val="24"/>
              </w:rPr>
            </w:pPr>
            <w:r>
              <w:rPr>
                <w:rFonts w:hint="eastAsia" w:ascii="宋体" w:hAnsi="宋体" w:cs="宋体"/>
                <w:sz w:val="24"/>
              </w:rPr>
              <w:t>（一）未中标人：自中标通知书发出之日起5个工作日内退还；</w:t>
            </w:r>
          </w:p>
          <w:p w14:paraId="317F9D12">
            <w:pPr>
              <w:spacing w:line="360" w:lineRule="auto"/>
              <w:rPr>
                <w:rFonts w:hint="eastAsia" w:ascii="宋体" w:hAnsi="宋体" w:cs="宋体"/>
                <w:sz w:val="24"/>
              </w:rPr>
            </w:pPr>
            <w:r>
              <w:rPr>
                <w:rFonts w:hint="eastAsia" w:ascii="宋体" w:hAnsi="宋体" w:cs="宋体"/>
                <w:sz w:val="24"/>
              </w:rPr>
              <w:t>（二）中标人：自中标人与采购人合同签订之日起5个工作日内退还。</w:t>
            </w:r>
          </w:p>
          <w:p w14:paraId="3B007610">
            <w:pPr>
              <w:spacing w:line="360" w:lineRule="auto"/>
              <w:rPr>
                <w:rFonts w:hint="eastAsia" w:ascii="宋体" w:hAnsi="宋体" w:cs="宋体"/>
                <w:b/>
                <w:bCs/>
                <w:sz w:val="24"/>
              </w:rPr>
            </w:pPr>
            <w:r>
              <w:rPr>
                <w:rFonts w:hint="eastAsia" w:ascii="宋体" w:hAnsi="宋体" w:cs="宋体"/>
                <w:b/>
                <w:bCs/>
                <w:sz w:val="24"/>
              </w:rPr>
              <w:t>六、不退还投标保证金的其他情形</w:t>
            </w:r>
          </w:p>
          <w:p w14:paraId="47551F25">
            <w:pPr>
              <w:spacing w:line="360" w:lineRule="auto"/>
              <w:rPr>
                <w:rFonts w:hint="eastAsia" w:ascii="宋体" w:hAnsi="宋体" w:cs="宋体"/>
                <w:sz w:val="24"/>
              </w:rPr>
            </w:pPr>
            <w:r>
              <w:rPr>
                <w:rFonts w:hint="eastAsia" w:ascii="宋体" w:hAnsi="宋体" w:cs="宋体"/>
                <w:sz w:val="24"/>
              </w:rPr>
              <w:t>（1）供应商在投标有效期内撤销或修改其响应文件的。</w:t>
            </w:r>
          </w:p>
          <w:p w14:paraId="0B2868D0">
            <w:pPr>
              <w:spacing w:line="360" w:lineRule="auto"/>
              <w:rPr>
                <w:rFonts w:hint="eastAsia" w:ascii="宋体" w:hAnsi="宋体" w:cs="宋体"/>
                <w:sz w:val="24"/>
              </w:rPr>
            </w:pPr>
            <w:r>
              <w:rPr>
                <w:rFonts w:hint="eastAsia" w:ascii="宋体" w:hAnsi="宋体" w:cs="宋体"/>
                <w:sz w:val="24"/>
              </w:rPr>
              <w:t>（2）中标人无正当理由放弃成交资格的，或中标后未按竞争性磋商文件规定提交履约保证金的。</w:t>
            </w:r>
          </w:p>
          <w:p w14:paraId="49A32BB3">
            <w:pPr>
              <w:spacing w:line="360" w:lineRule="auto"/>
              <w:rPr>
                <w:rFonts w:hint="eastAsia" w:ascii="宋体" w:hAnsi="宋体" w:cs="宋体"/>
                <w:sz w:val="24"/>
              </w:rPr>
            </w:pPr>
            <w:r>
              <w:rPr>
                <w:rFonts w:hint="eastAsia" w:ascii="宋体" w:hAnsi="宋体" w:cs="宋体"/>
                <w:sz w:val="24"/>
              </w:rPr>
              <w:t>（3）供应商采用不正当的手段骗取中标。</w:t>
            </w:r>
          </w:p>
          <w:p w14:paraId="4A77BB40">
            <w:pPr>
              <w:spacing w:line="360" w:lineRule="auto"/>
              <w:rPr>
                <w:rFonts w:hint="eastAsia" w:ascii="宋体" w:hAnsi="宋体" w:cs="宋体"/>
                <w:sz w:val="24"/>
              </w:rPr>
            </w:pPr>
            <w:r>
              <w:rPr>
                <w:rFonts w:hint="eastAsia" w:ascii="宋体" w:hAnsi="宋体" w:cs="宋体"/>
                <w:sz w:val="24"/>
              </w:rPr>
              <w:t>（4）中标人无正当理由不签订合同的。</w:t>
            </w:r>
          </w:p>
          <w:p w14:paraId="63462B12">
            <w:pPr>
              <w:spacing w:line="360" w:lineRule="auto"/>
              <w:rPr>
                <w:rFonts w:hint="eastAsia" w:ascii="宋体" w:hAnsi="宋体" w:cs="宋体"/>
                <w:sz w:val="24"/>
              </w:rPr>
            </w:pPr>
            <w:r>
              <w:rPr>
                <w:rFonts w:hint="eastAsia" w:ascii="宋体" w:hAnsi="宋体" w:cs="宋体"/>
                <w:sz w:val="24"/>
              </w:rPr>
              <w:t>（5）中标人在签订合同时提出超出竞争性磋商文件、响应文件约定的附加条件的，或提出采购人不能接受的条件的。</w:t>
            </w:r>
          </w:p>
          <w:p w14:paraId="4076CEA8">
            <w:pPr>
              <w:spacing w:line="360" w:lineRule="auto"/>
              <w:rPr>
                <w:rFonts w:hint="eastAsia" w:ascii="宋体" w:hAnsi="宋体" w:cs="宋体"/>
                <w:sz w:val="24"/>
              </w:rPr>
            </w:pPr>
            <w:r>
              <w:rPr>
                <w:rFonts w:hint="eastAsia" w:ascii="宋体" w:hAnsi="宋体" w:cs="宋体"/>
                <w:sz w:val="24"/>
              </w:rPr>
              <w:t>（6）法律法规规定的其他情形。</w:t>
            </w:r>
          </w:p>
          <w:p w14:paraId="058AA1F8">
            <w:pPr>
              <w:spacing w:line="360" w:lineRule="auto"/>
              <w:rPr>
                <w:rFonts w:hint="eastAsia" w:ascii="宋体" w:hAnsi="宋体" w:cs="宋体"/>
                <w:b/>
                <w:bCs/>
                <w:sz w:val="24"/>
              </w:rPr>
            </w:pPr>
            <w:r>
              <w:rPr>
                <w:rFonts w:hint="eastAsia" w:ascii="宋体" w:hAnsi="宋体" w:cs="宋体"/>
                <w:b/>
                <w:bCs/>
                <w:sz w:val="24"/>
              </w:rPr>
              <w:t>注：</w:t>
            </w:r>
          </w:p>
          <w:p w14:paraId="2BB73FD3">
            <w:pPr>
              <w:spacing w:line="360" w:lineRule="auto"/>
              <w:rPr>
                <w:rFonts w:hint="eastAsia" w:ascii="宋体" w:hAnsi="宋体" w:cs="宋体"/>
                <w:b/>
                <w:bCs/>
                <w:sz w:val="24"/>
              </w:rPr>
            </w:pPr>
            <w:r>
              <w:rPr>
                <w:rFonts w:hint="eastAsia" w:ascii="宋体" w:hAnsi="宋体" w:cs="宋体"/>
                <w:b/>
                <w:bCs/>
                <w:sz w:val="24"/>
              </w:rPr>
              <w:t>1、缴纳保证金时应注明“项目名称+投标保证金”（项目名称可简写）</w:t>
            </w:r>
          </w:p>
          <w:p w14:paraId="74DBA41F">
            <w:pPr>
              <w:spacing w:line="360" w:lineRule="auto"/>
              <w:rPr>
                <w:rFonts w:hint="eastAsia" w:ascii="宋体" w:hAnsi="宋体" w:cs="宋体"/>
                <w:b/>
                <w:bCs/>
                <w:sz w:val="24"/>
              </w:rPr>
            </w:pPr>
            <w:r>
              <w:rPr>
                <w:rFonts w:hint="eastAsia" w:ascii="宋体" w:hAnsi="宋体" w:cs="宋体"/>
                <w:b/>
                <w:bCs/>
                <w:sz w:val="24"/>
              </w:rPr>
              <w:t>2、保证金应于投标截止时间前到达上述银行账户，应当从供应商基本账户转出。</w:t>
            </w:r>
          </w:p>
          <w:p w14:paraId="0EB407C1">
            <w:pPr>
              <w:widowControl w:val="0"/>
              <w:autoSpaceDE w:val="0"/>
              <w:autoSpaceDN w:val="0"/>
              <w:spacing w:line="360" w:lineRule="auto"/>
              <w:jc w:val="both"/>
              <w:rPr>
                <w:rFonts w:hint="eastAsia" w:ascii="宋体" w:hAnsi="宋体" w:cs="宋体"/>
                <w:kern w:val="2"/>
                <w:sz w:val="24"/>
                <w:szCs w:val="24"/>
              </w:rPr>
            </w:pPr>
            <w:r>
              <w:rPr>
                <w:rFonts w:hint="eastAsia" w:ascii="宋体" w:hAnsi="宋体" w:cs="宋体"/>
                <w:b/>
                <w:bCs/>
                <w:sz w:val="24"/>
              </w:rPr>
              <w:t>3、以支票、汇票、本票、网上银行支付等形式提交磋商保证金的，应在投标截止时间前到账；以金融机构、担保机构出具的保函等形式提交磋商保证金的，应在投标截止时间前将原件扫描件提交至采购代理机构。由于到账时间晚于投标截止时间的，或者票据错误、印鉴不清等原因导致不能到账的，其投标无效。</w:t>
            </w:r>
          </w:p>
        </w:tc>
      </w:tr>
      <w:tr w14:paraId="54E6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38989AB5">
            <w:pPr>
              <w:spacing w:line="360" w:lineRule="auto"/>
              <w:rPr>
                <w:rFonts w:hint="eastAsia" w:ascii="宋体" w:hAnsi="宋体" w:cs="宋体"/>
                <w:kern w:val="2"/>
                <w:sz w:val="24"/>
                <w:szCs w:val="24"/>
              </w:rPr>
            </w:pPr>
            <w:r>
              <w:rPr>
                <w:rFonts w:hint="eastAsia" w:ascii="宋体" w:hAnsi="宋体" w:cs="宋体"/>
                <w:color w:val="000000"/>
                <w:kern w:val="2"/>
                <w:sz w:val="24"/>
                <w:szCs w:val="24"/>
              </w:rPr>
              <w:t>3.5.3</w:t>
            </w:r>
          </w:p>
        </w:tc>
        <w:tc>
          <w:tcPr>
            <w:tcW w:w="2168" w:type="dxa"/>
            <w:vAlign w:val="center"/>
          </w:tcPr>
          <w:p w14:paraId="5C2731AA">
            <w:pPr>
              <w:spacing w:line="360" w:lineRule="auto"/>
              <w:rPr>
                <w:rFonts w:hint="eastAsia" w:ascii="宋体" w:hAnsi="宋体" w:cs="宋体"/>
                <w:kern w:val="2"/>
                <w:sz w:val="24"/>
                <w:szCs w:val="24"/>
              </w:rPr>
            </w:pPr>
            <w:r>
              <w:rPr>
                <w:rFonts w:hint="eastAsia" w:ascii="宋体" w:hAnsi="宋体" w:cs="宋体"/>
                <w:color w:val="000000"/>
                <w:kern w:val="2"/>
                <w:sz w:val="24"/>
                <w:szCs w:val="24"/>
              </w:rPr>
              <w:t>响应文件所附证书证件要求、响应文件签字或盖章要求</w:t>
            </w:r>
          </w:p>
        </w:tc>
        <w:tc>
          <w:tcPr>
            <w:tcW w:w="6111" w:type="dxa"/>
            <w:vAlign w:val="center"/>
          </w:tcPr>
          <w:p w14:paraId="736EB6B2">
            <w:pPr>
              <w:spacing w:line="360" w:lineRule="auto"/>
              <w:rPr>
                <w:rFonts w:hint="eastAsia" w:ascii="宋体" w:hAnsi="宋体" w:cs="宋体"/>
                <w:color w:val="000000"/>
                <w:kern w:val="2"/>
                <w:sz w:val="24"/>
                <w:szCs w:val="24"/>
              </w:rPr>
            </w:pPr>
            <w:r>
              <w:rPr>
                <w:rFonts w:hint="eastAsia" w:ascii="宋体" w:hAnsi="宋体" w:cs="宋体"/>
                <w:color w:val="000000"/>
                <w:kern w:val="2"/>
                <w:sz w:val="24"/>
                <w:szCs w:val="24"/>
              </w:rPr>
              <w:t>响应文件所附证书证件要求：原件扫描件</w:t>
            </w:r>
          </w:p>
          <w:p w14:paraId="1EE49574">
            <w:pPr>
              <w:spacing w:line="360" w:lineRule="auto"/>
              <w:rPr>
                <w:rFonts w:hint="eastAsia" w:ascii="宋体" w:hAnsi="宋体" w:cs="宋体"/>
                <w:kern w:val="2"/>
                <w:sz w:val="24"/>
                <w:szCs w:val="24"/>
              </w:rPr>
            </w:pPr>
            <w:r>
              <w:rPr>
                <w:rFonts w:hint="eastAsia" w:ascii="宋体" w:hAnsi="宋体" w:cs="宋体"/>
                <w:color w:val="000000"/>
                <w:kern w:val="2"/>
                <w:sz w:val="24"/>
                <w:szCs w:val="24"/>
              </w:rPr>
              <w:t>响应文件签字或盖章要求：签字或加盖</w:t>
            </w:r>
            <w:r>
              <w:rPr>
                <w:rFonts w:hint="eastAsia" w:ascii="宋体" w:hAnsi="宋体" w:cs="宋体"/>
                <w:color w:val="000000"/>
                <w:sz w:val="24"/>
              </w:rPr>
              <w:t>电子签章</w:t>
            </w:r>
          </w:p>
        </w:tc>
      </w:tr>
      <w:tr w14:paraId="69DF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6ECBE4C">
            <w:pPr>
              <w:spacing w:line="360" w:lineRule="auto"/>
              <w:rPr>
                <w:rFonts w:hint="eastAsia" w:ascii="宋体" w:hAnsi="宋体" w:cs="宋体"/>
                <w:kern w:val="2"/>
                <w:sz w:val="24"/>
                <w:szCs w:val="24"/>
              </w:rPr>
            </w:pPr>
            <w:r>
              <w:rPr>
                <w:rFonts w:hint="eastAsia" w:ascii="宋体" w:hAnsi="宋体" w:cs="宋体"/>
                <w:color w:val="000000"/>
                <w:kern w:val="2"/>
                <w:sz w:val="24"/>
                <w:szCs w:val="24"/>
              </w:rPr>
              <w:t>3.5.4</w:t>
            </w:r>
          </w:p>
        </w:tc>
        <w:tc>
          <w:tcPr>
            <w:tcW w:w="2168" w:type="dxa"/>
            <w:vAlign w:val="center"/>
          </w:tcPr>
          <w:p w14:paraId="09428DFB">
            <w:pPr>
              <w:spacing w:line="360" w:lineRule="auto"/>
              <w:rPr>
                <w:rFonts w:hint="eastAsia" w:ascii="宋体" w:hAnsi="宋体" w:cs="宋体"/>
                <w:kern w:val="2"/>
                <w:sz w:val="24"/>
                <w:szCs w:val="24"/>
              </w:rPr>
            </w:pPr>
            <w:r>
              <w:rPr>
                <w:rFonts w:hint="eastAsia" w:ascii="宋体" w:hAnsi="宋体" w:cs="宋体"/>
                <w:color w:val="000000"/>
                <w:sz w:val="24"/>
                <w:szCs w:val="24"/>
              </w:rPr>
              <w:t>电子</w:t>
            </w:r>
            <w:r>
              <w:rPr>
                <w:rFonts w:hint="eastAsia" w:ascii="宋体" w:hAnsi="宋体" w:cs="宋体"/>
                <w:color w:val="000000"/>
                <w:kern w:val="2"/>
                <w:sz w:val="24"/>
                <w:szCs w:val="24"/>
              </w:rPr>
              <w:t>响应</w:t>
            </w:r>
            <w:r>
              <w:rPr>
                <w:rFonts w:hint="eastAsia" w:ascii="宋体" w:hAnsi="宋体" w:cs="宋体"/>
                <w:color w:val="000000"/>
                <w:sz w:val="24"/>
                <w:szCs w:val="24"/>
              </w:rPr>
              <w:t>文件格式</w:t>
            </w:r>
          </w:p>
        </w:tc>
        <w:tc>
          <w:tcPr>
            <w:tcW w:w="6111" w:type="dxa"/>
            <w:vAlign w:val="center"/>
          </w:tcPr>
          <w:p w14:paraId="2BD9E6F6">
            <w:pPr>
              <w:pStyle w:val="61"/>
              <w:spacing w:line="360" w:lineRule="auto"/>
              <w:jc w:val="both"/>
              <w:rPr>
                <w:rFonts w:hint="eastAsia" w:ascii="宋体" w:hAnsi="宋体" w:cs="宋体"/>
                <w:color w:val="000000"/>
                <w:sz w:val="24"/>
                <w:szCs w:val="24"/>
              </w:rPr>
            </w:pPr>
            <w:r>
              <w:rPr>
                <w:rFonts w:hint="eastAsia" w:ascii="宋体" w:hAnsi="宋体" w:cs="宋体"/>
                <w:color w:val="000000"/>
                <w:sz w:val="24"/>
              </w:rPr>
              <w:t>（1）</w:t>
            </w:r>
            <w:r>
              <w:rPr>
                <w:rFonts w:hint="eastAsia" w:ascii="宋体" w:hAnsi="宋体" w:cs="宋体"/>
                <w:color w:val="000000"/>
                <w:kern w:val="2"/>
                <w:sz w:val="24"/>
                <w:szCs w:val="24"/>
              </w:rPr>
              <w:t>响应</w:t>
            </w:r>
            <w:r>
              <w:rPr>
                <w:rFonts w:hint="eastAsia" w:ascii="宋体" w:hAnsi="宋体" w:cs="宋体"/>
                <w:color w:val="000000"/>
                <w:sz w:val="24"/>
              </w:rPr>
              <w:t>文件全部采用电子文档，应使用</w:t>
            </w:r>
            <w:r>
              <w:rPr>
                <w:rFonts w:hint="eastAsia" w:ascii="宋体" w:hAnsi="宋体" w:cs="宋体"/>
                <w:color w:val="000000"/>
                <w:sz w:val="24"/>
                <w:szCs w:val="24"/>
              </w:rPr>
              <w:t>应使用“政采云”平台（http：//www.zcygov.cn）中下载的政采云电子投标客户端制作，并进行电子签章及加密后上传至政采云平台。</w:t>
            </w:r>
          </w:p>
          <w:p w14:paraId="491D85A7">
            <w:pPr>
              <w:spacing w:line="360" w:lineRule="auto"/>
              <w:rPr>
                <w:rFonts w:hint="eastAsia" w:ascii="宋体" w:hAnsi="宋体" w:cs="宋体"/>
                <w:kern w:val="2"/>
                <w:sz w:val="24"/>
                <w:szCs w:val="24"/>
              </w:rPr>
            </w:pPr>
            <w:r>
              <w:rPr>
                <w:rFonts w:hint="eastAsia" w:ascii="宋体" w:hAnsi="宋体" w:cs="宋体"/>
                <w:color w:val="000000"/>
                <w:sz w:val="24"/>
                <w:szCs w:val="24"/>
              </w:rPr>
              <w:t>（2）如供应商提交的电子标书不符合（1）要求或开标时无法读取导入或解密，其投标（响应）文件将不予受理。</w:t>
            </w:r>
          </w:p>
        </w:tc>
      </w:tr>
      <w:tr w14:paraId="6E02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73218897">
            <w:pPr>
              <w:widowControl w:val="0"/>
              <w:spacing w:line="360" w:lineRule="auto"/>
              <w:rPr>
                <w:rFonts w:hint="eastAsia" w:ascii="宋体" w:hAnsi="宋体" w:cs="宋体"/>
                <w:kern w:val="2"/>
                <w:sz w:val="24"/>
                <w:szCs w:val="24"/>
              </w:rPr>
            </w:pPr>
            <w:r>
              <w:rPr>
                <w:rFonts w:hint="eastAsia" w:ascii="宋体" w:hAnsi="宋体" w:cs="宋体"/>
                <w:kern w:val="2"/>
                <w:sz w:val="24"/>
                <w:szCs w:val="24"/>
              </w:rPr>
              <w:t>4.1.1</w:t>
            </w:r>
          </w:p>
        </w:tc>
        <w:tc>
          <w:tcPr>
            <w:tcW w:w="2168" w:type="dxa"/>
            <w:vAlign w:val="center"/>
          </w:tcPr>
          <w:p w14:paraId="0C74F4D8">
            <w:pPr>
              <w:spacing w:line="360" w:lineRule="auto"/>
              <w:rPr>
                <w:rFonts w:hint="eastAsia" w:ascii="宋体" w:hAnsi="宋体" w:cs="宋体"/>
                <w:kern w:val="2"/>
                <w:sz w:val="24"/>
                <w:szCs w:val="24"/>
              </w:rPr>
            </w:pPr>
            <w:r>
              <w:rPr>
                <w:rFonts w:hint="eastAsia" w:ascii="宋体" w:hAnsi="宋体" w:cs="宋体"/>
                <w:color w:val="000000"/>
                <w:kern w:val="2"/>
                <w:sz w:val="24"/>
                <w:szCs w:val="24"/>
              </w:rPr>
              <w:t>响应文件加密要求</w:t>
            </w:r>
          </w:p>
        </w:tc>
        <w:tc>
          <w:tcPr>
            <w:tcW w:w="6111" w:type="dxa"/>
            <w:vAlign w:val="center"/>
          </w:tcPr>
          <w:p w14:paraId="1A50A5FC">
            <w:pPr>
              <w:spacing w:line="360" w:lineRule="auto"/>
              <w:rPr>
                <w:rFonts w:hint="eastAsia" w:ascii="宋体" w:hAnsi="宋体" w:cs="宋体"/>
                <w:kern w:val="2"/>
                <w:sz w:val="24"/>
                <w:szCs w:val="24"/>
              </w:rPr>
            </w:pPr>
            <w:r>
              <w:rPr>
                <w:rFonts w:hint="eastAsia" w:ascii="宋体" w:hAnsi="宋体" w:cs="宋体"/>
                <w:color w:val="000000"/>
                <w:sz w:val="24"/>
                <w:szCs w:val="24"/>
              </w:rPr>
              <w:t>CA锁加密，供应商进行电子交易应安装客户端软件—“政采云电子交易客户端”，并按照采购文件和电子交易平台的要求编制并加密</w:t>
            </w:r>
            <w:r>
              <w:rPr>
                <w:rFonts w:hint="eastAsia" w:ascii="宋体" w:hAnsi="宋体" w:cs="宋体"/>
                <w:color w:val="000000"/>
                <w:kern w:val="2"/>
                <w:sz w:val="24"/>
                <w:szCs w:val="24"/>
              </w:rPr>
              <w:t>响应</w:t>
            </w:r>
            <w:r>
              <w:rPr>
                <w:rFonts w:hint="eastAsia" w:ascii="宋体" w:hAnsi="宋体" w:cs="宋体"/>
                <w:color w:val="000000"/>
                <w:sz w:val="24"/>
                <w:szCs w:val="24"/>
              </w:rPr>
              <w:t>文件。供应商未按规定加密的</w:t>
            </w:r>
            <w:r>
              <w:rPr>
                <w:rFonts w:hint="eastAsia" w:ascii="宋体" w:hAnsi="宋体" w:cs="宋体"/>
                <w:color w:val="000000"/>
                <w:kern w:val="2"/>
                <w:sz w:val="24"/>
                <w:szCs w:val="24"/>
              </w:rPr>
              <w:t>响应</w:t>
            </w:r>
            <w:r>
              <w:rPr>
                <w:rFonts w:hint="eastAsia" w:ascii="宋体" w:hAnsi="宋体" w:cs="宋体"/>
                <w:color w:val="000000"/>
                <w:sz w:val="24"/>
                <w:szCs w:val="24"/>
              </w:rPr>
              <w:t>文件，电子交易平台将拒收并提示。</w:t>
            </w:r>
          </w:p>
        </w:tc>
      </w:tr>
      <w:tr w14:paraId="3D5F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2EC83C1A">
            <w:pPr>
              <w:widowControl w:val="0"/>
              <w:spacing w:line="360" w:lineRule="auto"/>
              <w:rPr>
                <w:rFonts w:hint="eastAsia" w:ascii="宋体" w:hAnsi="宋体" w:cs="宋体"/>
                <w:kern w:val="2"/>
                <w:sz w:val="24"/>
                <w:szCs w:val="24"/>
              </w:rPr>
            </w:pPr>
            <w:r>
              <w:rPr>
                <w:rFonts w:hint="eastAsia" w:ascii="宋体" w:hAnsi="宋体" w:cs="宋体"/>
                <w:kern w:val="2"/>
                <w:sz w:val="24"/>
                <w:szCs w:val="24"/>
              </w:rPr>
              <w:t>4.2.1</w:t>
            </w:r>
          </w:p>
        </w:tc>
        <w:tc>
          <w:tcPr>
            <w:tcW w:w="2168" w:type="dxa"/>
            <w:vAlign w:val="center"/>
          </w:tcPr>
          <w:p w14:paraId="0F506E81">
            <w:pPr>
              <w:spacing w:line="360" w:lineRule="auto"/>
              <w:rPr>
                <w:rFonts w:hint="eastAsia" w:ascii="宋体" w:hAnsi="宋体" w:cs="宋体"/>
                <w:kern w:val="2"/>
                <w:sz w:val="24"/>
                <w:szCs w:val="24"/>
              </w:rPr>
            </w:pPr>
            <w:r>
              <w:rPr>
                <w:rFonts w:hint="eastAsia" w:ascii="宋体" w:hAnsi="宋体" w:cs="宋体"/>
                <w:color w:val="000000"/>
                <w:kern w:val="2"/>
                <w:sz w:val="24"/>
                <w:szCs w:val="24"/>
              </w:rPr>
              <w:t>投标截止时间</w:t>
            </w:r>
          </w:p>
        </w:tc>
        <w:tc>
          <w:tcPr>
            <w:tcW w:w="6111" w:type="dxa"/>
            <w:vAlign w:val="center"/>
          </w:tcPr>
          <w:p w14:paraId="018AB546">
            <w:pPr>
              <w:spacing w:line="360" w:lineRule="auto"/>
              <w:rPr>
                <w:rFonts w:hint="eastAsia" w:ascii="宋体" w:hAnsi="宋体" w:cs="宋体"/>
                <w:kern w:val="2"/>
                <w:sz w:val="24"/>
                <w:szCs w:val="24"/>
              </w:rPr>
            </w:pPr>
            <w:r>
              <w:rPr>
                <w:rFonts w:hint="eastAsia" w:ascii="宋体" w:hAnsi="宋体" w:cs="宋体"/>
                <w:kern w:val="2"/>
                <w:sz w:val="24"/>
                <w:szCs w:val="24"/>
              </w:rPr>
              <w:t>详见“第一章 竞争性磋商公告”</w:t>
            </w:r>
          </w:p>
        </w:tc>
      </w:tr>
      <w:tr w14:paraId="4DFE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7BA8C1CF">
            <w:pPr>
              <w:widowControl w:val="0"/>
              <w:spacing w:line="360" w:lineRule="auto"/>
              <w:rPr>
                <w:rFonts w:hint="eastAsia" w:ascii="宋体" w:hAnsi="宋体" w:cs="宋体"/>
                <w:kern w:val="2"/>
                <w:sz w:val="24"/>
                <w:szCs w:val="24"/>
              </w:rPr>
            </w:pPr>
            <w:r>
              <w:rPr>
                <w:rFonts w:hint="eastAsia" w:ascii="宋体" w:hAnsi="宋体" w:cs="宋体"/>
                <w:kern w:val="2"/>
                <w:sz w:val="24"/>
                <w:szCs w:val="24"/>
              </w:rPr>
              <w:t>4.2.2</w:t>
            </w:r>
          </w:p>
        </w:tc>
        <w:tc>
          <w:tcPr>
            <w:tcW w:w="2168" w:type="dxa"/>
            <w:vAlign w:val="center"/>
          </w:tcPr>
          <w:p w14:paraId="36A35D1C">
            <w:pPr>
              <w:spacing w:line="360" w:lineRule="auto"/>
              <w:rPr>
                <w:rFonts w:hint="eastAsia" w:ascii="宋体" w:hAnsi="宋体" w:cs="宋体"/>
                <w:kern w:val="2"/>
                <w:sz w:val="24"/>
                <w:szCs w:val="24"/>
              </w:rPr>
            </w:pPr>
            <w:r>
              <w:rPr>
                <w:rFonts w:hint="eastAsia" w:ascii="宋体" w:hAnsi="宋体" w:cs="宋体"/>
                <w:color w:val="000000"/>
                <w:kern w:val="2"/>
                <w:sz w:val="24"/>
                <w:szCs w:val="24"/>
              </w:rPr>
              <w:t>响应文件递交时间和地点</w:t>
            </w:r>
          </w:p>
        </w:tc>
        <w:tc>
          <w:tcPr>
            <w:tcW w:w="6111" w:type="dxa"/>
            <w:vAlign w:val="center"/>
          </w:tcPr>
          <w:p w14:paraId="24ECED5D">
            <w:pPr>
              <w:pStyle w:val="14"/>
              <w:widowControl w:val="0"/>
              <w:kinsoku w:val="0"/>
              <w:wordWrap w:val="0"/>
              <w:overflowPunct w:val="0"/>
              <w:autoSpaceDE w:val="0"/>
              <w:autoSpaceDN w:val="0"/>
              <w:rPr>
                <w:rFonts w:hint="eastAsia" w:ascii="宋体" w:hAnsi="宋体" w:cs="宋体"/>
                <w:color w:val="000000"/>
                <w:sz w:val="24"/>
              </w:rPr>
            </w:pPr>
            <w:r>
              <w:rPr>
                <w:rFonts w:hint="eastAsia" w:ascii="宋体" w:hAnsi="宋体" w:cs="宋体"/>
                <w:color w:val="000000"/>
                <w:sz w:val="24"/>
              </w:rPr>
              <w:t>响应文件递交地点：网上递交</w:t>
            </w:r>
          </w:p>
          <w:p w14:paraId="22250D7B">
            <w:pPr>
              <w:pStyle w:val="14"/>
              <w:widowControl w:val="0"/>
              <w:numPr>
                <w:ilvl w:val="0"/>
                <w:numId w:val="1"/>
              </w:numPr>
              <w:kinsoku w:val="0"/>
              <w:wordWrap w:val="0"/>
              <w:overflowPunct w:val="0"/>
              <w:autoSpaceDE w:val="0"/>
              <w:autoSpaceDN w:val="0"/>
              <w:rPr>
                <w:rFonts w:hint="eastAsia" w:ascii="宋体" w:hAnsi="宋体" w:cs="宋体"/>
                <w:color w:val="000000"/>
                <w:sz w:val="24"/>
              </w:rPr>
            </w:pPr>
            <w:r>
              <w:rPr>
                <w:rFonts w:hint="eastAsia" w:ascii="宋体" w:hAnsi="宋体" w:cs="宋体"/>
                <w:color w:val="000000"/>
                <w:sz w:val="24"/>
              </w:rPr>
              <w:t>本项目为昆明市全流程电子化项目，通过“政采云”平台（http：//www.zcygov.cn）实行在线电子响应，供应商应先安装“政采云电子交易客户端”（请自行前往“政采云”平台进行下载），并按照本项目采购文件和“政采云”平台的要求编制、加密后在投标截止时间前通过网络上传至昆明市“政采云”平台，供应商在“政采云”平台提交电子版响应文件时，请填写参加远程采购活动经办人联系方式。</w:t>
            </w:r>
          </w:p>
          <w:p w14:paraId="6CF5128E">
            <w:pPr>
              <w:pStyle w:val="14"/>
              <w:widowControl w:val="0"/>
              <w:numPr>
                <w:ilvl w:val="0"/>
                <w:numId w:val="1"/>
              </w:numPr>
              <w:kinsoku w:val="0"/>
              <w:wordWrap w:val="0"/>
              <w:overflowPunct w:val="0"/>
              <w:autoSpaceDE w:val="0"/>
              <w:autoSpaceDN w:val="0"/>
              <w:rPr>
                <w:rFonts w:hint="eastAsia" w:ascii="宋体" w:hAnsi="宋体" w:cs="宋体"/>
                <w:color w:val="000000"/>
                <w:sz w:val="24"/>
              </w:rPr>
            </w:pPr>
            <w:r>
              <w:rPr>
                <w:rFonts w:hint="eastAsia" w:ascii="宋体" w:hAnsi="宋体" w:cs="宋体"/>
                <w:color w:val="000000"/>
                <w:sz w:val="24"/>
              </w:rPr>
              <w:t>供应商对网上递交的响应文件必须加密，如果供应商使用某个数字证书（CA）对响应文件进行了数字证书（CA）加密，需要在开标过程中使用该数字证书（CA）进行解密，才能读取或导入响应文件，因供应商原因造成供应商文件未解密的，视为撤回其响应文件。</w:t>
            </w:r>
          </w:p>
          <w:p w14:paraId="282B4875">
            <w:pPr>
              <w:pStyle w:val="14"/>
              <w:widowControl w:val="0"/>
              <w:numPr>
                <w:ilvl w:val="0"/>
                <w:numId w:val="1"/>
              </w:numPr>
              <w:kinsoku w:val="0"/>
              <w:wordWrap w:val="0"/>
              <w:overflowPunct w:val="0"/>
              <w:autoSpaceDE w:val="0"/>
              <w:autoSpaceDN w:val="0"/>
              <w:rPr>
                <w:rFonts w:hint="eastAsia" w:ascii="宋体" w:hAnsi="宋体" w:cs="宋体"/>
                <w:color w:val="000000"/>
                <w:sz w:val="24"/>
              </w:rPr>
            </w:pPr>
            <w:r>
              <w:rPr>
                <w:rFonts w:hint="eastAsia" w:ascii="宋体" w:hAnsi="宋体" w:cs="宋体"/>
                <w:color w:val="000000"/>
                <w:sz w:val="24"/>
              </w:rPr>
              <w:t>响应文件递交方式</w:t>
            </w:r>
          </w:p>
          <w:p w14:paraId="1B80170F">
            <w:pPr>
              <w:spacing w:line="360" w:lineRule="auto"/>
              <w:rPr>
                <w:rFonts w:hint="eastAsia" w:ascii="宋体" w:hAnsi="宋体" w:cs="宋体"/>
                <w:kern w:val="2"/>
                <w:sz w:val="24"/>
                <w:szCs w:val="24"/>
              </w:rPr>
            </w:pPr>
            <w:r>
              <w:rPr>
                <w:rFonts w:hint="eastAsia" w:ascii="宋体" w:hAnsi="宋体" w:cs="宋体"/>
                <w:color w:val="000000"/>
                <w:sz w:val="24"/>
              </w:rPr>
              <w:t>①响应文件提交方式：本项目为昆明市全流程电子化项目，通过 “政采云”平台（http：//www.zcygov.cn）实行在线电子响应，供应商应先安装“政采云电子交易客户端”（请自行前往“政采云”平台进行下载），并按照本项目采购文件和“政采云”平台的要求编制、加密后在</w:t>
            </w:r>
            <w:r>
              <w:rPr>
                <w:rFonts w:hint="eastAsia" w:ascii="宋体" w:hAnsi="宋体" w:cs="宋体"/>
                <w:color w:val="000000"/>
                <w:kern w:val="2"/>
                <w:sz w:val="24"/>
                <w:szCs w:val="24"/>
              </w:rPr>
              <w:t>响应</w:t>
            </w:r>
            <w:r>
              <w:rPr>
                <w:rFonts w:hint="eastAsia" w:ascii="宋体" w:hAnsi="宋体" w:cs="宋体"/>
                <w:color w:val="000000"/>
                <w:sz w:val="24"/>
              </w:rPr>
              <w:t>截止时间前通过网络上传至昆明市“政采云”平台，供应商在“政采云”平台提交电子版响应文件时，请填写参加远程采购活动经办人联系方式。</w:t>
            </w:r>
          </w:p>
        </w:tc>
      </w:tr>
      <w:tr w14:paraId="70FB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76D596B">
            <w:pPr>
              <w:widowControl w:val="0"/>
              <w:spacing w:line="360" w:lineRule="auto"/>
              <w:rPr>
                <w:rFonts w:hint="eastAsia" w:ascii="宋体" w:hAnsi="宋体" w:cs="宋体"/>
                <w:kern w:val="2"/>
                <w:sz w:val="24"/>
                <w:szCs w:val="24"/>
              </w:rPr>
            </w:pPr>
            <w:r>
              <w:rPr>
                <w:rFonts w:hint="eastAsia" w:ascii="宋体" w:hAnsi="宋体" w:cs="宋体"/>
                <w:kern w:val="2"/>
                <w:sz w:val="24"/>
                <w:szCs w:val="24"/>
              </w:rPr>
              <w:t>5.1</w:t>
            </w:r>
          </w:p>
        </w:tc>
        <w:tc>
          <w:tcPr>
            <w:tcW w:w="2168" w:type="dxa"/>
            <w:vAlign w:val="center"/>
          </w:tcPr>
          <w:p w14:paraId="1A677AF1">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开启时间和地点</w:t>
            </w:r>
          </w:p>
        </w:tc>
        <w:tc>
          <w:tcPr>
            <w:tcW w:w="6111" w:type="dxa"/>
            <w:vAlign w:val="center"/>
          </w:tcPr>
          <w:p w14:paraId="3474297C">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开启时间：同响应文件提交截止时间</w:t>
            </w:r>
          </w:p>
          <w:p w14:paraId="2A46522F">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开启地点：同响应文件提交截止地点</w:t>
            </w:r>
          </w:p>
        </w:tc>
      </w:tr>
      <w:tr w14:paraId="63218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0C3896C">
            <w:pPr>
              <w:widowControl w:val="0"/>
              <w:spacing w:line="360" w:lineRule="auto"/>
              <w:rPr>
                <w:rFonts w:hint="eastAsia" w:ascii="宋体" w:hAnsi="宋体" w:cs="宋体"/>
                <w:kern w:val="2"/>
                <w:sz w:val="24"/>
                <w:szCs w:val="24"/>
              </w:rPr>
            </w:pPr>
            <w:r>
              <w:rPr>
                <w:rFonts w:hint="eastAsia" w:ascii="宋体" w:hAnsi="宋体" w:cs="宋体"/>
                <w:kern w:val="2"/>
                <w:sz w:val="24"/>
                <w:szCs w:val="24"/>
              </w:rPr>
              <w:t>5.2</w:t>
            </w:r>
          </w:p>
        </w:tc>
        <w:tc>
          <w:tcPr>
            <w:tcW w:w="2168" w:type="dxa"/>
            <w:vAlign w:val="center"/>
          </w:tcPr>
          <w:p w14:paraId="05EBD2C4">
            <w:pPr>
              <w:spacing w:line="360" w:lineRule="auto"/>
              <w:rPr>
                <w:rFonts w:hint="eastAsia" w:ascii="宋体" w:hAnsi="宋体" w:cs="宋体"/>
                <w:kern w:val="2"/>
                <w:sz w:val="24"/>
                <w:szCs w:val="24"/>
              </w:rPr>
            </w:pPr>
            <w:r>
              <w:rPr>
                <w:rFonts w:hint="eastAsia" w:ascii="宋体" w:hAnsi="宋体" w:cs="宋体"/>
                <w:color w:val="000000"/>
                <w:kern w:val="2"/>
                <w:sz w:val="24"/>
                <w:szCs w:val="24"/>
              </w:rPr>
              <w:t>开标程序</w:t>
            </w:r>
          </w:p>
        </w:tc>
        <w:tc>
          <w:tcPr>
            <w:tcW w:w="6111" w:type="dxa"/>
            <w:vAlign w:val="center"/>
          </w:tcPr>
          <w:p w14:paraId="2A49B03D">
            <w:pPr>
              <w:pStyle w:val="18"/>
              <w:spacing w:line="360" w:lineRule="auto"/>
              <w:rPr>
                <w:rFonts w:hint="eastAsia" w:hAnsi="宋体" w:cs="宋体"/>
                <w:color w:val="000000"/>
                <w:sz w:val="24"/>
                <w:szCs w:val="24"/>
              </w:rPr>
            </w:pPr>
            <w:r>
              <w:rPr>
                <w:rFonts w:hint="eastAsia" w:hAnsi="宋体" w:cs="宋体"/>
                <w:color w:val="000000"/>
                <w:sz w:val="24"/>
                <w:szCs w:val="24"/>
              </w:rPr>
              <w:t xml:space="preserve">（1）磋商会议由采购代理机构主持； </w:t>
            </w:r>
          </w:p>
          <w:p w14:paraId="778EDBD5">
            <w:pPr>
              <w:pStyle w:val="18"/>
              <w:spacing w:line="360" w:lineRule="auto"/>
              <w:rPr>
                <w:rFonts w:hint="eastAsia" w:hAnsi="宋体" w:cs="宋体"/>
                <w:color w:val="000000"/>
                <w:sz w:val="24"/>
                <w:szCs w:val="24"/>
              </w:rPr>
            </w:pPr>
            <w:r>
              <w:rPr>
                <w:rFonts w:hint="eastAsia" w:hAnsi="宋体" w:cs="宋体"/>
                <w:color w:val="000000"/>
                <w:sz w:val="24"/>
                <w:szCs w:val="24"/>
              </w:rPr>
              <w:t>（2）供应商应在磋商响应文件递交截止时间前进入本项目网上磋商会议；</w:t>
            </w:r>
          </w:p>
          <w:p w14:paraId="0558720E">
            <w:pPr>
              <w:spacing w:line="360" w:lineRule="auto"/>
              <w:rPr>
                <w:rFonts w:hint="eastAsia" w:ascii="宋体" w:hAnsi="宋体" w:cs="宋体"/>
                <w:color w:val="000000"/>
                <w:sz w:val="24"/>
                <w:szCs w:val="24"/>
              </w:rPr>
            </w:pPr>
            <w:r>
              <w:rPr>
                <w:rFonts w:hint="eastAsia" w:ascii="宋体" w:hAnsi="宋体" w:cs="宋体"/>
                <w:color w:val="000000"/>
                <w:sz w:val="24"/>
                <w:szCs w:val="24"/>
              </w:rPr>
              <w:t>（3）由采购代理机构下达网上解密指令进行解密时间的设置，供应商须在规定时长内完成解密，未解密完成的视为放弃投标。所有供应商的响应文件解密完成后，导入响应文件。</w:t>
            </w:r>
          </w:p>
          <w:p w14:paraId="02545879">
            <w:pPr>
              <w:spacing w:line="360" w:lineRule="auto"/>
              <w:rPr>
                <w:rFonts w:hint="eastAsia" w:ascii="宋体" w:hAnsi="宋体" w:cs="宋体"/>
                <w:color w:val="000000"/>
                <w:sz w:val="24"/>
                <w:szCs w:val="24"/>
              </w:rPr>
            </w:pPr>
            <w:r>
              <w:rPr>
                <w:rFonts w:hint="eastAsia" w:ascii="宋体" w:hAnsi="宋体" w:cs="宋体"/>
                <w:color w:val="000000"/>
                <w:sz w:val="24"/>
                <w:szCs w:val="24"/>
              </w:rPr>
              <w:t>（4）响应文件导入成功之后，采购代理机构下达开标结束命令，在下达开标结束命令前，供应商未提出异议，则视为对本次磋商会议无异议</w:t>
            </w:r>
          </w:p>
          <w:p w14:paraId="1DC502CD">
            <w:pPr>
              <w:spacing w:line="360" w:lineRule="auto"/>
              <w:rPr>
                <w:rFonts w:hint="eastAsia" w:ascii="宋体" w:hAnsi="宋体" w:cs="宋体"/>
                <w:color w:val="000000"/>
                <w:sz w:val="24"/>
                <w:szCs w:val="24"/>
              </w:rPr>
            </w:pPr>
            <w:r>
              <w:rPr>
                <w:rFonts w:hint="eastAsia" w:ascii="宋体" w:hAnsi="宋体" w:cs="宋体"/>
                <w:color w:val="000000"/>
                <w:sz w:val="24"/>
                <w:szCs w:val="24"/>
              </w:rPr>
              <w:t>（5）供应商等待磋商小组开启磋商报价。</w:t>
            </w:r>
          </w:p>
          <w:p w14:paraId="0544CE9D">
            <w:pPr>
              <w:spacing w:line="360" w:lineRule="auto"/>
              <w:rPr>
                <w:rFonts w:hint="eastAsia" w:ascii="宋体" w:hAnsi="宋体" w:cs="宋体"/>
                <w:color w:val="000000"/>
                <w:sz w:val="24"/>
                <w:szCs w:val="24"/>
              </w:rPr>
            </w:pPr>
            <w:r>
              <w:rPr>
                <w:rFonts w:hint="eastAsia" w:ascii="宋体" w:hAnsi="宋体" w:cs="宋体"/>
                <w:color w:val="000000"/>
                <w:sz w:val="24"/>
                <w:szCs w:val="24"/>
              </w:rPr>
              <w:t>注：开标过程中如有问题，可以在线提出异议，由代理机构给予回复；在规定的异议询问时间内未提出异议的，则视为对开标结果无异议。</w:t>
            </w:r>
          </w:p>
          <w:p w14:paraId="4484DABC">
            <w:pPr>
              <w:widowControl w:val="0"/>
              <w:tabs>
                <w:tab w:val="center" w:pos="4889"/>
              </w:tabs>
              <w:spacing w:line="360" w:lineRule="auto"/>
              <w:rPr>
                <w:rFonts w:hint="eastAsia" w:ascii="宋体" w:hAnsi="宋体" w:cs="宋体"/>
                <w:kern w:val="2"/>
                <w:sz w:val="24"/>
                <w:szCs w:val="24"/>
              </w:rPr>
            </w:pPr>
            <w:r>
              <w:rPr>
                <w:rFonts w:hint="eastAsia" w:ascii="宋体" w:hAnsi="宋体" w:cs="宋体"/>
                <w:color w:val="000000"/>
                <w:sz w:val="24"/>
                <w:szCs w:val="24"/>
              </w:rPr>
              <w:t>供应商不足3家的，不得开标。</w:t>
            </w:r>
          </w:p>
        </w:tc>
      </w:tr>
      <w:tr w14:paraId="2B8F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2D705A4C">
            <w:pPr>
              <w:widowControl w:val="0"/>
              <w:spacing w:line="360" w:lineRule="auto"/>
              <w:rPr>
                <w:rFonts w:hint="eastAsia" w:ascii="宋体" w:hAnsi="宋体" w:cs="宋体"/>
                <w:kern w:val="2"/>
                <w:sz w:val="24"/>
                <w:szCs w:val="24"/>
              </w:rPr>
            </w:pPr>
            <w:r>
              <w:rPr>
                <w:rFonts w:hint="eastAsia" w:ascii="宋体" w:hAnsi="宋体" w:cs="宋体"/>
                <w:kern w:val="2"/>
                <w:sz w:val="24"/>
                <w:szCs w:val="24"/>
              </w:rPr>
              <w:t>6.1.1</w:t>
            </w:r>
          </w:p>
        </w:tc>
        <w:tc>
          <w:tcPr>
            <w:tcW w:w="2168" w:type="dxa"/>
            <w:vAlign w:val="center"/>
          </w:tcPr>
          <w:p w14:paraId="5E222E34">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磋商小组的组成</w:t>
            </w:r>
          </w:p>
        </w:tc>
        <w:tc>
          <w:tcPr>
            <w:tcW w:w="6111" w:type="dxa"/>
            <w:vAlign w:val="center"/>
          </w:tcPr>
          <w:p w14:paraId="38251F11">
            <w:pPr>
              <w:widowControl w:val="0"/>
              <w:spacing w:line="360" w:lineRule="auto"/>
              <w:jc w:val="both"/>
              <w:rPr>
                <w:rFonts w:hint="eastAsia" w:ascii="宋体" w:hAnsi="宋体" w:cs="宋体"/>
                <w:kern w:val="2"/>
                <w:sz w:val="24"/>
                <w:szCs w:val="24"/>
              </w:rPr>
            </w:pPr>
            <w:r>
              <w:rPr>
                <w:rFonts w:hint="eastAsia" w:ascii="宋体" w:hAnsi="宋体" w:cs="宋体"/>
                <w:sz w:val="24"/>
                <w:szCs w:val="24"/>
              </w:rPr>
              <w:t>磋商小组由采购人依法组建，由采购人代表和评审专家共3人及以上单数组成，其中评审专家人数不得少于磋商小组成员总数的2/3。采购人代表不得以评审专家身份参加本部门或本单位采购项目的评审。采购代理机构人员不得参加本机构代理的采购项目的评审。</w:t>
            </w:r>
          </w:p>
        </w:tc>
      </w:tr>
      <w:tr w14:paraId="2AB5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603890B7">
            <w:pPr>
              <w:widowControl w:val="0"/>
              <w:spacing w:line="360" w:lineRule="auto"/>
              <w:rPr>
                <w:rFonts w:hint="eastAsia" w:ascii="宋体" w:hAnsi="宋体" w:cs="宋体"/>
                <w:kern w:val="2"/>
                <w:sz w:val="24"/>
                <w:szCs w:val="24"/>
              </w:rPr>
            </w:pPr>
            <w:r>
              <w:rPr>
                <w:rFonts w:hint="eastAsia" w:ascii="宋体" w:hAnsi="宋体" w:cs="宋体"/>
                <w:kern w:val="2"/>
                <w:sz w:val="24"/>
                <w:szCs w:val="24"/>
              </w:rPr>
              <w:t>6.3.2</w:t>
            </w:r>
          </w:p>
        </w:tc>
        <w:tc>
          <w:tcPr>
            <w:tcW w:w="2168" w:type="dxa"/>
            <w:vAlign w:val="center"/>
          </w:tcPr>
          <w:p w14:paraId="59E88FB4">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磋商小组推荐成交候选供应商的人数</w:t>
            </w:r>
          </w:p>
        </w:tc>
        <w:tc>
          <w:tcPr>
            <w:tcW w:w="6111" w:type="dxa"/>
            <w:vAlign w:val="center"/>
          </w:tcPr>
          <w:p w14:paraId="1AF92926">
            <w:pPr>
              <w:pStyle w:val="59"/>
              <w:widowControl w:val="0"/>
              <w:spacing w:line="360" w:lineRule="auto"/>
              <w:jc w:val="both"/>
              <w:rPr>
                <w:rFonts w:hint="eastAsia" w:ascii="宋体" w:hAnsi="宋体" w:cs="宋体"/>
                <w:sz w:val="24"/>
                <w:szCs w:val="24"/>
              </w:rPr>
            </w:pPr>
            <w:r>
              <w:rPr>
                <w:rFonts w:hint="eastAsia" w:ascii="宋体" w:hAnsi="宋体" w:cs="宋体"/>
                <w:sz w:val="24"/>
                <w:szCs w:val="24"/>
              </w:rPr>
              <w:t>3名以上。</w:t>
            </w:r>
          </w:p>
        </w:tc>
      </w:tr>
      <w:tr w14:paraId="3383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488BF687">
            <w:pPr>
              <w:widowControl w:val="0"/>
              <w:spacing w:line="360" w:lineRule="auto"/>
              <w:rPr>
                <w:rFonts w:hint="eastAsia" w:ascii="宋体" w:hAnsi="宋体" w:cs="宋体"/>
                <w:kern w:val="2"/>
                <w:sz w:val="24"/>
                <w:szCs w:val="24"/>
              </w:rPr>
            </w:pPr>
            <w:r>
              <w:rPr>
                <w:rFonts w:hint="eastAsia" w:ascii="宋体" w:hAnsi="宋体" w:cs="宋体"/>
                <w:kern w:val="2"/>
                <w:sz w:val="24"/>
                <w:szCs w:val="24"/>
              </w:rPr>
              <w:t>7.1</w:t>
            </w:r>
          </w:p>
        </w:tc>
        <w:tc>
          <w:tcPr>
            <w:tcW w:w="2168" w:type="dxa"/>
            <w:vAlign w:val="center"/>
          </w:tcPr>
          <w:p w14:paraId="28D0EFB0">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是否授权磋商小组确定成交供应商</w:t>
            </w:r>
          </w:p>
        </w:tc>
        <w:tc>
          <w:tcPr>
            <w:tcW w:w="6111" w:type="dxa"/>
            <w:vAlign w:val="center"/>
          </w:tcPr>
          <w:p w14:paraId="028AC25A">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否</w:t>
            </w:r>
          </w:p>
        </w:tc>
      </w:tr>
      <w:tr w14:paraId="5ECA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45FE42D8">
            <w:pPr>
              <w:widowControl w:val="0"/>
              <w:spacing w:line="360" w:lineRule="auto"/>
              <w:rPr>
                <w:rFonts w:hint="eastAsia" w:ascii="宋体" w:hAnsi="宋体" w:cs="宋体"/>
                <w:kern w:val="2"/>
                <w:sz w:val="24"/>
                <w:szCs w:val="24"/>
              </w:rPr>
            </w:pPr>
            <w:r>
              <w:rPr>
                <w:rFonts w:hint="eastAsia" w:ascii="宋体" w:hAnsi="宋体" w:cs="宋体"/>
                <w:kern w:val="2"/>
                <w:sz w:val="24"/>
                <w:szCs w:val="24"/>
              </w:rPr>
              <w:t>7.2</w:t>
            </w:r>
          </w:p>
        </w:tc>
        <w:tc>
          <w:tcPr>
            <w:tcW w:w="2168" w:type="dxa"/>
            <w:vAlign w:val="center"/>
          </w:tcPr>
          <w:p w14:paraId="0E23461F">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成交公告媒介及期限</w:t>
            </w:r>
          </w:p>
        </w:tc>
        <w:tc>
          <w:tcPr>
            <w:tcW w:w="6111" w:type="dxa"/>
            <w:vAlign w:val="center"/>
          </w:tcPr>
          <w:p w14:paraId="678D572C">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公告媒介：同竞争性磋商公告发布媒介</w:t>
            </w:r>
          </w:p>
          <w:p w14:paraId="3378024D">
            <w:pPr>
              <w:widowControl w:val="0"/>
              <w:spacing w:line="360" w:lineRule="auto"/>
              <w:jc w:val="both"/>
              <w:rPr>
                <w:rFonts w:hint="eastAsia" w:ascii="宋体" w:hAnsi="宋体" w:cs="宋体"/>
                <w:kern w:val="2"/>
                <w:sz w:val="24"/>
                <w:szCs w:val="24"/>
                <w:u w:val="single"/>
              </w:rPr>
            </w:pPr>
            <w:r>
              <w:rPr>
                <w:rFonts w:hint="eastAsia" w:ascii="宋体" w:hAnsi="宋体" w:cs="宋体"/>
                <w:kern w:val="2"/>
                <w:sz w:val="24"/>
                <w:szCs w:val="24"/>
              </w:rPr>
              <w:t>公告期限：1个工作日</w:t>
            </w:r>
          </w:p>
        </w:tc>
      </w:tr>
      <w:tr w14:paraId="153C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228B9FBF">
            <w:pPr>
              <w:widowControl w:val="0"/>
              <w:spacing w:line="360" w:lineRule="auto"/>
              <w:rPr>
                <w:rFonts w:hint="eastAsia" w:ascii="宋体" w:hAnsi="宋体" w:cs="宋体"/>
                <w:kern w:val="2"/>
                <w:sz w:val="24"/>
                <w:szCs w:val="24"/>
              </w:rPr>
            </w:pPr>
            <w:r>
              <w:rPr>
                <w:rFonts w:hint="eastAsia" w:ascii="宋体" w:hAnsi="宋体" w:cs="宋体"/>
                <w:kern w:val="2"/>
                <w:sz w:val="24"/>
                <w:szCs w:val="24"/>
              </w:rPr>
              <w:t>7.4.1</w:t>
            </w:r>
          </w:p>
        </w:tc>
        <w:tc>
          <w:tcPr>
            <w:tcW w:w="2168" w:type="dxa"/>
            <w:vAlign w:val="center"/>
          </w:tcPr>
          <w:p w14:paraId="60C4A080">
            <w:pPr>
              <w:spacing w:line="360" w:lineRule="auto"/>
              <w:jc w:val="both"/>
              <w:rPr>
                <w:rFonts w:hint="eastAsia" w:ascii="宋体" w:hAnsi="宋体" w:cs="宋体"/>
                <w:kern w:val="2"/>
                <w:sz w:val="24"/>
                <w:szCs w:val="24"/>
              </w:rPr>
            </w:pPr>
            <w:r>
              <w:rPr>
                <w:rFonts w:hint="eastAsia" w:ascii="宋体" w:hAnsi="宋体" w:cs="宋体"/>
                <w:kern w:val="2"/>
                <w:sz w:val="24"/>
                <w:szCs w:val="24"/>
              </w:rPr>
              <w:t>履约保证金</w:t>
            </w:r>
          </w:p>
        </w:tc>
        <w:tc>
          <w:tcPr>
            <w:tcW w:w="6111" w:type="dxa"/>
            <w:vAlign w:val="center"/>
          </w:tcPr>
          <w:p w14:paraId="39DDABF0">
            <w:pPr>
              <w:spacing w:line="360" w:lineRule="auto"/>
              <w:jc w:val="both"/>
              <w:rPr>
                <w:rFonts w:hint="eastAsia" w:ascii="宋体" w:hAnsi="宋体" w:cs="宋体"/>
                <w:kern w:val="2"/>
                <w:sz w:val="24"/>
                <w:szCs w:val="24"/>
              </w:rPr>
            </w:pPr>
            <w:r>
              <w:rPr>
                <w:rFonts w:hint="eastAsia" w:ascii="宋体" w:hAnsi="宋体" w:cs="宋体"/>
                <w:kern w:val="2"/>
                <w:sz w:val="24"/>
                <w:szCs w:val="24"/>
              </w:rPr>
              <w:t>不要求</w:t>
            </w:r>
          </w:p>
        </w:tc>
      </w:tr>
      <w:tr w14:paraId="4C77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2C489B4C">
            <w:pPr>
              <w:widowControl w:val="0"/>
              <w:spacing w:line="360" w:lineRule="auto"/>
              <w:rPr>
                <w:rFonts w:hint="eastAsia" w:ascii="宋体" w:hAnsi="宋体" w:cs="宋体"/>
                <w:kern w:val="2"/>
                <w:sz w:val="24"/>
                <w:szCs w:val="24"/>
              </w:rPr>
            </w:pPr>
            <w:r>
              <w:rPr>
                <w:rFonts w:hint="eastAsia" w:ascii="宋体" w:hAnsi="宋体" w:cs="宋体"/>
                <w:kern w:val="2"/>
                <w:sz w:val="24"/>
                <w:szCs w:val="24"/>
              </w:rPr>
              <w:t>11</w:t>
            </w:r>
          </w:p>
        </w:tc>
        <w:tc>
          <w:tcPr>
            <w:tcW w:w="8279" w:type="dxa"/>
            <w:gridSpan w:val="2"/>
            <w:vAlign w:val="center"/>
          </w:tcPr>
          <w:p w14:paraId="13D800B4">
            <w:pPr>
              <w:widowControl w:val="0"/>
              <w:spacing w:line="360" w:lineRule="auto"/>
              <w:jc w:val="both"/>
              <w:rPr>
                <w:rFonts w:hint="eastAsia" w:ascii="宋体" w:hAnsi="宋体" w:cs="宋体"/>
                <w:sz w:val="24"/>
                <w:szCs w:val="24"/>
              </w:rPr>
            </w:pPr>
            <w:r>
              <w:rPr>
                <w:rFonts w:hint="eastAsia" w:ascii="宋体" w:hAnsi="宋体" w:cs="宋体"/>
                <w:b/>
                <w:bCs/>
                <w:kern w:val="2"/>
                <w:sz w:val="24"/>
                <w:szCs w:val="24"/>
              </w:rPr>
              <w:t>需要补充的其他内容</w:t>
            </w:r>
          </w:p>
        </w:tc>
      </w:tr>
      <w:tr w14:paraId="3C120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720B2665">
            <w:pPr>
              <w:widowControl w:val="0"/>
              <w:spacing w:line="360" w:lineRule="auto"/>
              <w:rPr>
                <w:rFonts w:hint="eastAsia" w:ascii="宋体" w:hAnsi="宋体" w:cs="宋体"/>
                <w:kern w:val="2"/>
                <w:sz w:val="24"/>
                <w:szCs w:val="24"/>
              </w:rPr>
            </w:pPr>
            <w:r>
              <w:rPr>
                <w:rFonts w:hint="eastAsia" w:ascii="宋体" w:hAnsi="宋体" w:cs="宋体"/>
                <w:kern w:val="2"/>
                <w:sz w:val="24"/>
                <w:szCs w:val="24"/>
              </w:rPr>
              <w:t>11.1</w:t>
            </w:r>
          </w:p>
        </w:tc>
        <w:tc>
          <w:tcPr>
            <w:tcW w:w="2168" w:type="dxa"/>
            <w:vAlign w:val="center"/>
          </w:tcPr>
          <w:p w14:paraId="4D02B7BA">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评审办法</w:t>
            </w:r>
          </w:p>
        </w:tc>
        <w:tc>
          <w:tcPr>
            <w:tcW w:w="6111" w:type="dxa"/>
            <w:vAlign w:val="center"/>
          </w:tcPr>
          <w:p w14:paraId="22A864E2">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综合评分法</w:t>
            </w:r>
          </w:p>
        </w:tc>
      </w:tr>
      <w:tr w14:paraId="544D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5EC7AA33">
            <w:pPr>
              <w:widowControl w:val="0"/>
              <w:spacing w:line="360" w:lineRule="auto"/>
              <w:rPr>
                <w:rFonts w:hint="eastAsia" w:ascii="宋体" w:hAnsi="宋体" w:cs="宋体"/>
                <w:kern w:val="2"/>
                <w:sz w:val="24"/>
                <w:szCs w:val="24"/>
              </w:rPr>
            </w:pPr>
            <w:r>
              <w:rPr>
                <w:rFonts w:hint="eastAsia" w:ascii="宋体" w:hAnsi="宋体" w:cs="宋体"/>
                <w:kern w:val="2"/>
                <w:sz w:val="24"/>
                <w:szCs w:val="24"/>
              </w:rPr>
              <w:t>11.2</w:t>
            </w:r>
          </w:p>
        </w:tc>
        <w:tc>
          <w:tcPr>
            <w:tcW w:w="2168" w:type="dxa"/>
            <w:vAlign w:val="center"/>
          </w:tcPr>
          <w:p w14:paraId="22630410">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追加合同金额</w:t>
            </w:r>
          </w:p>
        </w:tc>
        <w:tc>
          <w:tcPr>
            <w:tcW w:w="6111" w:type="dxa"/>
            <w:vAlign w:val="center"/>
          </w:tcPr>
          <w:p w14:paraId="008F75C2">
            <w:pPr>
              <w:widowControl w:val="0"/>
              <w:spacing w:line="360" w:lineRule="auto"/>
              <w:jc w:val="both"/>
              <w:rPr>
                <w:rFonts w:hint="eastAsia" w:ascii="宋体" w:hAnsi="宋体" w:cs="宋体"/>
                <w:kern w:val="2"/>
                <w:sz w:val="24"/>
                <w:szCs w:val="24"/>
              </w:rPr>
            </w:pPr>
            <w:r>
              <w:rPr>
                <w:rFonts w:hint="eastAsia" w:ascii="宋体" w:hAnsi="宋体" w:cs="宋体"/>
                <w:sz w:val="24"/>
                <w:szCs w:val="24"/>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14:paraId="1E3A4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2" w:type="dxa"/>
            <w:vAlign w:val="center"/>
          </w:tcPr>
          <w:p w14:paraId="0FC9B80B">
            <w:pPr>
              <w:spacing w:line="360" w:lineRule="auto"/>
              <w:jc w:val="both"/>
              <w:rPr>
                <w:rFonts w:hint="eastAsia" w:ascii="宋体" w:hAnsi="宋体" w:cs="宋体"/>
                <w:kern w:val="2"/>
                <w:sz w:val="24"/>
                <w:szCs w:val="24"/>
              </w:rPr>
            </w:pPr>
            <w:r>
              <w:rPr>
                <w:rFonts w:hint="eastAsia" w:ascii="宋体" w:hAnsi="宋体" w:cs="宋体"/>
                <w:kern w:val="2"/>
                <w:sz w:val="24"/>
                <w:szCs w:val="24"/>
              </w:rPr>
              <w:t>11.3</w:t>
            </w:r>
          </w:p>
        </w:tc>
        <w:tc>
          <w:tcPr>
            <w:tcW w:w="2168" w:type="dxa"/>
            <w:vAlign w:val="center"/>
          </w:tcPr>
          <w:p w14:paraId="1BB9C024">
            <w:pPr>
              <w:spacing w:line="360" w:lineRule="auto"/>
              <w:jc w:val="both"/>
              <w:rPr>
                <w:rFonts w:hint="eastAsia" w:ascii="宋体" w:hAnsi="宋体" w:cs="宋体"/>
                <w:kern w:val="2"/>
                <w:sz w:val="24"/>
                <w:szCs w:val="24"/>
              </w:rPr>
            </w:pPr>
            <w:r>
              <w:rPr>
                <w:rFonts w:hint="eastAsia" w:ascii="宋体" w:hAnsi="宋体" w:cs="宋体"/>
                <w:kern w:val="2"/>
                <w:sz w:val="24"/>
                <w:szCs w:val="24"/>
              </w:rPr>
              <w:t>政府采购政策</w:t>
            </w:r>
          </w:p>
        </w:tc>
        <w:tc>
          <w:tcPr>
            <w:tcW w:w="6111" w:type="dxa"/>
            <w:vAlign w:val="center"/>
          </w:tcPr>
          <w:p w14:paraId="0E8F1EE5">
            <w:pPr>
              <w:spacing w:line="360" w:lineRule="auto"/>
              <w:rPr>
                <w:rFonts w:hint="eastAsia" w:ascii="宋体" w:hAnsi="宋体" w:cs="宋体"/>
                <w:sz w:val="24"/>
                <w:szCs w:val="24"/>
              </w:rPr>
            </w:pPr>
            <w:r>
              <w:rPr>
                <w:rFonts w:hint="eastAsia" w:ascii="宋体" w:hAnsi="宋体" w:cs="宋体"/>
                <w:sz w:val="24"/>
                <w:szCs w:val="24"/>
              </w:rPr>
              <w:t>1.中小企业、监狱企业及残疾人福利性单位</w:t>
            </w:r>
          </w:p>
          <w:p w14:paraId="018C88FC">
            <w:pPr>
              <w:spacing w:line="360" w:lineRule="auto"/>
              <w:rPr>
                <w:rFonts w:hint="eastAsia" w:ascii="宋体" w:hAnsi="宋体" w:cs="宋体"/>
                <w:sz w:val="24"/>
                <w:szCs w:val="24"/>
              </w:rPr>
            </w:pPr>
            <w:r>
              <w:rPr>
                <w:rFonts w:hint="eastAsia" w:ascii="宋体" w:hAnsi="宋体" w:cs="宋体"/>
                <w:sz w:val="24"/>
                <w:szCs w:val="24"/>
              </w:rPr>
              <w:t>1.1中小企业定义：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统计上大中小微型企业划分办法（2017）》。</w:t>
            </w:r>
          </w:p>
          <w:p w14:paraId="3D06F05C">
            <w:pPr>
              <w:spacing w:line="360" w:lineRule="auto"/>
              <w:rPr>
                <w:rFonts w:hint="eastAsia" w:ascii="宋体" w:hAnsi="宋体" w:cs="宋体"/>
                <w:sz w:val="24"/>
                <w:szCs w:val="24"/>
              </w:rPr>
            </w:pPr>
            <w:r>
              <w:rPr>
                <w:rFonts w:hint="eastAsia" w:ascii="宋体" w:hAnsi="宋体" w:cs="宋体"/>
                <w:sz w:val="24"/>
                <w:szCs w:val="24"/>
              </w:rPr>
              <w:t>1.2供应商提供的货物、工程或者服务符合下列情形的，享受中小企业扶持政策：</w:t>
            </w:r>
          </w:p>
          <w:p w14:paraId="5DBFB6B0">
            <w:pPr>
              <w:spacing w:line="360" w:lineRule="auto"/>
              <w:rPr>
                <w:rFonts w:hint="eastAsia" w:ascii="宋体" w:hAnsi="宋体" w:cs="宋体"/>
                <w:sz w:val="24"/>
                <w:szCs w:val="24"/>
              </w:rPr>
            </w:pPr>
            <w:r>
              <w:rPr>
                <w:rFonts w:hint="eastAsia" w:ascii="宋体" w:hAnsi="宋体" w:cs="宋体"/>
                <w:sz w:val="24"/>
                <w:szCs w:val="24"/>
              </w:rPr>
              <w:t>（1）在货物采购项目中，货物由中小企业制造，即货物由中小企业生产且使用该中小企业商号或者注册商标；</w:t>
            </w:r>
          </w:p>
          <w:p w14:paraId="321D8868">
            <w:pPr>
              <w:spacing w:line="360" w:lineRule="auto"/>
              <w:rPr>
                <w:rFonts w:hint="eastAsia" w:ascii="宋体" w:hAnsi="宋体" w:cs="宋体"/>
                <w:sz w:val="24"/>
                <w:szCs w:val="24"/>
              </w:rPr>
            </w:pPr>
            <w:r>
              <w:rPr>
                <w:rFonts w:hint="eastAsia" w:ascii="宋体" w:hAnsi="宋体" w:cs="宋体"/>
                <w:sz w:val="24"/>
                <w:szCs w:val="24"/>
              </w:rPr>
              <w:t>（2）在工程采购项目中，工程由中小企业承建，即工程施工单位为中小企业；</w:t>
            </w:r>
          </w:p>
          <w:p w14:paraId="3DDCA673">
            <w:pPr>
              <w:spacing w:line="360" w:lineRule="auto"/>
              <w:rPr>
                <w:rFonts w:hint="eastAsia" w:ascii="宋体" w:hAnsi="宋体" w:cs="宋体"/>
                <w:sz w:val="24"/>
                <w:szCs w:val="24"/>
              </w:rPr>
            </w:pPr>
            <w:r>
              <w:rPr>
                <w:rFonts w:hint="eastAsia" w:ascii="宋体" w:hAnsi="宋体" w:cs="宋体"/>
                <w:sz w:val="24"/>
                <w:szCs w:val="24"/>
              </w:rPr>
              <w:t>（3）在服务采购项目中，服务由中小企业承接，即提供服务的人员为中小企业依照《中华人民共和国劳动合同法》订立劳动合同的从业人员。</w:t>
            </w:r>
          </w:p>
          <w:p w14:paraId="42C77BB8">
            <w:pPr>
              <w:spacing w:line="360" w:lineRule="auto"/>
              <w:rPr>
                <w:rFonts w:hint="eastAsia" w:ascii="宋体" w:hAnsi="宋体" w:cs="宋体"/>
                <w:sz w:val="24"/>
                <w:szCs w:val="24"/>
              </w:rPr>
            </w:pPr>
            <w:r>
              <w:rPr>
                <w:rFonts w:hint="eastAsia" w:ascii="宋体" w:hAnsi="宋体" w:cs="宋体"/>
                <w:sz w:val="24"/>
                <w:szCs w:val="24"/>
              </w:rPr>
              <w:t>1.3在货物采购项目中，供应商提供的货物既有中小企业制造货物，也有大型企业制造货物的，不享受中小企业扶持政策。</w:t>
            </w:r>
          </w:p>
          <w:p w14:paraId="0C298F6E">
            <w:pPr>
              <w:spacing w:line="360" w:lineRule="auto"/>
              <w:rPr>
                <w:rFonts w:hint="eastAsia" w:ascii="宋体" w:hAnsi="宋体" w:cs="宋体"/>
                <w:sz w:val="24"/>
                <w:szCs w:val="24"/>
              </w:rPr>
            </w:pPr>
            <w:r>
              <w:rPr>
                <w:rFonts w:hint="eastAsia" w:ascii="宋体" w:hAnsi="宋体" w:cs="宋体"/>
                <w:sz w:val="24"/>
                <w:szCs w:val="24"/>
              </w:rPr>
              <w:t>1.4以联合体形式参加政府采购活动，联合体各方均为中小企业的，联合体视同中小企业。其中，联合体各方均为小微企业的，联合体视同小微企业。</w:t>
            </w:r>
          </w:p>
          <w:p w14:paraId="5A2BB652">
            <w:pPr>
              <w:spacing w:line="360" w:lineRule="auto"/>
              <w:rPr>
                <w:rFonts w:hint="eastAsia" w:ascii="宋体" w:hAnsi="宋体" w:cs="宋体"/>
                <w:sz w:val="24"/>
                <w:szCs w:val="24"/>
              </w:rPr>
            </w:pPr>
            <w:r>
              <w:rPr>
                <w:rFonts w:hint="eastAsia" w:ascii="宋体" w:hAnsi="宋体" w:cs="宋体"/>
                <w:sz w:val="24"/>
                <w:szCs w:val="24"/>
              </w:rPr>
              <w:t>1.5在政府采购活动中，监狱企业视同小型、微型企业，享受预留份额、评审中价格扣除等政府采购促进中小企业发展的政府采购政策。</w:t>
            </w:r>
          </w:p>
          <w:p w14:paraId="419D8202">
            <w:pPr>
              <w:spacing w:line="360" w:lineRule="auto"/>
              <w:rPr>
                <w:rFonts w:hint="eastAsia" w:ascii="宋体" w:hAnsi="宋体" w:cs="宋体"/>
                <w:sz w:val="24"/>
                <w:szCs w:val="24"/>
              </w:rPr>
            </w:pPr>
            <w:r>
              <w:rPr>
                <w:rFonts w:hint="eastAsia" w:ascii="宋体" w:hAnsi="宋体" w:cs="宋体"/>
                <w:sz w:val="24"/>
                <w:szCs w:val="24"/>
              </w:rPr>
              <w:t>1.6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2AA713">
            <w:pPr>
              <w:spacing w:line="360" w:lineRule="auto"/>
              <w:rPr>
                <w:rFonts w:hint="eastAsia" w:ascii="宋体" w:hAnsi="宋体" w:cs="宋体"/>
                <w:sz w:val="24"/>
                <w:szCs w:val="24"/>
              </w:rPr>
            </w:pPr>
            <w:r>
              <w:rPr>
                <w:rFonts w:hint="eastAsia" w:ascii="宋体" w:hAnsi="宋体" w:cs="宋体"/>
                <w:sz w:val="24"/>
                <w:szCs w:val="24"/>
              </w:rPr>
              <w:t>1.7在政府采购活动中，残疾人福利性单位视同小型、微型企业，享受预留份额、评审中价格扣除等促进中小企业发展的政府采购政策。</w:t>
            </w:r>
          </w:p>
          <w:p w14:paraId="0A43B6E6">
            <w:pPr>
              <w:spacing w:line="360" w:lineRule="auto"/>
              <w:rPr>
                <w:rFonts w:hint="eastAsia" w:ascii="宋体" w:hAnsi="宋体" w:cs="宋体"/>
                <w:sz w:val="24"/>
                <w:szCs w:val="24"/>
              </w:rPr>
            </w:pPr>
            <w:r>
              <w:rPr>
                <w:rFonts w:hint="eastAsia" w:ascii="宋体" w:hAnsi="宋体" w:cs="宋体"/>
                <w:sz w:val="24"/>
                <w:szCs w:val="24"/>
              </w:rPr>
              <w:t>1.8残疾人福利性单位定义：享受政府采购支持政策的残疾人福利性单位应当同时满足以下条件：</w:t>
            </w:r>
          </w:p>
          <w:p w14:paraId="00B4D5D9">
            <w:pPr>
              <w:spacing w:line="360" w:lineRule="auto"/>
              <w:rPr>
                <w:rFonts w:hint="eastAsia" w:ascii="宋体" w:hAnsi="宋体" w:cs="宋体"/>
                <w:sz w:val="24"/>
                <w:szCs w:val="24"/>
              </w:rPr>
            </w:pPr>
            <w:r>
              <w:rPr>
                <w:rFonts w:hint="eastAsia" w:ascii="宋体" w:hAnsi="宋体" w:cs="宋体"/>
                <w:sz w:val="24"/>
                <w:szCs w:val="24"/>
              </w:rPr>
              <w:t>1.8.1安置的残疾人占本单位在职职工人数的比例不低于25%（含25%），并且安置的残疾人人数不少于10人（含10人）；</w:t>
            </w:r>
          </w:p>
          <w:p w14:paraId="4B0B2AAC">
            <w:pPr>
              <w:spacing w:line="360" w:lineRule="auto"/>
              <w:rPr>
                <w:rFonts w:hint="eastAsia" w:ascii="宋体" w:hAnsi="宋体" w:cs="宋体"/>
                <w:sz w:val="24"/>
                <w:szCs w:val="24"/>
              </w:rPr>
            </w:pPr>
            <w:r>
              <w:rPr>
                <w:rFonts w:hint="eastAsia" w:ascii="宋体" w:hAnsi="宋体" w:cs="宋体"/>
                <w:sz w:val="24"/>
                <w:szCs w:val="24"/>
              </w:rPr>
              <w:t>1.8.2依法与安置的每位残疾人签订了一年以上（含一年）的劳动合同或服务协议；</w:t>
            </w:r>
          </w:p>
          <w:p w14:paraId="5280F569">
            <w:pPr>
              <w:spacing w:line="360" w:lineRule="auto"/>
              <w:rPr>
                <w:rFonts w:hint="eastAsia" w:ascii="宋体" w:hAnsi="宋体" w:cs="宋体"/>
                <w:sz w:val="24"/>
                <w:szCs w:val="24"/>
              </w:rPr>
            </w:pPr>
            <w:r>
              <w:rPr>
                <w:rFonts w:hint="eastAsia" w:ascii="宋体" w:hAnsi="宋体" w:cs="宋体"/>
                <w:sz w:val="24"/>
                <w:szCs w:val="24"/>
              </w:rPr>
              <w:t>1.8.3为安置的每位残疾人按月足额缴纳了基本养老保险、基本医疗保险、失业保险、工伤保险和生育保险等社会保险费；</w:t>
            </w:r>
          </w:p>
          <w:p w14:paraId="04EE8E61">
            <w:pPr>
              <w:spacing w:line="360" w:lineRule="auto"/>
              <w:rPr>
                <w:rFonts w:hint="eastAsia" w:ascii="宋体" w:hAnsi="宋体" w:cs="宋体"/>
                <w:sz w:val="24"/>
                <w:szCs w:val="24"/>
              </w:rPr>
            </w:pPr>
            <w:r>
              <w:rPr>
                <w:rFonts w:hint="eastAsia" w:ascii="宋体" w:hAnsi="宋体" w:cs="宋体"/>
                <w:sz w:val="24"/>
                <w:szCs w:val="24"/>
              </w:rPr>
              <w:t>1.8.4通过银行等金融机构向安置的每位残疾人，按月支付了不低于单位所在区县适用的经省级人民政府批准的月最低工资标准的工资；</w:t>
            </w:r>
          </w:p>
          <w:p w14:paraId="2B21B648">
            <w:pPr>
              <w:spacing w:line="360" w:lineRule="auto"/>
              <w:rPr>
                <w:rFonts w:hint="eastAsia" w:ascii="宋体" w:hAnsi="宋体" w:cs="宋体"/>
                <w:sz w:val="24"/>
                <w:szCs w:val="24"/>
              </w:rPr>
            </w:pPr>
            <w:r>
              <w:rPr>
                <w:rFonts w:hint="eastAsia" w:ascii="宋体" w:hAnsi="宋体" w:cs="宋体"/>
                <w:sz w:val="24"/>
                <w:szCs w:val="24"/>
              </w:rPr>
              <w:t>1.8.5提供本单位制造的货物、承担的工程或者服务（以下简称产 品），或者提供其他残疾人福利性单位制造的货物（不包括使用非残疾人福利性单位注册商标的货物）；</w:t>
            </w:r>
          </w:p>
          <w:p w14:paraId="662EB3CE">
            <w:pPr>
              <w:spacing w:line="360" w:lineRule="auto"/>
              <w:rPr>
                <w:rFonts w:hint="eastAsia" w:ascii="宋体" w:hAnsi="宋体" w:cs="宋体"/>
                <w:sz w:val="24"/>
                <w:szCs w:val="24"/>
              </w:rPr>
            </w:pPr>
            <w:r>
              <w:rPr>
                <w:rFonts w:hint="eastAsia" w:ascii="宋体" w:hAnsi="宋体" w:cs="宋体"/>
                <w:sz w:val="24"/>
                <w:szCs w:val="24"/>
              </w:rPr>
              <w:t>1.8.6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A70B19A">
            <w:pPr>
              <w:spacing w:line="360" w:lineRule="auto"/>
              <w:rPr>
                <w:rFonts w:hint="eastAsia" w:ascii="宋体" w:hAnsi="宋体" w:cs="宋体"/>
                <w:b/>
                <w:bCs/>
                <w:sz w:val="24"/>
                <w:szCs w:val="24"/>
              </w:rPr>
            </w:pPr>
            <w:r>
              <w:rPr>
                <w:rFonts w:hint="eastAsia" w:ascii="宋体" w:hAnsi="宋体" w:cs="宋体"/>
                <w:b/>
                <w:bCs/>
                <w:sz w:val="24"/>
                <w:szCs w:val="24"/>
              </w:rPr>
              <w:t>2.采购标的对应的中小企业划分标准所属行业为</w:t>
            </w:r>
            <w:r>
              <w:rPr>
                <w:rFonts w:hint="eastAsia" w:ascii="宋体" w:hAnsi="宋体" w:cs="宋体"/>
                <w:b/>
                <w:bCs/>
                <w:sz w:val="24"/>
                <w:szCs w:val="24"/>
                <w:u w:val="single"/>
              </w:rPr>
              <w:t>“其他未列明行业”</w:t>
            </w:r>
            <w:r>
              <w:rPr>
                <w:rFonts w:hint="eastAsia" w:ascii="宋体" w:hAnsi="宋体" w:cs="宋体"/>
                <w:b/>
                <w:bCs/>
                <w:sz w:val="24"/>
                <w:szCs w:val="24"/>
              </w:rPr>
              <w:t>。</w:t>
            </w:r>
          </w:p>
          <w:p w14:paraId="03CF3D6B">
            <w:pPr>
              <w:spacing w:line="360" w:lineRule="auto"/>
              <w:rPr>
                <w:rFonts w:hint="eastAsia" w:ascii="宋体" w:hAnsi="宋体" w:cs="宋体"/>
                <w:sz w:val="24"/>
                <w:szCs w:val="24"/>
              </w:rPr>
            </w:pPr>
            <w:r>
              <w:rPr>
                <w:rFonts w:hint="eastAsia" w:ascii="宋体" w:hAnsi="宋体" w:cs="宋体"/>
                <w:sz w:val="24"/>
                <w:szCs w:val="24"/>
              </w:rPr>
              <w:t>3.小微企业价格评审优惠的政策调整：详见《第三章 评审办法（综合评分法）》。</w:t>
            </w:r>
          </w:p>
          <w:p w14:paraId="57F66674">
            <w:pPr>
              <w:spacing w:line="360" w:lineRule="auto"/>
              <w:rPr>
                <w:rFonts w:hint="eastAsia" w:ascii="宋体" w:hAnsi="宋体" w:cs="宋体"/>
                <w:sz w:val="24"/>
                <w:szCs w:val="24"/>
              </w:rPr>
            </w:pPr>
            <w:r>
              <w:rPr>
                <w:rFonts w:hint="eastAsia" w:ascii="宋体" w:hAnsi="宋体" w:cs="宋体"/>
                <w:sz w:val="24"/>
                <w:szCs w:val="24"/>
              </w:rPr>
              <w:t>4.政府采购节能产品、环境标志产品</w:t>
            </w:r>
          </w:p>
          <w:p w14:paraId="4F7674D2">
            <w:pPr>
              <w:spacing w:line="360" w:lineRule="auto"/>
              <w:rPr>
                <w:rFonts w:hint="eastAsia" w:ascii="宋体" w:hAnsi="宋体" w:cs="宋体"/>
                <w:sz w:val="24"/>
                <w:szCs w:val="24"/>
              </w:rPr>
            </w:pPr>
            <w:r>
              <w:rPr>
                <w:rFonts w:hint="eastAsia" w:ascii="宋体" w:hAnsi="宋体" w:cs="宋体"/>
                <w:sz w:val="24"/>
                <w:szCs w:val="24"/>
              </w:rPr>
              <w:t>4.1政府采购节能产品、环境标志产品实施品目清单管理。财政部、发展改革委、生态环境部等部门根据产品节能环保性能、技术水平和市场成熟程度等因素，确定实施政府优先采购和强制采购的产品类别及所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 清单和认证证书实施政府优先采购和强制采购。</w:t>
            </w:r>
          </w:p>
          <w:p w14:paraId="33D6E40B">
            <w:pPr>
              <w:spacing w:line="360" w:lineRule="auto"/>
              <w:rPr>
                <w:rFonts w:hint="eastAsia" w:ascii="宋体" w:hAnsi="宋体" w:cs="宋体"/>
                <w:sz w:val="24"/>
                <w:szCs w:val="24"/>
              </w:rPr>
            </w:pPr>
            <w:r>
              <w:rPr>
                <w:rFonts w:hint="eastAsia" w:ascii="宋体" w:hAnsi="宋体" w:cs="宋体"/>
                <w:sz w:val="24"/>
                <w:szCs w:val="24"/>
              </w:rPr>
              <w:t>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318A947E">
            <w:pPr>
              <w:spacing w:line="360" w:lineRule="auto"/>
              <w:rPr>
                <w:rFonts w:hint="eastAsia" w:ascii="宋体" w:hAnsi="宋体" w:cs="宋体"/>
                <w:sz w:val="24"/>
                <w:szCs w:val="24"/>
              </w:rPr>
            </w:pPr>
            <w:r>
              <w:rPr>
                <w:rFonts w:hint="eastAsia" w:ascii="宋体" w:hAnsi="宋体" w:cs="宋体"/>
                <w:sz w:val="24"/>
                <w:szCs w:val="24"/>
              </w:rPr>
              <w:t>4.3如本项目采购产品属于实施政府强制采购品目清单范围的节能产品，则供应商所报产品必须获得国家确定的认证机构出具的、处于有效期之内的节能产品认证证书，否则投标无效；</w:t>
            </w:r>
          </w:p>
          <w:p w14:paraId="2CC1AEF8">
            <w:pPr>
              <w:widowControl w:val="0"/>
              <w:spacing w:line="360" w:lineRule="auto"/>
              <w:jc w:val="both"/>
              <w:rPr>
                <w:rFonts w:hint="eastAsia" w:ascii="宋体" w:hAnsi="宋体" w:cs="宋体"/>
                <w:kern w:val="2"/>
                <w:sz w:val="24"/>
                <w:szCs w:val="24"/>
              </w:rPr>
            </w:pPr>
            <w:r>
              <w:rPr>
                <w:rFonts w:hint="eastAsia" w:ascii="宋体" w:hAnsi="宋体" w:cs="宋体"/>
                <w:sz w:val="24"/>
                <w:szCs w:val="24"/>
              </w:rPr>
              <w:t>4.4非政府强制采购的节能产品或环境标志产品，依据品目清单和认证证书实施政府优先采购。</w:t>
            </w:r>
          </w:p>
        </w:tc>
      </w:tr>
    </w:tbl>
    <w:p w14:paraId="43B55D2A">
      <w:pPr>
        <w:pStyle w:val="55"/>
        <w:spacing w:line="360" w:lineRule="auto"/>
        <w:rPr>
          <w:rFonts w:hint="eastAsia" w:hAnsi="宋体" w:cs="宋体"/>
        </w:rPr>
      </w:pPr>
    </w:p>
    <w:p w14:paraId="4876AE16">
      <w:pPr>
        <w:pStyle w:val="3"/>
        <w:rPr>
          <w:rFonts w:hint="eastAsia" w:ascii="宋体" w:hAnsi="宋体" w:eastAsia="宋体" w:cs="宋体"/>
          <w:sz w:val="28"/>
          <w:szCs w:val="28"/>
        </w:rPr>
      </w:pPr>
      <w:r>
        <w:rPr>
          <w:rFonts w:hint="eastAsia" w:ascii="宋体" w:hAnsi="宋体" w:eastAsia="宋体" w:cs="宋体"/>
        </w:rPr>
        <w:br w:type="page"/>
      </w:r>
      <w:bookmarkStart w:id="137" w:name="_Toc27064"/>
      <w:bookmarkEnd w:id="137"/>
      <w:bookmarkStart w:id="138" w:name="_Toc20589"/>
      <w:bookmarkEnd w:id="138"/>
      <w:bookmarkStart w:id="139" w:name="_Toc18390"/>
      <w:bookmarkStart w:id="140" w:name="_Toc29577"/>
      <w:bookmarkStart w:id="141" w:name="_Toc16676"/>
      <w:bookmarkStart w:id="142" w:name="_Toc3896282"/>
      <w:bookmarkStart w:id="143" w:name="_Toc165910137"/>
      <w:bookmarkStart w:id="144" w:name="_Toc19039"/>
      <w:bookmarkStart w:id="145" w:name="_Toc401"/>
      <w:bookmarkStart w:id="146" w:name="_Toc10283"/>
      <w:r>
        <w:rPr>
          <w:rFonts w:hint="eastAsia" w:ascii="宋体" w:hAnsi="宋体" w:eastAsia="宋体" w:cs="宋体"/>
          <w:sz w:val="28"/>
          <w:szCs w:val="28"/>
        </w:rPr>
        <w:t>1.总则</w:t>
      </w:r>
      <w:bookmarkEnd w:id="139"/>
      <w:bookmarkEnd w:id="140"/>
      <w:bookmarkEnd w:id="141"/>
      <w:bookmarkEnd w:id="142"/>
      <w:bookmarkEnd w:id="143"/>
      <w:bookmarkEnd w:id="144"/>
      <w:bookmarkEnd w:id="145"/>
      <w:bookmarkEnd w:id="146"/>
    </w:p>
    <w:p w14:paraId="0561A1A3">
      <w:pPr>
        <w:spacing w:line="360" w:lineRule="auto"/>
        <w:rPr>
          <w:rFonts w:hint="eastAsia" w:ascii="宋体" w:hAnsi="宋体" w:cs="宋体"/>
          <w:b/>
          <w:sz w:val="24"/>
          <w:szCs w:val="24"/>
        </w:rPr>
      </w:pPr>
      <w:bookmarkStart w:id="147" w:name="_Toc31335"/>
      <w:bookmarkEnd w:id="147"/>
      <w:bookmarkStart w:id="148" w:name="_Toc700"/>
      <w:r>
        <w:rPr>
          <w:rFonts w:hint="eastAsia" w:ascii="宋体" w:hAnsi="宋体" w:cs="宋体"/>
          <w:b/>
          <w:sz w:val="24"/>
          <w:szCs w:val="24"/>
        </w:rPr>
        <w:t>1.1项目概况</w:t>
      </w:r>
      <w:bookmarkEnd w:id="148"/>
    </w:p>
    <w:p w14:paraId="462D4AA7">
      <w:pPr>
        <w:spacing w:line="360" w:lineRule="auto"/>
        <w:ind w:firstLine="480" w:firstLineChars="200"/>
        <w:rPr>
          <w:rFonts w:hint="eastAsia" w:ascii="宋体" w:hAnsi="宋体" w:cs="宋体"/>
          <w:sz w:val="24"/>
          <w:szCs w:val="24"/>
        </w:rPr>
      </w:pPr>
      <w:r>
        <w:rPr>
          <w:rFonts w:hint="eastAsia" w:ascii="宋体" w:hAnsi="宋体" w:cs="宋体"/>
          <w:sz w:val="24"/>
          <w:szCs w:val="24"/>
        </w:rPr>
        <w:t>1.1.1根据《中华人民共和国政府采购法》、《中华人民共和国政府采购法实施条例》、《政府采购竞争性磋商采购方式管理暂行办法》（财库[2014]214号）等有关法律、法规和规章的规定，本项目已具备磋商条件，现对本项目进行磋商。</w:t>
      </w:r>
    </w:p>
    <w:p w14:paraId="4366488A">
      <w:pPr>
        <w:spacing w:line="360" w:lineRule="auto"/>
        <w:ind w:firstLine="480" w:firstLineChars="200"/>
        <w:rPr>
          <w:rFonts w:hint="eastAsia" w:ascii="宋体" w:hAnsi="宋体" w:cs="宋体"/>
          <w:sz w:val="24"/>
          <w:szCs w:val="24"/>
        </w:rPr>
      </w:pPr>
      <w:r>
        <w:rPr>
          <w:rFonts w:hint="eastAsia" w:ascii="宋体" w:hAnsi="宋体" w:cs="宋体"/>
          <w:sz w:val="24"/>
          <w:szCs w:val="24"/>
        </w:rPr>
        <w:t>1.1.2采购人：见供应商须知前附表。</w:t>
      </w:r>
    </w:p>
    <w:p w14:paraId="22970A55">
      <w:pPr>
        <w:spacing w:line="360" w:lineRule="auto"/>
        <w:ind w:firstLine="480" w:firstLineChars="200"/>
        <w:rPr>
          <w:rFonts w:hint="eastAsia" w:ascii="宋体" w:hAnsi="宋体" w:cs="宋体"/>
          <w:sz w:val="24"/>
          <w:szCs w:val="24"/>
        </w:rPr>
      </w:pPr>
      <w:r>
        <w:rPr>
          <w:rFonts w:hint="eastAsia" w:ascii="宋体" w:hAnsi="宋体" w:cs="宋体"/>
          <w:sz w:val="24"/>
          <w:szCs w:val="24"/>
        </w:rPr>
        <w:t>1.1.3采购代理机构：见供应商须知前附表。</w:t>
      </w:r>
    </w:p>
    <w:p w14:paraId="01FBA8EB">
      <w:pPr>
        <w:spacing w:line="360" w:lineRule="auto"/>
        <w:ind w:firstLine="480" w:firstLineChars="200"/>
        <w:rPr>
          <w:rFonts w:hint="eastAsia" w:ascii="宋体" w:hAnsi="宋体" w:cs="宋体"/>
          <w:sz w:val="24"/>
          <w:szCs w:val="24"/>
        </w:rPr>
      </w:pPr>
      <w:r>
        <w:rPr>
          <w:rFonts w:hint="eastAsia" w:ascii="宋体" w:hAnsi="宋体" w:cs="宋体"/>
          <w:sz w:val="24"/>
          <w:szCs w:val="24"/>
        </w:rPr>
        <w:t>1.1.4项目名称：见供应商须知前附表。</w:t>
      </w:r>
    </w:p>
    <w:p w14:paraId="4C2E9F17">
      <w:pPr>
        <w:spacing w:line="360" w:lineRule="auto"/>
        <w:rPr>
          <w:rFonts w:hint="eastAsia" w:ascii="宋体" w:hAnsi="宋体" w:cs="宋体"/>
          <w:b/>
          <w:sz w:val="24"/>
          <w:szCs w:val="24"/>
        </w:rPr>
      </w:pPr>
      <w:bookmarkStart w:id="149" w:name="_Toc27395"/>
      <w:bookmarkEnd w:id="149"/>
      <w:bookmarkStart w:id="150" w:name="_Toc28747"/>
      <w:r>
        <w:rPr>
          <w:rFonts w:hint="eastAsia" w:ascii="宋体" w:hAnsi="宋体" w:cs="宋体"/>
          <w:b/>
          <w:sz w:val="24"/>
          <w:szCs w:val="24"/>
        </w:rPr>
        <w:t>1.2项目的资金情况</w:t>
      </w:r>
      <w:bookmarkEnd w:id="150"/>
    </w:p>
    <w:p w14:paraId="45E92B73">
      <w:pPr>
        <w:spacing w:line="360" w:lineRule="auto"/>
        <w:ind w:firstLine="480" w:firstLineChars="200"/>
        <w:rPr>
          <w:rFonts w:hint="eastAsia" w:ascii="宋体" w:hAnsi="宋体" w:cs="宋体"/>
          <w:sz w:val="24"/>
          <w:szCs w:val="24"/>
        </w:rPr>
      </w:pPr>
      <w:r>
        <w:rPr>
          <w:rFonts w:hint="eastAsia" w:ascii="宋体" w:hAnsi="宋体" w:cs="宋体"/>
          <w:sz w:val="24"/>
          <w:szCs w:val="24"/>
        </w:rPr>
        <w:t>1.2.1资金落实情况：见供应商须知前附表。</w:t>
      </w:r>
    </w:p>
    <w:p w14:paraId="1934D10C">
      <w:pPr>
        <w:spacing w:line="360" w:lineRule="auto"/>
        <w:ind w:firstLine="480" w:firstLineChars="200"/>
        <w:rPr>
          <w:rFonts w:hint="eastAsia" w:ascii="宋体" w:hAnsi="宋体" w:cs="宋体"/>
          <w:sz w:val="24"/>
          <w:szCs w:val="24"/>
        </w:rPr>
      </w:pPr>
      <w:r>
        <w:rPr>
          <w:rFonts w:hint="eastAsia" w:ascii="宋体" w:hAnsi="宋体" w:cs="宋体"/>
          <w:sz w:val="24"/>
          <w:szCs w:val="24"/>
        </w:rPr>
        <w:t>1.2.2采购预算金额：见供应商须知前附表。</w:t>
      </w:r>
    </w:p>
    <w:p w14:paraId="078BE834">
      <w:pPr>
        <w:spacing w:line="360" w:lineRule="auto"/>
        <w:ind w:firstLine="480" w:firstLineChars="200"/>
        <w:rPr>
          <w:rFonts w:hint="eastAsia" w:ascii="宋体" w:hAnsi="宋体" w:cs="宋体"/>
          <w:sz w:val="24"/>
          <w:szCs w:val="24"/>
        </w:rPr>
      </w:pPr>
      <w:r>
        <w:rPr>
          <w:rFonts w:hint="eastAsia" w:ascii="宋体" w:hAnsi="宋体" w:cs="宋体"/>
          <w:sz w:val="24"/>
          <w:szCs w:val="24"/>
        </w:rPr>
        <w:t>1.2.3最高限价：见供应商须知前附表。</w:t>
      </w:r>
    </w:p>
    <w:p w14:paraId="71C2A881">
      <w:pPr>
        <w:spacing w:line="360" w:lineRule="auto"/>
        <w:rPr>
          <w:rFonts w:hint="eastAsia" w:ascii="宋体" w:hAnsi="宋体" w:cs="宋体"/>
          <w:b/>
          <w:sz w:val="24"/>
          <w:szCs w:val="24"/>
        </w:rPr>
      </w:pPr>
      <w:bookmarkStart w:id="151" w:name="_Toc16064"/>
      <w:bookmarkEnd w:id="151"/>
      <w:bookmarkStart w:id="152" w:name="_Toc20957"/>
      <w:r>
        <w:rPr>
          <w:rFonts w:hint="eastAsia" w:ascii="宋体" w:hAnsi="宋体" w:cs="宋体"/>
          <w:b/>
          <w:sz w:val="24"/>
          <w:szCs w:val="24"/>
        </w:rPr>
        <w:t>1.3服务内容、服务期、</w:t>
      </w:r>
      <w:bookmarkEnd w:id="152"/>
      <w:r>
        <w:rPr>
          <w:rFonts w:hint="eastAsia" w:ascii="宋体" w:hAnsi="宋体" w:cs="宋体"/>
          <w:b/>
          <w:sz w:val="24"/>
          <w:szCs w:val="24"/>
        </w:rPr>
        <w:t>服务地点</w:t>
      </w:r>
    </w:p>
    <w:p w14:paraId="600F6BE0">
      <w:pPr>
        <w:spacing w:line="360" w:lineRule="auto"/>
        <w:ind w:firstLine="480" w:firstLineChars="200"/>
        <w:rPr>
          <w:rFonts w:hint="eastAsia" w:ascii="宋体" w:hAnsi="宋体" w:cs="宋体"/>
          <w:sz w:val="24"/>
          <w:szCs w:val="24"/>
        </w:rPr>
      </w:pPr>
      <w:bookmarkStart w:id="153" w:name="_Toc16202"/>
      <w:bookmarkEnd w:id="153"/>
      <w:r>
        <w:rPr>
          <w:rFonts w:hint="eastAsia" w:ascii="宋体" w:hAnsi="宋体" w:cs="宋体"/>
          <w:sz w:val="24"/>
          <w:szCs w:val="24"/>
        </w:rPr>
        <w:t>1.3.1服务内容：见供应商须知前附表。</w:t>
      </w:r>
    </w:p>
    <w:p w14:paraId="60C7960B">
      <w:pPr>
        <w:spacing w:line="360" w:lineRule="auto"/>
        <w:ind w:firstLine="480" w:firstLineChars="200"/>
        <w:rPr>
          <w:rFonts w:hint="eastAsia" w:ascii="宋体" w:hAnsi="宋体" w:cs="宋体"/>
          <w:sz w:val="24"/>
          <w:szCs w:val="24"/>
        </w:rPr>
      </w:pPr>
      <w:r>
        <w:rPr>
          <w:rFonts w:hint="eastAsia" w:ascii="宋体" w:hAnsi="宋体" w:cs="宋体"/>
          <w:sz w:val="24"/>
          <w:szCs w:val="24"/>
        </w:rPr>
        <w:t>1.3.2合同履行期限：见供应商须知前附表。</w:t>
      </w:r>
    </w:p>
    <w:p w14:paraId="686C4525">
      <w:pPr>
        <w:spacing w:line="360" w:lineRule="auto"/>
        <w:ind w:firstLine="480" w:firstLineChars="200"/>
        <w:rPr>
          <w:rFonts w:hint="eastAsia" w:ascii="宋体" w:hAnsi="宋体" w:cs="宋体"/>
          <w:sz w:val="24"/>
          <w:szCs w:val="24"/>
        </w:rPr>
      </w:pPr>
      <w:r>
        <w:rPr>
          <w:rFonts w:hint="eastAsia" w:ascii="宋体" w:hAnsi="宋体" w:cs="宋体"/>
          <w:sz w:val="24"/>
          <w:szCs w:val="24"/>
        </w:rPr>
        <w:t>1.3.3服务地点：见供应商须知前附表。</w:t>
      </w:r>
    </w:p>
    <w:p w14:paraId="0EC0D2EF">
      <w:pPr>
        <w:spacing w:line="360" w:lineRule="auto"/>
        <w:rPr>
          <w:rFonts w:hint="eastAsia" w:ascii="宋体" w:hAnsi="宋体" w:cs="宋体"/>
          <w:b/>
          <w:sz w:val="24"/>
          <w:szCs w:val="24"/>
        </w:rPr>
      </w:pPr>
      <w:bookmarkStart w:id="154" w:name="_Toc17694"/>
      <w:bookmarkEnd w:id="154"/>
      <w:bookmarkStart w:id="155" w:name="_Toc10611"/>
      <w:r>
        <w:rPr>
          <w:rFonts w:hint="eastAsia" w:ascii="宋体" w:hAnsi="宋体" w:cs="宋体"/>
          <w:b/>
          <w:sz w:val="24"/>
          <w:szCs w:val="24"/>
        </w:rPr>
        <w:t>1.4供应商</w:t>
      </w:r>
      <w:bookmarkEnd w:id="155"/>
      <w:r>
        <w:rPr>
          <w:rFonts w:hint="eastAsia" w:ascii="宋体" w:hAnsi="宋体" w:cs="宋体"/>
          <w:b/>
          <w:sz w:val="24"/>
          <w:szCs w:val="24"/>
        </w:rPr>
        <w:t>资格条件</w:t>
      </w:r>
    </w:p>
    <w:p w14:paraId="3630B14F">
      <w:pPr>
        <w:spacing w:line="360" w:lineRule="auto"/>
        <w:ind w:firstLine="480" w:firstLineChars="200"/>
        <w:rPr>
          <w:rFonts w:hint="eastAsia" w:ascii="宋体" w:hAnsi="宋体" w:cs="宋体"/>
          <w:sz w:val="24"/>
          <w:szCs w:val="24"/>
        </w:rPr>
      </w:pPr>
      <w:r>
        <w:rPr>
          <w:rFonts w:hint="eastAsia" w:ascii="宋体" w:hAnsi="宋体" w:cs="宋体"/>
          <w:sz w:val="24"/>
          <w:szCs w:val="24"/>
        </w:rPr>
        <w:t>1.4.1供应商应具备承担本项目的资格条件。</w:t>
      </w:r>
    </w:p>
    <w:p w14:paraId="392636CF">
      <w:pPr>
        <w:pStyle w:val="14"/>
        <w:widowControl w:val="0"/>
        <w:tabs>
          <w:tab w:val="left" w:pos="2101"/>
        </w:tabs>
        <w:ind w:firstLine="480" w:firstLineChars="200"/>
        <w:rPr>
          <w:rFonts w:hint="eastAsia" w:ascii="宋体" w:hAnsi="宋体" w:cs="宋体"/>
          <w:sz w:val="24"/>
        </w:rPr>
      </w:pPr>
      <w:r>
        <w:rPr>
          <w:rFonts w:hint="eastAsia" w:ascii="宋体" w:hAnsi="宋体" w:cs="宋体"/>
          <w:sz w:val="24"/>
        </w:rPr>
        <w:t>（1）营业执照。①供应商为企业（包括合伙企业）的，应提供有效的“营业执照”；②供应商为事业单位的，应提供有效的“事业单位法人证书”；③供应商是非企业机构的，应提供有效的“执业许可证”、“登记证书”等证明文件；④供应商是个体工商户的，应提供有效的“个体工商户营业执照”；⑤供应商是自然人的，应提供有效的自然人身份证明。⑥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5E8DF260">
      <w:pPr>
        <w:pStyle w:val="14"/>
        <w:widowControl w:val="0"/>
        <w:tabs>
          <w:tab w:val="left" w:pos="2101"/>
        </w:tabs>
        <w:ind w:firstLine="480" w:firstLineChars="200"/>
        <w:rPr>
          <w:rFonts w:hint="eastAsia" w:ascii="宋体" w:hAnsi="宋体" w:cs="宋体"/>
          <w:sz w:val="24"/>
        </w:rPr>
      </w:pPr>
      <w:r>
        <w:rPr>
          <w:rFonts w:hint="eastAsia" w:ascii="宋体" w:hAnsi="宋体" w:cs="宋体"/>
          <w:sz w:val="24"/>
        </w:rPr>
        <w:t>（2）财务报告。①供应商应提供经审计的财务报告及财务报表(包括资产负债表、利润表、现金流量表)；②供应商为事业单位或非企业机构的其他组织的，提供经第三方审计的财务报告（财务报表不做限制）；③供应商是个体工商户或自然人的，无经第三方审计的财务报告的，需提供书面声明函。④分支机构参加投标的，应提供总公司或分公司经第三方审计的财务报告。</w:t>
      </w:r>
    </w:p>
    <w:p w14:paraId="7514AA05">
      <w:pPr>
        <w:spacing w:line="360" w:lineRule="auto"/>
        <w:ind w:firstLine="480" w:firstLineChars="200"/>
        <w:rPr>
          <w:rFonts w:hint="eastAsia" w:ascii="宋体" w:hAnsi="宋体" w:cs="宋体"/>
          <w:sz w:val="24"/>
          <w:szCs w:val="24"/>
        </w:rPr>
      </w:pPr>
      <w:r>
        <w:rPr>
          <w:rFonts w:hint="eastAsia" w:ascii="宋体" w:hAnsi="宋体" w:cs="宋体"/>
          <w:sz w:val="24"/>
          <w:szCs w:val="24"/>
        </w:rPr>
        <w:t>（3）其他资格要求材料根据竞争性磋商文件要求提供。</w:t>
      </w:r>
    </w:p>
    <w:p w14:paraId="321D2758">
      <w:pPr>
        <w:spacing w:line="360" w:lineRule="auto"/>
        <w:ind w:firstLine="480" w:firstLineChars="200"/>
        <w:rPr>
          <w:rFonts w:hint="eastAsia" w:ascii="宋体" w:hAnsi="宋体" w:cs="宋体"/>
          <w:sz w:val="24"/>
          <w:szCs w:val="24"/>
        </w:rPr>
      </w:pPr>
      <w:r>
        <w:rPr>
          <w:rFonts w:hint="eastAsia" w:ascii="宋体" w:hAnsi="宋体" w:cs="宋体"/>
          <w:sz w:val="24"/>
          <w:szCs w:val="24"/>
        </w:rPr>
        <w:t>1.4.2供应商须知前附表规定接受联合体磋商的，联合体除应符合本章第1.4.1项和供应商须知前附表的要求外，还应遵守以下规定：</w:t>
      </w:r>
    </w:p>
    <w:p w14:paraId="4ECF49F4">
      <w:pPr>
        <w:spacing w:line="360" w:lineRule="auto"/>
        <w:ind w:firstLine="540" w:firstLineChars="225"/>
        <w:rPr>
          <w:rFonts w:hint="eastAsia" w:ascii="宋体" w:hAnsi="宋体" w:cs="宋体"/>
          <w:sz w:val="24"/>
          <w:szCs w:val="24"/>
        </w:rPr>
      </w:pPr>
      <w:r>
        <w:rPr>
          <w:rFonts w:hint="eastAsia" w:ascii="宋体" w:hAnsi="宋体" w:cs="宋体"/>
          <w:sz w:val="24"/>
          <w:szCs w:val="24"/>
        </w:rPr>
        <w:t>（1）联合体各方应按竞争性磋商文件提供的格式签订联合体协议书，明确联合体牵头人和各方权利义务，并承诺就成交项目向采购人承担连带责任。</w:t>
      </w:r>
    </w:p>
    <w:p w14:paraId="72933B8E">
      <w:pPr>
        <w:spacing w:line="360" w:lineRule="auto"/>
        <w:ind w:firstLine="540" w:firstLineChars="225"/>
        <w:rPr>
          <w:rFonts w:hint="eastAsia" w:ascii="宋体" w:hAnsi="宋体" w:cs="宋体"/>
          <w:sz w:val="24"/>
          <w:szCs w:val="24"/>
        </w:rPr>
      </w:pPr>
      <w:r>
        <w:rPr>
          <w:rFonts w:hint="eastAsia" w:ascii="宋体" w:hAnsi="宋体" w:cs="宋体"/>
          <w:sz w:val="24"/>
          <w:szCs w:val="24"/>
        </w:rPr>
        <w:t>（2）联合体中有同类资质的供应商按照联合体分工承担相同工作的，应当按照资质等级较低的供应商确定资质等级。</w:t>
      </w:r>
    </w:p>
    <w:p w14:paraId="46FC5AB1">
      <w:pPr>
        <w:spacing w:line="360" w:lineRule="auto"/>
        <w:ind w:firstLine="540" w:firstLineChars="225"/>
        <w:rPr>
          <w:rFonts w:hint="eastAsia" w:ascii="宋体" w:hAnsi="宋体" w:cs="宋体"/>
          <w:sz w:val="24"/>
          <w:szCs w:val="24"/>
        </w:rPr>
      </w:pPr>
      <w:r>
        <w:rPr>
          <w:rFonts w:hint="eastAsia" w:ascii="宋体" w:hAnsi="宋体" w:cs="宋体"/>
          <w:sz w:val="24"/>
          <w:szCs w:val="24"/>
        </w:rPr>
        <w:t>（3）以联合体形式参加政府采购活动的，联合体各方不得再单独参加或者与其他供应商另外组成联合体参加同一合同项下的政府采购活动。</w:t>
      </w:r>
    </w:p>
    <w:p w14:paraId="057F8736">
      <w:pPr>
        <w:spacing w:line="360" w:lineRule="auto"/>
        <w:rPr>
          <w:rFonts w:hint="eastAsia" w:ascii="宋体" w:hAnsi="宋体" w:cs="宋体"/>
          <w:b/>
          <w:sz w:val="24"/>
          <w:szCs w:val="24"/>
        </w:rPr>
      </w:pPr>
      <w:bookmarkStart w:id="156" w:name="_Toc27960"/>
      <w:bookmarkEnd w:id="156"/>
      <w:bookmarkStart w:id="157" w:name="_Toc18144"/>
      <w:r>
        <w:rPr>
          <w:rFonts w:hint="eastAsia" w:ascii="宋体" w:hAnsi="宋体" w:cs="宋体"/>
          <w:b/>
          <w:sz w:val="24"/>
          <w:szCs w:val="24"/>
        </w:rPr>
        <w:t>1.5费用承担</w:t>
      </w:r>
      <w:bookmarkEnd w:id="157"/>
    </w:p>
    <w:p w14:paraId="4E93C1AE">
      <w:pPr>
        <w:spacing w:line="360" w:lineRule="auto"/>
        <w:ind w:firstLine="480" w:firstLineChars="200"/>
        <w:rPr>
          <w:rFonts w:hint="eastAsia" w:ascii="宋体" w:hAnsi="宋体" w:cs="宋体"/>
          <w:sz w:val="24"/>
          <w:szCs w:val="24"/>
        </w:rPr>
      </w:pPr>
      <w:r>
        <w:rPr>
          <w:rFonts w:hint="eastAsia" w:ascii="宋体" w:hAnsi="宋体" w:cs="宋体"/>
          <w:sz w:val="24"/>
          <w:szCs w:val="24"/>
        </w:rPr>
        <w:t>供应商准备和参加磋商活动发生的费用自理。</w:t>
      </w:r>
    </w:p>
    <w:p w14:paraId="4ABB519A">
      <w:pPr>
        <w:spacing w:line="360" w:lineRule="auto"/>
        <w:rPr>
          <w:rFonts w:hint="eastAsia" w:ascii="宋体" w:hAnsi="宋体" w:cs="宋体"/>
          <w:b/>
          <w:sz w:val="24"/>
          <w:szCs w:val="24"/>
        </w:rPr>
      </w:pPr>
      <w:bookmarkStart w:id="158" w:name="_Toc6230"/>
      <w:bookmarkEnd w:id="158"/>
      <w:bookmarkStart w:id="159" w:name="_Toc16680"/>
      <w:r>
        <w:rPr>
          <w:rFonts w:hint="eastAsia" w:ascii="宋体" w:hAnsi="宋体" w:cs="宋体"/>
          <w:b/>
          <w:sz w:val="24"/>
          <w:szCs w:val="24"/>
        </w:rPr>
        <w:t>1.6保密</w:t>
      </w:r>
      <w:bookmarkEnd w:id="159"/>
    </w:p>
    <w:p w14:paraId="188A4A64">
      <w:pPr>
        <w:spacing w:line="360" w:lineRule="auto"/>
        <w:ind w:firstLine="480" w:firstLineChars="200"/>
        <w:rPr>
          <w:rFonts w:hint="eastAsia" w:ascii="宋体" w:hAnsi="宋体" w:cs="宋体"/>
          <w:sz w:val="24"/>
          <w:szCs w:val="24"/>
        </w:rPr>
      </w:pPr>
      <w:r>
        <w:rPr>
          <w:rFonts w:hint="eastAsia" w:ascii="宋体" w:hAnsi="宋体" w:cs="宋体"/>
          <w:sz w:val="24"/>
          <w:szCs w:val="24"/>
        </w:rPr>
        <w:t>参与磋商活动的各方应对竞争性磋商文件和响应文件中的商业和技术等秘密保密，则应承担相应的法律责任。</w:t>
      </w:r>
    </w:p>
    <w:p w14:paraId="54C813EF">
      <w:pPr>
        <w:spacing w:line="360" w:lineRule="auto"/>
        <w:rPr>
          <w:rFonts w:hint="eastAsia" w:ascii="宋体" w:hAnsi="宋体" w:cs="宋体"/>
          <w:b/>
          <w:sz w:val="24"/>
          <w:szCs w:val="24"/>
        </w:rPr>
      </w:pPr>
      <w:bookmarkStart w:id="160" w:name="_Toc31781"/>
      <w:bookmarkEnd w:id="160"/>
      <w:bookmarkStart w:id="161" w:name="_Toc787"/>
      <w:r>
        <w:rPr>
          <w:rFonts w:hint="eastAsia" w:ascii="宋体" w:hAnsi="宋体" w:cs="宋体"/>
          <w:b/>
          <w:sz w:val="24"/>
          <w:szCs w:val="24"/>
        </w:rPr>
        <w:t>1.7语言文字</w:t>
      </w:r>
      <w:bookmarkEnd w:id="161"/>
    </w:p>
    <w:p w14:paraId="40477A37">
      <w:pPr>
        <w:spacing w:line="360" w:lineRule="auto"/>
        <w:ind w:firstLine="480" w:firstLineChars="200"/>
        <w:rPr>
          <w:rFonts w:hint="eastAsia" w:ascii="宋体" w:hAnsi="宋体" w:cs="宋体"/>
          <w:sz w:val="24"/>
          <w:szCs w:val="24"/>
        </w:rPr>
      </w:pPr>
      <w:r>
        <w:rPr>
          <w:rFonts w:hint="eastAsia" w:ascii="宋体" w:hAnsi="宋体" w:cs="宋体"/>
          <w:sz w:val="24"/>
          <w:szCs w:val="24"/>
        </w:rPr>
        <w:t>响应文件使用的语言文字为中文。专用术语使用外文的，应附有中文注释。</w:t>
      </w:r>
    </w:p>
    <w:p w14:paraId="13917D42">
      <w:pPr>
        <w:spacing w:line="360" w:lineRule="auto"/>
        <w:rPr>
          <w:rFonts w:hint="eastAsia" w:ascii="宋体" w:hAnsi="宋体" w:cs="宋体"/>
          <w:b/>
          <w:sz w:val="24"/>
          <w:szCs w:val="24"/>
        </w:rPr>
      </w:pPr>
      <w:bookmarkStart w:id="162" w:name="_Toc29423"/>
      <w:bookmarkEnd w:id="162"/>
      <w:bookmarkStart w:id="163" w:name="_Toc29116"/>
      <w:r>
        <w:rPr>
          <w:rFonts w:hint="eastAsia" w:ascii="宋体" w:hAnsi="宋体" w:cs="宋体"/>
          <w:b/>
          <w:sz w:val="24"/>
          <w:szCs w:val="24"/>
        </w:rPr>
        <w:t>1.8计量单位</w:t>
      </w:r>
      <w:bookmarkEnd w:id="163"/>
    </w:p>
    <w:p w14:paraId="49EE3D8C">
      <w:pPr>
        <w:spacing w:line="360" w:lineRule="auto"/>
        <w:ind w:firstLine="480" w:firstLineChars="200"/>
        <w:rPr>
          <w:rFonts w:hint="eastAsia" w:ascii="宋体" w:hAnsi="宋体" w:cs="宋体"/>
          <w:sz w:val="24"/>
          <w:szCs w:val="24"/>
        </w:rPr>
      </w:pPr>
      <w:r>
        <w:rPr>
          <w:rFonts w:hint="eastAsia" w:ascii="宋体" w:hAnsi="宋体" w:cs="宋体"/>
          <w:sz w:val="24"/>
          <w:szCs w:val="24"/>
        </w:rPr>
        <w:t>所有计量均采用中华人民共和国法定计量单位。</w:t>
      </w:r>
    </w:p>
    <w:p w14:paraId="40C0577C">
      <w:pPr>
        <w:spacing w:line="360" w:lineRule="auto"/>
        <w:rPr>
          <w:rFonts w:hint="eastAsia" w:ascii="宋体" w:hAnsi="宋体" w:cs="宋体"/>
          <w:b/>
          <w:sz w:val="24"/>
          <w:szCs w:val="24"/>
        </w:rPr>
      </w:pPr>
      <w:bookmarkStart w:id="164" w:name="_Toc152042315"/>
      <w:bookmarkEnd w:id="164"/>
      <w:bookmarkStart w:id="165" w:name="_Toc296602429"/>
      <w:bookmarkEnd w:id="165"/>
      <w:bookmarkStart w:id="166" w:name="_Toc152045539"/>
      <w:bookmarkEnd w:id="166"/>
      <w:bookmarkStart w:id="167" w:name="_Toc144974507"/>
      <w:bookmarkEnd w:id="167"/>
      <w:bookmarkStart w:id="168" w:name="_Toc247513962"/>
      <w:bookmarkEnd w:id="168"/>
      <w:bookmarkStart w:id="169" w:name="_Toc247527563"/>
      <w:bookmarkEnd w:id="169"/>
      <w:bookmarkStart w:id="170" w:name="_Toc247592876"/>
      <w:bookmarkEnd w:id="170"/>
      <w:bookmarkStart w:id="171" w:name="_Toc29812"/>
      <w:bookmarkEnd w:id="171"/>
      <w:bookmarkStart w:id="172" w:name="_Toc29408"/>
      <w:r>
        <w:rPr>
          <w:rFonts w:hint="eastAsia" w:ascii="宋体" w:hAnsi="宋体" w:cs="宋体"/>
          <w:b/>
          <w:sz w:val="24"/>
          <w:szCs w:val="24"/>
        </w:rPr>
        <w:t>1.9现场</w:t>
      </w:r>
      <w:bookmarkEnd w:id="172"/>
      <w:r>
        <w:rPr>
          <w:rFonts w:hint="eastAsia" w:ascii="宋体" w:hAnsi="宋体" w:cs="宋体"/>
          <w:b/>
          <w:sz w:val="24"/>
          <w:szCs w:val="24"/>
        </w:rPr>
        <w:t>考察</w:t>
      </w:r>
    </w:p>
    <w:p w14:paraId="6E3C1910">
      <w:pPr>
        <w:spacing w:line="360" w:lineRule="auto"/>
        <w:ind w:firstLine="480" w:firstLineChars="200"/>
        <w:rPr>
          <w:rFonts w:hint="eastAsia" w:ascii="宋体" w:hAnsi="宋体" w:cs="宋体"/>
          <w:sz w:val="24"/>
          <w:szCs w:val="24"/>
        </w:rPr>
      </w:pPr>
      <w:r>
        <w:rPr>
          <w:rFonts w:hint="eastAsia" w:ascii="宋体" w:hAnsi="宋体" w:cs="宋体"/>
          <w:sz w:val="24"/>
          <w:szCs w:val="24"/>
        </w:rPr>
        <w:t>1.9.1供应商须知前附表规定组织现场考察的，采购人按供应商须知前附表规定的时间、地点组织供应商考察项目现场。</w:t>
      </w:r>
    </w:p>
    <w:p w14:paraId="19BE21A3">
      <w:pPr>
        <w:spacing w:line="360" w:lineRule="auto"/>
        <w:ind w:firstLine="480" w:firstLineChars="200"/>
        <w:rPr>
          <w:rFonts w:hint="eastAsia" w:ascii="宋体" w:hAnsi="宋体" w:cs="宋体"/>
          <w:sz w:val="24"/>
          <w:szCs w:val="24"/>
        </w:rPr>
      </w:pPr>
      <w:r>
        <w:rPr>
          <w:rFonts w:hint="eastAsia" w:ascii="宋体" w:hAnsi="宋体" w:cs="宋体"/>
          <w:sz w:val="24"/>
          <w:szCs w:val="24"/>
        </w:rPr>
        <w:t>1.9.2供应商考察现场发生的费用自理。</w:t>
      </w:r>
    </w:p>
    <w:p w14:paraId="7D546F21">
      <w:pPr>
        <w:spacing w:line="360" w:lineRule="auto"/>
        <w:ind w:firstLine="480" w:firstLineChars="200"/>
        <w:rPr>
          <w:rFonts w:hint="eastAsia" w:ascii="宋体" w:hAnsi="宋体" w:cs="宋体"/>
          <w:sz w:val="24"/>
          <w:szCs w:val="24"/>
        </w:rPr>
      </w:pPr>
      <w:r>
        <w:rPr>
          <w:rFonts w:hint="eastAsia" w:ascii="宋体" w:hAnsi="宋体" w:cs="宋体"/>
          <w:sz w:val="24"/>
          <w:szCs w:val="24"/>
        </w:rPr>
        <w:t>1.9.3除采购人的原因外，供应商自行负责在考察现场中所发生的人员伤亡和财产损失。</w:t>
      </w:r>
    </w:p>
    <w:p w14:paraId="4B20F040">
      <w:pPr>
        <w:spacing w:line="360" w:lineRule="auto"/>
        <w:ind w:firstLine="480" w:firstLineChars="200"/>
        <w:rPr>
          <w:rFonts w:hint="eastAsia" w:ascii="宋体" w:hAnsi="宋体" w:cs="宋体"/>
          <w:sz w:val="24"/>
          <w:szCs w:val="24"/>
        </w:rPr>
      </w:pPr>
      <w:r>
        <w:rPr>
          <w:rFonts w:hint="eastAsia" w:ascii="宋体" w:hAnsi="宋体" w:cs="宋体"/>
          <w:sz w:val="24"/>
          <w:szCs w:val="24"/>
        </w:rPr>
        <w:t>1.9.4采购人在考察现场中介绍的项目场地和相关的周边环境情况，供供应商在编制响应文件时参考，采购人不对供应商据此作出的判断和决策负责。</w:t>
      </w:r>
      <w:bookmarkStart w:id="173" w:name="_Toc31848"/>
      <w:bookmarkEnd w:id="173"/>
    </w:p>
    <w:p w14:paraId="3D6B7CA9">
      <w:pPr>
        <w:spacing w:line="360" w:lineRule="auto"/>
        <w:rPr>
          <w:rFonts w:hint="eastAsia" w:ascii="宋体" w:hAnsi="宋体" w:cs="宋体"/>
          <w:b/>
          <w:sz w:val="24"/>
          <w:szCs w:val="24"/>
        </w:rPr>
      </w:pPr>
      <w:bookmarkStart w:id="174" w:name="_Toc587"/>
      <w:bookmarkEnd w:id="174"/>
      <w:bookmarkStart w:id="175" w:name="_Toc29345"/>
      <w:r>
        <w:rPr>
          <w:rFonts w:hint="eastAsia" w:ascii="宋体" w:hAnsi="宋体" w:cs="宋体"/>
          <w:b/>
          <w:sz w:val="24"/>
          <w:szCs w:val="24"/>
        </w:rPr>
        <w:t>1.10响应和偏</w:t>
      </w:r>
      <w:bookmarkEnd w:id="175"/>
      <w:r>
        <w:rPr>
          <w:rFonts w:hint="eastAsia" w:ascii="宋体" w:hAnsi="宋体" w:cs="宋体"/>
          <w:b/>
          <w:sz w:val="24"/>
          <w:szCs w:val="24"/>
        </w:rPr>
        <w:t>离</w:t>
      </w:r>
    </w:p>
    <w:p w14:paraId="54C7DB28">
      <w:pPr>
        <w:spacing w:line="360" w:lineRule="auto"/>
        <w:ind w:firstLine="480" w:firstLineChars="200"/>
        <w:rPr>
          <w:rFonts w:hint="eastAsia" w:ascii="宋体" w:hAnsi="宋体" w:cs="宋体"/>
          <w:sz w:val="24"/>
          <w:szCs w:val="24"/>
        </w:rPr>
      </w:pPr>
      <w:bookmarkStart w:id="176" w:name="page22"/>
      <w:bookmarkEnd w:id="176"/>
      <w:r>
        <w:rPr>
          <w:rFonts w:hint="eastAsia" w:ascii="宋体" w:hAnsi="宋体" w:cs="宋体"/>
          <w:sz w:val="24"/>
          <w:szCs w:val="24"/>
        </w:rPr>
        <w:t>响应文件应当对竞争性磋商文件的实质性要求和条件作出响应，否则，供应商磋商无效。</w:t>
      </w:r>
      <w:r>
        <w:rPr>
          <w:rFonts w:hint="eastAsia" w:ascii="宋体" w:hAnsi="宋体" w:cs="宋体"/>
          <w:b/>
          <w:bCs/>
          <w:kern w:val="2"/>
          <w:sz w:val="24"/>
          <w:szCs w:val="24"/>
        </w:rPr>
        <w:t>不允许偏离的</w:t>
      </w:r>
      <w:r>
        <w:rPr>
          <w:rFonts w:hint="eastAsia" w:ascii="宋体" w:hAnsi="宋体" w:cs="宋体"/>
          <w:b/>
          <w:bCs/>
          <w:sz w:val="24"/>
          <w:szCs w:val="24"/>
        </w:rPr>
        <w:t>实质性要求和条件见供应商须知前附表。</w:t>
      </w:r>
    </w:p>
    <w:p w14:paraId="7FDE09D3">
      <w:pPr>
        <w:pStyle w:val="3"/>
        <w:rPr>
          <w:rFonts w:hint="eastAsia" w:ascii="宋体" w:hAnsi="宋体" w:eastAsia="宋体" w:cs="宋体"/>
          <w:sz w:val="28"/>
          <w:szCs w:val="28"/>
        </w:rPr>
      </w:pPr>
      <w:bookmarkStart w:id="177" w:name="_Toc32012"/>
      <w:bookmarkEnd w:id="177"/>
      <w:bookmarkStart w:id="178" w:name="_Toc31795"/>
      <w:bookmarkEnd w:id="178"/>
      <w:bookmarkStart w:id="179" w:name="_Toc8487"/>
      <w:bookmarkStart w:id="180" w:name="_Toc27126"/>
      <w:bookmarkStart w:id="181" w:name="_Toc22171"/>
      <w:bookmarkStart w:id="182" w:name="_Toc31733"/>
      <w:bookmarkStart w:id="183" w:name="_Toc165910138"/>
      <w:bookmarkStart w:id="184" w:name="_Toc3896283"/>
      <w:bookmarkStart w:id="185" w:name="_Toc24725"/>
      <w:bookmarkStart w:id="186" w:name="_Toc9824"/>
      <w:r>
        <w:rPr>
          <w:rFonts w:hint="eastAsia" w:ascii="宋体" w:hAnsi="宋体" w:eastAsia="宋体" w:cs="宋体"/>
          <w:sz w:val="28"/>
          <w:szCs w:val="28"/>
        </w:rPr>
        <w:t>2.竞争性磋商文件</w:t>
      </w:r>
      <w:bookmarkEnd w:id="179"/>
      <w:bookmarkEnd w:id="180"/>
      <w:bookmarkEnd w:id="181"/>
      <w:bookmarkEnd w:id="182"/>
      <w:bookmarkEnd w:id="183"/>
      <w:bookmarkEnd w:id="184"/>
      <w:bookmarkEnd w:id="185"/>
      <w:bookmarkEnd w:id="186"/>
    </w:p>
    <w:p w14:paraId="6E65DA39">
      <w:pPr>
        <w:spacing w:line="360" w:lineRule="auto"/>
        <w:rPr>
          <w:rFonts w:hint="eastAsia" w:ascii="宋体" w:hAnsi="宋体" w:cs="宋体"/>
          <w:b/>
          <w:sz w:val="24"/>
          <w:szCs w:val="24"/>
        </w:rPr>
      </w:pPr>
      <w:bookmarkStart w:id="187" w:name="_Toc21536"/>
      <w:bookmarkEnd w:id="187"/>
      <w:bookmarkStart w:id="188" w:name="_Toc16596"/>
      <w:r>
        <w:rPr>
          <w:rFonts w:hint="eastAsia" w:ascii="宋体" w:hAnsi="宋体" w:cs="宋体"/>
          <w:b/>
          <w:sz w:val="24"/>
          <w:szCs w:val="24"/>
        </w:rPr>
        <w:t>2.1竞争性磋商文件的组成</w:t>
      </w:r>
      <w:bookmarkEnd w:id="188"/>
    </w:p>
    <w:p w14:paraId="0F2CD99B">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本竞争性磋商文件包括：</w:t>
      </w:r>
    </w:p>
    <w:p w14:paraId="64ACD8D9">
      <w:pPr>
        <w:spacing w:line="360" w:lineRule="auto"/>
        <w:ind w:firstLine="540" w:firstLineChars="225"/>
        <w:rPr>
          <w:rFonts w:hint="eastAsia" w:ascii="宋体" w:hAnsi="宋体" w:cs="宋体"/>
          <w:sz w:val="24"/>
          <w:szCs w:val="24"/>
        </w:rPr>
      </w:pPr>
      <w:r>
        <w:rPr>
          <w:rFonts w:hint="eastAsia" w:ascii="宋体" w:hAnsi="宋体" w:cs="宋体"/>
          <w:sz w:val="24"/>
          <w:szCs w:val="24"/>
        </w:rPr>
        <w:t>（1）竞争性磋商公告；</w:t>
      </w:r>
    </w:p>
    <w:p w14:paraId="7DF97568">
      <w:pPr>
        <w:spacing w:line="360" w:lineRule="auto"/>
        <w:ind w:firstLine="540" w:firstLineChars="225"/>
        <w:rPr>
          <w:rFonts w:hint="eastAsia" w:ascii="宋体" w:hAnsi="宋体" w:cs="宋体"/>
          <w:sz w:val="24"/>
          <w:szCs w:val="24"/>
        </w:rPr>
      </w:pPr>
      <w:r>
        <w:rPr>
          <w:rFonts w:hint="eastAsia" w:ascii="宋体" w:hAnsi="宋体" w:cs="宋体"/>
          <w:sz w:val="24"/>
          <w:szCs w:val="24"/>
        </w:rPr>
        <w:t>（2）供应商须知；</w:t>
      </w:r>
    </w:p>
    <w:p w14:paraId="666BF6BA">
      <w:pPr>
        <w:spacing w:line="360" w:lineRule="auto"/>
        <w:ind w:firstLine="540" w:firstLineChars="225"/>
        <w:rPr>
          <w:rFonts w:hint="eastAsia" w:ascii="宋体" w:hAnsi="宋体" w:cs="宋体"/>
          <w:sz w:val="24"/>
          <w:szCs w:val="24"/>
        </w:rPr>
      </w:pPr>
      <w:r>
        <w:rPr>
          <w:rFonts w:hint="eastAsia" w:ascii="宋体" w:hAnsi="宋体" w:cs="宋体"/>
          <w:sz w:val="24"/>
          <w:szCs w:val="24"/>
        </w:rPr>
        <w:t>（3）评审办法；</w:t>
      </w:r>
    </w:p>
    <w:p w14:paraId="2B4EC31F">
      <w:pPr>
        <w:spacing w:line="360" w:lineRule="auto"/>
        <w:ind w:firstLine="540" w:firstLineChars="225"/>
        <w:rPr>
          <w:rFonts w:hint="eastAsia" w:ascii="宋体" w:hAnsi="宋体" w:cs="宋体"/>
          <w:sz w:val="24"/>
          <w:szCs w:val="24"/>
        </w:rPr>
      </w:pPr>
      <w:r>
        <w:rPr>
          <w:rFonts w:hint="eastAsia" w:ascii="宋体" w:hAnsi="宋体" w:cs="宋体"/>
          <w:sz w:val="24"/>
          <w:szCs w:val="24"/>
        </w:rPr>
        <w:t>（4）合同草案条款；</w:t>
      </w:r>
    </w:p>
    <w:p w14:paraId="34BA859D">
      <w:pPr>
        <w:spacing w:line="360" w:lineRule="auto"/>
        <w:ind w:firstLine="540" w:firstLineChars="225"/>
        <w:rPr>
          <w:rFonts w:hint="eastAsia" w:ascii="宋体" w:hAnsi="宋体" w:cs="宋体"/>
          <w:sz w:val="24"/>
          <w:szCs w:val="24"/>
        </w:rPr>
      </w:pPr>
      <w:r>
        <w:rPr>
          <w:rFonts w:hint="eastAsia" w:ascii="宋体" w:hAnsi="宋体" w:cs="宋体"/>
          <w:sz w:val="24"/>
          <w:szCs w:val="24"/>
        </w:rPr>
        <w:t>（5）服务内容及要求；</w:t>
      </w:r>
    </w:p>
    <w:p w14:paraId="4C7F6868">
      <w:pPr>
        <w:spacing w:line="360" w:lineRule="auto"/>
        <w:ind w:firstLine="540" w:firstLineChars="225"/>
        <w:rPr>
          <w:rFonts w:hint="eastAsia" w:ascii="宋体" w:hAnsi="宋体" w:cs="宋体"/>
          <w:sz w:val="24"/>
          <w:szCs w:val="24"/>
        </w:rPr>
      </w:pPr>
      <w:r>
        <w:rPr>
          <w:rFonts w:hint="eastAsia" w:ascii="宋体" w:hAnsi="宋体" w:cs="宋体"/>
          <w:sz w:val="24"/>
          <w:szCs w:val="24"/>
        </w:rPr>
        <w:t>（6）响应文件格式；</w:t>
      </w:r>
    </w:p>
    <w:p w14:paraId="5E50F389">
      <w:pPr>
        <w:spacing w:line="360" w:lineRule="auto"/>
        <w:ind w:firstLine="540" w:firstLineChars="225"/>
        <w:rPr>
          <w:rFonts w:hint="eastAsia" w:ascii="宋体" w:hAnsi="宋体" w:cs="宋体"/>
          <w:sz w:val="24"/>
          <w:szCs w:val="24"/>
        </w:rPr>
      </w:pPr>
      <w:r>
        <w:rPr>
          <w:rFonts w:hint="eastAsia" w:ascii="宋体" w:hAnsi="宋体" w:cs="宋体"/>
          <w:sz w:val="24"/>
          <w:szCs w:val="24"/>
        </w:rPr>
        <w:t>（7）供应商须知前附表规定的其他材料。</w:t>
      </w:r>
    </w:p>
    <w:p w14:paraId="407F071A">
      <w:pPr>
        <w:spacing w:line="360" w:lineRule="auto"/>
        <w:ind w:firstLine="480" w:firstLineChars="200"/>
        <w:rPr>
          <w:rFonts w:hint="eastAsia" w:ascii="宋体" w:hAnsi="宋体" w:cs="宋体"/>
          <w:sz w:val="24"/>
          <w:szCs w:val="24"/>
        </w:rPr>
      </w:pPr>
      <w:r>
        <w:rPr>
          <w:rFonts w:hint="eastAsia" w:ascii="宋体" w:hAnsi="宋体" w:cs="宋体"/>
          <w:sz w:val="24"/>
          <w:szCs w:val="24"/>
        </w:rPr>
        <w:t>根据本章第2.2款和第2.3款对竞争性磋商文件所作的澄清、修改，构成竞争性磋商文件的组成部分。</w:t>
      </w:r>
    </w:p>
    <w:p w14:paraId="4B5F8DC8">
      <w:pPr>
        <w:spacing w:line="360" w:lineRule="auto"/>
        <w:rPr>
          <w:rFonts w:hint="eastAsia" w:ascii="宋体" w:hAnsi="宋体" w:cs="宋体"/>
          <w:b/>
          <w:sz w:val="24"/>
          <w:szCs w:val="24"/>
        </w:rPr>
      </w:pPr>
      <w:bookmarkStart w:id="189" w:name="_Toc23003"/>
      <w:bookmarkEnd w:id="189"/>
      <w:bookmarkStart w:id="190" w:name="_Toc13591"/>
      <w:r>
        <w:rPr>
          <w:rFonts w:hint="eastAsia" w:ascii="宋体" w:hAnsi="宋体" w:cs="宋体"/>
          <w:b/>
          <w:sz w:val="24"/>
          <w:szCs w:val="24"/>
        </w:rPr>
        <w:t>2.2竞争性磋商文件的澄清</w:t>
      </w:r>
      <w:bookmarkEnd w:id="190"/>
    </w:p>
    <w:p w14:paraId="144CB3F4">
      <w:pPr>
        <w:pStyle w:val="14"/>
        <w:ind w:firstLine="480" w:firstLineChars="200"/>
        <w:rPr>
          <w:rFonts w:hint="eastAsia" w:ascii="宋体" w:hAnsi="宋体" w:cs="宋体"/>
          <w:kern w:val="0"/>
          <w:sz w:val="24"/>
        </w:rPr>
      </w:pPr>
      <w:r>
        <w:rPr>
          <w:rFonts w:hint="eastAsia" w:ascii="宋体" w:hAnsi="宋体" w:cs="宋体"/>
          <w:sz w:val="24"/>
        </w:rPr>
        <w:t>2.2.1供应商应仔细阅读和检查竞争性磋商文件的全部内容。如发现缺页或附件不全，应及时向采购代理机构提出，以便补齐。</w:t>
      </w:r>
    </w:p>
    <w:p w14:paraId="1027A4A9">
      <w:pPr>
        <w:spacing w:line="360" w:lineRule="auto"/>
        <w:ind w:firstLine="480" w:firstLineChars="200"/>
        <w:rPr>
          <w:rFonts w:hint="eastAsia" w:ascii="宋体" w:hAnsi="宋体" w:cs="宋体"/>
          <w:sz w:val="24"/>
          <w:szCs w:val="24"/>
        </w:rPr>
      </w:pPr>
      <w:r>
        <w:rPr>
          <w:rFonts w:hint="eastAsia" w:ascii="宋体" w:hAnsi="宋体" w:cs="宋体"/>
          <w:sz w:val="24"/>
          <w:szCs w:val="24"/>
        </w:rPr>
        <w:t>2.2.2竞争性磋商文件的澄清以供应商须知前附表规定的形式发给所有获取竞争性磋商文件的供应商，但不指明澄清问题的来源。澄清发出的时间距本章第4.2.1项规定的响应文件提交截止时间不足5日的，并且澄清内容可能影响响应文件编制的，将相应延长响应文件提交截止时间。</w:t>
      </w:r>
    </w:p>
    <w:p w14:paraId="0636A835">
      <w:pPr>
        <w:spacing w:line="360" w:lineRule="auto"/>
        <w:ind w:firstLine="480" w:firstLineChars="200"/>
        <w:rPr>
          <w:rFonts w:hint="eastAsia" w:ascii="宋体" w:hAnsi="宋体" w:cs="宋体"/>
          <w:sz w:val="24"/>
          <w:szCs w:val="24"/>
        </w:rPr>
      </w:pPr>
      <w:r>
        <w:rPr>
          <w:rFonts w:hint="eastAsia" w:ascii="宋体" w:hAnsi="宋体" w:cs="宋体"/>
          <w:sz w:val="24"/>
          <w:szCs w:val="24"/>
        </w:rPr>
        <w:t>2.2.3采购人或者采购代理机构应当应及时对供应商依法提出的询问作出答复。</w:t>
      </w:r>
    </w:p>
    <w:p w14:paraId="2E29AF7A">
      <w:pPr>
        <w:spacing w:line="360" w:lineRule="auto"/>
        <w:rPr>
          <w:rFonts w:hint="eastAsia" w:ascii="宋体" w:hAnsi="宋体" w:cs="宋体"/>
          <w:b/>
          <w:sz w:val="24"/>
          <w:szCs w:val="24"/>
        </w:rPr>
      </w:pPr>
      <w:bookmarkStart w:id="191" w:name="_Toc17621"/>
      <w:bookmarkEnd w:id="191"/>
      <w:bookmarkStart w:id="192" w:name="_Toc8029"/>
      <w:r>
        <w:rPr>
          <w:rFonts w:hint="eastAsia" w:ascii="宋体" w:hAnsi="宋体" w:cs="宋体"/>
          <w:b/>
          <w:sz w:val="24"/>
          <w:szCs w:val="24"/>
        </w:rPr>
        <w:t>2.3竞争性磋商文件的修改</w:t>
      </w:r>
      <w:bookmarkEnd w:id="192"/>
    </w:p>
    <w:p w14:paraId="5A0D60D5">
      <w:pPr>
        <w:spacing w:line="360" w:lineRule="auto"/>
        <w:ind w:firstLine="480" w:firstLineChars="200"/>
        <w:rPr>
          <w:rFonts w:hint="eastAsia" w:ascii="宋体" w:hAnsi="宋体" w:cs="宋体"/>
          <w:sz w:val="24"/>
          <w:szCs w:val="24"/>
        </w:rPr>
      </w:pPr>
      <w:r>
        <w:rPr>
          <w:rFonts w:hint="eastAsia" w:ascii="宋体" w:hAnsi="宋体" w:cs="宋体"/>
          <w:sz w:val="24"/>
          <w:szCs w:val="24"/>
        </w:rPr>
        <w:t>2.3.1采购人以供应商须知前附表规定的形式修改竞争性磋商文件，并通知所有已获取竞争性磋商文件的供应商。修改竞争性磋商文件的时间距本章4.2.1项规定的响应文件提交截止时间不足5日的，并且修改内容可能影响响应文件编制的，将相应延长响应文件提交截止时间。</w:t>
      </w:r>
    </w:p>
    <w:p w14:paraId="5BB2F6F3">
      <w:pPr>
        <w:pStyle w:val="3"/>
        <w:rPr>
          <w:rFonts w:hint="eastAsia" w:ascii="宋体" w:hAnsi="宋体" w:eastAsia="宋体" w:cs="宋体"/>
          <w:sz w:val="28"/>
          <w:szCs w:val="28"/>
        </w:rPr>
      </w:pPr>
      <w:bookmarkStart w:id="193" w:name="_Toc16663"/>
      <w:bookmarkEnd w:id="193"/>
      <w:bookmarkStart w:id="194" w:name="_Toc29741"/>
      <w:bookmarkEnd w:id="194"/>
      <w:bookmarkStart w:id="195" w:name="_Toc24916"/>
      <w:bookmarkEnd w:id="195"/>
      <w:bookmarkStart w:id="196" w:name="_Toc27593"/>
      <w:bookmarkStart w:id="197" w:name="_Toc165910139"/>
      <w:bookmarkStart w:id="198" w:name="_Toc24768"/>
      <w:bookmarkStart w:id="199" w:name="_Toc177"/>
      <w:bookmarkStart w:id="200" w:name="_Toc3896284"/>
      <w:bookmarkStart w:id="201" w:name="_Toc25386"/>
      <w:bookmarkStart w:id="202" w:name="_Toc12057"/>
      <w:bookmarkStart w:id="203" w:name="_Toc29670"/>
      <w:r>
        <w:rPr>
          <w:rFonts w:hint="eastAsia" w:ascii="宋体" w:hAnsi="宋体" w:eastAsia="宋体" w:cs="宋体"/>
          <w:sz w:val="28"/>
          <w:szCs w:val="28"/>
        </w:rPr>
        <w:t>3.响应文件</w:t>
      </w:r>
      <w:bookmarkEnd w:id="196"/>
      <w:bookmarkEnd w:id="197"/>
      <w:bookmarkEnd w:id="198"/>
      <w:bookmarkEnd w:id="199"/>
      <w:bookmarkEnd w:id="200"/>
      <w:bookmarkEnd w:id="201"/>
      <w:bookmarkEnd w:id="202"/>
      <w:bookmarkEnd w:id="203"/>
    </w:p>
    <w:p w14:paraId="7192FD90">
      <w:pPr>
        <w:spacing w:line="360" w:lineRule="auto"/>
        <w:rPr>
          <w:rFonts w:hint="eastAsia" w:ascii="宋体" w:hAnsi="宋体" w:cs="宋体"/>
          <w:b/>
          <w:sz w:val="24"/>
          <w:szCs w:val="24"/>
        </w:rPr>
      </w:pPr>
      <w:bookmarkStart w:id="204" w:name="_Toc2432"/>
      <w:bookmarkEnd w:id="204"/>
      <w:bookmarkStart w:id="205" w:name="_Toc4962"/>
      <w:r>
        <w:rPr>
          <w:rFonts w:hint="eastAsia" w:ascii="宋体" w:hAnsi="宋体" w:cs="宋体"/>
          <w:b/>
          <w:sz w:val="24"/>
          <w:szCs w:val="24"/>
        </w:rPr>
        <w:t>3.1响应文件的组成</w:t>
      </w:r>
      <w:bookmarkEnd w:id="205"/>
    </w:p>
    <w:p w14:paraId="012A2ED7">
      <w:pPr>
        <w:spacing w:line="360" w:lineRule="auto"/>
        <w:ind w:firstLine="480" w:firstLineChars="200"/>
        <w:rPr>
          <w:rFonts w:hint="eastAsia" w:ascii="宋体" w:hAnsi="宋体" w:cs="宋体"/>
          <w:sz w:val="24"/>
          <w:szCs w:val="24"/>
        </w:rPr>
      </w:pPr>
      <w:r>
        <w:rPr>
          <w:rFonts w:hint="eastAsia" w:ascii="宋体" w:hAnsi="宋体" w:cs="宋体"/>
          <w:sz w:val="24"/>
          <w:szCs w:val="24"/>
        </w:rPr>
        <w:t>3.1.1响应文件资格审查部分详见第六章“响应文件格式”资格审查部分中的内容。</w:t>
      </w:r>
    </w:p>
    <w:p w14:paraId="1234717F">
      <w:pPr>
        <w:spacing w:line="360" w:lineRule="auto"/>
        <w:ind w:firstLine="480" w:firstLineChars="200"/>
        <w:rPr>
          <w:rFonts w:hint="eastAsia" w:ascii="宋体" w:hAnsi="宋体" w:cs="宋体"/>
          <w:sz w:val="24"/>
          <w:szCs w:val="24"/>
        </w:rPr>
      </w:pPr>
      <w:r>
        <w:rPr>
          <w:rFonts w:hint="eastAsia" w:ascii="宋体" w:hAnsi="宋体" w:cs="宋体"/>
          <w:sz w:val="24"/>
          <w:szCs w:val="24"/>
        </w:rPr>
        <w:t>3.1.2响应文件商务技术部分详见第六章“响应文件格式”商务技术部分中的内容。</w:t>
      </w:r>
    </w:p>
    <w:p w14:paraId="52A601E8">
      <w:pPr>
        <w:spacing w:line="360" w:lineRule="auto"/>
        <w:ind w:firstLine="540" w:firstLineChars="225"/>
        <w:rPr>
          <w:rFonts w:hint="eastAsia" w:ascii="宋体" w:hAnsi="宋体" w:cs="宋体"/>
          <w:sz w:val="24"/>
          <w:szCs w:val="24"/>
        </w:rPr>
      </w:pPr>
      <w:r>
        <w:rPr>
          <w:rFonts w:hint="eastAsia" w:ascii="宋体" w:hAnsi="宋体" w:cs="宋体"/>
          <w:sz w:val="24"/>
          <w:szCs w:val="24"/>
        </w:rPr>
        <w:t>供应商在评审过程中作出的符合法律法规和竞争性磋商文件规定的澄清确认，构成响应文件的组成部分。</w:t>
      </w:r>
    </w:p>
    <w:p w14:paraId="3393AA00">
      <w:pPr>
        <w:spacing w:line="360" w:lineRule="auto"/>
        <w:ind w:firstLine="540" w:firstLineChars="225"/>
        <w:rPr>
          <w:rFonts w:hint="eastAsia" w:ascii="宋体" w:hAnsi="宋体" w:cs="宋体"/>
          <w:sz w:val="24"/>
          <w:szCs w:val="24"/>
        </w:rPr>
      </w:pPr>
      <w:r>
        <w:rPr>
          <w:rFonts w:hint="eastAsia" w:ascii="宋体" w:hAnsi="宋体" w:cs="宋体"/>
          <w:sz w:val="24"/>
          <w:szCs w:val="24"/>
        </w:rPr>
        <w:t>3.1.3供应商须知前附表未要求提交磋商保证金的，响应文件不包括第六章“响应文件格式”商务技术部分中所指的磋商保证金。</w:t>
      </w:r>
    </w:p>
    <w:p w14:paraId="6BAEB92E">
      <w:pPr>
        <w:spacing w:line="360" w:lineRule="auto"/>
        <w:rPr>
          <w:rFonts w:hint="eastAsia" w:ascii="宋体" w:hAnsi="宋体" w:cs="宋体"/>
          <w:b/>
          <w:sz w:val="24"/>
          <w:szCs w:val="24"/>
        </w:rPr>
      </w:pPr>
      <w:bookmarkStart w:id="206" w:name="_Toc3252"/>
      <w:bookmarkEnd w:id="206"/>
      <w:bookmarkStart w:id="207" w:name="_Toc21369"/>
      <w:r>
        <w:rPr>
          <w:rFonts w:hint="eastAsia" w:ascii="宋体" w:hAnsi="宋体" w:cs="宋体"/>
          <w:b/>
          <w:sz w:val="24"/>
          <w:szCs w:val="24"/>
        </w:rPr>
        <w:t>3.2磋商报价</w:t>
      </w:r>
      <w:bookmarkEnd w:id="207"/>
    </w:p>
    <w:p w14:paraId="197AA514">
      <w:pPr>
        <w:spacing w:line="360" w:lineRule="auto"/>
        <w:ind w:firstLine="540" w:firstLineChars="225"/>
        <w:rPr>
          <w:rFonts w:hint="eastAsia" w:ascii="宋体" w:hAnsi="宋体" w:cs="宋体"/>
          <w:sz w:val="24"/>
          <w:szCs w:val="24"/>
        </w:rPr>
      </w:pPr>
      <w:r>
        <w:rPr>
          <w:rFonts w:hint="eastAsia" w:ascii="宋体" w:hAnsi="宋体" w:cs="宋体"/>
          <w:sz w:val="24"/>
          <w:szCs w:val="24"/>
        </w:rPr>
        <w:t>3.2.1供应商应按第六章“响应文件格式”的要求在初次报价表中进行报价。</w:t>
      </w:r>
    </w:p>
    <w:p w14:paraId="47522C07">
      <w:pPr>
        <w:spacing w:line="360" w:lineRule="auto"/>
        <w:ind w:firstLine="540" w:firstLineChars="225"/>
        <w:rPr>
          <w:rFonts w:hint="eastAsia" w:ascii="宋体" w:hAnsi="宋体" w:cs="宋体"/>
          <w:sz w:val="24"/>
          <w:szCs w:val="24"/>
        </w:rPr>
      </w:pPr>
      <w:r>
        <w:rPr>
          <w:rFonts w:hint="eastAsia" w:ascii="宋体" w:hAnsi="宋体" w:cs="宋体"/>
          <w:sz w:val="24"/>
          <w:szCs w:val="24"/>
        </w:rPr>
        <w:t>3.2.2供应商应充分了解该项目的总体情况以及影响磋商报价的其他要素。</w:t>
      </w:r>
    </w:p>
    <w:p w14:paraId="62C07CFA">
      <w:pPr>
        <w:spacing w:line="360" w:lineRule="auto"/>
        <w:ind w:firstLine="540" w:firstLineChars="225"/>
        <w:rPr>
          <w:rFonts w:hint="eastAsia" w:ascii="宋体" w:hAnsi="宋体" w:cs="宋体"/>
          <w:sz w:val="24"/>
          <w:szCs w:val="24"/>
        </w:rPr>
      </w:pPr>
      <w:r>
        <w:rPr>
          <w:rFonts w:hint="eastAsia" w:ascii="宋体" w:hAnsi="宋体" w:cs="宋体"/>
          <w:sz w:val="24"/>
          <w:szCs w:val="24"/>
        </w:rPr>
        <w:t>3.2.3磋商报价的其他要求见供应商须知前附表。</w:t>
      </w:r>
    </w:p>
    <w:p w14:paraId="621EA90C">
      <w:pPr>
        <w:spacing w:line="360" w:lineRule="auto"/>
        <w:rPr>
          <w:rFonts w:hint="eastAsia" w:ascii="宋体" w:hAnsi="宋体" w:cs="宋体"/>
          <w:b/>
          <w:sz w:val="24"/>
          <w:szCs w:val="24"/>
        </w:rPr>
      </w:pPr>
      <w:bookmarkStart w:id="208" w:name="_Toc12995"/>
      <w:bookmarkEnd w:id="208"/>
      <w:bookmarkStart w:id="209" w:name="_Toc14190"/>
      <w:r>
        <w:rPr>
          <w:rFonts w:hint="eastAsia" w:ascii="宋体" w:hAnsi="宋体" w:cs="宋体"/>
          <w:b/>
          <w:sz w:val="24"/>
          <w:szCs w:val="24"/>
        </w:rPr>
        <w:t>3.3磋商有效期</w:t>
      </w:r>
      <w:bookmarkEnd w:id="209"/>
    </w:p>
    <w:p w14:paraId="782847B1">
      <w:pPr>
        <w:spacing w:line="360" w:lineRule="auto"/>
        <w:ind w:firstLine="480" w:firstLineChars="200"/>
        <w:rPr>
          <w:rFonts w:hint="eastAsia" w:ascii="宋体" w:hAnsi="宋体" w:cs="宋体"/>
          <w:sz w:val="24"/>
          <w:szCs w:val="24"/>
        </w:rPr>
      </w:pPr>
      <w:r>
        <w:rPr>
          <w:rFonts w:hint="eastAsia" w:ascii="宋体" w:hAnsi="宋体" w:cs="宋体"/>
          <w:sz w:val="24"/>
          <w:szCs w:val="24"/>
        </w:rPr>
        <w:t>3.3.1磋商有效期见供应商须知前附表。</w:t>
      </w:r>
    </w:p>
    <w:p w14:paraId="0DFB61C7">
      <w:pPr>
        <w:spacing w:line="360" w:lineRule="auto"/>
        <w:ind w:firstLine="480" w:firstLineChars="200"/>
        <w:rPr>
          <w:rFonts w:hint="eastAsia" w:ascii="宋体" w:hAnsi="宋体" w:cs="宋体"/>
          <w:sz w:val="24"/>
          <w:szCs w:val="24"/>
        </w:rPr>
      </w:pPr>
      <w:r>
        <w:rPr>
          <w:rFonts w:hint="eastAsia" w:ascii="宋体" w:hAnsi="宋体" w:cs="宋体"/>
          <w:sz w:val="24"/>
          <w:szCs w:val="24"/>
        </w:rPr>
        <w:t>3.3.2在磋商有效期内，供应商撤销或修改其响应文件的，应承担竞争性磋商文件和法律规定的责任。</w:t>
      </w:r>
    </w:p>
    <w:p w14:paraId="1A4B72A4">
      <w:pPr>
        <w:spacing w:line="360" w:lineRule="auto"/>
        <w:ind w:firstLine="480" w:firstLineChars="200"/>
        <w:rPr>
          <w:rFonts w:hint="eastAsia" w:ascii="宋体" w:hAnsi="宋体" w:cs="宋体"/>
          <w:sz w:val="24"/>
          <w:szCs w:val="24"/>
        </w:rPr>
      </w:pPr>
      <w:r>
        <w:rPr>
          <w:rFonts w:hint="eastAsia" w:ascii="宋体" w:hAnsi="宋体" w:cs="宋体"/>
          <w:sz w:val="24"/>
          <w:szCs w:val="24"/>
        </w:rPr>
        <w:t>3.3.3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14:paraId="6A373372">
      <w:pPr>
        <w:spacing w:line="360" w:lineRule="auto"/>
        <w:rPr>
          <w:rFonts w:hint="eastAsia" w:ascii="宋体" w:hAnsi="宋体" w:cs="宋体"/>
          <w:b/>
          <w:sz w:val="24"/>
          <w:szCs w:val="24"/>
        </w:rPr>
      </w:pPr>
      <w:bookmarkStart w:id="210" w:name="_Toc1543"/>
      <w:bookmarkEnd w:id="210"/>
      <w:bookmarkStart w:id="211" w:name="_Toc23125"/>
      <w:r>
        <w:rPr>
          <w:rFonts w:hint="eastAsia" w:ascii="宋体" w:hAnsi="宋体" w:cs="宋体"/>
          <w:b/>
          <w:sz w:val="24"/>
          <w:szCs w:val="24"/>
        </w:rPr>
        <w:t>3.4磋商保证金</w:t>
      </w:r>
      <w:bookmarkEnd w:id="211"/>
    </w:p>
    <w:p w14:paraId="068B0FD3">
      <w:pPr>
        <w:spacing w:line="360" w:lineRule="auto"/>
        <w:ind w:firstLine="480" w:firstLineChars="200"/>
        <w:rPr>
          <w:rFonts w:hint="eastAsia" w:ascii="宋体" w:hAnsi="宋体" w:cs="宋体"/>
          <w:sz w:val="24"/>
          <w:szCs w:val="24"/>
        </w:rPr>
      </w:pPr>
      <w:r>
        <w:rPr>
          <w:rFonts w:hint="eastAsia" w:ascii="宋体" w:hAnsi="宋体" w:cs="宋体"/>
          <w:sz w:val="24"/>
          <w:szCs w:val="24"/>
        </w:rPr>
        <w:t>3.4.1本项目不收取磋商保证金。</w:t>
      </w:r>
    </w:p>
    <w:p w14:paraId="28BBED8B">
      <w:pPr>
        <w:spacing w:line="360" w:lineRule="auto"/>
        <w:rPr>
          <w:rFonts w:hint="eastAsia" w:ascii="宋体" w:hAnsi="宋体" w:cs="宋体"/>
          <w:b/>
          <w:sz w:val="24"/>
          <w:szCs w:val="24"/>
        </w:rPr>
      </w:pPr>
      <w:bookmarkStart w:id="212" w:name="_Toc32408"/>
      <w:bookmarkEnd w:id="212"/>
      <w:bookmarkStart w:id="213" w:name="_Toc4859"/>
      <w:r>
        <w:rPr>
          <w:rFonts w:hint="eastAsia" w:ascii="宋体" w:hAnsi="宋体" w:cs="宋体"/>
          <w:b/>
          <w:sz w:val="24"/>
          <w:szCs w:val="24"/>
        </w:rPr>
        <w:t>3.5响应文件的编制</w:t>
      </w:r>
      <w:bookmarkEnd w:id="213"/>
    </w:p>
    <w:p w14:paraId="1F38B149">
      <w:pPr>
        <w:spacing w:line="360" w:lineRule="auto"/>
        <w:ind w:firstLine="480" w:firstLineChars="200"/>
        <w:rPr>
          <w:rFonts w:hint="eastAsia" w:ascii="宋体" w:hAnsi="宋体" w:cs="宋体"/>
          <w:sz w:val="24"/>
          <w:szCs w:val="24"/>
        </w:rPr>
      </w:pPr>
      <w:r>
        <w:rPr>
          <w:rFonts w:hint="eastAsia" w:ascii="宋体" w:hAnsi="宋体" w:cs="宋体"/>
          <w:sz w:val="24"/>
          <w:szCs w:val="24"/>
        </w:rPr>
        <w:t>3.5.1响应文件应按第六章“响应文件格式”进行编写。</w:t>
      </w:r>
    </w:p>
    <w:p w14:paraId="1BBD3749">
      <w:pPr>
        <w:spacing w:line="360" w:lineRule="auto"/>
        <w:ind w:firstLine="482" w:firstLineChars="200"/>
        <w:rPr>
          <w:rFonts w:hint="eastAsia" w:ascii="宋体" w:hAnsi="宋体" w:cs="宋体"/>
          <w:sz w:val="24"/>
          <w:szCs w:val="24"/>
        </w:rPr>
      </w:pPr>
      <w:r>
        <w:rPr>
          <w:rFonts w:hint="eastAsia" w:ascii="宋体" w:hAnsi="宋体" w:cs="宋体"/>
          <w:b/>
          <w:bCs/>
          <w:sz w:val="24"/>
          <w:szCs w:val="24"/>
        </w:rPr>
        <w:t>3.5.2响应文件应当对竞争性磋商文件供应商须知前附表1.10规定的不允许偏离的实质性要求和条件作出响应。</w:t>
      </w:r>
    </w:p>
    <w:p w14:paraId="50A57EE5">
      <w:pPr>
        <w:spacing w:line="360" w:lineRule="auto"/>
        <w:ind w:firstLine="480" w:firstLineChars="200"/>
        <w:rPr>
          <w:rFonts w:hint="eastAsia" w:ascii="宋体" w:hAnsi="宋体" w:cs="宋体"/>
          <w:color w:val="000000"/>
          <w:sz w:val="24"/>
          <w:szCs w:val="24"/>
        </w:rPr>
      </w:pPr>
      <w:r>
        <w:rPr>
          <w:rFonts w:hint="eastAsia" w:ascii="宋体" w:hAnsi="宋体" w:cs="宋体"/>
          <w:sz w:val="24"/>
          <w:szCs w:val="24"/>
        </w:rPr>
        <w:t>3.5.3</w:t>
      </w:r>
      <w:r>
        <w:rPr>
          <w:rFonts w:hint="eastAsia" w:ascii="宋体" w:hAnsi="宋体" w:cs="宋体"/>
          <w:color w:val="000000"/>
          <w:kern w:val="2"/>
          <w:sz w:val="24"/>
          <w:szCs w:val="24"/>
        </w:rPr>
        <w:t>响应</w:t>
      </w:r>
      <w:r>
        <w:rPr>
          <w:rFonts w:hint="eastAsia" w:ascii="宋体" w:hAnsi="宋体" w:cs="宋体"/>
          <w:color w:val="000000"/>
          <w:sz w:val="24"/>
          <w:szCs w:val="24"/>
        </w:rPr>
        <w:t>文件全部采用电子文档，除供应商须知前附表另有规定外，</w:t>
      </w:r>
      <w:r>
        <w:rPr>
          <w:rFonts w:hint="eastAsia" w:ascii="宋体" w:hAnsi="宋体" w:cs="宋体"/>
          <w:color w:val="000000"/>
          <w:kern w:val="2"/>
          <w:sz w:val="24"/>
          <w:szCs w:val="24"/>
        </w:rPr>
        <w:t>响应</w:t>
      </w:r>
      <w:r>
        <w:rPr>
          <w:rFonts w:hint="eastAsia" w:ascii="宋体" w:hAnsi="宋体" w:cs="宋体"/>
          <w:color w:val="000000"/>
          <w:sz w:val="24"/>
          <w:szCs w:val="24"/>
        </w:rPr>
        <w:t>文件所附证书证件均为原件扫描件，并采用单位和个人数字证书，按竞争性磋商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p>
    <w:p w14:paraId="3B06EDA4">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3.5.4电子响应文件的格式见供应商须知前附表。</w:t>
      </w:r>
    </w:p>
    <w:p w14:paraId="30281C28">
      <w:pPr>
        <w:spacing w:line="360" w:lineRule="auto"/>
        <w:ind w:firstLine="480" w:firstLineChars="200"/>
        <w:rPr>
          <w:rFonts w:hint="eastAsia" w:ascii="宋体" w:hAnsi="宋体" w:cs="宋体"/>
          <w:sz w:val="24"/>
          <w:szCs w:val="24"/>
        </w:rPr>
      </w:pPr>
      <w:r>
        <w:rPr>
          <w:rFonts w:hint="eastAsia" w:ascii="宋体" w:hAnsi="宋体" w:cs="宋体"/>
          <w:color w:val="000000"/>
          <w:sz w:val="24"/>
          <w:szCs w:val="24"/>
        </w:rPr>
        <w:t>3.5.5如供应商提交的电子标书不符合3.5.4要求或开标时无法读取导入或解密，其</w:t>
      </w:r>
      <w:r>
        <w:rPr>
          <w:rFonts w:hint="eastAsia" w:ascii="宋体" w:hAnsi="宋体" w:cs="宋体"/>
          <w:color w:val="000000"/>
          <w:kern w:val="2"/>
          <w:sz w:val="24"/>
          <w:szCs w:val="24"/>
        </w:rPr>
        <w:t>响应</w:t>
      </w:r>
      <w:r>
        <w:rPr>
          <w:rFonts w:hint="eastAsia" w:ascii="宋体" w:hAnsi="宋体" w:cs="宋体"/>
          <w:color w:val="000000"/>
          <w:sz w:val="24"/>
          <w:szCs w:val="24"/>
        </w:rPr>
        <w:t>文件将不予受理。</w:t>
      </w:r>
    </w:p>
    <w:p w14:paraId="0A380A81">
      <w:pPr>
        <w:pStyle w:val="3"/>
        <w:rPr>
          <w:rFonts w:hint="eastAsia" w:ascii="宋体" w:hAnsi="宋体" w:eastAsia="宋体" w:cs="宋体"/>
          <w:sz w:val="28"/>
          <w:szCs w:val="28"/>
        </w:rPr>
      </w:pPr>
      <w:bookmarkStart w:id="214" w:name="_Toc1490"/>
      <w:bookmarkEnd w:id="214"/>
      <w:bookmarkStart w:id="215" w:name="_Toc13757"/>
      <w:bookmarkEnd w:id="215"/>
      <w:bookmarkStart w:id="216" w:name="_Toc3896285"/>
      <w:bookmarkStart w:id="217" w:name="_Toc7149"/>
      <w:bookmarkStart w:id="218" w:name="_Toc9786"/>
      <w:bookmarkStart w:id="219" w:name="_Toc22370"/>
      <w:bookmarkStart w:id="220" w:name="_Toc165910140"/>
      <w:bookmarkStart w:id="221" w:name="_Toc16512"/>
      <w:bookmarkStart w:id="222" w:name="_Toc12950"/>
      <w:bookmarkStart w:id="223" w:name="_Toc13319"/>
      <w:r>
        <w:rPr>
          <w:rFonts w:hint="eastAsia" w:ascii="宋体" w:hAnsi="宋体" w:eastAsia="宋体" w:cs="宋体"/>
          <w:sz w:val="28"/>
          <w:szCs w:val="28"/>
        </w:rPr>
        <w:t>4.磋商</w:t>
      </w:r>
      <w:bookmarkEnd w:id="216"/>
      <w:bookmarkEnd w:id="217"/>
      <w:bookmarkEnd w:id="218"/>
      <w:bookmarkEnd w:id="219"/>
      <w:bookmarkEnd w:id="220"/>
      <w:bookmarkEnd w:id="221"/>
      <w:bookmarkEnd w:id="222"/>
      <w:bookmarkEnd w:id="223"/>
    </w:p>
    <w:p w14:paraId="513F44A0">
      <w:pPr>
        <w:spacing w:line="360" w:lineRule="auto"/>
        <w:rPr>
          <w:rFonts w:hint="eastAsia" w:ascii="宋体" w:hAnsi="宋体" w:cs="宋体"/>
          <w:b/>
          <w:sz w:val="24"/>
          <w:szCs w:val="24"/>
        </w:rPr>
      </w:pPr>
      <w:bookmarkStart w:id="224" w:name="_Toc1523"/>
      <w:bookmarkEnd w:id="224"/>
      <w:bookmarkStart w:id="225" w:name="_Toc25497"/>
      <w:r>
        <w:rPr>
          <w:rFonts w:hint="eastAsia" w:ascii="宋体" w:hAnsi="宋体" w:cs="宋体"/>
          <w:b/>
          <w:sz w:val="24"/>
          <w:szCs w:val="24"/>
        </w:rPr>
        <w:t>4.1响应文件的密封和标记</w:t>
      </w:r>
      <w:bookmarkEnd w:id="225"/>
    </w:p>
    <w:p w14:paraId="0E17FDEC">
      <w:pPr>
        <w:spacing w:line="360" w:lineRule="auto"/>
        <w:ind w:firstLine="480" w:firstLineChars="200"/>
        <w:rPr>
          <w:rFonts w:hint="eastAsia" w:ascii="宋体" w:hAnsi="宋体" w:cs="宋体"/>
          <w:color w:val="000000"/>
          <w:sz w:val="24"/>
          <w:szCs w:val="24"/>
        </w:rPr>
      </w:pPr>
      <w:bookmarkStart w:id="226" w:name="_Toc20611"/>
      <w:bookmarkEnd w:id="226"/>
      <w:bookmarkStart w:id="227" w:name="_Toc27596"/>
      <w:bookmarkEnd w:id="227"/>
      <w:bookmarkStart w:id="228" w:name="_Toc9134"/>
      <w:r>
        <w:rPr>
          <w:rFonts w:hint="eastAsia" w:ascii="宋体" w:hAnsi="宋体" w:cs="宋体"/>
          <w:color w:val="000000"/>
          <w:sz w:val="24"/>
          <w:szCs w:val="24"/>
        </w:rPr>
        <w:t>4.1.1供应商应当按照竞争性磋商文件和电子招标投标交易平台的要求加密</w:t>
      </w:r>
      <w:r>
        <w:rPr>
          <w:rFonts w:hint="eastAsia" w:ascii="宋体" w:hAnsi="宋体" w:cs="宋体"/>
          <w:color w:val="000000"/>
          <w:kern w:val="2"/>
          <w:sz w:val="24"/>
          <w:szCs w:val="24"/>
        </w:rPr>
        <w:t>响应</w:t>
      </w:r>
      <w:r>
        <w:rPr>
          <w:rFonts w:hint="eastAsia" w:ascii="宋体" w:hAnsi="宋体" w:cs="宋体"/>
          <w:color w:val="000000"/>
          <w:sz w:val="24"/>
          <w:szCs w:val="24"/>
        </w:rPr>
        <w:t>文件，具体要求见供应商须知前附表。</w:t>
      </w:r>
    </w:p>
    <w:p w14:paraId="1120DAFA">
      <w:pPr>
        <w:spacing w:line="360" w:lineRule="auto"/>
        <w:ind w:firstLine="480" w:firstLineChars="200"/>
        <w:rPr>
          <w:rFonts w:hint="eastAsia" w:ascii="宋体" w:hAnsi="宋体" w:cs="宋体"/>
          <w:sz w:val="24"/>
          <w:szCs w:val="24"/>
        </w:rPr>
      </w:pPr>
      <w:r>
        <w:rPr>
          <w:rFonts w:hint="eastAsia" w:ascii="宋体" w:hAnsi="宋体" w:cs="宋体"/>
          <w:color w:val="000000"/>
          <w:sz w:val="24"/>
          <w:szCs w:val="24"/>
        </w:rPr>
        <w:t>4.1.2未按本章第4.1.1项要求密封和标记的</w:t>
      </w:r>
      <w:r>
        <w:rPr>
          <w:rFonts w:hint="eastAsia" w:ascii="宋体" w:hAnsi="宋体" w:cs="宋体"/>
          <w:color w:val="000000"/>
          <w:kern w:val="2"/>
          <w:sz w:val="24"/>
          <w:szCs w:val="24"/>
        </w:rPr>
        <w:t>响应</w:t>
      </w:r>
      <w:r>
        <w:rPr>
          <w:rFonts w:hint="eastAsia" w:ascii="宋体" w:hAnsi="宋体" w:cs="宋体"/>
          <w:color w:val="000000"/>
          <w:sz w:val="24"/>
          <w:szCs w:val="24"/>
        </w:rPr>
        <w:t>文件，采购人将予以拒收。</w:t>
      </w:r>
    </w:p>
    <w:p w14:paraId="0860B4EC">
      <w:pPr>
        <w:spacing w:line="360" w:lineRule="auto"/>
        <w:rPr>
          <w:rFonts w:hint="eastAsia" w:ascii="宋体" w:hAnsi="宋体" w:cs="宋体"/>
          <w:b/>
          <w:sz w:val="24"/>
          <w:szCs w:val="24"/>
        </w:rPr>
      </w:pPr>
      <w:r>
        <w:rPr>
          <w:rFonts w:hint="eastAsia" w:ascii="宋体" w:hAnsi="宋体" w:cs="宋体"/>
          <w:b/>
          <w:sz w:val="24"/>
          <w:szCs w:val="24"/>
        </w:rPr>
        <w:t>4.2响应文件的递交</w:t>
      </w:r>
      <w:bookmarkEnd w:id="228"/>
    </w:p>
    <w:p w14:paraId="7A152F89">
      <w:pPr>
        <w:spacing w:line="360" w:lineRule="auto"/>
        <w:ind w:firstLine="540" w:firstLineChars="225"/>
        <w:rPr>
          <w:rFonts w:hint="eastAsia" w:ascii="宋体" w:hAnsi="宋体" w:cs="宋体"/>
          <w:color w:val="000000"/>
          <w:sz w:val="24"/>
          <w:szCs w:val="24"/>
        </w:rPr>
      </w:pPr>
      <w:r>
        <w:rPr>
          <w:rFonts w:hint="eastAsia" w:ascii="宋体" w:hAnsi="宋体" w:cs="宋体"/>
          <w:color w:val="000000"/>
          <w:sz w:val="24"/>
          <w:szCs w:val="24"/>
        </w:rPr>
        <w:t>4.2.1供应商应在供应商须知前附表规定的投标截止时间前递交</w:t>
      </w:r>
      <w:r>
        <w:rPr>
          <w:rFonts w:hint="eastAsia" w:ascii="宋体" w:hAnsi="宋体" w:cs="宋体"/>
          <w:color w:val="000000"/>
          <w:kern w:val="2"/>
          <w:sz w:val="24"/>
          <w:szCs w:val="24"/>
        </w:rPr>
        <w:t>响应</w:t>
      </w:r>
      <w:r>
        <w:rPr>
          <w:rFonts w:hint="eastAsia" w:ascii="宋体" w:hAnsi="宋体" w:cs="宋体"/>
          <w:color w:val="000000"/>
          <w:sz w:val="24"/>
          <w:szCs w:val="24"/>
        </w:rPr>
        <w:t>文件。</w:t>
      </w:r>
    </w:p>
    <w:p w14:paraId="5614E837">
      <w:pPr>
        <w:spacing w:line="360" w:lineRule="auto"/>
        <w:ind w:firstLine="540" w:firstLineChars="225"/>
        <w:rPr>
          <w:rFonts w:hint="eastAsia" w:ascii="宋体" w:hAnsi="宋体" w:cs="宋体"/>
          <w:color w:val="000000"/>
          <w:sz w:val="24"/>
          <w:szCs w:val="24"/>
        </w:rPr>
      </w:pPr>
      <w:r>
        <w:rPr>
          <w:rFonts w:hint="eastAsia" w:ascii="宋体" w:hAnsi="宋体" w:cs="宋体"/>
          <w:color w:val="000000"/>
          <w:sz w:val="24"/>
          <w:szCs w:val="24"/>
        </w:rPr>
        <w:t>4.2.2供应商递交</w:t>
      </w:r>
      <w:r>
        <w:rPr>
          <w:rFonts w:hint="eastAsia" w:ascii="宋体" w:hAnsi="宋体" w:cs="宋体"/>
          <w:color w:val="000000"/>
          <w:kern w:val="2"/>
          <w:sz w:val="24"/>
          <w:szCs w:val="24"/>
        </w:rPr>
        <w:t>响应</w:t>
      </w:r>
      <w:r>
        <w:rPr>
          <w:rFonts w:hint="eastAsia" w:ascii="宋体" w:hAnsi="宋体" w:cs="宋体"/>
          <w:color w:val="000000"/>
          <w:sz w:val="24"/>
          <w:szCs w:val="24"/>
        </w:rPr>
        <w:t>文件的时间和地点：见供应商须知前附表。</w:t>
      </w:r>
    </w:p>
    <w:p w14:paraId="0C1EAA77">
      <w:pPr>
        <w:pStyle w:val="14"/>
        <w:ind w:firstLine="480" w:firstLineChars="200"/>
        <w:rPr>
          <w:rFonts w:hint="eastAsia" w:ascii="宋体" w:hAnsi="宋体" w:cs="宋体"/>
          <w:kern w:val="0"/>
          <w:sz w:val="24"/>
        </w:rPr>
      </w:pPr>
      <w:r>
        <w:rPr>
          <w:rFonts w:hint="eastAsia" w:ascii="宋体" w:hAnsi="宋体" w:cs="宋体"/>
          <w:color w:val="000000"/>
          <w:sz w:val="24"/>
        </w:rPr>
        <w:t>4.2.3除供应商须知前附表另有规定外，供应商所递交的响应文件不予退还。</w:t>
      </w:r>
    </w:p>
    <w:p w14:paraId="3352B675">
      <w:pPr>
        <w:spacing w:line="360" w:lineRule="auto"/>
        <w:rPr>
          <w:rFonts w:hint="eastAsia" w:ascii="宋体" w:hAnsi="宋体" w:cs="宋体"/>
          <w:b/>
          <w:sz w:val="24"/>
          <w:szCs w:val="24"/>
        </w:rPr>
      </w:pPr>
      <w:bookmarkStart w:id="229" w:name="_Toc21133"/>
      <w:bookmarkEnd w:id="229"/>
      <w:bookmarkStart w:id="230" w:name="_Toc8975"/>
      <w:bookmarkEnd w:id="230"/>
      <w:bookmarkStart w:id="231" w:name="_Toc5071"/>
      <w:r>
        <w:rPr>
          <w:rFonts w:hint="eastAsia" w:ascii="宋体" w:hAnsi="宋体" w:cs="宋体"/>
          <w:b/>
          <w:sz w:val="24"/>
          <w:szCs w:val="24"/>
        </w:rPr>
        <w:t>4.3响应文件的修改与撤回</w:t>
      </w:r>
      <w:bookmarkEnd w:id="231"/>
    </w:p>
    <w:p w14:paraId="2A322146">
      <w:pPr>
        <w:spacing w:line="360" w:lineRule="auto"/>
        <w:ind w:firstLine="480" w:firstLineChars="200"/>
        <w:rPr>
          <w:rFonts w:hint="eastAsia" w:ascii="宋体" w:hAnsi="宋体" w:cs="宋体"/>
          <w:sz w:val="24"/>
          <w:szCs w:val="24"/>
        </w:rPr>
      </w:pPr>
      <w:r>
        <w:rPr>
          <w:rFonts w:hint="eastAsia" w:ascii="宋体" w:hAnsi="宋体" w:cs="宋体"/>
          <w:color w:val="000000"/>
          <w:sz w:val="24"/>
          <w:szCs w:val="24"/>
        </w:rPr>
        <w:t>4.3.1在提交</w:t>
      </w:r>
      <w:r>
        <w:rPr>
          <w:rFonts w:hint="eastAsia" w:ascii="宋体" w:hAnsi="宋体" w:cs="宋体"/>
          <w:color w:val="000000"/>
          <w:kern w:val="2"/>
          <w:sz w:val="24"/>
          <w:szCs w:val="24"/>
        </w:rPr>
        <w:t>响应</w:t>
      </w:r>
      <w:r>
        <w:rPr>
          <w:rFonts w:hint="eastAsia" w:ascii="宋体" w:hAnsi="宋体" w:cs="宋体"/>
          <w:color w:val="000000"/>
          <w:sz w:val="24"/>
          <w:szCs w:val="24"/>
        </w:rPr>
        <w:t>文件截止时间前，供应商可以补充、修改或者撤回已在网上提交的电子</w:t>
      </w:r>
      <w:r>
        <w:rPr>
          <w:rFonts w:hint="eastAsia" w:ascii="宋体" w:hAnsi="宋体" w:cs="宋体"/>
          <w:color w:val="000000"/>
          <w:kern w:val="2"/>
          <w:sz w:val="24"/>
          <w:szCs w:val="24"/>
        </w:rPr>
        <w:t>响应</w:t>
      </w:r>
      <w:r>
        <w:rPr>
          <w:rFonts w:hint="eastAsia" w:ascii="宋体" w:hAnsi="宋体" w:cs="宋体"/>
          <w:color w:val="000000"/>
          <w:sz w:val="24"/>
          <w:szCs w:val="24"/>
        </w:rPr>
        <w:t>文件，无须书面形式通知采购人、采购代理机构。补充、修改的电子</w:t>
      </w:r>
      <w:r>
        <w:rPr>
          <w:rFonts w:hint="eastAsia" w:ascii="宋体" w:hAnsi="宋体" w:cs="宋体"/>
          <w:color w:val="000000"/>
          <w:kern w:val="2"/>
          <w:sz w:val="24"/>
          <w:szCs w:val="24"/>
        </w:rPr>
        <w:t>响应</w:t>
      </w:r>
      <w:r>
        <w:rPr>
          <w:rFonts w:hint="eastAsia" w:ascii="宋体" w:hAnsi="宋体" w:cs="宋体"/>
          <w:color w:val="000000"/>
          <w:sz w:val="24"/>
          <w:szCs w:val="24"/>
        </w:rPr>
        <w:t>文件应通过政采云的规定进行编制、密封、标记和提交。</w:t>
      </w:r>
    </w:p>
    <w:p w14:paraId="019B97DF">
      <w:pPr>
        <w:spacing w:line="360" w:lineRule="auto"/>
        <w:ind w:firstLine="480" w:firstLineChars="200"/>
        <w:rPr>
          <w:rFonts w:hint="eastAsia" w:ascii="宋体" w:hAnsi="宋体" w:cs="宋体"/>
          <w:sz w:val="24"/>
          <w:szCs w:val="24"/>
        </w:rPr>
      </w:pPr>
      <w:r>
        <w:rPr>
          <w:rFonts w:hint="eastAsia" w:ascii="宋体" w:hAnsi="宋体" w:cs="宋体"/>
          <w:sz w:val="24"/>
          <w:szCs w:val="24"/>
        </w:rPr>
        <w:t>4.3.2供应商在响应文件提交截止时间前撤回已提交的响应文件的，采购人或者采购代理机构应当自收到供应商书面撤回通知之日起5个工作日内，退还已收取的磋商保证金，但因供应商自身原因导致无法及时退还的除外。</w:t>
      </w:r>
      <w:bookmarkStart w:id="232" w:name="_Toc20324"/>
    </w:p>
    <w:p w14:paraId="7FA3685E">
      <w:pPr>
        <w:pStyle w:val="3"/>
        <w:rPr>
          <w:rFonts w:hint="eastAsia" w:ascii="宋体" w:hAnsi="宋体" w:eastAsia="宋体" w:cs="宋体"/>
          <w:sz w:val="28"/>
          <w:szCs w:val="28"/>
        </w:rPr>
      </w:pPr>
      <w:bookmarkStart w:id="233" w:name="_Toc3896286"/>
      <w:bookmarkStart w:id="234" w:name="_Toc165910141"/>
      <w:bookmarkStart w:id="235" w:name="_Toc14942"/>
      <w:bookmarkStart w:id="236" w:name="_Toc10516"/>
      <w:bookmarkStart w:id="237" w:name="_Toc3499"/>
      <w:bookmarkStart w:id="238" w:name="_Toc27985"/>
      <w:bookmarkStart w:id="239" w:name="_Toc13585"/>
      <w:r>
        <w:rPr>
          <w:rFonts w:hint="eastAsia" w:ascii="宋体" w:hAnsi="宋体" w:eastAsia="宋体" w:cs="宋体"/>
          <w:sz w:val="28"/>
          <w:szCs w:val="28"/>
        </w:rPr>
        <w:t>5.开启</w:t>
      </w:r>
      <w:bookmarkEnd w:id="232"/>
      <w:bookmarkEnd w:id="233"/>
      <w:bookmarkEnd w:id="234"/>
      <w:bookmarkEnd w:id="235"/>
      <w:bookmarkEnd w:id="236"/>
      <w:bookmarkEnd w:id="237"/>
      <w:bookmarkEnd w:id="238"/>
      <w:bookmarkEnd w:id="239"/>
    </w:p>
    <w:p w14:paraId="645D59C3">
      <w:pPr>
        <w:spacing w:line="360" w:lineRule="auto"/>
        <w:rPr>
          <w:rFonts w:hint="eastAsia" w:ascii="宋体" w:hAnsi="宋体" w:cs="宋体"/>
          <w:b/>
          <w:sz w:val="24"/>
          <w:szCs w:val="24"/>
        </w:rPr>
      </w:pPr>
      <w:bookmarkStart w:id="240" w:name="_Toc1527"/>
      <w:bookmarkEnd w:id="240"/>
      <w:bookmarkStart w:id="241" w:name="_Toc9143"/>
      <w:r>
        <w:rPr>
          <w:rFonts w:hint="eastAsia" w:ascii="宋体" w:hAnsi="宋体" w:cs="宋体"/>
          <w:b/>
          <w:sz w:val="24"/>
          <w:szCs w:val="24"/>
        </w:rPr>
        <w:t>5.1开启时间和地点</w:t>
      </w:r>
      <w:bookmarkEnd w:id="241"/>
    </w:p>
    <w:p w14:paraId="6D7593DF">
      <w:pPr>
        <w:spacing w:line="360" w:lineRule="auto"/>
        <w:ind w:firstLine="480" w:firstLineChars="200"/>
        <w:rPr>
          <w:rFonts w:hint="eastAsia" w:ascii="宋体" w:hAnsi="宋体" w:cs="宋体"/>
          <w:sz w:val="24"/>
          <w:szCs w:val="24"/>
        </w:rPr>
      </w:pPr>
      <w:r>
        <w:rPr>
          <w:rFonts w:hint="eastAsia" w:ascii="宋体" w:hAnsi="宋体" w:cs="宋体"/>
          <w:sz w:val="24"/>
          <w:szCs w:val="24"/>
        </w:rPr>
        <w:t>采购人在本章第4.2.1款规定的响应文件提交截止时间（开启时间）和供应商须知前附表规定的地点开启。</w:t>
      </w:r>
    </w:p>
    <w:p w14:paraId="2A9662AE">
      <w:pPr>
        <w:spacing w:line="360" w:lineRule="auto"/>
        <w:rPr>
          <w:rFonts w:hint="eastAsia" w:ascii="宋体" w:hAnsi="宋体" w:cs="宋体"/>
          <w:b/>
          <w:sz w:val="24"/>
          <w:szCs w:val="24"/>
        </w:rPr>
      </w:pPr>
      <w:bookmarkStart w:id="242" w:name="_Toc27792"/>
      <w:bookmarkEnd w:id="242"/>
      <w:bookmarkStart w:id="243" w:name="_Toc21332"/>
      <w:bookmarkEnd w:id="243"/>
      <w:bookmarkStart w:id="244" w:name="_Toc24636"/>
      <w:r>
        <w:rPr>
          <w:rFonts w:hint="eastAsia" w:ascii="宋体" w:hAnsi="宋体" w:cs="宋体"/>
          <w:b/>
          <w:sz w:val="24"/>
          <w:szCs w:val="24"/>
        </w:rPr>
        <w:t>5.2开启程序</w:t>
      </w:r>
      <w:bookmarkEnd w:id="244"/>
    </w:p>
    <w:p w14:paraId="4E5A3FB1">
      <w:pPr>
        <w:spacing w:line="360" w:lineRule="auto"/>
        <w:ind w:firstLine="480" w:firstLineChars="200"/>
        <w:rPr>
          <w:rFonts w:hint="eastAsia" w:ascii="宋体" w:hAnsi="宋体" w:cs="宋体"/>
          <w:sz w:val="24"/>
          <w:szCs w:val="24"/>
        </w:rPr>
      </w:pPr>
      <w:r>
        <w:rPr>
          <w:rFonts w:hint="eastAsia" w:ascii="宋体" w:hAnsi="宋体" w:cs="宋体"/>
          <w:sz w:val="24"/>
          <w:szCs w:val="24"/>
        </w:rPr>
        <w:t>主持人按下列程序进行开启：</w:t>
      </w:r>
    </w:p>
    <w:p w14:paraId="3F224CF5">
      <w:pPr>
        <w:pStyle w:val="18"/>
        <w:spacing w:line="360" w:lineRule="auto"/>
        <w:ind w:firstLine="480" w:firstLineChars="200"/>
        <w:rPr>
          <w:rFonts w:hint="eastAsia" w:hAnsi="宋体" w:cs="宋体"/>
          <w:color w:val="000000"/>
          <w:sz w:val="24"/>
          <w:szCs w:val="24"/>
        </w:rPr>
      </w:pPr>
      <w:r>
        <w:rPr>
          <w:rFonts w:hint="eastAsia" w:hAnsi="宋体" w:cs="宋体"/>
          <w:color w:val="000000"/>
          <w:sz w:val="24"/>
          <w:szCs w:val="24"/>
        </w:rPr>
        <w:t>（1）磋商会议由采购代理机构主持；</w:t>
      </w:r>
    </w:p>
    <w:p w14:paraId="40D82C5F">
      <w:pPr>
        <w:pStyle w:val="18"/>
        <w:spacing w:line="360" w:lineRule="auto"/>
        <w:ind w:firstLine="480" w:firstLineChars="200"/>
        <w:rPr>
          <w:rFonts w:hint="eastAsia" w:hAnsi="宋体" w:cs="宋体"/>
          <w:color w:val="000000"/>
          <w:sz w:val="24"/>
          <w:szCs w:val="24"/>
        </w:rPr>
      </w:pPr>
      <w:r>
        <w:rPr>
          <w:rFonts w:hint="eastAsia" w:hAnsi="宋体" w:cs="宋体"/>
          <w:color w:val="000000"/>
          <w:sz w:val="24"/>
          <w:szCs w:val="24"/>
        </w:rPr>
        <w:t>（2）供应商应在磋商响应文件递交截止时间前进入本项目网上磋商会议；</w:t>
      </w:r>
    </w:p>
    <w:p w14:paraId="51641384">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（3）由采购代理机构下达网上解密指令进行解密时间的设置，供应商须在规定时长内完成解密，未解密完成的视为放弃投标。所有供应商的响应文件解密完成后，导入响应文件。</w:t>
      </w:r>
    </w:p>
    <w:p w14:paraId="1A74CAF1">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（4）响应文件导入成功之后，采购代理机构下达开标结束命令，在下达开标结束命令前，供应商未提出异议，则视为对本次磋商会议无异议</w:t>
      </w:r>
    </w:p>
    <w:p w14:paraId="50D32AB4">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（5）供应商等待磋商小组开启磋商报价。</w:t>
      </w:r>
    </w:p>
    <w:p w14:paraId="7B2D9123">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注：开标过程中如有问题，可以在线提出异议，由代理机构给予回复；在规定的异议询问时间内未提出异议的，则视为对开标结果无异议。</w:t>
      </w:r>
    </w:p>
    <w:p w14:paraId="7D30AD16">
      <w:pPr>
        <w:spacing w:line="360" w:lineRule="auto"/>
        <w:ind w:firstLine="480" w:firstLineChars="200"/>
        <w:rPr>
          <w:rFonts w:hint="eastAsia" w:ascii="宋体" w:hAnsi="宋体" w:cs="宋体"/>
          <w:sz w:val="24"/>
          <w:szCs w:val="24"/>
        </w:rPr>
      </w:pPr>
      <w:r>
        <w:rPr>
          <w:rFonts w:hint="eastAsia" w:ascii="宋体" w:hAnsi="宋体" w:cs="宋体"/>
          <w:color w:val="000000"/>
          <w:sz w:val="24"/>
          <w:szCs w:val="24"/>
        </w:rPr>
        <w:t>供应商不足3家的，不得开标。</w:t>
      </w:r>
    </w:p>
    <w:p w14:paraId="65C7ADE9">
      <w:pPr>
        <w:spacing w:line="360" w:lineRule="auto"/>
        <w:rPr>
          <w:rFonts w:hint="eastAsia" w:ascii="宋体" w:hAnsi="宋体" w:cs="宋体"/>
          <w:b/>
          <w:sz w:val="24"/>
          <w:szCs w:val="24"/>
        </w:rPr>
      </w:pPr>
      <w:bookmarkStart w:id="245" w:name="_Toc27216"/>
      <w:bookmarkEnd w:id="245"/>
      <w:bookmarkStart w:id="246" w:name="_Toc22860"/>
      <w:r>
        <w:rPr>
          <w:rFonts w:hint="eastAsia" w:ascii="宋体" w:hAnsi="宋体" w:cs="宋体"/>
          <w:b/>
          <w:sz w:val="24"/>
          <w:szCs w:val="24"/>
        </w:rPr>
        <w:t>5.3开启疑义</w:t>
      </w:r>
      <w:bookmarkEnd w:id="246"/>
    </w:p>
    <w:p w14:paraId="1ED84ED6">
      <w:pPr>
        <w:spacing w:line="360" w:lineRule="auto"/>
        <w:ind w:firstLine="540" w:firstLineChars="225"/>
        <w:rPr>
          <w:rFonts w:hint="eastAsia" w:ascii="宋体" w:hAnsi="宋体" w:cs="宋体"/>
          <w:sz w:val="24"/>
          <w:szCs w:val="24"/>
        </w:rPr>
      </w:pPr>
      <w:r>
        <w:rPr>
          <w:rFonts w:hint="eastAsia" w:ascii="宋体" w:hAnsi="宋体" w:cs="宋体"/>
          <w:sz w:val="24"/>
          <w:szCs w:val="24"/>
        </w:rPr>
        <w:t>开启过程应当由采购人或者采购代理机构负责记录，由参加开启的各供应商代表和相关工作人员签字确认后随采购文件一并存档。</w:t>
      </w:r>
    </w:p>
    <w:p w14:paraId="7E35F690">
      <w:pPr>
        <w:spacing w:line="360" w:lineRule="auto"/>
        <w:ind w:firstLine="540" w:firstLineChars="225"/>
        <w:rPr>
          <w:rFonts w:hint="eastAsia" w:ascii="宋体" w:hAnsi="宋体" w:cs="宋体"/>
          <w:sz w:val="24"/>
          <w:szCs w:val="24"/>
        </w:rPr>
      </w:pPr>
      <w:r>
        <w:rPr>
          <w:rFonts w:hint="eastAsia" w:ascii="宋体" w:hAnsi="宋体" w:cs="宋体"/>
          <w:sz w:val="24"/>
          <w:szCs w:val="24"/>
        </w:rPr>
        <w:t>供应商代表对开启过程和开启记录有疑义，以及认为采购人、采购代理机构相关工作人员有需要回避的情形的，应当场提出询问或者回避申请。采购人、采购代理机构对供应商代表提出的询问或者回避申请应当及时处理。</w:t>
      </w:r>
    </w:p>
    <w:p w14:paraId="4E3C62CC">
      <w:pPr>
        <w:spacing w:line="360" w:lineRule="auto"/>
        <w:ind w:firstLine="540" w:firstLineChars="225"/>
        <w:rPr>
          <w:rFonts w:hint="eastAsia" w:ascii="宋体" w:hAnsi="宋体" w:cs="宋体"/>
          <w:sz w:val="24"/>
          <w:szCs w:val="24"/>
        </w:rPr>
      </w:pPr>
      <w:r>
        <w:rPr>
          <w:rFonts w:hint="eastAsia" w:ascii="宋体" w:hAnsi="宋体" w:cs="宋体"/>
          <w:sz w:val="24"/>
          <w:szCs w:val="24"/>
        </w:rPr>
        <w:t>供应商未参加开启的，视同认可开启结果。</w:t>
      </w:r>
    </w:p>
    <w:p w14:paraId="088BB62A">
      <w:pPr>
        <w:pStyle w:val="3"/>
        <w:rPr>
          <w:rFonts w:hint="eastAsia" w:ascii="宋体" w:hAnsi="宋体" w:eastAsia="宋体" w:cs="宋体"/>
          <w:sz w:val="28"/>
          <w:szCs w:val="28"/>
        </w:rPr>
      </w:pPr>
      <w:bookmarkStart w:id="247" w:name="_Toc26040"/>
      <w:bookmarkEnd w:id="247"/>
      <w:bookmarkStart w:id="248" w:name="_Toc27754"/>
      <w:bookmarkEnd w:id="248"/>
      <w:bookmarkStart w:id="249" w:name="_Toc25563"/>
      <w:bookmarkEnd w:id="249"/>
      <w:bookmarkStart w:id="250" w:name="_Toc11518"/>
      <w:bookmarkEnd w:id="250"/>
      <w:bookmarkStart w:id="251" w:name="_Toc32397"/>
      <w:bookmarkStart w:id="252" w:name="_Toc32432"/>
      <w:bookmarkStart w:id="253" w:name="_Toc2939"/>
      <w:bookmarkStart w:id="254" w:name="_Toc165910142"/>
      <w:bookmarkStart w:id="255" w:name="_Toc19349"/>
      <w:bookmarkStart w:id="256" w:name="_Toc3896287"/>
      <w:bookmarkStart w:id="257" w:name="_Toc29087"/>
      <w:bookmarkStart w:id="258" w:name="_Toc17661"/>
      <w:r>
        <w:rPr>
          <w:rFonts w:hint="eastAsia" w:ascii="宋体" w:hAnsi="宋体" w:eastAsia="宋体" w:cs="宋体"/>
          <w:sz w:val="28"/>
          <w:szCs w:val="28"/>
        </w:rPr>
        <w:t>6.评审</w:t>
      </w:r>
      <w:bookmarkEnd w:id="251"/>
      <w:bookmarkEnd w:id="252"/>
      <w:bookmarkEnd w:id="253"/>
      <w:bookmarkEnd w:id="254"/>
      <w:bookmarkEnd w:id="255"/>
      <w:bookmarkEnd w:id="256"/>
      <w:bookmarkEnd w:id="257"/>
      <w:bookmarkEnd w:id="258"/>
    </w:p>
    <w:p w14:paraId="095612ED">
      <w:pPr>
        <w:spacing w:line="360" w:lineRule="auto"/>
        <w:rPr>
          <w:rFonts w:hint="eastAsia" w:ascii="宋体" w:hAnsi="宋体" w:cs="宋体"/>
          <w:b/>
          <w:sz w:val="24"/>
          <w:szCs w:val="24"/>
        </w:rPr>
      </w:pPr>
      <w:bookmarkStart w:id="259" w:name="_Toc11207"/>
      <w:bookmarkEnd w:id="259"/>
      <w:bookmarkStart w:id="260" w:name="_Toc4770"/>
      <w:r>
        <w:rPr>
          <w:rFonts w:hint="eastAsia" w:ascii="宋体" w:hAnsi="宋体" w:cs="宋体"/>
          <w:b/>
          <w:sz w:val="24"/>
          <w:szCs w:val="24"/>
        </w:rPr>
        <w:t>6.1磋商小组</w:t>
      </w:r>
      <w:bookmarkEnd w:id="260"/>
    </w:p>
    <w:p w14:paraId="0E1E27CE">
      <w:pPr>
        <w:spacing w:line="360" w:lineRule="auto"/>
        <w:ind w:firstLine="480" w:firstLineChars="200"/>
        <w:rPr>
          <w:rFonts w:hint="eastAsia" w:ascii="宋体" w:hAnsi="宋体" w:cs="宋体"/>
          <w:sz w:val="24"/>
          <w:szCs w:val="24"/>
        </w:rPr>
      </w:pPr>
      <w:r>
        <w:rPr>
          <w:rFonts w:hint="eastAsia" w:ascii="宋体" w:hAnsi="宋体" w:cs="宋体"/>
          <w:sz w:val="24"/>
          <w:szCs w:val="24"/>
        </w:rPr>
        <w:t>6.1.1磋商小组的组成见供应商须知前附表。</w:t>
      </w:r>
    </w:p>
    <w:p w14:paraId="46F150A8">
      <w:pPr>
        <w:spacing w:line="360" w:lineRule="auto"/>
        <w:ind w:firstLine="480" w:firstLineChars="200"/>
        <w:rPr>
          <w:rFonts w:hint="eastAsia" w:ascii="宋体" w:hAnsi="宋体" w:cs="宋体"/>
          <w:sz w:val="24"/>
          <w:szCs w:val="24"/>
        </w:rPr>
      </w:pPr>
      <w:r>
        <w:rPr>
          <w:rFonts w:hint="eastAsia" w:ascii="宋体" w:hAnsi="宋体" w:cs="宋体"/>
          <w:sz w:val="24"/>
          <w:szCs w:val="24"/>
        </w:rPr>
        <w:t>6.1.2评审中因磋商小组成员缺席、回避或者健康等特殊原因导致磋商小组组成不符合《政府采购竞争性磋商采购方式管理暂行办法》（财库[2014]214号）规定的，采购人或者采购代理机构应当依法补足后继续评审。被更换的磋商小组成员所作出的评审意见无效。无法及时补足磋商小组成员的，采购人或者采购代理机构应当停止评审活动，封存所有响应文件和开启、评审资料，依法重新组建磋商小组进行评审。原磋商小组所作出的评审意见无效。采购人或者采购代理机构应当将变更、重新组建磋商小组的情况予以记录，并随竞争性磋商文件一并存档。</w:t>
      </w:r>
    </w:p>
    <w:p w14:paraId="40B5D26D">
      <w:pPr>
        <w:spacing w:line="360" w:lineRule="auto"/>
        <w:rPr>
          <w:rFonts w:hint="eastAsia" w:ascii="宋体" w:hAnsi="宋体" w:cs="宋体"/>
          <w:b/>
          <w:sz w:val="24"/>
          <w:szCs w:val="24"/>
        </w:rPr>
      </w:pPr>
      <w:bookmarkStart w:id="261" w:name="_Toc28237"/>
      <w:bookmarkEnd w:id="261"/>
      <w:bookmarkStart w:id="262" w:name="_Toc6336"/>
      <w:r>
        <w:rPr>
          <w:rFonts w:hint="eastAsia" w:ascii="宋体" w:hAnsi="宋体" w:cs="宋体"/>
          <w:b/>
          <w:sz w:val="24"/>
          <w:szCs w:val="24"/>
        </w:rPr>
        <w:t>6.2评审原则</w:t>
      </w:r>
      <w:bookmarkEnd w:id="262"/>
    </w:p>
    <w:p w14:paraId="0FFF4B6D">
      <w:pPr>
        <w:spacing w:line="360" w:lineRule="auto"/>
        <w:ind w:firstLine="480" w:firstLineChars="200"/>
        <w:rPr>
          <w:rFonts w:hint="eastAsia" w:ascii="宋体" w:hAnsi="宋体" w:cs="宋体"/>
          <w:sz w:val="24"/>
          <w:szCs w:val="24"/>
        </w:rPr>
      </w:pPr>
      <w:r>
        <w:rPr>
          <w:rFonts w:hint="eastAsia" w:ascii="宋体" w:hAnsi="宋体" w:cs="宋体"/>
          <w:sz w:val="24"/>
          <w:szCs w:val="24"/>
        </w:rPr>
        <w:t>评审活动遵循公平、公正、科学和择优的原则。</w:t>
      </w:r>
    </w:p>
    <w:p w14:paraId="75C091A7">
      <w:pPr>
        <w:spacing w:line="360" w:lineRule="auto"/>
        <w:rPr>
          <w:rFonts w:hint="eastAsia" w:ascii="宋体" w:hAnsi="宋体" w:cs="宋体"/>
          <w:b/>
          <w:sz w:val="24"/>
          <w:szCs w:val="24"/>
        </w:rPr>
      </w:pPr>
      <w:bookmarkStart w:id="263" w:name="_Toc10442"/>
      <w:bookmarkEnd w:id="263"/>
      <w:bookmarkStart w:id="264" w:name="_Toc5282"/>
      <w:r>
        <w:rPr>
          <w:rFonts w:hint="eastAsia" w:ascii="宋体" w:hAnsi="宋体" w:cs="宋体"/>
          <w:b/>
          <w:sz w:val="24"/>
          <w:szCs w:val="24"/>
        </w:rPr>
        <w:t>6.3评审</w:t>
      </w:r>
      <w:bookmarkEnd w:id="264"/>
    </w:p>
    <w:p w14:paraId="4A1B0575">
      <w:pPr>
        <w:spacing w:line="360" w:lineRule="auto"/>
        <w:ind w:firstLine="480" w:firstLineChars="200"/>
        <w:rPr>
          <w:rFonts w:hint="eastAsia" w:ascii="宋体" w:hAnsi="宋体" w:cs="宋体"/>
          <w:sz w:val="24"/>
          <w:szCs w:val="24"/>
        </w:rPr>
      </w:pPr>
      <w:r>
        <w:rPr>
          <w:rFonts w:hint="eastAsia" w:ascii="宋体" w:hAnsi="宋体" w:cs="宋体"/>
          <w:sz w:val="24"/>
          <w:szCs w:val="24"/>
        </w:rPr>
        <w:t>6.3.1磋商小组按照第三章“评审办法”规定的方法、评审因素、标准和程序对响应文件进行评审。第三章“评审办法”没有规定的方法、评审因素和标准，不作为评审依据。</w:t>
      </w:r>
    </w:p>
    <w:p w14:paraId="50D4A294">
      <w:pPr>
        <w:spacing w:line="360" w:lineRule="auto"/>
        <w:ind w:firstLine="480" w:firstLineChars="200"/>
        <w:rPr>
          <w:rFonts w:hint="eastAsia" w:ascii="宋体" w:hAnsi="宋体" w:cs="宋体"/>
          <w:sz w:val="24"/>
          <w:szCs w:val="24"/>
        </w:rPr>
      </w:pPr>
      <w:r>
        <w:rPr>
          <w:rFonts w:hint="eastAsia" w:ascii="宋体" w:hAnsi="宋体" w:cs="宋体"/>
          <w:sz w:val="24"/>
          <w:szCs w:val="24"/>
        </w:rPr>
        <w:t>6.3.2评审完成后，磋商小组应当向采购人提交书面评审报告和成交候选供应商名单。磋商小组推荐成交候选供应商的人数见供应商须知前附表。</w:t>
      </w:r>
    </w:p>
    <w:p w14:paraId="6E5E24EB">
      <w:pPr>
        <w:pStyle w:val="3"/>
        <w:rPr>
          <w:rFonts w:hint="eastAsia" w:ascii="宋体" w:hAnsi="宋体" w:eastAsia="宋体" w:cs="宋体"/>
          <w:sz w:val="28"/>
          <w:szCs w:val="28"/>
        </w:rPr>
      </w:pPr>
      <w:bookmarkStart w:id="265" w:name="_Toc6003"/>
      <w:bookmarkEnd w:id="265"/>
      <w:bookmarkStart w:id="266" w:name="_Toc30483"/>
      <w:bookmarkEnd w:id="266"/>
      <w:bookmarkStart w:id="267" w:name="_Toc22840"/>
      <w:bookmarkStart w:id="268" w:name="_Toc8703"/>
      <w:bookmarkStart w:id="269" w:name="_Toc10514"/>
      <w:bookmarkStart w:id="270" w:name="_Toc165910143"/>
      <w:bookmarkStart w:id="271" w:name="_Toc16692"/>
      <w:bookmarkStart w:id="272" w:name="_Toc3896288"/>
      <w:bookmarkStart w:id="273" w:name="_Toc8567"/>
      <w:bookmarkStart w:id="274" w:name="_Toc71"/>
      <w:r>
        <w:rPr>
          <w:rFonts w:hint="eastAsia" w:ascii="宋体" w:hAnsi="宋体" w:eastAsia="宋体" w:cs="宋体"/>
          <w:sz w:val="28"/>
          <w:szCs w:val="28"/>
        </w:rPr>
        <w:t>7.成交和合同</w:t>
      </w:r>
      <w:bookmarkEnd w:id="267"/>
      <w:bookmarkEnd w:id="268"/>
      <w:bookmarkEnd w:id="269"/>
      <w:bookmarkEnd w:id="270"/>
      <w:bookmarkEnd w:id="271"/>
      <w:bookmarkEnd w:id="272"/>
      <w:bookmarkEnd w:id="273"/>
      <w:bookmarkEnd w:id="274"/>
    </w:p>
    <w:p w14:paraId="06651B1A">
      <w:pPr>
        <w:spacing w:line="360" w:lineRule="auto"/>
        <w:rPr>
          <w:rFonts w:hint="eastAsia" w:ascii="宋体" w:hAnsi="宋体" w:cs="宋体"/>
          <w:b/>
          <w:sz w:val="24"/>
          <w:szCs w:val="24"/>
        </w:rPr>
      </w:pPr>
      <w:bookmarkStart w:id="275" w:name="_Toc18219"/>
      <w:bookmarkEnd w:id="275"/>
      <w:bookmarkStart w:id="276" w:name="_Toc31217"/>
      <w:r>
        <w:rPr>
          <w:rFonts w:hint="eastAsia" w:ascii="宋体" w:hAnsi="宋体" w:cs="宋体"/>
          <w:b/>
          <w:sz w:val="24"/>
          <w:szCs w:val="24"/>
        </w:rPr>
        <w:t>7.1</w:t>
      </w:r>
      <w:bookmarkEnd w:id="276"/>
      <w:r>
        <w:rPr>
          <w:rFonts w:hint="eastAsia" w:ascii="宋体" w:hAnsi="宋体" w:cs="宋体"/>
          <w:b/>
          <w:sz w:val="24"/>
          <w:szCs w:val="24"/>
        </w:rPr>
        <w:t>确定成交供应商</w:t>
      </w:r>
    </w:p>
    <w:p w14:paraId="7FE4C5A4">
      <w:pPr>
        <w:spacing w:line="360" w:lineRule="auto"/>
        <w:ind w:firstLine="480" w:firstLineChars="200"/>
        <w:rPr>
          <w:rFonts w:hint="eastAsia" w:ascii="宋体" w:hAnsi="宋体" w:cs="宋体"/>
          <w:sz w:val="24"/>
          <w:szCs w:val="24"/>
        </w:rPr>
      </w:pPr>
      <w:r>
        <w:rPr>
          <w:rFonts w:hint="eastAsia" w:ascii="宋体" w:hAnsi="宋体" w:cs="宋体"/>
          <w:sz w:val="24"/>
          <w:szCs w:val="24"/>
        </w:rPr>
        <w:t>按照供应商须知前附表的规定，采购人或采购人授权的磋商小组依法确定成交供应商。</w:t>
      </w:r>
    </w:p>
    <w:p w14:paraId="1F7B97EC">
      <w:pPr>
        <w:spacing w:line="360" w:lineRule="auto"/>
        <w:rPr>
          <w:rFonts w:hint="eastAsia" w:ascii="宋体" w:hAnsi="宋体" w:cs="宋体"/>
          <w:b/>
          <w:sz w:val="24"/>
          <w:szCs w:val="24"/>
        </w:rPr>
      </w:pPr>
      <w:bookmarkStart w:id="277" w:name="_Toc18811"/>
      <w:bookmarkEnd w:id="277"/>
      <w:bookmarkStart w:id="278" w:name="_Toc18115"/>
      <w:r>
        <w:rPr>
          <w:rFonts w:hint="eastAsia" w:ascii="宋体" w:hAnsi="宋体" w:cs="宋体"/>
          <w:b/>
          <w:sz w:val="24"/>
          <w:szCs w:val="24"/>
        </w:rPr>
        <w:t>7.2成交公告</w:t>
      </w:r>
      <w:bookmarkEnd w:id="278"/>
    </w:p>
    <w:p w14:paraId="2B93C2AC">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采购人或者采购代理机构应当自成交供应商确定之日起2个工作日内，按照供应商须知前附表规定的媒介和期限公告成交结果，竞争性磋商文件应当随成交结果同时公告。</w:t>
      </w:r>
    </w:p>
    <w:p w14:paraId="1A2403E0">
      <w:pPr>
        <w:spacing w:line="360" w:lineRule="auto"/>
        <w:ind w:firstLine="480" w:firstLineChars="200"/>
        <w:rPr>
          <w:rFonts w:hint="eastAsia" w:ascii="宋体" w:hAnsi="宋体" w:cs="宋体"/>
          <w:sz w:val="24"/>
          <w:szCs w:val="24"/>
        </w:rPr>
      </w:pPr>
      <w:r>
        <w:rPr>
          <w:rFonts w:hint="eastAsia" w:ascii="宋体" w:hAnsi="宋体" w:cs="宋体"/>
          <w:sz w:val="24"/>
          <w:szCs w:val="24"/>
        </w:rPr>
        <w:t>成交公告期限详见供应商须知前附表。</w:t>
      </w:r>
    </w:p>
    <w:p w14:paraId="34703FEE">
      <w:pPr>
        <w:spacing w:line="360" w:lineRule="auto"/>
        <w:rPr>
          <w:rFonts w:hint="eastAsia" w:ascii="宋体" w:hAnsi="宋体" w:cs="宋体"/>
          <w:b/>
          <w:sz w:val="24"/>
          <w:szCs w:val="24"/>
        </w:rPr>
      </w:pPr>
      <w:bookmarkStart w:id="279" w:name="_Toc16495"/>
      <w:bookmarkEnd w:id="279"/>
      <w:bookmarkStart w:id="280" w:name="_Toc8411"/>
      <w:bookmarkEnd w:id="280"/>
      <w:bookmarkStart w:id="281" w:name="_Toc3833"/>
      <w:r>
        <w:rPr>
          <w:rFonts w:hint="eastAsia" w:ascii="宋体" w:hAnsi="宋体" w:cs="宋体"/>
          <w:b/>
          <w:sz w:val="24"/>
          <w:szCs w:val="24"/>
        </w:rPr>
        <w:t>7.3成交通知</w:t>
      </w:r>
      <w:bookmarkEnd w:id="281"/>
    </w:p>
    <w:p w14:paraId="03F0602E">
      <w:pPr>
        <w:spacing w:line="360" w:lineRule="auto"/>
        <w:ind w:firstLine="480" w:firstLineChars="200"/>
        <w:rPr>
          <w:rFonts w:hint="eastAsia" w:ascii="宋体" w:hAnsi="宋体" w:cs="宋体"/>
          <w:sz w:val="24"/>
          <w:szCs w:val="24"/>
        </w:rPr>
      </w:pPr>
      <w:r>
        <w:rPr>
          <w:rFonts w:hint="eastAsia" w:ascii="宋体" w:hAnsi="宋体" w:cs="宋体"/>
          <w:sz w:val="24"/>
          <w:szCs w:val="24"/>
        </w:rPr>
        <w:t>在本章第3.3款规定的磋商有效期内，在公告成交结果的同时，采购人或者采购代理机构应当向成交供应商发出成交通知书。</w:t>
      </w:r>
    </w:p>
    <w:p w14:paraId="3D87327E">
      <w:pPr>
        <w:spacing w:line="360" w:lineRule="auto"/>
        <w:rPr>
          <w:rFonts w:hint="eastAsia" w:ascii="宋体" w:hAnsi="宋体" w:cs="宋体"/>
          <w:b/>
          <w:sz w:val="24"/>
          <w:szCs w:val="24"/>
        </w:rPr>
      </w:pPr>
      <w:bookmarkStart w:id="282" w:name="_Toc13042"/>
      <w:bookmarkEnd w:id="282"/>
      <w:bookmarkStart w:id="283" w:name="_Toc7193"/>
      <w:r>
        <w:rPr>
          <w:rFonts w:hint="eastAsia" w:ascii="宋体" w:hAnsi="宋体" w:cs="宋体"/>
          <w:b/>
          <w:sz w:val="24"/>
          <w:szCs w:val="24"/>
        </w:rPr>
        <w:t>7.4履约保证金</w:t>
      </w:r>
      <w:bookmarkEnd w:id="283"/>
    </w:p>
    <w:p w14:paraId="027925F9">
      <w:pPr>
        <w:spacing w:line="360" w:lineRule="auto"/>
        <w:ind w:firstLine="480" w:firstLineChars="200"/>
        <w:rPr>
          <w:rFonts w:hint="eastAsia" w:ascii="宋体" w:hAnsi="宋体" w:cs="宋体"/>
          <w:sz w:val="24"/>
          <w:szCs w:val="24"/>
        </w:rPr>
      </w:pPr>
      <w:r>
        <w:rPr>
          <w:rFonts w:hint="eastAsia" w:ascii="宋体" w:hAnsi="宋体" w:cs="宋体"/>
          <w:sz w:val="24"/>
          <w:szCs w:val="24"/>
        </w:rPr>
        <w:t>7.4.1在签订合同前，成交供应商应按供应商须知前附表规定的形式、金额向采购人提交履约保证金。</w:t>
      </w:r>
    </w:p>
    <w:p w14:paraId="0CB80419">
      <w:pPr>
        <w:spacing w:line="360" w:lineRule="auto"/>
        <w:ind w:firstLine="480" w:firstLineChars="200"/>
        <w:rPr>
          <w:rFonts w:hint="eastAsia" w:ascii="宋体" w:hAnsi="宋体" w:cs="宋体"/>
          <w:sz w:val="24"/>
          <w:szCs w:val="24"/>
        </w:rPr>
      </w:pPr>
      <w:r>
        <w:rPr>
          <w:rFonts w:hint="eastAsia" w:ascii="宋体" w:hAnsi="宋体" w:cs="宋体"/>
          <w:sz w:val="24"/>
          <w:szCs w:val="24"/>
        </w:rPr>
        <w:t>7.4.2成交供应商不能按本章第7.4.1项要求提交履约保证金的，视为放弃成交，其磋商保证金不予退还，给采购人造成的损失超过磋商保证金数额的，成交供应商还应当对超过部分予以赔偿。</w:t>
      </w:r>
    </w:p>
    <w:p w14:paraId="36C8E51D">
      <w:pPr>
        <w:spacing w:line="360" w:lineRule="auto"/>
        <w:rPr>
          <w:rFonts w:hint="eastAsia" w:ascii="宋体" w:hAnsi="宋体" w:cs="宋体"/>
          <w:b/>
          <w:sz w:val="24"/>
          <w:szCs w:val="24"/>
        </w:rPr>
      </w:pPr>
      <w:bookmarkStart w:id="284" w:name="_Toc6413"/>
      <w:bookmarkEnd w:id="284"/>
      <w:bookmarkStart w:id="285" w:name="_Toc18519"/>
      <w:r>
        <w:rPr>
          <w:rFonts w:hint="eastAsia" w:ascii="宋体" w:hAnsi="宋体" w:cs="宋体"/>
          <w:b/>
          <w:sz w:val="24"/>
          <w:szCs w:val="24"/>
        </w:rPr>
        <w:t>7.5签订合同</w:t>
      </w:r>
      <w:bookmarkEnd w:id="285"/>
    </w:p>
    <w:p w14:paraId="1CEE7BD3">
      <w:pPr>
        <w:spacing w:line="360" w:lineRule="auto"/>
        <w:ind w:firstLine="480" w:firstLineChars="200"/>
        <w:rPr>
          <w:rFonts w:hint="eastAsia" w:ascii="宋体" w:hAnsi="宋体" w:cs="宋体"/>
          <w:sz w:val="24"/>
          <w:szCs w:val="24"/>
        </w:rPr>
      </w:pPr>
      <w:r>
        <w:rPr>
          <w:rFonts w:hint="eastAsia" w:ascii="宋体" w:hAnsi="宋体" w:cs="宋体"/>
          <w:sz w:val="24"/>
          <w:szCs w:val="24"/>
        </w:rPr>
        <w:t>7.5.1采购人应当自成交通知书发出之日起30日内，按照竞争性磋商文件和成交供应商响应文件的规定，与成交供应商签订书面合同。所签订的合同不得对竞争性磋商文件确定的事项和成交供应商响应文件作实质性修改。采购人不得向成交供应商提出任何不合理的要求作为签订合同的条件。</w:t>
      </w:r>
    </w:p>
    <w:p w14:paraId="7E30A4BB">
      <w:pPr>
        <w:spacing w:line="360" w:lineRule="auto"/>
        <w:ind w:firstLine="480" w:firstLineChars="200"/>
        <w:rPr>
          <w:rFonts w:hint="eastAsia" w:ascii="宋体" w:hAnsi="宋体" w:cs="宋体"/>
          <w:sz w:val="24"/>
          <w:szCs w:val="24"/>
        </w:rPr>
      </w:pPr>
      <w:r>
        <w:rPr>
          <w:rFonts w:hint="eastAsia" w:ascii="宋体" w:hAnsi="宋体" w:cs="宋体"/>
          <w:sz w:val="24"/>
          <w:szCs w:val="24"/>
        </w:rPr>
        <w:t>7.5.2成交通知书发出后，采购人不得违法改变成交结果，成交供应商无正当理由不得放弃成交。</w:t>
      </w:r>
    </w:p>
    <w:p w14:paraId="3CFD591D">
      <w:pPr>
        <w:spacing w:line="360" w:lineRule="auto"/>
        <w:ind w:firstLine="480" w:firstLineChars="200"/>
        <w:rPr>
          <w:rFonts w:hint="eastAsia" w:ascii="宋体" w:hAnsi="宋体" w:cs="宋体"/>
          <w:sz w:val="24"/>
          <w:szCs w:val="24"/>
        </w:rPr>
      </w:pPr>
      <w:r>
        <w:rPr>
          <w:rFonts w:hint="eastAsia" w:ascii="宋体" w:hAnsi="宋体" w:cs="宋体"/>
          <w:sz w:val="24"/>
          <w:szCs w:val="24"/>
        </w:rPr>
        <w:t>7.5.3联合体成交的，联合体各方应当共同与采购人签订合同，就成交项目向采购人承担连带责任。</w:t>
      </w:r>
    </w:p>
    <w:p w14:paraId="63940188">
      <w:pPr>
        <w:pStyle w:val="3"/>
        <w:rPr>
          <w:rFonts w:hint="eastAsia" w:ascii="宋体" w:hAnsi="宋体" w:eastAsia="宋体" w:cs="宋体"/>
          <w:sz w:val="28"/>
          <w:szCs w:val="28"/>
        </w:rPr>
      </w:pPr>
      <w:bookmarkStart w:id="286" w:name="_Toc165910144"/>
      <w:bookmarkStart w:id="287" w:name="_Toc27670"/>
      <w:bookmarkStart w:id="288" w:name="_Toc29802"/>
      <w:bookmarkStart w:id="289" w:name="_Toc15756"/>
      <w:bookmarkStart w:id="290" w:name="_Toc3896289"/>
      <w:bookmarkStart w:id="291" w:name="_Toc19243"/>
      <w:bookmarkStart w:id="292" w:name="_Toc32511"/>
      <w:r>
        <w:rPr>
          <w:rFonts w:hint="eastAsia" w:ascii="宋体" w:hAnsi="宋体" w:eastAsia="宋体" w:cs="宋体"/>
          <w:sz w:val="28"/>
          <w:szCs w:val="28"/>
        </w:rPr>
        <w:t>8.询问与答复</w:t>
      </w:r>
      <w:bookmarkEnd w:id="286"/>
      <w:bookmarkEnd w:id="287"/>
      <w:bookmarkEnd w:id="288"/>
      <w:bookmarkEnd w:id="289"/>
      <w:bookmarkEnd w:id="290"/>
      <w:bookmarkEnd w:id="291"/>
      <w:bookmarkEnd w:id="292"/>
    </w:p>
    <w:p w14:paraId="78E9567E">
      <w:pPr>
        <w:pStyle w:val="14"/>
        <w:ind w:firstLine="480" w:firstLineChars="200"/>
        <w:rPr>
          <w:rFonts w:hint="eastAsia" w:ascii="宋体" w:hAnsi="宋体" w:cs="宋体"/>
          <w:kern w:val="0"/>
          <w:sz w:val="24"/>
        </w:rPr>
      </w:pPr>
      <w:r>
        <w:rPr>
          <w:rFonts w:hint="eastAsia" w:ascii="宋体" w:hAnsi="宋体" w:cs="宋体"/>
          <w:kern w:val="0"/>
          <w:sz w:val="24"/>
        </w:rPr>
        <w:t>供应商对政府采购活动事项有疑问的，可以向采购人提出询问，采购人应当及时作出答复，但答复的内容不得涉及商业秘密。采购人或者采购代理机构应当在3个工作日内对供应商依法提出的询问作出答复。</w:t>
      </w:r>
    </w:p>
    <w:p w14:paraId="38A112ED">
      <w:pPr>
        <w:pStyle w:val="3"/>
        <w:rPr>
          <w:rFonts w:hint="eastAsia" w:ascii="宋体" w:hAnsi="宋体" w:eastAsia="宋体" w:cs="宋体"/>
          <w:sz w:val="28"/>
          <w:szCs w:val="28"/>
        </w:rPr>
      </w:pPr>
      <w:bookmarkStart w:id="293" w:name="_Toc20692"/>
      <w:bookmarkEnd w:id="293"/>
      <w:bookmarkStart w:id="294" w:name="_Toc11854"/>
      <w:bookmarkEnd w:id="294"/>
      <w:bookmarkStart w:id="295" w:name="_Toc26087"/>
      <w:bookmarkStart w:id="296" w:name="_Toc16618"/>
      <w:bookmarkStart w:id="297" w:name="_Toc165910145"/>
      <w:bookmarkStart w:id="298" w:name="_Toc24934"/>
      <w:bookmarkStart w:id="299" w:name="_Toc19286"/>
      <w:bookmarkStart w:id="300" w:name="_Toc31972"/>
      <w:bookmarkStart w:id="301" w:name="_Toc3896290"/>
      <w:bookmarkStart w:id="302" w:name="_Toc20594"/>
      <w:r>
        <w:rPr>
          <w:rFonts w:hint="eastAsia" w:ascii="宋体" w:hAnsi="宋体" w:eastAsia="宋体" w:cs="宋体"/>
          <w:sz w:val="28"/>
          <w:szCs w:val="28"/>
        </w:rPr>
        <w:t>9.质疑接收、回复</w:t>
      </w:r>
      <w:bookmarkEnd w:id="295"/>
      <w:bookmarkEnd w:id="296"/>
      <w:bookmarkEnd w:id="297"/>
      <w:bookmarkEnd w:id="298"/>
      <w:bookmarkEnd w:id="299"/>
      <w:bookmarkEnd w:id="300"/>
      <w:bookmarkEnd w:id="301"/>
    </w:p>
    <w:p w14:paraId="4982D37E">
      <w:pPr>
        <w:spacing w:line="360" w:lineRule="auto"/>
        <w:rPr>
          <w:rFonts w:hint="eastAsia" w:ascii="宋体" w:hAnsi="宋体" w:cs="宋体"/>
          <w:bCs/>
          <w:sz w:val="24"/>
          <w:szCs w:val="24"/>
        </w:rPr>
      </w:pPr>
      <w:r>
        <w:rPr>
          <w:rFonts w:hint="eastAsia" w:ascii="宋体" w:hAnsi="宋体" w:cs="宋体"/>
          <w:bCs/>
          <w:sz w:val="24"/>
          <w:szCs w:val="24"/>
        </w:rPr>
        <w:t>9.1质疑期限</w:t>
      </w:r>
    </w:p>
    <w:p w14:paraId="32856A7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供应商认为竞争性磋商文件、磋商过程、成交结果使自己的权益受到损害的，可以在知道或者应知其权益受到损害之日起7个工作日内，以书面形式向采购人、采购代理机构提出质疑。</w:t>
      </w:r>
    </w:p>
    <w:p w14:paraId="1DCFDA55">
      <w:pPr>
        <w:spacing w:line="360" w:lineRule="auto"/>
        <w:rPr>
          <w:rFonts w:hint="eastAsia" w:ascii="宋体" w:hAnsi="宋体" w:cs="宋体"/>
          <w:bCs/>
          <w:sz w:val="24"/>
          <w:szCs w:val="24"/>
        </w:rPr>
      </w:pPr>
      <w:r>
        <w:rPr>
          <w:rFonts w:hint="eastAsia" w:ascii="宋体" w:hAnsi="宋体" w:cs="宋体"/>
          <w:bCs/>
          <w:sz w:val="24"/>
          <w:szCs w:val="24"/>
        </w:rPr>
        <w:t>供应商应在法定质疑期内一次性提出针对同一采购程序环节的质疑。</w:t>
      </w:r>
    </w:p>
    <w:p w14:paraId="79F7DCB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潜在供应商已依法获取其可质疑的竞争性磋商文件的，可以对该文件提出质疑。对竞争性磋商文件提出质疑的，应当在获取竞争性磋商文件或者竞争性磋商文件公告期限届满之日起7个工作日内提出。</w:t>
      </w:r>
    </w:p>
    <w:p w14:paraId="24B6FD9F">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9.2质疑主体</w:t>
      </w:r>
    </w:p>
    <w:p w14:paraId="557F4BC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提出质疑的供应商应当是参与所质疑项目采购活动的供应商。</w:t>
      </w:r>
    </w:p>
    <w:p w14:paraId="14CD428B">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9.3质疑函</w:t>
      </w:r>
    </w:p>
    <w:p w14:paraId="0CF3F82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供应商应在法定质疑期内一次性提出针对同一采购程序环节的质疑。供应商提出质疑应当提交质疑函和必要的证明材料。质疑函应当包括下列内容：</w:t>
      </w:r>
    </w:p>
    <w:p w14:paraId="284FDD2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（一）供应商的姓名或者名称、地址、邮编、联系人及联系电话；</w:t>
      </w:r>
    </w:p>
    <w:p w14:paraId="1425EDF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（二）质疑项目的名称、编号；</w:t>
      </w:r>
    </w:p>
    <w:p w14:paraId="68E140B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（三）具体、明确的质疑事项和与质疑事项相关的请求；</w:t>
      </w:r>
    </w:p>
    <w:p w14:paraId="436B327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（四）事实依据；</w:t>
      </w:r>
    </w:p>
    <w:p w14:paraId="08A2627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（五）必要的法律依据；</w:t>
      </w:r>
    </w:p>
    <w:p w14:paraId="61745DA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（六）提出质疑的日期。</w:t>
      </w:r>
    </w:p>
    <w:p w14:paraId="5DD0D85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供应商为自然人的，应当由本人签字；供应商为法人或者其他组织的，应当由法定代表人、主要负责人，或者其授权代表签字或者盖章，并加盖公章。</w:t>
      </w:r>
    </w:p>
    <w:p w14:paraId="27F9775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本竞争性磋商文件中的公章是指经工商部门和公安部门登记备案的具有法律效力的行政法人公章。不包括“合同专用章”或“投标专用章”等供应商内部使用的业务章，下同。</w:t>
      </w:r>
    </w:p>
    <w:p w14:paraId="1BA15A6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3B1F37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代理人提出质疑和投诉，应当提交供应商签署的授权委托书。</w:t>
      </w:r>
    </w:p>
    <w:p w14:paraId="75A7F716">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9.4质疑函的递交</w:t>
      </w:r>
    </w:p>
    <w:p w14:paraId="0F68DA9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324173A8">
      <w:pPr>
        <w:pStyle w:val="10"/>
        <w:spacing w:line="360" w:lineRule="auto"/>
        <w:ind w:firstLine="482"/>
        <w:rPr>
          <w:rFonts w:hint="eastAsia" w:hAnsi="宋体" w:cs="宋体"/>
          <w:bCs/>
          <w:sz w:val="24"/>
          <w:szCs w:val="24"/>
        </w:rPr>
      </w:pPr>
      <w:r>
        <w:rPr>
          <w:rFonts w:hint="eastAsia" w:hAnsi="宋体" w:cs="宋体"/>
          <w:bCs/>
          <w:sz w:val="24"/>
          <w:szCs w:val="24"/>
        </w:rPr>
        <w:t>联系人：</w:t>
      </w:r>
      <w:r>
        <w:rPr>
          <w:rFonts w:hint="eastAsia" w:hAnsi="宋体" w:cs="宋体"/>
          <w:sz w:val="24"/>
        </w:rPr>
        <w:t>羊振、普清秀、张洋铭、苏凤霞</w:t>
      </w:r>
    </w:p>
    <w:p w14:paraId="19AFD831">
      <w:pPr>
        <w:pStyle w:val="10"/>
        <w:spacing w:line="360" w:lineRule="auto"/>
        <w:ind w:firstLine="482"/>
        <w:rPr>
          <w:rFonts w:hint="eastAsia" w:hAnsi="宋体" w:cs="宋体"/>
          <w:bCs/>
          <w:sz w:val="24"/>
          <w:szCs w:val="24"/>
        </w:rPr>
      </w:pPr>
      <w:r>
        <w:rPr>
          <w:rFonts w:hint="eastAsia" w:hAnsi="宋体" w:cs="宋体"/>
          <w:bCs/>
          <w:sz w:val="24"/>
          <w:szCs w:val="24"/>
        </w:rPr>
        <w:t>联系方式：</w:t>
      </w:r>
      <w:r>
        <w:rPr>
          <w:rFonts w:hint="eastAsia" w:hAnsi="宋体" w:cs="宋体"/>
          <w:bCs/>
          <w:sz w:val="24"/>
          <w:u w:val="single"/>
        </w:rPr>
        <w:t>0871-63856268、13619691532</w:t>
      </w:r>
    </w:p>
    <w:p w14:paraId="4F361D6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联系地址：</w:t>
      </w:r>
      <w:r>
        <w:rPr>
          <w:rFonts w:hint="eastAsia" w:ascii="宋体" w:hAnsi="宋体" w:cs="宋体"/>
          <w:bCs/>
          <w:sz w:val="24"/>
          <w:szCs w:val="24"/>
          <w:u w:val="single"/>
        </w:rPr>
        <w:t>云南省昆明市盘龙区白云路168号瑞鼎城A座第11层1116-1118号</w:t>
      </w:r>
    </w:p>
    <w:p w14:paraId="4274D64A">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9.5质疑回复</w:t>
      </w:r>
    </w:p>
    <w:p w14:paraId="3FD39D9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采购人或者采购代理机构应在收到质疑函后7个工作日内作出答复，并以书面形式通知质疑的供应商和其他有关供应商，质疑答复的内容不得涉及商业秘密。</w:t>
      </w:r>
    </w:p>
    <w:p w14:paraId="3C194386">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9.6投诉</w:t>
      </w:r>
    </w:p>
    <w:p w14:paraId="69090B26">
      <w:pPr>
        <w:spacing w:line="360" w:lineRule="auto"/>
        <w:ind w:firstLine="480" w:firstLineChars="200"/>
        <w:rPr>
          <w:rFonts w:hint="eastAsia" w:ascii="宋体" w:hAnsi="宋体" w:cs="宋体"/>
          <w:sz w:val="24"/>
          <w:szCs w:val="24"/>
        </w:rPr>
      </w:pPr>
      <w:r>
        <w:rPr>
          <w:rFonts w:hint="eastAsia" w:ascii="宋体" w:hAnsi="宋体" w:cs="宋体"/>
          <w:bCs/>
          <w:sz w:val="24"/>
          <w:szCs w:val="24"/>
        </w:rPr>
        <w:t>质疑供应商对采购人、采购代理机构的答复不满意，或者采购人、采购代理机构未在规定时间内作出答复的，可以在答复期满后15个工作日内向同级政府采购监督管理部门投诉。供应商提供的投诉书和必要的证明材料应符合中华人民共和国财政部令第94号《政府采购质疑和投诉办法》的规定。</w:t>
      </w:r>
    </w:p>
    <w:p w14:paraId="44AF1E15">
      <w:pPr>
        <w:pStyle w:val="3"/>
        <w:rPr>
          <w:rFonts w:hint="eastAsia" w:ascii="宋体" w:hAnsi="宋体" w:eastAsia="宋体" w:cs="宋体"/>
          <w:sz w:val="28"/>
          <w:szCs w:val="28"/>
        </w:rPr>
      </w:pPr>
      <w:bookmarkStart w:id="303" w:name="_Toc3896291"/>
      <w:bookmarkStart w:id="304" w:name="_Toc17567"/>
      <w:bookmarkStart w:id="305" w:name="_Toc517"/>
      <w:bookmarkStart w:id="306" w:name="_Toc4731"/>
      <w:bookmarkStart w:id="307" w:name="_Toc24391"/>
      <w:bookmarkStart w:id="308" w:name="_Toc18296"/>
      <w:bookmarkStart w:id="309" w:name="_Toc165910146"/>
      <w:r>
        <w:rPr>
          <w:rFonts w:hint="eastAsia" w:ascii="宋体" w:hAnsi="宋体" w:eastAsia="宋体" w:cs="宋体"/>
          <w:sz w:val="28"/>
          <w:szCs w:val="28"/>
        </w:rPr>
        <w:t>10.纪律和监督</w:t>
      </w:r>
      <w:bookmarkEnd w:id="302"/>
      <w:bookmarkEnd w:id="303"/>
      <w:bookmarkEnd w:id="304"/>
      <w:bookmarkEnd w:id="305"/>
      <w:bookmarkEnd w:id="306"/>
      <w:bookmarkEnd w:id="307"/>
      <w:bookmarkEnd w:id="308"/>
      <w:bookmarkEnd w:id="309"/>
    </w:p>
    <w:p w14:paraId="0DDF4AE0">
      <w:pPr>
        <w:spacing w:line="360" w:lineRule="auto"/>
        <w:rPr>
          <w:rFonts w:hint="eastAsia" w:ascii="宋体" w:hAnsi="宋体" w:cs="宋体"/>
          <w:b/>
          <w:sz w:val="24"/>
          <w:szCs w:val="24"/>
        </w:rPr>
      </w:pPr>
      <w:bookmarkStart w:id="310" w:name="_Toc453"/>
      <w:bookmarkEnd w:id="310"/>
      <w:bookmarkStart w:id="311" w:name="_Toc14990"/>
      <w:r>
        <w:rPr>
          <w:rFonts w:hint="eastAsia" w:ascii="宋体" w:hAnsi="宋体" w:cs="宋体"/>
          <w:b/>
          <w:sz w:val="24"/>
          <w:szCs w:val="24"/>
        </w:rPr>
        <w:t>10.1对采购人的纪律要求</w:t>
      </w:r>
      <w:bookmarkEnd w:id="311"/>
    </w:p>
    <w:p w14:paraId="078BFB4B">
      <w:pPr>
        <w:spacing w:line="360" w:lineRule="auto"/>
        <w:ind w:firstLine="480" w:firstLineChars="200"/>
        <w:rPr>
          <w:rFonts w:hint="eastAsia" w:ascii="宋体" w:hAnsi="宋体" w:cs="宋体"/>
          <w:sz w:val="24"/>
          <w:szCs w:val="24"/>
        </w:rPr>
      </w:pPr>
      <w:r>
        <w:rPr>
          <w:rFonts w:hint="eastAsia" w:ascii="宋体" w:hAnsi="宋体" w:cs="宋体"/>
          <w:sz w:val="24"/>
          <w:szCs w:val="24"/>
        </w:rPr>
        <w:t>（1）按照《政府采购竞争性磋商采购方式管理暂行办法》（财库[2014]214号）的规定编制服务要求；</w:t>
      </w:r>
    </w:p>
    <w:p w14:paraId="576532EA">
      <w:pPr>
        <w:spacing w:line="360" w:lineRule="auto"/>
        <w:ind w:firstLine="480" w:firstLineChars="200"/>
        <w:rPr>
          <w:rFonts w:hint="eastAsia" w:ascii="宋体" w:hAnsi="宋体" w:cs="宋体"/>
          <w:sz w:val="24"/>
          <w:szCs w:val="24"/>
        </w:rPr>
      </w:pPr>
      <w:r>
        <w:rPr>
          <w:rFonts w:hint="eastAsia" w:ascii="宋体" w:hAnsi="宋体" w:cs="宋体"/>
          <w:sz w:val="24"/>
          <w:szCs w:val="24"/>
        </w:rPr>
        <w:t>（2）采购人不得向供应商索要或者接受其给予的赠品、回扣或者与采购无关的其他商品、服务；</w:t>
      </w:r>
    </w:p>
    <w:p w14:paraId="6C08B0A2">
      <w:pPr>
        <w:spacing w:line="360" w:lineRule="auto"/>
        <w:ind w:firstLine="480" w:firstLineChars="200"/>
        <w:rPr>
          <w:rFonts w:hint="eastAsia" w:ascii="宋体" w:hAnsi="宋体" w:cs="宋体"/>
          <w:sz w:val="24"/>
          <w:szCs w:val="24"/>
        </w:rPr>
      </w:pPr>
      <w:r>
        <w:rPr>
          <w:rFonts w:hint="eastAsia" w:ascii="宋体" w:hAnsi="宋体" w:cs="宋体"/>
          <w:sz w:val="24"/>
          <w:szCs w:val="24"/>
        </w:rPr>
        <w:t>（3）在规定时间内确定成交供应商；</w:t>
      </w:r>
    </w:p>
    <w:p w14:paraId="06EE51E1">
      <w:pPr>
        <w:spacing w:line="360" w:lineRule="auto"/>
        <w:ind w:firstLine="480" w:firstLineChars="200"/>
        <w:rPr>
          <w:rFonts w:hint="eastAsia" w:ascii="宋体" w:hAnsi="宋体" w:cs="宋体"/>
          <w:sz w:val="24"/>
          <w:szCs w:val="24"/>
        </w:rPr>
      </w:pPr>
      <w:r>
        <w:rPr>
          <w:rFonts w:hint="eastAsia" w:ascii="宋体" w:hAnsi="宋体" w:cs="宋体"/>
          <w:sz w:val="24"/>
          <w:szCs w:val="24"/>
        </w:rPr>
        <w:t>（4）不得向成交供应商提出不合理要求作为签订合同条件。</w:t>
      </w:r>
    </w:p>
    <w:p w14:paraId="3ACDD868">
      <w:pPr>
        <w:spacing w:line="360" w:lineRule="auto"/>
        <w:rPr>
          <w:rFonts w:hint="eastAsia" w:ascii="宋体" w:hAnsi="宋体" w:cs="宋体"/>
          <w:b/>
          <w:sz w:val="24"/>
          <w:szCs w:val="24"/>
        </w:rPr>
      </w:pPr>
      <w:bookmarkStart w:id="312" w:name="_Toc20446"/>
      <w:bookmarkEnd w:id="312"/>
      <w:bookmarkStart w:id="313" w:name="_Toc14876"/>
      <w:r>
        <w:rPr>
          <w:rFonts w:hint="eastAsia" w:ascii="宋体" w:hAnsi="宋体" w:cs="宋体"/>
          <w:b/>
          <w:sz w:val="24"/>
          <w:szCs w:val="24"/>
        </w:rPr>
        <w:t>10.2对供应商的纪律要求</w:t>
      </w:r>
      <w:bookmarkEnd w:id="313"/>
    </w:p>
    <w:p w14:paraId="0A4A8DB5">
      <w:pPr>
        <w:spacing w:line="360" w:lineRule="auto"/>
        <w:ind w:firstLine="480" w:firstLineChars="200"/>
        <w:rPr>
          <w:rFonts w:hint="eastAsia" w:ascii="宋体" w:hAnsi="宋体" w:cs="宋体"/>
          <w:sz w:val="24"/>
          <w:szCs w:val="24"/>
        </w:rPr>
      </w:pPr>
      <w:r>
        <w:rPr>
          <w:rFonts w:hint="eastAsia" w:ascii="宋体" w:hAnsi="宋体" w:cs="宋体"/>
          <w:sz w:val="24"/>
          <w:szCs w:val="24"/>
        </w:rPr>
        <w:t>供应商不得相互串通磋商或者与采购人串通磋商，不得向采购人或者磋商小组成员行贿谋取成交，不得以他人名义磋商或者以其它方式弄虚作假骗取成交；供应商不得以任何方式干扰、影响评审工作。</w:t>
      </w:r>
    </w:p>
    <w:p w14:paraId="316FE804">
      <w:pPr>
        <w:spacing w:line="360" w:lineRule="auto"/>
        <w:rPr>
          <w:rFonts w:hint="eastAsia" w:ascii="宋体" w:hAnsi="宋体" w:cs="宋体"/>
          <w:b/>
          <w:sz w:val="24"/>
          <w:szCs w:val="24"/>
        </w:rPr>
      </w:pPr>
      <w:bookmarkStart w:id="314" w:name="_Toc17796"/>
      <w:bookmarkEnd w:id="314"/>
      <w:bookmarkStart w:id="315" w:name="_Toc29247"/>
      <w:r>
        <w:rPr>
          <w:rFonts w:hint="eastAsia" w:ascii="宋体" w:hAnsi="宋体" w:cs="宋体"/>
          <w:b/>
          <w:sz w:val="24"/>
          <w:szCs w:val="24"/>
        </w:rPr>
        <w:t>10.3对磋商小组成员的纪律要求</w:t>
      </w:r>
      <w:bookmarkEnd w:id="315"/>
    </w:p>
    <w:p w14:paraId="1A8BA714">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磋商小组及其成员不得有下列行为：</w:t>
      </w:r>
    </w:p>
    <w:p w14:paraId="30A29FA7">
      <w:pPr>
        <w:spacing w:line="360" w:lineRule="auto"/>
        <w:ind w:firstLine="480" w:firstLineChars="200"/>
        <w:rPr>
          <w:rFonts w:hint="eastAsia" w:ascii="宋体" w:hAnsi="宋体" w:cs="宋体"/>
          <w:sz w:val="24"/>
          <w:szCs w:val="24"/>
        </w:rPr>
      </w:pPr>
      <w:r>
        <w:rPr>
          <w:rFonts w:hint="eastAsia" w:ascii="宋体" w:hAnsi="宋体" w:cs="宋体"/>
          <w:sz w:val="24"/>
          <w:szCs w:val="24"/>
        </w:rPr>
        <w:t>（1）确定参与评审至评审结束前私自接触供应商；</w:t>
      </w:r>
    </w:p>
    <w:p w14:paraId="5038BB2A">
      <w:pPr>
        <w:spacing w:line="360" w:lineRule="auto"/>
        <w:ind w:firstLine="480" w:firstLineChars="200"/>
        <w:rPr>
          <w:rFonts w:hint="eastAsia" w:ascii="宋体" w:hAnsi="宋体" w:cs="宋体"/>
          <w:sz w:val="24"/>
          <w:szCs w:val="24"/>
        </w:rPr>
      </w:pPr>
      <w:r>
        <w:rPr>
          <w:rFonts w:hint="eastAsia" w:ascii="宋体" w:hAnsi="宋体" w:cs="宋体"/>
          <w:sz w:val="24"/>
          <w:szCs w:val="24"/>
        </w:rPr>
        <w:t>（2）接受供应商提出的与响应文件不一致的澄清或者说明；</w:t>
      </w:r>
    </w:p>
    <w:p w14:paraId="50546852">
      <w:pPr>
        <w:spacing w:line="360" w:lineRule="auto"/>
        <w:ind w:firstLine="480" w:firstLineChars="200"/>
        <w:rPr>
          <w:rFonts w:hint="eastAsia" w:ascii="宋体" w:hAnsi="宋体" w:cs="宋体"/>
          <w:sz w:val="24"/>
          <w:szCs w:val="24"/>
        </w:rPr>
      </w:pPr>
      <w:r>
        <w:rPr>
          <w:rFonts w:hint="eastAsia" w:ascii="宋体" w:hAnsi="宋体" w:cs="宋体"/>
          <w:sz w:val="24"/>
          <w:szCs w:val="24"/>
        </w:rPr>
        <w:t>（3）违反评审纪律发表倾向性意见或者征询采购人的倾向性意见；</w:t>
      </w:r>
    </w:p>
    <w:p w14:paraId="2DD0798C">
      <w:pPr>
        <w:spacing w:line="360" w:lineRule="auto"/>
        <w:ind w:firstLine="480" w:firstLineChars="200"/>
        <w:rPr>
          <w:rFonts w:hint="eastAsia" w:ascii="宋体" w:hAnsi="宋体" w:cs="宋体"/>
          <w:sz w:val="24"/>
          <w:szCs w:val="24"/>
        </w:rPr>
      </w:pPr>
      <w:r>
        <w:rPr>
          <w:rFonts w:hint="eastAsia" w:ascii="宋体" w:hAnsi="宋体" w:cs="宋体"/>
          <w:sz w:val="24"/>
          <w:szCs w:val="24"/>
        </w:rPr>
        <w:t>（4）对需要专业判断的主观评审因素协商评分；</w:t>
      </w:r>
    </w:p>
    <w:p w14:paraId="0799E2E6">
      <w:pPr>
        <w:spacing w:line="360" w:lineRule="auto"/>
        <w:ind w:firstLine="480" w:firstLineChars="200"/>
        <w:rPr>
          <w:rFonts w:hint="eastAsia" w:ascii="宋体" w:hAnsi="宋体" w:cs="宋体"/>
          <w:sz w:val="24"/>
          <w:szCs w:val="24"/>
        </w:rPr>
      </w:pPr>
      <w:r>
        <w:rPr>
          <w:rFonts w:hint="eastAsia" w:ascii="宋体" w:hAnsi="宋体" w:cs="宋体"/>
          <w:sz w:val="24"/>
          <w:szCs w:val="24"/>
        </w:rPr>
        <w:t>（5）在评审过程中擅离职守，影响评审程序正常进行的；</w:t>
      </w:r>
    </w:p>
    <w:p w14:paraId="0D5488D2">
      <w:pPr>
        <w:spacing w:line="360" w:lineRule="auto"/>
        <w:ind w:firstLine="480" w:firstLineChars="200"/>
        <w:rPr>
          <w:rFonts w:hint="eastAsia" w:ascii="宋体" w:hAnsi="宋体" w:cs="宋体"/>
          <w:sz w:val="24"/>
          <w:szCs w:val="24"/>
        </w:rPr>
      </w:pPr>
      <w:r>
        <w:rPr>
          <w:rFonts w:hint="eastAsia" w:ascii="宋体" w:hAnsi="宋体" w:cs="宋体"/>
          <w:sz w:val="24"/>
          <w:szCs w:val="24"/>
        </w:rPr>
        <w:t>（6）记录、复制或者带走任何评审资料；</w:t>
      </w:r>
    </w:p>
    <w:p w14:paraId="06B6B84D">
      <w:pPr>
        <w:spacing w:line="360" w:lineRule="auto"/>
        <w:ind w:firstLine="480" w:firstLineChars="200"/>
        <w:rPr>
          <w:rFonts w:hint="eastAsia" w:ascii="宋体" w:hAnsi="宋体" w:cs="宋体"/>
          <w:sz w:val="24"/>
          <w:szCs w:val="24"/>
        </w:rPr>
      </w:pPr>
      <w:r>
        <w:rPr>
          <w:rFonts w:hint="eastAsia" w:ascii="宋体" w:hAnsi="宋体" w:cs="宋体"/>
          <w:sz w:val="24"/>
          <w:szCs w:val="24"/>
        </w:rPr>
        <w:t>（7）其他不遵守评审纪律的行为。</w:t>
      </w:r>
    </w:p>
    <w:p w14:paraId="033F1E94">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磋商小组成员有前款第（1）至（7）项行为之一的，其评审意见无效，并不得获取评审劳务报酬和报销异地评审差旅费。</w:t>
      </w:r>
    </w:p>
    <w:p w14:paraId="6D93A5F4">
      <w:pPr>
        <w:spacing w:line="360" w:lineRule="auto"/>
        <w:rPr>
          <w:rFonts w:hint="eastAsia" w:ascii="宋体" w:hAnsi="宋体" w:cs="宋体"/>
          <w:b/>
          <w:sz w:val="24"/>
          <w:szCs w:val="24"/>
        </w:rPr>
      </w:pPr>
      <w:bookmarkStart w:id="316" w:name="_Toc22639"/>
      <w:bookmarkEnd w:id="316"/>
      <w:bookmarkStart w:id="317" w:name="_Toc5153"/>
      <w:r>
        <w:rPr>
          <w:rFonts w:hint="eastAsia" w:ascii="宋体" w:hAnsi="宋体" w:cs="宋体"/>
          <w:b/>
          <w:sz w:val="24"/>
          <w:szCs w:val="24"/>
        </w:rPr>
        <w:t>10.4对与评审活动有关的工作人员的纪律要求</w:t>
      </w:r>
      <w:bookmarkEnd w:id="317"/>
    </w:p>
    <w:p w14:paraId="05CF53E2">
      <w:pPr>
        <w:spacing w:line="360" w:lineRule="auto"/>
        <w:ind w:firstLine="480" w:firstLineChars="200"/>
        <w:rPr>
          <w:rFonts w:hint="eastAsia" w:ascii="宋体" w:hAnsi="宋体" w:cs="宋体"/>
          <w:sz w:val="24"/>
          <w:szCs w:val="24"/>
        </w:rPr>
      </w:pPr>
      <w:r>
        <w:rPr>
          <w:rFonts w:hint="eastAsia" w:ascii="宋体" w:hAnsi="宋体" w:cs="宋体"/>
          <w:sz w:val="24"/>
          <w:szCs w:val="24"/>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p>
    <w:p w14:paraId="375DD374">
      <w:pPr>
        <w:spacing w:line="360" w:lineRule="auto"/>
        <w:rPr>
          <w:rFonts w:hint="eastAsia" w:ascii="宋体" w:hAnsi="宋体" w:cs="宋体"/>
          <w:b/>
          <w:sz w:val="24"/>
          <w:szCs w:val="24"/>
        </w:rPr>
      </w:pPr>
      <w:r>
        <w:rPr>
          <w:rFonts w:hint="eastAsia" w:ascii="宋体" w:hAnsi="宋体" w:cs="宋体"/>
          <w:b/>
          <w:sz w:val="24"/>
          <w:szCs w:val="24"/>
        </w:rPr>
        <w:t>10.5廉洁自律规定</w:t>
      </w:r>
    </w:p>
    <w:p w14:paraId="48DD5D34">
      <w:pPr>
        <w:spacing w:line="360" w:lineRule="auto"/>
        <w:ind w:firstLine="480" w:firstLineChars="200"/>
        <w:rPr>
          <w:rFonts w:hint="eastAsia" w:ascii="宋体" w:hAnsi="宋体" w:cs="宋体"/>
          <w:sz w:val="24"/>
          <w:szCs w:val="24"/>
        </w:rPr>
      </w:pPr>
      <w:r>
        <w:rPr>
          <w:rFonts w:hint="eastAsia" w:ascii="宋体" w:hAnsi="宋体" w:cs="宋体"/>
          <w:sz w:val="24"/>
          <w:szCs w:val="24"/>
        </w:rPr>
        <w:t>（1）采购代理机构工作人员不得以不正当手段获取政府采购代理业务，不得与采购人、供应商恶意串通操纵政府采购活动。</w:t>
      </w:r>
    </w:p>
    <w:p w14:paraId="7C5AAA9D">
      <w:pPr>
        <w:spacing w:line="360" w:lineRule="auto"/>
        <w:ind w:firstLine="480" w:firstLineChars="200"/>
        <w:rPr>
          <w:rFonts w:hint="eastAsia" w:ascii="宋体" w:hAnsi="宋体" w:cs="宋体"/>
        </w:rPr>
      </w:pPr>
      <w:r>
        <w:rPr>
          <w:rFonts w:hint="eastAsia" w:ascii="宋体" w:hAnsi="宋体" w:cs="宋体"/>
          <w:sz w:val="24"/>
          <w:szCs w:val="24"/>
        </w:rPr>
        <w:t>（2）采购代理机构工作人员不得接受采购人或者供应商组织的宴请、旅游、娱乐，不得收受礼品、现金、有价证券等，不得向采购人或者供应商报销应当由个人承担的费用。</w:t>
      </w:r>
    </w:p>
    <w:p w14:paraId="28590EEA">
      <w:pPr>
        <w:pStyle w:val="3"/>
        <w:rPr>
          <w:rFonts w:hint="eastAsia" w:ascii="宋体" w:hAnsi="宋体" w:eastAsia="宋体" w:cs="宋体"/>
          <w:sz w:val="28"/>
          <w:szCs w:val="28"/>
        </w:rPr>
      </w:pPr>
      <w:bookmarkStart w:id="318" w:name="_Toc3960"/>
      <w:bookmarkEnd w:id="318"/>
      <w:bookmarkStart w:id="319" w:name="_Toc11291"/>
      <w:bookmarkEnd w:id="319"/>
      <w:bookmarkStart w:id="320" w:name="_Toc18697"/>
      <w:bookmarkEnd w:id="320"/>
      <w:bookmarkStart w:id="321" w:name="_Toc11354"/>
      <w:bookmarkEnd w:id="321"/>
      <w:bookmarkStart w:id="322" w:name="_Toc19873"/>
      <w:bookmarkEnd w:id="322"/>
      <w:bookmarkStart w:id="323" w:name="_Toc14857"/>
      <w:bookmarkStart w:id="324" w:name="_Toc165910147"/>
      <w:bookmarkStart w:id="325" w:name="_Toc12241"/>
      <w:bookmarkStart w:id="326" w:name="_Toc29778"/>
      <w:bookmarkStart w:id="327" w:name="_Toc26511"/>
      <w:bookmarkStart w:id="328" w:name="_Toc18789"/>
      <w:bookmarkStart w:id="329" w:name="_Toc3896292"/>
      <w:bookmarkStart w:id="330" w:name="_Toc21024"/>
      <w:r>
        <w:rPr>
          <w:rFonts w:hint="eastAsia" w:ascii="宋体" w:hAnsi="宋体" w:eastAsia="宋体" w:cs="宋体"/>
          <w:sz w:val="28"/>
          <w:szCs w:val="28"/>
        </w:rPr>
        <w:t>11.需要补充的其他内容</w:t>
      </w:r>
      <w:bookmarkEnd w:id="323"/>
      <w:bookmarkEnd w:id="324"/>
      <w:bookmarkEnd w:id="325"/>
      <w:bookmarkEnd w:id="326"/>
      <w:bookmarkEnd w:id="327"/>
      <w:bookmarkEnd w:id="328"/>
      <w:bookmarkEnd w:id="329"/>
      <w:bookmarkEnd w:id="330"/>
    </w:p>
    <w:p w14:paraId="59AEF328">
      <w:pPr>
        <w:spacing w:line="360" w:lineRule="auto"/>
        <w:ind w:firstLine="480" w:firstLineChars="200"/>
        <w:rPr>
          <w:rFonts w:hint="eastAsia" w:ascii="宋体" w:hAnsi="宋体" w:cs="宋体"/>
          <w:sz w:val="24"/>
          <w:szCs w:val="24"/>
        </w:rPr>
      </w:pPr>
      <w:r>
        <w:rPr>
          <w:rFonts w:hint="eastAsia" w:ascii="宋体" w:hAnsi="宋体" w:cs="宋体"/>
          <w:sz w:val="24"/>
          <w:szCs w:val="24"/>
        </w:rPr>
        <w:t>需要补充的其他内容：见供应商须知前附表。</w:t>
      </w:r>
      <w:bookmarkStart w:id="331" w:name="_Toc3896293"/>
      <w:bookmarkStart w:id="332" w:name="_Toc3438"/>
      <w:bookmarkStart w:id="333" w:name="_Toc3890"/>
      <w:bookmarkStart w:id="334" w:name="_Toc16450"/>
      <w:bookmarkStart w:id="335" w:name="_Toc5266"/>
    </w:p>
    <w:p w14:paraId="41B6FB2B">
      <w:pPr>
        <w:pStyle w:val="2"/>
        <w:spacing w:before="0" w:after="0" w:line="360" w:lineRule="auto"/>
        <w:jc w:val="center"/>
        <w:rPr>
          <w:rFonts w:hint="eastAsia" w:ascii="宋体" w:hAnsi="宋体" w:cs="宋体"/>
        </w:rPr>
      </w:pPr>
      <w:r>
        <w:rPr>
          <w:rFonts w:hint="eastAsia" w:ascii="宋体" w:hAnsi="宋体" w:cs="宋体"/>
          <w:sz w:val="24"/>
          <w:szCs w:val="24"/>
        </w:rPr>
        <w:br w:type="page"/>
      </w:r>
      <w:bookmarkStart w:id="336" w:name="_Toc165910148"/>
      <w:bookmarkStart w:id="337" w:name="_Toc7483"/>
      <w:bookmarkStart w:id="338" w:name="_Toc19940"/>
      <w:r>
        <w:rPr>
          <w:rFonts w:hint="eastAsia" w:ascii="宋体" w:hAnsi="宋体" w:cs="宋体"/>
        </w:rPr>
        <w:t>第三章 评审办法（综合评分法）</w:t>
      </w:r>
      <w:bookmarkEnd w:id="331"/>
      <w:bookmarkEnd w:id="332"/>
      <w:bookmarkEnd w:id="333"/>
      <w:bookmarkEnd w:id="334"/>
      <w:bookmarkEnd w:id="335"/>
      <w:bookmarkEnd w:id="336"/>
      <w:bookmarkEnd w:id="337"/>
      <w:bookmarkEnd w:id="338"/>
    </w:p>
    <w:p w14:paraId="3FCA5B8B">
      <w:pPr>
        <w:spacing w:line="500" w:lineRule="exact"/>
        <w:ind w:firstLine="482" w:firstLineChars="200"/>
        <w:jc w:val="both"/>
        <w:rPr>
          <w:rFonts w:hint="eastAsia" w:ascii="宋体" w:hAnsi="宋体" w:cs="宋体"/>
          <w:b/>
          <w:bCs/>
          <w:sz w:val="24"/>
          <w:szCs w:val="24"/>
        </w:rPr>
      </w:pPr>
      <w:r>
        <w:rPr>
          <w:rFonts w:hint="eastAsia" w:ascii="宋体" w:hAnsi="宋体" w:cs="宋体"/>
          <w:b/>
          <w:bCs/>
          <w:sz w:val="24"/>
          <w:szCs w:val="24"/>
        </w:rPr>
        <w:t>一、磋商小组</w:t>
      </w:r>
    </w:p>
    <w:p w14:paraId="270D4187">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磋商小组的组成见第二章供应商须知前附表6.1.1的规定。</w:t>
      </w:r>
    </w:p>
    <w:p w14:paraId="74E66074">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二、采购人或者采购代理机构职责</w:t>
      </w:r>
    </w:p>
    <w:p w14:paraId="1EAC55D1">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采购人或者采购代理机构负责组织评审工作，并履行下列职责：</w:t>
      </w:r>
    </w:p>
    <w:p w14:paraId="090ACE8A">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（一）核对评审专家身份和采购人代表授权函，对评审专家在政府采购活动中的职责履行情况予以记录，并及时将有关违法违规行为向财政部门报告；</w:t>
      </w:r>
    </w:p>
    <w:p w14:paraId="5C2D5F3B">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（二）宣布评审纪律；</w:t>
      </w:r>
    </w:p>
    <w:p w14:paraId="05B4CD9C">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（三）公布供应商名单，告知评审专家应当回避的情形；</w:t>
      </w:r>
    </w:p>
    <w:p w14:paraId="420F22EF">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（四）组织磋商小组推选评审组长，采购人代表不得担任组长；</w:t>
      </w:r>
    </w:p>
    <w:p w14:paraId="74FAB0B4">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（五）在评审期间采取必要的通讯管理措施，保证评审活动不受外界干扰；</w:t>
      </w:r>
    </w:p>
    <w:p w14:paraId="297690BD">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（六）根据磋商小组的要求介绍政府采购相关政策法规、竞争性磋商文件；</w:t>
      </w:r>
    </w:p>
    <w:p w14:paraId="1B6540FD">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（七）维护评审秩序，监督磋商小组依照竞争性磋商文件规定的评审程序、方法和标准进行独立评审，及时制止和纠正采购人代表、评审专家的倾向性言论或者违法违规行为；</w:t>
      </w:r>
    </w:p>
    <w:p w14:paraId="56351D6D">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（八）核对评审结果，有《政府采购竞争性磋商采购方式管理暂行办法》（</w:t>
      </w:r>
      <w:r>
        <w:rPr>
          <w:rFonts w:hint="eastAsia" w:ascii="宋体" w:hAnsi="宋体" w:cs="宋体"/>
          <w:bCs/>
          <w:sz w:val="24"/>
          <w:szCs w:val="24"/>
        </w:rPr>
        <w:t>财库[2014]214号</w:t>
      </w:r>
      <w:r>
        <w:rPr>
          <w:rFonts w:hint="eastAsia" w:ascii="宋体" w:hAnsi="宋体" w:cs="宋体"/>
          <w:sz w:val="24"/>
          <w:szCs w:val="24"/>
        </w:rPr>
        <w:t>）第三十二条规定情形的，要求磋商小组复核或者书面说明理由，磋商小组拒绝的，应予记录并向本级财政部门报告；</w:t>
      </w:r>
    </w:p>
    <w:p w14:paraId="0A812419">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（九）评审工作完成后，按照规定向评审专家支付劳务报酬和异地评审差旅费，不得向评审专家以外的其他人员支付评审劳务报酬；</w:t>
      </w:r>
    </w:p>
    <w:p w14:paraId="4B673C2C">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（十）处理与评审有关的其他事项。</w:t>
      </w:r>
    </w:p>
    <w:p w14:paraId="720D9218">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采购人可以在评审前说明项目背景和服务要求，说明内容不得含有歧视性、倾向性意见，不得超出竞争性磋商文件所述范围。说明应当提交书面材料，并随采购文件一并存档。</w:t>
      </w:r>
    </w:p>
    <w:p w14:paraId="39404299">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三、磋商小组职责</w:t>
      </w:r>
    </w:p>
    <w:p w14:paraId="240DDB0B">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磋商小组负责具体评审事务，并独立履行下列职责：</w:t>
      </w:r>
    </w:p>
    <w:p w14:paraId="7CEE15D3">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（一）审查、评价响应文件是否符合竞争性磋商文件的商务、技术等实质性要求；</w:t>
      </w:r>
    </w:p>
    <w:p w14:paraId="3414DAF1">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（二）要求供应商对响应文件有关事项作出澄清或者说明；</w:t>
      </w:r>
    </w:p>
    <w:p w14:paraId="1A59FA04">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（三）对响应文件进行比较和评价；</w:t>
      </w:r>
    </w:p>
    <w:p w14:paraId="2BE5D718">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（四）确定成交候选供应商名单，以及根据采购人委托直接确定成交供应商；</w:t>
      </w:r>
    </w:p>
    <w:p w14:paraId="6C8BB5E5">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（五）向采购人、采购代理机构或者有关部门报告评审中发现的违法行为。</w:t>
      </w:r>
    </w:p>
    <w:p w14:paraId="0E773086">
      <w:pPr>
        <w:pStyle w:val="15"/>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四、评审纪律</w:t>
      </w:r>
    </w:p>
    <w:p w14:paraId="27CE14B2">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（一）对评审内容和评审过程要严格保密，不得向供应商或与该过程无关的其它人员泄露。</w:t>
      </w:r>
    </w:p>
    <w:p w14:paraId="394C6C04">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（二）评审期间的一切资料，包括评审意见、评审记录和评审结论，一律不得向外传和泄露。</w:t>
      </w:r>
    </w:p>
    <w:p w14:paraId="71F4383F">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（三）任何属于响应文件审查、澄清、评价和比较的资料，不得向供应商或与该过程无关的其它人员泄露。</w:t>
      </w:r>
    </w:p>
    <w:p w14:paraId="07C6AC09">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（四）所有资料（包括竞争性磋商文件、响应文件、评审表格及各种文字记录）在评审结束后均应分别整理、存档备查，任何人不得复制和保留。</w:t>
      </w:r>
    </w:p>
    <w:p w14:paraId="727FC13C">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（五）评审期间，未经允许磋商小组以外的任何单位或部门不得参加评审和采访评审工作。</w:t>
      </w:r>
    </w:p>
    <w:p w14:paraId="41C07CDB">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（六）评审期间，评审人员不得外出，确需外出时应事先请假。</w:t>
      </w:r>
    </w:p>
    <w:p w14:paraId="4D82CD0B">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（七）评审期间，所有与会人员均不得私自以任何方式和供应商进行联系，需询问、澄清的问题由磋商小组会统一组织办理。</w:t>
      </w:r>
    </w:p>
    <w:p w14:paraId="167C95AF">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（八）评审结束后，与会人员不得向外界透露评审人员的评审意见，如因此造成的后果由责任者承担。</w:t>
      </w:r>
    </w:p>
    <w:p w14:paraId="2BFDC6BB">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五、评审原则</w:t>
      </w:r>
    </w:p>
    <w:p w14:paraId="04BA64FA">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磋商小组成员应当按照客观、公正、审慎的原则，根据磋商文件规定的评审程序、评审办法和评审标准进行独立评审。未实质性响应磋商文件的响应文件按无效响应处理，磋商小组应当告知提交响应文件的供应商。</w:t>
      </w:r>
    </w:p>
    <w:p w14:paraId="55C149D6">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六、评审程序</w:t>
      </w:r>
    </w:p>
    <w:p w14:paraId="17FA7883">
      <w:pPr>
        <w:pStyle w:val="14"/>
        <w:ind w:firstLine="480" w:firstLineChars="200"/>
        <w:rPr>
          <w:rFonts w:hint="eastAsia" w:ascii="宋体" w:hAnsi="宋体" w:cs="宋体"/>
          <w:kern w:val="0"/>
          <w:sz w:val="24"/>
        </w:rPr>
      </w:pPr>
      <w:r>
        <w:rPr>
          <w:rFonts w:hint="eastAsia" w:ascii="宋体" w:hAnsi="宋体" w:cs="宋体"/>
          <w:sz w:val="24"/>
        </w:rPr>
        <w:t>磋商小组对所有响应文件进行评审，评审按：资格审查→符合性审查→磋商小组分别与通过符合性审查的各供应商就竞争性磋商内容进行磋商→磋商结束后，磋商小组应当要求所有实质性响应的供应商在规定时间内提交最后报价、承诺书→经磋商确定最终服务要求和提交最后报价的供应商后，由磋商小组采用综合评分法对提交最后报价的供应商的响应文件和最后报价进行综合评分→磋商小组应当根据综合评分情况，按照评审得分由高到低顺序推荐3名以上成交候选供应商（符合财库[2014]214号第二十一条第三款情形和财库[2015]124号规定的，可以推荐2家成交候选供应商），并编写评审报告。</w:t>
      </w:r>
    </w:p>
    <w:p w14:paraId="39ECDF3B">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七、评审办法</w:t>
      </w:r>
    </w:p>
    <w:p w14:paraId="74381C06">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本项目所采用的评审办法为《政府采购竞争性磋商采购方式管理暂行办法》（财库[2014]214号）第二十三条规定的“综合评分法”，即：是指响应文件满足磋商文件全部实质性要求且按评审因素的量化指标评审得分最高的供应商为成交候选供应商的评审办法。</w:t>
      </w:r>
    </w:p>
    <w:p w14:paraId="381664DB">
      <w:pPr>
        <w:pStyle w:val="15"/>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（一）资格审查</w:t>
      </w:r>
    </w:p>
    <w:p w14:paraId="6A8286C6">
      <w:pPr>
        <w:pStyle w:val="15"/>
        <w:spacing w:line="500" w:lineRule="exact"/>
        <w:ind w:firstLine="480" w:firstLineChars="200"/>
        <w:rPr>
          <w:rFonts w:hint="eastAsia" w:ascii="宋体" w:hAnsi="宋体" w:cs="宋体"/>
          <w:sz w:val="24"/>
          <w:szCs w:val="24"/>
        </w:rPr>
      </w:pPr>
      <w:r>
        <w:rPr>
          <w:rFonts w:hint="eastAsia" w:ascii="宋体" w:hAnsi="宋体" w:cs="宋体"/>
          <w:sz w:val="24"/>
          <w:szCs w:val="24"/>
        </w:rPr>
        <w:t>磋商小组依据资格审查标准对各供应商的响应文件进行资格审查，未实质性响应磋商文件的响应文件按无效响应处理，磋商小组应当告知提交响应文件的供应商。</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960"/>
        <w:gridCol w:w="6511"/>
      </w:tblGrid>
      <w:tr w14:paraId="10D0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Align w:val="center"/>
          </w:tcPr>
          <w:p w14:paraId="58263FC0">
            <w:pPr>
              <w:widowControl w:val="0"/>
              <w:spacing w:line="360" w:lineRule="auto"/>
              <w:jc w:val="center"/>
              <w:rPr>
                <w:rFonts w:hint="eastAsia" w:ascii="宋体" w:hAnsi="宋体" w:cs="宋体"/>
                <w:b/>
                <w:bCs/>
                <w:sz w:val="24"/>
                <w:szCs w:val="24"/>
              </w:rPr>
            </w:pPr>
            <w:r>
              <w:rPr>
                <w:rFonts w:hint="eastAsia" w:ascii="宋体" w:hAnsi="宋体" w:cs="宋体"/>
                <w:b/>
                <w:bCs/>
                <w:sz w:val="24"/>
                <w:szCs w:val="24"/>
              </w:rPr>
              <w:t>审查内容</w:t>
            </w:r>
          </w:p>
        </w:tc>
        <w:tc>
          <w:tcPr>
            <w:tcW w:w="1960" w:type="dxa"/>
            <w:vAlign w:val="center"/>
          </w:tcPr>
          <w:p w14:paraId="2BFE2F76">
            <w:pPr>
              <w:widowControl w:val="0"/>
              <w:spacing w:line="360" w:lineRule="auto"/>
              <w:jc w:val="center"/>
              <w:rPr>
                <w:rFonts w:hint="eastAsia" w:ascii="宋体" w:hAnsi="宋体" w:cs="宋体"/>
                <w:b/>
                <w:bCs/>
                <w:sz w:val="24"/>
                <w:szCs w:val="24"/>
              </w:rPr>
            </w:pPr>
            <w:r>
              <w:rPr>
                <w:rFonts w:hint="eastAsia" w:ascii="宋体" w:hAnsi="宋体" w:cs="宋体"/>
                <w:b/>
                <w:bCs/>
                <w:sz w:val="24"/>
                <w:szCs w:val="24"/>
              </w:rPr>
              <w:t>评审因素</w:t>
            </w:r>
          </w:p>
        </w:tc>
        <w:tc>
          <w:tcPr>
            <w:tcW w:w="6511" w:type="dxa"/>
            <w:vAlign w:val="center"/>
          </w:tcPr>
          <w:p w14:paraId="4A1B0071">
            <w:pPr>
              <w:widowControl w:val="0"/>
              <w:spacing w:line="360" w:lineRule="auto"/>
              <w:jc w:val="center"/>
              <w:rPr>
                <w:rFonts w:hint="eastAsia" w:ascii="宋体" w:hAnsi="宋体" w:cs="宋体"/>
                <w:b/>
                <w:bCs/>
                <w:sz w:val="24"/>
                <w:szCs w:val="24"/>
              </w:rPr>
            </w:pPr>
            <w:r>
              <w:rPr>
                <w:rFonts w:hint="eastAsia" w:ascii="宋体" w:hAnsi="宋体" w:cs="宋体"/>
                <w:b/>
                <w:bCs/>
                <w:sz w:val="24"/>
                <w:szCs w:val="24"/>
              </w:rPr>
              <w:t>评审标准</w:t>
            </w:r>
          </w:p>
        </w:tc>
      </w:tr>
      <w:tr w14:paraId="1CC3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vAlign w:val="center"/>
          </w:tcPr>
          <w:p w14:paraId="50E5DA73">
            <w:pPr>
              <w:widowControl w:val="0"/>
              <w:spacing w:line="360" w:lineRule="auto"/>
              <w:jc w:val="center"/>
              <w:rPr>
                <w:rFonts w:hint="eastAsia" w:ascii="宋体" w:hAnsi="宋体" w:cs="宋体"/>
                <w:sz w:val="24"/>
                <w:szCs w:val="24"/>
              </w:rPr>
            </w:pPr>
            <w:r>
              <w:rPr>
                <w:rFonts w:hint="eastAsia" w:ascii="宋体" w:hAnsi="宋体" w:cs="宋体"/>
                <w:sz w:val="24"/>
                <w:szCs w:val="24"/>
              </w:rPr>
              <w:t>资格审查标准</w:t>
            </w:r>
          </w:p>
        </w:tc>
        <w:tc>
          <w:tcPr>
            <w:tcW w:w="1960" w:type="dxa"/>
            <w:vAlign w:val="center"/>
          </w:tcPr>
          <w:p w14:paraId="4969FFFA">
            <w:pPr>
              <w:widowControl w:val="0"/>
              <w:spacing w:line="360" w:lineRule="auto"/>
              <w:jc w:val="both"/>
              <w:rPr>
                <w:rFonts w:hint="eastAsia" w:ascii="宋体" w:hAnsi="宋体" w:cs="宋体"/>
                <w:sz w:val="24"/>
                <w:szCs w:val="24"/>
              </w:rPr>
            </w:pPr>
            <w:r>
              <w:rPr>
                <w:rFonts w:hint="eastAsia" w:ascii="宋体" w:hAnsi="宋体" w:cs="宋体"/>
                <w:kern w:val="2"/>
                <w:sz w:val="24"/>
                <w:szCs w:val="24"/>
              </w:rPr>
              <w:t>具有独立承担民事责任的能力</w:t>
            </w:r>
          </w:p>
        </w:tc>
        <w:tc>
          <w:tcPr>
            <w:tcW w:w="6511" w:type="dxa"/>
            <w:vAlign w:val="center"/>
          </w:tcPr>
          <w:p w14:paraId="329CF755">
            <w:pPr>
              <w:widowControl w:val="0"/>
              <w:spacing w:line="360" w:lineRule="auto"/>
              <w:jc w:val="both"/>
              <w:rPr>
                <w:rFonts w:hint="eastAsia" w:ascii="宋体" w:hAnsi="宋体" w:cs="宋体"/>
                <w:sz w:val="24"/>
                <w:szCs w:val="24"/>
              </w:rPr>
            </w:pPr>
            <w:r>
              <w:rPr>
                <w:rFonts w:hint="eastAsia" w:ascii="宋体" w:hAnsi="宋体" w:cs="宋体"/>
                <w:kern w:val="2"/>
                <w:sz w:val="24"/>
                <w:szCs w:val="24"/>
              </w:rPr>
              <w:t>提供法人或者其他组织的营业执照等证明文件或自然人的身份证明</w:t>
            </w:r>
          </w:p>
        </w:tc>
      </w:tr>
      <w:tr w14:paraId="6F3B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2FFBC3B3">
            <w:pPr>
              <w:widowControl w:val="0"/>
              <w:spacing w:line="360" w:lineRule="auto"/>
              <w:jc w:val="both"/>
              <w:rPr>
                <w:rFonts w:hint="eastAsia" w:ascii="宋体" w:hAnsi="宋体" w:cs="宋体"/>
                <w:sz w:val="24"/>
                <w:szCs w:val="24"/>
              </w:rPr>
            </w:pPr>
          </w:p>
        </w:tc>
        <w:tc>
          <w:tcPr>
            <w:tcW w:w="1960" w:type="dxa"/>
            <w:vAlign w:val="center"/>
          </w:tcPr>
          <w:p w14:paraId="482CD11F">
            <w:pPr>
              <w:widowControl w:val="0"/>
              <w:spacing w:line="360" w:lineRule="auto"/>
              <w:jc w:val="both"/>
              <w:rPr>
                <w:rFonts w:hint="eastAsia" w:ascii="宋体" w:hAnsi="宋体" w:cs="宋体"/>
                <w:sz w:val="24"/>
                <w:szCs w:val="24"/>
              </w:rPr>
            </w:pPr>
            <w:r>
              <w:rPr>
                <w:rFonts w:hint="eastAsia" w:ascii="宋体" w:hAnsi="宋体" w:cs="宋体"/>
                <w:kern w:val="2"/>
                <w:sz w:val="24"/>
                <w:szCs w:val="24"/>
              </w:rPr>
              <w:t>具有良好的商业信誉和健全的财务会计制度</w:t>
            </w:r>
          </w:p>
        </w:tc>
        <w:tc>
          <w:tcPr>
            <w:tcW w:w="6511" w:type="dxa"/>
            <w:vAlign w:val="center"/>
          </w:tcPr>
          <w:p w14:paraId="38A73181">
            <w:pPr>
              <w:widowControl w:val="0"/>
              <w:spacing w:line="360" w:lineRule="auto"/>
              <w:jc w:val="both"/>
              <w:rPr>
                <w:rFonts w:hint="eastAsia" w:ascii="宋体" w:hAnsi="宋体" w:cs="宋体"/>
                <w:color w:val="000000" w:themeColor="text1"/>
                <w:sz w:val="24"/>
                <w:szCs w:val="24"/>
              </w:rPr>
            </w:pPr>
            <w:r>
              <w:rPr>
                <w:rFonts w:hint="eastAsia" w:ascii="宋体" w:hAnsi="宋体" w:cs="宋体"/>
                <w:color w:val="000000" w:themeColor="text1"/>
                <w:sz w:val="24"/>
                <w:szCs w:val="24"/>
              </w:rPr>
              <w:t>供应商须</w:t>
            </w:r>
            <w:r>
              <w:rPr>
                <w:rFonts w:hint="eastAsia" w:ascii="宋体" w:hAnsi="宋体" w:cs="宋体"/>
                <w:sz w:val="24"/>
                <w:szCs w:val="24"/>
              </w:rPr>
              <w:t>提供近三年（2022年-2024年）任意一年经审计的审计报告；成立不满1年的，提供本项目磋商响应文件提交截止时间前基本开户银行出具的资信证明</w:t>
            </w:r>
            <w:r>
              <w:rPr>
                <w:rFonts w:hint="eastAsia" w:ascii="宋体" w:hAnsi="宋体" w:cs="宋体"/>
                <w:kern w:val="2"/>
                <w:sz w:val="24"/>
                <w:szCs w:val="24"/>
              </w:rPr>
              <w:t>。</w:t>
            </w:r>
          </w:p>
        </w:tc>
      </w:tr>
      <w:tr w14:paraId="4A9A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19B6D9F1">
            <w:pPr>
              <w:widowControl w:val="0"/>
              <w:spacing w:line="360" w:lineRule="auto"/>
              <w:jc w:val="both"/>
              <w:rPr>
                <w:rFonts w:hint="eastAsia" w:ascii="宋体" w:hAnsi="宋体" w:cs="宋体"/>
                <w:sz w:val="24"/>
                <w:szCs w:val="24"/>
              </w:rPr>
            </w:pPr>
          </w:p>
        </w:tc>
        <w:tc>
          <w:tcPr>
            <w:tcW w:w="1960" w:type="dxa"/>
            <w:vAlign w:val="center"/>
          </w:tcPr>
          <w:p w14:paraId="30BD8C73">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具有履行合同所必需的设备和专业技术能力</w:t>
            </w:r>
          </w:p>
        </w:tc>
        <w:tc>
          <w:tcPr>
            <w:tcW w:w="6511" w:type="dxa"/>
            <w:vAlign w:val="center"/>
          </w:tcPr>
          <w:p w14:paraId="52BE8185">
            <w:pPr>
              <w:widowControl w:val="0"/>
              <w:spacing w:line="360" w:lineRule="auto"/>
              <w:jc w:val="both"/>
              <w:rPr>
                <w:rFonts w:hint="eastAsia" w:ascii="宋体" w:hAnsi="宋体" w:cs="宋体"/>
                <w:sz w:val="24"/>
                <w:szCs w:val="24"/>
              </w:rPr>
            </w:pPr>
            <w:r>
              <w:rPr>
                <w:rFonts w:hint="eastAsia" w:ascii="宋体" w:hAnsi="宋体" w:cs="宋体"/>
                <w:sz w:val="24"/>
                <w:szCs w:val="24"/>
              </w:rPr>
              <w:t>提供具备履行合同所必需的设备和专业技术能力的证明材料或书面声明</w:t>
            </w:r>
          </w:p>
        </w:tc>
      </w:tr>
      <w:tr w14:paraId="5ACD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0E8AD8FF">
            <w:pPr>
              <w:widowControl w:val="0"/>
              <w:spacing w:line="360" w:lineRule="auto"/>
              <w:jc w:val="both"/>
              <w:rPr>
                <w:rFonts w:hint="eastAsia" w:ascii="宋体" w:hAnsi="宋体" w:cs="宋体"/>
                <w:sz w:val="24"/>
                <w:szCs w:val="24"/>
              </w:rPr>
            </w:pPr>
          </w:p>
        </w:tc>
        <w:tc>
          <w:tcPr>
            <w:tcW w:w="1960" w:type="dxa"/>
            <w:vAlign w:val="center"/>
          </w:tcPr>
          <w:p w14:paraId="1B2B1BE0">
            <w:pPr>
              <w:widowControl w:val="0"/>
              <w:spacing w:line="360" w:lineRule="auto"/>
              <w:jc w:val="both"/>
              <w:rPr>
                <w:rFonts w:hint="eastAsia" w:ascii="宋体" w:hAnsi="宋体" w:cs="宋体"/>
                <w:kern w:val="2"/>
                <w:sz w:val="24"/>
                <w:szCs w:val="24"/>
              </w:rPr>
            </w:pPr>
            <w:r>
              <w:rPr>
                <w:rFonts w:hint="eastAsia" w:ascii="宋体" w:hAnsi="宋体" w:cs="宋体"/>
                <w:kern w:val="2"/>
                <w:sz w:val="24"/>
                <w:szCs w:val="24"/>
              </w:rPr>
              <w:t>有依法缴纳税收和社会保障资金的良好记录</w:t>
            </w:r>
          </w:p>
        </w:tc>
        <w:tc>
          <w:tcPr>
            <w:tcW w:w="6511" w:type="dxa"/>
            <w:vAlign w:val="center"/>
          </w:tcPr>
          <w:p w14:paraId="7D7DC620">
            <w:pPr>
              <w:widowControl w:val="0"/>
              <w:spacing w:line="360" w:lineRule="auto"/>
              <w:jc w:val="both"/>
              <w:rPr>
                <w:rFonts w:hint="eastAsia" w:ascii="宋体" w:hAnsi="宋体" w:cs="宋体"/>
                <w:sz w:val="24"/>
                <w:szCs w:val="24"/>
              </w:rPr>
            </w:pPr>
            <w:r>
              <w:rPr>
                <w:rFonts w:hint="eastAsia" w:ascii="宋体" w:hAnsi="宋体" w:cs="宋体"/>
                <w:sz w:val="24"/>
                <w:szCs w:val="24"/>
              </w:rPr>
              <w:t>提供2024年1月至今任意1个月依法缴纳税收和缴纳社会保障资金的证明(成立未满1个月的提供书面声明函；依法免税或不需要缴纳社会保障资金的供应商，应提供相应文件证明其依法免税或不需要缴纳社会保障资金)</w:t>
            </w:r>
          </w:p>
        </w:tc>
      </w:tr>
      <w:tr w14:paraId="61E77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459D6680">
            <w:pPr>
              <w:widowControl w:val="0"/>
              <w:spacing w:line="360" w:lineRule="auto"/>
              <w:jc w:val="both"/>
              <w:rPr>
                <w:rFonts w:hint="eastAsia" w:ascii="宋体" w:hAnsi="宋体" w:cs="宋体"/>
                <w:sz w:val="24"/>
                <w:szCs w:val="24"/>
              </w:rPr>
            </w:pPr>
          </w:p>
        </w:tc>
        <w:tc>
          <w:tcPr>
            <w:tcW w:w="1960" w:type="dxa"/>
            <w:vAlign w:val="center"/>
          </w:tcPr>
          <w:p w14:paraId="121472B5">
            <w:pPr>
              <w:widowControl w:val="0"/>
              <w:spacing w:line="360" w:lineRule="auto"/>
              <w:jc w:val="both"/>
              <w:rPr>
                <w:rFonts w:hint="eastAsia" w:ascii="宋体" w:hAnsi="宋体" w:cs="宋体"/>
                <w:kern w:val="2"/>
                <w:sz w:val="24"/>
                <w:szCs w:val="24"/>
              </w:rPr>
            </w:pPr>
            <w:r>
              <w:rPr>
                <w:rFonts w:hint="eastAsia" w:ascii="宋体" w:hAnsi="宋体" w:cs="宋体"/>
                <w:sz w:val="24"/>
                <w:szCs w:val="24"/>
              </w:rPr>
              <w:t>参加政府采购活动前三年内，在经营活动中没有重大违法记录</w:t>
            </w:r>
          </w:p>
        </w:tc>
        <w:tc>
          <w:tcPr>
            <w:tcW w:w="6511" w:type="dxa"/>
            <w:vAlign w:val="center"/>
          </w:tcPr>
          <w:p w14:paraId="29A69CE6">
            <w:pPr>
              <w:widowControl w:val="0"/>
              <w:spacing w:line="360" w:lineRule="auto"/>
              <w:jc w:val="both"/>
              <w:rPr>
                <w:rFonts w:hint="eastAsia" w:ascii="宋体" w:hAnsi="宋体" w:cs="宋体"/>
                <w:sz w:val="24"/>
                <w:szCs w:val="24"/>
              </w:rPr>
            </w:pPr>
            <w:r>
              <w:rPr>
                <w:rFonts w:hint="eastAsia" w:ascii="宋体" w:hAnsi="宋体" w:cs="宋体"/>
                <w:sz w:val="24"/>
                <w:szCs w:val="24"/>
              </w:rPr>
              <w:t>提供参加政府采购活动前三年内在经营活动中没有重大违法记录的书面声明</w:t>
            </w:r>
          </w:p>
        </w:tc>
      </w:tr>
      <w:tr w14:paraId="1545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55956FB7">
            <w:pPr>
              <w:widowControl w:val="0"/>
              <w:spacing w:line="360" w:lineRule="auto"/>
              <w:jc w:val="both"/>
              <w:rPr>
                <w:rFonts w:hint="eastAsia" w:ascii="宋体" w:hAnsi="宋体" w:cs="宋体"/>
                <w:sz w:val="24"/>
                <w:szCs w:val="24"/>
              </w:rPr>
            </w:pPr>
          </w:p>
        </w:tc>
        <w:tc>
          <w:tcPr>
            <w:tcW w:w="1960" w:type="dxa"/>
            <w:vAlign w:val="center"/>
          </w:tcPr>
          <w:p w14:paraId="2C389A4A">
            <w:pPr>
              <w:widowControl w:val="0"/>
              <w:spacing w:line="360" w:lineRule="auto"/>
              <w:jc w:val="both"/>
              <w:rPr>
                <w:rFonts w:hint="eastAsia" w:ascii="宋体" w:hAnsi="宋体" w:cs="宋体"/>
                <w:kern w:val="2"/>
                <w:sz w:val="24"/>
                <w:szCs w:val="24"/>
              </w:rPr>
            </w:pPr>
            <w:r>
              <w:rPr>
                <w:rFonts w:hint="eastAsia" w:ascii="宋体" w:hAnsi="宋体" w:cs="宋体"/>
                <w:sz w:val="24"/>
                <w:szCs w:val="24"/>
              </w:rPr>
              <w:t>法律、行政法规规定的其他条件</w:t>
            </w:r>
          </w:p>
        </w:tc>
        <w:tc>
          <w:tcPr>
            <w:tcW w:w="6511" w:type="dxa"/>
            <w:vAlign w:val="center"/>
          </w:tcPr>
          <w:p w14:paraId="49594C4C">
            <w:pPr>
              <w:pStyle w:val="14"/>
              <w:widowControl w:val="0"/>
              <w:jc w:val="both"/>
              <w:rPr>
                <w:rFonts w:hint="eastAsia" w:ascii="宋体" w:hAnsi="宋体" w:cs="宋体"/>
                <w:kern w:val="0"/>
                <w:sz w:val="24"/>
              </w:rPr>
            </w:pPr>
            <w:r>
              <w:rPr>
                <w:rFonts w:hint="eastAsia" w:ascii="宋体" w:hAnsi="宋体" w:cs="宋体"/>
                <w:kern w:val="0"/>
                <w:sz w:val="24"/>
              </w:rPr>
              <w:t>（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07904DC5">
            <w:pPr>
              <w:widowControl w:val="0"/>
              <w:wordWrap w:val="0"/>
              <w:spacing w:line="360" w:lineRule="auto"/>
              <w:jc w:val="both"/>
              <w:rPr>
                <w:rFonts w:hint="eastAsia" w:ascii="宋体" w:hAnsi="宋体" w:cs="宋体"/>
                <w:sz w:val="24"/>
                <w:szCs w:val="24"/>
              </w:rPr>
            </w:pPr>
            <w:r>
              <w:rPr>
                <w:rFonts w:hint="eastAsia" w:ascii="宋体" w:hAnsi="宋体" w:cs="宋体"/>
                <w:sz w:val="24"/>
                <w:szCs w:val="24"/>
              </w:rPr>
              <w:t>（2）供应商在本项目响应文件提交截止时间前在信用中国网站（www.creditchina.gov.cn）未被列入失信被执行人、重大税收违法失信主体（查询时间为本公告发布之日起至提交响应文件截止时间止，查询结果以采购人、采购代理机构查询结果为准，并将查询记录和证据留存）；</w:t>
            </w:r>
          </w:p>
          <w:p w14:paraId="1A362953">
            <w:pPr>
              <w:widowControl w:val="0"/>
              <w:spacing w:line="360" w:lineRule="auto"/>
              <w:jc w:val="both"/>
              <w:rPr>
                <w:rFonts w:hint="eastAsia" w:ascii="宋体" w:hAnsi="宋体" w:cs="宋体"/>
                <w:sz w:val="24"/>
                <w:szCs w:val="24"/>
              </w:rPr>
            </w:pPr>
            <w:r>
              <w:rPr>
                <w:rFonts w:hint="eastAsia" w:ascii="宋体" w:hAnsi="宋体" w:cs="宋体"/>
                <w:sz w:val="24"/>
                <w:szCs w:val="24"/>
              </w:rPr>
              <w:t>（3）供应商在本项目响应文件提交截止时间前在中国政府采购网（www.ccgp.gov.cn）政府采购严重违法失信行为记录名单中无不良信息记录（查询时间为本公告发布之日起至提交响应文件截止时间止，查询结果以采购人、采购代理机构查询结果为准，并将查询记录和证据留存）</w:t>
            </w:r>
          </w:p>
        </w:tc>
      </w:tr>
      <w:tr w14:paraId="0D7A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134B90F1">
            <w:pPr>
              <w:widowControl w:val="0"/>
              <w:spacing w:line="360" w:lineRule="auto"/>
              <w:jc w:val="both"/>
              <w:rPr>
                <w:rFonts w:hint="eastAsia" w:ascii="宋体" w:hAnsi="宋体" w:cs="宋体"/>
                <w:sz w:val="24"/>
                <w:szCs w:val="24"/>
              </w:rPr>
            </w:pPr>
          </w:p>
        </w:tc>
        <w:tc>
          <w:tcPr>
            <w:tcW w:w="1960" w:type="dxa"/>
            <w:vAlign w:val="center"/>
          </w:tcPr>
          <w:p w14:paraId="32545292">
            <w:pPr>
              <w:widowControl w:val="0"/>
              <w:spacing w:line="360" w:lineRule="auto"/>
              <w:jc w:val="both"/>
              <w:rPr>
                <w:rFonts w:hint="eastAsia" w:ascii="宋体" w:hAnsi="宋体" w:cs="宋体"/>
                <w:sz w:val="24"/>
                <w:szCs w:val="24"/>
              </w:rPr>
            </w:pPr>
            <w:r>
              <w:rPr>
                <w:rFonts w:hint="eastAsia" w:ascii="宋体" w:hAnsi="宋体" w:cs="宋体"/>
                <w:sz w:val="24"/>
                <w:szCs w:val="24"/>
              </w:rPr>
              <w:t>落实政府采购政策需满足的资格要求</w:t>
            </w:r>
          </w:p>
        </w:tc>
        <w:tc>
          <w:tcPr>
            <w:tcW w:w="6511" w:type="dxa"/>
            <w:vAlign w:val="center"/>
          </w:tcPr>
          <w:p w14:paraId="13D16229">
            <w:pPr>
              <w:widowControl w:val="0"/>
              <w:spacing w:line="360" w:lineRule="auto"/>
              <w:jc w:val="both"/>
              <w:rPr>
                <w:rFonts w:hint="eastAsia" w:ascii="宋体" w:hAnsi="宋体" w:cs="宋体"/>
                <w:sz w:val="24"/>
                <w:szCs w:val="24"/>
              </w:rPr>
            </w:pPr>
            <w:r>
              <w:rPr>
                <w:rFonts w:hint="eastAsia" w:ascii="宋体" w:hAnsi="宋体" w:cs="宋体"/>
                <w:sz w:val="24"/>
              </w:rPr>
              <w:t>本项目非专门面向中小企业采购的项目。扶持中小企业政策：小微企业价格扣除优惠比例:10%；监狱企业和残疾人福利性单位视同小型、微型企业。</w:t>
            </w:r>
          </w:p>
        </w:tc>
      </w:tr>
      <w:tr w14:paraId="31B7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5C22EBFE">
            <w:pPr>
              <w:widowControl w:val="0"/>
              <w:spacing w:line="360" w:lineRule="auto"/>
              <w:jc w:val="both"/>
              <w:rPr>
                <w:rFonts w:hint="eastAsia" w:ascii="宋体" w:hAnsi="宋体" w:cs="宋体"/>
                <w:sz w:val="24"/>
                <w:szCs w:val="24"/>
              </w:rPr>
            </w:pPr>
          </w:p>
        </w:tc>
        <w:tc>
          <w:tcPr>
            <w:tcW w:w="1960" w:type="dxa"/>
            <w:vAlign w:val="center"/>
          </w:tcPr>
          <w:p w14:paraId="4B570F05">
            <w:pPr>
              <w:widowControl w:val="0"/>
              <w:spacing w:line="360" w:lineRule="auto"/>
              <w:jc w:val="both"/>
              <w:rPr>
                <w:rFonts w:hint="eastAsia" w:ascii="宋体" w:hAnsi="宋体" w:cs="宋体"/>
                <w:sz w:val="24"/>
                <w:szCs w:val="24"/>
              </w:rPr>
            </w:pPr>
            <w:r>
              <w:rPr>
                <w:rFonts w:hint="eastAsia" w:ascii="宋体" w:hAnsi="宋体" w:cs="宋体"/>
                <w:sz w:val="24"/>
                <w:szCs w:val="24"/>
              </w:rPr>
              <w:t>本项目的特定资格要求</w:t>
            </w:r>
          </w:p>
        </w:tc>
        <w:tc>
          <w:tcPr>
            <w:tcW w:w="6511" w:type="dxa"/>
            <w:vAlign w:val="center"/>
          </w:tcPr>
          <w:p w14:paraId="368290CF">
            <w:pPr>
              <w:widowControl w:val="0"/>
              <w:spacing w:line="360" w:lineRule="auto"/>
              <w:jc w:val="both"/>
              <w:rPr>
                <w:rFonts w:hint="eastAsia" w:ascii="宋体" w:hAnsi="宋体" w:cs="宋体"/>
                <w:sz w:val="24"/>
                <w:szCs w:val="24"/>
              </w:rPr>
            </w:pPr>
            <w:r>
              <w:rPr>
                <w:rFonts w:hint="eastAsia" w:ascii="宋体" w:hAnsi="宋体" w:eastAsia="宋体" w:cs="宋体"/>
                <w:sz w:val="24"/>
                <w:szCs w:val="24"/>
                <w:lang w:val="en-US" w:eastAsia="zh-CN"/>
              </w:rPr>
              <w:t>无</w:t>
            </w:r>
          </w:p>
        </w:tc>
      </w:tr>
    </w:tbl>
    <w:p w14:paraId="70826064">
      <w:pPr>
        <w:pStyle w:val="15"/>
        <w:spacing w:line="500" w:lineRule="exact"/>
        <w:ind w:firstLine="482" w:firstLineChars="200"/>
        <w:rPr>
          <w:rFonts w:hint="eastAsia" w:ascii="宋体" w:hAnsi="宋体" w:cs="宋体"/>
          <w:sz w:val="24"/>
          <w:szCs w:val="24"/>
        </w:rPr>
      </w:pPr>
      <w:r>
        <w:rPr>
          <w:rFonts w:hint="eastAsia" w:ascii="宋体" w:hAnsi="宋体" w:cs="宋体"/>
          <w:b/>
          <w:bCs/>
          <w:sz w:val="24"/>
          <w:szCs w:val="24"/>
        </w:rPr>
        <w:t>（二）符合性审查</w:t>
      </w:r>
    </w:p>
    <w:p w14:paraId="1E4906CF">
      <w:pPr>
        <w:pStyle w:val="15"/>
        <w:ind w:firstLine="480" w:firstLineChars="200"/>
        <w:rPr>
          <w:rFonts w:hint="eastAsia" w:ascii="宋体" w:hAnsi="宋体" w:cs="宋体"/>
          <w:sz w:val="24"/>
          <w:szCs w:val="24"/>
        </w:rPr>
      </w:pPr>
      <w:r>
        <w:rPr>
          <w:rFonts w:hint="eastAsia" w:ascii="宋体" w:hAnsi="宋体" w:cs="宋体"/>
          <w:sz w:val="24"/>
          <w:szCs w:val="24"/>
        </w:rPr>
        <w:t>磋商小组依据符合性审查标准对各通过资格审查的供应商的响应文件进行符合性审查，未实质性响应磋商文件的响应文件按无效响应处理，磋商小组应当告知提交响应文件的供应商。</w:t>
      </w:r>
    </w:p>
    <w:tbl>
      <w:tblPr>
        <w:tblStyle w:val="3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022"/>
        <w:gridCol w:w="6352"/>
      </w:tblGrid>
      <w:tr w14:paraId="2AF4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265" w:type="dxa"/>
          </w:tcPr>
          <w:p w14:paraId="0345A8C8">
            <w:pPr>
              <w:pStyle w:val="15"/>
              <w:widowControl w:val="0"/>
              <w:ind w:firstLine="0"/>
              <w:jc w:val="center"/>
              <w:rPr>
                <w:rFonts w:hint="eastAsia" w:ascii="宋体" w:hAnsi="宋体" w:cs="宋体"/>
                <w:b/>
                <w:bCs/>
                <w:sz w:val="24"/>
                <w:szCs w:val="24"/>
              </w:rPr>
            </w:pPr>
            <w:r>
              <w:rPr>
                <w:rFonts w:hint="eastAsia" w:ascii="宋体" w:hAnsi="宋体" w:cs="宋体"/>
                <w:b/>
                <w:bCs/>
                <w:sz w:val="24"/>
                <w:szCs w:val="24"/>
              </w:rPr>
              <w:t>审查内容</w:t>
            </w:r>
          </w:p>
        </w:tc>
        <w:tc>
          <w:tcPr>
            <w:tcW w:w="2022" w:type="dxa"/>
          </w:tcPr>
          <w:p w14:paraId="0B785A9C">
            <w:pPr>
              <w:pStyle w:val="15"/>
              <w:widowControl w:val="0"/>
              <w:ind w:firstLine="0"/>
              <w:jc w:val="center"/>
              <w:rPr>
                <w:rFonts w:hint="eastAsia" w:ascii="宋体" w:hAnsi="宋体" w:cs="宋体"/>
                <w:b/>
                <w:bCs/>
                <w:sz w:val="24"/>
                <w:szCs w:val="24"/>
              </w:rPr>
            </w:pPr>
            <w:r>
              <w:rPr>
                <w:rFonts w:hint="eastAsia" w:ascii="宋体" w:hAnsi="宋体" w:cs="宋体"/>
                <w:b/>
                <w:bCs/>
                <w:sz w:val="24"/>
                <w:szCs w:val="24"/>
              </w:rPr>
              <w:t>评审因素</w:t>
            </w:r>
          </w:p>
        </w:tc>
        <w:tc>
          <w:tcPr>
            <w:tcW w:w="6352" w:type="dxa"/>
          </w:tcPr>
          <w:p w14:paraId="1134FE63">
            <w:pPr>
              <w:pStyle w:val="15"/>
              <w:widowControl w:val="0"/>
              <w:ind w:firstLine="0"/>
              <w:jc w:val="center"/>
              <w:rPr>
                <w:rFonts w:hint="eastAsia" w:ascii="宋体" w:hAnsi="宋体" w:cs="宋体"/>
                <w:b/>
                <w:bCs/>
                <w:sz w:val="24"/>
                <w:szCs w:val="24"/>
              </w:rPr>
            </w:pPr>
            <w:r>
              <w:rPr>
                <w:rFonts w:hint="eastAsia" w:ascii="宋体" w:hAnsi="宋体" w:cs="宋体"/>
                <w:b/>
                <w:bCs/>
                <w:sz w:val="24"/>
                <w:szCs w:val="24"/>
              </w:rPr>
              <w:t>评审标准</w:t>
            </w:r>
          </w:p>
        </w:tc>
      </w:tr>
      <w:tr w14:paraId="6C2E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restart"/>
            <w:vAlign w:val="center"/>
          </w:tcPr>
          <w:p w14:paraId="1FDFF18A">
            <w:pPr>
              <w:pStyle w:val="15"/>
              <w:widowControl w:val="0"/>
              <w:ind w:firstLine="0"/>
              <w:jc w:val="center"/>
              <w:rPr>
                <w:rFonts w:hint="eastAsia" w:ascii="宋体" w:hAnsi="宋体" w:cs="宋体"/>
                <w:sz w:val="24"/>
                <w:szCs w:val="24"/>
              </w:rPr>
            </w:pPr>
            <w:r>
              <w:rPr>
                <w:rFonts w:hint="eastAsia" w:ascii="宋体" w:hAnsi="宋体" w:cs="宋体"/>
                <w:b/>
                <w:bCs/>
                <w:sz w:val="24"/>
                <w:szCs w:val="24"/>
              </w:rPr>
              <w:t>符合性审查标准</w:t>
            </w:r>
          </w:p>
        </w:tc>
        <w:tc>
          <w:tcPr>
            <w:tcW w:w="2022" w:type="dxa"/>
            <w:vAlign w:val="center"/>
          </w:tcPr>
          <w:p w14:paraId="37F42279">
            <w:pPr>
              <w:pStyle w:val="15"/>
              <w:widowControl w:val="0"/>
              <w:ind w:firstLine="0"/>
              <w:jc w:val="center"/>
              <w:rPr>
                <w:rFonts w:hint="eastAsia" w:ascii="宋体" w:hAnsi="宋体" w:cs="宋体"/>
                <w:sz w:val="24"/>
                <w:szCs w:val="24"/>
              </w:rPr>
            </w:pPr>
            <w:r>
              <w:rPr>
                <w:rFonts w:hint="eastAsia" w:ascii="宋体" w:hAnsi="宋体" w:cs="宋体"/>
                <w:sz w:val="24"/>
                <w:szCs w:val="24"/>
              </w:rPr>
              <w:t>响应文件格式</w:t>
            </w:r>
          </w:p>
        </w:tc>
        <w:tc>
          <w:tcPr>
            <w:tcW w:w="6352" w:type="dxa"/>
          </w:tcPr>
          <w:p w14:paraId="405F8C42">
            <w:pPr>
              <w:pStyle w:val="15"/>
              <w:widowControl w:val="0"/>
              <w:ind w:firstLine="0"/>
              <w:jc w:val="both"/>
              <w:rPr>
                <w:rFonts w:hint="eastAsia" w:ascii="宋体" w:hAnsi="宋体" w:cs="宋体"/>
                <w:sz w:val="24"/>
                <w:szCs w:val="24"/>
              </w:rPr>
            </w:pPr>
            <w:r>
              <w:rPr>
                <w:rFonts w:hint="eastAsia" w:ascii="宋体" w:hAnsi="宋体" w:cs="宋体"/>
                <w:sz w:val="24"/>
                <w:szCs w:val="24"/>
              </w:rPr>
              <w:t>响应文件按第六章“响应文件格式”要求填写，内容完整且关键字迹清晰</w:t>
            </w:r>
          </w:p>
        </w:tc>
      </w:tr>
      <w:tr w14:paraId="70E6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44B75193">
            <w:pPr>
              <w:pStyle w:val="15"/>
              <w:widowControl w:val="0"/>
              <w:ind w:firstLine="0"/>
              <w:jc w:val="center"/>
              <w:rPr>
                <w:rFonts w:hint="eastAsia" w:ascii="宋体" w:hAnsi="宋体" w:cs="宋体"/>
                <w:sz w:val="24"/>
                <w:szCs w:val="24"/>
              </w:rPr>
            </w:pPr>
          </w:p>
        </w:tc>
        <w:tc>
          <w:tcPr>
            <w:tcW w:w="2022" w:type="dxa"/>
            <w:vAlign w:val="center"/>
          </w:tcPr>
          <w:p w14:paraId="4378B1FB">
            <w:pPr>
              <w:pStyle w:val="15"/>
              <w:widowControl w:val="0"/>
              <w:ind w:firstLine="0"/>
              <w:jc w:val="center"/>
              <w:rPr>
                <w:rFonts w:hint="eastAsia" w:ascii="宋体" w:hAnsi="宋体" w:cs="宋体"/>
                <w:sz w:val="24"/>
                <w:szCs w:val="24"/>
              </w:rPr>
            </w:pPr>
            <w:r>
              <w:rPr>
                <w:rFonts w:hint="eastAsia" w:ascii="宋体" w:hAnsi="宋体" w:cs="宋体"/>
                <w:sz w:val="24"/>
                <w:szCs w:val="24"/>
              </w:rPr>
              <w:t>响应文件签署、盖章</w:t>
            </w:r>
          </w:p>
        </w:tc>
        <w:tc>
          <w:tcPr>
            <w:tcW w:w="6352" w:type="dxa"/>
          </w:tcPr>
          <w:p w14:paraId="42EDED01">
            <w:pPr>
              <w:pStyle w:val="15"/>
              <w:widowControl w:val="0"/>
              <w:ind w:firstLine="0"/>
              <w:jc w:val="both"/>
              <w:rPr>
                <w:rFonts w:hint="eastAsia" w:ascii="宋体" w:hAnsi="宋体" w:cs="宋体"/>
                <w:sz w:val="24"/>
                <w:szCs w:val="24"/>
              </w:rPr>
            </w:pPr>
            <w:r>
              <w:rPr>
                <w:rFonts w:hint="eastAsia" w:ascii="宋体" w:hAnsi="宋体" w:cs="宋体"/>
                <w:sz w:val="24"/>
                <w:szCs w:val="24"/>
              </w:rPr>
              <w:t>按第六章“响应文件格式”要求在规定位置加盖单位电子公章、签字</w:t>
            </w:r>
          </w:p>
        </w:tc>
      </w:tr>
      <w:tr w14:paraId="6B95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46E0C450">
            <w:pPr>
              <w:pStyle w:val="15"/>
              <w:widowControl w:val="0"/>
              <w:ind w:firstLine="0"/>
              <w:jc w:val="center"/>
              <w:rPr>
                <w:rFonts w:hint="eastAsia" w:ascii="宋体" w:hAnsi="宋体" w:cs="宋体"/>
                <w:sz w:val="24"/>
                <w:szCs w:val="24"/>
              </w:rPr>
            </w:pPr>
          </w:p>
        </w:tc>
        <w:tc>
          <w:tcPr>
            <w:tcW w:w="2022" w:type="dxa"/>
            <w:vAlign w:val="center"/>
          </w:tcPr>
          <w:p w14:paraId="15A5CC7A">
            <w:pPr>
              <w:pStyle w:val="15"/>
              <w:widowControl w:val="0"/>
              <w:ind w:firstLine="0"/>
              <w:jc w:val="center"/>
              <w:rPr>
                <w:rFonts w:hint="eastAsia" w:ascii="宋体" w:hAnsi="宋体" w:cs="宋体"/>
                <w:sz w:val="24"/>
                <w:szCs w:val="24"/>
              </w:rPr>
            </w:pPr>
            <w:r>
              <w:rPr>
                <w:rFonts w:hint="eastAsia" w:ascii="宋体" w:hAnsi="宋体" w:cs="宋体"/>
                <w:sz w:val="24"/>
                <w:szCs w:val="24"/>
              </w:rPr>
              <w:t>磋商保证金</w:t>
            </w:r>
          </w:p>
        </w:tc>
        <w:tc>
          <w:tcPr>
            <w:tcW w:w="6352" w:type="dxa"/>
          </w:tcPr>
          <w:p w14:paraId="1EC427A6">
            <w:pPr>
              <w:pStyle w:val="15"/>
              <w:widowControl w:val="0"/>
              <w:ind w:firstLine="0"/>
              <w:jc w:val="both"/>
              <w:rPr>
                <w:rFonts w:hint="eastAsia" w:ascii="宋体" w:hAnsi="宋体" w:cs="宋体"/>
                <w:sz w:val="24"/>
                <w:szCs w:val="24"/>
              </w:rPr>
            </w:pPr>
            <w:r>
              <w:rPr>
                <w:rFonts w:hint="eastAsia" w:ascii="宋体" w:hAnsi="宋体" w:cs="宋体"/>
                <w:sz w:val="24"/>
                <w:szCs w:val="24"/>
              </w:rPr>
              <w:t>符合第二章“供应商须知前附表”第3.4.1款规定</w:t>
            </w:r>
          </w:p>
        </w:tc>
      </w:tr>
      <w:tr w14:paraId="1FCB5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55664A09">
            <w:pPr>
              <w:pStyle w:val="15"/>
              <w:widowControl w:val="0"/>
              <w:jc w:val="both"/>
              <w:rPr>
                <w:rFonts w:hint="eastAsia" w:ascii="宋体" w:hAnsi="宋体" w:cs="宋体"/>
                <w:sz w:val="24"/>
                <w:szCs w:val="24"/>
              </w:rPr>
            </w:pPr>
          </w:p>
        </w:tc>
        <w:tc>
          <w:tcPr>
            <w:tcW w:w="2022" w:type="dxa"/>
            <w:vAlign w:val="center"/>
          </w:tcPr>
          <w:p w14:paraId="1A6C7FFD">
            <w:pPr>
              <w:pStyle w:val="15"/>
              <w:widowControl w:val="0"/>
              <w:ind w:firstLine="0"/>
              <w:jc w:val="center"/>
              <w:rPr>
                <w:rFonts w:hint="eastAsia" w:ascii="宋体" w:hAnsi="宋体" w:cs="宋体"/>
                <w:sz w:val="24"/>
                <w:szCs w:val="24"/>
              </w:rPr>
            </w:pPr>
            <w:r>
              <w:rPr>
                <w:rFonts w:hint="eastAsia" w:ascii="宋体" w:hAnsi="宋体" w:cs="宋体"/>
                <w:sz w:val="24"/>
                <w:szCs w:val="24"/>
              </w:rPr>
              <w:t>磋商报价</w:t>
            </w:r>
          </w:p>
        </w:tc>
        <w:tc>
          <w:tcPr>
            <w:tcW w:w="6352" w:type="dxa"/>
          </w:tcPr>
          <w:p w14:paraId="262058BA">
            <w:pPr>
              <w:pStyle w:val="15"/>
              <w:widowControl w:val="0"/>
              <w:ind w:firstLine="0"/>
              <w:jc w:val="both"/>
              <w:rPr>
                <w:rFonts w:hint="eastAsia" w:ascii="宋体" w:hAnsi="宋体" w:cs="宋体"/>
                <w:sz w:val="24"/>
                <w:szCs w:val="24"/>
              </w:rPr>
            </w:pPr>
            <w:r>
              <w:rPr>
                <w:rFonts w:hint="eastAsia" w:ascii="宋体" w:hAnsi="宋体" w:cs="宋体"/>
                <w:sz w:val="24"/>
                <w:szCs w:val="24"/>
              </w:rPr>
              <w:t>符合第二章“供应商须知”第3.2项规定和第二章“供应商须知前附表”第3.2.3款规定</w:t>
            </w:r>
          </w:p>
        </w:tc>
      </w:tr>
      <w:tr w14:paraId="78C5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265" w:type="dxa"/>
            <w:vMerge w:val="continue"/>
          </w:tcPr>
          <w:p w14:paraId="2500870F">
            <w:pPr>
              <w:pStyle w:val="15"/>
              <w:widowControl w:val="0"/>
              <w:jc w:val="both"/>
              <w:rPr>
                <w:rFonts w:hint="eastAsia" w:ascii="宋体" w:hAnsi="宋体" w:cs="宋体"/>
                <w:sz w:val="24"/>
                <w:szCs w:val="24"/>
              </w:rPr>
            </w:pPr>
          </w:p>
        </w:tc>
        <w:tc>
          <w:tcPr>
            <w:tcW w:w="2022" w:type="dxa"/>
            <w:vAlign w:val="center"/>
          </w:tcPr>
          <w:p w14:paraId="6B2506D6">
            <w:pPr>
              <w:pStyle w:val="15"/>
              <w:widowControl w:val="0"/>
              <w:ind w:firstLine="0"/>
              <w:jc w:val="center"/>
              <w:rPr>
                <w:rFonts w:hint="eastAsia" w:ascii="宋体" w:hAnsi="宋体" w:cs="宋体"/>
                <w:sz w:val="24"/>
                <w:szCs w:val="24"/>
              </w:rPr>
            </w:pPr>
            <w:r>
              <w:rPr>
                <w:rFonts w:hint="eastAsia" w:ascii="宋体" w:hAnsi="宋体" w:cs="宋体"/>
                <w:sz w:val="24"/>
                <w:szCs w:val="24"/>
              </w:rPr>
              <w:t>磋商有效期</w:t>
            </w:r>
          </w:p>
        </w:tc>
        <w:tc>
          <w:tcPr>
            <w:tcW w:w="6352" w:type="dxa"/>
          </w:tcPr>
          <w:p w14:paraId="55ABD82F">
            <w:pPr>
              <w:pStyle w:val="15"/>
              <w:widowControl w:val="0"/>
              <w:ind w:firstLine="0"/>
              <w:jc w:val="both"/>
              <w:rPr>
                <w:rFonts w:hint="eastAsia" w:ascii="宋体" w:hAnsi="宋体" w:cs="宋体"/>
                <w:sz w:val="24"/>
                <w:szCs w:val="24"/>
              </w:rPr>
            </w:pPr>
            <w:r>
              <w:rPr>
                <w:rFonts w:hint="eastAsia" w:ascii="宋体" w:hAnsi="宋体" w:cs="宋体"/>
                <w:sz w:val="24"/>
                <w:szCs w:val="24"/>
              </w:rPr>
              <w:t>符合第二章“供应商须知前附表”第3.3.1款规定</w:t>
            </w:r>
          </w:p>
        </w:tc>
      </w:tr>
      <w:tr w14:paraId="487E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5" w:type="dxa"/>
            <w:vMerge w:val="continue"/>
          </w:tcPr>
          <w:p w14:paraId="69508F09">
            <w:pPr>
              <w:pStyle w:val="15"/>
              <w:widowControl w:val="0"/>
              <w:jc w:val="both"/>
              <w:rPr>
                <w:rFonts w:hint="eastAsia" w:ascii="宋体" w:hAnsi="宋体" w:cs="宋体"/>
                <w:sz w:val="24"/>
                <w:szCs w:val="24"/>
              </w:rPr>
            </w:pPr>
          </w:p>
        </w:tc>
        <w:tc>
          <w:tcPr>
            <w:tcW w:w="2022" w:type="dxa"/>
          </w:tcPr>
          <w:p w14:paraId="75E25EB0">
            <w:pPr>
              <w:pStyle w:val="15"/>
              <w:widowControl w:val="0"/>
              <w:ind w:firstLine="0"/>
              <w:jc w:val="center"/>
              <w:rPr>
                <w:rFonts w:hint="eastAsia" w:ascii="宋体" w:hAnsi="宋体" w:cs="宋体"/>
                <w:sz w:val="24"/>
                <w:szCs w:val="24"/>
              </w:rPr>
            </w:pPr>
            <w:r>
              <w:rPr>
                <w:rFonts w:hint="eastAsia" w:ascii="宋体" w:hAnsi="宋体" w:cs="宋体"/>
                <w:sz w:val="24"/>
                <w:szCs w:val="24"/>
              </w:rPr>
              <w:t>合同履行期限</w:t>
            </w:r>
          </w:p>
        </w:tc>
        <w:tc>
          <w:tcPr>
            <w:tcW w:w="6352" w:type="dxa"/>
          </w:tcPr>
          <w:p w14:paraId="73E15746">
            <w:pPr>
              <w:pStyle w:val="15"/>
              <w:widowControl w:val="0"/>
              <w:ind w:firstLine="0"/>
              <w:jc w:val="both"/>
              <w:rPr>
                <w:rFonts w:hint="eastAsia" w:ascii="宋体" w:hAnsi="宋体" w:cs="宋体"/>
                <w:sz w:val="24"/>
                <w:szCs w:val="24"/>
              </w:rPr>
            </w:pPr>
            <w:r>
              <w:rPr>
                <w:rFonts w:hint="eastAsia" w:ascii="宋体" w:hAnsi="宋体" w:cs="宋体"/>
                <w:sz w:val="24"/>
                <w:szCs w:val="24"/>
              </w:rPr>
              <w:t>符合第二章“供应商须知前附表”第1.3.2款规定</w:t>
            </w:r>
          </w:p>
        </w:tc>
      </w:tr>
      <w:tr w14:paraId="2CB1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65" w:type="dxa"/>
            <w:vMerge w:val="continue"/>
          </w:tcPr>
          <w:p w14:paraId="239D8C32">
            <w:pPr>
              <w:pStyle w:val="15"/>
              <w:widowControl w:val="0"/>
              <w:jc w:val="both"/>
              <w:rPr>
                <w:rFonts w:hint="eastAsia" w:ascii="宋体" w:hAnsi="宋体" w:cs="宋体"/>
                <w:sz w:val="24"/>
                <w:szCs w:val="24"/>
              </w:rPr>
            </w:pPr>
          </w:p>
        </w:tc>
        <w:tc>
          <w:tcPr>
            <w:tcW w:w="2022" w:type="dxa"/>
          </w:tcPr>
          <w:p w14:paraId="674A9557">
            <w:pPr>
              <w:pStyle w:val="15"/>
              <w:widowControl w:val="0"/>
              <w:ind w:firstLine="0"/>
              <w:jc w:val="center"/>
              <w:rPr>
                <w:rFonts w:hint="eastAsia" w:ascii="宋体" w:hAnsi="宋体" w:cs="宋体"/>
                <w:sz w:val="24"/>
                <w:szCs w:val="24"/>
              </w:rPr>
            </w:pPr>
            <w:r>
              <w:rPr>
                <w:rFonts w:hint="eastAsia" w:ascii="宋体" w:hAnsi="宋体" w:cs="宋体"/>
                <w:sz w:val="24"/>
                <w:szCs w:val="24"/>
              </w:rPr>
              <w:t>服务地点</w:t>
            </w:r>
          </w:p>
        </w:tc>
        <w:tc>
          <w:tcPr>
            <w:tcW w:w="6352" w:type="dxa"/>
          </w:tcPr>
          <w:p w14:paraId="1C16436B">
            <w:pPr>
              <w:pStyle w:val="15"/>
              <w:widowControl w:val="0"/>
              <w:ind w:firstLine="0"/>
              <w:jc w:val="both"/>
              <w:rPr>
                <w:rFonts w:hint="eastAsia" w:ascii="宋体" w:hAnsi="宋体" w:cs="宋体"/>
                <w:sz w:val="24"/>
                <w:szCs w:val="24"/>
              </w:rPr>
            </w:pPr>
            <w:r>
              <w:rPr>
                <w:rFonts w:hint="eastAsia" w:ascii="宋体" w:hAnsi="宋体" w:cs="宋体"/>
                <w:sz w:val="24"/>
                <w:szCs w:val="24"/>
              </w:rPr>
              <w:t>符合第二章“供应商须知前附表”第1.3.3款规定</w:t>
            </w:r>
          </w:p>
        </w:tc>
      </w:tr>
      <w:tr w14:paraId="642E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265" w:type="dxa"/>
            <w:vMerge w:val="continue"/>
          </w:tcPr>
          <w:p w14:paraId="61E4A235">
            <w:pPr>
              <w:pStyle w:val="15"/>
              <w:widowControl w:val="0"/>
              <w:jc w:val="both"/>
              <w:rPr>
                <w:rFonts w:hint="eastAsia" w:ascii="宋体" w:hAnsi="宋体" w:cs="宋体"/>
                <w:sz w:val="24"/>
                <w:szCs w:val="24"/>
              </w:rPr>
            </w:pPr>
          </w:p>
        </w:tc>
        <w:tc>
          <w:tcPr>
            <w:tcW w:w="2022" w:type="dxa"/>
          </w:tcPr>
          <w:p w14:paraId="7BF073E7">
            <w:pPr>
              <w:pStyle w:val="15"/>
              <w:widowControl w:val="0"/>
              <w:ind w:firstLine="0"/>
              <w:jc w:val="center"/>
              <w:rPr>
                <w:rFonts w:hint="eastAsia" w:ascii="宋体" w:hAnsi="宋体" w:cs="宋体"/>
                <w:sz w:val="24"/>
                <w:szCs w:val="24"/>
              </w:rPr>
            </w:pPr>
            <w:r>
              <w:rPr>
                <w:rFonts w:hint="eastAsia" w:ascii="宋体" w:hAnsi="宋体" w:cs="宋体"/>
                <w:sz w:val="24"/>
                <w:szCs w:val="24"/>
              </w:rPr>
              <w:t>磋商内容</w:t>
            </w:r>
          </w:p>
        </w:tc>
        <w:tc>
          <w:tcPr>
            <w:tcW w:w="6352" w:type="dxa"/>
          </w:tcPr>
          <w:p w14:paraId="69A4F045">
            <w:pPr>
              <w:pStyle w:val="15"/>
              <w:widowControl w:val="0"/>
              <w:ind w:firstLine="0"/>
              <w:jc w:val="both"/>
              <w:rPr>
                <w:rFonts w:hint="eastAsia" w:ascii="宋体" w:hAnsi="宋体" w:cs="宋体"/>
                <w:sz w:val="24"/>
                <w:szCs w:val="24"/>
              </w:rPr>
            </w:pPr>
            <w:r>
              <w:rPr>
                <w:rFonts w:hint="eastAsia" w:ascii="宋体" w:hAnsi="宋体" w:cs="宋体"/>
                <w:sz w:val="24"/>
                <w:szCs w:val="24"/>
              </w:rPr>
              <w:t>供应商提供的服务无实质性遗漏</w:t>
            </w:r>
          </w:p>
        </w:tc>
      </w:tr>
      <w:tr w14:paraId="664F9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6CB87DCC">
            <w:pPr>
              <w:pStyle w:val="15"/>
              <w:widowControl w:val="0"/>
              <w:jc w:val="both"/>
              <w:rPr>
                <w:rFonts w:hint="eastAsia" w:ascii="宋体" w:hAnsi="宋体" w:cs="宋体"/>
                <w:sz w:val="24"/>
                <w:szCs w:val="24"/>
              </w:rPr>
            </w:pPr>
          </w:p>
        </w:tc>
        <w:tc>
          <w:tcPr>
            <w:tcW w:w="2022" w:type="dxa"/>
          </w:tcPr>
          <w:p w14:paraId="1145B7CC">
            <w:pPr>
              <w:pStyle w:val="15"/>
              <w:widowControl w:val="0"/>
              <w:ind w:firstLine="0"/>
              <w:jc w:val="center"/>
              <w:rPr>
                <w:rFonts w:hint="eastAsia" w:ascii="宋体" w:hAnsi="宋体" w:cs="宋体"/>
                <w:sz w:val="24"/>
                <w:szCs w:val="24"/>
              </w:rPr>
            </w:pPr>
            <w:r>
              <w:rPr>
                <w:rFonts w:hint="eastAsia" w:ascii="宋体" w:hAnsi="宋体" w:cs="宋体"/>
                <w:sz w:val="24"/>
                <w:szCs w:val="24"/>
              </w:rPr>
              <w:t>不允许偏离的实质性要求和条件</w:t>
            </w:r>
          </w:p>
        </w:tc>
        <w:tc>
          <w:tcPr>
            <w:tcW w:w="6352" w:type="dxa"/>
            <w:vAlign w:val="center"/>
          </w:tcPr>
          <w:p w14:paraId="4FCC4068">
            <w:pPr>
              <w:widowControl w:val="0"/>
              <w:spacing w:line="380" w:lineRule="exact"/>
              <w:rPr>
                <w:rFonts w:hint="eastAsia" w:ascii="宋体" w:hAnsi="宋体" w:cs="宋体"/>
                <w:sz w:val="24"/>
                <w:szCs w:val="24"/>
              </w:rPr>
            </w:pPr>
            <w:r>
              <w:rPr>
                <w:rFonts w:hint="eastAsia" w:ascii="宋体" w:hAnsi="宋体" w:cs="宋体"/>
                <w:sz w:val="24"/>
                <w:szCs w:val="24"/>
              </w:rPr>
              <w:t>符合第二章“供应商须知前附表”第</w:t>
            </w:r>
            <w:r>
              <w:rPr>
                <w:rFonts w:hint="eastAsia" w:ascii="宋体" w:hAnsi="宋体" w:cs="宋体"/>
                <w:kern w:val="2"/>
                <w:sz w:val="24"/>
                <w:szCs w:val="24"/>
              </w:rPr>
              <w:t>1.10和3.5.2条款规定</w:t>
            </w:r>
          </w:p>
        </w:tc>
      </w:tr>
      <w:tr w14:paraId="3F401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5BF5FDEF">
            <w:pPr>
              <w:pStyle w:val="15"/>
              <w:widowControl w:val="0"/>
              <w:jc w:val="both"/>
              <w:rPr>
                <w:rFonts w:hint="eastAsia" w:ascii="宋体" w:hAnsi="宋体" w:cs="宋体"/>
                <w:sz w:val="24"/>
                <w:szCs w:val="24"/>
              </w:rPr>
            </w:pPr>
          </w:p>
        </w:tc>
        <w:tc>
          <w:tcPr>
            <w:tcW w:w="2022" w:type="dxa"/>
            <w:vAlign w:val="center"/>
          </w:tcPr>
          <w:p w14:paraId="6B4675A8">
            <w:pPr>
              <w:widowControl w:val="0"/>
              <w:tabs>
                <w:tab w:val="left" w:pos="1260"/>
                <w:tab w:val="left" w:pos="1620"/>
              </w:tabs>
              <w:adjustRightInd w:val="0"/>
              <w:snapToGrid w:val="0"/>
              <w:jc w:val="center"/>
              <w:textAlignment w:val="baseline"/>
              <w:rPr>
                <w:rFonts w:hint="eastAsia" w:ascii="宋体" w:hAnsi="宋体" w:cs="宋体"/>
                <w:sz w:val="24"/>
                <w:szCs w:val="24"/>
              </w:rPr>
            </w:pPr>
            <w:r>
              <w:rPr>
                <w:rFonts w:hint="eastAsia" w:ascii="宋体" w:hAnsi="宋体" w:cs="宋体"/>
                <w:sz w:val="24"/>
                <w:szCs w:val="24"/>
              </w:rPr>
              <w:t>其他无效情形</w:t>
            </w:r>
          </w:p>
        </w:tc>
        <w:tc>
          <w:tcPr>
            <w:tcW w:w="6352" w:type="dxa"/>
            <w:vAlign w:val="center"/>
          </w:tcPr>
          <w:p w14:paraId="6CA06DB5">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（1）不同供应商的响应文件由同一单位或者个人编制；</w:t>
            </w:r>
          </w:p>
          <w:p w14:paraId="7FFACBE7">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（2）不同供应商委托同一单位或者个人办理磋商事宜；</w:t>
            </w:r>
          </w:p>
          <w:p w14:paraId="4947594D">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（3）不同供应商的响应文件载明的项目管理成员或者联系人员为同一人；</w:t>
            </w:r>
          </w:p>
          <w:p w14:paraId="24DD8962">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（4）不同供应商的响应文件异常一致或者磋商报价呈规律性差异；</w:t>
            </w:r>
          </w:p>
          <w:p w14:paraId="49BEDB12">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（5）不同供应商的响应文件相互混装；</w:t>
            </w:r>
          </w:p>
          <w:p w14:paraId="54721AD1">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（6）不同供应商的磋商保证金从同一单位或者个人的账户转出；</w:t>
            </w:r>
          </w:p>
          <w:p w14:paraId="148E027A">
            <w:pPr>
              <w:pStyle w:val="15"/>
              <w:widowControl w:val="0"/>
              <w:autoSpaceDE w:val="0"/>
              <w:ind w:firstLine="0"/>
              <w:jc w:val="both"/>
              <w:rPr>
                <w:rFonts w:hint="eastAsia" w:ascii="宋体" w:hAnsi="宋体" w:cs="宋体"/>
                <w:sz w:val="24"/>
                <w:szCs w:val="24"/>
              </w:rPr>
            </w:pPr>
            <w:r>
              <w:rPr>
                <w:rFonts w:hint="eastAsia" w:ascii="宋体" w:hAnsi="宋体" w:cs="宋体"/>
                <w:sz w:val="24"/>
                <w:szCs w:val="24"/>
              </w:rPr>
              <w:t>（7）法律、法规和竞争性磋商文件规定的其他无效情形。</w:t>
            </w:r>
          </w:p>
        </w:tc>
      </w:tr>
      <w:tr w14:paraId="4548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1265" w:type="dxa"/>
            <w:vMerge w:val="continue"/>
          </w:tcPr>
          <w:p w14:paraId="66ADE259">
            <w:pPr>
              <w:pStyle w:val="15"/>
              <w:widowControl w:val="0"/>
              <w:jc w:val="both"/>
              <w:rPr>
                <w:rFonts w:hint="eastAsia" w:ascii="宋体" w:hAnsi="宋体" w:cs="宋体"/>
                <w:sz w:val="24"/>
                <w:szCs w:val="24"/>
              </w:rPr>
            </w:pPr>
          </w:p>
        </w:tc>
        <w:tc>
          <w:tcPr>
            <w:tcW w:w="2022" w:type="dxa"/>
          </w:tcPr>
          <w:p w14:paraId="65BE834A">
            <w:pPr>
              <w:pStyle w:val="15"/>
              <w:widowControl w:val="0"/>
              <w:ind w:firstLine="0"/>
              <w:jc w:val="center"/>
              <w:rPr>
                <w:rFonts w:hint="eastAsia" w:ascii="宋体" w:hAnsi="宋体" w:cs="宋体"/>
                <w:sz w:val="24"/>
                <w:szCs w:val="24"/>
              </w:rPr>
            </w:pPr>
            <w:r>
              <w:rPr>
                <w:rFonts w:hint="eastAsia" w:ascii="宋体" w:hAnsi="宋体" w:cs="宋体"/>
                <w:sz w:val="24"/>
                <w:szCs w:val="24"/>
              </w:rPr>
              <w:t>附加条件</w:t>
            </w:r>
          </w:p>
        </w:tc>
        <w:tc>
          <w:tcPr>
            <w:tcW w:w="6352" w:type="dxa"/>
          </w:tcPr>
          <w:p w14:paraId="609029A4">
            <w:pPr>
              <w:pStyle w:val="15"/>
              <w:widowControl w:val="0"/>
              <w:ind w:firstLine="0"/>
              <w:jc w:val="both"/>
              <w:rPr>
                <w:rFonts w:hint="eastAsia" w:ascii="宋体" w:hAnsi="宋体" w:cs="宋体"/>
                <w:sz w:val="24"/>
                <w:szCs w:val="24"/>
              </w:rPr>
            </w:pPr>
            <w:r>
              <w:rPr>
                <w:rFonts w:hint="eastAsia" w:ascii="宋体" w:hAnsi="宋体" w:cs="宋体"/>
                <w:sz w:val="24"/>
                <w:szCs w:val="24"/>
              </w:rPr>
              <w:t>响应文件未含有采购人不能接受的附加条件</w:t>
            </w:r>
          </w:p>
        </w:tc>
      </w:tr>
    </w:tbl>
    <w:p w14:paraId="308436BF">
      <w:pPr>
        <w:pStyle w:val="15"/>
        <w:numPr>
          <w:ilvl w:val="0"/>
          <w:numId w:val="2"/>
        </w:numPr>
        <w:ind w:firstLine="482" w:firstLineChars="200"/>
        <w:rPr>
          <w:rFonts w:hint="eastAsia" w:ascii="宋体" w:hAnsi="宋体" w:cs="宋体"/>
          <w:b/>
          <w:bCs/>
          <w:sz w:val="24"/>
          <w:szCs w:val="24"/>
        </w:rPr>
      </w:pPr>
      <w:r>
        <w:rPr>
          <w:rFonts w:hint="eastAsia" w:ascii="宋体" w:hAnsi="宋体" w:cs="宋体"/>
          <w:b/>
          <w:bCs/>
          <w:sz w:val="24"/>
          <w:szCs w:val="24"/>
        </w:rPr>
        <w:t>详细评审</w:t>
      </w:r>
    </w:p>
    <w:tbl>
      <w:tblPr>
        <w:tblStyle w:val="34"/>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564"/>
        <w:gridCol w:w="1661"/>
        <w:gridCol w:w="6389"/>
      </w:tblGrid>
      <w:tr w14:paraId="2793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3225" w:type="dxa"/>
            <w:gridSpan w:val="2"/>
            <w:vMerge w:val="restart"/>
            <w:vAlign w:val="center"/>
          </w:tcPr>
          <w:p w14:paraId="6E51C950">
            <w:pPr>
              <w:widowControl w:val="0"/>
              <w:spacing w:line="360" w:lineRule="auto"/>
              <w:jc w:val="center"/>
              <w:rPr>
                <w:rFonts w:hint="eastAsia" w:ascii="宋体" w:hAnsi="宋体" w:cs="宋体"/>
                <w:b/>
                <w:sz w:val="24"/>
                <w:szCs w:val="24"/>
              </w:rPr>
            </w:pPr>
            <w:r>
              <w:rPr>
                <w:rFonts w:hint="eastAsia" w:ascii="宋体" w:hAnsi="宋体" w:cs="宋体"/>
                <w:b/>
                <w:sz w:val="24"/>
                <w:szCs w:val="24"/>
              </w:rPr>
              <w:t>分值构成</w:t>
            </w:r>
          </w:p>
        </w:tc>
        <w:tc>
          <w:tcPr>
            <w:tcW w:w="6389" w:type="dxa"/>
            <w:vAlign w:val="center"/>
          </w:tcPr>
          <w:p w14:paraId="2DC16C8D">
            <w:pPr>
              <w:widowControl w:val="0"/>
              <w:spacing w:line="360" w:lineRule="auto"/>
              <w:jc w:val="both"/>
              <w:rPr>
                <w:rFonts w:hint="eastAsia" w:ascii="宋体" w:hAnsi="宋体" w:cs="宋体"/>
                <w:sz w:val="24"/>
                <w:szCs w:val="24"/>
              </w:rPr>
            </w:pPr>
            <w:r>
              <w:rPr>
                <w:rFonts w:hint="eastAsia" w:ascii="宋体" w:hAnsi="宋体" w:cs="宋体"/>
                <w:sz w:val="24"/>
                <w:szCs w:val="24"/>
              </w:rPr>
              <w:t>供应商的评标总得分＝F1＋F2+F3，其中：</w:t>
            </w:r>
          </w:p>
          <w:p w14:paraId="1F8416AD">
            <w:pPr>
              <w:widowControl w:val="0"/>
              <w:spacing w:line="360" w:lineRule="auto"/>
              <w:jc w:val="both"/>
              <w:rPr>
                <w:rFonts w:hint="eastAsia" w:ascii="宋体" w:hAnsi="宋体" w:cs="宋体"/>
                <w:b/>
                <w:sz w:val="24"/>
                <w:szCs w:val="24"/>
              </w:rPr>
            </w:pPr>
            <w:r>
              <w:rPr>
                <w:rFonts w:hint="eastAsia" w:ascii="宋体" w:hAnsi="宋体" w:cs="宋体"/>
                <w:sz w:val="24"/>
                <w:szCs w:val="24"/>
              </w:rPr>
              <w:t>F1、F2、F3分别为磋商报价、技术部分、商务部分3项评分因素的汇总得分；</w:t>
            </w:r>
          </w:p>
        </w:tc>
      </w:tr>
      <w:tr w14:paraId="10F3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3225" w:type="dxa"/>
            <w:gridSpan w:val="2"/>
            <w:vMerge w:val="continue"/>
            <w:vAlign w:val="center"/>
          </w:tcPr>
          <w:p w14:paraId="0B7920A2">
            <w:pPr>
              <w:widowControl w:val="0"/>
              <w:spacing w:line="360" w:lineRule="auto"/>
              <w:jc w:val="both"/>
              <w:rPr>
                <w:rFonts w:hint="eastAsia" w:ascii="宋体" w:hAnsi="宋体" w:cs="宋体"/>
                <w:b/>
                <w:sz w:val="24"/>
                <w:szCs w:val="24"/>
              </w:rPr>
            </w:pPr>
          </w:p>
        </w:tc>
        <w:tc>
          <w:tcPr>
            <w:tcW w:w="6389" w:type="dxa"/>
            <w:vAlign w:val="center"/>
          </w:tcPr>
          <w:p w14:paraId="39D54852">
            <w:pPr>
              <w:widowControl w:val="0"/>
              <w:spacing w:line="360" w:lineRule="auto"/>
              <w:jc w:val="both"/>
              <w:rPr>
                <w:rFonts w:hint="eastAsia" w:ascii="宋体" w:hAnsi="宋体" w:cs="宋体"/>
                <w:sz w:val="24"/>
                <w:szCs w:val="24"/>
              </w:rPr>
            </w:pPr>
            <w:r>
              <w:rPr>
                <w:rFonts w:hint="eastAsia" w:ascii="宋体" w:hAnsi="宋体" w:cs="宋体"/>
                <w:sz w:val="24"/>
                <w:szCs w:val="24"/>
              </w:rPr>
              <w:t>磋商报价F1：15分。</w:t>
            </w:r>
          </w:p>
          <w:p w14:paraId="0A3FA07F">
            <w:pPr>
              <w:widowControl w:val="0"/>
              <w:spacing w:line="360" w:lineRule="auto"/>
              <w:jc w:val="both"/>
              <w:rPr>
                <w:rFonts w:hint="eastAsia" w:ascii="宋体" w:hAnsi="宋体" w:cs="宋体"/>
                <w:sz w:val="24"/>
                <w:szCs w:val="24"/>
              </w:rPr>
            </w:pPr>
            <w:r>
              <w:rPr>
                <w:rFonts w:hint="eastAsia" w:ascii="宋体" w:hAnsi="宋体" w:cs="宋体"/>
                <w:sz w:val="24"/>
                <w:szCs w:val="24"/>
              </w:rPr>
              <w:t>技术部分F2：65分。</w:t>
            </w:r>
          </w:p>
          <w:p w14:paraId="6CCD7D86">
            <w:pPr>
              <w:pStyle w:val="10"/>
              <w:spacing w:line="360" w:lineRule="auto"/>
              <w:jc w:val="both"/>
              <w:rPr>
                <w:rFonts w:hint="eastAsia" w:hAnsi="宋体" w:cs="宋体"/>
                <w:sz w:val="24"/>
                <w:szCs w:val="24"/>
              </w:rPr>
            </w:pPr>
            <w:r>
              <w:rPr>
                <w:rFonts w:hint="eastAsia" w:hAnsi="宋体" w:cs="宋体"/>
                <w:sz w:val="24"/>
                <w:szCs w:val="24"/>
              </w:rPr>
              <w:t>商务部分F3：20分。</w:t>
            </w:r>
          </w:p>
        </w:tc>
      </w:tr>
      <w:tr w14:paraId="26E1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3225" w:type="dxa"/>
            <w:gridSpan w:val="2"/>
            <w:vAlign w:val="center"/>
          </w:tcPr>
          <w:p w14:paraId="59A0D86F">
            <w:pPr>
              <w:widowControl w:val="0"/>
              <w:spacing w:line="360" w:lineRule="auto"/>
              <w:jc w:val="center"/>
              <w:rPr>
                <w:rFonts w:hint="eastAsia" w:ascii="宋体" w:hAnsi="宋体" w:cs="宋体"/>
                <w:b/>
                <w:sz w:val="24"/>
                <w:szCs w:val="24"/>
              </w:rPr>
            </w:pPr>
            <w:r>
              <w:rPr>
                <w:rFonts w:hint="eastAsia" w:ascii="宋体" w:hAnsi="宋体" w:cs="宋体"/>
                <w:b/>
                <w:sz w:val="24"/>
                <w:szCs w:val="24"/>
              </w:rPr>
              <w:t>评分因素</w:t>
            </w:r>
          </w:p>
        </w:tc>
        <w:tc>
          <w:tcPr>
            <w:tcW w:w="6389" w:type="dxa"/>
            <w:vAlign w:val="center"/>
          </w:tcPr>
          <w:p w14:paraId="1F870B83">
            <w:pPr>
              <w:widowControl w:val="0"/>
              <w:spacing w:line="360" w:lineRule="auto"/>
              <w:jc w:val="center"/>
              <w:rPr>
                <w:rFonts w:hint="eastAsia" w:ascii="宋体" w:hAnsi="宋体" w:cs="宋体"/>
                <w:b/>
                <w:sz w:val="24"/>
                <w:szCs w:val="24"/>
              </w:rPr>
            </w:pPr>
            <w:r>
              <w:rPr>
                <w:rFonts w:hint="eastAsia" w:ascii="宋体" w:hAnsi="宋体" w:cs="宋体"/>
                <w:b/>
                <w:sz w:val="24"/>
                <w:szCs w:val="24"/>
              </w:rPr>
              <w:t>评分标准</w:t>
            </w:r>
          </w:p>
        </w:tc>
      </w:tr>
      <w:tr w14:paraId="4E21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Align w:val="center"/>
          </w:tcPr>
          <w:p w14:paraId="366245D6">
            <w:pPr>
              <w:widowControl w:val="0"/>
              <w:wordWrap w:val="0"/>
              <w:spacing w:line="360" w:lineRule="auto"/>
              <w:jc w:val="center"/>
              <w:rPr>
                <w:rFonts w:hint="eastAsia" w:ascii="宋体" w:hAnsi="宋体" w:cs="宋体"/>
                <w:sz w:val="24"/>
                <w:szCs w:val="24"/>
              </w:rPr>
            </w:pPr>
            <w:r>
              <w:rPr>
                <w:rFonts w:hint="eastAsia" w:ascii="宋体" w:hAnsi="宋体" w:cs="宋体"/>
                <w:sz w:val="24"/>
                <w:szCs w:val="24"/>
              </w:rPr>
              <w:t>磋商报价F1</w:t>
            </w:r>
          </w:p>
          <w:p w14:paraId="49CB8D28">
            <w:pPr>
              <w:widowControl w:val="0"/>
              <w:wordWrap w:val="0"/>
              <w:spacing w:line="360" w:lineRule="auto"/>
              <w:jc w:val="center"/>
              <w:rPr>
                <w:rFonts w:hint="eastAsia" w:ascii="宋体" w:hAnsi="宋体" w:cs="宋体"/>
                <w:b/>
                <w:sz w:val="24"/>
                <w:szCs w:val="24"/>
              </w:rPr>
            </w:pPr>
            <w:r>
              <w:rPr>
                <w:rFonts w:hint="eastAsia" w:ascii="宋体" w:hAnsi="宋体" w:cs="宋体"/>
                <w:sz w:val="24"/>
                <w:szCs w:val="24"/>
              </w:rPr>
              <w:t>（满分15分）</w:t>
            </w:r>
          </w:p>
        </w:tc>
        <w:tc>
          <w:tcPr>
            <w:tcW w:w="1661" w:type="dxa"/>
            <w:vAlign w:val="center"/>
          </w:tcPr>
          <w:p w14:paraId="34331CA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磋商报价</w:t>
            </w:r>
          </w:p>
          <w:p w14:paraId="0D90A13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（满分15分）</w:t>
            </w:r>
          </w:p>
        </w:tc>
        <w:tc>
          <w:tcPr>
            <w:tcW w:w="6389" w:type="dxa"/>
            <w:vAlign w:val="center"/>
          </w:tcPr>
          <w:p w14:paraId="0D8F5FC6">
            <w:pPr>
              <w:spacing w:line="360" w:lineRule="auto"/>
              <w:jc w:val="both"/>
              <w:rPr>
                <w:rFonts w:hint="eastAsia" w:ascii="宋体" w:hAnsi="宋体" w:cs="宋体"/>
                <w:color w:val="000000"/>
                <w:sz w:val="24"/>
                <w:szCs w:val="24"/>
              </w:rPr>
            </w:pPr>
            <w:r>
              <w:rPr>
                <w:rFonts w:hint="eastAsia" w:ascii="宋体" w:hAnsi="宋体" w:cs="宋体"/>
                <w:color w:val="000000"/>
                <w:sz w:val="24"/>
                <w:szCs w:val="24"/>
              </w:rPr>
              <w:t>满足竞争性磋商文件要求且最后磋商总报价最低的供应商的价格为磋商基准价，其价格分为满分。其他供应商的磋商总报价得分＝（磋商基准价/最后磋商总报价）×15。</w:t>
            </w:r>
          </w:p>
          <w:p w14:paraId="144ADA05">
            <w:pPr>
              <w:spacing w:line="360" w:lineRule="auto"/>
              <w:jc w:val="both"/>
              <w:rPr>
                <w:rFonts w:hint="eastAsia" w:ascii="宋体" w:hAnsi="宋体" w:cs="宋体"/>
                <w:color w:val="000000"/>
                <w:sz w:val="24"/>
                <w:szCs w:val="24"/>
              </w:rPr>
            </w:pPr>
            <w:r>
              <w:rPr>
                <w:rFonts w:hint="eastAsia" w:ascii="宋体" w:hAnsi="宋体" w:cs="宋体"/>
                <w:color w:val="000000"/>
                <w:sz w:val="24"/>
                <w:szCs w:val="24"/>
              </w:rPr>
              <w:t>政策优惠报价--小微企业或监狱企业或残疾人福利性单位政策</w:t>
            </w:r>
          </w:p>
          <w:p w14:paraId="64311C5B">
            <w:pPr>
              <w:spacing w:line="360" w:lineRule="auto"/>
              <w:jc w:val="both"/>
              <w:rPr>
                <w:rFonts w:hint="eastAsia" w:ascii="宋体" w:hAnsi="宋体" w:cs="宋体"/>
                <w:color w:val="000000"/>
                <w:sz w:val="24"/>
                <w:szCs w:val="24"/>
              </w:rPr>
            </w:pPr>
            <w:r>
              <w:rPr>
                <w:rFonts w:hint="eastAsia" w:ascii="宋体" w:hAnsi="宋体" w:cs="宋体"/>
                <w:color w:val="000000"/>
                <w:sz w:val="24"/>
                <w:szCs w:val="24"/>
              </w:rPr>
              <w:t>在技术、服务等指标同等条件下，优先采购或强制采购属于国家公布的节能清单中产品；鼓励环保政策：在性能、技术、服务等指标同等条件下，优先采购国家公布的环保产品清单中的产品；促进中小企业发展政策、监狱企业、残疾人福利性单位扶持政策：评审时若存在符合条件的小微企业的报价给予10%的扣除，用扣除后的投标报价进行评标基准价和投标报价得分计算。对于同时属于小微企业、监狱企业或残疾人福利性单位的，不重复进行磋商报价扣除。若同时存在算术修正，应在算术修正后的报价基础上进行优惠报价的扣除。</w:t>
            </w:r>
          </w:p>
        </w:tc>
      </w:tr>
      <w:tr w14:paraId="0EED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restart"/>
            <w:vAlign w:val="center"/>
          </w:tcPr>
          <w:p w14:paraId="0C561FDD">
            <w:pPr>
              <w:pStyle w:val="61"/>
              <w:spacing w:line="360" w:lineRule="auto"/>
              <w:jc w:val="center"/>
              <w:rPr>
                <w:rFonts w:hint="eastAsia" w:ascii="宋体" w:hAnsi="宋体" w:cs="宋体"/>
                <w:sz w:val="24"/>
                <w:szCs w:val="24"/>
              </w:rPr>
            </w:pPr>
            <w:r>
              <w:rPr>
                <w:rFonts w:hint="eastAsia" w:ascii="宋体" w:hAnsi="宋体" w:cs="宋体"/>
                <w:sz w:val="24"/>
                <w:szCs w:val="24"/>
              </w:rPr>
              <w:t>技术部分评分F2</w:t>
            </w:r>
          </w:p>
          <w:p w14:paraId="3DC30283">
            <w:pPr>
              <w:pStyle w:val="61"/>
              <w:spacing w:line="360" w:lineRule="auto"/>
              <w:jc w:val="center"/>
              <w:rPr>
                <w:rFonts w:hint="eastAsia" w:ascii="宋体" w:hAnsi="宋体" w:cs="宋体"/>
                <w:sz w:val="24"/>
                <w:szCs w:val="24"/>
              </w:rPr>
            </w:pPr>
            <w:r>
              <w:rPr>
                <w:rFonts w:hint="eastAsia" w:ascii="宋体" w:hAnsi="宋体" w:cs="宋体"/>
                <w:sz w:val="24"/>
                <w:szCs w:val="24"/>
              </w:rPr>
              <w:t>（满分65分）</w:t>
            </w:r>
          </w:p>
        </w:tc>
        <w:tc>
          <w:tcPr>
            <w:tcW w:w="1661" w:type="dxa"/>
            <w:tcBorders>
              <w:bottom w:val="single" w:color="auto" w:sz="4" w:space="0"/>
            </w:tcBorders>
            <w:vAlign w:val="center"/>
          </w:tcPr>
          <w:p w14:paraId="3822B9E4">
            <w:pPr>
              <w:pStyle w:val="61"/>
              <w:spacing w:line="360" w:lineRule="auto"/>
              <w:jc w:val="center"/>
              <w:outlineLvl w:val="3"/>
              <w:rPr>
                <w:rFonts w:hint="eastAsia" w:ascii="宋体" w:hAnsi="宋体" w:cs="宋体"/>
                <w:sz w:val="24"/>
                <w:szCs w:val="24"/>
              </w:rPr>
            </w:pPr>
            <w:r>
              <w:rPr>
                <w:rFonts w:hint="eastAsia" w:ascii="宋体" w:hAnsi="宋体" w:cs="宋体"/>
                <w:sz w:val="24"/>
                <w:szCs w:val="24"/>
              </w:rPr>
              <w:t>对项目实施任务及要求的理解</w:t>
            </w:r>
          </w:p>
          <w:p w14:paraId="7268B777">
            <w:pPr>
              <w:pStyle w:val="61"/>
              <w:spacing w:line="360" w:lineRule="auto"/>
              <w:jc w:val="center"/>
              <w:outlineLvl w:val="3"/>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color w:val="000000"/>
                <w:sz w:val="24"/>
                <w:szCs w:val="24"/>
              </w:rPr>
              <w:t>满分</w:t>
            </w:r>
            <w:r>
              <w:rPr>
                <w:rFonts w:hint="eastAsia" w:ascii="宋体" w:hAnsi="宋体" w:cs="宋体"/>
                <w:sz w:val="24"/>
                <w:szCs w:val="24"/>
              </w:rPr>
              <w:t>10分）</w:t>
            </w:r>
          </w:p>
        </w:tc>
        <w:tc>
          <w:tcPr>
            <w:tcW w:w="6389" w:type="dxa"/>
            <w:tcBorders>
              <w:bottom w:val="single" w:color="auto" w:sz="4" w:space="0"/>
            </w:tcBorders>
          </w:tcPr>
          <w:p w14:paraId="55DD76F3">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第一档（10分）：</w:t>
            </w:r>
            <w:r>
              <w:rPr>
                <w:rFonts w:hint="eastAsia" w:ascii="宋体" w:hAnsi="宋体" w:cs="宋体"/>
                <w:color w:val="000000"/>
                <w:sz w:val="24"/>
                <w:szCs w:val="24"/>
              </w:rPr>
              <w:t>供应商对本规划任务进行了全面的分析，分析深刻且到位，对规划实施的背景、目标具有准确的理解，对丽江市中药材产业发展现状具有深入的了解和详尽的分析；</w:t>
            </w:r>
          </w:p>
          <w:p w14:paraId="72F900FB">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第二档（6分）：</w:t>
            </w:r>
            <w:r>
              <w:rPr>
                <w:rFonts w:hint="eastAsia" w:ascii="宋体" w:hAnsi="宋体" w:cs="宋体"/>
                <w:color w:val="000000"/>
                <w:sz w:val="24"/>
                <w:szCs w:val="24"/>
              </w:rPr>
              <w:t>供应商对本规划任务进行了基本的分析，但分析存在片面性，对规划实施的背景、目标的理解尚可，对丽江市中药材产业发展现状有基本的了解和初步的分析；</w:t>
            </w:r>
          </w:p>
          <w:p w14:paraId="15CD91BB">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第三档（3分）：</w:t>
            </w:r>
            <w:r>
              <w:rPr>
                <w:rFonts w:hint="eastAsia" w:ascii="宋体" w:hAnsi="宋体" w:cs="宋体"/>
                <w:color w:val="000000"/>
                <w:sz w:val="24"/>
                <w:szCs w:val="24"/>
              </w:rPr>
              <w:t>供应商对本规划任务的分析不足，存在明显错误，对实施任务的理解存在重大偏差。</w:t>
            </w:r>
          </w:p>
          <w:p w14:paraId="1322D688">
            <w:pPr>
              <w:spacing w:line="360" w:lineRule="auto"/>
              <w:rPr>
                <w:rFonts w:hint="eastAsia" w:ascii="宋体" w:hAnsi="宋体" w:cs="宋体"/>
                <w:color w:val="000000"/>
                <w:sz w:val="24"/>
                <w:szCs w:val="24"/>
              </w:rPr>
            </w:pPr>
            <w:r>
              <w:rPr>
                <w:rFonts w:hint="eastAsia" w:ascii="宋体" w:hAnsi="宋体" w:cs="宋体"/>
                <w:b/>
                <w:bCs/>
                <w:color w:val="000000"/>
                <w:sz w:val="24"/>
                <w:szCs w:val="24"/>
              </w:rPr>
              <w:t>第四档（0分）：</w:t>
            </w:r>
            <w:r>
              <w:rPr>
                <w:rFonts w:hint="eastAsia" w:ascii="宋体" w:hAnsi="宋体" w:cs="宋体"/>
                <w:color w:val="000000"/>
                <w:sz w:val="24"/>
                <w:szCs w:val="24"/>
              </w:rPr>
              <w:t>未对项目实施任务及要求进行分析的不得分。</w:t>
            </w:r>
          </w:p>
        </w:tc>
      </w:tr>
      <w:tr w14:paraId="75CD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continue"/>
            <w:vAlign w:val="center"/>
          </w:tcPr>
          <w:p w14:paraId="5576BD9C">
            <w:pPr>
              <w:pStyle w:val="61"/>
              <w:spacing w:line="360" w:lineRule="auto"/>
              <w:jc w:val="center"/>
              <w:rPr>
                <w:rFonts w:hint="eastAsia" w:ascii="宋体" w:hAnsi="宋体" w:cs="宋体"/>
                <w:sz w:val="24"/>
                <w:szCs w:val="24"/>
              </w:rPr>
            </w:pPr>
          </w:p>
        </w:tc>
        <w:tc>
          <w:tcPr>
            <w:tcW w:w="1661" w:type="dxa"/>
            <w:tcBorders>
              <w:bottom w:val="single" w:color="auto" w:sz="4" w:space="0"/>
            </w:tcBorders>
            <w:vAlign w:val="center"/>
          </w:tcPr>
          <w:p w14:paraId="2615F5F1">
            <w:pPr>
              <w:pStyle w:val="61"/>
              <w:spacing w:line="360" w:lineRule="auto"/>
              <w:jc w:val="center"/>
              <w:outlineLvl w:val="3"/>
              <w:rPr>
                <w:rFonts w:hint="eastAsia" w:ascii="宋体" w:hAnsi="宋体" w:cs="宋体"/>
                <w:sz w:val="24"/>
                <w:szCs w:val="24"/>
              </w:rPr>
            </w:pPr>
            <w:r>
              <w:rPr>
                <w:rFonts w:hint="eastAsia" w:ascii="宋体" w:hAnsi="宋体" w:cs="宋体"/>
                <w:sz w:val="24"/>
                <w:szCs w:val="24"/>
              </w:rPr>
              <w:t>工作思路及纲要</w:t>
            </w:r>
          </w:p>
          <w:p w14:paraId="480F7985">
            <w:pPr>
              <w:pStyle w:val="61"/>
              <w:spacing w:line="360" w:lineRule="auto"/>
              <w:jc w:val="center"/>
              <w:outlineLvl w:val="3"/>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color w:val="000000"/>
                <w:sz w:val="24"/>
                <w:szCs w:val="24"/>
              </w:rPr>
              <w:t>满分</w:t>
            </w:r>
            <w:r>
              <w:rPr>
                <w:rFonts w:hint="eastAsia" w:ascii="宋体" w:hAnsi="宋体" w:cs="宋体"/>
                <w:sz w:val="24"/>
                <w:szCs w:val="24"/>
              </w:rPr>
              <w:t>20分）</w:t>
            </w:r>
          </w:p>
        </w:tc>
        <w:tc>
          <w:tcPr>
            <w:tcW w:w="6389" w:type="dxa"/>
            <w:tcBorders>
              <w:bottom w:val="single" w:color="auto" w:sz="4" w:space="0"/>
            </w:tcBorders>
          </w:tcPr>
          <w:p w14:paraId="187BC8B7">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第一档（20分）：</w:t>
            </w:r>
            <w:r>
              <w:rPr>
                <w:rFonts w:hint="eastAsia" w:ascii="宋体" w:hAnsi="宋体" w:cs="宋体"/>
                <w:color w:val="000000"/>
                <w:sz w:val="24"/>
                <w:szCs w:val="24"/>
              </w:rPr>
              <w:t>所提出的规划编制思路和方法应具备清晰准确的表述，内容需具体且贴合产业实际情况，同时工作纲要应展现出逻辑上的严谨性和结构上的合理性；</w:t>
            </w:r>
          </w:p>
          <w:p w14:paraId="794A1B35">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第二档（15分）：</w:t>
            </w:r>
            <w:r>
              <w:rPr>
                <w:rFonts w:hint="eastAsia" w:ascii="宋体" w:hAnsi="宋体" w:cs="宋体"/>
                <w:color w:val="000000"/>
                <w:sz w:val="24"/>
                <w:szCs w:val="24"/>
              </w:rPr>
              <w:t>所提出的规划编制思路和方法应基本符合产业实际情况，工作纲要的表述应相对清晰；</w:t>
            </w:r>
          </w:p>
          <w:p w14:paraId="44F6A149">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第三档（10分）：</w:t>
            </w:r>
            <w:r>
              <w:rPr>
                <w:rFonts w:hint="eastAsia" w:ascii="宋体" w:hAnsi="宋体" w:cs="宋体"/>
                <w:color w:val="000000"/>
                <w:sz w:val="24"/>
                <w:szCs w:val="24"/>
              </w:rPr>
              <w:t>所提出的规划编制思路和方法未完全贴合产业实际情况，工作纲要的表述内容</w:t>
            </w:r>
            <w:r>
              <w:rPr>
                <w:rFonts w:hint="eastAsia" w:ascii="宋体" w:hAnsi="宋体" w:cs="宋体"/>
                <w:color w:val="000000"/>
                <w:spacing w:val="6"/>
                <w:sz w:val="24"/>
                <w:szCs w:val="24"/>
              </w:rPr>
              <w:t>不完整或</w:t>
            </w:r>
            <w:r>
              <w:rPr>
                <w:rFonts w:hint="eastAsia" w:ascii="宋体" w:hAnsi="宋体" w:cs="宋体"/>
                <w:color w:val="000000"/>
                <w:sz w:val="24"/>
                <w:szCs w:val="24"/>
              </w:rPr>
              <w:t>有缺漏；</w:t>
            </w:r>
          </w:p>
          <w:p w14:paraId="4333B74E">
            <w:pPr>
              <w:spacing w:line="360" w:lineRule="auto"/>
              <w:rPr>
                <w:rFonts w:hint="eastAsia" w:ascii="宋体" w:hAnsi="宋体" w:cs="宋体"/>
                <w:color w:val="000000"/>
                <w:sz w:val="24"/>
                <w:szCs w:val="24"/>
              </w:rPr>
            </w:pPr>
            <w:r>
              <w:rPr>
                <w:rFonts w:hint="eastAsia" w:ascii="宋体" w:hAnsi="宋体" w:cs="宋体"/>
                <w:b/>
                <w:bCs/>
                <w:color w:val="000000"/>
                <w:sz w:val="24"/>
                <w:szCs w:val="24"/>
              </w:rPr>
              <w:t>第四档（5分）：</w:t>
            </w:r>
            <w:r>
              <w:rPr>
                <w:rFonts w:hint="eastAsia" w:ascii="宋体" w:hAnsi="宋体" w:cs="宋体"/>
                <w:color w:val="000000"/>
                <w:sz w:val="24"/>
                <w:szCs w:val="24"/>
              </w:rPr>
              <w:t>所提出的规划编制思路和方法存在明显与产业实际情况不符或内容上的重大缺陷。</w:t>
            </w:r>
          </w:p>
          <w:p w14:paraId="7DFC190B">
            <w:pPr>
              <w:spacing w:line="360" w:lineRule="auto"/>
              <w:rPr>
                <w:rFonts w:hint="eastAsia" w:ascii="宋体" w:hAnsi="宋体" w:cs="宋体"/>
                <w:color w:val="000000"/>
                <w:sz w:val="24"/>
                <w:szCs w:val="24"/>
                <w:highlight w:val="cyan"/>
              </w:rPr>
            </w:pPr>
            <w:r>
              <w:rPr>
                <w:rFonts w:hint="eastAsia" w:ascii="宋体" w:hAnsi="宋体" w:cs="宋体"/>
                <w:b/>
                <w:bCs/>
                <w:color w:val="000000"/>
                <w:sz w:val="24"/>
                <w:szCs w:val="24"/>
              </w:rPr>
              <w:t>第五档（0分）：</w:t>
            </w:r>
            <w:r>
              <w:rPr>
                <w:rFonts w:hint="eastAsia" w:ascii="宋体" w:hAnsi="宋体" w:cs="宋体"/>
                <w:color w:val="000000"/>
                <w:sz w:val="24"/>
                <w:szCs w:val="24"/>
              </w:rPr>
              <w:t>未提供工作思路及纲要的不得分。</w:t>
            </w:r>
          </w:p>
        </w:tc>
      </w:tr>
      <w:tr w14:paraId="2087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continue"/>
            <w:vAlign w:val="center"/>
          </w:tcPr>
          <w:p w14:paraId="1621CC10">
            <w:pPr>
              <w:pStyle w:val="61"/>
              <w:spacing w:line="360" w:lineRule="auto"/>
              <w:jc w:val="center"/>
              <w:rPr>
                <w:rFonts w:hint="eastAsia" w:ascii="宋体" w:hAnsi="宋体" w:cs="宋体"/>
                <w:sz w:val="24"/>
                <w:szCs w:val="24"/>
              </w:rPr>
            </w:pPr>
          </w:p>
        </w:tc>
        <w:tc>
          <w:tcPr>
            <w:tcW w:w="1661" w:type="dxa"/>
            <w:tcBorders>
              <w:top w:val="single" w:color="auto" w:sz="4" w:space="0"/>
            </w:tcBorders>
            <w:vAlign w:val="center"/>
          </w:tcPr>
          <w:p w14:paraId="319313A6">
            <w:pPr>
              <w:pStyle w:val="61"/>
              <w:spacing w:line="360" w:lineRule="auto"/>
              <w:jc w:val="center"/>
              <w:outlineLvl w:val="3"/>
              <w:rPr>
                <w:rFonts w:hint="eastAsia" w:ascii="宋体" w:hAnsi="宋体" w:cs="宋体"/>
                <w:sz w:val="24"/>
                <w:szCs w:val="24"/>
              </w:rPr>
            </w:pPr>
            <w:r>
              <w:rPr>
                <w:rFonts w:hint="eastAsia" w:ascii="宋体" w:hAnsi="宋体" w:cs="宋体"/>
                <w:sz w:val="24"/>
                <w:szCs w:val="24"/>
              </w:rPr>
              <w:t>工作方案</w:t>
            </w:r>
          </w:p>
          <w:p w14:paraId="63BABBD1">
            <w:pPr>
              <w:pStyle w:val="61"/>
              <w:spacing w:line="360" w:lineRule="auto"/>
              <w:jc w:val="center"/>
              <w:outlineLvl w:val="3"/>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color w:val="000000"/>
                <w:sz w:val="24"/>
                <w:szCs w:val="24"/>
              </w:rPr>
              <w:t>满分</w:t>
            </w:r>
            <w:r>
              <w:rPr>
                <w:rFonts w:hint="eastAsia" w:ascii="宋体" w:hAnsi="宋体" w:cs="宋体"/>
                <w:sz w:val="24"/>
                <w:szCs w:val="24"/>
              </w:rPr>
              <w:t>20分）</w:t>
            </w:r>
          </w:p>
        </w:tc>
        <w:tc>
          <w:tcPr>
            <w:tcW w:w="6389" w:type="dxa"/>
            <w:tcBorders>
              <w:top w:val="single" w:color="auto" w:sz="4" w:space="0"/>
              <w:bottom w:val="single" w:color="000000" w:sz="4" w:space="0"/>
            </w:tcBorders>
          </w:tcPr>
          <w:p w14:paraId="355D33C4">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第一档（20分）：</w:t>
            </w:r>
            <w:r>
              <w:rPr>
                <w:rFonts w:hint="eastAsia" w:ascii="宋体" w:hAnsi="宋体" w:cs="宋体"/>
                <w:color w:val="000000"/>
                <w:sz w:val="24"/>
                <w:szCs w:val="24"/>
              </w:rPr>
              <w:t>工作方案科学合理、具有前瞻性，针对规划工作实际，对各项工作内容、工作范围进行了具体、详尽的分类阐述，明确各阶段具体的工作目标，具有切实可行性的；</w:t>
            </w:r>
          </w:p>
          <w:p w14:paraId="38F912D9">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第二档（12分）：</w:t>
            </w:r>
            <w:r>
              <w:rPr>
                <w:rFonts w:hint="eastAsia" w:ascii="宋体" w:hAnsi="宋体" w:cs="宋体"/>
                <w:color w:val="000000"/>
                <w:sz w:val="24"/>
                <w:szCs w:val="24"/>
              </w:rPr>
              <w:t>工作方案合理，包含各项工作内容的分类阐述，工作范围阐述基本完整，工作目标满足服务要求的；</w:t>
            </w:r>
          </w:p>
          <w:p w14:paraId="6D46DC2F">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第三档（6分）：</w:t>
            </w:r>
            <w:r>
              <w:rPr>
                <w:rFonts w:hint="eastAsia" w:ascii="宋体" w:hAnsi="宋体" w:cs="宋体"/>
                <w:color w:val="000000"/>
                <w:sz w:val="24"/>
                <w:szCs w:val="24"/>
              </w:rPr>
              <w:t>工作方案基本合理，工作目标、工作范围等内容描述基本满足服务要求，具有一定可行性的：</w:t>
            </w:r>
          </w:p>
          <w:p w14:paraId="08D23F0C">
            <w:pPr>
              <w:spacing w:line="360" w:lineRule="auto"/>
              <w:rPr>
                <w:rFonts w:hint="eastAsia" w:ascii="宋体" w:hAnsi="宋体" w:cs="宋体"/>
                <w:sz w:val="24"/>
                <w:szCs w:val="24"/>
              </w:rPr>
            </w:pPr>
            <w:r>
              <w:rPr>
                <w:rFonts w:hint="eastAsia" w:ascii="宋体" w:hAnsi="宋体" w:cs="宋体"/>
                <w:b/>
                <w:bCs/>
                <w:color w:val="000000"/>
                <w:sz w:val="24"/>
                <w:szCs w:val="24"/>
              </w:rPr>
              <w:t>第四档（0分）：</w:t>
            </w:r>
            <w:r>
              <w:rPr>
                <w:rFonts w:hint="eastAsia" w:ascii="宋体" w:hAnsi="宋体" w:cs="宋体"/>
                <w:color w:val="000000"/>
                <w:sz w:val="24"/>
                <w:szCs w:val="24"/>
              </w:rPr>
              <w:t>无工作方案的不得分。</w:t>
            </w:r>
          </w:p>
        </w:tc>
      </w:tr>
      <w:tr w14:paraId="099F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continue"/>
            <w:vAlign w:val="center"/>
          </w:tcPr>
          <w:p w14:paraId="2256A237">
            <w:pPr>
              <w:pStyle w:val="61"/>
              <w:spacing w:line="360" w:lineRule="auto"/>
              <w:jc w:val="center"/>
              <w:rPr>
                <w:rFonts w:hint="eastAsia" w:ascii="宋体" w:hAnsi="宋体" w:cs="宋体"/>
                <w:sz w:val="24"/>
                <w:szCs w:val="24"/>
              </w:rPr>
            </w:pPr>
          </w:p>
        </w:tc>
        <w:tc>
          <w:tcPr>
            <w:tcW w:w="1661" w:type="dxa"/>
            <w:tcBorders>
              <w:bottom w:val="single" w:color="000000" w:sz="4" w:space="0"/>
            </w:tcBorders>
            <w:vAlign w:val="center"/>
          </w:tcPr>
          <w:p w14:paraId="4160EE6F">
            <w:pPr>
              <w:spacing w:line="360" w:lineRule="auto"/>
              <w:jc w:val="center"/>
              <w:rPr>
                <w:rFonts w:hint="eastAsia" w:ascii="宋体" w:hAnsi="宋体" w:cs="宋体"/>
                <w:sz w:val="24"/>
                <w:szCs w:val="24"/>
              </w:rPr>
            </w:pPr>
            <w:r>
              <w:rPr>
                <w:rFonts w:hint="eastAsia" w:ascii="宋体" w:hAnsi="宋体" w:cs="宋体"/>
                <w:sz w:val="24"/>
                <w:szCs w:val="24"/>
              </w:rPr>
              <w:t>时间规划方案</w:t>
            </w:r>
          </w:p>
          <w:p w14:paraId="71629B19">
            <w:pPr>
              <w:spacing w:line="360" w:lineRule="auto"/>
              <w:jc w:val="center"/>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color w:val="000000"/>
                <w:sz w:val="24"/>
                <w:szCs w:val="24"/>
              </w:rPr>
              <w:t>满分</w:t>
            </w:r>
            <w:r>
              <w:rPr>
                <w:rFonts w:hint="eastAsia" w:ascii="宋体" w:hAnsi="宋体" w:cs="宋体"/>
                <w:sz w:val="24"/>
                <w:szCs w:val="24"/>
              </w:rPr>
              <w:t>5分）</w:t>
            </w:r>
          </w:p>
        </w:tc>
        <w:tc>
          <w:tcPr>
            <w:tcW w:w="6389" w:type="dxa"/>
            <w:tcBorders>
              <w:top w:val="single" w:color="auto" w:sz="4" w:space="0"/>
              <w:bottom w:val="single" w:color="000000" w:sz="4" w:space="0"/>
            </w:tcBorders>
          </w:tcPr>
          <w:p w14:paraId="0B6C1E9B">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第一档（5分）：</w:t>
            </w:r>
            <w:r>
              <w:rPr>
                <w:rFonts w:hint="eastAsia" w:ascii="宋体" w:hAnsi="宋体" w:cs="宋体"/>
                <w:color w:val="000000"/>
                <w:sz w:val="24"/>
                <w:szCs w:val="24"/>
              </w:rPr>
              <w:t>时间规划方案详实且合理，完全符合服务响应时间要求，规划科学、合理，具备显著的可操作性和可执行性；</w:t>
            </w:r>
          </w:p>
          <w:p w14:paraId="07869868">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第二档（2分）：</w:t>
            </w:r>
            <w:r>
              <w:rPr>
                <w:rFonts w:hint="eastAsia" w:ascii="宋体" w:hAnsi="宋体" w:cs="宋体"/>
                <w:color w:val="000000"/>
                <w:sz w:val="24"/>
                <w:szCs w:val="24"/>
              </w:rPr>
              <w:t>时间规划方案尚可，内容不够详尽，基本符合服务响应时间要求，规划基本合理，缺乏可操作性和可执行性：</w:t>
            </w:r>
          </w:p>
          <w:p w14:paraId="58E562D3">
            <w:pPr>
              <w:spacing w:line="360" w:lineRule="auto"/>
              <w:rPr>
                <w:rFonts w:hint="eastAsia" w:ascii="宋体" w:hAnsi="宋体" w:cs="宋体"/>
                <w:color w:val="000000"/>
                <w:spacing w:val="6"/>
                <w:sz w:val="24"/>
                <w:szCs w:val="24"/>
              </w:rPr>
            </w:pPr>
            <w:r>
              <w:rPr>
                <w:rFonts w:hint="eastAsia" w:ascii="宋体" w:hAnsi="宋体" w:cs="宋体"/>
                <w:b/>
                <w:bCs/>
                <w:color w:val="000000"/>
                <w:sz w:val="24"/>
                <w:szCs w:val="24"/>
              </w:rPr>
              <w:t>第三档（0分）：</w:t>
            </w:r>
            <w:r>
              <w:rPr>
                <w:rFonts w:hint="eastAsia" w:ascii="宋体" w:hAnsi="宋体" w:cs="宋体"/>
                <w:color w:val="000000"/>
                <w:sz w:val="24"/>
                <w:szCs w:val="24"/>
              </w:rPr>
              <w:t>未提供时间规划方案的不得分。</w:t>
            </w:r>
          </w:p>
        </w:tc>
      </w:tr>
      <w:tr w14:paraId="2895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continue"/>
            <w:vAlign w:val="center"/>
          </w:tcPr>
          <w:p w14:paraId="3B183D37">
            <w:pPr>
              <w:pStyle w:val="61"/>
              <w:spacing w:line="360" w:lineRule="auto"/>
              <w:jc w:val="center"/>
              <w:rPr>
                <w:rFonts w:hint="eastAsia" w:ascii="宋体" w:hAnsi="宋体" w:cs="宋体"/>
                <w:sz w:val="24"/>
                <w:szCs w:val="24"/>
              </w:rPr>
            </w:pPr>
          </w:p>
        </w:tc>
        <w:tc>
          <w:tcPr>
            <w:tcW w:w="1661" w:type="dxa"/>
            <w:tcBorders>
              <w:top w:val="single" w:color="auto" w:sz="4" w:space="0"/>
              <w:bottom w:val="single" w:color="000000" w:sz="4" w:space="0"/>
            </w:tcBorders>
            <w:vAlign w:val="center"/>
          </w:tcPr>
          <w:p w14:paraId="1993493E">
            <w:pPr>
              <w:spacing w:line="360" w:lineRule="auto"/>
              <w:jc w:val="center"/>
              <w:rPr>
                <w:rFonts w:hint="eastAsia" w:ascii="宋体" w:hAnsi="宋体" w:cs="宋体"/>
                <w:sz w:val="24"/>
                <w:szCs w:val="24"/>
              </w:rPr>
            </w:pPr>
            <w:r>
              <w:rPr>
                <w:rFonts w:hint="eastAsia" w:ascii="宋体" w:hAnsi="宋体" w:cs="宋体"/>
                <w:sz w:val="24"/>
                <w:szCs w:val="24"/>
              </w:rPr>
              <w:t>服务质量承诺及保证措施</w:t>
            </w:r>
          </w:p>
          <w:p w14:paraId="66A718F5">
            <w:pPr>
              <w:spacing w:line="360" w:lineRule="auto"/>
              <w:jc w:val="center"/>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color w:val="000000"/>
                <w:sz w:val="24"/>
                <w:szCs w:val="24"/>
              </w:rPr>
              <w:t>满分</w:t>
            </w:r>
            <w:r>
              <w:rPr>
                <w:rFonts w:hint="eastAsia" w:ascii="宋体" w:hAnsi="宋体" w:cs="宋体"/>
                <w:sz w:val="24"/>
                <w:szCs w:val="24"/>
              </w:rPr>
              <w:t>10分）</w:t>
            </w:r>
          </w:p>
        </w:tc>
        <w:tc>
          <w:tcPr>
            <w:tcW w:w="6389" w:type="dxa"/>
            <w:tcBorders>
              <w:top w:val="single" w:color="auto" w:sz="4" w:space="0"/>
              <w:bottom w:val="single" w:color="000000" w:sz="4" w:space="0"/>
            </w:tcBorders>
          </w:tcPr>
          <w:p w14:paraId="561EF45D">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第一档（10分）：</w:t>
            </w:r>
            <w:r>
              <w:rPr>
                <w:rFonts w:hint="eastAsia" w:ascii="宋体" w:hAnsi="宋体" w:cs="宋体"/>
                <w:color w:val="000000"/>
                <w:sz w:val="24"/>
                <w:szCs w:val="24"/>
              </w:rPr>
              <w:t>服务质量承诺合理、高效，具有保障性，且与项目实际情况相符；保证措施内容全面、合理，具有明确的针对性和约束力，包含具体且合理的惩罚措施，以及具备可操作性；</w:t>
            </w:r>
          </w:p>
          <w:p w14:paraId="3C805573">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第二档（6分）：</w:t>
            </w:r>
            <w:r>
              <w:rPr>
                <w:rFonts w:hint="eastAsia" w:ascii="宋体" w:hAnsi="宋体" w:cs="宋体"/>
                <w:color w:val="000000"/>
                <w:sz w:val="24"/>
                <w:szCs w:val="24"/>
              </w:rPr>
              <w:t>服务质量承诺基本合理，具有一定的针对性：保证措施较合理、可行，惩罚措施内容基本完整、</w:t>
            </w:r>
            <w:r>
              <w:rPr>
                <w:rFonts w:hint="eastAsia" w:ascii="宋体" w:hAnsi="宋体" w:cs="宋体"/>
                <w:color w:val="000000"/>
                <w:spacing w:val="6"/>
                <w:sz w:val="24"/>
                <w:szCs w:val="24"/>
              </w:rPr>
              <w:t>有一定的针对性、可操作性的</w:t>
            </w:r>
            <w:r>
              <w:rPr>
                <w:rFonts w:hint="eastAsia" w:ascii="宋体" w:hAnsi="宋体" w:cs="宋体"/>
                <w:color w:val="000000"/>
                <w:sz w:val="24"/>
                <w:szCs w:val="24"/>
              </w:rPr>
              <w:t>；</w:t>
            </w:r>
          </w:p>
          <w:p w14:paraId="0E0BFB23">
            <w:pPr>
              <w:spacing w:line="360" w:lineRule="auto"/>
              <w:rPr>
                <w:rFonts w:hint="eastAsia" w:ascii="宋体" w:hAnsi="宋体" w:cs="宋体"/>
                <w:color w:val="000000"/>
                <w:sz w:val="24"/>
                <w:szCs w:val="24"/>
              </w:rPr>
            </w:pPr>
            <w:r>
              <w:rPr>
                <w:rFonts w:hint="eastAsia" w:ascii="宋体" w:hAnsi="宋体" w:cs="宋体"/>
                <w:b/>
                <w:bCs/>
                <w:color w:val="000000"/>
                <w:sz w:val="24"/>
                <w:szCs w:val="24"/>
              </w:rPr>
              <w:t>第三档（3分）：</w:t>
            </w:r>
            <w:r>
              <w:rPr>
                <w:rFonts w:hint="eastAsia" w:ascii="宋体" w:hAnsi="宋体" w:cs="宋体"/>
                <w:color w:val="000000"/>
                <w:sz w:val="24"/>
                <w:szCs w:val="24"/>
              </w:rPr>
              <w:t>服务质量承诺基本合理，但保证措施缺乏具体性，惩罚措施不明确；</w:t>
            </w:r>
          </w:p>
          <w:p w14:paraId="6DB41E56">
            <w:pPr>
              <w:spacing w:line="360" w:lineRule="auto"/>
              <w:rPr>
                <w:rFonts w:hint="eastAsia" w:ascii="宋体" w:hAnsi="宋体" w:cs="宋体"/>
                <w:color w:val="000000"/>
                <w:sz w:val="24"/>
                <w:szCs w:val="24"/>
              </w:rPr>
            </w:pPr>
            <w:r>
              <w:rPr>
                <w:rFonts w:hint="eastAsia" w:ascii="宋体" w:hAnsi="宋体" w:cs="宋体"/>
                <w:b/>
                <w:bCs/>
                <w:color w:val="000000"/>
                <w:sz w:val="24"/>
                <w:szCs w:val="24"/>
              </w:rPr>
              <w:t>第四档（0分）：</w:t>
            </w:r>
            <w:r>
              <w:rPr>
                <w:rFonts w:hint="eastAsia" w:ascii="宋体" w:hAnsi="宋体" w:cs="宋体"/>
                <w:color w:val="000000"/>
                <w:sz w:val="24"/>
                <w:szCs w:val="24"/>
              </w:rPr>
              <w:t>未提供服务质量承诺及保证措施的不得分。</w:t>
            </w:r>
          </w:p>
        </w:tc>
      </w:tr>
      <w:tr w14:paraId="1485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restart"/>
            <w:vAlign w:val="center"/>
          </w:tcPr>
          <w:p w14:paraId="360F9534">
            <w:pPr>
              <w:pStyle w:val="62"/>
              <w:spacing w:line="360" w:lineRule="auto"/>
              <w:ind w:left="0" w:firstLine="0"/>
              <w:jc w:val="center"/>
              <w:rPr>
                <w:rFonts w:hint="eastAsia" w:ascii="宋体" w:hAnsi="宋体" w:cs="宋体"/>
                <w:sz w:val="24"/>
                <w:szCs w:val="24"/>
              </w:rPr>
            </w:pPr>
            <w:r>
              <w:rPr>
                <w:rFonts w:hint="eastAsia" w:ascii="宋体" w:hAnsi="宋体" w:cs="宋体"/>
                <w:sz w:val="24"/>
                <w:szCs w:val="24"/>
              </w:rPr>
              <w:t>商务部分评分F3</w:t>
            </w:r>
          </w:p>
          <w:p w14:paraId="6927F767">
            <w:pPr>
              <w:pStyle w:val="62"/>
              <w:spacing w:line="360" w:lineRule="auto"/>
              <w:ind w:left="0" w:firstLine="0"/>
              <w:jc w:val="center"/>
              <w:rPr>
                <w:rFonts w:hint="eastAsia" w:ascii="宋体" w:hAnsi="宋体" w:cs="宋体"/>
                <w:sz w:val="24"/>
                <w:szCs w:val="24"/>
              </w:rPr>
            </w:pPr>
            <w:r>
              <w:rPr>
                <w:rFonts w:hint="eastAsia" w:ascii="宋体" w:hAnsi="宋体" w:cs="宋体"/>
                <w:sz w:val="24"/>
                <w:szCs w:val="24"/>
              </w:rPr>
              <w:t>（满分20分）</w:t>
            </w:r>
          </w:p>
        </w:tc>
        <w:tc>
          <w:tcPr>
            <w:tcW w:w="1661" w:type="dxa"/>
            <w:tcBorders>
              <w:top w:val="single" w:color="000000" w:sz="4" w:space="0"/>
            </w:tcBorders>
            <w:vAlign w:val="center"/>
          </w:tcPr>
          <w:p w14:paraId="3CC1822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项目团队人员配置(满分15分)</w:t>
            </w:r>
          </w:p>
        </w:tc>
        <w:tc>
          <w:tcPr>
            <w:tcW w:w="6389" w:type="dxa"/>
            <w:tcBorders>
              <w:top w:val="single" w:color="000000" w:sz="4" w:space="0"/>
            </w:tcBorders>
            <w:vAlign w:val="center"/>
          </w:tcPr>
          <w:p w14:paraId="5D12595B">
            <w:pPr>
              <w:pStyle w:val="55"/>
              <w:widowControl w:val="0"/>
              <w:spacing w:line="360" w:lineRule="auto"/>
              <w:jc w:val="both"/>
              <w:rPr>
                <w:rFonts w:hint="eastAsia" w:hAnsi="宋体" w:cs="宋体"/>
                <w:bCs/>
                <w:color w:val="000000"/>
                <w:sz w:val="24"/>
                <w:szCs w:val="24"/>
              </w:rPr>
            </w:pPr>
            <w:r>
              <w:rPr>
                <w:rFonts w:hint="eastAsia" w:hAnsi="宋体" w:cs="宋体"/>
                <w:b/>
                <w:color w:val="000000"/>
                <w:sz w:val="24"/>
                <w:szCs w:val="24"/>
              </w:rPr>
              <w:t>第一档(11-15 分)：</w:t>
            </w:r>
            <w:r>
              <w:rPr>
                <w:rFonts w:hint="eastAsia" w:hAnsi="宋体" w:cs="宋体"/>
                <w:bCs/>
                <w:color w:val="000000"/>
                <w:sz w:val="24"/>
                <w:szCs w:val="24"/>
              </w:rPr>
              <w:t>计划投入本项目的项目组织机构管理体系完备，具有明确的针对性，且拥有科学严谨的管理流程；人员配置合理且全面，能够充分满足项目服务的各项要求，岗位职责明确、分工细致，并且主要管理服务人员具备丰富的管理经验。团队中需配备高级经济师至少1名，中药材产业领域的正高级研究员2名或以上；</w:t>
            </w:r>
          </w:p>
          <w:p w14:paraId="03A5E4F3">
            <w:pPr>
              <w:pStyle w:val="55"/>
              <w:widowControl w:val="0"/>
              <w:spacing w:line="360" w:lineRule="auto"/>
              <w:jc w:val="both"/>
              <w:rPr>
                <w:rFonts w:hint="eastAsia" w:hAnsi="宋体" w:cs="宋体"/>
                <w:bCs/>
                <w:color w:val="000000"/>
                <w:sz w:val="24"/>
                <w:szCs w:val="24"/>
              </w:rPr>
            </w:pPr>
            <w:r>
              <w:rPr>
                <w:rFonts w:hint="eastAsia" w:hAnsi="宋体" w:cs="宋体"/>
                <w:b/>
                <w:color w:val="000000"/>
                <w:sz w:val="24"/>
                <w:szCs w:val="24"/>
              </w:rPr>
              <w:t>第二档(6-10分)：</w:t>
            </w:r>
            <w:r>
              <w:rPr>
                <w:rFonts w:hint="eastAsia" w:hAnsi="宋体" w:cs="宋体"/>
                <w:bCs/>
                <w:color w:val="000000"/>
                <w:sz w:val="24"/>
                <w:szCs w:val="24"/>
              </w:rPr>
              <w:t>计划投入本项目的项目组织机构管理体系具有一定的针对性，存在管理流程；人员配置基本合理能够满足项目服务的基本要求，岗位职责相对明确，主要管理服务人员具备一定的管理经验。团队中需配备中药材产业领域的正高级研究员至少1名；</w:t>
            </w:r>
          </w:p>
          <w:p w14:paraId="6AD4EDBD">
            <w:pPr>
              <w:pStyle w:val="55"/>
              <w:widowControl w:val="0"/>
              <w:spacing w:line="360" w:lineRule="auto"/>
              <w:jc w:val="both"/>
              <w:rPr>
                <w:rFonts w:hint="eastAsia" w:hAnsi="宋体" w:cs="宋体"/>
                <w:bCs/>
                <w:color w:val="000000"/>
                <w:sz w:val="24"/>
                <w:szCs w:val="24"/>
              </w:rPr>
            </w:pPr>
            <w:r>
              <w:rPr>
                <w:rFonts w:hint="eastAsia" w:hAnsi="宋体" w:cs="宋体"/>
                <w:b/>
                <w:color w:val="000000"/>
                <w:sz w:val="24"/>
                <w:szCs w:val="24"/>
              </w:rPr>
              <w:t>第三档(1-5分)：</w:t>
            </w:r>
            <w:r>
              <w:rPr>
                <w:rFonts w:hint="eastAsia" w:hAnsi="宋体" w:cs="宋体"/>
                <w:bCs/>
                <w:color w:val="000000"/>
                <w:sz w:val="24"/>
                <w:szCs w:val="24"/>
              </w:rPr>
              <w:t>计划投入本项目的项目组织机构管理体系尚不完善，缺乏针对性，管理流程存在但不充分；主要人员配置及管理存在疏漏，难以满足项目服务的要求。</w:t>
            </w:r>
          </w:p>
          <w:p w14:paraId="28891A13">
            <w:pPr>
              <w:pStyle w:val="55"/>
              <w:widowControl w:val="0"/>
              <w:spacing w:line="360" w:lineRule="auto"/>
              <w:jc w:val="both"/>
              <w:rPr>
                <w:rFonts w:hint="eastAsia" w:hAnsi="宋体" w:cs="宋体"/>
                <w:bCs/>
                <w:color w:val="000000"/>
                <w:sz w:val="24"/>
                <w:szCs w:val="24"/>
              </w:rPr>
            </w:pPr>
            <w:r>
              <w:rPr>
                <w:rFonts w:hint="eastAsia" w:hAnsi="宋体" w:cs="宋体"/>
                <w:b/>
                <w:color w:val="000000"/>
                <w:sz w:val="24"/>
                <w:szCs w:val="24"/>
              </w:rPr>
              <w:t>第四档（0分）：</w:t>
            </w:r>
            <w:r>
              <w:rPr>
                <w:rFonts w:hint="eastAsia" w:hAnsi="宋体" w:cs="宋体"/>
                <w:bCs/>
                <w:color w:val="000000"/>
                <w:sz w:val="24"/>
                <w:szCs w:val="24"/>
              </w:rPr>
              <w:t>未配置项目团队人员的。</w:t>
            </w:r>
          </w:p>
          <w:p w14:paraId="7ABD078A">
            <w:pPr>
              <w:pStyle w:val="55"/>
              <w:widowControl w:val="0"/>
              <w:spacing w:line="360" w:lineRule="auto"/>
              <w:jc w:val="both"/>
              <w:rPr>
                <w:rFonts w:hint="eastAsia" w:hAnsi="宋体" w:cs="宋体"/>
                <w:b/>
                <w:color w:val="000000"/>
                <w:sz w:val="24"/>
                <w:szCs w:val="24"/>
              </w:rPr>
            </w:pPr>
            <w:r>
              <w:rPr>
                <w:rFonts w:hint="eastAsia" w:hAnsi="宋体" w:cs="宋体"/>
                <w:bCs/>
                <w:color w:val="000000"/>
                <w:sz w:val="24"/>
                <w:szCs w:val="24"/>
              </w:rPr>
              <w:t>注：以上人员</w:t>
            </w:r>
            <w:r>
              <w:rPr>
                <w:rFonts w:hint="eastAsia" w:hAnsi="宋体" w:cs="宋体"/>
                <w:color w:val="000000"/>
                <w:sz w:val="24"/>
                <w:szCs w:val="24"/>
              </w:rPr>
              <w:t>需提供身份证、劳动合同、学历证(若有)、职称证(如有)、相关证书(如有)、类似项目经验材料(若有)等证明材料扫描件</w:t>
            </w:r>
            <w:r>
              <w:rPr>
                <w:rFonts w:hint="eastAsia" w:hAnsi="宋体" w:cs="宋体"/>
                <w:bCs/>
                <w:color w:val="000000"/>
                <w:sz w:val="24"/>
                <w:szCs w:val="24"/>
              </w:rPr>
              <w:t>。</w:t>
            </w:r>
          </w:p>
        </w:tc>
      </w:tr>
      <w:tr w14:paraId="70E70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1564" w:type="dxa"/>
            <w:vMerge w:val="continue"/>
          </w:tcPr>
          <w:p w14:paraId="60AB51C3">
            <w:pPr>
              <w:pStyle w:val="62"/>
              <w:spacing w:line="360" w:lineRule="auto"/>
              <w:ind w:left="0" w:firstLine="0"/>
              <w:jc w:val="both"/>
              <w:rPr>
                <w:rFonts w:hint="eastAsia" w:ascii="宋体" w:hAnsi="宋体" w:cs="宋体"/>
                <w:sz w:val="24"/>
                <w:szCs w:val="24"/>
              </w:rPr>
            </w:pPr>
          </w:p>
        </w:tc>
        <w:tc>
          <w:tcPr>
            <w:tcW w:w="1661" w:type="dxa"/>
            <w:vAlign w:val="center"/>
          </w:tcPr>
          <w:p w14:paraId="32F9DB7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类似业绩</w:t>
            </w:r>
          </w:p>
          <w:p w14:paraId="0B36899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(满分5分)</w:t>
            </w:r>
          </w:p>
        </w:tc>
        <w:tc>
          <w:tcPr>
            <w:tcW w:w="6389" w:type="dxa"/>
            <w:vAlign w:val="center"/>
          </w:tcPr>
          <w:p w14:paraId="5E7BBBF4">
            <w:pPr>
              <w:spacing w:line="360" w:lineRule="auto"/>
              <w:jc w:val="both"/>
              <w:rPr>
                <w:rFonts w:hint="eastAsia" w:ascii="宋体" w:hAnsi="宋体" w:cs="宋体"/>
                <w:color w:val="000000"/>
                <w:sz w:val="24"/>
                <w:szCs w:val="24"/>
              </w:rPr>
            </w:pPr>
            <w:r>
              <w:rPr>
                <w:rFonts w:hint="eastAsia" w:ascii="宋体" w:hAnsi="宋体" w:cs="宋体"/>
                <w:color w:val="000000"/>
                <w:sz w:val="24"/>
                <w:szCs w:val="24"/>
              </w:rPr>
              <w:t>供应商（2021年1月1日至今）承担过一项与本项目相似的产业咨询、产业研究或产业项目申报工作的得基本分3分，每增加一项类似项目加1分，满分5分。附证明材料。</w:t>
            </w:r>
          </w:p>
          <w:p w14:paraId="798C1B7C">
            <w:pPr>
              <w:spacing w:line="360" w:lineRule="auto"/>
              <w:jc w:val="both"/>
              <w:rPr>
                <w:rFonts w:hint="eastAsia" w:ascii="宋体" w:hAnsi="宋体" w:cs="宋体"/>
                <w:sz w:val="24"/>
                <w:szCs w:val="24"/>
              </w:rPr>
            </w:pPr>
            <w:r>
              <w:rPr>
                <w:rFonts w:hint="eastAsia" w:ascii="宋体" w:hAnsi="宋体" w:cs="宋体"/>
                <w:color w:val="000000"/>
                <w:sz w:val="24"/>
                <w:szCs w:val="24"/>
              </w:rPr>
              <w:t>注：</w:t>
            </w:r>
            <w:r>
              <w:rPr>
                <w:rFonts w:hint="eastAsia" w:ascii="宋体" w:hAnsi="宋体" w:cs="宋体"/>
                <w:sz w:val="24"/>
                <w:szCs w:val="24"/>
              </w:rPr>
              <w:t>证明材料是指中标（成交）通知书）或合同（合同包括：合同首页、标的及金额所在页及合同签字盖章页）或项目验</w:t>
            </w:r>
            <w:r>
              <w:rPr>
                <w:rFonts w:hint="eastAsia" w:ascii="宋体" w:hAnsi="宋体" w:cs="宋体"/>
                <w:color w:val="000000"/>
                <w:sz w:val="24"/>
                <w:szCs w:val="24"/>
              </w:rPr>
              <w:t>收证明。无证明材料或证明材料不明确、无法体现类似项目实施经验内容的，不予认可。</w:t>
            </w:r>
          </w:p>
        </w:tc>
      </w:tr>
      <w:tr w14:paraId="37A1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9614" w:type="dxa"/>
            <w:gridSpan w:val="3"/>
            <w:vAlign w:val="center"/>
          </w:tcPr>
          <w:p w14:paraId="7046FE71">
            <w:pPr>
              <w:widowControl w:val="0"/>
              <w:spacing w:line="360" w:lineRule="auto"/>
              <w:jc w:val="both"/>
              <w:rPr>
                <w:rFonts w:hint="eastAsia" w:ascii="宋体" w:hAnsi="宋体" w:cs="宋体"/>
                <w:b/>
                <w:sz w:val="24"/>
                <w:szCs w:val="24"/>
              </w:rPr>
            </w:pPr>
            <w:r>
              <w:rPr>
                <w:rFonts w:hint="eastAsia" w:ascii="宋体" w:hAnsi="宋体" w:cs="宋体"/>
                <w:b/>
                <w:sz w:val="24"/>
                <w:szCs w:val="24"/>
              </w:rPr>
              <w:t>备注：对各供应商响应文件的技术部分、商务部分独立进行评分。</w:t>
            </w:r>
          </w:p>
        </w:tc>
      </w:tr>
    </w:tbl>
    <w:p w14:paraId="514046E6">
      <w:pPr>
        <w:pStyle w:val="15"/>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（四）供应商在规定时间内按系统要求填报竞争性磋商承诺及最后报价。</w:t>
      </w:r>
    </w:p>
    <w:p w14:paraId="0E4CD06D">
      <w:pPr>
        <w:pStyle w:val="15"/>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（五）澄清有关问题</w:t>
      </w:r>
    </w:p>
    <w:p w14:paraId="563BA6E5">
      <w:pPr>
        <w:pStyle w:val="15"/>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1.响应文件内容澄清</w:t>
      </w:r>
    </w:p>
    <w:p w14:paraId="634E40FA">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5BFF43B">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BE07587">
      <w:pPr>
        <w:pStyle w:val="15"/>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2.报价不一致情形澄清</w:t>
      </w:r>
    </w:p>
    <w:p w14:paraId="11ED0907">
      <w:pPr>
        <w:spacing w:line="360" w:lineRule="auto"/>
        <w:ind w:firstLine="480" w:firstLineChars="200"/>
        <w:rPr>
          <w:rFonts w:hint="eastAsia" w:ascii="宋体" w:hAnsi="宋体" w:cs="宋体"/>
          <w:sz w:val="24"/>
          <w:szCs w:val="24"/>
        </w:rPr>
      </w:pPr>
      <w:r>
        <w:rPr>
          <w:rFonts w:hint="eastAsia" w:ascii="宋体" w:hAnsi="宋体" w:cs="宋体"/>
          <w:sz w:val="24"/>
          <w:szCs w:val="24"/>
        </w:rPr>
        <w:t>响应文件报价出现前后不一致的，除竞争性磋商文件另有规定外，按照下列规定修正：</w:t>
      </w:r>
    </w:p>
    <w:p w14:paraId="5D53F0A4">
      <w:pPr>
        <w:spacing w:line="360" w:lineRule="auto"/>
        <w:ind w:firstLine="480" w:firstLineChars="200"/>
        <w:rPr>
          <w:rFonts w:hint="eastAsia" w:ascii="宋体" w:hAnsi="宋体" w:cs="宋体"/>
          <w:sz w:val="24"/>
          <w:szCs w:val="24"/>
        </w:rPr>
      </w:pPr>
      <w:r>
        <w:rPr>
          <w:rFonts w:hint="eastAsia" w:ascii="宋体" w:hAnsi="宋体" w:cs="宋体"/>
          <w:sz w:val="24"/>
          <w:szCs w:val="24"/>
        </w:rPr>
        <w:t>（1）响应文件中《报价表》内容与响应文件中相应内容不一致的，以《报价表》为准；</w:t>
      </w:r>
    </w:p>
    <w:p w14:paraId="25A63C91">
      <w:pPr>
        <w:spacing w:line="360" w:lineRule="auto"/>
        <w:ind w:firstLine="480" w:firstLineChars="200"/>
        <w:rPr>
          <w:rFonts w:hint="eastAsia" w:ascii="宋体" w:hAnsi="宋体" w:cs="宋体"/>
          <w:sz w:val="24"/>
          <w:szCs w:val="24"/>
        </w:rPr>
      </w:pPr>
      <w:r>
        <w:rPr>
          <w:rFonts w:hint="eastAsia" w:ascii="宋体" w:hAnsi="宋体" w:cs="宋体"/>
          <w:sz w:val="24"/>
          <w:szCs w:val="24"/>
        </w:rPr>
        <w:t>（2）大写金额和小写金额不一致的，以大写金额为准；</w:t>
      </w:r>
    </w:p>
    <w:p w14:paraId="221E2768">
      <w:pPr>
        <w:spacing w:line="360" w:lineRule="auto"/>
        <w:ind w:firstLine="480" w:firstLineChars="200"/>
        <w:rPr>
          <w:rFonts w:hint="eastAsia" w:ascii="宋体" w:hAnsi="宋体" w:cs="宋体"/>
          <w:sz w:val="24"/>
          <w:szCs w:val="24"/>
        </w:rPr>
      </w:pPr>
      <w:r>
        <w:rPr>
          <w:rFonts w:hint="eastAsia" w:ascii="宋体" w:hAnsi="宋体" w:cs="宋体"/>
          <w:sz w:val="24"/>
          <w:szCs w:val="24"/>
        </w:rPr>
        <w:t>（3）单价金额小数点或者百分比有明显错位的，以初次报价表的总价为准，并修改单价；</w:t>
      </w:r>
    </w:p>
    <w:p w14:paraId="2D9E1F14">
      <w:pPr>
        <w:spacing w:line="360" w:lineRule="auto"/>
        <w:ind w:firstLine="480" w:firstLineChars="200"/>
        <w:rPr>
          <w:rFonts w:hint="eastAsia" w:ascii="宋体" w:hAnsi="宋体" w:cs="宋体"/>
          <w:sz w:val="24"/>
          <w:szCs w:val="24"/>
        </w:rPr>
      </w:pPr>
      <w:r>
        <w:rPr>
          <w:rFonts w:hint="eastAsia" w:ascii="宋体" w:hAnsi="宋体" w:cs="宋体"/>
          <w:sz w:val="24"/>
          <w:szCs w:val="24"/>
        </w:rPr>
        <w:t>（4）总价金额与按单价汇总金额不一致的，以单价金额计算结果为准。</w:t>
      </w:r>
    </w:p>
    <w:p w14:paraId="391C905C">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同时出现两种以上不一致的，按照前款规定的顺序修正。修正后的报价经供应商确认后产生约束力，供应商不确认的，其磋商无效。</w:t>
      </w:r>
    </w:p>
    <w:p w14:paraId="416B1C91">
      <w:pPr>
        <w:pStyle w:val="15"/>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w:t>
      </w:r>
      <w:r>
        <w:rPr>
          <w:rFonts w:hint="eastAsia" w:ascii="宋体" w:hAnsi="宋体" w:cs="宋体"/>
        </w:rPr>
        <w:t xml:space="preserve"> </w:t>
      </w:r>
      <w:r>
        <w:rPr>
          <w:rFonts w:hint="eastAsia" w:ascii="宋体" w:hAnsi="宋体" w:cs="宋体"/>
          <w:b/>
          <w:bCs/>
          <w:sz w:val="24"/>
          <w:szCs w:val="24"/>
        </w:rPr>
        <w:t>报价合理性说明</w:t>
      </w:r>
    </w:p>
    <w:p w14:paraId="6893A9CD">
      <w:pPr>
        <w:pStyle w:val="15"/>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处理。</w:t>
      </w:r>
    </w:p>
    <w:p w14:paraId="757456C9">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（六）商务和技术评估、综合比较与评价</w:t>
      </w:r>
    </w:p>
    <w:p w14:paraId="6733DFD8">
      <w:pPr>
        <w:widowControl w:val="0"/>
        <w:spacing w:line="360" w:lineRule="auto"/>
        <w:ind w:firstLine="472" w:firstLineChars="196"/>
        <w:jc w:val="both"/>
        <w:rPr>
          <w:rFonts w:hint="eastAsia" w:ascii="宋体" w:hAnsi="宋体" w:cs="宋体"/>
          <w:b/>
          <w:bCs/>
          <w:color w:val="000000"/>
          <w:sz w:val="24"/>
          <w:szCs w:val="24"/>
        </w:rPr>
      </w:pPr>
      <w:r>
        <w:rPr>
          <w:rFonts w:hint="eastAsia" w:ascii="宋体" w:hAnsi="宋体" w:cs="宋体"/>
          <w:b/>
          <w:bCs/>
          <w:color w:val="000000"/>
          <w:sz w:val="24"/>
          <w:szCs w:val="24"/>
        </w:rPr>
        <w:t>1.小微企业价格评审优惠政策</w:t>
      </w:r>
    </w:p>
    <w:p w14:paraId="3928FBF9">
      <w:pPr>
        <w:pStyle w:val="14"/>
        <w:widowControl w:val="0"/>
        <w:ind w:firstLine="480" w:firstLineChars="200"/>
        <w:rPr>
          <w:rFonts w:hint="eastAsia" w:ascii="宋体" w:hAnsi="宋体" w:cs="宋体"/>
          <w:color w:val="000000"/>
          <w:sz w:val="24"/>
        </w:rPr>
      </w:pPr>
      <w:r>
        <w:rPr>
          <w:rFonts w:hint="eastAsia" w:ascii="宋体" w:hAnsi="宋体" w:cs="宋体"/>
          <w:color w:val="000000"/>
          <w:sz w:val="24"/>
        </w:rPr>
        <w:t>1.1根据《政府采购促进中小企业发展管理办法》（财库〔2020〕46号)的规定及财政部关于进一步加大政府采购支持中小企业力度的通知（财库[2022]19号）的规定，对符合国家统计局《统计上大中小微型企业划分办法（2017）》规定条件</w:t>
      </w:r>
      <w:r>
        <w:rPr>
          <w:rFonts w:hint="eastAsia" w:ascii="宋体" w:hAnsi="宋体" w:cs="宋体"/>
          <w:b/>
          <w:bCs/>
          <w:sz w:val="24"/>
          <w:u w:val="single"/>
        </w:rPr>
        <w:t>“其他未列明行业”</w:t>
      </w:r>
      <w:r>
        <w:rPr>
          <w:rFonts w:hint="eastAsia" w:ascii="宋体" w:hAnsi="宋体" w:cs="宋体"/>
          <w:color w:val="000000"/>
          <w:sz w:val="24"/>
        </w:rPr>
        <w:t>行业的小微企业报价给予10%的扣除，用扣除后的价格参加评审。</w:t>
      </w:r>
    </w:p>
    <w:p w14:paraId="46B02625">
      <w:pPr>
        <w:pStyle w:val="14"/>
        <w:widowControl w:val="0"/>
        <w:ind w:firstLine="480" w:firstLineChars="200"/>
        <w:rPr>
          <w:rFonts w:hint="eastAsia" w:ascii="宋体" w:hAnsi="宋体" w:cs="宋体"/>
          <w:color w:val="000000"/>
          <w:sz w:val="24"/>
        </w:rPr>
      </w:pPr>
      <w:r>
        <w:rPr>
          <w:rFonts w:hint="eastAsia" w:ascii="宋体" w:hAnsi="宋体" w:cs="宋体"/>
          <w:color w:val="000000"/>
          <w:kern w:val="0"/>
          <w:sz w:val="24"/>
        </w:rPr>
        <w:t>1.2</w:t>
      </w:r>
      <w:r>
        <w:rPr>
          <w:rFonts w:hint="eastAsia" w:ascii="宋体" w:hAnsi="宋体" w:cs="宋体"/>
          <w:color w:val="000000"/>
          <w:sz w:val="24"/>
        </w:rPr>
        <w:t>对于接受大中型企业与小微企业组成联合体或者允许大中型企业向一家或者多家小微企业分包的采购项目，对于联合协议或者分包意向协议约定小微企业的合同份额占到合同总金额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000000"/>
          <w:sz w:val="24"/>
          <w:u w:val="single"/>
        </w:rPr>
        <w:t xml:space="preserve"> 4 </w:t>
      </w:r>
      <w:r>
        <w:rPr>
          <w:rFonts w:hint="eastAsia" w:ascii="宋体" w:hAnsi="宋体" w:cs="宋体"/>
          <w:color w:val="000000"/>
          <w:sz w:val="24"/>
        </w:rPr>
        <w:t>%的扣除，用扣除后的价格参加评审。</w:t>
      </w:r>
    </w:p>
    <w:p w14:paraId="5BD7CFDD">
      <w:pPr>
        <w:pStyle w:val="14"/>
        <w:widowControl w:val="0"/>
        <w:ind w:firstLine="480" w:firstLineChars="200"/>
        <w:rPr>
          <w:rFonts w:hint="eastAsia" w:ascii="宋体" w:hAnsi="宋体" w:cs="宋体"/>
          <w:color w:val="000000"/>
          <w:sz w:val="24"/>
        </w:rPr>
      </w:pPr>
      <w:r>
        <w:rPr>
          <w:rFonts w:hint="eastAsia" w:ascii="宋体" w:hAnsi="宋体" w:cs="宋体"/>
          <w:color w:val="000000"/>
          <w:sz w:val="24"/>
        </w:rPr>
        <w:t>1.3组成联合体或者接受分包的小微企业与联合体内其他企业、分包企业之间存在直接控股、管理关系的，不享受价格扣除优惠政策。</w:t>
      </w:r>
    </w:p>
    <w:p w14:paraId="45BD4339">
      <w:pPr>
        <w:pStyle w:val="14"/>
        <w:widowControl w:val="0"/>
        <w:ind w:firstLine="480" w:firstLineChars="200"/>
        <w:rPr>
          <w:rFonts w:hint="eastAsia" w:ascii="宋体" w:hAnsi="宋体" w:cs="宋体"/>
          <w:color w:val="000000"/>
          <w:sz w:val="24"/>
        </w:rPr>
      </w:pPr>
      <w:r>
        <w:rPr>
          <w:rFonts w:hint="eastAsia" w:ascii="宋体" w:hAnsi="宋体" w:cs="宋体"/>
          <w:color w:val="000000"/>
          <w:sz w:val="24"/>
        </w:rPr>
        <w:t>1.4价格扣除比例对小型企业和微型企业同等对待，不作区分。</w:t>
      </w:r>
    </w:p>
    <w:p w14:paraId="0F3344DD">
      <w:pPr>
        <w:pStyle w:val="14"/>
        <w:widowControl w:val="0"/>
        <w:ind w:firstLine="480" w:firstLineChars="200"/>
        <w:rPr>
          <w:rFonts w:hint="eastAsia" w:ascii="宋体" w:hAnsi="宋体" w:cs="宋体"/>
          <w:color w:val="000000"/>
          <w:kern w:val="0"/>
          <w:sz w:val="24"/>
        </w:rPr>
      </w:pPr>
      <w:r>
        <w:rPr>
          <w:rFonts w:hint="eastAsia" w:ascii="宋体" w:hAnsi="宋体" w:cs="宋体"/>
          <w:color w:val="000000"/>
          <w:kern w:val="0"/>
          <w:sz w:val="24"/>
        </w:rPr>
        <w:t>1.5请供应商根据《政府采购促进中小企业发展管理办法》（财库〔2020〕46号)的规定，提供《中小企业声明函》，未提供的小微企业不享受价格评审优惠政策。供应商对《中小企业声明函》的真实性负责，如有虚假，采购人将向监管部门反映，供应商依法承担相应责任。</w:t>
      </w:r>
    </w:p>
    <w:p w14:paraId="661744C0">
      <w:pPr>
        <w:spacing w:line="360" w:lineRule="auto"/>
        <w:ind w:firstLine="480" w:firstLineChars="200"/>
        <w:rPr>
          <w:rFonts w:hint="eastAsia" w:ascii="宋体" w:hAnsi="宋体" w:cs="宋体"/>
          <w:b/>
          <w:bCs/>
          <w:color w:val="000000"/>
          <w:sz w:val="24"/>
          <w:szCs w:val="24"/>
        </w:rPr>
      </w:pPr>
      <w:r>
        <w:rPr>
          <w:rFonts w:hint="eastAsia" w:ascii="宋体" w:hAnsi="宋体" w:cs="宋体"/>
          <w:color w:val="000000"/>
          <w:sz w:val="24"/>
          <w:szCs w:val="24"/>
        </w:rPr>
        <w:t>其他未尽事宜，按照《政府采购促进中小企业发展管理办法》（财库〔2020〕46号)规定执行。</w:t>
      </w:r>
    </w:p>
    <w:p w14:paraId="1169614A">
      <w:pPr>
        <w:autoSpaceDE w:val="0"/>
        <w:autoSpaceDN w:val="0"/>
        <w:spacing w:line="360" w:lineRule="auto"/>
        <w:ind w:firstLine="472" w:firstLineChars="196"/>
        <w:rPr>
          <w:rFonts w:hint="eastAsia" w:ascii="宋体" w:hAnsi="宋体" w:cs="宋体"/>
          <w:b/>
          <w:bCs/>
          <w:color w:val="000000"/>
          <w:sz w:val="24"/>
          <w:szCs w:val="24"/>
        </w:rPr>
      </w:pPr>
      <w:r>
        <w:rPr>
          <w:rFonts w:hint="eastAsia" w:ascii="宋体" w:hAnsi="宋体" w:cs="宋体"/>
          <w:b/>
          <w:bCs/>
          <w:color w:val="000000"/>
          <w:sz w:val="24"/>
          <w:szCs w:val="24"/>
        </w:rPr>
        <w:t>2.监狱企业评分优惠政策</w:t>
      </w:r>
    </w:p>
    <w:p w14:paraId="6A4CDAF2">
      <w:pPr>
        <w:autoSpaceDE w:val="0"/>
        <w:autoSpaceDN w:val="0"/>
        <w:spacing w:line="360" w:lineRule="auto"/>
        <w:ind w:left="-15" w:leftChars="-7"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根据《关于政府采购支持监狱企业发展有关问题的通知》(财库[2014]68号)的规定，监狱企业</w:t>
      </w:r>
      <w:r>
        <w:rPr>
          <w:rFonts w:hint="eastAsia" w:ascii="宋体" w:hAnsi="宋体" w:cs="宋体"/>
          <w:color w:val="000000"/>
          <w:kern w:val="2"/>
          <w:sz w:val="24"/>
          <w:szCs w:val="24"/>
        </w:rPr>
        <w:t>优惠政策</w:t>
      </w:r>
      <w:r>
        <w:rPr>
          <w:rFonts w:hint="eastAsia" w:ascii="宋体" w:hAnsi="宋体" w:cs="宋体"/>
          <w:color w:val="000000"/>
          <w:sz w:val="24"/>
          <w:szCs w:val="24"/>
        </w:rPr>
        <w:t>，监狱企业参与本项目投标时，提供由省级以上监狱管理局、戒毒管理局(含新疆生产建设兵团)出具的属于监狱企业的证明文件的，视同小型、微型企业享受价格扣除等优惠政策。</w:t>
      </w:r>
    </w:p>
    <w:p w14:paraId="2AB68099">
      <w:pPr>
        <w:autoSpaceDE w:val="0"/>
        <w:autoSpaceDN w:val="0"/>
        <w:spacing w:line="360" w:lineRule="auto"/>
        <w:ind w:firstLine="472" w:firstLineChars="196"/>
        <w:rPr>
          <w:rFonts w:hint="eastAsia" w:ascii="宋体" w:hAnsi="宋体" w:cs="宋体"/>
          <w:b/>
          <w:bCs/>
          <w:color w:val="000000"/>
          <w:sz w:val="24"/>
          <w:szCs w:val="24"/>
        </w:rPr>
      </w:pPr>
      <w:r>
        <w:rPr>
          <w:rFonts w:hint="eastAsia" w:ascii="宋体" w:hAnsi="宋体" w:cs="宋体"/>
          <w:b/>
          <w:bCs/>
          <w:color w:val="000000"/>
          <w:sz w:val="24"/>
          <w:szCs w:val="24"/>
        </w:rPr>
        <w:t>3.残疾人福利性单位优惠政策</w:t>
      </w:r>
    </w:p>
    <w:p w14:paraId="3BB26C3E">
      <w:pPr>
        <w:autoSpaceDE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根据《关于促进残疾人就业政府采购政策的通知》(财库[2017]141号)的规定，残疾人福利性单位</w:t>
      </w:r>
      <w:r>
        <w:rPr>
          <w:rFonts w:hint="eastAsia" w:ascii="宋体" w:hAnsi="宋体" w:cs="宋体"/>
          <w:color w:val="000000"/>
          <w:kern w:val="2"/>
          <w:sz w:val="24"/>
          <w:szCs w:val="24"/>
        </w:rPr>
        <w:t>优惠政策</w:t>
      </w:r>
      <w:r>
        <w:rPr>
          <w:rFonts w:hint="eastAsia" w:ascii="宋体" w:hAnsi="宋体" w:cs="宋体"/>
          <w:color w:val="000000"/>
          <w:sz w:val="24"/>
          <w:szCs w:val="24"/>
        </w:rPr>
        <w:t>，残疾人福利性单位参与本项目投标时，提供《残疾人福利性单位声明函》并对声明的真实性负责，视同小型、微型企业享受价格扣除等优惠政策。</w:t>
      </w:r>
      <w:r>
        <w:rPr>
          <w:rFonts w:hint="eastAsia" w:ascii="宋体" w:hAnsi="宋体" w:cs="宋体"/>
          <w:b/>
          <w:color w:val="000000"/>
          <w:sz w:val="24"/>
          <w:szCs w:val="24"/>
        </w:rPr>
        <w:t>供应商对《残疾人福利性单位声明函》的真实性负责，如有虚假，自行承担相应责任。</w:t>
      </w:r>
    </w:p>
    <w:p w14:paraId="058065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（七）得分汇总</w:t>
      </w:r>
    </w:p>
    <w:p w14:paraId="64CB685E">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1.磋商小组应首先对各供应商响应文件进行评审，写出书面意见并按竞争性磋商文件规定分值评分，各分档评分中间不得用插入法评分。</w:t>
      </w:r>
    </w:p>
    <w:p w14:paraId="72261B37">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2.除磋商价格得分（F1）外，其余部分由各磋商小组成员自主评分并签字确认。</w:t>
      </w:r>
    </w:p>
    <w:p w14:paraId="7D032890">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3.统分原则：计算磋商小组打分的算术平均值为供应商的该项评分因素的得分，磋商报价得分除外（保留小数点后两位）。</w:t>
      </w:r>
    </w:p>
    <w:p w14:paraId="13F8A86C">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4.得分汇总：各项评分因素得分后的总和即为供应商最后得分。</w:t>
      </w:r>
    </w:p>
    <w:p w14:paraId="2321ED08">
      <w:pPr>
        <w:pStyle w:val="15"/>
        <w:spacing w:line="360" w:lineRule="auto"/>
        <w:ind w:firstLine="480" w:firstLineChars="200"/>
        <w:rPr>
          <w:rFonts w:hint="eastAsia" w:ascii="宋体" w:hAnsi="宋体" w:cs="宋体"/>
          <w:sz w:val="24"/>
          <w:szCs w:val="24"/>
        </w:rPr>
      </w:pPr>
      <w:r>
        <w:rPr>
          <w:rFonts w:hint="eastAsia" w:ascii="宋体" w:hAnsi="宋体" w:cs="宋体"/>
          <w:sz w:val="24"/>
          <w:szCs w:val="24"/>
        </w:rPr>
        <w:t>5.经磋商小组认定评分畸高、畸低的，磋商小组应当当场修改评审结果，并在评审报告中记载。</w:t>
      </w:r>
    </w:p>
    <w:p w14:paraId="646C735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八、推荐</w:t>
      </w:r>
    </w:p>
    <w:p w14:paraId="48B31816">
      <w:pPr>
        <w:pStyle w:val="14"/>
        <w:ind w:firstLine="480" w:firstLineChars="200"/>
        <w:rPr>
          <w:rFonts w:hint="eastAsia" w:ascii="宋体" w:hAnsi="宋体" w:cs="宋体"/>
          <w:b/>
          <w:bCs/>
          <w:sz w:val="24"/>
        </w:rPr>
      </w:pPr>
      <w:r>
        <w:rPr>
          <w:rFonts w:hint="eastAsia" w:ascii="宋体" w:hAnsi="宋体" w:cs="宋体"/>
          <w:sz w:val="24"/>
        </w:rPr>
        <w:t>磋商小组应当根据综合评分情况，按照评审得分由高到低顺序推荐3名以上成交候选供应商（符合财库[2014]214号第二十一条第三款情形和财库[2015]124号规定的，可以推荐2家成交候选供应商），并编写评审报告。评审得分相同的，按照最后报价由低到高的顺序推荐。评审得分且最后报价相同的，按照技术指标优劣顺序推荐。</w:t>
      </w:r>
    </w:p>
    <w:p w14:paraId="1BA6576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九、评审报告编写</w:t>
      </w:r>
    </w:p>
    <w:p w14:paraId="172EABF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磋商小组根据全体评审成员签字的原始评审记录评审结果编写评审报告。</w:t>
      </w:r>
    </w:p>
    <w:p w14:paraId="673EF20F">
      <w:pPr>
        <w:spacing w:line="360" w:lineRule="auto"/>
        <w:ind w:firstLine="480" w:firstLineChars="200"/>
        <w:rPr>
          <w:rFonts w:hint="eastAsia" w:ascii="宋体" w:hAnsi="宋体" w:cs="宋体"/>
          <w:sz w:val="24"/>
          <w:szCs w:val="24"/>
        </w:rPr>
      </w:pPr>
      <w:r>
        <w:rPr>
          <w:rFonts w:hint="eastAsia" w:ascii="宋体" w:hAnsi="宋体" w:cs="宋体"/>
          <w:sz w:val="24"/>
          <w:szCs w:val="24"/>
        </w:rPr>
        <w:t>评审报告应当包括以下主要内容：</w:t>
      </w:r>
    </w:p>
    <w:p w14:paraId="09CAB18D">
      <w:pPr>
        <w:spacing w:line="360" w:lineRule="auto"/>
        <w:ind w:firstLine="480" w:firstLineChars="200"/>
        <w:rPr>
          <w:rFonts w:hint="eastAsia" w:ascii="宋体" w:hAnsi="宋体" w:cs="宋体"/>
          <w:sz w:val="24"/>
          <w:szCs w:val="24"/>
        </w:rPr>
      </w:pPr>
      <w:r>
        <w:rPr>
          <w:rFonts w:hint="eastAsia" w:ascii="宋体" w:hAnsi="宋体" w:cs="宋体"/>
          <w:sz w:val="24"/>
          <w:szCs w:val="24"/>
        </w:rPr>
        <w:t>1.邀请供应商参加采购活动的具体方式和相关情况；</w:t>
      </w:r>
    </w:p>
    <w:p w14:paraId="3924C843">
      <w:pPr>
        <w:spacing w:line="360" w:lineRule="auto"/>
        <w:ind w:firstLine="480" w:firstLineChars="200"/>
        <w:rPr>
          <w:rFonts w:hint="eastAsia" w:ascii="宋体" w:hAnsi="宋体" w:cs="宋体"/>
          <w:sz w:val="24"/>
          <w:szCs w:val="24"/>
        </w:rPr>
      </w:pPr>
      <w:r>
        <w:rPr>
          <w:rFonts w:hint="eastAsia" w:ascii="宋体" w:hAnsi="宋体" w:cs="宋体"/>
          <w:sz w:val="24"/>
          <w:szCs w:val="24"/>
        </w:rPr>
        <w:t>2.响应文件开启日期和地点；</w:t>
      </w:r>
    </w:p>
    <w:p w14:paraId="09CD3495">
      <w:pPr>
        <w:spacing w:line="360" w:lineRule="auto"/>
        <w:ind w:firstLine="480" w:firstLineChars="200"/>
        <w:rPr>
          <w:rFonts w:hint="eastAsia" w:ascii="宋体" w:hAnsi="宋体" w:cs="宋体"/>
          <w:sz w:val="24"/>
          <w:szCs w:val="24"/>
        </w:rPr>
      </w:pPr>
      <w:r>
        <w:rPr>
          <w:rFonts w:hint="eastAsia" w:ascii="宋体" w:hAnsi="宋体" w:cs="宋体"/>
          <w:sz w:val="24"/>
          <w:szCs w:val="24"/>
        </w:rPr>
        <w:t>3.获取磋商文件的供应商名单和磋商小组成员名单；</w:t>
      </w:r>
    </w:p>
    <w:p w14:paraId="3A12BCA2">
      <w:pPr>
        <w:spacing w:line="360" w:lineRule="auto"/>
        <w:ind w:firstLine="480" w:firstLineChars="200"/>
        <w:rPr>
          <w:rFonts w:hint="eastAsia" w:ascii="宋体" w:hAnsi="宋体" w:cs="宋体"/>
          <w:sz w:val="24"/>
          <w:szCs w:val="24"/>
        </w:rPr>
      </w:pPr>
      <w:r>
        <w:rPr>
          <w:rFonts w:hint="eastAsia" w:ascii="宋体" w:hAnsi="宋体" w:cs="宋体"/>
          <w:sz w:val="24"/>
          <w:szCs w:val="24"/>
        </w:rPr>
        <w:t>4.评审情况记录和说明，包括对供应商的资格审查情况、供应商响应文件评审情况、磋商情况、报价情况等；</w:t>
      </w:r>
    </w:p>
    <w:p w14:paraId="5D80DC3D">
      <w:pPr>
        <w:spacing w:line="360" w:lineRule="auto"/>
        <w:ind w:firstLine="480" w:firstLineChars="200"/>
        <w:rPr>
          <w:rFonts w:hint="eastAsia" w:ascii="宋体" w:hAnsi="宋体" w:cs="宋体"/>
          <w:sz w:val="24"/>
          <w:szCs w:val="24"/>
        </w:rPr>
      </w:pPr>
      <w:r>
        <w:rPr>
          <w:rFonts w:hint="eastAsia" w:ascii="宋体" w:hAnsi="宋体" w:cs="宋体"/>
          <w:sz w:val="24"/>
          <w:szCs w:val="24"/>
        </w:rPr>
        <w:t>5.提出的成交候选供应商的排序名单及理由。</w:t>
      </w:r>
    </w:p>
    <w:p w14:paraId="49CA42FC">
      <w:pPr>
        <w:spacing w:line="360" w:lineRule="auto"/>
        <w:ind w:firstLine="480" w:firstLineChars="200"/>
        <w:rPr>
          <w:rFonts w:hint="eastAsia" w:ascii="宋体" w:hAnsi="宋体" w:cs="宋体"/>
          <w:sz w:val="24"/>
          <w:szCs w:val="24"/>
        </w:rPr>
      </w:pPr>
      <w:r>
        <w:rPr>
          <w:rFonts w:hint="eastAsia" w:ascii="宋体" w:hAnsi="宋体" w:cs="宋体"/>
          <w:sz w:val="24"/>
          <w:szCs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E4D1CA1">
      <w:pPr>
        <w:pStyle w:val="14"/>
        <w:rPr>
          <w:rFonts w:hint="eastAsia" w:ascii="宋体" w:hAnsi="宋体" w:cs="宋体"/>
        </w:rPr>
      </w:pPr>
      <w:r>
        <w:rPr>
          <w:rFonts w:hint="eastAsia" w:ascii="宋体" w:hAnsi="宋体" w:cs="宋体"/>
        </w:rPr>
        <w:br w:type="page"/>
      </w:r>
    </w:p>
    <w:p w14:paraId="78F7C28E">
      <w:pPr>
        <w:pStyle w:val="2"/>
        <w:spacing w:before="0" w:after="0" w:line="360" w:lineRule="auto"/>
        <w:jc w:val="center"/>
        <w:rPr>
          <w:rFonts w:hint="eastAsia" w:ascii="宋体" w:hAnsi="宋体" w:cs="宋体"/>
        </w:rPr>
      </w:pPr>
      <w:bookmarkStart w:id="339" w:name="_Toc21476"/>
      <w:bookmarkEnd w:id="339"/>
      <w:bookmarkStart w:id="340" w:name="_Toc18440"/>
      <w:bookmarkEnd w:id="340"/>
      <w:bookmarkStart w:id="341" w:name="_Toc26828"/>
      <w:bookmarkEnd w:id="341"/>
      <w:bookmarkStart w:id="342" w:name="_Toc8239"/>
      <w:bookmarkEnd w:id="342"/>
      <w:bookmarkStart w:id="343" w:name="_Toc30727"/>
      <w:bookmarkStart w:id="344" w:name="_Toc14949"/>
      <w:bookmarkStart w:id="345" w:name="_Toc26841"/>
      <w:bookmarkStart w:id="346" w:name="_Toc3896294"/>
      <w:bookmarkStart w:id="347" w:name="_Toc165910149"/>
      <w:bookmarkStart w:id="348" w:name="_Toc4551"/>
      <w:bookmarkStart w:id="349" w:name="_Toc45"/>
      <w:bookmarkStart w:id="350" w:name="_Toc25380"/>
      <w:bookmarkStart w:id="351" w:name="_Toc15431"/>
      <w:r>
        <w:rPr>
          <w:rFonts w:hint="eastAsia" w:ascii="宋体" w:hAnsi="宋体" w:cs="宋体"/>
        </w:rPr>
        <w:t>第四章 合同样式及主要条款</w:t>
      </w:r>
      <w:bookmarkEnd w:id="343"/>
      <w:bookmarkEnd w:id="344"/>
      <w:bookmarkEnd w:id="345"/>
      <w:bookmarkEnd w:id="346"/>
      <w:bookmarkEnd w:id="347"/>
      <w:bookmarkEnd w:id="348"/>
      <w:bookmarkEnd w:id="349"/>
      <w:bookmarkEnd w:id="350"/>
    </w:p>
    <w:bookmarkEnd w:id="351"/>
    <w:p w14:paraId="2D6CC975">
      <w:pPr>
        <w:jc w:val="center"/>
        <w:rPr>
          <w:rFonts w:hint="eastAsia" w:ascii="宋体" w:hAnsi="宋体" w:cs="宋体"/>
          <w:sz w:val="24"/>
          <w:szCs w:val="24"/>
        </w:rPr>
      </w:pPr>
      <w:r>
        <w:rPr>
          <w:rFonts w:hint="eastAsia" w:ascii="宋体" w:hAnsi="宋体" w:cs="宋体"/>
          <w:sz w:val="24"/>
          <w:szCs w:val="24"/>
        </w:rPr>
        <w:t>（以下合同内容仅供参考，具体合同内容以签订合同时甲乙双方商定为准）</w:t>
      </w:r>
    </w:p>
    <w:p w14:paraId="59D19CA8">
      <w:pPr>
        <w:rPr>
          <w:rFonts w:hint="eastAsia" w:ascii="宋体" w:hAnsi="宋体" w:cs="宋体"/>
          <w:sz w:val="24"/>
        </w:rPr>
      </w:pPr>
    </w:p>
    <w:p w14:paraId="73B3BF29">
      <w:pPr>
        <w:pStyle w:val="14"/>
        <w:jc w:val="center"/>
        <w:rPr>
          <w:rFonts w:hint="eastAsia" w:ascii="宋体" w:hAnsi="宋体" w:cs="宋体"/>
          <w:b/>
          <w:sz w:val="44"/>
          <w:szCs w:val="44"/>
        </w:rPr>
      </w:pPr>
    </w:p>
    <w:p w14:paraId="6D7B561E">
      <w:pPr>
        <w:pStyle w:val="14"/>
        <w:jc w:val="center"/>
        <w:rPr>
          <w:rFonts w:hint="eastAsia" w:ascii="宋体" w:hAnsi="宋体" w:cs="宋体"/>
          <w:b/>
          <w:sz w:val="52"/>
          <w:szCs w:val="52"/>
        </w:rPr>
      </w:pPr>
      <w:r>
        <w:rPr>
          <w:rFonts w:hint="eastAsia" w:ascii="宋体" w:hAnsi="宋体" w:cs="宋体"/>
          <w:b/>
          <w:sz w:val="52"/>
          <w:szCs w:val="52"/>
        </w:rPr>
        <w:t>政府采购合同</w:t>
      </w:r>
    </w:p>
    <w:p w14:paraId="786ECFF8">
      <w:pPr>
        <w:pStyle w:val="20"/>
        <w:rPr>
          <w:rFonts w:hint="eastAsia" w:ascii="宋体" w:hAnsi="宋体" w:cs="宋体"/>
          <w:b/>
          <w:sz w:val="52"/>
          <w:szCs w:val="52"/>
        </w:rPr>
      </w:pPr>
    </w:p>
    <w:p w14:paraId="01B33E90">
      <w:pPr>
        <w:pStyle w:val="14"/>
        <w:jc w:val="center"/>
        <w:rPr>
          <w:rFonts w:hint="eastAsia" w:ascii="宋体" w:hAnsi="宋体" w:cs="宋体"/>
        </w:rPr>
      </w:pPr>
      <w:r>
        <w:rPr>
          <w:rFonts w:hint="eastAsia" w:ascii="宋体" w:hAnsi="宋体" w:cs="宋体"/>
        </w:rPr>
        <w:t>(电子交易项目适用)</w:t>
      </w:r>
    </w:p>
    <w:p w14:paraId="2834FB2D">
      <w:pPr>
        <w:pStyle w:val="20"/>
        <w:rPr>
          <w:rFonts w:hint="eastAsia" w:ascii="宋体" w:hAnsi="宋体" w:cs="宋体"/>
        </w:rPr>
      </w:pPr>
    </w:p>
    <w:p w14:paraId="682296CF">
      <w:pPr>
        <w:pStyle w:val="14"/>
        <w:ind w:firstLine="1260" w:firstLineChars="450"/>
        <w:jc w:val="both"/>
        <w:rPr>
          <w:rFonts w:hint="eastAsia" w:ascii="宋体" w:hAnsi="宋体" w:cs="宋体"/>
          <w:sz w:val="28"/>
          <w:szCs w:val="28"/>
        </w:rPr>
      </w:pPr>
      <w:r>
        <w:rPr>
          <w:rFonts w:hint="eastAsia" w:ascii="宋体" w:hAnsi="宋体" w:cs="宋体"/>
          <w:sz w:val="28"/>
          <w:szCs w:val="28"/>
        </w:rPr>
        <w:t>项 目 名 称:</w:t>
      </w:r>
      <w:r>
        <w:rPr>
          <w:rFonts w:hint="eastAsia" w:ascii="宋体" w:hAnsi="宋体" w:cs="宋体"/>
          <w:sz w:val="28"/>
          <w:szCs w:val="28"/>
          <w:u w:val="single"/>
        </w:rPr>
        <w:t xml:space="preserve">                                   </w:t>
      </w:r>
    </w:p>
    <w:p w14:paraId="77E7FC26">
      <w:pPr>
        <w:pStyle w:val="20"/>
        <w:ind w:left="0" w:leftChars="0" w:firstLine="1260" w:firstLineChars="450"/>
        <w:jc w:val="both"/>
        <w:rPr>
          <w:rFonts w:hint="eastAsia" w:ascii="宋体" w:hAnsi="宋体" w:cs="宋体"/>
          <w:sz w:val="28"/>
          <w:szCs w:val="28"/>
        </w:rPr>
      </w:pPr>
    </w:p>
    <w:p w14:paraId="4F3B2149">
      <w:pPr>
        <w:pStyle w:val="20"/>
        <w:ind w:left="0" w:leftChars="0" w:firstLine="1260" w:firstLineChars="450"/>
        <w:jc w:val="both"/>
        <w:rPr>
          <w:rFonts w:hint="eastAsia" w:ascii="宋体" w:hAnsi="宋体" w:cs="宋体"/>
          <w:sz w:val="28"/>
          <w:szCs w:val="28"/>
        </w:rPr>
      </w:pPr>
      <w:r>
        <w:rPr>
          <w:rFonts w:hint="eastAsia" w:ascii="宋体" w:hAnsi="宋体" w:cs="宋体"/>
          <w:sz w:val="28"/>
          <w:szCs w:val="28"/>
        </w:rPr>
        <w:t>合同编号:</w:t>
      </w:r>
      <w:r>
        <w:rPr>
          <w:rFonts w:hint="eastAsia" w:ascii="宋体" w:hAnsi="宋体" w:cs="宋体"/>
          <w:sz w:val="28"/>
          <w:szCs w:val="28"/>
          <w:u w:val="single"/>
        </w:rPr>
        <w:t xml:space="preserve">                              </w:t>
      </w:r>
      <w:r>
        <w:rPr>
          <w:rFonts w:hint="eastAsia" w:ascii="宋体" w:hAnsi="宋体" w:cs="宋体"/>
          <w:sz w:val="28"/>
          <w:szCs w:val="28"/>
        </w:rPr>
        <w:t>(系统编号)</w:t>
      </w:r>
    </w:p>
    <w:p w14:paraId="26AFEA26">
      <w:pPr>
        <w:pStyle w:val="14"/>
        <w:jc w:val="center"/>
        <w:rPr>
          <w:rFonts w:hint="eastAsia" w:ascii="宋体" w:hAnsi="宋体" w:cs="宋体"/>
          <w:sz w:val="28"/>
          <w:szCs w:val="28"/>
        </w:rPr>
      </w:pPr>
    </w:p>
    <w:p w14:paraId="135E93EB">
      <w:pPr>
        <w:pStyle w:val="14"/>
        <w:jc w:val="center"/>
        <w:rPr>
          <w:rFonts w:hint="eastAsia" w:ascii="宋体" w:hAnsi="宋体" w:cs="宋体"/>
          <w:sz w:val="28"/>
          <w:szCs w:val="28"/>
        </w:rPr>
      </w:pPr>
      <w:r>
        <w:rPr>
          <w:rFonts w:hint="eastAsia" w:ascii="宋体" w:hAnsi="宋体" w:cs="宋体"/>
          <w:sz w:val="28"/>
          <w:szCs w:val="28"/>
        </w:rPr>
        <w:t>(自编号，如有)</w:t>
      </w:r>
    </w:p>
    <w:p w14:paraId="054BFB8E">
      <w:pPr>
        <w:pStyle w:val="20"/>
        <w:ind w:left="0" w:leftChars="0" w:firstLine="1260" w:firstLineChars="450"/>
        <w:jc w:val="both"/>
        <w:rPr>
          <w:rFonts w:hint="eastAsia" w:ascii="宋体" w:hAnsi="宋体" w:cs="宋体"/>
          <w:sz w:val="28"/>
          <w:szCs w:val="28"/>
        </w:rPr>
      </w:pPr>
    </w:p>
    <w:p w14:paraId="70AAE36E">
      <w:pPr>
        <w:pStyle w:val="20"/>
        <w:ind w:left="0" w:leftChars="0" w:firstLine="1260" w:firstLineChars="450"/>
        <w:jc w:val="both"/>
        <w:rPr>
          <w:rFonts w:hint="eastAsia" w:ascii="宋体" w:hAnsi="宋体" w:cs="宋体"/>
          <w:sz w:val="28"/>
          <w:szCs w:val="28"/>
        </w:rPr>
      </w:pPr>
      <w:r>
        <w:rPr>
          <w:rFonts w:hint="eastAsia" w:ascii="宋体" w:hAnsi="宋体" w:cs="宋体"/>
          <w:sz w:val="28"/>
          <w:szCs w:val="28"/>
        </w:rPr>
        <w:t>甲方:</w:t>
      </w:r>
      <w:r>
        <w:rPr>
          <w:rFonts w:hint="eastAsia" w:ascii="宋体" w:hAnsi="宋体" w:cs="宋体"/>
          <w:sz w:val="28"/>
          <w:szCs w:val="28"/>
          <w:u w:val="single"/>
        </w:rPr>
        <w:t xml:space="preserve">                                    </w:t>
      </w:r>
    </w:p>
    <w:p w14:paraId="37012E39">
      <w:pPr>
        <w:pStyle w:val="14"/>
        <w:ind w:firstLine="1260" w:firstLineChars="450"/>
        <w:jc w:val="both"/>
        <w:rPr>
          <w:rFonts w:hint="eastAsia" w:ascii="宋体" w:hAnsi="宋体" w:cs="宋体"/>
          <w:sz w:val="28"/>
          <w:szCs w:val="28"/>
        </w:rPr>
      </w:pPr>
    </w:p>
    <w:p w14:paraId="555E8B51">
      <w:pPr>
        <w:pStyle w:val="14"/>
        <w:ind w:firstLine="1260" w:firstLineChars="450"/>
        <w:jc w:val="both"/>
        <w:rPr>
          <w:rFonts w:hint="eastAsia" w:ascii="宋体" w:hAnsi="宋体" w:cs="宋体"/>
          <w:sz w:val="28"/>
          <w:szCs w:val="28"/>
        </w:rPr>
      </w:pPr>
      <w:r>
        <w:rPr>
          <w:rFonts w:hint="eastAsia" w:ascii="宋体" w:hAnsi="宋体" w:cs="宋体"/>
          <w:sz w:val="28"/>
          <w:szCs w:val="28"/>
        </w:rPr>
        <w:t>乙方:</w:t>
      </w:r>
      <w:r>
        <w:rPr>
          <w:rFonts w:hint="eastAsia" w:ascii="宋体" w:hAnsi="宋体" w:cs="宋体"/>
          <w:sz w:val="28"/>
          <w:szCs w:val="28"/>
          <w:u w:val="single"/>
        </w:rPr>
        <w:t xml:space="preserve">                                    </w:t>
      </w:r>
    </w:p>
    <w:p w14:paraId="60C2DB54">
      <w:pPr>
        <w:pStyle w:val="14"/>
        <w:jc w:val="both"/>
        <w:rPr>
          <w:rFonts w:hint="eastAsia" w:ascii="宋体" w:hAnsi="宋体" w:cs="宋体"/>
          <w:sz w:val="24"/>
        </w:rPr>
      </w:pPr>
      <w:r>
        <w:rPr>
          <w:rFonts w:hint="eastAsia" w:ascii="宋体" w:hAnsi="宋体" w:cs="宋体"/>
        </w:rPr>
        <w:br w:type="page"/>
      </w:r>
      <w:r>
        <w:rPr>
          <w:rFonts w:hint="eastAsia" w:ascii="宋体" w:hAnsi="宋体" w:cs="宋体"/>
          <w:sz w:val="24"/>
        </w:rPr>
        <w:t>甲方（采购人公章）名 称：</w:t>
      </w:r>
    </w:p>
    <w:p w14:paraId="043975FE">
      <w:pPr>
        <w:pStyle w:val="14"/>
        <w:ind w:firstLine="2160" w:firstLineChars="900"/>
        <w:jc w:val="both"/>
        <w:rPr>
          <w:rFonts w:hint="eastAsia" w:ascii="宋体" w:hAnsi="宋体" w:cs="宋体"/>
          <w:sz w:val="24"/>
        </w:rPr>
      </w:pPr>
      <w:r>
        <w:rPr>
          <w:rFonts w:hint="eastAsia" w:ascii="宋体" w:hAnsi="宋体" w:cs="宋体"/>
          <w:sz w:val="24"/>
        </w:rPr>
        <w:t>地 址 ：</w:t>
      </w:r>
    </w:p>
    <w:p w14:paraId="1AFF5EE6">
      <w:pPr>
        <w:pStyle w:val="14"/>
        <w:ind w:firstLine="2160" w:firstLineChars="900"/>
        <w:jc w:val="both"/>
        <w:rPr>
          <w:rFonts w:hint="eastAsia" w:ascii="宋体" w:hAnsi="宋体" w:cs="宋体"/>
          <w:sz w:val="24"/>
        </w:rPr>
      </w:pPr>
      <w:r>
        <w:rPr>
          <w:rFonts w:hint="eastAsia" w:ascii="宋体" w:hAnsi="宋体" w:cs="宋体"/>
          <w:sz w:val="24"/>
        </w:rPr>
        <w:t>邮 编 ：</w:t>
      </w:r>
    </w:p>
    <w:p w14:paraId="74C2C3F0">
      <w:pPr>
        <w:pStyle w:val="14"/>
        <w:ind w:firstLine="2160" w:firstLineChars="900"/>
        <w:jc w:val="both"/>
        <w:rPr>
          <w:rFonts w:hint="eastAsia" w:ascii="宋体" w:hAnsi="宋体" w:cs="宋体"/>
          <w:sz w:val="24"/>
        </w:rPr>
      </w:pPr>
      <w:r>
        <w:rPr>
          <w:rFonts w:hint="eastAsia" w:ascii="宋体" w:hAnsi="宋体" w:cs="宋体"/>
          <w:sz w:val="24"/>
        </w:rPr>
        <w:t>法定代表人或委托代理人：</w:t>
      </w:r>
    </w:p>
    <w:p w14:paraId="7D6BC2DC">
      <w:pPr>
        <w:pStyle w:val="14"/>
        <w:ind w:firstLine="2160" w:firstLineChars="900"/>
        <w:jc w:val="both"/>
        <w:rPr>
          <w:rFonts w:hint="eastAsia" w:ascii="宋体" w:hAnsi="宋体" w:cs="宋体"/>
          <w:sz w:val="24"/>
        </w:rPr>
      </w:pPr>
      <w:r>
        <w:rPr>
          <w:rFonts w:hint="eastAsia" w:ascii="宋体" w:hAnsi="宋体" w:cs="宋体"/>
          <w:sz w:val="24"/>
        </w:rPr>
        <w:t>项目（技术）负责人：</w:t>
      </w:r>
    </w:p>
    <w:p w14:paraId="6FC13E7A">
      <w:pPr>
        <w:pStyle w:val="14"/>
        <w:ind w:firstLine="2160" w:firstLineChars="900"/>
        <w:jc w:val="both"/>
        <w:rPr>
          <w:rFonts w:hint="eastAsia" w:ascii="宋体" w:hAnsi="宋体" w:cs="宋体"/>
          <w:sz w:val="24"/>
        </w:rPr>
      </w:pPr>
      <w:r>
        <w:rPr>
          <w:rFonts w:hint="eastAsia" w:ascii="宋体" w:hAnsi="宋体" w:cs="宋体"/>
          <w:sz w:val="24"/>
        </w:rPr>
        <w:t>电 话：</w:t>
      </w:r>
    </w:p>
    <w:p w14:paraId="71A51D1E">
      <w:pPr>
        <w:pStyle w:val="14"/>
        <w:ind w:firstLine="2160" w:firstLineChars="900"/>
        <w:jc w:val="both"/>
        <w:rPr>
          <w:rFonts w:hint="eastAsia" w:ascii="宋体" w:hAnsi="宋体" w:cs="宋体"/>
          <w:sz w:val="24"/>
        </w:rPr>
      </w:pPr>
      <w:r>
        <w:rPr>
          <w:rFonts w:hint="eastAsia" w:ascii="宋体" w:hAnsi="宋体" w:cs="宋体"/>
          <w:sz w:val="24"/>
        </w:rPr>
        <w:t>签订日期：</w:t>
      </w:r>
    </w:p>
    <w:p w14:paraId="3F782B13">
      <w:pPr>
        <w:pStyle w:val="14"/>
        <w:jc w:val="both"/>
        <w:rPr>
          <w:rFonts w:hint="eastAsia" w:ascii="宋体" w:hAnsi="宋体" w:cs="宋体"/>
          <w:sz w:val="24"/>
        </w:rPr>
      </w:pPr>
    </w:p>
    <w:p w14:paraId="14637DC3">
      <w:pPr>
        <w:pStyle w:val="14"/>
        <w:jc w:val="both"/>
        <w:rPr>
          <w:rFonts w:hint="eastAsia" w:ascii="宋体" w:hAnsi="宋体" w:cs="宋体"/>
          <w:sz w:val="24"/>
        </w:rPr>
      </w:pPr>
    </w:p>
    <w:p w14:paraId="1B47729C">
      <w:pPr>
        <w:pStyle w:val="14"/>
        <w:jc w:val="both"/>
        <w:rPr>
          <w:rFonts w:hint="eastAsia" w:ascii="宋体" w:hAnsi="宋体" w:cs="宋体"/>
          <w:sz w:val="24"/>
        </w:rPr>
      </w:pPr>
      <w:r>
        <w:rPr>
          <w:rFonts w:hint="eastAsia" w:ascii="宋体" w:hAnsi="宋体" w:cs="宋体"/>
          <w:sz w:val="24"/>
        </w:rPr>
        <w:t>乙方（供应商公章）名 称：</w:t>
      </w:r>
    </w:p>
    <w:p w14:paraId="4BA799CE">
      <w:pPr>
        <w:pStyle w:val="14"/>
        <w:ind w:firstLine="2160" w:firstLineChars="900"/>
        <w:jc w:val="both"/>
        <w:rPr>
          <w:rFonts w:hint="eastAsia" w:ascii="宋体" w:hAnsi="宋体" w:cs="宋体"/>
          <w:sz w:val="24"/>
        </w:rPr>
      </w:pPr>
      <w:r>
        <w:rPr>
          <w:rFonts w:hint="eastAsia" w:ascii="宋体" w:hAnsi="宋体" w:cs="宋体"/>
          <w:sz w:val="24"/>
        </w:rPr>
        <w:t>地 址 ：</w:t>
      </w:r>
    </w:p>
    <w:p w14:paraId="061527CC">
      <w:pPr>
        <w:pStyle w:val="14"/>
        <w:ind w:firstLine="2160" w:firstLineChars="900"/>
        <w:jc w:val="both"/>
        <w:rPr>
          <w:rFonts w:hint="eastAsia" w:ascii="宋体" w:hAnsi="宋体" w:cs="宋体"/>
          <w:sz w:val="24"/>
        </w:rPr>
      </w:pPr>
      <w:r>
        <w:rPr>
          <w:rFonts w:hint="eastAsia" w:ascii="宋体" w:hAnsi="宋体" w:cs="宋体"/>
          <w:sz w:val="24"/>
        </w:rPr>
        <w:t>邮 编 ：</w:t>
      </w:r>
    </w:p>
    <w:p w14:paraId="394AFAF7">
      <w:pPr>
        <w:pStyle w:val="14"/>
        <w:ind w:firstLine="2160" w:firstLineChars="900"/>
        <w:jc w:val="both"/>
        <w:rPr>
          <w:rFonts w:hint="eastAsia" w:ascii="宋体" w:hAnsi="宋体" w:cs="宋体"/>
          <w:sz w:val="24"/>
        </w:rPr>
      </w:pPr>
      <w:r>
        <w:rPr>
          <w:rFonts w:hint="eastAsia" w:ascii="宋体" w:hAnsi="宋体" w:cs="宋体"/>
          <w:sz w:val="24"/>
        </w:rPr>
        <w:t>法定代表人或委托代理人：</w:t>
      </w:r>
    </w:p>
    <w:p w14:paraId="32B7FFFC">
      <w:pPr>
        <w:pStyle w:val="14"/>
        <w:ind w:firstLine="2160" w:firstLineChars="900"/>
        <w:jc w:val="both"/>
        <w:rPr>
          <w:rFonts w:hint="eastAsia" w:ascii="宋体" w:hAnsi="宋体" w:cs="宋体"/>
          <w:sz w:val="24"/>
        </w:rPr>
      </w:pPr>
      <w:r>
        <w:rPr>
          <w:rFonts w:hint="eastAsia" w:ascii="宋体" w:hAnsi="宋体" w:cs="宋体"/>
          <w:sz w:val="24"/>
        </w:rPr>
        <w:t>经 办 人：</w:t>
      </w:r>
    </w:p>
    <w:p w14:paraId="5DD97BA5">
      <w:pPr>
        <w:pStyle w:val="14"/>
        <w:ind w:firstLine="2160" w:firstLineChars="900"/>
        <w:jc w:val="both"/>
        <w:rPr>
          <w:rFonts w:hint="eastAsia" w:ascii="宋体" w:hAnsi="宋体" w:cs="宋体"/>
          <w:sz w:val="24"/>
        </w:rPr>
      </w:pPr>
      <w:r>
        <w:rPr>
          <w:rFonts w:hint="eastAsia" w:ascii="宋体" w:hAnsi="宋体" w:cs="宋体"/>
          <w:sz w:val="24"/>
        </w:rPr>
        <w:t>电 话 ：</w:t>
      </w:r>
    </w:p>
    <w:p w14:paraId="7DCB1BD7">
      <w:pPr>
        <w:pStyle w:val="14"/>
        <w:ind w:firstLine="2160" w:firstLineChars="900"/>
        <w:jc w:val="both"/>
        <w:rPr>
          <w:rFonts w:hint="eastAsia" w:ascii="宋体" w:hAnsi="宋体" w:cs="宋体"/>
          <w:sz w:val="24"/>
        </w:rPr>
      </w:pPr>
      <w:r>
        <w:rPr>
          <w:rFonts w:hint="eastAsia" w:ascii="宋体" w:hAnsi="宋体" w:cs="宋体"/>
          <w:sz w:val="24"/>
        </w:rPr>
        <w:t>签订日期：</w:t>
      </w:r>
    </w:p>
    <w:p w14:paraId="31B56112">
      <w:pPr>
        <w:pStyle w:val="14"/>
        <w:jc w:val="both"/>
        <w:rPr>
          <w:rFonts w:hint="eastAsia" w:ascii="宋体" w:hAnsi="宋体" w:cs="宋体"/>
          <w:sz w:val="24"/>
        </w:rPr>
      </w:pPr>
    </w:p>
    <w:p w14:paraId="571EF624">
      <w:pPr>
        <w:pStyle w:val="14"/>
        <w:jc w:val="both"/>
        <w:rPr>
          <w:rFonts w:hint="eastAsia" w:ascii="宋体" w:hAnsi="宋体" w:cs="宋体"/>
          <w:sz w:val="24"/>
        </w:rPr>
      </w:pPr>
    </w:p>
    <w:p w14:paraId="6BC2DD6A">
      <w:pPr>
        <w:spacing w:line="360" w:lineRule="auto"/>
        <w:jc w:val="center"/>
        <w:rPr>
          <w:rFonts w:hint="eastAsia" w:ascii="宋体" w:hAnsi="宋体" w:cs="宋体"/>
          <w:bCs/>
          <w:spacing w:val="2"/>
          <w:sz w:val="28"/>
          <w:szCs w:val="28"/>
        </w:rPr>
      </w:pPr>
      <w:r>
        <w:rPr>
          <w:rFonts w:hint="eastAsia" w:ascii="宋体" w:hAnsi="宋体" w:cs="宋体"/>
        </w:rPr>
        <w:br w:type="page"/>
      </w:r>
      <w:bookmarkStart w:id="352" w:name="_Toc126077896"/>
    </w:p>
    <w:bookmarkEnd w:id="352"/>
    <w:p w14:paraId="3EADCBF2">
      <w:pPr>
        <w:spacing w:line="360" w:lineRule="auto"/>
        <w:ind w:firstLine="480" w:firstLineChars="200"/>
        <w:rPr>
          <w:rFonts w:hint="eastAsia" w:ascii="宋体" w:hAnsi="宋体" w:cs="宋体"/>
          <w:sz w:val="24"/>
          <w:szCs w:val="24"/>
        </w:rPr>
      </w:pPr>
      <w:bookmarkStart w:id="353" w:name="_Toc21124"/>
      <w:bookmarkStart w:id="354" w:name="_Toc1386"/>
      <w:bookmarkStart w:id="355" w:name="_Toc4929"/>
      <w:bookmarkStart w:id="356" w:name="_Toc5635"/>
      <w:bookmarkStart w:id="357" w:name="_Toc13918"/>
      <w:r>
        <w:rPr>
          <w:rFonts w:hint="eastAsia" w:ascii="宋体" w:hAnsi="宋体" w:cs="宋体"/>
          <w:sz w:val="24"/>
          <w:szCs w:val="24"/>
        </w:rPr>
        <w:t>甲方：丽江市农业农村局</w:t>
      </w:r>
    </w:p>
    <w:p w14:paraId="58A68E19">
      <w:pPr>
        <w:spacing w:line="360" w:lineRule="auto"/>
        <w:ind w:firstLine="480" w:firstLineChars="200"/>
        <w:rPr>
          <w:rFonts w:hint="eastAsia" w:ascii="宋体" w:hAnsi="宋体" w:cs="宋体"/>
          <w:sz w:val="24"/>
          <w:szCs w:val="24"/>
          <w:u w:val="single"/>
        </w:rPr>
      </w:pPr>
      <w:r>
        <w:rPr>
          <w:rFonts w:hint="eastAsia" w:ascii="宋体" w:hAnsi="宋体" w:cs="宋体"/>
          <w:sz w:val="24"/>
          <w:szCs w:val="24"/>
        </w:rPr>
        <w:t>乙方：</w:t>
      </w:r>
      <w:r>
        <w:rPr>
          <w:rFonts w:hint="eastAsia" w:ascii="宋体" w:hAnsi="宋体" w:cs="宋体"/>
          <w:sz w:val="24"/>
          <w:szCs w:val="24"/>
          <w:u w:val="single"/>
        </w:rPr>
        <w:t xml:space="preserve">                </w:t>
      </w:r>
    </w:p>
    <w:p w14:paraId="49D267D4">
      <w:pPr>
        <w:pStyle w:val="10"/>
        <w:spacing w:line="360" w:lineRule="auto"/>
        <w:rPr>
          <w:rFonts w:hint="eastAsia" w:hAnsi="宋体" w:cs="宋体"/>
        </w:rPr>
      </w:pPr>
    </w:p>
    <w:p w14:paraId="65B3FAFB">
      <w:pPr>
        <w:spacing w:line="360" w:lineRule="auto"/>
        <w:ind w:firstLine="480" w:firstLineChars="200"/>
        <w:rPr>
          <w:rFonts w:hint="eastAsia" w:ascii="宋体" w:hAnsi="宋体" w:cs="宋体"/>
          <w:sz w:val="24"/>
          <w:szCs w:val="24"/>
        </w:rPr>
      </w:pPr>
      <w:r>
        <w:rPr>
          <w:rFonts w:hint="eastAsia" w:ascii="宋体" w:hAnsi="宋体" w:cs="宋体"/>
          <w:sz w:val="24"/>
          <w:szCs w:val="24"/>
        </w:rPr>
        <w:t>甲乙双方根据《中华人民共和国政府采购法》《中华人民共和国政府采购法实施条例》、《中华人民共和国民法典》的相关规定，双方就</w:t>
      </w:r>
      <w:r>
        <w:rPr>
          <w:rFonts w:hint="eastAsia" w:ascii="宋体" w:hAnsi="宋体" w:cs="宋体"/>
          <w:sz w:val="24"/>
          <w:szCs w:val="24"/>
          <w:lang w:eastAsia="zh-CN"/>
        </w:rPr>
        <w:t>丽江市农业农村局采购《丽江市中药材产业高质量发展规划2025-2030年》编制服务</w:t>
      </w:r>
      <w:r>
        <w:rPr>
          <w:rFonts w:hint="eastAsia" w:ascii="宋体" w:hAnsi="宋体" w:cs="宋体"/>
          <w:sz w:val="24"/>
          <w:szCs w:val="24"/>
        </w:rPr>
        <w:t>(项目编号：ZYZB-2025-034)的竞争性磋商结果，双方经过平等协商，在真实、充分地表达各自意愿的基础上，达成如下协议，并由双方共同遵守。</w:t>
      </w:r>
    </w:p>
    <w:p w14:paraId="02966D1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一、服务内容</w:t>
      </w:r>
    </w:p>
    <w:bookmarkEnd w:id="353"/>
    <w:bookmarkEnd w:id="354"/>
    <w:bookmarkEnd w:id="355"/>
    <w:bookmarkEnd w:id="356"/>
    <w:bookmarkEnd w:id="357"/>
    <w:p w14:paraId="04240465">
      <w:pPr>
        <w:pStyle w:val="14"/>
        <w:ind w:firstLine="484" w:firstLineChars="200"/>
        <w:rPr>
          <w:rFonts w:hint="eastAsia" w:ascii="宋体" w:hAnsi="宋体" w:cs="宋体"/>
          <w:spacing w:val="1"/>
          <w:sz w:val="24"/>
        </w:rPr>
      </w:pPr>
      <w:r>
        <w:rPr>
          <w:rFonts w:hint="eastAsia" w:ascii="宋体" w:hAnsi="宋体" w:cs="宋体"/>
          <w:spacing w:val="1"/>
          <w:sz w:val="24"/>
        </w:rPr>
        <w:t>详见采购需求</w:t>
      </w:r>
    </w:p>
    <w:p w14:paraId="38B599C0">
      <w:pPr>
        <w:pStyle w:val="14"/>
        <w:ind w:firstLine="482" w:firstLineChars="200"/>
        <w:rPr>
          <w:rFonts w:hint="eastAsia" w:ascii="宋体" w:hAnsi="宋体" w:cs="宋体"/>
          <w:b/>
          <w:bCs/>
          <w:sz w:val="24"/>
        </w:rPr>
      </w:pPr>
      <w:r>
        <w:rPr>
          <w:rFonts w:hint="eastAsia" w:ascii="宋体" w:hAnsi="宋体" w:cs="宋体"/>
          <w:b/>
          <w:bCs/>
          <w:sz w:val="24"/>
        </w:rPr>
        <w:t>二、服务要求</w:t>
      </w:r>
    </w:p>
    <w:p w14:paraId="18A6A3DE">
      <w:pPr>
        <w:pStyle w:val="14"/>
        <w:ind w:firstLine="484" w:firstLineChars="200"/>
        <w:rPr>
          <w:rFonts w:hint="eastAsia" w:ascii="宋体" w:hAnsi="宋体" w:cs="宋体"/>
          <w:spacing w:val="1"/>
          <w:sz w:val="24"/>
        </w:rPr>
      </w:pPr>
      <w:r>
        <w:rPr>
          <w:rFonts w:hint="eastAsia" w:ascii="宋体" w:hAnsi="宋体" w:cs="宋体"/>
          <w:spacing w:val="1"/>
          <w:sz w:val="24"/>
        </w:rPr>
        <w:t>详见采购需求</w:t>
      </w:r>
    </w:p>
    <w:p w14:paraId="6F4A1492">
      <w:pPr>
        <w:pStyle w:val="14"/>
        <w:ind w:firstLine="482" w:firstLineChars="200"/>
        <w:rPr>
          <w:rFonts w:hint="eastAsia" w:ascii="宋体" w:hAnsi="宋体" w:cs="宋体"/>
          <w:b/>
          <w:sz w:val="24"/>
        </w:rPr>
      </w:pPr>
      <w:r>
        <w:rPr>
          <w:rFonts w:hint="eastAsia" w:ascii="宋体" w:hAnsi="宋体" w:cs="宋体"/>
          <w:b/>
          <w:sz w:val="24"/>
        </w:rPr>
        <w:t>三、合同履行期限及服务地点</w:t>
      </w:r>
    </w:p>
    <w:p w14:paraId="655C68B9">
      <w:pPr>
        <w:pStyle w:val="14"/>
        <w:ind w:firstLine="480" w:firstLineChars="200"/>
        <w:rPr>
          <w:rFonts w:hint="eastAsia" w:ascii="宋体" w:hAnsi="宋体" w:cs="宋体"/>
          <w:sz w:val="24"/>
        </w:rPr>
      </w:pPr>
      <w:r>
        <w:rPr>
          <w:rFonts w:hint="eastAsia" w:ascii="宋体" w:hAnsi="宋体" w:cs="宋体"/>
          <w:sz w:val="24"/>
        </w:rPr>
        <w:t>1.合同履行期限：自合同签订之日起至规划通过评审验收止（总周期不超过</w:t>
      </w:r>
      <w:r>
        <w:rPr>
          <w:rFonts w:hint="eastAsia" w:ascii="宋体" w:hAnsi="宋体" w:cs="宋体"/>
          <w:sz w:val="24"/>
          <w:lang w:val="en-US" w:eastAsia="zh-CN"/>
        </w:rPr>
        <w:t>1.5</w:t>
      </w:r>
      <w:r>
        <w:rPr>
          <w:rFonts w:hint="eastAsia" w:ascii="宋体" w:hAnsi="宋体" w:cs="宋体"/>
          <w:sz w:val="24"/>
        </w:rPr>
        <w:t>个月）</w:t>
      </w:r>
    </w:p>
    <w:p w14:paraId="18B34E6D">
      <w:pPr>
        <w:pStyle w:val="14"/>
        <w:ind w:firstLine="480" w:firstLineChars="200"/>
        <w:rPr>
          <w:rFonts w:hint="eastAsia" w:ascii="宋体" w:hAnsi="宋体" w:cs="宋体"/>
          <w:sz w:val="24"/>
        </w:rPr>
      </w:pPr>
      <w:r>
        <w:rPr>
          <w:rFonts w:hint="eastAsia" w:ascii="宋体" w:hAnsi="宋体" w:cs="宋体"/>
          <w:sz w:val="24"/>
        </w:rPr>
        <w:t>2.服务地点：丽江市农业农村局指定地点（调研覆盖全市各县区）</w:t>
      </w:r>
    </w:p>
    <w:p w14:paraId="655C3E29">
      <w:pPr>
        <w:pStyle w:val="14"/>
        <w:numPr>
          <w:ilvl w:val="0"/>
          <w:numId w:val="3"/>
        </w:numPr>
        <w:ind w:firstLine="482" w:firstLineChars="200"/>
        <w:rPr>
          <w:rFonts w:hint="eastAsia" w:ascii="宋体" w:hAnsi="宋体" w:cs="宋体"/>
          <w:b/>
          <w:sz w:val="24"/>
        </w:rPr>
      </w:pPr>
      <w:r>
        <w:rPr>
          <w:rFonts w:hint="eastAsia" w:ascii="宋体" w:hAnsi="宋体" w:cs="宋体"/>
          <w:b/>
          <w:sz w:val="24"/>
        </w:rPr>
        <w:t>双方的权利和义务</w:t>
      </w:r>
    </w:p>
    <w:p w14:paraId="6510CF8D">
      <w:pPr>
        <w:spacing w:line="360" w:lineRule="auto"/>
        <w:ind w:firstLine="480" w:firstLineChars="200"/>
        <w:rPr>
          <w:rFonts w:hint="eastAsia" w:ascii="宋体" w:hAnsi="宋体" w:cs="宋体"/>
          <w:sz w:val="24"/>
          <w:szCs w:val="24"/>
        </w:rPr>
      </w:pPr>
      <w:r>
        <w:rPr>
          <w:rFonts w:hint="eastAsia" w:ascii="宋体" w:hAnsi="宋体" w:cs="宋体"/>
          <w:sz w:val="24"/>
          <w:szCs w:val="24"/>
        </w:rPr>
        <w:t>(一)甲方权利和义务</w:t>
      </w:r>
    </w:p>
    <w:p w14:paraId="4CE89B73">
      <w:pPr>
        <w:spacing w:line="360" w:lineRule="auto"/>
        <w:ind w:firstLine="480" w:firstLineChars="200"/>
        <w:rPr>
          <w:rFonts w:hint="eastAsia" w:ascii="宋体" w:hAnsi="宋体" w:cs="宋体"/>
          <w:sz w:val="24"/>
          <w:szCs w:val="24"/>
        </w:rPr>
      </w:pPr>
      <w:r>
        <w:rPr>
          <w:rFonts w:hint="eastAsia" w:ascii="宋体" w:hAnsi="宋体" w:cs="宋体"/>
          <w:sz w:val="24"/>
          <w:szCs w:val="24"/>
        </w:rPr>
        <w:t>1.为乙方进行服务工作提供必要条件，使乙方能正常接触与本项目有关的记录、文件和所需的其他信息及人员。</w:t>
      </w:r>
    </w:p>
    <w:p w14:paraId="6563CE08">
      <w:pPr>
        <w:spacing w:line="360" w:lineRule="auto"/>
        <w:ind w:firstLine="480" w:firstLineChars="200"/>
        <w:rPr>
          <w:rFonts w:hint="eastAsia" w:ascii="宋体" w:hAnsi="宋体" w:cs="宋体"/>
          <w:sz w:val="24"/>
          <w:szCs w:val="24"/>
        </w:rPr>
      </w:pPr>
      <w:r>
        <w:rPr>
          <w:rFonts w:hint="eastAsia" w:ascii="宋体" w:hAnsi="宋体" w:cs="宋体"/>
          <w:sz w:val="24"/>
          <w:szCs w:val="24"/>
        </w:rPr>
        <w:t>2.为乙方派出的有关工作人员提供必要的工作条件和协助。</w:t>
      </w:r>
    </w:p>
    <w:p w14:paraId="6BE5CACA">
      <w:pPr>
        <w:spacing w:line="360" w:lineRule="auto"/>
        <w:ind w:firstLine="480" w:firstLineChars="200"/>
        <w:rPr>
          <w:rFonts w:hint="eastAsia" w:ascii="宋体" w:hAnsi="宋体" w:cs="宋体"/>
          <w:sz w:val="24"/>
          <w:szCs w:val="24"/>
        </w:rPr>
      </w:pPr>
      <w:r>
        <w:rPr>
          <w:rFonts w:hint="eastAsia" w:ascii="宋体" w:hAnsi="宋体" w:cs="宋体"/>
          <w:sz w:val="24"/>
          <w:szCs w:val="24"/>
        </w:rPr>
        <w:t>3.甲方有权对乙方方案的制定、实施进展、工作人员的工作情况进行监督并提出意见和建议。乙方应按甲方的意见和建议及时调整或完善项目工作。</w:t>
      </w:r>
    </w:p>
    <w:p w14:paraId="164B1EE1">
      <w:pPr>
        <w:spacing w:line="360" w:lineRule="auto"/>
        <w:ind w:firstLine="480" w:firstLineChars="200"/>
        <w:rPr>
          <w:rFonts w:hint="eastAsia" w:ascii="宋体" w:hAnsi="宋体" w:cs="宋体"/>
          <w:sz w:val="24"/>
          <w:szCs w:val="24"/>
        </w:rPr>
      </w:pPr>
      <w:r>
        <w:rPr>
          <w:rFonts w:hint="eastAsia" w:ascii="宋体" w:hAnsi="宋体" w:cs="宋体"/>
          <w:sz w:val="24"/>
          <w:szCs w:val="24"/>
        </w:rPr>
        <w:t>4.乙方需变更项目实施方案的，应以书面形式向甲方申请并提出可替代方案，甲方将视情况决定是否同意变更。</w:t>
      </w:r>
    </w:p>
    <w:p w14:paraId="485946A7">
      <w:pPr>
        <w:spacing w:line="360" w:lineRule="auto"/>
        <w:ind w:firstLine="480" w:firstLineChars="200"/>
        <w:rPr>
          <w:rFonts w:hint="eastAsia" w:ascii="宋体" w:hAnsi="宋体" w:cs="宋体"/>
          <w:sz w:val="24"/>
          <w:szCs w:val="24"/>
        </w:rPr>
      </w:pPr>
      <w:r>
        <w:rPr>
          <w:rFonts w:hint="eastAsia" w:ascii="宋体" w:hAnsi="宋体" w:cs="宋体"/>
          <w:sz w:val="24"/>
          <w:szCs w:val="24"/>
        </w:rPr>
        <w:t>5.乙方违约将项目任务转委托、擅自减少工作人员、所派工作人员未能按要求实地参与，未依约尽职履行相关义务影响工作进度、未按时出具相关报告、在工作中违反国家法律法规等行为的，甲方有权扣减、拒付项目费用和中止委托合同，乙方还应承担损失赔偿责任。</w:t>
      </w:r>
    </w:p>
    <w:p w14:paraId="745EFB32">
      <w:pPr>
        <w:spacing w:line="360" w:lineRule="auto"/>
        <w:ind w:firstLine="480" w:firstLineChars="200"/>
        <w:rPr>
          <w:rFonts w:hint="eastAsia" w:ascii="宋体" w:hAnsi="宋体" w:cs="宋体"/>
          <w:sz w:val="24"/>
          <w:szCs w:val="24"/>
        </w:rPr>
      </w:pPr>
      <w:r>
        <w:rPr>
          <w:rFonts w:hint="eastAsia" w:ascii="宋体" w:hAnsi="宋体" w:cs="宋体"/>
          <w:sz w:val="24"/>
          <w:szCs w:val="24"/>
        </w:rPr>
        <w:t>6.审理乙方提供的资料及过程中形成相关档案。</w:t>
      </w:r>
    </w:p>
    <w:p w14:paraId="7D2E473C">
      <w:pPr>
        <w:spacing w:line="360" w:lineRule="auto"/>
        <w:ind w:firstLine="480" w:firstLineChars="200"/>
        <w:rPr>
          <w:rFonts w:hint="eastAsia" w:ascii="宋体" w:hAnsi="宋体" w:cs="宋体"/>
          <w:sz w:val="24"/>
          <w:szCs w:val="24"/>
        </w:rPr>
      </w:pPr>
      <w:r>
        <w:rPr>
          <w:rFonts w:hint="eastAsia" w:ascii="宋体" w:hAnsi="宋体" w:cs="宋体"/>
          <w:sz w:val="24"/>
          <w:szCs w:val="24"/>
        </w:rPr>
        <w:t>7.组织、检查、验收乙方开展的相关工作。</w:t>
      </w:r>
    </w:p>
    <w:p w14:paraId="6E46F28C">
      <w:pPr>
        <w:spacing w:line="360" w:lineRule="auto"/>
        <w:ind w:firstLine="480" w:firstLineChars="200"/>
        <w:rPr>
          <w:rFonts w:hint="eastAsia" w:ascii="宋体" w:hAnsi="宋体" w:cs="宋体"/>
          <w:sz w:val="24"/>
          <w:szCs w:val="24"/>
        </w:rPr>
      </w:pPr>
      <w:r>
        <w:rPr>
          <w:rFonts w:hint="eastAsia" w:ascii="宋体" w:hAnsi="宋体" w:cs="宋体"/>
          <w:sz w:val="24"/>
          <w:szCs w:val="24"/>
        </w:rPr>
        <w:t>8.按照本合同书的约定及时足额支付费用。</w:t>
      </w:r>
    </w:p>
    <w:p w14:paraId="25E232AA">
      <w:pPr>
        <w:spacing w:line="360" w:lineRule="auto"/>
        <w:ind w:firstLine="480" w:firstLineChars="200"/>
        <w:rPr>
          <w:rFonts w:hint="eastAsia" w:ascii="宋体" w:hAnsi="宋体" w:cs="宋体"/>
          <w:sz w:val="24"/>
          <w:szCs w:val="24"/>
        </w:rPr>
      </w:pPr>
      <w:r>
        <w:rPr>
          <w:rFonts w:hint="eastAsia" w:ascii="宋体" w:hAnsi="宋体" w:cs="宋体"/>
          <w:sz w:val="24"/>
          <w:szCs w:val="24"/>
        </w:rPr>
        <w:t>(二)乙方权利和义务</w:t>
      </w:r>
    </w:p>
    <w:p w14:paraId="45C17609">
      <w:pPr>
        <w:spacing w:line="360" w:lineRule="auto"/>
        <w:ind w:firstLine="480" w:firstLineChars="200"/>
        <w:rPr>
          <w:rFonts w:hint="eastAsia" w:ascii="宋体" w:hAnsi="宋体" w:cs="宋体"/>
          <w:sz w:val="24"/>
          <w:szCs w:val="24"/>
        </w:rPr>
      </w:pPr>
      <w:r>
        <w:rPr>
          <w:rFonts w:hint="eastAsia" w:ascii="宋体" w:hAnsi="宋体" w:cs="宋体"/>
          <w:sz w:val="24"/>
          <w:szCs w:val="24"/>
        </w:rPr>
        <w:t>1.乙方依约完成相关工作并经甲方认可工作成果后，有权要求甲方支付委托费用。</w:t>
      </w:r>
    </w:p>
    <w:p w14:paraId="7A277D0D">
      <w:pPr>
        <w:spacing w:line="360" w:lineRule="auto"/>
        <w:ind w:firstLine="480" w:firstLineChars="200"/>
        <w:rPr>
          <w:rFonts w:hint="eastAsia" w:ascii="宋体" w:hAnsi="宋体" w:cs="宋体"/>
          <w:sz w:val="24"/>
          <w:szCs w:val="24"/>
        </w:rPr>
      </w:pPr>
      <w:r>
        <w:rPr>
          <w:rFonts w:hint="eastAsia" w:ascii="宋体" w:hAnsi="宋体" w:cs="宋体"/>
          <w:sz w:val="24"/>
          <w:szCs w:val="24"/>
        </w:rPr>
        <w:t>2.乙方严格按照甲方委托要求开展项目工作；按时完成相关工作；项目人员要严格履行保密义务，做好保密工作。</w:t>
      </w:r>
    </w:p>
    <w:p w14:paraId="575901EB">
      <w:pPr>
        <w:spacing w:line="360" w:lineRule="auto"/>
        <w:ind w:firstLine="480" w:firstLineChars="200"/>
        <w:rPr>
          <w:rFonts w:hint="eastAsia" w:ascii="宋体" w:hAnsi="宋体" w:cs="宋体"/>
          <w:sz w:val="24"/>
          <w:szCs w:val="24"/>
        </w:rPr>
      </w:pPr>
      <w:r>
        <w:rPr>
          <w:rFonts w:hint="eastAsia" w:ascii="宋体" w:hAnsi="宋体" w:cs="宋体"/>
          <w:sz w:val="24"/>
          <w:szCs w:val="24"/>
        </w:rPr>
        <w:t>3.项目开展前，乙方应做好充分的准备，了解项目的基本情况，制定方案。</w:t>
      </w:r>
    </w:p>
    <w:p w14:paraId="5A51F087">
      <w:pPr>
        <w:spacing w:line="360" w:lineRule="auto"/>
        <w:ind w:firstLine="480" w:firstLineChars="200"/>
        <w:rPr>
          <w:rFonts w:hint="eastAsia" w:ascii="宋体" w:hAnsi="宋体" w:cs="宋体"/>
          <w:sz w:val="24"/>
          <w:szCs w:val="24"/>
        </w:rPr>
      </w:pPr>
      <w:r>
        <w:rPr>
          <w:rFonts w:hint="eastAsia" w:ascii="宋体" w:hAnsi="宋体" w:cs="宋体"/>
          <w:sz w:val="24"/>
          <w:szCs w:val="24"/>
        </w:rPr>
        <w:t>4.乙方在实施阶段，应独立完成相关工作，严禁以任何形式将业务再委托给其他机构。乙方项目组负责人按甲方的要求，负责向甲方汇报工作进展情况、下一步工作计划。</w:t>
      </w:r>
    </w:p>
    <w:p w14:paraId="1C9A003D">
      <w:pPr>
        <w:spacing w:line="360" w:lineRule="auto"/>
        <w:ind w:firstLine="480" w:firstLineChars="200"/>
        <w:rPr>
          <w:rFonts w:hint="eastAsia" w:ascii="宋体" w:hAnsi="宋体" w:cs="宋体"/>
          <w:sz w:val="24"/>
          <w:szCs w:val="24"/>
        </w:rPr>
      </w:pPr>
      <w:r>
        <w:rPr>
          <w:rFonts w:hint="eastAsia" w:ascii="宋体" w:hAnsi="宋体" w:cs="宋体"/>
          <w:sz w:val="24"/>
          <w:szCs w:val="24"/>
        </w:rPr>
        <w:t>5.乙方须根据项目情况成立项目组，指定项目负责人并根据项目内容及各节点要求，明确项目组中各成员的职责分工，统筹协调相关工作。乙方实际项目参与人员应与磋商响应文件中明确的拟派人员一致，未经甲方同意，不得擅自更换。工作中，若出现工作量、业务量较大时，乙方应按照甲方要求增派人手，在规定时限内完成任务。在委托期内，项目组成员必须严格按照甲方要求完成项目任务。</w:t>
      </w:r>
    </w:p>
    <w:p w14:paraId="74630C97">
      <w:pPr>
        <w:spacing w:line="360" w:lineRule="auto"/>
        <w:ind w:firstLine="480" w:firstLineChars="200"/>
        <w:rPr>
          <w:rFonts w:hint="eastAsia" w:ascii="宋体" w:hAnsi="宋体" w:cs="宋体"/>
          <w:sz w:val="24"/>
          <w:szCs w:val="24"/>
        </w:rPr>
      </w:pPr>
      <w:r>
        <w:rPr>
          <w:rFonts w:hint="eastAsia" w:ascii="宋体" w:hAnsi="宋体" w:cs="宋体"/>
          <w:sz w:val="24"/>
          <w:szCs w:val="24"/>
        </w:rPr>
        <w:t>6.收到相关意见反馈意见后，乙方应对反馈意见进行核实汇总，提出是否采纳反馈意见的具体意见。</w:t>
      </w:r>
    </w:p>
    <w:p w14:paraId="77E45F38">
      <w:pPr>
        <w:spacing w:line="360" w:lineRule="auto"/>
        <w:ind w:firstLine="480" w:firstLineChars="200"/>
        <w:rPr>
          <w:rFonts w:hint="eastAsia" w:ascii="宋体" w:hAnsi="宋体" w:cs="宋体"/>
          <w:sz w:val="24"/>
          <w:szCs w:val="24"/>
        </w:rPr>
      </w:pPr>
      <w:r>
        <w:rPr>
          <w:rFonts w:hint="eastAsia" w:ascii="宋体" w:hAnsi="宋体" w:cs="宋体"/>
          <w:sz w:val="24"/>
          <w:szCs w:val="24"/>
        </w:rPr>
        <w:t>7.乙方须严格履行保密要求，对在实地调研过程中获取的资料和信息保密，不得对外泄露。遵守职业道德规范，保持廉洁自律，不得向甲方谋取不正当利益，或另行达成业务约定以外的其它条件。</w:t>
      </w:r>
    </w:p>
    <w:p w14:paraId="43246385">
      <w:pPr>
        <w:spacing w:line="360" w:lineRule="auto"/>
        <w:ind w:firstLine="480" w:firstLineChars="200"/>
        <w:rPr>
          <w:rFonts w:hint="eastAsia" w:ascii="宋体" w:hAnsi="宋体" w:cs="宋体"/>
          <w:sz w:val="24"/>
          <w:szCs w:val="24"/>
        </w:rPr>
      </w:pPr>
      <w:r>
        <w:rPr>
          <w:rFonts w:hint="eastAsia" w:ascii="宋体" w:hAnsi="宋体" w:cs="宋体"/>
          <w:sz w:val="24"/>
          <w:szCs w:val="24"/>
        </w:rPr>
        <w:t>8.乙方积极与甲方相关处室充分沟通，在沟通中注意态度举止，避免因工作态度影响工作的开展。</w:t>
      </w:r>
    </w:p>
    <w:p w14:paraId="65AE250E">
      <w:pPr>
        <w:spacing w:line="360" w:lineRule="auto"/>
        <w:ind w:firstLine="480" w:firstLineChars="200"/>
        <w:rPr>
          <w:rFonts w:hint="eastAsia" w:ascii="宋体" w:hAnsi="宋体" w:cs="宋体"/>
          <w:sz w:val="24"/>
          <w:szCs w:val="24"/>
        </w:rPr>
      </w:pPr>
      <w:r>
        <w:rPr>
          <w:rFonts w:hint="eastAsia" w:ascii="宋体" w:hAnsi="宋体" w:cs="宋体"/>
          <w:sz w:val="24"/>
          <w:szCs w:val="24"/>
        </w:rPr>
        <w:t>9.乙方须对所采集的证据资料的合法性、完整性负责，并对报告的真实性、合法性、完整性负责。</w:t>
      </w:r>
    </w:p>
    <w:p w14:paraId="714EB322">
      <w:pPr>
        <w:spacing w:line="360" w:lineRule="auto"/>
        <w:ind w:firstLine="480" w:firstLineChars="200"/>
        <w:rPr>
          <w:rFonts w:hint="eastAsia" w:ascii="宋体" w:hAnsi="宋体" w:cs="宋体"/>
          <w:sz w:val="24"/>
          <w:szCs w:val="24"/>
        </w:rPr>
      </w:pPr>
      <w:r>
        <w:rPr>
          <w:rFonts w:hint="eastAsia" w:ascii="宋体" w:hAnsi="宋体" w:cs="宋体"/>
          <w:sz w:val="24"/>
          <w:szCs w:val="24"/>
        </w:rPr>
        <w:t>10.乙方应提供符合或高于响应文件实施方案全部要求的服务，且提供甲方财务部门需要的正式发票及附件。</w:t>
      </w:r>
    </w:p>
    <w:p w14:paraId="61753FED">
      <w:pPr>
        <w:spacing w:line="360" w:lineRule="auto"/>
        <w:ind w:firstLine="482" w:firstLineChars="200"/>
        <w:rPr>
          <w:rFonts w:hint="eastAsia" w:ascii="宋体" w:hAnsi="宋体" w:cs="宋体"/>
          <w:b/>
          <w:sz w:val="24"/>
          <w:szCs w:val="24"/>
        </w:rPr>
      </w:pPr>
      <w:r>
        <w:rPr>
          <w:rFonts w:hint="eastAsia" w:ascii="宋体" w:hAnsi="宋体" w:cs="宋体"/>
          <w:b/>
          <w:sz w:val="24"/>
          <w:szCs w:val="24"/>
        </w:rPr>
        <w:t>五、以上内容经甲方确认与乙方成交承诺情况一致,不得改变或放弃。</w:t>
      </w:r>
    </w:p>
    <w:p w14:paraId="007F0627">
      <w:pPr>
        <w:spacing w:line="360" w:lineRule="auto"/>
        <w:ind w:firstLine="480" w:firstLineChars="200"/>
        <w:rPr>
          <w:rFonts w:hint="eastAsia" w:ascii="宋体" w:hAnsi="宋体" w:cs="宋体"/>
          <w:sz w:val="24"/>
          <w:szCs w:val="24"/>
        </w:rPr>
      </w:pPr>
      <w:r>
        <w:rPr>
          <w:rFonts w:hint="eastAsia" w:ascii="宋体" w:hAnsi="宋体" w:cs="宋体"/>
          <w:sz w:val="24"/>
          <w:szCs w:val="24"/>
        </w:rPr>
        <w:t>乙方在采购有效期内,若发生单位资质变更、人员调整及人员资质变动等与乙方相关承诺不一致时,必须在5个工作日内书面告知甲方,甲方将视情况进行处理。</w:t>
      </w:r>
    </w:p>
    <w:p w14:paraId="59A2958E">
      <w:pPr>
        <w:spacing w:line="360" w:lineRule="auto"/>
        <w:ind w:firstLine="482" w:firstLineChars="200"/>
        <w:rPr>
          <w:rFonts w:hint="eastAsia" w:ascii="宋体" w:hAnsi="宋体" w:cs="宋体"/>
          <w:b/>
          <w:sz w:val="24"/>
          <w:szCs w:val="24"/>
        </w:rPr>
      </w:pPr>
      <w:r>
        <w:rPr>
          <w:rFonts w:hint="eastAsia" w:ascii="宋体" w:hAnsi="宋体" w:cs="宋体"/>
          <w:b/>
          <w:sz w:val="24"/>
          <w:szCs w:val="24"/>
        </w:rPr>
        <w:t>六、服务费及支付方式</w:t>
      </w:r>
    </w:p>
    <w:p w14:paraId="6D31F330">
      <w:pPr>
        <w:pStyle w:val="55"/>
        <w:spacing w:line="360" w:lineRule="auto"/>
        <w:ind w:firstLine="480" w:firstLineChars="200"/>
        <w:rPr>
          <w:rFonts w:hint="eastAsia" w:hAnsi="宋体" w:cs="宋体"/>
          <w:sz w:val="24"/>
          <w:szCs w:val="24"/>
        </w:rPr>
      </w:pPr>
      <w:r>
        <w:rPr>
          <w:rFonts w:hint="eastAsia" w:hAnsi="宋体" w:cs="宋体"/>
          <w:sz w:val="24"/>
          <w:szCs w:val="24"/>
        </w:rPr>
        <w:t>1．双方约定如下：</w:t>
      </w:r>
    </w:p>
    <w:p w14:paraId="2AA66EF1">
      <w:pPr>
        <w:pStyle w:val="55"/>
        <w:spacing w:line="360" w:lineRule="auto"/>
        <w:ind w:firstLine="480" w:firstLineChars="200"/>
        <w:rPr>
          <w:rFonts w:hint="eastAsia" w:hAnsi="宋体" w:cs="宋体"/>
          <w:sz w:val="24"/>
          <w:szCs w:val="24"/>
        </w:rPr>
      </w:pPr>
      <w:r>
        <w:rPr>
          <w:rFonts w:hint="eastAsia" w:hAnsi="宋体" w:cs="宋体"/>
          <w:sz w:val="24"/>
          <w:szCs w:val="24"/>
        </w:rPr>
        <w:t>本项目合同价格为人民币</w:t>
      </w:r>
      <w:bookmarkStart w:id="358" w:name="OLE_LINK117"/>
      <w:r>
        <w:rPr>
          <w:rFonts w:hint="eastAsia" w:hAnsi="宋体" w:cs="宋体"/>
          <w:sz w:val="24"/>
          <w:szCs w:val="24"/>
        </w:rPr>
        <w:t>：</w:t>
      </w:r>
      <w:r>
        <w:rPr>
          <w:rFonts w:hint="eastAsia" w:hAnsi="宋体" w:cs="宋体"/>
          <w:sz w:val="24"/>
          <w:szCs w:val="24"/>
          <w:u w:val="single"/>
        </w:rPr>
        <w:t xml:space="preserve">       </w:t>
      </w:r>
      <w:r>
        <w:rPr>
          <w:rFonts w:hint="eastAsia" w:hAnsi="宋体" w:cs="宋体"/>
          <w:sz w:val="24"/>
          <w:szCs w:val="24"/>
        </w:rPr>
        <w:t>元整</w:t>
      </w:r>
      <w:bookmarkEnd w:id="358"/>
      <w:r>
        <w:rPr>
          <w:rFonts w:hint="eastAsia" w:hAnsi="宋体" w:cs="宋体"/>
          <w:sz w:val="24"/>
          <w:szCs w:val="24"/>
        </w:rPr>
        <w:t>(¥</w:t>
      </w:r>
      <w:r>
        <w:rPr>
          <w:rFonts w:hint="eastAsia" w:hAnsi="宋体" w:cs="宋体"/>
          <w:sz w:val="24"/>
          <w:szCs w:val="24"/>
          <w:u w:val="single"/>
        </w:rPr>
        <w:t xml:space="preserve">      </w:t>
      </w:r>
      <w:r>
        <w:rPr>
          <w:rFonts w:hint="eastAsia" w:hAnsi="宋体" w:cs="宋体"/>
          <w:sz w:val="24"/>
          <w:szCs w:val="24"/>
        </w:rPr>
        <w:t>)。</w:t>
      </w:r>
    </w:p>
    <w:p w14:paraId="7352F96C">
      <w:pPr>
        <w:pStyle w:val="55"/>
        <w:spacing w:line="360" w:lineRule="auto"/>
        <w:ind w:firstLine="480" w:firstLineChars="200"/>
        <w:rPr>
          <w:rFonts w:hint="eastAsia" w:hAnsi="宋体" w:cs="宋体"/>
          <w:sz w:val="24"/>
          <w:szCs w:val="24"/>
        </w:rPr>
      </w:pPr>
      <w:r>
        <w:rPr>
          <w:rFonts w:hint="eastAsia" w:hAnsi="宋体" w:cs="宋体"/>
          <w:sz w:val="24"/>
          <w:szCs w:val="24"/>
        </w:rPr>
        <w:t>2．费用支付方式：</w:t>
      </w:r>
    </w:p>
    <w:p w14:paraId="19BE26A0">
      <w:pPr>
        <w:pStyle w:val="55"/>
        <w:spacing w:line="360" w:lineRule="auto"/>
        <w:ind w:firstLine="480" w:firstLineChars="200"/>
        <w:rPr>
          <w:rFonts w:hint="eastAsia" w:hAnsi="宋体" w:cs="宋体"/>
          <w:sz w:val="24"/>
          <w:szCs w:val="24"/>
        </w:rPr>
      </w:pPr>
      <w:r>
        <w:rPr>
          <w:rFonts w:hint="eastAsia" w:hAnsi="宋体" w:cs="宋体"/>
          <w:sz w:val="24"/>
          <w:szCs w:val="24"/>
        </w:rPr>
        <w:t>合同签订后，供应商按照采购人规定开具符合要求的发票，待甲方完成财务审批工作后支付合同总金额的   %(即人民币</w:t>
      </w:r>
      <w:r>
        <w:rPr>
          <w:rFonts w:hint="eastAsia" w:hAnsi="宋体" w:cs="宋体"/>
          <w:sz w:val="24"/>
          <w:szCs w:val="24"/>
          <w:u w:val="single"/>
        </w:rPr>
        <w:t xml:space="preserve">   </w:t>
      </w:r>
      <w:r>
        <w:rPr>
          <w:rFonts w:hint="eastAsia" w:hAnsi="宋体" w:cs="宋体"/>
          <w:sz w:val="24"/>
          <w:szCs w:val="24"/>
        </w:rPr>
        <w:t>元整(¥</w:t>
      </w:r>
      <w:r>
        <w:rPr>
          <w:rFonts w:hint="eastAsia" w:hAnsi="宋体" w:cs="宋体"/>
          <w:sz w:val="24"/>
          <w:szCs w:val="24"/>
          <w:u w:val="single"/>
        </w:rPr>
        <w:t xml:space="preserve">      </w:t>
      </w:r>
      <w:r>
        <w:rPr>
          <w:rFonts w:hint="eastAsia" w:hAnsi="宋体" w:cs="宋体"/>
          <w:sz w:val="24"/>
          <w:szCs w:val="24"/>
        </w:rPr>
        <w:t>))；剩余合同总金额的   %(即人民币</w:t>
      </w:r>
      <w:r>
        <w:rPr>
          <w:rFonts w:hint="eastAsia" w:hAnsi="宋体" w:cs="宋体"/>
          <w:sz w:val="24"/>
          <w:szCs w:val="24"/>
          <w:u w:val="single"/>
        </w:rPr>
        <w:t xml:space="preserve">   </w:t>
      </w:r>
      <w:r>
        <w:rPr>
          <w:rFonts w:hint="eastAsia" w:hAnsi="宋体" w:cs="宋体"/>
          <w:sz w:val="24"/>
          <w:szCs w:val="24"/>
        </w:rPr>
        <w:t>元整(¥</w:t>
      </w:r>
      <w:r>
        <w:rPr>
          <w:rFonts w:hint="eastAsia" w:hAnsi="宋体" w:cs="宋体"/>
          <w:sz w:val="24"/>
          <w:szCs w:val="24"/>
          <w:u w:val="single"/>
        </w:rPr>
        <w:t xml:space="preserve">      </w:t>
      </w:r>
      <w:r>
        <w:rPr>
          <w:rFonts w:hint="eastAsia" w:hAnsi="宋体" w:cs="宋体"/>
          <w:sz w:val="24"/>
          <w:szCs w:val="24"/>
        </w:rPr>
        <w:t>))待项目一次性验收通过后由甲方支付。</w:t>
      </w:r>
    </w:p>
    <w:p w14:paraId="46D18304">
      <w:pPr>
        <w:pStyle w:val="55"/>
        <w:spacing w:line="360" w:lineRule="auto"/>
        <w:ind w:firstLine="480" w:firstLineChars="200"/>
        <w:rPr>
          <w:rFonts w:hint="eastAsia" w:hAnsi="宋体" w:cs="宋体"/>
          <w:sz w:val="24"/>
          <w:szCs w:val="24"/>
        </w:rPr>
      </w:pPr>
      <w:r>
        <w:rPr>
          <w:rFonts w:hint="eastAsia" w:hAnsi="宋体" w:cs="宋体"/>
          <w:sz w:val="24"/>
          <w:szCs w:val="24"/>
        </w:rPr>
        <w:t>3．支付方式：转账或电汇</w:t>
      </w:r>
    </w:p>
    <w:p w14:paraId="018A477B">
      <w:pPr>
        <w:pStyle w:val="55"/>
        <w:spacing w:line="360" w:lineRule="auto"/>
        <w:ind w:firstLine="480" w:firstLineChars="200"/>
        <w:rPr>
          <w:rFonts w:hint="eastAsia" w:hAnsi="宋体" w:cs="宋体"/>
          <w:sz w:val="24"/>
          <w:szCs w:val="24"/>
        </w:rPr>
      </w:pPr>
      <w:r>
        <w:rPr>
          <w:rFonts w:hint="eastAsia" w:hAnsi="宋体" w:cs="宋体"/>
          <w:sz w:val="24"/>
          <w:szCs w:val="24"/>
        </w:rPr>
        <w:t>4．乙方指定按以下账户名称、开户银行和账号进行结算和支付：</w:t>
      </w:r>
    </w:p>
    <w:p w14:paraId="3B9B4F1F">
      <w:pPr>
        <w:pStyle w:val="55"/>
        <w:spacing w:line="360" w:lineRule="auto"/>
        <w:ind w:firstLine="480" w:firstLineChars="200"/>
        <w:rPr>
          <w:rFonts w:hint="eastAsia" w:hAnsi="宋体" w:cs="宋体"/>
          <w:sz w:val="24"/>
          <w:szCs w:val="24"/>
        </w:rPr>
      </w:pPr>
      <w:r>
        <w:rPr>
          <w:rFonts w:hint="eastAsia" w:hAnsi="宋体" w:cs="宋体"/>
          <w:sz w:val="24"/>
          <w:szCs w:val="24"/>
        </w:rPr>
        <w:t>开户名称：</w:t>
      </w:r>
    </w:p>
    <w:p w14:paraId="03C720D2">
      <w:pPr>
        <w:pStyle w:val="55"/>
        <w:spacing w:line="360" w:lineRule="auto"/>
        <w:ind w:firstLine="480" w:firstLineChars="200"/>
        <w:rPr>
          <w:rFonts w:hint="eastAsia" w:hAnsi="宋体" w:cs="宋体"/>
          <w:sz w:val="24"/>
          <w:szCs w:val="24"/>
        </w:rPr>
      </w:pPr>
      <w:r>
        <w:rPr>
          <w:rFonts w:hint="eastAsia" w:hAnsi="宋体" w:cs="宋体"/>
          <w:sz w:val="24"/>
          <w:szCs w:val="24"/>
        </w:rPr>
        <w:t>开户银行：</w:t>
      </w:r>
    </w:p>
    <w:p w14:paraId="7196938A">
      <w:pPr>
        <w:pStyle w:val="55"/>
        <w:spacing w:line="360" w:lineRule="auto"/>
        <w:ind w:firstLine="480" w:firstLineChars="200"/>
        <w:rPr>
          <w:rFonts w:hint="eastAsia" w:hAnsi="宋体" w:cs="宋体"/>
          <w:sz w:val="24"/>
          <w:szCs w:val="24"/>
        </w:rPr>
      </w:pPr>
      <w:r>
        <w:rPr>
          <w:rFonts w:hint="eastAsia" w:hAnsi="宋体" w:cs="宋体"/>
          <w:sz w:val="24"/>
          <w:szCs w:val="24"/>
        </w:rPr>
        <w:t>账    号：</w:t>
      </w:r>
    </w:p>
    <w:p w14:paraId="59377CBE">
      <w:pPr>
        <w:pStyle w:val="55"/>
        <w:spacing w:line="360" w:lineRule="auto"/>
        <w:ind w:firstLine="480" w:firstLineChars="200"/>
        <w:rPr>
          <w:rFonts w:hint="eastAsia" w:hAnsi="宋体" w:cs="宋体"/>
          <w:sz w:val="24"/>
          <w:szCs w:val="24"/>
        </w:rPr>
      </w:pPr>
      <w:r>
        <w:rPr>
          <w:rFonts w:hint="eastAsia" w:hAnsi="宋体" w:cs="宋体"/>
          <w:sz w:val="24"/>
          <w:szCs w:val="24"/>
        </w:rPr>
        <w:t>5．乙方账户名称，开户银行和银行账号均以本合同提供的为准，如有变更，变更一方应在合同规定的相关付款期限截止前10个工作日内，以法定代表人或其授权代表签字、加盖单位公章和财务专用章的书面文件通知另一方。</w:t>
      </w:r>
    </w:p>
    <w:p w14:paraId="5CD4150E">
      <w:pPr>
        <w:spacing w:line="360" w:lineRule="auto"/>
        <w:ind w:firstLine="480" w:firstLineChars="200"/>
        <w:rPr>
          <w:rFonts w:hint="eastAsia" w:ascii="宋体" w:hAnsi="宋体" w:cs="宋体"/>
          <w:sz w:val="24"/>
          <w:szCs w:val="24"/>
        </w:rPr>
      </w:pPr>
      <w:r>
        <w:rPr>
          <w:rFonts w:hint="eastAsia" w:ascii="宋体" w:hAnsi="宋体" w:cs="宋体"/>
          <w:sz w:val="24"/>
          <w:szCs w:val="24"/>
        </w:rPr>
        <w:t>6．开票要求：乙方根据甲方要求开具符合国家规定的发票。</w:t>
      </w:r>
    </w:p>
    <w:p w14:paraId="520B65CD">
      <w:pPr>
        <w:spacing w:line="360" w:lineRule="auto"/>
        <w:ind w:firstLine="482" w:firstLineChars="200"/>
        <w:rPr>
          <w:rFonts w:hint="eastAsia" w:ascii="宋体" w:hAnsi="宋体" w:cs="宋体"/>
          <w:b/>
          <w:sz w:val="24"/>
          <w:szCs w:val="24"/>
        </w:rPr>
      </w:pPr>
      <w:r>
        <w:rPr>
          <w:rFonts w:hint="eastAsia" w:ascii="宋体" w:hAnsi="宋体" w:cs="宋体"/>
          <w:b/>
          <w:sz w:val="24"/>
          <w:szCs w:val="24"/>
        </w:rPr>
        <w:t>七、质量要求及验收标准</w:t>
      </w:r>
    </w:p>
    <w:p w14:paraId="69A03307">
      <w:pPr>
        <w:kinsoku w:val="0"/>
        <w:autoSpaceDE w:val="0"/>
        <w:autoSpaceDN w:val="0"/>
        <w:adjustRightInd w:val="0"/>
        <w:snapToGrid w:val="0"/>
        <w:spacing w:line="360" w:lineRule="auto"/>
        <w:ind w:firstLine="480" w:firstLineChars="200"/>
        <w:textAlignment w:val="baseline"/>
        <w:rPr>
          <w:rFonts w:hint="eastAsia" w:ascii="宋体" w:hAnsi="宋体" w:cs="宋体"/>
        </w:rPr>
      </w:pPr>
      <w:r>
        <w:rPr>
          <w:rFonts w:hint="eastAsia" w:ascii="宋体" w:hAnsi="宋体" w:cs="宋体"/>
          <w:sz w:val="24"/>
          <w:szCs w:val="24"/>
        </w:rPr>
        <w:t>1.质量要求：</w:t>
      </w:r>
      <w:r>
        <w:rPr>
          <w:rFonts w:hint="eastAsia" w:ascii="宋体" w:hAnsi="宋体" w:cs="宋体"/>
          <w:snapToGrid w:val="0"/>
          <w:color w:val="000000"/>
          <w:sz w:val="24"/>
        </w:rPr>
        <w:t>咨询服务的各类文档信息、会议信息及数据信息，供应商需制定详细的信息安全管理及保障措施，确保所有信息的安全及保密性。</w:t>
      </w:r>
    </w:p>
    <w:p w14:paraId="4BCC8C30">
      <w:pPr>
        <w:pStyle w:val="64"/>
        <w:adjustRightInd w:val="0"/>
        <w:snapToGrid w:val="0"/>
        <w:spacing w:before="0" w:beforeAutospacing="0" w:after="0" w:afterAutospacing="0" w:line="360" w:lineRule="auto"/>
        <w:ind w:left="0" w:firstLine="480" w:firstLineChars="200"/>
        <w:rPr>
          <w:rFonts w:hint="eastAsia" w:ascii="宋体" w:hAnsi="宋体" w:cs="宋体"/>
          <w:color w:val="auto"/>
          <w:sz w:val="24"/>
          <w:szCs w:val="24"/>
        </w:rPr>
      </w:pPr>
      <w:r>
        <w:rPr>
          <w:rFonts w:hint="eastAsia" w:ascii="宋体" w:hAnsi="宋体" w:cs="宋体"/>
          <w:color w:val="auto"/>
          <w:sz w:val="24"/>
          <w:szCs w:val="24"/>
        </w:rPr>
        <w:t>2.验收标准：按照双方签订的合同完成双方约定的工作内容，同时达到采购人要求的工作质量，最终成果资料通过审批及专家评审。</w:t>
      </w:r>
    </w:p>
    <w:p w14:paraId="7386BD7E">
      <w:pPr>
        <w:pStyle w:val="64"/>
        <w:adjustRightInd w:val="0"/>
        <w:snapToGrid w:val="0"/>
        <w:spacing w:before="0" w:beforeAutospacing="0" w:after="0" w:afterAutospacing="0" w:line="360" w:lineRule="auto"/>
        <w:ind w:left="0" w:firstLine="480" w:firstLineChars="200"/>
        <w:rPr>
          <w:rFonts w:hint="eastAsia" w:ascii="宋体" w:hAnsi="宋体" w:cs="宋体"/>
          <w:color w:val="auto"/>
          <w:sz w:val="24"/>
          <w:szCs w:val="24"/>
        </w:rPr>
      </w:pPr>
      <w:r>
        <w:rPr>
          <w:rFonts w:hint="eastAsia" w:ascii="宋体" w:hAnsi="宋体" w:cs="宋体"/>
          <w:color w:val="auto"/>
          <w:sz w:val="24"/>
          <w:szCs w:val="24"/>
        </w:rPr>
        <w:t>2.1供应商按照本项目约定内容和要求提供服务，必须达到本项目要求的项目目标才能验收，验收资料及标准按照采购人相关管理要求提交。</w:t>
      </w:r>
    </w:p>
    <w:p w14:paraId="379C3DC9">
      <w:pPr>
        <w:tabs>
          <w:tab w:val="left" w:pos="900"/>
          <w:tab w:val="left" w:pos="1588"/>
        </w:tabs>
        <w:spacing w:line="360" w:lineRule="auto"/>
        <w:ind w:left="420" w:leftChars="200"/>
        <w:rPr>
          <w:rFonts w:hint="eastAsia" w:ascii="宋体" w:hAnsi="宋体" w:cs="宋体"/>
          <w:sz w:val="24"/>
          <w:szCs w:val="24"/>
        </w:rPr>
      </w:pPr>
      <w:r>
        <w:rPr>
          <w:rFonts w:hint="eastAsia" w:ascii="宋体" w:hAnsi="宋体" w:cs="宋体"/>
          <w:sz w:val="24"/>
          <w:szCs w:val="24"/>
        </w:rPr>
        <w:t>2.2 验收方法</w:t>
      </w:r>
    </w:p>
    <w:p w14:paraId="1EA71F42">
      <w:pPr>
        <w:pStyle w:val="64"/>
        <w:adjustRightInd w:val="0"/>
        <w:snapToGrid w:val="0"/>
        <w:spacing w:before="0" w:beforeAutospacing="0" w:after="0" w:afterAutospacing="0" w:line="360" w:lineRule="auto"/>
        <w:ind w:left="0" w:firstLine="480" w:firstLineChars="200"/>
        <w:rPr>
          <w:rFonts w:hint="eastAsia" w:ascii="宋体" w:hAnsi="宋体" w:cs="宋体"/>
          <w:color w:val="auto"/>
          <w:sz w:val="24"/>
          <w:szCs w:val="24"/>
        </w:rPr>
      </w:pPr>
      <w:r>
        <w:rPr>
          <w:rFonts w:hint="eastAsia" w:ascii="宋体" w:hAnsi="宋体" w:cs="宋体"/>
          <w:color w:val="auto"/>
          <w:sz w:val="24"/>
          <w:szCs w:val="24"/>
        </w:rPr>
        <w:t>供应商以书面方式向采购人提出验收申请，采购人在接到供应商验收申请后组织对供应商提交的资料进行审核，并组织开展验收，项目验收时产生的相关费用由供应商负责。</w:t>
      </w:r>
    </w:p>
    <w:p w14:paraId="10888CD7">
      <w:pPr>
        <w:spacing w:line="360" w:lineRule="auto"/>
        <w:ind w:firstLine="482" w:firstLineChars="200"/>
        <w:rPr>
          <w:rFonts w:hint="eastAsia" w:ascii="宋体" w:hAnsi="宋体" w:cs="宋体"/>
          <w:b/>
          <w:sz w:val="24"/>
          <w:szCs w:val="24"/>
        </w:rPr>
      </w:pPr>
      <w:r>
        <w:rPr>
          <w:rFonts w:hint="eastAsia" w:ascii="宋体" w:hAnsi="宋体" w:cs="宋体"/>
          <w:b/>
          <w:sz w:val="24"/>
          <w:szCs w:val="24"/>
        </w:rPr>
        <w:t>八、服务的变更</w:t>
      </w:r>
    </w:p>
    <w:p w14:paraId="3CBA4497">
      <w:pPr>
        <w:spacing w:line="360" w:lineRule="auto"/>
        <w:ind w:firstLine="480" w:firstLineChars="200"/>
        <w:rPr>
          <w:rFonts w:hint="eastAsia" w:ascii="宋体" w:hAnsi="宋体" w:cs="宋体"/>
          <w:sz w:val="24"/>
          <w:szCs w:val="24"/>
        </w:rPr>
      </w:pPr>
      <w:r>
        <w:rPr>
          <w:rFonts w:hint="eastAsia" w:ascii="宋体" w:hAnsi="宋体" w:cs="宋体"/>
          <w:sz w:val="24"/>
          <w:szCs w:val="24"/>
        </w:rPr>
        <w:t>如果出现不可预见的情况,影响</w:t>
      </w:r>
      <w:r>
        <w:rPr>
          <w:rFonts w:hint="eastAsia" w:ascii="宋体" w:hAnsi="宋体" w:cs="宋体"/>
          <w:sz w:val="24"/>
          <w:szCs w:val="24"/>
          <w:lang w:eastAsia="zh-CN"/>
        </w:rPr>
        <w:t>丽江市农业农村局采购《丽江市中药材产业高质量发展规划2025-2030年》编制服务</w:t>
      </w:r>
      <w:r>
        <w:rPr>
          <w:rFonts w:hint="eastAsia" w:ascii="宋体" w:hAnsi="宋体" w:cs="宋体"/>
          <w:sz w:val="24"/>
          <w:szCs w:val="24"/>
        </w:rPr>
        <w:t>项目工作的如期完成,甲、乙双方均可要求变更约定事项,但应及时通知对方,并由双方协商解决。</w:t>
      </w:r>
    </w:p>
    <w:p w14:paraId="727003AD">
      <w:pPr>
        <w:spacing w:line="360" w:lineRule="auto"/>
        <w:ind w:firstLine="482" w:firstLineChars="200"/>
        <w:rPr>
          <w:rFonts w:hint="eastAsia" w:ascii="宋体" w:hAnsi="宋体" w:cs="宋体"/>
          <w:b/>
          <w:sz w:val="24"/>
          <w:szCs w:val="24"/>
        </w:rPr>
      </w:pPr>
      <w:r>
        <w:rPr>
          <w:rFonts w:hint="eastAsia" w:ascii="宋体" w:hAnsi="宋体" w:cs="宋体"/>
          <w:b/>
          <w:sz w:val="24"/>
          <w:szCs w:val="24"/>
        </w:rPr>
        <w:t>九、违约责任</w:t>
      </w:r>
    </w:p>
    <w:p w14:paraId="5EA23495">
      <w:pPr>
        <w:spacing w:line="360" w:lineRule="auto"/>
        <w:ind w:firstLine="480" w:firstLineChars="200"/>
        <w:rPr>
          <w:rFonts w:hint="eastAsia" w:ascii="宋体" w:hAnsi="宋体" w:cs="宋体"/>
          <w:sz w:val="24"/>
          <w:szCs w:val="24"/>
        </w:rPr>
      </w:pPr>
      <w:r>
        <w:rPr>
          <w:rFonts w:hint="eastAsia" w:ascii="宋体" w:hAnsi="宋体" w:cs="宋体"/>
          <w:sz w:val="24"/>
          <w:szCs w:val="24"/>
        </w:rPr>
        <w:t>1.未经双方同意,任何一方不得随意终止该合同,如有违约,违约方应向另一方支付本合同总金额10%的违约金。</w:t>
      </w:r>
    </w:p>
    <w:p w14:paraId="7E94B6A7">
      <w:pPr>
        <w:spacing w:line="360" w:lineRule="auto"/>
        <w:ind w:firstLine="480" w:firstLineChars="200"/>
        <w:rPr>
          <w:rFonts w:hint="eastAsia" w:ascii="宋体" w:hAnsi="宋体" w:cs="宋体"/>
          <w:sz w:val="24"/>
          <w:szCs w:val="24"/>
        </w:rPr>
      </w:pPr>
      <w:r>
        <w:rPr>
          <w:rFonts w:hint="eastAsia" w:ascii="宋体" w:hAnsi="宋体" w:cs="宋体"/>
          <w:sz w:val="24"/>
          <w:szCs w:val="24"/>
        </w:rPr>
        <w:t>2.乙方在完成服务业务中,若因提供的服务成果失真或违反国家法律、规章及合同条款,服务质量出现严重问题或造成不良影响及严重后果的,应承担相应的违约责任和法律责任。除退赔已支付的费用外,涉及法律问题的,依法追究有关当事人的法律责任；同时甲方有权终止合同,并上报政府采购监督管理部门。</w:t>
      </w:r>
    </w:p>
    <w:p w14:paraId="54F3F4C0">
      <w:pPr>
        <w:spacing w:line="360" w:lineRule="auto"/>
        <w:ind w:firstLine="480" w:firstLineChars="200"/>
        <w:rPr>
          <w:rFonts w:hint="eastAsia" w:ascii="宋体" w:hAnsi="宋体" w:cs="宋体"/>
          <w:sz w:val="24"/>
          <w:szCs w:val="24"/>
        </w:rPr>
      </w:pPr>
      <w:r>
        <w:rPr>
          <w:rFonts w:hint="eastAsia" w:ascii="宋体" w:hAnsi="宋体" w:cs="宋体"/>
          <w:sz w:val="24"/>
          <w:szCs w:val="24"/>
        </w:rPr>
        <w:t>3.甲方违反本合同约定的义务,致使乙方不能完成服务内容和标准的,甲方承担不超出合同约定价款的经济损失。</w:t>
      </w:r>
    </w:p>
    <w:p w14:paraId="61638534">
      <w:pPr>
        <w:spacing w:line="360" w:lineRule="auto"/>
        <w:ind w:firstLine="480" w:firstLineChars="200"/>
        <w:rPr>
          <w:rFonts w:hint="eastAsia" w:ascii="宋体" w:hAnsi="宋体" w:cs="宋体"/>
          <w:sz w:val="24"/>
          <w:szCs w:val="24"/>
        </w:rPr>
      </w:pPr>
      <w:r>
        <w:rPr>
          <w:rFonts w:hint="eastAsia" w:ascii="宋体" w:hAnsi="宋体" w:cs="宋体"/>
          <w:sz w:val="24"/>
          <w:szCs w:val="24"/>
        </w:rPr>
        <w:t>4.甲方应按时向乙方支付合同价款，每逾期一天乙方有权要求甲方支付100元/天的违约金，上限为500元。</w:t>
      </w:r>
    </w:p>
    <w:p w14:paraId="5A5DDFF9">
      <w:pPr>
        <w:spacing w:line="360" w:lineRule="auto"/>
        <w:ind w:firstLine="482" w:firstLineChars="200"/>
        <w:rPr>
          <w:rFonts w:hint="eastAsia" w:ascii="宋体" w:hAnsi="宋体" w:cs="宋体"/>
          <w:b/>
          <w:sz w:val="24"/>
          <w:szCs w:val="24"/>
        </w:rPr>
      </w:pPr>
      <w:r>
        <w:rPr>
          <w:rFonts w:hint="eastAsia" w:ascii="宋体" w:hAnsi="宋体" w:cs="宋体"/>
          <w:b/>
          <w:sz w:val="24"/>
          <w:szCs w:val="24"/>
        </w:rPr>
        <w:t>十、不可抗力造成的迟延</w:t>
      </w:r>
    </w:p>
    <w:p w14:paraId="5A3617D2">
      <w:pPr>
        <w:spacing w:line="360" w:lineRule="auto"/>
        <w:ind w:firstLine="480" w:firstLineChars="200"/>
        <w:rPr>
          <w:rFonts w:hint="eastAsia" w:ascii="宋体" w:hAnsi="宋体" w:cs="宋体"/>
          <w:sz w:val="24"/>
          <w:szCs w:val="24"/>
        </w:rPr>
      </w:pPr>
      <w:r>
        <w:rPr>
          <w:rFonts w:hint="eastAsia" w:ascii="宋体" w:hAnsi="宋体" w:cs="宋体"/>
          <w:sz w:val="24"/>
          <w:szCs w:val="24"/>
        </w:rPr>
        <w:t>凡因不可抗力或不可预见的情况导致不能如期履行的,任何一方均不视为违反本合同,均不承担赔偿责任。只要该方在努力消除损害,且在发生不可抗力后2日内,将不可抗力事实与可能造成的损害通知对方。</w:t>
      </w:r>
    </w:p>
    <w:p w14:paraId="3F193ECF">
      <w:pPr>
        <w:spacing w:line="360" w:lineRule="auto"/>
        <w:ind w:firstLine="482" w:firstLineChars="200"/>
        <w:rPr>
          <w:rFonts w:hint="eastAsia" w:ascii="宋体" w:hAnsi="宋体" w:cs="宋体"/>
          <w:b/>
          <w:sz w:val="24"/>
          <w:szCs w:val="24"/>
        </w:rPr>
      </w:pPr>
      <w:r>
        <w:rPr>
          <w:rFonts w:hint="eastAsia" w:ascii="宋体" w:hAnsi="宋体" w:cs="宋体"/>
          <w:b/>
          <w:sz w:val="24"/>
          <w:szCs w:val="24"/>
        </w:rPr>
        <w:t>十一、争议解决办法</w:t>
      </w:r>
    </w:p>
    <w:p w14:paraId="4FB3162A">
      <w:pPr>
        <w:spacing w:line="360" w:lineRule="auto"/>
        <w:ind w:firstLine="480" w:firstLineChars="200"/>
        <w:rPr>
          <w:rFonts w:hint="eastAsia" w:ascii="宋体" w:hAnsi="宋体" w:cs="宋体"/>
          <w:sz w:val="24"/>
          <w:szCs w:val="24"/>
        </w:rPr>
      </w:pPr>
      <w:r>
        <w:rPr>
          <w:rFonts w:hint="eastAsia" w:ascii="宋体" w:hAnsi="宋体" w:cs="宋体"/>
          <w:sz w:val="24"/>
          <w:szCs w:val="24"/>
        </w:rPr>
        <w:t>1.甲乙双方友好协商达成一致。</w:t>
      </w:r>
    </w:p>
    <w:p w14:paraId="49EA9034">
      <w:pPr>
        <w:spacing w:line="360" w:lineRule="auto"/>
        <w:ind w:firstLine="480" w:firstLineChars="200"/>
        <w:rPr>
          <w:rFonts w:hint="eastAsia" w:ascii="宋体" w:hAnsi="宋体" w:cs="宋体"/>
          <w:sz w:val="24"/>
          <w:szCs w:val="24"/>
        </w:rPr>
      </w:pPr>
      <w:r>
        <w:rPr>
          <w:rFonts w:hint="eastAsia" w:ascii="宋体" w:hAnsi="宋体" w:cs="宋体"/>
          <w:sz w:val="24"/>
          <w:szCs w:val="24"/>
        </w:rPr>
        <w:t>2.双方协商解决未能达成一致意见的，向甲方所在地人民法院提起诉讼。</w:t>
      </w:r>
    </w:p>
    <w:p w14:paraId="172E85DF">
      <w:pPr>
        <w:spacing w:line="360" w:lineRule="auto"/>
        <w:ind w:firstLine="482" w:firstLineChars="200"/>
        <w:rPr>
          <w:rFonts w:hint="eastAsia" w:ascii="宋体" w:hAnsi="宋体" w:cs="宋体"/>
          <w:b/>
          <w:sz w:val="24"/>
          <w:szCs w:val="24"/>
        </w:rPr>
      </w:pPr>
      <w:r>
        <w:rPr>
          <w:rFonts w:hint="eastAsia" w:ascii="宋体" w:hAnsi="宋体" w:cs="宋体"/>
          <w:b/>
          <w:sz w:val="24"/>
          <w:szCs w:val="24"/>
        </w:rPr>
        <w:t>十二、保密要求</w:t>
      </w:r>
    </w:p>
    <w:p w14:paraId="2BC28455">
      <w:pPr>
        <w:spacing w:line="360" w:lineRule="auto"/>
        <w:ind w:firstLine="480" w:firstLineChars="200"/>
        <w:rPr>
          <w:rFonts w:hint="eastAsia" w:ascii="宋体" w:hAnsi="宋体" w:cs="宋体"/>
          <w:sz w:val="24"/>
          <w:szCs w:val="24"/>
        </w:rPr>
      </w:pPr>
      <w:r>
        <w:rPr>
          <w:rFonts w:hint="eastAsia" w:ascii="宋体" w:hAnsi="宋体" w:cs="宋体"/>
          <w:sz w:val="24"/>
          <w:szCs w:val="24"/>
        </w:rPr>
        <w:t>乙方对服务区域工作获知的甲方、被评估、调研项目及相关各方的商业秘密和其他不宜公开的信息负有保密义务。</w:t>
      </w:r>
    </w:p>
    <w:p w14:paraId="277ED1B0">
      <w:pPr>
        <w:spacing w:line="360" w:lineRule="auto"/>
        <w:ind w:firstLine="480" w:firstLineChars="200"/>
        <w:rPr>
          <w:rFonts w:hint="eastAsia" w:ascii="宋体" w:hAnsi="宋体" w:cs="宋体"/>
          <w:sz w:val="24"/>
          <w:szCs w:val="24"/>
        </w:rPr>
      </w:pPr>
      <w:r>
        <w:rPr>
          <w:rFonts w:hint="eastAsia" w:ascii="宋体" w:hAnsi="宋体" w:cs="宋体"/>
          <w:sz w:val="24"/>
          <w:szCs w:val="24"/>
        </w:rPr>
        <w:t>1.加强对参与本次项目工作人员遵守国家保密法律、法规和规章制度的教育,提高保密意识,履行保密义务。</w:t>
      </w:r>
    </w:p>
    <w:p w14:paraId="5972852F">
      <w:pPr>
        <w:spacing w:line="360" w:lineRule="auto"/>
        <w:ind w:firstLine="480" w:firstLineChars="200"/>
        <w:rPr>
          <w:rFonts w:hint="eastAsia" w:ascii="宋体" w:hAnsi="宋体" w:cs="宋体"/>
          <w:sz w:val="24"/>
          <w:szCs w:val="24"/>
        </w:rPr>
      </w:pPr>
      <w:r>
        <w:rPr>
          <w:rFonts w:hint="eastAsia" w:ascii="宋体" w:hAnsi="宋体" w:cs="宋体"/>
          <w:sz w:val="24"/>
          <w:szCs w:val="24"/>
        </w:rPr>
        <w:t>2.不违规记录、存储、复制和传递本次项目工作中获取的涉密信息。</w:t>
      </w:r>
    </w:p>
    <w:p w14:paraId="79266195">
      <w:pPr>
        <w:spacing w:line="360" w:lineRule="auto"/>
        <w:ind w:firstLine="480" w:firstLineChars="200"/>
        <w:rPr>
          <w:rFonts w:hint="eastAsia" w:ascii="宋体" w:hAnsi="宋体" w:cs="宋体"/>
          <w:sz w:val="24"/>
          <w:szCs w:val="24"/>
        </w:rPr>
      </w:pPr>
      <w:r>
        <w:rPr>
          <w:rFonts w:hint="eastAsia" w:ascii="宋体" w:hAnsi="宋体" w:cs="宋体"/>
          <w:sz w:val="24"/>
          <w:szCs w:val="24"/>
        </w:rPr>
        <w:t>3.不以任何形式泄露调研评价工作中接触和知悉的涉密信息。</w:t>
      </w:r>
    </w:p>
    <w:p w14:paraId="1CAB6D0E">
      <w:pPr>
        <w:spacing w:line="360" w:lineRule="auto"/>
        <w:ind w:firstLine="480" w:firstLineChars="200"/>
        <w:rPr>
          <w:rFonts w:hint="eastAsia" w:ascii="宋体" w:hAnsi="宋体" w:cs="宋体"/>
          <w:sz w:val="24"/>
          <w:szCs w:val="24"/>
        </w:rPr>
      </w:pPr>
      <w:r>
        <w:rPr>
          <w:rFonts w:hint="eastAsia" w:ascii="宋体" w:hAnsi="宋体" w:cs="宋体"/>
          <w:sz w:val="24"/>
          <w:szCs w:val="24"/>
        </w:rPr>
        <w:t>乙方及其工作人员违反保密要求的,将按照有关规定严肃处理；涉嫌违法的,将移送有关部门追究刑事责任。</w:t>
      </w:r>
    </w:p>
    <w:p w14:paraId="5C5F6D79">
      <w:pPr>
        <w:spacing w:line="360" w:lineRule="auto"/>
        <w:ind w:firstLine="482" w:firstLineChars="200"/>
        <w:rPr>
          <w:rFonts w:hint="eastAsia" w:ascii="宋体" w:hAnsi="宋体" w:cs="宋体"/>
          <w:sz w:val="24"/>
          <w:szCs w:val="24"/>
        </w:rPr>
      </w:pPr>
      <w:r>
        <w:rPr>
          <w:rFonts w:hint="eastAsia" w:ascii="宋体" w:hAnsi="宋体" w:cs="宋体"/>
          <w:b/>
          <w:sz w:val="24"/>
          <w:szCs w:val="24"/>
        </w:rPr>
        <w:t>十三、其他约定事项</w:t>
      </w:r>
    </w:p>
    <w:p w14:paraId="77CF1ADD">
      <w:pPr>
        <w:pStyle w:val="14"/>
        <w:ind w:firstLine="480" w:firstLineChars="200"/>
        <w:rPr>
          <w:rFonts w:hint="eastAsia" w:ascii="宋体" w:hAnsi="宋体" w:cs="宋体"/>
          <w:sz w:val="24"/>
        </w:rPr>
      </w:pPr>
      <w:r>
        <w:rPr>
          <w:rFonts w:hint="eastAsia" w:ascii="宋体" w:hAnsi="宋体" w:cs="宋体"/>
          <w:sz w:val="24"/>
        </w:rPr>
        <w:t>1.当事人一方要求变更或解除合同，应提前通知对方，并采用书面形式由当事人双方达成协议。接到要求变更或解除合同通知的一方，应在7天之内作出答复，逾期不答复的，视为默认。</w:t>
      </w:r>
    </w:p>
    <w:p w14:paraId="58B4AAEF">
      <w:pPr>
        <w:pStyle w:val="14"/>
        <w:ind w:firstLine="480" w:firstLineChars="200"/>
        <w:rPr>
          <w:rFonts w:hint="eastAsia" w:ascii="宋体" w:hAnsi="宋体" w:cs="宋体"/>
          <w:sz w:val="24"/>
        </w:rPr>
      </w:pPr>
      <w:r>
        <w:rPr>
          <w:rFonts w:hint="eastAsia" w:ascii="宋体" w:hAnsi="宋体" w:cs="宋体"/>
          <w:sz w:val="24"/>
        </w:rPr>
        <w:t>2.违约金、赔偿金应在有关部门确定责任后10天内支付。</w:t>
      </w:r>
    </w:p>
    <w:p w14:paraId="1758AE96">
      <w:pPr>
        <w:pStyle w:val="14"/>
        <w:ind w:firstLine="480" w:firstLineChars="200"/>
        <w:rPr>
          <w:rFonts w:hint="eastAsia" w:ascii="宋体" w:hAnsi="宋体" w:cs="宋体"/>
          <w:sz w:val="24"/>
        </w:rPr>
      </w:pPr>
      <w:r>
        <w:rPr>
          <w:rFonts w:hint="eastAsia" w:ascii="宋体" w:hAnsi="宋体" w:cs="宋体"/>
          <w:sz w:val="24"/>
        </w:rPr>
        <w:t>3.本合同如有未尽事宜，须经甲乙双方共同协商，作出补充规定，补充规定与本合同具有同等法律效力。</w:t>
      </w:r>
    </w:p>
    <w:p w14:paraId="0ACE528D">
      <w:pPr>
        <w:pStyle w:val="14"/>
        <w:ind w:firstLine="480" w:firstLineChars="200"/>
        <w:rPr>
          <w:rFonts w:hint="eastAsia" w:ascii="宋体" w:hAnsi="宋体" w:cs="宋体"/>
        </w:rPr>
      </w:pPr>
      <w:r>
        <w:rPr>
          <w:rFonts w:hint="eastAsia" w:ascii="宋体" w:hAnsi="宋体" w:cs="宋体"/>
          <w:sz w:val="24"/>
        </w:rPr>
        <w:t>4.本合同一式</w:t>
      </w:r>
      <w:r>
        <w:rPr>
          <w:rFonts w:hint="eastAsia" w:ascii="宋体" w:hAnsi="宋体" w:cs="宋体"/>
          <w:sz w:val="24"/>
          <w:u w:val="single"/>
        </w:rPr>
        <w:t xml:space="preserve">   </w:t>
      </w:r>
      <w:r>
        <w:rPr>
          <w:rFonts w:hint="eastAsia" w:ascii="宋体" w:hAnsi="宋体" w:cs="宋体"/>
          <w:sz w:val="24"/>
        </w:rPr>
        <w:t>份，甲方持</w:t>
      </w:r>
      <w:r>
        <w:rPr>
          <w:rFonts w:hint="eastAsia" w:ascii="宋体" w:hAnsi="宋体" w:cs="宋体"/>
          <w:sz w:val="24"/>
          <w:u w:val="single"/>
        </w:rPr>
        <w:t xml:space="preserve">   </w:t>
      </w:r>
      <w:r>
        <w:rPr>
          <w:rFonts w:hint="eastAsia" w:ascii="宋体" w:hAnsi="宋体" w:cs="宋体"/>
          <w:sz w:val="24"/>
        </w:rPr>
        <w:t>份，乙方持</w:t>
      </w:r>
      <w:r>
        <w:rPr>
          <w:rFonts w:hint="eastAsia" w:ascii="宋体" w:hAnsi="宋体" w:cs="宋体"/>
          <w:sz w:val="24"/>
          <w:u w:val="single"/>
        </w:rPr>
        <w:t xml:space="preserve">   </w:t>
      </w:r>
      <w:r>
        <w:rPr>
          <w:rFonts w:hint="eastAsia" w:ascii="宋体" w:hAnsi="宋体" w:cs="宋体"/>
          <w:sz w:val="24"/>
        </w:rPr>
        <w:t>份，自双方当事人盖章或签字生效。</w:t>
      </w:r>
    </w:p>
    <w:p w14:paraId="26E40921">
      <w:pPr>
        <w:pStyle w:val="2"/>
        <w:spacing w:before="0" w:after="0" w:line="360" w:lineRule="auto"/>
        <w:jc w:val="center"/>
        <w:rPr>
          <w:rFonts w:hint="eastAsia" w:ascii="宋体" w:hAnsi="宋体" w:cs="宋体"/>
          <w:highlight w:val="none"/>
        </w:rPr>
      </w:pPr>
      <w:r>
        <w:rPr>
          <w:rFonts w:hint="eastAsia" w:ascii="宋体" w:hAnsi="宋体" w:cs="宋体"/>
          <w:bCs w:val="0"/>
          <w:spacing w:val="2"/>
          <w:sz w:val="28"/>
          <w:szCs w:val="28"/>
        </w:rPr>
        <w:br w:type="page"/>
      </w:r>
      <w:bookmarkStart w:id="359" w:name="_Toc31034"/>
      <w:bookmarkEnd w:id="359"/>
      <w:bookmarkStart w:id="360" w:name="_Toc12847"/>
      <w:bookmarkEnd w:id="360"/>
      <w:bookmarkStart w:id="361" w:name="_Toc8577"/>
      <w:bookmarkStart w:id="362" w:name="_Toc17467"/>
      <w:bookmarkStart w:id="363" w:name="_Toc21039"/>
      <w:bookmarkStart w:id="364" w:name="_Toc3896295"/>
      <w:bookmarkStart w:id="365" w:name="_Toc11025"/>
      <w:bookmarkStart w:id="366" w:name="_Toc9063"/>
      <w:bookmarkStart w:id="367" w:name="_Toc165910150"/>
      <w:bookmarkStart w:id="368" w:name="_Toc1224"/>
      <w:r>
        <w:rPr>
          <w:rFonts w:hint="eastAsia" w:ascii="宋体" w:hAnsi="宋体" w:cs="宋体"/>
          <w:highlight w:val="none"/>
        </w:rPr>
        <w:t xml:space="preserve">第五章 </w:t>
      </w:r>
      <w:bookmarkEnd w:id="361"/>
      <w:r>
        <w:rPr>
          <w:rFonts w:hint="eastAsia" w:ascii="宋体" w:hAnsi="宋体" w:cs="宋体"/>
          <w:highlight w:val="none"/>
        </w:rPr>
        <w:t>服务内容及要求</w:t>
      </w:r>
      <w:bookmarkEnd w:id="362"/>
      <w:bookmarkEnd w:id="363"/>
      <w:bookmarkEnd w:id="364"/>
      <w:bookmarkEnd w:id="365"/>
      <w:bookmarkEnd w:id="366"/>
      <w:bookmarkEnd w:id="367"/>
      <w:bookmarkEnd w:id="368"/>
    </w:p>
    <w:p w14:paraId="035F08C6">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bookmarkStart w:id="369" w:name="_Toc19163"/>
      <w:bookmarkEnd w:id="369"/>
      <w:bookmarkStart w:id="370" w:name="_Toc17654"/>
      <w:bookmarkEnd w:id="370"/>
      <w:bookmarkStart w:id="371" w:name="_Toc3896296"/>
      <w:bookmarkStart w:id="372" w:name="_Toc29592"/>
      <w:bookmarkStart w:id="373" w:name="_Toc24075"/>
      <w:bookmarkStart w:id="374" w:name="_Toc10234"/>
      <w:bookmarkStart w:id="375" w:name="_Toc19683"/>
      <w:r>
        <w:rPr>
          <w:rFonts w:hint="eastAsia" w:ascii="宋体" w:hAnsi="宋体" w:cs="宋体"/>
          <w:b/>
          <w:bCs/>
          <w:sz w:val="24"/>
          <w:szCs w:val="24"/>
          <w:highlight w:val="none"/>
        </w:rPr>
        <w:t>一、采购目标</w:t>
      </w:r>
    </w:p>
    <w:p w14:paraId="7F727A7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根据《云南省农业农村厅关于推进中药材产业高质量发展的指导意见》《丽江市乡村振兴战略规划（2021-2025年）》等文件要求，通过科学编制《丽江市中药材产业高质量发展规划（2025-2030年）》，全面分析丽江市中药材产业发展现状与挑战，明确未来发展目标、重点任务及保障措施，为丽江市中药材产业提质增效、农民增收及乡村振兴提供战略指导。具体要求包括：</w:t>
      </w:r>
    </w:p>
    <w:p w14:paraId="1C5F98F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1.编制具有前瞻性、科学性和可操作性的规划文本，涵盖产业发展现状分析、目标定位、重点任务、林下中药材专题规划等内容。</w:t>
      </w:r>
    </w:p>
    <w:p w14:paraId="52AC42B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2.形成配套的附图、附表及数据库成果，支撑规划落地实施。</w:t>
      </w:r>
    </w:p>
    <w:p w14:paraId="07AF8EB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3.预算金额：120万元。</w:t>
      </w:r>
    </w:p>
    <w:p w14:paraId="767A90C1">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二、采购标的需执行的相关标准</w:t>
      </w:r>
    </w:p>
    <w:p w14:paraId="49780F9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国家标准：《全国中药材生产质量管理规范（GAP）》《中药材产业发展规划编制导则》。</w:t>
      </w:r>
    </w:p>
    <w:p w14:paraId="5076CB0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省级规范：《云南省中药材产业发展规划（2021-2025年）》《云南省中药材产业高质量发展三年行动工作方案（2025-2027年）》。</w:t>
      </w:r>
    </w:p>
    <w:p w14:paraId="1F0DF99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地方要求：丽江市农业农村局关于农业产业规划编制的指导意见及相关政策文件。</w:t>
      </w:r>
    </w:p>
    <w:p w14:paraId="1B94BC39">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三、采购标的需满足的质量、安全及技术要求</w:t>
      </w:r>
    </w:p>
    <w:p w14:paraId="72DC2AD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（一）主要工作内容</w:t>
      </w:r>
    </w:p>
    <w:p w14:paraId="0AA6481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1.产业现状调研：</w:t>
      </w:r>
    </w:p>
    <w:p w14:paraId="280E030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（1）收集丽江市中药材种植、加工、销售、政策支持等数据；</w:t>
      </w:r>
    </w:p>
    <w:p w14:paraId="3E67FB2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（2）分析产业规模、结构、优势品种及存在问题。</w:t>
      </w:r>
    </w:p>
    <w:p w14:paraId="3A0C545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2.实地调研与数据分析：</w:t>
      </w:r>
    </w:p>
    <w:p w14:paraId="39A2B9A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（1）深入各县（区）开展实地踏勘，与政府部门、企业、农户座谈；</w:t>
      </w:r>
    </w:p>
    <w:p w14:paraId="6AABFCC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（2）结合三调数据、国土空间规划等，评估资源承载力和发展潜力。</w:t>
      </w:r>
    </w:p>
    <w:p w14:paraId="5572C9F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3规划编制：</w:t>
      </w:r>
    </w:p>
    <w:p w14:paraId="4802B34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（1）制定产业发展目标（2025-2030年），明确重点任务（如品种优化、品牌建设、产业链延伸等）；</w:t>
      </w:r>
    </w:p>
    <w:p w14:paraId="41CFE62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（2）专题规划：林下中药材发展、道地品种保护与开发、科技支撑体系建设等；</w:t>
      </w:r>
    </w:p>
    <w:p w14:paraId="51609EA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（3）提出保障措施（政策支持、资金投入、技术推广等）。</w:t>
      </w:r>
    </w:p>
    <w:p w14:paraId="56400A0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4.成果输出：</w:t>
      </w:r>
    </w:p>
    <w:p w14:paraId="443C17D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提交规划文本（含纸质版30套、电子版U盘存储）；配套成果：产业发展布局图、重点任务实施路线图、数据库（矢量数据）。</w:t>
      </w:r>
    </w:p>
    <w:p w14:paraId="2493102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（二）技术要求</w:t>
      </w:r>
    </w:p>
    <w:p w14:paraId="6A7CB1C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规划需符合国家乡村振兴战略、云南省高原特色农业现代化战略导向；数据来源真实可靠，分析方法科学严谨；规划文本逻辑清晰，内容完整，具备可操作性。</w:t>
      </w:r>
    </w:p>
    <w:p w14:paraId="6B3B86AF">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四、采购标的数量、交付时间及地点</w:t>
      </w:r>
    </w:p>
    <w:p w14:paraId="2E96FF1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采购数量：1项</w:t>
      </w:r>
    </w:p>
    <w:p w14:paraId="6B0E89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合同履行期限：自合同签订之日起至规划通过评审验收止（总周期不超过1.5个月）。</w:t>
      </w:r>
    </w:p>
    <w:p w14:paraId="12979F0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服务地点：丽江市农业农村局指定地点（调研覆盖全市各县区）。</w:t>
      </w:r>
    </w:p>
    <w:p w14:paraId="3EF7DA62">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五、采购标的需满足的服务标准及期限</w:t>
      </w:r>
    </w:p>
    <w:p w14:paraId="6C5EC1B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服务标准：符合《中华人民共和国政府采购法》《政府采购竞争性磋商管理办法》等法规；规划成果需通过市级初审、终审，评审意见整改完成率100%。</w:t>
      </w:r>
    </w:p>
    <w:p w14:paraId="23B5089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进度要求：合同签订后5日内提交详细工作计划；1个月内完成规划初稿编制；1.5个月内完成专家评审</w:t>
      </w:r>
      <w:r>
        <w:rPr>
          <w:rFonts w:hint="eastAsia" w:ascii="宋体" w:hAnsi="宋体" w:cs="宋体"/>
          <w:sz w:val="24"/>
          <w:szCs w:val="24"/>
          <w:highlight w:val="none"/>
          <w:lang w:eastAsia="zh-CN"/>
        </w:rPr>
        <w:t>，</w:t>
      </w:r>
      <w:r>
        <w:rPr>
          <w:rFonts w:hint="eastAsia" w:ascii="宋体" w:hAnsi="宋体" w:cs="宋体"/>
          <w:sz w:val="24"/>
          <w:szCs w:val="24"/>
          <w:highlight w:val="none"/>
        </w:rPr>
        <w:t>并完成市政府常务会议、市委常委会审议（如需上会）后的修改完善工作。</w:t>
      </w:r>
    </w:p>
    <w:p w14:paraId="28F85433">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六、采购标的验收标准</w:t>
      </w:r>
    </w:p>
    <w:p w14:paraId="208C343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成果介质及数量：规划文本30套（含彩印纸质版及电子版）；</w:t>
      </w:r>
    </w:p>
    <w:p w14:paraId="7FE7B3E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质量要求：文本内容完整，符合省级规划编制规范；数据准确，图件清晰，通过专家评审。</w:t>
      </w:r>
    </w:p>
    <w:p w14:paraId="03175F20">
      <w:pPr>
        <w:keepNext w:val="0"/>
        <w:keepLines w:val="0"/>
        <w:pageBreakBefore w:val="0"/>
        <w:widowControl/>
        <w:kinsoku/>
        <w:wordWrap/>
        <w:overflowPunct/>
        <w:topLinePunct w:val="0"/>
        <w:autoSpaceDE/>
        <w:autoSpaceDN/>
        <w:bidi w:val="0"/>
        <w:adjustRightInd/>
        <w:snapToGrid/>
        <w:spacing w:before="160" w:beforeLines="50" w:after="160" w:afterLines="50" w:line="360" w:lineRule="auto"/>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七、其他技术及服务要求</w:t>
      </w:r>
    </w:p>
    <w:p w14:paraId="4A59E2A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团队要求：中标单位需组建专业团队；项目负责人需具备高级职称，且主持过同类规划项目。</w:t>
      </w:r>
    </w:p>
    <w:p w14:paraId="65D3CF8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合同履约：合同签订后3个工作日内启动工作；定期向丽江市农业农村局汇报进展，接受过程监督与指导。</w:t>
      </w:r>
    </w:p>
    <w:p w14:paraId="2CC7B487">
      <w:pPr>
        <w:pStyle w:val="2"/>
        <w:spacing w:before="0" w:after="0" w:line="360" w:lineRule="auto"/>
        <w:jc w:val="center"/>
        <w:rPr>
          <w:rFonts w:hint="eastAsia" w:ascii="宋体" w:hAnsi="宋体" w:cs="宋体"/>
        </w:rPr>
      </w:pPr>
      <w:r>
        <w:rPr>
          <w:rFonts w:hint="eastAsia" w:ascii="宋体" w:hAnsi="宋体" w:cs="宋体"/>
        </w:rPr>
        <w:br w:type="page"/>
      </w:r>
      <w:bookmarkStart w:id="376" w:name="_Toc165910151"/>
      <w:bookmarkStart w:id="377" w:name="_Toc3514"/>
      <w:bookmarkStart w:id="378" w:name="_Toc26933"/>
      <w:r>
        <w:rPr>
          <w:rFonts w:hint="eastAsia" w:ascii="宋体" w:hAnsi="宋体" w:cs="宋体"/>
        </w:rPr>
        <w:t>第六章 响应文件格式</w:t>
      </w:r>
      <w:bookmarkEnd w:id="371"/>
      <w:bookmarkEnd w:id="372"/>
      <w:bookmarkEnd w:id="373"/>
      <w:bookmarkEnd w:id="374"/>
      <w:bookmarkEnd w:id="375"/>
      <w:bookmarkEnd w:id="376"/>
      <w:bookmarkEnd w:id="377"/>
      <w:bookmarkEnd w:id="378"/>
    </w:p>
    <w:p w14:paraId="159F72CF">
      <w:pPr>
        <w:rPr>
          <w:rFonts w:hint="eastAsia" w:ascii="宋体" w:hAnsi="宋体" w:cs="宋体"/>
        </w:rPr>
      </w:pPr>
      <w:r>
        <w:rPr>
          <w:rFonts w:hint="eastAsia" w:ascii="宋体" w:hAnsi="宋体" w:cs="宋体"/>
        </w:rPr>
        <w:t xml:space="preserve"> </w:t>
      </w:r>
    </w:p>
    <w:p w14:paraId="6B35B477">
      <w:pPr>
        <w:rPr>
          <w:rFonts w:hint="eastAsia" w:ascii="宋体" w:hAnsi="宋体" w:cs="宋体"/>
        </w:rPr>
      </w:pPr>
      <w:r>
        <w:rPr>
          <w:rFonts w:hint="eastAsia" w:ascii="宋体" w:hAnsi="宋体" w:cs="宋体"/>
        </w:rPr>
        <w:t xml:space="preserve"> </w:t>
      </w:r>
    </w:p>
    <w:p w14:paraId="1D9D0F61">
      <w:pPr>
        <w:rPr>
          <w:rFonts w:hint="eastAsia" w:ascii="宋体" w:hAnsi="宋体" w:cs="宋体"/>
        </w:rPr>
      </w:pPr>
      <w:r>
        <w:rPr>
          <w:rFonts w:hint="eastAsia" w:ascii="宋体" w:hAnsi="宋体" w:cs="宋体"/>
        </w:rPr>
        <w:t xml:space="preserve"> </w:t>
      </w:r>
    </w:p>
    <w:p w14:paraId="0E762538">
      <w:pPr>
        <w:rPr>
          <w:rFonts w:hint="eastAsia" w:ascii="宋体" w:hAnsi="宋体" w:cs="宋体"/>
        </w:rPr>
      </w:pPr>
      <w:r>
        <w:rPr>
          <w:rFonts w:hint="eastAsia" w:ascii="宋体" w:hAnsi="宋体" w:cs="宋体"/>
        </w:rPr>
        <w:t xml:space="preserve"> </w:t>
      </w:r>
    </w:p>
    <w:p w14:paraId="2F0EFAA7">
      <w:pPr>
        <w:spacing w:line="480" w:lineRule="auto"/>
        <w:jc w:val="center"/>
        <w:rPr>
          <w:rFonts w:hint="eastAsia"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（项目名称）</w:t>
      </w:r>
    </w:p>
    <w:p w14:paraId="07397ED4">
      <w:pPr>
        <w:spacing w:line="480" w:lineRule="auto"/>
        <w:jc w:val="center"/>
        <w:rPr>
          <w:rFonts w:hint="eastAsia" w:ascii="宋体" w:hAnsi="宋体" w:cs="宋体"/>
          <w:b/>
          <w:bCs/>
          <w:sz w:val="44"/>
          <w:szCs w:val="44"/>
        </w:rPr>
      </w:pPr>
      <w:r>
        <w:rPr>
          <w:rFonts w:hint="eastAsia" w:ascii="宋体" w:hAnsi="宋体" w:cs="宋体"/>
          <w:b/>
          <w:bCs/>
          <w:sz w:val="44"/>
          <w:szCs w:val="44"/>
        </w:rPr>
        <w:t>（项目编号：</w:t>
      </w:r>
      <w:r>
        <w:rPr>
          <w:rFonts w:hint="eastAsia" w:ascii="宋体" w:hAnsi="宋体" w:cs="宋体"/>
          <w:b/>
          <w:bCs/>
          <w:sz w:val="44"/>
          <w:szCs w:val="44"/>
          <w:u w:val="single"/>
        </w:rPr>
        <w:t xml:space="preserve">           </w:t>
      </w:r>
      <w:r>
        <w:rPr>
          <w:rFonts w:hint="eastAsia" w:ascii="宋体" w:hAnsi="宋体" w:cs="宋体"/>
          <w:b/>
          <w:bCs/>
          <w:sz w:val="44"/>
          <w:szCs w:val="44"/>
        </w:rPr>
        <w:t>）</w:t>
      </w:r>
    </w:p>
    <w:p w14:paraId="6F19F9E3">
      <w:pP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622C44EA">
      <w:pP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071B89E6">
      <w:pPr>
        <w:spacing w:line="480" w:lineRule="auto"/>
        <w:jc w:val="center"/>
        <w:rPr>
          <w:rFonts w:hint="eastAsia" w:ascii="宋体" w:hAnsi="宋体" w:cs="宋体"/>
          <w:b/>
          <w:bCs/>
          <w:sz w:val="72"/>
          <w:szCs w:val="72"/>
        </w:rPr>
      </w:pPr>
      <w:r>
        <w:rPr>
          <w:rFonts w:hint="eastAsia" w:ascii="宋体" w:hAnsi="宋体" w:cs="宋体"/>
          <w:b/>
          <w:bCs/>
          <w:sz w:val="72"/>
          <w:szCs w:val="72"/>
        </w:rPr>
        <w:t>响 应 文 件</w:t>
      </w:r>
    </w:p>
    <w:p w14:paraId="6576C890">
      <w:pPr>
        <w:spacing w:line="480" w:lineRule="auto"/>
        <w:rPr>
          <w:rFonts w:hint="eastAsia" w:ascii="宋体" w:hAnsi="宋体" w:cs="宋体"/>
          <w:b/>
          <w:bCs/>
          <w:sz w:val="44"/>
          <w:szCs w:val="44"/>
        </w:rPr>
      </w:pPr>
    </w:p>
    <w:p w14:paraId="584BCAB9">
      <w:pPr>
        <w:pStyle w:val="14"/>
        <w:rPr>
          <w:rFonts w:hint="eastAsia" w:ascii="宋体" w:hAnsi="宋体" w:cs="宋体"/>
        </w:rPr>
      </w:pPr>
    </w:p>
    <w:p w14:paraId="61D892DE">
      <w:pPr>
        <w:pStyle w:val="14"/>
        <w:rPr>
          <w:rFonts w:hint="eastAsia" w:ascii="宋体" w:hAnsi="宋体" w:cs="宋体"/>
        </w:rPr>
      </w:pPr>
    </w:p>
    <w:p w14:paraId="4501DFF2">
      <w:pPr>
        <w:spacing w:line="480" w:lineRule="auto"/>
        <w:ind w:firstLine="1405" w:firstLineChars="500"/>
        <w:rPr>
          <w:rFonts w:hint="eastAsia" w:ascii="宋体" w:hAnsi="宋体" w:cs="宋体"/>
          <w:b/>
          <w:bCs/>
          <w:sz w:val="28"/>
          <w:szCs w:val="28"/>
        </w:rPr>
      </w:pPr>
      <w:r>
        <w:rPr>
          <w:rFonts w:hint="eastAsia" w:ascii="宋体" w:hAnsi="宋体" w:cs="宋体"/>
          <w:b/>
          <w:bCs/>
          <w:sz w:val="28"/>
          <w:szCs w:val="28"/>
        </w:rPr>
        <w:t>供应商：</w:t>
      </w:r>
      <w:r>
        <w:rPr>
          <w:rFonts w:hint="eastAsia" w:ascii="宋体" w:hAnsi="宋体" w:cs="宋体"/>
          <w:b/>
          <w:bCs/>
          <w:sz w:val="28"/>
          <w:szCs w:val="28"/>
          <w:u w:val="single"/>
        </w:rPr>
        <w:t xml:space="preserve">                                 </w:t>
      </w:r>
      <w:r>
        <w:rPr>
          <w:rFonts w:hint="eastAsia" w:ascii="宋体" w:hAnsi="宋体" w:cs="宋体"/>
          <w:b/>
          <w:bCs/>
          <w:sz w:val="28"/>
          <w:szCs w:val="28"/>
        </w:rPr>
        <w:t>（电子签章）</w:t>
      </w:r>
    </w:p>
    <w:p w14:paraId="5A15D203">
      <w:pPr>
        <w:spacing w:line="480" w:lineRule="auto"/>
        <w:ind w:firstLine="1405" w:firstLineChars="500"/>
        <w:rPr>
          <w:rFonts w:hint="eastAsia" w:ascii="宋体" w:hAnsi="宋体" w:cs="宋体"/>
          <w:b/>
          <w:bCs/>
          <w:sz w:val="28"/>
          <w:szCs w:val="28"/>
        </w:rPr>
      </w:pPr>
      <w:r>
        <w:rPr>
          <w:rFonts w:hint="eastAsia" w:ascii="宋体" w:hAnsi="宋体" w:cs="宋体"/>
          <w:b/>
          <w:bCs/>
          <w:sz w:val="28"/>
          <w:szCs w:val="28"/>
        </w:rPr>
        <w:t>法定代表人或其委托代理人：</w:t>
      </w:r>
      <w:r>
        <w:rPr>
          <w:rFonts w:hint="eastAsia" w:ascii="宋体" w:hAnsi="宋体" w:cs="宋体"/>
          <w:b/>
          <w:bCs/>
          <w:sz w:val="28"/>
          <w:szCs w:val="28"/>
          <w:u w:val="single"/>
        </w:rPr>
        <w:t xml:space="preserve">               </w:t>
      </w:r>
      <w:r>
        <w:rPr>
          <w:rFonts w:hint="eastAsia" w:ascii="宋体" w:hAnsi="宋体" w:cs="宋体"/>
          <w:b/>
          <w:bCs/>
          <w:sz w:val="28"/>
          <w:szCs w:val="28"/>
        </w:rPr>
        <w:t>（电子签章）</w:t>
      </w:r>
    </w:p>
    <w:p w14:paraId="20BFD123">
      <w:pPr>
        <w:spacing w:line="480" w:lineRule="auto"/>
        <w:ind w:firstLine="1405" w:firstLineChars="500"/>
        <w:rPr>
          <w:rFonts w:hint="eastAsia" w:ascii="宋体" w:hAnsi="宋体" w:cs="宋体"/>
          <w:b/>
          <w:bCs/>
          <w:sz w:val="28"/>
          <w:szCs w:val="28"/>
        </w:rPr>
      </w:pPr>
      <w:r>
        <w:rPr>
          <w:rFonts w:hint="eastAsia" w:ascii="宋体" w:hAnsi="宋体" w:cs="宋体"/>
          <w:b/>
          <w:bCs/>
          <w:sz w:val="28"/>
          <w:szCs w:val="28"/>
        </w:rPr>
        <w:t xml:space="preserve">日期： </w:t>
      </w:r>
      <w:r>
        <w:rPr>
          <w:rFonts w:hint="eastAsia" w:ascii="宋体" w:hAnsi="宋体" w:cs="宋体"/>
          <w:b/>
          <w:bCs/>
          <w:sz w:val="28"/>
          <w:szCs w:val="28"/>
          <w:u w:val="single"/>
        </w:rPr>
        <w:t xml:space="preserve">        </w:t>
      </w:r>
      <w:r>
        <w:rPr>
          <w:rFonts w:hint="eastAsia" w:ascii="宋体" w:hAnsi="宋体" w:cs="宋体"/>
          <w:b/>
          <w:bCs/>
          <w:sz w:val="28"/>
          <w:szCs w:val="28"/>
        </w:rPr>
        <w:t>年</w:t>
      </w:r>
      <w:r>
        <w:rPr>
          <w:rFonts w:hint="eastAsia" w:ascii="宋体" w:hAnsi="宋体" w:cs="宋体"/>
          <w:b/>
          <w:bCs/>
          <w:sz w:val="28"/>
          <w:szCs w:val="28"/>
          <w:u w:val="single"/>
        </w:rPr>
        <w:t xml:space="preserve">        </w:t>
      </w:r>
      <w:r>
        <w:rPr>
          <w:rFonts w:hint="eastAsia" w:ascii="宋体" w:hAnsi="宋体" w:cs="宋体"/>
          <w:b/>
          <w:bCs/>
          <w:sz w:val="28"/>
          <w:szCs w:val="28"/>
        </w:rPr>
        <w:t>月</w:t>
      </w:r>
      <w:r>
        <w:rPr>
          <w:rFonts w:hint="eastAsia" w:ascii="宋体" w:hAnsi="宋体" w:cs="宋体"/>
          <w:b/>
          <w:bCs/>
          <w:sz w:val="28"/>
          <w:szCs w:val="28"/>
          <w:u w:val="single"/>
        </w:rPr>
        <w:t xml:space="preserve">        </w:t>
      </w:r>
      <w:r>
        <w:rPr>
          <w:rFonts w:hint="eastAsia" w:ascii="宋体" w:hAnsi="宋体" w:cs="宋体"/>
          <w:b/>
          <w:bCs/>
          <w:sz w:val="28"/>
          <w:szCs w:val="28"/>
        </w:rPr>
        <w:t>日</w:t>
      </w:r>
      <w:bookmarkStart w:id="379" w:name="_Toc184"/>
      <w:bookmarkEnd w:id="379"/>
      <w:bookmarkStart w:id="380" w:name="_Toc14917"/>
      <w:bookmarkEnd w:id="380"/>
      <w:bookmarkStart w:id="381" w:name="_Toc25438"/>
    </w:p>
    <w:p w14:paraId="46684C29">
      <w:pPr>
        <w:spacing w:line="480" w:lineRule="auto"/>
        <w:jc w:val="center"/>
        <w:rPr>
          <w:rFonts w:hint="eastAsia" w:ascii="宋体" w:hAnsi="宋体" w:cs="宋体"/>
          <w:b/>
          <w:bCs/>
          <w:sz w:val="28"/>
          <w:szCs w:val="28"/>
        </w:rPr>
      </w:pPr>
      <w:bookmarkStart w:id="382" w:name="_Toc23486"/>
      <w:bookmarkStart w:id="383" w:name="_Toc3896297"/>
      <w:bookmarkStart w:id="384" w:name="_Toc30256"/>
      <w:r>
        <w:rPr>
          <w:rFonts w:hint="eastAsia" w:ascii="宋体" w:hAnsi="宋体" w:cs="宋体"/>
          <w:sz w:val="44"/>
          <w:szCs w:val="44"/>
        </w:rPr>
        <w:br w:type="page"/>
      </w:r>
      <w:r>
        <w:rPr>
          <w:rFonts w:hint="eastAsia" w:ascii="宋体" w:hAnsi="宋体" w:cs="宋体"/>
          <w:b/>
          <w:bCs/>
          <w:sz w:val="44"/>
          <w:szCs w:val="44"/>
        </w:rPr>
        <w:t>目  录</w:t>
      </w:r>
      <w:bookmarkEnd w:id="382"/>
    </w:p>
    <w:p w14:paraId="04C1ECBD">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49A7B325">
      <w:pPr>
        <w:spacing w:line="360" w:lineRule="auto"/>
        <w:jc w:val="center"/>
        <w:outlineLvl w:val="1"/>
        <w:rPr>
          <w:rFonts w:hint="eastAsia" w:ascii="宋体" w:hAnsi="宋体" w:cs="宋体"/>
          <w:b/>
          <w:bCs/>
          <w:sz w:val="44"/>
          <w:szCs w:val="44"/>
        </w:rPr>
      </w:pPr>
      <w:r>
        <w:rPr>
          <w:rFonts w:hint="eastAsia" w:ascii="宋体" w:hAnsi="宋体" w:cs="宋体"/>
        </w:rPr>
        <w:br w:type="page"/>
      </w:r>
      <w:bookmarkStart w:id="385" w:name="_Toc24886"/>
      <w:bookmarkStart w:id="386" w:name="_Toc5321"/>
      <w:bookmarkStart w:id="387" w:name="_Toc15837"/>
      <w:bookmarkStart w:id="388" w:name="_Toc6315"/>
      <w:bookmarkStart w:id="389" w:name="_Toc27187"/>
      <w:bookmarkStart w:id="390" w:name="_Toc165910152"/>
      <w:r>
        <w:rPr>
          <w:rFonts w:hint="eastAsia" w:ascii="宋体" w:hAnsi="宋体" w:cs="宋体"/>
          <w:b/>
          <w:bCs/>
          <w:sz w:val="44"/>
          <w:szCs w:val="44"/>
        </w:rPr>
        <w:t>资格审查部分</w:t>
      </w:r>
      <w:bookmarkEnd w:id="383"/>
      <w:bookmarkEnd w:id="384"/>
      <w:bookmarkEnd w:id="385"/>
      <w:bookmarkEnd w:id="386"/>
      <w:bookmarkEnd w:id="387"/>
      <w:bookmarkEnd w:id="388"/>
      <w:bookmarkEnd w:id="389"/>
      <w:bookmarkEnd w:id="390"/>
    </w:p>
    <w:bookmarkEnd w:id="381"/>
    <w:p w14:paraId="6DCCF9B0">
      <w:pPr>
        <w:pStyle w:val="4"/>
        <w:keepNext w:val="0"/>
        <w:keepLines w:val="0"/>
        <w:kinsoku w:val="0"/>
        <w:overflowPunct w:val="0"/>
        <w:autoSpaceDE w:val="0"/>
        <w:autoSpaceDN w:val="0"/>
        <w:spacing w:before="0" w:after="0" w:line="480" w:lineRule="auto"/>
        <w:rPr>
          <w:rFonts w:hint="eastAsia" w:ascii="宋体" w:hAnsi="宋体" w:cs="宋体"/>
        </w:rPr>
      </w:pPr>
      <w:bookmarkStart w:id="391" w:name="_Toc165910153"/>
      <w:bookmarkStart w:id="392" w:name="_Toc25249"/>
      <w:bookmarkStart w:id="393" w:name="_Toc30270"/>
      <w:bookmarkStart w:id="394" w:name="_Toc3896298"/>
      <w:bookmarkStart w:id="395" w:name="_Toc1124"/>
      <w:bookmarkStart w:id="396" w:name="_Toc12442"/>
      <w:bookmarkStart w:id="397" w:name="_Toc8582"/>
      <w:r>
        <w:rPr>
          <w:rFonts w:hint="eastAsia" w:ascii="宋体" w:hAnsi="宋体" w:cs="宋体"/>
        </w:rPr>
        <w:t>一、具有独立承担民事责任的能力</w:t>
      </w:r>
      <w:bookmarkEnd w:id="391"/>
      <w:bookmarkEnd w:id="392"/>
      <w:bookmarkEnd w:id="393"/>
      <w:bookmarkEnd w:id="394"/>
      <w:bookmarkEnd w:id="395"/>
      <w:bookmarkEnd w:id="396"/>
      <w:bookmarkEnd w:id="397"/>
    </w:p>
    <w:p w14:paraId="174271A8">
      <w:pPr>
        <w:pStyle w:val="18"/>
        <w:tabs>
          <w:tab w:val="left" w:pos="5580"/>
        </w:tabs>
        <w:spacing w:line="360" w:lineRule="auto"/>
        <w:ind w:firstLine="480" w:firstLineChars="200"/>
        <w:rPr>
          <w:rFonts w:hint="eastAsia" w:hAnsi="宋体" w:cs="宋体"/>
          <w:sz w:val="24"/>
          <w:szCs w:val="24"/>
        </w:rPr>
      </w:pPr>
      <w:r>
        <w:rPr>
          <w:rFonts w:hint="eastAsia" w:hAnsi="宋体" w:cs="宋体"/>
          <w:kern w:val="2"/>
          <w:sz w:val="24"/>
          <w:szCs w:val="24"/>
        </w:rPr>
        <w:t>提供法人或者其他组织的营业执照等证明文件或自然人的身份证明</w:t>
      </w:r>
      <w:r>
        <w:rPr>
          <w:rFonts w:hint="eastAsia" w:hAnsi="宋体" w:cs="宋体"/>
          <w:sz w:val="24"/>
          <w:szCs w:val="24"/>
        </w:rPr>
        <w:t>。</w:t>
      </w:r>
    </w:p>
    <w:p w14:paraId="2E035FFA">
      <w:pPr>
        <w:pStyle w:val="18"/>
        <w:tabs>
          <w:tab w:val="left" w:pos="5580"/>
        </w:tabs>
        <w:spacing w:line="360" w:lineRule="auto"/>
        <w:jc w:val="center"/>
        <w:rPr>
          <w:rFonts w:hint="eastAsia" w:hAnsi="宋体" w:cs="宋体"/>
          <w:sz w:val="24"/>
          <w:szCs w:val="24"/>
        </w:rPr>
      </w:pPr>
    </w:p>
    <w:p w14:paraId="7F6D7B29">
      <w:pPr>
        <w:pStyle w:val="4"/>
        <w:keepNext w:val="0"/>
        <w:keepLines w:val="0"/>
        <w:kinsoku w:val="0"/>
        <w:overflowPunct w:val="0"/>
        <w:autoSpaceDE w:val="0"/>
        <w:autoSpaceDN w:val="0"/>
        <w:spacing w:before="0" w:after="0" w:line="480" w:lineRule="auto"/>
        <w:rPr>
          <w:rFonts w:hint="eastAsia" w:ascii="宋体" w:hAnsi="宋体" w:cs="宋体"/>
        </w:rPr>
      </w:pPr>
      <w:bookmarkStart w:id="398" w:name="_Toc24593"/>
      <w:bookmarkEnd w:id="398"/>
      <w:bookmarkStart w:id="399" w:name="_Toc10328"/>
      <w:r>
        <w:rPr>
          <w:rFonts w:hint="eastAsia" w:ascii="宋体" w:hAnsi="宋体" w:cs="宋体"/>
        </w:rPr>
        <w:br w:type="page"/>
      </w:r>
      <w:bookmarkEnd w:id="399"/>
      <w:bookmarkStart w:id="400" w:name="_Toc165910154"/>
      <w:bookmarkStart w:id="401" w:name="_Toc19152"/>
      <w:bookmarkStart w:id="402" w:name="_Toc3896299"/>
      <w:bookmarkStart w:id="403" w:name="_Toc1683"/>
      <w:bookmarkStart w:id="404" w:name="_Toc6052"/>
      <w:bookmarkStart w:id="405" w:name="_Toc655"/>
      <w:bookmarkStart w:id="406" w:name="_Toc12812"/>
      <w:r>
        <w:rPr>
          <w:rFonts w:hint="eastAsia" w:ascii="宋体" w:hAnsi="宋体" w:cs="宋体"/>
        </w:rPr>
        <w:t>二、具有良好的商业信誉和健全的财务会计制度</w:t>
      </w:r>
      <w:bookmarkEnd w:id="400"/>
      <w:bookmarkEnd w:id="401"/>
      <w:bookmarkEnd w:id="402"/>
      <w:bookmarkEnd w:id="403"/>
      <w:bookmarkEnd w:id="404"/>
      <w:bookmarkEnd w:id="405"/>
      <w:bookmarkEnd w:id="406"/>
    </w:p>
    <w:p w14:paraId="7D5DE899">
      <w:pPr>
        <w:pStyle w:val="58"/>
        <w:wordWrap w:val="0"/>
        <w:ind w:firstLine="480" w:firstLineChars="200"/>
        <w:rPr>
          <w:rFonts w:hint="eastAsia" w:ascii="宋体" w:hAnsi="宋体" w:eastAsia="宋体"/>
          <w:kern w:val="2"/>
          <w:sz w:val="24"/>
          <w:szCs w:val="24"/>
        </w:rPr>
      </w:pPr>
      <w:r>
        <w:rPr>
          <w:rFonts w:hint="eastAsia" w:ascii="宋体" w:hAnsi="宋体" w:eastAsia="宋体"/>
          <w:kern w:val="2"/>
          <w:sz w:val="24"/>
          <w:szCs w:val="24"/>
        </w:rPr>
        <w:t>供应商须提供近三年（2022年-2024年）任意一年经审计的审计报告；成立不满1年的，提供本项目磋商响应文件提交截止时间前基本开户银行出具的资信证明。</w:t>
      </w:r>
    </w:p>
    <w:p w14:paraId="1219B5F7">
      <w:pPr>
        <w:pStyle w:val="58"/>
        <w:ind w:firstLine="480" w:firstLineChars="200"/>
        <w:rPr>
          <w:rFonts w:hint="eastAsia" w:ascii="宋体" w:hAnsi="宋体" w:eastAsia="宋体"/>
          <w:kern w:val="2"/>
          <w:sz w:val="24"/>
          <w:szCs w:val="24"/>
        </w:rPr>
      </w:pPr>
    </w:p>
    <w:p w14:paraId="2841CEE1">
      <w:pPr>
        <w:pStyle w:val="58"/>
        <w:ind w:firstLine="480" w:firstLineChars="200"/>
        <w:rPr>
          <w:rFonts w:hint="eastAsia" w:ascii="宋体" w:hAnsi="宋体" w:eastAsia="宋体"/>
          <w:kern w:val="2"/>
          <w:sz w:val="24"/>
          <w:szCs w:val="24"/>
        </w:rPr>
      </w:pPr>
    </w:p>
    <w:p w14:paraId="55084AC5">
      <w:pPr>
        <w:pStyle w:val="4"/>
        <w:keepNext w:val="0"/>
        <w:keepLines w:val="0"/>
        <w:kinsoku w:val="0"/>
        <w:overflowPunct w:val="0"/>
        <w:spacing w:before="0" w:after="0" w:line="480" w:lineRule="auto"/>
        <w:rPr>
          <w:rFonts w:hint="eastAsia" w:ascii="宋体" w:hAnsi="宋体" w:cs="宋体"/>
        </w:rPr>
      </w:pPr>
      <w:bookmarkStart w:id="407" w:name="_Toc3896300"/>
      <w:bookmarkStart w:id="408" w:name="_Toc5599"/>
      <w:bookmarkStart w:id="409" w:name="_Toc19739"/>
      <w:bookmarkStart w:id="410" w:name="_Toc17957"/>
      <w:r>
        <w:rPr>
          <w:rFonts w:hint="eastAsia" w:ascii="宋体" w:hAnsi="宋体" w:cs="宋体"/>
        </w:rPr>
        <w:br w:type="page"/>
      </w:r>
      <w:bookmarkStart w:id="411" w:name="_Toc12432"/>
      <w:bookmarkStart w:id="412" w:name="_Toc165910155"/>
      <w:bookmarkStart w:id="413" w:name="_Toc27671"/>
      <w:r>
        <w:rPr>
          <w:rFonts w:hint="eastAsia" w:ascii="宋体" w:hAnsi="宋体" w:cs="宋体"/>
        </w:rPr>
        <w:t>三、</w:t>
      </w:r>
      <w:bookmarkEnd w:id="407"/>
      <w:bookmarkEnd w:id="408"/>
      <w:bookmarkEnd w:id="409"/>
      <w:bookmarkStart w:id="414" w:name="_Toc20341"/>
      <w:r>
        <w:rPr>
          <w:rFonts w:hint="eastAsia" w:ascii="宋体" w:hAnsi="宋体" w:cs="宋体"/>
        </w:rPr>
        <w:t>具有履行合同所必需的设备和专业技术能力</w:t>
      </w:r>
      <w:bookmarkEnd w:id="410"/>
      <w:bookmarkEnd w:id="411"/>
      <w:bookmarkEnd w:id="412"/>
      <w:bookmarkEnd w:id="413"/>
    </w:p>
    <w:p w14:paraId="38A18902">
      <w:pPr>
        <w:pStyle w:val="58"/>
        <w:ind w:firstLine="480" w:firstLineChars="200"/>
        <w:rPr>
          <w:rFonts w:hint="eastAsia" w:ascii="宋体" w:hAnsi="宋体" w:eastAsia="宋体"/>
          <w:sz w:val="24"/>
          <w:szCs w:val="24"/>
        </w:rPr>
      </w:pPr>
      <w:bookmarkStart w:id="415" w:name="_Toc14504"/>
      <w:bookmarkEnd w:id="415"/>
      <w:r>
        <w:rPr>
          <w:rFonts w:hint="eastAsia" w:ascii="宋体" w:hAnsi="宋体" w:eastAsia="宋体"/>
          <w:sz w:val="24"/>
          <w:szCs w:val="24"/>
        </w:rPr>
        <w:t>提供具备履行合同所必需的设备和专业技术能力的证明材料或书面声明</w:t>
      </w:r>
    </w:p>
    <w:p w14:paraId="5606A5B1">
      <w:pPr>
        <w:pStyle w:val="58"/>
        <w:ind w:firstLine="480" w:firstLineChars="200"/>
        <w:rPr>
          <w:rFonts w:hint="eastAsia" w:ascii="宋体" w:hAnsi="宋体" w:eastAsia="宋体"/>
          <w:sz w:val="24"/>
          <w:szCs w:val="24"/>
        </w:rPr>
      </w:pPr>
    </w:p>
    <w:bookmarkEnd w:id="414"/>
    <w:p w14:paraId="5617B031">
      <w:pPr>
        <w:pStyle w:val="4"/>
        <w:spacing w:before="0" w:after="0" w:line="480" w:lineRule="auto"/>
        <w:rPr>
          <w:rFonts w:hint="eastAsia" w:ascii="宋体" w:hAnsi="宋体" w:cs="宋体"/>
        </w:rPr>
      </w:pPr>
      <w:r>
        <w:rPr>
          <w:rFonts w:hint="eastAsia" w:ascii="宋体" w:hAnsi="宋体" w:cs="宋体"/>
        </w:rPr>
        <w:br w:type="page"/>
      </w:r>
      <w:bookmarkStart w:id="416" w:name="_Toc3896301"/>
      <w:bookmarkStart w:id="417" w:name="_Toc25523"/>
      <w:bookmarkStart w:id="418" w:name="_Toc22489"/>
      <w:bookmarkStart w:id="419" w:name="_Toc19266"/>
      <w:bookmarkStart w:id="420" w:name="_Toc21153"/>
      <w:bookmarkStart w:id="421" w:name="_Toc21108"/>
      <w:bookmarkStart w:id="422" w:name="_Toc165910156"/>
      <w:r>
        <w:rPr>
          <w:rFonts w:hint="eastAsia" w:ascii="宋体" w:hAnsi="宋体" w:cs="宋体"/>
        </w:rPr>
        <w:t>四、</w:t>
      </w:r>
      <w:bookmarkEnd w:id="416"/>
      <w:bookmarkEnd w:id="417"/>
      <w:bookmarkEnd w:id="418"/>
      <w:r>
        <w:rPr>
          <w:rFonts w:hint="eastAsia" w:ascii="宋体" w:hAnsi="宋体" w:cs="宋体"/>
        </w:rPr>
        <w:t>有依法缴纳税收和社会保障资金的良好记录</w:t>
      </w:r>
      <w:bookmarkEnd w:id="419"/>
      <w:bookmarkEnd w:id="420"/>
      <w:bookmarkEnd w:id="421"/>
      <w:bookmarkEnd w:id="422"/>
    </w:p>
    <w:p w14:paraId="7D315AEB">
      <w:pPr>
        <w:pStyle w:val="58"/>
        <w:ind w:firstLine="480" w:firstLineChars="200"/>
        <w:rPr>
          <w:rFonts w:hint="eastAsia" w:ascii="宋体" w:hAnsi="宋体" w:eastAsia="宋体"/>
          <w:sz w:val="24"/>
          <w:szCs w:val="24"/>
        </w:rPr>
      </w:pPr>
      <w:r>
        <w:rPr>
          <w:rFonts w:hint="eastAsia" w:ascii="宋体" w:hAnsi="宋体" w:eastAsia="宋体"/>
          <w:sz w:val="24"/>
          <w:szCs w:val="24"/>
        </w:rPr>
        <w:t>提供2024年1月至今任意1个月依法缴纳税收和缴纳社会保障资金的证明(成立未满1个月的提供书面声明函；依法免税或不需要缴纳社会保障资金的供应商，应提供相应文件证明其依法免税或不需要缴纳社会保障资金)。</w:t>
      </w:r>
    </w:p>
    <w:p w14:paraId="13EE610F">
      <w:pPr>
        <w:spacing w:line="360" w:lineRule="auto"/>
        <w:jc w:val="center"/>
        <w:rPr>
          <w:rFonts w:hint="eastAsia" w:ascii="宋体" w:hAnsi="宋体" w:cs="宋体"/>
          <w:sz w:val="24"/>
          <w:szCs w:val="24"/>
        </w:rPr>
      </w:pPr>
    </w:p>
    <w:p w14:paraId="0AF9A807">
      <w:pPr>
        <w:autoSpaceDE w:val="0"/>
        <w:spacing w:line="480" w:lineRule="auto"/>
        <w:rPr>
          <w:rFonts w:hint="eastAsia" w:ascii="宋体" w:hAnsi="宋体" w:cs="宋体"/>
          <w:sz w:val="24"/>
          <w:szCs w:val="24"/>
        </w:rPr>
      </w:pPr>
    </w:p>
    <w:p w14:paraId="68D49A35">
      <w:pPr>
        <w:pStyle w:val="4"/>
        <w:spacing w:before="0" w:after="0" w:line="480" w:lineRule="auto"/>
        <w:rPr>
          <w:rFonts w:hint="eastAsia" w:ascii="宋体" w:hAnsi="宋体" w:cs="宋体"/>
          <w:sz w:val="24"/>
          <w:szCs w:val="24"/>
        </w:rPr>
      </w:pPr>
      <w:bookmarkStart w:id="423" w:name="_Toc8069"/>
      <w:bookmarkEnd w:id="423"/>
      <w:r>
        <w:rPr>
          <w:rFonts w:hint="eastAsia" w:ascii="宋体" w:hAnsi="宋体" w:cs="宋体"/>
        </w:rPr>
        <w:br w:type="page"/>
      </w:r>
      <w:bookmarkStart w:id="424" w:name="_Toc4022"/>
      <w:bookmarkEnd w:id="424"/>
      <w:bookmarkStart w:id="425" w:name="_Toc21948"/>
      <w:bookmarkStart w:id="426" w:name="_Toc11265"/>
      <w:bookmarkStart w:id="427" w:name="_Toc5534"/>
      <w:bookmarkStart w:id="428" w:name="_Toc13905"/>
      <w:bookmarkStart w:id="429" w:name="_Toc24864"/>
      <w:bookmarkStart w:id="430" w:name="_Toc21867"/>
      <w:bookmarkStart w:id="431" w:name="_Toc165910157"/>
      <w:bookmarkStart w:id="432" w:name="_Toc30512"/>
      <w:r>
        <w:rPr>
          <w:rFonts w:hint="eastAsia" w:ascii="宋体" w:hAnsi="宋体" w:cs="宋体"/>
          <w:szCs w:val="28"/>
        </w:rPr>
        <w:t>五、</w:t>
      </w:r>
      <w:bookmarkEnd w:id="425"/>
      <w:bookmarkEnd w:id="426"/>
      <w:bookmarkEnd w:id="427"/>
      <w:r>
        <w:rPr>
          <w:rFonts w:hint="eastAsia" w:ascii="宋体" w:hAnsi="宋体" w:cs="宋体"/>
          <w:szCs w:val="28"/>
        </w:rPr>
        <w:t>参加政府采购活动前三年内，在经营活动中没有重大违法记录</w:t>
      </w:r>
      <w:bookmarkEnd w:id="428"/>
      <w:bookmarkEnd w:id="429"/>
      <w:bookmarkEnd w:id="430"/>
      <w:bookmarkEnd w:id="431"/>
    </w:p>
    <w:p w14:paraId="21C4CAB2">
      <w:pPr>
        <w:spacing w:line="360" w:lineRule="auto"/>
        <w:ind w:firstLine="480" w:firstLineChars="200"/>
        <w:rPr>
          <w:rFonts w:hint="eastAsia" w:ascii="宋体" w:hAnsi="宋体" w:cs="宋体"/>
          <w:sz w:val="24"/>
          <w:szCs w:val="24"/>
        </w:rPr>
      </w:pPr>
      <w:r>
        <w:rPr>
          <w:rFonts w:hint="eastAsia" w:ascii="宋体" w:hAnsi="宋体" w:cs="宋体"/>
          <w:sz w:val="24"/>
          <w:szCs w:val="24"/>
        </w:rPr>
        <w:t>注：重大违法记录，是指供应商因违法经营受到刑事处罚或者责令停产停业、吊销许可证或者执照、较大数额罚款等行政处罚。</w:t>
      </w:r>
    </w:p>
    <w:bookmarkEnd w:id="432"/>
    <w:p w14:paraId="73FA9D77">
      <w:pPr>
        <w:spacing w:line="360" w:lineRule="auto"/>
        <w:ind w:firstLine="480" w:firstLineChars="200"/>
        <w:jc w:val="center"/>
        <w:rPr>
          <w:rFonts w:hint="eastAsia" w:ascii="宋体" w:hAnsi="宋体" w:cs="宋体"/>
          <w:sz w:val="24"/>
          <w:szCs w:val="24"/>
        </w:rPr>
      </w:pPr>
      <w:bookmarkStart w:id="433" w:name="_Toc20558"/>
      <w:r>
        <w:rPr>
          <w:rFonts w:hint="eastAsia" w:ascii="宋体" w:hAnsi="宋体" w:cs="宋体"/>
          <w:sz w:val="24"/>
          <w:szCs w:val="24"/>
        </w:rPr>
        <w:t>格式自拟</w:t>
      </w:r>
    </w:p>
    <w:p w14:paraId="4869DE18">
      <w:pPr>
        <w:pStyle w:val="4"/>
        <w:spacing w:before="0" w:after="0" w:line="480" w:lineRule="auto"/>
        <w:rPr>
          <w:rFonts w:hint="eastAsia" w:ascii="宋体" w:hAnsi="宋体" w:cs="宋体"/>
          <w:szCs w:val="28"/>
        </w:rPr>
      </w:pPr>
      <w:r>
        <w:rPr>
          <w:rFonts w:hint="eastAsia" w:ascii="宋体" w:hAnsi="宋体" w:cs="宋体"/>
        </w:rPr>
        <w:br w:type="page"/>
      </w:r>
      <w:bookmarkEnd w:id="433"/>
      <w:bookmarkStart w:id="434" w:name="_Toc16296"/>
      <w:bookmarkEnd w:id="434"/>
      <w:bookmarkStart w:id="435" w:name="_Toc15638"/>
      <w:bookmarkEnd w:id="435"/>
      <w:bookmarkStart w:id="436" w:name="_Toc15765"/>
      <w:bookmarkStart w:id="437" w:name="_Toc2710"/>
      <w:bookmarkStart w:id="438" w:name="_Toc25021"/>
      <w:bookmarkStart w:id="439" w:name="_Toc3873"/>
      <w:bookmarkStart w:id="440" w:name="_Toc26111"/>
      <w:bookmarkStart w:id="441" w:name="_Toc9551"/>
      <w:bookmarkStart w:id="442" w:name="_Toc3896304"/>
      <w:bookmarkStart w:id="443" w:name="_Toc165910158"/>
      <w:r>
        <w:rPr>
          <w:rFonts w:hint="eastAsia" w:ascii="宋体" w:hAnsi="宋体" w:cs="宋体"/>
          <w:szCs w:val="28"/>
        </w:rPr>
        <w:t>六、法律、行政法规规定的其他条件</w:t>
      </w:r>
      <w:bookmarkEnd w:id="436"/>
      <w:bookmarkEnd w:id="437"/>
      <w:bookmarkEnd w:id="438"/>
      <w:bookmarkEnd w:id="439"/>
      <w:bookmarkEnd w:id="440"/>
      <w:bookmarkEnd w:id="441"/>
      <w:bookmarkEnd w:id="442"/>
      <w:bookmarkEnd w:id="443"/>
    </w:p>
    <w:p w14:paraId="3EC48B4E">
      <w:pPr>
        <w:pStyle w:val="14"/>
        <w:ind w:firstLine="465"/>
        <w:rPr>
          <w:rFonts w:hint="eastAsia" w:ascii="宋体" w:hAnsi="宋体" w:cs="宋体"/>
          <w:kern w:val="0"/>
          <w:sz w:val="24"/>
        </w:rPr>
      </w:pPr>
      <w:r>
        <w:rPr>
          <w:rFonts w:hint="eastAsia" w:ascii="宋体" w:hAnsi="宋体" w:cs="宋体"/>
          <w:kern w:val="0"/>
          <w:sz w:val="24"/>
        </w:rPr>
        <w:t>（1）单位负责人为同一人或者存在直接控股、管理关系的不同供应商，不得参加同一合同项下的政府采购活动。</w:t>
      </w:r>
    </w:p>
    <w:p w14:paraId="79D0032F">
      <w:pPr>
        <w:pStyle w:val="14"/>
        <w:ind w:firstLine="465"/>
        <w:rPr>
          <w:rFonts w:hint="eastAsia" w:ascii="宋体" w:hAnsi="宋体" w:cs="宋体"/>
          <w:kern w:val="0"/>
          <w:sz w:val="24"/>
        </w:rPr>
      </w:pPr>
      <w:r>
        <w:rPr>
          <w:rFonts w:hint="eastAsia" w:ascii="宋体" w:hAnsi="宋体" w:cs="宋体"/>
          <w:kern w:val="0"/>
          <w:sz w:val="24"/>
        </w:rPr>
        <w:t>为采购项目提供整体设计、规范编制或者项目管理、监理、检测等服务的供应商，不得再参加该采购项目的其他采购活动。</w:t>
      </w:r>
    </w:p>
    <w:p w14:paraId="55E948E5">
      <w:pPr>
        <w:wordWrap w:val="0"/>
        <w:spacing w:line="360" w:lineRule="auto"/>
        <w:ind w:firstLine="465"/>
        <w:rPr>
          <w:rFonts w:hint="eastAsia" w:ascii="宋体" w:hAnsi="宋体" w:cs="宋体"/>
          <w:sz w:val="24"/>
          <w:szCs w:val="24"/>
        </w:rPr>
      </w:pPr>
      <w:r>
        <w:rPr>
          <w:rFonts w:hint="eastAsia" w:ascii="宋体" w:hAnsi="宋体" w:cs="宋体"/>
          <w:sz w:val="24"/>
          <w:szCs w:val="24"/>
        </w:rPr>
        <w:t>（2）供应商在本项目响应文件提交截止时间前在信用中国网站（www.creditchina.gov.cn）未被列入失信被执行人、重大税收违法失信主体（查询时间为本公告发布之日起至提交响应文件截止时间止，查询结果以采购人、采购代理机构查询结果为准，并将查询记录和证据留存）；</w:t>
      </w:r>
    </w:p>
    <w:p w14:paraId="10DFD7B3">
      <w:pPr>
        <w:spacing w:line="360" w:lineRule="auto"/>
        <w:ind w:firstLine="465"/>
        <w:rPr>
          <w:rFonts w:hint="eastAsia" w:ascii="宋体" w:hAnsi="宋体" w:cs="宋体"/>
          <w:sz w:val="24"/>
          <w:szCs w:val="24"/>
        </w:rPr>
      </w:pPr>
      <w:r>
        <w:rPr>
          <w:rFonts w:hint="eastAsia" w:ascii="宋体" w:hAnsi="宋体" w:cs="宋体"/>
          <w:sz w:val="24"/>
          <w:szCs w:val="24"/>
        </w:rPr>
        <w:t>（3）供应商在本项目响应文件提交截止时间前在中国政府采购网（www.ccgp.gov.cn）政府采购严重违法失信行为记录名单中无不良信息记录（查询时间为本公告发布之日起至提交响应文件截止时间止，查询结果以采购人、采购代理机构查询结果为准，并将查询记录和证据留存）。</w:t>
      </w:r>
    </w:p>
    <w:p w14:paraId="6B7D3BF0">
      <w:pPr>
        <w:spacing w:line="360" w:lineRule="auto"/>
        <w:ind w:firstLine="480" w:firstLineChars="200"/>
        <w:rPr>
          <w:rFonts w:hint="eastAsia" w:ascii="宋体" w:hAnsi="宋体" w:cs="宋体"/>
          <w:sz w:val="24"/>
          <w:szCs w:val="24"/>
        </w:rPr>
      </w:pPr>
    </w:p>
    <w:p w14:paraId="2F97CECE">
      <w:pPr>
        <w:rPr>
          <w:rFonts w:hint="eastAsia" w:ascii="宋体" w:hAnsi="宋体" w:cs="宋体"/>
          <w:szCs w:val="28"/>
        </w:rPr>
      </w:pPr>
    </w:p>
    <w:p w14:paraId="139E0F88">
      <w:pPr>
        <w:rPr>
          <w:rFonts w:hint="eastAsia" w:ascii="宋体" w:hAnsi="宋体" w:cs="宋体"/>
          <w:szCs w:val="28"/>
        </w:rPr>
      </w:pPr>
    </w:p>
    <w:p w14:paraId="47AC4F4C">
      <w:pPr>
        <w:rPr>
          <w:rFonts w:hint="eastAsia" w:ascii="宋体" w:hAnsi="宋体" w:cs="宋体"/>
          <w:szCs w:val="28"/>
        </w:rPr>
      </w:pPr>
      <w:r>
        <w:rPr>
          <w:rFonts w:hint="eastAsia" w:ascii="宋体" w:hAnsi="宋体" w:cs="宋体"/>
          <w:szCs w:val="28"/>
        </w:rPr>
        <w:br w:type="page"/>
      </w:r>
    </w:p>
    <w:p w14:paraId="6995573E">
      <w:pPr>
        <w:ind w:firstLine="883" w:firstLineChars="200"/>
        <w:jc w:val="center"/>
        <w:outlineLvl w:val="1"/>
        <w:rPr>
          <w:rFonts w:hint="eastAsia" w:ascii="宋体" w:hAnsi="宋体" w:cs="宋体"/>
          <w:b/>
          <w:bCs/>
          <w:sz w:val="44"/>
          <w:szCs w:val="44"/>
        </w:rPr>
      </w:pPr>
      <w:bookmarkStart w:id="444" w:name="_Toc29400"/>
      <w:bookmarkStart w:id="445" w:name="_Toc9029"/>
      <w:bookmarkStart w:id="446" w:name="_Toc11226"/>
      <w:bookmarkStart w:id="447" w:name="_Toc29508"/>
      <w:bookmarkStart w:id="448" w:name="_Toc23292"/>
      <w:bookmarkStart w:id="449" w:name="_Toc165910159"/>
      <w:bookmarkStart w:id="450" w:name="_Toc3896306"/>
      <w:bookmarkStart w:id="451" w:name="_Toc10856"/>
      <w:r>
        <w:rPr>
          <w:rFonts w:hint="eastAsia" w:ascii="宋体" w:hAnsi="宋体" w:cs="宋体"/>
          <w:b/>
          <w:bCs/>
          <w:sz w:val="44"/>
          <w:szCs w:val="44"/>
        </w:rPr>
        <w:t>商务报价部分</w:t>
      </w:r>
      <w:bookmarkEnd w:id="444"/>
      <w:bookmarkEnd w:id="445"/>
      <w:bookmarkEnd w:id="446"/>
      <w:bookmarkEnd w:id="447"/>
      <w:bookmarkEnd w:id="448"/>
      <w:bookmarkEnd w:id="449"/>
      <w:bookmarkEnd w:id="450"/>
      <w:bookmarkEnd w:id="451"/>
    </w:p>
    <w:p w14:paraId="3F8AE547">
      <w:pPr>
        <w:spacing w:line="240" w:lineRule="exact"/>
        <w:rPr>
          <w:rFonts w:hint="eastAsia" w:ascii="宋体" w:hAnsi="宋体" w:cs="宋体"/>
          <w:sz w:val="28"/>
          <w:szCs w:val="28"/>
        </w:rPr>
      </w:pPr>
      <w:bookmarkStart w:id="452" w:name="_Toc15981"/>
      <w:bookmarkEnd w:id="452"/>
      <w:bookmarkStart w:id="453" w:name="_Toc31298"/>
      <w:bookmarkEnd w:id="453"/>
      <w:bookmarkStart w:id="454" w:name="_Toc28459"/>
      <w:bookmarkEnd w:id="454"/>
      <w:bookmarkStart w:id="455" w:name="_Toc10984"/>
      <w:bookmarkEnd w:id="455"/>
      <w:bookmarkStart w:id="456" w:name="_Toc29456"/>
    </w:p>
    <w:p w14:paraId="08ACBF1D">
      <w:pPr>
        <w:pStyle w:val="4"/>
        <w:spacing w:before="0" w:after="0" w:line="360" w:lineRule="auto"/>
        <w:rPr>
          <w:rFonts w:hint="eastAsia" w:ascii="宋体" w:hAnsi="宋体" w:cs="宋体"/>
          <w:szCs w:val="28"/>
        </w:rPr>
      </w:pPr>
      <w:bookmarkStart w:id="457" w:name="_Toc16593"/>
      <w:bookmarkStart w:id="458" w:name="_Toc8764"/>
      <w:bookmarkStart w:id="459" w:name="_Toc13186"/>
      <w:bookmarkStart w:id="460" w:name="_Toc3896307"/>
      <w:bookmarkStart w:id="461" w:name="_Toc29485"/>
      <w:bookmarkStart w:id="462" w:name="_Toc165910160"/>
      <w:r>
        <w:rPr>
          <w:rFonts w:hint="eastAsia" w:ascii="宋体" w:hAnsi="宋体" w:cs="宋体"/>
          <w:szCs w:val="28"/>
        </w:rPr>
        <w:t>一、初次报价表</w:t>
      </w:r>
      <w:bookmarkEnd w:id="456"/>
      <w:bookmarkEnd w:id="457"/>
      <w:bookmarkEnd w:id="458"/>
      <w:bookmarkEnd w:id="459"/>
      <w:bookmarkEnd w:id="460"/>
      <w:bookmarkEnd w:id="461"/>
      <w:bookmarkEnd w:id="462"/>
    </w:p>
    <w:p w14:paraId="0E1B7D93">
      <w:pPr>
        <w:spacing w:line="420" w:lineRule="exact"/>
        <w:ind w:right="-309" w:rightChars="-147"/>
        <w:rPr>
          <w:rFonts w:hint="eastAsia" w:ascii="宋体" w:hAnsi="宋体" w:cs="宋体"/>
          <w:sz w:val="24"/>
          <w:szCs w:val="24"/>
        </w:rPr>
      </w:pPr>
      <w:r>
        <w:rPr>
          <w:rFonts w:hint="eastAsia" w:ascii="宋体" w:hAnsi="宋体" w:cs="宋体"/>
          <w:sz w:val="24"/>
          <w:szCs w:val="24"/>
        </w:rPr>
        <w:t>项目名称：</w:t>
      </w:r>
    </w:p>
    <w:p w14:paraId="71A4EF99">
      <w:pPr>
        <w:spacing w:line="420" w:lineRule="exact"/>
        <w:ind w:right="-309" w:rightChars="-147"/>
        <w:rPr>
          <w:rFonts w:hint="eastAsia" w:ascii="宋体" w:hAnsi="宋体" w:cs="宋体"/>
          <w:sz w:val="24"/>
          <w:szCs w:val="24"/>
        </w:rPr>
      </w:pPr>
      <w:r>
        <w:rPr>
          <w:rFonts w:hint="eastAsia" w:ascii="宋体" w:hAnsi="宋体" w:cs="宋体"/>
          <w:sz w:val="24"/>
          <w:szCs w:val="24"/>
        </w:rPr>
        <w:t>项目编号：</w:t>
      </w:r>
    </w:p>
    <w:p w14:paraId="56A47772">
      <w:pPr>
        <w:spacing w:line="420" w:lineRule="exact"/>
        <w:ind w:right="-309" w:rightChars="-147"/>
        <w:rPr>
          <w:rFonts w:hint="eastAsia" w:ascii="宋体" w:hAnsi="宋体" w:cs="宋体"/>
          <w:sz w:val="24"/>
          <w:szCs w:val="24"/>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9"/>
        <w:gridCol w:w="7615"/>
      </w:tblGrid>
      <w:tr w14:paraId="1B96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7" w:hRule="atLeast"/>
        </w:trPr>
        <w:tc>
          <w:tcPr>
            <w:tcW w:w="2339" w:type="dxa"/>
            <w:tcBorders>
              <w:top w:val="single" w:color="000000" w:sz="4" w:space="0"/>
              <w:left w:val="single" w:color="000000" w:sz="4" w:space="0"/>
              <w:bottom w:val="nil"/>
              <w:right w:val="single" w:color="000000" w:sz="4" w:space="0"/>
            </w:tcBorders>
            <w:vAlign w:val="center"/>
          </w:tcPr>
          <w:p w14:paraId="6F47BD0E">
            <w:pPr>
              <w:pStyle w:val="10"/>
              <w:widowControl w:val="0"/>
              <w:jc w:val="center"/>
              <w:rPr>
                <w:rFonts w:hint="eastAsia" w:hAnsi="宋体" w:cs="宋体"/>
                <w:sz w:val="24"/>
                <w:szCs w:val="24"/>
              </w:rPr>
            </w:pPr>
            <w:r>
              <w:rPr>
                <w:rFonts w:hint="eastAsia" w:hAnsi="宋体" w:cs="宋体"/>
                <w:sz w:val="24"/>
                <w:szCs w:val="24"/>
              </w:rPr>
              <w:t>供应商名称</w:t>
            </w:r>
          </w:p>
        </w:tc>
        <w:tc>
          <w:tcPr>
            <w:tcW w:w="7615" w:type="dxa"/>
            <w:tcBorders>
              <w:top w:val="single" w:color="000000" w:sz="4" w:space="0"/>
              <w:left w:val="single" w:color="000000" w:sz="4" w:space="0"/>
              <w:bottom w:val="nil"/>
              <w:right w:val="single" w:color="000000" w:sz="4" w:space="0"/>
            </w:tcBorders>
          </w:tcPr>
          <w:p w14:paraId="4A341F67">
            <w:pPr>
              <w:pStyle w:val="10"/>
              <w:widowControl w:val="0"/>
              <w:jc w:val="center"/>
              <w:rPr>
                <w:rFonts w:hint="eastAsia" w:hAnsi="宋体" w:cs="宋体"/>
                <w:sz w:val="24"/>
                <w:szCs w:val="24"/>
              </w:rPr>
            </w:pPr>
          </w:p>
        </w:tc>
      </w:tr>
      <w:tr w14:paraId="04D3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2339" w:type="dxa"/>
            <w:vAlign w:val="center"/>
          </w:tcPr>
          <w:p w14:paraId="1210171B">
            <w:pPr>
              <w:pStyle w:val="10"/>
              <w:widowControl w:val="0"/>
              <w:jc w:val="center"/>
              <w:rPr>
                <w:rFonts w:hint="eastAsia" w:hAnsi="宋体" w:cs="宋体"/>
                <w:sz w:val="24"/>
                <w:szCs w:val="24"/>
              </w:rPr>
            </w:pPr>
            <w:r>
              <w:rPr>
                <w:rFonts w:hint="eastAsia" w:hAnsi="宋体" w:cs="宋体"/>
                <w:sz w:val="24"/>
                <w:szCs w:val="24"/>
              </w:rPr>
              <w:t>磋商总报价（元）</w:t>
            </w:r>
          </w:p>
        </w:tc>
        <w:tc>
          <w:tcPr>
            <w:tcW w:w="7615" w:type="dxa"/>
            <w:vAlign w:val="center"/>
          </w:tcPr>
          <w:p w14:paraId="70CCDC79">
            <w:pPr>
              <w:pStyle w:val="10"/>
              <w:widowControl w:val="0"/>
              <w:jc w:val="both"/>
              <w:rPr>
                <w:rFonts w:hint="eastAsia" w:hAnsi="宋体" w:cs="宋体"/>
                <w:sz w:val="24"/>
                <w:szCs w:val="24"/>
              </w:rPr>
            </w:pPr>
            <w:r>
              <w:rPr>
                <w:rFonts w:hint="eastAsia" w:hAnsi="宋体" w:cs="宋体"/>
                <w:sz w:val="24"/>
                <w:szCs w:val="24"/>
              </w:rPr>
              <w:t>小写：</w:t>
            </w:r>
            <w:r>
              <w:rPr>
                <w:rFonts w:hint="eastAsia" w:hAnsi="宋体" w:cs="宋体"/>
                <w:sz w:val="24"/>
                <w:szCs w:val="24"/>
                <w:u w:val="single"/>
              </w:rPr>
              <w:t xml:space="preserve">                  元</w:t>
            </w:r>
          </w:p>
          <w:p w14:paraId="250A2227">
            <w:pPr>
              <w:pStyle w:val="10"/>
              <w:widowControl w:val="0"/>
              <w:jc w:val="both"/>
              <w:rPr>
                <w:rFonts w:hint="eastAsia" w:hAnsi="宋体" w:cs="宋体"/>
                <w:sz w:val="24"/>
                <w:szCs w:val="24"/>
              </w:rPr>
            </w:pPr>
            <w:r>
              <w:rPr>
                <w:rFonts w:hint="eastAsia" w:hAnsi="宋体" w:cs="宋体"/>
                <w:sz w:val="24"/>
                <w:szCs w:val="24"/>
              </w:rPr>
              <w:t>大写：</w:t>
            </w:r>
          </w:p>
        </w:tc>
      </w:tr>
      <w:tr w14:paraId="0C7C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339" w:type="dxa"/>
            <w:vAlign w:val="center"/>
          </w:tcPr>
          <w:p w14:paraId="69A616B2">
            <w:pPr>
              <w:pStyle w:val="10"/>
              <w:widowControl w:val="0"/>
              <w:jc w:val="center"/>
              <w:rPr>
                <w:rFonts w:hint="eastAsia" w:hAnsi="宋体" w:cs="宋体"/>
                <w:sz w:val="24"/>
                <w:szCs w:val="24"/>
              </w:rPr>
            </w:pPr>
            <w:r>
              <w:rPr>
                <w:rFonts w:hint="eastAsia" w:hAnsi="宋体" w:cs="宋体"/>
                <w:sz w:val="24"/>
                <w:szCs w:val="24"/>
              </w:rPr>
              <w:t>合同履行期限</w:t>
            </w:r>
          </w:p>
        </w:tc>
        <w:tc>
          <w:tcPr>
            <w:tcW w:w="7615" w:type="dxa"/>
            <w:vAlign w:val="center"/>
          </w:tcPr>
          <w:p w14:paraId="708985AD">
            <w:pPr>
              <w:pStyle w:val="10"/>
              <w:widowControl w:val="0"/>
              <w:jc w:val="center"/>
              <w:rPr>
                <w:rFonts w:hint="eastAsia" w:hAnsi="宋体" w:cs="宋体"/>
                <w:sz w:val="24"/>
                <w:szCs w:val="24"/>
              </w:rPr>
            </w:pPr>
          </w:p>
        </w:tc>
      </w:tr>
      <w:tr w14:paraId="508B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339" w:type="dxa"/>
            <w:vAlign w:val="center"/>
          </w:tcPr>
          <w:p w14:paraId="5F263CC6">
            <w:pPr>
              <w:pStyle w:val="10"/>
              <w:widowControl w:val="0"/>
              <w:jc w:val="center"/>
              <w:rPr>
                <w:rFonts w:hint="eastAsia" w:hAnsi="宋体" w:cs="宋体"/>
                <w:sz w:val="24"/>
                <w:szCs w:val="24"/>
              </w:rPr>
            </w:pPr>
            <w:r>
              <w:rPr>
                <w:rFonts w:hint="eastAsia" w:hAnsi="宋体" w:cs="宋体"/>
                <w:sz w:val="24"/>
                <w:szCs w:val="24"/>
              </w:rPr>
              <w:t>服务地点</w:t>
            </w:r>
          </w:p>
        </w:tc>
        <w:tc>
          <w:tcPr>
            <w:tcW w:w="7615" w:type="dxa"/>
            <w:vAlign w:val="center"/>
          </w:tcPr>
          <w:p w14:paraId="7F19A32E">
            <w:pPr>
              <w:pStyle w:val="10"/>
              <w:widowControl w:val="0"/>
              <w:jc w:val="center"/>
              <w:rPr>
                <w:rFonts w:hint="eastAsia" w:hAnsi="宋体" w:cs="宋体"/>
                <w:sz w:val="24"/>
                <w:szCs w:val="24"/>
              </w:rPr>
            </w:pPr>
          </w:p>
        </w:tc>
      </w:tr>
      <w:tr w14:paraId="084B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339" w:type="dxa"/>
            <w:vAlign w:val="center"/>
          </w:tcPr>
          <w:p w14:paraId="6A2913C1">
            <w:pPr>
              <w:pStyle w:val="10"/>
              <w:widowControl w:val="0"/>
              <w:jc w:val="center"/>
              <w:rPr>
                <w:rFonts w:hint="eastAsia" w:hAnsi="宋体" w:cs="宋体"/>
                <w:sz w:val="24"/>
                <w:szCs w:val="24"/>
              </w:rPr>
            </w:pPr>
            <w:r>
              <w:rPr>
                <w:rFonts w:hint="eastAsia" w:hAnsi="宋体" w:cs="宋体"/>
                <w:sz w:val="24"/>
                <w:szCs w:val="24"/>
              </w:rPr>
              <w:t>备注</w:t>
            </w:r>
            <w:bookmarkStart w:id="544" w:name="_GoBack"/>
            <w:bookmarkEnd w:id="544"/>
          </w:p>
        </w:tc>
        <w:tc>
          <w:tcPr>
            <w:tcW w:w="7615" w:type="dxa"/>
          </w:tcPr>
          <w:p w14:paraId="6505F0F1">
            <w:pPr>
              <w:pStyle w:val="10"/>
              <w:widowControl w:val="0"/>
              <w:jc w:val="center"/>
              <w:rPr>
                <w:rFonts w:hint="eastAsia" w:hAnsi="宋体" w:cs="宋体"/>
                <w:sz w:val="24"/>
                <w:szCs w:val="24"/>
              </w:rPr>
            </w:pPr>
          </w:p>
        </w:tc>
      </w:tr>
    </w:tbl>
    <w:p w14:paraId="0E7858FD">
      <w:pPr>
        <w:pStyle w:val="14"/>
        <w:rPr>
          <w:rFonts w:hint="eastAsia" w:ascii="宋体" w:hAnsi="宋体" w:cs="宋体"/>
        </w:rPr>
      </w:pPr>
    </w:p>
    <w:p w14:paraId="43A2B787">
      <w:pPr>
        <w:rPr>
          <w:rFonts w:hint="eastAsia" w:ascii="宋体" w:hAnsi="宋体" w:cs="宋体"/>
        </w:rPr>
      </w:pPr>
    </w:p>
    <w:p w14:paraId="64C2D4C9">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09FCFD06">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法定代表人或其委托代理人：</w:t>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5789BE92">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54B3C2BA">
      <w:pPr>
        <w:pStyle w:val="4"/>
        <w:widowControl/>
        <w:autoSpaceDE w:val="0"/>
        <w:spacing w:before="0" w:after="0" w:line="240" w:lineRule="auto"/>
        <w:rPr>
          <w:rFonts w:hint="eastAsia" w:ascii="宋体" w:hAnsi="宋体" w:cs="宋体"/>
          <w:szCs w:val="28"/>
        </w:rPr>
      </w:pPr>
      <w:r>
        <w:rPr>
          <w:rFonts w:hint="eastAsia" w:ascii="宋体" w:hAnsi="宋体" w:cs="宋体"/>
          <w:b w:val="0"/>
          <w:bCs w:val="0"/>
          <w:sz w:val="24"/>
          <w:szCs w:val="24"/>
        </w:rPr>
        <w:br w:type="page"/>
      </w:r>
      <w:bookmarkStart w:id="463" w:name="_Toc17435"/>
      <w:bookmarkEnd w:id="463"/>
      <w:bookmarkStart w:id="464" w:name="_Toc3896308"/>
      <w:bookmarkStart w:id="465" w:name="_Toc165910161"/>
      <w:bookmarkStart w:id="466" w:name="_Toc32591"/>
      <w:bookmarkStart w:id="467" w:name="_Toc9849"/>
      <w:bookmarkStart w:id="468" w:name="_Toc11798"/>
      <w:bookmarkStart w:id="469" w:name="_Toc2521"/>
      <w:bookmarkStart w:id="470" w:name="_Toc22554"/>
      <w:r>
        <w:rPr>
          <w:rFonts w:hint="eastAsia" w:ascii="宋体" w:hAnsi="宋体" w:cs="宋体"/>
          <w:szCs w:val="28"/>
        </w:rPr>
        <w:t>二、磋商函</w:t>
      </w:r>
      <w:bookmarkEnd w:id="464"/>
      <w:bookmarkEnd w:id="465"/>
      <w:bookmarkEnd w:id="466"/>
      <w:bookmarkEnd w:id="467"/>
      <w:bookmarkEnd w:id="468"/>
      <w:bookmarkEnd w:id="469"/>
      <w:bookmarkEnd w:id="470"/>
    </w:p>
    <w:p w14:paraId="7A18425E">
      <w:pPr>
        <w:spacing w:line="360" w:lineRule="auto"/>
        <w:rPr>
          <w:rFonts w:hint="eastAsia" w:ascii="宋体" w:hAnsi="宋体" w:cs="宋体"/>
          <w:sz w:val="24"/>
          <w:szCs w:val="24"/>
          <w:u w:val="single"/>
        </w:rPr>
      </w:pPr>
    </w:p>
    <w:p w14:paraId="65DA3F7B">
      <w:pPr>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（采购人名称）：</w:t>
      </w:r>
    </w:p>
    <w:p w14:paraId="6D7B72EE">
      <w:pPr>
        <w:autoSpaceDE w:val="0"/>
        <w:autoSpaceDN w:val="0"/>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我方已仔细研究了</w:t>
      </w:r>
      <w:r>
        <w:rPr>
          <w:rFonts w:hint="eastAsia" w:ascii="宋体" w:hAnsi="宋体" w:cs="宋体"/>
          <w:sz w:val="24"/>
          <w:szCs w:val="24"/>
          <w:u w:val="single"/>
        </w:rPr>
        <w:t xml:space="preserve">              </w:t>
      </w:r>
      <w:r>
        <w:rPr>
          <w:rFonts w:hint="eastAsia" w:ascii="宋体" w:hAnsi="宋体" w:cs="宋体"/>
          <w:sz w:val="24"/>
          <w:szCs w:val="24"/>
        </w:rPr>
        <w:t>（项目名称）竞争性磋商文件的全部内容，</w:t>
      </w:r>
      <w:r>
        <w:rPr>
          <w:rFonts w:hint="eastAsia" w:ascii="宋体" w:hAnsi="宋体" w:cs="宋体"/>
          <w:sz w:val="24"/>
        </w:rPr>
        <w:t>且对竞争性磋商文件无任何异议，并愿意以最后磋商报价，向你方提供竞争性磋商文件要求的服务。</w:t>
      </w:r>
    </w:p>
    <w:p w14:paraId="2888618D">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1.我方承诺在磋商有效期内不修改或撤销响应文件。</w:t>
      </w:r>
    </w:p>
    <w:p w14:paraId="6D47191A">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2.本磋商的磋商有效期为自响应文件递交截止之日起</w:t>
      </w:r>
      <w:r>
        <w:rPr>
          <w:rFonts w:hint="eastAsia" w:ascii="宋体" w:hAnsi="宋体" w:cs="宋体"/>
          <w:sz w:val="24"/>
          <w:u w:val="single"/>
        </w:rPr>
        <w:t xml:space="preserve">       </w:t>
      </w:r>
      <w:r>
        <w:rPr>
          <w:rFonts w:hint="eastAsia" w:ascii="宋体" w:hAnsi="宋体" w:cs="宋体"/>
          <w:sz w:val="24"/>
        </w:rPr>
        <w:t>个日历天。</w:t>
      </w:r>
    </w:p>
    <w:p w14:paraId="2129FDE1">
      <w:pPr>
        <w:pStyle w:val="14"/>
        <w:ind w:firstLine="480" w:firstLineChars="200"/>
        <w:rPr>
          <w:rFonts w:hint="eastAsia" w:ascii="宋体" w:hAnsi="宋体" w:cs="宋体"/>
          <w:kern w:val="0"/>
          <w:sz w:val="24"/>
        </w:rPr>
      </w:pPr>
      <w:r>
        <w:rPr>
          <w:rFonts w:hint="eastAsia" w:ascii="宋体" w:hAnsi="宋体" w:cs="宋体"/>
          <w:kern w:val="0"/>
          <w:sz w:val="24"/>
        </w:rPr>
        <w:t>3.我方承诺所提交的响应文件及有关资料是完整的、真实的、准确的和有效的，否则，我方承担由此造成的任何损失及引起的任何后果。</w:t>
      </w:r>
    </w:p>
    <w:p w14:paraId="536786BF">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4．如我方成交：</w:t>
      </w:r>
    </w:p>
    <w:p w14:paraId="0F3C905D">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（1）我方承诺在收到成交通知书后，在成交通知书规定的期限内与你方签订合同。</w:t>
      </w:r>
    </w:p>
    <w:p w14:paraId="02CCBF5F">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（2）我方承诺按照竞争性磋商文件规定向你方递交履约保证金。</w:t>
      </w:r>
    </w:p>
    <w:p w14:paraId="33AEC4C7">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（3）我方承诺按合同约定的期限和地点，提供符合竞争性磋商文件要求的全部的服务。</w:t>
      </w:r>
    </w:p>
    <w:p w14:paraId="2EDCD7FB">
      <w:pPr>
        <w:autoSpaceDE w:val="0"/>
        <w:autoSpaceDN w:val="0"/>
        <w:adjustRightInd w:val="0"/>
        <w:snapToGrid w:val="0"/>
        <w:spacing w:line="360" w:lineRule="auto"/>
        <w:ind w:firstLine="480" w:firstLineChars="200"/>
        <w:rPr>
          <w:rFonts w:hint="eastAsia" w:ascii="宋体" w:hAnsi="宋体" w:cs="宋体"/>
        </w:rPr>
      </w:pPr>
      <w:r>
        <w:rPr>
          <w:rFonts w:hint="eastAsia" w:ascii="宋体" w:hAnsi="宋体" w:cs="宋体"/>
          <w:sz w:val="24"/>
        </w:rPr>
        <w:t>（4）除商务条款偏离表列出的偏差外，我方响应磋商文件的全部要求。</w:t>
      </w:r>
    </w:p>
    <w:p w14:paraId="7FFDE0FF">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u w:val="single"/>
        </w:rPr>
        <w:t xml:space="preserve">                </w:t>
      </w:r>
      <w:r>
        <w:rPr>
          <w:rFonts w:hint="eastAsia" w:ascii="宋体" w:hAnsi="宋体" w:cs="宋体"/>
          <w:sz w:val="24"/>
        </w:rPr>
        <w:t>（其他补充说明）。</w:t>
      </w:r>
    </w:p>
    <w:p w14:paraId="7DD7BC35">
      <w:pPr>
        <w:pStyle w:val="14"/>
        <w:ind w:firstLine="480" w:firstLineChars="200"/>
        <w:rPr>
          <w:rFonts w:hint="eastAsia" w:ascii="宋体" w:hAnsi="宋体" w:cs="宋体"/>
          <w:kern w:val="0"/>
          <w:sz w:val="24"/>
        </w:rPr>
      </w:pPr>
    </w:p>
    <w:p w14:paraId="204A093A">
      <w:pPr>
        <w:pStyle w:val="14"/>
        <w:ind w:firstLine="480" w:firstLineChars="200"/>
        <w:rPr>
          <w:rFonts w:hint="eastAsia" w:ascii="宋体" w:hAnsi="宋体" w:cs="宋体"/>
          <w:kern w:val="0"/>
          <w:sz w:val="24"/>
        </w:rPr>
      </w:pPr>
    </w:p>
    <w:p w14:paraId="72D788CB">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12BC45D8">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法定代表人或其委托代理人：</w:t>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73BBDBAC">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地</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14:paraId="6BFD0364">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网</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14:paraId="11A9269E">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电</w:t>
      </w:r>
      <w:r>
        <w:rPr>
          <w:rFonts w:hint="eastAsia" w:ascii="宋体" w:hAnsi="宋体" w:cs="宋体"/>
          <w:b/>
          <w:bCs/>
          <w:sz w:val="24"/>
          <w:szCs w:val="24"/>
        </w:rPr>
        <w:tab/>
      </w:r>
      <w:r>
        <w:rPr>
          <w:rFonts w:hint="eastAsia" w:ascii="宋体" w:hAnsi="宋体" w:cs="宋体"/>
          <w:b/>
          <w:bCs/>
          <w:sz w:val="24"/>
          <w:szCs w:val="24"/>
        </w:rPr>
        <w:t>话：</w:t>
      </w:r>
      <w:r>
        <w:rPr>
          <w:rFonts w:hint="eastAsia" w:ascii="宋体" w:hAnsi="宋体" w:cs="宋体"/>
          <w:b/>
          <w:bCs/>
          <w:sz w:val="24"/>
          <w:szCs w:val="24"/>
          <w:u w:val="single"/>
        </w:rPr>
        <w:t xml:space="preserve">                                           </w:t>
      </w:r>
    </w:p>
    <w:p w14:paraId="6E2D9239">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传</w:t>
      </w:r>
      <w:r>
        <w:rPr>
          <w:rFonts w:hint="eastAsia" w:ascii="宋体" w:hAnsi="宋体" w:cs="宋体"/>
          <w:b/>
          <w:bCs/>
          <w:sz w:val="24"/>
          <w:szCs w:val="24"/>
        </w:rPr>
        <w:tab/>
      </w:r>
      <w:r>
        <w:rPr>
          <w:rFonts w:hint="eastAsia" w:ascii="宋体" w:hAnsi="宋体" w:cs="宋体"/>
          <w:b/>
          <w:bCs/>
          <w:sz w:val="24"/>
          <w:szCs w:val="24"/>
        </w:rPr>
        <w:t>真：</w:t>
      </w:r>
      <w:r>
        <w:rPr>
          <w:rFonts w:hint="eastAsia" w:ascii="宋体" w:hAnsi="宋体" w:cs="宋体"/>
          <w:b/>
          <w:bCs/>
          <w:sz w:val="24"/>
          <w:szCs w:val="24"/>
          <w:u w:val="single"/>
        </w:rPr>
        <w:t xml:space="preserve">                                           </w:t>
      </w:r>
    </w:p>
    <w:p w14:paraId="2F9FC680">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邮政编码：</w:t>
      </w:r>
      <w:r>
        <w:rPr>
          <w:rFonts w:hint="eastAsia" w:ascii="宋体" w:hAnsi="宋体" w:cs="宋体"/>
          <w:b/>
          <w:bCs/>
          <w:sz w:val="24"/>
          <w:szCs w:val="24"/>
          <w:u w:val="single"/>
        </w:rPr>
        <w:t xml:space="preserve">                                         </w:t>
      </w:r>
    </w:p>
    <w:p w14:paraId="095A156A">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日 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18A295C7">
      <w:pPr>
        <w:rPr>
          <w:rFonts w:hint="eastAsia" w:ascii="宋体" w:hAnsi="宋体" w:cs="宋体"/>
        </w:rPr>
      </w:pPr>
      <w:bookmarkStart w:id="471" w:name="_Toc17119"/>
      <w:bookmarkEnd w:id="471"/>
      <w:bookmarkStart w:id="472" w:name="_Toc13197"/>
    </w:p>
    <w:p w14:paraId="7223C4B7">
      <w:pPr>
        <w:pStyle w:val="4"/>
        <w:widowControl/>
        <w:autoSpaceDE w:val="0"/>
        <w:spacing w:before="0" w:after="0" w:line="360" w:lineRule="auto"/>
        <w:ind w:firstLine="562" w:firstLineChars="200"/>
        <w:rPr>
          <w:rFonts w:hint="eastAsia" w:ascii="宋体" w:hAnsi="宋体" w:cs="宋体"/>
          <w:szCs w:val="28"/>
        </w:rPr>
      </w:pPr>
      <w:bookmarkStart w:id="473" w:name="_Toc13965"/>
      <w:bookmarkStart w:id="474" w:name="_Toc12858"/>
      <w:bookmarkStart w:id="475" w:name="_Toc3896309"/>
      <w:r>
        <w:rPr>
          <w:rFonts w:hint="eastAsia" w:ascii="宋体" w:hAnsi="宋体" w:cs="宋体"/>
          <w:szCs w:val="28"/>
        </w:rPr>
        <w:br w:type="page"/>
      </w:r>
      <w:bookmarkStart w:id="476" w:name="_Toc5640"/>
      <w:bookmarkStart w:id="477" w:name="_Toc28215"/>
      <w:bookmarkStart w:id="478" w:name="_Toc165910162"/>
      <w:r>
        <w:rPr>
          <w:rFonts w:hint="eastAsia" w:ascii="宋体" w:hAnsi="宋体" w:cs="宋体"/>
          <w:szCs w:val="28"/>
        </w:rPr>
        <w:t>三、法定代表人（单位负责人）身份证明</w:t>
      </w:r>
      <w:bookmarkEnd w:id="472"/>
      <w:r>
        <w:rPr>
          <w:rFonts w:hint="eastAsia" w:ascii="宋体" w:hAnsi="宋体" w:cs="宋体"/>
          <w:szCs w:val="28"/>
        </w:rPr>
        <w:t>书</w:t>
      </w:r>
      <w:bookmarkEnd w:id="473"/>
      <w:bookmarkEnd w:id="474"/>
      <w:bookmarkEnd w:id="475"/>
      <w:bookmarkEnd w:id="476"/>
      <w:bookmarkEnd w:id="477"/>
      <w:bookmarkEnd w:id="478"/>
    </w:p>
    <w:p w14:paraId="7A56502B">
      <w:pPr>
        <w:spacing w:line="200" w:lineRule="exact"/>
        <w:rPr>
          <w:rFonts w:hint="eastAsia" w:ascii="宋体" w:hAnsi="宋体" w:cs="宋体"/>
        </w:rPr>
      </w:pPr>
      <w:r>
        <w:rPr>
          <w:rFonts w:hint="eastAsia" w:ascii="宋体" w:hAnsi="宋体" w:cs="宋体"/>
        </w:rPr>
        <w:t xml:space="preserve"> </w:t>
      </w:r>
    </w:p>
    <w:p w14:paraId="3E9E5B71">
      <w:pPr>
        <w:spacing w:line="200" w:lineRule="exact"/>
        <w:rPr>
          <w:rFonts w:hint="eastAsia" w:ascii="宋体" w:hAnsi="宋体" w:cs="宋体"/>
        </w:rPr>
      </w:pPr>
      <w:r>
        <w:rPr>
          <w:rFonts w:hint="eastAsia" w:ascii="宋体" w:hAnsi="宋体" w:cs="宋体"/>
        </w:rPr>
        <w:t xml:space="preserve"> </w:t>
      </w:r>
    </w:p>
    <w:p w14:paraId="1BF5EC3A">
      <w:pPr>
        <w:spacing w:line="200" w:lineRule="exact"/>
        <w:rPr>
          <w:rFonts w:hint="eastAsia" w:ascii="宋体" w:hAnsi="宋体" w:cs="宋体"/>
        </w:rPr>
      </w:pPr>
      <w:r>
        <w:rPr>
          <w:rFonts w:hint="eastAsia" w:ascii="宋体" w:hAnsi="宋体" w:cs="宋体"/>
        </w:rPr>
        <w:t xml:space="preserve"> </w:t>
      </w:r>
    </w:p>
    <w:p w14:paraId="5AD30DAF">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p>
    <w:p w14:paraId="00CB6A0A">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4EEA4309">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6B677DD3">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AC30356">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30C1FCA8">
      <w:pPr>
        <w:spacing w:line="360" w:lineRule="auto"/>
        <w:ind w:firstLine="480" w:firstLineChars="200"/>
        <w:rPr>
          <w:rFonts w:hint="eastAsia" w:ascii="宋体" w:hAnsi="宋体" w:cs="宋体"/>
          <w:sz w:val="24"/>
          <w:szCs w:val="24"/>
        </w:rPr>
      </w:pPr>
    </w:p>
    <w:p w14:paraId="3CDB9CD4">
      <w:pPr>
        <w:spacing w:line="360" w:lineRule="auto"/>
        <w:ind w:firstLine="480" w:firstLineChars="200"/>
        <w:rPr>
          <w:rFonts w:hint="eastAsia" w:ascii="宋体" w:hAnsi="宋体" w:cs="宋体"/>
          <w:sz w:val="24"/>
          <w:szCs w:val="24"/>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3FE70674">
      <w:pPr>
        <w:spacing w:line="360" w:lineRule="auto"/>
        <w:ind w:firstLine="480" w:firstLineChars="200"/>
        <w:rPr>
          <w:rFonts w:hint="eastAsia"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（供应商名称）的法定代表人（单位负责人）。</w:t>
      </w:r>
    </w:p>
    <w:p w14:paraId="0DB9D358">
      <w:pPr>
        <w:spacing w:line="360" w:lineRule="auto"/>
        <w:ind w:firstLine="480" w:firstLineChars="200"/>
        <w:rPr>
          <w:rFonts w:hint="eastAsia" w:ascii="宋体" w:hAnsi="宋体" w:cs="宋体"/>
          <w:sz w:val="24"/>
          <w:szCs w:val="24"/>
        </w:rPr>
      </w:pPr>
      <w:r>
        <w:rPr>
          <w:rFonts w:hint="eastAsia" w:ascii="宋体" w:hAnsi="宋体" w:cs="宋体"/>
          <w:sz w:val="24"/>
          <w:szCs w:val="24"/>
        </w:rPr>
        <w:t>特此证明。</w:t>
      </w:r>
    </w:p>
    <w:p w14:paraId="34B7AFE6">
      <w:pPr>
        <w:spacing w:line="360" w:lineRule="auto"/>
        <w:ind w:firstLine="1205" w:firstLineChars="500"/>
        <w:rPr>
          <w:rFonts w:hint="eastAsia" w:ascii="宋体" w:hAnsi="宋体" w:cs="宋体"/>
          <w:b/>
          <w:bCs/>
          <w:sz w:val="24"/>
          <w:szCs w:val="24"/>
        </w:rPr>
      </w:pPr>
    </w:p>
    <w:p w14:paraId="61452C83">
      <w:pPr>
        <w:spacing w:line="360" w:lineRule="auto"/>
        <w:ind w:firstLine="1205" w:firstLineChars="500"/>
        <w:rPr>
          <w:rFonts w:hint="eastAsia" w:ascii="宋体" w:hAnsi="宋体" w:cs="宋体"/>
          <w:b/>
          <w:bCs/>
          <w:sz w:val="24"/>
          <w:szCs w:val="24"/>
        </w:rPr>
      </w:pPr>
    </w:p>
    <w:p w14:paraId="2F11EEB6">
      <w:pPr>
        <w:spacing w:line="360" w:lineRule="auto"/>
        <w:ind w:firstLine="1205" w:firstLineChars="500"/>
        <w:rPr>
          <w:rFonts w:hint="eastAsia" w:ascii="宋体" w:hAnsi="宋体" w:cs="宋体"/>
          <w:b/>
          <w:bCs/>
          <w:sz w:val="24"/>
          <w:szCs w:val="24"/>
        </w:rPr>
      </w:pPr>
    </w:p>
    <w:p w14:paraId="2D22A425">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2AECC55F">
      <w:pPr>
        <w:spacing w:line="360" w:lineRule="auto"/>
        <w:ind w:firstLine="1205" w:firstLineChars="500"/>
        <w:rPr>
          <w:rFonts w:hint="eastAsia" w:ascii="宋体" w:hAnsi="宋体" w:cs="宋体"/>
          <w:b/>
          <w:bCs/>
          <w:sz w:val="24"/>
          <w:szCs w:val="24"/>
        </w:rPr>
      </w:pPr>
      <w:r>
        <w:rPr>
          <w:rFonts w:hint="eastAsia" w:ascii="宋体" w:hAnsi="宋体" w:cs="宋体"/>
          <w:b/>
          <w:bCs/>
          <w:sz w:val="24"/>
          <w:szCs w:val="24"/>
        </w:rPr>
        <w:t>日 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0CA91019">
      <w:pPr>
        <w:spacing w:line="360" w:lineRule="auto"/>
        <w:jc w:val="both"/>
        <w:rPr>
          <w:rFonts w:hint="eastAsia" w:ascii="宋体" w:hAnsi="宋体" w:cs="宋体"/>
          <w:b/>
          <w:sz w:val="24"/>
          <w:szCs w:val="24"/>
        </w:rPr>
      </w:pPr>
    </w:p>
    <w:p w14:paraId="0195D852">
      <w:pPr>
        <w:pStyle w:val="14"/>
        <w:rPr>
          <w:rFonts w:hint="eastAsia" w:ascii="宋体" w:hAnsi="宋体" w:cs="宋体"/>
        </w:rPr>
      </w:pPr>
    </w:p>
    <w:p w14:paraId="771DE0AF">
      <w:pPr>
        <w:pStyle w:val="14"/>
        <w:rPr>
          <w:rFonts w:hint="eastAsia" w:ascii="宋体" w:hAnsi="宋体" w:cs="宋体"/>
        </w:rPr>
      </w:pPr>
    </w:p>
    <w:p w14:paraId="5FC8D05C">
      <w:pPr>
        <w:spacing w:line="20" w:lineRule="exact"/>
        <w:rPr>
          <w:rFonts w:hint="eastAsia" w:ascii="宋体" w:hAnsi="宋体" w:cs="宋体"/>
          <w:b/>
          <w:bCs/>
          <w:sz w:val="44"/>
          <w:szCs w:val="44"/>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9"/>
        <w:gridCol w:w="4820"/>
      </w:tblGrid>
      <w:tr w14:paraId="1055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9" w:type="dxa"/>
            <w:vAlign w:val="center"/>
          </w:tcPr>
          <w:p w14:paraId="54CD8FDC">
            <w:pPr>
              <w:widowControl w:val="0"/>
              <w:spacing w:before="317" w:beforeLines="100" w:after="317" w:afterLines="100" w:line="600" w:lineRule="exact"/>
              <w:jc w:val="center"/>
              <w:rPr>
                <w:rFonts w:hint="eastAsia" w:ascii="宋体" w:hAnsi="宋体" w:cs="宋体"/>
              </w:rPr>
            </w:pPr>
            <w:bookmarkStart w:id="479" w:name="_Toc15398"/>
            <w:bookmarkEnd w:id="479"/>
            <w:bookmarkStart w:id="480" w:name="_Toc31847"/>
            <w:bookmarkEnd w:id="480"/>
            <w:bookmarkStart w:id="481" w:name="_Toc23744"/>
            <w:r>
              <w:rPr>
                <w:rFonts w:hint="eastAsia" w:ascii="宋体" w:hAnsi="宋体" w:cs="宋体"/>
                <w:sz w:val="24"/>
                <w:szCs w:val="24"/>
              </w:rPr>
              <w:t>法定代表人（单位负责人）身份证正面</w:t>
            </w:r>
          </w:p>
        </w:tc>
        <w:tc>
          <w:tcPr>
            <w:tcW w:w="4820" w:type="dxa"/>
            <w:vAlign w:val="center"/>
          </w:tcPr>
          <w:p w14:paraId="53742B6C">
            <w:pPr>
              <w:widowControl w:val="0"/>
              <w:spacing w:before="317" w:beforeLines="100" w:after="317" w:afterLines="100" w:line="600" w:lineRule="exact"/>
              <w:jc w:val="center"/>
              <w:rPr>
                <w:rFonts w:hint="eastAsia" w:ascii="宋体" w:hAnsi="宋体" w:cs="宋体"/>
              </w:rPr>
            </w:pPr>
            <w:r>
              <w:rPr>
                <w:rFonts w:hint="eastAsia" w:ascii="宋体" w:hAnsi="宋体" w:cs="宋体"/>
                <w:sz w:val="24"/>
                <w:szCs w:val="24"/>
              </w:rPr>
              <w:t>法定代表人（单位负责人）身份证反面</w:t>
            </w:r>
          </w:p>
        </w:tc>
      </w:tr>
    </w:tbl>
    <w:p w14:paraId="11C9AEC3">
      <w:pPr>
        <w:pStyle w:val="4"/>
        <w:widowControl/>
        <w:autoSpaceDE w:val="0"/>
        <w:spacing w:before="0" w:after="0" w:line="360" w:lineRule="auto"/>
        <w:ind w:firstLine="562" w:firstLineChars="200"/>
        <w:rPr>
          <w:rFonts w:hint="eastAsia" w:ascii="宋体" w:hAnsi="宋体" w:cs="宋体"/>
          <w:szCs w:val="28"/>
        </w:rPr>
      </w:pPr>
      <w:r>
        <w:rPr>
          <w:rFonts w:hint="eastAsia" w:ascii="宋体" w:hAnsi="宋体" w:cs="宋体"/>
          <w:szCs w:val="28"/>
        </w:rPr>
        <w:br w:type="page"/>
      </w:r>
      <w:bookmarkStart w:id="482" w:name="_Toc3896310"/>
      <w:bookmarkStart w:id="483" w:name="_Toc27047"/>
      <w:bookmarkStart w:id="484" w:name="_Toc31543"/>
      <w:bookmarkStart w:id="485" w:name="_Toc29505"/>
      <w:bookmarkStart w:id="486" w:name="_Toc495"/>
      <w:bookmarkStart w:id="487" w:name="_Toc165910163"/>
      <w:r>
        <w:rPr>
          <w:rFonts w:hint="eastAsia" w:ascii="宋体" w:hAnsi="宋体" w:cs="宋体"/>
          <w:szCs w:val="28"/>
        </w:rPr>
        <w:t>四、授权委托书</w:t>
      </w:r>
      <w:bookmarkEnd w:id="481"/>
      <w:bookmarkEnd w:id="482"/>
      <w:bookmarkEnd w:id="483"/>
      <w:bookmarkEnd w:id="484"/>
      <w:bookmarkEnd w:id="485"/>
      <w:bookmarkEnd w:id="486"/>
      <w:bookmarkEnd w:id="487"/>
    </w:p>
    <w:p w14:paraId="2680F001">
      <w:pPr>
        <w:spacing w:line="200" w:lineRule="exact"/>
        <w:rPr>
          <w:rFonts w:hint="eastAsia" w:ascii="宋体" w:hAnsi="宋体" w:cs="宋体"/>
        </w:rPr>
      </w:pPr>
    </w:p>
    <w:p w14:paraId="3B39BE80">
      <w:pPr>
        <w:spacing w:line="200" w:lineRule="exact"/>
        <w:rPr>
          <w:rFonts w:hint="eastAsia" w:ascii="宋体" w:hAnsi="宋体" w:cs="宋体"/>
        </w:rPr>
      </w:pPr>
    </w:p>
    <w:p w14:paraId="6A9F5C78">
      <w:pPr>
        <w:spacing w:line="360" w:lineRule="auto"/>
        <w:ind w:firstLine="480" w:firstLineChars="200"/>
        <w:rPr>
          <w:rFonts w:hint="eastAsia"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（供应商名称）的法定代表人（单位负责人），现委托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（姓名）为我方代理人。代理人根据授权，以我方名义签署、澄清、说明、补正、递交、撤回、修改</w:t>
      </w:r>
      <w:r>
        <w:rPr>
          <w:rFonts w:hint="eastAsia" w:ascii="宋体" w:hAnsi="宋体" w:cs="宋体"/>
          <w:sz w:val="24"/>
          <w:szCs w:val="24"/>
          <w:u w:val="single"/>
        </w:rPr>
        <w:t xml:space="preserve">             </w:t>
      </w:r>
      <w:r>
        <w:rPr>
          <w:rFonts w:hint="eastAsia" w:ascii="宋体" w:hAnsi="宋体" w:cs="宋体"/>
          <w:sz w:val="24"/>
          <w:szCs w:val="24"/>
        </w:rPr>
        <w:t>（项目名称）响应文件、签订合同和处理有关事宜，其法律后果由我方承担。</w:t>
      </w:r>
    </w:p>
    <w:p w14:paraId="13148593">
      <w:pPr>
        <w:spacing w:line="360" w:lineRule="auto"/>
        <w:ind w:firstLine="480" w:firstLineChars="200"/>
        <w:rPr>
          <w:rFonts w:hint="eastAsia" w:ascii="宋体" w:hAnsi="宋体" w:cs="宋体"/>
          <w:sz w:val="24"/>
          <w:szCs w:val="24"/>
        </w:rPr>
      </w:pPr>
      <w:r>
        <w:rPr>
          <w:rFonts w:hint="eastAsia" w:ascii="宋体" w:hAnsi="宋体" w:cs="宋体"/>
          <w:sz w:val="24"/>
          <w:szCs w:val="24"/>
        </w:rPr>
        <w:t>代理人无转委托权。</w:t>
      </w:r>
    </w:p>
    <w:p w14:paraId="0BC92EA0">
      <w:pPr>
        <w:spacing w:line="360" w:lineRule="auto"/>
        <w:ind w:firstLine="480" w:firstLineChars="200"/>
        <w:rPr>
          <w:rFonts w:hint="eastAsia" w:ascii="宋体" w:hAnsi="宋体" w:cs="宋体"/>
          <w:sz w:val="24"/>
          <w:szCs w:val="24"/>
        </w:rPr>
      </w:pPr>
    </w:p>
    <w:p w14:paraId="22326B55">
      <w:pPr>
        <w:spacing w:line="360" w:lineRule="auto"/>
        <w:ind w:firstLine="480" w:firstLineChars="200"/>
        <w:rPr>
          <w:rFonts w:hint="eastAsia" w:ascii="宋体" w:hAnsi="宋体" w:cs="宋体"/>
          <w:sz w:val="24"/>
          <w:szCs w:val="24"/>
        </w:rPr>
      </w:pPr>
    </w:p>
    <w:p w14:paraId="049446DF">
      <w:pPr>
        <w:spacing w:before="468" w:line="360" w:lineRule="auto"/>
        <w:ind w:firstLine="3373" w:firstLineChars="1400"/>
        <w:rPr>
          <w:rFonts w:hint="eastAsia" w:ascii="宋体" w:hAnsi="宋体" w:cs="宋体"/>
          <w:b/>
          <w:sz w:val="24"/>
          <w:szCs w:val="24"/>
        </w:rPr>
      </w:pPr>
      <w:r>
        <w:rPr>
          <w:rFonts w:hint="eastAsia" w:ascii="宋体" w:hAnsi="宋体" w:cs="宋体"/>
          <w:b/>
          <w:bCs/>
          <w:sz w:val="24"/>
          <w:szCs w:val="24"/>
        </w:rPr>
        <w:t>供应商</w:t>
      </w:r>
      <w:r>
        <w:rPr>
          <w:rFonts w:hint="eastAsia" w:ascii="宋体" w:hAnsi="宋体" w:cs="宋体"/>
          <w:b/>
          <w:sz w:val="24"/>
          <w:szCs w:val="24"/>
        </w:rPr>
        <w:t>：</w:t>
      </w:r>
      <w:r>
        <w:rPr>
          <w:rFonts w:hint="eastAsia" w:ascii="宋体" w:hAnsi="宋体" w:cs="宋体"/>
          <w:b/>
          <w:sz w:val="24"/>
          <w:szCs w:val="24"/>
          <w:u w:val="single"/>
        </w:rPr>
        <w:t xml:space="preserve">                          </w:t>
      </w:r>
      <w:r>
        <w:rPr>
          <w:rFonts w:hint="eastAsia" w:ascii="宋体" w:hAnsi="宋体" w:cs="宋体"/>
          <w:b/>
          <w:sz w:val="24"/>
          <w:szCs w:val="24"/>
        </w:rPr>
        <w:t>（</w:t>
      </w:r>
      <w:r>
        <w:rPr>
          <w:rFonts w:hint="eastAsia" w:ascii="宋体" w:hAnsi="宋体" w:cs="宋体"/>
          <w:b/>
          <w:color w:val="000000"/>
          <w:sz w:val="24"/>
          <w:szCs w:val="24"/>
        </w:rPr>
        <w:t>电子签章</w:t>
      </w:r>
      <w:r>
        <w:rPr>
          <w:rFonts w:hint="eastAsia" w:ascii="宋体" w:hAnsi="宋体" w:cs="宋体"/>
          <w:b/>
          <w:sz w:val="24"/>
          <w:szCs w:val="24"/>
        </w:rPr>
        <w:t>）</w:t>
      </w:r>
    </w:p>
    <w:p w14:paraId="51FA46C3">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法定代表人：</w:t>
      </w:r>
      <w:r>
        <w:rPr>
          <w:rFonts w:hint="eastAsia" w:ascii="宋体" w:hAnsi="宋体" w:cs="宋体"/>
          <w:b/>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2713B5DE">
      <w:pPr>
        <w:autoSpaceDE w:val="0"/>
        <w:autoSpaceDN w:val="0"/>
        <w:adjustRightInd w:val="0"/>
        <w:spacing w:line="360" w:lineRule="auto"/>
        <w:ind w:firstLine="3373" w:firstLineChars="1400"/>
        <w:rPr>
          <w:rFonts w:hint="eastAsia" w:ascii="宋体" w:hAnsi="宋体" w:cs="宋体"/>
          <w:b/>
          <w:bCs/>
          <w:sz w:val="24"/>
          <w:szCs w:val="24"/>
          <w:u w:val="single"/>
        </w:rPr>
      </w:pPr>
      <w:r>
        <w:rPr>
          <w:rFonts w:hint="eastAsia" w:ascii="宋体" w:hAnsi="宋体" w:cs="宋体"/>
          <w:b/>
          <w:bCs/>
          <w:sz w:val="24"/>
          <w:szCs w:val="24"/>
        </w:rPr>
        <w:t>身份证号码：</w:t>
      </w:r>
      <w:r>
        <w:rPr>
          <w:rFonts w:hint="eastAsia" w:ascii="宋体" w:hAnsi="宋体" w:cs="宋体"/>
          <w:b/>
          <w:bCs/>
          <w:sz w:val="24"/>
          <w:szCs w:val="24"/>
          <w:u w:val="single"/>
        </w:rPr>
        <w:t xml:space="preserve">                      </w:t>
      </w:r>
    </w:p>
    <w:p w14:paraId="576D0740">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委托代理人：</w:t>
      </w:r>
      <w:r>
        <w:rPr>
          <w:rFonts w:hint="eastAsia" w:ascii="宋体" w:hAnsi="宋体" w:cs="宋体"/>
          <w:b/>
          <w:sz w:val="24"/>
          <w:szCs w:val="24"/>
          <w:u w:val="single"/>
        </w:rPr>
        <w:t xml:space="preserve">                       </w:t>
      </w:r>
      <w:r>
        <w:rPr>
          <w:rFonts w:hint="eastAsia" w:ascii="宋体" w:hAnsi="宋体" w:cs="宋体"/>
          <w:b/>
          <w:sz w:val="24"/>
          <w:szCs w:val="24"/>
        </w:rPr>
        <w:t>（签字）</w:t>
      </w:r>
    </w:p>
    <w:p w14:paraId="45547301">
      <w:pPr>
        <w:autoSpaceDE w:val="0"/>
        <w:autoSpaceDN w:val="0"/>
        <w:adjustRightInd w:val="0"/>
        <w:spacing w:line="360" w:lineRule="auto"/>
        <w:ind w:firstLine="3373" w:firstLineChars="1400"/>
        <w:rPr>
          <w:rFonts w:hint="eastAsia" w:ascii="宋体" w:hAnsi="宋体" w:cs="宋体"/>
        </w:rPr>
      </w:pPr>
      <w:r>
        <w:rPr>
          <w:rFonts w:hint="eastAsia" w:ascii="宋体" w:hAnsi="宋体" w:cs="宋体"/>
          <w:b/>
          <w:bCs/>
          <w:sz w:val="24"/>
        </w:rPr>
        <w:t>身份证号码：</w:t>
      </w:r>
      <w:r>
        <w:rPr>
          <w:rFonts w:hint="eastAsia" w:ascii="宋体" w:hAnsi="宋体" w:cs="宋体"/>
          <w:b/>
          <w:bCs/>
          <w:sz w:val="24"/>
          <w:u w:val="single"/>
        </w:rPr>
        <w:t xml:space="preserve">                       </w:t>
      </w:r>
    </w:p>
    <w:p w14:paraId="2C050B8A">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日期：</w:t>
      </w:r>
      <w:r>
        <w:rPr>
          <w:rFonts w:hint="eastAsia" w:ascii="宋体" w:hAnsi="宋体" w:cs="宋体"/>
          <w:b/>
          <w:sz w:val="24"/>
          <w:szCs w:val="24"/>
          <w:u w:val="single"/>
        </w:rPr>
        <w:t xml:space="preserve">       </w:t>
      </w:r>
      <w:r>
        <w:rPr>
          <w:rFonts w:hint="eastAsia" w:ascii="宋体" w:hAnsi="宋体" w:cs="宋体"/>
          <w:b/>
          <w:sz w:val="24"/>
          <w:szCs w:val="24"/>
        </w:rPr>
        <w:t>年</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w:t>
      </w:r>
    </w:p>
    <w:p w14:paraId="74308A59">
      <w:pPr>
        <w:ind w:right="480"/>
        <w:rPr>
          <w:rFonts w:hint="eastAsia" w:ascii="宋体" w:hAnsi="宋体" w:cs="宋体"/>
          <w:sz w:val="24"/>
          <w:szCs w:val="24"/>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1E33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4813" w:type="dxa"/>
            <w:vAlign w:val="center"/>
          </w:tcPr>
          <w:p w14:paraId="28303406">
            <w:pPr>
              <w:widowControl w:val="0"/>
              <w:spacing w:before="317" w:beforeLines="100" w:after="317" w:afterLines="100" w:line="600" w:lineRule="exact"/>
              <w:jc w:val="center"/>
              <w:rPr>
                <w:rFonts w:hint="eastAsia" w:ascii="宋体" w:hAnsi="宋体" w:cs="宋体"/>
              </w:rPr>
            </w:pPr>
            <w:r>
              <w:rPr>
                <w:rFonts w:hint="eastAsia" w:ascii="宋体" w:hAnsi="宋体" w:cs="宋体"/>
                <w:sz w:val="24"/>
                <w:szCs w:val="24"/>
              </w:rPr>
              <w:t>委托代理人身份证正面</w:t>
            </w:r>
          </w:p>
        </w:tc>
        <w:tc>
          <w:tcPr>
            <w:tcW w:w="4814" w:type="dxa"/>
            <w:vAlign w:val="center"/>
          </w:tcPr>
          <w:p w14:paraId="7E9A33F2">
            <w:pPr>
              <w:widowControl w:val="0"/>
              <w:spacing w:before="317" w:beforeLines="100" w:after="317" w:afterLines="100" w:line="600" w:lineRule="exact"/>
              <w:jc w:val="center"/>
              <w:rPr>
                <w:rFonts w:hint="eastAsia" w:ascii="宋体" w:hAnsi="宋体" w:cs="宋体"/>
              </w:rPr>
            </w:pPr>
            <w:r>
              <w:rPr>
                <w:rFonts w:hint="eastAsia" w:ascii="宋体" w:hAnsi="宋体" w:cs="宋体"/>
                <w:sz w:val="24"/>
                <w:szCs w:val="24"/>
              </w:rPr>
              <w:t>委托代理人身份证反面</w:t>
            </w:r>
          </w:p>
        </w:tc>
      </w:tr>
    </w:tbl>
    <w:p w14:paraId="78C442CD">
      <w:pPr>
        <w:spacing w:line="240" w:lineRule="exact"/>
        <w:rPr>
          <w:rFonts w:hint="eastAsia" w:ascii="宋体" w:hAnsi="宋体" w:cs="宋体"/>
          <w:b/>
          <w:bCs/>
          <w:sz w:val="44"/>
          <w:szCs w:val="44"/>
        </w:rPr>
      </w:pPr>
    </w:p>
    <w:p w14:paraId="4AA53B10">
      <w:pPr>
        <w:rPr>
          <w:rFonts w:hint="eastAsia" w:ascii="宋体" w:hAnsi="宋体" w:cs="宋体"/>
          <w:szCs w:val="28"/>
        </w:rPr>
      </w:pPr>
      <w:bookmarkStart w:id="488" w:name="_Toc3020"/>
      <w:bookmarkStart w:id="489" w:name="_Toc165910164"/>
      <w:bookmarkStart w:id="490" w:name="_Toc12230"/>
      <w:bookmarkStart w:id="491" w:name="_Toc18758"/>
      <w:bookmarkStart w:id="492" w:name="_Toc3896311"/>
      <w:bookmarkStart w:id="493" w:name="_Toc19510"/>
      <w:bookmarkStart w:id="494" w:name="_Toc1793"/>
      <w:r>
        <w:rPr>
          <w:rFonts w:hint="eastAsia" w:ascii="宋体" w:hAnsi="宋体" w:cs="宋体"/>
          <w:szCs w:val="28"/>
        </w:rPr>
        <w:br w:type="page"/>
      </w:r>
    </w:p>
    <w:p w14:paraId="1DFDD97B">
      <w:pPr>
        <w:pStyle w:val="4"/>
        <w:widowControl/>
        <w:autoSpaceDE w:val="0"/>
        <w:spacing w:before="0" w:after="0" w:line="360" w:lineRule="auto"/>
        <w:ind w:firstLine="562" w:firstLineChars="200"/>
        <w:rPr>
          <w:rFonts w:hint="eastAsia" w:ascii="宋体" w:hAnsi="宋体" w:cs="宋体"/>
          <w:szCs w:val="28"/>
        </w:rPr>
      </w:pPr>
      <w:r>
        <w:rPr>
          <w:rFonts w:hint="eastAsia" w:ascii="宋体" w:hAnsi="宋体" w:cs="宋体"/>
          <w:szCs w:val="28"/>
        </w:rPr>
        <w:t>五、保证金缴纳凭证</w:t>
      </w:r>
    </w:p>
    <w:p w14:paraId="566AB27B">
      <w:pPr>
        <w:rPr>
          <w:rFonts w:hint="eastAsia" w:ascii="宋体" w:hAnsi="宋体" w:cs="宋体"/>
          <w:szCs w:val="28"/>
        </w:rPr>
      </w:pPr>
      <w:r>
        <w:rPr>
          <w:rFonts w:hint="eastAsia" w:ascii="宋体" w:hAnsi="宋体" w:cs="宋体"/>
          <w:szCs w:val="28"/>
        </w:rPr>
        <w:br w:type="page"/>
      </w:r>
    </w:p>
    <w:p w14:paraId="41BB69CD">
      <w:pPr>
        <w:pStyle w:val="4"/>
        <w:widowControl/>
        <w:autoSpaceDE w:val="0"/>
        <w:spacing w:before="0" w:after="0" w:line="360" w:lineRule="auto"/>
        <w:ind w:firstLine="562" w:firstLineChars="200"/>
        <w:rPr>
          <w:rFonts w:hint="eastAsia" w:ascii="宋体" w:hAnsi="宋体" w:cs="宋体"/>
          <w:szCs w:val="28"/>
        </w:rPr>
      </w:pPr>
      <w:r>
        <w:rPr>
          <w:rFonts w:hint="eastAsia" w:ascii="宋体" w:hAnsi="宋体" w:cs="宋体"/>
          <w:szCs w:val="28"/>
        </w:rPr>
        <w:t>六、供应商基本情况表</w:t>
      </w:r>
      <w:bookmarkEnd w:id="488"/>
      <w:bookmarkEnd w:id="489"/>
      <w:bookmarkEnd w:id="490"/>
      <w:bookmarkEnd w:id="491"/>
      <w:bookmarkEnd w:id="492"/>
      <w:bookmarkEnd w:id="493"/>
      <w:bookmarkEnd w:id="49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2BE21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7922070">
            <w:pPr>
              <w:spacing w:line="360" w:lineRule="auto"/>
              <w:jc w:val="center"/>
              <w:rPr>
                <w:rFonts w:hint="eastAsia" w:ascii="宋体" w:hAnsi="宋体" w:cs="宋体"/>
                <w:sz w:val="24"/>
                <w:szCs w:val="24"/>
              </w:rPr>
            </w:pPr>
            <w:r>
              <w:rPr>
                <w:rFonts w:hint="eastAsia" w:ascii="宋体" w:hAnsi="宋体" w:cs="宋体"/>
                <w:sz w:val="24"/>
                <w:szCs w:val="24"/>
              </w:rPr>
              <w:t>供应商名称</w:t>
            </w:r>
          </w:p>
        </w:tc>
        <w:tc>
          <w:tcPr>
            <w:tcW w:w="6995" w:type="dxa"/>
            <w:gridSpan w:val="4"/>
            <w:tcBorders>
              <w:top w:val="single" w:color="auto" w:sz="4" w:space="0"/>
              <w:left w:val="nil"/>
              <w:bottom w:val="single" w:color="auto" w:sz="4" w:space="0"/>
              <w:right w:val="single" w:color="auto" w:sz="4" w:space="0"/>
            </w:tcBorders>
            <w:vAlign w:val="center"/>
          </w:tcPr>
          <w:p w14:paraId="7EDFB548">
            <w:pPr>
              <w:spacing w:line="360" w:lineRule="auto"/>
              <w:jc w:val="center"/>
              <w:rPr>
                <w:rFonts w:hint="eastAsia" w:ascii="宋体" w:hAnsi="宋体" w:cs="宋体"/>
                <w:sz w:val="24"/>
                <w:szCs w:val="24"/>
              </w:rPr>
            </w:pPr>
          </w:p>
        </w:tc>
      </w:tr>
      <w:tr w14:paraId="412B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81AF894">
            <w:pPr>
              <w:spacing w:line="360" w:lineRule="auto"/>
              <w:jc w:val="center"/>
              <w:rPr>
                <w:rFonts w:hint="eastAsia" w:ascii="宋体" w:hAnsi="宋体" w:cs="宋体"/>
                <w:sz w:val="24"/>
                <w:szCs w:val="24"/>
              </w:rPr>
            </w:pPr>
            <w:r>
              <w:rPr>
                <w:rFonts w:hint="eastAsia" w:ascii="宋体" w:hAnsi="宋体" w:cs="宋体"/>
                <w:sz w:val="24"/>
                <w:szCs w:val="24"/>
              </w:rPr>
              <w:t>税号</w:t>
            </w:r>
          </w:p>
        </w:tc>
        <w:tc>
          <w:tcPr>
            <w:tcW w:w="6995" w:type="dxa"/>
            <w:gridSpan w:val="4"/>
            <w:tcBorders>
              <w:top w:val="single" w:color="auto" w:sz="4" w:space="0"/>
              <w:left w:val="nil"/>
              <w:bottom w:val="single" w:color="auto" w:sz="4" w:space="0"/>
              <w:right w:val="single" w:color="auto" w:sz="4" w:space="0"/>
            </w:tcBorders>
            <w:vAlign w:val="center"/>
          </w:tcPr>
          <w:p w14:paraId="69664F58">
            <w:pPr>
              <w:spacing w:line="360" w:lineRule="auto"/>
              <w:jc w:val="center"/>
              <w:rPr>
                <w:rFonts w:hint="eastAsia" w:ascii="宋体" w:hAnsi="宋体" w:cs="宋体"/>
                <w:sz w:val="24"/>
                <w:szCs w:val="24"/>
              </w:rPr>
            </w:pPr>
          </w:p>
        </w:tc>
      </w:tr>
      <w:tr w14:paraId="7304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7418617">
            <w:pPr>
              <w:spacing w:line="360" w:lineRule="auto"/>
              <w:jc w:val="center"/>
              <w:rPr>
                <w:rFonts w:hint="eastAsia" w:ascii="宋体" w:hAnsi="宋体" w:cs="宋体"/>
                <w:sz w:val="24"/>
                <w:szCs w:val="24"/>
              </w:rPr>
            </w:pPr>
            <w:r>
              <w:rPr>
                <w:rFonts w:hint="eastAsia" w:ascii="宋体" w:hAnsi="宋体" w:cs="宋体"/>
                <w:sz w:val="24"/>
                <w:szCs w:val="24"/>
              </w:rPr>
              <w:t>注册资金</w:t>
            </w:r>
          </w:p>
        </w:tc>
        <w:tc>
          <w:tcPr>
            <w:tcW w:w="3698" w:type="dxa"/>
            <w:gridSpan w:val="2"/>
            <w:tcBorders>
              <w:top w:val="single" w:color="auto" w:sz="4" w:space="0"/>
              <w:left w:val="nil"/>
              <w:bottom w:val="single" w:color="auto" w:sz="4" w:space="0"/>
              <w:right w:val="single" w:color="auto" w:sz="4" w:space="0"/>
            </w:tcBorders>
            <w:vAlign w:val="center"/>
          </w:tcPr>
          <w:p w14:paraId="182BB38A">
            <w:pPr>
              <w:spacing w:line="360" w:lineRule="auto"/>
              <w:jc w:val="center"/>
              <w:rPr>
                <w:rFonts w:hint="eastAsia" w:ascii="宋体" w:hAnsi="宋体" w:cs="宋体"/>
                <w:sz w:val="24"/>
                <w:szCs w:val="24"/>
              </w:rPr>
            </w:pPr>
          </w:p>
        </w:tc>
        <w:tc>
          <w:tcPr>
            <w:tcW w:w="1368" w:type="dxa"/>
            <w:tcBorders>
              <w:top w:val="single" w:color="auto" w:sz="4" w:space="0"/>
              <w:left w:val="nil"/>
              <w:bottom w:val="single" w:color="auto" w:sz="4" w:space="0"/>
              <w:right w:val="single" w:color="auto" w:sz="4" w:space="0"/>
            </w:tcBorders>
            <w:vAlign w:val="center"/>
          </w:tcPr>
          <w:p w14:paraId="1B0327B1">
            <w:pPr>
              <w:spacing w:line="360" w:lineRule="auto"/>
              <w:jc w:val="center"/>
              <w:rPr>
                <w:rFonts w:hint="eastAsia" w:ascii="宋体" w:hAnsi="宋体" w:cs="宋体"/>
                <w:sz w:val="24"/>
                <w:szCs w:val="24"/>
              </w:rPr>
            </w:pPr>
            <w:r>
              <w:rPr>
                <w:rFonts w:hint="eastAsia" w:ascii="宋体" w:hAnsi="宋体" w:cs="宋体"/>
                <w:sz w:val="24"/>
                <w:szCs w:val="24"/>
              </w:rPr>
              <w:t>成立时间</w:t>
            </w:r>
          </w:p>
        </w:tc>
        <w:tc>
          <w:tcPr>
            <w:tcW w:w="1929" w:type="dxa"/>
            <w:tcBorders>
              <w:top w:val="single" w:color="auto" w:sz="4" w:space="0"/>
              <w:left w:val="nil"/>
              <w:bottom w:val="single" w:color="auto" w:sz="4" w:space="0"/>
              <w:right w:val="single" w:color="auto" w:sz="4" w:space="0"/>
            </w:tcBorders>
            <w:vAlign w:val="center"/>
          </w:tcPr>
          <w:p w14:paraId="1949D903">
            <w:pPr>
              <w:spacing w:line="360" w:lineRule="auto"/>
              <w:jc w:val="center"/>
              <w:rPr>
                <w:rFonts w:hint="eastAsia" w:ascii="宋体" w:hAnsi="宋体" w:cs="宋体"/>
                <w:sz w:val="24"/>
                <w:szCs w:val="24"/>
              </w:rPr>
            </w:pPr>
          </w:p>
        </w:tc>
      </w:tr>
      <w:tr w14:paraId="7906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F99913E">
            <w:pPr>
              <w:spacing w:line="360" w:lineRule="auto"/>
              <w:jc w:val="center"/>
              <w:rPr>
                <w:rFonts w:hint="eastAsia" w:ascii="宋体" w:hAnsi="宋体" w:cs="宋体"/>
                <w:sz w:val="24"/>
                <w:szCs w:val="24"/>
              </w:rPr>
            </w:pPr>
            <w:r>
              <w:rPr>
                <w:rFonts w:hint="eastAsia" w:ascii="宋体" w:hAnsi="宋体" w:cs="宋体"/>
                <w:sz w:val="24"/>
                <w:szCs w:val="24"/>
              </w:rPr>
              <w:t>注册地址</w:t>
            </w:r>
          </w:p>
        </w:tc>
        <w:tc>
          <w:tcPr>
            <w:tcW w:w="6995" w:type="dxa"/>
            <w:gridSpan w:val="4"/>
            <w:tcBorders>
              <w:top w:val="single" w:color="auto" w:sz="4" w:space="0"/>
              <w:left w:val="nil"/>
              <w:bottom w:val="single" w:color="auto" w:sz="4" w:space="0"/>
              <w:right w:val="single" w:color="auto" w:sz="4" w:space="0"/>
            </w:tcBorders>
            <w:vAlign w:val="center"/>
          </w:tcPr>
          <w:p w14:paraId="4ED3D3C5">
            <w:pPr>
              <w:spacing w:line="360" w:lineRule="auto"/>
              <w:jc w:val="center"/>
              <w:rPr>
                <w:rFonts w:hint="eastAsia" w:ascii="宋体" w:hAnsi="宋体" w:cs="宋体"/>
                <w:sz w:val="24"/>
                <w:szCs w:val="24"/>
              </w:rPr>
            </w:pPr>
          </w:p>
        </w:tc>
      </w:tr>
      <w:tr w14:paraId="055F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45BFB38">
            <w:pPr>
              <w:spacing w:line="360" w:lineRule="auto"/>
              <w:jc w:val="center"/>
              <w:rPr>
                <w:rFonts w:hint="eastAsia" w:ascii="宋体" w:hAnsi="宋体" w:cs="宋体"/>
                <w:sz w:val="24"/>
                <w:szCs w:val="24"/>
              </w:rPr>
            </w:pPr>
            <w:r>
              <w:rPr>
                <w:rFonts w:hint="eastAsia" w:ascii="宋体" w:hAnsi="宋体" w:cs="宋体"/>
                <w:sz w:val="24"/>
                <w:szCs w:val="24"/>
              </w:rPr>
              <w:t>邮政编码</w:t>
            </w:r>
          </w:p>
        </w:tc>
        <w:tc>
          <w:tcPr>
            <w:tcW w:w="3698" w:type="dxa"/>
            <w:gridSpan w:val="2"/>
            <w:tcBorders>
              <w:top w:val="single" w:color="auto" w:sz="4" w:space="0"/>
              <w:left w:val="nil"/>
              <w:bottom w:val="single" w:color="auto" w:sz="4" w:space="0"/>
              <w:right w:val="single" w:color="auto" w:sz="4" w:space="0"/>
            </w:tcBorders>
            <w:vAlign w:val="center"/>
          </w:tcPr>
          <w:p w14:paraId="2B8998E0">
            <w:pPr>
              <w:spacing w:line="360" w:lineRule="auto"/>
              <w:jc w:val="center"/>
              <w:rPr>
                <w:rFonts w:hint="eastAsia" w:ascii="宋体" w:hAnsi="宋体" w:cs="宋体"/>
                <w:sz w:val="24"/>
                <w:szCs w:val="24"/>
              </w:rPr>
            </w:pPr>
          </w:p>
        </w:tc>
        <w:tc>
          <w:tcPr>
            <w:tcW w:w="1368" w:type="dxa"/>
            <w:tcBorders>
              <w:top w:val="single" w:color="auto" w:sz="4" w:space="0"/>
              <w:left w:val="nil"/>
              <w:bottom w:val="single" w:color="auto" w:sz="4" w:space="0"/>
              <w:right w:val="single" w:color="auto" w:sz="4" w:space="0"/>
            </w:tcBorders>
            <w:vAlign w:val="center"/>
          </w:tcPr>
          <w:p w14:paraId="3E1EF5F2">
            <w:pPr>
              <w:spacing w:line="360" w:lineRule="auto"/>
              <w:jc w:val="center"/>
              <w:rPr>
                <w:rFonts w:hint="eastAsia" w:ascii="宋体" w:hAnsi="宋体" w:cs="宋体"/>
                <w:sz w:val="24"/>
                <w:szCs w:val="24"/>
              </w:rPr>
            </w:pPr>
            <w:r>
              <w:rPr>
                <w:rFonts w:hint="eastAsia" w:ascii="宋体" w:hAnsi="宋体" w:cs="宋体"/>
                <w:sz w:val="24"/>
                <w:szCs w:val="24"/>
              </w:rPr>
              <w:t>员工总数</w:t>
            </w:r>
          </w:p>
        </w:tc>
        <w:tc>
          <w:tcPr>
            <w:tcW w:w="1929" w:type="dxa"/>
            <w:tcBorders>
              <w:top w:val="single" w:color="auto" w:sz="4" w:space="0"/>
              <w:left w:val="nil"/>
              <w:bottom w:val="single" w:color="auto" w:sz="4" w:space="0"/>
              <w:right w:val="single" w:color="auto" w:sz="4" w:space="0"/>
            </w:tcBorders>
            <w:vAlign w:val="center"/>
          </w:tcPr>
          <w:p w14:paraId="57517D34">
            <w:pPr>
              <w:spacing w:line="360" w:lineRule="auto"/>
              <w:jc w:val="center"/>
              <w:rPr>
                <w:rFonts w:hint="eastAsia" w:ascii="宋体" w:hAnsi="宋体" w:cs="宋体"/>
                <w:sz w:val="24"/>
                <w:szCs w:val="24"/>
              </w:rPr>
            </w:pPr>
          </w:p>
        </w:tc>
      </w:tr>
      <w:tr w14:paraId="4CB3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vAlign w:val="center"/>
          </w:tcPr>
          <w:p w14:paraId="6D3E036C">
            <w:pPr>
              <w:spacing w:line="360" w:lineRule="auto"/>
              <w:jc w:val="center"/>
              <w:rPr>
                <w:rFonts w:hint="eastAsia" w:ascii="宋体" w:hAnsi="宋体" w:cs="宋体"/>
                <w:sz w:val="24"/>
                <w:szCs w:val="24"/>
              </w:rPr>
            </w:pPr>
            <w:r>
              <w:rPr>
                <w:rFonts w:hint="eastAsia" w:ascii="宋体" w:hAnsi="宋体" w:cs="宋体"/>
                <w:sz w:val="24"/>
                <w:szCs w:val="24"/>
              </w:rPr>
              <w:t>联系方式</w:t>
            </w:r>
          </w:p>
        </w:tc>
        <w:tc>
          <w:tcPr>
            <w:tcW w:w="1275" w:type="dxa"/>
            <w:tcBorders>
              <w:top w:val="single" w:color="auto" w:sz="4" w:space="0"/>
              <w:left w:val="nil"/>
              <w:bottom w:val="single" w:color="auto" w:sz="4" w:space="0"/>
              <w:right w:val="single" w:color="auto" w:sz="4" w:space="0"/>
            </w:tcBorders>
            <w:vAlign w:val="center"/>
          </w:tcPr>
          <w:p w14:paraId="379C8E15">
            <w:pPr>
              <w:spacing w:line="360" w:lineRule="auto"/>
              <w:jc w:val="center"/>
              <w:rPr>
                <w:rFonts w:hint="eastAsia" w:ascii="宋体" w:hAnsi="宋体" w:cs="宋体"/>
                <w:sz w:val="24"/>
                <w:szCs w:val="24"/>
              </w:rPr>
            </w:pPr>
            <w:r>
              <w:rPr>
                <w:rFonts w:hint="eastAsia" w:ascii="宋体" w:hAnsi="宋体" w:cs="宋体"/>
                <w:sz w:val="24"/>
                <w:szCs w:val="24"/>
              </w:rPr>
              <w:t>联系人</w:t>
            </w:r>
          </w:p>
        </w:tc>
        <w:tc>
          <w:tcPr>
            <w:tcW w:w="2423" w:type="dxa"/>
            <w:tcBorders>
              <w:top w:val="single" w:color="auto" w:sz="4" w:space="0"/>
              <w:left w:val="nil"/>
              <w:bottom w:val="single" w:color="auto" w:sz="4" w:space="0"/>
              <w:right w:val="single" w:color="auto" w:sz="4" w:space="0"/>
            </w:tcBorders>
            <w:vAlign w:val="center"/>
          </w:tcPr>
          <w:p w14:paraId="00993A06">
            <w:pPr>
              <w:spacing w:line="360" w:lineRule="auto"/>
              <w:jc w:val="center"/>
              <w:rPr>
                <w:rFonts w:hint="eastAsia" w:ascii="宋体" w:hAnsi="宋体" w:cs="宋体"/>
                <w:sz w:val="24"/>
                <w:szCs w:val="24"/>
              </w:rPr>
            </w:pPr>
          </w:p>
        </w:tc>
        <w:tc>
          <w:tcPr>
            <w:tcW w:w="1368" w:type="dxa"/>
            <w:tcBorders>
              <w:top w:val="single" w:color="auto" w:sz="4" w:space="0"/>
              <w:left w:val="nil"/>
              <w:bottom w:val="single" w:color="auto" w:sz="4" w:space="0"/>
              <w:right w:val="single" w:color="auto" w:sz="4" w:space="0"/>
            </w:tcBorders>
            <w:vAlign w:val="center"/>
          </w:tcPr>
          <w:p w14:paraId="678DC85F">
            <w:pPr>
              <w:spacing w:line="360" w:lineRule="auto"/>
              <w:jc w:val="center"/>
              <w:rPr>
                <w:rFonts w:hint="eastAsia" w:ascii="宋体" w:hAnsi="宋体" w:cs="宋体"/>
                <w:sz w:val="24"/>
                <w:szCs w:val="24"/>
              </w:rPr>
            </w:pPr>
            <w:r>
              <w:rPr>
                <w:rFonts w:hint="eastAsia" w:ascii="宋体" w:hAnsi="宋体" w:cs="宋体"/>
                <w:sz w:val="24"/>
                <w:szCs w:val="24"/>
              </w:rPr>
              <w:t>电话</w:t>
            </w:r>
          </w:p>
        </w:tc>
        <w:tc>
          <w:tcPr>
            <w:tcW w:w="1929" w:type="dxa"/>
            <w:tcBorders>
              <w:top w:val="single" w:color="auto" w:sz="4" w:space="0"/>
              <w:left w:val="nil"/>
              <w:bottom w:val="single" w:color="auto" w:sz="4" w:space="0"/>
              <w:right w:val="single" w:color="auto" w:sz="4" w:space="0"/>
            </w:tcBorders>
            <w:vAlign w:val="center"/>
          </w:tcPr>
          <w:p w14:paraId="69C52879">
            <w:pPr>
              <w:spacing w:line="360" w:lineRule="auto"/>
              <w:jc w:val="center"/>
              <w:rPr>
                <w:rFonts w:hint="eastAsia" w:ascii="宋体" w:hAnsi="宋体" w:cs="宋体"/>
                <w:sz w:val="24"/>
                <w:szCs w:val="24"/>
              </w:rPr>
            </w:pPr>
          </w:p>
        </w:tc>
      </w:tr>
      <w:tr w14:paraId="372D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vAlign w:val="center"/>
          </w:tcPr>
          <w:p w14:paraId="060BEE74">
            <w:pPr>
              <w:widowControl w:val="0"/>
              <w:spacing w:line="360" w:lineRule="auto"/>
              <w:jc w:val="both"/>
              <w:rPr>
                <w:rFonts w:hint="eastAsia" w:ascii="宋体" w:hAnsi="宋体" w:cs="宋体"/>
                <w:kern w:val="2"/>
                <w:sz w:val="24"/>
                <w:szCs w:val="24"/>
              </w:rPr>
            </w:pPr>
          </w:p>
        </w:tc>
        <w:tc>
          <w:tcPr>
            <w:tcW w:w="1275" w:type="dxa"/>
            <w:tcBorders>
              <w:top w:val="single" w:color="auto" w:sz="4" w:space="0"/>
              <w:left w:val="nil"/>
              <w:bottom w:val="single" w:color="auto" w:sz="4" w:space="0"/>
              <w:right w:val="single" w:color="auto" w:sz="4" w:space="0"/>
            </w:tcBorders>
            <w:vAlign w:val="center"/>
          </w:tcPr>
          <w:p w14:paraId="7C5CCCF2">
            <w:pPr>
              <w:spacing w:line="360" w:lineRule="auto"/>
              <w:jc w:val="center"/>
              <w:rPr>
                <w:rFonts w:hint="eastAsia" w:ascii="宋体" w:hAnsi="宋体" w:cs="宋体"/>
                <w:sz w:val="24"/>
                <w:szCs w:val="24"/>
              </w:rPr>
            </w:pPr>
            <w:r>
              <w:rPr>
                <w:rFonts w:hint="eastAsia" w:ascii="宋体" w:hAnsi="宋体" w:cs="宋体"/>
                <w:sz w:val="24"/>
                <w:szCs w:val="24"/>
              </w:rPr>
              <w:t>网址</w:t>
            </w:r>
          </w:p>
        </w:tc>
        <w:tc>
          <w:tcPr>
            <w:tcW w:w="2423" w:type="dxa"/>
            <w:tcBorders>
              <w:top w:val="single" w:color="auto" w:sz="4" w:space="0"/>
              <w:left w:val="nil"/>
              <w:bottom w:val="single" w:color="auto" w:sz="4" w:space="0"/>
              <w:right w:val="single" w:color="auto" w:sz="4" w:space="0"/>
            </w:tcBorders>
            <w:vAlign w:val="center"/>
          </w:tcPr>
          <w:p w14:paraId="6AA3C3D7">
            <w:pPr>
              <w:spacing w:line="360" w:lineRule="auto"/>
              <w:jc w:val="center"/>
              <w:rPr>
                <w:rFonts w:hint="eastAsia" w:ascii="宋体" w:hAnsi="宋体" w:cs="宋体"/>
                <w:sz w:val="24"/>
                <w:szCs w:val="24"/>
              </w:rPr>
            </w:pPr>
          </w:p>
        </w:tc>
        <w:tc>
          <w:tcPr>
            <w:tcW w:w="1368" w:type="dxa"/>
            <w:tcBorders>
              <w:top w:val="single" w:color="auto" w:sz="4" w:space="0"/>
              <w:left w:val="nil"/>
              <w:bottom w:val="single" w:color="auto" w:sz="4" w:space="0"/>
              <w:right w:val="single" w:color="auto" w:sz="4" w:space="0"/>
            </w:tcBorders>
            <w:vAlign w:val="center"/>
          </w:tcPr>
          <w:p w14:paraId="299687ED">
            <w:pPr>
              <w:spacing w:line="360" w:lineRule="auto"/>
              <w:jc w:val="center"/>
              <w:rPr>
                <w:rFonts w:hint="eastAsia" w:ascii="宋体" w:hAnsi="宋体" w:cs="宋体"/>
                <w:sz w:val="24"/>
                <w:szCs w:val="24"/>
              </w:rPr>
            </w:pPr>
            <w:r>
              <w:rPr>
                <w:rFonts w:hint="eastAsia" w:ascii="宋体" w:hAnsi="宋体" w:cs="宋体"/>
                <w:sz w:val="24"/>
                <w:szCs w:val="24"/>
              </w:rPr>
              <w:t>传真</w:t>
            </w:r>
          </w:p>
        </w:tc>
        <w:tc>
          <w:tcPr>
            <w:tcW w:w="1929" w:type="dxa"/>
            <w:tcBorders>
              <w:top w:val="single" w:color="auto" w:sz="4" w:space="0"/>
              <w:left w:val="nil"/>
              <w:bottom w:val="single" w:color="auto" w:sz="4" w:space="0"/>
              <w:right w:val="single" w:color="auto" w:sz="4" w:space="0"/>
            </w:tcBorders>
            <w:vAlign w:val="center"/>
          </w:tcPr>
          <w:p w14:paraId="5EACCC24">
            <w:pPr>
              <w:spacing w:line="360" w:lineRule="auto"/>
              <w:jc w:val="center"/>
              <w:rPr>
                <w:rFonts w:hint="eastAsia" w:ascii="宋体" w:hAnsi="宋体" w:cs="宋体"/>
                <w:sz w:val="24"/>
                <w:szCs w:val="24"/>
              </w:rPr>
            </w:pPr>
          </w:p>
        </w:tc>
      </w:tr>
      <w:tr w14:paraId="5913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3E89B5C">
            <w:pPr>
              <w:spacing w:line="360" w:lineRule="auto"/>
              <w:jc w:val="center"/>
              <w:rPr>
                <w:rFonts w:hint="eastAsia" w:ascii="宋体" w:hAnsi="宋体" w:cs="宋体"/>
                <w:sz w:val="24"/>
                <w:szCs w:val="24"/>
              </w:rPr>
            </w:pPr>
            <w:r>
              <w:rPr>
                <w:rFonts w:hint="eastAsia" w:ascii="宋体" w:hAnsi="宋体" w:cs="宋体"/>
                <w:sz w:val="24"/>
                <w:szCs w:val="24"/>
              </w:rPr>
              <w:t>法定代表人</w:t>
            </w:r>
          </w:p>
          <w:p w14:paraId="55DDA4FF">
            <w:pPr>
              <w:spacing w:line="360" w:lineRule="auto"/>
              <w:jc w:val="center"/>
              <w:rPr>
                <w:rFonts w:hint="eastAsia" w:ascii="宋体" w:hAnsi="宋体" w:cs="宋体"/>
                <w:sz w:val="24"/>
                <w:szCs w:val="24"/>
              </w:rPr>
            </w:pPr>
            <w:r>
              <w:rPr>
                <w:rFonts w:hint="eastAsia" w:ascii="宋体" w:hAnsi="宋体" w:cs="宋体"/>
                <w:sz w:val="24"/>
                <w:szCs w:val="24"/>
              </w:rPr>
              <w:t>（单位负责人）</w:t>
            </w:r>
          </w:p>
        </w:tc>
        <w:tc>
          <w:tcPr>
            <w:tcW w:w="1275" w:type="dxa"/>
            <w:tcBorders>
              <w:top w:val="single" w:color="auto" w:sz="4" w:space="0"/>
              <w:left w:val="nil"/>
              <w:bottom w:val="single" w:color="auto" w:sz="4" w:space="0"/>
              <w:right w:val="single" w:color="auto" w:sz="4" w:space="0"/>
            </w:tcBorders>
            <w:vAlign w:val="center"/>
          </w:tcPr>
          <w:p w14:paraId="4F80557A">
            <w:pPr>
              <w:spacing w:line="360" w:lineRule="auto"/>
              <w:jc w:val="center"/>
              <w:rPr>
                <w:rFonts w:hint="eastAsia" w:ascii="宋体" w:hAnsi="宋体" w:cs="宋体"/>
                <w:sz w:val="24"/>
                <w:szCs w:val="24"/>
              </w:rPr>
            </w:pPr>
            <w:r>
              <w:rPr>
                <w:rFonts w:hint="eastAsia" w:ascii="宋体" w:hAnsi="宋体" w:cs="宋体"/>
                <w:sz w:val="24"/>
                <w:szCs w:val="24"/>
              </w:rPr>
              <w:t>姓名</w:t>
            </w:r>
          </w:p>
        </w:tc>
        <w:tc>
          <w:tcPr>
            <w:tcW w:w="2423" w:type="dxa"/>
            <w:tcBorders>
              <w:top w:val="single" w:color="auto" w:sz="4" w:space="0"/>
              <w:left w:val="nil"/>
              <w:bottom w:val="single" w:color="auto" w:sz="4" w:space="0"/>
              <w:right w:val="single" w:color="auto" w:sz="4" w:space="0"/>
            </w:tcBorders>
            <w:vAlign w:val="center"/>
          </w:tcPr>
          <w:p w14:paraId="4DC1D3BC">
            <w:pPr>
              <w:spacing w:line="360" w:lineRule="auto"/>
              <w:jc w:val="center"/>
              <w:rPr>
                <w:rFonts w:hint="eastAsia" w:ascii="宋体" w:hAnsi="宋体" w:cs="宋体"/>
                <w:sz w:val="24"/>
                <w:szCs w:val="24"/>
              </w:rPr>
            </w:pPr>
          </w:p>
        </w:tc>
        <w:tc>
          <w:tcPr>
            <w:tcW w:w="1368" w:type="dxa"/>
            <w:tcBorders>
              <w:top w:val="single" w:color="auto" w:sz="4" w:space="0"/>
              <w:left w:val="nil"/>
              <w:bottom w:val="single" w:color="auto" w:sz="4" w:space="0"/>
              <w:right w:val="single" w:color="auto" w:sz="4" w:space="0"/>
            </w:tcBorders>
            <w:vAlign w:val="center"/>
          </w:tcPr>
          <w:p w14:paraId="105893D7">
            <w:pPr>
              <w:spacing w:line="360" w:lineRule="auto"/>
              <w:jc w:val="center"/>
              <w:rPr>
                <w:rFonts w:hint="eastAsia" w:ascii="宋体" w:hAnsi="宋体" w:cs="宋体"/>
                <w:sz w:val="24"/>
                <w:szCs w:val="24"/>
              </w:rPr>
            </w:pPr>
            <w:r>
              <w:rPr>
                <w:rFonts w:hint="eastAsia" w:ascii="宋体" w:hAnsi="宋体" w:cs="宋体"/>
                <w:sz w:val="24"/>
                <w:szCs w:val="24"/>
              </w:rPr>
              <w:t>电话</w:t>
            </w:r>
          </w:p>
        </w:tc>
        <w:tc>
          <w:tcPr>
            <w:tcW w:w="1929" w:type="dxa"/>
            <w:tcBorders>
              <w:top w:val="single" w:color="auto" w:sz="4" w:space="0"/>
              <w:left w:val="nil"/>
              <w:bottom w:val="single" w:color="auto" w:sz="4" w:space="0"/>
              <w:right w:val="single" w:color="auto" w:sz="4" w:space="0"/>
            </w:tcBorders>
            <w:vAlign w:val="center"/>
          </w:tcPr>
          <w:p w14:paraId="3DDF5C89">
            <w:pPr>
              <w:spacing w:line="360" w:lineRule="auto"/>
              <w:jc w:val="center"/>
              <w:rPr>
                <w:rFonts w:hint="eastAsia" w:ascii="宋体" w:hAnsi="宋体" w:cs="宋体"/>
                <w:sz w:val="24"/>
                <w:szCs w:val="24"/>
              </w:rPr>
            </w:pPr>
          </w:p>
        </w:tc>
      </w:tr>
      <w:tr w14:paraId="1139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F0C7404">
            <w:pPr>
              <w:spacing w:line="360" w:lineRule="auto"/>
              <w:jc w:val="center"/>
              <w:rPr>
                <w:rFonts w:hint="eastAsia" w:ascii="宋体" w:hAnsi="宋体" w:cs="宋体"/>
                <w:sz w:val="24"/>
                <w:szCs w:val="24"/>
              </w:rPr>
            </w:pPr>
            <w:r>
              <w:rPr>
                <w:rFonts w:hint="eastAsia" w:ascii="宋体" w:hAnsi="宋体" w:cs="宋体"/>
                <w:sz w:val="24"/>
                <w:szCs w:val="24"/>
              </w:rPr>
              <w:t>供应商须知要求供应商需具有的各类资质证书</w:t>
            </w:r>
          </w:p>
        </w:tc>
        <w:tc>
          <w:tcPr>
            <w:tcW w:w="6995" w:type="dxa"/>
            <w:gridSpan w:val="4"/>
            <w:tcBorders>
              <w:top w:val="single" w:color="auto" w:sz="4" w:space="0"/>
              <w:left w:val="nil"/>
              <w:bottom w:val="single" w:color="auto" w:sz="4" w:space="0"/>
              <w:right w:val="single" w:color="auto" w:sz="4" w:space="0"/>
            </w:tcBorders>
            <w:vAlign w:val="center"/>
          </w:tcPr>
          <w:p w14:paraId="5A95E080">
            <w:pPr>
              <w:spacing w:line="360" w:lineRule="auto"/>
              <w:rPr>
                <w:rFonts w:hint="eastAsia" w:ascii="宋体" w:hAnsi="宋体" w:cs="宋体"/>
                <w:sz w:val="24"/>
                <w:szCs w:val="24"/>
              </w:rPr>
            </w:pPr>
          </w:p>
        </w:tc>
      </w:tr>
      <w:tr w14:paraId="48894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3465A4FC">
            <w:pPr>
              <w:spacing w:line="360" w:lineRule="auto"/>
              <w:jc w:val="center"/>
              <w:rPr>
                <w:rFonts w:hint="eastAsia" w:ascii="宋体" w:hAnsi="宋体" w:cs="宋体"/>
                <w:sz w:val="24"/>
                <w:szCs w:val="24"/>
              </w:rPr>
            </w:pPr>
            <w:r>
              <w:rPr>
                <w:rFonts w:hint="eastAsia" w:ascii="宋体" w:hAnsi="宋体" w:cs="宋体"/>
                <w:sz w:val="24"/>
                <w:szCs w:val="24"/>
              </w:rPr>
              <w:t>基本账户开户银行</w:t>
            </w:r>
          </w:p>
        </w:tc>
        <w:tc>
          <w:tcPr>
            <w:tcW w:w="6995" w:type="dxa"/>
            <w:gridSpan w:val="4"/>
            <w:tcBorders>
              <w:top w:val="single" w:color="auto" w:sz="4" w:space="0"/>
              <w:left w:val="nil"/>
              <w:bottom w:val="single" w:color="auto" w:sz="4" w:space="0"/>
              <w:right w:val="single" w:color="auto" w:sz="4" w:space="0"/>
            </w:tcBorders>
            <w:vAlign w:val="center"/>
          </w:tcPr>
          <w:p w14:paraId="11714549">
            <w:pPr>
              <w:spacing w:line="360" w:lineRule="auto"/>
              <w:jc w:val="center"/>
              <w:rPr>
                <w:rFonts w:hint="eastAsia" w:ascii="宋体" w:hAnsi="宋体" w:cs="宋体"/>
                <w:sz w:val="24"/>
                <w:szCs w:val="24"/>
              </w:rPr>
            </w:pPr>
          </w:p>
        </w:tc>
      </w:tr>
      <w:tr w14:paraId="3891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31E4DB0B">
            <w:pPr>
              <w:spacing w:line="360" w:lineRule="auto"/>
              <w:jc w:val="center"/>
              <w:rPr>
                <w:rFonts w:hint="eastAsia" w:ascii="宋体" w:hAnsi="宋体" w:cs="宋体"/>
                <w:sz w:val="24"/>
                <w:szCs w:val="24"/>
              </w:rPr>
            </w:pPr>
            <w:r>
              <w:rPr>
                <w:rFonts w:hint="eastAsia" w:ascii="宋体" w:hAnsi="宋体" w:cs="宋体"/>
                <w:sz w:val="24"/>
                <w:szCs w:val="24"/>
              </w:rPr>
              <w:t>基本账户银行账号</w:t>
            </w:r>
          </w:p>
        </w:tc>
        <w:tc>
          <w:tcPr>
            <w:tcW w:w="6995" w:type="dxa"/>
            <w:gridSpan w:val="4"/>
            <w:tcBorders>
              <w:top w:val="single" w:color="auto" w:sz="4" w:space="0"/>
              <w:left w:val="nil"/>
              <w:bottom w:val="single" w:color="auto" w:sz="4" w:space="0"/>
              <w:right w:val="single" w:color="auto" w:sz="4" w:space="0"/>
            </w:tcBorders>
            <w:vAlign w:val="center"/>
          </w:tcPr>
          <w:p w14:paraId="2CF11ECD">
            <w:pPr>
              <w:spacing w:line="360" w:lineRule="auto"/>
              <w:jc w:val="center"/>
              <w:rPr>
                <w:rFonts w:hint="eastAsia" w:ascii="宋体" w:hAnsi="宋体" w:cs="宋体"/>
                <w:sz w:val="24"/>
                <w:szCs w:val="24"/>
              </w:rPr>
            </w:pPr>
          </w:p>
        </w:tc>
      </w:tr>
      <w:tr w14:paraId="796B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0BF210B">
            <w:pPr>
              <w:spacing w:line="360" w:lineRule="auto"/>
              <w:jc w:val="center"/>
              <w:rPr>
                <w:rFonts w:hint="eastAsia" w:ascii="宋体" w:hAnsi="宋体" w:cs="宋体"/>
                <w:sz w:val="24"/>
                <w:szCs w:val="24"/>
              </w:rPr>
            </w:pPr>
            <w:r>
              <w:rPr>
                <w:rFonts w:hint="eastAsia" w:ascii="宋体" w:hAnsi="宋体" w:cs="宋体"/>
                <w:sz w:val="24"/>
                <w:szCs w:val="24"/>
              </w:rPr>
              <w:t>备注</w:t>
            </w:r>
          </w:p>
        </w:tc>
        <w:tc>
          <w:tcPr>
            <w:tcW w:w="6995" w:type="dxa"/>
            <w:gridSpan w:val="4"/>
            <w:tcBorders>
              <w:top w:val="single" w:color="auto" w:sz="4" w:space="0"/>
              <w:left w:val="nil"/>
              <w:bottom w:val="single" w:color="auto" w:sz="4" w:space="0"/>
              <w:right w:val="single" w:color="auto" w:sz="4" w:space="0"/>
            </w:tcBorders>
            <w:vAlign w:val="center"/>
          </w:tcPr>
          <w:p w14:paraId="077DD420">
            <w:pPr>
              <w:spacing w:line="360" w:lineRule="auto"/>
              <w:jc w:val="center"/>
              <w:rPr>
                <w:rFonts w:hint="eastAsia" w:ascii="宋体" w:hAnsi="宋体" w:cs="宋体"/>
                <w:sz w:val="24"/>
                <w:szCs w:val="24"/>
              </w:rPr>
            </w:pPr>
          </w:p>
        </w:tc>
      </w:tr>
    </w:tbl>
    <w:p w14:paraId="7B385CE2">
      <w:pPr>
        <w:spacing w:line="240" w:lineRule="exact"/>
        <w:rPr>
          <w:rFonts w:hint="eastAsia" w:ascii="宋体" w:hAnsi="宋体" w:cs="宋体"/>
          <w:sz w:val="24"/>
          <w:szCs w:val="24"/>
        </w:rPr>
      </w:pPr>
    </w:p>
    <w:p w14:paraId="7C974090">
      <w:pPr>
        <w:spacing w:line="320" w:lineRule="exact"/>
        <w:rPr>
          <w:rFonts w:hint="eastAsia" w:ascii="宋体" w:hAnsi="宋体" w:cs="宋体"/>
          <w:b/>
          <w:bCs/>
          <w:sz w:val="44"/>
          <w:szCs w:val="44"/>
        </w:rPr>
      </w:pPr>
      <w:r>
        <w:rPr>
          <w:rFonts w:hint="eastAsia" w:ascii="宋体" w:hAnsi="宋体" w:cs="宋体"/>
          <w:sz w:val="24"/>
          <w:szCs w:val="24"/>
        </w:rPr>
        <w:t>注：供应商应根据竞争性磋商文件要求在本表后附相关证明材料，如营业执照、资质证书（若有）等。</w:t>
      </w:r>
    </w:p>
    <w:p w14:paraId="3706AEAC">
      <w:pPr>
        <w:pStyle w:val="4"/>
        <w:rPr>
          <w:rFonts w:hint="eastAsia" w:ascii="宋体" w:hAnsi="宋体" w:cs="宋体"/>
        </w:rPr>
      </w:pPr>
      <w:bookmarkStart w:id="495" w:name="_Toc25271"/>
      <w:bookmarkEnd w:id="495"/>
      <w:bookmarkStart w:id="496" w:name="_Toc28613"/>
      <w:bookmarkStart w:id="497" w:name="_Toc3896312"/>
      <w:r>
        <w:rPr>
          <w:rFonts w:hint="eastAsia" w:ascii="宋体" w:hAnsi="宋体" w:cs="宋体"/>
          <w:szCs w:val="28"/>
        </w:rPr>
        <w:br w:type="page"/>
      </w:r>
      <w:bookmarkEnd w:id="496"/>
      <w:bookmarkEnd w:id="497"/>
      <w:bookmarkStart w:id="498" w:name="_Toc26735"/>
      <w:bookmarkStart w:id="499" w:name="_Toc3896313"/>
      <w:bookmarkStart w:id="500" w:name="_Toc313"/>
      <w:bookmarkStart w:id="501" w:name="_Toc25087"/>
      <w:bookmarkStart w:id="502" w:name="_Toc165910165"/>
      <w:bookmarkStart w:id="503" w:name="_Toc23063"/>
      <w:bookmarkStart w:id="504" w:name="_Toc27685"/>
      <w:r>
        <w:rPr>
          <w:rFonts w:hint="eastAsia" w:ascii="宋体" w:hAnsi="宋体" w:cs="宋体"/>
          <w:szCs w:val="28"/>
        </w:rPr>
        <w:t>七、商务条款偏离表</w:t>
      </w:r>
      <w:bookmarkEnd w:id="498"/>
      <w:bookmarkEnd w:id="499"/>
      <w:bookmarkEnd w:id="500"/>
      <w:bookmarkEnd w:id="501"/>
      <w:bookmarkEnd w:id="502"/>
      <w:bookmarkEnd w:id="503"/>
      <w:bookmarkEnd w:id="50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130"/>
        <w:gridCol w:w="2435"/>
        <w:gridCol w:w="2543"/>
        <w:gridCol w:w="867"/>
        <w:gridCol w:w="867"/>
      </w:tblGrid>
      <w:tr w14:paraId="091E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27F73CC3">
            <w:pPr>
              <w:spacing w:line="360" w:lineRule="auto"/>
              <w:jc w:val="center"/>
              <w:rPr>
                <w:rFonts w:hint="eastAsia" w:ascii="宋体" w:hAnsi="宋体" w:cs="宋体"/>
                <w:b/>
                <w:bCs/>
                <w:sz w:val="24"/>
                <w:szCs w:val="24"/>
              </w:rPr>
            </w:pPr>
            <w:r>
              <w:rPr>
                <w:rFonts w:hint="eastAsia" w:ascii="宋体" w:hAnsi="宋体" w:cs="宋体"/>
                <w:b/>
                <w:bCs/>
                <w:sz w:val="24"/>
                <w:szCs w:val="24"/>
              </w:rPr>
              <w:t>序 号</w:t>
            </w:r>
          </w:p>
        </w:tc>
        <w:tc>
          <w:tcPr>
            <w:tcW w:w="2130" w:type="dxa"/>
            <w:tcBorders>
              <w:top w:val="single" w:color="auto" w:sz="4" w:space="0"/>
              <w:left w:val="nil"/>
              <w:bottom w:val="single" w:color="auto" w:sz="4" w:space="0"/>
              <w:right w:val="single" w:color="auto" w:sz="4" w:space="0"/>
            </w:tcBorders>
            <w:vAlign w:val="center"/>
          </w:tcPr>
          <w:p w14:paraId="1457DB84">
            <w:pPr>
              <w:spacing w:line="360" w:lineRule="auto"/>
              <w:jc w:val="center"/>
              <w:rPr>
                <w:rFonts w:hint="eastAsia" w:ascii="宋体" w:hAnsi="宋体" w:cs="宋体"/>
                <w:b/>
                <w:bCs/>
                <w:sz w:val="24"/>
                <w:szCs w:val="24"/>
              </w:rPr>
            </w:pPr>
            <w:r>
              <w:rPr>
                <w:rFonts w:hint="eastAsia" w:ascii="宋体" w:hAnsi="宋体" w:cs="宋体"/>
                <w:b/>
                <w:bCs/>
                <w:sz w:val="24"/>
                <w:szCs w:val="24"/>
              </w:rPr>
              <w:t>竞争性磋商文件条款号</w:t>
            </w:r>
          </w:p>
        </w:tc>
        <w:tc>
          <w:tcPr>
            <w:tcW w:w="2435" w:type="dxa"/>
            <w:tcBorders>
              <w:top w:val="single" w:color="auto" w:sz="4" w:space="0"/>
              <w:left w:val="nil"/>
              <w:bottom w:val="single" w:color="auto" w:sz="4" w:space="0"/>
              <w:right w:val="single" w:color="auto" w:sz="4" w:space="0"/>
            </w:tcBorders>
            <w:vAlign w:val="center"/>
          </w:tcPr>
          <w:p w14:paraId="643C8802">
            <w:pPr>
              <w:spacing w:line="360" w:lineRule="auto"/>
              <w:jc w:val="center"/>
              <w:rPr>
                <w:rFonts w:hint="eastAsia" w:ascii="宋体" w:hAnsi="宋体" w:cs="宋体"/>
                <w:b/>
                <w:bCs/>
                <w:sz w:val="24"/>
                <w:szCs w:val="24"/>
              </w:rPr>
            </w:pPr>
            <w:r>
              <w:rPr>
                <w:rFonts w:hint="eastAsia" w:ascii="宋体" w:hAnsi="宋体" w:cs="宋体"/>
                <w:b/>
                <w:bCs/>
                <w:sz w:val="24"/>
                <w:szCs w:val="24"/>
              </w:rPr>
              <w:t>竞争性磋商文件的商务条款内容</w:t>
            </w:r>
          </w:p>
        </w:tc>
        <w:tc>
          <w:tcPr>
            <w:tcW w:w="2543" w:type="dxa"/>
            <w:tcBorders>
              <w:top w:val="single" w:color="auto" w:sz="4" w:space="0"/>
              <w:left w:val="nil"/>
              <w:bottom w:val="single" w:color="auto" w:sz="4" w:space="0"/>
              <w:right w:val="single" w:color="auto" w:sz="4" w:space="0"/>
            </w:tcBorders>
            <w:vAlign w:val="center"/>
          </w:tcPr>
          <w:p w14:paraId="439B3F5A">
            <w:pPr>
              <w:spacing w:line="360" w:lineRule="auto"/>
              <w:jc w:val="center"/>
              <w:rPr>
                <w:rFonts w:hint="eastAsia" w:ascii="宋体" w:hAnsi="宋体" w:cs="宋体"/>
                <w:b/>
                <w:bCs/>
                <w:sz w:val="24"/>
                <w:szCs w:val="24"/>
              </w:rPr>
            </w:pPr>
            <w:r>
              <w:rPr>
                <w:rFonts w:hint="eastAsia" w:ascii="宋体" w:hAnsi="宋体" w:cs="宋体"/>
                <w:b/>
                <w:bCs/>
                <w:sz w:val="24"/>
                <w:szCs w:val="24"/>
              </w:rPr>
              <w:t>响应文件的商务条款响应情况</w:t>
            </w:r>
          </w:p>
        </w:tc>
        <w:tc>
          <w:tcPr>
            <w:tcW w:w="867" w:type="dxa"/>
            <w:tcBorders>
              <w:top w:val="single" w:color="auto" w:sz="4" w:space="0"/>
              <w:left w:val="nil"/>
              <w:bottom w:val="single" w:color="auto" w:sz="4" w:space="0"/>
              <w:right w:val="single" w:color="auto" w:sz="4" w:space="0"/>
            </w:tcBorders>
            <w:vAlign w:val="center"/>
          </w:tcPr>
          <w:p w14:paraId="76A01AE7">
            <w:pPr>
              <w:spacing w:line="360" w:lineRule="auto"/>
              <w:jc w:val="center"/>
              <w:rPr>
                <w:rFonts w:hint="eastAsia" w:ascii="宋体" w:hAnsi="宋体" w:cs="宋体"/>
                <w:b/>
                <w:bCs/>
                <w:sz w:val="24"/>
                <w:szCs w:val="24"/>
              </w:rPr>
            </w:pPr>
            <w:r>
              <w:rPr>
                <w:rFonts w:hint="eastAsia" w:ascii="宋体" w:hAnsi="宋体" w:cs="宋体"/>
                <w:b/>
                <w:bCs/>
                <w:sz w:val="24"/>
                <w:szCs w:val="24"/>
              </w:rPr>
              <w:t>偏离情况</w:t>
            </w:r>
          </w:p>
        </w:tc>
        <w:tc>
          <w:tcPr>
            <w:tcW w:w="867" w:type="dxa"/>
            <w:tcBorders>
              <w:top w:val="single" w:color="auto" w:sz="4" w:space="0"/>
              <w:left w:val="nil"/>
              <w:bottom w:val="single" w:color="auto" w:sz="4" w:space="0"/>
              <w:right w:val="single" w:color="auto" w:sz="4" w:space="0"/>
            </w:tcBorders>
            <w:vAlign w:val="center"/>
          </w:tcPr>
          <w:p w14:paraId="451D6E60">
            <w:pPr>
              <w:spacing w:line="360" w:lineRule="auto"/>
              <w:jc w:val="center"/>
              <w:rPr>
                <w:rFonts w:hint="eastAsia" w:ascii="宋体" w:hAnsi="宋体" w:cs="宋体"/>
                <w:b/>
                <w:bCs/>
                <w:sz w:val="24"/>
                <w:szCs w:val="24"/>
              </w:rPr>
            </w:pPr>
            <w:r>
              <w:rPr>
                <w:rFonts w:hint="eastAsia" w:ascii="宋体" w:hAnsi="宋体" w:cs="宋体"/>
                <w:b/>
                <w:bCs/>
                <w:sz w:val="24"/>
                <w:szCs w:val="24"/>
              </w:rPr>
              <w:t>说明</w:t>
            </w:r>
          </w:p>
        </w:tc>
      </w:tr>
      <w:tr w14:paraId="29B2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6B131DE3">
            <w:pPr>
              <w:spacing w:line="360" w:lineRule="auto"/>
              <w:jc w:val="center"/>
              <w:rPr>
                <w:rFonts w:hint="eastAsia" w:ascii="宋体" w:hAnsi="宋体" w:cs="宋体"/>
                <w:sz w:val="24"/>
                <w:szCs w:val="24"/>
              </w:rPr>
            </w:pPr>
            <w:r>
              <w:rPr>
                <w:rFonts w:hint="eastAsia" w:ascii="宋体" w:hAnsi="宋体" w:cs="宋体"/>
                <w:sz w:val="24"/>
                <w:szCs w:val="24"/>
              </w:rPr>
              <w:t>1</w:t>
            </w:r>
          </w:p>
        </w:tc>
        <w:tc>
          <w:tcPr>
            <w:tcW w:w="2130" w:type="dxa"/>
            <w:tcBorders>
              <w:top w:val="single" w:color="auto" w:sz="4" w:space="0"/>
              <w:left w:val="nil"/>
              <w:bottom w:val="single" w:color="auto" w:sz="4" w:space="0"/>
              <w:right w:val="single" w:color="auto" w:sz="4" w:space="0"/>
            </w:tcBorders>
            <w:vAlign w:val="center"/>
          </w:tcPr>
          <w:p w14:paraId="08B3CD65">
            <w:pPr>
              <w:spacing w:line="360" w:lineRule="auto"/>
              <w:jc w:val="center"/>
              <w:rPr>
                <w:rFonts w:hint="eastAsia" w:ascii="宋体" w:hAnsi="宋体" w:cs="宋体"/>
                <w:sz w:val="24"/>
                <w:szCs w:val="24"/>
              </w:rPr>
            </w:pPr>
            <w:r>
              <w:rPr>
                <w:rFonts w:hint="eastAsia" w:ascii="宋体" w:hAnsi="宋体" w:cs="宋体"/>
                <w:sz w:val="24"/>
                <w:szCs w:val="24"/>
              </w:rPr>
              <w:t>“供应商须知前附表”第1.3.2款</w:t>
            </w:r>
          </w:p>
        </w:tc>
        <w:tc>
          <w:tcPr>
            <w:tcW w:w="2435" w:type="dxa"/>
            <w:tcBorders>
              <w:top w:val="single" w:color="auto" w:sz="4" w:space="0"/>
              <w:left w:val="nil"/>
              <w:bottom w:val="single" w:color="auto" w:sz="4" w:space="0"/>
              <w:right w:val="single" w:color="auto" w:sz="4" w:space="0"/>
            </w:tcBorders>
            <w:vAlign w:val="center"/>
          </w:tcPr>
          <w:p w14:paraId="309CC739">
            <w:pPr>
              <w:spacing w:line="360" w:lineRule="auto"/>
              <w:jc w:val="center"/>
              <w:rPr>
                <w:rFonts w:hint="eastAsia" w:ascii="宋体" w:hAnsi="宋体" w:cs="宋体"/>
                <w:sz w:val="24"/>
                <w:szCs w:val="24"/>
              </w:rPr>
            </w:pPr>
            <w:r>
              <w:rPr>
                <w:rFonts w:hint="eastAsia" w:ascii="宋体" w:hAnsi="宋体" w:cs="宋体"/>
                <w:sz w:val="24"/>
                <w:szCs w:val="24"/>
              </w:rPr>
              <w:t>合同履行期限</w:t>
            </w:r>
          </w:p>
        </w:tc>
        <w:tc>
          <w:tcPr>
            <w:tcW w:w="2543" w:type="dxa"/>
            <w:tcBorders>
              <w:top w:val="single" w:color="auto" w:sz="4" w:space="0"/>
              <w:left w:val="nil"/>
              <w:bottom w:val="single" w:color="auto" w:sz="4" w:space="0"/>
              <w:right w:val="single" w:color="auto" w:sz="4" w:space="0"/>
            </w:tcBorders>
            <w:vAlign w:val="center"/>
          </w:tcPr>
          <w:p w14:paraId="545536F1">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19151D7B">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21BE43AF">
            <w:pPr>
              <w:spacing w:line="360" w:lineRule="auto"/>
              <w:jc w:val="center"/>
              <w:rPr>
                <w:rFonts w:hint="eastAsia" w:ascii="宋体" w:hAnsi="宋体" w:cs="宋体"/>
                <w:sz w:val="24"/>
                <w:szCs w:val="24"/>
              </w:rPr>
            </w:pPr>
          </w:p>
        </w:tc>
      </w:tr>
      <w:tr w14:paraId="1BC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0619898A">
            <w:pPr>
              <w:spacing w:line="360" w:lineRule="auto"/>
              <w:jc w:val="center"/>
              <w:rPr>
                <w:rFonts w:hint="eastAsia" w:ascii="宋体" w:hAnsi="宋体" w:cs="宋体"/>
                <w:sz w:val="24"/>
                <w:szCs w:val="24"/>
              </w:rPr>
            </w:pPr>
            <w:r>
              <w:rPr>
                <w:rFonts w:hint="eastAsia" w:ascii="宋体" w:hAnsi="宋体" w:cs="宋体"/>
                <w:sz w:val="24"/>
                <w:szCs w:val="24"/>
              </w:rPr>
              <w:t>2</w:t>
            </w:r>
          </w:p>
        </w:tc>
        <w:tc>
          <w:tcPr>
            <w:tcW w:w="2130" w:type="dxa"/>
            <w:tcBorders>
              <w:top w:val="single" w:color="auto" w:sz="4" w:space="0"/>
              <w:left w:val="nil"/>
              <w:bottom w:val="single" w:color="auto" w:sz="4" w:space="0"/>
              <w:right w:val="single" w:color="auto" w:sz="4" w:space="0"/>
            </w:tcBorders>
            <w:vAlign w:val="center"/>
          </w:tcPr>
          <w:p w14:paraId="23887507">
            <w:pPr>
              <w:spacing w:line="360" w:lineRule="auto"/>
              <w:jc w:val="center"/>
              <w:rPr>
                <w:rFonts w:hint="eastAsia" w:ascii="宋体" w:hAnsi="宋体" w:cs="宋体"/>
                <w:sz w:val="24"/>
                <w:szCs w:val="24"/>
              </w:rPr>
            </w:pPr>
            <w:r>
              <w:rPr>
                <w:rFonts w:hint="eastAsia" w:ascii="宋体" w:hAnsi="宋体" w:cs="宋体"/>
                <w:sz w:val="24"/>
                <w:szCs w:val="24"/>
              </w:rPr>
              <w:t>“供应商须知前附表”第1.3.3款</w:t>
            </w:r>
          </w:p>
        </w:tc>
        <w:tc>
          <w:tcPr>
            <w:tcW w:w="2435" w:type="dxa"/>
            <w:tcBorders>
              <w:top w:val="single" w:color="auto" w:sz="4" w:space="0"/>
              <w:left w:val="nil"/>
              <w:bottom w:val="single" w:color="auto" w:sz="4" w:space="0"/>
              <w:right w:val="single" w:color="auto" w:sz="4" w:space="0"/>
            </w:tcBorders>
            <w:vAlign w:val="center"/>
          </w:tcPr>
          <w:p w14:paraId="5CCD5F17">
            <w:pPr>
              <w:spacing w:line="360" w:lineRule="auto"/>
              <w:jc w:val="center"/>
              <w:rPr>
                <w:rFonts w:hint="eastAsia" w:ascii="宋体" w:hAnsi="宋体" w:cs="宋体"/>
                <w:sz w:val="24"/>
                <w:szCs w:val="24"/>
              </w:rPr>
            </w:pPr>
            <w:r>
              <w:rPr>
                <w:rFonts w:hint="eastAsia" w:ascii="宋体" w:hAnsi="宋体" w:cs="宋体"/>
                <w:sz w:val="24"/>
                <w:szCs w:val="24"/>
              </w:rPr>
              <w:t>服务地点</w:t>
            </w:r>
          </w:p>
        </w:tc>
        <w:tc>
          <w:tcPr>
            <w:tcW w:w="2543" w:type="dxa"/>
            <w:tcBorders>
              <w:top w:val="single" w:color="auto" w:sz="4" w:space="0"/>
              <w:left w:val="nil"/>
              <w:bottom w:val="single" w:color="auto" w:sz="4" w:space="0"/>
              <w:right w:val="single" w:color="auto" w:sz="4" w:space="0"/>
            </w:tcBorders>
            <w:vAlign w:val="center"/>
          </w:tcPr>
          <w:p w14:paraId="0B5D7971">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3AF3D5D9">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55EC99F9">
            <w:pPr>
              <w:spacing w:line="360" w:lineRule="auto"/>
              <w:jc w:val="center"/>
              <w:rPr>
                <w:rFonts w:hint="eastAsia" w:ascii="宋体" w:hAnsi="宋体" w:cs="宋体"/>
                <w:sz w:val="24"/>
                <w:szCs w:val="24"/>
              </w:rPr>
            </w:pPr>
          </w:p>
        </w:tc>
      </w:tr>
      <w:tr w14:paraId="1329E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41748B13">
            <w:pPr>
              <w:spacing w:line="360" w:lineRule="auto"/>
              <w:jc w:val="center"/>
              <w:rPr>
                <w:rFonts w:hint="eastAsia" w:ascii="宋体" w:hAnsi="宋体" w:cs="宋体"/>
                <w:sz w:val="24"/>
                <w:szCs w:val="24"/>
              </w:rPr>
            </w:pPr>
            <w:r>
              <w:rPr>
                <w:rFonts w:hint="eastAsia" w:ascii="宋体" w:hAnsi="宋体" w:cs="宋体"/>
                <w:sz w:val="24"/>
                <w:szCs w:val="24"/>
              </w:rPr>
              <w:t>3</w:t>
            </w:r>
          </w:p>
        </w:tc>
        <w:tc>
          <w:tcPr>
            <w:tcW w:w="2130" w:type="dxa"/>
            <w:tcBorders>
              <w:top w:val="single" w:color="auto" w:sz="4" w:space="0"/>
              <w:left w:val="nil"/>
              <w:bottom w:val="single" w:color="auto" w:sz="4" w:space="0"/>
              <w:right w:val="single" w:color="auto" w:sz="4" w:space="0"/>
            </w:tcBorders>
            <w:vAlign w:val="center"/>
          </w:tcPr>
          <w:p w14:paraId="492D4D90">
            <w:pPr>
              <w:spacing w:line="360" w:lineRule="auto"/>
              <w:jc w:val="center"/>
              <w:rPr>
                <w:rFonts w:hint="eastAsia" w:ascii="宋体" w:hAnsi="宋体" w:cs="宋体"/>
                <w:sz w:val="24"/>
                <w:szCs w:val="24"/>
              </w:rPr>
            </w:pPr>
            <w:r>
              <w:rPr>
                <w:rFonts w:hint="eastAsia" w:ascii="宋体" w:hAnsi="宋体" w:cs="宋体"/>
                <w:sz w:val="24"/>
                <w:szCs w:val="24"/>
              </w:rPr>
              <w:t>“供应商须知前附表”第3.3.1款</w:t>
            </w:r>
          </w:p>
        </w:tc>
        <w:tc>
          <w:tcPr>
            <w:tcW w:w="2435" w:type="dxa"/>
            <w:tcBorders>
              <w:top w:val="single" w:color="auto" w:sz="4" w:space="0"/>
              <w:left w:val="nil"/>
              <w:bottom w:val="single" w:color="auto" w:sz="4" w:space="0"/>
              <w:right w:val="single" w:color="auto" w:sz="4" w:space="0"/>
            </w:tcBorders>
            <w:vAlign w:val="center"/>
          </w:tcPr>
          <w:p w14:paraId="217B89FF">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2543" w:type="dxa"/>
            <w:tcBorders>
              <w:top w:val="single" w:color="auto" w:sz="4" w:space="0"/>
              <w:left w:val="nil"/>
              <w:bottom w:val="single" w:color="auto" w:sz="4" w:space="0"/>
              <w:right w:val="single" w:color="auto" w:sz="4" w:space="0"/>
            </w:tcBorders>
            <w:vAlign w:val="center"/>
          </w:tcPr>
          <w:p w14:paraId="284DFAD6">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7FE54FDB">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3F221563">
            <w:pPr>
              <w:spacing w:line="360" w:lineRule="auto"/>
              <w:jc w:val="center"/>
              <w:rPr>
                <w:rFonts w:hint="eastAsia" w:ascii="宋体" w:hAnsi="宋体" w:cs="宋体"/>
                <w:sz w:val="24"/>
                <w:szCs w:val="24"/>
              </w:rPr>
            </w:pPr>
          </w:p>
        </w:tc>
      </w:tr>
      <w:tr w14:paraId="7504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7B57ECDF">
            <w:pPr>
              <w:spacing w:line="360" w:lineRule="auto"/>
              <w:jc w:val="center"/>
              <w:rPr>
                <w:rFonts w:hint="eastAsia" w:ascii="宋体" w:hAnsi="宋体" w:cs="宋体"/>
                <w:sz w:val="24"/>
                <w:szCs w:val="24"/>
              </w:rPr>
            </w:pPr>
            <w:r>
              <w:rPr>
                <w:rFonts w:hint="eastAsia" w:ascii="宋体" w:hAnsi="宋体" w:cs="宋体"/>
                <w:sz w:val="24"/>
                <w:szCs w:val="24"/>
              </w:rPr>
              <w:t>……</w:t>
            </w:r>
          </w:p>
        </w:tc>
        <w:tc>
          <w:tcPr>
            <w:tcW w:w="2130" w:type="dxa"/>
            <w:tcBorders>
              <w:top w:val="single" w:color="auto" w:sz="4" w:space="0"/>
              <w:left w:val="nil"/>
              <w:bottom w:val="single" w:color="auto" w:sz="4" w:space="0"/>
              <w:right w:val="single" w:color="auto" w:sz="4" w:space="0"/>
            </w:tcBorders>
            <w:vAlign w:val="center"/>
          </w:tcPr>
          <w:p w14:paraId="0BB44237">
            <w:pPr>
              <w:spacing w:line="360" w:lineRule="auto"/>
              <w:jc w:val="center"/>
              <w:rPr>
                <w:rFonts w:hint="eastAsia" w:ascii="宋体" w:hAnsi="宋体" w:cs="宋体"/>
                <w:sz w:val="24"/>
                <w:szCs w:val="24"/>
              </w:rPr>
            </w:pPr>
          </w:p>
        </w:tc>
        <w:tc>
          <w:tcPr>
            <w:tcW w:w="2435" w:type="dxa"/>
            <w:tcBorders>
              <w:top w:val="single" w:color="auto" w:sz="4" w:space="0"/>
              <w:left w:val="nil"/>
              <w:bottom w:val="single" w:color="auto" w:sz="4" w:space="0"/>
              <w:right w:val="single" w:color="auto" w:sz="4" w:space="0"/>
            </w:tcBorders>
            <w:vAlign w:val="center"/>
          </w:tcPr>
          <w:p w14:paraId="2F71E999">
            <w:pPr>
              <w:spacing w:line="360" w:lineRule="auto"/>
              <w:jc w:val="center"/>
              <w:rPr>
                <w:rFonts w:hint="eastAsia" w:ascii="宋体" w:hAnsi="宋体" w:cs="宋体"/>
                <w:sz w:val="24"/>
                <w:szCs w:val="24"/>
              </w:rPr>
            </w:pPr>
          </w:p>
        </w:tc>
        <w:tc>
          <w:tcPr>
            <w:tcW w:w="2543" w:type="dxa"/>
            <w:tcBorders>
              <w:top w:val="single" w:color="auto" w:sz="4" w:space="0"/>
              <w:left w:val="nil"/>
              <w:bottom w:val="single" w:color="auto" w:sz="4" w:space="0"/>
              <w:right w:val="single" w:color="auto" w:sz="4" w:space="0"/>
            </w:tcBorders>
            <w:vAlign w:val="center"/>
          </w:tcPr>
          <w:p w14:paraId="6B52D595">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1E26D3C6">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28A9E010">
            <w:pPr>
              <w:spacing w:line="360" w:lineRule="auto"/>
              <w:jc w:val="center"/>
              <w:rPr>
                <w:rFonts w:hint="eastAsia" w:ascii="宋体" w:hAnsi="宋体" w:cs="宋体"/>
                <w:sz w:val="24"/>
                <w:szCs w:val="24"/>
              </w:rPr>
            </w:pPr>
          </w:p>
        </w:tc>
      </w:tr>
      <w:tr w14:paraId="4518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6CBD9EAF">
            <w:pPr>
              <w:spacing w:line="360" w:lineRule="auto"/>
              <w:jc w:val="center"/>
              <w:rPr>
                <w:rFonts w:hint="eastAsia" w:ascii="宋体" w:hAnsi="宋体" w:cs="宋体"/>
                <w:sz w:val="24"/>
                <w:szCs w:val="24"/>
              </w:rPr>
            </w:pPr>
            <w:r>
              <w:rPr>
                <w:rFonts w:hint="eastAsia" w:ascii="宋体" w:hAnsi="宋体" w:cs="宋体"/>
                <w:sz w:val="24"/>
                <w:szCs w:val="24"/>
              </w:rPr>
              <w:t>……</w:t>
            </w:r>
          </w:p>
        </w:tc>
        <w:tc>
          <w:tcPr>
            <w:tcW w:w="2130" w:type="dxa"/>
            <w:tcBorders>
              <w:top w:val="single" w:color="auto" w:sz="4" w:space="0"/>
              <w:left w:val="nil"/>
              <w:bottom w:val="single" w:color="auto" w:sz="4" w:space="0"/>
              <w:right w:val="single" w:color="auto" w:sz="4" w:space="0"/>
            </w:tcBorders>
            <w:vAlign w:val="center"/>
          </w:tcPr>
          <w:p w14:paraId="0594435E">
            <w:pPr>
              <w:spacing w:line="360" w:lineRule="auto"/>
              <w:jc w:val="center"/>
              <w:rPr>
                <w:rFonts w:hint="eastAsia" w:ascii="宋体" w:hAnsi="宋体" w:cs="宋体"/>
                <w:sz w:val="24"/>
                <w:szCs w:val="24"/>
              </w:rPr>
            </w:pPr>
          </w:p>
        </w:tc>
        <w:tc>
          <w:tcPr>
            <w:tcW w:w="2435" w:type="dxa"/>
            <w:tcBorders>
              <w:top w:val="single" w:color="auto" w:sz="4" w:space="0"/>
              <w:left w:val="nil"/>
              <w:bottom w:val="single" w:color="auto" w:sz="4" w:space="0"/>
              <w:right w:val="single" w:color="auto" w:sz="4" w:space="0"/>
            </w:tcBorders>
            <w:vAlign w:val="center"/>
          </w:tcPr>
          <w:p w14:paraId="279F277F">
            <w:pPr>
              <w:spacing w:line="360" w:lineRule="auto"/>
              <w:jc w:val="center"/>
              <w:rPr>
                <w:rFonts w:hint="eastAsia" w:ascii="宋体" w:hAnsi="宋体" w:cs="宋体"/>
                <w:sz w:val="24"/>
                <w:szCs w:val="24"/>
              </w:rPr>
            </w:pPr>
          </w:p>
        </w:tc>
        <w:tc>
          <w:tcPr>
            <w:tcW w:w="2543" w:type="dxa"/>
            <w:tcBorders>
              <w:top w:val="single" w:color="auto" w:sz="4" w:space="0"/>
              <w:left w:val="nil"/>
              <w:bottom w:val="single" w:color="auto" w:sz="4" w:space="0"/>
              <w:right w:val="single" w:color="auto" w:sz="4" w:space="0"/>
            </w:tcBorders>
            <w:vAlign w:val="center"/>
          </w:tcPr>
          <w:p w14:paraId="049A871D">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3AA022D2">
            <w:pPr>
              <w:spacing w:line="360" w:lineRule="auto"/>
              <w:jc w:val="center"/>
              <w:rPr>
                <w:rFonts w:hint="eastAsia" w:ascii="宋体" w:hAnsi="宋体" w:cs="宋体"/>
                <w:sz w:val="24"/>
                <w:szCs w:val="24"/>
              </w:rPr>
            </w:pPr>
          </w:p>
        </w:tc>
        <w:tc>
          <w:tcPr>
            <w:tcW w:w="867" w:type="dxa"/>
            <w:tcBorders>
              <w:top w:val="single" w:color="auto" w:sz="4" w:space="0"/>
              <w:left w:val="nil"/>
              <w:bottom w:val="single" w:color="auto" w:sz="4" w:space="0"/>
              <w:right w:val="single" w:color="auto" w:sz="4" w:space="0"/>
            </w:tcBorders>
            <w:vAlign w:val="center"/>
          </w:tcPr>
          <w:p w14:paraId="6A1C6C36">
            <w:pPr>
              <w:spacing w:line="360" w:lineRule="auto"/>
              <w:jc w:val="center"/>
              <w:rPr>
                <w:rFonts w:hint="eastAsia" w:ascii="宋体" w:hAnsi="宋体" w:cs="宋体"/>
                <w:sz w:val="24"/>
                <w:szCs w:val="24"/>
              </w:rPr>
            </w:pPr>
          </w:p>
        </w:tc>
      </w:tr>
    </w:tbl>
    <w:p w14:paraId="3CFAEC8F">
      <w:pPr>
        <w:pStyle w:val="14"/>
        <w:rPr>
          <w:rFonts w:hint="eastAsia" w:ascii="宋体" w:hAnsi="宋体" w:cs="宋体"/>
          <w:sz w:val="24"/>
        </w:rPr>
      </w:pPr>
    </w:p>
    <w:p w14:paraId="0277448B">
      <w:pPr>
        <w:pStyle w:val="14"/>
        <w:rPr>
          <w:rFonts w:hint="eastAsia" w:ascii="宋体" w:hAnsi="宋体" w:cs="宋体"/>
          <w:sz w:val="24"/>
        </w:rPr>
      </w:pPr>
    </w:p>
    <w:p w14:paraId="669D73F1">
      <w:pPr>
        <w:pStyle w:val="14"/>
        <w:rPr>
          <w:rFonts w:hint="eastAsia" w:ascii="宋体" w:hAnsi="宋体" w:cs="宋体"/>
          <w:sz w:val="24"/>
        </w:rPr>
      </w:pPr>
    </w:p>
    <w:p w14:paraId="4D9B5325">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4023D923">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法定代表人或其委托代理人：</w:t>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7516A165">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00B5ADC1">
      <w:pPr>
        <w:rPr>
          <w:rFonts w:hint="eastAsia" w:ascii="宋体" w:hAnsi="宋体" w:cs="宋体"/>
          <w:szCs w:val="28"/>
        </w:rPr>
      </w:pPr>
      <w:bookmarkStart w:id="505" w:name="_Toc31774"/>
      <w:bookmarkStart w:id="506" w:name="_Toc165910166"/>
      <w:bookmarkStart w:id="507" w:name="_Toc16140"/>
      <w:bookmarkStart w:id="508" w:name="_Toc30097"/>
      <w:bookmarkStart w:id="509" w:name="_Toc32692"/>
      <w:r>
        <w:rPr>
          <w:rFonts w:hint="eastAsia" w:ascii="宋体" w:hAnsi="宋体" w:cs="宋体"/>
          <w:szCs w:val="28"/>
        </w:rPr>
        <w:br w:type="page"/>
      </w:r>
    </w:p>
    <w:p w14:paraId="10C3FB83">
      <w:pPr>
        <w:pStyle w:val="4"/>
        <w:rPr>
          <w:rFonts w:hint="eastAsia" w:ascii="宋体" w:hAnsi="宋体" w:cs="宋体"/>
          <w:szCs w:val="28"/>
        </w:rPr>
      </w:pPr>
      <w:r>
        <w:rPr>
          <w:rFonts w:hint="eastAsia" w:ascii="宋体" w:hAnsi="宋体" w:cs="宋体"/>
          <w:szCs w:val="28"/>
        </w:rPr>
        <w:t>八、</w:t>
      </w:r>
      <w:bookmarkEnd w:id="505"/>
      <w:bookmarkEnd w:id="506"/>
      <w:bookmarkEnd w:id="507"/>
      <w:bookmarkEnd w:id="508"/>
      <w:bookmarkEnd w:id="509"/>
      <w:r>
        <w:rPr>
          <w:rFonts w:hint="eastAsia" w:ascii="宋体" w:hAnsi="宋体" w:cs="宋体"/>
          <w:szCs w:val="28"/>
        </w:rPr>
        <w:t>项目团队人员配置</w:t>
      </w:r>
    </w:p>
    <w:tbl>
      <w:tblPr>
        <w:tblStyle w:val="34"/>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024"/>
        <w:gridCol w:w="697"/>
        <w:gridCol w:w="673"/>
        <w:gridCol w:w="860"/>
        <w:gridCol w:w="864"/>
        <w:gridCol w:w="864"/>
        <w:gridCol w:w="864"/>
        <w:gridCol w:w="1501"/>
        <w:gridCol w:w="1079"/>
        <w:gridCol w:w="1501"/>
      </w:tblGrid>
      <w:tr w14:paraId="6774E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81" w:type="dxa"/>
            <w:vMerge w:val="restart"/>
            <w:vAlign w:val="center"/>
          </w:tcPr>
          <w:p w14:paraId="2CEC0AD1">
            <w:pPr>
              <w:spacing w:line="420" w:lineRule="exact"/>
              <w:jc w:val="center"/>
              <w:rPr>
                <w:rFonts w:hint="eastAsia" w:ascii="宋体" w:hAnsi="宋体" w:cs="宋体"/>
                <w:b/>
                <w:bCs/>
                <w:spacing w:val="10"/>
                <w:sz w:val="24"/>
              </w:rPr>
            </w:pPr>
            <w:r>
              <w:rPr>
                <w:rFonts w:hint="eastAsia" w:ascii="宋体" w:hAnsi="宋体" w:cs="宋体"/>
                <w:b/>
                <w:bCs/>
                <w:spacing w:val="10"/>
                <w:sz w:val="24"/>
              </w:rPr>
              <w:t>序号</w:t>
            </w:r>
          </w:p>
        </w:tc>
        <w:tc>
          <w:tcPr>
            <w:tcW w:w="1024" w:type="dxa"/>
            <w:vMerge w:val="restart"/>
            <w:vAlign w:val="center"/>
          </w:tcPr>
          <w:p w14:paraId="38212ED0">
            <w:pPr>
              <w:spacing w:line="420" w:lineRule="exact"/>
              <w:jc w:val="center"/>
              <w:rPr>
                <w:rFonts w:hint="eastAsia" w:ascii="宋体" w:hAnsi="宋体" w:cs="宋体"/>
                <w:b/>
                <w:bCs/>
                <w:spacing w:val="10"/>
                <w:sz w:val="24"/>
              </w:rPr>
            </w:pPr>
            <w:r>
              <w:rPr>
                <w:rFonts w:hint="eastAsia" w:ascii="宋体" w:hAnsi="宋体" w:cs="宋体"/>
                <w:b/>
                <w:bCs/>
                <w:spacing w:val="10"/>
                <w:sz w:val="24"/>
              </w:rPr>
              <w:t>在本项目中所担任职务</w:t>
            </w:r>
          </w:p>
        </w:tc>
        <w:tc>
          <w:tcPr>
            <w:tcW w:w="697" w:type="dxa"/>
            <w:vMerge w:val="restart"/>
            <w:vAlign w:val="center"/>
          </w:tcPr>
          <w:p w14:paraId="5EE2252D">
            <w:pPr>
              <w:spacing w:line="420" w:lineRule="exact"/>
              <w:jc w:val="center"/>
              <w:rPr>
                <w:rFonts w:hint="eastAsia" w:ascii="宋体" w:hAnsi="宋体" w:cs="宋体"/>
                <w:b/>
                <w:bCs/>
                <w:spacing w:val="10"/>
                <w:sz w:val="24"/>
              </w:rPr>
            </w:pPr>
            <w:r>
              <w:rPr>
                <w:rFonts w:hint="eastAsia" w:ascii="宋体" w:hAnsi="宋体" w:cs="宋体"/>
                <w:b/>
                <w:bCs/>
                <w:spacing w:val="10"/>
                <w:sz w:val="24"/>
              </w:rPr>
              <w:t>姓名</w:t>
            </w:r>
          </w:p>
        </w:tc>
        <w:tc>
          <w:tcPr>
            <w:tcW w:w="673" w:type="dxa"/>
            <w:vMerge w:val="restart"/>
            <w:vAlign w:val="center"/>
          </w:tcPr>
          <w:p w14:paraId="5520D2F2">
            <w:pPr>
              <w:spacing w:line="420" w:lineRule="exact"/>
              <w:jc w:val="center"/>
              <w:rPr>
                <w:rFonts w:hint="eastAsia" w:ascii="宋体" w:hAnsi="宋体" w:cs="宋体"/>
                <w:b/>
                <w:bCs/>
                <w:spacing w:val="10"/>
                <w:sz w:val="24"/>
              </w:rPr>
            </w:pPr>
            <w:r>
              <w:rPr>
                <w:rFonts w:hint="eastAsia" w:ascii="宋体" w:hAnsi="宋体" w:cs="宋体"/>
                <w:b/>
                <w:bCs/>
                <w:spacing w:val="10"/>
                <w:sz w:val="24"/>
              </w:rPr>
              <w:t>学历</w:t>
            </w:r>
          </w:p>
        </w:tc>
        <w:tc>
          <w:tcPr>
            <w:tcW w:w="860" w:type="dxa"/>
            <w:vMerge w:val="restart"/>
            <w:vAlign w:val="center"/>
          </w:tcPr>
          <w:p w14:paraId="27AEF280">
            <w:pPr>
              <w:spacing w:line="420" w:lineRule="exact"/>
              <w:jc w:val="center"/>
              <w:rPr>
                <w:rFonts w:hint="eastAsia" w:ascii="宋体" w:hAnsi="宋体" w:cs="宋体"/>
                <w:b/>
                <w:bCs/>
                <w:spacing w:val="10"/>
                <w:sz w:val="24"/>
              </w:rPr>
            </w:pPr>
            <w:r>
              <w:rPr>
                <w:rFonts w:hint="eastAsia" w:ascii="宋体" w:hAnsi="宋体" w:cs="宋体"/>
                <w:b/>
                <w:bCs/>
                <w:spacing w:val="10"/>
                <w:sz w:val="24"/>
              </w:rPr>
              <w:t>职称</w:t>
            </w:r>
          </w:p>
        </w:tc>
        <w:tc>
          <w:tcPr>
            <w:tcW w:w="864" w:type="dxa"/>
            <w:vMerge w:val="restart"/>
            <w:vAlign w:val="center"/>
          </w:tcPr>
          <w:p w14:paraId="3C686BFD">
            <w:pPr>
              <w:spacing w:line="420" w:lineRule="exact"/>
              <w:jc w:val="center"/>
              <w:rPr>
                <w:rFonts w:hint="eastAsia" w:ascii="宋体" w:hAnsi="宋体" w:cs="宋体"/>
                <w:b/>
                <w:bCs/>
                <w:spacing w:val="10"/>
                <w:sz w:val="24"/>
                <w:szCs w:val="24"/>
              </w:rPr>
            </w:pPr>
            <w:r>
              <w:rPr>
                <w:rFonts w:hint="eastAsia" w:ascii="宋体" w:hAnsi="宋体" w:cs="宋体"/>
                <w:b/>
                <w:bCs/>
                <w:spacing w:val="10"/>
                <w:sz w:val="24"/>
                <w:szCs w:val="24"/>
              </w:rPr>
              <w:t>工作年限</w:t>
            </w:r>
          </w:p>
        </w:tc>
        <w:tc>
          <w:tcPr>
            <w:tcW w:w="864" w:type="dxa"/>
            <w:vMerge w:val="restart"/>
            <w:vAlign w:val="center"/>
          </w:tcPr>
          <w:p w14:paraId="36B05210">
            <w:pPr>
              <w:spacing w:line="420" w:lineRule="exact"/>
              <w:jc w:val="center"/>
              <w:rPr>
                <w:rFonts w:hint="eastAsia" w:ascii="宋体" w:hAnsi="宋体" w:cs="宋体"/>
                <w:b/>
                <w:bCs/>
                <w:spacing w:val="10"/>
                <w:sz w:val="24"/>
                <w:szCs w:val="24"/>
              </w:rPr>
            </w:pPr>
            <w:r>
              <w:rPr>
                <w:rFonts w:hint="eastAsia" w:ascii="宋体" w:hAnsi="宋体" w:cs="宋体"/>
                <w:b/>
                <w:bCs/>
                <w:spacing w:val="10"/>
                <w:sz w:val="24"/>
                <w:szCs w:val="24"/>
              </w:rPr>
              <w:t>执业年限</w:t>
            </w:r>
          </w:p>
        </w:tc>
        <w:tc>
          <w:tcPr>
            <w:tcW w:w="864" w:type="dxa"/>
            <w:vMerge w:val="restart"/>
            <w:vAlign w:val="center"/>
          </w:tcPr>
          <w:p w14:paraId="58BC71BC">
            <w:pPr>
              <w:spacing w:line="420" w:lineRule="exact"/>
              <w:jc w:val="center"/>
              <w:rPr>
                <w:rFonts w:hint="eastAsia" w:ascii="宋体" w:hAnsi="宋体" w:cs="宋体"/>
                <w:b/>
                <w:bCs/>
                <w:spacing w:val="10"/>
                <w:sz w:val="24"/>
              </w:rPr>
            </w:pPr>
            <w:r>
              <w:rPr>
                <w:rFonts w:hint="eastAsia" w:ascii="宋体" w:hAnsi="宋体" w:cs="宋体"/>
                <w:b/>
                <w:bCs/>
                <w:spacing w:val="10"/>
                <w:sz w:val="24"/>
                <w:szCs w:val="24"/>
              </w:rPr>
              <w:t>相关证书</w:t>
            </w:r>
          </w:p>
        </w:tc>
        <w:tc>
          <w:tcPr>
            <w:tcW w:w="1501" w:type="dxa"/>
            <w:vMerge w:val="restart"/>
            <w:vAlign w:val="center"/>
          </w:tcPr>
          <w:p w14:paraId="4B0FBABF">
            <w:pPr>
              <w:spacing w:line="420" w:lineRule="exact"/>
              <w:jc w:val="center"/>
              <w:rPr>
                <w:rFonts w:hint="eastAsia" w:ascii="宋体" w:hAnsi="宋体" w:cs="宋体"/>
                <w:b/>
                <w:bCs/>
                <w:spacing w:val="10"/>
                <w:sz w:val="24"/>
              </w:rPr>
            </w:pPr>
            <w:r>
              <w:rPr>
                <w:rFonts w:hint="eastAsia" w:ascii="宋体" w:hAnsi="宋体" w:cs="宋体"/>
                <w:b/>
                <w:bCs/>
                <w:spacing w:val="10"/>
                <w:sz w:val="24"/>
                <w:szCs w:val="24"/>
              </w:rPr>
              <w:t>在本项目中所承担工作简述</w:t>
            </w:r>
          </w:p>
        </w:tc>
        <w:tc>
          <w:tcPr>
            <w:tcW w:w="2580" w:type="dxa"/>
            <w:gridSpan w:val="2"/>
            <w:vAlign w:val="center"/>
          </w:tcPr>
          <w:p w14:paraId="26D161CA">
            <w:pPr>
              <w:spacing w:line="420" w:lineRule="exact"/>
              <w:jc w:val="center"/>
              <w:rPr>
                <w:rFonts w:hint="eastAsia" w:ascii="宋体" w:hAnsi="宋体" w:cs="宋体"/>
                <w:b/>
                <w:bCs/>
                <w:spacing w:val="10"/>
                <w:sz w:val="24"/>
              </w:rPr>
            </w:pPr>
            <w:r>
              <w:rPr>
                <w:rFonts w:hint="eastAsia" w:ascii="宋体" w:hAnsi="宋体" w:cs="宋体"/>
                <w:b/>
                <w:bCs/>
                <w:spacing w:val="10"/>
                <w:sz w:val="24"/>
                <w:szCs w:val="24"/>
              </w:rPr>
              <w:t>类似项目参与经验</w:t>
            </w:r>
          </w:p>
        </w:tc>
      </w:tr>
      <w:tr w14:paraId="3568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481" w:type="dxa"/>
            <w:vMerge w:val="continue"/>
            <w:vAlign w:val="center"/>
          </w:tcPr>
          <w:p w14:paraId="0229B24D">
            <w:pPr>
              <w:spacing w:line="420" w:lineRule="exact"/>
              <w:jc w:val="center"/>
              <w:rPr>
                <w:rFonts w:hint="eastAsia" w:ascii="宋体" w:hAnsi="宋体" w:cs="宋体"/>
                <w:b/>
                <w:bCs/>
                <w:spacing w:val="10"/>
                <w:sz w:val="24"/>
              </w:rPr>
            </w:pPr>
          </w:p>
        </w:tc>
        <w:tc>
          <w:tcPr>
            <w:tcW w:w="1024" w:type="dxa"/>
            <w:vMerge w:val="continue"/>
            <w:vAlign w:val="center"/>
          </w:tcPr>
          <w:p w14:paraId="46D38F3D">
            <w:pPr>
              <w:spacing w:line="420" w:lineRule="exact"/>
              <w:jc w:val="center"/>
              <w:rPr>
                <w:rFonts w:hint="eastAsia" w:ascii="宋体" w:hAnsi="宋体" w:cs="宋体"/>
                <w:b/>
                <w:bCs/>
                <w:spacing w:val="10"/>
                <w:sz w:val="24"/>
              </w:rPr>
            </w:pPr>
          </w:p>
        </w:tc>
        <w:tc>
          <w:tcPr>
            <w:tcW w:w="697" w:type="dxa"/>
            <w:vMerge w:val="continue"/>
            <w:vAlign w:val="center"/>
          </w:tcPr>
          <w:p w14:paraId="76BC6BCB">
            <w:pPr>
              <w:spacing w:line="420" w:lineRule="exact"/>
              <w:jc w:val="center"/>
              <w:rPr>
                <w:rFonts w:hint="eastAsia" w:ascii="宋体" w:hAnsi="宋体" w:cs="宋体"/>
                <w:b/>
                <w:bCs/>
                <w:spacing w:val="10"/>
                <w:sz w:val="24"/>
              </w:rPr>
            </w:pPr>
          </w:p>
        </w:tc>
        <w:tc>
          <w:tcPr>
            <w:tcW w:w="673" w:type="dxa"/>
            <w:vMerge w:val="continue"/>
            <w:vAlign w:val="center"/>
          </w:tcPr>
          <w:p w14:paraId="523C0750">
            <w:pPr>
              <w:spacing w:line="420" w:lineRule="exact"/>
              <w:jc w:val="center"/>
              <w:rPr>
                <w:rFonts w:hint="eastAsia" w:ascii="宋体" w:hAnsi="宋体" w:cs="宋体"/>
                <w:b/>
                <w:bCs/>
                <w:spacing w:val="10"/>
                <w:sz w:val="24"/>
              </w:rPr>
            </w:pPr>
          </w:p>
        </w:tc>
        <w:tc>
          <w:tcPr>
            <w:tcW w:w="860" w:type="dxa"/>
            <w:vMerge w:val="continue"/>
            <w:vAlign w:val="center"/>
          </w:tcPr>
          <w:p w14:paraId="703EBFD6">
            <w:pPr>
              <w:spacing w:line="420" w:lineRule="exact"/>
              <w:jc w:val="center"/>
              <w:rPr>
                <w:rFonts w:hint="eastAsia" w:ascii="宋体" w:hAnsi="宋体" w:cs="宋体"/>
                <w:b/>
                <w:bCs/>
                <w:spacing w:val="10"/>
                <w:sz w:val="24"/>
              </w:rPr>
            </w:pPr>
          </w:p>
        </w:tc>
        <w:tc>
          <w:tcPr>
            <w:tcW w:w="864" w:type="dxa"/>
            <w:vMerge w:val="continue"/>
          </w:tcPr>
          <w:p w14:paraId="74B55FD4">
            <w:pPr>
              <w:spacing w:line="420" w:lineRule="exact"/>
              <w:jc w:val="center"/>
              <w:rPr>
                <w:rFonts w:hint="eastAsia" w:ascii="宋体" w:hAnsi="宋体" w:cs="宋体"/>
                <w:b/>
                <w:bCs/>
                <w:spacing w:val="10"/>
                <w:sz w:val="24"/>
                <w:szCs w:val="24"/>
              </w:rPr>
            </w:pPr>
          </w:p>
        </w:tc>
        <w:tc>
          <w:tcPr>
            <w:tcW w:w="864" w:type="dxa"/>
            <w:vMerge w:val="continue"/>
            <w:vAlign w:val="center"/>
          </w:tcPr>
          <w:p w14:paraId="3160B6C4">
            <w:pPr>
              <w:spacing w:line="420" w:lineRule="exact"/>
              <w:jc w:val="center"/>
              <w:rPr>
                <w:rFonts w:hint="eastAsia" w:ascii="宋体" w:hAnsi="宋体" w:cs="宋体"/>
                <w:b/>
                <w:bCs/>
                <w:spacing w:val="10"/>
                <w:sz w:val="24"/>
                <w:szCs w:val="24"/>
              </w:rPr>
            </w:pPr>
          </w:p>
        </w:tc>
        <w:tc>
          <w:tcPr>
            <w:tcW w:w="864" w:type="dxa"/>
            <w:vMerge w:val="continue"/>
            <w:vAlign w:val="center"/>
          </w:tcPr>
          <w:p w14:paraId="6B74D014">
            <w:pPr>
              <w:spacing w:line="420" w:lineRule="exact"/>
              <w:jc w:val="center"/>
              <w:rPr>
                <w:rFonts w:hint="eastAsia" w:ascii="宋体" w:hAnsi="宋体" w:cs="宋体"/>
                <w:b/>
                <w:bCs/>
                <w:spacing w:val="10"/>
                <w:sz w:val="24"/>
                <w:szCs w:val="24"/>
              </w:rPr>
            </w:pPr>
          </w:p>
        </w:tc>
        <w:tc>
          <w:tcPr>
            <w:tcW w:w="1501" w:type="dxa"/>
            <w:vMerge w:val="continue"/>
            <w:vAlign w:val="center"/>
          </w:tcPr>
          <w:p w14:paraId="5FA1CA1E">
            <w:pPr>
              <w:spacing w:line="420" w:lineRule="exact"/>
              <w:jc w:val="center"/>
              <w:rPr>
                <w:rFonts w:hint="eastAsia" w:ascii="宋体" w:hAnsi="宋体" w:cs="宋体"/>
                <w:b/>
                <w:bCs/>
                <w:spacing w:val="10"/>
                <w:sz w:val="24"/>
                <w:szCs w:val="24"/>
              </w:rPr>
            </w:pPr>
          </w:p>
        </w:tc>
        <w:tc>
          <w:tcPr>
            <w:tcW w:w="1079" w:type="dxa"/>
            <w:vAlign w:val="center"/>
          </w:tcPr>
          <w:p w14:paraId="689E710D">
            <w:pPr>
              <w:spacing w:line="420" w:lineRule="exact"/>
              <w:jc w:val="center"/>
              <w:rPr>
                <w:rFonts w:hint="eastAsia" w:ascii="宋体" w:hAnsi="宋体" w:cs="宋体"/>
                <w:b/>
                <w:bCs/>
                <w:spacing w:val="10"/>
                <w:sz w:val="24"/>
                <w:szCs w:val="24"/>
              </w:rPr>
            </w:pPr>
            <w:r>
              <w:rPr>
                <w:rFonts w:hint="eastAsia" w:ascii="宋体" w:hAnsi="宋体" w:cs="宋体"/>
                <w:b/>
                <w:bCs/>
                <w:spacing w:val="10"/>
                <w:sz w:val="24"/>
                <w:szCs w:val="24"/>
              </w:rPr>
              <w:t>有/无</w:t>
            </w:r>
          </w:p>
        </w:tc>
        <w:tc>
          <w:tcPr>
            <w:tcW w:w="1501" w:type="dxa"/>
            <w:vAlign w:val="center"/>
          </w:tcPr>
          <w:p w14:paraId="34E376C8">
            <w:pPr>
              <w:spacing w:line="420" w:lineRule="exact"/>
              <w:jc w:val="center"/>
              <w:rPr>
                <w:rFonts w:hint="eastAsia" w:ascii="宋体" w:hAnsi="宋体" w:cs="宋体"/>
                <w:b/>
                <w:bCs/>
                <w:spacing w:val="10"/>
                <w:sz w:val="24"/>
              </w:rPr>
            </w:pPr>
            <w:r>
              <w:rPr>
                <w:rFonts w:hint="eastAsia" w:ascii="宋体" w:hAnsi="宋体" w:cs="宋体"/>
                <w:b/>
                <w:bCs/>
                <w:spacing w:val="10"/>
                <w:sz w:val="24"/>
              </w:rPr>
              <w:t>具体阐述</w:t>
            </w:r>
          </w:p>
        </w:tc>
      </w:tr>
      <w:tr w14:paraId="20F3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481" w:type="dxa"/>
            <w:vAlign w:val="center"/>
          </w:tcPr>
          <w:p w14:paraId="09FE24AC">
            <w:pPr>
              <w:spacing w:line="420" w:lineRule="exact"/>
              <w:jc w:val="center"/>
              <w:rPr>
                <w:rFonts w:hint="eastAsia" w:ascii="宋体" w:hAnsi="宋体" w:cs="宋体"/>
                <w:spacing w:val="10"/>
                <w:sz w:val="24"/>
              </w:rPr>
            </w:pPr>
            <w:r>
              <w:rPr>
                <w:rFonts w:hint="eastAsia" w:ascii="宋体" w:hAnsi="宋体" w:cs="宋体"/>
                <w:spacing w:val="10"/>
                <w:sz w:val="24"/>
              </w:rPr>
              <w:t>1</w:t>
            </w:r>
          </w:p>
        </w:tc>
        <w:tc>
          <w:tcPr>
            <w:tcW w:w="1024" w:type="dxa"/>
            <w:vAlign w:val="center"/>
          </w:tcPr>
          <w:p w14:paraId="1B695854">
            <w:pPr>
              <w:spacing w:line="420" w:lineRule="exact"/>
              <w:jc w:val="center"/>
              <w:rPr>
                <w:rFonts w:hint="eastAsia" w:ascii="宋体" w:hAnsi="宋体" w:cs="宋体"/>
                <w:spacing w:val="10"/>
                <w:sz w:val="24"/>
              </w:rPr>
            </w:pPr>
            <w:r>
              <w:rPr>
                <w:rFonts w:hint="eastAsia" w:ascii="宋体" w:hAnsi="宋体" w:cs="宋体"/>
                <w:spacing w:val="10"/>
                <w:sz w:val="24"/>
              </w:rPr>
              <w:t>项目负责人</w:t>
            </w:r>
          </w:p>
        </w:tc>
        <w:tc>
          <w:tcPr>
            <w:tcW w:w="697" w:type="dxa"/>
            <w:vAlign w:val="center"/>
          </w:tcPr>
          <w:p w14:paraId="09A19B7E">
            <w:pPr>
              <w:spacing w:line="420" w:lineRule="exact"/>
              <w:jc w:val="center"/>
              <w:rPr>
                <w:rFonts w:hint="eastAsia" w:ascii="宋体" w:hAnsi="宋体" w:cs="宋体"/>
                <w:spacing w:val="10"/>
                <w:sz w:val="24"/>
              </w:rPr>
            </w:pPr>
          </w:p>
        </w:tc>
        <w:tc>
          <w:tcPr>
            <w:tcW w:w="673" w:type="dxa"/>
            <w:vAlign w:val="center"/>
          </w:tcPr>
          <w:p w14:paraId="00D0326C">
            <w:pPr>
              <w:spacing w:line="420" w:lineRule="exact"/>
              <w:jc w:val="center"/>
              <w:rPr>
                <w:rFonts w:hint="eastAsia" w:ascii="宋体" w:hAnsi="宋体" w:cs="宋体"/>
                <w:spacing w:val="10"/>
                <w:sz w:val="24"/>
              </w:rPr>
            </w:pPr>
          </w:p>
        </w:tc>
        <w:tc>
          <w:tcPr>
            <w:tcW w:w="860" w:type="dxa"/>
            <w:vAlign w:val="center"/>
          </w:tcPr>
          <w:p w14:paraId="164E0DCC">
            <w:pPr>
              <w:spacing w:line="420" w:lineRule="exact"/>
              <w:jc w:val="center"/>
              <w:rPr>
                <w:rFonts w:hint="eastAsia" w:ascii="宋体" w:hAnsi="宋体" w:cs="宋体"/>
                <w:spacing w:val="10"/>
                <w:sz w:val="24"/>
              </w:rPr>
            </w:pPr>
          </w:p>
        </w:tc>
        <w:tc>
          <w:tcPr>
            <w:tcW w:w="864" w:type="dxa"/>
          </w:tcPr>
          <w:p w14:paraId="1D634456">
            <w:pPr>
              <w:spacing w:line="420" w:lineRule="exact"/>
              <w:jc w:val="center"/>
              <w:rPr>
                <w:rFonts w:hint="eastAsia" w:ascii="宋体" w:hAnsi="宋体" w:cs="宋体"/>
                <w:spacing w:val="10"/>
                <w:sz w:val="24"/>
              </w:rPr>
            </w:pPr>
          </w:p>
        </w:tc>
        <w:tc>
          <w:tcPr>
            <w:tcW w:w="864" w:type="dxa"/>
            <w:vAlign w:val="center"/>
          </w:tcPr>
          <w:p w14:paraId="5465E6DA">
            <w:pPr>
              <w:spacing w:line="420" w:lineRule="exact"/>
              <w:jc w:val="center"/>
              <w:rPr>
                <w:rFonts w:hint="eastAsia" w:ascii="宋体" w:hAnsi="宋体" w:cs="宋体"/>
                <w:spacing w:val="10"/>
                <w:sz w:val="24"/>
              </w:rPr>
            </w:pPr>
          </w:p>
        </w:tc>
        <w:tc>
          <w:tcPr>
            <w:tcW w:w="864" w:type="dxa"/>
            <w:vAlign w:val="center"/>
          </w:tcPr>
          <w:p w14:paraId="7E52150A">
            <w:pPr>
              <w:spacing w:line="420" w:lineRule="exact"/>
              <w:jc w:val="center"/>
              <w:rPr>
                <w:rFonts w:hint="eastAsia" w:ascii="宋体" w:hAnsi="宋体" w:cs="宋体"/>
                <w:spacing w:val="10"/>
                <w:sz w:val="24"/>
              </w:rPr>
            </w:pPr>
          </w:p>
        </w:tc>
        <w:tc>
          <w:tcPr>
            <w:tcW w:w="1501" w:type="dxa"/>
          </w:tcPr>
          <w:p w14:paraId="0BEC56B0">
            <w:pPr>
              <w:spacing w:line="420" w:lineRule="exact"/>
              <w:jc w:val="center"/>
              <w:rPr>
                <w:rFonts w:hint="eastAsia" w:ascii="宋体" w:hAnsi="宋体" w:cs="宋体"/>
                <w:spacing w:val="10"/>
                <w:sz w:val="24"/>
              </w:rPr>
            </w:pPr>
          </w:p>
        </w:tc>
        <w:tc>
          <w:tcPr>
            <w:tcW w:w="1079" w:type="dxa"/>
          </w:tcPr>
          <w:p w14:paraId="6E9154F8">
            <w:pPr>
              <w:spacing w:line="420" w:lineRule="exact"/>
              <w:jc w:val="center"/>
              <w:rPr>
                <w:rFonts w:hint="eastAsia" w:ascii="宋体" w:hAnsi="宋体" w:cs="宋体"/>
                <w:spacing w:val="10"/>
                <w:sz w:val="24"/>
              </w:rPr>
            </w:pPr>
          </w:p>
        </w:tc>
        <w:tc>
          <w:tcPr>
            <w:tcW w:w="1501" w:type="dxa"/>
            <w:vAlign w:val="center"/>
          </w:tcPr>
          <w:p w14:paraId="7D3DE423">
            <w:pPr>
              <w:spacing w:line="420" w:lineRule="exact"/>
              <w:jc w:val="center"/>
              <w:rPr>
                <w:rFonts w:hint="eastAsia" w:ascii="宋体" w:hAnsi="宋体" w:cs="宋体"/>
                <w:spacing w:val="10"/>
                <w:sz w:val="24"/>
              </w:rPr>
            </w:pPr>
          </w:p>
        </w:tc>
      </w:tr>
      <w:tr w14:paraId="283D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481" w:type="dxa"/>
            <w:vAlign w:val="center"/>
          </w:tcPr>
          <w:p w14:paraId="3BDC84F5">
            <w:pPr>
              <w:spacing w:line="420" w:lineRule="exact"/>
              <w:jc w:val="center"/>
              <w:rPr>
                <w:rFonts w:hint="eastAsia" w:ascii="宋体" w:hAnsi="宋体" w:cs="宋体"/>
                <w:spacing w:val="10"/>
                <w:sz w:val="24"/>
              </w:rPr>
            </w:pPr>
            <w:r>
              <w:rPr>
                <w:rFonts w:hint="eastAsia" w:ascii="宋体" w:hAnsi="宋体" w:cs="宋体"/>
                <w:spacing w:val="10"/>
                <w:sz w:val="24"/>
              </w:rPr>
              <w:t xml:space="preserve">2 </w:t>
            </w:r>
          </w:p>
        </w:tc>
        <w:tc>
          <w:tcPr>
            <w:tcW w:w="1024" w:type="dxa"/>
            <w:vAlign w:val="center"/>
          </w:tcPr>
          <w:p w14:paraId="4EF0F59C">
            <w:pPr>
              <w:spacing w:line="420" w:lineRule="exact"/>
              <w:jc w:val="center"/>
              <w:rPr>
                <w:rFonts w:hint="eastAsia" w:ascii="宋体" w:hAnsi="宋体" w:cs="宋体"/>
                <w:spacing w:val="10"/>
                <w:sz w:val="24"/>
              </w:rPr>
            </w:pPr>
          </w:p>
        </w:tc>
        <w:tc>
          <w:tcPr>
            <w:tcW w:w="697" w:type="dxa"/>
            <w:vAlign w:val="center"/>
          </w:tcPr>
          <w:p w14:paraId="633610D0">
            <w:pPr>
              <w:spacing w:line="420" w:lineRule="exact"/>
              <w:jc w:val="center"/>
              <w:rPr>
                <w:rFonts w:hint="eastAsia" w:ascii="宋体" w:hAnsi="宋体" w:cs="宋体"/>
                <w:spacing w:val="10"/>
                <w:sz w:val="24"/>
              </w:rPr>
            </w:pPr>
          </w:p>
        </w:tc>
        <w:tc>
          <w:tcPr>
            <w:tcW w:w="673" w:type="dxa"/>
            <w:vAlign w:val="center"/>
          </w:tcPr>
          <w:p w14:paraId="118D28EB">
            <w:pPr>
              <w:spacing w:line="420" w:lineRule="exact"/>
              <w:jc w:val="center"/>
              <w:rPr>
                <w:rFonts w:hint="eastAsia" w:ascii="宋体" w:hAnsi="宋体" w:cs="宋体"/>
                <w:spacing w:val="10"/>
                <w:sz w:val="24"/>
              </w:rPr>
            </w:pPr>
          </w:p>
        </w:tc>
        <w:tc>
          <w:tcPr>
            <w:tcW w:w="860" w:type="dxa"/>
            <w:vAlign w:val="center"/>
          </w:tcPr>
          <w:p w14:paraId="239A6A89">
            <w:pPr>
              <w:spacing w:line="420" w:lineRule="exact"/>
              <w:jc w:val="center"/>
              <w:rPr>
                <w:rFonts w:hint="eastAsia" w:ascii="宋体" w:hAnsi="宋体" w:cs="宋体"/>
                <w:spacing w:val="10"/>
                <w:sz w:val="24"/>
              </w:rPr>
            </w:pPr>
          </w:p>
        </w:tc>
        <w:tc>
          <w:tcPr>
            <w:tcW w:w="864" w:type="dxa"/>
          </w:tcPr>
          <w:p w14:paraId="7FB416D6">
            <w:pPr>
              <w:spacing w:line="420" w:lineRule="exact"/>
              <w:jc w:val="center"/>
              <w:rPr>
                <w:rFonts w:hint="eastAsia" w:ascii="宋体" w:hAnsi="宋体" w:cs="宋体"/>
                <w:spacing w:val="10"/>
                <w:sz w:val="24"/>
              </w:rPr>
            </w:pPr>
          </w:p>
        </w:tc>
        <w:tc>
          <w:tcPr>
            <w:tcW w:w="864" w:type="dxa"/>
            <w:vAlign w:val="center"/>
          </w:tcPr>
          <w:p w14:paraId="0EBBEB87">
            <w:pPr>
              <w:spacing w:line="420" w:lineRule="exact"/>
              <w:jc w:val="center"/>
              <w:rPr>
                <w:rFonts w:hint="eastAsia" w:ascii="宋体" w:hAnsi="宋体" w:cs="宋体"/>
                <w:spacing w:val="10"/>
                <w:sz w:val="24"/>
              </w:rPr>
            </w:pPr>
          </w:p>
        </w:tc>
        <w:tc>
          <w:tcPr>
            <w:tcW w:w="864" w:type="dxa"/>
            <w:vAlign w:val="center"/>
          </w:tcPr>
          <w:p w14:paraId="6D7E7916">
            <w:pPr>
              <w:spacing w:line="420" w:lineRule="exact"/>
              <w:jc w:val="center"/>
              <w:rPr>
                <w:rFonts w:hint="eastAsia" w:ascii="宋体" w:hAnsi="宋体" w:cs="宋体"/>
                <w:spacing w:val="10"/>
                <w:sz w:val="24"/>
              </w:rPr>
            </w:pPr>
          </w:p>
        </w:tc>
        <w:tc>
          <w:tcPr>
            <w:tcW w:w="1501" w:type="dxa"/>
          </w:tcPr>
          <w:p w14:paraId="3E4E1D7F">
            <w:pPr>
              <w:spacing w:line="420" w:lineRule="exact"/>
              <w:jc w:val="center"/>
              <w:rPr>
                <w:rFonts w:hint="eastAsia" w:ascii="宋体" w:hAnsi="宋体" w:cs="宋体"/>
                <w:spacing w:val="10"/>
                <w:sz w:val="24"/>
              </w:rPr>
            </w:pPr>
          </w:p>
        </w:tc>
        <w:tc>
          <w:tcPr>
            <w:tcW w:w="1079" w:type="dxa"/>
          </w:tcPr>
          <w:p w14:paraId="58E6E37B">
            <w:pPr>
              <w:spacing w:line="420" w:lineRule="exact"/>
              <w:jc w:val="center"/>
              <w:rPr>
                <w:rFonts w:hint="eastAsia" w:ascii="宋体" w:hAnsi="宋体" w:cs="宋体"/>
                <w:spacing w:val="10"/>
                <w:sz w:val="24"/>
              </w:rPr>
            </w:pPr>
          </w:p>
        </w:tc>
        <w:tc>
          <w:tcPr>
            <w:tcW w:w="1501" w:type="dxa"/>
            <w:vAlign w:val="center"/>
          </w:tcPr>
          <w:p w14:paraId="56AB8775">
            <w:pPr>
              <w:spacing w:line="420" w:lineRule="exact"/>
              <w:jc w:val="center"/>
              <w:rPr>
                <w:rFonts w:hint="eastAsia" w:ascii="宋体" w:hAnsi="宋体" w:cs="宋体"/>
                <w:spacing w:val="10"/>
                <w:sz w:val="24"/>
              </w:rPr>
            </w:pPr>
          </w:p>
        </w:tc>
      </w:tr>
      <w:tr w14:paraId="5BA76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481" w:type="dxa"/>
            <w:vAlign w:val="center"/>
          </w:tcPr>
          <w:p w14:paraId="6A2CBA06">
            <w:pPr>
              <w:spacing w:line="420" w:lineRule="exact"/>
              <w:jc w:val="center"/>
              <w:rPr>
                <w:rFonts w:hint="eastAsia" w:ascii="宋体" w:hAnsi="宋体" w:cs="宋体"/>
                <w:spacing w:val="10"/>
                <w:sz w:val="24"/>
              </w:rPr>
            </w:pPr>
            <w:r>
              <w:rPr>
                <w:rFonts w:hint="eastAsia" w:ascii="宋体" w:hAnsi="宋体" w:cs="宋体"/>
                <w:spacing w:val="10"/>
                <w:sz w:val="24"/>
              </w:rPr>
              <w:t>3</w:t>
            </w:r>
          </w:p>
        </w:tc>
        <w:tc>
          <w:tcPr>
            <w:tcW w:w="1024" w:type="dxa"/>
          </w:tcPr>
          <w:p w14:paraId="7C9C0F75">
            <w:pPr>
              <w:spacing w:line="420" w:lineRule="exact"/>
              <w:jc w:val="center"/>
              <w:rPr>
                <w:rFonts w:hint="eastAsia" w:ascii="宋体" w:hAnsi="宋体" w:cs="宋体"/>
                <w:spacing w:val="10"/>
                <w:sz w:val="24"/>
              </w:rPr>
            </w:pPr>
          </w:p>
        </w:tc>
        <w:tc>
          <w:tcPr>
            <w:tcW w:w="697" w:type="dxa"/>
            <w:vAlign w:val="center"/>
          </w:tcPr>
          <w:p w14:paraId="65A7CDC6">
            <w:pPr>
              <w:spacing w:line="420" w:lineRule="exact"/>
              <w:jc w:val="center"/>
              <w:rPr>
                <w:rFonts w:hint="eastAsia" w:ascii="宋体" w:hAnsi="宋体" w:cs="宋体"/>
                <w:spacing w:val="10"/>
                <w:sz w:val="24"/>
              </w:rPr>
            </w:pPr>
          </w:p>
        </w:tc>
        <w:tc>
          <w:tcPr>
            <w:tcW w:w="673" w:type="dxa"/>
            <w:vAlign w:val="center"/>
          </w:tcPr>
          <w:p w14:paraId="3F978AF8">
            <w:pPr>
              <w:spacing w:line="420" w:lineRule="exact"/>
              <w:jc w:val="center"/>
              <w:rPr>
                <w:rFonts w:hint="eastAsia" w:ascii="宋体" w:hAnsi="宋体" w:cs="宋体"/>
                <w:spacing w:val="10"/>
                <w:sz w:val="24"/>
              </w:rPr>
            </w:pPr>
          </w:p>
        </w:tc>
        <w:tc>
          <w:tcPr>
            <w:tcW w:w="860" w:type="dxa"/>
            <w:vAlign w:val="center"/>
          </w:tcPr>
          <w:p w14:paraId="0805C1E7">
            <w:pPr>
              <w:spacing w:line="420" w:lineRule="exact"/>
              <w:jc w:val="center"/>
              <w:rPr>
                <w:rFonts w:hint="eastAsia" w:ascii="宋体" w:hAnsi="宋体" w:cs="宋体"/>
                <w:spacing w:val="10"/>
                <w:sz w:val="24"/>
              </w:rPr>
            </w:pPr>
          </w:p>
        </w:tc>
        <w:tc>
          <w:tcPr>
            <w:tcW w:w="864" w:type="dxa"/>
          </w:tcPr>
          <w:p w14:paraId="687F729C">
            <w:pPr>
              <w:spacing w:line="420" w:lineRule="exact"/>
              <w:jc w:val="center"/>
              <w:rPr>
                <w:rFonts w:hint="eastAsia" w:ascii="宋体" w:hAnsi="宋体" w:cs="宋体"/>
                <w:spacing w:val="10"/>
                <w:sz w:val="24"/>
              </w:rPr>
            </w:pPr>
          </w:p>
        </w:tc>
        <w:tc>
          <w:tcPr>
            <w:tcW w:w="864" w:type="dxa"/>
            <w:vAlign w:val="center"/>
          </w:tcPr>
          <w:p w14:paraId="7BDB46D2">
            <w:pPr>
              <w:spacing w:line="420" w:lineRule="exact"/>
              <w:jc w:val="center"/>
              <w:rPr>
                <w:rFonts w:hint="eastAsia" w:ascii="宋体" w:hAnsi="宋体" w:cs="宋体"/>
                <w:spacing w:val="10"/>
                <w:sz w:val="24"/>
              </w:rPr>
            </w:pPr>
          </w:p>
        </w:tc>
        <w:tc>
          <w:tcPr>
            <w:tcW w:w="864" w:type="dxa"/>
            <w:vAlign w:val="center"/>
          </w:tcPr>
          <w:p w14:paraId="692549EC">
            <w:pPr>
              <w:spacing w:line="420" w:lineRule="exact"/>
              <w:jc w:val="center"/>
              <w:rPr>
                <w:rFonts w:hint="eastAsia" w:ascii="宋体" w:hAnsi="宋体" w:cs="宋体"/>
                <w:spacing w:val="10"/>
                <w:sz w:val="24"/>
              </w:rPr>
            </w:pPr>
          </w:p>
        </w:tc>
        <w:tc>
          <w:tcPr>
            <w:tcW w:w="1501" w:type="dxa"/>
          </w:tcPr>
          <w:p w14:paraId="483E7302">
            <w:pPr>
              <w:spacing w:line="420" w:lineRule="exact"/>
              <w:jc w:val="center"/>
              <w:rPr>
                <w:rFonts w:hint="eastAsia" w:ascii="宋体" w:hAnsi="宋体" w:cs="宋体"/>
                <w:spacing w:val="10"/>
                <w:sz w:val="24"/>
              </w:rPr>
            </w:pPr>
          </w:p>
        </w:tc>
        <w:tc>
          <w:tcPr>
            <w:tcW w:w="1079" w:type="dxa"/>
          </w:tcPr>
          <w:p w14:paraId="7414CEC7">
            <w:pPr>
              <w:spacing w:line="420" w:lineRule="exact"/>
              <w:jc w:val="center"/>
              <w:rPr>
                <w:rFonts w:hint="eastAsia" w:ascii="宋体" w:hAnsi="宋体" w:cs="宋体"/>
                <w:spacing w:val="10"/>
                <w:sz w:val="24"/>
              </w:rPr>
            </w:pPr>
          </w:p>
        </w:tc>
        <w:tc>
          <w:tcPr>
            <w:tcW w:w="1501" w:type="dxa"/>
            <w:vAlign w:val="center"/>
          </w:tcPr>
          <w:p w14:paraId="392804ED">
            <w:pPr>
              <w:spacing w:line="420" w:lineRule="exact"/>
              <w:jc w:val="center"/>
              <w:rPr>
                <w:rFonts w:hint="eastAsia" w:ascii="宋体" w:hAnsi="宋体" w:cs="宋体"/>
                <w:spacing w:val="10"/>
                <w:sz w:val="24"/>
              </w:rPr>
            </w:pPr>
          </w:p>
        </w:tc>
      </w:tr>
      <w:tr w14:paraId="3A1B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481" w:type="dxa"/>
            <w:vAlign w:val="center"/>
          </w:tcPr>
          <w:p w14:paraId="5B4C2208">
            <w:pPr>
              <w:spacing w:line="420" w:lineRule="exact"/>
              <w:jc w:val="center"/>
              <w:rPr>
                <w:rFonts w:hint="eastAsia" w:ascii="宋体" w:hAnsi="宋体" w:cs="宋体"/>
                <w:spacing w:val="10"/>
                <w:sz w:val="24"/>
              </w:rPr>
            </w:pPr>
            <w:r>
              <w:rPr>
                <w:rFonts w:hint="eastAsia" w:ascii="宋体" w:hAnsi="宋体" w:cs="宋体"/>
                <w:spacing w:val="10"/>
                <w:sz w:val="24"/>
              </w:rPr>
              <w:t>4</w:t>
            </w:r>
          </w:p>
        </w:tc>
        <w:tc>
          <w:tcPr>
            <w:tcW w:w="1024" w:type="dxa"/>
          </w:tcPr>
          <w:p w14:paraId="41C4AAAD">
            <w:pPr>
              <w:spacing w:line="420" w:lineRule="exact"/>
              <w:jc w:val="center"/>
              <w:rPr>
                <w:rFonts w:hint="eastAsia" w:ascii="宋体" w:hAnsi="宋体" w:cs="宋体"/>
                <w:spacing w:val="10"/>
                <w:sz w:val="24"/>
              </w:rPr>
            </w:pPr>
          </w:p>
        </w:tc>
        <w:tc>
          <w:tcPr>
            <w:tcW w:w="697" w:type="dxa"/>
            <w:vAlign w:val="center"/>
          </w:tcPr>
          <w:p w14:paraId="6E9BDE0A">
            <w:pPr>
              <w:spacing w:line="420" w:lineRule="exact"/>
              <w:jc w:val="center"/>
              <w:rPr>
                <w:rFonts w:hint="eastAsia" w:ascii="宋体" w:hAnsi="宋体" w:cs="宋体"/>
                <w:spacing w:val="10"/>
                <w:sz w:val="24"/>
              </w:rPr>
            </w:pPr>
          </w:p>
        </w:tc>
        <w:tc>
          <w:tcPr>
            <w:tcW w:w="673" w:type="dxa"/>
            <w:vAlign w:val="center"/>
          </w:tcPr>
          <w:p w14:paraId="006A8917">
            <w:pPr>
              <w:spacing w:line="420" w:lineRule="exact"/>
              <w:jc w:val="center"/>
              <w:rPr>
                <w:rFonts w:hint="eastAsia" w:ascii="宋体" w:hAnsi="宋体" w:cs="宋体"/>
                <w:spacing w:val="10"/>
                <w:sz w:val="24"/>
              </w:rPr>
            </w:pPr>
          </w:p>
        </w:tc>
        <w:tc>
          <w:tcPr>
            <w:tcW w:w="860" w:type="dxa"/>
            <w:vAlign w:val="center"/>
          </w:tcPr>
          <w:p w14:paraId="52609FEA">
            <w:pPr>
              <w:spacing w:line="420" w:lineRule="exact"/>
              <w:jc w:val="center"/>
              <w:rPr>
                <w:rFonts w:hint="eastAsia" w:ascii="宋体" w:hAnsi="宋体" w:cs="宋体"/>
                <w:spacing w:val="10"/>
                <w:sz w:val="24"/>
              </w:rPr>
            </w:pPr>
          </w:p>
        </w:tc>
        <w:tc>
          <w:tcPr>
            <w:tcW w:w="864" w:type="dxa"/>
          </w:tcPr>
          <w:p w14:paraId="133BFC40">
            <w:pPr>
              <w:spacing w:line="420" w:lineRule="exact"/>
              <w:jc w:val="center"/>
              <w:rPr>
                <w:rFonts w:hint="eastAsia" w:ascii="宋体" w:hAnsi="宋体" w:cs="宋体"/>
                <w:spacing w:val="10"/>
                <w:sz w:val="24"/>
              </w:rPr>
            </w:pPr>
          </w:p>
        </w:tc>
        <w:tc>
          <w:tcPr>
            <w:tcW w:w="864" w:type="dxa"/>
            <w:vAlign w:val="center"/>
          </w:tcPr>
          <w:p w14:paraId="33CEB26D">
            <w:pPr>
              <w:spacing w:line="420" w:lineRule="exact"/>
              <w:jc w:val="center"/>
              <w:rPr>
                <w:rFonts w:hint="eastAsia" w:ascii="宋体" w:hAnsi="宋体" w:cs="宋体"/>
                <w:spacing w:val="10"/>
                <w:sz w:val="24"/>
              </w:rPr>
            </w:pPr>
          </w:p>
        </w:tc>
        <w:tc>
          <w:tcPr>
            <w:tcW w:w="864" w:type="dxa"/>
            <w:vAlign w:val="center"/>
          </w:tcPr>
          <w:p w14:paraId="6F16449F">
            <w:pPr>
              <w:spacing w:line="420" w:lineRule="exact"/>
              <w:jc w:val="center"/>
              <w:rPr>
                <w:rFonts w:hint="eastAsia" w:ascii="宋体" w:hAnsi="宋体" w:cs="宋体"/>
                <w:spacing w:val="10"/>
                <w:sz w:val="24"/>
              </w:rPr>
            </w:pPr>
          </w:p>
        </w:tc>
        <w:tc>
          <w:tcPr>
            <w:tcW w:w="1501" w:type="dxa"/>
          </w:tcPr>
          <w:p w14:paraId="72CED302">
            <w:pPr>
              <w:spacing w:line="420" w:lineRule="exact"/>
              <w:jc w:val="center"/>
              <w:rPr>
                <w:rFonts w:hint="eastAsia" w:ascii="宋体" w:hAnsi="宋体" w:cs="宋体"/>
                <w:spacing w:val="10"/>
                <w:sz w:val="24"/>
              </w:rPr>
            </w:pPr>
          </w:p>
        </w:tc>
        <w:tc>
          <w:tcPr>
            <w:tcW w:w="1079" w:type="dxa"/>
          </w:tcPr>
          <w:p w14:paraId="4644DD16">
            <w:pPr>
              <w:spacing w:line="420" w:lineRule="exact"/>
              <w:jc w:val="center"/>
              <w:rPr>
                <w:rFonts w:hint="eastAsia" w:ascii="宋体" w:hAnsi="宋体" w:cs="宋体"/>
                <w:spacing w:val="10"/>
                <w:sz w:val="24"/>
              </w:rPr>
            </w:pPr>
          </w:p>
        </w:tc>
        <w:tc>
          <w:tcPr>
            <w:tcW w:w="1501" w:type="dxa"/>
            <w:vAlign w:val="center"/>
          </w:tcPr>
          <w:p w14:paraId="73C2673F">
            <w:pPr>
              <w:spacing w:line="420" w:lineRule="exact"/>
              <w:jc w:val="center"/>
              <w:rPr>
                <w:rFonts w:hint="eastAsia" w:ascii="宋体" w:hAnsi="宋体" w:cs="宋体"/>
                <w:spacing w:val="10"/>
                <w:sz w:val="24"/>
              </w:rPr>
            </w:pPr>
          </w:p>
        </w:tc>
      </w:tr>
      <w:tr w14:paraId="76B0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481" w:type="dxa"/>
            <w:vAlign w:val="center"/>
          </w:tcPr>
          <w:p w14:paraId="33353FCC">
            <w:pPr>
              <w:spacing w:line="420" w:lineRule="exact"/>
              <w:jc w:val="center"/>
              <w:rPr>
                <w:rFonts w:hint="eastAsia" w:ascii="宋体" w:hAnsi="宋体" w:cs="宋体"/>
                <w:spacing w:val="10"/>
                <w:sz w:val="24"/>
              </w:rPr>
            </w:pPr>
            <w:r>
              <w:rPr>
                <w:rFonts w:hint="eastAsia" w:ascii="宋体" w:hAnsi="宋体" w:cs="宋体"/>
                <w:spacing w:val="10"/>
                <w:sz w:val="24"/>
              </w:rPr>
              <w:t>5</w:t>
            </w:r>
          </w:p>
        </w:tc>
        <w:tc>
          <w:tcPr>
            <w:tcW w:w="1024" w:type="dxa"/>
          </w:tcPr>
          <w:p w14:paraId="41CE14E9">
            <w:pPr>
              <w:spacing w:line="420" w:lineRule="exact"/>
              <w:jc w:val="center"/>
              <w:rPr>
                <w:rFonts w:hint="eastAsia" w:ascii="宋体" w:hAnsi="宋体" w:cs="宋体"/>
                <w:spacing w:val="10"/>
                <w:sz w:val="24"/>
              </w:rPr>
            </w:pPr>
          </w:p>
        </w:tc>
        <w:tc>
          <w:tcPr>
            <w:tcW w:w="697" w:type="dxa"/>
            <w:vAlign w:val="center"/>
          </w:tcPr>
          <w:p w14:paraId="4489B4B3">
            <w:pPr>
              <w:spacing w:line="420" w:lineRule="exact"/>
              <w:jc w:val="center"/>
              <w:rPr>
                <w:rFonts w:hint="eastAsia" w:ascii="宋体" w:hAnsi="宋体" w:cs="宋体"/>
                <w:spacing w:val="10"/>
                <w:sz w:val="24"/>
              </w:rPr>
            </w:pPr>
          </w:p>
        </w:tc>
        <w:tc>
          <w:tcPr>
            <w:tcW w:w="673" w:type="dxa"/>
            <w:vAlign w:val="center"/>
          </w:tcPr>
          <w:p w14:paraId="00EA47C7">
            <w:pPr>
              <w:spacing w:line="420" w:lineRule="exact"/>
              <w:jc w:val="center"/>
              <w:rPr>
                <w:rFonts w:hint="eastAsia" w:ascii="宋体" w:hAnsi="宋体" w:cs="宋体"/>
                <w:spacing w:val="10"/>
                <w:sz w:val="24"/>
              </w:rPr>
            </w:pPr>
          </w:p>
        </w:tc>
        <w:tc>
          <w:tcPr>
            <w:tcW w:w="860" w:type="dxa"/>
            <w:vAlign w:val="center"/>
          </w:tcPr>
          <w:p w14:paraId="78AB94C1">
            <w:pPr>
              <w:spacing w:line="420" w:lineRule="exact"/>
              <w:jc w:val="center"/>
              <w:rPr>
                <w:rFonts w:hint="eastAsia" w:ascii="宋体" w:hAnsi="宋体" w:cs="宋体"/>
                <w:spacing w:val="10"/>
                <w:sz w:val="24"/>
              </w:rPr>
            </w:pPr>
          </w:p>
        </w:tc>
        <w:tc>
          <w:tcPr>
            <w:tcW w:w="864" w:type="dxa"/>
          </w:tcPr>
          <w:p w14:paraId="5421B3D2">
            <w:pPr>
              <w:spacing w:line="420" w:lineRule="exact"/>
              <w:jc w:val="center"/>
              <w:rPr>
                <w:rFonts w:hint="eastAsia" w:ascii="宋体" w:hAnsi="宋体" w:cs="宋体"/>
                <w:spacing w:val="10"/>
                <w:sz w:val="24"/>
              </w:rPr>
            </w:pPr>
          </w:p>
        </w:tc>
        <w:tc>
          <w:tcPr>
            <w:tcW w:w="864" w:type="dxa"/>
            <w:vAlign w:val="center"/>
          </w:tcPr>
          <w:p w14:paraId="15A281AE">
            <w:pPr>
              <w:spacing w:line="420" w:lineRule="exact"/>
              <w:jc w:val="center"/>
              <w:rPr>
                <w:rFonts w:hint="eastAsia" w:ascii="宋体" w:hAnsi="宋体" w:cs="宋体"/>
                <w:spacing w:val="10"/>
                <w:sz w:val="24"/>
              </w:rPr>
            </w:pPr>
          </w:p>
        </w:tc>
        <w:tc>
          <w:tcPr>
            <w:tcW w:w="864" w:type="dxa"/>
            <w:vAlign w:val="center"/>
          </w:tcPr>
          <w:p w14:paraId="692BAA4E">
            <w:pPr>
              <w:spacing w:line="420" w:lineRule="exact"/>
              <w:jc w:val="center"/>
              <w:rPr>
                <w:rFonts w:hint="eastAsia" w:ascii="宋体" w:hAnsi="宋体" w:cs="宋体"/>
                <w:spacing w:val="10"/>
                <w:sz w:val="24"/>
              </w:rPr>
            </w:pPr>
          </w:p>
        </w:tc>
        <w:tc>
          <w:tcPr>
            <w:tcW w:w="1501" w:type="dxa"/>
          </w:tcPr>
          <w:p w14:paraId="6389CD67">
            <w:pPr>
              <w:spacing w:line="420" w:lineRule="exact"/>
              <w:jc w:val="center"/>
              <w:rPr>
                <w:rFonts w:hint="eastAsia" w:ascii="宋体" w:hAnsi="宋体" w:cs="宋体"/>
                <w:spacing w:val="10"/>
                <w:sz w:val="24"/>
              </w:rPr>
            </w:pPr>
          </w:p>
        </w:tc>
        <w:tc>
          <w:tcPr>
            <w:tcW w:w="1079" w:type="dxa"/>
          </w:tcPr>
          <w:p w14:paraId="2CB644D0">
            <w:pPr>
              <w:spacing w:line="420" w:lineRule="exact"/>
              <w:jc w:val="center"/>
              <w:rPr>
                <w:rFonts w:hint="eastAsia" w:ascii="宋体" w:hAnsi="宋体" w:cs="宋体"/>
                <w:spacing w:val="10"/>
                <w:sz w:val="24"/>
              </w:rPr>
            </w:pPr>
          </w:p>
        </w:tc>
        <w:tc>
          <w:tcPr>
            <w:tcW w:w="1501" w:type="dxa"/>
            <w:vAlign w:val="center"/>
          </w:tcPr>
          <w:p w14:paraId="0718B4B1">
            <w:pPr>
              <w:spacing w:line="420" w:lineRule="exact"/>
              <w:jc w:val="center"/>
              <w:rPr>
                <w:rFonts w:hint="eastAsia" w:ascii="宋体" w:hAnsi="宋体" w:cs="宋体"/>
                <w:spacing w:val="10"/>
                <w:sz w:val="24"/>
              </w:rPr>
            </w:pPr>
          </w:p>
        </w:tc>
      </w:tr>
      <w:tr w14:paraId="6F1DE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481" w:type="dxa"/>
            <w:vAlign w:val="center"/>
          </w:tcPr>
          <w:p w14:paraId="109DA28A">
            <w:pPr>
              <w:spacing w:line="420" w:lineRule="exact"/>
              <w:jc w:val="center"/>
              <w:rPr>
                <w:rFonts w:hint="eastAsia" w:ascii="宋体" w:hAnsi="宋体" w:cs="宋体"/>
                <w:spacing w:val="10"/>
                <w:sz w:val="24"/>
              </w:rPr>
            </w:pPr>
            <w:r>
              <w:rPr>
                <w:rFonts w:hint="eastAsia" w:ascii="宋体" w:hAnsi="宋体" w:cs="宋体"/>
                <w:spacing w:val="10"/>
                <w:sz w:val="24"/>
              </w:rPr>
              <w:t>…</w:t>
            </w:r>
          </w:p>
        </w:tc>
        <w:tc>
          <w:tcPr>
            <w:tcW w:w="1024" w:type="dxa"/>
          </w:tcPr>
          <w:p w14:paraId="4C3C60B7">
            <w:pPr>
              <w:spacing w:line="420" w:lineRule="exact"/>
              <w:jc w:val="center"/>
              <w:rPr>
                <w:rFonts w:hint="eastAsia" w:ascii="宋体" w:hAnsi="宋体" w:cs="宋体"/>
                <w:spacing w:val="10"/>
                <w:sz w:val="24"/>
              </w:rPr>
            </w:pPr>
          </w:p>
        </w:tc>
        <w:tc>
          <w:tcPr>
            <w:tcW w:w="697" w:type="dxa"/>
            <w:vAlign w:val="center"/>
          </w:tcPr>
          <w:p w14:paraId="6E3E5E1C">
            <w:pPr>
              <w:spacing w:line="420" w:lineRule="exact"/>
              <w:jc w:val="center"/>
              <w:rPr>
                <w:rFonts w:hint="eastAsia" w:ascii="宋体" w:hAnsi="宋体" w:cs="宋体"/>
                <w:spacing w:val="10"/>
                <w:sz w:val="24"/>
              </w:rPr>
            </w:pPr>
          </w:p>
        </w:tc>
        <w:tc>
          <w:tcPr>
            <w:tcW w:w="673" w:type="dxa"/>
            <w:vAlign w:val="center"/>
          </w:tcPr>
          <w:p w14:paraId="39D2D6AA">
            <w:pPr>
              <w:spacing w:line="420" w:lineRule="exact"/>
              <w:jc w:val="center"/>
              <w:rPr>
                <w:rFonts w:hint="eastAsia" w:ascii="宋体" w:hAnsi="宋体" w:cs="宋体"/>
                <w:spacing w:val="10"/>
                <w:sz w:val="24"/>
              </w:rPr>
            </w:pPr>
          </w:p>
        </w:tc>
        <w:tc>
          <w:tcPr>
            <w:tcW w:w="860" w:type="dxa"/>
            <w:vAlign w:val="center"/>
          </w:tcPr>
          <w:p w14:paraId="1B7B43FC">
            <w:pPr>
              <w:spacing w:line="420" w:lineRule="exact"/>
              <w:jc w:val="center"/>
              <w:rPr>
                <w:rFonts w:hint="eastAsia" w:ascii="宋体" w:hAnsi="宋体" w:cs="宋体"/>
                <w:spacing w:val="10"/>
                <w:sz w:val="24"/>
              </w:rPr>
            </w:pPr>
          </w:p>
        </w:tc>
        <w:tc>
          <w:tcPr>
            <w:tcW w:w="864" w:type="dxa"/>
          </w:tcPr>
          <w:p w14:paraId="2DD10A81">
            <w:pPr>
              <w:spacing w:line="420" w:lineRule="exact"/>
              <w:jc w:val="center"/>
              <w:rPr>
                <w:rFonts w:hint="eastAsia" w:ascii="宋体" w:hAnsi="宋体" w:cs="宋体"/>
                <w:spacing w:val="10"/>
                <w:sz w:val="24"/>
              </w:rPr>
            </w:pPr>
          </w:p>
        </w:tc>
        <w:tc>
          <w:tcPr>
            <w:tcW w:w="864" w:type="dxa"/>
            <w:vAlign w:val="center"/>
          </w:tcPr>
          <w:p w14:paraId="0DC95023">
            <w:pPr>
              <w:spacing w:line="420" w:lineRule="exact"/>
              <w:jc w:val="center"/>
              <w:rPr>
                <w:rFonts w:hint="eastAsia" w:ascii="宋体" w:hAnsi="宋体" w:cs="宋体"/>
                <w:spacing w:val="10"/>
                <w:sz w:val="24"/>
              </w:rPr>
            </w:pPr>
          </w:p>
        </w:tc>
        <w:tc>
          <w:tcPr>
            <w:tcW w:w="864" w:type="dxa"/>
            <w:vAlign w:val="center"/>
          </w:tcPr>
          <w:p w14:paraId="1451FA92">
            <w:pPr>
              <w:spacing w:line="420" w:lineRule="exact"/>
              <w:jc w:val="center"/>
              <w:rPr>
                <w:rFonts w:hint="eastAsia" w:ascii="宋体" w:hAnsi="宋体" w:cs="宋体"/>
                <w:spacing w:val="10"/>
                <w:sz w:val="24"/>
              </w:rPr>
            </w:pPr>
          </w:p>
        </w:tc>
        <w:tc>
          <w:tcPr>
            <w:tcW w:w="1501" w:type="dxa"/>
          </w:tcPr>
          <w:p w14:paraId="67FF7ACC">
            <w:pPr>
              <w:spacing w:line="420" w:lineRule="exact"/>
              <w:jc w:val="center"/>
              <w:rPr>
                <w:rFonts w:hint="eastAsia" w:ascii="宋体" w:hAnsi="宋体" w:cs="宋体"/>
                <w:spacing w:val="10"/>
                <w:sz w:val="24"/>
              </w:rPr>
            </w:pPr>
          </w:p>
        </w:tc>
        <w:tc>
          <w:tcPr>
            <w:tcW w:w="1079" w:type="dxa"/>
          </w:tcPr>
          <w:p w14:paraId="24346DDC">
            <w:pPr>
              <w:spacing w:line="420" w:lineRule="exact"/>
              <w:jc w:val="center"/>
              <w:rPr>
                <w:rFonts w:hint="eastAsia" w:ascii="宋体" w:hAnsi="宋体" w:cs="宋体"/>
                <w:spacing w:val="10"/>
                <w:sz w:val="24"/>
              </w:rPr>
            </w:pPr>
          </w:p>
        </w:tc>
        <w:tc>
          <w:tcPr>
            <w:tcW w:w="1501" w:type="dxa"/>
            <w:vAlign w:val="center"/>
          </w:tcPr>
          <w:p w14:paraId="40BA00F2">
            <w:pPr>
              <w:spacing w:line="420" w:lineRule="exact"/>
              <w:jc w:val="center"/>
              <w:rPr>
                <w:rFonts w:hint="eastAsia" w:ascii="宋体" w:hAnsi="宋体" w:cs="宋体"/>
                <w:spacing w:val="10"/>
                <w:sz w:val="24"/>
              </w:rPr>
            </w:pPr>
          </w:p>
        </w:tc>
      </w:tr>
    </w:tbl>
    <w:p w14:paraId="7DDE1974">
      <w:pPr>
        <w:spacing w:line="360" w:lineRule="auto"/>
        <w:ind w:firstLine="480" w:firstLineChars="200"/>
        <w:rPr>
          <w:rFonts w:hint="eastAsia" w:ascii="宋体" w:hAnsi="宋体" w:cs="宋体"/>
          <w:sz w:val="24"/>
          <w:szCs w:val="24"/>
        </w:rPr>
      </w:pPr>
      <w:r>
        <w:rPr>
          <w:rFonts w:hint="eastAsia" w:ascii="宋体" w:hAnsi="宋体" w:cs="宋体"/>
          <w:bCs/>
          <w:sz w:val="24"/>
          <w:szCs w:val="24"/>
        </w:rPr>
        <w:t>注：以上人员需提供身份证、劳动合同、学历证(若有)、职称证(如有)、相关证书(如有)、类似项目经验材料(若有)等证明材料扫描件。</w:t>
      </w:r>
    </w:p>
    <w:p w14:paraId="0782F208">
      <w:pPr>
        <w:ind w:firstLine="1205" w:firstLineChars="500"/>
        <w:rPr>
          <w:rFonts w:hint="eastAsia" w:ascii="宋体" w:hAnsi="宋体" w:cs="宋体"/>
          <w:b/>
          <w:bCs/>
          <w:sz w:val="24"/>
          <w:szCs w:val="24"/>
        </w:rPr>
      </w:pPr>
    </w:p>
    <w:p w14:paraId="171B1DD7">
      <w:pPr>
        <w:ind w:firstLine="1205" w:firstLineChars="500"/>
        <w:rPr>
          <w:rFonts w:hint="eastAsia" w:ascii="宋体" w:hAnsi="宋体" w:cs="宋体"/>
          <w:b/>
          <w:bCs/>
          <w:sz w:val="24"/>
          <w:szCs w:val="24"/>
        </w:rPr>
      </w:pPr>
    </w:p>
    <w:p w14:paraId="130033D8">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47061C48">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法定代表人或其委托代理人：</w:t>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43D186D5">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6A7C082F">
      <w:pPr>
        <w:rPr>
          <w:rFonts w:hint="eastAsia" w:ascii="宋体" w:hAnsi="宋体" w:cs="宋体"/>
          <w:szCs w:val="28"/>
        </w:rPr>
      </w:pPr>
      <w:bookmarkStart w:id="510" w:name="_Toc31294"/>
      <w:bookmarkStart w:id="511" w:name="_Toc12068"/>
      <w:bookmarkStart w:id="512" w:name="_Toc21219"/>
      <w:bookmarkStart w:id="513" w:name="_Toc165910167"/>
      <w:r>
        <w:rPr>
          <w:rFonts w:hint="eastAsia" w:ascii="宋体" w:hAnsi="宋体" w:cs="宋体"/>
          <w:szCs w:val="28"/>
        </w:rPr>
        <w:br w:type="page"/>
      </w:r>
    </w:p>
    <w:p w14:paraId="3C24A4A7">
      <w:pPr>
        <w:pStyle w:val="4"/>
        <w:widowControl/>
        <w:autoSpaceDE w:val="0"/>
        <w:spacing w:before="0" w:after="0" w:line="240" w:lineRule="auto"/>
        <w:rPr>
          <w:rFonts w:hint="eastAsia" w:ascii="宋体" w:hAnsi="宋体" w:cs="宋体"/>
          <w:szCs w:val="28"/>
        </w:rPr>
      </w:pPr>
      <w:r>
        <w:rPr>
          <w:rFonts w:hint="eastAsia" w:ascii="宋体" w:hAnsi="宋体" w:cs="宋体"/>
          <w:szCs w:val="28"/>
        </w:rPr>
        <w:t>九、类似项目实施经验</w:t>
      </w:r>
      <w:bookmarkEnd w:id="510"/>
      <w:bookmarkEnd w:id="511"/>
      <w:bookmarkEnd w:id="512"/>
      <w:bookmarkEnd w:id="513"/>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8"/>
        <w:gridCol w:w="2036"/>
        <w:gridCol w:w="1215"/>
        <w:gridCol w:w="1705"/>
        <w:gridCol w:w="1321"/>
        <w:gridCol w:w="1396"/>
        <w:gridCol w:w="1018"/>
      </w:tblGrid>
      <w:tr w14:paraId="6DC975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948" w:type="dxa"/>
            <w:vAlign w:val="center"/>
          </w:tcPr>
          <w:p w14:paraId="2DD854FD">
            <w:pPr>
              <w:jc w:val="center"/>
              <w:rPr>
                <w:rFonts w:hint="eastAsia" w:ascii="宋体" w:hAnsi="宋体" w:cs="宋体"/>
                <w:b/>
                <w:sz w:val="24"/>
              </w:rPr>
            </w:pPr>
            <w:r>
              <w:rPr>
                <w:rFonts w:hint="eastAsia" w:ascii="宋体" w:hAnsi="宋体" w:cs="宋体"/>
                <w:b/>
                <w:sz w:val="24"/>
              </w:rPr>
              <w:t>序号</w:t>
            </w:r>
          </w:p>
        </w:tc>
        <w:tc>
          <w:tcPr>
            <w:tcW w:w="2036" w:type="dxa"/>
            <w:vAlign w:val="center"/>
          </w:tcPr>
          <w:p w14:paraId="5C42A9CA">
            <w:pPr>
              <w:jc w:val="center"/>
              <w:rPr>
                <w:rFonts w:hint="eastAsia" w:ascii="宋体" w:hAnsi="宋体" w:cs="宋体"/>
                <w:b/>
                <w:sz w:val="24"/>
              </w:rPr>
            </w:pPr>
            <w:r>
              <w:rPr>
                <w:rFonts w:hint="eastAsia" w:ascii="宋体" w:hAnsi="宋体" w:cs="宋体"/>
                <w:b/>
                <w:sz w:val="24"/>
              </w:rPr>
              <w:t>项目名称</w:t>
            </w:r>
          </w:p>
        </w:tc>
        <w:tc>
          <w:tcPr>
            <w:tcW w:w="1215" w:type="dxa"/>
            <w:vAlign w:val="center"/>
          </w:tcPr>
          <w:p w14:paraId="7E64639B">
            <w:pPr>
              <w:jc w:val="center"/>
              <w:rPr>
                <w:rFonts w:hint="eastAsia" w:ascii="宋体" w:hAnsi="宋体" w:cs="宋体"/>
                <w:b/>
                <w:sz w:val="24"/>
              </w:rPr>
            </w:pPr>
            <w:r>
              <w:rPr>
                <w:rFonts w:hint="eastAsia" w:ascii="宋体" w:hAnsi="宋体" w:cs="宋体"/>
                <w:b/>
                <w:sz w:val="24"/>
              </w:rPr>
              <w:t>项目总价</w:t>
            </w:r>
          </w:p>
        </w:tc>
        <w:tc>
          <w:tcPr>
            <w:tcW w:w="1705" w:type="dxa"/>
            <w:vAlign w:val="center"/>
          </w:tcPr>
          <w:p w14:paraId="00FEABA2">
            <w:pPr>
              <w:jc w:val="center"/>
              <w:rPr>
                <w:rFonts w:hint="eastAsia" w:ascii="宋体" w:hAnsi="宋体" w:cs="宋体"/>
                <w:b/>
                <w:sz w:val="24"/>
              </w:rPr>
            </w:pPr>
            <w:r>
              <w:rPr>
                <w:rFonts w:hint="eastAsia" w:ascii="宋体" w:hAnsi="宋体" w:cs="宋体"/>
                <w:b/>
                <w:sz w:val="24"/>
              </w:rPr>
              <w:t>使用单位名称</w:t>
            </w:r>
          </w:p>
        </w:tc>
        <w:tc>
          <w:tcPr>
            <w:tcW w:w="1321" w:type="dxa"/>
          </w:tcPr>
          <w:p w14:paraId="04E505FF">
            <w:pPr>
              <w:jc w:val="center"/>
              <w:rPr>
                <w:rFonts w:hint="eastAsia" w:ascii="宋体" w:hAnsi="宋体" w:cs="宋体"/>
                <w:b/>
                <w:sz w:val="24"/>
              </w:rPr>
            </w:pPr>
            <w:r>
              <w:rPr>
                <w:rFonts w:hint="eastAsia" w:ascii="宋体" w:hAnsi="宋体" w:cs="宋体"/>
                <w:b/>
                <w:sz w:val="24"/>
              </w:rPr>
              <w:t>使用单位联系人及联系电话</w:t>
            </w:r>
          </w:p>
        </w:tc>
        <w:tc>
          <w:tcPr>
            <w:tcW w:w="1396" w:type="dxa"/>
            <w:vAlign w:val="center"/>
          </w:tcPr>
          <w:p w14:paraId="3BA16C53">
            <w:pPr>
              <w:jc w:val="center"/>
              <w:rPr>
                <w:rFonts w:hint="eastAsia" w:ascii="宋体" w:hAnsi="宋体" w:cs="宋体"/>
                <w:b/>
                <w:sz w:val="24"/>
              </w:rPr>
            </w:pPr>
            <w:r>
              <w:rPr>
                <w:rFonts w:hint="eastAsia" w:ascii="宋体" w:hAnsi="宋体" w:cs="宋体"/>
                <w:b/>
                <w:sz w:val="24"/>
              </w:rPr>
              <w:t>签订合同时间</w:t>
            </w:r>
          </w:p>
        </w:tc>
        <w:tc>
          <w:tcPr>
            <w:tcW w:w="1018" w:type="dxa"/>
            <w:vAlign w:val="center"/>
          </w:tcPr>
          <w:p w14:paraId="1A702CDA">
            <w:pPr>
              <w:jc w:val="center"/>
              <w:rPr>
                <w:rFonts w:hint="eastAsia" w:ascii="宋体" w:hAnsi="宋体" w:cs="宋体"/>
                <w:b/>
                <w:sz w:val="24"/>
              </w:rPr>
            </w:pPr>
            <w:r>
              <w:rPr>
                <w:rFonts w:hint="eastAsia" w:ascii="宋体" w:hAnsi="宋体" w:cs="宋体"/>
                <w:b/>
                <w:sz w:val="24"/>
              </w:rPr>
              <w:t>备注</w:t>
            </w:r>
          </w:p>
        </w:tc>
      </w:tr>
      <w:tr w14:paraId="57E42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42671F2D">
            <w:pPr>
              <w:jc w:val="center"/>
              <w:rPr>
                <w:rFonts w:hint="eastAsia" w:ascii="宋体" w:hAnsi="宋体" w:cs="宋体"/>
                <w:sz w:val="24"/>
              </w:rPr>
            </w:pPr>
            <w:r>
              <w:rPr>
                <w:rFonts w:hint="eastAsia" w:ascii="宋体" w:hAnsi="宋体" w:cs="宋体"/>
                <w:sz w:val="24"/>
              </w:rPr>
              <w:t>1</w:t>
            </w:r>
          </w:p>
        </w:tc>
        <w:tc>
          <w:tcPr>
            <w:tcW w:w="2036" w:type="dxa"/>
            <w:vAlign w:val="center"/>
          </w:tcPr>
          <w:p w14:paraId="6BF656A8">
            <w:pPr>
              <w:jc w:val="center"/>
              <w:rPr>
                <w:rFonts w:hint="eastAsia" w:ascii="宋体" w:hAnsi="宋体" w:cs="宋体"/>
                <w:sz w:val="24"/>
              </w:rPr>
            </w:pPr>
          </w:p>
        </w:tc>
        <w:tc>
          <w:tcPr>
            <w:tcW w:w="1215" w:type="dxa"/>
            <w:vAlign w:val="center"/>
          </w:tcPr>
          <w:p w14:paraId="4AF15632">
            <w:pPr>
              <w:jc w:val="center"/>
              <w:rPr>
                <w:rFonts w:hint="eastAsia" w:ascii="宋体" w:hAnsi="宋体" w:cs="宋体"/>
                <w:sz w:val="24"/>
              </w:rPr>
            </w:pPr>
          </w:p>
        </w:tc>
        <w:tc>
          <w:tcPr>
            <w:tcW w:w="1705" w:type="dxa"/>
            <w:vAlign w:val="center"/>
          </w:tcPr>
          <w:p w14:paraId="0CC7E075">
            <w:pPr>
              <w:jc w:val="center"/>
              <w:rPr>
                <w:rFonts w:hint="eastAsia" w:ascii="宋体" w:hAnsi="宋体" w:cs="宋体"/>
                <w:sz w:val="24"/>
              </w:rPr>
            </w:pPr>
          </w:p>
        </w:tc>
        <w:tc>
          <w:tcPr>
            <w:tcW w:w="1321" w:type="dxa"/>
          </w:tcPr>
          <w:p w14:paraId="6AD9F702">
            <w:pPr>
              <w:jc w:val="center"/>
              <w:rPr>
                <w:rFonts w:hint="eastAsia" w:ascii="宋体" w:hAnsi="宋体" w:cs="宋体"/>
                <w:sz w:val="24"/>
              </w:rPr>
            </w:pPr>
          </w:p>
        </w:tc>
        <w:tc>
          <w:tcPr>
            <w:tcW w:w="1396" w:type="dxa"/>
            <w:vAlign w:val="center"/>
          </w:tcPr>
          <w:p w14:paraId="0A692598">
            <w:pPr>
              <w:jc w:val="center"/>
              <w:rPr>
                <w:rFonts w:hint="eastAsia" w:ascii="宋体" w:hAnsi="宋体" w:cs="宋体"/>
                <w:sz w:val="24"/>
              </w:rPr>
            </w:pPr>
          </w:p>
        </w:tc>
        <w:tc>
          <w:tcPr>
            <w:tcW w:w="1018" w:type="dxa"/>
            <w:vAlign w:val="center"/>
          </w:tcPr>
          <w:p w14:paraId="11CF2902">
            <w:pPr>
              <w:jc w:val="center"/>
              <w:rPr>
                <w:rFonts w:hint="eastAsia" w:ascii="宋体" w:hAnsi="宋体" w:cs="宋体"/>
                <w:sz w:val="24"/>
              </w:rPr>
            </w:pPr>
          </w:p>
        </w:tc>
      </w:tr>
      <w:tr w14:paraId="6D608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4C9B8ABD">
            <w:pPr>
              <w:jc w:val="center"/>
              <w:rPr>
                <w:rFonts w:hint="eastAsia" w:ascii="宋体" w:hAnsi="宋体" w:cs="宋体"/>
                <w:sz w:val="24"/>
              </w:rPr>
            </w:pPr>
            <w:r>
              <w:rPr>
                <w:rFonts w:hint="eastAsia" w:ascii="宋体" w:hAnsi="宋体" w:cs="宋体"/>
                <w:sz w:val="24"/>
              </w:rPr>
              <w:t>2</w:t>
            </w:r>
          </w:p>
        </w:tc>
        <w:tc>
          <w:tcPr>
            <w:tcW w:w="2036" w:type="dxa"/>
            <w:vAlign w:val="center"/>
          </w:tcPr>
          <w:p w14:paraId="62BACD79">
            <w:pPr>
              <w:jc w:val="center"/>
              <w:rPr>
                <w:rFonts w:hint="eastAsia" w:ascii="宋体" w:hAnsi="宋体" w:cs="宋体"/>
                <w:sz w:val="24"/>
              </w:rPr>
            </w:pPr>
          </w:p>
        </w:tc>
        <w:tc>
          <w:tcPr>
            <w:tcW w:w="1215" w:type="dxa"/>
            <w:vAlign w:val="center"/>
          </w:tcPr>
          <w:p w14:paraId="57E5752D">
            <w:pPr>
              <w:jc w:val="center"/>
              <w:rPr>
                <w:rFonts w:hint="eastAsia" w:ascii="宋体" w:hAnsi="宋体" w:cs="宋体"/>
                <w:sz w:val="24"/>
              </w:rPr>
            </w:pPr>
          </w:p>
        </w:tc>
        <w:tc>
          <w:tcPr>
            <w:tcW w:w="1705" w:type="dxa"/>
            <w:vAlign w:val="center"/>
          </w:tcPr>
          <w:p w14:paraId="7C7F5C28">
            <w:pPr>
              <w:jc w:val="center"/>
              <w:rPr>
                <w:rFonts w:hint="eastAsia" w:ascii="宋体" w:hAnsi="宋体" w:cs="宋体"/>
                <w:sz w:val="24"/>
              </w:rPr>
            </w:pPr>
          </w:p>
        </w:tc>
        <w:tc>
          <w:tcPr>
            <w:tcW w:w="1321" w:type="dxa"/>
          </w:tcPr>
          <w:p w14:paraId="564B47CF">
            <w:pPr>
              <w:jc w:val="center"/>
              <w:rPr>
                <w:rFonts w:hint="eastAsia" w:ascii="宋体" w:hAnsi="宋体" w:cs="宋体"/>
                <w:sz w:val="24"/>
              </w:rPr>
            </w:pPr>
          </w:p>
        </w:tc>
        <w:tc>
          <w:tcPr>
            <w:tcW w:w="1396" w:type="dxa"/>
            <w:vAlign w:val="center"/>
          </w:tcPr>
          <w:p w14:paraId="64117D29">
            <w:pPr>
              <w:jc w:val="center"/>
              <w:rPr>
                <w:rFonts w:hint="eastAsia" w:ascii="宋体" w:hAnsi="宋体" w:cs="宋体"/>
                <w:sz w:val="24"/>
              </w:rPr>
            </w:pPr>
          </w:p>
        </w:tc>
        <w:tc>
          <w:tcPr>
            <w:tcW w:w="1018" w:type="dxa"/>
            <w:vAlign w:val="center"/>
          </w:tcPr>
          <w:p w14:paraId="41856A01">
            <w:pPr>
              <w:jc w:val="center"/>
              <w:rPr>
                <w:rFonts w:hint="eastAsia" w:ascii="宋体" w:hAnsi="宋体" w:cs="宋体"/>
                <w:sz w:val="24"/>
              </w:rPr>
            </w:pPr>
          </w:p>
        </w:tc>
      </w:tr>
      <w:tr w14:paraId="0D47F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6D4F4EA3">
            <w:pPr>
              <w:jc w:val="center"/>
              <w:rPr>
                <w:rFonts w:hint="eastAsia" w:ascii="宋体" w:hAnsi="宋体" w:cs="宋体"/>
                <w:sz w:val="24"/>
              </w:rPr>
            </w:pPr>
            <w:r>
              <w:rPr>
                <w:rFonts w:hint="eastAsia" w:ascii="宋体" w:hAnsi="宋体" w:cs="宋体"/>
                <w:sz w:val="24"/>
              </w:rPr>
              <w:t>3</w:t>
            </w:r>
          </w:p>
        </w:tc>
        <w:tc>
          <w:tcPr>
            <w:tcW w:w="2036" w:type="dxa"/>
            <w:vAlign w:val="center"/>
          </w:tcPr>
          <w:p w14:paraId="24F8BB91">
            <w:pPr>
              <w:jc w:val="center"/>
              <w:rPr>
                <w:rFonts w:hint="eastAsia" w:ascii="宋体" w:hAnsi="宋体" w:cs="宋体"/>
                <w:sz w:val="24"/>
              </w:rPr>
            </w:pPr>
          </w:p>
        </w:tc>
        <w:tc>
          <w:tcPr>
            <w:tcW w:w="1215" w:type="dxa"/>
            <w:vAlign w:val="center"/>
          </w:tcPr>
          <w:p w14:paraId="2FA83098">
            <w:pPr>
              <w:jc w:val="center"/>
              <w:rPr>
                <w:rFonts w:hint="eastAsia" w:ascii="宋体" w:hAnsi="宋体" w:cs="宋体"/>
                <w:sz w:val="24"/>
              </w:rPr>
            </w:pPr>
          </w:p>
        </w:tc>
        <w:tc>
          <w:tcPr>
            <w:tcW w:w="1705" w:type="dxa"/>
            <w:vAlign w:val="center"/>
          </w:tcPr>
          <w:p w14:paraId="4CF0DCBB">
            <w:pPr>
              <w:jc w:val="center"/>
              <w:rPr>
                <w:rFonts w:hint="eastAsia" w:ascii="宋体" w:hAnsi="宋体" w:cs="宋体"/>
                <w:sz w:val="24"/>
              </w:rPr>
            </w:pPr>
          </w:p>
        </w:tc>
        <w:tc>
          <w:tcPr>
            <w:tcW w:w="1321" w:type="dxa"/>
          </w:tcPr>
          <w:p w14:paraId="5B43061A">
            <w:pPr>
              <w:jc w:val="center"/>
              <w:rPr>
                <w:rFonts w:hint="eastAsia" w:ascii="宋体" w:hAnsi="宋体" w:cs="宋体"/>
                <w:sz w:val="24"/>
              </w:rPr>
            </w:pPr>
          </w:p>
        </w:tc>
        <w:tc>
          <w:tcPr>
            <w:tcW w:w="1396" w:type="dxa"/>
            <w:vAlign w:val="center"/>
          </w:tcPr>
          <w:p w14:paraId="4769C8A0">
            <w:pPr>
              <w:jc w:val="center"/>
              <w:rPr>
                <w:rFonts w:hint="eastAsia" w:ascii="宋体" w:hAnsi="宋体" w:cs="宋体"/>
                <w:sz w:val="24"/>
              </w:rPr>
            </w:pPr>
          </w:p>
        </w:tc>
        <w:tc>
          <w:tcPr>
            <w:tcW w:w="1018" w:type="dxa"/>
            <w:vAlign w:val="center"/>
          </w:tcPr>
          <w:p w14:paraId="2F387F1B">
            <w:pPr>
              <w:jc w:val="center"/>
              <w:rPr>
                <w:rFonts w:hint="eastAsia" w:ascii="宋体" w:hAnsi="宋体" w:cs="宋体"/>
                <w:sz w:val="24"/>
              </w:rPr>
            </w:pPr>
          </w:p>
        </w:tc>
      </w:tr>
      <w:tr w14:paraId="5E100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1AA84C5E">
            <w:pPr>
              <w:jc w:val="center"/>
              <w:rPr>
                <w:rFonts w:hint="eastAsia" w:ascii="宋体" w:hAnsi="宋体" w:cs="宋体"/>
                <w:sz w:val="24"/>
              </w:rPr>
            </w:pPr>
            <w:r>
              <w:rPr>
                <w:rFonts w:hint="eastAsia" w:ascii="宋体" w:hAnsi="宋体" w:cs="宋体"/>
                <w:sz w:val="24"/>
              </w:rPr>
              <w:t>4</w:t>
            </w:r>
          </w:p>
        </w:tc>
        <w:tc>
          <w:tcPr>
            <w:tcW w:w="2036" w:type="dxa"/>
            <w:vAlign w:val="center"/>
          </w:tcPr>
          <w:p w14:paraId="2442DD17">
            <w:pPr>
              <w:jc w:val="center"/>
              <w:rPr>
                <w:rFonts w:hint="eastAsia" w:ascii="宋体" w:hAnsi="宋体" w:cs="宋体"/>
                <w:sz w:val="24"/>
              </w:rPr>
            </w:pPr>
          </w:p>
        </w:tc>
        <w:tc>
          <w:tcPr>
            <w:tcW w:w="1215" w:type="dxa"/>
            <w:vAlign w:val="center"/>
          </w:tcPr>
          <w:p w14:paraId="1C5BF0A2">
            <w:pPr>
              <w:jc w:val="center"/>
              <w:rPr>
                <w:rFonts w:hint="eastAsia" w:ascii="宋体" w:hAnsi="宋体" w:cs="宋体"/>
                <w:sz w:val="24"/>
              </w:rPr>
            </w:pPr>
          </w:p>
        </w:tc>
        <w:tc>
          <w:tcPr>
            <w:tcW w:w="1705" w:type="dxa"/>
            <w:vAlign w:val="center"/>
          </w:tcPr>
          <w:p w14:paraId="52681C53">
            <w:pPr>
              <w:jc w:val="center"/>
              <w:rPr>
                <w:rFonts w:hint="eastAsia" w:ascii="宋体" w:hAnsi="宋体" w:cs="宋体"/>
                <w:sz w:val="24"/>
              </w:rPr>
            </w:pPr>
          </w:p>
        </w:tc>
        <w:tc>
          <w:tcPr>
            <w:tcW w:w="1321" w:type="dxa"/>
          </w:tcPr>
          <w:p w14:paraId="75DDF34F">
            <w:pPr>
              <w:jc w:val="center"/>
              <w:rPr>
                <w:rFonts w:hint="eastAsia" w:ascii="宋体" w:hAnsi="宋体" w:cs="宋体"/>
                <w:sz w:val="24"/>
              </w:rPr>
            </w:pPr>
          </w:p>
        </w:tc>
        <w:tc>
          <w:tcPr>
            <w:tcW w:w="1396" w:type="dxa"/>
            <w:vAlign w:val="center"/>
          </w:tcPr>
          <w:p w14:paraId="6EF363B4">
            <w:pPr>
              <w:jc w:val="center"/>
              <w:rPr>
                <w:rFonts w:hint="eastAsia" w:ascii="宋体" w:hAnsi="宋体" w:cs="宋体"/>
                <w:sz w:val="24"/>
              </w:rPr>
            </w:pPr>
          </w:p>
        </w:tc>
        <w:tc>
          <w:tcPr>
            <w:tcW w:w="1018" w:type="dxa"/>
            <w:vAlign w:val="center"/>
          </w:tcPr>
          <w:p w14:paraId="17752434">
            <w:pPr>
              <w:jc w:val="center"/>
              <w:rPr>
                <w:rFonts w:hint="eastAsia" w:ascii="宋体" w:hAnsi="宋体" w:cs="宋体"/>
                <w:sz w:val="24"/>
              </w:rPr>
            </w:pPr>
          </w:p>
        </w:tc>
      </w:tr>
      <w:tr w14:paraId="3783E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16B74645">
            <w:pPr>
              <w:jc w:val="center"/>
              <w:rPr>
                <w:rFonts w:hint="eastAsia" w:ascii="宋体" w:hAnsi="宋体" w:cs="宋体"/>
                <w:sz w:val="24"/>
              </w:rPr>
            </w:pPr>
            <w:r>
              <w:rPr>
                <w:rFonts w:hint="eastAsia" w:ascii="宋体" w:hAnsi="宋体" w:cs="宋体"/>
                <w:sz w:val="24"/>
              </w:rPr>
              <w:t>5</w:t>
            </w:r>
          </w:p>
        </w:tc>
        <w:tc>
          <w:tcPr>
            <w:tcW w:w="2036" w:type="dxa"/>
            <w:vAlign w:val="center"/>
          </w:tcPr>
          <w:p w14:paraId="24D017A1">
            <w:pPr>
              <w:jc w:val="center"/>
              <w:rPr>
                <w:rFonts w:hint="eastAsia" w:ascii="宋体" w:hAnsi="宋体" w:cs="宋体"/>
                <w:sz w:val="24"/>
              </w:rPr>
            </w:pPr>
          </w:p>
        </w:tc>
        <w:tc>
          <w:tcPr>
            <w:tcW w:w="1215" w:type="dxa"/>
            <w:vAlign w:val="center"/>
          </w:tcPr>
          <w:p w14:paraId="61B70520">
            <w:pPr>
              <w:jc w:val="center"/>
              <w:rPr>
                <w:rFonts w:hint="eastAsia" w:ascii="宋体" w:hAnsi="宋体" w:cs="宋体"/>
                <w:sz w:val="24"/>
              </w:rPr>
            </w:pPr>
          </w:p>
        </w:tc>
        <w:tc>
          <w:tcPr>
            <w:tcW w:w="1705" w:type="dxa"/>
            <w:vAlign w:val="center"/>
          </w:tcPr>
          <w:p w14:paraId="49280ABA">
            <w:pPr>
              <w:jc w:val="center"/>
              <w:rPr>
                <w:rFonts w:hint="eastAsia" w:ascii="宋体" w:hAnsi="宋体" w:cs="宋体"/>
                <w:sz w:val="24"/>
              </w:rPr>
            </w:pPr>
          </w:p>
        </w:tc>
        <w:tc>
          <w:tcPr>
            <w:tcW w:w="1321" w:type="dxa"/>
          </w:tcPr>
          <w:p w14:paraId="69B90D71">
            <w:pPr>
              <w:jc w:val="center"/>
              <w:rPr>
                <w:rFonts w:hint="eastAsia" w:ascii="宋体" w:hAnsi="宋体" w:cs="宋体"/>
                <w:sz w:val="24"/>
              </w:rPr>
            </w:pPr>
          </w:p>
        </w:tc>
        <w:tc>
          <w:tcPr>
            <w:tcW w:w="1396" w:type="dxa"/>
            <w:vAlign w:val="center"/>
          </w:tcPr>
          <w:p w14:paraId="09CCEF92">
            <w:pPr>
              <w:jc w:val="center"/>
              <w:rPr>
                <w:rFonts w:hint="eastAsia" w:ascii="宋体" w:hAnsi="宋体" w:cs="宋体"/>
                <w:sz w:val="24"/>
              </w:rPr>
            </w:pPr>
          </w:p>
        </w:tc>
        <w:tc>
          <w:tcPr>
            <w:tcW w:w="1018" w:type="dxa"/>
            <w:vAlign w:val="center"/>
          </w:tcPr>
          <w:p w14:paraId="23CA093F">
            <w:pPr>
              <w:jc w:val="center"/>
              <w:rPr>
                <w:rFonts w:hint="eastAsia" w:ascii="宋体" w:hAnsi="宋体" w:cs="宋体"/>
                <w:sz w:val="24"/>
              </w:rPr>
            </w:pPr>
          </w:p>
        </w:tc>
      </w:tr>
      <w:tr w14:paraId="144AB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vAlign w:val="center"/>
          </w:tcPr>
          <w:p w14:paraId="5C6E7241">
            <w:pPr>
              <w:jc w:val="center"/>
              <w:rPr>
                <w:rFonts w:hint="eastAsia" w:ascii="宋体" w:hAnsi="宋体" w:cs="宋体"/>
                <w:sz w:val="24"/>
              </w:rPr>
            </w:pPr>
            <w:r>
              <w:rPr>
                <w:rFonts w:hint="eastAsia" w:ascii="宋体" w:hAnsi="宋体" w:cs="宋体"/>
                <w:sz w:val="24"/>
              </w:rPr>
              <w:t>…</w:t>
            </w:r>
          </w:p>
        </w:tc>
        <w:tc>
          <w:tcPr>
            <w:tcW w:w="2036" w:type="dxa"/>
            <w:vAlign w:val="center"/>
          </w:tcPr>
          <w:p w14:paraId="1CA49325">
            <w:pPr>
              <w:jc w:val="center"/>
              <w:rPr>
                <w:rFonts w:hint="eastAsia" w:ascii="宋体" w:hAnsi="宋体" w:cs="宋体"/>
                <w:sz w:val="24"/>
              </w:rPr>
            </w:pPr>
          </w:p>
        </w:tc>
        <w:tc>
          <w:tcPr>
            <w:tcW w:w="1215" w:type="dxa"/>
            <w:vAlign w:val="center"/>
          </w:tcPr>
          <w:p w14:paraId="31D92C04">
            <w:pPr>
              <w:jc w:val="center"/>
              <w:rPr>
                <w:rFonts w:hint="eastAsia" w:ascii="宋体" w:hAnsi="宋体" w:cs="宋体"/>
                <w:sz w:val="24"/>
              </w:rPr>
            </w:pPr>
          </w:p>
        </w:tc>
        <w:tc>
          <w:tcPr>
            <w:tcW w:w="1705" w:type="dxa"/>
            <w:vAlign w:val="center"/>
          </w:tcPr>
          <w:p w14:paraId="795F1B14">
            <w:pPr>
              <w:jc w:val="center"/>
              <w:rPr>
                <w:rFonts w:hint="eastAsia" w:ascii="宋体" w:hAnsi="宋体" w:cs="宋体"/>
                <w:sz w:val="24"/>
              </w:rPr>
            </w:pPr>
          </w:p>
        </w:tc>
        <w:tc>
          <w:tcPr>
            <w:tcW w:w="1321" w:type="dxa"/>
          </w:tcPr>
          <w:p w14:paraId="31305595">
            <w:pPr>
              <w:jc w:val="center"/>
              <w:rPr>
                <w:rFonts w:hint="eastAsia" w:ascii="宋体" w:hAnsi="宋体" w:cs="宋体"/>
                <w:sz w:val="24"/>
              </w:rPr>
            </w:pPr>
          </w:p>
        </w:tc>
        <w:tc>
          <w:tcPr>
            <w:tcW w:w="1396" w:type="dxa"/>
            <w:vAlign w:val="center"/>
          </w:tcPr>
          <w:p w14:paraId="55155B3F">
            <w:pPr>
              <w:jc w:val="center"/>
              <w:rPr>
                <w:rFonts w:hint="eastAsia" w:ascii="宋体" w:hAnsi="宋体" w:cs="宋体"/>
                <w:sz w:val="24"/>
              </w:rPr>
            </w:pPr>
          </w:p>
        </w:tc>
        <w:tc>
          <w:tcPr>
            <w:tcW w:w="1018" w:type="dxa"/>
            <w:vAlign w:val="center"/>
          </w:tcPr>
          <w:p w14:paraId="217F2700">
            <w:pPr>
              <w:jc w:val="center"/>
              <w:rPr>
                <w:rFonts w:hint="eastAsia" w:ascii="宋体" w:hAnsi="宋体" w:cs="宋体"/>
                <w:sz w:val="24"/>
              </w:rPr>
            </w:pPr>
          </w:p>
        </w:tc>
      </w:tr>
    </w:tbl>
    <w:p w14:paraId="12012ADE">
      <w:pPr>
        <w:spacing w:line="360" w:lineRule="auto"/>
        <w:ind w:firstLine="480" w:firstLineChars="200"/>
        <w:rPr>
          <w:rFonts w:hint="eastAsia" w:ascii="宋体" w:hAnsi="宋体" w:cs="宋体"/>
          <w:sz w:val="24"/>
          <w:szCs w:val="24"/>
        </w:rPr>
      </w:pPr>
      <w:r>
        <w:rPr>
          <w:rFonts w:hint="eastAsia" w:ascii="宋体" w:hAnsi="宋体" w:cs="宋体"/>
          <w:sz w:val="24"/>
          <w:szCs w:val="24"/>
        </w:rPr>
        <w:t>注：供应商提供相应的证明文件复印件（证明材料是指证明材料为中标（成交）通知书）或合同（合同包括：合同首页、标的及金额所在页及合同签字盖章页）或项目验收证明。无证明材料或证明材料不明确、无法体现类似项目实施经验内容的，不予认可）。</w:t>
      </w:r>
    </w:p>
    <w:p w14:paraId="61B5785B">
      <w:pPr>
        <w:rPr>
          <w:rFonts w:hint="eastAsia" w:ascii="宋体" w:hAnsi="宋体" w:cs="宋体"/>
          <w:b/>
          <w:bCs/>
          <w:sz w:val="24"/>
          <w:szCs w:val="24"/>
        </w:rPr>
      </w:pPr>
    </w:p>
    <w:p w14:paraId="5DFE5FF6">
      <w:pPr>
        <w:ind w:firstLine="1205" w:firstLineChars="500"/>
        <w:rPr>
          <w:rFonts w:hint="eastAsia" w:ascii="宋体" w:hAnsi="宋体" w:cs="宋体"/>
          <w:b/>
          <w:bCs/>
          <w:sz w:val="24"/>
          <w:szCs w:val="24"/>
        </w:rPr>
      </w:pPr>
    </w:p>
    <w:p w14:paraId="338C6EAB">
      <w:pPr>
        <w:ind w:firstLine="1205" w:firstLineChars="500"/>
        <w:rPr>
          <w:rFonts w:hint="eastAsia" w:ascii="宋体" w:hAnsi="宋体" w:cs="宋体"/>
          <w:b/>
          <w:bCs/>
          <w:sz w:val="24"/>
          <w:szCs w:val="24"/>
        </w:rPr>
      </w:pPr>
    </w:p>
    <w:p w14:paraId="45B11A11">
      <w:pPr>
        <w:ind w:firstLine="1205" w:firstLineChars="500"/>
        <w:rPr>
          <w:rFonts w:hint="eastAsia" w:ascii="宋体" w:hAnsi="宋体" w:cs="宋体"/>
          <w:b/>
          <w:bCs/>
          <w:sz w:val="24"/>
          <w:szCs w:val="24"/>
        </w:rPr>
      </w:pPr>
    </w:p>
    <w:p w14:paraId="2171F8AA">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供应商：</w:t>
      </w:r>
      <w:r>
        <w:rPr>
          <w:rFonts w:hint="eastAsia" w:ascii="宋体" w:hAnsi="宋体" w:cs="宋体"/>
          <w:b/>
          <w:bCs/>
          <w:sz w:val="24"/>
          <w:szCs w:val="24"/>
          <w:u w:val="single"/>
        </w:rPr>
        <w:t xml:space="preserve">                                       </w:t>
      </w:r>
      <w:r>
        <w:rPr>
          <w:rFonts w:hint="eastAsia" w:ascii="宋体" w:hAnsi="宋体" w:cs="宋体"/>
          <w:b/>
          <w:bCs/>
          <w:sz w:val="24"/>
          <w:szCs w:val="24"/>
        </w:rPr>
        <w:t>（</w:t>
      </w:r>
      <w:r>
        <w:rPr>
          <w:rFonts w:hint="eastAsia" w:ascii="宋体" w:hAnsi="宋体" w:cs="宋体"/>
          <w:b/>
          <w:color w:val="000000"/>
          <w:sz w:val="24"/>
          <w:szCs w:val="24"/>
        </w:rPr>
        <w:t>电子签章</w:t>
      </w:r>
      <w:r>
        <w:rPr>
          <w:rFonts w:hint="eastAsia" w:ascii="宋体" w:hAnsi="宋体" w:cs="宋体"/>
          <w:b/>
          <w:bCs/>
          <w:sz w:val="24"/>
          <w:szCs w:val="24"/>
        </w:rPr>
        <w:t>）</w:t>
      </w:r>
    </w:p>
    <w:p w14:paraId="2D7EB1AD">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法定代表人或其委托代理人：</w:t>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11DF600">
      <w:pPr>
        <w:spacing w:line="480" w:lineRule="auto"/>
        <w:ind w:firstLine="1205" w:firstLineChars="5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11DDD82D">
      <w:pPr>
        <w:pStyle w:val="3"/>
        <w:spacing w:line="480" w:lineRule="auto"/>
        <w:jc w:val="center"/>
        <w:rPr>
          <w:rFonts w:hint="eastAsia" w:ascii="宋体" w:hAnsi="宋体" w:eastAsia="宋体" w:cs="宋体"/>
          <w:sz w:val="44"/>
          <w:szCs w:val="44"/>
        </w:rPr>
      </w:pPr>
      <w:r>
        <w:rPr>
          <w:rFonts w:hint="eastAsia" w:ascii="宋体" w:hAnsi="宋体" w:eastAsia="宋体" w:cs="宋体"/>
          <w:szCs w:val="28"/>
        </w:rPr>
        <w:br w:type="page"/>
      </w:r>
      <w:bookmarkStart w:id="514" w:name="_Toc24137"/>
      <w:bookmarkStart w:id="515" w:name="_Toc12331"/>
      <w:bookmarkStart w:id="516" w:name="_Toc1069"/>
      <w:bookmarkStart w:id="517" w:name="_Toc22375"/>
      <w:bookmarkStart w:id="518" w:name="_Toc165910168"/>
      <w:bookmarkStart w:id="519" w:name="_Toc13348"/>
      <w:bookmarkStart w:id="520" w:name="_Toc3896316"/>
      <w:bookmarkStart w:id="521" w:name="_Toc11440"/>
      <w:r>
        <w:rPr>
          <w:rFonts w:hint="eastAsia" w:ascii="宋体" w:hAnsi="宋体" w:eastAsia="宋体" w:cs="宋体"/>
          <w:sz w:val="44"/>
          <w:szCs w:val="44"/>
        </w:rPr>
        <w:t>技术部分</w:t>
      </w:r>
      <w:bookmarkEnd w:id="514"/>
      <w:bookmarkEnd w:id="515"/>
      <w:bookmarkEnd w:id="516"/>
      <w:bookmarkEnd w:id="517"/>
      <w:bookmarkEnd w:id="518"/>
      <w:bookmarkEnd w:id="519"/>
    </w:p>
    <w:p w14:paraId="5CD45D6C">
      <w:pPr>
        <w:pStyle w:val="4"/>
        <w:widowControl/>
        <w:autoSpaceDE w:val="0"/>
        <w:spacing w:before="0" w:after="0" w:line="480" w:lineRule="auto"/>
        <w:rPr>
          <w:rFonts w:hint="eastAsia" w:ascii="宋体" w:hAnsi="宋体" w:cs="宋体"/>
        </w:rPr>
      </w:pPr>
      <w:bookmarkStart w:id="522" w:name="_Toc165910169"/>
      <w:bookmarkStart w:id="523" w:name="_Toc13482"/>
      <w:bookmarkStart w:id="524" w:name="_Toc27571"/>
      <w:bookmarkStart w:id="525" w:name="_Toc10747"/>
      <w:r>
        <w:rPr>
          <w:rFonts w:hint="eastAsia" w:ascii="宋体" w:hAnsi="宋体" w:cs="宋体"/>
          <w:szCs w:val="28"/>
        </w:rPr>
        <w:t>一、</w:t>
      </w:r>
      <w:bookmarkEnd w:id="520"/>
      <w:bookmarkEnd w:id="521"/>
      <w:bookmarkEnd w:id="522"/>
      <w:bookmarkEnd w:id="523"/>
      <w:bookmarkEnd w:id="524"/>
      <w:bookmarkEnd w:id="525"/>
      <w:r>
        <w:rPr>
          <w:rFonts w:hint="eastAsia" w:ascii="宋体" w:hAnsi="宋体" w:cs="宋体"/>
          <w:szCs w:val="28"/>
        </w:rPr>
        <w:t>对项目实施任务及要求的理解</w:t>
      </w:r>
    </w:p>
    <w:p w14:paraId="08B8027D">
      <w:pPr>
        <w:jc w:val="center"/>
        <w:rPr>
          <w:rFonts w:hint="eastAsia" w:ascii="宋体" w:hAnsi="宋体" w:cs="宋体"/>
          <w:sz w:val="24"/>
          <w:szCs w:val="24"/>
        </w:rPr>
      </w:pPr>
      <w:r>
        <w:rPr>
          <w:rFonts w:hint="eastAsia" w:ascii="宋体" w:hAnsi="宋体" w:cs="宋体"/>
          <w:sz w:val="24"/>
          <w:szCs w:val="24"/>
        </w:rPr>
        <w:t>（格式自拟）</w:t>
      </w:r>
    </w:p>
    <w:p w14:paraId="0F4DCF31">
      <w:pPr>
        <w:pStyle w:val="14"/>
        <w:rPr>
          <w:rFonts w:hint="eastAsia" w:ascii="宋体" w:hAnsi="宋体" w:cs="宋体"/>
        </w:rPr>
      </w:pPr>
    </w:p>
    <w:p w14:paraId="7CB4FD44">
      <w:pPr>
        <w:pStyle w:val="14"/>
        <w:rPr>
          <w:rFonts w:hint="eastAsia" w:ascii="宋体" w:hAnsi="宋体" w:cs="宋体"/>
        </w:rPr>
      </w:pPr>
    </w:p>
    <w:p w14:paraId="15893E55">
      <w:pPr>
        <w:rPr>
          <w:rFonts w:hint="eastAsia" w:ascii="宋体" w:hAnsi="宋体" w:cs="宋体"/>
        </w:rPr>
      </w:pPr>
    </w:p>
    <w:p w14:paraId="4F22B3AA">
      <w:pPr>
        <w:rPr>
          <w:rFonts w:hint="eastAsia" w:ascii="宋体" w:hAnsi="宋体" w:cs="宋体"/>
        </w:rPr>
      </w:pPr>
    </w:p>
    <w:p w14:paraId="3C735725">
      <w:pPr>
        <w:pStyle w:val="4"/>
        <w:widowControl/>
        <w:autoSpaceDE w:val="0"/>
        <w:spacing w:before="0" w:after="0" w:line="360" w:lineRule="auto"/>
        <w:ind w:firstLine="562" w:firstLineChars="200"/>
        <w:rPr>
          <w:rFonts w:hint="eastAsia" w:ascii="宋体" w:hAnsi="宋体" w:cs="宋体"/>
          <w:szCs w:val="28"/>
        </w:rPr>
      </w:pPr>
      <w:bookmarkStart w:id="526" w:name="_Toc165910170"/>
      <w:bookmarkStart w:id="527" w:name="_Toc29558"/>
      <w:bookmarkStart w:id="528" w:name="_Toc3896318"/>
      <w:bookmarkStart w:id="529" w:name="_Toc29146"/>
      <w:bookmarkStart w:id="530" w:name="_Toc11876"/>
      <w:bookmarkStart w:id="531" w:name="_Toc7086"/>
      <w:r>
        <w:rPr>
          <w:rFonts w:hint="eastAsia" w:ascii="宋体" w:hAnsi="宋体" w:cs="宋体"/>
          <w:szCs w:val="28"/>
        </w:rPr>
        <w:t>二、</w:t>
      </w:r>
      <w:bookmarkEnd w:id="526"/>
      <w:bookmarkEnd w:id="527"/>
      <w:bookmarkEnd w:id="528"/>
      <w:bookmarkEnd w:id="529"/>
      <w:bookmarkEnd w:id="530"/>
      <w:bookmarkEnd w:id="531"/>
      <w:r>
        <w:rPr>
          <w:rFonts w:hint="eastAsia" w:ascii="宋体" w:hAnsi="宋体" w:cs="宋体"/>
          <w:szCs w:val="28"/>
        </w:rPr>
        <w:t>工作思路及纲要</w:t>
      </w:r>
    </w:p>
    <w:p w14:paraId="70FC862C">
      <w:pPr>
        <w:jc w:val="center"/>
        <w:rPr>
          <w:rFonts w:hint="eastAsia" w:ascii="宋体" w:hAnsi="宋体" w:cs="宋体"/>
          <w:sz w:val="24"/>
          <w:szCs w:val="24"/>
        </w:rPr>
      </w:pPr>
      <w:r>
        <w:rPr>
          <w:rFonts w:hint="eastAsia" w:ascii="宋体" w:hAnsi="宋体" w:cs="宋体"/>
          <w:sz w:val="24"/>
          <w:szCs w:val="24"/>
        </w:rPr>
        <w:t>（格式自拟）</w:t>
      </w:r>
    </w:p>
    <w:p w14:paraId="617FAACB">
      <w:pPr>
        <w:pStyle w:val="14"/>
        <w:rPr>
          <w:rFonts w:hint="eastAsia" w:ascii="宋体" w:hAnsi="宋体" w:cs="宋体"/>
        </w:rPr>
      </w:pPr>
    </w:p>
    <w:p w14:paraId="67A84EC8">
      <w:pPr>
        <w:rPr>
          <w:rFonts w:hint="eastAsia" w:ascii="宋体" w:hAnsi="宋体" w:cs="宋体"/>
        </w:rPr>
      </w:pPr>
    </w:p>
    <w:p w14:paraId="162F4875">
      <w:pPr>
        <w:rPr>
          <w:rFonts w:hint="eastAsia" w:ascii="宋体" w:hAnsi="宋体" w:cs="宋体"/>
          <w:szCs w:val="28"/>
        </w:rPr>
      </w:pPr>
    </w:p>
    <w:p w14:paraId="38C6C5EB">
      <w:pPr>
        <w:pStyle w:val="9"/>
        <w:ind w:firstLine="0" w:firstLineChars="0"/>
        <w:rPr>
          <w:rFonts w:hint="eastAsia" w:ascii="宋体" w:hAnsi="宋体" w:cs="宋体"/>
        </w:rPr>
      </w:pPr>
    </w:p>
    <w:p w14:paraId="73AD5CDB">
      <w:pPr>
        <w:pStyle w:val="4"/>
        <w:widowControl/>
        <w:autoSpaceDE w:val="0"/>
        <w:spacing w:before="0" w:after="0" w:line="360" w:lineRule="auto"/>
        <w:ind w:firstLine="562" w:firstLineChars="200"/>
        <w:rPr>
          <w:rFonts w:hint="eastAsia" w:ascii="宋体" w:hAnsi="宋体" w:cs="宋体"/>
          <w:szCs w:val="28"/>
        </w:rPr>
      </w:pPr>
      <w:bookmarkStart w:id="532" w:name="_Toc165910171"/>
      <w:bookmarkStart w:id="533" w:name="_Toc5426"/>
      <w:r>
        <w:rPr>
          <w:rFonts w:hint="eastAsia" w:ascii="宋体" w:hAnsi="宋体" w:cs="宋体"/>
          <w:szCs w:val="28"/>
        </w:rPr>
        <w:t>三、</w:t>
      </w:r>
      <w:bookmarkEnd w:id="532"/>
      <w:bookmarkEnd w:id="533"/>
      <w:r>
        <w:rPr>
          <w:rFonts w:hint="eastAsia" w:ascii="宋体" w:hAnsi="宋体" w:cs="宋体"/>
          <w:szCs w:val="28"/>
        </w:rPr>
        <w:t>工作方案</w:t>
      </w:r>
    </w:p>
    <w:p w14:paraId="13150210">
      <w:pPr>
        <w:jc w:val="center"/>
        <w:rPr>
          <w:rFonts w:hint="eastAsia" w:ascii="宋体" w:hAnsi="宋体" w:cs="宋体"/>
          <w:sz w:val="24"/>
          <w:szCs w:val="24"/>
        </w:rPr>
      </w:pPr>
      <w:r>
        <w:rPr>
          <w:rFonts w:hint="eastAsia" w:ascii="宋体" w:hAnsi="宋体" w:cs="宋体"/>
          <w:sz w:val="24"/>
          <w:szCs w:val="24"/>
        </w:rPr>
        <w:t>（格式自拟）</w:t>
      </w:r>
    </w:p>
    <w:p w14:paraId="21FB4BE8">
      <w:pPr>
        <w:pStyle w:val="14"/>
        <w:rPr>
          <w:rFonts w:hint="eastAsia" w:ascii="宋体" w:hAnsi="宋体" w:cs="宋体"/>
        </w:rPr>
      </w:pPr>
    </w:p>
    <w:p w14:paraId="74BA6EB3">
      <w:pPr>
        <w:pStyle w:val="14"/>
        <w:rPr>
          <w:rFonts w:hint="eastAsia" w:ascii="宋体" w:hAnsi="宋体" w:cs="宋体"/>
        </w:rPr>
      </w:pPr>
    </w:p>
    <w:p w14:paraId="4503BAA1">
      <w:pPr>
        <w:rPr>
          <w:rFonts w:hint="eastAsia" w:ascii="宋体" w:hAnsi="宋体" w:cs="宋体"/>
        </w:rPr>
      </w:pPr>
    </w:p>
    <w:p w14:paraId="07435C8E">
      <w:pPr>
        <w:rPr>
          <w:rFonts w:hint="eastAsia" w:ascii="宋体" w:hAnsi="宋体" w:cs="宋体"/>
          <w:szCs w:val="28"/>
        </w:rPr>
      </w:pPr>
    </w:p>
    <w:p w14:paraId="11785506">
      <w:pPr>
        <w:pStyle w:val="4"/>
        <w:widowControl/>
        <w:autoSpaceDE w:val="0"/>
        <w:spacing w:before="0" w:after="0" w:line="360" w:lineRule="auto"/>
        <w:ind w:firstLine="562" w:firstLineChars="200"/>
        <w:rPr>
          <w:rFonts w:hint="eastAsia" w:ascii="宋体" w:hAnsi="宋体" w:cs="宋体"/>
          <w:szCs w:val="28"/>
        </w:rPr>
      </w:pPr>
      <w:bookmarkStart w:id="534" w:name="_Toc165910172"/>
      <w:bookmarkStart w:id="535" w:name="_Toc3241"/>
      <w:r>
        <w:rPr>
          <w:rFonts w:hint="eastAsia" w:ascii="宋体" w:hAnsi="宋体" w:cs="宋体"/>
          <w:szCs w:val="28"/>
        </w:rPr>
        <w:t>四、</w:t>
      </w:r>
      <w:bookmarkEnd w:id="534"/>
      <w:bookmarkEnd w:id="535"/>
      <w:r>
        <w:rPr>
          <w:rFonts w:hint="eastAsia" w:ascii="宋体" w:hAnsi="宋体" w:cs="宋体"/>
          <w:szCs w:val="28"/>
        </w:rPr>
        <w:t>时间规划方案</w:t>
      </w:r>
    </w:p>
    <w:p w14:paraId="04DBAD5F">
      <w:pPr>
        <w:jc w:val="center"/>
        <w:rPr>
          <w:rFonts w:hint="eastAsia" w:ascii="宋体" w:hAnsi="宋体" w:cs="宋体"/>
          <w:sz w:val="24"/>
          <w:szCs w:val="24"/>
        </w:rPr>
      </w:pPr>
      <w:r>
        <w:rPr>
          <w:rFonts w:hint="eastAsia" w:ascii="宋体" w:hAnsi="宋体" w:cs="宋体"/>
          <w:sz w:val="24"/>
          <w:szCs w:val="24"/>
        </w:rPr>
        <w:t>（格式自拟）</w:t>
      </w:r>
    </w:p>
    <w:p w14:paraId="2DBA7B8A">
      <w:pPr>
        <w:autoSpaceDE w:val="0"/>
        <w:spacing w:line="360" w:lineRule="auto"/>
        <w:ind w:firstLine="420" w:firstLineChars="200"/>
        <w:rPr>
          <w:rFonts w:hint="eastAsia" w:ascii="宋体" w:hAnsi="宋体" w:cs="宋体"/>
          <w:szCs w:val="28"/>
        </w:rPr>
      </w:pPr>
    </w:p>
    <w:p w14:paraId="6B77A7F5">
      <w:pPr>
        <w:pStyle w:val="14"/>
        <w:rPr>
          <w:rFonts w:hint="eastAsia" w:ascii="宋体" w:hAnsi="宋体" w:cs="宋体"/>
        </w:rPr>
      </w:pPr>
    </w:p>
    <w:p w14:paraId="4133625B">
      <w:pPr>
        <w:rPr>
          <w:rFonts w:hint="eastAsia" w:ascii="宋体" w:hAnsi="宋体" w:cs="宋体"/>
        </w:rPr>
      </w:pPr>
    </w:p>
    <w:p w14:paraId="63E5B7D0">
      <w:pPr>
        <w:pStyle w:val="9"/>
        <w:rPr>
          <w:rFonts w:hint="eastAsia" w:ascii="宋体" w:hAnsi="宋体" w:cs="宋体"/>
        </w:rPr>
      </w:pPr>
    </w:p>
    <w:p w14:paraId="4D51935E">
      <w:pPr>
        <w:pStyle w:val="4"/>
        <w:widowControl/>
        <w:autoSpaceDE w:val="0"/>
        <w:spacing w:before="0" w:after="0" w:line="240" w:lineRule="auto"/>
        <w:ind w:firstLine="562" w:firstLineChars="200"/>
        <w:rPr>
          <w:rFonts w:hint="eastAsia" w:ascii="宋体" w:hAnsi="宋体" w:cs="宋体"/>
          <w:szCs w:val="28"/>
        </w:rPr>
      </w:pPr>
      <w:bookmarkStart w:id="536" w:name="_Toc13320"/>
      <w:bookmarkStart w:id="537" w:name="_Toc3896319"/>
      <w:bookmarkStart w:id="538" w:name="_Toc27715"/>
      <w:bookmarkStart w:id="539" w:name="_Toc165910173"/>
      <w:bookmarkStart w:id="540" w:name="_Toc11264"/>
      <w:bookmarkStart w:id="541" w:name="_Toc13831"/>
      <w:r>
        <w:rPr>
          <w:rFonts w:hint="eastAsia" w:ascii="宋体" w:hAnsi="宋体" w:cs="宋体"/>
          <w:szCs w:val="28"/>
        </w:rPr>
        <w:t>五、服务质量承诺及保证措施</w:t>
      </w:r>
    </w:p>
    <w:p w14:paraId="1A891CF3">
      <w:pPr>
        <w:jc w:val="center"/>
        <w:rPr>
          <w:rFonts w:hint="eastAsia" w:ascii="宋体" w:hAnsi="宋体" w:cs="宋体"/>
        </w:rPr>
      </w:pPr>
      <w:r>
        <w:rPr>
          <w:rFonts w:hint="eastAsia" w:ascii="宋体" w:hAnsi="宋体" w:cs="宋体"/>
          <w:sz w:val="24"/>
          <w:szCs w:val="24"/>
        </w:rPr>
        <w:t>（格式自拟）</w:t>
      </w:r>
    </w:p>
    <w:p w14:paraId="062197C7">
      <w:pPr>
        <w:rPr>
          <w:rFonts w:hint="eastAsia" w:ascii="宋体" w:hAnsi="宋体" w:cs="宋体"/>
        </w:rPr>
      </w:pPr>
    </w:p>
    <w:p w14:paraId="0FC52BB7">
      <w:pPr>
        <w:pStyle w:val="14"/>
        <w:rPr>
          <w:rFonts w:hint="eastAsia" w:ascii="宋体" w:hAnsi="宋体" w:cs="宋体"/>
        </w:rPr>
      </w:pPr>
    </w:p>
    <w:p w14:paraId="0060FF3E">
      <w:pPr>
        <w:rPr>
          <w:rFonts w:hint="eastAsia" w:ascii="宋体" w:hAnsi="宋体" w:cs="宋体"/>
        </w:rPr>
      </w:pPr>
    </w:p>
    <w:p w14:paraId="21EEBB0B">
      <w:pPr>
        <w:rPr>
          <w:rFonts w:hint="eastAsia" w:ascii="宋体" w:hAnsi="宋体" w:cs="宋体"/>
        </w:rPr>
      </w:pPr>
    </w:p>
    <w:p w14:paraId="4E7DC543">
      <w:pPr>
        <w:pStyle w:val="4"/>
        <w:widowControl/>
        <w:autoSpaceDE w:val="0"/>
        <w:spacing w:before="0" w:after="0" w:line="240" w:lineRule="auto"/>
        <w:ind w:firstLine="562" w:firstLineChars="200"/>
        <w:rPr>
          <w:rFonts w:hint="eastAsia" w:ascii="宋体" w:hAnsi="宋体" w:cs="宋体"/>
          <w:sz w:val="24"/>
          <w:szCs w:val="24"/>
        </w:rPr>
      </w:pPr>
      <w:r>
        <w:rPr>
          <w:rFonts w:hint="eastAsia" w:ascii="宋体" w:hAnsi="宋体" w:cs="宋体"/>
          <w:szCs w:val="28"/>
        </w:rPr>
        <w:t>六、其他资料</w:t>
      </w:r>
      <w:bookmarkEnd w:id="536"/>
      <w:bookmarkEnd w:id="537"/>
      <w:bookmarkEnd w:id="538"/>
      <w:bookmarkEnd w:id="539"/>
      <w:bookmarkEnd w:id="540"/>
      <w:bookmarkEnd w:id="541"/>
    </w:p>
    <w:p w14:paraId="78263407">
      <w:pPr>
        <w:spacing w:before="158" w:beforeLines="50" w:line="360" w:lineRule="auto"/>
        <w:ind w:firstLine="723" w:firstLineChars="300"/>
        <w:jc w:val="center"/>
        <w:outlineLvl w:val="2"/>
        <w:rPr>
          <w:rFonts w:hint="eastAsia" w:ascii="宋体" w:hAnsi="宋体" w:cs="宋体"/>
          <w:b/>
          <w:bCs/>
          <w:sz w:val="24"/>
          <w:szCs w:val="24"/>
        </w:rPr>
      </w:pPr>
      <w:bookmarkStart w:id="542" w:name="_Toc12254"/>
      <w:bookmarkEnd w:id="542"/>
      <w:bookmarkStart w:id="543" w:name="_Toc468"/>
      <w:bookmarkEnd w:id="543"/>
      <w:r>
        <w:rPr>
          <w:rFonts w:hint="eastAsia" w:ascii="宋体" w:hAnsi="宋体" w:cs="宋体"/>
          <w:b/>
          <w:bCs/>
          <w:sz w:val="24"/>
          <w:szCs w:val="24"/>
        </w:rPr>
        <w:t>（一）供应商能享受政策优惠的证明材料</w:t>
      </w:r>
    </w:p>
    <w:p w14:paraId="073BE018">
      <w:pPr>
        <w:spacing w:line="480" w:lineRule="auto"/>
        <w:jc w:val="center"/>
        <w:outlineLvl w:val="3"/>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t>中小企业声明函(工程、服务)</w:t>
      </w:r>
    </w:p>
    <w:p w14:paraId="4929036E">
      <w:pPr>
        <w:widowControl w:val="0"/>
        <w:spacing w:line="48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rPr>
        <w:t>本公司(联合体)郑重声明，根据《政府采购促进中小企业发展管理办法》(财库( 2020 )46号)的规定，本公司(联合体)参加</w:t>
      </w:r>
      <w:r>
        <w:rPr>
          <w:rFonts w:hint="eastAsia" w:ascii="宋体" w:hAnsi="宋体" w:cs="宋体"/>
          <w:sz w:val="24"/>
          <w:szCs w:val="24"/>
          <w:u w:val="single"/>
          <w:shd w:val="clear" w:color="auto" w:fill="FFFFFF"/>
        </w:rPr>
        <w:t xml:space="preserve">        (单位名称)</w:t>
      </w:r>
      <w:r>
        <w:rPr>
          <w:rFonts w:hint="eastAsia" w:ascii="宋体" w:hAnsi="宋体" w:cs="宋体"/>
          <w:sz w:val="24"/>
          <w:szCs w:val="24"/>
          <w:shd w:val="clear" w:color="auto" w:fill="FFFFFF"/>
        </w:rPr>
        <w:t>的</w:t>
      </w:r>
      <w:r>
        <w:rPr>
          <w:rFonts w:hint="eastAsia" w:ascii="宋体" w:hAnsi="宋体" w:cs="宋体"/>
          <w:sz w:val="24"/>
          <w:szCs w:val="24"/>
          <w:u w:val="single"/>
          <w:shd w:val="clear" w:color="auto" w:fill="FFFFFF"/>
        </w:rPr>
        <w:t xml:space="preserve">    (项目名称)</w:t>
      </w:r>
      <w:r>
        <w:rPr>
          <w:rFonts w:hint="eastAsia" w:ascii="宋体" w:hAnsi="宋体" w:cs="宋体"/>
          <w:sz w:val="24"/>
          <w:szCs w:val="24"/>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14:paraId="69BAB6A7">
      <w:pPr>
        <w:widowControl w:val="0"/>
        <w:spacing w:line="480" w:lineRule="auto"/>
        <w:ind w:firstLine="480" w:firstLineChars="200"/>
        <w:jc w:val="both"/>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 </w:t>
      </w:r>
      <w:r>
        <w:rPr>
          <w:rFonts w:hint="eastAsia" w:ascii="宋体" w:hAnsi="宋体" w:cs="宋体"/>
          <w:sz w:val="24"/>
          <w:szCs w:val="24"/>
          <w:u w:val="single"/>
          <w:shd w:val="clear" w:color="auto" w:fill="FFFFFF"/>
        </w:rPr>
        <w:t xml:space="preserve">    (标的名称)</w:t>
      </w:r>
      <w:r>
        <w:rPr>
          <w:rFonts w:hint="eastAsia" w:ascii="宋体" w:hAnsi="宋体" w:cs="宋体"/>
          <w:sz w:val="24"/>
          <w:szCs w:val="24"/>
          <w:shd w:val="clear" w:color="auto" w:fill="FFFFFF"/>
        </w:rPr>
        <w:t>，属于</w:t>
      </w:r>
      <w:r>
        <w:rPr>
          <w:rFonts w:hint="eastAsia" w:ascii="宋体" w:hAnsi="宋体" w:cs="宋体"/>
          <w:sz w:val="24"/>
          <w:szCs w:val="24"/>
          <w:u w:val="single"/>
          <w:shd w:val="clear" w:color="auto" w:fill="FFFFFF"/>
        </w:rPr>
        <w:t xml:space="preserve">     (采购文件中明确的所属行业)</w:t>
      </w:r>
      <w:r>
        <w:rPr>
          <w:rFonts w:hint="eastAsia" w:ascii="宋体" w:hAnsi="宋体" w:cs="宋体"/>
          <w:sz w:val="24"/>
          <w:szCs w:val="24"/>
          <w:shd w:val="clear" w:color="auto" w:fill="FFFFFF"/>
        </w:rPr>
        <w:t>；承建（承接）企业为</w:t>
      </w:r>
      <w:r>
        <w:rPr>
          <w:rFonts w:hint="eastAsia" w:ascii="宋体" w:hAnsi="宋体" w:cs="宋体"/>
          <w:sz w:val="24"/>
          <w:szCs w:val="24"/>
          <w:u w:val="single"/>
          <w:shd w:val="clear" w:color="auto" w:fill="FFFFFF"/>
        </w:rPr>
        <w:t xml:space="preserve">    (企业名称)</w:t>
      </w:r>
      <w:r>
        <w:rPr>
          <w:rFonts w:hint="eastAsia" w:ascii="宋体" w:hAnsi="宋体" w:cs="宋体"/>
          <w:sz w:val="24"/>
          <w:szCs w:val="24"/>
          <w:shd w:val="clear" w:color="auto" w:fill="FFFFFF"/>
        </w:rPr>
        <w:t>，从业人员</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人， 营业收入为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万元，资产总额为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w:t>
      </w:r>
      <w:r>
        <w:rPr>
          <w:rFonts w:hint="eastAsia" w:ascii="宋体" w:hAnsi="宋体" w:cs="宋体"/>
          <w:sz w:val="24"/>
          <w:szCs w:val="24"/>
          <w:shd w:val="clear" w:color="auto" w:fill="FFFFFF"/>
          <w:vertAlign w:val="superscript"/>
        </w:rPr>
        <w:t>1</w:t>
      </w:r>
      <w:r>
        <w:rPr>
          <w:rFonts w:hint="eastAsia" w:ascii="宋体" w:hAnsi="宋体" w:cs="宋体"/>
          <w:sz w:val="24"/>
          <w:szCs w:val="24"/>
          <w:shd w:val="clear" w:color="auto" w:fill="FFFFFF"/>
        </w:rPr>
        <w:t>，属于</w:t>
      </w:r>
      <w:r>
        <w:rPr>
          <w:rFonts w:hint="eastAsia" w:ascii="宋体" w:hAnsi="宋体" w:cs="宋体"/>
          <w:sz w:val="24"/>
          <w:szCs w:val="24"/>
          <w:u w:val="single"/>
          <w:shd w:val="clear" w:color="auto" w:fill="FFFFFF"/>
        </w:rPr>
        <w:t xml:space="preserve">     （中型企业、小型企业、微型企业）</w:t>
      </w:r>
      <w:r>
        <w:rPr>
          <w:rFonts w:hint="eastAsia" w:ascii="宋体" w:hAnsi="宋体" w:cs="宋体"/>
          <w:sz w:val="24"/>
          <w:szCs w:val="24"/>
          <w:shd w:val="clear" w:color="auto" w:fill="FFFFFF"/>
        </w:rPr>
        <w:t>；</w:t>
      </w:r>
    </w:p>
    <w:p w14:paraId="3F2DD0CE">
      <w:pPr>
        <w:widowControl w:val="0"/>
        <w:spacing w:line="36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rPr>
        <w:t>2.</w:t>
      </w:r>
      <w:r>
        <w:rPr>
          <w:rFonts w:hint="eastAsia" w:ascii="宋体" w:hAnsi="宋体" w:cs="宋体"/>
          <w:sz w:val="24"/>
          <w:szCs w:val="24"/>
          <w:u w:val="single"/>
          <w:shd w:val="clear" w:color="auto" w:fill="FFFFFF"/>
        </w:rPr>
        <w:t xml:space="preserve">     （标的名称)</w:t>
      </w:r>
      <w:r>
        <w:rPr>
          <w:rFonts w:hint="eastAsia" w:ascii="宋体" w:hAnsi="宋体" w:cs="宋体"/>
          <w:sz w:val="24"/>
          <w:szCs w:val="24"/>
          <w:shd w:val="clear" w:color="auto" w:fill="FFFFFF"/>
        </w:rPr>
        <w:t>， 属于</w:t>
      </w:r>
      <w:r>
        <w:rPr>
          <w:rFonts w:hint="eastAsia" w:ascii="宋体" w:hAnsi="宋体" w:cs="宋体"/>
          <w:sz w:val="24"/>
          <w:szCs w:val="24"/>
          <w:u w:val="single"/>
          <w:shd w:val="clear" w:color="auto" w:fill="FFFFFF"/>
        </w:rPr>
        <w:t xml:space="preserve">     （采购文件中明确的所属行业)</w:t>
      </w:r>
      <w:r>
        <w:rPr>
          <w:rFonts w:hint="eastAsia" w:ascii="宋体" w:hAnsi="宋体" w:cs="宋体"/>
          <w:sz w:val="24"/>
          <w:szCs w:val="24"/>
          <w:shd w:val="clear" w:color="auto" w:fill="FFFFFF"/>
        </w:rPr>
        <w:t>行业；承建（承接）企业为</w:t>
      </w:r>
      <w:r>
        <w:rPr>
          <w:rFonts w:hint="eastAsia" w:ascii="宋体" w:hAnsi="宋体" w:cs="宋体"/>
          <w:sz w:val="24"/>
          <w:szCs w:val="24"/>
          <w:u w:val="single"/>
          <w:shd w:val="clear" w:color="auto" w:fill="FFFFFF"/>
        </w:rPr>
        <w:t xml:space="preserve">       (企业名称)</w:t>
      </w:r>
      <w:r>
        <w:rPr>
          <w:rFonts w:hint="eastAsia" w:ascii="宋体" w:hAnsi="宋体" w:cs="宋体"/>
          <w:sz w:val="24"/>
          <w:szCs w:val="24"/>
          <w:shd w:val="clear" w:color="auto" w:fill="FFFFFF"/>
        </w:rPr>
        <w:t>，从业人员</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人， 营业收入为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 资产总额为</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万元，属于</w:t>
      </w:r>
      <w:r>
        <w:rPr>
          <w:rFonts w:hint="eastAsia" w:ascii="宋体" w:hAnsi="宋体" w:cs="宋体"/>
          <w:sz w:val="24"/>
          <w:szCs w:val="24"/>
          <w:u w:val="single"/>
          <w:shd w:val="clear" w:color="auto" w:fill="FFFFFF"/>
        </w:rPr>
        <w:t xml:space="preserve">      （中型企业、 小型企业、微型企业)</w:t>
      </w:r>
      <w:r>
        <w:rPr>
          <w:rFonts w:hint="eastAsia" w:ascii="宋体" w:hAnsi="宋体" w:cs="宋体"/>
          <w:sz w:val="24"/>
          <w:szCs w:val="24"/>
          <w:shd w:val="clear" w:color="auto" w:fill="FFFFFF"/>
        </w:rPr>
        <w:t>；</w:t>
      </w:r>
    </w:p>
    <w:p w14:paraId="6497E6A0">
      <w:pPr>
        <w:widowControl w:val="0"/>
        <w:spacing w:line="48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rPr>
        <w:t>......</w:t>
      </w:r>
    </w:p>
    <w:p w14:paraId="3E148CDF">
      <w:pPr>
        <w:widowControl w:val="0"/>
        <w:spacing w:line="48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rPr>
        <w:t>以上企业，不属于大企业的分支机构，不存在控股股东为大企业的情形，也不存在与大企业的负责人为同一人的情形。</w:t>
      </w:r>
    </w:p>
    <w:p w14:paraId="1DDA67D2">
      <w:pPr>
        <w:widowControl w:val="0"/>
        <w:spacing w:line="480" w:lineRule="auto"/>
        <w:ind w:firstLine="480" w:firstLineChars="200"/>
        <w:jc w:val="both"/>
        <w:rPr>
          <w:rFonts w:hint="eastAsia" w:ascii="宋体" w:hAnsi="宋体" w:cs="宋体"/>
          <w:sz w:val="24"/>
          <w:szCs w:val="24"/>
          <w:shd w:val="clear" w:color="auto" w:fill="FFFFFF"/>
        </w:rPr>
      </w:pPr>
      <w:r>
        <w:rPr>
          <w:rFonts w:hint="eastAsia" w:ascii="宋体" w:hAnsi="宋体" w:cs="宋体"/>
          <w:sz w:val="24"/>
          <w:szCs w:val="24"/>
          <w:shd w:val="clear" w:color="auto" w:fill="FFFFFF"/>
        </w:rPr>
        <w:t>本企业对上述声明内容的真实性负责。如有虛假，将依法承担相应责任。</w:t>
      </w:r>
    </w:p>
    <w:p w14:paraId="25C1723B">
      <w:pPr>
        <w:spacing w:line="480" w:lineRule="auto"/>
        <w:jc w:val="center"/>
        <w:rPr>
          <w:rFonts w:hint="eastAsia" w:ascii="宋体" w:hAnsi="宋体" w:cs="宋体"/>
          <w:sz w:val="24"/>
          <w:szCs w:val="24"/>
          <w:shd w:val="clear" w:color="auto" w:fill="FFFFFF"/>
        </w:rPr>
      </w:pPr>
    </w:p>
    <w:p w14:paraId="7E1788C2">
      <w:pPr>
        <w:spacing w:line="480" w:lineRule="auto"/>
        <w:jc w:val="center"/>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 企业名称(盖章):</w:t>
      </w:r>
    </w:p>
    <w:p w14:paraId="6ECB096C">
      <w:pPr>
        <w:spacing w:line="480" w:lineRule="auto"/>
        <w:ind w:firstLine="4080" w:firstLineChars="1700"/>
        <w:jc w:val="both"/>
        <w:rPr>
          <w:rFonts w:hint="eastAsia" w:ascii="宋体" w:hAnsi="宋体" w:cs="宋体"/>
          <w:sz w:val="24"/>
          <w:szCs w:val="24"/>
          <w:shd w:val="clear" w:color="auto" w:fill="FFFFFF"/>
        </w:rPr>
      </w:pPr>
      <w:r>
        <w:rPr>
          <w:rFonts w:hint="eastAsia" w:ascii="宋体" w:hAnsi="宋体" w:cs="宋体"/>
          <w:sz w:val="24"/>
          <w:szCs w:val="24"/>
          <w:shd w:val="clear" w:color="auto" w:fill="FFFFFF"/>
        </w:rPr>
        <w:t>日 期:</w:t>
      </w:r>
    </w:p>
    <w:p w14:paraId="31FCA2EE">
      <w:pPr>
        <w:spacing w:line="480" w:lineRule="auto"/>
        <w:jc w:val="both"/>
        <w:rPr>
          <w:rFonts w:hint="eastAsia" w:ascii="宋体" w:hAnsi="宋体" w:cs="宋体"/>
          <w:sz w:val="40"/>
          <w:szCs w:val="24"/>
        </w:rPr>
      </w:pPr>
      <w:r>
        <w:rPr>
          <w:rFonts w:hint="eastAsia" w:ascii="宋体" w:hAnsi="宋体" w:cs="宋体"/>
          <w:sz w:val="24"/>
          <w:szCs w:val="18"/>
          <w:shd w:val="clear" w:color="auto" w:fill="FFFFFF"/>
          <w:vertAlign w:val="superscript"/>
        </w:rPr>
        <w:t>1</w:t>
      </w:r>
      <w:r>
        <w:rPr>
          <w:rFonts w:hint="eastAsia" w:ascii="宋体" w:hAnsi="宋体" w:cs="宋体"/>
          <w:sz w:val="24"/>
          <w:szCs w:val="18"/>
          <w:shd w:val="clear" w:color="auto" w:fill="FFFFFF"/>
        </w:rPr>
        <w:t>从业人员、营业收入、资产总额填报上一年度数据，无上一年度数据的新成立企业可不填报。</w:t>
      </w:r>
      <w:r>
        <w:rPr>
          <w:rFonts w:hint="eastAsia" w:ascii="宋体" w:hAnsi="宋体" w:cs="宋体"/>
          <w:sz w:val="40"/>
          <w:szCs w:val="24"/>
        </w:rPr>
        <w:t xml:space="preserve"> </w:t>
      </w:r>
    </w:p>
    <w:p w14:paraId="66E80DDD">
      <w:pPr>
        <w:spacing w:line="480" w:lineRule="auto"/>
        <w:jc w:val="center"/>
        <w:outlineLvl w:val="3"/>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残疾人福利性单位声明函</w:t>
      </w:r>
    </w:p>
    <w:p w14:paraId="7D955783">
      <w:pPr>
        <w:spacing w:line="480" w:lineRule="auto"/>
        <w:jc w:val="center"/>
        <w:rPr>
          <w:rFonts w:hint="eastAsia" w:ascii="宋体" w:hAnsi="宋体" w:cs="宋体"/>
          <w:b/>
          <w:bCs/>
          <w:sz w:val="22"/>
          <w:szCs w:val="22"/>
        </w:rPr>
      </w:pPr>
      <w:r>
        <w:rPr>
          <w:rFonts w:hint="eastAsia" w:ascii="宋体" w:hAnsi="宋体" w:cs="宋体"/>
          <w:b/>
          <w:bCs/>
          <w:sz w:val="22"/>
          <w:szCs w:val="22"/>
        </w:rPr>
        <w:t>（若为残疾人福利性单位的才须填写）</w:t>
      </w:r>
    </w:p>
    <w:p w14:paraId="1C5FE93A">
      <w:pPr>
        <w:ind w:left="3320"/>
        <w:rPr>
          <w:rFonts w:hint="eastAsia" w:ascii="宋体" w:hAnsi="宋体" w:cs="宋体"/>
        </w:rPr>
      </w:pPr>
    </w:p>
    <w:p w14:paraId="36E38E21">
      <w:pPr>
        <w:spacing w:line="500" w:lineRule="atLeast"/>
        <w:ind w:firstLine="480"/>
        <w:rPr>
          <w:rFonts w:hint="eastAsia" w:ascii="宋体" w:hAnsi="宋体" w:cs="宋体"/>
          <w:sz w:val="24"/>
        </w:rPr>
      </w:pPr>
      <w:r>
        <w:rPr>
          <w:rFonts w:hint="eastAsia" w:ascii="宋体" w:hAnsi="宋体" w:cs="宋体"/>
          <w:sz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采购活动提供本单位制造的货物(由本单位承担工程/提供服务)，或者提供其他残疾人福利性单位制造的货物(不包括使用非残疾人福利性单位注册商标的货物)。</w:t>
      </w:r>
    </w:p>
    <w:p w14:paraId="5AB22884">
      <w:pPr>
        <w:spacing w:line="500" w:lineRule="atLeast"/>
        <w:rPr>
          <w:rFonts w:hint="eastAsia" w:ascii="宋体" w:hAnsi="宋体" w:cs="宋体"/>
          <w:sz w:val="24"/>
        </w:rPr>
      </w:pPr>
    </w:p>
    <w:p w14:paraId="40FD34EA">
      <w:pPr>
        <w:spacing w:line="500" w:lineRule="atLeast"/>
        <w:ind w:left="480"/>
        <w:rPr>
          <w:rFonts w:hint="eastAsia" w:ascii="宋体" w:hAnsi="宋体" w:cs="宋体"/>
          <w:sz w:val="24"/>
        </w:rPr>
      </w:pPr>
      <w:r>
        <w:rPr>
          <w:rFonts w:hint="eastAsia" w:ascii="宋体" w:hAnsi="宋体" w:cs="宋体"/>
          <w:sz w:val="24"/>
        </w:rPr>
        <w:t>本单位对上述声明的真实性负责。如有虚假，将依法承担相应责任。</w:t>
      </w:r>
    </w:p>
    <w:p w14:paraId="02029F1F">
      <w:pPr>
        <w:spacing w:line="200" w:lineRule="exact"/>
        <w:rPr>
          <w:rFonts w:hint="eastAsia" w:ascii="宋体" w:hAnsi="宋体" w:cs="宋体"/>
          <w:sz w:val="24"/>
        </w:rPr>
      </w:pPr>
    </w:p>
    <w:p w14:paraId="7064FCBF">
      <w:pPr>
        <w:spacing w:line="360" w:lineRule="auto"/>
        <w:ind w:left="3780" w:leftChars="1800"/>
        <w:rPr>
          <w:rFonts w:hint="eastAsia" w:ascii="宋体" w:hAnsi="宋体" w:cs="宋体"/>
          <w:sz w:val="24"/>
        </w:rPr>
      </w:pPr>
    </w:p>
    <w:p w14:paraId="2D571042">
      <w:pPr>
        <w:spacing w:line="360" w:lineRule="auto"/>
        <w:rPr>
          <w:rFonts w:hint="eastAsia" w:ascii="宋体" w:hAnsi="宋体" w:cs="宋体"/>
          <w:sz w:val="24"/>
        </w:rPr>
      </w:pPr>
    </w:p>
    <w:p w14:paraId="7084E1E6">
      <w:pPr>
        <w:spacing w:line="360" w:lineRule="auto"/>
        <w:rPr>
          <w:rFonts w:hint="eastAsia" w:ascii="宋体" w:hAnsi="宋体" w:cs="宋体"/>
          <w:sz w:val="24"/>
        </w:rPr>
      </w:pPr>
    </w:p>
    <w:p w14:paraId="6C9AD419">
      <w:pPr>
        <w:spacing w:line="360" w:lineRule="auto"/>
        <w:rPr>
          <w:rFonts w:hint="eastAsia" w:ascii="宋体" w:hAnsi="宋体" w:cs="宋体"/>
          <w:sz w:val="24"/>
        </w:rPr>
      </w:pPr>
    </w:p>
    <w:p w14:paraId="274340DE">
      <w:pPr>
        <w:spacing w:line="360" w:lineRule="auto"/>
        <w:rPr>
          <w:rFonts w:hint="eastAsia" w:ascii="宋体" w:hAnsi="宋体" w:cs="宋体"/>
          <w:sz w:val="24"/>
        </w:rPr>
      </w:pPr>
    </w:p>
    <w:p w14:paraId="068CF949">
      <w:pPr>
        <w:spacing w:line="360" w:lineRule="auto"/>
        <w:rPr>
          <w:rFonts w:hint="eastAsia" w:ascii="宋体" w:hAnsi="宋体" w:cs="宋体"/>
          <w:sz w:val="24"/>
        </w:rPr>
      </w:pPr>
    </w:p>
    <w:p w14:paraId="534A2271">
      <w:pPr>
        <w:spacing w:line="360" w:lineRule="auto"/>
        <w:rPr>
          <w:rFonts w:hint="eastAsia" w:ascii="宋体" w:hAnsi="宋体" w:cs="宋体"/>
          <w:sz w:val="24"/>
        </w:rPr>
      </w:pPr>
    </w:p>
    <w:p w14:paraId="0C2E0B87">
      <w:pPr>
        <w:spacing w:line="360" w:lineRule="auto"/>
        <w:ind w:firstLine="2100" w:firstLineChars="875"/>
        <w:rPr>
          <w:rFonts w:hint="eastAsia" w:ascii="宋体" w:hAnsi="宋体" w:cs="宋体"/>
          <w:sz w:val="24"/>
        </w:rPr>
      </w:pPr>
      <w:r>
        <w:rPr>
          <w:rFonts w:hint="eastAsia" w:ascii="宋体" w:hAnsi="宋体" w:cs="宋体"/>
          <w:sz w:val="24"/>
        </w:rPr>
        <w:t>供应商：</w:t>
      </w:r>
      <w:r>
        <w:rPr>
          <w:rFonts w:hint="eastAsia" w:ascii="宋体" w:hAnsi="宋体" w:cs="宋体"/>
          <w:sz w:val="24"/>
          <w:u w:val="single"/>
        </w:rPr>
        <w:t xml:space="preserve">                   （全称）（盖单位公章）</w:t>
      </w:r>
    </w:p>
    <w:p w14:paraId="569E1819">
      <w:pPr>
        <w:spacing w:line="360" w:lineRule="auto"/>
        <w:ind w:firstLine="2100" w:firstLineChars="875"/>
        <w:rPr>
          <w:rFonts w:hint="eastAsia" w:ascii="宋体" w:hAnsi="宋体" w:cs="宋体"/>
          <w:sz w:val="24"/>
          <w:u w:val="single"/>
        </w:rPr>
      </w:pPr>
      <w:r>
        <w:rPr>
          <w:rFonts w:hint="eastAsia" w:ascii="宋体" w:hAnsi="宋体" w:cs="宋体"/>
          <w:sz w:val="24"/>
        </w:rPr>
        <w:t>法定代表人（或委托代理人）：</w:t>
      </w:r>
      <w:r>
        <w:rPr>
          <w:rFonts w:hint="eastAsia" w:ascii="宋体" w:hAnsi="宋体" w:cs="宋体"/>
          <w:sz w:val="24"/>
          <w:u w:val="single"/>
        </w:rPr>
        <w:t xml:space="preserve">       （签字或盖章）</w:t>
      </w:r>
    </w:p>
    <w:p w14:paraId="2E17523C">
      <w:pPr>
        <w:spacing w:line="360" w:lineRule="auto"/>
        <w:ind w:firstLine="2100" w:firstLineChars="875"/>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5B4FA79">
      <w:pPr>
        <w:pStyle w:val="60"/>
        <w:rPr>
          <w:rFonts w:hint="eastAsia" w:ascii="宋体" w:hAnsi="宋体"/>
          <w:color w:val="auto"/>
        </w:rPr>
      </w:pPr>
    </w:p>
    <w:p w14:paraId="3F27A310">
      <w:pPr>
        <w:pStyle w:val="60"/>
        <w:rPr>
          <w:rFonts w:hint="eastAsia" w:ascii="宋体" w:hAnsi="宋体"/>
          <w:color w:val="auto"/>
        </w:rPr>
      </w:pPr>
    </w:p>
    <w:p w14:paraId="052A2943">
      <w:pPr>
        <w:pStyle w:val="60"/>
        <w:rPr>
          <w:rFonts w:hint="eastAsia" w:ascii="宋体" w:hAnsi="宋体"/>
          <w:color w:val="auto"/>
        </w:rPr>
      </w:pPr>
    </w:p>
    <w:p w14:paraId="7E0EE38D">
      <w:pPr>
        <w:pStyle w:val="60"/>
        <w:rPr>
          <w:rFonts w:hint="eastAsia" w:ascii="宋体" w:hAnsi="宋体"/>
          <w:color w:val="auto"/>
        </w:rPr>
      </w:pPr>
    </w:p>
    <w:p w14:paraId="5DF71467">
      <w:pPr>
        <w:pStyle w:val="60"/>
        <w:rPr>
          <w:rFonts w:hint="eastAsia" w:ascii="宋体" w:hAnsi="宋体"/>
          <w:color w:val="auto"/>
        </w:rPr>
      </w:pPr>
    </w:p>
    <w:p w14:paraId="39F8DEE6">
      <w:pPr>
        <w:pStyle w:val="60"/>
        <w:rPr>
          <w:rFonts w:hint="eastAsia" w:ascii="宋体" w:hAnsi="宋体"/>
          <w:color w:val="auto"/>
        </w:rPr>
      </w:pPr>
    </w:p>
    <w:p w14:paraId="497BE5F4">
      <w:pPr>
        <w:pStyle w:val="60"/>
        <w:rPr>
          <w:rFonts w:hint="eastAsia" w:ascii="宋体" w:hAnsi="宋体"/>
          <w:color w:val="auto"/>
        </w:rPr>
      </w:pPr>
    </w:p>
    <w:p w14:paraId="4FA4CA40">
      <w:pPr>
        <w:pStyle w:val="60"/>
        <w:rPr>
          <w:rFonts w:hint="eastAsia" w:ascii="宋体" w:hAnsi="宋体"/>
          <w:color w:val="auto"/>
        </w:rPr>
      </w:pPr>
    </w:p>
    <w:p w14:paraId="2F438579">
      <w:pPr>
        <w:pStyle w:val="60"/>
        <w:rPr>
          <w:rFonts w:hint="eastAsia" w:ascii="宋体" w:hAnsi="宋体"/>
          <w:color w:val="auto"/>
        </w:rPr>
      </w:pPr>
    </w:p>
    <w:p w14:paraId="30CA8649">
      <w:pPr>
        <w:pStyle w:val="60"/>
        <w:rPr>
          <w:rFonts w:hint="eastAsia" w:ascii="宋体" w:hAnsi="宋体"/>
          <w:color w:val="auto"/>
        </w:rPr>
      </w:pPr>
    </w:p>
    <w:p w14:paraId="4D18EDBD">
      <w:pPr>
        <w:spacing w:line="480" w:lineRule="auto"/>
        <w:jc w:val="center"/>
        <w:outlineLvl w:val="3"/>
        <w:rPr>
          <w:rFonts w:hint="eastAsia" w:ascii="宋体" w:hAnsi="宋体" w:cs="宋体"/>
          <w:b/>
          <w:bCs/>
          <w:sz w:val="24"/>
          <w:szCs w:val="24"/>
        </w:rPr>
      </w:pPr>
      <w:r>
        <w:rPr>
          <w:rFonts w:hint="eastAsia" w:ascii="宋体" w:hAnsi="宋体" w:cs="宋体"/>
          <w:b/>
          <w:bCs/>
          <w:sz w:val="24"/>
          <w:szCs w:val="24"/>
        </w:rPr>
        <w:t>监狱企业证明文件</w:t>
      </w:r>
    </w:p>
    <w:p w14:paraId="2CE77D90">
      <w:pPr>
        <w:spacing w:line="480" w:lineRule="auto"/>
        <w:jc w:val="center"/>
        <w:rPr>
          <w:rFonts w:hint="eastAsia" w:ascii="宋体" w:hAnsi="宋体" w:cs="宋体"/>
          <w:sz w:val="22"/>
          <w:szCs w:val="20"/>
        </w:rPr>
      </w:pPr>
      <w:r>
        <w:rPr>
          <w:rFonts w:hint="eastAsia" w:ascii="宋体" w:hAnsi="宋体" w:cs="宋体"/>
          <w:b/>
          <w:bCs/>
          <w:sz w:val="22"/>
          <w:szCs w:val="22"/>
        </w:rPr>
        <w:t>（若为监狱企业的才须填写）</w:t>
      </w:r>
    </w:p>
    <w:p w14:paraId="514E8690">
      <w:pPr>
        <w:pStyle w:val="14"/>
        <w:spacing w:line="500" w:lineRule="exact"/>
        <w:ind w:firstLine="480" w:firstLineChars="200"/>
        <w:rPr>
          <w:rFonts w:hint="eastAsia" w:ascii="宋体" w:hAnsi="宋体" w:cs="宋体"/>
          <w:bCs/>
          <w:sz w:val="24"/>
        </w:rPr>
      </w:pPr>
      <w:r>
        <w:rPr>
          <w:rFonts w:hint="eastAsia" w:ascii="宋体" w:hAnsi="宋体" w:cs="宋体"/>
          <w:bCs/>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227412">
      <w:pPr>
        <w:pStyle w:val="14"/>
        <w:spacing w:line="500" w:lineRule="exact"/>
        <w:ind w:firstLine="480" w:firstLineChars="200"/>
        <w:rPr>
          <w:rFonts w:hint="eastAsia" w:ascii="宋体" w:hAnsi="宋体" w:cs="宋体"/>
          <w:bCs/>
          <w:sz w:val="24"/>
        </w:rPr>
      </w:pPr>
      <w:r>
        <w:rPr>
          <w:rFonts w:hint="eastAsia" w:ascii="宋体" w:hAnsi="宋体" w:cs="宋体"/>
          <w:bCs/>
          <w:sz w:val="24"/>
        </w:rPr>
        <w:t>监狱企业参加政府采购活动时，应当提供由省级以上监狱管理局、戒毒管理局（含新疆生产建设兵团）出具的属于监狱企业的证明文件。</w:t>
      </w:r>
    </w:p>
    <w:p w14:paraId="52CF9720">
      <w:pPr>
        <w:pStyle w:val="14"/>
        <w:spacing w:line="500" w:lineRule="exact"/>
        <w:ind w:firstLine="480" w:firstLineChars="200"/>
        <w:rPr>
          <w:rFonts w:hint="eastAsia" w:ascii="宋体" w:hAnsi="宋体" w:cs="宋体"/>
          <w:bCs/>
          <w:sz w:val="24"/>
        </w:rPr>
      </w:pPr>
      <w:r>
        <w:rPr>
          <w:rFonts w:hint="eastAsia" w:ascii="宋体" w:hAnsi="宋体" w:cs="宋体"/>
          <w:bCs/>
          <w:sz w:val="24"/>
        </w:rPr>
        <w:t>注：符合条件的监狱企业在参加政府采购活动时，应当按《财政部 司法部关于政府采购支持监狱企业发展有关问题的通知》（财库[2014]68号）提供规定的《监狱企业证明文件》，并对声明的真实性负责。</w:t>
      </w:r>
    </w:p>
    <w:p w14:paraId="7AC041EE">
      <w:pPr>
        <w:pStyle w:val="14"/>
        <w:spacing w:line="400" w:lineRule="exact"/>
        <w:rPr>
          <w:rFonts w:hint="eastAsia" w:ascii="宋体" w:hAnsi="宋体" w:cs="宋体"/>
          <w:bCs/>
          <w:szCs w:val="21"/>
        </w:rPr>
      </w:pPr>
    </w:p>
    <w:p w14:paraId="0C8CB596">
      <w:pPr>
        <w:rPr>
          <w:rFonts w:hint="eastAsia" w:ascii="宋体" w:hAnsi="宋体" w:cs="宋体"/>
          <w:bCs/>
        </w:rPr>
      </w:pPr>
    </w:p>
    <w:p w14:paraId="66E8C99F">
      <w:pPr>
        <w:rPr>
          <w:rFonts w:hint="eastAsia" w:ascii="宋体" w:hAnsi="宋体" w:cs="宋体"/>
          <w:bCs/>
        </w:rPr>
      </w:pPr>
    </w:p>
    <w:p w14:paraId="6DB404D9">
      <w:pPr>
        <w:rPr>
          <w:rFonts w:hint="eastAsia" w:ascii="宋体" w:hAnsi="宋体" w:cs="宋体"/>
          <w:bCs/>
        </w:rPr>
      </w:pPr>
    </w:p>
    <w:p w14:paraId="4A5C7093">
      <w:pPr>
        <w:rPr>
          <w:rFonts w:hint="eastAsia" w:ascii="宋体" w:hAnsi="宋体" w:cs="宋体"/>
          <w:bCs/>
        </w:rPr>
      </w:pPr>
    </w:p>
    <w:p w14:paraId="5FBAF5B1">
      <w:pPr>
        <w:spacing w:line="360" w:lineRule="auto"/>
        <w:rPr>
          <w:rFonts w:hint="eastAsia" w:ascii="宋体" w:hAnsi="宋体" w:cs="宋体"/>
          <w:sz w:val="24"/>
        </w:rPr>
      </w:pPr>
    </w:p>
    <w:p w14:paraId="45A56BC1">
      <w:pPr>
        <w:spacing w:line="360" w:lineRule="auto"/>
        <w:ind w:firstLine="2100" w:firstLineChars="875"/>
        <w:rPr>
          <w:rFonts w:hint="eastAsia" w:ascii="宋体" w:hAnsi="宋体" w:cs="宋体"/>
          <w:sz w:val="24"/>
        </w:rPr>
      </w:pPr>
      <w:r>
        <w:rPr>
          <w:rFonts w:hint="eastAsia" w:ascii="宋体" w:hAnsi="宋体" w:cs="宋体"/>
          <w:sz w:val="24"/>
        </w:rPr>
        <w:t>供应商：</w:t>
      </w:r>
      <w:r>
        <w:rPr>
          <w:rFonts w:hint="eastAsia" w:ascii="宋体" w:hAnsi="宋体" w:cs="宋体"/>
          <w:sz w:val="24"/>
          <w:u w:val="single"/>
        </w:rPr>
        <w:t xml:space="preserve">                   （全称）（盖单位公章）</w:t>
      </w:r>
    </w:p>
    <w:p w14:paraId="7A08F319">
      <w:pPr>
        <w:spacing w:line="360" w:lineRule="auto"/>
        <w:ind w:firstLine="2100" w:firstLineChars="875"/>
        <w:rPr>
          <w:rFonts w:hint="eastAsia" w:ascii="宋体" w:hAnsi="宋体" w:cs="宋体"/>
          <w:sz w:val="24"/>
          <w:u w:val="single"/>
        </w:rPr>
      </w:pPr>
      <w:r>
        <w:rPr>
          <w:rFonts w:hint="eastAsia" w:ascii="宋体" w:hAnsi="宋体" w:cs="宋体"/>
          <w:sz w:val="24"/>
        </w:rPr>
        <w:t>法定代表人（或委托代理人）：</w:t>
      </w:r>
      <w:r>
        <w:rPr>
          <w:rFonts w:hint="eastAsia" w:ascii="宋体" w:hAnsi="宋体" w:cs="宋体"/>
          <w:sz w:val="24"/>
          <w:u w:val="single"/>
        </w:rPr>
        <w:t xml:space="preserve">       （签字或盖章）</w:t>
      </w:r>
    </w:p>
    <w:p w14:paraId="59F0E719">
      <w:pPr>
        <w:spacing w:line="360" w:lineRule="auto"/>
        <w:ind w:firstLine="2100" w:firstLineChars="875"/>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53CE71B">
      <w:pPr>
        <w:rPr>
          <w:rFonts w:hint="eastAsia" w:ascii="宋体" w:hAnsi="宋体" w:cs="宋体"/>
          <w:sz w:val="24"/>
        </w:rPr>
      </w:pPr>
      <w:r>
        <w:rPr>
          <w:rFonts w:hint="eastAsia" w:ascii="宋体" w:hAnsi="宋体" w:cs="宋体"/>
          <w:sz w:val="24"/>
        </w:rPr>
        <w:br w:type="page"/>
      </w:r>
    </w:p>
    <w:p w14:paraId="45142591">
      <w:pPr>
        <w:spacing w:before="158" w:beforeLines="50" w:line="360" w:lineRule="auto"/>
        <w:ind w:firstLine="723" w:firstLineChars="300"/>
        <w:outlineLvl w:val="2"/>
        <w:rPr>
          <w:rFonts w:hint="eastAsia" w:ascii="宋体" w:hAnsi="宋体" w:cs="宋体"/>
          <w:b/>
          <w:bCs/>
          <w:sz w:val="24"/>
          <w:szCs w:val="24"/>
        </w:rPr>
      </w:pPr>
      <w:r>
        <w:rPr>
          <w:rFonts w:hint="eastAsia" w:ascii="宋体" w:hAnsi="宋体" w:cs="宋体"/>
          <w:b/>
          <w:bCs/>
          <w:sz w:val="24"/>
          <w:szCs w:val="24"/>
        </w:rPr>
        <w:t>（二）竞争性磋商文件要求提交的其他资料</w:t>
      </w:r>
    </w:p>
    <w:p w14:paraId="7140210A">
      <w:pPr>
        <w:spacing w:before="158" w:beforeLines="50" w:line="360" w:lineRule="auto"/>
        <w:ind w:firstLine="723" w:firstLineChars="300"/>
        <w:outlineLvl w:val="2"/>
        <w:rPr>
          <w:rFonts w:hint="eastAsia" w:ascii="宋体" w:hAnsi="宋体" w:cs="宋体"/>
          <w:sz w:val="24"/>
          <w:szCs w:val="24"/>
        </w:rPr>
      </w:pPr>
      <w:r>
        <w:rPr>
          <w:rFonts w:hint="eastAsia" w:ascii="宋体" w:hAnsi="宋体" w:cs="宋体"/>
          <w:b/>
          <w:bCs/>
          <w:sz w:val="24"/>
          <w:szCs w:val="24"/>
        </w:rPr>
        <w:t>（三）供应商认为需要提交的其他资料</w:t>
      </w:r>
    </w:p>
    <w:p w14:paraId="1E1BA71F">
      <w:pPr>
        <w:spacing w:line="360" w:lineRule="auto"/>
        <w:rPr>
          <w:rFonts w:hint="eastAsia" w:ascii="宋体" w:hAnsi="宋体" w:cs="宋体"/>
          <w:sz w:val="24"/>
        </w:rPr>
      </w:pPr>
    </w:p>
    <w:sectPr>
      <w:headerReference r:id="rId13" w:type="default"/>
      <w:footerReference r:id="rId14" w:type="default"/>
      <w:pgSz w:w="11906" w:h="16838"/>
      <w:pgMar w:top="1440" w:right="1080" w:bottom="1440" w:left="1080" w:header="720" w:footer="720"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方正全福体"/>
    <w:panose1 w:val="00000000000000000000"/>
    <w:charset w:val="00"/>
    <w:family w:val="roman"/>
    <w:pitch w:val="default"/>
    <w:sig w:usb0="00000000" w:usb1="00000000" w:usb2="00000000" w:usb3="00000000" w:csb0="00040001" w:csb1="00000000"/>
  </w:font>
  <w:font w:name="方正全福体">
    <w:panose1 w:val="020005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DDDF7">
    <w:pPr>
      <w:pStyle w:val="22"/>
      <w:jc w:val="center"/>
    </w:pPr>
    <w:r>
      <w:pict>
        <v:shape id="_x0000_s3074" o:spid="_x0000_s3074"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06BC9660">
                <w:pPr>
                  <w:pStyle w:val="22"/>
                </w:pPr>
                <w:r>
                  <w:fldChar w:fldCharType="begin"/>
                </w:r>
                <w:r>
                  <w:instrText xml:space="preserve"> PAGE  \* MERGEFORMAT </w:instrText>
                </w:r>
                <w:r>
                  <w:fldChar w:fldCharType="separate"/>
                </w:r>
                <w:r>
                  <w:t>7</w:t>
                </w:r>
                <w:r>
                  <w:fldChar w:fldCharType="end"/>
                </w:r>
              </w:p>
            </w:txbxContent>
          </v:textbox>
        </v:shape>
      </w:pict>
    </w:r>
  </w:p>
  <w:p w14:paraId="2382CA06">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B3903">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A14B">
    <w:pPr>
      <w:pStyle w:val="22"/>
    </w:pPr>
    <w:r>
      <w:pict>
        <v:shape id="_x0000_s3073" o:spid="_x0000_s3073"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408CBC35">
                <w:pPr>
                  <w:pStyle w:val="22"/>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90B7B">
    <w:pPr>
      <w:pStyle w:val="22"/>
      <w:jc w:val="center"/>
    </w:pPr>
    <w:r>
      <w:pict>
        <v:shape id="_x0000_s3076" o:spid="_x0000_s3076"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2BB8F392">
                <w:pPr>
                  <w:pStyle w:val="22"/>
                </w:pPr>
                <w:r>
                  <w:fldChar w:fldCharType="begin"/>
                </w:r>
                <w:r>
                  <w:instrText xml:space="preserve"> PAGE  \* MERGEFORMAT </w:instrText>
                </w:r>
                <w:r>
                  <w:fldChar w:fldCharType="separate"/>
                </w:r>
                <w:r>
                  <w:t>1</w:t>
                </w:r>
                <w:r>
                  <w:fldChar w:fldCharType="end"/>
                </w:r>
              </w:p>
            </w:txbxContent>
          </v:textbox>
        </v:shape>
      </w:pict>
    </w:r>
  </w:p>
  <w:p w14:paraId="1F4C379C">
    <w:pPr>
      <w:pStyle w:val="2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9212B">
    <w:pPr>
      <w:pStyle w:val="22"/>
    </w:pPr>
    <w:r>
      <w:pict>
        <v:shape id="_x0000_s3075" o:spid="_x0000_s3075"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14:paraId="688751BC">
                <w:pPr>
                  <w:pStyle w:val="22"/>
                </w:pPr>
                <w:r>
                  <w:fldChar w:fldCharType="begin"/>
                </w:r>
                <w:r>
                  <w:instrText xml:space="preserve"> PAGE  \* MERGEFORMAT </w:instrText>
                </w:r>
                <w:r>
                  <w:fldChar w:fldCharType="separate"/>
                </w:r>
                <w:r>
                  <w:t>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7A7D">
    <w:pPr>
      <w:pStyle w:val="22"/>
      <w:jc w:val="center"/>
    </w:pPr>
    <w:r>
      <w:pict>
        <v:shape id="_x0000_s3078" o:spid="_x0000_s307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joinstyle="miter"/>
          <v:imagedata o:title=""/>
          <o:lock v:ext="edit"/>
          <v:textbox inset="0mm,0mm,0mm,0mm" style="mso-fit-shape-to-text:t;">
            <w:txbxContent>
              <w:p w14:paraId="73A282F9">
                <w:pPr>
                  <w:pStyle w:val="22"/>
                </w:pPr>
                <w:r>
                  <w:fldChar w:fldCharType="begin"/>
                </w:r>
                <w:r>
                  <w:instrText xml:space="preserve"> PAGE  \* MERGEFORMAT </w:instrText>
                </w:r>
                <w:r>
                  <w:fldChar w:fldCharType="separate"/>
                </w:r>
                <w:r>
                  <w:t>4</w:t>
                </w:r>
                <w:r>
                  <w:fldChar w:fldCharType="end"/>
                </w:r>
              </w:p>
            </w:txbxContent>
          </v:textbox>
        </v:shape>
      </w:pict>
    </w:r>
  </w:p>
  <w:p w14:paraId="4DDDBD54">
    <w:pPr>
      <w:pStyle w:val="2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38FF7">
    <w:pPr>
      <w:pStyle w:val="22"/>
    </w:pPr>
    <w: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537C3B90">
                <w:pPr>
                  <w:pStyle w:val="22"/>
                </w:pPr>
                <w:r>
                  <w:fldChar w:fldCharType="begin"/>
                </w:r>
                <w:r>
                  <w:instrText xml:space="preserve"> PAGE  \* MERGEFORMAT </w:instrText>
                </w:r>
                <w:r>
                  <w:fldChar w:fldCharType="separate"/>
                </w:r>
                <w:r>
                  <w:t>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E734">
    <w:pPr>
      <w:pStyle w:val="22"/>
      <w:jc w:val="center"/>
    </w:pPr>
    <w:r>
      <w:pict>
        <v:shape id="_x0000_s3079" o:spid="_x0000_s307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BC7AF85">
                <w:pPr>
                  <w:pStyle w:val="22"/>
                </w:pPr>
                <w:r>
                  <w:fldChar w:fldCharType="begin"/>
                </w:r>
                <w:r>
                  <w:instrText xml:space="preserve"> PAGE  \* MERGEFORMAT </w:instrText>
                </w:r>
                <w:r>
                  <w:fldChar w:fldCharType="separate"/>
                </w:r>
                <w:r>
                  <w:t>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3241A">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12F04">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C629A">
    <w:pPr>
      <w:pStyle w:val="2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E6F22">
    <w:pPr>
      <w:spacing w:line="14"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EC8D7D"/>
    <w:multiLevelType w:val="singleLevel"/>
    <w:tmpl w:val="F0EC8D7D"/>
    <w:lvl w:ilvl="0" w:tentative="0">
      <w:start w:val="3"/>
      <w:numFmt w:val="chineseCounting"/>
      <w:suff w:val="nothing"/>
      <w:lvlText w:val="（%1）"/>
      <w:lvlJc w:val="left"/>
      <w:rPr>
        <w:rFonts w:hint="eastAsia"/>
      </w:rPr>
    </w:lvl>
  </w:abstractNum>
  <w:abstractNum w:abstractNumId="1">
    <w:nsid w:val="02E43812"/>
    <w:multiLevelType w:val="singleLevel"/>
    <w:tmpl w:val="02E43812"/>
    <w:lvl w:ilvl="0" w:tentative="0">
      <w:start w:val="4"/>
      <w:numFmt w:val="chineseCounting"/>
      <w:suff w:val="nothing"/>
      <w:lvlText w:val="%1、"/>
      <w:lvlJc w:val="left"/>
      <w:rPr>
        <w:rFonts w:hint="eastAsia"/>
      </w:rPr>
    </w:lvl>
  </w:abstractNum>
  <w:abstractNum w:abstractNumId="2">
    <w:nsid w:val="2D1A76C7"/>
    <w:multiLevelType w:val="singleLevel"/>
    <w:tmpl w:val="2D1A76C7"/>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317"/>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1NzMyNjJkZGQ2OWQ1OTQ1OThiMTc3NGNkM2MyN2YifQ=="/>
  </w:docVars>
  <w:rsids>
    <w:rsidRoot w:val="001A07FD"/>
    <w:rsid w:val="00000956"/>
    <w:rsid w:val="00012FF5"/>
    <w:rsid w:val="00030F55"/>
    <w:rsid w:val="00034F94"/>
    <w:rsid w:val="00041A19"/>
    <w:rsid w:val="00042FE4"/>
    <w:rsid w:val="00046822"/>
    <w:rsid w:val="00047E90"/>
    <w:rsid w:val="00053F62"/>
    <w:rsid w:val="000634F6"/>
    <w:rsid w:val="000636B3"/>
    <w:rsid w:val="000639AF"/>
    <w:rsid w:val="00072065"/>
    <w:rsid w:val="000815F4"/>
    <w:rsid w:val="00083B43"/>
    <w:rsid w:val="00086F36"/>
    <w:rsid w:val="0009057F"/>
    <w:rsid w:val="00093B73"/>
    <w:rsid w:val="000A36EF"/>
    <w:rsid w:val="000A3744"/>
    <w:rsid w:val="000B1703"/>
    <w:rsid w:val="000B608D"/>
    <w:rsid w:val="000B6D7D"/>
    <w:rsid w:val="000B736F"/>
    <w:rsid w:val="000C3ADD"/>
    <w:rsid w:val="000D0527"/>
    <w:rsid w:val="000D7278"/>
    <w:rsid w:val="000F0836"/>
    <w:rsid w:val="000F4007"/>
    <w:rsid w:val="000F4930"/>
    <w:rsid w:val="00102928"/>
    <w:rsid w:val="0012696A"/>
    <w:rsid w:val="001322FD"/>
    <w:rsid w:val="001444E5"/>
    <w:rsid w:val="00146907"/>
    <w:rsid w:val="00150414"/>
    <w:rsid w:val="00152128"/>
    <w:rsid w:val="0016301C"/>
    <w:rsid w:val="00167487"/>
    <w:rsid w:val="0016756F"/>
    <w:rsid w:val="00171FCD"/>
    <w:rsid w:val="001769AF"/>
    <w:rsid w:val="00180065"/>
    <w:rsid w:val="00182305"/>
    <w:rsid w:val="00182CB0"/>
    <w:rsid w:val="00186251"/>
    <w:rsid w:val="00187076"/>
    <w:rsid w:val="0019725C"/>
    <w:rsid w:val="001A0144"/>
    <w:rsid w:val="001A07FD"/>
    <w:rsid w:val="001A3DCC"/>
    <w:rsid w:val="001B45BE"/>
    <w:rsid w:val="001B7434"/>
    <w:rsid w:val="001B7953"/>
    <w:rsid w:val="001C105F"/>
    <w:rsid w:val="001C2E70"/>
    <w:rsid w:val="001C3FB0"/>
    <w:rsid w:val="001D04EA"/>
    <w:rsid w:val="001D08BC"/>
    <w:rsid w:val="001D5BE5"/>
    <w:rsid w:val="001E34AB"/>
    <w:rsid w:val="001E5BD8"/>
    <w:rsid w:val="001F05BC"/>
    <w:rsid w:val="001F56C5"/>
    <w:rsid w:val="00202778"/>
    <w:rsid w:val="00204378"/>
    <w:rsid w:val="00206F42"/>
    <w:rsid w:val="00217A5B"/>
    <w:rsid w:val="00220436"/>
    <w:rsid w:val="00220B80"/>
    <w:rsid w:val="002235B9"/>
    <w:rsid w:val="002523A8"/>
    <w:rsid w:val="00254609"/>
    <w:rsid w:val="00255BFF"/>
    <w:rsid w:val="002574DD"/>
    <w:rsid w:val="0026016A"/>
    <w:rsid w:val="0026211F"/>
    <w:rsid w:val="002642FD"/>
    <w:rsid w:val="00275A16"/>
    <w:rsid w:val="00282ED4"/>
    <w:rsid w:val="00284915"/>
    <w:rsid w:val="002932BF"/>
    <w:rsid w:val="00294758"/>
    <w:rsid w:val="0029522A"/>
    <w:rsid w:val="002A19FB"/>
    <w:rsid w:val="002B20F3"/>
    <w:rsid w:val="002B6CCD"/>
    <w:rsid w:val="002C2608"/>
    <w:rsid w:val="002C527E"/>
    <w:rsid w:val="002D0E80"/>
    <w:rsid w:val="002D7515"/>
    <w:rsid w:val="002E08AA"/>
    <w:rsid w:val="002E5738"/>
    <w:rsid w:val="002E6D92"/>
    <w:rsid w:val="00303084"/>
    <w:rsid w:val="003037B0"/>
    <w:rsid w:val="00303A8E"/>
    <w:rsid w:val="003209FA"/>
    <w:rsid w:val="003232DC"/>
    <w:rsid w:val="00324338"/>
    <w:rsid w:val="003347CA"/>
    <w:rsid w:val="003441D5"/>
    <w:rsid w:val="00346AC4"/>
    <w:rsid w:val="00355971"/>
    <w:rsid w:val="003561B8"/>
    <w:rsid w:val="00360228"/>
    <w:rsid w:val="0036146A"/>
    <w:rsid w:val="00375EC8"/>
    <w:rsid w:val="003811C4"/>
    <w:rsid w:val="003815C9"/>
    <w:rsid w:val="00381BBB"/>
    <w:rsid w:val="00390E93"/>
    <w:rsid w:val="003A249C"/>
    <w:rsid w:val="003A7334"/>
    <w:rsid w:val="003A7907"/>
    <w:rsid w:val="003B05DE"/>
    <w:rsid w:val="003B4871"/>
    <w:rsid w:val="003B6FD9"/>
    <w:rsid w:val="003C360A"/>
    <w:rsid w:val="003C4CCE"/>
    <w:rsid w:val="003C4FAC"/>
    <w:rsid w:val="003C7C2C"/>
    <w:rsid w:val="003E0FAF"/>
    <w:rsid w:val="003E1F05"/>
    <w:rsid w:val="003E2115"/>
    <w:rsid w:val="003E46C2"/>
    <w:rsid w:val="003E4D91"/>
    <w:rsid w:val="003F18C7"/>
    <w:rsid w:val="00401CFB"/>
    <w:rsid w:val="00403F20"/>
    <w:rsid w:val="0040590C"/>
    <w:rsid w:val="00421E9E"/>
    <w:rsid w:val="004230BB"/>
    <w:rsid w:val="004236D7"/>
    <w:rsid w:val="00427FC7"/>
    <w:rsid w:val="004304BF"/>
    <w:rsid w:val="004404DC"/>
    <w:rsid w:val="00443A97"/>
    <w:rsid w:val="00457CAF"/>
    <w:rsid w:val="00457F91"/>
    <w:rsid w:val="00465D7E"/>
    <w:rsid w:val="004709E1"/>
    <w:rsid w:val="00476262"/>
    <w:rsid w:val="00476A0A"/>
    <w:rsid w:val="00481D6F"/>
    <w:rsid w:val="00483BD3"/>
    <w:rsid w:val="00483E43"/>
    <w:rsid w:val="00484918"/>
    <w:rsid w:val="0049154F"/>
    <w:rsid w:val="004A08E4"/>
    <w:rsid w:val="004A1EB8"/>
    <w:rsid w:val="004A3B66"/>
    <w:rsid w:val="004B254A"/>
    <w:rsid w:val="004C418D"/>
    <w:rsid w:val="004E4BA3"/>
    <w:rsid w:val="004E5CFC"/>
    <w:rsid w:val="004F6685"/>
    <w:rsid w:val="00502C37"/>
    <w:rsid w:val="005045E6"/>
    <w:rsid w:val="00505F96"/>
    <w:rsid w:val="005065F5"/>
    <w:rsid w:val="0052264C"/>
    <w:rsid w:val="005226D4"/>
    <w:rsid w:val="005258C3"/>
    <w:rsid w:val="00531F96"/>
    <w:rsid w:val="00540187"/>
    <w:rsid w:val="00542A5E"/>
    <w:rsid w:val="005451A9"/>
    <w:rsid w:val="00545205"/>
    <w:rsid w:val="0055082F"/>
    <w:rsid w:val="00551B0B"/>
    <w:rsid w:val="00552711"/>
    <w:rsid w:val="005643F0"/>
    <w:rsid w:val="00572B7B"/>
    <w:rsid w:val="00573201"/>
    <w:rsid w:val="00573AE5"/>
    <w:rsid w:val="005756FA"/>
    <w:rsid w:val="00580759"/>
    <w:rsid w:val="00583614"/>
    <w:rsid w:val="00583D45"/>
    <w:rsid w:val="00584A6D"/>
    <w:rsid w:val="00585E76"/>
    <w:rsid w:val="005872F4"/>
    <w:rsid w:val="00594F44"/>
    <w:rsid w:val="005A40A3"/>
    <w:rsid w:val="005B24F9"/>
    <w:rsid w:val="005B3C7B"/>
    <w:rsid w:val="005C0A83"/>
    <w:rsid w:val="005E077B"/>
    <w:rsid w:val="005E0F71"/>
    <w:rsid w:val="005F05EB"/>
    <w:rsid w:val="005F18A0"/>
    <w:rsid w:val="005F5CC1"/>
    <w:rsid w:val="005F7C5A"/>
    <w:rsid w:val="00603E36"/>
    <w:rsid w:val="00611712"/>
    <w:rsid w:val="0061538F"/>
    <w:rsid w:val="0061792C"/>
    <w:rsid w:val="006213E7"/>
    <w:rsid w:val="00621A45"/>
    <w:rsid w:val="00626F22"/>
    <w:rsid w:val="00632840"/>
    <w:rsid w:val="00636DB5"/>
    <w:rsid w:val="006513E8"/>
    <w:rsid w:val="006579C8"/>
    <w:rsid w:val="00657DF4"/>
    <w:rsid w:val="00670B46"/>
    <w:rsid w:val="006760E1"/>
    <w:rsid w:val="00687647"/>
    <w:rsid w:val="00690D64"/>
    <w:rsid w:val="00695DF2"/>
    <w:rsid w:val="006962A5"/>
    <w:rsid w:val="006A0966"/>
    <w:rsid w:val="006A5253"/>
    <w:rsid w:val="006A6117"/>
    <w:rsid w:val="006A6C89"/>
    <w:rsid w:val="006B7F73"/>
    <w:rsid w:val="006C1FEC"/>
    <w:rsid w:val="006C3D7D"/>
    <w:rsid w:val="006D02BC"/>
    <w:rsid w:val="006D45D9"/>
    <w:rsid w:val="006D669D"/>
    <w:rsid w:val="006F0989"/>
    <w:rsid w:val="006F32BD"/>
    <w:rsid w:val="006F52D2"/>
    <w:rsid w:val="007115E2"/>
    <w:rsid w:val="007219AD"/>
    <w:rsid w:val="00721A5C"/>
    <w:rsid w:val="00723BEA"/>
    <w:rsid w:val="00724AAB"/>
    <w:rsid w:val="0074035C"/>
    <w:rsid w:val="0075060B"/>
    <w:rsid w:val="007538C4"/>
    <w:rsid w:val="00754D31"/>
    <w:rsid w:val="00756BFB"/>
    <w:rsid w:val="00761C54"/>
    <w:rsid w:val="00761E55"/>
    <w:rsid w:val="0076221E"/>
    <w:rsid w:val="00763513"/>
    <w:rsid w:val="0076413D"/>
    <w:rsid w:val="00764889"/>
    <w:rsid w:val="007660C2"/>
    <w:rsid w:val="00775FB9"/>
    <w:rsid w:val="00777DDD"/>
    <w:rsid w:val="0079136C"/>
    <w:rsid w:val="00796857"/>
    <w:rsid w:val="007A23F7"/>
    <w:rsid w:val="007B027C"/>
    <w:rsid w:val="007B5C5E"/>
    <w:rsid w:val="007B5DD6"/>
    <w:rsid w:val="007C4147"/>
    <w:rsid w:val="007C49FC"/>
    <w:rsid w:val="007D365C"/>
    <w:rsid w:val="007D3667"/>
    <w:rsid w:val="007E46B2"/>
    <w:rsid w:val="007F5167"/>
    <w:rsid w:val="007F59C2"/>
    <w:rsid w:val="00800A45"/>
    <w:rsid w:val="00800DB7"/>
    <w:rsid w:val="00802276"/>
    <w:rsid w:val="00805161"/>
    <w:rsid w:val="008077CB"/>
    <w:rsid w:val="00813F58"/>
    <w:rsid w:val="00816F9A"/>
    <w:rsid w:val="00822735"/>
    <w:rsid w:val="008346E4"/>
    <w:rsid w:val="008354E4"/>
    <w:rsid w:val="00836317"/>
    <w:rsid w:val="0083699B"/>
    <w:rsid w:val="008413DA"/>
    <w:rsid w:val="00847166"/>
    <w:rsid w:val="0085517A"/>
    <w:rsid w:val="008720B1"/>
    <w:rsid w:val="00876B10"/>
    <w:rsid w:val="00877521"/>
    <w:rsid w:val="00880BB0"/>
    <w:rsid w:val="008811AE"/>
    <w:rsid w:val="008855EC"/>
    <w:rsid w:val="0089098B"/>
    <w:rsid w:val="00895F14"/>
    <w:rsid w:val="00897C3E"/>
    <w:rsid w:val="008A51E0"/>
    <w:rsid w:val="008A728F"/>
    <w:rsid w:val="008C36D8"/>
    <w:rsid w:val="008D53F1"/>
    <w:rsid w:val="008E31BB"/>
    <w:rsid w:val="008E3300"/>
    <w:rsid w:val="008F1365"/>
    <w:rsid w:val="008F3EC5"/>
    <w:rsid w:val="00905263"/>
    <w:rsid w:val="00905380"/>
    <w:rsid w:val="00907BFD"/>
    <w:rsid w:val="00916252"/>
    <w:rsid w:val="00917B2A"/>
    <w:rsid w:val="0092080B"/>
    <w:rsid w:val="00922705"/>
    <w:rsid w:val="00922940"/>
    <w:rsid w:val="00922ABA"/>
    <w:rsid w:val="00930944"/>
    <w:rsid w:val="00932EC1"/>
    <w:rsid w:val="00934962"/>
    <w:rsid w:val="00940EB2"/>
    <w:rsid w:val="0094165A"/>
    <w:rsid w:val="00945F05"/>
    <w:rsid w:val="00952606"/>
    <w:rsid w:val="0095406E"/>
    <w:rsid w:val="00955A1A"/>
    <w:rsid w:val="00962964"/>
    <w:rsid w:val="009631E6"/>
    <w:rsid w:val="00963F56"/>
    <w:rsid w:val="009651C5"/>
    <w:rsid w:val="009665A7"/>
    <w:rsid w:val="009960DB"/>
    <w:rsid w:val="009A212B"/>
    <w:rsid w:val="009B12D9"/>
    <w:rsid w:val="009B2548"/>
    <w:rsid w:val="009B3FC3"/>
    <w:rsid w:val="009B5358"/>
    <w:rsid w:val="009C1CE3"/>
    <w:rsid w:val="009C647A"/>
    <w:rsid w:val="009C6BDD"/>
    <w:rsid w:val="009C7CA8"/>
    <w:rsid w:val="009D2E05"/>
    <w:rsid w:val="009D5549"/>
    <w:rsid w:val="009E256B"/>
    <w:rsid w:val="009E2D4A"/>
    <w:rsid w:val="009E787C"/>
    <w:rsid w:val="00A06343"/>
    <w:rsid w:val="00A066DE"/>
    <w:rsid w:val="00A11E58"/>
    <w:rsid w:val="00A12ACE"/>
    <w:rsid w:val="00A20276"/>
    <w:rsid w:val="00A36387"/>
    <w:rsid w:val="00A41A68"/>
    <w:rsid w:val="00A42C41"/>
    <w:rsid w:val="00A50345"/>
    <w:rsid w:val="00A531AB"/>
    <w:rsid w:val="00A606CF"/>
    <w:rsid w:val="00A62003"/>
    <w:rsid w:val="00A6723A"/>
    <w:rsid w:val="00A70B96"/>
    <w:rsid w:val="00A73EA0"/>
    <w:rsid w:val="00A925BA"/>
    <w:rsid w:val="00A951C4"/>
    <w:rsid w:val="00AA158C"/>
    <w:rsid w:val="00AB05D1"/>
    <w:rsid w:val="00AB0D9C"/>
    <w:rsid w:val="00AC53AC"/>
    <w:rsid w:val="00AC7B40"/>
    <w:rsid w:val="00AD108F"/>
    <w:rsid w:val="00AD64BB"/>
    <w:rsid w:val="00AF0589"/>
    <w:rsid w:val="00AF2804"/>
    <w:rsid w:val="00AF3CFF"/>
    <w:rsid w:val="00AF7631"/>
    <w:rsid w:val="00B06C3B"/>
    <w:rsid w:val="00B15515"/>
    <w:rsid w:val="00B22D54"/>
    <w:rsid w:val="00B34228"/>
    <w:rsid w:val="00B41AA6"/>
    <w:rsid w:val="00B564A3"/>
    <w:rsid w:val="00B603D4"/>
    <w:rsid w:val="00B62B5F"/>
    <w:rsid w:val="00B63BAB"/>
    <w:rsid w:val="00B663D4"/>
    <w:rsid w:val="00B72232"/>
    <w:rsid w:val="00B7266A"/>
    <w:rsid w:val="00B7394B"/>
    <w:rsid w:val="00B739E2"/>
    <w:rsid w:val="00B81E53"/>
    <w:rsid w:val="00B903E5"/>
    <w:rsid w:val="00B91E1C"/>
    <w:rsid w:val="00BA3722"/>
    <w:rsid w:val="00BA469A"/>
    <w:rsid w:val="00BA4879"/>
    <w:rsid w:val="00BB5207"/>
    <w:rsid w:val="00BB67C4"/>
    <w:rsid w:val="00BD1FE3"/>
    <w:rsid w:val="00BD5C2B"/>
    <w:rsid w:val="00BD68D0"/>
    <w:rsid w:val="00BD6E4B"/>
    <w:rsid w:val="00BD79AC"/>
    <w:rsid w:val="00BD7ACD"/>
    <w:rsid w:val="00BE0E8C"/>
    <w:rsid w:val="00BE1AF8"/>
    <w:rsid w:val="00BE1FD6"/>
    <w:rsid w:val="00BE3885"/>
    <w:rsid w:val="00BE7731"/>
    <w:rsid w:val="00BF2A0A"/>
    <w:rsid w:val="00C02200"/>
    <w:rsid w:val="00C07A90"/>
    <w:rsid w:val="00C13FE8"/>
    <w:rsid w:val="00C22632"/>
    <w:rsid w:val="00C3118C"/>
    <w:rsid w:val="00C32002"/>
    <w:rsid w:val="00C32331"/>
    <w:rsid w:val="00C5223F"/>
    <w:rsid w:val="00C52C56"/>
    <w:rsid w:val="00C56571"/>
    <w:rsid w:val="00C57E14"/>
    <w:rsid w:val="00C61887"/>
    <w:rsid w:val="00C62311"/>
    <w:rsid w:val="00C665CE"/>
    <w:rsid w:val="00C73DEB"/>
    <w:rsid w:val="00C74728"/>
    <w:rsid w:val="00C7655F"/>
    <w:rsid w:val="00C830BD"/>
    <w:rsid w:val="00C95465"/>
    <w:rsid w:val="00C9650A"/>
    <w:rsid w:val="00CA7B7B"/>
    <w:rsid w:val="00CB212D"/>
    <w:rsid w:val="00CB2995"/>
    <w:rsid w:val="00CC440A"/>
    <w:rsid w:val="00CC5138"/>
    <w:rsid w:val="00CE112A"/>
    <w:rsid w:val="00CF354C"/>
    <w:rsid w:val="00CF587D"/>
    <w:rsid w:val="00D02445"/>
    <w:rsid w:val="00D02BEA"/>
    <w:rsid w:val="00D0774B"/>
    <w:rsid w:val="00D11359"/>
    <w:rsid w:val="00D12064"/>
    <w:rsid w:val="00D1281E"/>
    <w:rsid w:val="00D14B99"/>
    <w:rsid w:val="00D4046D"/>
    <w:rsid w:val="00D4070C"/>
    <w:rsid w:val="00D44F32"/>
    <w:rsid w:val="00D602A9"/>
    <w:rsid w:val="00D60C4C"/>
    <w:rsid w:val="00D64988"/>
    <w:rsid w:val="00D70B40"/>
    <w:rsid w:val="00D714E5"/>
    <w:rsid w:val="00D71F18"/>
    <w:rsid w:val="00D777B5"/>
    <w:rsid w:val="00D8741D"/>
    <w:rsid w:val="00D9745C"/>
    <w:rsid w:val="00DA277D"/>
    <w:rsid w:val="00DC4C9C"/>
    <w:rsid w:val="00DC6D87"/>
    <w:rsid w:val="00DD6D10"/>
    <w:rsid w:val="00DE0969"/>
    <w:rsid w:val="00DE4940"/>
    <w:rsid w:val="00DE49DE"/>
    <w:rsid w:val="00DE53FE"/>
    <w:rsid w:val="00DE6412"/>
    <w:rsid w:val="00DE79B4"/>
    <w:rsid w:val="00DE7D6F"/>
    <w:rsid w:val="00DF5B1F"/>
    <w:rsid w:val="00DF5B6C"/>
    <w:rsid w:val="00DF6861"/>
    <w:rsid w:val="00DF78C8"/>
    <w:rsid w:val="00E04CED"/>
    <w:rsid w:val="00E24F2A"/>
    <w:rsid w:val="00E32C38"/>
    <w:rsid w:val="00E33C42"/>
    <w:rsid w:val="00E36329"/>
    <w:rsid w:val="00E44912"/>
    <w:rsid w:val="00E4518C"/>
    <w:rsid w:val="00E54DA8"/>
    <w:rsid w:val="00E63AD2"/>
    <w:rsid w:val="00E6646C"/>
    <w:rsid w:val="00E664C0"/>
    <w:rsid w:val="00E67111"/>
    <w:rsid w:val="00E67B47"/>
    <w:rsid w:val="00E71C54"/>
    <w:rsid w:val="00E72790"/>
    <w:rsid w:val="00E76394"/>
    <w:rsid w:val="00E8676A"/>
    <w:rsid w:val="00E95AD2"/>
    <w:rsid w:val="00E964D4"/>
    <w:rsid w:val="00EA04F9"/>
    <w:rsid w:val="00EB280F"/>
    <w:rsid w:val="00EB2FA9"/>
    <w:rsid w:val="00EB3246"/>
    <w:rsid w:val="00EB45EB"/>
    <w:rsid w:val="00EB4CB8"/>
    <w:rsid w:val="00EB755D"/>
    <w:rsid w:val="00EC1435"/>
    <w:rsid w:val="00EC197B"/>
    <w:rsid w:val="00EC5C9B"/>
    <w:rsid w:val="00EC5D4A"/>
    <w:rsid w:val="00EE0DA6"/>
    <w:rsid w:val="00EE2DA9"/>
    <w:rsid w:val="00EE5591"/>
    <w:rsid w:val="00EF1400"/>
    <w:rsid w:val="00EF1E98"/>
    <w:rsid w:val="00EF6D21"/>
    <w:rsid w:val="00F005DE"/>
    <w:rsid w:val="00F04BCE"/>
    <w:rsid w:val="00F04F14"/>
    <w:rsid w:val="00F04FBF"/>
    <w:rsid w:val="00F103F2"/>
    <w:rsid w:val="00F13E0D"/>
    <w:rsid w:val="00F238F0"/>
    <w:rsid w:val="00F251F0"/>
    <w:rsid w:val="00F30962"/>
    <w:rsid w:val="00F34813"/>
    <w:rsid w:val="00F354A3"/>
    <w:rsid w:val="00F42D5A"/>
    <w:rsid w:val="00F51A26"/>
    <w:rsid w:val="00F52DB7"/>
    <w:rsid w:val="00F55159"/>
    <w:rsid w:val="00F65597"/>
    <w:rsid w:val="00F655E1"/>
    <w:rsid w:val="00F67E4D"/>
    <w:rsid w:val="00F747D2"/>
    <w:rsid w:val="00F774D7"/>
    <w:rsid w:val="00F87C10"/>
    <w:rsid w:val="00F87CF6"/>
    <w:rsid w:val="00F956E9"/>
    <w:rsid w:val="00FA228E"/>
    <w:rsid w:val="00FB003B"/>
    <w:rsid w:val="00FB007A"/>
    <w:rsid w:val="00FB0798"/>
    <w:rsid w:val="00FD24C8"/>
    <w:rsid w:val="010974DF"/>
    <w:rsid w:val="010F4B69"/>
    <w:rsid w:val="01161107"/>
    <w:rsid w:val="012B6F9C"/>
    <w:rsid w:val="0130676A"/>
    <w:rsid w:val="01375E41"/>
    <w:rsid w:val="013B7A72"/>
    <w:rsid w:val="013E24BF"/>
    <w:rsid w:val="01416D8C"/>
    <w:rsid w:val="01542E3B"/>
    <w:rsid w:val="01585BB8"/>
    <w:rsid w:val="015A204F"/>
    <w:rsid w:val="01666F1F"/>
    <w:rsid w:val="016A0CC6"/>
    <w:rsid w:val="016D7475"/>
    <w:rsid w:val="01735F4B"/>
    <w:rsid w:val="017D3325"/>
    <w:rsid w:val="018569B4"/>
    <w:rsid w:val="018C6445"/>
    <w:rsid w:val="01B871C0"/>
    <w:rsid w:val="01CC4933"/>
    <w:rsid w:val="01CC654C"/>
    <w:rsid w:val="01D60516"/>
    <w:rsid w:val="01DC58DF"/>
    <w:rsid w:val="01DD549E"/>
    <w:rsid w:val="01E26AB1"/>
    <w:rsid w:val="01E71F06"/>
    <w:rsid w:val="01EB3B75"/>
    <w:rsid w:val="01EF5D98"/>
    <w:rsid w:val="01F46458"/>
    <w:rsid w:val="01FE0A2C"/>
    <w:rsid w:val="0201658D"/>
    <w:rsid w:val="02072DF4"/>
    <w:rsid w:val="021F4076"/>
    <w:rsid w:val="02215E17"/>
    <w:rsid w:val="02247C30"/>
    <w:rsid w:val="02261066"/>
    <w:rsid w:val="02345DAF"/>
    <w:rsid w:val="023C62C6"/>
    <w:rsid w:val="02483A5D"/>
    <w:rsid w:val="025E3B16"/>
    <w:rsid w:val="02693BD4"/>
    <w:rsid w:val="02793C5B"/>
    <w:rsid w:val="027B63D7"/>
    <w:rsid w:val="02836DE2"/>
    <w:rsid w:val="029B6E90"/>
    <w:rsid w:val="02A26030"/>
    <w:rsid w:val="02A3377A"/>
    <w:rsid w:val="02AA6756"/>
    <w:rsid w:val="02AD3D3A"/>
    <w:rsid w:val="02AD3D85"/>
    <w:rsid w:val="02AE6FF2"/>
    <w:rsid w:val="02B05949"/>
    <w:rsid w:val="02B07F0A"/>
    <w:rsid w:val="02B40E10"/>
    <w:rsid w:val="02B67502"/>
    <w:rsid w:val="02B964A5"/>
    <w:rsid w:val="02C37979"/>
    <w:rsid w:val="02C52D11"/>
    <w:rsid w:val="02CA6F70"/>
    <w:rsid w:val="02CE6AD3"/>
    <w:rsid w:val="02D15CAB"/>
    <w:rsid w:val="02D57887"/>
    <w:rsid w:val="02DC556E"/>
    <w:rsid w:val="02EE68FF"/>
    <w:rsid w:val="02F46B94"/>
    <w:rsid w:val="03016A60"/>
    <w:rsid w:val="03093A07"/>
    <w:rsid w:val="03120381"/>
    <w:rsid w:val="03153165"/>
    <w:rsid w:val="031846AA"/>
    <w:rsid w:val="03257081"/>
    <w:rsid w:val="03305546"/>
    <w:rsid w:val="03337D3C"/>
    <w:rsid w:val="03343D40"/>
    <w:rsid w:val="03347BA5"/>
    <w:rsid w:val="034234A9"/>
    <w:rsid w:val="03465DA8"/>
    <w:rsid w:val="034F0A40"/>
    <w:rsid w:val="035241DD"/>
    <w:rsid w:val="035962AC"/>
    <w:rsid w:val="0360752C"/>
    <w:rsid w:val="03630548"/>
    <w:rsid w:val="0366170B"/>
    <w:rsid w:val="036E4DF2"/>
    <w:rsid w:val="036F73CC"/>
    <w:rsid w:val="0375678B"/>
    <w:rsid w:val="037B422A"/>
    <w:rsid w:val="038D0696"/>
    <w:rsid w:val="038E5359"/>
    <w:rsid w:val="03930F87"/>
    <w:rsid w:val="039D36DA"/>
    <w:rsid w:val="03A861F3"/>
    <w:rsid w:val="03AC50CD"/>
    <w:rsid w:val="03B20756"/>
    <w:rsid w:val="03B23C58"/>
    <w:rsid w:val="03B35A38"/>
    <w:rsid w:val="03B45169"/>
    <w:rsid w:val="03C15054"/>
    <w:rsid w:val="03CF7C42"/>
    <w:rsid w:val="03D97465"/>
    <w:rsid w:val="03FB601D"/>
    <w:rsid w:val="040445FD"/>
    <w:rsid w:val="040719FE"/>
    <w:rsid w:val="04090A66"/>
    <w:rsid w:val="040E4806"/>
    <w:rsid w:val="041812F0"/>
    <w:rsid w:val="041B68E1"/>
    <w:rsid w:val="04254EF7"/>
    <w:rsid w:val="04255BC3"/>
    <w:rsid w:val="04316766"/>
    <w:rsid w:val="04332B08"/>
    <w:rsid w:val="04367644"/>
    <w:rsid w:val="043707EE"/>
    <w:rsid w:val="04474A49"/>
    <w:rsid w:val="04493A93"/>
    <w:rsid w:val="045E5D63"/>
    <w:rsid w:val="04634D8F"/>
    <w:rsid w:val="046D155D"/>
    <w:rsid w:val="04742E94"/>
    <w:rsid w:val="047F15EC"/>
    <w:rsid w:val="04874F74"/>
    <w:rsid w:val="048B6AB7"/>
    <w:rsid w:val="04A313BF"/>
    <w:rsid w:val="04A51EC4"/>
    <w:rsid w:val="04B11C19"/>
    <w:rsid w:val="04BB3CBA"/>
    <w:rsid w:val="04BF2CB8"/>
    <w:rsid w:val="04C7198E"/>
    <w:rsid w:val="04C84011"/>
    <w:rsid w:val="04D94F44"/>
    <w:rsid w:val="04DB4128"/>
    <w:rsid w:val="04DC1BC8"/>
    <w:rsid w:val="04DF3800"/>
    <w:rsid w:val="04E15C86"/>
    <w:rsid w:val="04E24BE1"/>
    <w:rsid w:val="04F90CBC"/>
    <w:rsid w:val="04F95927"/>
    <w:rsid w:val="04FA3462"/>
    <w:rsid w:val="050354D7"/>
    <w:rsid w:val="051162FA"/>
    <w:rsid w:val="05321753"/>
    <w:rsid w:val="05391F80"/>
    <w:rsid w:val="053E3845"/>
    <w:rsid w:val="053F44DA"/>
    <w:rsid w:val="054779AD"/>
    <w:rsid w:val="054E74F8"/>
    <w:rsid w:val="0556011D"/>
    <w:rsid w:val="05584F57"/>
    <w:rsid w:val="055C2EC6"/>
    <w:rsid w:val="056A2976"/>
    <w:rsid w:val="056F38EF"/>
    <w:rsid w:val="05751457"/>
    <w:rsid w:val="057768BF"/>
    <w:rsid w:val="058B1B02"/>
    <w:rsid w:val="058F0E70"/>
    <w:rsid w:val="058F67EC"/>
    <w:rsid w:val="05AA7E70"/>
    <w:rsid w:val="05B21DE2"/>
    <w:rsid w:val="05B872DF"/>
    <w:rsid w:val="05BB5A50"/>
    <w:rsid w:val="05C94E2E"/>
    <w:rsid w:val="05C96854"/>
    <w:rsid w:val="05CB2D33"/>
    <w:rsid w:val="05D23665"/>
    <w:rsid w:val="05EA3BDD"/>
    <w:rsid w:val="05EC0BBF"/>
    <w:rsid w:val="05EC26B0"/>
    <w:rsid w:val="05F159E2"/>
    <w:rsid w:val="05F921F6"/>
    <w:rsid w:val="05FF3C1A"/>
    <w:rsid w:val="06062A3D"/>
    <w:rsid w:val="06075FEC"/>
    <w:rsid w:val="060D49F6"/>
    <w:rsid w:val="06112B3C"/>
    <w:rsid w:val="06215539"/>
    <w:rsid w:val="0638780A"/>
    <w:rsid w:val="063E0DE6"/>
    <w:rsid w:val="064176D8"/>
    <w:rsid w:val="06454C97"/>
    <w:rsid w:val="06491398"/>
    <w:rsid w:val="065710C2"/>
    <w:rsid w:val="06584D4D"/>
    <w:rsid w:val="067C1522"/>
    <w:rsid w:val="068122F5"/>
    <w:rsid w:val="06825728"/>
    <w:rsid w:val="06837E4F"/>
    <w:rsid w:val="06843D48"/>
    <w:rsid w:val="06907074"/>
    <w:rsid w:val="06927983"/>
    <w:rsid w:val="06975731"/>
    <w:rsid w:val="069A61BC"/>
    <w:rsid w:val="069B626B"/>
    <w:rsid w:val="069C25C5"/>
    <w:rsid w:val="069C5DA9"/>
    <w:rsid w:val="06B95C2A"/>
    <w:rsid w:val="06C3703E"/>
    <w:rsid w:val="06C614AC"/>
    <w:rsid w:val="06D2524A"/>
    <w:rsid w:val="06D43DFA"/>
    <w:rsid w:val="06E51995"/>
    <w:rsid w:val="06E8160B"/>
    <w:rsid w:val="06EA3E03"/>
    <w:rsid w:val="06F42009"/>
    <w:rsid w:val="06F85DFF"/>
    <w:rsid w:val="070B081D"/>
    <w:rsid w:val="07165BB5"/>
    <w:rsid w:val="071664CB"/>
    <w:rsid w:val="07195698"/>
    <w:rsid w:val="0730654F"/>
    <w:rsid w:val="073D207A"/>
    <w:rsid w:val="074A1497"/>
    <w:rsid w:val="074A49E1"/>
    <w:rsid w:val="074E2E85"/>
    <w:rsid w:val="07515BF5"/>
    <w:rsid w:val="075850A0"/>
    <w:rsid w:val="076003DE"/>
    <w:rsid w:val="0760628E"/>
    <w:rsid w:val="076B3425"/>
    <w:rsid w:val="076D5A34"/>
    <w:rsid w:val="0776142E"/>
    <w:rsid w:val="07764244"/>
    <w:rsid w:val="0783049C"/>
    <w:rsid w:val="07870AFB"/>
    <w:rsid w:val="078748AB"/>
    <w:rsid w:val="078B665C"/>
    <w:rsid w:val="07AC3018"/>
    <w:rsid w:val="07BA0B8A"/>
    <w:rsid w:val="07BE249F"/>
    <w:rsid w:val="07BF409F"/>
    <w:rsid w:val="07CF3C47"/>
    <w:rsid w:val="07D76651"/>
    <w:rsid w:val="07DA2045"/>
    <w:rsid w:val="07DC0946"/>
    <w:rsid w:val="07DD06DB"/>
    <w:rsid w:val="07DD5905"/>
    <w:rsid w:val="07DF26DB"/>
    <w:rsid w:val="07E239CC"/>
    <w:rsid w:val="07E53475"/>
    <w:rsid w:val="07FC2E74"/>
    <w:rsid w:val="07FC6EEB"/>
    <w:rsid w:val="07FE79CD"/>
    <w:rsid w:val="08015504"/>
    <w:rsid w:val="080A5070"/>
    <w:rsid w:val="080E7859"/>
    <w:rsid w:val="080F1AFD"/>
    <w:rsid w:val="08273A4E"/>
    <w:rsid w:val="08275E9F"/>
    <w:rsid w:val="083927E4"/>
    <w:rsid w:val="083C4608"/>
    <w:rsid w:val="08436517"/>
    <w:rsid w:val="084C154B"/>
    <w:rsid w:val="084F0A17"/>
    <w:rsid w:val="085A3CC5"/>
    <w:rsid w:val="08627391"/>
    <w:rsid w:val="086A114C"/>
    <w:rsid w:val="086E4FBF"/>
    <w:rsid w:val="08711291"/>
    <w:rsid w:val="087466EA"/>
    <w:rsid w:val="089A6A2E"/>
    <w:rsid w:val="08A676CB"/>
    <w:rsid w:val="08AA0C7F"/>
    <w:rsid w:val="08B35527"/>
    <w:rsid w:val="08C62846"/>
    <w:rsid w:val="08C95534"/>
    <w:rsid w:val="08CE1601"/>
    <w:rsid w:val="08DE3382"/>
    <w:rsid w:val="08EB341B"/>
    <w:rsid w:val="08F6361B"/>
    <w:rsid w:val="08F77308"/>
    <w:rsid w:val="08FF6095"/>
    <w:rsid w:val="09045AED"/>
    <w:rsid w:val="09060B75"/>
    <w:rsid w:val="090653B1"/>
    <w:rsid w:val="09132149"/>
    <w:rsid w:val="09207898"/>
    <w:rsid w:val="09246B7F"/>
    <w:rsid w:val="0926197A"/>
    <w:rsid w:val="092D395B"/>
    <w:rsid w:val="092F19E3"/>
    <w:rsid w:val="09344E19"/>
    <w:rsid w:val="09370A52"/>
    <w:rsid w:val="093D51B4"/>
    <w:rsid w:val="095504DD"/>
    <w:rsid w:val="09647EC4"/>
    <w:rsid w:val="09766ACB"/>
    <w:rsid w:val="097E4997"/>
    <w:rsid w:val="0980626C"/>
    <w:rsid w:val="098D628F"/>
    <w:rsid w:val="098E7098"/>
    <w:rsid w:val="098F50FF"/>
    <w:rsid w:val="09924AB2"/>
    <w:rsid w:val="0998486F"/>
    <w:rsid w:val="09996199"/>
    <w:rsid w:val="09B25C8F"/>
    <w:rsid w:val="09B37AEC"/>
    <w:rsid w:val="09B50186"/>
    <w:rsid w:val="09C51231"/>
    <w:rsid w:val="09C72651"/>
    <w:rsid w:val="09CC05C4"/>
    <w:rsid w:val="09D23279"/>
    <w:rsid w:val="09E23085"/>
    <w:rsid w:val="09EF5595"/>
    <w:rsid w:val="09F1006B"/>
    <w:rsid w:val="09F204B1"/>
    <w:rsid w:val="09FE7367"/>
    <w:rsid w:val="0A07135F"/>
    <w:rsid w:val="0A116CF4"/>
    <w:rsid w:val="0A1B5351"/>
    <w:rsid w:val="0A1C7EC9"/>
    <w:rsid w:val="0A2363B0"/>
    <w:rsid w:val="0A26442A"/>
    <w:rsid w:val="0A287FA0"/>
    <w:rsid w:val="0A2A0524"/>
    <w:rsid w:val="0A2C0D3B"/>
    <w:rsid w:val="0A2E5E53"/>
    <w:rsid w:val="0A310F18"/>
    <w:rsid w:val="0A340E0D"/>
    <w:rsid w:val="0A341682"/>
    <w:rsid w:val="0A3838AE"/>
    <w:rsid w:val="0A3F14EC"/>
    <w:rsid w:val="0A522D71"/>
    <w:rsid w:val="0A5E482E"/>
    <w:rsid w:val="0A6B6E10"/>
    <w:rsid w:val="0A717628"/>
    <w:rsid w:val="0A7B0C26"/>
    <w:rsid w:val="0A810269"/>
    <w:rsid w:val="0A8C6A20"/>
    <w:rsid w:val="0A9713FA"/>
    <w:rsid w:val="0A9A72F3"/>
    <w:rsid w:val="0A9F3C9B"/>
    <w:rsid w:val="0AB441B1"/>
    <w:rsid w:val="0ABA39F1"/>
    <w:rsid w:val="0ABB708E"/>
    <w:rsid w:val="0AC425B0"/>
    <w:rsid w:val="0ACD1AA9"/>
    <w:rsid w:val="0AE001F7"/>
    <w:rsid w:val="0AE94F91"/>
    <w:rsid w:val="0AF50251"/>
    <w:rsid w:val="0AFC4CD1"/>
    <w:rsid w:val="0AFC55BB"/>
    <w:rsid w:val="0B0005A1"/>
    <w:rsid w:val="0B04529D"/>
    <w:rsid w:val="0B194C41"/>
    <w:rsid w:val="0B2427D9"/>
    <w:rsid w:val="0B2E2FD0"/>
    <w:rsid w:val="0B38329D"/>
    <w:rsid w:val="0B396B39"/>
    <w:rsid w:val="0B410063"/>
    <w:rsid w:val="0B586D3B"/>
    <w:rsid w:val="0B5948DD"/>
    <w:rsid w:val="0B5F1DC7"/>
    <w:rsid w:val="0B605F4D"/>
    <w:rsid w:val="0B7B2078"/>
    <w:rsid w:val="0B8B19A4"/>
    <w:rsid w:val="0BA340B9"/>
    <w:rsid w:val="0BA8074F"/>
    <w:rsid w:val="0BAA2594"/>
    <w:rsid w:val="0BB645A8"/>
    <w:rsid w:val="0BBC0DC9"/>
    <w:rsid w:val="0BBC72FE"/>
    <w:rsid w:val="0BC154BD"/>
    <w:rsid w:val="0BC26AAB"/>
    <w:rsid w:val="0BC8196A"/>
    <w:rsid w:val="0BC93196"/>
    <w:rsid w:val="0BDC33FE"/>
    <w:rsid w:val="0BDC743A"/>
    <w:rsid w:val="0BE2426F"/>
    <w:rsid w:val="0BE85DDD"/>
    <w:rsid w:val="0BF66F00"/>
    <w:rsid w:val="0BF84DC8"/>
    <w:rsid w:val="0BF977FE"/>
    <w:rsid w:val="0BFC6861"/>
    <w:rsid w:val="0C003A87"/>
    <w:rsid w:val="0C004624"/>
    <w:rsid w:val="0C0C03C9"/>
    <w:rsid w:val="0C123F38"/>
    <w:rsid w:val="0C127856"/>
    <w:rsid w:val="0C1666D9"/>
    <w:rsid w:val="0C190A0A"/>
    <w:rsid w:val="0C1D5EE4"/>
    <w:rsid w:val="0C1F3477"/>
    <w:rsid w:val="0C215BD8"/>
    <w:rsid w:val="0C2462E1"/>
    <w:rsid w:val="0C27273B"/>
    <w:rsid w:val="0C2D7534"/>
    <w:rsid w:val="0C316782"/>
    <w:rsid w:val="0C3C3CA0"/>
    <w:rsid w:val="0C3F3A46"/>
    <w:rsid w:val="0C4018D0"/>
    <w:rsid w:val="0C405E13"/>
    <w:rsid w:val="0C4D1731"/>
    <w:rsid w:val="0C524FEC"/>
    <w:rsid w:val="0C556C9B"/>
    <w:rsid w:val="0C572BD3"/>
    <w:rsid w:val="0C5730C1"/>
    <w:rsid w:val="0C5A015D"/>
    <w:rsid w:val="0C64251E"/>
    <w:rsid w:val="0C691AB4"/>
    <w:rsid w:val="0C6C4136"/>
    <w:rsid w:val="0C7120BA"/>
    <w:rsid w:val="0C743DEB"/>
    <w:rsid w:val="0C7567F0"/>
    <w:rsid w:val="0C7D57C5"/>
    <w:rsid w:val="0C801498"/>
    <w:rsid w:val="0C82275E"/>
    <w:rsid w:val="0C836D6B"/>
    <w:rsid w:val="0C890893"/>
    <w:rsid w:val="0C8D251A"/>
    <w:rsid w:val="0C8E21EA"/>
    <w:rsid w:val="0C90777F"/>
    <w:rsid w:val="0C916659"/>
    <w:rsid w:val="0C9B1C08"/>
    <w:rsid w:val="0CBD341E"/>
    <w:rsid w:val="0CC32094"/>
    <w:rsid w:val="0CD61C5E"/>
    <w:rsid w:val="0CDA2B45"/>
    <w:rsid w:val="0CE005BA"/>
    <w:rsid w:val="0CE92E2F"/>
    <w:rsid w:val="0CEC480C"/>
    <w:rsid w:val="0CF238D9"/>
    <w:rsid w:val="0CF3265F"/>
    <w:rsid w:val="0CF54C18"/>
    <w:rsid w:val="0CFB7D5D"/>
    <w:rsid w:val="0D0105C4"/>
    <w:rsid w:val="0D020CCB"/>
    <w:rsid w:val="0D0676A4"/>
    <w:rsid w:val="0D190F81"/>
    <w:rsid w:val="0D1D58C9"/>
    <w:rsid w:val="0D262447"/>
    <w:rsid w:val="0D2B3F36"/>
    <w:rsid w:val="0D3333F8"/>
    <w:rsid w:val="0D361020"/>
    <w:rsid w:val="0D423EAE"/>
    <w:rsid w:val="0D5261BF"/>
    <w:rsid w:val="0D57246E"/>
    <w:rsid w:val="0D6734E3"/>
    <w:rsid w:val="0D6E4804"/>
    <w:rsid w:val="0D7D2A79"/>
    <w:rsid w:val="0D7D3E0F"/>
    <w:rsid w:val="0D8200F5"/>
    <w:rsid w:val="0D86133A"/>
    <w:rsid w:val="0D893804"/>
    <w:rsid w:val="0D8D3537"/>
    <w:rsid w:val="0DA44C4F"/>
    <w:rsid w:val="0DA63A8D"/>
    <w:rsid w:val="0DA63D3D"/>
    <w:rsid w:val="0DAC0338"/>
    <w:rsid w:val="0DAC7CEF"/>
    <w:rsid w:val="0DAD62D1"/>
    <w:rsid w:val="0DBB4523"/>
    <w:rsid w:val="0DC44BEA"/>
    <w:rsid w:val="0DC906B2"/>
    <w:rsid w:val="0DD265EC"/>
    <w:rsid w:val="0DD43F77"/>
    <w:rsid w:val="0DDF3369"/>
    <w:rsid w:val="0DDF4F23"/>
    <w:rsid w:val="0DE805D5"/>
    <w:rsid w:val="0DFE3130"/>
    <w:rsid w:val="0E052416"/>
    <w:rsid w:val="0E1275C5"/>
    <w:rsid w:val="0E1D299F"/>
    <w:rsid w:val="0E20647A"/>
    <w:rsid w:val="0E2B77B0"/>
    <w:rsid w:val="0E304F48"/>
    <w:rsid w:val="0E33779F"/>
    <w:rsid w:val="0E3E07E5"/>
    <w:rsid w:val="0E44758C"/>
    <w:rsid w:val="0E4504CC"/>
    <w:rsid w:val="0E4D0FC1"/>
    <w:rsid w:val="0E511DEE"/>
    <w:rsid w:val="0E5753B1"/>
    <w:rsid w:val="0E6370CE"/>
    <w:rsid w:val="0E7C4A82"/>
    <w:rsid w:val="0E8E520D"/>
    <w:rsid w:val="0E8F336A"/>
    <w:rsid w:val="0E8F359F"/>
    <w:rsid w:val="0E917529"/>
    <w:rsid w:val="0EB75DD5"/>
    <w:rsid w:val="0EC25A79"/>
    <w:rsid w:val="0EC345DF"/>
    <w:rsid w:val="0EC929C5"/>
    <w:rsid w:val="0ECA7B73"/>
    <w:rsid w:val="0ECD648E"/>
    <w:rsid w:val="0EDA7ABD"/>
    <w:rsid w:val="0EE16478"/>
    <w:rsid w:val="0EE9317A"/>
    <w:rsid w:val="0F000C96"/>
    <w:rsid w:val="0F030982"/>
    <w:rsid w:val="0F0F50B1"/>
    <w:rsid w:val="0F266F83"/>
    <w:rsid w:val="0F292A93"/>
    <w:rsid w:val="0F2B39D9"/>
    <w:rsid w:val="0F332828"/>
    <w:rsid w:val="0F383593"/>
    <w:rsid w:val="0F3C7A41"/>
    <w:rsid w:val="0F521C7D"/>
    <w:rsid w:val="0F5346EB"/>
    <w:rsid w:val="0F565E8D"/>
    <w:rsid w:val="0F5E2F7D"/>
    <w:rsid w:val="0F6B43C5"/>
    <w:rsid w:val="0F7113C1"/>
    <w:rsid w:val="0F76462C"/>
    <w:rsid w:val="0F767D88"/>
    <w:rsid w:val="0F7958FE"/>
    <w:rsid w:val="0F895627"/>
    <w:rsid w:val="0F8B0C31"/>
    <w:rsid w:val="0F927664"/>
    <w:rsid w:val="0FA04150"/>
    <w:rsid w:val="0FA40C23"/>
    <w:rsid w:val="0FAC4C5F"/>
    <w:rsid w:val="0FB7141D"/>
    <w:rsid w:val="0FB72367"/>
    <w:rsid w:val="0FB73E77"/>
    <w:rsid w:val="0FB9413C"/>
    <w:rsid w:val="0FC47664"/>
    <w:rsid w:val="0FEC6F41"/>
    <w:rsid w:val="0FED0854"/>
    <w:rsid w:val="0FED3576"/>
    <w:rsid w:val="0FF63E22"/>
    <w:rsid w:val="0FFD41BD"/>
    <w:rsid w:val="0FFD5200"/>
    <w:rsid w:val="10211950"/>
    <w:rsid w:val="10213F6E"/>
    <w:rsid w:val="102301A3"/>
    <w:rsid w:val="103247B3"/>
    <w:rsid w:val="104071D9"/>
    <w:rsid w:val="1042731E"/>
    <w:rsid w:val="104273D7"/>
    <w:rsid w:val="10445B9A"/>
    <w:rsid w:val="10494F32"/>
    <w:rsid w:val="10560D06"/>
    <w:rsid w:val="10640B9B"/>
    <w:rsid w:val="10651D23"/>
    <w:rsid w:val="10655C5D"/>
    <w:rsid w:val="10673933"/>
    <w:rsid w:val="109E5FEF"/>
    <w:rsid w:val="10A8629D"/>
    <w:rsid w:val="10BA0DCE"/>
    <w:rsid w:val="10C20B10"/>
    <w:rsid w:val="10C3101B"/>
    <w:rsid w:val="10C876B1"/>
    <w:rsid w:val="10CA34E1"/>
    <w:rsid w:val="10CE5C82"/>
    <w:rsid w:val="10D25FC1"/>
    <w:rsid w:val="10D26878"/>
    <w:rsid w:val="10DA4B72"/>
    <w:rsid w:val="10DD09CE"/>
    <w:rsid w:val="10ED1D0E"/>
    <w:rsid w:val="10EE684F"/>
    <w:rsid w:val="10F535D3"/>
    <w:rsid w:val="11082CF7"/>
    <w:rsid w:val="11153FC3"/>
    <w:rsid w:val="111807FE"/>
    <w:rsid w:val="111D0CE6"/>
    <w:rsid w:val="111D7E38"/>
    <w:rsid w:val="1123195D"/>
    <w:rsid w:val="11250E54"/>
    <w:rsid w:val="113F126E"/>
    <w:rsid w:val="115600D4"/>
    <w:rsid w:val="115920CE"/>
    <w:rsid w:val="11647B2C"/>
    <w:rsid w:val="11665A0D"/>
    <w:rsid w:val="1174468E"/>
    <w:rsid w:val="117A3889"/>
    <w:rsid w:val="117A68CF"/>
    <w:rsid w:val="117C32EA"/>
    <w:rsid w:val="118834E8"/>
    <w:rsid w:val="119908C2"/>
    <w:rsid w:val="119E09B8"/>
    <w:rsid w:val="11B1006A"/>
    <w:rsid w:val="11B62D7E"/>
    <w:rsid w:val="11C02D2E"/>
    <w:rsid w:val="11C605E7"/>
    <w:rsid w:val="11D37EA7"/>
    <w:rsid w:val="11D72CBF"/>
    <w:rsid w:val="11E90B6B"/>
    <w:rsid w:val="11ED3D2F"/>
    <w:rsid w:val="11F400C8"/>
    <w:rsid w:val="11F538AA"/>
    <w:rsid w:val="11F67003"/>
    <w:rsid w:val="11F81593"/>
    <w:rsid w:val="1203277A"/>
    <w:rsid w:val="1206792D"/>
    <w:rsid w:val="12072620"/>
    <w:rsid w:val="120A4F60"/>
    <w:rsid w:val="1228182C"/>
    <w:rsid w:val="12312169"/>
    <w:rsid w:val="124368EB"/>
    <w:rsid w:val="12455342"/>
    <w:rsid w:val="12566960"/>
    <w:rsid w:val="1259358F"/>
    <w:rsid w:val="12594D28"/>
    <w:rsid w:val="125C0F94"/>
    <w:rsid w:val="12665399"/>
    <w:rsid w:val="127220C8"/>
    <w:rsid w:val="12735809"/>
    <w:rsid w:val="127C1D9A"/>
    <w:rsid w:val="12823F18"/>
    <w:rsid w:val="12861640"/>
    <w:rsid w:val="128A1CAF"/>
    <w:rsid w:val="129530C6"/>
    <w:rsid w:val="129659CF"/>
    <w:rsid w:val="129F3C34"/>
    <w:rsid w:val="12A1706C"/>
    <w:rsid w:val="12A27DC3"/>
    <w:rsid w:val="12A56C60"/>
    <w:rsid w:val="12AC1D5A"/>
    <w:rsid w:val="12AF17AA"/>
    <w:rsid w:val="12B508B1"/>
    <w:rsid w:val="12B65B63"/>
    <w:rsid w:val="12B7019C"/>
    <w:rsid w:val="12CB4575"/>
    <w:rsid w:val="12CF5487"/>
    <w:rsid w:val="12D4727E"/>
    <w:rsid w:val="12D71F2E"/>
    <w:rsid w:val="12E31BDE"/>
    <w:rsid w:val="12E83881"/>
    <w:rsid w:val="12EC7AE9"/>
    <w:rsid w:val="13017E87"/>
    <w:rsid w:val="13063F06"/>
    <w:rsid w:val="13071595"/>
    <w:rsid w:val="130E780C"/>
    <w:rsid w:val="13117D70"/>
    <w:rsid w:val="131A335A"/>
    <w:rsid w:val="131F0B64"/>
    <w:rsid w:val="13313BF8"/>
    <w:rsid w:val="13425FE7"/>
    <w:rsid w:val="13531CE9"/>
    <w:rsid w:val="135720BE"/>
    <w:rsid w:val="13646528"/>
    <w:rsid w:val="137131BB"/>
    <w:rsid w:val="13721666"/>
    <w:rsid w:val="137A683C"/>
    <w:rsid w:val="1384637C"/>
    <w:rsid w:val="138B328C"/>
    <w:rsid w:val="138C5731"/>
    <w:rsid w:val="13903825"/>
    <w:rsid w:val="139C5FF5"/>
    <w:rsid w:val="139D1015"/>
    <w:rsid w:val="13A37472"/>
    <w:rsid w:val="13A9686B"/>
    <w:rsid w:val="13B04A88"/>
    <w:rsid w:val="13B16C2F"/>
    <w:rsid w:val="13B84F5A"/>
    <w:rsid w:val="13BB1CF9"/>
    <w:rsid w:val="13C46C25"/>
    <w:rsid w:val="13C54FC2"/>
    <w:rsid w:val="13C83C17"/>
    <w:rsid w:val="13CD3FA3"/>
    <w:rsid w:val="13D645AE"/>
    <w:rsid w:val="13DD3F4F"/>
    <w:rsid w:val="13DE2A6A"/>
    <w:rsid w:val="140D6D71"/>
    <w:rsid w:val="141E0717"/>
    <w:rsid w:val="14297453"/>
    <w:rsid w:val="143907F8"/>
    <w:rsid w:val="143E5B17"/>
    <w:rsid w:val="144B12F1"/>
    <w:rsid w:val="14540C19"/>
    <w:rsid w:val="145D40F9"/>
    <w:rsid w:val="146429B0"/>
    <w:rsid w:val="146733DC"/>
    <w:rsid w:val="146F51D9"/>
    <w:rsid w:val="148963AA"/>
    <w:rsid w:val="14B25F3D"/>
    <w:rsid w:val="14B47C73"/>
    <w:rsid w:val="14B74712"/>
    <w:rsid w:val="14BD517C"/>
    <w:rsid w:val="14C313E1"/>
    <w:rsid w:val="14CF2F4A"/>
    <w:rsid w:val="14DF0BA2"/>
    <w:rsid w:val="14E13ABE"/>
    <w:rsid w:val="14EC111C"/>
    <w:rsid w:val="14F2438D"/>
    <w:rsid w:val="14FD260F"/>
    <w:rsid w:val="15060D13"/>
    <w:rsid w:val="1508059A"/>
    <w:rsid w:val="150A0F40"/>
    <w:rsid w:val="150A1CAF"/>
    <w:rsid w:val="15115FBE"/>
    <w:rsid w:val="151E58BF"/>
    <w:rsid w:val="15206FF7"/>
    <w:rsid w:val="152864F1"/>
    <w:rsid w:val="152A4D86"/>
    <w:rsid w:val="152D0EAD"/>
    <w:rsid w:val="153426C4"/>
    <w:rsid w:val="15412E70"/>
    <w:rsid w:val="15457C9B"/>
    <w:rsid w:val="15474C21"/>
    <w:rsid w:val="154B3B30"/>
    <w:rsid w:val="154C5769"/>
    <w:rsid w:val="155B51EC"/>
    <w:rsid w:val="155D63FE"/>
    <w:rsid w:val="1566616E"/>
    <w:rsid w:val="158A0510"/>
    <w:rsid w:val="15A00DC2"/>
    <w:rsid w:val="15A24385"/>
    <w:rsid w:val="15A31535"/>
    <w:rsid w:val="15A4548C"/>
    <w:rsid w:val="15A75661"/>
    <w:rsid w:val="15A91D18"/>
    <w:rsid w:val="15BB6C7B"/>
    <w:rsid w:val="15C87753"/>
    <w:rsid w:val="15CA63D6"/>
    <w:rsid w:val="15D41C79"/>
    <w:rsid w:val="15D84B69"/>
    <w:rsid w:val="15DB3018"/>
    <w:rsid w:val="15DD706A"/>
    <w:rsid w:val="15E85EA3"/>
    <w:rsid w:val="15FD4136"/>
    <w:rsid w:val="1608552B"/>
    <w:rsid w:val="160968F1"/>
    <w:rsid w:val="160F1A18"/>
    <w:rsid w:val="16105D65"/>
    <w:rsid w:val="16117F11"/>
    <w:rsid w:val="161B6D47"/>
    <w:rsid w:val="162A45AF"/>
    <w:rsid w:val="163663F7"/>
    <w:rsid w:val="163F32EB"/>
    <w:rsid w:val="165364C3"/>
    <w:rsid w:val="165A2BDE"/>
    <w:rsid w:val="16636CE1"/>
    <w:rsid w:val="16696D78"/>
    <w:rsid w:val="166E0A8A"/>
    <w:rsid w:val="166F1D3D"/>
    <w:rsid w:val="16706B4D"/>
    <w:rsid w:val="16710DF6"/>
    <w:rsid w:val="1673768F"/>
    <w:rsid w:val="16752821"/>
    <w:rsid w:val="16792576"/>
    <w:rsid w:val="16806552"/>
    <w:rsid w:val="16826733"/>
    <w:rsid w:val="168523D3"/>
    <w:rsid w:val="168B4CC3"/>
    <w:rsid w:val="1692495E"/>
    <w:rsid w:val="16A100CA"/>
    <w:rsid w:val="16AA4DAF"/>
    <w:rsid w:val="16AD1756"/>
    <w:rsid w:val="16AE01A6"/>
    <w:rsid w:val="16B23F2C"/>
    <w:rsid w:val="16B943F6"/>
    <w:rsid w:val="16D04FC6"/>
    <w:rsid w:val="16D15FD8"/>
    <w:rsid w:val="16D33E72"/>
    <w:rsid w:val="16D7709E"/>
    <w:rsid w:val="16D91158"/>
    <w:rsid w:val="16DA7D18"/>
    <w:rsid w:val="16E54C1C"/>
    <w:rsid w:val="16E97EF9"/>
    <w:rsid w:val="16F10E05"/>
    <w:rsid w:val="16F5440C"/>
    <w:rsid w:val="17006251"/>
    <w:rsid w:val="170B17C5"/>
    <w:rsid w:val="17137909"/>
    <w:rsid w:val="171A0E17"/>
    <w:rsid w:val="171B65B0"/>
    <w:rsid w:val="171E24D6"/>
    <w:rsid w:val="171E475F"/>
    <w:rsid w:val="172E4346"/>
    <w:rsid w:val="173334FF"/>
    <w:rsid w:val="17384267"/>
    <w:rsid w:val="173F2DB2"/>
    <w:rsid w:val="17477185"/>
    <w:rsid w:val="1748044E"/>
    <w:rsid w:val="174D23F4"/>
    <w:rsid w:val="174D53A2"/>
    <w:rsid w:val="17532E5E"/>
    <w:rsid w:val="175937E0"/>
    <w:rsid w:val="176A54AD"/>
    <w:rsid w:val="176F1347"/>
    <w:rsid w:val="1780603B"/>
    <w:rsid w:val="17A245DC"/>
    <w:rsid w:val="17A61C6F"/>
    <w:rsid w:val="17AF1B63"/>
    <w:rsid w:val="17B0594D"/>
    <w:rsid w:val="17B27A9B"/>
    <w:rsid w:val="17B926ED"/>
    <w:rsid w:val="17BA79E2"/>
    <w:rsid w:val="17BC4772"/>
    <w:rsid w:val="17CA67B7"/>
    <w:rsid w:val="17D12728"/>
    <w:rsid w:val="17D24DD8"/>
    <w:rsid w:val="17E60A7A"/>
    <w:rsid w:val="17EF54C7"/>
    <w:rsid w:val="17F07560"/>
    <w:rsid w:val="17F84D97"/>
    <w:rsid w:val="17FB38A2"/>
    <w:rsid w:val="18030739"/>
    <w:rsid w:val="18090844"/>
    <w:rsid w:val="180C0AFD"/>
    <w:rsid w:val="18117B13"/>
    <w:rsid w:val="181870D4"/>
    <w:rsid w:val="182251D3"/>
    <w:rsid w:val="182E5E4C"/>
    <w:rsid w:val="1833144C"/>
    <w:rsid w:val="183E096C"/>
    <w:rsid w:val="184F2CDA"/>
    <w:rsid w:val="18685DE7"/>
    <w:rsid w:val="186A2283"/>
    <w:rsid w:val="1876019B"/>
    <w:rsid w:val="187C0DEA"/>
    <w:rsid w:val="188365CF"/>
    <w:rsid w:val="189F6C54"/>
    <w:rsid w:val="18A73433"/>
    <w:rsid w:val="18A763D9"/>
    <w:rsid w:val="18AB19DB"/>
    <w:rsid w:val="18AD51D7"/>
    <w:rsid w:val="18D11090"/>
    <w:rsid w:val="18D25C5F"/>
    <w:rsid w:val="18DB65A0"/>
    <w:rsid w:val="18E03DC5"/>
    <w:rsid w:val="18E65685"/>
    <w:rsid w:val="18EA00FB"/>
    <w:rsid w:val="18EB0A97"/>
    <w:rsid w:val="18F328AE"/>
    <w:rsid w:val="18F46A0A"/>
    <w:rsid w:val="18F71640"/>
    <w:rsid w:val="18FA3995"/>
    <w:rsid w:val="18FB18A2"/>
    <w:rsid w:val="18FB50F2"/>
    <w:rsid w:val="190A14A1"/>
    <w:rsid w:val="19123339"/>
    <w:rsid w:val="19161AC1"/>
    <w:rsid w:val="19234C01"/>
    <w:rsid w:val="19273717"/>
    <w:rsid w:val="192A2B8B"/>
    <w:rsid w:val="192D0E31"/>
    <w:rsid w:val="192E2A29"/>
    <w:rsid w:val="192E7999"/>
    <w:rsid w:val="1933023C"/>
    <w:rsid w:val="19354C84"/>
    <w:rsid w:val="19584C54"/>
    <w:rsid w:val="195949B2"/>
    <w:rsid w:val="19677EDB"/>
    <w:rsid w:val="19681C0E"/>
    <w:rsid w:val="198A612F"/>
    <w:rsid w:val="19900BF0"/>
    <w:rsid w:val="19903A06"/>
    <w:rsid w:val="199E7A91"/>
    <w:rsid w:val="19CA2ECA"/>
    <w:rsid w:val="19CB2EF4"/>
    <w:rsid w:val="19D87405"/>
    <w:rsid w:val="19E055A8"/>
    <w:rsid w:val="19E0599C"/>
    <w:rsid w:val="19F11A9A"/>
    <w:rsid w:val="1A036BA3"/>
    <w:rsid w:val="1A0B43D6"/>
    <w:rsid w:val="1A241336"/>
    <w:rsid w:val="1A31116E"/>
    <w:rsid w:val="1A311711"/>
    <w:rsid w:val="1A3E158C"/>
    <w:rsid w:val="1A401B3F"/>
    <w:rsid w:val="1A4101E8"/>
    <w:rsid w:val="1A4F3D41"/>
    <w:rsid w:val="1A5E03C2"/>
    <w:rsid w:val="1A5E2B30"/>
    <w:rsid w:val="1A67697A"/>
    <w:rsid w:val="1A6B29D9"/>
    <w:rsid w:val="1A6E5D76"/>
    <w:rsid w:val="1A716BEE"/>
    <w:rsid w:val="1A7421CF"/>
    <w:rsid w:val="1A7936B8"/>
    <w:rsid w:val="1A8A0F34"/>
    <w:rsid w:val="1A9C4D94"/>
    <w:rsid w:val="1A9E0C15"/>
    <w:rsid w:val="1A9F4369"/>
    <w:rsid w:val="1AA743DD"/>
    <w:rsid w:val="1AA96E85"/>
    <w:rsid w:val="1AAA519D"/>
    <w:rsid w:val="1AB50EE5"/>
    <w:rsid w:val="1AB6087E"/>
    <w:rsid w:val="1AC31C19"/>
    <w:rsid w:val="1AC66EF1"/>
    <w:rsid w:val="1AD054F8"/>
    <w:rsid w:val="1AD4046B"/>
    <w:rsid w:val="1AE56801"/>
    <w:rsid w:val="1AE678CE"/>
    <w:rsid w:val="1AE946EE"/>
    <w:rsid w:val="1AEE5D74"/>
    <w:rsid w:val="1AF62694"/>
    <w:rsid w:val="1AFA67BD"/>
    <w:rsid w:val="1AFD7373"/>
    <w:rsid w:val="1B090710"/>
    <w:rsid w:val="1B0A5DC1"/>
    <w:rsid w:val="1B0D0F4D"/>
    <w:rsid w:val="1B0E73B3"/>
    <w:rsid w:val="1B11251A"/>
    <w:rsid w:val="1B1D2DC1"/>
    <w:rsid w:val="1B1D3DDF"/>
    <w:rsid w:val="1B2916E5"/>
    <w:rsid w:val="1B40507B"/>
    <w:rsid w:val="1B506076"/>
    <w:rsid w:val="1B5A5883"/>
    <w:rsid w:val="1B5F7FA7"/>
    <w:rsid w:val="1B63668C"/>
    <w:rsid w:val="1B6A07CE"/>
    <w:rsid w:val="1B75252A"/>
    <w:rsid w:val="1B773D4F"/>
    <w:rsid w:val="1B7C14A1"/>
    <w:rsid w:val="1B821D08"/>
    <w:rsid w:val="1B862833"/>
    <w:rsid w:val="1B8F4135"/>
    <w:rsid w:val="1B8F46A0"/>
    <w:rsid w:val="1B96294F"/>
    <w:rsid w:val="1BA0432B"/>
    <w:rsid w:val="1BB77278"/>
    <w:rsid w:val="1BBA7D60"/>
    <w:rsid w:val="1BBE4EC6"/>
    <w:rsid w:val="1BC83389"/>
    <w:rsid w:val="1BD029B6"/>
    <w:rsid w:val="1BD46CB0"/>
    <w:rsid w:val="1BD5178C"/>
    <w:rsid w:val="1BD97A80"/>
    <w:rsid w:val="1BDB5678"/>
    <w:rsid w:val="1BE71058"/>
    <w:rsid w:val="1BEB4C2C"/>
    <w:rsid w:val="1BEB7AB6"/>
    <w:rsid w:val="1BF27CCF"/>
    <w:rsid w:val="1BFA3269"/>
    <w:rsid w:val="1C0434B2"/>
    <w:rsid w:val="1C056ECA"/>
    <w:rsid w:val="1C157D90"/>
    <w:rsid w:val="1C1F6CF4"/>
    <w:rsid w:val="1C216234"/>
    <w:rsid w:val="1C24017D"/>
    <w:rsid w:val="1C2B7889"/>
    <w:rsid w:val="1C3B7046"/>
    <w:rsid w:val="1C3D13EB"/>
    <w:rsid w:val="1C4C143F"/>
    <w:rsid w:val="1C582215"/>
    <w:rsid w:val="1C617A22"/>
    <w:rsid w:val="1C65129F"/>
    <w:rsid w:val="1C6E2DCC"/>
    <w:rsid w:val="1C7437E0"/>
    <w:rsid w:val="1C7D08AC"/>
    <w:rsid w:val="1C7F13F7"/>
    <w:rsid w:val="1C803DBA"/>
    <w:rsid w:val="1C843076"/>
    <w:rsid w:val="1C8B02A0"/>
    <w:rsid w:val="1C8F2CAC"/>
    <w:rsid w:val="1C945E62"/>
    <w:rsid w:val="1C95113D"/>
    <w:rsid w:val="1C9B54DF"/>
    <w:rsid w:val="1CAB6E93"/>
    <w:rsid w:val="1CB75B94"/>
    <w:rsid w:val="1CB772D9"/>
    <w:rsid w:val="1CBB5035"/>
    <w:rsid w:val="1CBE069B"/>
    <w:rsid w:val="1CBE5564"/>
    <w:rsid w:val="1CC0422B"/>
    <w:rsid w:val="1CCA246C"/>
    <w:rsid w:val="1CCC703D"/>
    <w:rsid w:val="1CD63CAB"/>
    <w:rsid w:val="1CD840AA"/>
    <w:rsid w:val="1CDD1FCF"/>
    <w:rsid w:val="1CE20E79"/>
    <w:rsid w:val="1CE767B2"/>
    <w:rsid w:val="1CF10230"/>
    <w:rsid w:val="1CFA1714"/>
    <w:rsid w:val="1CFC7D16"/>
    <w:rsid w:val="1D040938"/>
    <w:rsid w:val="1D065F12"/>
    <w:rsid w:val="1D0E580F"/>
    <w:rsid w:val="1D0F4A6C"/>
    <w:rsid w:val="1D1518E9"/>
    <w:rsid w:val="1D201BEC"/>
    <w:rsid w:val="1D2A5313"/>
    <w:rsid w:val="1D2E6088"/>
    <w:rsid w:val="1D405181"/>
    <w:rsid w:val="1D504FA4"/>
    <w:rsid w:val="1D5507B0"/>
    <w:rsid w:val="1D5C1E36"/>
    <w:rsid w:val="1D5E0613"/>
    <w:rsid w:val="1D846372"/>
    <w:rsid w:val="1D975171"/>
    <w:rsid w:val="1D9D356A"/>
    <w:rsid w:val="1D9E440E"/>
    <w:rsid w:val="1DAC3AA0"/>
    <w:rsid w:val="1DB37CFA"/>
    <w:rsid w:val="1DBD5182"/>
    <w:rsid w:val="1DC82412"/>
    <w:rsid w:val="1DEA0685"/>
    <w:rsid w:val="1DEC327A"/>
    <w:rsid w:val="1DEF076F"/>
    <w:rsid w:val="1DF92447"/>
    <w:rsid w:val="1DFB1CDF"/>
    <w:rsid w:val="1E036FCE"/>
    <w:rsid w:val="1E0C2701"/>
    <w:rsid w:val="1E0E6AFA"/>
    <w:rsid w:val="1E0F7022"/>
    <w:rsid w:val="1E1C3098"/>
    <w:rsid w:val="1E1D398A"/>
    <w:rsid w:val="1E37321D"/>
    <w:rsid w:val="1E3A3838"/>
    <w:rsid w:val="1E4104FD"/>
    <w:rsid w:val="1E4163FC"/>
    <w:rsid w:val="1E4241EF"/>
    <w:rsid w:val="1E4419FE"/>
    <w:rsid w:val="1E4E1A57"/>
    <w:rsid w:val="1E4E34C7"/>
    <w:rsid w:val="1E4E4A3D"/>
    <w:rsid w:val="1E581686"/>
    <w:rsid w:val="1E5B4AA6"/>
    <w:rsid w:val="1E6500BF"/>
    <w:rsid w:val="1E690A57"/>
    <w:rsid w:val="1E6E0489"/>
    <w:rsid w:val="1E6F7DA5"/>
    <w:rsid w:val="1E74426A"/>
    <w:rsid w:val="1E82066D"/>
    <w:rsid w:val="1E850848"/>
    <w:rsid w:val="1E943E4C"/>
    <w:rsid w:val="1E987366"/>
    <w:rsid w:val="1EB05B69"/>
    <w:rsid w:val="1EB82435"/>
    <w:rsid w:val="1EBA2573"/>
    <w:rsid w:val="1EC25CD2"/>
    <w:rsid w:val="1ECA4FED"/>
    <w:rsid w:val="1ED36602"/>
    <w:rsid w:val="1ED3667D"/>
    <w:rsid w:val="1ED460BE"/>
    <w:rsid w:val="1ED918F0"/>
    <w:rsid w:val="1EDF6C2C"/>
    <w:rsid w:val="1EE06C8F"/>
    <w:rsid w:val="1EEB5D4D"/>
    <w:rsid w:val="1EED77D2"/>
    <w:rsid w:val="1EF24653"/>
    <w:rsid w:val="1EF24C05"/>
    <w:rsid w:val="1EF26F6E"/>
    <w:rsid w:val="1EF97345"/>
    <w:rsid w:val="1EFA6C70"/>
    <w:rsid w:val="1F0035B5"/>
    <w:rsid w:val="1F040613"/>
    <w:rsid w:val="1F0C0694"/>
    <w:rsid w:val="1F147ED5"/>
    <w:rsid w:val="1F181798"/>
    <w:rsid w:val="1F1D0099"/>
    <w:rsid w:val="1F233E4E"/>
    <w:rsid w:val="1F247CB0"/>
    <w:rsid w:val="1F2A6433"/>
    <w:rsid w:val="1F3472CB"/>
    <w:rsid w:val="1F3B0C11"/>
    <w:rsid w:val="1F3F7B73"/>
    <w:rsid w:val="1F44301F"/>
    <w:rsid w:val="1F467EB2"/>
    <w:rsid w:val="1F4B15BC"/>
    <w:rsid w:val="1F506314"/>
    <w:rsid w:val="1F5533D5"/>
    <w:rsid w:val="1F5B0028"/>
    <w:rsid w:val="1F5E6E2E"/>
    <w:rsid w:val="1F903753"/>
    <w:rsid w:val="1F9610B3"/>
    <w:rsid w:val="1F9772EB"/>
    <w:rsid w:val="1F9B1D74"/>
    <w:rsid w:val="1FA318D5"/>
    <w:rsid w:val="1FA7646C"/>
    <w:rsid w:val="1FB13D6B"/>
    <w:rsid w:val="1FB47A2F"/>
    <w:rsid w:val="1FB7103A"/>
    <w:rsid w:val="1FB93BB3"/>
    <w:rsid w:val="1FBA2CF7"/>
    <w:rsid w:val="1FD14A4E"/>
    <w:rsid w:val="1FE52321"/>
    <w:rsid w:val="1FE70D17"/>
    <w:rsid w:val="1FF5147F"/>
    <w:rsid w:val="20014E73"/>
    <w:rsid w:val="20036D5E"/>
    <w:rsid w:val="20076AE7"/>
    <w:rsid w:val="20197940"/>
    <w:rsid w:val="202B5735"/>
    <w:rsid w:val="20410870"/>
    <w:rsid w:val="204B16C3"/>
    <w:rsid w:val="20677BEA"/>
    <w:rsid w:val="206C2809"/>
    <w:rsid w:val="206E7D70"/>
    <w:rsid w:val="206F43D6"/>
    <w:rsid w:val="20791826"/>
    <w:rsid w:val="207E424C"/>
    <w:rsid w:val="207F53D7"/>
    <w:rsid w:val="208828C6"/>
    <w:rsid w:val="20945EC6"/>
    <w:rsid w:val="20A929C8"/>
    <w:rsid w:val="20B14FBC"/>
    <w:rsid w:val="20B36E9E"/>
    <w:rsid w:val="20B53B26"/>
    <w:rsid w:val="20C841BD"/>
    <w:rsid w:val="20D2281D"/>
    <w:rsid w:val="20D95B86"/>
    <w:rsid w:val="20EB0D84"/>
    <w:rsid w:val="20ED6CE8"/>
    <w:rsid w:val="20F30FEF"/>
    <w:rsid w:val="20FE3FDE"/>
    <w:rsid w:val="21192317"/>
    <w:rsid w:val="21321A13"/>
    <w:rsid w:val="21390795"/>
    <w:rsid w:val="214404C9"/>
    <w:rsid w:val="2147236C"/>
    <w:rsid w:val="21490C41"/>
    <w:rsid w:val="214E496B"/>
    <w:rsid w:val="2155204F"/>
    <w:rsid w:val="215C3726"/>
    <w:rsid w:val="215C64E4"/>
    <w:rsid w:val="215C78D1"/>
    <w:rsid w:val="216F39E9"/>
    <w:rsid w:val="21813113"/>
    <w:rsid w:val="218615EC"/>
    <w:rsid w:val="21883C8D"/>
    <w:rsid w:val="218C2F9C"/>
    <w:rsid w:val="21962C70"/>
    <w:rsid w:val="219A43F9"/>
    <w:rsid w:val="21A56AF5"/>
    <w:rsid w:val="21C0590C"/>
    <w:rsid w:val="21D21ADB"/>
    <w:rsid w:val="21E13C58"/>
    <w:rsid w:val="21E5308A"/>
    <w:rsid w:val="21E761D0"/>
    <w:rsid w:val="220138FF"/>
    <w:rsid w:val="22020F9C"/>
    <w:rsid w:val="22033DA0"/>
    <w:rsid w:val="220F5C44"/>
    <w:rsid w:val="22153CEF"/>
    <w:rsid w:val="222B0537"/>
    <w:rsid w:val="22311C10"/>
    <w:rsid w:val="2239667F"/>
    <w:rsid w:val="224A108D"/>
    <w:rsid w:val="224A76E8"/>
    <w:rsid w:val="224C3665"/>
    <w:rsid w:val="224E530E"/>
    <w:rsid w:val="227118C4"/>
    <w:rsid w:val="227A2634"/>
    <w:rsid w:val="228D2F50"/>
    <w:rsid w:val="2294211F"/>
    <w:rsid w:val="229A7EDD"/>
    <w:rsid w:val="22A0444E"/>
    <w:rsid w:val="22AE0860"/>
    <w:rsid w:val="22BC0F4A"/>
    <w:rsid w:val="22C14C18"/>
    <w:rsid w:val="22C2698E"/>
    <w:rsid w:val="22C348E5"/>
    <w:rsid w:val="22CD43A7"/>
    <w:rsid w:val="22CF2FA9"/>
    <w:rsid w:val="22D2361E"/>
    <w:rsid w:val="22D32D50"/>
    <w:rsid w:val="22D410CC"/>
    <w:rsid w:val="22E267F9"/>
    <w:rsid w:val="22E448F2"/>
    <w:rsid w:val="22E610BC"/>
    <w:rsid w:val="22EB7249"/>
    <w:rsid w:val="22F9367A"/>
    <w:rsid w:val="22FE1C78"/>
    <w:rsid w:val="230A382B"/>
    <w:rsid w:val="230D3B9D"/>
    <w:rsid w:val="23163498"/>
    <w:rsid w:val="232240F6"/>
    <w:rsid w:val="23390503"/>
    <w:rsid w:val="233B27C1"/>
    <w:rsid w:val="23505039"/>
    <w:rsid w:val="235F5429"/>
    <w:rsid w:val="23632BB8"/>
    <w:rsid w:val="23640FB0"/>
    <w:rsid w:val="23642049"/>
    <w:rsid w:val="2368268D"/>
    <w:rsid w:val="2371139D"/>
    <w:rsid w:val="23797F46"/>
    <w:rsid w:val="23836902"/>
    <w:rsid w:val="23872CE5"/>
    <w:rsid w:val="238C3EED"/>
    <w:rsid w:val="23932D62"/>
    <w:rsid w:val="23995E62"/>
    <w:rsid w:val="239E5DAB"/>
    <w:rsid w:val="23B206BD"/>
    <w:rsid w:val="23B52D71"/>
    <w:rsid w:val="23BA5744"/>
    <w:rsid w:val="23BF14A7"/>
    <w:rsid w:val="23C24044"/>
    <w:rsid w:val="23CD3C1F"/>
    <w:rsid w:val="23D06E28"/>
    <w:rsid w:val="23D108F4"/>
    <w:rsid w:val="23D2373C"/>
    <w:rsid w:val="23D30F57"/>
    <w:rsid w:val="23D427EC"/>
    <w:rsid w:val="23D52455"/>
    <w:rsid w:val="23E30FB9"/>
    <w:rsid w:val="23E55BB7"/>
    <w:rsid w:val="23E86947"/>
    <w:rsid w:val="23EB0E0A"/>
    <w:rsid w:val="23F93412"/>
    <w:rsid w:val="24003E36"/>
    <w:rsid w:val="24025F67"/>
    <w:rsid w:val="24026973"/>
    <w:rsid w:val="24042E63"/>
    <w:rsid w:val="24082FFD"/>
    <w:rsid w:val="240F5A84"/>
    <w:rsid w:val="241729C7"/>
    <w:rsid w:val="24284FD2"/>
    <w:rsid w:val="242C4A12"/>
    <w:rsid w:val="24360D1A"/>
    <w:rsid w:val="24396437"/>
    <w:rsid w:val="243E2796"/>
    <w:rsid w:val="243F33CD"/>
    <w:rsid w:val="24473F3B"/>
    <w:rsid w:val="24540554"/>
    <w:rsid w:val="245A2573"/>
    <w:rsid w:val="245C6C30"/>
    <w:rsid w:val="24626C85"/>
    <w:rsid w:val="24691C87"/>
    <w:rsid w:val="246B71DD"/>
    <w:rsid w:val="24804C37"/>
    <w:rsid w:val="248165DC"/>
    <w:rsid w:val="248B6552"/>
    <w:rsid w:val="249D0F40"/>
    <w:rsid w:val="24AE0576"/>
    <w:rsid w:val="24B842AD"/>
    <w:rsid w:val="24BD6B45"/>
    <w:rsid w:val="24CC50D0"/>
    <w:rsid w:val="24CD4D69"/>
    <w:rsid w:val="24DB4FFF"/>
    <w:rsid w:val="24F87B69"/>
    <w:rsid w:val="24FC4ED2"/>
    <w:rsid w:val="25023CB2"/>
    <w:rsid w:val="250A6D88"/>
    <w:rsid w:val="251A608E"/>
    <w:rsid w:val="251D24AE"/>
    <w:rsid w:val="252129F0"/>
    <w:rsid w:val="25223DB4"/>
    <w:rsid w:val="25244912"/>
    <w:rsid w:val="252657F0"/>
    <w:rsid w:val="252C75B8"/>
    <w:rsid w:val="253359F2"/>
    <w:rsid w:val="25384E31"/>
    <w:rsid w:val="253F67E1"/>
    <w:rsid w:val="254B4B18"/>
    <w:rsid w:val="254C6617"/>
    <w:rsid w:val="25514417"/>
    <w:rsid w:val="25567657"/>
    <w:rsid w:val="25622A5F"/>
    <w:rsid w:val="2572244F"/>
    <w:rsid w:val="257738AF"/>
    <w:rsid w:val="257F4A05"/>
    <w:rsid w:val="259E71CD"/>
    <w:rsid w:val="25A662D7"/>
    <w:rsid w:val="25A86E75"/>
    <w:rsid w:val="25AE2938"/>
    <w:rsid w:val="25B31D75"/>
    <w:rsid w:val="25B62DE4"/>
    <w:rsid w:val="25BB0385"/>
    <w:rsid w:val="25BC2871"/>
    <w:rsid w:val="25CA0921"/>
    <w:rsid w:val="25CB0C18"/>
    <w:rsid w:val="25D13AEB"/>
    <w:rsid w:val="25E2769B"/>
    <w:rsid w:val="25EB34F5"/>
    <w:rsid w:val="260439C2"/>
    <w:rsid w:val="260C46D3"/>
    <w:rsid w:val="261D13BC"/>
    <w:rsid w:val="262B6CE7"/>
    <w:rsid w:val="26355224"/>
    <w:rsid w:val="26455B3C"/>
    <w:rsid w:val="26481395"/>
    <w:rsid w:val="26491D5B"/>
    <w:rsid w:val="26564D95"/>
    <w:rsid w:val="26635755"/>
    <w:rsid w:val="26663282"/>
    <w:rsid w:val="266C407E"/>
    <w:rsid w:val="266D5DB7"/>
    <w:rsid w:val="266F1818"/>
    <w:rsid w:val="26776AED"/>
    <w:rsid w:val="26784417"/>
    <w:rsid w:val="26831E62"/>
    <w:rsid w:val="26873A39"/>
    <w:rsid w:val="26886FB3"/>
    <w:rsid w:val="268C4B6E"/>
    <w:rsid w:val="268F769A"/>
    <w:rsid w:val="26907D50"/>
    <w:rsid w:val="269C2A2E"/>
    <w:rsid w:val="269F0E4A"/>
    <w:rsid w:val="26A96406"/>
    <w:rsid w:val="26AE3074"/>
    <w:rsid w:val="26B038E9"/>
    <w:rsid w:val="26C61FE4"/>
    <w:rsid w:val="26CA7121"/>
    <w:rsid w:val="26CF0CB2"/>
    <w:rsid w:val="26D54139"/>
    <w:rsid w:val="26DE480D"/>
    <w:rsid w:val="26E42734"/>
    <w:rsid w:val="26E44D57"/>
    <w:rsid w:val="26E524AA"/>
    <w:rsid w:val="26EE1993"/>
    <w:rsid w:val="26EE3EA9"/>
    <w:rsid w:val="270D2469"/>
    <w:rsid w:val="271725DF"/>
    <w:rsid w:val="271B7370"/>
    <w:rsid w:val="271C25AF"/>
    <w:rsid w:val="271D191F"/>
    <w:rsid w:val="272969A2"/>
    <w:rsid w:val="272C2649"/>
    <w:rsid w:val="27316337"/>
    <w:rsid w:val="27494C9F"/>
    <w:rsid w:val="2756711B"/>
    <w:rsid w:val="27571033"/>
    <w:rsid w:val="275C3ED9"/>
    <w:rsid w:val="275D10E9"/>
    <w:rsid w:val="27602319"/>
    <w:rsid w:val="27627383"/>
    <w:rsid w:val="276655F9"/>
    <w:rsid w:val="2774770C"/>
    <w:rsid w:val="277664C2"/>
    <w:rsid w:val="277E6196"/>
    <w:rsid w:val="27902370"/>
    <w:rsid w:val="279132F5"/>
    <w:rsid w:val="279273E5"/>
    <w:rsid w:val="279957D8"/>
    <w:rsid w:val="279A5F86"/>
    <w:rsid w:val="27A512B4"/>
    <w:rsid w:val="27AC3F4C"/>
    <w:rsid w:val="27B0758A"/>
    <w:rsid w:val="27B11BCE"/>
    <w:rsid w:val="27B22C99"/>
    <w:rsid w:val="27B37CFF"/>
    <w:rsid w:val="27C61525"/>
    <w:rsid w:val="27C83884"/>
    <w:rsid w:val="27D75754"/>
    <w:rsid w:val="27DD44BD"/>
    <w:rsid w:val="27DE44F3"/>
    <w:rsid w:val="27E00E49"/>
    <w:rsid w:val="27E025E3"/>
    <w:rsid w:val="27E31C81"/>
    <w:rsid w:val="27E87EB2"/>
    <w:rsid w:val="27F843F9"/>
    <w:rsid w:val="27FC037A"/>
    <w:rsid w:val="27FC77A0"/>
    <w:rsid w:val="280011EB"/>
    <w:rsid w:val="28077C52"/>
    <w:rsid w:val="280A77E0"/>
    <w:rsid w:val="28165B2E"/>
    <w:rsid w:val="28176CE7"/>
    <w:rsid w:val="28273885"/>
    <w:rsid w:val="2832361F"/>
    <w:rsid w:val="2837217F"/>
    <w:rsid w:val="283D65AE"/>
    <w:rsid w:val="2847022F"/>
    <w:rsid w:val="284A431A"/>
    <w:rsid w:val="284C53A3"/>
    <w:rsid w:val="285106C7"/>
    <w:rsid w:val="28537D18"/>
    <w:rsid w:val="285904B0"/>
    <w:rsid w:val="28633F56"/>
    <w:rsid w:val="28692396"/>
    <w:rsid w:val="286C5825"/>
    <w:rsid w:val="28800D94"/>
    <w:rsid w:val="2884790D"/>
    <w:rsid w:val="288904C9"/>
    <w:rsid w:val="28974527"/>
    <w:rsid w:val="289B7222"/>
    <w:rsid w:val="28A048D2"/>
    <w:rsid w:val="28A33108"/>
    <w:rsid w:val="28A42A77"/>
    <w:rsid w:val="28A51801"/>
    <w:rsid w:val="28AA34FB"/>
    <w:rsid w:val="28B9156D"/>
    <w:rsid w:val="28BA5168"/>
    <w:rsid w:val="28BB4BB3"/>
    <w:rsid w:val="28C6693F"/>
    <w:rsid w:val="28C72AD9"/>
    <w:rsid w:val="28C85178"/>
    <w:rsid w:val="28DC6197"/>
    <w:rsid w:val="28EE77B0"/>
    <w:rsid w:val="28F20CD2"/>
    <w:rsid w:val="28F32944"/>
    <w:rsid w:val="28FD64D7"/>
    <w:rsid w:val="290D35E1"/>
    <w:rsid w:val="29121205"/>
    <w:rsid w:val="29153DEE"/>
    <w:rsid w:val="29173A0B"/>
    <w:rsid w:val="292909F1"/>
    <w:rsid w:val="293107D2"/>
    <w:rsid w:val="29423EF2"/>
    <w:rsid w:val="29464ACE"/>
    <w:rsid w:val="29587DFA"/>
    <w:rsid w:val="29592BB1"/>
    <w:rsid w:val="295E36CF"/>
    <w:rsid w:val="296177A4"/>
    <w:rsid w:val="2965703F"/>
    <w:rsid w:val="29660648"/>
    <w:rsid w:val="296A3063"/>
    <w:rsid w:val="296E3DDF"/>
    <w:rsid w:val="29703302"/>
    <w:rsid w:val="297154B3"/>
    <w:rsid w:val="297A56A8"/>
    <w:rsid w:val="298C5D80"/>
    <w:rsid w:val="2990451B"/>
    <w:rsid w:val="29A205DE"/>
    <w:rsid w:val="29A97865"/>
    <w:rsid w:val="29AA5B4C"/>
    <w:rsid w:val="29AE6870"/>
    <w:rsid w:val="29B26810"/>
    <w:rsid w:val="29BA5809"/>
    <w:rsid w:val="29C64E2E"/>
    <w:rsid w:val="29D1351A"/>
    <w:rsid w:val="29D22306"/>
    <w:rsid w:val="29D23DD9"/>
    <w:rsid w:val="29D73B83"/>
    <w:rsid w:val="29EA7835"/>
    <w:rsid w:val="29EE6E5C"/>
    <w:rsid w:val="29F642BA"/>
    <w:rsid w:val="29F925DD"/>
    <w:rsid w:val="29F950BF"/>
    <w:rsid w:val="29FF2DE0"/>
    <w:rsid w:val="2A025CA4"/>
    <w:rsid w:val="2A120A71"/>
    <w:rsid w:val="2A131E21"/>
    <w:rsid w:val="2A17684F"/>
    <w:rsid w:val="2A192D9F"/>
    <w:rsid w:val="2A1A0CA3"/>
    <w:rsid w:val="2A1E360D"/>
    <w:rsid w:val="2A1F7557"/>
    <w:rsid w:val="2A272C3F"/>
    <w:rsid w:val="2A3215FA"/>
    <w:rsid w:val="2A3D1040"/>
    <w:rsid w:val="2A3D200C"/>
    <w:rsid w:val="2A407BE7"/>
    <w:rsid w:val="2A462E4E"/>
    <w:rsid w:val="2A4717DC"/>
    <w:rsid w:val="2A5B1EFD"/>
    <w:rsid w:val="2A6A463C"/>
    <w:rsid w:val="2A6B4CF3"/>
    <w:rsid w:val="2A7409D2"/>
    <w:rsid w:val="2A742098"/>
    <w:rsid w:val="2A7530DA"/>
    <w:rsid w:val="2A7F4D44"/>
    <w:rsid w:val="2A7F65E1"/>
    <w:rsid w:val="2A8A6BFC"/>
    <w:rsid w:val="2A8B7A34"/>
    <w:rsid w:val="2A94182E"/>
    <w:rsid w:val="2A967FBC"/>
    <w:rsid w:val="2A996835"/>
    <w:rsid w:val="2A9C0585"/>
    <w:rsid w:val="2A9C66BF"/>
    <w:rsid w:val="2A9C76F4"/>
    <w:rsid w:val="2AA5589B"/>
    <w:rsid w:val="2AC22ABA"/>
    <w:rsid w:val="2AD20567"/>
    <w:rsid w:val="2AD40439"/>
    <w:rsid w:val="2AD405B4"/>
    <w:rsid w:val="2AD636E3"/>
    <w:rsid w:val="2ADC2444"/>
    <w:rsid w:val="2ADE501D"/>
    <w:rsid w:val="2AE046A9"/>
    <w:rsid w:val="2AE5634E"/>
    <w:rsid w:val="2AF03F94"/>
    <w:rsid w:val="2AF1578A"/>
    <w:rsid w:val="2AF54800"/>
    <w:rsid w:val="2B124AAA"/>
    <w:rsid w:val="2B217AF7"/>
    <w:rsid w:val="2B237F61"/>
    <w:rsid w:val="2B256729"/>
    <w:rsid w:val="2B2C7381"/>
    <w:rsid w:val="2B356B66"/>
    <w:rsid w:val="2B4749DA"/>
    <w:rsid w:val="2B485E04"/>
    <w:rsid w:val="2B4A732D"/>
    <w:rsid w:val="2B586596"/>
    <w:rsid w:val="2B604AAA"/>
    <w:rsid w:val="2B614186"/>
    <w:rsid w:val="2B6233E8"/>
    <w:rsid w:val="2B7645A4"/>
    <w:rsid w:val="2B78024E"/>
    <w:rsid w:val="2B80401C"/>
    <w:rsid w:val="2B823A00"/>
    <w:rsid w:val="2B9569B0"/>
    <w:rsid w:val="2B9D0D74"/>
    <w:rsid w:val="2BA2070E"/>
    <w:rsid w:val="2BAA5FAA"/>
    <w:rsid w:val="2BB86AF1"/>
    <w:rsid w:val="2BBD1B76"/>
    <w:rsid w:val="2BC0427F"/>
    <w:rsid w:val="2BC94187"/>
    <w:rsid w:val="2BCD636C"/>
    <w:rsid w:val="2BD01B21"/>
    <w:rsid w:val="2BDA1365"/>
    <w:rsid w:val="2BDC196B"/>
    <w:rsid w:val="2BE934F0"/>
    <w:rsid w:val="2BE95597"/>
    <w:rsid w:val="2BFB7E49"/>
    <w:rsid w:val="2C011E18"/>
    <w:rsid w:val="2C030F60"/>
    <w:rsid w:val="2C082A04"/>
    <w:rsid w:val="2C0B3D13"/>
    <w:rsid w:val="2C1048F5"/>
    <w:rsid w:val="2C1051E7"/>
    <w:rsid w:val="2C162F47"/>
    <w:rsid w:val="2C1B2283"/>
    <w:rsid w:val="2C1E7C3A"/>
    <w:rsid w:val="2C24291A"/>
    <w:rsid w:val="2C336E27"/>
    <w:rsid w:val="2C3C1309"/>
    <w:rsid w:val="2C42026C"/>
    <w:rsid w:val="2C464EB8"/>
    <w:rsid w:val="2C49519C"/>
    <w:rsid w:val="2C5A286A"/>
    <w:rsid w:val="2C5B065F"/>
    <w:rsid w:val="2C5C6C9B"/>
    <w:rsid w:val="2C633786"/>
    <w:rsid w:val="2C654010"/>
    <w:rsid w:val="2C691C5B"/>
    <w:rsid w:val="2C6E3EE3"/>
    <w:rsid w:val="2C740550"/>
    <w:rsid w:val="2C743F88"/>
    <w:rsid w:val="2C7953B4"/>
    <w:rsid w:val="2C8433C2"/>
    <w:rsid w:val="2C8525C3"/>
    <w:rsid w:val="2C8B7151"/>
    <w:rsid w:val="2C970CA7"/>
    <w:rsid w:val="2CA27F24"/>
    <w:rsid w:val="2CA6175D"/>
    <w:rsid w:val="2CA707FF"/>
    <w:rsid w:val="2CAD2974"/>
    <w:rsid w:val="2CB15D8C"/>
    <w:rsid w:val="2CC04B44"/>
    <w:rsid w:val="2CCC3A8A"/>
    <w:rsid w:val="2CD25FF6"/>
    <w:rsid w:val="2CD6501A"/>
    <w:rsid w:val="2CE8284E"/>
    <w:rsid w:val="2CEA2372"/>
    <w:rsid w:val="2CEB4EE3"/>
    <w:rsid w:val="2CF85B39"/>
    <w:rsid w:val="2D0D6B32"/>
    <w:rsid w:val="2D0E4090"/>
    <w:rsid w:val="2D1234FB"/>
    <w:rsid w:val="2D184CBE"/>
    <w:rsid w:val="2D225E32"/>
    <w:rsid w:val="2D2816D8"/>
    <w:rsid w:val="2D2A5CD1"/>
    <w:rsid w:val="2D3270DB"/>
    <w:rsid w:val="2D4459A4"/>
    <w:rsid w:val="2D656C20"/>
    <w:rsid w:val="2D6575EC"/>
    <w:rsid w:val="2D6A3008"/>
    <w:rsid w:val="2D6B5FF8"/>
    <w:rsid w:val="2D700EA1"/>
    <w:rsid w:val="2D7153BC"/>
    <w:rsid w:val="2D7C6E5F"/>
    <w:rsid w:val="2DA21756"/>
    <w:rsid w:val="2DAA3BFC"/>
    <w:rsid w:val="2DAA6907"/>
    <w:rsid w:val="2DB23579"/>
    <w:rsid w:val="2DB63D6A"/>
    <w:rsid w:val="2DD33A33"/>
    <w:rsid w:val="2DD5339A"/>
    <w:rsid w:val="2DD862A4"/>
    <w:rsid w:val="2DD970F1"/>
    <w:rsid w:val="2DDC3D01"/>
    <w:rsid w:val="2DE079CF"/>
    <w:rsid w:val="2DE2461C"/>
    <w:rsid w:val="2DE2701D"/>
    <w:rsid w:val="2DE34026"/>
    <w:rsid w:val="2DE4718B"/>
    <w:rsid w:val="2DED7DFA"/>
    <w:rsid w:val="2DF939FD"/>
    <w:rsid w:val="2E010F22"/>
    <w:rsid w:val="2E014A7A"/>
    <w:rsid w:val="2E0507F6"/>
    <w:rsid w:val="2E0A760D"/>
    <w:rsid w:val="2E0D76F4"/>
    <w:rsid w:val="2E0F14E3"/>
    <w:rsid w:val="2E430E39"/>
    <w:rsid w:val="2E432091"/>
    <w:rsid w:val="2E48750F"/>
    <w:rsid w:val="2E4B5A0E"/>
    <w:rsid w:val="2E4E2BC8"/>
    <w:rsid w:val="2E534CCE"/>
    <w:rsid w:val="2E5C008E"/>
    <w:rsid w:val="2E5E5D0F"/>
    <w:rsid w:val="2E6C5764"/>
    <w:rsid w:val="2E714B20"/>
    <w:rsid w:val="2E7F46DA"/>
    <w:rsid w:val="2E813902"/>
    <w:rsid w:val="2E861E29"/>
    <w:rsid w:val="2E872E3D"/>
    <w:rsid w:val="2E8F38D6"/>
    <w:rsid w:val="2E9345AB"/>
    <w:rsid w:val="2E9921C7"/>
    <w:rsid w:val="2E996742"/>
    <w:rsid w:val="2EA11458"/>
    <w:rsid w:val="2EA40F80"/>
    <w:rsid w:val="2EAE1185"/>
    <w:rsid w:val="2EB406CC"/>
    <w:rsid w:val="2EB51BB6"/>
    <w:rsid w:val="2EC50D4B"/>
    <w:rsid w:val="2EDA3E8E"/>
    <w:rsid w:val="2EDA55A5"/>
    <w:rsid w:val="2EDD7353"/>
    <w:rsid w:val="2EDE0131"/>
    <w:rsid w:val="2EE40C4C"/>
    <w:rsid w:val="2EE8255F"/>
    <w:rsid w:val="2EEC7D14"/>
    <w:rsid w:val="2EF56EE3"/>
    <w:rsid w:val="2EFA4801"/>
    <w:rsid w:val="2F01313C"/>
    <w:rsid w:val="2F03725B"/>
    <w:rsid w:val="2F042284"/>
    <w:rsid w:val="2F066438"/>
    <w:rsid w:val="2F103761"/>
    <w:rsid w:val="2F25085E"/>
    <w:rsid w:val="2F251F8C"/>
    <w:rsid w:val="2F2D5882"/>
    <w:rsid w:val="2F320664"/>
    <w:rsid w:val="2F344610"/>
    <w:rsid w:val="2F3762E5"/>
    <w:rsid w:val="2F395B2B"/>
    <w:rsid w:val="2F3D3B9C"/>
    <w:rsid w:val="2F405C8F"/>
    <w:rsid w:val="2F4525F6"/>
    <w:rsid w:val="2F5644FF"/>
    <w:rsid w:val="2F566BAD"/>
    <w:rsid w:val="2F924CF6"/>
    <w:rsid w:val="2F9C312F"/>
    <w:rsid w:val="2F9C6B51"/>
    <w:rsid w:val="2FA14E9F"/>
    <w:rsid w:val="2FA855E5"/>
    <w:rsid w:val="2FC34275"/>
    <w:rsid w:val="2FDB3AD2"/>
    <w:rsid w:val="2FDC2BFB"/>
    <w:rsid w:val="2FDD3AA9"/>
    <w:rsid w:val="2FDE3265"/>
    <w:rsid w:val="2FEA5603"/>
    <w:rsid w:val="2FF93D83"/>
    <w:rsid w:val="2FFA2F0A"/>
    <w:rsid w:val="300A303D"/>
    <w:rsid w:val="3018672B"/>
    <w:rsid w:val="301D1CA0"/>
    <w:rsid w:val="302C3041"/>
    <w:rsid w:val="3038167C"/>
    <w:rsid w:val="303C2806"/>
    <w:rsid w:val="30402A75"/>
    <w:rsid w:val="30467B28"/>
    <w:rsid w:val="30481219"/>
    <w:rsid w:val="30593A52"/>
    <w:rsid w:val="305940FD"/>
    <w:rsid w:val="305C5377"/>
    <w:rsid w:val="306B7AE0"/>
    <w:rsid w:val="3071032F"/>
    <w:rsid w:val="30711C90"/>
    <w:rsid w:val="307556CD"/>
    <w:rsid w:val="3079119C"/>
    <w:rsid w:val="307B5C11"/>
    <w:rsid w:val="30884C0A"/>
    <w:rsid w:val="30957205"/>
    <w:rsid w:val="30972B8C"/>
    <w:rsid w:val="30981DAD"/>
    <w:rsid w:val="309C445C"/>
    <w:rsid w:val="309E61A1"/>
    <w:rsid w:val="30BD2FFD"/>
    <w:rsid w:val="30C97165"/>
    <w:rsid w:val="30E51454"/>
    <w:rsid w:val="30E608E3"/>
    <w:rsid w:val="30F77FF5"/>
    <w:rsid w:val="30FE3126"/>
    <w:rsid w:val="3101110A"/>
    <w:rsid w:val="31081F14"/>
    <w:rsid w:val="311606E0"/>
    <w:rsid w:val="3116221C"/>
    <w:rsid w:val="312A0FB5"/>
    <w:rsid w:val="31435E7E"/>
    <w:rsid w:val="31454093"/>
    <w:rsid w:val="314F3F2F"/>
    <w:rsid w:val="31540BBC"/>
    <w:rsid w:val="315E1885"/>
    <w:rsid w:val="315E509F"/>
    <w:rsid w:val="31600CAE"/>
    <w:rsid w:val="316767CD"/>
    <w:rsid w:val="316F553D"/>
    <w:rsid w:val="317C6EC4"/>
    <w:rsid w:val="317E0F6C"/>
    <w:rsid w:val="318329F8"/>
    <w:rsid w:val="318C0616"/>
    <w:rsid w:val="319606F5"/>
    <w:rsid w:val="319C5DFB"/>
    <w:rsid w:val="319D7433"/>
    <w:rsid w:val="31A81FEB"/>
    <w:rsid w:val="31AC549E"/>
    <w:rsid w:val="31B457D3"/>
    <w:rsid w:val="31B804D9"/>
    <w:rsid w:val="31C40A54"/>
    <w:rsid w:val="31D2079F"/>
    <w:rsid w:val="31D96607"/>
    <w:rsid w:val="31E22F4B"/>
    <w:rsid w:val="31E51A73"/>
    <w:rsid w:val="31E6099A"/>
    <w:rsid w:val="31E92DD9"/>
    <w:rsid w:val="31EC0661"/>
    <w:rsid w:val="31F369F1"/>
    <w:rsid w:val="31F434B3"/>
    <w:rsid w:val="31FA3E15"/>
    <w:rsid w:val="320A693D"/>
    <w:rsid w:val="320F5741"/>
    <w:rsid w:val="3213790C"/>
    <w:rsid w:val="32261397"/>
    <w:rsid w:val="322D5174"/>
    <w:rsid w:val="32323931"/>
    <w:rsid w:val="32337429"/>
    <w:rsid w:val="32356386"/>
    <w:rsid w:val="323C4918"/>
    <w:rsid w:val="323D419D"/>
    <w:rsid w:val="32501B88"/>
    <w:rsid w:val="32531849"/>
    <w:rsid w:val="32671C48"/>
    <w:rsid w:val="326A20D3"/>
    <w:rsid w:val="32701994"/>
    <w:rsid w:val="32781D39"/>
    <w:rsid w:val="327A531D"/>
    <w:rsid w:val="32806122"/>
    <w:rsid w:val="328B290A"/>
    <w:rsid w:val="32901F1E"/>
    <w:rsid w:val="32A13F64"/>
    <w:rsid w:val="32A74F77"/>
    <w:rsid w:val="32AF7663"/>
    <w:rsid w:val="32B0079C"/>
    <w:rsid w:val="32B412D7"/>
    <w:rsid w:val="32B80FE0"/>
    <w:rsid w:val="32BC6F66"/>
    <w:rsid w:val="32C616AF"/>
    <w:rsid w:val="32CC4622"/>
    <w:rsid w:val="32CD20E1"/>
    <w:rsid w:val="32EF4CA4"/>
    <w:rsid w:val="33012173"/>
    <w:rsid w:val="330F54FF"/>
    <w:rsid w:val="33121D46"/>
    <w:rsid w:val="33170AD4"/>
    <w:rsid w:val="331C7249"/>
    <w:rsid w:val="331E6519"/>
    <w:rsid w:val="331F1BF8"/>
    <w:rsid w:val="332A16B7"/>
    <w:rsid w:val="334E278D"/>
    <w:rsid w:val="33501410"/>
    <w:rsid w:val="335E60AE"/>
    <w:rsid w:val="337656C6"/>
    <w:rsid w:val="338874CA"/>
    <w:rsid w:val="339047DC"/>
    <w:rsid w:val="339174E4"/>
    <w:rsid w:val="33922BA4"/>
    <w:rsid w:val="3395257E"/>
    <w:rsid w:val="33962013"/>
    <w:rsid w:val="33977CCF"/>
    <w:rsid w:val="339877B9"/>
    <w:rsid w:val="339C1778"/>
    <w:rsid w:val="339D721B"/>
    <w:rsid w:val="33A3517B"/>
    <w:rsid w:val="33BB3369"/>
    <w:rsid w:val="33BD487F"/>
    <w:rsid w:val="33BE22DC"/>
    <w:rsid w:val="33BE5883"/>
    <w:rsid w:val="33C1244A"/>
    <w:rsid w:val="33D564A5"/>
    <w:rsid w:val="33DF67D8"/>
    <w:rsid w:val="33EC331A"/>
    <w:rsid w:val="33EC6FB6"/>
    <w:rsid w:val="33FB5FA1"/>
    <w:rsid w:val="340A74A4"/>
    <w:rsid w:val="340D6A5E"/>
    <w:rsid w:val="341D3D95"/>
    <w:rsid w:val="342B004A"/>
    <w:rsid w:val="343A2C67"/>
    <w:rsid w:val="345901E2"/>
    <w:rsid w:val="345B0C87"/>
    <w:rsid w:val="345B612A"/>
    <w:rsid w:val="34610E0E"/>
    <w:rsid w:val="34776B38"/>
    <w:rsid w:val="347D0F19"/>
    <w:rsid w:val="348A53AC"/>
    <w:rsid w:val="348A615B"/>
    <w:rsid w:val="348D5440"/>
    <w:rsid w:val="34960CBE"/>
    <w:rsid w:val="34996154"/>
    <w:rsid w:val="349A69EF"/>
    <w:rsid w:val="34AA4679"/>
    <w:rsid w:val="34AE1165"/>
    <w:rsid w:val="34B61F58"/>
    <w:rsid w:val="34C3798A"/>
    <w:rsid w:val="34C41DDC"/>
    <w:rsid w:val="34C52EA2"/>
    <w:rsid w:val="34C60D9C"/>
    <w:rsid w:val="34D2258D"/>
    <w:rsid w:val="34DB32BB"/>
    <w:rsid w:val="34E01BB9"/>
    <w:rsid w:val="34F35D01"/>
    <w:rsid w:val="35002A15"/>
    <w:rsid w:val="35102070"/>
    <w:rsid w:val="35124A0D"/>
    <w:rsid w:val="351B2D65"/>
    <w:rsid w:val="351B43C7"/>
    <w:rsid w:val="35250BFF"/>
    <w:rsid w:val="354658AF"/>
    <w:rsid w:val="35497AB7"/>
    <w:rsid w:val="355D6155"/>
    <w:rsid w:val="355F0732"/>
    <w:rsid w:val="356C3F81"/>
    <w:rsid w:val="356D3631"/>
    <w:rsid w:val="356E1072"/>
    <w:rsid w:val="356F6271"/>
    <w:rsid w:val="35703816"/>
    <w:rsid w:val="35764F4A"/>
    <w:rsid w:val="357D172C"/>
    <w:rsid w:val="35812D9B"/>
    <w:rsid w:val="358304AB"/>
    <w:rsid w:val="359F7869"/>
    <w:rsid w:val="35A160DC"/>
    <w:rsid w:val="35A20420"/>
    <w:rsid w:val="35A5058B"/>
    <w:rsid w:val="35B36EFA"/>
    <w:rsid w:val="35B904CF"/>
    <w:rsid w:val="35B9585C"/>
    <w:rsid w:val="35BC4B27"/>
    <w:rsid w:val="35BD2792"/>
    <w:rsid w:val="35C94AEF"/>
    <w:rsid w:val="35E37515"/>
    <w:rsid w:val="35E40A76"/>
    <w:rsid w:val="35E65FA8"/>
    <w:rsid w:val="35F60392"/>
    <w:rsid w:val="35FA51A5"/>
    <w:rsid w:val="35FB502F"/>
    <w:rsid w:val="35FD3490"/>
    <w:rsid w:val="360E16AE"/>
    <w:rsid w:val="3617318E"/>
    <w:rsid w:val="36176647"/>
    <w:rsid w:val="363357CB"/>
    <w:rsid w:val="363E58CF"/>
    <w:rsid w:val="363F1FBC"/>
    <w:rsid w:val="364066FB"/>
    <w:rsid w:val="36474D22"/>
    <w:rsid w:val="36495C0A"/>
    <w:rsid w:val="364F5A2A"/>
    <w:rsid w:val="365519F4"/>
    <w:rsid w:val="36595DF6"/>
    <w:rsid w:val="36614384"/>
    <w:rsid w:val="366204B8"/>
    <w:rsid w:val="36631CA0"/>
    <w:rsid w:val="36633554"/>
    <w:rsid w:val="36717C5A"/>
    <w:rsid w:val="36774942"/>
    <w:rsid w:val="36881634"/>
    <w:rsid w:val="368C76FA"/>
    <w:rsid w:val="368F76FA"/>
    <w:rsid w:val="36923F9D"/>
    <w:rsid w:val="369B7F90"/>
    <w:rsid w:val="36A401E9"/>
    <w:rsid w:val="36B12624"/>
    <w:rsid w:val="36B660E9"/>
    <w:rsid w:val="36B71B89"/>
    <w:rsid w:val="36D925A0"/>
    <w:rsid w:val="36DA62AB"/>
    <w:rsid w:val="36DF36BB"/>
    <w:rsid w:val="36E53AF8"/>
    <w:rsid w:val="36F101A1"/>
    <w:rsid w:val="37060463"/>
    <w:rsid w:val="370A5E5F"/>
    <w:rsid w:val="370D0235"/>
    <w:rsid w:val="37143AAA"/>
    <w:rsid w:val="37237C7C"/>
    <w:rsid w:val="373B1EBD"/>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7C6542"/>
    <w:rsid w:val="37894E57"/>
    <w:rsid w:val="378F792B"/>
    <w:rsid w:val="37921EAB"/>
    <w:rsid w:val="37A21FE2"/>
    <w:rsid w:val="37AF3A9B"/>
    <w:rsid w:val="37B1676E"/>
    <w:rsid w:val="37C61413"/>
    <w:rsid w:val="37D115B9"/>
    <w:rsid w:val="37D71B9E"/>
    <w:rsid w:val="37D95BC3"/>
    <w:rsid w:val="37DB1B4A"/>
    <w:rsid w:val="37EA3D1D"/>
    <w:rsid w:val="38032ADD"/>
    <w:rsid w:val="380F70A0"/>
    <w:rsid w:val="38181651"/>
    <w:rsid w:val="381A129D"/>
    <w:rsid w:val="381B3AE1"/>
    <w:rsid w:val="384445D2"/>
    <w:rsid w:val="38466BC9"/>
    <w:rsid w:val="385979C8"/>
    <w:rsid w:val="38621032"/>
    <w:rsid w:val="386C17FE"/>
    <w:rsid w:val="386F71C2"/>
    <w:rsid w:val="38864EE1"/>
    <w:rsid w:val="38871842"/>
    <w:rsid w:val="388D26FF"/>
    <w:rsid w:val="389007B4"/>
    <w:rsid w:val="389525C6"/>
    <w:rsid w:val="389C3F60"/>
    <w:rsid w:val="389E28DB"/>
    <w:rsid w:val="38A256ED"/>
    <w:rsid w:val="38B0624E"/>
    <w:rsid w:val="38B4706D"/>
    <w:rsid w:val="38B60D7F"/>
    <w:rsid w:val="38B6531C"/>
    <w:rsid w:val="38BA0EE3"/>
    <w:rsid w:val="38BA4416"/>
    <w:rsid w:val="38C10BE9"/>
    <w:rsid w:val="38C4603C"/>
    <w:rsid w:val="38D45CEE"/>
    <w:rsid w:val="38D51263"/>
    <w:rsid w:val="38E1369C"/>
    <w:rsid w:val="38E452E6"/>
    <w:rsid w:val="38F02352"/>
    <w:rsid w:val="38F60C3D"/>
    <w:rsid w:val="38FF3CFD"/>
    <w:rsid w:val="390078F4"/>
    <w:rsid w:val="391754AA"/>
    <w:rsid w:val="391F67F6"/>
    <w:rsid w:val="39236CE5"/>
    <w:rsid w:val="39251316"/>
    <w:rsid w:val="39273592"/>
    <w:rsid w:val="392B6496"/>
    <w:rsid w:val="39312A65"/>
    <w:rsid w:val="39404B30"/>
    <w:rsid w:val="3943543F"/>
    <w:rsid w:val="394F4956"/>
    <w:rsid w:val="39585980"/>
    <w:rsid w:val="395B4F36"/>
    <w:rsid w:val="39614E4F"/>
    <w:rsid w:val="39652C73"/>
    <w:rsid w:val="39730397"/>
    <w:rsid w:val="39800ACE"/>
    <w:rsid w:val="39980CE2"/>
    <w:rsid w:val="39AA339F"/>
    <w:rsid w:val="39AB53AE"/>
    <w:rsid w:val="39B83678"/>
    <w:rsid w:val="39C1729E"/>
    <w:rsid w:val="39D0636E"/>
    <w:rsid w:val="39D17CDD"/>
    <w:rsid w:val="39F44362"/>
    <w:rsid w:val="39F62389"/>
    <w:rsid w:val="39F63B7B"/>
    <w:rsid w:val="3A035D99"/>
    <w:rsid w:val="3A0E4679"/>
    <w:rsid w:val="3A185146"/>
    <w:rsid w:val="3A1B7A36"/>
    <w:rsid w:val="3A1F2B4F"/>
    <w:rsid w:val="3A220E5F"/>
    <w:rsid w:val="3A222B60"/>
    <w:rsid w:val="3A2644AB"/>
    <w:rsid w:val="3A30298D"/>
    <w:rsid w:val="3A3C1A7E"/>
    <w:rsid w:val="3A3C7D6C"/>
    <w:rsid w:val="3A3D6E67"/>
    <w:rsid w:val="3A4936E3"/>
    <w:rsid w:val="3A4F7A71"/>
    <w:rsid w:val="3A58374B"/>
    <w:rsid w:val="3A5941F6"/>
    <w:rsid w:val="3A596DA8"/>
    <w:rsid w:val="3A5A1D9E"/>
    <w:rsid w:val="3A5A6C2B"/>
    <w:rsid w:val="3A5B22E9"/>
    <w:rsid w:val="3A5E32F8"/>
    <w:rsid w:val="3A611DF3"/>
    <w:rsid w:val="3A624674"/>
    <w:rsid w:val="3A6D58D7"/>
    <w:rsid w:val="3A714BF8"/>
    <w:rsid w:val="3A7572A8"/>
    <w:rsid w:val="3A7F656F"/>
    <w:rsid w:val="3A83464D"/>
    <w:rsid w:val="3A841F02"/>
    <w:rsid w:val="3A9155E6"/>
    <w:rsid w:val="3A954B7A"/>
    <w:rsid w:val="3A9B50DC"/>
    <w:rsid w:val="3A9C4E84"/>
    <w:rsid w:val="3AA11C63"/>
    <w:rsid w:val="3AA35C36"/>
    <w:rsid w:val="3AA9087F"/>
    <w:rsid w:val="3AAA4AD8"/>
    <w:rsid w:val="3AB37C0B"/>
    <w:rsid w:val="3AC07099"/>
    <w:rsid w:val="3AC90541"/>
    <w:rsid w:val="3AD0154B"/>
    <w:rsid w:val="3AD26502"/>
    <w:rsid w:val="3AD32BE2"/>
    <w:rsid w:val="3AD735A4"/>
    <w:rsid w:val="3ADB5B92"/>
    <w:rsid w:val="3AE335C6"/>
    <w:rsid w:val="3AED053C"/>
    <w:rsid w:val="3AF56227"/>
    <w:rsid w:val="3AF657E1"/>
    <w:rsid w:val="3AF94B98"/>
    <w:rsid w:val="3AF97E01"/>
    <w:rsid w:val="3B0032A7"/>
    <w:rsid w:val="3B03752F"/>
    <w:rsid w:val="3B064E9F"/>
    <w:rsid w:val="3B0F2390"/>
    <w:rsid w:val="3B1220C7"/>
    <w:rsid w:val="3B360092"/>
    <w:rsid w:val="3B3E7FD4"/>
    <w:rsid w:val="3B4278FE"/>
    <w:rsid w:val="3B44637B"/>
    <w:rsid w:val="3B4B0135"/>
    <w:rsid w:val="3B5F7815"/>
    <w:rsid w:val="3B6413E7"/>
    <w:rsid w:val="3B753C11"/>
    <w:rsid w:val="3B8D6917"/>
    <w:rsid w:val="3B98772E"/>
    <w:rsid w:val="3BA40788"/>
    <w:rsid w:val="3BB02276"/>
    <w:rsid w:val="3BB3643D"/>
    <w:rsid w:val="3BB41E71"/>
    <w:rsid w:val="3BBC1A25"/>
    <w:rsid w:val="3BC56E05"/>
    <w:rsid w:val="3BD00198"/>
    <w:rsid w:val="3BD938AF"/>
    <w:rsid w:val="3BDF0887"/>
    <w:rsid w:val="3BE12208"/>
    <w:rsid w:val="3BE45065"/>
    <w:rsid w:val="3BF847AA"/>
    <w:rsid w:val="3BFA0259"/>
    <w:rsid w:val="3C0309FF"/>
    <w:rsid w:val="3C042E3E"/>
    <w:rsid w:val="3C072663"/>
    <w:rsid w:val="3C0B2E45"/>
    <w:rsid w:val="3C1A4E8D"/>
    <w:rsid w:val="3C1F76F3"/>
    <w:rsid w:val="3C2841B0"/>
    <w:rsid w:val="3C3C186F"/>
    <w:rsid w:val="3C3D7E2F"/>
    <w:rsid w:val="3C450BC5"/>
    <w:rsid w:val="3C47574F"/>
    <w:rsid w:val="3C5110CE"/>
    <w:rsid w:val="3C6242D8"/>
    <w:rsid w:val="3C6362A8"/>
    <w:rsid w:val="3C784DBC"/>
    <w:rsid w:val="3C7923FD"/>
    <w:rsid w:val="3C7E21FC"/>
    <w:rsid w:val="3C8125DB"/>
    <w:rsid w:val="3C835139"/>
    <w:rsid w:val="3C8E55CD"/>
    <w:rsid w:val="3C8E5872"/>
    <w:rsid w:val="3C913F59"/>
    <w:rsid w:val="3C943C7F"/>
    <w:rsid w:val="3C9D3203"/>
    <w:rsid w:val="3C9E76A6"/>
    <w:rsid w:val="3C9E7D39"/>
    <w:rsid w:val="3C9F4E4E"/>
    <w:rsid w:val="3C9F5433"/>
    <w:rsid w:val="3CA05E3F"/>
    <w:rsid w:val="3CA60FF0"/>
    <w:rsid w:val="3CAF5049"/>
    <w:rsid w:val="3CC037D9"/>
    <w:rsid w:val="3CCC3FAB"/>
    <w:rsid w:val="3CD20233"/>
    <w:rsid w:val="3CD23409"/>
    <w:rsid w:val="3CDA5E44"/>
    <w:rsid w:val="3CDF248B"/>
    <w:rsid w:val="3CE048B9"/>
    <w:rsid w:val="3CF80F5E"/>
    <w:rsid w:val="3CFA11B8"/>
    <w:rsid w:val="3D061853"/>
    <w:rsid w:val="3D083D85"/>
    <w:rsid w:val="3D094A3E"/>
    <w:rsid w:val="3D107860"/>
    <w:rsid w:val="3D183C46"/>
    <w:rsid w:val="3D2346F2"/>
    <w:rsid w:val="3D2B7651"/>
    <w:rsid w:val="3D2C6DEC"/>
    <w:rsid w:val="3D3F7B7E"/>
    <w:rsid w:val="3D415BFE"/>
    <w:rsid w:val="3D464AD9"/>
    <w:rsid w:val="3D466470"/>
    <w:rsid w:val="3D531698"/>
    <w:rsid w:val="3D5F59D0"/>
    <w:rsid w:val="3D631F45"/>
    <w:rsid w:val="3D9745C5"/>
    <w:rsid w:val="3D980D16"/>
    <w:rsid w:val="3D9831E5"/>
    <w:rsid w:val="3D9B1367"/>
    <w:rsid w:val="3D9C58CC"/>
    <w:rsid w:val="3DA638E7"/>
    <w:rsid w:val="3DA71209"/>
    <w:rsid w:val="3DC945C0"/>
    <w:rsid w:val="3DCE0347"/>
    <w:rsid w:val="3DCF044A"/>
    <w:rsid w:val="3DED7C84"/>
    <w:rsid w:val="3E012F06"/>
    <w:rsid w:val="3E0516F6"/>
    <w:rsid w:val="3E062C93"/>
    <w:rsid w:val="3E163336"/>
    <w:rsid w:val="3E1667F0"/>
    <w:rsid w:val="3E1A07C5"/>
    <w:rsid w:val="3E1C3D68"/>
    <w:rsid w:val="3E225D40"/>
    <w:rsid w:val="3E25375E"/>
    <w:rsid w:val="3E257108"/>
    <w:rsid w:val="3E297DA1"/>
    <w:rsid w:val="3E2A2C0A"/>
    <w:rsid w:val="3E2E03FF"/>
    <w:rsid w:val="3E353A26"/>
    <w:rsid w:val="3E37784B"/>
    <w:rsid w:val="3E381EA5"/>
    <w:rsid w:val="3E3846AB"/>
    <w:rsid w:val="3E4A4CB2"/>
    <w:rsid w:val="3E4E7D71"/>
    <w:rsid w:val="3E4F147F"/>
    <w:rsid w:val="3E5A3610"/>
    <w:rsid w:val="3E616240"/>
    <w:rsid w:val="3E63157B"/>
    <w:rsid w:val="3E672C02"/>
    <w:rsid w:val="3E702BB8"/>
    <w:rsid w:val="3E7C2BED"/>
    <w:rsid w:val="3E807C4C"/>
    <w:rsid w:val="3E810402"/>
    <w:rsid w:val="3E8310AF"/>
    <w:rsid w:val="3EB761D7"/>
    <w:rsid w:val="3EC40C65"/>
    <w:rsid w:val="3ECB1717"/>
    <w:rsid w:val="3ED92DDA"/>
    <w:rsid w:val="3EE7761A"/>
    <w:rsid w:val="3EF17DA4"/>
    <w:rsid w:val="3EF2332E"/>
    <w:rsid w:val="3EF56437"/>
    <w:rsid w:val="3EFB607B"/>
    <w:rsid w:val="3EFF7197"/>
    <w:rsid w:val="3F035498"/>
    <w:rsid w:val="3F055C54"/>
    <w:rsid w:val="3F0C5BCE"/>
    <w:rsid w:val="3F0F5EDD"/>
    <w:rsid w:val="3F114F57"/>
    <w:rsid w:val="3F117156"/>
    <w:rsid w:val="3F1D2AEF"/>
    <w:rsid w:val="3F201122"/>
    <w:rsid w:val="3F22062E"/>
    <w:rsid w:val="3F2B0046"/>
    <w:rsid w:val="3F2F40D7"/>
    <w:rsid w:val="3F303FAB"/>
    <w:rsid w:val="3F3222E3"/>
    <w:rsid w:val="3F352F72"/>
    <w:rsid w:val="3F3774CD"/>
    <w:rsid w:val="3F3F145A"/>
    <w:rsid w:val="3F416176"/>
    <w:rsid w:val="3F532102"/>
    <w:rsid w:val="3F576FA1"/>
    <w:rsid w:val="3F580906"/>
    <w:rsid w:val="3F5A3EFB"/>
    <w:rsid w:val="3F7006D6"/>
    <w:rsid w:val="3F79679A"/>
    <w:rsid w:val="3F9908B0"/>
    <w:rsid w:val="3FA367A0"/>
    <w:rsid w:val="3FA84EB2"/>
    <w:rsid w:val="3FA85DB5"/>
    <w:rsid w:val="3FAA7193"/>
    <w:rsid w:val="3FAD4B3B"/>
    <w:rsid w:val="3FB34E43"/>
    <w:rsid w:val="3FB452E6"/>
    <w:rsid w:val="3FC014BB"/>
    <w:rsid w:val="3FC0345D"/>
    <w:rsid w:val="3FC0576C"/>
    <w:rsid w:val="3FC24499"/>
    <w:rsid w:val="3FC96CE0"/>
    <w:rsid w:val="3FD4498A"/>
    <w:rsid w:val="3FD64800"/>
    <w:rsid w:val="3FDA5EAF"/>
    <w:rsid w:val="3FDC701A"/>
    <w:rsid w:val="3FE0553B"/>
    <w:rsid w:val="3FE11A0A"/>
    <w:rsid w:val="3FE135FB"/>
    <w:rsid w:val="3FE221D2"/>
    <w:rsid w:val="3FE87D28"/>
    <w:rsid w:val="3FEA089A"/>
    <w:rsid w:val="3FEE60A4"/>
    <w:rsid w:val="3FEF6D26"/>
    <w:rsid w:val="3FF54F69"/>
    <w:rsid w:val="3FFA44C9"/>
    <w:rsid w:val="4001677D"/>
    <w:rsid w:val="400969C4"/>
    <w:rsid w:val="400A5241"/>
    <w:rsid w:val="401A368E"/>
    <w:rsid w:val="40200EC2"/>
    <w:rsid w:val="40376069"/>
    <w:rsid w:val="40387BC5"/>
    <w:rsid w:val="403D4406"/>
    <w:rsid w:val="403E6AA8"/>
    <w:rsid w:val="40400879"/>
    <w:rsid w:val="40402847"/>
    <w:rsid w:val="404C0609"/>
    <w:rsid w:val="40502545"/>
    <w:rsid w:val="405D53FA"/>
    <w:rsid w:val="40612A0F"/>
    <w:rsid w:val="406435E5"/>
    <w:rsid w:val="40657EEF"/>
    <w:rsid w:val="40721C20"/>
    <w:rsid w:val="407D753B"/>
    <w:rsid w:val="40806E1B"/>
    <w:rsid w:val="40906E9B"/>
    <w:rsid w:val="409207A7"/>
    <w:rsid w:val="40940958"/>
    <w:rsid w:val="40A55383"/>
    <w:rsid w:val="40A56E0D"/>
    <w:rsid w:val="40AF5A59"/>
    <w:rsid w:val="40BA51BE"/>
    <w:rsid w:val="40BD00BB"/>
    <w:rsid w:val="40E90A23"/>
    <w:rsid w:val="40EE51A8"/>
    <w:rsid w:val="40F20B1F"/>
    <w:rsid w:val="40F86916"/>
    <w:rsid w:val="40FA321B"/>
    <w:rsid w:val="40FF0DBB"/>
    <w:rsid w:val="4101607F"/>
    <w:rsid w:val="41022D94"/>
    <w:rsid w:val="41082DC3"/>
    <w:rsid w:val="412170B1"/>
    <w:rsid w:val="412B5228"/>
    <w:rsid w:val="41301C9A"/>
    <w:rsid w:val="41341E40"/>
    <w:rsid w:val="413A53EA"/>
    <w:rsid w:val="413E270C"/>
    <w:rsid w:val="414214F9"/>
    <w:rsid w:val="4149251B"/>
    <w:rsid w:val="415037DD"/>
    <w:rsid w:val="41526D4A"/>
    <w:rsid w:val="415F730C"/>
    <w:rsid w:val="41621B71"/>
    <w:rsid w:val="41811A80"/>
    <w:rsid w:val="418C02C8"/>
    <w:rsid w:val="418C5377"/>
    <w:rsid w:val="418D7C08"/>
    <w:rsid w:val="419165DA"/>
    <w:rsid w:val="41963950"/>
    <w:rsid w:val="41AA0EFE"/>
    <w:rsid w:val="41B3723D"/>
    <w:rsid w:val="41C65E0E"/>
    <w:rsid w:val="41C954F1"/>
    <w:rsid w:val="41EE1F6D"/>
    <w:rsid w:val="41FC7345"/>
    <w:rsid w:val="41FF7A7E"/>
    <w:rsid w:val="42055BCF"/>
    <w:rsid w:val="42062C90"/>
    <w:rsid w:val="420D0337"/>
    <w:rsid w:val="420D35D1"/>
    <w:rsid w:val="42124FEB"/>
    <w:rsid w:val="421E19DD"/>
    <w:rsid w:val="42201ADB"/>
    <w:rsid w:val="42243ADD"/>
    <w:rsid w:val="4226140E"/>
    <w:rsid w:val="42262641"/>
    <w:rsid w:val="422D7D03"/>
    <w:rsid w:val="42387360"/>
    <w:rsid w:val="424E09DB"/>
    <w:rsid w:val="424F14CB"/>
    <w:rsid w:val="425830C6"/>
    <w:rsid w:val="425C6098"/>
    <w:rsid w:val="42646511"/>
    <w:rsid w:val="4265214F"/>
    <w:rsid w:val="426703CA"/>
    <w:rsid w:val="426724A2"/>
    <w:rsid w:val="428D023C"/>
    <w:rsid w:val="429007CB"/>
    <w:rsid w:val="42944EE3"/>
    <w:rsid w:val="429953F0"/>
    <w:rsid w:val="42A826E7"/>
    <w:rsid w:val="42AE6807"/>
    <w:rsid w:val="42C30985"/>
    <w:rsid w:val="42CE5721"/>
    <w:rsid w:val="42D83185"/>
    <w:rsid w:val="42DA1044"/>
    <w:rsid w:val="42E04F76"/>
    <w:rsid w:val="42E27E52"/>
    <w:rsid w:val="42F867E3"/>
    <w:rsid w:val="42F96836"/>
    <w:rsid w:val="42FC1238"/>
    <w:rsid w:val="42FF7B2A"/>
    <w:rsid w:val="43071202"/>
    <w:rsid w:val="43081AD9"/>
    <w:rsid w:val="430846B1"/>
    <w:rsid w:val="43271B07"/>
    <w:rsid w:val="43280811"/>
    <w:rsid w:val="432F2506"/>
    <w:rsid w:val="43340E51"/>
    <w:rsid w:val="43381992"/>
    <w:rsid w:val="433A05CC"/>
    <w:rsid w:val="433F23BF"/>
    <w:rsid w:val="43412077"/>
    <w:rsid w:val="43501147"/>
    <w:rsid w:val="43621575"/>
    <w:rsid w:val="436624A8"/>
    <w:rsid w:val="43666F3B"/>
    <w:rsid w:val="436C0A55"/>
    <w:rsid w:val="436D064B"/>
    <w:rsid w:val="43726256"/>
    <w:rsid w:val="437460FA"/>
    <w:rsid w:val="437D5D97"/>
    <w:rsid w:val="43837506"/>
    <w:rsid w:val="438B5FFE"/>
    <w:rsid w:val="43A430BF"/>
    <w:rsid w:val="43AF03C9"/>
    <w:rsid w:val="43B12337"/>
    <w:rsid w:val="43B14470"/>
    <w:rsid w:val="43B43EDE"/>
    <w:rsid w:val="43B47D4C"/>
    <w:rsid w:val="43C471BD"/>
    <w:rsid w:val="43CB16B2"/>
    <w:rsid w:val="43CE2E1A"/>
    <w:rsid w:val="43DF7E96"/>
    <w:rsid w:val="43E04F09"/>
    <w:rsid w:val="43E17880"/>
    <w:rsid w:val="43E30165"/>
    <w:rsid w:val="43E4084E"/>
    <w:rsid w:val="43E800C6"/>
    <w:rsid w:val="43F52C05"/>
    <w:rsid w:val="43FB7DF3"/>
    <w:rsid w:val="43FC346C"/>
    <w:rsid w:val="440E5844"/>
    <w:rsid w:val="44117846"/>
    <w:rsid w:val="44257D8E"/>
    <w:rsid w:val="442A5D06"/>
    <w:rsid w:val="442E5908"/>
    <w:rsid w:val="442F10A5"/>
    <w:rsid w:val="44512364"/>
    <w:rsid w:val="44560305"/>
    <w:rsid w:val="446636C5"/>
    <w:rsid w:val="447D1640"/>
    <w:rsid w:val="4480296D"/>
    <w:rsid w:val="448166E9"/>
    <w:rsid w:val="448678B2"/>
    <w:rsid w:val="448E51CC"/>
    <w:rsid w:val="449848C7"/>
    <w:rsid w:val="44AF4BA1"/>
    <w:rsid w:val="44B253BE"/>
    <w:rsid w:val="44B2632E"/>
    <w:rsid w:val="44B2697E"/>
    <w:rsid w:val="44B55895"/>
    <w:rsid w:val="44BC1818"/>
    <w:rsid w:val="44BC1ADC"/>
    <w:rsid w:val="44BC6084"/>
    <w:rsid w:val="44C33C1C"/>
    <w:rsid w:val="44C77FE4"/>
    <w:rsid w:val="44CE7E45"/>
    <w:rsid w:val="44D11736"/>
    <w:rsid w:val="44D55756"/>
    <w:rsid w:val="44E00E0F"/>
    <w:rsid w:val="44E132FE"/>
    <w:rsid w:val="44EB25A0"/>
    <w:rsid w:val="44F70F49"/>
    <w:rsid w:val="44FA649B"/>
    <w:rsid w:val="44FB7CD7"/>
    <w:rsid w:val="44FE7B0F"/>
    <w:rsid w:val="450939CD"/>
    <w:rsid w:val="450B3CA0"/>
    <w:rsid w:val="4510454F"/>
    <w:rsid w:val="45185AF4"/>
    <w:rsid w:val="45206383"/>
    <w:rsid w:val="45234637"/>
    <w:rsid w:val="452D38D3"/>
    <w:rsid w:val="453E4193"/>
    <w:rsid w:val="454255CA"/>
    <w:rsid w:val="45577395"/>
    <w:rsid w:val="4561316A"/>
    <w:rsid w:val="45633AE3"/>
    <w:rsid w:val="45644225"/>
    <w:rsid w:val="4584775C"/>
    <w:rsid w:val="45916EEF"/>
    <w:rsid w:val="45A20CE2"/>
    <w:rsid w:val="45A81950"/>
    <w:rsid w:val="45AB2840"/>
    <w:rsid w:val="45AB71DA"/>
    <w:rsid w:val="45B92244"/>
    <w:rsid w:val="45BE4FDB"/>
    <w:rsid w:val="45BE62C2"/>
    <w:rsid w:val="45C0705E"/>
    <w:rsid w:val="45E42F61"/>
    <w:rsid w:val="45F01DCD"/>
    <w:rsid w:val="45F62E65"/>
    <w:rsid w:val="45FD74ED"/>
    <w:rsid w:val="46050349"/>
    <w:rsid w:val="460B16A1"/>
    <w:rsid w:val="46206E94"/>
    <w:rsid w:val="462162D7"/>
    <w:rsid w:val="46221289"/>
    <w:rsid w:val="46284759"/>
    <w:rsid w:val="46324558"/>
    <w:rsid w:val="46365564"/>
    <w:rsid w:val="46382CF3"/>
    <w:rsid w:val="463E4B6F"/>
    <w:rsid w:val="464B1905"/>
    <w:rsid w:val="4658217D"/>
    <w:rsid w:val="466C778C"/>
    <w:rsid w:val="4670530F"/>
    <w:rsid w:val="46AB4DBE"/>
    <w:rsid w:val="46AF5FB8"/>
    <w:rsid w:val="46B35B9F"/>
    <w:rsid w:val="46BF115D"/>
    <w:rsid w:val="46C44CB7"/>
    <w:rsid w:val="46C5380C"/>
    <w:rsid w:val="46C96A6C"/>
    <w:rsid w:val="46CB603F"/>
    <w:rsid w:val="46D21F34"/>
    <w:rsid w:val="46F100B8"/>
    <w:rsid w:val="46FA7FB8"/>
    <w:rsid w:val="47002DEF"/>
    <w:rsid w:val="47037841"/>
    <w:rsid w:val="470B0531"/>
    <w:rsid w:val="470E7708"/>
    <w:rsid w:val="471F3210"/>
    <w:rsid w:val="47336C6F"/>
    <w:rsid w:val="47402DAA"/>
    <w:rsid w:val="474750DC"/>
    <w:rsid w:val="474C419A"/>
    <w:rsid w:val="474E6907"/>
    <w:rsid w:val="474E7A5D"/>
    <w:rsid w:val="47567017"/>
    <w:rsid w:val="475E0087"/>
    <w:rsid w:val="475F7DF6"/>
    <w:rsid w:val="476140B1"/>
    <w:rsid w:val="476269FC"/>
    <w:rsid w:val="47632DF0"/>
    <w:rsid w:val="476453B6"/>
    <w:rsid w:val="47666D38"/>
    <w:rsid w:val="47763FFA"/>
    <w:rsid w:val="4780263C"/>
    <w:rsid w:val="478104EB"/>
    <w:rsid w:val="478839AE"/>
    <w:rsid w:val="47896D4F"/>
    <w:rsid w:val="47982A36"/>
    <w:rsid w:val="47A21D03"/>
    <w:rsid w:val="47AC4635"/>
    <w:rsid w:val="47AD79A7"/>
    <w:rsid w:val="47B45F77"/>
    <w:rsid w:val="47B601F9"/>
    <w:rsid w:val="47BD4FEB"/>
    <w:rsid w:val="47BE2659"/>
    <w:rsid w:val="47C65B11"/>
    <w:rsid w:val="47C80021"/>
    <w:rsid w:val="47CC159F"/>
    <w:rsid w:val="47CF230D"/>
    <w:rsid w:val="47D31B17"/>
    <w:rsid w:val="47D64E19"/>
    <w:rsid w:val="47DD2D70"/>
    <w:rsid w:val="47E335C5"/>
    <w:rsid w:val="47F00544"/>
    <w:rsid w:val="47FA38B9"/>
    <w:rsid w:val="480712F5"/>
    <w:rsid w:val="482149DA"/>
    <w:rsid w:val="4826335E"/>
    <w:rsid w:val="482A6A56"/>
    <w:rsid w:val="482B534E"/>
    <w:rsid w:val="483639D2"/>
    <w:rsid w:val="483C2771"/>
    <w:rsid w:val="48492230"/>
    <w:rsid w:val="484D4424"/>
    <w:rsid w:val="485C4105"/>
    <w:rsid w:val="48652AF4"/>
    <w:rsid w:val="48725180"/>
    <w:rsid w:val="487E153D"/>
    <w:rsid w:val="48802857"/>
    <w:rsid w:val="48817770"/>
    <w:rsid w:val="488D31C1"/>
    <w:rsid w:val="48971C07"/>
    <w:rsid w:val="489A5DAA"/>
    <w:rsid w:val="48A27CAA"/>
    <w:rsid w:val="48A31B88"/>
    <w:rsid w:val="48BE2CF0"/>
    <w:rsid w:val="48C15D8D"/>
    <w:rsid w:val="48C25955"/>
    <w:rsid w:val="48C955E5"/>
    <w:rsid w:val="48CA6810"/>
    <w:rsid w:val="48D13B36"/>
    <w:rsid w:val="48DA439B"/>
    <w:rsid w:val="48E44E43"/>
    <w:rsid w:val="48E4724D"/>
    <w:rsid w:val="48E53924"/>
    <w:rsid w:val="48E63F8B"/>
    <w:rsid w:val="48EF0F23"/>
    <w:rsid w:val="48FB4BC3"/>
    <w:rsid w:val="48FB5804"/>
    <w:rsid w:val="49086D1B"/>
    <w:rsid w:val="4915791B"/>
    <w:rsid w:val="491C3076"/>
    <w:rsid w:val="49201443"/>
    <w:rsid w:val="49324DD3"/>
    <w:rsid w:val="49392469"/>
    <w:rsid w:val="4939707B"/>
    <w:rsid w:val="493E5E9C"/>
    <w:rsid w:val="49414B4F"/>
    <w:rsid w:val="494A552B"/>
    <w:rsid w:val="495077AD"/>
    <w:rsid w:val="49532CF3"/>
    <w:rsid w:val="49581E86"/>
    <w:rsid w:val="495D7302"/>
    <w:rsid w:val="496607B9"/>
    <w:rsid w:val="496C36CB"/>
    <w:rsid w:val="496D2BF3"/>
    <w:rsid w:val="49825EA3"/>
    <w:rsid w:val="499402FE"/>
    <w:rsid w:val="499B6E75"/>
    <w:rsid w:val="49A13026"/>
    <w:rsid w:val="49A81F15"/>
    <w:rsid w:val="49B07C49"/>
    <w:rsid w:val="49B24B36"/>
    <w:rsid w:val="49BA3A93"/>
    <w:rsid w:val="49BC5080"/>
    <w:rsid w:val="49BD004C"/>
    <w:rsid w:val="49BE7C01"/>
    <w:rsid w:val="49BF6B4D"/>
    <w:rsid w:val="49C97028"/>
    <w:rsid w:val="49CA5515"/>
    <w:rsid w:val="49D425AD"/>
    <w:rsid w:val="49D63006"/>
    <w:rsid w:val="49D66827"/>
    <w:rsid w:val="49DA5740"/>
    <w:rsid w:val="49DB093F"/>
    <w:rsid w:val="49DC0B0E"/>
    <w:rsid w:val="49DE64CC"/>
    <w:rsid w:val="49E13015"/>
    <w:rsid w:val="49F00F52"/>
    <w:rsid w:val="49FD72CF"/>
    <w:rsid w:val="4A122E59"/>
    <w:rsid w:val="4A235C8A"/>
    <w:rsid w:val="4A292935"/>
    <w:rsid w:val="4A33120A"/>
    <w:rsid w:val="4A35109E"/>
    <w:rsid w:val="4A360ACF"/>
    <w:rsid w:val="4A377A65"/>
    <w:rsid w:val="4A385EDB"/>
    <w:rsid w:val="4A397CF0"/>
    <w:rsid w:val="4A3E5075"/>
    <w:rsid w:val="4A3E5F17"/>
    <w:rsid w:val="4A471EB8"/>
    <w:rsid w:val="4A49367A"/>
    <w:rsid w:val="4A4A7180"/>
    <w:rsid w:val="4A4D16C6"/>
    <w:rsid w:val="4A5139B4"/>
    <w:rsid w:val="4A8C7C76"/>
    <w:rsid w:val="4AAB34BB"/>
    <w:rsid w:val="4AAE4882"/>
    <w:rsid w:val="4AAF54B1"/>
    <w:rsid w:val="4AB00AB1"/>
    <w:rsid w:val="4AB26985"/>
    <w:rsid w:val="4AB838E8"/>
    <w:rsid w:val="4ABE4768"/>
    <w:rsid w:val="4AC34B56"/>
    <w:rsid w:val="4AD31BF7"/>
    <w:rsid w:val="4AD85CF3"/>
    <w:rsid w:val="4AE12695"/>
    <w:rsid w:val="4AE5063F"/>
    <w:rsid w:val="4AEB4287"/>
    <w:rsid w:val="4AEB6098"/>
    <w:rsid w:val="4AEF2F28"/>
    <w:rsid w:val="4AF201D5"/>
    <w:rsid w:val="4AF87CD0"/>
    <w:rsid w:val="4AFD1ED3"/>
    <w:rsid w:val="4B052044"/>
    <w:rsid w:val="4B124BB6"/>
    <w:rsid w:val="4B162370"/>
    <w:rsid w:val="4B1969EA"/>
    <w:rsid w:val="4B2373E8"/>
    <w:rsid w:val="4B247B19"/>
    <w:rsid w:val="4B28699B"/>
    <w:rsid w:val="4B30654A"/>
    <w:rsid w:val="4B313770"/>
    <w:rsid w:val="4B337729"/>
    <w:rsid w:val="4B4108AC"/>
    <w:rsid w:val="4B415F6D"/>
    <w:rsid w:val="4B5847DE"/>
    <w:rsid w:val="4B5F2399"/>
    <w:rsid w:val="4B742639"/>
    <w:rsid w:val="4B8938A4"/>
    <w:rsid w:val="4B8A6570"/>
    <w:rsid w:val="4B9346D8"/>
    <w:rsid w:val="4B947A37"/>
    <w:rsid w:val="4B990B42"/>
    <w:rsid w:val="4BA47014"/>
    <w:rsid w:val="4BA56AD4"/>
    <w:rsid w:val="4BAA58CE"/>
    <w:rsid w:val="4BB01B88"/>
    <w:rsid w:val="4BB560F4"/>
    <w:rsid w:val="4BB64CD0"/>
    <w:rsid w:val="4BC12085"/>
    <w:rsid w:val="4BC41A56"/>
    <w:rsid w:val="4BC859C1"/>
    <w:rsid w:val="4BCA5994"/>
    <w:rsid w:val="4BD40AAB"/>
    <w:rsid w:val="4BE84CBE"/>
    <w:rsid w:val="4BEB2C94"/>
    <w:rsid w:val="4BF1099C"/>
    <w:rsid w:val="4BF623B0"/>
    <w:rsid w:val="4BF86D6D"/>
    <w:rsid w:val="4BFB0607"/>
    <w:rsid w:val="4C0007D3"/>
    <w:rsid w:val="4C00522E"/>
    <w:rsid w:val="4C051F8F"/>
    <w:rsid w:val="4C08466C"/>
    <w:rsid w:val="4C085165"/>
    <w:rsid w:val="4C12207D"/>
    <w:rsid w:val="4C1471C6"/>
    <w:rsid w:val="4C152CAE"/>
    <w:rsid w:val="4C1604D1"/>
    <w:rsid w:val="4C27778C"/>
    <w:rsid w:val="4C28045F"/>
    <w:rsid w:val="4C286716"/>
    <w:rsid w:val="4C353FDB"/>
    <w:rsid w:val="4C3F1A17"/>
    <w:rsid w:val="4C3F668A"/>
    <w:rsid w:val="4C4125D9"/>
    <w:rsid w:val="4C4437AE"/>
    <w:rsid w:val="4C4E5B23"/>
    <w:rsid w:val="4C50471A"/>
    <w:rsid w:val="4C534C86"/>
    <w:rsid w:val="4C5D11D7"/>
    <w:rsid w:val="4C5E3199"/>
    <w:rsid w:val="4C5E6ACF"/>
    <w:rsid w:val="4C6B2FE2"/>
    <w:rsid w:val="4C787885"/>
    <w:rsid w:val="4C7E409F"/>
    <w:rsid w:val="4C807EFC"/>
    <w:rsid w:val="4C831751"/>
    <w:rsid w:val="4C921493"/>
    <w:rsid w:val="4C96075E"/>
    <w:rsid w:val="4C960838"/>
    <w:rsid w:val="4C9A21F4"/>
    <w:rsid w:val="4C9E76E1"/>
    <w:rsid w:val="4CB210AA"/>
    <w:rsid w:val="4CB4376C"/>
    <w:rsid w:val="4CBD0B1F"/>
    <w:rsid w:val="4CC22A4A"/>
    <w:rsid w:val="4CC64FB8"/>
    <w:rsid w:val="4CCA40FA"/>
    <w:rsid w:val="4CE87889"/>
    <w:rsid w:val="4CED710E"/>
    <w:rsid w:val="4CF17AA4"/>
    <w:rsid w:val="4CF87AFD"/>
    <w:rsid w:val="4D003857"/>
    <w:rsid w:val="4D05521E"/>
    <w:rsid w:val="4D076FF3"/>
    <w:rsid w:val="4D08414A"/>
    <w:rsid w:val="4D092506"/>
    <w:rsid w:val="4D200666"/>
    <w:rsid w:val="4D3A7012"/>
    <w:rsid w:val="4D3D19D7"/>
    <w:rsid w:val="4D451508"/>
    <w:rsid w:val="4D47346B"/>
    <w:rsid w:val="4D495DF4"/>
    <w:rsid w:val="4D581CBD"/>
    <w:rsid w:val="4D69316A"/>
    <w:rsid w:val="4D785A58"/>
    <w:rsid w:val="4D853E44"/>
    <w:rsid w:val="4D8744C7"/>
    <w:rsid w:val="4D88149C"/>
    <w:rsid w:val="4D8C33FE"/>
    <w:rsid w:val="4D970124"/>
    <w:rsid w:val="4D992749"/>
    <w:rsid w:val="4DC2477B"/>
    <w:rsid w:val="4DC37AAD"/>
    <w:rsid w:val="4DD03A81"/>
    <w:rsid w:val="4DE1012A"/>
    <w:rsid w:val="4DE56472"/>
    <w:rsid w:val="4DEA16B8"/>
    <w:rsid w:val="4DF17ECD"/>
    <w:rsid w:val="4DF47058"/>
    <w:rsid w:val="4DF65554"/>
    <w:rsid w:val="4DFA077E"/>
    <w:rsid w:val="4DFC1243"/>
    <w:rsid w:val="4E02229A"/>
    <w:rsid w:val="4E132BF4"/>
    <w:rsid w:val="4E162BA9"/>
    <w:rsid w:val="4E1E0460"/>
    <w:rsid w:val="4E1F2098"/>
    <w:rsid w:val="4E245FCD"/>
    <w:rsid w:val="4E2A37D7"/>
    <w:rsid w:val="4E2F4F0E"/>
    <w:rsid w:val="4E3F0D8B"/>
    <w:rsid w:val="4E452F68"/>
    <w:rsid w:val="4E4F602D"/>
    <w:rsid w:val="4E521DCC"/>
    <w:rsid w:val="4E563A79"/>
    <w:rsid w:val="4E5D37BF"/>
    <w:rsid w:val="4E5E7854"/>
    <w:rsid w:val="4E60113A"/>
    <w:rsid w:val="4E7C40A4"/>
    <w:rsid w:val="4E8267E7"/>
    <w:rsid w:val="4E826B8B"/>
    <w:rsid w:val="4E915C83"/>
    <w:rsid w:val="4E920755"/>
    <w:rsid w:val="4E980798"/>
    <w:rsid w:val="4E9A5427"/>
    <w:rsid w:val="4E9A7B73"/>
    <w:rsid w:val="4E9E6AA4"/>
    <w:rsid w:val="4EA244DC"/>
    <w:rsid w:val="4EA3784C"/>
    <w:rsid w:val="4EA81B9B"/>
    <w:rsid w:val="4EAA586C"/>
    <w:rsid w:val="4EB951BF"/>
    <w:rsid w:val="4EBB7642"/>
    <w:rsid w:val="4EBF6B54"/>
    <w:rsid w:val="4EC0678A"/>
    <w:rsid w:val="4EC16EB7"/>
    <w:rsid w:val="4EC935CE"/>
    <w:rsid w:val="4ECC2FCC"/>
    <w:rsid w:val="4ECD2EF2"/>
    <w:rsid w:val="4ED11C95"/>
    <w:rsid w:val="4ED15594"/>
    <w:rsid w:val="4EDC019B"/>
    <w:rsid w:val="4EDD798C"/>
    <w:rsid w:val="4EE27137"/>
    <w:rsid w:val="4EEB6A39"/>
    <w:rsid w:val="4EF44D23"/>
    <w:rsid w:val="4EF844EA"/>
    <w:rsid w:val="4EFB744F"/>
    <w:rsid w:val="4EFC3112"/>
    <w:rsid w:val="4EFD1701"/>
    <w:rsid w:val="4EFF66FB"/>
    <w:rsid w:val="4F040683"/>
    <w:rsid w:val="4F130C17"/>
    <w:rsid w:val="4F166D4A"/>
    <w:rsid w:val="4F270D2D"/>
    <w:rsid w:val="4F2737C5"/>
    <w:rsid w:val="4F31723C"/>
    <w:rsid w:val="4F340C63"/>
    <w:rsid w:val="4F3E1BA7"/>
    <w:rsid w:val="4F527868"/>
    <w:rsid w:val="4F6709AC"/>
    <w:rsid w:val="4F6D642E"/>
    <w:rsid w:val="4F6F762E"/>
    <w:rsid w:val="4F767689"/>
    <w:rsid w:val="4F926827"/>
    <w:rsid w:val="4F98633D"/>
    <w:rsid w:val="4FA4623D"/>
    <w:rsid w:val="4FA86461"/>
    <w:rsid w:val="4FAA16EE"/>
    <w:rsid w:val="4FAB620C"/>
    <w:rsid w:val="4FB25D36"/>
    <w:rsid w:val="4FB55FF8"/>
    <w:rsid w:val="4FCF79B6"/>
    <w:rsid w:val="4FE06869"/>
    <w:rsid w:val="4FE9200A"/>
    <w:rsid w:val="4FF42752"/>
    <w:rsid w:val="4FF67560"/>
    <w:rsid w:val="4FF87BDA"/>
    <w:rsid w:val="4FFD4205"/>
    <w:rsid w:val="4FFF5603"/>
    <w:rsid w:val="500035DB"/>
    <w:rsid w:val="500554BB"/>
    <w:rsid w:val="50082791"/>
    <w:rsid w:val="500A21E7"/>
    <w:rsid w:val="5010424F"/>
    <w:rsid w:val="502318E5"/>
    <w:rsid w:val="502456DC"/>
    <w:rsid w:val="502E1C8A"/>
    <w:rsid w:val="502E37C2"/>
    <w:rsid w:val="50472F38"/>
    <w:rsid w:val="504967D4"/>
    <w:rsid w:val="504C56EA"/>
    <w:rsid w:val="50523597"/>
    <w:rsid w:val="50537E95"/>
    <w:rsid w:val="50583896"/>
    <w:rsid w:val="50585CC6"/>
    <w:rsid w:val="5059113E"/>
    <w:rsid w:val="506871A6"/>
    <w:rsid w:val="506B39C8"/>
    <w:rsid w:val="50757758"/>
    <w:rsid w:val="507E4835"/>
    <w:rsid w:val="50807FAC"/>
    <w:rsid w:val="508159F6"/>
    <w:rsid w:val="50841FF1"/>
    <w:rsid w:val="50984F92"/>
    <w:rsid w:val="50A07C67"/>
    <w:rsid w:val="50AC4DAF"/>
    <w:rsid w:val="50B568B9"/>
    <w:rsid w:val="50B926E0"/>
    <w:rsid w:val="50C069B4"/>
    <w:rsid w:val="50D101AA"/>
    <w:rsid w:val="50D71075"/>
    <w:rsid w:val="50E32A6C"/>
    <w:rsid w:val="50E93B81"/>
    <w:rsid w:val="510530E4"/>
    <w:rsid w:val="510D3CD7"/>
    <w:rsid w:val="51161C4E"/>
    <w:rsid w:val="511848E8"/>
    <w:rsid w:val="51205736"/>
    <w:rsid w:val="51242D1A"/>
    <w:rsid w:val="51275130"/>
    <w:rsid w:val="51332596"/>
    <w:rsid w:val="51360B87"/>
    <w:rsid w:val="513938C9"/>
    <w:rsid w:val="51394095"/>
    <w:rsid w:val="513A2A02"/>
    <w:rsid w:val="513E3F26"/>
    <w:rsid w:val="51401058"/>
    <w:rsid w:val="514E5AEA"/>
    <w:rsid w:val="5156081F"/>
    <w:rsid w:val="516052CE"/>
    <w:rsid w:val="51657342"/>
    <w:rsid w:val="51722A42"/>
    <w:rsid w:val="5173706F"/>
    <w:rsid w:val="51774780"/>
    <w:rsid w:val="51853637"/>
    <w:rsid w:val="51860FBE"/>
    <w:rsid w:val="518A2050"/>
    <w:rsid w:val="518D1F26"/>
    <w:rsid w:val="519E2B14"/>
    <w:rsid w:val="51A055DC"/>
    <w:rsid w:val="51AA5DE3"/>
    <w:rsid w:val="51AC6764"/>
    <w:rsid w:val="51AD4B3B"/>
    <w:rsid w:val="51AF3D17"/>
    <w:rsid w:val="51B52056"/>
    <w:rsid w:val="51B74F5A"/>
    <w:rsid w:val="51C15D6C"/>
    <w:rsid w:val="51C36CCB"/>
    <w:rsid w:val="51C471B1"/>
    <w:rsid w:val="51CA613D"/>
    <w:rsid w:val="51DB1C8D"/>
    <w:rsid w:val="51E82B6A"/>
    <w:rsid w:val="51EA4CB0"/>
    <w:rsid w:val="51EC1D13"/>
    <w:rsid w:val="51EE435D"/>
    <w:rsid w:val="52000617"/>
    <w:rsid w:val="520A4783"/>
    <w:rsid w:val="520D4FCD"/>
    <w:rsid w:val="520E4EF5"/>
    <w:rsid w:val="520F69D2"/>
    <w:rsid w:val="52145799"/>
    <w:rsid w:val="521570C5"/>
    <w:rsid w:val="521D24AF"/>
    <w:rsid w:val="52242841"/>
    <w:rsid w:val="52277D53"/>
    <w:rsid w:val="522B352E"/>
    <w:rsid w:val="522F41A9"/>
    <w:rsid w:val="523E6D57"/>
    <w:rsid w:val="52417FCE"/>
    <w:rsid w:val="52474E72"/>
    <w:rsid w:val="52517014"/>
    <w:rsid w:val="525E1819"/>
    <w:rsid w:val="52656D4B"/>
    <w:rsid w:val="52690A8A"/>
    <w:rsid w:val="52702CC3"/>
    <w:rsid w:val="527C0553"/>
    <w:rsid w:val="52994479"/>
    <w:rsid w:val="529C787B"/>
    <w:rsid w:val="52A118F2"/>
    <w:rsid w:val="52A62910"/>
    <w:rsid w:val="52AC196F"/>
    <w:rsid w:val="52BB751E"/>
    <w:rsid w:val="52BF0C6B"/>
    <w:rsid w:val="52BF7616"/>
    <w:rsid w:val="52D302DE"/>
    <w:rsid w:val="52DB37D2"/>
    <w:rsid w:val="52E112D6"/>
    <w:rsid w:val="52EF771A"/>
    <w:rsid w:val="52F23609"/>
    <w:rsid w:val="52F725D3"/>
    <w:rsid w:val="530414B1"/>
    <w:rsid w:val="53052996"/>
    <w:rsid w:val="53155FA7"/>
    <w:rsid w:val="53243A84"/>
    <w:rsid w:val="532C2893"/>
    <w:rsid w:val="532E7557"/>
    <w:rsid w:val="53315C4B"/>
    <w:rsid w:val="533A00AA"/>
    <w:rsid w:val="533C7D22"/>
    <w:rsid w:val="53476182"/>
    <w:rsid w:val="534F7E64"/>
    <w:rsid w:val="53575365"/>
    <w:rsid w:val="536F51A3"/>
    <w:rsid w:val="537321AC"/>
    <w:rsid w:val="53743ED1"/>
    <w:rsid w:val="53752E08"/>
    <w:rsid w:val="537D120F"/>
    <w:rsid w:val="538F2A59"/>
    <w:rsid w:val="53920585"/>
    <w:rsid w:val="5396301E"/>
    <w:rsid w:val="539831F9"/>
    <w:rsid w:val="539A41B3"/>
    <w:rsid w:val="53A87319"/>
    <w:rsid w:val="53AA17A9"/>
    <w:rsid w:val="53AD6070"/>
    <w:rsid w:val="53B842AC"/>
    <w:rsid w:val="53BA3C6D"/>
    <w:rsid w:val="53BB5C95"/>
    <w:rsid w:val="53BD0659"/>
    <w:rsid w:val="53BE5711"/>
    <w:rsid w:val="53C42C43"/>
    <w:rsid w:val="53CB12B0"/>
    <w:rsid w:val="53EC1ECF"/>
    <w:rsid w:val="53EC6DD7"/>
    <w:rsid w:val="53F74AF6"/>
    <w:rsid w:val="53FD311C"/>
    <w:rsid w:val="53FD3B90"/>
    <w:rsid w:val="54084EF7"/>
    <w:rsid w:val="540A305C"/>
    <w:rsid w:val="5410110C"/>
    <w:rsid w:val="54131912"/>
    <w:rsid w:val="541C1529"/>
    <w:rsid w:val="54222228"/>
    <w:rsid w:val="5422763A"/>
    <w:rsid w:val="542A4CF1"/>
    <w:rsid w:val="54393B83"/>
    <w:rsid w:val="544615CD"/>
    <w:rsid w:val="54510C43"/>
    <w:rsid w:val="54517EF0"/>
    <w:rsid w:val="54521272"/>
    <w:rsid w:val="54521A63"/>
    <w:rsid w:val="54552093"/>
    <w:rsid w:val="5456526D"/>
    <w:rsid w:val="546135C3"/>
    <w:rsid w:val="546B3A7C"/>
    <w:rsid w:val="546E71A0"/>
    <w:rsid w:val="547145DD"/>
    <w:rsid w:val="547609DD"/>
    <w:rsid w:val="547B5D3D"/>
    <w:rsid w:val="5481741B"/>
    <w:rsid w:val="5482587D"/>
    <w:rsid w:val="548341C1"/>
    <w:rsid w:val="5484104F"/>
    <w:rsid w:val="54886400"/>
    <w:rsid w:val="54922940"/>
    <w:rsid w:val="54923C71"/>
    <w:rsid w:val="54A75B90"/>
    <w:rsid w:val="54AE280E"/>
    <w:rsid w:val="54B223F8"/>
    <w:rsid w:val="54B3060F"/>
    <w:rsid w:val="54B40DB1"/>
    <w:rsid w:val="54B4518C"/>
    <w:rsid w:val="54B95A1A"/>
    <w:rsid w:val="54C23274"/>
    <w:rsid w:val="54D26341"/>
    <w:rsid w:val="54D45BC4"/>
    <w:rsid w:val="54DB49C4"/>
    <w:rsid w:val="54DC1C2B"/>
    <w:rsid w:val="54DE1184"/>
    <w:rsid w:val="54DE7576"/>
    <w:rsid w:val="54E212F4"/>
    <w:rsid w:val="54E92EA3"/>
    <w:rsid w:val="54FB018C"/>
    <w:rsid w:val="550109C1"/>
    <w:rsid w:val="55054110"/>
    <w:rsid w:val="5508132B"/>
    <w:rsid w:val="55100B6A"/>
    <w:rsid w:val="55122FCC"/>
    <w:rsid w:val="55131049"/>
    <w:rsid w:val="55164C9A"/>
    <w:rsid w:val="551A15C6"/>
    <w:rsid w:val="551F2C7C"/>
    <w:rsid w:val="552F12F5"/>
    <w:rsid w:val="553A18C8"/>
    <w:rsid w:val="553F43DA"/>
    <w:rsid w:val="5546256D"/>
    <w:rsid w:val="555946AB"/>
    <w:rsid w:val="555C3C55"/>
    <w:rsid w:val="555C3E9A"/>
    <w:rsid w:val="556100F8"/>
    <w:rsid w:val="55627B08"/>
    <w:rsid w:val="5565088E"/>
    <w:rsid w:val="556661A6"/>
    <w:rsid w:val="556A0D08"/>
    <w:rsid w:val="556D2C0F"/>
    <w:rsid w:val="556F7375"/>
    <w:rsid w:val="55721481"/>
    <w:rsid w:val="55782AAA"/>
    <w:rsid w:val="5579157E"/>
    <w:rsid w:val="55911E19"/>
    <w:rsid w:val="559601F5"/>
    <w:rsid w:val="559B253D"/>
    <w:rsid w:val="559E2967"/>
    <w:rsid w:val="559F620B"/>
    <w:rsid w:val="55A03621"/>
    <w:rsid w:val="55A17B91"/>
    <w:rsid w:val="55AD5540"/>
    <w:rsid w:val="55BB3061"/>
    <w:rsid w:val="55C37CDE"/>
    <w:rsid w:val="55D22539"/>
    <w:rsid w:val="55E34C3E"/>
    <w:rsid w:val="55E53845"/>
    <w:rsid w:val="55E61A70"/>
    <w:rsid w:val="55F00E52"/>
    <w:rsid w:val="55F720C6"/>
    <w:rsid w:val="5607285D"/>
    <w:rsid w:val="560F2F20"/>
    <w:rsid w:val="56102900"/>
    <w:rsid w:val="56120991"/>
    <w:rsid w:val="562D50DC"/>
    <w:rsid w:val="563D46B2"/>
    <w:rsid w:val="56457704"/>
    <w:rsid w:val="5648287B"/>
    <w:rsid w:val="5658153C"/>
    <w:rsid w:val="5667179F"/>
    <w:rsid w:val="5669552B"/>
    <w:rsid w:val="56756FEE"/>
    <w:rsid w:val="567A14B2"/>
    <w:rsid w:val="568B0655"/>
    <w:rsid w:val="568F6105"/>
    <w:rsid w:val="569340BF"/>
    <w:rsid w:val="569D7032"/>
    <w:rsid w:val="56A26CA4"/>
    <w:rsid w:val="56A769A9"/>
    <w:rsid w:val="56A90163"/>
    <w:rsid w:val="56AD22B9"/>
    <w:rsid w:val="56BA554A"/>
    <w:rsid w:val="56C768C1"/>
    <w:rsid w:val="56CB20C5"/>
    <w:rsid w:val="56CF17A9"/>
    <w:rsid w:val="56DE774E"/>
    <w:rsid w:val="56ED3AE9"/>
    <w:rsid w:val="56EF6AA9"/>
    <w:rsid w:val="56F232A6"/>
    <w:rsid w:val="56FB3DE8"/>
    <w:rsid w:val="57101D0B"/>
    <w:rsid w:val="57131037"/>
    <w:rsid w:val="573556C2"/>
    <w:rsid w:val="57373182"/>
    <w:rsid w:val="57450B71"/>
    <w:rsid w:val="575632CC"/>
    <w:rsid w:val="57606F87"/>
    <w:rsid w:val="577A6D2E"/>
    <w:rsid w:val="577E0893"/>
    <w:rsid w:val="577F0575"/>
    <w:rsid w:val="578840B1"/>
    <w:rsid w:val="57945726"/>
    <w:rsid w:val="579D34A4"/>
    <w:rsid w:val="57AC7F76"/>
    <w:rsid w:val="57B17ABA"/>
    <w:rsid w:val="57B37249"/>
    <w:rsid w:val="57B528A1"/>
    <w:rsid w:val="57BF6AF8"/>
    <w:rsid w:val="57C969E3"/>
    <w:rsid w:val="57D57D2F"/>
    <w:rsid w:val="57D60714"/>
    <w:rsid w:val="57D94111"/>
    <w:rsid w:val="57DC2BAD"/>
    <w:rsid w:val="57F15865"/>
    <w:rsid w:val="57F67D0A"/>
    <w:rsid w:val="57FF2C6E"/>
    <w:rsid w:val="580112DD"/>
    <w:rsid w:val="58057B99"/>
    <w:rsid w:val="580815FA"/>
    <w:rsid w:val="5808676D"/>
    <w:rsid w:val="58201D40"/>
    <w:rsid w:val="58350076"/>
    <w:rsid w:val="583A3C22"/>
    <w:rsid w:val="58430D07"/>
    <w:rsid w:val="584326B5"/>
    <w:rsid w:val="586846EF"/>
    <w:rsid w:val="586D2962"/>
    <w:rsid w:val="5872759C"/>
    <w:rsid w:val="58733D8D"/>
    <w:rsid w:val="58872F30"/>
    <w:rsid w:val="588B353C"/>
    <w:rsid w:val="588B7142"/>
    <w:rsid w:val="589B5B49"/>
    <w:rsid w:val="589E3418"/>
    <w:rsid w:val="58A9755A"/>
    <w:rsid w:val="58AF3175"/>
    <w:rsid w:val="58B67BEB"/>
    <w:rsid w:val="58C00689"/>
    <w:rsid w:val="58CC7366"/>
    <w:rsid w:val="58DF2335"/>
    <w:rsid w:val="58E3120B"/>
    <w:rsid w:val="58ED24DC"/>
    <w:rsid w:val="58EE7F4C"/>
    <w:rsid w:val="58F46DEA"/>
    <w:rsid w:val="58FB7105"/>
    <w:rsid w:val="590B158E"/>
    <w:rsid w:val="590D3771"/>
    <w:rsid w:val="59107FD3"/>
    <w:rsid w:val="591401BA"/>
    <w:rsid w:val="59283577"/>
    <w:rsid w:val="592C532E"/>
    <w:rsid w:val="592D4E59"/>
    <w:rsid w:val="59495D0A"/>
    <w:rsid w:val="594A0F1E"/>
    <w:rsid w:val="594B2650"/>
    <w:rsid w:val="59550077"/>
    <w:rsid w:val="59695B0E"/>
    <w:rsid w:val="597900D1"/>
    <w:rsid w:val="59844F81"/>
    <w:rsid w:val="5984766D"/>
    <w:rsid w:val="598D1CE2"/>
    <w:rsid w:val="59941933"/>
    <w:rsid w:val="59A114F8"/>
    <w:rsid w:val="59A3309B"/>
    <w:rsid w:val="59AD460E"/>
    <w:rsid w:val="59B764D9"/>
    <w:rsid w:val="59BA7DD3"/>
    <w:rsid w:val="59BF0470"/>
    <w:rsid w:val="59C12B00"/>
    <w:rsid w:val="59C5315A"/>
    <w:rsid w:val="59C85BBA"/>
    <w:rsid w:val="59DA1A0D"/>
    <w:rsid w:val="59DF73D7"/>
    <w:rsid w:val="59E01997"/>
    <w:rsid w:val="59F112FE"/>
    <w:rsid w:val="59F26158"/>
    <w:rsid w:val="59FA1FEC"/>
    <w:rsid w:val="5A0C522E"/>
    <w:rsid w:val="5A136829"/>
    <w:rsid w:val="5A143FBA"/>
    <w:rsid w:val="5A2643CB"/>
    <w:rsid w:val="5A397DDF"/>
    <w:rsid w:val="5A41018A"/>
    <w:rsid w:val="5A4D708A"/>
    <w:rsid w:val="5A761225"/>
    <w:rsid w:val="5A8A4153"/>
    <w:rsid w:val="5A8F4ABF"/>
    <w:rsid w:val="5A9038A8"/>
    <w:rsid w:val="5AB62857"/>
    <w:rsid w:val="5AB67988"/>
    <w:rsid w:val="5AB91724"/>
    <w:rsid w:val="5ABF7D64"/>
    <w:rsid w:val="5ACA5953"/>
    <w:rsid w:val="5ACB3A4A"/>
    <w:rsid w:val="5ACF19E6"/>
    <w:rsid w:val="5AD47477"/>
    <w:rsid w:val="5AE3217B"/>
    <w:rsid w:val="5AE57817"/>
    <w:rsid w:val="5AE60D3F"/>
    <w:rsid w:val="5AE70490"/>
    <w:rsid w:val="5B06430D"/>
    <w:rsid w:val="5B0C1DEE"/>
    <w:rsid w:val="5B173253"/>
    <w:rsid w:val="5B26453F"/>
    <w:rsid w:val="5B2A49AD"/>
    <w:rsid w:val="5B43724B"/>
    <w:rsid w:val="5B4B2BED"/>
    <w:rsid w:val="5B59062D"/>
    <w:rsid w:val="5B6451A6"/>
    <w:rsid w:val="5B75731B"/>
    <w:rsid w:val="5B7E1EB2"/>
    <w:rsid w:val="5B847D3D"/>
    <w:rsid w:val="5B861444"/>
    <w:rsid w:val="5B8A50DE"/>
    <w:rsid w:val="5B912B50"/>
    <w:rsid w:val="5B953ED2"/>
    <w:rsid w:val="5B993928"/>
    <w:rsid w:val="5B9955E8"/>
    <w:rsid w:val="5B9A5925"/>
    <w:rsid w:val="5B9B4306"/>
    <w:rsid w:val="5B9E436E"/>
    <w:rsid w:val="5BA13C73"/>
    <w:rsid w:val="5BAA0E05"/>
    <w:rsid w:val="5BB3110B"/>
    <w:rsid w:val="5BB50DF9"/>
    <w:rsid w:val="5BC2290D"/>
    <w:rsid w:val="5BC90992"/>
    <w:rsid w:val="5BCB2B90"/>
    <w:rsid w:val="5BD81FA8"/>
    <w:rsid w:val="5BE014E5"/>
    <w:rsid w:val="5BED5D88"/>
    <w:rsid w:val="5BF204A7"/>
    <w:rsid w:val="5BF53049"/>
    <w:rsid w:val="5BF53B3D"/>
    <w:rsid w:val="5BFB7164"/>
    <w:rsid w:val="5C0B1C47"/>
    <w:rsid w:val="5C0B2E25"/>
    <w:rsid w:val="5C17648D"/>
    <w:rsid w:val="5C1A310B"/>
    <w:rsid w:val="5C1A753A"/>
    <w:rsid w:val="5C202F01"/>
    <w:rsid w:val="5C236E8E"/>
    <w:rsid w:val="5C312060"/>
    <w:rsid w:val="5C461A91"/>
    <w:rsid w:val="5C4639E1"/>
    <w:rsid w:val="5C497FA1"/>
    <w:rsid w:val="5C4B3F8B"/>
    <w:rsid w:val="5C583E24"/>
    <w:rsid w:val="5C60208A"/>
    <w:rsid w:val="5C66535C"/>
    <w:rsid w:val="5C6D3AA0"/>
    <w:rsid w:val="5C6D424E"/>
    <w:rsid w:val="5C727C32"/>
    <w:rsid w:val="5C774020"/>
    <w:rsid w:val="5C836D63"/>
    <w:rsid w:val="5C847D9F"/>
    <w:rsid w:val="5C8A0E37"/>
    <w:rsid w:val="5C93198C"/>
    <w:rsid w:val="5C98042B"/>
    <w:rsid w:val="5C9913E2"/>
    <w:rsid w:val="5CA66466"/>
    <w:rsid w:val="5CAD630E"/>
    <w:rsid w:val="5CB2457D"/>
    <w:rsid w:val="5CB33015"/>
    <w:rsid w:val="5CB46F5A"/>
    <w:rsid w:val="5CB7639B"/>
    <w:rsid w:val="5CCD6C91"/>
    <w:rsid w:val="5CD91E24"/>
    <w:rsid w:val="5CDE0C87"/>
    <w:rsid w:val="5CDF1DCE"/>
    <w:rsid w:val="5CE24BB5"/>
    <w:rsid w:val="5CE33758"/>
    <w:rsid w:val="5CE96194"/>
    <w:rsid w:val="5CF319DE"/>
    <w:rsid w:val="5CF50E0C"/>
    <w:rsid w:val="5CFA2EAA"/>
    <w:rsid w:val="5D041404"/>
    <w:rsid w:val="5D05702F"/>
    <w:rsid w:val="5D0819AF"/>
    <w:rsid w:val="5D0B3DB3"/>
    <w:rsid w:val="5D131B22"/>
    <w:rsid w:val="5D15609A"/>
    <w:rsid w:val="5D1F0193"/>
    <w:rsid w:val="5D243C94"/>
    <w:rsid w:val="5D246DB0"/>
    <w:rsid w:val="5D264973"/>
    <w:rsid w:val="5D272194"/>
    <w:rsid w:val="5D283218"/>
    <w:rsid w:val="5D2A41F3"/>
    <w:rsid w:val="5D3C3250"/>
    <w:rsid w:val="5D3E70CC"/>
    <w:rsid w:val="5D412E9E"/>
    <w:rsid w:val="5D4C2F1C"/>
    <w:rsid w:val="5D503C55"/>
    <w:rsid w:val="5D5531B4"/>
    <w:rsid w:val="5D584E78"/>
    <w:rsid w:val="5D5E4BD3"/>
    <w:rsid w:val="5D610FBA"/>
    <w:rsid w:val="5D6B2147"/>
    <w:rsid w:val="5D73062F"/>
    <w:rsid w:val="5D7519FB"/>
    <w:rsid w:val="5D754359"/>
    <w:rsid w:val="5D7D61FF"/>
    <w:rsid w:val="5D7E072C"/>
    <w:rsid w:val="5D7F5B3F"/>
    <w:rsid w:val="5D8374DA"/>
    <w:rsid w:val="5D9043C5"/>
    <w:rsid w:val="5D917380"/>
    <w:rsid w:val="5D976281"/>
    <w:rsid w:val="5D9F66F5"/>
    <w:rsid w:val="5DBF03EB"/>
    <w:rsid w:val="5DBF5867"/>
    <w:rsid w:val="5DC04997"/>
    <w:rsid w:val="5DC53591"/>
    <w:rsid w:val="5DC85744"/>
    <w:rsid w:val="5DCF2F34"/>
    <w:rsid w:val="5DD2534B"/>
    <w:rsid w:val="5DDE7CA6"/>
    <w:rsid w:val="5DE95852"/>
    <w:rsid w:val="5DEB2D6E"/>
    <w:rsid w:val="5DF85FBA"/>
    <w:rsid w:val="5DFC2939"/>
    <w:rsid w:val="5E027BA8"/>
    <w:rsid w:val="5E0A0BB4"/>
    <w:rsid w:val="5E0A3A10"/>
    <w:rsid w:val="5E2860C8"/>
    <w:rsid w:val="5E2A0754"/>
    <w:rsid w:val="5E2B3F5E"/>
    <w:rsid w:val="5E384323"/>
    <w:rsid w:val="5E3B2009"/>
    <w:rsid w:val="5E3B3903"/>
    <w:rsid w:val="5E3C3CAB"/>
    <w:rsid w:val="5E3E2839"/>
    <w:rsid w:val="5E425E09"/>
    <w:rsid w:val="5E445E81"/>
    <w:rsid w:val="5E4E3305"/>
    <w:rsid w:val="5E561E50"/>
    <w:rsid w:val="5E5851CA"/>
    <w:rsid w:val="5E592331"/>
    <w:rsid w:val="5E5A0AEA"/>
    <w:rsid w:val="5E6D2BC6"/>
    <w:rsid w:val="5E7516A9"/>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E4AD3"/>
    <w:rsid w:val="5ED90A4F"/>
    <w:rsid w:val="5EDB5760"/>
    <w:rsid w:val="5EEE4299"/>
    <w:rsid w:val="5EF04834"/>
    <w:rsid w:val="5EF77A28"/>
    <w:rsid w:val="5EF86B45"/>
    <w:rsid w:val="5EFA508F"/>
    <w:rsid w:val="5F1A537B"/>
    <w:rsid w:val="5F1D3DA3"/>
    <w:rsid w:val="5F207D18"/>
    <w:rsid w:val="5F22545D"/>
    <w:rsid w:val="5F24765D"/>
    <w:rsid w:val="5F290D15"/>
    <w:rsid w:val="5F2B466E"/>
    <w:rsid w:val="5F4209AC"/>
    <w:rsid w:val="5F424C71"/>
    <w:rsid w:val="5F432EAB"/>
    <w:rsid w:val="5F4420C1"/>
    <w:rsid w:val="5F4E1724"/>
    <w:rsid w:val="5F58372D"/>
    <w:rsid w:val="5F5C17A0"/>
    <w:rsid w:val="5F654B11"/>
    <w:rsid w:val="5F6649D0"/>
    <w:rsid w:val="5F67640E"/>
    <w:rsid w:val="5F7078E4"/>
    <w:rsid w:val="5F755CC4"/>
    <w:rsid w:val="5F7A430A"/>
    <w:rsid w:val="5F7F18C1"/>
    <w:rsid w:val="5F8124DD"/>
    <w:rsid w:val="5F8B58BB"/>
    <w:rsid w:val="5F94225B"/>
    <w:rsid w:val="5F9840E4"/>
    <w:rsid w:val="5F9E04B9"/>
    <w:rsid w:val="5FAB0881"/>
    <w:rsid w:val="5FB872AD"/>
    <w:rsid w:val="5FBA585B"/>
    <w:rsid w:val="5FC111DF"/>
    <w:rsid w:val="5FD538D8"/>
    <w:rsid w:val="5FD6077A"/>
    <w:rsid w:val="5FD91EC4"/>
    <w:rsid w:val="5FDA00BB"/>
    <w:rsid w:val="5FDC6830"/>
    <w:rsid w:val="5FE45387"/>
    <w:rsid w:val="5FE57F90"/>
    <w:rsid w:val="5FF842D2"/>
    <w:rsid w:val="5FF96B92"/>
    <w:rsid w:val="5FFF6B3B"/>
    <w:rsid w:val="60010018"/>
    <w:rsid w:val="60033EF8"/>
    <w:rsid w:val="60103832"/>
    <w:rsid w:val="6011375B"/>
    <w:rsid w:val="60170FDD"/>
    <w:rsid w:val="601A4CAC"/>
    <w:rsid w:val="602A33E5"/>
    <w:rsid w:val="602D12EB"/>
    <w:rsid w:val="60354303"/>
    <w:rsid w:val="60381E7E"/>
    <w:rsid w:val="603B39E3"/>
    <w:rsid w:val="603D123C"/>
    <w:rsid w:val="60405096"/>
    <w:rsid w:val="60430916"/>
    <w:rsid w:val="60433F1A"/>
    <w:rsid w:val="604638DA"/>
    <w:rsid w:val="604B2C00"/>
    <w:rsid w:val="60531BBE"/>
    <w:rsid w:val="60537F87"/>
    <w:rsid w:val="605A2653"/>
    <w:rsid w:val="605B16EF"/>
    <w:rsid w:val="606030AA"/>
    <w:rsid w:val="607029FA"/>
    <w:rsid w:val="60820079"/>
    <w:rsid w:val="60866FAA"/>
    <w:rsid w:val="608951D9"/>
    <w:rsid w:val="608A3E83"/>
    <w:rsid w:val="60911AB1"/>
    <w:rsid w:val="60914A5A"/>
    <w:rsid w:val="60914E6D"/>
    <w:rsid w:val="60917D4C"/>
    <w:rsid w:val="609D4A67"/>
    <w:rsid w:val="60AB53BD"/>
    <w:rsid w:val="60AE1332"/>
    <w:rsid w:val="60B06382"/>
    <w:rsid w:val="60B238E8"/>
    <w:rsid w:val="60C56A58"/>
    <w:rsid w:val="60D05951"/>
    <w:rsid w:val="60E40FCB"/>
    <w:rsid w:val="60E727D0"/>
    <w:rsid w:val="60F431B6"/>
    <w:rsid w:val="60F80E08"/>
    <w:rsid w:val="60F80F7E"/>
    <w:rsid w:val="61101393"/>
    <w:rsid w:val="6117277E"/>
    <w:rsid w:val="613624C4"/>
    <w:rsid w:val="613B28D7"/>
    <w:rsid w:val="613C2142"/>
    <w:rsid w:val="61411BD9"/>
    <w:rsid w:val="6144456B"/>
    <w:rsid w:val="61520F1C"/>
    <w:rsid w:val="615858BA"/>
    <w:rsid w:val="615C2A71"/>
    <w:rsid w:val="61600FBE"/>
    <w:rsid w:val="61620211"/>
    <w:rsid w:val="61647FDF"/>
    <w:rsid w:val="616D3F1F"/>
    <w:rsid w:val="616F7D6C"/>
    <w:rsid w:val="617B185C"/>
    <w:rsid w:val="6182718B"/>
    <w:rsid w:val="618B6600"/>
    <w:rsid w:val="618F3B50"/>
    <w:rsid w:val="619176D1"/>
    <w:rsid w:val="619B1D96"/>
    <w:rsid w:val="619E3328"/>
    <w:rsid w:val="61A84FD3"/>
    <w:rsid w:val="61AD6547"/>
    <w:rsid w:val="61B629E5"/>
    <w:rsid w:val="61BA64FF"/>
    <w:rsid w:val="61BE455F"/>
    <w:rsid w:val="61C16E98"/>
    <w:rsid w:val="61D65690"/>
    <w:rsid w:val="61D67110"/>
    <w:rsid w:val="61D758C9"/>
    <w:rsid w:val="61E044C2"/>
    <w:rsid w:val="61E54BC6"/>
    <w:rsid w:val="61E61E86"/>
    <w:rsid w:val="61F14599"/>
    <w:rsid w:val="61FA0D76"/>
    <w:rsid w:val="61FD12D7"/>
    <w:rsid w:val="6202633D"/>
    <w:rsid w:val="62067684"/>
    <w:rsid w:val="62072558"/>
    <w:rsid w:val="620956CC"/>
    <w:rsid w:val="620B0F65"/>
    <w:rsid w:val="620D48D5"/>
    <w:rsid w:val="62125C14"/>
    <w:rsid w:val="622802D4"/>
    <w:rsid w:val="622C60B8"/>
    <w:rsid w:val="622F0784"/>
    <w:rsid w:val="62365A7B"/>
    <w:rsid w:val="623B4181"/>
    <w:rsid w:val="62421627"/>
    <w:rsid w:val="62434609"/>
    <w:rsid w:val="624779E5"/>
    <w:rsid w:val="62487455"/>
    <w:rsid w:val="624A7EEB"/>
    <w:rsid w:val="625A4EAE"/>
    <w:rsid w:val="62632E08"/>
    <w:rsid w:val="627358D5"/>
    <w:rsid w:val="6276629E"/>
    <w:rsid w:val="627F535F"/>
    <w:rsid w:val="6287237F"/>
    <w:rsid w:val="628743EE"/>
    <w:rsid w:val="628841ED"/>
    <w:rsid w:val="62894017"/>
    <w:rsid w:val="628D497B"/>
    <w:rsid w:val="62915BF9"/>
    <w:rsid w:val="62935911"/>
    <w:rsid w:val="629F4FFC"/>
    <w:rsid w:val="62AE35A5"/>
    <w:rsid w:val="62AF758F"/>
    <w:rsid w:val="62B22C44"/>
    <w:rsid w:val="62B74707"/>
    <w:rsid w:val="62C4751A"/>
    <w:rsid w:val="62C50258"/>
    <w:rsid w:val="62C70051"/>
    <w:rsid w:val="62CC1A55"/>
    <w:rsid w:val="62D033D7"/>
    <w:rsid w:val="62D24E91"/>
    <w:rsid w:val="62D56E87"/>
    <w:rsid w:val="62D64631"/>
    <w:rsid w:val="62DB42A1"/>
    <w:rsid w:val="62DC7633"/>
    <w:rsid w:val="62E4189E"/>
    <w:rsid w:val="62E95546"/>
    <w:rsid w:val="6300533B"/>
    <w:rsid w:val="63005D3D"/>
    <w:rsid w:val="630F3E93"/>
    <w:rsid w:val="631779FB"/>
    <w:rsid w:val="63181EE7"/>
    <w:rsid w:val="631D0BDB"/>
    <w:rsid w:val="632150B7"/>
    <w:rsid w:val="63282367"/>
    <w:rsid w:val="63292FE2"/>
    <w:rsid w:val="634250D9"/>
    <w:rsid w:val="63436FC8"/>
    <w:rsid w:val="634B54BD"/>
    <w:rsid w:val="634B676D"/>
    <w:rsid w:val="634F4786"/>
    <w:rsid w:val="63654F5B"/>
    <w:rsid w:val="6365621B"/>
    <w:rsid w:val="63690152"/>
    <w:rsid w:val="636B401B"/>
    <w:rsid w:val="636D5B47"/>
    <w:rsid w:val="637356EA"/>
    <w:rsid w:val="63743354"/>
    <w:rsid w:val="63774C12"/>
    <w:rsid w:val="637A1D49"/>
    <w:rsid w:val="637D4470"/>
    <w:rsid w:val="638A3FB7"/>
    <w:rsid w:val="63AB6274"/>
    <w:rsid w:val="63B252AA"/>
    <w:rsid w:val="63B268A4"/>
    <w:rsid w:val="63BF01CA"/>
    <w:rsid w:val="63C26F97"/>
    <w:rsid w:val="63D81139"/>
    <w:rsid w:val="63DA30BD"/>
    <w:rsid w:val="63DE1E1F"/>
    <w:rsid w:val="63DF7591"/>
    <w:rsid w:val="63FF0D6F"/>
    <w:rsid w:val="640A7E6F"/>
    <w:rsid w:val="640D5592"/>
    <w:rsid w:val="640F111D"/>
    <w:rsid w:val="6415471B"/>
    <w:rsid w:val="64184A94"/>
    <w:rsid w:val="641C62B2"/>
    <w:rsid w:val="641C6342"/>
    <w:rsid w:val="641D5D90"/>
    <w:rsid w:val="64240CD3"/>
    <w:rsid w:val="642A4A6F"/>
    <w:rsid w:val="642A69E2"/>
    <w:rsid w:val="642E14F0"/>
    <w:rsid w:val="644106C9"/>
    <w:rsid w:val="64441708"/>
    <w:rsid w:val="64487864"/>
    <w:rsid w:val="6455416E"/>
    <w:rsid w:val="645A2BDF"/>
    <w:rsid w:val="645E43AA"/>
    <w:rsid w:val="64675F8C"/>
    <w:rsid w:val="647E2BEE"/>
    <w:rsid w:val="64821DEA"/>
    <w:rsid w:val="6484560E"/>
    <w:rsid w:val="648834FC"/>
    <w:rsid w:val="64933326"/>
    <w:rsid w:val="649A0BB7"/>
    <w:rsid w:val="649E604B"/>
    <w:rsid w:val="64A20B38"/>
    <w:rsid w:val="64A25691"/>
    <w:rsid w:val="64A34AB0"/>
    <w:rsid w:val="64AC6408"/>
    <w:rsid w:val="64B132E4"/>
    <w:rsid w:val="64B47BFE"/>
    <w:rsid w:val="64B542F7"/>
    <w:rsid w:val="64B86254"/>
    <w:rsid w:val="64BF5725"/>
    <w:rsid w:val="64C202A5"/>
    <w:rsid w:val="64C82295"/>
    <w:rsid w:val="64CD091C"/>
    <w:rsid w:val="64D578D7"/>
    <w:rsid w:val="64D72494"/>
    <w:rsid w:val="64D74934"/>
    <w:rsid w:val="64D76205"/>
    <w:rsid w:val="64D9683E"/>
    <w:rsid w:val="64E2648D"/>
    <w:rsid w:val="64E45FE6"/>
    <w:rsid w:val="64EA01BF"/>
    <w:rsid w:val="64EF2F60"/>
    <w:rsid w:val="64F6737C"/>
    <w:rsid w:val="6509438A"/>
    <w:rsid w:val="650A6B91"/>
    <w:rsid w:val="650A7524"/>
    <w:rsid w:val="650C1046"/>
    <w:rsid w:val="650C3283"/>
    <w:rsid w:val="65146114"/>
    <w:rsid w:val="651B2C2A"/>
    <w:rsid w:val="652930F2"/>
    <w:rsid w:val="652F0325"/>
    <w:rsid w:val="652F7039"/>
    <w:rsid w:val="65305B8D"/>
    <w:rsid w:val="653921B1"/>
    <w:rsid w:val="653C59A6"/>
    <w:rsid w:val="653E5583"/>
    <w:rsid w:val="653F64B5"/>
    <w:rsid w:val="65442CBA"/>
    <w:rsid w:val="65513C14"/>
    <w:rsid w:val="65584095"/>
    <w:rsid w:val="656514DA"/>
    <w:rsid w:val="65707C2C"/>
    <w:rsid w:val="6572029D"/>
    <w:rsid w:val="65741979"/>
    <w:rsid w:val="657F2E63"/>
    <w:rsid w:val="65853AE9"/>
    <w:rsid w:val="658D62E6"/>
    <w:rsid w:val="659805C0"/>
    <w:rsid w:val="659A1697"/>
    <w:rsid w:val="65A5705B"/>
    <w:rsid w:val="65A87423"/>
    <w:rsid w:val="65AA4C86"/>
    <w:rsid w:val="65B43AEC"/>
    <w:rsid w:val="65BB400B"/>
    <w:rsid w:val="65CE0C9E"/>
    <w:rsid w:val="65DB009A"/>
    <w:rsid w:val="65DD32BC"/>
    <w:rsid w:val="65E21CCA"/>
    <w:rsid w:val="65EC32E5"/>
    <w:rsid w:val="65F061C8"/>
    <w:rsid w:val="65F441B3"/>
    <w:rsid w:val="65FD4589"/>
    <w:rsid w:val="65FF7A90"/>
    <w:rsid w:val="66003EE4"/>
    <w:rsid w:val="66070283"/>
    <w:rsid w:val="660B3E3D"/>
    <w:rsid w:val="660C6E9F"/>
    <w:rsid w:val="66191177"/>
    <w:rsid w:val="6619154B"/>
    <w:rsid w:val="662446C4"/>
    <w:rsid w:val="66255BFF"/>
    <w:rsid w:val="662639BA"/>
    <w:rsid w:val="662B77A0"/>
    <w:rsid w:val="662F01E1"/>
    <w:rsid w:val="6630148C"/>
    <w:rsid w:val="663550BD"/>
    <w:rsid w:val="66447EBD"/>
    <w:rsid w:val="66475647"/>
    <w:rsid w:val="664775F0"/>
    <w:rsid w:val="664B6F71"/>
    <w:rsid w:val="664E23DC"/>
    <w:rsid w:val="664F3D0B"/>
    <w:rsid w:val="6652062B"/>
    <w:rsid w:val="665C1474"/>
    <w:rsid w:val="66615364"/>
    <w:rsid w:val="66731E80"/>
    <w:rsid w:val="66831332"/>
    <w:rsid w:val="66860FFF"/>
    <w:rsid w:val="668F2D4B"/>
    <w:rsid w:val="6697363C"/>
    <w:rsid w:val="669F5D33"/>
    <w:rsid w:val="66C01B46"/>
    <w:rsid w:val="66D13795"/>
    <w:rsid w:val="66D7487B"/>
    <w:rsid w:val="66E07186"/>
    <w:rsid w:val="66E5153A"/>
    <w:rsid w:val="66E71872"/>
    <w:rsid w:val="66F2311B"/>
    <w:rsid w:val="66F66888"/>
    <w:rsid w:val="66F727EF"/>
    <w:rsid w:val="66F77E3C"/>
    <w:rsid w:val="66F8124E"/>
    <w:rsid w:val="66FD3534"/>
    <w:rsid w:val="66FF280D"/>
    <w:rsid w:val="66FF5A8F"/>
    <w:rsid w:val="670D6659"/>
    <w:rsid w:val="671A2E3A"/>
    <w:rsid w:val="671B753A"/>
    <w:rsid w:val="672226B7"/>
    <w:rsid w:val="6724186C"/>
    <w:rsid w:val="672D4731"/>
    <w:rsid w:val="673858C6"/>
    <w:rsid w:val="674C7A41"/>
    <w:rsid w:val="674E7649"/>
    <w:rsid w:val="674F1FEF"/>
    <w:rsid w:val="6755619C"/>
    <w:rsid w:val="675B102C"/>
    <w:rsid w:val="675B7579"/>
    <w:rsid w:val="675D55A7"/>
    <w:rsid w:val="675F2192"/>
    <w:rsid w:val="676845C8"/>
    <w:rsid w:val="676B1118"/>
    <w:rsid w:val="676B22CD"/>
    <w:rsid w:val="67746652"/>
    <w:rsid w:val="677B3668"/>
    <w:rsid w:val="677C15A0"/>
    <w:rsid w:val="677F65D8"/>
    <w:rsid w:val="67802EFA"/>
    <w:rsid w:val="678802ED"/>
    <w:rsid w:val="67961046"/>
    <w:rsid w:val="67980139"/>
    <w:rsid w:val="679876DF"/>
    <w:rsid w:val="679950C7"/>
    <w:rsid w:val="679B2F2F"/>
    <w:rsid w:val="67A23989"/>
    <w:rsid w:val="67A74E48"/>
    <w:rsid w:val="67CA36CD"/>
    <w:rsid w:val="67CB5AE3"/>
    <w:rsid w:val="67CB7E43"/>
    <w:rsid w:val="67D01EEE"/>
    <w:rsid w:val="67D05F56"/>
    <w:rsid w:val="67D11F53"/>
    <w:rsid w:val="67DF56A4"/>
    <w:rsid w:val="67E01BA5"/>
    <w:rsid w:val="67E03808"/>
    <w:rsid w:val="67E97759"/>
    <w:rsid w:val="67EB0B9E"/>
    <w:rsid w:val="68006EC8"/>
    <w:rsid w:val="681346F9"/>
    <w:rsid w:val="68160DEC"/>
    <w:rsid w:val="68295146"/>
    <w:rsid w:val="682B0D20"/>
    <w:rsid w:val="68352B18"/>
    <w:rsid w:val="6836153B"/>
    <w:rsid w:val="683A21CA"/>
    <w:rsid w:val="683E1810"/>
    <w:rsid w:val="683E47B8"/>
    <w:rsid w:val="683F7AD2"/>
    <w:rsid w:val="68420858"/>
    <w:rsid w:val="684B55E1"/>
    <w:rsid w:val="685112E9"/>
    <w:rsid w:val="68514113"/>
    <w:rsid w:val="685F0A3E"/>
    <w:rsid w:val="68607763"/>
    <w:rsid w:val="68646FFA"/>
    <w:rsid w:val="686C4C12"/>
    <w:rsid w:val="686F092D"/>
    <w:rsid w:val="6874626F"/>
    <w:rsid w:val="68794E8B"/>
    <w:rsid w:val="687B1AA8"/>
    <w:rsid w:val="687F00C0"/>
    <w:rsid w:val="6890596A"/>
    <w:rsid w:val="68941AA2"/>
    <w:rsid w:val="689533A1"/>
    <w:rsid w:val="6895507A"/>
    <w:rsid w:val="68965998"/>
    <w:rsid w:val="689C3DC7"/>
    <w:rsid w:val="689D2BEF"/>
    <w:rsid w:val="689F675E"/>
    <w:rsid w:val="68A20A77"/>
    <w:rsid w:val="68CD0A14"/>
    <w:rsid w:val="68D3413B"/>
    <w:rsid w:val="68D75378"/>
    <w:rsid w:val="68EA3C2B"/>
    <w:rsid w:val="68ED0147"/>
    <w:rsid w:val="68FD6E33"/>
    <w:rsid w:val="6903697B"/>
    <w:rsid w:val="69082956"/>
    <w:rsid w:val="69147A1B"/>
    <w:rsid w:val="691B586A"/>
    <w:rsid w:val="691E41B2"/>
    <w:rsid w:val="692B6129"/>
    <w:rsid w:val="692D297F"/>
    <w:rsid w:val="692F6AA9"/>
    <w:rsid w:val="69332C99"/>
    <w:rsid w:val="69341180"/>
    <w:rsid w:val="6934737D"/>
    <w:rsid w:val="693518FB"/>
    <w:rsid w:val="693C7BB9"/>
    <w:rsid w:val="693F7551"/>
    <w:rsid w:val="69465531"/>
    <w:rsid w:val="6947220C"/>
    <w:rsid w:val="694B1A58"/>
    <w:rsid w:val="69560380"/>
    <w:rsid w:val="695738BD"/>
    <w:rsid w:val="695D7D9C"/>
    <w:rsid w:val="697E134C"/>
    <w:rsid w:val="69821E2D"/>
    <w:rsid w:val="69A52143"/>
    <w:rsid w:val="69AB1384"/>
    <w:rsid w:val="69B4541D"/>
    <w:rsid w:val="69BA0787"/>
    <w:rsid w:val="69BF1F48"/>
    <w:rsid w:val="69C4397C"/>
    <w:rsid w:val="69CB3757"/>
    <w:rsid w:val="69CF221A"/>
    <w:rsid w:val="69CF257E"/>
    <w:rsid w:val="69D71C14"/>
    <w:rsid w:val="69D96B71"/>
    <w:rsid w:val="69E11ACF"/>
    <w:rsid w:val="69E74168"/>
    <w:rsid w:val="69E90419"/>
    <w:rsid w:val="69EA2B5E"/>
    <w:rsid w:val="69ED4E05"/>
    <w:rsid w:val="69FD3A97"/>
    <w:rsid w:val="6A034FCE"/>
    <w:rsid w:val="6A07144C"/>
    <w:rsid w:val="6A0C65D5"/>
    <w:rsid w:val="6A0E7AE3"/>
    <w:rsid w:val="6A171A02"/>
    <w:rsid w:val="6A1908E3"/>
    <w:rsid w:val="6A1D1985"/>
    <w:rsid w:val="6A1E0C4C"/>
    <w:rsid w:val="6A2076C3"/>
    <w:rsid w:val="6A240F66"/>
    <w:rsid w:val="6A3047AA"/>
    <w:rsid w:val="6A381952"/>
    <w:rsid w:val="6A420882"/>
    <w:rsid w:val="6A436049"/>
    <w:rsid w:val="6A4A6A21"/>
    <w:rsid w:val="6A4E7B99"/>
    <w:rsid w:val="6A525926"/>
    <w:rsid w:val="6A5273D1"/>
    <w:rsid w:val="6A543885"/>
    <w:rsid w:val="6A57091D"/>
    <w:rsid w:val="6A6910C1"/>
    <w:rsid w:val="6A7171D7"/>
    <w:rsid w:val="6A750AE2"/>
    <w:rsid w:val="6A782BBF"/>
    <w:rsid w:val="6A803564"/>
    <w:rsid w:val="6A88614A"/>
    <w:rsid w:val="6A8A5C7F"/>
    <w:rsid w:val="6A8D7B0B"/>
    <w:rsid w:val="6A8F16D0"/>
    <w:rsid w:val="6A903F85"/>
    <w:rsid w:val="6A9D776B"/>
    <w:rsid w:val="6A9F22CE"/>
    <w:rsid w:val="6AAD3DCE"/>
    <w:rsid w:val="6ABC585C"/>
    <w:rsid w:val="6ABD0EED"/>
    <w:rsid w:val="6AC133C0"/>
    <w:rsid w:val="6AC974D8"/>
    <w:rsid w:val="6ACF3D34"/>
    <w:rsid w:val="6AD77D3B"/>
    <w:rsid w:val="6AD85FE7"/>
    <w:rsid w:val="6AD87AE0"/>
    <w:rsid w:val="6AD93742"/>
    <w:rsid w:val="6AE70CA8"/>
    <w:rsid w:val="6AE875B9"/>
    <w:rsid w:val="6AEB7E41"/>
    <w:rsid w:val="6AED195F"/>
    <w:rsid w:val="6AEE0ED6"/>
    <w:rsid w:val="6AEE38D8"/>
    <w:rsid w:val="6AF200A6"/>
    <w:rsid w:val="6AF512F4"/>
    <w:rsid w:val="6AF9600E"/>
    <w:rsid w:val="6AFB68EC"/>
    <w:rsid w:val="6AFD51CF"/>
    <w:rsid w:val="6AFD5828"/>
    <w:rsid w:val="6B0C4EA8"/>
    <w:rsid w:val="6B1A4248"/>
    <w:rsid w:val="6B1E7C2F"/>
    <w:rsid w:val="6B2F380D"/>
    <w:rsid w:val="6B370BDA"/>
    <w:rsid w:val="6B451619"/>
    <w:rsid w:val="6B4F2441"/>
    <w:rsid w:val="6B5837AB"/>
    <w:rsid w:val="6B6429DD"/>
    <w:rsid w:val="6B661536"/>
    <w:rsid w:val="6B673E74"/>
    <w:rsid w:val="6B6C6E76"/>
    <w:rsid w:val="6B743A82"/>
    <w:rsid w:val="6B771812"/>
    <w:rsid w:val="6B7F1B93"/>
    <w:rsid w:val="6B8D46FD"/>
    <w:rsid w:val="6B8E7A00"/>
    <w:rsid w:val="6B926010"/>
    <w:rsid w:val="6B931943"/>
    <w:rsid w:val="6B970D25"/>
    <w:rsid w:val="6B9C6539"/>
    <w:rsid w:val="6B9F6E02"/>
    <w:rsid w:val="6BA31BB1"/>
    <w:rsid w:val="6BA5131C"/>
    <w:rsid w:val="6BAA7061"/>
    <w:rsid w:val="6BBA1542"/>
    <w:rsid w:val="6BBD6A19"/>
    <w:rsid w:val="6BC65B52"/>
    <w:rsid w:val="6BC67706"/>
    <w:rsid w:val="6BD565AB"/>
    <w:rsid w:val="6BE52720"/>
    <w:rsid w:val="6BF94813"/>
    <w:rsid w:val="6C273AC0"/>
    <w:rsid w:val="6C3111D6"/>
    <w:rsid w:val="6C312507"/>
    <w:rsid w:val="6C3702A4"/>
    <w:rsid w:val="6C394FC3"/>
    <w:rsid w:val="6C3D0992"/>
    <w:rsid w:val="6C441988"/>
    <w:rsid w:val="6C467A32"/>
    <w:rsid w:val="6C481D33"/>
    <w:rsid w:val="6C492842"/>
    <w:rsid w:val="6C4A6009"/>
    <w:rsid w:val="6C4F21FC"/>
    <w:rsid w:val="6C570557"/>
    <w:rsid w:val="6C5D6630"/>
    <w:rsid w:val="6C735652"/>
    <w:rsid w:val="6C7F5660"/>
    <w:rsid w:val="6C851344"/>
    <w:rsid w:val="6C857B97"/>
    <w:rsid w:val="6C891D4F"/>
    <w:rsid w:val="6C8A2C02"/>
    <w:rsid w:val="6C976618"/>
    <w:rsid w:val="6CA21B6A"/>
    <w:rsid w:val="6CA30113"/>
    <w:rsid w:val="6CAF490C"/>
    <w:rsid w:val="6CBD2908"/>
    <w:rsid w:val="6CC9331B"/>
    <w:rsid w:val="6CD401EC"/>
    <w:rsid w:val="6CE9267E"/>
    <w:rsid w:val="6CED230E"/>
    <w:rsid w:val="6CED2B28"/>
    <w:rsid w:val="6CF03AEE"/>
    <w:rsid w:val="6CF61F33"/>
    <w:rsid w:val="6CF91D8C"/>
    <w:rsid w:val="6D037642"/>
    <w:rsid w:val="6D051620"/>
    <w:rsid w:val="6D075075"/>
    <w:rsid w:val="6D08270F"/>
    <w:rsid w:val="6D1652A1"/>
    <w:rsid w:val="6D2150F9"/>
    <w:rsid w:val="6D2A4F0D"/>
    <w:rsid w:val="6D2C31D6"/>
    <w:rsid w:val="6D330529"/>
    <w:rsid w:val="6D3C511D"/>
    <w:rsid w:val="6D3F766C"/>
    <w:rsid w:val="6D5652DD"/>
    <w:rsid w:val="6D5768B7"/>
    <w:rsid w:val="6D5A3393"/>
    <w:rsid w:val="6D683D05"/>
    <w:rsid w:val="6D6A2C2F"/>
    <w:rsid w:val="6D6B5B7D"/>
    <w:rsid w:val="6D6C5D74"/>
    <w:rsid w:val="6D732A14"/>
    <w:rsid w:val="6D7C77B7"/>
    <w:rsid w:val="6D7E02BC"/>
    <w:rsid w:val="6D8E4518"/>
    <w:rsid w:val="6D951ED6"/>
    <w:rsid w:val="6D9B1CAE"/>
    <w:rsid w:val="6DA27507"/>
    <w:rsid w:val="6DB207D0"/>
    <w:rsid w:val="6DBC5712"/>
    <w:rsid w:val="6DBE64B8"/>
    <w:rsid w:val="6DCC6136"/>
    <w:rsid w:val="6DD8502D"/>
    <w:rsid w:val="6DDC381E"/>
    <w:rsid w:val="6DDD177C"/>
    <w:rsid w:val="6DE005A7"/>
    <w:rsid w:val="6DE24784"/>
    <w:rsid w:val="6DE32556"/>
    <w:rsid w:val="6DE42232"/>
    <w:rsid w:val="6DE9770C"/>
    <w:rsid w:val="6E0018F5"/>
    <w:rsid w:val="6E115DE8"/>
    <w:rsid w:val="6E142D35"/>
    <w:rsid w:val="6E151D5A"/>
    <w:rsid w:val="6E171279"/>
    <w:rsid w:val="6E1F4036"/>
    <w:rsid w:val="6E2128BE"/>
    <w:rsid w:val="6E246E46"/>
    <w:rsid w:val="6E297B9D"/>
    <w:rsid w:val="6E2F1C57"/>
    <w:rsid w:val="6E3418C4"/>
    <w:rsid w:val="6E533829"/>
    <w:rsid w:val="6E5D013A"/>
    <w:rsid w:val="6E605C81"/>
    <w:rsid w:val="6E614566"/>
    <w:rsid w:val="6E712C93"/>
    <w:rsid w:val="6E7B658E"/>
    <w:rsid w:val="6E8558E4"/>
    <w:rsid w:val="6E86655D"/>
    <w:rsid w:val="6E8E2CF2"/>
    <w:rsid w:val="6E94767F"/>
    <w:rsid w:val="6E991824"/>
    <w:rsid w:val="6E9947B3"/>
    <w:rsid w:val="6E9A775F"/>
    <w:rsid w:val="6E9E3FA6"/>
    <w:rsid w:val="6E9F03D8"/>
    <w:rsid w:val="6EBF45C8"/>
    <w:rsid w:val="6EC06586"/>
    <w:rsid w:val="6ED042F3"/>
    <w:rsid w:val="6EE3488B"/>
    <w:rsid w:val="6EEA2389"/>
    <w:rsid w:val="6EF1606D"/>
    <w:rsid w:val="6EF71452"/>
    <w:rsid w:val="6EF86CF7"/>
    <w:rsid w:val="6EFB1A58"/>
    <w:rsid w:val="6F036E5D"/>
    <w:rsid w:val="6F050BC0"/>
    <w:rsid w:val="6F097FDF"/>
    <w:rsid w:val="6F0D1CD6"/>
    <w:rsid w:val="6F0F4C4D"/>
    <w:rsid w:val="6F1E7E69"/>
    <w:rsid w:val="6F2868C8"/>
    <w:rsid w:val="6F293789"/>
    <w:rsid w:val="6F2B0496"/>
    <w:rsid w:val="6F2C5348"/>
    <w:rsid w:val="6F2F090E"/>
    <w:rsid w:val="6F324291"/>
    <w:rsid w:val="6F5615D5"/>
    <w:rsid w:val="6F5942E0"/>
    <w:rsid w:val="6F5F2937"/>
    <w:rsid w:val="6F66463D"/>
    <w:rsid w:val="6F6B7A4C"/>
    <w:rsid w:val="6F6E46E3"/>
    <w:rsid w:val="6F882B72"/>
    <w:rsid w:val="6F8F4E86"/>
    <w:rsid w:val="6FB63D4C"/>
    <w:rsid w:val="6FB64E3E"/>
    <w:rsid w:val="6FBD0418"/>
    <w:rsid w:val="6FC048BC"/>
    <w:rsid w:val="6FC70A73"/>
    <w:rsid w:val="6FCB24DF"/>
    <w:rsid w:val="6FD5651B"/>
    <w:rsid w:val="6FD66065"/>
    <w:rsid w:val="6FD7411F"/>
    <w:rsid w:val="6FDD4897"/>
    <w:rsid w:val="6FEA1419"/>
    <w:rsid w:val="6FEF0689"/>
    <w:rsid w:val="6FF3597E"/>
    <w:rsid w:val="6FFD46A9"/>
    <w:rsid w:val="70041191"/>
    <w:rsid w:val="70055A2E"/>
    <w:rsid w:val="70094861"/>
    <w:rsid w:val="70116EF3"/>
    <w:rsid w:val="70193C11"/>
    <w:rsid w:val="701A5543"/>
    <w:rsid w:val="70271646"/>
    <w:rsid w:val="702A3801"/>
    <w:rsid w:val="7038385C"/>
    <w:rsid w:val="70425E72"/>
    <w:rsid w:val="70445721"/>
    <w:rsid w:val="70512559"/>
    <w:rsid w:val="70532079"/>
    <w:rsid w:val="705423B6"/>
    <w:rsid w:val="7059253A"/>
    <w:rsid w:val="706109EE"/>
    <w:rsid w:val="706F76FE"/>
    <w:rsid w:val="707137F1"/>
    <w:rsid w:val="70732A2D"/>
    <w:rsid w:val="70766CF4"/>
    <w:rsid w:val="707C362F"/>
    <w:rsid w:val="70803921"/>
    <w:rsid w:val="70881160"/>
    <w:rsid w:val="708D466D"/>
    <w:rsid w:val="708E730A"/>
    <w:rsid w:val="70904285"/>
    <w:rsid w:val="7096018B"/>
    <w:rsid w:val="7098290A"/>
    <w:rsid w:val="70983EB2"/>
    <w:rsid w:val="709D2060"/>
    <w:rsid w:val="70AA0F73"/>
    <w:rsid w:val="70B84826"/>
    <w:rsid w:val="70C25F11"/>
    <w:rsid w:val="70C75C1B"/>
    <w:rsid w:val="70CB4C66"/>
    <w:rsid w:val="70D07E34"/>
    <w:rsid w:val="70D1066A"/>
    <w:rsid w:val="70D14DB1"/>
    <w:rsid w:val="70DE2209"/>
    <w:rsid w:val="70E06E29"/>
    <w:rsid w:val="70EC5AB1"/>
    <w:rsid w:val="70F0560F"/>
    <w:rsid w:val="70F72A90"/>
    <w:rsid w:val="70F93503"/>
    <w:rsid w:val="71073280"/>
    <w:rsid w:val="71092F0B"/>
    <w:rsid w:val="711C3351"/>
    <w:rsid w:val="71247EE3"/>
    <w:rsid w:val="71276BFD"/>
    <w:rsid w:val="712C665B"/>
    <w:rsid w:val="713E37CA"/>
    <w:rsid w:val="71415607"/>
    <w:rsid w:val="71480353"/>
    <w:rsid w:val="71497D42"/>
    <w:rsid w:val="714B51FB"/>
    <w:rsid w:val="714E0C12"/>
    <w:rsid w:val="71533507"/>
    <w:rsid w:val="716B53BA"/>
    <w:rsid w:val="716C7460"/>
    <w:rsid w:val="716F2863"/>
    <w:rsid w:val="717B2C39"/>
    <w:rsid w:val="71811901"/>
    <w:rsid w:val="71815A56"/>
    <w:rsid w:val="718657BA"/>
    <w:rsid w:val="718A2D0C"/>
    <w:rsid w:val="718C51B4"/>
    <w:rsid w:val="71914168"/>
    <w:rsid w:val="71940B11"/>
    <w:rsid w:val="71AD4DCE"/>
    <w:rsid w:val="71B61B68"/>
    <w:rsid w:val="71BC7B23"/>
    <w:rsid w:val="71C52870"/>
    <w:rsid w:val="71CA2F8E"/>
    <w:rsid w:val="71CB1C7C"/>
    <w:rsid w:val="71D04246"/>
    <w:rsid w:val="71D747B4"/>
    <w:rsid w:val="71D93505"/>
    <w:rsid w:val="71E70440"/>
    <w:rsid w:val="7201728A"/>
    <w:rsid w:val="720965F3"/>
    <w:rsid w:val="72155B21"/>
    <w:rsid w:val="721D249D"/>
    <w:rsid w:val="72203D1C"/>
    <w:rsid w:val="722441A4"/>
    <w:rsid w:val="72342D06"/>
    <w:rsid w:val="72362B15"/>
    <w:rsid w:val="72394BFF"/>
    <w:rsid w:val="723A1D4B"/>
    <w:rsid w:val="723C28FC"/>
    <w:rsid w:val="723F0DBE"/>
    <w:rsid w:val="723F67BB"/>
    <w:rsid w:val="7245554A"/>
    <w:rsid w:val="72556D83"/>
    <w:rsid w:val="725839D3"/>
    <w:rsid w:val="72621A7F"/>
    <w:rsid w:val="72653D41"/>
    <w:rsid w:val="726D6CAB"/>
    <w:rsid w:val="72700DF5"/>
    <w:rsid w:val="72705CB2"/>
    <w:rsid w:val="72711126"/>
    <w:rsid w:val="72732F9F"/>
    <w:rsid w:val="727A7C8D"/>
    <w:rsid w:val="727B319C"/>
    <w:rsid w:val="72811CEE"/>
    <w:rsid w:val="72945A53"/>
    <w:rsid w:val="72AF789E"/>
    <w:rsid w:val="72B047B2"/>
    <w:rsid w:val="72C31B2D"/>
    <w:rsid w:val="72C8493B"/>
    <w:rsid w:val="72CB2CD0"/>
    <w:rsid w:val="72CD144E"/>
    <w:rsid w:val="72D57966"/>
    <w:rsid w:val="72DD01BE"/>
    <w:rsid w:val="72DD1BDE"/>
    <w:rsid w:val="72E316E7"/>
    <w:rsid w:val="72E44DF3"/>
    <w:rsid w:val="72F73362"/>
    <w:rsid w:val="72FA752B"/>
    <w:rsid w:val="72FD6392"/>
    <w:rsid w:val="73025D49"/>
    <w:rsid w:val="731A4C2B"/>
    <w:rsid w:val="731A60E2"/>
    <w:rsid w:val="73213812"/>
    <w:rsid w:val="732B1540"/>
    <w:rsid w:val="732F34C5"/>
    <w:rsid w:val="733759CE"/>
    <w:rsid w:val="733C60FD"/>
    <w:rsid w:val="7348540A"/>
    <w:rsid w:val="73495B32"/>
    <w:rsid w:val="734B54A4"/>
    <w:rsid w:val="735A3627"/>
    <w:rsid w:val="7364132F"/>
    <w:rsid w:val="73666F58"/>
    <w:rsid w:val="736953A2"/>
    <w:rsid w:val="73892637"/>
    <w:rsid w:val="738D49B5"/>
    <w:rsid w:val="738E14FD"/>
    <w:rsid w:val="739561A2"/>
    <w:rsid w:val="73A22571"/>
    <w:rsid w:val="73A6581B"/>
    <w:rsid w:val="73AE1BE5"/>
    <w:rsid w:val="73AF37DA"/>
    <w:rsid w:val="73B344B6"/>
    <w:rsid w:val="73BD1EB7"/>
    <w:rsid w:val="73CB1409"/>
    <w:rsid w:val="73CE790A"/>
    <w:rsid w:val="73D23222"/>
    <w:rsid w:val="73E003D1"/>
    <w:rsid w:val="73E23B6D"/>
    <w:rsid w:val="73F539BE"/>
    <w:rsid w:val="73FB375D"/>
    <w:rsid w:val="740272D5"/>
    <w:rsid w:val="740B3EAE"/>
    <w:rsid w:val="740C0D95"/>
    <w:rsid w:val="740D0733"/>
    <w:rsid w:val="740E228F"/>
    <w:rsid w:val="740E7F30"/>
    <w:rsid w:val="741C0D36"/>
    <w:rsid w:val="741C619B"/>
    <w:rsid w:val="74221EBD"/>
    <w:rsid w:val="74295BD7"/>
    <w:rsid w:val="74316645"/>
    <w:rsid w:val="743562A5"/>
    <w:rsid w:val="7437463E"/>
    <w:rsid w:val="744B103D"/>
    <w:rsid w:val="74552352"/>
    <w:rsid w:val="745B0F15"/>
    <w:rsid w:val="74632A5E"/>
    <w:rsid w:val="746E7D68"/>
    <w:rsid w:val="7470586B"/>
    <w:rsid w:val="7478139A"/>
    <w:rsid w:val="748162CE"/>
    <w:rsid w:val="748202F8"/>
    <w:rsid w:val="74834279"/>
    <w:rsid w:val="74877914"/>
    <w:rsid w:val="749642FF"/>
    <w:rsid w:val="749811BB"/>
    <w:rsid w:val="749D23FA"/>
    <w:rsid w:val="74B06F04"/>
    <w:rsid w:val="74BC310B"/>
    <w:rsid w:val="74BC781F"/>
    <w:rsid w:val="74BF4B59"/>
    <w:rsid w:val="74C65346"/>
    <w:rsid w:val="74D0590E"/>
    <w:rsid w:val="74D97635"/>
    <w:rsid w:val="74E97B45"/>
    <w:rsid w:val="74EF2AE7"/>
    <w:rsid w:val="74F016BD"/>
    <w:rsid w:val="75066890"/>
    <w:rsid w:val="750F1CF5"/>
    <w:rsid w:val="75136FBC"/>
    <w:rsid w:val="752000AC"/>
    <w:rsid w:val="75220300"/>
    <w:rsid w:val="752539F4"/>
    <w:rsid w:val="752C6330"/>
    <w:rsid w:val="75337796"/>
    <w:rsid w:val="75381CB1"/>
    <w:rsid w:val="753C6ECE"/>
    <w:rsid w:val="754108DA"/>
    <w:rsid w:val="75453D02"/>
    <w:rsid w:val="754629E6"/>
    <w:rsid w:val="754A0877"/>
    <w:rsid w:val="75521659"/>
    <w:rsid w:val="75533FDA"/>
    <w:rsid w:val="75581C24"/>
    <w:rsid w:val="756B7033"/>
    <w:rsid w:val="756C0ECD"/>
    <w:rsid w:val="757728D2"/>
    <w:rsid w:val="758E2AA6"/>
    <w:rsid w:val="759115EC"/>
    <w:rsid w:val="75913ABF"/>
    <w:rsid w:val="759F3282"/>
    <w:rsid w:val="75A212FA"/>
    <w:rsid w:val="75A46D13"/>
    <w:rsid w:val="75A7723F"/>
    <w:rsid w:val="75AB1E72"/>
    <w:rsid w:val="75B60ECF"/>
    <w:rsid w:val="75B64F3F"/>
    <w:rsid w:val="75C055BD"/>
    <w:rsid w:val="75C87B64"/>
    <w:rsid w:val="75CA2C48"/>
    <w:rsid w:val="75CD6612"/>
    <w:rsid w:val="75D106D7"/>
    <w:rsid w:val="75D66DBB"/>
    <w:rsid w:val="75D831F0"/>
    <w:rsid w:val="75E1615B"/>
    <w:rsid w:val="75EC0D97"/>
    <w:rsid w:val="75EF43A6"/>
    <w:rsid w:val="75F2380A"/>
    <w:rsid w:val="760D5CD0"/>
    <w:rsid w:val="761806BD"/>
    <w:rsid w:val="76227E09"/>
    <w:rsid w:val="76246E45"/>
    <w:rsid w:val="76276092"/>
    <w:rsid w:val="76295220"/>
    <w:rsid w:val="762A60A0"/>
    <w:rsid w:val="762A6A1E"/>
    <w:rsid w:val="762D0EFC"/>
    <w:rsid w:val="7634605A"/>
    <w:rsid w:val="76364F6B"/>
    <w:rsid w:val="76436971"/>
    <w:rsid w:val="76482F36"/>
    <w:rsid w:val="76492863"/>
    <w:rsid w:val="764A72B7"/>
    <w:rsid w:val="764D2D48"/>
    <w:rsid w:val="7652295A"/>
    <w:rsid w:val="765859FE"/>
    <w:rsid w:val="76591F00"/>
    <w:rsid w:val="765B28D5"/>
    <w:rsid w:val="765C6931"/>
    <w:rsid w:val="76641FF3"/>
    <w:rsid w:val="76677FF8"/>
    <w:rsid w:val="766C76F7"/>
    <w:rsid w:val="76734F12"/>
    <w:rsid w:val="76760B78"/>
    <w:rsid w:val="767D1A60"/>
    <w:rsid w:val="76834910"/>
    <w:rsid w:val="76854545"/>
    <w:rsid w:val="76877BAF"/>
    <w:rsid w:val="768F064E"/>
    <w:rsid w:val="769E62A4"/>
    <w:rsid w:val="76A62318"/>
    <w:rsid w:val="76AD22C2"/>
    <w:rsid w:val="76B2238A"/>
    <w:rsid w:val="76CA2B96"/>
    <w:rsid w:val="76D654E3"/>
    <w:rsid w:val="76E11B21"/>
    <w:rsid w:val="76F4274E"/>
    <w:rsid w:val="76F468C1"/>
    <w:rsid w:val="77057AC7"/>
    <w:rsid w:val="77176176"/>
    <w:rsid w:val="77184DBB"/>
    <w:rsid w:val="771B5F4A"/>
    <w:rsid w:val="77273EF9"/>
    <w:rsid w:val="772B7C4A"/>
    <w:rsid w:val="773401DB"/>
    <w:rsid w:val="77353F3A"/>
    <w:rsid w:val="77355FF8"/>
    <w:rsid w:val="773B3B6C"/>
    <w:rsid w:val="773E690B"/>
    <w:rsid w:val="77400703"/>
    <w:rsid w:val="774442C6"/>
    <w:rsid w:val="7756121A"/>
    <w:rsid w:val="7758133C"/>
    <w:rsid w:val="775B68E4"/>
    <w:rsid w:val="77606A50"/>
    <w:rsid w:val="7763584A"/>
    <w:rsid w:val="777668F5"/>
    <w:rsid w:val="777B48D8"/>
    <w:rsid w:val="777B6635"/>
    <w:rsid w:val="777E21DF"/>
    <w:rsid w:val="777F7BCB"/>
    <w:rsid w:val="7785679F"/>
    <w:rsid w:val="77A00DF4"/>
    <w:rsid w:val="77A15356"/>
    <w:rsid w:val="77AE3264"/>
    <w:rsid w:val="77B533CE"/>
    <w:rsid w:val="77B935E5"/>
    <w:rsid w:val="77BC6466"/>
    <w:rsid w:val="77D77B93"/>
    <w:rsid w:val="77EE0CEA"/>
    <w:rsid w:val="77EF091C"/>
    <w:rsid w:val="77F109E8"/>
    <w:rsid w:val="77F56FD2"/>
    <w:rsid w:val="77FA09C9"/>
    <w:rsid w:val="77FE37C0"/>
    <w:rsid w:val="780E2EA0"/>
    <w:rsid w:val="781A6637"/>
    <w:rsid w:val="78213EEA"/>
    <w:rsid w:val="78222655"/>
    <w:rsid w:val="782A457F"/>
    <w:rsid w:val="78335386"/>
    <w:rsid w:val="783B305E"/>
    <w:rsid w:val="783D7A4E"/>
    <w:rsid w:val="783E55CA"/>
    <w:rsid w:val="78471372"/>
    <w:rsid w:val="784758CF"/>
    <w:rsid w:val="784937C3"/>
    <w:rsid w:val="784E3B4B"/>
    <w:rsid w:val="7857163D"/>
    <w:rsid w:val="785A41C8"/>
    <w:rsid w:val="785C7C68"/>
    <w:rsid w:val="7861169D"/>
    <w:rsid w:val="786609D2"/>
    <w:rsid w:val="78671B47"/>
    <w:rsid w:val="78693FFC"/>
    <w:rsid w:val="787F34C3"/>
    <w:rsid w:val="78811BD8"/>
    <w:rsid w:val="78862191"/>
    <w:rsid w:val="78864B66"/>
    <w:rsid w:val="788823C6"/>
    <w:rsid w:val="78920B5A"/>
    <w:rsid w:val="78954C16"/>
    <w:rsid w:val="7898512E"/>
    <w:rsid w:val="78990247"/>
    <w:rsid w:val="789B6C35"/>
    <w:rsid w:val="78A75ED7"/>
    <w:rsid w:val="78B6638E"/>
    <w:rsid w:val="78C347C2"/>
    <w:rsid w:val="78C410EC"/>
    <w:rsid w:val="78C62E83"/>
    <w:rsid w:val="78CE0448"/>
    <w:rsid w:val="78D05AFB"/>
    <w:rsid w:val="78D5211B"/>
    <w:rsid w:val="78D67AA0"/>
    <w:rsid w:val="78E97A5B"/>
    <w:rsid w:val="78EC73CE"/>
    <w:rsid w:val="78FD3067"/>
    <w:rsid w:val="78FD39FA"/>
    <w:rsid w:val="790B0C35"/>
    <w:rsid w:val="791446CC"/>
    <w:rsid w:val="791E36BE"/>
    <w:rsid w:val="792B1C50"/>
    <w:rsid w:val="792C0101"/>
    <w:rsid w:val="792D0F75"/>
    <w:rsid w:val="793303F5"/>
    <w:rsid w:val="79375CA0"/>
    <w:rsid w:val="79443176"/>
    <w:rsid w:val="79447590"/>
    <w:rsid w:val="794637B7"/>
    <w:rsid w:val="79501B57"/>
    <w:rsid w:val="79595B42"/>
    <w:rsid w:val="7969495B"/>
    <w:rsid w:val="797A140D"/>
    <w:rsid w:val="797B0594"/>
    <w:rsid w:val="797D7D49"/>
    <w:rsid w:val="79846BBF"/>
    <w:rsid w:val="799D3504"/>
    <w:rsid w:val="799F0BFC"/>
    <w:rsid w:val="79A143D1"/>
    <w:rsid w:val="79A872C0"/>
    <w:rsid w:val="79B00387"/>
    <w:rsid w:val="79B13DC0"/>
    <w:rsid w:val="79B17F93"/>
    <w:rsid w:val="79CB4676"/>
    <w:rsid w:val="79CC73D5"/>
    <w:rsid w:val="79CD74FE"/>
    <w:rsid w:val="79D033A0"/>
    <w:rsid w:val="79D5076B"/>
    <w:rsid w:val="79D55C9B"/>
    <w:rsid w:val="79D87769"/>
    <w:rsid w:val="79D9630C"/>
    <w:rsid w:val="79DE28E7"/>
    <w:rsid w:val="79E370AE"/>
    <w:rsid w:val="79E65A0C"/>
    <w:rsid w:val="79EB1840"/>
    <w:rsid w:val="79EF70E4"/>
    <w:rsid w:val="79F3603F"/>
    <w:rsid w:val="79FB0B3C"/>
    <w:rsid w:val="7A0467B1"/>
    <w:rsid w:val="7A0744D1"/>
    <w:rsid w:val="7A076F36"/>
    <w:rsid w:val="7A0C60E7"/>
    <w:rsid w:val="7A1258C5"/>
    <w:rsid w:val="7A211FDC"/>
    <w:rsid w:val="7A260A8F"/>
    <w:rsid w:val="7A3C369B"/>
    <w:rsid w:val="7A3F2AE4"/>
    <w:rsid w:val="7A436F7C"/>
    <w:rsid w:val="7A467EA8"/>
    <w:rsid w:val="7A5A4E87"/>
    <w:rsid w:val="7A5C677C"/>
    <w:rsid w:val="7A670DC1"/>
    <w:rsid w:val="7A6C57E5"/>
    <w:rsid w:val="7A774DAF"/>
    <w:rsid w:val="7A7F15E3"/>
    <w:rsid w:val="7A83138F"/>
    <w:rsid w:val="7A940F25"/>
    <w:rsid w:val="7A9462B6"/>
    <w:rsid w:val="7A961A4D"/>
    <w:rsid w:val="7AB363D7"/>
    <w:rsid w:val="7AB54D14"/>
    <w:rsid w:val="7AB67D8C"/>
    <w:rsid w:val="7AC14589"/>
    <w:rsid w:val="7AC83FC8"/>
    <w:rsid w:val="7ACB43A1"/>
    <w:rsid w:val="7ACE310B"/>
    <w:rsid w:val="7ACE6E75"/>
    <w:rsid w:val="7AE82445"/>
    <w:rsid w:val="7AED2E7F"/>
    <w:rsid w:val="7AF0377F"/>
    <w:rsid w:val="7AFD6738"/>
    <w:rsid w:val="7B106685"/>
    <w:rsid w:val="7B195822"/>
    <w:rsid w:val="7B1E559E"/>
    <w:rsid w:val="7B22585D"/>
    <w:rsid w:val="7B34032F"/>
    <w:rsid w:val="7B3F1555"/>
    <w:rsid w:val="7B412D6F"/>
    <w:rsid w:val="7B4600E8"/>
    <w:rsid w:val="7B507E0D"/>
    <w:rsid w:val="7B5764AF"/>
    <w:rsid w:val="7B590514"/>
    <w:rsid w:val="7B660E1E"/>
    <w:rsid w:val="7B6A39F0"/>
    <w:rsid w:val="7B714987"/>
    <w:rsid w:val="7B744F90"/>
    <w:rsid w:val="7B821168"/>
    <w:rsid w:val="7B8E1F50"/>
    <w:rsid w:val="7B903451"/>
    <w:rsid w:val="7B97514F"/>
    <w:rsid w:val="7B99368A"/>
    <w:rsid w:val="7B9E07F1"/>
    <w:rsid w:val="7BA040F1"/>
    <w:rsid w:val="7BA47084"/>
    <w:rsid w:val="7BA54215"/>
    <w:rsid w:val="7BAA1F2C"/>
    <w:rsid w:val="7BB7779F"/>
    <w:rsid w:val="7BB97385"/>
    <w:rsid w:val="7BBE732B"/>
    <w:rsid w:val="7BCB0D94"/>
    <w:rsid w:val="7BD0327E"/>
    <w:rsid w:val="7BD12079"/>
    <w:rsid w:val="7BD44407"/>
    <w:rsid w:val="7BE026AA"/>
    <w:rsid w:val="7BE36225"/>
    <w:rsid w:val="7BE839B7"/>
    <w:rsid w:val="7BEB4059"/>
    <w:rsid w:val="7BED4CCC"/>
    <w:rsid w:val="7BEE1668"/>
    <w:rsid w:val="7BF04785"/>
    <w:rsid w:val="7BF52C76"/>
    <w:rsid w:val="7C1B4269"/>
    <w:rsid w:val="7C1D1AC9"/>
    <w:rsid w:val="7C232DD9"/>
    <w:rsid w:val="7C314D89"/>
    <w:rsid w:val="7C3364BB"/>
    <w:rsid w:val="7C351169"/>
    <w:rsid w:val="7C446A13"/>
    <w:rsid w:val="7C4934A5"/>
    <w:rsid w:val="7C4A0658"/>
    <w:rsid w:val="7C4B536B"/>
    <w:rsid w:val="7C58030D"/>
    <w:rsid w:val="7C664EC1"/>
    <w:rsid w:val="7C78742B"/>
    <w:rsid w:val="7C873497"/>
    <w:rsid w:val="7C8768C5"/>
    <w:rsid w:val="7C8A5C27"/>
    <w:rsid w:val="7C8B5447"/>
    <w:rsid w:val="7C916DD2"/>
    <w:rsid w:val="7C932453"/>
    <w:rsid w:val="7C934DE7"/>
    <w:rsid w:val="7C953BE3"/>
    <w:rsid w:val="7C99578E"/>
    <w:rsid w:val="7C9D54D2"/>
    <w:rsid w:val="7CA2449E"/>
    <w:rsid w:val="7CAD45BC"/>
    <w:rsid w:val="7CB116A9"/>
    <w:rsid w:val="7CB127A0"/>
    <w:rsid w:val="7CB2301F"/>
    <w:rsid w:val="7CBE3A51"/>
    <w:rsid w:val="7CC05BC2"/>
    <w:rsid w:val="7CC87BC1"/>
    <w:rsid w:val="7CD132A4"/>
    <w:rsid w:val="7CD92172"/>
    <w:rsid w:val="7CE25338"/>
    <w:rsid w:val="7CEB1193"/>
    <w:rsid w:val="7CF02985"/>
    <w:rsid w:val="7CF84B94"/>
    <w:rsid w:val="7D030A4F"/>
    <w:rsid w:val="7D056582"/>
    <w:rsid w:val="7D0C5E81"/>
    <w:rsid w:val="7D176B5E"/>
    <w:rsid w:val="7D2C0077"/>
    <w:rsid w:val="7D2C0EC1"/>
    <w:rsid w:val="7D2C20B6"/>
    <w:rsid w:val="7D332EF4"/>
    <w:rsid w:val="7D34140C"/>
    <w:rsid w:val="7D393DF7"/>
    <w:rsid w:val="7D4352DB"/>
    <w:rsid w:val="7D4B0519"/>
    <w:rsid w:val="7D4F5A86"/>
    <w:rsid w:val="7D5250FF"/>
    <w:rsid w:val="7D5721C5"/>
    <w:rsid w:val="7D5D262F"/>
    <w:rsid w:val="7D7A4997"/>
    <w:rsid w:val="7D7C34F2"/>
    <w:rsid w:val="7D843283"/>
    <w:rsid w:val="7D853FCD"/>
    <w:rsid w:val="7D8B036D"/>
    <w:rsid w:val="7D8E1A04"/>
    <w:rsid w:val="7D91049C"/>
    <w:rsid w:val="7D925CA6"/>
    <w:rsid w:val="7D9B030F"/>
    <w:rsid w:val="7DA76092"/>
    <w:rsid w:val="7DB62A23"/>
    <w:rsid w:val="7DC40AC5"/>
    <w:rsid w:val="7DC55815"/>
    <w:rsid w:val="7DCA7547"/>
    <w:rsid w:val="7DD24A07"/>
    <w:rsid w:val="7DD412D2"/>
    <w:rsid w:val="7DD47685"/>
    <w:rsid w:val="7DD6794C"/>
    <w:rsid w:val="7DDC707F"/>
    <w:rsid w:val="7DE11004"/>
    <w:rsid w:val="7DE2584F"/>
    <w:rsid w:val="7DE37E98"/>
    <w:rsid w:val="7DEB5EEA"/>
    <w:rsid w:val="7DF17F81"/>
    <w:rsid w:val="7DFF788D"/>
    <w:rsid w:val="7E006882"/>
    <w:rsid w:val="7E01023E"/>
    <w:rsid w:val="7E0263DA"/>
    <w:rsid w:val="7E053A74"/>
    <w:rsid w:val="7E061337"/>
    <w:rsid w:val="7E0B0110"/>
    <w:rsid w:val="7E0D5661"/>
    <w:rsid w:val="7E105CE8"/>
    <w:rsid w:val="7E340F89"/>
    <w:rsid w:val="7E4048AC"/>
    <w:rsid w:val="7E48758C"/>
    <w:rsid w:val="7E49178E"/>
    <w:rsid w:val="7E510BDD"/>
    <w:rsid w:val="7E536C69"/>
    <w:rsid w:val="7E5D449D"/>
    <w:rsid w:val="7E5F3432"/>
    <w:rsid w:val="7E602721"/>
    <w:rsid w:val="7E607448"/>
    <w:rsid w:val="7E623997"/>
    <w:rsid w:val="7E6512BF"/>
    <w:rsid w:val="7E675E9D"/>
    <w:rsid w:val="7E7136CC"/>
    <w:rsid w:val="7E740F7D"/>
    <w:rsid w:val="7E744041"/>
    <w:rsid w:val="7E76359A"/>
    <w:rsid w:val="7E763966"/>
    <w:rsid w:val="7E8055E4"/>
    <w:rsid w:val="7E815EE3"/>
    <w:rsid w:val="7E852C56"/>
    <w:rsid w:val="7E873097"/>
    <w:rsid w:val="7E8A7EF6"/>
    <w:rsid w:val="7EA65DA5"/>
    <w:rsid w:val="7EAD2F22"/>
    <w:rsid w:val="7EAF7397"/>
    <w:rsid w:val="7EB07BF7"/>
    <w:rsid w:val="7EB67F24"/>
    <w:rsid w:val="7EBB57F9"/>
    <w:rsid w:val="7EBE58DC"/>
    <w:rsid w:val="7EC07259"/>
    <w:rsid w:val="7EC60FC9"/>
    <w:rsid w:val="7ECD724F"/>
    <w:rsid w:val="7EDA0B2E"/>
    <w:rsid w:val="7EDB7D56"/>
    <w:rsid w:val="7EDD7534"/>
    <w:rsid w:val="7EDE3CCD"/>
    <w:rsid w:val="7EE44903"/>
    <w:rsid w:val="7EEE656E"/>
    <w:rsid w:val="7EFA764E"/>
    <w:rsid w:val="7F011DF8"/>
    <w:rsid w:val="7F030EC3"/>
    <w:rsid w:val="7F072ECE"/>
    <w:rsid w:val="7F0B358B"/>
    <w:rsid w:val="7F1F284B"/>
    <w:rsid w:val="7F257AF9"/>
    <w:rsid w:val="7F3215EA"/>
    <w:rsid w:val="7F4120DD"/>
    <w:rsid w:val="7F4412FD"/>
    <w:rsid w:val="7F4A32B5"/>
    <w:rsid w:val="7F4A651E"/>
    <w:rsid w:val="7F512408"/>
    <w:rsid w:val="7F5417F6"/>
    <w:rsid w:val="7F700B74"/>
    <w:rsid w:val="7F7109D4"/>
    <w:rsid w:val="7F841B51"/>
    <w:rsid w:val="7F8504DC"/>
    <w:rsid w:val="7F8E33B3"/>
    <w:rsid w:val="7F9B62CF"/>
    <w:rsid w:val="7FA0574E"/>
    <w:rsid w:val="7FA2124B"/>
    <w:rsid w:val="7FAC731C"/>
    <w:rsid w:val="7FBE6720"/>
    <w:rsid w:val="7FC134F1"/>
    <w:rsid w:val="7FCA5619"/>
    <w:rsid w:val="7FCF1612"/>
    <w:rsid w:val="7FD52433"/>
    <w:rsid w:val="7FDB3C42"/>
    <w:rsid w:val="7FDF1520"/>
    <w:rsid w:val="7FDF3365"/>
    <w:rsid w:val="7FE06151"/>
    <w:rsid w:val="7FE2771A"/>
    <w:rsid w:val="7FE81533"/>
    <w:rsid w:val="7FF97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iPriority="9" w:name="heading 4"/>
    <w:lsdException w:qFormat="1" w:unhideWhenUsed="0" w:uiPriority="1" w:semiHidden="0" w:name="heading 5"/>
    <w:lsdException w:qFormat="1" w:unhideWhenUsed="0" w:uiPriority="1" w:semiHidden="0" w:name="heading 6"/>
    <w:lsdException w:qFormat="1" w:unhideWhenUsed="0" w:uiPriority="9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2"/>
    <w:qFormat/>
    <w:uiPriority w:val="99"/>
    <w:pPr>
      <w:keepNext/>
      <w:keepLines/>
      <w:widowControl w:val="0"/>
      <w:spacing w:before="340" w:after="330" w:line="576" w:lineRule="auto"/>
      <w:outlineLvl w:val="0"/>
    </w:pPr>
    <w:rPr>
      <w:rFonts w:ascii="Calibri" w:hAnsi="Calibri"/>
      <w:b/>
      <w:bCs/>
      <w:kern w:val="44"/>
      <w:sz w:val="44"/>
      <w:szCs w:val="44"/>
    </w:rPr>
  </w:style>
  <w:style w:type="paragraph" w:styleId="3">
    <w:name w:val="heading 2"/>
    <w:basedOn w:val="1"/>
    <w:next w:val="1"/>
    <w:link w:val="43"/>
    <w:qFormat/>
    <w:uiPriority w:val="99"/>
    <w:pPr>
      <w:keepNext/>
      <w:keepLines/>
      <w:widowControl w:val="0"/>
      <w:spacing w:line="360" w:lineRule="auto"/>
      <w:outlineLvl w:val="1"/>
    </w:pPr>
    <w:rPr>
      <w:rFonts w:ascii="Arial" w:hAnsi="Arial" w:eastAsia="黑体"/>
      <w:b/>
      <w:bCs/>
      <w:sz w:val="32"/>
      <w:szCs w:val="32"/>
    </w:rPr>
  </w:style>
  <w:style w:type="paragraph" w:styleId="4">
    <w:name w:val="heading 3"/>
    <w:basedOn w:val="1"/>
    <w:next w:val="1"/>
    <w:link w:val="44"/>
    <w:qFormat/>
    <w:uiPriority w:val="0"/>
    <w:pPr>
      <w:keepNext/>
      <w:keepLines/>
      <w:widowControl w:val="0"/>
      <w:spacing w:before="380" w:after="380" w:line="412" w:lineRule="auto"/>
      <w:jc w:val="center"/>
      <w:outlineLvl w:val="2"/>
    </w:pPr>
    <w:rPr>
      <w:b/>
      <w:bCs/>
      <w:sz w:val="28"/>
      <w:szCs w:val="32"/>
    </w:rPr>
  </w:style>
  <w:style w:type="paragraph" w:styleId="5">
    <w:name w:val="heading 5"/>
    <w:basedOn w:val="1"/>
    <w:next w:val="1"/>
    <w:qFormat/>
    <w:uiPriority w:val="1"/>
    <w:pPr>
      <w:ind w:left="5"/>
      <w:outlineLvl w:val="4"/>
    </w:pPr>
    <w:rPr>
      <w:rFonts w:ascii="宋体" w:hAnsi="宋体"/>
      <w:sz w:val="27"/>
      <w:szCs w:val="27"/>
    </w:rPr>
  </w:style>
  <w:style w:type="paragraph" w:styleId="6">
    <w:name w:val="heading 6"/>
    <w:basedOn w:val="1"/>
    <w:next w:val="1"/>
    <w:qFormat/>
    <w:uiPriority w:val="1"/>
    <w:pPr>
      <w:ind w:left="152"/>
      <w:outlineLvl w:val="5"/>
    </w:pPr>
    <w:rPr>
      <w:rFonts w:ascii="宋体" w:hAnsi="宋体"/>
      <w:sz w:val="24"/>
      <w:szCs w:val="24"/>
    </w:rPr>
  </w:style>
  <w:style w:type="paragraph" w:styleId="7">
    <w:name w:val="heading 7"/>
    <w:basedOn w:val="1"/>
    <w:next w:val="1"/>
    <w:qFormat/>
    <w:uiPriority w:val="99"/>
    <w:pPr>
      <w:keepNext/>
      <w:keepLines/>
      <w:tabs>
        <w:tab w:val="left" w:pos="2520"/>
        <w:tab w:val="left" w:pos="3472"/>
      </w:tabs>
      <w:spacing w:before="240" w:after="64" w:line="317" w:lineRule="auto"/>
      <w:ind w:left="3472" w:hanging="420"/>
      <w:outlineLvl w:val="6"/>
    </w:pPr>
    <w:rPr>
      <w:b/>
      <w:bCs/>
      <w:sz w:val="24"/>
      <w:szCs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1260"/>
    </w:pPr>
    <w:rPr>
      <w:rFonts w:ascii="Calibri" w:hAnsi="Calibri" w:cs="Calibri"/>
      <w:sz w:val="18"/>
      <w:szCs w:val="18"/>
    </w:rPr>
  </w:style>
  <w:style w:type="paragraph" w:styleId="9">
    <w:name w:val="Normal Indent"/>
    <w:basedOn w:val="1"/>
    <w:unhideWhenUsed/>
    <w:qFormat/>
    <w:uiPriority w:val="99"/>
    <w:pPr>
      <w:ind w:firstLine="420" w:firstLineChars="200"/>
    </w:pPr>
  </w:style>
  <w:style w:type="paragraph" w:styleId="10">
    <w:name w:val="Document Map"/>
    <w:basedOn w:val="1"/>
    <w:next w:val="7"/>
    <w:link w:val="45"/>
    <w:unhideWhenUsed/>
    <w:qFormat/>
    <w:uiPriority w:val="99"/>
    <w:rPr>
      <w:rFonts w:ascii="宋体"/>
      <w:sz w:val="18"/>
      <w:szCs w:val="18"/>
    </w:rPr>
  </w:style>
  <w:style w:type="paragraph" w:styleId="11">
    <w:name w:val="toa heading"/>
    <w:basedOn w:val="1"/>
    <w:next w:val="1"/>
    <w:semiHidden/>
    <w:qFormat/>
    <w:uiPriority w:val="0"/>
    <w:pPr>
      <w:widowControl w:val="0"/>
      <w:spacing w:before="120"/>
      <w:jc w:val="both"/>
    </w:pPr>
    <w:rPr>
      <w:rFonts w:ascii="Arial" w:hAnsi="Arial" w:cs="Arial"/>
      <w:kern w:val="2"/>
      <w:sz w:val="24"/>
      <w:szCs w:val="24"/>
    </w:rPr>
  </w:style>
  <w:style w:type="paragraph" w:styleId="12">
    <w:name w:val="annotation text"/>
    <w:basedOn w:val="1"/>
    <w:link w:val="46"/>
    <w:unhideWhenUsed/>
    <w:qFormat/>
    <w:uiPriority w:val="0"/>
  </w:style>
  <w:style w:type="paragraph" w:styleId="13">
    <w:name w:val="Body Text 3"/>
    <w:basedOn w:val="1"/>
    <w:link w:val="47"/>
    <w:unhideWhenUsed/>
    <w:qFormat/>
    <w:uiPriority w:val="99"/>
    <w:rPr>
      <w:rFonts w:ascii="宋体" w:hAnsi="Calibri"/>
      <w:sz w:val="24"/>
      <w:szCs w:val="24"/>
    </w:rPr>
  </w:style>
  <w:style w:type="paragraph" w:styleId="14">
    <w:name w:val="Body Text"/>
    <w:basedOn w:val="1"/>
    <w:next w:val="1"/>
    <w:qFormat/>
    <w:uiPriority w:val="0"/>
    <w:pPr>
      <w:spacing w:line="360" w:lineRule="auto"/>
    </w:pPr>
    <w:rPr>
      <w:kern w:val="2"/>
      <w:szCs w:val="24"/>
    </w:rPr>
  </w:style>
  <w:style w:type="paragraph" w:styleId="15">
    <w:name w:val="Body Text Indent"/>
    <w:basedOn w:val="1"/>
    <w:link w:val="48"/>
    <w:unhideWhenUsed/>
    <w:qFormat/>
    <w:uiPriority w:val="99"/>
    <w:pPr>
      <w:spacing w:line="460" w:lineRule="exact"/>
      <w:ind w:firstLine="510"/>
    </w:pPr>
    <w:rPr>
      <w:rFonts w:ascii="Calibri" w:hAnsi="Calibri"/>
      <w:sz w:val="20"/>
    </w:rPr>
  </w:style>
  <w:style w:type="paragraph" w:styleId="16">
    <w:name w:val="toc 5"/>
    <w:basedOn w:val="1"/>
    <w:next w:val="1"/>
    <w:unhideWhenUsed/>
    <w:qFormat/>
    <w:uiPriority w:val="39"/>
    <w:pPr>
      <w:ind w:left="840"/>
    </w:pPr>
    <w:rPr>
      <w:rFonts w:ascii="Calibri" w:hAnsi="Calibri" w:cs="Calibri"/>
      <w:sz w:val="18"/>
      <w:szCs w:val="18"/>
    </w:rPr>
  </w:style>
  <w:style w:type="paragraph" w:styleId="17">
    <w:name w:val="toc 3"/>
    <w:basedOn w:val="1"/>
    <w:next w:val="1"/>
    <w:unhideWhenUsed/>
    <w:qFormat/>
    <w:uiPriority w:val="39"/>
    <w:pPr>
      <w:ind w:left="420"/>
    </w:pPr>
    <w:rPr>
      <w:rFonts w:ascii="Calibri" w:hAnsi="Calibri" w:cs="Calibri"/>
      <w:i/>
      <w:iCs/>
      <w:sz w:val="20"/>
      <w:szCs w:val="20"/>
    </w:r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ind w:left="1470"/>
    </w:pPr>
    <w:rPr>
      <w:rFonts w:ascii="Calibri" w:hAnsi="Calibri" w:cs="Calibri"/>
      <w:sz w:val="18"/>
      <w:szCs w:val="18"/>
    </w:rPr>
  </w:style>
  <w:style w:type="paragraph" w:styleId="20">
    <w:name w:val="Body Text Indent 2"/>
    <w:basedOn w:val="1"/>
    <w:next w:val="14"/>
    <w:qFormat/>
    <w:uiPriority w:val="0"/>
    <w:pPr>
      <w:spacing w:after="120" w:line="480" w:lineRule="auto"/>
      <w:ind w:left="420" w:leftChars="200"/>
    </w:pPr>
    <w:rPr>
      <w:sz w:val="20"/>
      <w:szCs w:val="20"/>
    </w:rPr>
  </w:style>
  <w:style w:type="paragraph" w:styleId="21">
    <w:name w:val="Balloon Text"/>
    <w:basedOn w:val="1"/>
    <w:link w:val="49"/>
    <w:unhideWhenUsed/>
    <w:qFormat/>
    <w:uiPriority w:val="99"/>
    <w:rPr>
      <w:sz w:val="18"/>
      <w:szCs w:val="18"/>
    </w:rPr>
  </w:style>
  <w:style w:type="paragraph" w:styleId="22">
    <w:name w:val="footer"/>
    <w:basedOn w:val="1"/>
    <w:link w:val="50"/>
    <w:unhideWhenUsed/>
    <w:qFormat/>
    <w:uiPriority w:val="99"/>
    <w:pPr>
      <w:tabs>
        <w:tab w:val="center" w:pos="4153"/>
        <w:tab w:val="right" w:pos="8306"/>
      </w:tabs>
      <w:snapToGrid w:val="0"/>
    </w:pPr>
    <w:rPr>
      <w:sz w:val="18"/>
      <w:szCs w:val="18"/>
    </w:rPr>
  </w:style>
  <w:style w:type="paragraph" w:styleId="23">
    <w:name w:val="header"/>
    <w:basedOn w:val="1"/>
    <w:link w:val="51"/>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spacing w:before="120" w:after="120"/>
    </w:pPr>
    <w:rPr>
      <w:rFonts w:ascii="Calibri" w:hAnsi="Calibri" w:cs="Calibri"/>
      <w:b/>
      <w:bCs/>
      <w:caps/>
      <w:sz w:val="20"/>
      <w:szCs w:val="20"/>
    </w:rPr>
  </w:style>
  <w:style w:type="paragraph" w:styleId="25">
    <w:name w:val="toc 4"/>
    <w:basedOn w:val="1"/>
    <w:next w:val="1"/>
    <w:unhideWhenUsed/>
    <w:qFormat/>
    <w:uiPriority w:val="39"/>
    <w:pPr>
      <w:ind w:left="630"/>
    </w:pPr>
    <w:rPr>
      <w:rFonts w:ascii="Calibri" w:hAnsi="Calibri" w:cs="Calibri"/>
      <w:sz w:val="18"/>
      <w:szCs w:val="18"/>
    </w:rPr>
  </w:style>
  <w:style w:type="paragraph" w:styleId="26">
    <w:name w:val="footnote text"/>
    <w:basedOn w:val="1"/>
    <w:qFormat/>
    <w:uiPriority w:val="0"/>
    <w:pPr>
      <w:adjustRightInd w:val="0"/>
      <w:spacing w:line="312" w:lineRule="atLeast"/>
      <w:textAlignment w:val="baseline"/>
    </w:pPr>
    <w:rPr>
      <w:sz w:val="18"/>
      <w:szCs w:val="20"/>
    </w:rPr>
  </w:style>
  <w:style w:type="paragraph" w:styleId="27">
    <w:name w:val="toc 6"/>
    <w:basedOn w:val="1"/>
    <w:next w:val="1"/>
    <w:unhideWhenUsed/>
    <w:qFormat/>
    <w:uiPriority w:val="39"/>
    <w:pPr>
      <w:ind w:left="1050"/>
    </w:pPr>
    <w:rPr>
      <w:rFonts w:ascii="Calibri" w:hAnsi="Calibri" w:cs="Calibri"/>
      <w:sz w:val="18"/>
      <w:szCs w:val="18"/>
    </w:rPr>
  </w:style>
  <w:style w:type="paragraph" w:styleId="28">
    <w:name w:val="toc 2"/>
    <w:basedOn w:val="1"/>
    <w:next w:val="1"/>
    <w:unhideWhenUsed/>
    <w:qFormat/>
    <w:uiPriority w:val="39"/>
    <w:pPr>
      <w:ind w:left="210"/>
    </w:pPr>
    <w:rPr>
      <w:rFonts w:ascii="Calibri" w:hAnsi="Calibri" w:cs="Calibri"/>
      <w:smallCaps/>
      <w:sz w:val="20"/>
      <w:szCs w:val="20"/>
    </w:rPr>
  </w:style>
  <w:style w:type="paragraph" w:styleId="29">
    <w:name w:val="toc 9"/>
    <w:basedOn w:val="1"/>
    <w:next w:val="1"/>
    <w:unhideWhenUsed/>
    <w:qFormat/>
    <w:uiPriority w:val="39"/>
    <w:pPr>
      <w:ind w:left="1680"/>
    </w:pPr>
    <w:rPr>
      <w:rFonts w:ascii="Calibri" w:hAnsi="Calibri" w:cs="Calibri"/>
      <w:sz w:val="18"/>
      <w:szCs w:val="18"/>
    </w:rPr>
  </w:style>
  <w:style w:type="paragraph" w:styleId="30">
    <w:name w:val="Normal (Web)"/>
    <w:basedOn w:val="1"/>
    <w:unhideWhenUsed/>
    <w:qFormat/>
    <w:uiPriority w:val="99"/>
    <w:pPr>
      <w:spacing w:before="100" w:beforeAutospacing="1" w:after="100" w:afterAutospacing="1"/>
    </w:pPr>
    <w:rPr>
      <w:sz w:val="24"/>
      <w:szCs w:val="24"/>
    </w:rPr>
  </w:style>
  <w:style w:type="paragraph" w:styleId="31">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32">
    <w:name w:val="annotation subject"/>
    <w:basedOn w:val="12"/>
    <w:next w:val="12"/>
    <w:link w:val="52"/>
    <w:unhideWhenUsed/>
    <w:qFormat/>
    <w:uiPriority w:val="0"/>
    <w:rPr>
      <w:b/>
      <w:bCs/>
    </w:rPr>
  </w:style>
  <w:style w:type="paragraph" w:styleId="33">
    <w:name w:val="Body Text First Indent 2"/>
    <w:basedOn w:val="15"/>
    <w:qFormat/>
    <w:uiPriority w:val="0"/>
    <w:pPr>
      <w:widowControl w:val="0"/>
      <w:ind w:left="200" w:leftChars="200" w:firstLine="420" w:firstLineChars="200"/>
      <w:jc w:val="both"/>
    </w:pPr>
    <w:rPr>
      <w:kern w:val="2"/>
      <w:sz w:val="21"/>
      <w:szCs w:val="24"/>
    </w:rPr>
  </w:style>
  <w:style w:type="table" w:styleId="35">
    <w:name w:val="Table Grid"/>
    <w:basedOn w:val="34"/>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page number"/>
    <w:qFormat/>
    <w:uiPriority w:val="0"/>
    <w:rPr>
      <w:rFonts w:cs="Times New Roman"/>
    </w:rPr>
  </w:style>
  <w:style w:type="character" w:styleId="38">
    <w:name w:val="FollowedHyperlink"/>
    <w:unhideWhenUsed/>
    <w:qFormat/>
    <w:uiPriority w:val="99"/>
    <w:rPr>
      <w:color w:val="333333"/>
      <w:u w:val="none"/>
    </w:rPr>
  </w:style>
  <w:style w:type="character" w:styleId="39">
    <w:name w:val="Emphasis"/>
    <w:qFormat/>
    <w:uiPriority w:val="20"/>
    <w:rPr>
      <w:i/>
    </w:rPr>
  </w:style>
  <w:style w:type="character" w:styleId="40">
    <w:name w:val="Hyperlink"/>
    <w:unhideWhenUsed/>
    <w:qFormat/>
    <w:uiPriority w:val="99"/>
    <w:rPr>
      <w:color w:val="333333"/>
      <w:u w:val="none"/>
    </w:rPr>
  </w:style>
  <w:style w:type="character" w:styleId="41">
    <w:name w:val="annotation reference"/>
    <w:unhideWhenUsed/>
    <w:qFormat/>
    <w:uiPriority w:val="99"/>
    <w:rPr>
      <w:sz w:val="21"/>
      <w:szCs w:val="21"/>
    </w:rPr>
  </w:style>
  <w:style w:type="character" w:customStyle="1" w:styleId="42">
    <w:name w:val="标题 1 字符"/>
    <w:link w:val="2"/>
    <w:qFormat/>
    <w:uiPriority w:val="99"/>
    <w:rPr>
      <w:rFonts w:ascii="Calibri" w:hAnsi="Calibri" w:eastAsia="宋体" w:cs="Times New Roman"/>
      <w:b/>
      <w:bCs/>
      <w:kern w:val="44"/>
      <w:sz w:val="44"/>
      <w:szCs w:val="44"/>
    </w:rPr>
  </w:style>
  <w:style w:type="character" w:customStyle="1" w:styleId="43">
    <w:name w:val="标题 2 字符"/>
    <w:link w:val="3"/>
    <w:qFormat/>
    <w:uiPriority w:val="99"/>
    <w:rPr>
      <w:rFonts w:ascii="Arial" w:hAnsi="Arial" w:eastAsia="黑体" w:cs="Times New Roman"/>
      <w:b/>
      <w:bCs/>
      <w:kern w:val="0"/>
      <w:sz w:val="32"/>
      <w:szCs w:val="32"/>
    </w:rPr>
  </w:style>
  <w:style w:type="character" w:customStyle="1" w:styleId="44">
    <w:name w:val="标题 3 字符"/>
    <w:link w:val="4"/>
    <w:qFormat/>
    <w:uiPriority w:val="0"/>
    <w:rPr>
      <w:rFonts w:ascii="Times New Roman" w:hAnsi="Times New Roman" w:eastAsia="宋体" w:cs="Times New Roman"/>
      <w:b/>
      <w:bCs/>
      <w:kern w:val="0"/>
      <w:sz w:val="28"/>
      <w:szCs w:val="32"/>
    </w:rPr>
  </w:style>
  <w:style w:type="character" w:customStyle="1" w:styleId="45">
    <w:name w:val="文档结构图 字符"/>
    <w:link w:val="10"/>
    <w:semiHidden/>
    <w:qFormat/>
    <w:uiPriority w:val="99"/>
    <w:rPr>
      <w:rFonts w:ascii="宋体"/>
      <w:sz w:val="18"/>
      <w:szCs w:val="18"/>
    </w:rPr>
  </w:style>
  <w:style w:type="character" w:customStyle="1" w:styleId="46">
    <w:name w:val="批注文字 字符"/>
    <w:link w:val="12"/>
    <w:qFormat/>
    <w:uiPriority w:val="0"/>
    <w:rPr>
      <w:sz w:val="21"/>
      <w:szCs w:val="21"/>
    </w:rPr>
  </w:style>
  <w:style w:type="character" w:customStyle="1" w:styleId="47">
    <w:name w:val="正文文本 3 字符"/>
    <w:link w:val="13"/>
    <w:qFormat/>
    <w:uiPriority w:val="99"/>
    <w:rPr>
      <w:rFonts w:ascii="宋体" w:hAnsi="Calibri" w:eastAsia="宋体" w:cs="Times New Roman"/>
      <w:kern w:val="0"/>
      <w:sz w:val="24"/>
      <w:szCs w:val="24"/>
    </w:rPr>
  </w:style>
  <w:style w:type="character" w:customStyle="1" w:styleId="48">
    <w:name w:val="正文文本缩进 字符"/>
    <w:link w:val="15"/>
    <w:qFormat/>
    <w:uiPriority w:val="99"/>
    <w:rPr>
      <w:rFonts w:ascii="Calibri" w:hAnsi="Calibri" w:eastAsia="宋体" w:cs="Times New Roman"/>
      <w:kern w:val="0"/>
      <w:szCs w:val="21"/>
    </w:rPr>
  </w:style>
  <w:style w:type="character" w:customStyle="1" w:styleId="49">
    <w:name w:val="批注框文本 字符"/>
    <w:link w:val="21"/>
    <w:semiHidden/>
    <w:qFormat/>
    <w:uiPriority w:val="99"/>
    <w:rPr>
      <w:sz w:val="18"/>
      <w:szCs w:val="18"/>
    </w:rPr>
  </w:style>
  <w:style w:type="character" w:customStyle="1" w:styleId="50">
    <w:name w:val="页脚 字符"/>
    <w:link w:val="22"/>
    <w:qFormat/>
    <w:uiPriority w:val="99"/>
    <w:rPr>
      <w:sz w:val="18"/>
      <w:szCs w:val="18"/>
    </w:rPr>
  </w:style>
  <w:style w:type="character" w:customStyle="1" w:styleId="51">
    <w:name w:val="页眉 字符"/>
    <w:link w:val="23"/>
    <w:qFormat/>
    <w:uiPriority w:val="99"/>
    <w:rPr>
      <w:sz w:val="18"/>
      <w:szCs w:val="18"/>
    </w:rPr>
  </w:style>
  <w:style w:type="character" w:customStyle="1" w:styleId="52">
    <w:name w:val="批注主题 字符"/>
    <w:link w:val="32"/>
    <w:qFormat/>
    <w:uiPriority w:val="0"/>
  </w:style>
  <w:style w:type="character" w:customStyle="1" w:styleId="53">
    <w:name w:val="15"/>
    <w:qFormat/>
    <w:uiPriority w:val="0"/>
    <w:rPr>
      <w:rFonts w:hint="default" w:ascii="Times New Roman" w:hAnsi="Times New Roman" w:cs="Times New Roman"/>
      <w:b/>
      <w:bCs/>
      <w:kern w:val="44"/>
      <w:sz w:val="44"/>
      <w:szCs w:val="44"/>
    </w:rPr>
  </w:style>
  <w:style w:type="character" w:customStyle="1" w:styleId="54">
    <w:name w:val="16"/>
    <w:qFormat/>
    <w:uiPriority w:val="0"/>
    <w:rPr>
      <w:rFonts w:hint="default" w:ascii="Times New Roman" w:hAnsi="Times New Roman" w:cs="Times New Roman"/>
      <w:b/>
      <w:bCs/>
      <w:sz w:val="32"/>
      <w:szCs w:val="32"/>
    </w:rPr>
  </w:style>
  <w:style w:type="paragraph" w:customStyle="1" w:styleId="55">
    <w:name w:val="纯文本1"/>
    <w:basedOn w:val="1"/>
    <w:qFormat/>
    <w:uiPriority w:val="0"/>
    <w:rPr>
      <w:rFonts w:ascii="宋体" w:hAnsi="Courier New"/>
      <w:szCs w:val="22"/>
    </w:rPr>
  </w:style>
  <w:style w:type="paragraph" w:customStyle="1" w:styleId="56">
    <w:name w:val="索引 11"/>
    <w:basedOn w:val="1"/>
    <w:next w:val="1"/>
    <w:qFormat/>
    <w:uiPriority w:val="0"/>
    <w:pPr>
      <w:spacing w:line="360" w:lineRule="auto"/>
    </w:pPr>
    <w:rPr>
      <w:rFonts w:ascii="仿宋_GB2312" w:eastAsia="仿宋_GB2312"/>
      <w:sz w:val="24"/>
      <w:szCs w:val="20"/>
    </w:rPr>
  </w:style>
  <w:style w:type="paragraph" w:customStyle="1" w:styleId="57">
    <w:name w:val="正文缩进1"/>
    <w:basedOn w:val="1"/>
    <w:qFormat/>
    <w:uiPriority w:val="0"/>
    <w:pPr>
      <w:autoSpaceDE w:val="0"/>
      <w:autoSpaceDN w:val="0"/>
      <w:adjustRightInd w:val="0"/>
      <w:ind w:firstLine="420"/>
    </w:pPr>
    <w:rPr>
      <w:rFonts w:ascii="宋体" w:hAnsi="Calibri"/>
      <w:sz w:val="24"/>
      <w:szCs w:val="22"/>
    </w:rPr>
  </w:style>
  <w:style w:type="paragraph" w:customStyle="1" w:styleId="58">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59">
    <w:name w:val="_Style 2"/>
    <w:basedOn w:val="1"/>
    <w:qFormat/>
    <w:uiPriority w:val="0"/>
  </w:style>
  <w:style w:type="paragraph" w:customStyle="1" w:styleId="60">
    <w:name w:val="Default"/>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customStyle="1" w:styleId="61">
    <w:name w:val="Table Paragraph"/>
    <w:basedOn w:val="1"/>
    <w:qFormat/>
    <w:uiPriority w:val="1"/>
  </w:style>
  <w:style w:type="paragraph" w:styleId="62">
    <w:name w:val="List Paragraph"/>
    <w:basedOn w:val="1"/>
    <w:qFormat/>
    <w:uiPriority w:val="1"/>
    <w:pPr>
      <w:ind w:left="549" w:firstLine="420"/>
    </w:pPr>
  </w:style>
  <w:style w:type="paragraph" w:customStyle="1" w:styleId="63">
    <w:name w:val="Table Text"/>
    <w:qFormat/>
    <w:uiPriority w:val="0"/>
    <w:pPr>
      <w:snapToGrid w:val="0"/>
      <w:spacing w:before="80" w:after="80"/>
    </w:pPr>
    <w:rPr>
      <w:rFonts w:ascii="Arial" w:hAnsi="Arial" w:eastAsia="宋体" w:cs="Arial"/>
      <w:kern w:val="2"/>
      <w:sz w:val="18"/>
      <w:szCs w:val="18"/>
      <w:lang w:val="en-US" w:eastAsia="zh-CN" w:bidi="ar-SA"/>
    </w:rPr>
  </w:style>
  <w:style w:type="paragraph" w:customStyle="1" w:styleId="64">
    <w:name w:val="正文缩进2字符"/>
    <w:basedOn w:val="1"/>
    <w:qFormat/>
    <w:uiPriority w:val="0"/>
    <w:pPr>
      <w:spacing w:before="100" w:beforeAutospacing="1" w:after="100" w:afterAutospacing="1" w:line="300" w:lineRule="auto"/>
      <w:ind w:left="357"/>
    </w:pPr>
    <w:rPr>
      <w:rFonts w:ascii="ˎ̥" w:hAnsi="ˎ̥"/>
      <w:color w:val="51585D"/>
      <w:sz w:val="20"/>
      <w:szCs w:val="20"/>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Revision"/>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4"/>
    <customShpInfo spid="_x0000_s3073"/>
    <customShpInfo spid="_x0000_s3076"/>
    <customShpInfo spid="_x0000_s3075"/>
    <customShpInfo spid="_x0000_s3078"/>
    <customShpInfo spid="_x0000_s3077"/>
    <customShpInfo spid="_x0000_s307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2834EF-C707-4617-AC31-034056E534F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27084</Words>
  <Characters>28731</Characters>
  <Lines>1169</Lines>
  <Paragraphs>1178</Paragraphs>
  <TotalTime>57</TotalTime>
  <ScaleCrop>false</ScaleCrop>
  <LinksUpToDate>false</LinksUpToDate>
  <CharactersWithSpaces>29157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2024-05-07T01:24:00Z</dcterms:created>
  <dc:creator>jsb</dc:creator>
  <cp:lastModifiedBy>丶木槿</cp:lastModifiedBy>
  <cp:lastPrinted>2023-06-19T01:03:00Z</cp:lastPrinted>
  <dcterms:modified xsi:type="dcterms:W3CDTF">2025-04-11T03:20:15Z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5C499F7290EB416896CE93A2A7642E8F</vt:lpwstr>
  </property>
  <property fmtid="{D5CDD505-2E9C-101B-9397-08002B2CF9AE}" pid="4" name="KSOTemplateDocerSaveRecord">
    <vt:lpwstr>eyJoZGlkIjoiYWIyMDNhOGY0NzZhNWYzOTk5ZmY5YzBkYjI5YzI2OGYiLCJ1c2VySWQiOiIxMDY2NjU1NjExIn0=</vt:lpwstr>
  </property>
</Properties>
</file>