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E3607">
      <w:pPr>
        <w:snapToGrid w:val="0"/>
        <w:jc w:val="center"/>
        <w:textAlignment w:val="baseline"/>
        <w:rPr>
          <w:rFonts w:ascii="宋体" w:hAnsi="宋体" w:cs="Courier New"/>
          <w:b/>
          <w:color w:val="000000" w:themeColor="text1"/>
          <w:sz w:val="72"/>
          <w:szCs w:val="72"/>
        </w:rPr>
      </w:pPr>
    </w:p>
    <w:p w14:paraId="77501343">
      <w:pPr>
        <w:pStyle w:val="46"/>
        <w:textAlignment w:val="baseline"/>
        <w:rPr>
          <w:rFonts w:ascii="宋体" w:hAnsi="宋体" w:cs="Courier New"/>
          <w:b/>
          <w:color w:val="000000" w:themeColor="text1"/>
          <w:sz w:val="72"/>
          <w:szCs w:val="72"/>
        </w:rPr>
      </w:pPr>
    </w:p>
    <w:p w14:paraId="188B2AA7">
      <w:pPr>
        <w:pStyle w:val="46"/>
        <w:textAlignment w:val="baseline"/>
        <w:rPr>
          <w:rFonts w:ascii="宋体" w:hAnsi="宋体" w:cs="Courier New"/>
          <w:b/>
          <w:color w:val="000000" w:themeColor="text1"/>
          <w:sz w:val="72"/>
          <w:szCs w:val="72"/>
        </w:rPr>
      </w:pPr>
    </w:p>
    <w:p w14:paraId="5C68347B">
      <w:pPr>
        <w:snapToGrid w:val="0"/>
        <w:jc w:val="center"/>
        <w:textAlignment w:val="baseline"/>
        <w:rPr>
          <w:rFonts w:ascii="宋体" w:hAnsi="宋体" w:cs="Courier New"/>
          <w:b/>
          <w:color w:val="000000" w:themeColor="text1"/>
          <w:sz w:val="72"/>
          <w:szCs w:val="72"/>
        </w:rPr>
      </w:pPr>
      <w:r>
        <w:rPr>
          <w:rFonts w:hint="eastAsia" w:ascii="宋体" w:hAnsi="宋体" w:cs="Courier New"/>
          <w:b/>
          <w:color w:val="000000" w:themeColor="text1"/>
          <w:sz w:val="72"/>
          <w:szCs w:val="72"/>
        </w:rPr>
        <w:t>政府采购</w:t>
      </w:r>
    </w:p>
    <w:p w14:paraId="4A86F4CD">
      <w:pPr>
        <w:snapToGrid w:val="0"/>
        <w:jc w:val="center"/>
        <w:textAlignment w:val="baseline"/>
        <w:rPr>
          <w:rFonts w:ascii="宋体" w:hAnsi="宋体" w:cs="Courier New"/>
          <w:b/>
          <w:color w:val="000000" w:themeColor="text1"/>
          <w:sz w:val="72"/>
          <w:szCs w:val="72"/>
        </w:rPr>
      </w:pPr>
      <w:r>
        <w:rPr>
          <w:rFonts w:hint="eastAsia" w:ascii="宋体" w:hAnsi="宋体" w:cs="Courier New"/>
          <w:b/>
          <w:color w:val="000000" w:themeColor="text1"/>
          <w:sz w:val="72"/>
          <w:szCs w:val="72"/>
        </w:rPr>
        <w:t>竞争性磋商文件</w:t>
      </w:r>
    </w:p>
    <w:p w14:paraId="3198E8C3">
      <w:pPr>
        <w:snapToGrid w:val="0"/>
        <w:spacing w:line="360" w:lineRule="auto"/>
        <w:ind w:firstLine="944" w:firstLineChars="295"/>
        <w:textAlignment w:val="baseline"/>
        <w:rPr>
          <w:rFonts w:ascii="华文中宋" w:hAnsi="华文中宋" w:eastAsia="华文中宋" w:cs="Courier New"/>
          <w:color w:val="000000" w:themeColor="text1"/>
          <w:sz w:val="32"/>
          <w:szCs w:val="32"/>
        </w:rPr>
      </w:pPr>
    </w:p>
    <w:p w14:paraId="5BF0FE16">
      <w:pPr>
        <w:pStyle w:val="46"/>
        <w:textAlignment w:val="baseline"/>
        <w:rPr>
          <w:color w:val="000000" w:themeColor="text1"/>
          <w:sz w:val="21"/>
        </w:rPr>
      </w:pPr>
    </w:p>
    <w:p w14:paraId="3ED8516B">
      <w:pPr>
        <w:pStyle w:val="46"/>
        <w:textAlignment w:val="baseline"/>
        <w:rPr>
          <w:color w:val="000000" w:themeColor="text1"/>
          <w:sz w:val="21"/>
        </w:rPr>
      </w:pPr>
    </w:p>
    <w:p w14:paraId="0F76B451">
      <w:pPr>
        <w:pStyle w:val="46"/>
        <w:textAlignment w:val="baseline"/>
        <w:rPr>
          <w:color w:val="000000" w:themeColor="text1"/>
          <w:sz w:val="21"/>
        </w:rPr>
      </w:pPr>
    </w:p>
    <w:p w14:paraId="3953517E">
      <w:pPr>
        <w:pStyle w:val="46"/>
        <w:ind w:left="0" w:leftChars="0" w:firstLine="0"/>
        <w:textAlignment w:val="baseline"/>
        <w:rPr>
          <w:color w:val="000000" w:themeColor="text1"/>
          <w:sz w:val="21"/>
        </w:rPr>
      </w:pPr>
    </w:p>
    <w:p w14:paraId="07516D7C">
      <w:pPr>
        <w:ind w:firstLine="640" w:firstLineChars="200"/>
        <w:rPr>
          <w:rFonts w:hint="eastAsia" w:ascii="宋体" w:hAnsi="宋体" w:cs="宋体"/>
          <w:color w:val="000000" w:themeColor="text1"/>
          <w:sz w:val="32"/>
          <w:szCs w:val="32"/>
          <w:lang w:eastAsia="zh-CN"/>
        </w:rPr>
      </w:pPr>
      <w:r>
        <w:rPr>
          <w:rFonts w:hint="eastAsia" w:ascii="宋体" w:hAnsi="宋体" w:cs="宋体"/>
          <w:color w:val="000000" w:themeColor="text1"/>
          <w:sz w:val="32"/>
          <w:szCs w:val="32"/>
        </w:rPr>
        <w:t>采购项目名称：</w:t>
      </w:r>
      <w:r>
        <w:rPr>
          <w:rFonts w:hint="eastAsia" w:ascii="宋体" w:hAnsi="宋体" w:cs="宋体"/>
          <w:color w:val="000000" w:themeColor="text1"/>
          <w:sz w:val="32"/>
          <w:szCs w:val="32"/>
          <w:lang w:eastAsia="zh-CN"/>
        </w:rPr>
        <w:t>汝城县2024年第三批农村公路安防工程</w:t>
      </w:r>
    </w:p>
    <w:p w14:paraId="12D48349">
      <w:pPr>
        <w:ind w:firstLine="640" w:firstLineChars="200"/>
        <w:rPr>
          <w:rFonts w:ascii="宋体" w:hAnsi="宋体" w:cs="宋体"/>
          <w:color w:val="000000" w:themeColor="text1"/>
          <w:sz w:val="32"/>
          <w:szCs w:val="32"/>
        </w:rPr>
      </w:pPr>
      <w:r>
        <w:rPr>
          <w:rFonts w:hint="eastAsia" w:ascii="宋体" w:hAnsi="宋体" w:cs="宋体"/>
          <w:color w:val="000000" w:themeColor="text1"/>
          <w:sz w:val="32"/>
          <w:szCs w:val="32"/>
        </w:rPr>
        <w:t>采   购   人：汝城县公路建设养护中心</w:t>
      </w:r>
    </w:p>
    <w:p w14:paraId="0ED962E4">
      <w:pPr>
        <w:ind w:firstLine="640" w:firstLineChars="200"/>
        <w:rPr>
          <w:rFonts w:ascii="宋体" w:hAnsi="宋体" w:cs="宋体"/>
          <w:color w:val="000000" w:themeColor="text1"/>
          <w:sz w:val="32"/>
          <w:szCs w:val="32"/>
        </w:rPr>
      </w:pPr>
      <w:r>
        <w:rPr>
          <w:rFonts w:hint="eastAsia" w:ascii="宋体" w:hAnsi="宋体" w:cs="宋体"/>
          <w:color w:val="000000" w:themeColor="text1"/>
          <w:sz w:val="32"/>
          <w:szCs w:val="32"/>
        </w:rPr>
        <w:t>政府采购编号：汝财采计[2024]</w:t>
      </w:r>
      <w:r>
        <w:rPr>
          <w:rFonts w:hint="eastAsia" w:ascii="宋体" w:hAnsi="宋体" w:cs="宋体"/>
          <w:color w:val="000000" w:themeColor="text1"/>
          <w:sz w:val="32"/>
          <w:szCs w:val="32"/>
          <w:lang w:val="en-US" w:eastAsia="zh-CN"/>
        </w:rPr>
        <w:t>0147</w:t>
      </w:r>
      <w:r>
        <w:rPr>
          <w:rFonts w:hint="eastAsia" w:ascii="宋体" w:hAnsi="宋体" w:cs="宋体"/>
          <w:color w:val="000000" w:themeColor="text1"/>
          <w:sz w:val="32"/>
          <w:szCs w:val="32"/>
        </w:rPr>
        <w:t xml:space="preserve">号               </w:t>
      </w:r>
    </w:p>
    <w:p w14:paraId="230BBD90">
      <w:pPr>
        <w:ind w:firstLine="640" w:firstLineChars="200"/>
        <w:rPr>
          <w:rFonts w:ascii="宋体" w:hAnsi="宋体" w:cs="宋体"/>
          <w:color w:val="000000" w:themeColor="text1"/>
          <w:sz w:val="32"/>
          <w:szCs w:val="32"/>
        </w:rPr>
      </w:pPr>
      <w:r>
        <w:rPr>
          <w:rFonts w:hint="eastAsia" w:ascii="宋体" w:hAnsi="宋体" w:cs="宋体"/>
          <w:color w:val="000000" w:themeColor="text1"/>
          <w:sz w:val="32"/>
          <w:szCs w:val="32"/>
        </w:rPr>
        <w:t>委托代理编号：YB-CZZF(GC)-2024104</w:t>
      </w:r>
    </w:p>
    <w:p w14:paraId="061DD54E">
      <w:pPr>
        <w:ind w:firstLine="640" w:firstLineChars="200"/>
        <w:rPr>
          <w:rFonts w:ascii="宋体" w:hAnsi="宋体" w:cs="宋体"/>
          <w:color w:val="000000" w:themeColor="text1"/>
          <w:sz w:val="32"/>
          <w:szCs w:val="32"/>
        </w:rPr>
      </w:pPr>
      <w:r>
        <w:rPr>
          <w:rFonts w:hint="eastAsia" w:ascii="宋体" w:hAnsi="宋体" w:cs="宋体"/>
          <w:color w:val="000000" w:themeColor="text1"/>
          <w:sz w:val="32"/>
          <w:szCs w:val="32"/>
        </w:rPr>
        <w:t>采购代理机构：湖南英邦工程建设咨询有限公司</w:t>
      </w:r>
    </w:p>
    <w:p w14:paraId="04C7D58B">
      <w:pPr>
        <w:pStyle w:val="46"/>
        <w:textAlignment w:val="baseline"/>
        <w:rPr>
          <w:color w:val="000000" w:themeColor="text1"/>
          <w:sz w:val="21"/>
        </w:rPr>
      </w:pPr>
    </w:p>
    <w:p w14:paraId="007A7906">
      <w:pPr>
        <w:pStyle w:val="26"/>
        <w:snapToGrid w:val="0"/>
        <w:spacing w:line="360" w:lineRule="auto"/>
        <w:ind w:right="23"/>
        <w:jc w:val="center"/>
        <w:textAlignment w:val="baseline"/>
        <w:rPr>
          <w:rFonts w:hAnsi="宋体"/>
          <w:b/>
          <w:color w:val="000000" w:themeColor="text1"/>
          <w:sz w:val="32"/>
        </w:rPr>
      </w:pPr>
      <w:r>
        <w:rPr>
          <w:rFonts w:hint="eastAsia" w:hAnsi="宋体"/>
          <w:b/>
          <w:color w:val="000000" w:themeColor="text1"/>
          <w:sz w:val="32"/>
        </w:rPr>
        <w:t>20</w:t>
      </w:r>
      <w:r>
        <w:rPr>
          <w:rFonts w:hAnsi="宋体"/>
          <w:b/>
          <w:color w:val="000000" w:themeColor="text1"/>
          <w:sz w:val="32"/>
        </w:rPr>
        <w:t>2</w:t>
      </w:r>
      <w:r>
        <w:rPr>
          <w:rFonts w:hint="eastAsia" w:hAnsi="宋体"/>
          <w:b/>
          <w:color w:val="000000" w:themeColor="text1"/>
          <w:sz w:val="32"/>
          <w:lang w:val="en-US" w:eastAsia="zh-CN"/>
        </w:rPr>
        <w:t>4</w:t>
      </w:r>
      <w:r>
        <w:rPr>
          <w:rFonts w:hint="eastAsia" w:hAnsi="宋体"/>
          <w:b/>
          <w:color w:val="000000" w:themeColor="text1"/>
          <w:sz w:val="32"/>
        </w:rPr>
        <w:t>年</w:t>
      </w:r>
      <w:r>
        <w:rPr>
          <w:rFonts w:hint="eastAsia" w:hAnsi="宋体"/>
          <w:b/>
          <w:color w:val="000000" w:themeColor="text1"/>
          <w:sz w:val="32"/>
          <w:lang w:val="en-US" w:eastAsia="zh-CN"/>
        </w:rPr>
        <w:t>12</w:t>
      </w:r>
      <w:r>
        <w:rPr>
          <w:rFonts w:hint="eastAsia" w:hAnsi="宋体"/>
          <w:b/>
          <w:color w:val="000000" w:themeColor="text1"/>
          <w:sz w:val="32"/>
        </w:rPr>
        <w:t>月</w:t>
      </w:r>
    </w:p>
    <w:p w14:paraId="1636284F">
      <w:pPr>
        <w:pStyle w:val="26"/>
        <w:snapToGrid w:val="0"/>
        <w:spacing w:line="360" w:lineRule="auto"/>
        <w:textAlignment w:val="baseline"/>
        <w:rPr>
          <w:rFonts w:hAnsi="宋体" w:cs="宋体"/>
          <w:color w:val="000000" w:themeColor="text1"/>
          <w:spacing w:val="160"/>
          <w:sz w:val="36"/>
          <w:szCs w:val="36"/>
        </w:rPr>
        <w:sectPr>
          <w:headerReference r:id="rId4" w:type="first"/>
          <w:headerReference r:id="rId3" w:type="default"/>
          <w:footerReference r:id="rId5" w:type="default"/>
          <w:footerReference r:id="rId6" w:type="even"/>
          <w:pgSz w:w="11906" w:h="16838"/>
          <w:pgMar w:top="1440" w:right="1531" w:bottom="1440" w:left="1531" w:header="851" w:footer="992" w:gutter="0"/>
          <w:pgNumType w:fmt="numberInDash"/>
          <w:cols w:space="720" w:num="1"/>
          <w:titlePg/>
          <w:docGrid w:type="lines" w:linePitch="312" w:charSpace="0"/>
        </w:sectPr>
      </w:pPr>
    </w:p>
    <w:p w14:paraId="1A29B578">
      <w:pPr>
        <w:spacing w:line="600" w:lineRule="exact"/>
        <w:jc w:val="center"/>
        <w:rPr>
          <w:b/>
          <w:bCs/>
          <w:color w:val="000000" w:themeColor="text1"/>
          <w:sz w:val="36"/>
          <w:szCs w:val="36"/>
        </w:rPr>
      </w:pPr>
      <w:r>
        <w:rPr>
          <w:rFonts w:ascii="宋体" w:hAnsi="宋体"/>
          <w:b/>
          <w:bCs/>
          <w:color w:val="000000" w:themeColor="text1"/>
          <w:sz w:val="36"/>
          <w:szCs w:val="36"/>
        </w:rPr>
        <w:t>目录</w:t>
      </w:r>
    </w:p>
    <w:p w14:paraId="7CFC02CF">
      <w:pPr>
        <w:pStyle w:val="306"/>
        <w:tabs>
          <w:tab w:val="right" w:leader="dot" w:pos="9746"/>
        </w:tabs>
        <w:spacing w:line="600" w:lineRule="exact"/>
        <w:rPr>
          <w:b/>
          <w:bCs/>
          <w:color w:val="000000" w:themeColor="text1"/>
          <w:sz w:val="30"/>
          <w:szCs w:val="30"/>
        </w:rPr>
      </w:pPr>
      <w:r>
        <w:rPr>
          <w:rFonts w:hint="eastAsia" w:ascii="宋体" w:hAnsi="宋体" w:cs="宋体"/>
          <w:b/>
          <w:bCs/>
          <w:color w:val="000000" w:themeColor="text1"/>
          <w:sz w:val="30"/>
          <w:szCs w:val="30"/>
        </w:rPr>
        <w:fldChar w:fldCharType="begin"/>
      </w:r>
      <w:r>
        <w:rPr>
          <w:rFonts w:hint="eastAsia" w:ascii="宋体" w:hAnsi="宋体" w:cs="宋体"/>
          <w:b/>
          <w:bCs/>
          <w:color w:val="000000" w:themeColor="text1"/>
          <w:sz w:val="30"/>
          <w:szCs w:val="30"/>
        </w:rPr>
        <w:instrText xml:space="preserve">TOC \o "1-1" \h \u </w:instrText>
      </w:r>
      <w:r>
        <w:rPr>
          <w:rFonts w:hint="eastAsia" w:ascii="宋体" w:hAnsi="宋体" w:cs="宋体"/>
          <w:b/>
          <w:bCs/>
          <w:color w:val="000000" w:themeColor="text1"/>
          <w:sz w:val="30"/>
          <w:szCs w:val="30"/>
        </w:rPr>
        <w:fldChar w:fldCharType="separate"/>
      </w:r>
      <w:r>
        <w:rPr>
          <w:color w:val="000000" w:themeColor="text1"/>
        </w:rPr>
        <w:fldChar w:fldCharType="begin"/>
      </w:r>
      <w:r>
        <w:rPr>
          <w:color w:val="000000" w:themeColor="text1"/>
        </w:rPr>
        <w:instrText xml:space="preserve"> HYPERLINK \l "_Toc15322" </w:instrText>
      </w:r>
      <w:r>
        <w:rPr>
          <w:color w:val="000000" w:themeColor="text1"/>
        </w:rPr>
        <w:fldChar w:fldCharType="separate"/>
      </w:r>
      <w:r>
        <w:rPr>
          <w:rFonts w:hint="eastAsia" w:ascii="宋体" w:hAnsi="宋体" w:cs="宋体"/>
          <w:b/>
          <w:bCs/>
          <w:color w:val="000000" w:themeColor="text1"/>
          <w:sz w:val="30"/>
          <w:szCs w:val="30"/>
        </w:rPr>
        <w:t>第一章竞争性磋商公告</w:t>
      </w:r>
      <w:r>
        <w:rPr>
          <w:b/>
          <w:bCs/>
          <w:color w:val="000000" w:themeColor="text1"/>
          <w:sz w:val="30"/>
          <w:szCs w:val="30"/>
        </w:rPr>
        <w:tab/>
      </w:r>
      <w:r>
        <w:rPr>
          <w:b/>
          <w:bCs/>
          <w:color w:val="000000" w:themeColor="text1"/>
          <w:sz w:val="30"/>
          <w:szCs w:val="30"/>
        </w:rPr>
        <w:fldChar w:fldCharType="begin"/>
      </w:r>
      <w:r>
        <w:rPr>
          <w:b/>
          <w:bCs/>
          <w:color w:val="000000" w:themeColor="text1"/>
          <w:sz w:val="30"/>
          <w:szCs w:val="30"/>
        </w:rPr>
        <w:instrText xml:space="preserve"> PAGEREF _Toc15322 \h </w:instrText>
      </w:r>
      <w:r>
        <w:rPr>
          <w:b/>
          <w:bCs/>
          <w:color w:val="000000" w:themeColor="text1"/>
          <w:sz w:val="30"/>
          <w:szCs w:val="30"/>
        </w:rPr>
        <w:fldChar w:fldCharType="separate"/>
      </w:r>
      <w:r>
        <w:rPr>
          <w:b/>
          <w:bCs/>
          <w:color w:val="000000" w:themeColor="text1"/>
          <w:sz w:val="30"/>
          <w:szCs w:val="30"/>
        </w:rPr>
        <w:t>- 1 -</w:t>
      </w:r>
      <w:r>
        <w:rPr>
          <w:b/>
          <w:bCs/>
          <w:color w:val="000000" w:themeColor="text1"/>
          <w:sz w:val="30"/>
          <w:szCs w:val="30"/>
        </w:rPr>
        <w:fldChar w:fldCharType="end"/>
      </w:r>
      <w:r>
        <w:rPr>
          <w:b/>
          <w:bCs/>
          <w:color w:val="000000" w:themeColor="text1"/>
          <w:sz w:val="30"/>
          <w:szCs w:val="30"/>
        </w:rPr>
        <w:fldChar w:fldCharType="end"/>
      </w:r>
    </w:p>
    <w:p w14:paraId="722069AD">
      <w:pPr>
        <w:pStyle w:val="306"/>
        <w:tabs>
          <w:tab w:val="right" w:leader="dot" w:pos="9746"/>
        </w:tabs>
        <w:spacing w:line="600" w:lineRule="exact"/>
        <w:rPr>
          <w:b/>
          <w:bCs/>
          <w:color w:val="000000" w:themeColor="text1"/>
          <w:sz w:val="30"/>
          <w:szCs w:val="30"/>
        </w:rPr>
      </w:pPr>
      <w:r>
        <w:rPr>
          <w:color w:val="000000" w:themeColor="text1"/>
        </w:rPr>
        <w:fldChar w:fldCharType="begin"/>
      </w:r>
      <w:r>
        <w:rPr>
          <w:color w:val="000000" w:themeColor="text1"/>
        </w:rPr>
        <w:instrText xml:space="preserve"> HYPERLINK \l "_Toc17429" </w:instrText>
      </w:r>
      <w:r>
        <w:rPr>
          <w:color w:val="000000" w:themeColor="text1"/>
        </w:rPr>
        <w:fldChar w:fldCharType="separate"/>
      </w:r>
      <w:r>
        <w:rPr>
          <w:rFonts w:hint="eastAsia" w:ascii="宋体" w:hAnsi="宋体" w:cs="宋体"/>
          <w:b/>
          <w:bCs/>
          <w:color w:val="000000" w:themeColor="text1"/>
          <w:sz w:val="30"/>
          <w:szCs w:val="30"/>
        </w:rPr>
        <w:t>第二章 磋商须知</w:t>
      </w:r>
      <w:r>
        <w:rPr>
          <w:b/>
          <w:bCs/>
          <w:color w:val="000000" w:themeColor="text1"/>
          <w:sz w:val="30"/>
          <w:szCs w:val="30"/>
        </w:rPr>
        <w:tab/>
      </w:r>
      <w:r>
        <w:rPr>
          <w:b/>
          <w:bCs/>
          <w:color w:val="000000" w:themeColor="text1"/>
          <w:sz w:val="30"/>
          <w:szCs w:val="30"/>
        </w:rPr>
        <w:fldChar w:fldCharType="begin"/>
      </w:r>
      <w:r>
        <w:rPr>
          <w:b/>
          <w:bCs/>
          <w:color w:val="000000" w:themeColor="text1"/>
          <w:sz w:val="30"/>
          <w:szCs w:val="30"/>
        </w:rPr>
        <w:instrText xml:space="preserve"> PAGEREF _Toc17429 \h </w:instrText>
      </w:r>
      <w:r>
        <w:rPr>
          <w:b/>
          <w:bCs/>
          <w:color w:val="000000" w:themeColor="text1"/>
          <w:sz w:val="30"/>
          <w:szCs w:val="30"/>
        </w:rPr>
        <w:fldChar w:fldCharType="separate"/>
      </w:r>
      <w:r>
        <w:rPr>
          <w:b/>
          <w:bCs/>
          <w:color w:val="000000" w:themeColor="text1"/>
          <w:sz w:val="30"/>
          <w:szCs w:val="30"/>
        </w:rPr>
        <w:t xml:space="preserve">- </w:t>
      </w:r>
      <w:r>
        <w:rPr>
          <w:rFonts w:hint="eastAsia"/>
          <w:b/>
          <w:bCs/>
          <w:color w:val="000000" w:themeColor="text1"/>
          <w:sz w:val="30"/>
          <w:szCs w:val="30"/>
        </w:rPr>
        <w:t>5</w:t>
      </w:r>
      <w:r>
        <w:rPr>
          <w:b/>
          <w:bCs/>
          <w:color w:val="000000" w:themeColor="text1"/>
          <w:sz w:val="30"/>
          <w:szCs w:val="30"/>
        </w:rPr>
        <w:t xml:space="preserve"> -</w:t>
      </w:r>
      <w:r>
        <w:rPr>
          <w:b/>
          <w:bCs/>
          <w:color w:val="000000" w:themeColor="text1"/>
          <w:sz w:val="30"/>
          <w:szCs w:val="30"/>
        </w:rPr>
        <w:fldChar w:fldCharType="end"/>
      </w:r>
      <w:r>
        <w:rPr>
          <w:b/>
          <w:bCs/>
          <w:color w:val="000000" w:themeColor="text1"/>
          <w:sz w:val="30"/>
          <w:szCs w:val="30"/>
        </w:rPr>
        <w:fldChar w:fldCharType="end"/>
      </w:r>
    </w:p>
    <w:p w14:paraId="203A7FFA">
      <w:pPr>
        <w:pStyle w:val="306"/>
        <w:tabs>
          <w:tab w:val="right" w:leader="dot" w:pos="9746"/>
        </w:tabs>
        <w:spacing w:line="600" w:lineRule="exact"/>
        <w:rPr>
          <w:b/>
          <w:bCs/>
          <w:color w:val="000000" w:themeColor="text1"/>
          <w:sz w:val="30"/>
          <w:szCs w:val="30"/>
        </w:rPr>
      </w:pPr>
      <w:r>
        <w:rPr>
          <w:color w:val="000000" w:themeColor="text1"/>
        </w:rPr>
        <w:fldChar w:fldCharType="begin"/>
      </w:r>
      <w:r>
        <w:rPr>
          <w:color w:val="000000" w:themeColor="text1"/>
        </w:rPr>
        <w:instrText xml:space="preserve"> HYPERLINK \l "_Toc25542" </w:instrText>
      </w:r>
      <w:r>
        <w:rPr>
          <w:color w:val="000000" w:themeColor="text1"/>
        </w:rPr>
        <w:fldChar w:fldCharType="separate"/>
      </w:r>
      <w:r>
        <w:rPr>
          <w:rFonts w:hint="eastAsia" w:ascii="宋体" w:hAnsi="宋体" w:cs="宋体"/>
          <w:b/>
          <w:bCs/>
          <w:color w:val="000000" w:themeColor="text1"/>
          <w:sz w:val="30"/>
          <w:szCs w:val="30"/>
        </w:rPr>
        <w:t>第三章 政府采购合同格式</w:t>
      </w:r>
      <w:r>
        <w:rPr>
          <w:b/>
          <w:bCs/>
          <w:color w:val="000000" w:themeColor="text1"/>
          <w:sz w:val="30"/>
          <w:szCs w:val="30"/>
        </w:rPr>
        <w:tab/>
      </w:r>
      <w:r>
        <w:rPr>
          <w:b/>
          <w:bCs/>
          <w:color w:val="000000" w:themeColor="text1"/>
          <w:sz w:val="30"/>
          <w:szCs w:val="30"/>
        </w:rPr>
        <w:fldChar w:fldCharType="begin"/>
      </w:r>
      <w:r>
        <w:rPr>
          <w:b/>
          <w:bCs/>
          <w:color w:val="000000" w:themeColor="text1"/>
          <w:sz w:val="30"/>
          <w:szCs w:val="30"/>
        </w:rPr>
        <w:instrText xml:space="preserve"> PAGEREF _Toc25542 \h </w:instrText>
      </w:r>
      <w:r>
        <w:rPr>
          <w:b/>
          <w:bCs/>
          <w:color w:val="000000" w:themeColor="text1"/>
          <w:sz w:val="30"/>
          <w:szCs w:val="30"/>
        </w:rPr>
        <w:fldChar w:fldCharType="separate"/>
      </w:r>
      <w:r>
        <w:rPr>
          <w:b/>
          <w:bCs/>
          <w:color w:val="000000" w:themeColor="text1"/>
          <w:sz w:val="30"/>
          <w:szCs w:val="30"/>
        </w:rPr>
        <w:t>- 2</w:t>
      </w:r>
      <w:r>
        <w:rPr>
          <w:rFonts w:hint="eastAsia"/>
          <w:b/>
          <w:bCs/>
          <w:color w:val="000000" w:themeColor="text1"/>
          <w:sz w:val="30"/>
          <w:szCs w:val="30"/>
        </w:rPr>
        <w:t>3</w:t>
      </w:r>
      <w:r>
        <w:rPr>
          <w:b/>
          <w:bCs/>
          <w:color w:val="000000" w:themeColor="text1"/>
          <w:sz w:val="30"/>
          <w:szCs w:val="30"/>
        </w:rPr>
        <w:t xml:space="preserve"> -</w:t>
      </w:r>
      <w:r>
        <w:rPr>
          <w:b/>
          <w:bCs/>
          <w:color w:val="000000" w:themeColor="text1"/>
          <w:sz w:val="30"/>
          <w:szCs w:val="30"/>
        </w:rPr>
        <w:fldChar w:fldCharType="end"/>
      </w:r>
      <w:r>
        <w:rPr>
          <w:b/>
          <w:bCs/>
          <w:color w:val="000000" w:themeColor="text1"/>
          <w:sz w:val="30"/>
          <w:szCs w:val="30"/>
        </w:rPr>
        <w:fldChar w:fldCharType="end"/>
      </w:r>
    </w:p>
    <w:p w14:paraId="348CB237">
      <w:pPr>
        <w:pStyle w:val="306"/>
        <w:tabs>
          <w:tab w:val="right" w:leader="dot" w:pos="9746"/>
        </w:tabs>
        <w:spacing w:line="600" w:lineRule="exact"/>
        <w:rPr>
          <w:b/>
          <w:bCs/>
          <w:color w:val="000000" w:themeColor="text1"/>
          <w:sz w:val="30"/>
          <w:szCs w:val="30"/>
        </w:rPr>
      </w:pPr>
      <w:r>
        <w:rPr>
          <w:color w:val="000000" w:themeColor="text1"/>
        </w:rPr>
        <w:fldChar w:fldCharType="begin"/>
      </w:r>
      <w:r>
        <w:rPr>
          <w:color w:val="000000" w:themeColor="text1"/>
        </w:rPr>
        <w:instrText xml:space="preserve"> HYPERLINK \l "_Toc26168" </w:instrText>
      </w:r>
      <w:r>
        <w:rPr>
          <w:color w:val="000000" w:themeColor="text1"/>
        </w:rPr>
        <w:fldChar w:fldCharType="separate"/>
      </w:r>
      <w:r>
        <w:rPr>
          <w:rFonts w:hint="eastAsia" w:ascii="宋体" w:hAnsi="宋体" w:cs="宋体"/>
          <w:b/>
          <w:bCs/>
          <w:color w:val="000000" w:themeColor="text1"/>
          <w:sz w:val="30"/>
          <w:szCs w:val="30"/>
        </w:rPr>
        <w:t>第四章采购需求</w:t>
      </w:r>
      <w:r>
        <w:rPr>
          <w:b/>
          <w:bCs/>
          <w:color w:val="000000" w:themeColor="text1"/>
          <w:sz w:val="30"/>
          <w:szCs w:val="30"/>
        </w:rPr>
        <w:tab/>
      </w:r>
      <w:r>
        <w:rPr>
          <w:b/>
          <w:bCs/>
          <w:color w:val="000000" w:themeColor="text1"/>
          <w:sz w:val="30"/>
          <w:szCs w:val="30"/>
        </w:rPr>
        <w:fldChar w:fldCharType="begin"/>
      </w:r>
      <w:r>
        <w:rPr>
          <w:b/>
          <w:bCs/>
          <w:color w:val="000000" w:themeColor="text1"/>
          <w:sz w:val="30"/>
          <w:szCs w:val="30"/>
        </w:rPr>
        <w:instrText xml:space="preserve"> PAGEREF _Toc26168 \h </w:instrText>
      </w:r>
      <w:r>
        <w:rPr>
          <w:b/>
          <w:bCs/>
          <w:color w:val="000000" w:themeColor="text1"/>
          <w:sz w:val="30"/>
          <w:szCs w:val="30"/>
        </w:rPr>
        <w:fldChar w:fldCharType="separate"/>
      </w:r>
      <w:r>
        <w:rPr>
          <w:b/>
          <w:bCs/>
          <w:color w:val="000000" w:themeColor="text1"/>
          <w:sz w:val="30"/>
          <w:szCs w:val="30"/>
        </w:rPr>
        <w:t xml:space="preserve">- </w:t>
      </w:r>
      <w:r>
        <w:rPr>
          <w:rFonts w:hint="eastAsia"/>
          <w:b/>
          <w:bCs/>
          <w:color w:val="000000" w:themeColor="text1"/>
          <w:sz w:val="30"/>
          <w:szCs w:val="30"/>
        </w:rPr>
        <w:t>51</w:t>
      </w:r>
      <w:r>
        <w:rPr>
          <w:b/>
          <w:bCs/>
          <w:color w:val="000000" w:themeColor="text1"/>
          <w:sz w:val="30"/>
          <w:szCs w:val="30"/>
        </w:rPr>
        <w:t xml:space="preserve"> -</w:t>
      </w:r>
      <w:r>
        <w:rPr>
          <w:b/>
          <w:bCs/>
          <w:color w:val="000000" w:themeColor="text1"/>
          <w:sz w:val="30"/>
          <w:szCs w:val="30"/>
        </w:rPr>
        <w:fldChar w:fldCharType="end"/>
      </w:r>
      <w:r>
        <w:rPr>
          <w:b/>
          <w:bCs/>
          <w:color w:val="000000" w:themeColor="text1"/>
          <w:sz w:val="30"/>
          <w:szCs w:val="30"/>
        </w:rPr>
        <w:fldChar w:fldCharType="end"/>
      </w:r>
    </w:p>
    <w:p w14:paraId="60D0FF36">
      <w:pPr>
        <w:pStyle w:val="306"/>
        <w:tabs>
          <w:tab w:val="right" w:leader="dot" w:pos="9746"/>
        </w:tabs>
        <w:spacing w:line="600" w:lineRule="exact"/>
        <w:rPr>
          <w:b/>
          <w:bCs/>
          <w:color w:val="000000" w:themeColor="text1"/>
          <w:sz w:val="30"/>
          <w:szCs w:val="30"/>
        </w:rPr>
      </w:pPr>
      <w:r>
        <w:rPr>
          <w:color w:val="000000" w:themeColor="text1"/>
        </w:rPr>
        <w:fldChar w:fldCharType="begin"/>
      </w:r>
      <w:r>
        <w:rPr>
          <w:color w:val="000000" w:themeColor="text1"/>
        </w:rPr>
        <w:instrText xml:space="preserve"> HYPERLINK \l "_Toc23102" </w:instrText>
      </w:r>
      <w:r>
        <w:rPr>
          <w:color w:val="000000" w:themeColor="text1"/>
        </w:rPr>
        <w:fldChar w:fldCharType="separate"/>
      </w:r>
      <w:r>
        <w:rPr>
          <w:rFonts w:hint="eastAsia" w:ascii="宋体" w:hAnsi="宋体" w:cs="宋体"/>
          <w:b/>
          <w:bCs/>
          <w:color w:val="000000" w:themeColor="text1"/>
          <w:sz w:val="30"/>
          <w:szCs w:val="30"/>
        </w:rPr>
        <w:t>第五章 响应文件组成</w:t>
      </w:r>
      <w:r>
        <w:rPr>
          <w:b/>
          <w:bCs/>
          <w:color w:val="000000" w:themeColor="text1"/>
          <w:sz w:val="30"/>
          <w:szCs w:val="30"/>
        </w:rPr>
        <w:tab/>
      </w:r>
      <w:r>
        <w:rPr>
          <w:b/>
          <w:bCs/>
          <w:color w:val="000000" w:themeColor="text1"/>
          <w:sz w:val="30"/>
          <w:szCs w:val="30"/>
        </w:rPr>
        <w:fldChar w:fldCharType="begin"/>
      </w:r>
      <w:r>
        <w:rPr>
          <w:b/>
          <w:bCs/>
          <w:color w:val="000000" w:themeColor="text1"/>
          <w:sz w:val="30"/>
          <w:szCs w:val="30"/>
        </w:rPr>
        <w:instrText xml:space="preserve"> PAGEREF _Toc23102 \h </w:instrText>
      </w:r>
      <w:r>
        <w:rPr>
          <w:b/>
          <w:bCs/>
          <w:color w:val="000000" w:themeColor="text1"/>
          <w:sz w:val="30"/>
          <w:szCs w:val="30"/>
        </w:rPr>
        <w:fldChar w:fldCharType="separate"/>
      </w:r>
      <w:r>
        <w:rPr>
          <w:b/>
          <w:bCs/>
          <w:color w:val="000000" w:themeColor="text1"/>
          <w:sz w:val="30"/>
          <w:szCs w:val="30"/>
        </w:rPr>
        <w:t xml:space="preserve">- </w:t>
      </w:r>
      <w:r>
        <w:rPr>
          <w:rFonts w:hint="eastAsia"/>
          <w:b/>
          <w:bCs/>
          <w:color w:val="000000" w:themeColor="text1"/>
          <w:sz w:val="30"/>
          <w:szCs w:val="30"/>
        </w:rPr>
        <w:t>54</w:t>
      </w:r>
      <w:r>
        <w:rPr>
          <w:b/>
          <w:bCs/>
          <w:color w:val="000000" w:themeColor="text1"/>
          <w:sz w:val="30"/>
          <w:szCs w:val="30"/>
        </w:rPr>
        <w:t xml:space="preserve"> -</w:t>
      </w:r>
      <w:r>
        <w:rPr>
          <w:b/>
          <w:bCs/>
          <w:color w:val="000000" w:themeColor="text1"/>
          <w:sz w:val="30"/>
          <w:szCs w:val="30"/>
        </w:rPr>
        <w:fldChar w:fldCharType="end"/>
      </w:r>
      <w:r>
        <w:rPr>
          <w:b/>
          <w:bCs/>
          <w:color w:val="000000" w:themeColor="text1"/>
          <w:sz w:val="30"/>
          <w:szCs w:val="30"/>
        </w:rPr>
        <w:fldChar w:fldCharType="end"/>
      </w:r>
    </w:p>
    <w:p w14:paraId="06FAC536">
      <w:pPr>
        <w:spacing w:line="600" w:lineRule="exact"/>
        <w:textAlignment w:val="baseline"/>
        <w:rPr>
          <w:rFonts w:ascii="宋体" w:hAnsi="宋体" w:cs="宋体"/>
          <w:b/>
          <w:color w:val="000000" w:themeColor="text1"/>
          <w:sz w:val="24"/>
        </w:rPr>
      </w:pPr>
      <w:r>
        <w:rPr>
          <w:rFonts w:hint="eastAsia" w:ascii="宋体" w:hAnsi="宋体" w:cs="宋体"/>
          <w:b/>
          <w:bCs/>
          <w:color w:val="000000" w:themeColor="text1"/>
          <w:sz w:val="30"/>
          <w:szCs w:val="30"/>
        </w:rPr>
        <w:fldChar w:fldCharType="end"/>
      </w:r>
    </w:p>
    <w:p w14:paraId="2DFBD9DB">
      <w:pPr>
        <w:spacing w:line="360" w:lineRule="exact"/>
        <w:textAlignment w:val="baseline"/>
        <w:rPr>
          <w:rFonts w:ascii="宋体" w:hAnsi="宋体" w:cs="宋体"/>
          <w:b/>
          <w:color w:val="000000" w:themeColor="text1"/>
          <w:sz w:val="24"/>
        </w:rPr>
      </w:pPr>
    </w:p>
    <w:p w14:paraId="0FA7E794">
      <w:pPr>
        <w:jc w:val="center"/>
        <w:textAlignment w:val="baseline"/>
        <w:rPr>
          <w:rFonts w:ascii="宋体" w:hAnsi="宋体" w:cs="宋体"/>
          <w:color w:val="000000" w:themeColor="text1"/>
          <w:sz w:val="32"/>
          <w:szCs w:val="32"/>
        </w:rPr>
      </w:pPr>
    </w:p>
    <w:p w14:paraId="4A60A1AC">
      <w:pPr>
        <w:jc w:val="center"/>
        <w:textAlignment w:val="baseline"/>
        <w:rPr>
          <w:rFonts w:ascii="宋体" w:hAnsi="宋体" w:cs="宋体"/>
          <w:b/>
          <w:color w:val="000000" w:themeColor="text1"/>
          <w:sz w:val="32"/>
          <w:szCs w:val="32"/>
        </w:rPr>
        <w:sectPr>
          <w:headerReference r:id="rId7" w:type="default"/>
          <w:footerReference r:id="rId8" w:type="default"/>
          <w:footerReference r:id="rId9" w:type="even"/>
          <w:pgSz w:w="11906" w:h="16838"/>
          <w:pgMar w:top="1440" w:right="1080" w:bottom="1440" w:left="1080" w:header="851" w:footer="992" w:gutter="0"/>
          <w:pgNumType w:fmt="numberInDash"/>
          <w:cols w:space="720" w:num="1"/>
          <w:docGrid w:type="lines" w:linePitch="312" w:charSpace="0"/>
        </w:sectPr>
      </w:pPr>
    </w:p>
    <w:p w14:paraId="41ED23B0">
      <w:pPr>
        <w:spacing w:line="400" w:lineRule="exact"/>
        <w:jc w:val="center"/>
        <w:outlineLvl w:val="0"/>
        <w:rPr>
          <w:rFonts w:ascii="宋体" w:hAnsi="宋体" w:cs="宋体"/>
          <w:color w:val="000000" w:themeColor="text1"/>
          <w:szCs w:val="21"/>
          <w:u w:val="single"/>
        </w:rPr>
      </w:pPr>
      <w:bookmarkStart w:id="0" w:name="_Toc15322"/>
      <w:r>
        <w:rPr>
          <w:rFonts w:hint="eastAsia" w:ascii="宋体" w:hAnsi="宋体" w:cs="宋体"/>
          <w:b/>
          <w:color w:val="000000" w:themeColor="text1"/>
          <w:sz w:val="32"/>
          <w:szCs w:val="32"/>
        </w:rPr>
        <w:t>第一章</w:t>
      </w:r>
      <w:bookmarkStart w:id="1" w:name="_Toc35393797"/>
      <w:bookmarkStart w:id="2" w:name="_Toc28359011"/>
      <w:r>
        <w:rPr>
          <w:rFonts w:hint="eastAsia" w:ascii="宋体" w:hAnsi="宋体" w:cs="宋体"/>
          <w:b/>
          <w:color w:val="000000" w:themeColor="text1"/>
          <w:sz w:val="32"/>
          <w:szCs w:val="32"/>
        </w:rPr>
        <w:t>竞争性磋商公告</w:t>
      </w:r>
      <w:bookmarkEnd w:id="0"/>
      <w:bookmarkEnd w:id="1"/>
      <w:bookmarkEnd w:id="2"/>
    </w:p>
    <w:p w14:paraId="759F7C55">
      <w:pPr>
        <w:ind w:firstLine="420" w:firstLineChars="200"/>
        <w:rPr>
          <w:rFonts w:ascii="宋体" w:hAnsi="宋体" w:cs="宋体"/>
          <w:color w:val="000000" w:themeColor="text1"/>
          <w:szCs w:val="21"/>
        </w:rPr>
      </w:pPr>
      <w:r>
        <w:rPr>
          <w:rFonts w:hint="eastAsia"/>
          <w:color w:val="000000" w:themeColor="text1"/>
          <w:highlight w:val="none"/>
          <w:lang w:eastAsia="zh-CN"/>
        </w:rPr>
        <w:t>汝城县2024年第三批农村公路安防工程</w:t>
      </w:r>
      <w:r>
        <w:rPr>
          <w:color w:val="000000" w:themeColor="text1"/>
        </w:rPr>
        <w:t>进行采购，现邀请合格投标人参加投标。</w:t>
      </w:r>
    </w:p>
    <w:p w14:paraId="3E86FD1E">
      <w:pPr>
        <w:pStyle w:val="3"/>
        <w:rPr>
          <w:rFonts w:ascii="宋体" w:hAnsi="宋体" w:cs="宋体"/>
          <w:bCs w:val="0"/>
          <w:color w:val="000000" w:themeColor="text1"/>
          <w:sz w:val="21"/>
          <w:szCs w:val="21"/>
        </w:rPr>
      </w:pPr>
      <w:bookmarkStart w:id="3" w:name="_Toc35393798"/>
      <w:bookmarkStart w:id="4" w:name="_Toc28359089"/>
      <w:bookmarkStart w:id="5" w:name="_Toc35393629"/>
      <w:bookmarkStart w:id="6" w:name="_Toc28359012"/>
      <w:r>
        <w:rPr>
          <w:rFonts w:hint="eastAsia" w:ascii="宋体" w:hAnsi="宋体" w:cs="宋体"/>
          <w:bCs w:val="0"/>
          <w:color w:val="000000" w:themeColor="text1"/>
          <w:sz w:val="21"/>
          <w:szCs w:val="21"/>
        </w:rPr>
        <w:t>一、</w:t>
      </w:r>
      <w:bookmarkEnd w:id="3"/>
      <w:bookmarkEnd w:id="4"/>
      <w:bookmarkEnd w:id="5"/>
      <w:bookmarkEnd w:id="6"/>
      <w:r>
        <w:rPr>
          <w:rFonts w:hint="eastAsia" w:ascii="宋体" w:hAnsi="宋体" w:cs="宋体"/>
          <w:bCs w:val="0"/>
          <w:color w:val="000000" w:themeColor="text1"/>
          <w:sz w:val="21"/>
          <w:szCs w:val="21"/>
          <w:lang w:eastAsia="zh-CN"/>
        </w:rPr>
        <w:t>采购项目基本信息</w:t>
      </w:r>
    </w:p>
    <w:p w14:paraId="38BF6EA3">
      <w:pPr>
        <w:spacing w:line="360" w:lineRule="auto"/>
        <w:ind w:firstLine="420" w:firstLineChars="200"/>
        <w:rPr>
          <w:rFonts w:hint="eastAsia" w:ascii="宋体" w:hAnsi="宋体" w:eastAsia="宋体" w:cs="宋体"/>
          <w:color w:val="000000" w:themeColor="text1"/>
          <w:szCs w:val="21"/>
          <w:lang w:eastAsia="zh-CN"/>
        </w:rPr>
      </w:pPr>
      <w:r>
        <w:rPr>
          <w:rFonts w:hint="eastAsia" w:ascii="宋体" w:hAnsi="宋体" w:cs="宋体"/>
          <w:color w:val="000000" w:themeColor="text1"/>
          <w:szCs w:val="21"/>
        </w:rPr>
        <w:t>1、采购项目名称：</w:t>
      </w:r>
      <w:r>
        <w:rPr>
          <w:rFonts w:hint="eastAsia"/>
          <w:color w:val="000000" w:themeColor="text1"/>
          <w:highlight w:val="none"/>
          <w:lang w:eastAsia="zh-CN"/>
        </w:rPr>
        <w:t>汝城县2024年第三批农村公路安防工程</w:t>
      </w:r>
    </w:p>
    <w:p w14:paraId="45B25824">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2、政府采购计划编号：</w:t>
      </w:r>
      <w:r>
        <w:rPr>
          <w:rFonts w:hint="eastAsia" w:ascii="宋体" w:hAnsi="宋体" w:eastAsia="宋体" w:cs="宋体"/>
          <w:i w:val="0"/>
          <w:iCs w:val="0"/>
          <w:color w:val="000000" w:themeColor="text1"/>
          <w:sz w:val="21"/>
          <w:szCs w:val="21"/>
          <w:lang w:eastAsia="zh-CN"/>
        </w:rPr>
        <w:t>汝</w:t>
      </w:r>
      <w:r>
        <w:rPr>
          <w:rFonts w:hint="eastAsia" w:ascii="宋体" w:hAnsi="宋体" w:eastAsia="宋体" w:cs="宋体"/>
          <w:i w:val="0"/>
          <w:iCs w:val="0"/>
          <w:color w:val="000000" w:themeColor="text1"/>
          <w:sz w:val="21"/>
          <w:szCs w:val="21"/>
          <w:lang w:val="en-US" w:eastAsia="zh-CN"/>
        </w:rPr>
        <w:t>财采计[2024]</w:t>
      </w:r>
      <w:r>
        <w:rPr>
          <w:rFonts w:hint="eastAsia" w:ascii="宋体" w:hAnsi="宋体" w:cs="宋体"/>
          <w:i w:val="0"/>
          <w:iCs w:val="0"/>
          <w:color w:val="000000" w:themeColor="text1"/>
          <w:sz w:val="21"/>
          <w:szCs w:val="21"/>
          <w:lang w:val="en-US" w:eastAsia="zh-CN"/>
        </w:rPr>
        <w:t>0147</w:t>
      </w:r>
      <w:r>
        <w:rPr>
          <w:rFonts w:hint="eastAsia" w:ascii="宋体" w:hAnsi="宋体" w:eastAsia="宋体" w:cs="宋体"/>
          <w:i w:val="0"/>
          <w:iCs w:val="0"/>
          <w:color w:val="000000" w:themeColor="text1"/>
          <w:sz w:val="21"/>
          <w:szCs w:val="21"/>
          <w:lang w:val="en-US" w:eastAsia="zh-CN"/>
        </w:rPr>
        <w:t>号</w:t>
      </w:r>
    </w:p>
    <w:p w14:paraId="594F0E7B">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3、委托代理编号：YB-CZZF(GC)-2024104</w:t>
      </w:r>
    </w:p>
    <w:p w14:paraId="485BF770">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4、采购项目预算：</w:t>
      </w:r>
      <w:r>
        <w:rPr>
          <w:rFonts w:hint="eastAsia" w:ascii="宋体" w:hAnsi="宋体" w:cs="宋体"/>
          <w:color w:val="000000" w:themeColor="text1"/>
          <w:szCs w:val="21"/>
          <w:highlight w:val="none"/>
        </w:rPr>
        <w:t>1817870.00元</w:t>
      </w:r>
    </w:p>
    <w:p w14:paraId="69A9DC0E">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支持预付款，预付比例：</w:t>
      </w:r>
      <w:r>
        <w:rPr>
          <w:rFonts w:hint="eastAsia" w:ascii="宋体" w:hAnsi="宋体" w:cs="宋体"/>
          <w:color w:val="000000" w:themeColor="text1"/>
          <w:szCs w:val="21"/>
          <w:u w:val="single"/>
        </w:rPr>
        <w:t xml:space="preserve"> / </w:t>
      </w:r>
      <w:r>
        <w:rPr>
          <w:rFonts w:hint="eastAsia" w:ascii="宋体" w:hAnsi="宋体" w:cs="宋体"/>
          <w:color w:val="000000" w:themeColor="text1"/>
          <w:szCs w:val="21"/>
        </w:rPr>
        <w:t>%</w:t>
      </w:r>
    </w:p>
    <w:p w14:paraId="701DBADF">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5、本项目对应的中小企业划分标准所属行业：建筑业</w:t>
      </w:r>
    </w:p>
    <w:p w14:paraId="669C96D9">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6、评标方法：□最低价法 ☑综合评分法</w:t>
      </w:r>
    </w:p>
    <w:p w14:paraId="4C61B7B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rPr>
        <w:t>7、合同定价方式：☑固定总价□</w:t>
      </w:r>
      <w:r>
        <w:rPr>
          <w:rFonts w:hint="eastAsia" w:ascii="宋体" w:hAnsi="宋体" w:cs="宋体"/>
          <w:color w:val="000000" w:themeColor="text1"/>
          <w:szCs w:val="21"/>
          <w14:textFill>
            <w14:solidFill>
              <w14:schemeClr w14:val="tx1"/>
            </w14:solidFill>
          </w14:textFill>
        </w:rPr>
        <w:t>固定单价□成本补偿□绩效奖励</w:t>
      </w:r>
    </w:p>
    <w:p w14:paraId="113E448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8、合同履行期限：</w:t>
      </w:r>
      <w:r>
        <w:rPr>
          <w:rFonts w:hint="eastAsia" w:ascii="宋体" w:hAnsi="宋体" w:cs="宋体"/>
          <w:color w:val="000000" w:themeColor="text1"/>
          <w:szCs w:val="21"/>
          <w:highlight w:val="none"/>
          <w14:textFill>
            <w14:solidFill>
              <w14:schemeClr w14:val="tx1"/>
            </w14:solidFill>
          </w14:textFill>
        </w:rPr>
        <w:t>60</w:t>
      </w:r>
      <w:r>
        <w:rPr>
          <w:rFonts w:hint="eastAsia" w:ascii="宋体" w:hAnsi="宋体" w:cs="宋体"/>
          <w:color w:val="000000" w:themeColor="text1"/>
          <w:szCs w:val="21"/>
          <w14:textFill>
            <w14:solidFill>
              <w14:schemeClr w14:val="tx1"/>
            </w14:solidFill>
          </w14:textFill>
        </w:rPr>
        <w:t>日历天</w:t>
      </w:r>
    </w:p>
    <w:p w14:paraId="4D42E98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9、本项目分阶段要求投标人提供以下保证：</w:t>
      </w:r>
    </w:p>
    <w:p w14:paraId="2B65C516">
      <w:pPr>
        <w:spacing w:line="360" w:lineRule="auto"/>
        <w:ind w:firstLine="630" w:firstLineChars="3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□采购项目预算的</w:t>
      </w:r>
      <w:r>
        <w:rPr>
          <w:rFonts w:hint="eastAsia" w:ascii="宋体" w:hAnsi="宋体" w:cs="宋体"/>
          <w:color w:val="000000" w:themeColor="text1"/>
          <w:szCs w:val="21"/>
          <w:u w:val="single"/>
          <w14:textFill>
            <w14:solidFill>
              <w14:schemeClr w14:val="tx1"/>
            </w14:solidFill>
          </w14:textFill>
        </w:rPr>
        <w:t xml:space="preserve"> / </w:t>
      </w:r>
      <w:r>
        <w:rPr>
          <w:rFonts w:hint="eastAsia" w:ascii="宋体" w:hAnsi="宋体" w:cs="宋体"/>
          <w:color w:val="000000" w:themeColor="text1"/>
          <w:szCs w:val="21"/>
          <w14:textFill>
            <w14:solidFill>
              <w14:schemeClr w14:val="tx1"/>
            </w14:solidFill>
          </w14:textFill>
        </w:rPr>
        <w:t>%；</w:t>
      </w:r>
    </w:p>
    <w:p w14:paraId="4A5E1B58">
      <w:pPr>
        <w:spacing w:line="360" w:lineRule="auto"/>
        <w:ind w:firstLine="630" w:firstLineChars="3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□履约保证金：中标金额的</w:t>
      </w:r>
      <w:r>
        <w:rPr>
          <w:rFonts w:hint="eastAsia" w:ascii="宋体" w:hAnsi="宋体" w:cs="宋体"/>
          <w:color w:val="000000" w:themeColor="text1"/>
          <w:szCs w:val="21"/>
          <w:u w:val="single"/>
          <w14:textFill>
            <w14:solidFill>
              <w14:schemeClr w14:val="tx1"/>
            </w14:solidFill>
          </w14:textFill>
        </w:rPr>
        <w:t xml:space="preserve"> / </w:t>
      </w:r>
      <w:r>
        <w:rPr>
          <w:rFonts w:hint="eastAsia" w:ascii="宋体" w:hAnsi="宋体" w:cs="宋体"/>
          <w:color w:val="000000" w:themeColor="text1"/>
          <w:szCs w:val="21"/>
          <w14:textFill>
            <w14:solidFill>
              <w14:schemeClr w14:val="tx1"/>
            </w14:solidFill>
          </w14:textFill>
        </w:rPr>
        <w:t>%；</w:t>
      </w:r>
    </w:p>
    <w:p w14:paraId="38F013B3">
      <w:pPr>
        <w:spacing w:line="360" w:lineRule="auto"/>
        <w:ind w:firstLine="630" w:firstLineChars="3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质量保证金：合同金额的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3</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0453F2B2">
      <w:pPr>
        <w:pStyle w:val="4"/>
        <w:keepNext w:val="0"/>
        <w:keepLines w:val="0"/>
        <w:widowControl/>
        <w:spacing w:before="75" w:after="0" w:line="420" w:lineRule="atLeast"/>
        <w:rPr>
          <w:rFonts w:ascii="微软雅黑" w:hAnsi="微软雅黑" w:eastAsia="微软雅黑" w:cs="微软雅黑"/>
          <w:color w:val="000000" w:themeColor="text1"/>
          <w:sz w:val="24"/>
          <w:szCs w:val="24"/>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二、</w:t>
      </w:r>
      <w:r>
        <w:rPr>
          <w:rFonts w:hint="eastAsia" w:ascii="微软雅黑" w:hAnsi="微软雅黑" w:eastAsia="微软雅黑" w:cs="微软雅黑"/>
          <w:color w:val="000000" w:themeColor="text1"/>
          <w:sz w:val="24"/>
          <w:szCs w:val="24"/>
          <w14:textFill>
            <w14:solidFill>
              <w14:schemeClr w14:val="tx1"/>
            </w14:solidFill>
          </w14:textFill>
        </w:rPr>
        <w:t>采购人的采购需求</w:t>
      </w:r>
    </w:p>
    <w:tbl>
      <w:tblPr>
        <w:tblStyle w:val="47"/>
        <w:tblW w:w="9415" w:type="dxa"/>
        <w:tblInd w:w="11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80"/>
        <w:gridCol w:w="1634"/>
        <w:gridCol w:w="1183"/>
        <w:gridCol w:w="1790"/>
        <w:gridCol w:w="669"/>
        <w:gridCol w:w="1531"/>
        <w:gridCol w:w="804"/>
        <w:gridCol w:w="824"/>
      </w:tblGrid>
      <w:tr w14:paraId="5C2CD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atLeast"/>
        </w:trPr>
        <w:tc>
          <w:tcPr>
            <w:tcW w:w="980" w:type="dxa"/>
            <w:tcBorders>
              <w:top w:val="single" w:color="auto" w:sz="12" w:space="0"/>
              <w:left w:val="single" w:color="auto" w:sz="12" w:space="0"/>
              <w:bottom w:val="single" w:color="auto" w:sz="6" w:space="0"/>
              <w:right w:val="single" w:color="auto" w:sz="6" w:space="0"/>
            </w:tcBorders>
            <w:noWrap/>
            <w:vAlign w:val="center"/>
          </w:tcPr>
          <w:p w14:paraId="65E8F503">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包名称</w:t>
            </w:r>
          </w:p>
        </w:tc>
        <w:tc>
          <w:tcPr>
            <w:tcW w:w="1634" w:type="dxa"/>
            <w:tcBorders>
              <w:top w:val="single" w:color="auto" w:sz="12" w:space="0"/>
              <w:left w:val="single" w:color="auto" w:sz="6" w:space="0"/>
              <w:bottom w:val="single" w:color="auto" w:sz="6" w:space="0"/>
              <w:right w:val="single" w:color="auto" w:sz="6" w:space="0"/>
            </w:tcBorders>
            <w:noWrap/>
            <w:vAlign w:val="center"/>
          </w:tcPr>
          <w:p w14:paraId="0BFD856D">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最高限价（元）</w:t>
            </w:r>
          </w:p>
        </w:tc>
        <w:tc>
          <w:tcPr>
            <w:tcW w:w="1183" w:type="dxa"/>
            <w:tcBorders>
              <w:top w:val="single" w:color="auto" w:sz="12" w:space="0"/>
              <w:left w:val="single" w:color="auto" w:sz="6" w:space="0"/>
              <w:bottom w:val="single" w:color="auto" w:sz="6" w:space="0"/>
              <w:right w:val="single" w:color="auto" w:sz="6" w:space="0"/>
            </w:tcBorders>
            <w:noWrap/>
            <w:vAlign w:val="center"/>
          </w:tcPr>
          <w:p w14:paraId="26F7242B">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标的名称</w:t>
            </w:r>
          </w:p>
        </w:tc>
        <w:tc>
          <w:tcPr>
            <w:tcW w:w="1790" w:type="dxa"/>
            <w:tcBorders>
              <w:top w:val="single" w:color="auto" w:sz="12" w:space="0"/>
              <w:left w:val="single" w:color="auto" w:sz="6" w:space="0"/>
              <w:bottom w:val="single" w:color="auto" w:sz="6" w:space="0"/>
              <w:right w:val="single" w:color="auto" w:sz="6" w:space="0"/>
            </w:tcBorders>
            <w:noWrap/>
            <w:vAlign w:val="center"/>
          </w:tcPr>
          <w:p w14:paraId="0CDF2337">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简要技术要求</w:t>
            </w:r>
          </w:p>
        </w:tc>
        <w:tc>
          <w:tcPr>
            <w:tcW w:w="669" w:type="dxa"/>
            <w:tcBorders>
              <w:top w:val="single" w:color="auto" w:sz="12" w:space="0"/>
              <w:left w:val="single" w:color="auto" w:sz="6" w:space="0"/>
              <w:bottom w:val="single" w:color="auto" w:sz="6" w:space="0"/>
              <w:right w:val="single" w:color="auto" w:sz="4" w:space="0"/>
            </w:tcBorders>
            <w:noWrap/>
            <w:vAlign w:val="center"/>
          </w:tcPr>
          <w:p w14:paraId="64163818">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数量</w:t>
            </w:r>
          </w:p>
        </w:tc>
        <w:tc>
          <w:tcPr>
            <w:tcW w:w="1531" w:type="dxa"/>
            <w:tcBorders>
              <w:top w:val="single" w:color="auto" w:sz="12" w:space="0"/>
              <w:left w:val="nil"/>
              <w:bottom w:val="single" w:color="auto" w:sz="6" w:space="0"/>
              <w:right w:val="single" w:color="auto" w:sz="12" w:space="0"/>
            </w:tcBorders>
            <w:noWrap/>
            <w:vAlign w:val="center"/>
          </w:tcPr>
          <w:p w14:paraId="7A52F381">
            <w:pPr>
              <w:widowControl/>
              <w:adjustRightInd w:val="0"/>
              <w:spacing w:before="50" w:after="100" w:afterAutospacing="1"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标的预算（元）</w:t>
            </w:r>
          </w:p>
        </w:tc>
        <w:tc>
          <w:tcPr>
            <w:tcW w:w="804" w:type="dxa"/>
            <w:tcBorders>
              <w:top w:val="single" w:color="auto" w:sz="12" w:space="0"/>
              <w:left w:val="nil"/>
              <w:bottom w:val="single" w:color="auto" w:sz="6" w:space="0"/>
              <w:right w:val="single" w:color="auto" w:sz="12" w:space="0"/>
            </w:tcBorders>
            <w:noWrap/>
            <w:vAlign w:val="center"/>
          </w:tcPr>
          <w:p w14:paraId="6ECDD30B">
            <w:pPr>
              <w:widowControl/>
              <w:adjustRightInd w:val="0"/>
              <w:spacing w:before="50" w:after="100" w:afterAutospacing="1" w:line="2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节能</w:t>
            </w:r>
          </w:p>
          <w:p w14:paraId="259E1E0D">
            <w:pPr>
              <w:widowControl/>
              <w:adjustRightInd w:val="0"/>
              <w:spacing w:before="50" w:after="100" w:afterAutospacing="1" w:line="2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产品</w:t>
            </w:r>
          </w:p>
        </w:tc>
        <w:tc>
          <w:tcPr>
            <w:tcW w:w="824" w:type="dxa"/>
            <w:tcBorders>
              <w:top w:val="single" w:color="auto" w:sz="12" w:space="0"/>
              <w:left w:val="nil"/>
              <w:bottom w:val="single" w:color="auto" w:sz="6" w:space="0"/>
              <w:right w:val="single" w:color="auto" w:sz="12" w:space="0"/>
            </w:tcBorders>
            <w:noWrap/>
            <w:vAlign w:val="center"/>
          </w:tcPr>
          <w:p w14:paraId="211E3B31">
            <w:pPr>
              <w:widowControl/>
              <w:adjustRightInd w:val="0"/>
              <w:spacing w:before="50" w:after="100" w:afterAutospacing="1" w:line="2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进口</w:t>
            </w:r>
          </w:p>
          <w:p w14:paraId="20045FCC">
            <w:pPr>
              <w:widowControl/>
              <w:adjustRightInd w:val="0"/>
              <w:spacing w:before="50" w:after="100" w:afterAutospacing="1" w:line="2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产品</w:t>
            </w:r>
          </w:p>
        </w:tc>
      </w:tr>
      <w:tr w14:paraId="6A343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trPr>
        <w:tc>
          <w:tcPr>
            <w:tcW w:w="980" w:type="dxa"/>
            <w:tcBorders>
              <w:top w:val="single" w:color="auto" w:sz="6" w:space="0"/>
              <w:left w:val="single" w:color="auto" w:sz="12" w:space="0"/>
              <w:bottom w:val="single" w:color="auto" w:sz="12" w:space="0"/>
              <w:right w:val="single" w:color="auto" w:sz="6" w:space="0"/>
            </w:tcBorders>
            <w:noWrap/>
            <w:vAlign w:val="center"/>
          </w:tcPr>
          <w:p w14:paraId="58475C67">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1</w:t>
            </w:r>
          </w:p>
        </w:tc>
        <w:tc>
          <w:tcPr>
            <w:tcW w:w="1634" w:type="dxa"/>
            <w:tcBorders>
              <w:top w:val="single" w:color="auto" w:sz="6" w:space="0"/>
              <w:left w:val="single" w:color="auto" w:sz="6" w:space="0"/>
              <w:bottom w:val="single" w:color="auto" w:sz="12" w:space="0"/>
              <w:right w:val="single" w:color="auto" w:sz="6" w:space="0"/>
            </w:tcBorders>
            <w:noWrap/>
            <w:vAlign w:val="center"/>
          </w:tcPr>
          <w:p w14:paraId="4CB358CC">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szCs w:val="21"/>
                <w:highlight w:val="none"/>
                <w14:textFill>
                  <w14:solidFill>
                    <w14:schemeClr w14:val="tx1"/>
                  </w14:solidFill>
                </w14:textFill>
              </w:rPr>
              <w:t>1817870.00</w:t>
            </w:r>
          </w:p>
        </w:tc>
        <w:tc>
          <w:tcPr>
            <w:tcW w:w="1183" w:type="dxa"/>
            <w:tcBorders>
              <w:top w:val="single" w:color="auto" w:sz="6" w:space="0"/>
              <w:left w:val="single" w:color="auto" w:sz="6" w:space="0"/>
              <w:bottom w:val="single" w:color="auto" w:sz="12" w:space="0"/>
              <w:right w:val="single" w:color="auto" w:sz="6" w:space="0"/>
            </w:tcBorders>
            <w:noWrap/>
            <w:vAlign w:val="center"/>
          </w:tcPr>
          <w:p w14:paraId="7573AF30">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农村公路生命安全防护工程</w:t>
            </w:r>
          </w:p>
        </w:tc>
        <w:tc>
          <w:tcPr>
            <w:tcW w:w="1790" w:type="dxa"/>
            <w:tcBorders>
              <w:top w:val="single" w:color="auto" w:sz="6" w:space="0"/>
              <w:left w:val="single" w:color="auto" w:sz="6" w:space="0"/>
              <w:bottom w:val="single" w:color="auto" w:sz="12" w:space="0"/>
              <w:right w:val="single" w:color="auto" w:sz="6" w:space="0"/>
            </w:tcBorders>
            <w:noWrap/>
            <w:vAlign w:val="center"/>
          </w:tcPr>
          <w:p w14:paraId="4E100A19">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kern w:val="2"/>
                <w:sz w:val="21"/>
                <w:szCs w:val="21"/>
                <w14:textFill>
                  <w14:solidFill>
                    <w14:schemeClr w14:val="tx1"/>
                  </w14:solidFill>
                </w14:textFill>
              </w:rPr>
              <w:t>详见采购需求及工程量清单</w:t>
            </w:r>
          </w:p>
        </w:tc>
        <w:tc>
          <w:tcPr>
            <w:tcW w:w="669" w:type="dxa"/>
            <w:tcBorders>
              <w:top w:val="single" w:color="auto" w:sz="6" w:space="0"/>
              <w:left w:val="single" w:color="auto" w:sz="6" w:space="0"/>
              <w:bottom w:val="single" w:color="auto" w:sz="12" w:space="0"/>
              <w:right w:val="single" w:color="auto" w:sz="4" w:space="0"/>
            </w:tcBorders>
            <w:noWrap/>
            <w:vAlign w:val="center"/>
          </w:tcPr>
          <w:p w14:paraId="633ADAE4">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kern w:val="2"/>
                <w:sz w:val="21"/>
                <w:szCs w:val="21"/>
                <w14:textFill>
                  <w14:solidFill>
                    <w14:schemeClr w14:val="tx1"/>
                  </w14:solidFill>
                </w14:textFill>
              </w:rPr>
              <w:t>1项</w:t>
            </w:r>
          </w:p>
        </w:tc>
        <w:tc>
          <w:tcPr>
            <w:tcW w:w="1531" w:type="dxa"/>
            <w:tcBorders>
              <w:top w:val="single" w:color="auto" w:sz="6" w:space="0"/>
              <w:left w:val="nil"/>
              <w:bottom w:val="single" w:color="auto" w:sz="12" w:space="0"/>
              <w:right w:val="single" w:color="auto" w:sz="12" w:space="0"/>
            </w:tcBorders>
            <w:noWrap/>
            <w:vAlign w:val="center"/>
          </w:tcPr>
          <w:p w14:paraId="39221F79">
            <w:pPr>
              <w:pStyle w:val="42"/>
              <w:adjustRightInd w:val="0"/>
              <w:spacing w:before="50" w:beforeAutospacing="0" w:line="360" w:lineRule="auto"/>
              <w:jc w:val="center"/>
              <w:rPr>
                <w:color w:val="000000" w:themeColor="text1"/>
                <w14:textFill>
                  <w14:solidFill>
                    <w14:schemeClr w14:val="tx1"/>
                  </w14:solidFill>
                </w14:textFill>
              </w:rPr>
            </w:pPr>
            <w:r>
              <w:rPr>
                <w:rFonts w:hint="eastAsia"/>
                <w:color w:val="000000" w:themeColor="text1"/>
                <w:szCs w:val="21"/>
                <w:highlight w:val="none"/>
                <w14:textFill>
                  <w14:solidFill>
                    <w14:schemeClr w14:val="tx1"/>
                  </w14:solidFill>
                </w14:textFill>
              </w:rPr>
              <w:t>1817870.00</w:t>
            </w:r>
          </w:p>
        </w:tc>
        <w:tc>
          <w:tcPr>
            <w:tcW w:w="804" w:type="dxa"/>
            <w:tcBorders>
              <w:top w:val="single" w:color="auto" w:sz="6" w:space="0"/>
              <w:left w:val="nil"/>
              <w:bottom w:val="single" w:color="auto" w:sz="12" w:space="0"/>
              <w:right w:val="single" w:color="auto" w:sz="12" w:space="0"/>
            </w:tcBorders>
            <w:noWrap/>
            <w:vAlign w:val="center"/>
          </w:tcPr>
          <w:p w14:paraId="37C53E7E">
            <w:pPr>
              <w:pStyle w:val="42"/>
              <w:adjustRightInd w:val="0"/>
              <w:spacing w:before="50" w:beforeAutospacing="0" w:line="360" w:lineRule="auto"/>
              <w:jc w:val="center"/>
              <w:rPr>
                <w:color w:val="000000" w:themeColor="text1"/>
                <w:sz w:val="21"/>
                <w:szCs w:val="21"/>
                <w14:textFill>
                  <w14:solidFill>
                    <w14:schemeClr w14:val="tx1"/>
                  </w14:solidFill>
                </w14:textFill>
              </w:rPr>
            </w:pPr>
          </w:p>
        </w:tc>
        <w:tc>
          <w:tcPr>
            <w:tcW w:w="824" w:type="dxa"/>
            <w:tcBorders>
              <w:top w:val="single" w:color="auto" w:sz="6" w:space="0"/>
              <w:left w:val="nil"/>
              <w:bottom w:val="single" w:color="auto" w:sz="12" w:space="0"/>
              <w:right w:val="single" w:color="auto" w:sz="12" w:space="0"/>
            </w:tcBorders>
            <w:noWrap/>
            <w:vAlign w:val="center"/>
          </w:tcPr>
          <w:p w14:paraId="2EB4C15E">
            <w:pPr>
              <w:pStyle w:val="42"/>
              <w:adjustRightInd w:val="0"/>
              <w:spacing w:before="50" w:beforeAutospacing="0" w:line="360" w:lineRule="auto"/>
              <w:jc w:val="center"/>
              <w:rPr>
                <w:color w:val="000000" w:themeColor="text1"/>
                <w:sz w:val="21"/>
                <w:szCs w:val="21"/>
                <w14:textFill>
                  <w14:solidFill>
                    <w14:schemeClr w14:val="tx1"/>
                  </w14:solidFill>
                </w14:textFill>
              </w:rPr>
            </w:pPr>
          </w:p>
        </w:tc>
      </w:tr>
    </w:tbl>
    <w:p w14:paraId="5D6E58A6">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说明：</w:t>
      </w:r>
    </w:p>
    <w:p w14:paraId="37E6BBC6">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1.节能产品实行强制采购的，需提供国家认证机构出具的、处于有效期内的节能产品证书。</w:t>
      </w:r>
    </w:p>
    <w:p w14:paraId="5F4BB89A">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2.同意购买进口产品的，不限制满足采购需求的国内产品参与投标。</w:t>
      </w:r>
    </w:p>
    <w:p w14:paraId="4F2AF6B4">
      <w:pPr>
        <w:pStyle w:val="4"/>
        <w:keepNext w:val="0"/>
        <w:keepLines w:val="0"/>
        <w:widowControl/>
        <w:spacing w:before="75" w:after="0" w:line="420" w:lineRule="atLeast"/>
        <w:rPr>
          <w:rFonts w:ascii="微软雅黑" w:hAnsi="微软雅黑" w:eastAsia="微软雅黑" w:cs="微软雅黑"/>
          <w:color w:val="000000" w:themeColor="text1"/>
          <w:sz w:val="24"/>
          <w:szCs w:val="24"/>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三、</w:t>
      </w:r>
      <w:r>
        <w:rPr>
          <w:rFonts w:hint="eastAsia" w:ascii="微软雅黑" w:hAnsi="微软雅黑" w:eastAsia="微软雅黑" w:cs="微软雅黑"/>
          <w:color w:val="000000" w:themeColor="text1"/>
          <w:sz w:val="24"/>
          <w:szCs w:val="24"/>
          <w14:textFill>
            <w14:solidFill>
              <w14:schemeClr w14:val="tx1"/>
            </w14:solidFill>
          </w14:textFill>
        </w:rPr>
        <w:t>采购项目需落实的政府采购政策：</w:t>
      </w:r>
    </w:p>
    <w:p w14:paraId="6E01E603">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1、优先采购：节能产品、环境标志产品享受加分或价格折扣。</w:t>
      </w:r>
    </w:p>
    <w:p w14:paraId="49274A31">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2、支持中小企业：中小企业享受预留采购份额或价格折扣。</w:t>
      </w:r>
    </w:p>
    <w:p w14:paraId="37D6D055">
      <w:pPr>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四、投标人的资格要求：</w:t>
      </w:r>
    </w:p>
    <w:p w14:paraId="2E9301D3">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1、投标人的基本资格条件：投标人必须是在中华人民共和国境内注册登记的法人、其他组织或者自然人，且应当符合《政府采购法》第二十二条第一款的规定。</w:t>
      </w:r>
    </w:p>
    <w:p w14:paraId="5EF9F887">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2、落实政府采购政策需满足的资格要求：</w:t>
      </w:r>
    </w:p>
    <w:p w14:paraId="78517D6A">
      <w:pPr>
        <w:pStyle w:val="4"/>
        <w:keepNext w:val="0"/>
        <w:keepLines w:val="0"/>
        <w:widowControl/>
        <w:spacing w:before="75" w:after="0" w:line="420" w:lineRule="atLeast"/>
        <w:ind w:firstLine="630" w:firstLineChars="3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eastAsia="zh-CN"/>
          <w14:textFill>
            <w14:solidFill>
              <w14:schemeClr w14:val="tx1"/>
            </w14:solidFill>
          </w14:textFill>
        </w:rPr>
        <w:t>☑</w:t>
      </w:r>
      <w:r>
        <w:rPr>
          <w:rFonts w:hint="eastAsia" w:ascii="宋体" w:hAnsi="宋体" w:cs="宋体"/>
          <w:b w:val="0"/>
          <w:bCs w:val="0"/>
          <w:color w:val="000000" w:themeColor="text1"/>
          <w:sz w:val="21"/>
          <w:szCs w:val="21"/>
          <w14:textFill>
            <w14:solidFill>
              <w14:schemeClr w14:val="tx1"/>
            </w14:solidFill>
          </w14:textFill>
        </w:rPr>
        <w:t>专门面向：</w:t>
      </w:r>
      <w:r>
        <w:rPr>
          <w:rFonts w:hint="eastAsia" w:ascii="宋体" w:hAnsi="宋体" w:cs="宋体"/>
          <w:b w:val="0"/>
          <w:bCs w:val="0"/>
          <w:color w:val="000000" w:themeColor="text1"/>
          <w:sz w:val="21"/>
          <w:szCs w:val="21"/>
          <w:lang w:eastAsia="zh-CN"/>
          <w14:textFill>
            <w14:solidFill>
              <w14:schemeClr w14:val="tx1"/>
            </w14:solidFill>
          </w14:textFill>
        </w:rPr>
        <w:t>☑中小企业□小微企业□监狱企业□福利性单位</w:t>
      </w:r>
    </w:p>
    <w:p w14:paraId="3F4EF2A7">
      <w:pPr>
        <w:pStyle w:val="4"/>
        <w:keepNext w:val="0"/>
        <w:keepLines w:val="0"/>
        <w:widowControl/>
        <w:spacing w:before="75" w:after="0" w:line="420" w:lineRule="atLeast"/>
        <w:ind w:firstLine="630" w:firstLineChars="3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eastAsia="zh-CN"/>
          <w14:textFill>
            <w14:solidFill>
              <w14:schemeClr w14:val="tx1"/>
            </w14:solidFill>
          </w14:textFill>
        </w:rPr>
        <w:t>□强制分包：大型企业应将采购份额的</w:t>
      </w:r>
      <w:r>
        <w:rPr>
          <w:rFonts w:hint="eastAsia" w:ascii="宋体" w:hAnsi="宋体" w:cs="宋体"/>
          <w:b w:val="0"/>
          <w:bCs w:val="0"/>
          <w:color w:val="000000" w:themeColor="text1"/>
          <w:sz w:val="21"/>
          <w:szCs w:val="21"/>
          <w:u w:val="single"/>
          <w:lang w:val="en-US" w:eastAsia="zh-CN"/>
          <w14:textFill>
            <w14:solidFill>
              <w14:schemeClr w14:val="tx1"/>
            </w14:solidFill>
          </w14:textFill>
        </w:rPr>
        <w:t xml:space="preserve"> / </w:t>
      </w:r>
      <w:r>
        <w:rPr>
          <w:rFonts w:hint="eastAsia" w:ascii="宋体" w:hAnsi="宋体" w:cs="宋体"/>
          <w:b w:val="0"/>
          <w:bCs w:val="0"/>
          <w:color w:val="000000" w:themeColor="text1"/>
          <w:sz w:val="21"/>
          <w:szCs w:val="21"/>
          <w:lang w:eastAsia="zh-CN"/>
          <w14:textFill>
            <w14:solidFill>
              <w14:schemeClr w14:val="tx1"/>
            </w14:solidFill>
          </w14:textFill>
        </w:rPr>
        <w:t>%分包给中小企业。</w:t>
      </w:r>
    </w:p>
    <w:p w14:paraId="38884C8A">
      <w:pPr>
        <w:pStyle w:val="4"/>
        <w:keepNext w:val="0"/>
        <w:keepLines w:val="0"/>
        <w:widowControl/>
        <w:spacing w:before="75" w:after="0" w:line="420" w:lineRule="atLeast"/>
        <w:ind w:firstLine="420" w:firstLineChars="200"/>
        <w:rPr>
          <w:rFonts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3、供应商特定资格条件</w:t>
      </w:r>
    </w:p>
    <w:p w14:paraId="3EA0494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3.1具有行政主管部门颁发的公路工程施工总承包叁级及以上资质或交通安全设施养护资质，安全生产许可证处于有效期，且在人员、设备、资金等方面具备相应的施工能力；</w:t>
      </w:r>
    </w:p>
    <w:p w14:paraId="0F88386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拟任项目经理（项目负责人）具备公路工程专业贰级及以上注册建造师执业资格及公路工程相关专业中级及以上技术职称和有效的B类安全生产考核合格证书（水运类不认可），项目经理（项目负责人）须本单位正式职工且在其他在建项目中未担任项目经理并提供本单位正式职工及无在建工程承诺书；拟任项目总工具有公路工程相关专业中级及以上职称证书及</w:t>
      </w:r>
      <w:r>
        <w:rPr>
          <w:rFonts w:hint="eastAsia" w:ascii="宋体" w:hAnsi="宋体" w:cs="宋体"/>
          <w:color w:val="000000" w:themeColor="text1"/>
          <w:spacing w:val="-1"/>
          <w:szCs w:val="21"/>
          <w:highlight w:val="none"/>
          <w:shd w:val="clear" w:color="auto" w:fill="FFFFFF"/>
          <w14:textFill>
            <w14:solidFill>
              <w14:schemeClr w14:val="tx1"/>
            </w14:solidFill>
          </w14:textFill>
        </w:rPr>
        <w:t>交通行政主管部门核发的公路</w:t>
      </w:r>
      <w:r>
        <w:rPr>
          <w:rFonts w:hint="eastAsia" w:ascii="宋体" w:hAnsi="宋体" w:cs="宋体"/>
          <w:color w:val="000000" w:themeColor="text1"/>
          <w:szCs w:val="21"/>
          <w:highlight w:val="none"/>
          <w:shd w:val="clear" w:color="auto" w:fill="FFFFFF"/>
          <w14:textFill>
            <w14:solidFill>
              <w14:schemeClr w14:val="tx1"/>
            </w14:solidFill>
          </w14:textFill>
        </w:rPr>
        <w:t>B</w:t>
      </w:r>
      <w:r>
        <w:rPr>
          <w:rFonts w:hint="eastAsia" w:ascii="宋体" w:hAnsi="宋体" w:cs="宋体"/>
          <w:color w:val="000000" w:themeColor="text1"/>
          <w:spacing w:val="-3"/>
          <w:szCs w:val="21"/>
          <w:highlight w:val="none"/>
          <w:shd w:val="clear" w:color="auto" w:fill="FFFFFF"/>
          <w14:textFill>
            <w14:solidFill>
              <w14:schemeClr w14:val="tx1"/>
            </w14:solidFill>
          </w14:textFill>
        </w:rPr>
        <w:t>类安全生产考核合格证（水运类不认可）</w:t>
      </w:r>
      <w:r>
        <w:rPr>
          <w:rFonts w:hint="eastAsia" w:ascii="宋体" w:hAnsi="宋体" w:cs="宋体"/>
          <w:color w:val="000000" w:themeColor="text1"/>
          <w:szCs w:val="21"/>
          <w:highlight w:val="none"/>
          <w14:textFill>
            <w14:solidFill>
              <w14:schemeClr w14:val="tx1"/>
            </w14:solidFill>
          </w14:textFill>
        </w:rPr>
        <w:t>。</w:t>
      </w:r>
    </w:p>
    <w:p w14:paraId="4AB4683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3.3供应商为湖南省外企业，须按照湘建建〔2015〕190 号文件要求办理省外入湘企业基本情况登记，并提供“湖南省住房和城乡建设网”基本情况登记信息截图；</w:t>
      </w:r>
    </w:p>
    <w:p w14:paraId="21F725D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根据《湖南省财政厅关于政府采购促进中小企业发展有关措施的通知》（湘财购[2022]17号）相关规定，符合法定条件的供应商凭《湖南省政府采购供应商资格承诺函》参与政府采购活动，无需提供财务状况、缴纳税收和社会保障资金等资格证明材料。</w:t>
      </w:r>
    </w:p>
    <w:p w14:paraId="79D4812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4、单位负责人为同一人或者存在直接控股、管理关系的不同投标人，不得参加同一合同项下的政府采购活动。</w:t>
      </w:r>
    </w:p>
    <w:p w14:paraId="02966F4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5、为本采购项目提供整体设计、规范编制或者项目管理、监理、检测等服务的，不得再参加此项目的其他采购活动。</w:t>
      </w:r>
    </w:p>
    <w:p w14:paraId="299A068D">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6、列入失信被执行人、重大税收违法失信主体名单、政府采购严重违法失信行为记录名单的，拒绝其参与政府采购活动。</w:t>
      </w:r>
    </w:p>
    <w:p w14:paraId="5BBEFDE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7、联合体投标。本次招标不接受联合体投标。</w:t>
      </w:r>
    </w:p>
    <w:p w14:paraId="75714032">
      <w:pPr>
        <w:pStyle w:val="4"/>
        <w:keepNext w:val="0"/>
        <w:keepLines w:val="0"/>
        <w:widowControl/>
        <w:spacing w:before="75" w:after="0" w:line="420" w:lineRule="atLeast"/>
        <w:rPr>
          <w:rFonts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lang w:val="en-US" w:eastAsia="zh-CN"/>
          <w14:textFill>
            <w14:solidFill>
              <w14:schemeClr w14:val="tx1"/>
            </w14:solidFill>
          </w14:textFill>
        </w:rPr>
        <w:t>五、获取招标文件的时间、期限、地点及方式</w:t>
      </w:r>
    </w:p>
    <w:p w14:paraId="06BA507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有意参加投标者，于2024年12月</w:t>
      </w:r>
      <w:r>
        <w:rPr>
          <w:rFonts w:hint="eastAsia" w:ascii="宋体" w:hAnsi="宋体" w:cs="宋体"/>
          <w:color w:val="000000" w:themeColor="text1"/>
          <w:szCs w:val="21"/>
          <w:lang w:val="en-US" w:eastAsia="zh-CN"/>
          <w14:textFill>
            <w14:solidFill>
              <w14:schemeClr w14:val="tx1"/>
            </w14:solidFill>
          </w14:textFill>
        </w:rPr>
        <w:t>27</w:t>
      </w:r>
      <w:r>
        <w:rPr>
          <w:rFonts w:hint="eastAsia" w:ascii="宋体" w:hAnsi="宋体" w:cs="宋体"/>
          <w:color w:val="000000" w:themeColor="text1"/>
          <w:szCs w:val="21"/>
          <w14:textFill>
            <w14:solidFill>
              <w14:schemeClr w14:val="tx1"/>
            </w14:solidFill>
          </w14:textFill>
        </w:rPr>
        <w:t>日 至202</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01</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06</w:t>
      </w:r>
      <w:r>
        <w:rPr>
          <w:rFonts w:hint="eastAsia" w:ascii="宋体" w:hAnsi="宋体" w:cs="宋体"/>
          <w:color w:val="000000" w:themeColor="text1"/>
          <w:szCs w:val="21"/>
          <w14:textFill>
            <w14:solidFill>
              <w14:schemeClr w14:val="tx1"/>
            </w14:solidFill>
          </w14:textFill>
        </w:rPr>
        <w:t>日，每天上午9:00至12:00，下午14:30至17:30（北京时间，法定节假日除外）， 在</w:t>
      </w:r>
      <w:r>
        <w:rPr>
          <w:rFonts w:hint="eastAsia" w:ascii="宋体" w:hAnsi="宋体" w:cs="宋体"/>
          <w:color w:val="000000" w:themeColor="text1"/>
          <w:szCs w:val="21"/>
          <w:u w:val="single"/>
          <w14:textFill>
            <w14:solidFill>
              <w14:schemeClr w14:val="tx1"/>
            </w14:solidFill>
          </w14:textFill>
        </w:rPr>
        <w:t>汝城县千钧大酒店旁公寓803</w:t>
      </w:r>
      <w:r>
        <w:rPr>
          <w:rFonts w:hint="eastAsia" w:ascii="宋体" w:hAnsi="宋体" w:cs="宋体"/>
          <w:color w:val="000000" w:themeColor="text1"/>
          <w:szCs w:val="21"/>
          <w14:textFill>
            <w14:solidFill>
              <w14:schemeClr w14:val="tx1"/>
            </w14:solidFill>
          </w14:textFill>
        </w:rPr>
        <w:t>获取招标文件</w:t>
      </w:r>
    </w:p>
    <w:p w14:paraId="04BC24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□本项目实行电子交易，有意参加投标者，在</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获取电子版招标文件。</w:t>
      </w:r>
    </w:p>
    <w:p w14:paraId="6CB1AA4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□本项目进行资格预审，招标文件将向所有通过资格预审的供应商提供。</w:t>
      </w:r>
    </w:p>
    <w:p w14:paraId="7D31D296">
      <w:pPr>
        <w:spacing w:line="360" w:lineRule="auto"/>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六、投标截止时间、开标时间及地点</w:t>
      </w:r>
    </w:p>
    <w:p w14:paraId="0079683E">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1、提交投标文件的截止时间：202</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01</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07</w:t>
      </w:r>
      <w:r>
        <w:rPr>
          <w:rFonts w:hint="eastAsia" w:ascii="宋体" w:hAnsi="宋体" w:cs="宋体"/>
          <w:color w:val="000000" w:themeColor="text1"/>
          <w:szCs w:val="21"/>
          <w14:textFill>
            <w14:solidFill>
              <w14:schemeClr w14:val="tx1"/>
            </w14:solidFill>
          </w14:textFill>
        </w:rPr>
        <w:t>日09:00（北京时间）</w:t>
      </w:r>
    </w:p>
    <w:p w14:paraId="2126D2DF">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2、提交投标文件地点：汝城县千钧大酒店旁公寓803</w:t>
      </w:r>
    </w:p>
    <w:p w14:paraId="776BD096">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3、开标时间：202</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01</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07</w:t>
      </w:r>
      <w:r>
        <w:rPr>
          <w:rFonts w:hint="eastAsia" w:ascii="宋体" w:hAnsi="宋体" w:cs="宋体"/>
          <w:color w:val="000000" w:themeColor="text1"/>
          <w:szCs w:val="21"/>
          <w14:textFill>
            <w14:solidFill>
              <w14:schemeClr w14:val="tx1"/>
            </w14:solidFill>
          </w14:textFill>
        </w:rPr>
        <w:t>日09:00（北京时间）</w:t>
      </w:r>
    </w:p>
    <w:p w14:paraId="37D421E8">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4、开标地点：汝城县千钧大酒店旁公寓803</w:t>
      </w:r>
    </w:p>
    <w:p w14:paraId="386D9118">
      <w:pPr>
        <w:spacing w:line="360" w:lineRule="auto"/>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七、公告期限</w:t>
      </w:r>
    </w:p>
    <w:p w14:paraId="4E4652A1">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1、本招标公告在中国湖南政府采购网（www.ccgp-hunan.gov.cn）发布。公告期限从本招标公告发布之日起5个工作日。</w:t>
      </w:r>
    </w:p>
    <w:p w14:paraId="7A58D89D">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2、在其他媒体发布的招标公告，公告内容以本招标公告指定媒体发布的公告为准；公告期限自本招标公告指定媒体最先发布公告之日起算。</w:t>
      </w:r>
    </w:p>
    <w:p w14:paraId="0E0A8BB0">
      <w:pPr>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八、询问及质疑</w:t>
      </w:r>
    </w:p>
    <w:p w14:paraId="41475D19">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1、投标人对政府采购活动事项如有疑问的，可以向采购人、采购代理机构提出询问。采购人、采购代理机构将在3个工作日内作出答复。</w:t>
      </w:r>
    </w:p>
    <w:p w14:paraId="0870EE49">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2、投标人对电子交易平台办理CA证书、操作等如有疑问，请咨询电子交易平台服务机构。</w:t>
      </w:r>
    </w:p>
    <w:p w14:paraId="1B9FBA28">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563A1E08">
      <w:pPr>
        <w:spacing w:line="360" w:lineRule="auto"/>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九、投标说明</w:t>
      </w:r>
    </w:p>
    <w:p w14:paraId="0893D4A7">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1、本公告选项：☑表示选择，□表示未选择。</w:t>
      </w:r>
    </w:p>
    <w:p w14:paraId="32708339">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2、投标人参与政府采购活动，无需向采购人、代理机构、交易平台缴纳任何费用。</w:t>
      </w:r>
    </w:p>
    <w:p w14:paraId="140EE5F0">
      <w:pPr>
        <w:spacing w:line="360" w:lineRule="auto"/>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十、采购项目联系人姓名和电话</w:t>
      </w:r>
    </w:p>
    <w:p w14:paraId="6A79A851">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1、联系人姓名：</w:t>
      </w:r>
      <w:r>
        <w:rPr>
          <w:rFonts w:hint="eastAsia" w:ascii="宋体" w:hAnsi="宋体" w:cs="宋体"/>
          <w:color w:val="000000" w:themeColor="text1"/>
          <w:szCs w:val="21"/>
          <w:lang w:eastAsia="zh-CN"/>
          <w14:textFill>
            <w14:solidFill>
              <w14:schemeClr w14:val="tx1"/>
            </w14:solidFill>
          </w14:textFill>
        </w:rPr>
        <w:t>范慰</w:t>
      </w:r>
    </w:p>
    <w:p w14:paraId="694042BA">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2、电话：0735-8223930</w:t>
      </w:r>
    </w:p>
    <w:p w14:paraId="2FD26A20">
      <w:pPr>
        <w:spacing w:line="360" w:lineRule="auto"/>
        <w:rPr>
          <w:rFonts w:ascii="微软雅黑" w:hAnsi="微软雅黑" w:eastAsia="微软雅黑" w:cs="微软雅黑"/>
          <w:b/>
          <w:bCs/>
          <w:color w:val="000000" w:themeColor="text1"/>
          <w:kern w:val="0"/>
          <w:sz w:val="24"/>
          <w14:textFill>
            <w14:solidFill>
              <w14:schemeClr w14:val="tx1"/>
            </w14:solidFill>
          </w14:textFill>
        </w:rPr>
      </w:pPr>
      <w:r>
        <w:rPr>
          <w:rFonts w:hint="eastAsia" w:ascii="微软雅黑" w:hAnsi="微软雅黑" w:eastAsia="微软雅黑" w:cs="微软雅黑"/>
          <w:b/>
          <w:bCs/>
          <w:color w:val="000000" w:themeColor="text1"/>
          <w:kern w:val="0"/>
          <w:sz w:val="24"/>
          <w14:textFill>
            <w14:solidFill>
              <w14:schemeClr w14:val="tx1"/>
            </w14:solidFill>
          </w14:textFill>
        </w:rPr>
        <w:t>十一、采购人、采购代理机构的名称、地址和联系方法</w:t>
      </w:r>
    </w:p>
    <w:p w14:paraId="23B8E525">
      <w:pPr>
        <w:spacing w:line="360" w:lineRule="auto"/>
        <w:ind w:firstLine="210" w:firstLineChars="1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1、采购人信息</w:t>
      </w:r>
    </w:p>
    <w:p w14:paraId="7042491E">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（1）名 称：汝城县公路建设养护中心</w:t>
      </w:r>
    </w:p>
    <w:p w14:paraId="1A615742">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（2）地 址：汝城县神农大道中段（汝城县公路建设养护中心5—6楼）</w:t>
      </w:r>
    </w:p>
    <w:p w14:paraId="641C5E8B">
      <w:pPr>
        <w:spacing w:line="360" w:lineRule="auto"/>
        <w:ind w:firstLine="210" w:firstLineChars="1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（3）联系人：</w:t>
      </w:r>
      <w:r>
        <w:rPr>
          <w:rFonts w:hint="eastAsia" w:ascii="宋体" w:hAnsi="宋体" w:cs="宋体"/>
          <w:color w:val="000000" w:themeColor="text1"/>
          <w:szCs w:val="21"/>
          <w:lang w:eastAsia="zh-CN"/>
          <w14:textFill>
            <w14:solidFill>
              <w14:schemeClr w14:val="tx1"/>
            </w14:solidFill>
          </w14:textFill>
        </w:rPr>
        <w:t>范慰</w:t>
      </w:r>
    </w:p>
    <w:p w14:paraId="7A6AC2B4">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（4）邮 编：424100</w:t>
      </w:r>
    </w:p>
    <w:p w14:paraId="0E3189B0">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（5）电 话：0735-8223930</w:t>
      </w:r>
    </w:p>
    <w:p w14:paraId="4DE59FD4">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（6）电子邮箱：/</w:t>
      </w:r>
    </w:p>
    <w:p w14:paraId="6EB7B140">
      <w:pPr>
        <w:pStyle w:val="4"/>
        <w:keepNext w:val="0"/>
        <w:keepLines w:val="0"/>
        <w:widowControl/>
        <w:spacing w:before="75" w:after="0" w:line="420" w:lineRule="atLeast"/>
        <w:ind w:firstLine="240" w:firstLineChars="100"/>
        <w:rPr>
          <w:rFonts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2、采购代理机构信息</w:t>
      </w:r>
    </w:p>
    <w:p w14:paraId="5B768913">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（1）名 称：湖南英邦工程建设咨询有限公司</w:t>
      </w:r>
    </w:p>
    <w:p w14:paraId="544B3918">
      <w:pPr>
        <w:spacing w:line="360" w:lineRule="auto"/>
        <w:ind w:firstLine="210" w:firstLineChars="10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（2）地 址：郴州市北湖区骆仙路香榭大厦8楼205室</w:t>
      </w:r>
      <w:r>
        <w:rPr>
          <w:rFonts w:hint="eastAsia" w:ascii="宋体" w:hAnsi="宋体" w:cs="宋体"/>
          <w:color w:val="000000" w:themeColor="text1"/>
          <w:szCs w:val="21"/>
          <w:lang w:eastAsia="zh-CN"/>
          <w14:textFill>
            <w14:solidFill>
              <w14:schemeClr w14:val="tx1"/>
            </w14:solidFill>
          </w14:textFill>
        </w:rPr>
        <w:t>（本项目联系地址</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汝城县千钧大酒店旁公寓803</w:t>
      </w:r>
      <w:r>
        <w:rPr>
          <w:rFonts w:hint="eastAsia" w:ascii="宋体" w:hAnsi="宋体" w:cs="宋体"/>
          <w:color w:val="000000" w:themeColor="text1"/>
          <w:szCs w:val="21"/>
          <w:lang w:val="en-US" w:eastAsia="zh-CN"/>
          <w14:textFill>
            <w14:solidFill>
              <w14:schemeClr w14:val="tx1"/>
            </w14:solidFill>
          </w14:textFill>
        </w:rPr>
        <w:t>)</w:t>
      </w:r>
    </w:p>
    <w:p w14:paraId="428BA81A">
      <w:pPr>
        <w:spacing w:line="360" w:lineRule="auto"/>
        <w:ind w:firstLine="210" w:firstLineChars="1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（3）联系人：</w:t>
      </w:r>
      <w:r>
        <w:rPr>
          <w:rFonts w:hint="eastAsia" w:ascii="宋体" w:hAnsi="宋体" w:cs="宋体"/>
          <w:color w:val="000000" w:themeColor="text1"/>
          <w:szCs w:val="21"/>
          <w:lang w:eastAsia="zh-CN"/>
          <w14:textFill>
            <w14:solidFill>
              <w14:schemeClr w14:val="tx1"/>
            </w14:solidFill>
          </w14:textFill>
        </w:rPr>
        <w:t>何进华</w:t>
      </w:r>
    </w:p>
    <w:p w14:paraId="54253DE0">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（4）邮 编：423000</w:t>
      </w:r>
    </w:p>
    <w:p w14:paraId="65F27462">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（5）电 话：18175763151</w:t>
      </w:r>
    </w:p>
    <w:p w14:paraId="0164BC96">
      <w:pPr>
        <w:spacing w:line="360" w:lineRule="auto"/>
        <w:ind w:firstLine="210" w:firstLineChars="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（6）电子邮箱：2428077847@qq.com</w:t>
      </w:r>
    </w:p>
    <w:p w14:paraId="77CA324A">
      <w:pPr>
        <w:rPr>
          <w:color w:val="000000" w:themeColor="text1"/>
          <w14:textFill>
            <w14:solidFill>
              <w14:schemeClr w14:val="tx1"/>
            </w14:solidFill>
          </w14:textFill>
        </w:rPr>
      </w:pPr>
    </w:p>
    <w:p w14:paraId="0456BAB5">
      <w:pPr>
        <w:rPr>
          <w:color w:val="000000" w:themeColor="text1"/>
          <w14:textFill>
            <w14:solidFill>
              <w14:schemeClr w14:val="tx1"/>
            </w14:solidFill>
          </w14:textFill>
        </w:rPr>
      </w:pPr>
    </w:p>
    <w:p w14:paraId="43EAC61D">
      <w:pPr>
        <w:rPr>
          <w:color w:val="000000" w:themeColor="text1"/>
          <w14:textFill>
            <w14:solidFill>
              <w14:schemeClr w14:val="tx1"/>
            </w14:solidFill>
          </w14:textFill>
        </w:rPr>
      </w:pPr>
    </w:p>
    <w:p w14:paraId="1AF6691D">
      <w:pPr>
        <w:spacing w:line="360" w:lineRule="auto"/>
        <w:ind w:firstLine="420" w:firstLineChars="200"/>
        <w:rPr>
          <w:rFonts w:ascii="宋体" w:hAnsi="宋体" w:cs="宋体"/>
          <w:color w:val="000000" w:themeColor="text1"/>
          <w:szCs w:val="21"/>
          <w14:textFill>
            <w14:solidFill>
              <w14:schemeClr w14:val="tx1"/>
            </w14:solidFill>
          </w14:textFill>
        </w:rPr>
      </w:pPr>
    </w:p>
    <w:p w14:paraId="0783C41D">
      <w:pPr>
        <w:spacing w:line="360" w:lineRule="auto"/>
        <w:ind w:firstLine="420" w:firstLineChars="200"/>
        <w:rPr>
          <w:rFonts w:ascii="宋体" w:hAnsi="宋体" w:cs="宋体"/>
          <w:color w:val="000000" w:themeColor="text1"/>
          <w:szCs w:val="21"/>
          <w14:textFill>
            <w14:solidFill>
              <w14:schemeClr w14:val="tx1"/>
            </w14:solidFill>
          </w14:textFill>
        </w:rPr>
      </w:pPr>
    </w:p>
    <w:p w14:paraId="0307A476">
      <w:pPr>
        <w:spacing w:line="360" w:lineRule="auto"/>
        <w:ind w:firstLine="420" w:firstLineChars="200"/>
        <w:rPr>
          <w:rFonts w:ascii="宋体" w:hAnsi="宋体" w:cs="宋体"/>
          <w:color w:val="000000" w:themeColor="text1"/>
          <w:szCs w:val="21"/>
          <w14:textFill>
            <w14:solidFill>
              <w14:schemeClr w14:val="tx1"/>
            </w14:solidFill>
          </w14:textFill>
        </w:rPr>
      </w:pPr>
    </w:p>
    <w:p w14:paraId="4C697AEA">
      <w:pPr>
        <w:spacing w:line="360" w:lineRule="auto"/>
        <w:ind w:firstLine="420" w:firstLineChars="200"/>
        <w:rPr>
          <w:rFonts w:ascii="宋体" w:hAnsi="宋体" w:cs="宋体"/>
          <w:color w:val="000000" w:themeColor="text1"/>
          <w:szCs w:val="21"/>
          <w14:textFill>
            <w14:solidFill>
              <w14:schemeClr w14:val="tx1"/>
            </w14:solidFill>
          </w14:textFill>
        </w:rPr>
      </w:pPr>
    </w:p>
    <w:p w14:paraId="235CB946">
      <w:pPr>
        <w:spacing w:line="360" w:lineRule="auto"/>
        <w:ind w:firstLine="420" w:firstLineChars="200"/>
        <w:rPr>
          <w:rFonts w:ascii="宋体" w:hAnsi="宋体" w:cs="宋体"/>
          <w:color w:val="000000" w:themeColor="text1"/>
          <w:szCs w:val="21"/>
          <w14:textFill>
            <w14:solidFill>
              <w14:schemeClr w14:val="tx1"/>
            </w14:solidFill>
          </w14:textFill>
        </w:rPr>
      </w:pPr>
    </w:p>
    <w:p w14:paraId="367A5019">
      <w:pPr>
        <w:spacing w:line="360" w:lineRule="auto"/>
        <w:ind w:firstLine="420" w:firstLineChars="200"/>
        <w:rPr>
          <w:rFonts w:ascii="宋体" w:hAnsi="宋体" w:cs="宋体"/>
          <w:color w:val="000000" w:themeColor="text1"/>
          <w:szCs w:val="21"/>
          <w14:textFill>
            <w14:solidFill>
              <w14:schemeClr w14:val="tx1"/>
            </w14:solidFill>
          </w14:textFill>
        </w:rPr>
      </w:pPr>
    </w:p>
    <w:p w14:paraId="4F4A3D63">
      <w:pPr>
        <w:spacing w:line="360" w:lineRule="auto"/>
        <w:ind w:firstLine="420" w:firstLineChars="200"/>
        <w:rPr>
          <w:rFonts w:ascii="宋体" w:hAnsi="宋体" w:cs="宋体"/>
          <w:color w:val="000000" w:themeColor="text1"/>
          <w:szCs w:val="21"/>
          <w14:textFill>
            <w14:solidFill>
              <w14:schemeClr w14:val="tx1"/>
            </w14:solidFill>
          </w14:textFill>
        </w:rPr>
      </w:pPr>
    </w:p>
    <w:p w14:paraId="7439C759">
      <w:pPr>
        <w:spacing w:line="360" w:lineRule="auto"/>
        <w:ind w:firstLine="420" w:firstLineChars="200"/>
        <w:rPr>
          <w:rFonts w:ascii="宋体" w:hAnsi="宋体" w:cs="宋体"/>
          <w:color w:val="000000" w:themeColor="text1"/>
          <w:szCs w:val="21"/>
          <w14:textFill>
            <w14:solidFill>
              <w14:schemeClr w14:val="tx1"/>
            </w14:solidFill>
          </w14:textFill>
        </w:rPr>
      </w:pPr>
    </w:p>
    <w:p w14:paraId="03FA24B3">
      <w:pPr>
        <w:spacing w:line="360" w:lineRule="auto"/>
        <w:ind w:firstLine="420" w:firstLineChars="200"/>
        <w:rPr>
          <w:rFonts w:ascii="宋体" w:hAnsi="宋体" w:cs="宋体"/>
          <w:color w:val="000000" w:themeColor="text1"/>
          <w:szCs w:val="21"/>
          <w14:textFill>
            <w14:solidFill>
              <w14:schemeClr w14:val="tx1"/>
            </w14:solidFill>
          </w14:textFill>
        </w:rPr>
      </w:pPr>
    </w:p>
    <w:p w14:paraId="79C394AA">
      <w:pPr>
        <w:spacing w:line="360" w:lineRule="auto"/>
        <w:ind w:firstLine="420" w:firstLineChars="200"/>
        <w:rPr>
          <w:rFonts w:ascii="宋体" w:hAnsi="宋体" w:cs="宋体"/>
          <w:color w:val="000000" w:themeColor="text1"/>
          <w:szCs w:val="21"/>
          <w14:textFill>
            <w14:solidFill>
              <w14:schemeClr w14:val="tx1"/>
            </w14:solidFill>
          </w14:textFill>
        </w:rPr>
      </w:pPr>
    </w:p>
    <w:p w14:paraId="0EEC8AC3">
      <w:pPr>
        <w:spacing w:line="360" w:lineRule="auto"/>
        <w:ind w:firstLine="420" w:firstLineChars="200"/>
        <w:rPr>
          <w:rFonts w:ascii="宋体" w:hAnsi="宋体" w:cs="宋体"/>
          <w:color w:val="000000" w:themeColor="text1"/>
          <w:szCs w:val="21"/>
          <w14:textFill>
            <w14:solidFill>
              <w14:schemeClr w14:val="tx1"/>
            </w14:solidFill>
          </w14:textFill>
        </w:rPr>
      </w:pPr>
    </w:p>
    <w:p w14:paraId="12FCA721">
      <w:pPr>
        <w:spacing w:line="360" w:lineRule="auto"/>
        <w:ind w:firstLine="420" w:firstLineChars="200"/>
        <w:rPr>
          <w:rFonts w:ascii="宋体" w:hAnsi="宋体" w:cs="宋体"/>
          <w:color w:val="000000" w:themeColor="text1"/>
          <w:szCs w:val="21"/>
          <w14:textFill>
            <w14:solidFill>
              <w14:schemeClr w14:val="tx1"/>
            </w14:solidFill>
          </w14:textFill>
        </w:rPr>
      </w:pPr>
    </w:p>
    <w:p w14:paraId="084BBEA5">
      <w:pPr>
        <w:spacing w:line="360" w:lineRule="auto"/>
        <w:ind w:firstLine="420" w:firstLineChars="200"/>
        <w:rPr>
          <w:rFonts w:ascii="宋体" w:hAnsi="宋体" w:cs="宋体"/>
          <w:color w:val="000000" w:themeColor="text1"/>
          <w:szCs w:val="21"/>
          <w14:textFill>
            <w14:solidFill>
              <w14:schemeClr w14:val="tx1"/>
            </w14:solidFill>
          </w14:textFill>
        </w:rPr>
      </w:pPr>
    </w:p>
    <w:p w14:paraId="3AFD2F64">
      <w:pPr>
        <w:spacing w:line="360" w:lineRule="auto"/>
        <w:ind w:firstLine="420" w:firstLineChars="200"/>
        <w:rPr>
          <w:rFonts w:ascii="宋体" w:hAnsi="宋体" w:cs="宋体"/>
          <w:color w:val="000000" w:themeColor="text1"/>
          <w:szCs w:val="21"/>
          <w14:textFill>
            <w14:solidFill>
              <w14:schemeClr w14:val="tx1"/>
            </w14:solidFill>
          </w14:textFill>
        </w:rPr>
      </w:pPr>
    </w:p>
    <w:p w14:paraId="0CFA82E1">
      <w:pPr>
        <w:snapToGrid w:val="0"/>
        <w:jc w:val="center"/>
        <w:textAlignment w:val="baseline"/>
        <w:outlineLvl w:val="0"/>
        <w:rPr>
          <w:rFonts w:ascii="宋体" w:hAnsi="宋体" w:cs="宋体"/>
          <w:b/>
          <w:color w:val="000000" w:themeColor="text1"/>
          <w:sz w:val="32"/>
          <w14:textFill>
            <w14:solidFill>
              <w14:schemeClr w14:val="tx1"/>
            </w14:solidFill>
          </w14:textFill>
        </w:rPr>
      </w:pPr>
      <w:bookmarkStart w:id="7" w:name="_Toc17429"/>
      <w:r>
        <w:rPr>
          <w:rFonts w:hint="eastAsia" w:ascii="宋体" w:hAnsi="宋体" w:cs="宋体"/>
          <w:b/>
          <w:color w:val="000000" w:themeColor="text1"/>
          <w:sz w:val="32"/>
          <w:szCs w:val="32"/>
          <w14:textFill>
            <w14:solidFill>
              <w14:schemeClr w14:val="tx1"/>
            </w14:solidFill>
          </w14:textFill>
        </w:rPr>
        <w:t>第二章 磋商须知</w:t>
      </w:r>
      <w:bookmarkEnd w:id="7"/>
    </w:p>
    <w:p w14:paraId="25C92C32">
      <w:pPr>
        <w:pStyle w:val="26"/>
        <w:jc w:val="center"/>
        <w:textAlignment w:val="baseline"/>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磋商须知前附表</w:t>
      </w:r>
    </w:p>
    <w:p w14:paraId="7593E296">
      <w:pPr>
        <w:pStyle w:val="26"/>
        <w:textAlignment w:val="baseline"/>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注： 请在方框□内划√选择，在“条款号”内限选一项。（本项目采用的条款用“■”标示）</w:t>
      </w:r>
    </w:p>
    <w:tbl>
      <w:tblPr>
        <w:tblStyle w:val="47"/>
        <w:tblpPr w:leftFromText="180" w:rightFromText="180" w:vertAnchor="text" w:tblpXSpec="center" w:tblpY="1"/>
        <w:tblOverlap w:val="never"/>
        <w:tblW w:w="989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47"/>
        <w:gridCol w:w="1949"/>
        <w:gridCol w:w="6301"/>
      </w:tblGrid>
      <w:tr w14:paraId="6C32FE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351F06DD">
            <w:pPr>
              <w:snapToGrid w:val="0"/>
              <w:jc w:val="center"/>
              <w:textAlignment w:val="baseline"/>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1949" w:type="dxa"/>
            <w:noWrap/>
            <w:vAlign w:val="center"/>
          </w:tcPr>
          <w:p w14:paraId="16F7CF78">
            <w:pPr>
              <w:snapToGrid w:val="0"/>
              <w:jc w:val="center"/>
              <w:textAlignment w:val="baseline"/>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条款名称</w:t>
            </w:r>
          </w:p>
        </w:tc>
        <w:tc>
          <w:tcPr>
            <w:tcW w:w="6301" w:type="dxa"/>
            <w:noWrap/>
            <w:vAlign w:val="center"/>
          </w:tcPr>
          <w:p w14:paraId="58A19F0B">
            <w:pPr>
              <w:snapToGrid w:val="0"/>
              <w:jc w:val="center"/>
              <w:textAlignment w:val="baseline"/>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编列内容规定</w:t>
            </w:r>
          </w:p>
        </w:tc>
      </w:tr>
      <w:tr w14:paraId="3D2338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11317F80">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一、说明</w:t>
            </w:r>
          </w:p>
        </w:tc>
      </w:tr>
      <w:tr w14:paraId="40829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647" w:type="dxa"/>
            <w:noWrap/>
            <w:vAlign w:val="center"/>
          </w:tcPr>
          <w:p w14:paraId="784C58A5">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第二章第1.1款</w:t>
            </w:r>
          </w:p>
        </w:tc>
        <w:tc>
          <w:tcPr>
            <w:tcW w:w="1949" w:type="dxa"/>
            <w:noWrap/>
            <w:vAlign w:val="center"/>
          </w:tcPr>
          <w:p w14:paraId="7670CD1A">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采购项目</w:t>
            </w:r>
          </w:p>
        </w:tc>
        <w:tc>
          <w:tcPr>
            <w:tcW w:w="6301" w:type="dxa"/>
            <w:noWrap/>
            <w:vAlign w:val="center"/>
          </w:tcPr>
          <w:p w14:paraId="35F08150">
            <w:pPr>
              <w:snapToGrid w:val="0"/>
              <w:textAlignment w:val="baseline"/>
              <w:rPr>
                <w:rFonts w:hint="eastAsia" w:ascii="宋体" w:hAnsi="宋体" w:eastAsia="宋体" w:cs="宋体"/>
                <w:color w:val="000000" w:themeColor="text1"/>
                <w:szCs w:val="21"/>
                <w:lang w:eastAsia="zh-CN"/>
                <w14:textFill>
                  <w14:solidFill>
                    <w14:schemeClr w14:val="tx1"/>
                  </w14:solidFill>
                </w14:textFill>
              </w:rPr>
            </w:pPr>
            <w:r>
              <w:rPr>
                <w:rFonts w:hint="eastAsia"/>
                <w:color w:val="000000" w:themeColor="text1"/>
                <w:highlight w:val="yellow"/>
                <w:lang w:eastAsia="zh-CN"/>
                <w14:textFill>
                  <w14:solidFill>
                    <w14:schemeClr w14:val="tx1"/>
                  </w14:solidFill>
                </w14:textFill>
              </w:rPr>
              <w:t>汝城县2024年第三批农村公路安防工程</w:t>
            </w:r>
          </w:p>
        </w:tc>
      </w:tr>
      <w:tr w14:paraId="327F9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7B04F622">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第二章第2.1款</w:t>
            </w:r>
          </w:p>
        </w:tc>
        <w:tc>
          <w:tcPr>
            <w:tcW w:w="1949" w:type="dxa"/>
            <w:noWrap/>
            <w:vAlign w:val="center"/>
          </w:tcPr>
          <w:p w14:paraId="42DF54BB">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w:t>
            </w:r>
          </w:p>
        </w:tc>
        <w:tc>
          <w:tcPr>
            <w:tcW w:w="6301" w:type="dxa"/>
            <w:noWrap/>
            <w:vAlign w:val="center"/>
          </w:tcPr>
          <w:p w14:paraId="00436C62">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 购 人：</w:t>
            </w:r>
            <w:r>
              <w:rPr>
                <w:rFonts w:hint="eastAsia" w:ascii="宋体" w:hAnsi="宋体" w:cs="宋体"/>
                <w:color w:val="000000" w:themeColor="text1"/>
                <w:szCs w:val="21"/>
                <w14:textFill>
                  <w14:solidFill>
                    <w14:schemeClr w14:val="tx1"/>
                  </w14:solidFill>
                </w14:textFill>
              </w:rPr>
              <w:t>汝城县公路建设养护中心</w:t>
            </w:r>
          </w:p>
          <w:p w14:paraId="1E7D4299">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 系 人：</w:t>
            </w:r>
            <w:r>
              <w:rPr>
                <w:rFonts w:hint="eastAsia" w:ascii="宋体" w:hAnsi="宋体" w:cs="宋体"/>
                <w:color w:val="000000" w:themeColor="text1"/>
                <w:szCs w:val="21"/>
                <w:lang w:eastAsia="zh-CN"/>
                <w14:textFill>
                  <w14:solidFill>
                    <w14:schemeClr w14:val="tx1"/>
                  </w14:solidFill>
                </w14:textFill>
              </w:rPr>
              <w:t>范慰</w:t>
            </w:r>
          </w:p>
          <w:p w14:paraId="2827264C">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电    话：</w:t>
            </w:r>
            <w:r>
              <w:rPr>
                <w:rFonts w:hint="eastAsia" w:ascii="宋体" w:hAnsi="宋体" w:cs="宋体"/>
                <w:color w:val="000000" w:themeColor="text1"/>
                <w:szCs w:val="21"/>
                <w14:textFill>
                  <w14:solidFill>
                    <w14:schemeClr w14:val="tx1"/>
                  </w14:solidFill>
                </w14:textFill>
              </w:rPr>
              <w:t>0735-8223930</w:t>
            </w:r>
          </w:p>
          <w:p w14:paraId="26CE707B">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地    址：</w:t>
            </w:r>
            <w:r>
              <w:rPr>
                <w:rFonts w:hint="eastAsia" w:ascii="宋体" w:hAnsi="宋体" w:cs="宋体"/>
                <w:color w:val="000000" w:themeColor="text1"/>
                <w:szCs w:val="21"/>
                <w14:textFill>
                  <w14:solidFill>
                    <w14:schemeClr w14:val="tx1"/>
                  </w14:solidFill>
                </w14:textFill>
              </w:rPr>
              <w:t>汝城县神农大道中段（汝城县公路建设养护中心5—6楼）</w:t>
            </w:r>
          </w:p>
        </w:tc>
      </w:tr>
      <w:tr w14:paraId="729E1F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55C38741">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第二章第2.2款</w:t>
            </w:r>
          </w:p>
        </w:tc>
        <w:tc>
          <w:tcPr>
            <w:tcW w:w="1949" w:type="dxa"/>
            <w:noWrap/>
            <w:vAlign w:val="center"/>
          </w:tcPr>
          <w:p w14:paraId="7969515C">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采购代理机构</w:t>
            </w:r>
          </w:p>
        </w:tc>
        <w:tc>
          <w:tcPr>
            <w:tcW w:w="6301" w:type="dxa"/>
            <w:noWrap/>
            <w:vAlign w:val="center"/>
          </w:tcPr>
          <w:p w14:paraId="380D7447">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采购代理机构：</w:t>
            </w:r>
            <w:r>
              <w:rPr>
                <w:rFonts w:hint="eastAsia" w:ascii="宋体" w:hAnsi="宋体" w:cs="宋体"/>
                <w:color w:val="000000" w:themeColor="text1"/>
                <w:szCs w:val="21"/>
                <w14:textFill>
                  <w14:solidFill>
                    <w14:schemeClr w14:val="tx1"/>
                  </w14:solidFill>
                </w14:textFill>
              </w:rPr>
              <w:t>湖南英邦工程</w:t>
            </w:r>
            <w:bookmarkStart w:id="20" w:name="_GoBack"/>
            <w:bookmarkEnd w:id="20"/>
            <w:r>
              <w:rPr>
                <w:rFonts w:hint="eastAsia" w:ascii="宋体" w:hAnsi="宋体" w:cs="宋体"/>
                <w:color w:val="000000" w:themeColor="text1"/>
                <w:szCs w:val="21"/>
                <w14:textFill>
                  <w14:solidFill>
                    <w14:schemeClr w14:val="tx1"/>
                  </w14:solidFill>
                </w14:textFill>
              </w:rPr>
              <w:t xml:space="preserve">建设咨询有限公司 </w:t>
            </w:r>
          </w:p>
          <w:p w14:paraId="288B9D6A">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 系 人：</w:t>
            </w:r>
            <w:r>
              <w:rPr>
                <w:rFonts w:hint="eastAsia" w:ascii="宋体" w:hAnsi="宋体" w:cs="宋体"/>
                <w:bCs/>
                <w:color w:val="000000" w:themeColor="text1"/>
                <w:szCs w:val="21"/>
                <w:lang w:eastAsia="zh-CN"/>
                <w14:textFill>
                  <w14:solidFill>
                    <w14:schemeClr w14:val="tx1"/>
                  </w14:solidFill>
                </w14:textFill>
              </w:rPr>
              <w:t>何进华</w:t>
            </w:r>
          </w:p>
          <w:p w14:paraId="4EBEEC5B">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电    话：</w:t>
            </w:r>
            <w:r>
              <w:rPr>
                <w:rFonts w:hint="eastAsia" w:ascii="宋体" w:hAnsi="宋体" w:cs="宋体"/>
                <w:color w:val="000000" w:themeColor="text1"/>
                <w:szCs w:val="21"/>
                <w14:textFill>
                  <w14:solidFill>
                    <w14:schemeClr w14:val="tx1"/>
                  </w14:solidFill>
                </w14:textFill>
              </w:rPr>
              <w:t xml:space="preserve">0735-2861180 </w:t>
            </w:r>
          </w:p>
          <w:p w14:paraId="4B619F0B">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地址：</w:t>
            </w:r>
            <w:r>
              <w:rPr>
                <w:rFonts w:hint="eastAsia" w:ascii="宋体" w:hAnsi="宋体" w:cs="宋体"/>
                <w:color w:val="000000" w:themeColor="text1"/>
                <w:szCs w:val="21"/>
                <w14:textFill>
                  <w14:solidFill>
                    <w14:schemeClr w14:val="tx1"/>
                  </w14:solidFill>
                </w14:textFill>
              </w:rPr>
              <w:t>郴州市北湖区骆仙路香榭大厦8楼805室</w:t>
            </w:r>
            <w:r>
              <w:rPr>
                <w:rFonts w:hint="eastAsia" w:ascii="宋体" w:hAnsi="宋体" w:cs="宋体"/>
                <w:color w:val="000000" w:themeColor="text1"/>
                <w:szCs w:val="21"/>
                <w:lang w:eastAsia="zh-CN"/>
                <w14:textFill>
                  <w14:solidFill>
                    <w14:schemeClr w14:val="tx1"/>
                  </w14:solidFill>
                </w14:textFill>
              </w:rPr>
              <w:t>（本项目联系地址</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汝城县千钧大酒店旁公寓803</w:t>
            </w:r>
            <w:r>
              <w:rPr>
                <w:rFonts w:hint="eastAsia" w:ascii="宋体" w:hAnsi="宋体" w:cs="宋体"/>
                <w:color w:val="000000" w:themeColor="text1"/>
                <w:szCs w:val="21"/>
                <w:lang w:val="en-US" w:eastAsia="zh-CN"/>
                <w14:textFill>
                  <w14:solidFill>
                    <w14:schemeClr w14:val="tx1"/>
                  </w14:solidFill>
                </w14:textFill>
              </w:rPr>
              <w:t>)</w:t>
            </w:r>
          </w:p>
        </w:tc>
      </w:tr>
      <w:tr w14:paraId="1C0947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799F94A2">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第二章第2.3款</w:t>
            </w:r>
          </w:p>
        </w:tc>
        <w:tc>
          <w:tcPr>
            <w:tcW w:w="1949" w:type="dxa"/>
            <w:noWrap/>
            <w:vAlign w:val="center"/>
          </w:tcPr>
          <w:p w14:paraId="0B73EC58">
            <w:pPr>
              <w:snapToGrid w:val="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供应商的</w:t>
            </w:r>
            <w:r>
              <w:rPr>
                <w:rFonts w:hint="eastAsia" w:ascii="宋体" w:hAnsi="宋体" w:cs="宋体"/>
                <w:color w:val="000000" w:themeColor="text1"/>
                <w:szCs w:val="21"/>
                <w14:textFill>
                  <w14:solidFill>
                    <w14:schemeClr w14:val="tx1"/>
                  </w14:solidFill>
                </w14:textFill>
              </w:rPr>
              <w:t>邀请方式</w:t>
            </w:r>
          </w:p>
        </w:tc>
        <w:tc>
          <w:tcPr>
            <w:tcW w:w="6301" w:type="dxa"/>
            <w:noWrap/>
            <w:vAlign w:val="center"/>
          </w:tcPr>
          <w:p w14:paraId="4A9861BC">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■发布公告</w:t>
            </w:r>
          </w:p>
          <w:p w14:paraId="508504D0">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□从省级以上财政部门建立的供应商库中随机抽取</w:t>
            </w:r>
          </w:p>
          <w:p w14:paraId="3B09CAFB">
            <w:pPr>
              <w:snapToGrid w:val="0"/>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□采购人和评审专家分别书面推荐的方式</w:t>
            </w:r>
          </w:p>
        </w:tc>
      </w:tr>
      <w:tr w14:paraId="38ADC8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1647" w:type="dxa"/>
            <w:noWrap/>
            <w:vAlign w:val="center"/>
          </w:tcPr>
          <w:p w14:paraId="1758CACD">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第二章第3.1款</w:t>
            </w:r>
          </w:p>
          <w:p w14:paraId="747D980C">
            <w:pPr>
              <w:snapToGrid w:val="0"/>
              <w:jc w:val="center"/>
              <w:textAlignment w:val="baseline"/>
              <w:rPr>
                <w:rFonts w:ascii="宋体" w:hAnsi="宋体" w:cs="宋体"/>
                <w:color w:val="000000" w:themeColor="text1"/>
                <w:szCs w:val="21"/>
                <w14:textFill>
                  <w14:solidFill>
                    <w14:schemeClr w14:val="tx1"/>
                  </w14:solidFill>
                </w14:textFill>
              </w:rPr>
            </w:pPr>
          </w:p>
        </w:tc>
        <w:tc>
          <w:tcPr>
            <w:tcW w:w="1949" w:type="dxa"/>
            <w:noWrap/>
            <w:vAlign w:val="center"/>
          </w:tcPr>
          <w:p w14:paraId="59CE0DE1">
            <w:pPr>
              <w:snapToGrid w:val="0"/>
              <w:jc w:val="center"/>
              <w:textAlignment w:val="baseline"/>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资格条件</w:t>
            </w:r>
          </w:p>
          <w:p w14:paraId="72BC070F">
            <w:pPr>
              <w:snapToGrid w:val="0"/>
              <w:jc w:val="center"/>
              <w:textAlignment w:val="baseline"/>
              <w:rPr>
                <w:rFonts w:ascii="宋体" w:hAnsi="宋体" w:cs="宋体"/>
                <w:color w:val="000000" w:themeColor="text1"/>
                <w:szCs w:val="21"/>
                <w14:textFill>
                  <w14:solidFill>
                    <w14:schemeClr w14:val="tx1"/>
                  </w14:solidFill>
                </w14:textFill>
              </w:rPr>
            </w:pPr>
          </w:p>
        </w:tc>
        <w:tc>
          <w:tcPr>
            <w:tcW w:w="6301" w:type="dxa"/>
            <w:noWrap/>
            <w:vAlign w:val="center"/>
          </w:tcPr>
          <w:p w14:paraId="206002F9">
            <w:pPr>
              <w:pStyle w:val="42"/>
              <w:spacing w:before="0" w:beforeAutospacing="0" w:after="0" w:afterAutospacing="0" w:line="360" w:lineRule="auto"/>
              <w:jc w:val="both"/>
              <w:rPr>
                <w:b/>
                <w:bCs/>
                <w:color w:val="000000" w:themeColor="text1"/>
                <w:kern w:val="2"/>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1、投标人需具备《中华人民共和国政府采购法》第二十二条规定的资格条件，即：</w:t>
            </w:r>
          </w:p>
          <w:p w14:paraId="5BAF9A5A">
            <w:pPr>
              <w:pStyle w:val="42"/>
              <w:spacing w:before="0" w:beforeAutospacing="0" w:after="0" w:afterAutospacing="0" w:line="360" w:lineRule="auto"/>
              <w:ind w:firstLine="210" w:firstLine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（1）具有独立承担民事责任的能力；</w:t>
            </w:r>
          </w:p>
          <w:p w14:paraId="2E7FF633">
            <w:pPr>
              <w:pStyle w:val="42"/>
              <w:spacing w:before="0" w:beforeAutospacing="0" w:after="0" w:afterAutospacing="0" w:line="360" w:lineRule="auto"/>
              <w:ind w:firstLine="210" w:firstLine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（2）具有良好的商业信誉和健全的财务会计制度；</w:t>
            </w:r>
          </w:p>
          <w:p w14:paraId="3CDF57CB">
            <w:pPr>
              <w:pStyle w:val="42"/>
              <w:spacing w:before="0" w:beforeAutospacing="0" w:after="0" w:afterAutospacing="0" w:line="360" w:lineRule="auto"/>
              <w:ind w:firstLine="210" w:firstLine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（3）具有履行合同所必需的设备和专业技术能力；</w:t>
            </w:r>
          </w:p>
          <w:p w14:paraId="35F683E1">
            <w:pPr>
              <w:pStyle w:val="42"/>
              <w:spacing w:before="0" w:beforeAutospacing="0" w:after="0" w:afterAutospacing="0" w:line="360" w:lineRule="auto"/>
              <w:ind w:firstLine="210" w:firstLine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（4）有依法缴纳税收和社会保障资金的良好记录；</w:t>
            </w:r>
          </w:p>
          <w:p w14:paraId="355A9E0D">
            <w:pPr>
              <w:pStyle w:val="42"/>
              <w:spacing w:before="0" w:beforeAutospacing="0" w:after="0" w:afterAutospacing="0" w:line="360" w:lineRule="auto"/>
              <w:ind w:left="210" w:left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（5）参加政府采购活动前三年内，在经营活动中没有重大违法记录；</w:t>
            </w:r>
          </w:p>
          <w:p w14:paraId="75D7CD73">
            <w:pPr>
              <w:pStyle w:val="42"/>
              <w:spacing w:before="0" w:beforeAutospacing="0" w:after="0" w:afterAutospacing="0" w:line="360" w:lineRule="auto"/>
              <w:ind w:left="210" w:leftChars="100"/>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（6）</w:t>
            </w:r>
            <w:r>
              <w:rPr>
                <w:rFonts w:hint="eastAsia"/>
                <w:color w:val="000000" w:themeColor="text1"/>
                <w:sz w:val="21"/>
                <w:szCs w:val="21"/>
                <w14:textFill>
                  <w14:solidFill>
                    <w14:schemeClr w14:val="tx1"/>
                  </w14:solidFill>
                </w14:textFill>
              </w:rPr>
              <w:t>采购人、采购代理机构应当通过“信用中国”网站（www.creditchina.gov.cn）、中国政府采购网(www.ccgp.gov.cn)、“信用湖南”网站（www.credithunan.gov.cn）、湖南省政府采购网（www.ccgp-hunan.gov.cn）和“信用郴州”网站（xycz.czs.gov.cn）等渠道查询相关主体信用记录，并采取必要方式做好信用信息查询记录和证据留存，信用信息查询记录及相关证据应当与其他采购文件一并保存；对列入失信被执行人、重大税收违法案件当事人名单、政府采购严重违法失信行为记录名单及其他不符合《中华人民共和国政府采购法》第二十二条规定条件的供应商，应当拒绝其参与政府采购活动；</w:t>
            </w:r>
          </w:p>
          <w:p w14:paraId="7E0DC3B8">
            <w:pPr>
              <w:pStyle w:val="42"/>
              <w:spacing w:before="0" w:beforeAutospacing="0" w:after="0" w:afterAutospacing="0" w:line="360" w:lineRule="auto"/>
              <w:jc w:val="both"/>
              <w:rPr>
                <w:color w:val="000000" w:themeColor="text1"/>
                <w:kern w:val="2"/>
                <w:sz w:val="21"/>
                <w:szCs w:val="21"/>
                <w14:textFill>
                  <w14:solidFill>
                    <w14:schemeClr w14:val="tx1"/>
                  </w14:solidFill>
                </w14:textFill>
              </w:rPr>
            </w:pPr>
            <w:r>
              <w:rPr>
                <w:rFonts w:hint="eastAsia"/>
                <w:color w:val="000000" w:themeColor="text1"/>
                <w:kern w:val="2"/>
                <w:sz w:val="21"/>
                <w:szCs w:val="21"/>
                <w14:textFill>
                  <w14:solidFill>
                    <w14:schemeClr w14:val="tx1"/>
                  </w14:solidFill>
                </w14:textFill>
              </w:rPr>
              <w:t>（7）法律、行政法规规定的其他条件。</w:t>
            </w:r>
          </w:p>
          <w:p w14:paraId="650D4ADC">
            <w:pPr>
              <w:pStyle w:val="42"/>
              <w:spacing w:before="0" w:beforeAutospacing="0" w:after="0" w:afterAutospacing="0" w:line="360" w:lineRule="auto"/>
              <w:ind w:firstLine="210" w:firstLineChars="100"/>
              <w:jc w:val="both"/>
              <w:rPr>
                <w:color w:val="000000" w:themeColor="text1"/>
                <w:kern w:val="2"/>
                <w:sz w:val="21"/>
                <w:szCs w:val="21"/>
                <w14:textFill>
                  <w14:solidFill>
                    <w14:schemeClr w14:val="tx1"/>
                  </w14:solidFill>
                </w14:textFill>
              </w:rPr>
            </w:pPr>
            <w:r>
              <w:rPr>
                <w:rFonts w:hint="eastAsia"/>
                <w:bCs/>
                <w:color w:val="000000" w:themeColor="text1"/>
                <w:kern w:val="2"/>
                <w:sz w:val="21"/>
                <w:szCs w:val="21"/>
                <w14:textFill>
                  <w14:solidFill>
                    <w14:schemeClr w14:val="tx1"/>
                  </w14:solidFill>
                </w14:textFill>
              </w:rPr>
              <w:t>注：根据《湖南省财政厅关于政府采购促进中小企业发展有关措施的通知》（湘财购[2022]17号）相关规定，符合法定条件的供应商凭《湖南省政府采购供应商资格承诺函》（格式见附件）参与政府采购活动，无需提供财</w:t>
            </w:r>
            <w:r>
              <w:rPr>
                <w:rFonts w:hint="eastAsia"/>
                <w:color w:val="000000" w:themeColor="text1"/>
                <w:kern w:val="2"/>
                <w:sz w:val="21"/>
                <w:szCs w:val="21"/>
                <w14:textFill>
                  <w14:solidFill>
                    <w14:schemeClr w14:val="tx1"/>
                  </w14:solidFill>
                </w14:textFill>
              </w:rPr>
              <w:t>务状况、缴纳税收和社会保障资金等资格证明材料。</w:t>
            </w:r>
          </w:p>
          <w:p w14:paraId="53B63ABB">
            <w:pPr>
              <w:pStyle w:val="42"/>
              <w:spacing w:before="0" w:beforeAutospacing="0" w:after="0" w:afterAutospacing="0" w:line="360" w:lineRule="auto"/>
              <w:jc w:val="both"/>
              <w:rPr>
                <w:b/>
                <w:bCs/>
                <w:color w:val="000000" w:themeColor="text1"/>
                <w:kern w:val="2"/>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2、采购项目的特定资格条件：</w:t>
            </w:r>
          </w:p>
          <w:p w14:paraId="4CC97FF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（1）具有行政主管部门颁发的公路工程施工总承包叁级及以上资质或交通安全设施养护资质，安全生产许可证处于有效期，且在人员、设备、资金等方面具备相应的施工能力；</w:t>
            </w:r>
          </w:p>
          <w:p w14:paraId="19CAEC3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拟任项目经理（项目负责人）具备公路工程专业贰级及以上注册建造师执业资格及公路工程相关专业中级及以上技术职称和有效的B类安全生产考核合格证书（水运类不认可），项目经理（项目负责人）须本单位正式职工且在其他在建项目中未担任项目经理并提供本单位正式职工及无在建工程承诺书；拟任项目总工具有公路工程相关专业中级及以上职称证书及</w:t>
            </w:r>
            <w:r>
              <w:rPr>
                <w:rFonts w:hint="eastAsia" w:ascii="宋体" w:hAnsi="宋体" w:cs="宋体"/>
                <w:color w:val="000000" w:themeColor="text1"/>
                <w:spacing w:val="-1"/>
                <w:szCs w:val="21"/>
                <w:shd w:val="clear" w:color="auto" w:fill="FFFFFF"/>
                <w14:textFill>
                  <w14:solidFill>
                    <w14:schemeClr w14:val="tx1"/>
                  </w14:solidFill>
                </w14:textFill>
              </w:rPr>
              <w:t>交通行政主管部门核发的公路</w:t>
            </w:r>
            <w:r>
              <w:rPr>
                <w:rFonts w:hint="eastAsia" w:ascii="宋体" w:hAnsi="宋体" w:cs="宋体"/>
                <w:color w:val="000000" w:themeColor="text1"/>
                <w:szCs w:val="21"/>
                <w:shd w:val="clear" w:color="auto" w:fill="FFFFFF"/>
                <w14:textFill>
                  <w14:solidFill>
                    <w14:schemeClr w14:val="tx1"/>
                  </w14:solidFill>
                </w14:textFill>
              </w:rPr>
              <w:t>B</w:t>
            </w:r>
            <w:r>
              <w:rPr>
                <w:rFonts w:hint="eastAsia" w:ascii="宋体" w:hAnsi="宋体" w:cs="宋体"/>
                <w:color w:val="000000" w:themeColor="text1"/>
                <w:spacing w:val="-3"/>
                <w:szCs w:val="21"/>
                <w:shd w:val="clear" w:color="auto" w:fill="FFFFFF"/>
                <w14:textFill>
                  <w14:solidFill>
                    <w14:schemeClr w14:val="tx1"/>
                  </w14:solidFill>
                </w14:textFill>
              </w:rPr>
              <w:t>类安全生产考核合格证（水运类不认可）</w:t>
            </w:r>
            <w:r>
              <w:rPr>
                <w:rFonts w:hint="eastAsia" w:ascii="宋体" w:hAnsi="宋体" w:cs="宋体"/>
                <w:color w:val="000000" w:themeColor="text1"/>
                <w:szCs w:val="21"/>
                <w14:textFill>
                  <w14:solidFill>
                    <w14:schemeClr w14:val="tx1"/>
                  </w14:solidFill>
                </w14:textFill>
              </w:rPr>
              <w:t>。</w:t>
            </w:r>
          </w:p>
          <w:p w14:paraId="576BD3A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（3）供应商为湖南省外企业，须按照湘建建〔2015〕190 号文件要求办理省外入湘企业基本情况登记，并提供“湖南省住房和城乡建设网”基本情况登记信息截图；</w:t>
            </w:r>
          </w:p>
          <w:p w14:paraId="75E8CF3A">
            <w:pPr>
              <w:pStyle w:val="42"/>
              <w:spacing w:before="0" w:beforeAutospacing="0" w:after="0" w:afterAutospacing="0" w:line="360" w:lineRule="auto"/>
              <w:ind w:firstLine="420" w:firstLineChars="20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4）根据《湖南省财政厅关于政府采购促进中小企业发展有关措施的通知》（湘财购[2022]17号）相关规定，符合法定条件的供应商凭《湖南省政府采购供应商资格承诺函》参与政府采购活动，无需提供财务状况、缴纳税收和社会保障资金等资格证明材料。</w:t>
            </w:r>
          </w:p>
          <w:p w14:paraId="3E172D20">
            <w:pPr>
              <w:pStyle w:val="42"/>
              <w:spacing w:before="0" w:beforeAutospacing="0" w:after="0" w:afterAutospacing="0" w:line="360" w:lineRule="auto"/>
              <w:jc w:val="both"/>
              <w:rPr>
                <w:b/>
                <w:bCs/>
                <w:color w:val="000000" w:themeColor="text1"/>
                <w:kern w:val="2"/>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3、单位负责人为同一人或者存在直接控股、管理关系的不同供应商，不得参加同一合同项下的政府采购活动。</w:t>
            </w:r>
          </w:p>
          <w:p w14:paraId="7F9F4FF9">
            <w:pPr>
              <w:pStyle w:val="42"/>
              <w:spacing w:before="0" w:beforeAutospacing="0" w:after="0" w:afterAutospacing="0" w:line="360" w:lineRule="auto"/>
              <w:jc w:val="both"/>
              <w:rPr>
                <w:b/>
                <w:bCs/>
                <w:color w:val="000000" w:themeColor="text1"/>
                <w:kern w:val="2"/>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4、为本采购项目提供整体设计、规范编制或者项目管理、监理、检测等服务的，不得再参加此项目的其他采购活动。</w:t>
            </w:r>
          </w:p>
          <w:p w14:paraId="12F1C925">
            <w:pPr>
              <w:pStyle w:val="42"/>
              <w:spacing w:before="0" w:beforeAutospacing="0" w:after="0" w:afterAutospacing="0" w:line="360" w:lineRule="auto"/>
              <w:jc w:val="both"/>
              <w:rPr>
                <w:b/>
                <w:bCs/>
                <w:color w:val="000000" w:themeColor="text1"/>
                <w:kern w:val="2"/>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5、列入失信被执行人、重大税收违法案件当事人名单，列入政府采购严重违法失信行为记录名单的，拒绝其参与政府采购活动。</w:t>
            </w:r>
          </w:p>
          <w:p w14:paraId="2D0EEEE6">
            <w:pPr>
              <w:pStyle w:val="42"/>
              <w:spacing w:before="0" w:beforeAutospacing="0" w:after="0" w:afterAutospacing="0" w:line="360" w:lineRule="auto"/>
              <w:jc w:val="both"/>
              <w:rPr>
                <w:color w:val="000000" w:themeColor="text1"/>
                <w:sz w:val="21"/>
                <w:szCs w:val="21"/>
                <w14:textFill>
                  <w14:solidFill>
                    <w14:schemeClr w14:val="tx1"/>
                  </w14:solidFill>
                </w14:textFill>
              </w:rPr>
            </w:pPr>
            <w:r>
              <w:rPr>
                <w:rFonts w:hint="eastAsia"/>
                <w:b/>
                <w:bCs/>
                <w:color w:val="000000" w:themeColor="text1"/>
                <w:kern w:val="2"/>
                <w:sz w:val="21"/>
                <w:szCs w:val="21"/>
                <w14:textFill>
                  <w14:solidFill>
                    <w14:schemeClr w14:val="tx1"/>
                  </w14:solidFill>
                </w14:textFill>
              </w:rPr>
              <w:t>6、供应商为联合体形式的。本次采购</w:t>
            </w:r>
            <w:r>
              <w:rPr>
                <w:rFonts w:hint="eastAsia"/>
                <w:b/>
                <w:bCs/>
                <w:color w:val="000000" w:themeColor="text1"/>
                <w:kern w:val="2"/>
                <w:sz w:val="21"/>
                <w:szCs w:val="21"/>
                <w:u w:val="single"/>
                <w14:textFill>
                  <w14:solidFill>
                    <w14:schemeClr w14:val="tx1"/>
                  </w14:solidFill>
                </w14:textFill>
              </w:rPr>
              <w:t xml:space="preserve"> 不接受 </w:t>
            </w:r>
            <w:r>
              <w:rPr>
                <w:rFonts w:hint="eastAsia"/>
                <w:b/>
                <w:bCs/>
                <w:color w:val="000000" w:themeColor="text1"/>
                <w:kern w:val="2"/>
                <w:sz w:val="21"/>
                <w:szCs w:val="21"/>
                <w14:textFill>
                  <w14:solidFill>
                    <w14:schemeClr w14:val="tx1"/>
                  </w14:solidFill>
                </w14:textFill>
              </w:rPr>
              <w:t>供应商为联合体形式。</w:t>
            </w:r>
          </w:p>
        </w:tc>
      </w:tr>
      <w:tr w14:paraId="7A82D3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79FDA98C">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第二章第6.1款</w:t>
            </w:r>
          </w:p>
        </w:tc>
        <w:tc>
          <w:tcPr>
            <w:tcW w:w="1949" w:type="dxa"/>
            <w:noWrap/>
            <w:vAlign w:val="center"/>
          </w:tcPr>
          <w:p w14:paraId="4403E464">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联合体形式</w:t>
            </w:r>
          </w:p>
        </w:tc>
        <w:tc>
          <w:tcPr>
            <w:tcW w:w="6301" w:type="dxa"/>
            <w:noWrap/>
            <w:vAlign w:val="center"/>
          </w:tcPr>
          <w:p w14:paraId="13D7D567">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不接受</w:t>
            </w:r>
          </w:p>
          <w:p w14:paraId="3156AD13">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接受</w:t>
            </w:r>
          </w:p>
        </w:tc>
      </w:tr>
      <w:tr w14:paraId="2BD8F9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006AC271">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第二章第6.2款</w:t>
            </w:r>
          </w:p>
        </w:tc>
        <w:tc>
          <w:tcPr>
            <w:tcW w:w="1949" w:type="dxa"/>
            <w:noWrap/>
            <w:vAlign w:val="center"/>
          </w:tcPr>
          <w:p w14:paraId="4F74E218">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对联合体各方的要求</w:t>
            </w:r>
          </w:p>
        </w:tc>
        <w:tc>
          <w:tcPr>
            <w:tcW w:w="6301" w:type="dxa"/>
            <w:noWrap/>
            <w:vAlign w:val="center"/>
          </w:tcPr>
          <w:p w14:paraId="1ABDD4B1">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w:t>
            </w:r>
          </w:p>
        </w:tc>
      </w:tr>
      <w:tr w14:paraId="3C61B7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005685AD">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第二章第7.1款</w:t>
            </w:r>
          </w:p>
        </w:tc>
        <w:tc>
          <w:tcPr>
            <w:tcW w:w="1949" w:type="dxa"/>
            <w:noWrap/>
            <w:vAlign w:val="center"/>
          </w:tcPr>
          <w:p w14:paraId="26515A10">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现场勘察</w:t>
            </w:r>
          </w:p>
        </w:tc>
        <w:tc>
          <w:tcPr>
            <w:tcW w:w="6301" w:type="dxa"/>
            <w:noWrap/>
            <w:vAlign w:val="center"/>
          </w:tcPr>
          <w:p w14:paraId="7188B34C">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采购人不组织</w:t>
            </w:r>
          </w:p>
          <w:p w14:paraId="459579CA">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采购人组织，时间：地点：联系人：</w:t>
            </w:r>
          </w:p>
        </w:tc>
      </w:tr>
      <w:tr w14:paraId="019E99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555B8BF7">
            <w:pPr>
              <w:textAlignment w:val="baseline"/>
              <w:rPr>
                <w:rFonts w:ascii="宋体" w:hAnsi="宋体" w:cs="宋体"/>
                <w:color w:val="000000" w:themeColor="text1"/>
                <w:szCs w:val="21"/>
              </w:rPr>
            </w:pPr>
            <w:r>
              <w:rPr>
                <w:rFonts w:hint="eastAsia" w:ascii="宋体" w:hAnsi="宋体" w:cs="宋体"/>
                <w:color w:val="000000" w:themeColor="text1"/>
                <w:szCs w:val="21"/>
              </w:rPr>
              <w:t>第二章第8.1款</w:t>
            </w:r>
          </w:p>
        </w:tc>
        <w:tc>
          <w:tcPr>
            <w:tcW w:w="1949" w:type="dxa"/>
            <w:noWrap/>
            <w:vAlign w:val="center"/>
          </w:tcPr>
          <w:p w14:paraId="42C71A42">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采购进口产品</w:t>
            </w:r>
          </w:p>
        </w:tc>
        <w:tc>
          <w:tcPr>
            <w:tcW w:w="6301" w:type="dxa"/>
            <w:noWrap/>
            <w:vAlign w:val="center"/>
          </w:tcPr>
          <w:p w14:paraId="0BEABBEE">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本项目拒绝采购进口产品</w:t>
            </w:r>
          </w:p>
          <w:p w14:paraId="79EBFC12">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□本项目已经财政部门审核同意购买进口产品</w:t>
            </w:r>
          </w:p>
        </w:tc>
      </w:tr>
      <w:tr w14:paraId="447BBF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8" w:hRule="atLeast"/>
          <w:jc w:val="center"/>
        </w:trPr>
        <w:tc>
          <w:tcPr>
            <w:tcW w:w="3596" w:type="dxa"/>
            <w:gridSpan w:val="2"/>
            <w:noWrap/>
            <w:vAlign w:val="center"/>
          </w:tcPr>
          <w:p w14:paraId="6B492A5A">
            <w:pPr>
              <w:snapToGrid w:val="0"/>
              <w:ind w:firstLine="420" w:firstLineChars="200"/>
              <w:textAlignment w:val="baseline"/>
              <w:rPr>
                <w:rFonts w:ascii="宋体" w:hAnsi="宋体" w:cs="宋体"/>
                <w:bCs/>
                <w:color w:val="000000" w:themeColor="text1"/>
                <w:kern w:val="0"/>
                <w:szCs w:val="21"/>
              </w:rPr>
            </w:pPr>
            <w:r>
              <w:rPr>
                <w:rFonts w:hint="eastAsia" w:ascii="宋体" w:hAnsi="宋体" w:cs="宋体"/>
                <w:color w:val="000000" w:themeColor="text1"/>
                <w:kern w:val="0"/>
                <w:szCs w:val="21"/>
              </w:rPr>
              <w:t>需落实的政府采购政策</w:t>
            </w:r>
          </w:p>
        </w:tc>
        <w:tc>
          <w:tcPr>
            <w:tcW w:w="6301" w:type="dxa"/>
            <w:noWrap/>
            <w:vAlign w:val="center"/>
          </w:tcPr>
          <w:p w14:paraId="6F9A210A">
            <w:pPr>
              <w:numPr>
                <w:ilvl w:val="0"/>
                <w:numId w:val="1"/>
              </w:numPr>
              <w:snapToGrid w:val="0"/>
              <w:textAlignment w:val="baseline"/>
              <w:rPr>
                <w:rFonts w:ascii="宋体" w:hAnsi="宋体" w:cs="宋体"/>
                <w:color w:val="000000" w:themeColor="text1"/>
                <w:szCs w:val="21"/>
              </w:rPr>
            </w:pPr>
            <w:r>
              <w:rPr>
                <w:rFonts w:hint="eastAsia" w:ascii="宋体" w:hAnsi="宋体" w:cs="宋体"/>
                <w:color w:val="000000" w:themeColor="text1"/>
                <w:szCs w:val="21"/>
              </w:rPr>
              <w:t>本项目专门面向中小企业采购，采购标的对应的中小企业划分标准所属行业为：建筑业。中小企业参加投标必须提供《中小企业声明函》，否则视为无效投标。（如供应商提供的《中小企业声明函》内容不实的，属于提供虚假材料谋取成交，依照《中华人民共和国政府采购法》等国家有关规定追究相应责任。）</w:t>
            </w:r>
          </w:p>
          <w:p w14:paraId="0AE1C3FB">
            <w:pPr>
              <w:numPr>
                <w:ilvl w:val="0"/>
                <w:numId w:val="1"/>
              </w:numPr>
              <w:snapToGrid w:val="0"/>
              <w:textAlignment w:val="baseline"/>
              <w:rPr>
                <w:rFonts w:ascii="宋体" w:hAnsi="宋体" w:cs="宋体"/>
                <w:color w:val="000000" w:themeColor="text1"/>
                <w:szCs w:val="21"/>
              </w:rPr>
            </w:pPr>
            <w:r>
              <w:rPr>
                <w:rFonts w:hint="eastAsia" w:ascii="宋体" w:hAnsi="宋体" w:cs="宋体"/>
                <w:color w:val="000000" w:themeColor="text1"/>
                <w:szCs w:val="21"/>
              </w:rPr>
              <w:t>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6A3955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0B95F9CD">
            <w:pPr>
              <w:snapToGrid w:val="0"/>
              <w:textAlignment w:val="baseline"/>
              <w:rPr>
                <w:rFonts w:ascii="宋体" w:hAnsi="宋体" w:cs="宋体"/>
                <w:b/>
                <w:color w:val="000000" w:themeColor="text1"/>
                <w:szCs w:val="21"/>
              </w:rPr>
            </w:pPr>
            <w:r>
              <w:rPr>
                <w:rFonts w:hint="eastAsia" w:ascii="宋体" w:hAnsi="宋体" w:cs="宋体"/>
                <w:b/>
                <w:color w:val="000000" w:themeColor="text1"/>
                <w:szCs w:val="21"/>
              </w:rPr>
              <w:t>二、磋商文件</w:t>
            </w:r>
          </w:p>
        </w:tc>
      </w:tr>
      <w:tr w14:paraId="30EE59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2898D51F">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第二章第9.2款</w:t>
            </w:r>
          </w:p>
        </w:tc>
        <w:tc>
          <w:tcPr>
            <w:tcW w:w="1949" w:type="dxa"/>
            <w:noWrap/>
            <w:vAlign w:val="center"/>
          </w:tcPr>
          <w:p w14:paraId="65469703">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磋商文件的可能实质性变动内容</w:t>
            </w:r>
          </w:p>
        </w:tc>
        <w:tc>
          <w:tcPr>
            <w:tcW w:w="6301" w:type="dxa"/>
            <w:noWrap/>
            <w:vAlign w:val="center"/>
          </w:tcPr>
          <w:p w14:paraId="01670A20">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无</w:t>
            </w:r>
          </w:p>
        </w:tc>
      </w:tr>
      <w:tr w14:paraId="636734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66E6D63C">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第二章第10.1款</w:t>
            </w:r>
          </w:p>
        </w:tc>
        <w:tc>
          <w:tcPr>
            <w:tcW w:w="1949" w:type="dxa"/>
            <w:noWrap/>
            <w:vAlign w:val="center"/>
          </w:tcPr>
          <w:p w14:paraId="3E39A4AF">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提供磋商文件期限</w:t>
            </w:r>
          </w:p>
        </w:tc>
        <w:tc>
          <w:tcPr>
            <w:tcW w:w="6301" w:type="dxa"/>
            <w:noWrap/>
            <w:vAlign w:val="center"/>
          </w:tcPr>
          <w:p w14:paraId="2646A1AF">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见竞争性磋商邀请公告</w:t>
            </w:r>
          </w:p>
        </w:tc>
      </w:tr>
      <w:tr w14:paraId="6EF624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2752AC69">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第二章第10.2款</w:t>
            </w:r>
          </w:p>
        </w:tc>
        <w:tc>
          <w:tcPr>
            <w:tcW w:w="1949" w:type="dxa"/>
            <w:noWrap/>
            <w:vAlign w:val="center"/>
          </w:tcPr>
          <w:p w14:paraId="0DDFFF5A">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领取或购买磋商文件时应提供的资料</w:t>
            </w:r>
          </w:p>
        </w:tc>
        <w:tc>
          <w:tcPr>
            <w:tcW w:w="6301" w:type="dxa"/>
            <w:noWrap/>
            <w:vAlign w:val="center"/>
          </w:tcPr>
          <w:p w14:paraId="2AE5A685">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见竞争性磋商邀请公告</w:t>
            </w:r>
          </w:p>
        </w:tc>
      </w:tr>
      <w:tr w14:paraId="4E352A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14862293">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第二章第11.1款</w:t>
            </w:r>
          </w:p>
        </w:tc>
        <w:tc>
          <w:tcPr>
            <w:tcW w:w="1949" w:type="dxa"/>
            <w:noWrap/>
            <w:vAlign w:val="center"/>
          </w:tcPr>
          <w:p w14:paraId="63CF88B9">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提交首次响应文件的截止时间</w:t>
            </w:r>
          </w:p>
        </w:tc>
        <w:tc>
          <w:tcPr>
            <w:tcW w:w="6301" w:type="dxa"/>
            <w:noWrap/>
            <w:vAlign w:val="center"/>
          </w:tcPr>
          <w:p w14:paraId="258D2715">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见竞争性磋商邀请公告</w:t>
            </w:r>
          </w:p>
        </w:tc>
      </w:tr>
      <w:tr w14:paraId="40921E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369F23A4">
            <w:pPr>
              <w:snapToGrid w:val="0"/>
              <w:textAlignment w:val="baseline"/>
              <w:rPr>
                <w:rFonts w:ascii="宋体" w:hAnsi="宋体" w:cs="宋体"/>
                <w:color w:val="000000" w:themeColor="text1"/>
                <w:szCs w:val="21"/>
              </w:rPr>
            </w:pPr>
            <w:r>
              <w:rPr>
                <w:rFonts w:hint="eastAsia" w:ascii="宋体" w:hAnsi="宋体" w:cs="宋体"/>
                <w:b/>
                <w:color w:val="000000" w:themeColor="text1"/>
                <w:szCs w:val="21"/>
              </w:rPr>
              <w:t>三、响应文件的编写</w:t>
            </w:r>
          </w:p>
        </w:tc>
      </w:tr>
      <w:tr w14:paraId="5D91A9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2113A7F7">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第二章第15.4款</w:t>
            </w:r>
          </w:p>
        </w:tc>
        <w:tc>
          <w:tcPr>
            <w:tcW w:w="1949" w:type="dxa"/>
            <w:noWrap/>
            <w:vAlign w:val="center"/>
          </w:tcPr>
          <w:p w14:paraId="650C3741">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采购项目预算</w:t>
            </w:r>
          </w:p>
        </w:tc>
        <w:tc>
          <w:tcPr>
            <w:tcW w:w="6301" w:type="dxa"/>
            <w:noWrap/>
            <w:vAlign w:val="center"/>
          </w:tcPr>
          <w:p w14:paraId="6019DCCA">
            <w:pPr>
              <w:snapToGrid w:val="0"/>
              <w:jc w:val="left"/>
              <w:textAlignment w:val="baseline"/>
              <w:rPr>
                <w:rFonts w:ascii="宋体" w:hAnsi="宋体" w:cs="宋体"/>
                <w:color w:val="000000" w:themeColor="text1"/>
                <w:szCs w:val="21"/>
              </w:rPr>
            </w:pPr>
            <w:r>
              <w:rPr>
                <w:rFonts w:hint="eastAsia" w:ascii="宋体" w:hAnsi="宋体" w:cs="宋体"/>
                <w:b/>
                <w:color w:val="000000" w:themeColor="text1"/>
                <w:szCs w:val="21"/>
              </w:rPr>
              <w:t>人民币壹佰捌拾壹万柒仟捌佰柒拾元整（</w:t>
            </w:r>
            <w:r>
              <w:rPr>
                <w:rFonts w:ascii="Arial" w:hAnsi="Arial" w:cs="Arial"/>
                <w:b/>
                <w:color w:val="000000" w:themeColor="text1"/>
                <w:szCs w:val="21"/>
              </w:rPr>
              <w:t>¥</w:t>
            </w:r>
            <w:r>
              <w:rPr>
                <w:rFonts w:hint="eastAsia" w:ascii="Arial" w:hAnsi="Arial" w:cs="Arial"/>
                <w:b/>
                <w:color w:val="000000" w:themeColor="text1"/>
                <w:szCs w:val="21"/>
              </w:rPr>
              <w:t>1817870.00</w:t>
            </w:r>
            <w:r>
              <w:rPr>
                <w:rFonts w:hint="eastAsia" w:ascii="宋体" w:hAnsi="宋体" w:cs="宋体"/>
                <w:b/>
                <w:color w:val="000000" w:themeColor="text1"/>
                <w:szCs w:val="21"/>
              </w:rPr>
              <w:t>）</w:t>
            </w:r>
          </w:p>
        </w:tc>
      </w:tr>
      <w:tr w14:paraId="7523E6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4462B0CA">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第二章第16.3款</w:t>
            </w:r>
          </w:p>
        </w:tc>
        <w:tc>
          <w:tcPr>
            <w:tcW w:w="1949" w:type="dxa"/>
            <w:noWrap/>
            <w:vAlign w:val="center"/>
          </w:tcPr>
          <w:p w14:paraId="66139B55">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非制造商的证明文件</w:t>
            </w:r>
          </w:p>
        </w:tc>
        <w:tc>
          <w:tcPr>
            <w:tcW w:w="6301" w:type="dxa"/>
            <w:noWrap/>
            <w:vAlign w:val="center"/>
          </w:tcPr>
          <w:p w14:paraId="04BFAB59">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不要求提供</w:t>
            </w:r>
          </w:p>
          <w:p w14:paraId="34A43D95">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要求提供：（证明文件复印件须加盖供应商单位公章，否则视为无效响应。）</w:t>
            </w:r>
          </w:p>
          <w:p w14:paraId="5B310E73">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经销、或代理投标货物、或为投标货物提供售后服务的证明文件。</w:t>
            </w:r>
          </w:p>
        </w:tc>
      </w:tr>
      <w:tr w14:paraId="47F581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0F0515DD">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第二章第17.1款</w:t>
            </w:r>
          </w:p>
        </w:tc>
        <w:tc>
          <w:tcPr>
            <w:tcW w:w="1949" w:type="dxa"/>
            <w:noWrap/>
            <w:vAlign w:val="center"/>
          </w:tcPr>
          <w:p w14:paraId="0F5939CD">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样品提供及样品提交的时间、地点</w:t>
            </w:r>
          </w:p>
        </w:tc>
        <w:tc>
          <w:tcPr>
            <w:tcW w:w="6301" w:type="dxa"/>
            <w:noWrap/>
            <w:vAlign w:val="center"/>
          </w:tcPr>
          <w:p w14:paraId="208AC985">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不要求提供</w:t>
            </w:r>
          </w:p>
          <w:p w14:paraId="47588473">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要求提供，提交的样品:,提交的时间： 地点: 。</w:t>
            </w:r>
          </w:p>
        </w:tc>
      </w:tr>
      <w:tr w14:paraId="1FD09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1068510E">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第二章第18.1款</w:t>
            </w:r>
          </w:p>
        </w:tc>
        <w:tc>
          <w:tcPr>
            <w:tcW w:w="1949" w:type="dxa"/>
            <w:noWrap/>
            <w:vAlign w:val="center"/>
          </w:tcPr>
          <w:p w14:paraId="2924E12E">
            <w:pPr>
              <w:snapToGrid w:val="0"/>
              <w:ind w:left="-533" w:leftChars="-254" w:firstLine="533" w:firstLineChars="254"/>
              <w:jc w:val="center"/>
              <w:textAlignment w:val="baseline"/>
              <w:rPr>
                <w:rFonts w:ascii="宋体" w:hAnsi="宋体" w:cs="宋体"/>
                <w:color w:val="000000" w:themeColor="text1"/>
                <w:szCs w:val="21"/>
              </w:rPr>
            </w:pPr>
            <w:r>
              <w:rPr>
                <w:rFonts w:hint="eastAsia" w:ascii="宋体" w:hAnsi="宋体" w:cs="宋体"/>
                <w:color w:val="000000" w:themeColor="text1"/>
                <w:szCs w:val="21"/>
              </w:rPr>
              <w:t>磋商保证金</w:t>
            </w:r>
          </w:p>
        </w:tc>
        <w:tc>
          <w:tcPr>
            <w:tcW w:w="6301" w:type="dxa"/>
            <w:noWrap/>
            <w:vAlign w:val="center"/>
          </w:tcPr>
          <w:p w14:paraId="29EFEFBF">
            <w:pPr>
              <w:snapToGrid w:val="0"/>
              <w:textAlignment w:val="baseline"/>
              <w:rPr>
                <w:color w:val="000000" w:themeColor="text1"/>
              </w:rPr>
            </w:pPr>
            <w:r>
              <w:rPr>
                <w:rFonts w:hint="eastAsia"/>
                <w:color w:val="000000" w:themeColor="text1"/>
              </w:rPr>
              <w:t>■不要求提供</w:t>
            </w:r>
          </w:p>
          <w:p w14:paraId="5E2775FB">
            <w:pPr>
              <w:pStyle w:val="46"/>
              <w:ind w:left="0" w:leftChars="0" w:firstLine="0"/>
              <w:rPr>
                <w:color w:val="000000" w:themeColor="text1"/>
                <w:lang w:val="en-US" w:eastAsia="zh-CN"/>
              </w:rPr>
            </w:pPr>
            <w:r>
              <w:rPr>
                <w:rFonts w:hint="eastAsia" w:ascii="宋体" w:hAnsi="宋体" w:cs="宋体"/>
                <w:color w:val="000000" w:themeColor="text1"/>
                <w:sz w:val="21"/>
                <w:szCs w:val="21"/>
                <w:lang w:val="en-US" w:eastAsia="zh-CN"/>
              </w:rPr>
              <w:t xml:space="preserve">□ </w:t>
            </w:r>
            <w:r>
              <w:rPr>
                <w:rFonts w:hint="eastAsia" w:ascii="Times New Roman" w:hAnsi="Times New Roman"/>
                <w:color w:val="000000" w:themeColor="text1"/>
                <w:kern w:val="2"/>
                <w:sz w:val="21"/>
                <w:lang w:val="en-US" w:eastAsia="zh-CN"/>
              </w:rPr>
              <w:t>要求提供</w:t>
            </w:r>
          </w:p>
        </w:tc>
      </w:tr>
      <w:tr w14:paraId="25F0D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47" w:type="dxa"/>
            <w:noWrap/>
            <w:vAlign w:val="center"/>
          </w:tcPr>
          <w:p w14:paraId="4930FAFB">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第二章第19.1款</w:t>
            </w:r>
          </w:p>
        </w:tc>
        <w:tc>
          <w:tcPr>
            <w:tcW w:w="1949" w:type="dxa"/>
            <w:noWrap/>
            <w:vAlign w:val="center"/>
          </w:tcPr>
          <w:p w14:paraId="3BFD2046">
            <w:pPr>
              <w:snapToGrid w:val="0"/>
              <w:jc w:val="center"/>
              <w:textAlignment w:val="baseline"/>
              <w:rPr>
                <w:rFonts w:ascii="宋体" w:hAnsi="宋体" w:cs="宋体"/>
                <w:bCs/>
                <w:color w:val="000000" w:themeColor="text1"/>
                <w:szCs w:val="21"/>
              </w:rPr>
            </w:pPr>
            <w:r>
              <w:rPr>
                <w:rFonts w:hint="eastAsia" w:ascii="宋体" w:hAnsi="宋体" w:cs="宋体"/>
                <w:bCs/>
                <w:color w:val="000000" w:themeColor="text1"/>
                <w:szCs w:val="21"/>
              </w:rPr>
              <w:t>响应文件有效期</w:t>
            </w:r>
          </w:p>
        </w:tc>
        <w:tc>
          <w:tcPr>
            <w:tcW w:w="6301" w:type="dxa"/>
            <w:noWrap/>
            <w:vAlign w:val="center"/>
          </w:tcPr>
          <w:p w14:paraId="644C35A1">
            <w:pPr>
              <w:snapToGrid w:val="0"/>
              <w:textAlignment w:val="baseline"/>
              <w:rPr>
                <w:rFonts w:ascii="宋体" w:hAnsi="宋体" w:cs="宋体"/>
                <w:bCs/>
                <w:color w:val="000000" w:themeColor="text1"/>
                <w:szCs w:val="21"/>
              </w:rPr>
            </w:pPr>
            <w:r>
              <w:rPr>
                <w:rFonts w:hint="eastAsia" w:ascii="宋体" w:hAnsi="宋体" w:cs="宋体"/>
                <w:color w:val="000000" w:themeColor="text1"/>
                <w:szCs w:val="21"/>
                <w:u w:val="single" w:color="000000"/>
              </w:rPr>
              <w:t xml:space="preserve"> 90 </w:t>
            </w:r>
            <w:r>
              <w:rPr>
                <w:rFonts w:hint="eastAsia" w:ascii="宋体" w:hAnsi="宋体" w:cs="宋体"/>
                <w:color w:val="000000" w:themeColor="text1"/>
                <w:szCs w:val="21"/>
              </w:rPr>
              <w:t>日（日历日）</w:t>
            </w:r>
          </w:p>
        </w:tc>
      </w:tr>
      <w:tr w14:paraId="701681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659BC1F9">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第二章第20.1款</w:t>
            </w:r>
          </w:p>
        </w:tc>
        <w:tc>
          <w:tcPr>
            <w:tcW w:w="1949" w:type="dxa"/>
            <w:noWrap/>
            <w:vAlign w:val="center"/>
          </w:tcPr>
          <w:p w14:paraId="6471C66B">
            <w:pPr>
              <w:snapToGrid w:val="0"/>
              <w:jc w:val="center"/>
              <w:textAlignment w:val="baseline"/>
              <w:rPr>
                <w:rFonts w:ascii="宋体" w:hAnsi="宋体" w:cs="宋体"/>
                <w:color w:val="000000" w:themeColor="text1"/>
                <w:szCs w:val="21"/>
              </w:rPr>
            </w:pPr>
            <w:r>
              <w:rPr>
                <w:rFonts w:hint="eastAsia" w:ascii="宋体" w:hAnsi="宋体" w:cs="宋体"/>
                <w:bCs/>
                <w:color w:val="000000" w:themeColor="text1"/>
                <w:szCs w:val="21"/>
              </w:rPr>
              <w:t>响应</w:t>
            </w:r>
            <w:r>
              <w:rPr>
                <w:rFonts w:hint="eastAsia" w:ascii="宋体" w:hAnsi="宋体" w:cs="宋体"/>
                <w:color w:val="000000" w:themeColor="text1"/>
                <w:szCs w:val="21"/>
              </w:rPr>
              <w:t>文件副本份数</w:t>
            </w:r>
          </w:p>
        </w:tc>
        <w:tc>
          <w:tcPr>
            <w:tcW w:w="6301" w:type="dxa"/>
            <w:noWrap/>
            <w:vAlign w:val="center"/>
          </w:tcPr>
          <w:p w14:paraId="54CE9F5C">
            <w:pPr>
              <w:snapToGrid w:val="0"/>
              <w:ind w:right="23"/>
              <w:textAlignment w:val="baseline"/>
              <w:rPr>
                <w:rFonts w:ascii="宋体" w:hAnsi="宋体" w:cs="宋体"/>
                <w:color w:val="000000" w:themeColor="text1"/>
                <w:szCs w:val="21"/>
              </w:rPr>
            </w:pPr>
            <w:r>
              <w:rPr>
                <w:rFonts w:hint="eastAsia" w:ascii="宋体" w:hAnsi="宋体" w:cs="宋体"/>
                <w:color w:val="000000" w:themeColor="text1"/>
                <w:szCs w:val="21"/>
              </w:rPr>
              <w:t>正本壹份，副本叁份，提供所有响应文件电子文档1份，U盘形式。</w:t>
            </w:r>
          </w:p>
          <w:p w14:paraId="6F484134">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注：1、响应文件均须胶装，不得使用活页装订。2、电子响应文件需单独密封并与响应文件同时递交.</w:t>
            </w:r>
          </w:p>
        </w:tc>
      </w:tr>
      <w:tr w14:paraId="20769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01DD2A6D">
            <w:pPr>
              <w:snapToGrid w:val="0"/>
              <w:textAlignment w:val="baseline"/>
              <w:rPr>
                <w:rFonts w:ascii="宋体" w:hAnsi="宋体" w:cs="宋体"/>
                <w:b/>
                <w:bCs/>
                <w:color w:val="000000" w:themeColor="text1"/>
                <w:szCs w:val="21"/>
              </w:rPr>
            </w:pPr>
            <w:r>
              <w:rPr>
                <w:rFonts w:hint="eastAsia" w:ascii="宋体" w:hAnsi="宋体" w:cs="宋体"/>
                <w:b/>
                <w:color w:val="000000" w:themeColor="text1"/>
                <w:szCs w:val="21"/>
              </w:rPr>
              <w:t>四、响应文件的递交</w:t>
            </w:r>
          </w:p>
        </w:tc>
      </w:tr>
      <w:tr w14:paraId="0384C5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7D35A44D">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第二章第21.2款</w:t>
            </w:r>
          </w:p>
        </w:tc>
        <w:tc>
          <w:tcPr>
            <w:tcW w:w="1949" w:type="dxa"/>
            <w:noWrap/>
            <w:vAlign w:val="center"/>
          </w:tcPr>
          <w:p w14:paraId="72406AF5">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封套上应载明的信息</w:t>
            </w:r>
          </w:p>
        </w:tc>
        <w:tc>
          <w:tcPr>
            <w:tcW w:w="6301" w:type="dxa"/>
            <w:noWrap/>
            <w:vAlign w:val="center"/>
          </w:tcPr>
          <w:p w14:paraId="61C25C60">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（项目名称）响应文件</w:t>
            </w:r>
          </w:p>
          <w:p w14:paraId="76FBD8CC">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 xml:space="preserve">政府采购编号：     </w:t>
            </w:r>
          </w:p>
          <w:p w14:paraId="7211CEC4">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委托代理编号：</w:t>
            </w:r>
          </w:p>
          <w:p w14:paraId="4E7F84C4">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供应商名称：</w:t>
            </w:r>
          </w:p>
          <w:p w14:paraId="21840757">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在年月日（星期）时分之前不得启封</w:t>
            </w:r>
          </w:p>
        </w:tc>
      </w:tr>
      <w:tr w14:paraId="1C121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786B9D85">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第二章第23.1款</w:t>
            </w:r>
          </w:p>
        </w:tc>
        <w:tc>
          <w:tcPr>
            <w:tcW w:w="1949" w:type="dxa"/>
            <w:noWrap/>
            <w:vAlign w:val="center"/>
          </w:tcPr>
          <w:p w14:paraId="28CE30FB">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响应文件的递交地点</w:t>
            </w:r>
          </w:p>
        </w:tc>
        <w:tc>
          <w:tcPr>
            <w:tcW w:w="6301" w:type="dxa"/>
            <w:noWrap/>
            <w:vAlign w:val="center"/>
          </w:tcPr>
          <w:p w14:paraId="3A95B79C">
            <w:pPr>
              <w:snapToGrid w:val="0"/>
              <w:textAlignment w:val="baseline"/>
              <w:rPr>
                <w:rFonts w:ascii="宋体" w:hAnsi="宋体" w:cs="宋体"/>
                <w:b/>
                <w:bCs/>
                <w:color w:val="000000" w:themeColor="text1"/>
                <w:szCs w:val="21"/>
              </w:rPr>
            </w:pPr>
            <w:r>
              <w:rPr>
                <w:rFonts w:hint="eastAsia" w:ascii="宋体" w:hAnsi="宋体" w:cs="宋体"/>
                <w:color w:val="000000" w:themeColor="text1"/>
                <w:szCs w:val="21"/>
              </w:rPr>
              <w:t>见竞争性磋商邀请公告</w:t>
            </w:r>
          </w:p>
        </w:tc>
      </w:tr>
      <w:tr w14:paraId="08DFB4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4D9C01E0">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w:t>
            </w:r>
          </w:p>
        </w:tc>
        <w:tc>
          <w:tcPr>
            <w:tcW w:w="1949" w:type="dxa"/>
            <w:noWrap/>
            <w:vAlign w:val="center"/>
          </w:tcPr>
          <w:p w14:paraId="4390CB86">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供应商身份验证</w:t>
            </w:r>
          </w:p>
        </w:tc>
        <w:tc>
          <w:tcPr>
            <w:tcW w:w="6301" w:type="dxa"/>
            <w:noWrap/>
            <w:vAlign w:val="center"/>
          </w:tcPr>
          <w:p w14:paraId="50CB3E0A">
            <w:pPr>
              <w:snapToGrid w:val="0"/>
              <w:textAlignment w:val="baseline"/>
              <w:rPr>
                <w:rFonts w:ascii="宋体" w:hAnsi="宋体" w:cs="宋体"/>
                <w:bCs/>
                <w:color w:val="000000" w:themeColor="text1"/>
                <w:szCs w:val="21"/>
              </w:rPr>
            </w:pPr>
            <w:r>
              <w:rPr>
                <w:rFonts w:hint="eastAsia" w:ascii="宋体" w:hAnsi="宋体" w:cs="宋体"/>
                <w:bCs/>
                <w:color w:val="000000" w:themeColor="text1"/>
                <w:szCs w:val="21"/>
              </w:rPr>
              <w:t>本次竞争性磋商采购要求供应商法定代表人携带《法定代表人身份证明》原件及身份证原件，（另提供一份身份证复印件、营业执照复印件）；或委托代理人携带《法定代表人授权委托书》原件、《法定代表人身份证明》原件，本人身份证原件，另提供一份身份证复印件参加，且中途不得离场。</w:t>
            </w:r>
          </w:p>
          <w:p w14:paraId="10A2914F">
            <w:pPr>
              <w:snapToGrid w:val="0"/>
              <w:ind w:firstLine="420" w:firstLineChars="200"/>
              <w:textAlignment w:val="baseline"/>
              <w:rPr>
                <w:rFonts w:ascii="宋体" w:hAnsi="宋体" w:cs="宋体"/>
                <w:color w:val="000000" w:themeColor="text1"/>
                <w:szCs w:val="21"/>
              </w:rPr>
            </w:pPr>
            <w:r>
              <w:rPr>
                <w:rFonts w:hint="eastAsia" w:ascii="宋体" w:hAnsi="宋体" w:cs="宋体"/>
                <w:bCs/>
                <w:color w:val="000000" w:themeColor="text1"/>
                <w:szCs w:val="21"/>
              </w:rPr>
              <w:t>上述要求提供的资料均需加盖供应商单位公章，参加磋商的人员不齐、超时或所需带的资料漏项、缺项、模糊不清、无法辨识，未加盖供应商单位公章的均视为自动放弃磋商响应。</w:t>
            </w:r>
          </w:p>
        </w:tc>
      </w:tr>
      <w:tr w14:paraId="000887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09C18605">
            <w:pPr>
              <w:snapToGrid w:val="0"/>
              <w:textAlignment w:val="baseline"/>
              <w:rPr>
                <w:rFonts w:ascii="宋体" w:hAnsi="宋体" w:cs="宋体"/>
                <w:b/>
                <w:bCs/>
                <w:color w:val="000000" w:themeColor="text1"/>
                <w:szCs w:val="21"/>
              </w:rPr>
            </w:pPr>
            <w:r>
              <w:rPr>
                <w:rFonts w:hint="eastAsia" w:ascii="宋体" w:hAnsi="宋体" w:cs="宋体"/>
                <w:b/>
                <w:bCs/>
                <w:color w:val="000000" w:themeColor="text1"/>
                <w:szCs w:val="21"/>
              </w:rPr>
              <w:t>五、响应文件的磋商与评审</w:t>
            </w:r>
          </w:p>
        </w:tc>
      </w:tr>
      <w:tr w14:paraId="6BE0D0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3A8BC565">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第二章第30.2款</w:t>
            </w:r>
          </w:p>
        </w:tc>
        <w:tc>
          <w:tcPr>
            <w:tcW w:w="1949" w:type="dxa"/>
            <w:noWrap/>
            <w:vAlign w:val="center"/>
          </w:tcPr>
          <w:p w14:paraId="49089252">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评审因素和标准</w:t>
            </w:r>
          </w:p>
        </w:tc>
        <w:tc>
          <w:tcPr>
            <w:tcW w:w="6301" w:type="dxa"/>
            <w:noWrap/>
            <w:vAlign w:val="center"/>
          </w:tcPr>
          <w:p w14:paraId="71288D2C">
            <w:pPr>
              <w:snapToGrid w:val="0"/>
              <w:textAlignment w:val="baseline"/>
              <w:rPr>
                <w:rFonts w:ascii="宋体" w:hAnsi="宋体" w:cs="宋体"/>
                <w:bCs/>
                <w:color w:val="000000" w:themeColor="text1"/>
                <w:szCs w:val="21"/>
              </w:rPr>
            </w:pPr>
            <w:r>
              <w:rPr>
                <w:rFonts w:hint="eastAsia" w:ascii="宋体" w:hAnsi="宋体" w:cs="宋体"/>
                <w:bCs/>
                <w:color w:val="000000" w:themeColor="text1"/>
                <w:szCs w:val="21"/>
              </w:rPr>
              <w:t>见附页</w:t>
            </w:r>
          </w:p>
        </w:tc>
      </w:tr>
      <w:tr w14:paraId="7B1D9B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71F463CB">
            <w:pPr>
              <w:snapToGrid w:val="0"/>
              <w:textAlignment w:val="baseline"/>
              <w:rPr>
                <w:rFonts w:ascii="宋体" w:hAnsi="宋体" w:cs="宋体"/>
                <w:color w:val="000000" w:themeColor="text1"/>
                <w:szCs w:val="21"/>
              </w:rPr>
            </w:pPr>
            <w:r>
              <w:rPr>
                <w:rFonts w:hint="eastAsia" w:ascii="宋体" w:hAnsi="宋体" w:cs="宋体"/>
                <w:b/>
                <w:color w:val="000000" w:themeColor="text1"/>
                <w:szCs w:val="21"/>
              </w:rPr>
              <w:t>六、成交结果信息公布与授予合同</w:t>
            </w:r>
          </w:p>
        </w:tc>
      </w:tr>
      <w:tr w14:paraId="545860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577649BC">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第二章第37.1款</w:t>
            </w:r>
          </w:p>
        </w:tc>
        <w:tc>
          <w:tcPr>
            <w:tcW w:w="1949" w:type="dxa"/>
            <w:noWrap/>
            <w:vAlign w:val="center"/>
          </w:tcPr>
          <w:p w14:paraId="63FFA148">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财政部门指定的媒体</w:t>
            </w:r>
          </w:p>
        </w:tc>
        <w:tc>
          <w:tcPr>
            <w:tcW w:w="6301" w:type="dxa"/>
            <w:noWrap/>
            <w:vAlign w:val="center"/>
          </w:tcPr>
          <w:p w14:paraId="5E2E77EE">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 xml:space="preserve">湖南省政府采购网（ </w:t>
            </w:r>
            <w:r>
              <w:rPr>
                <w:rFonts w:hint="eastAsia" w:ascii="宋体" w:hAnsi="宋体" w:cs="宋体"/>
                <w:color w:val="000000" w:themeColor="text1"/>
                <w:szCs w:val="21"/>
                <w:u w:val="single" w:color="000000"/>
              </w:rPr>
              <w:t>http://www.ccgp-hunan.gov.cn</w:t>
            </w:r>
            <w:r>
              <w:rPr>
                <w:rFonts w:hint="eastAsia" w:ascii="宋体" w:hAnsi="宋体" w:cs="宋体"/>
                <w:color w:val="000000" w:themeColor="text1"/>
                <w:szCs w:val="21"/>
              </w:rPr>
              <w:t>）</w:t>
            </w:r>
          </w:p>
        </w:tc>
      </w:tr>
      <w:tr w14:paraId="71FF90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6DD2C13B">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第二章第39.3款</w:t>
            </w:r>
          </w:p>
        </w:tc>
        <w:tc>
          <w:tcPr>
            <w:tcW w:w="1949" w:type="dxa"/>
            <w:noWrap/>
            <w:vAlign w:val="center"/>
          </w:tcPr>
          <w:p w14:paraId="50B05577">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履约担保</w:t>
            </w:r>
          </w:p>
        </w:tc>
        <w:tc>
          <w:tcPr>
            <w:tcW w:w="6301" w:type="dxa"/>
            <w:noWrap/>
            <w:vAlign w:val="center"/>
          </w:tcPr>
          <w:p w14:paraId="7D803224">
            <w:pPr>
              <w:snapToGrid w:val="0"/>
              <w:textAlignment w:val="baseline"/>
              <w:rPr>
                <w:rFonts w:ascii="宋体" w:hAnsi="宋体" w:cs="宋体"/>
                <w:color w:val="000000" w:themeColor="text1"/>
                <w:szCs w:val="21"/>
              </w:rPr>
            </w:pPr>
            <w:r>
              <w:rPr>
                <w:rFonts w:hint="eastAsia" w:ascii="宋体" w:hAnsi="宋体" w:cs="宋体"/>
                <w:color w:val="000000" w:themeColor="text1"/>
                <w:szCs w:val="21"/>
              </w:rPr>
              <w:t>■不要求提供</w:t>
            </w:r>
          </w:p>
        </w:tc>
      </w:tr>
      <w:tr w14:paraId="706C3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897" w:type="dxa"/>
            <w:gridSpan w:val="3"/>
            <w:noWrap/>
            <w:vAlign w:val="center"/>
          </w:tcPr>
          <w:p w14:paraId="5A5E91B4">
            <w:pPr>
              <w:snapToGrid w:val="0"/>
              <w:textAlignment w:val="baseline"/>
              <w:rPr>
                <w:rFonts w:ascii="宋体" w:hAnsi="宋体" w:cs="宋体"/>
                <w:b/>
                <w:color w:val="000000" w:themeColor="text1"/>
                <w:szCs w:val="21"/>
              </w:rPr>
            </w:pPr>
            <w:r>
              <w:rPr>
                <w:rFonts w:hint="eastAsia" w:ascii="宋体" w:hAnsi="宋体" w:cs="宋体"/>
                <w:b/>
                <w:color w:val="000000" w:themeColor="text1"/>
                <w:szCs w:val="21"/>
              </w:rPr>
              <w:t>七、其他规定</w:t>
            </w:r>
          </w:p>
        </w:tc>
      </w:tr>
      <w:tr w14:paraId="1C075D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44B691BC">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第二章第41.1款</w:t>
            </w:r>
          </w:p>
        </w:tc>
        <w:tc>
          <w:tcPr>
            <w:tcW w:w="1949" w:type="dxa"/>
            <w:noWrap/>
            <w:vAlign w:val="center"/>
          </w:tcPr>
          <w:p w14:paraId="42C939D3">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采购代理服务费</w:t>
            </w:r>
          </w:p>
        </w:tc>
        <w:tc>
          <w:tcPr>
            <w:tcW w:w="6301" w:type="dxa"/>
            <w:noWrap/>
            <w:vAlign w:val="center"/>
          </w:tcPr>
          <w:p w14:paraId="51F7D8B2">
            <w:pPr>
              <w:pStyle w:val="46"/>
              <w:spacing w:after="0"/>
              <w:ind w:left="0" w:leftChars="0" w:firstLine="0"/>
              <w:textAlignment w:val="baseline"/>
              <w:rPr>
                <w:rFonts w:ascii="宋体" w:hAnsi="宋体" w:cs="宋体"/>
                <w:color w:val="000000" w:themeColor="text1"/>
                <w:sz w:val="21"/>
                <w:szCs w:val="21"/>
                <w:lang w:val="en-US" w:eastAsia="zh-CN"/>
              </w:rPr>
            </w:pPr>
            <w:r>
              <w:rPr>
                <w:rFonts w:hint="eastAsia" w:ascii="宋体" w:hAnsi="宋体" w:cs="宋体"/>
                <w:color w:val="000000" w:themeColor="text1"/>
                <w:kern w:val="2"/>
                <w:sz w:val="21"/>
                <w:szCs w:val="21"/>
                <w:lang w:val="en-US" w:eastAsia="zh-CN"/>
              </w:rPr>
              <w:t>按照国家计委计价格｛2002｝1980号文件计取，费用由采购人支付。</w:t>
            </w:r>
          </w:p>
        </w:tc>
      </w:tr>
      <w:tr w14:paraId="43985C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47" w:type="dxa"/>
            <w:noWrap/>
            <w:vAlign w:val="center"/>
          </w:tcPr>
          <w:p w14:paraId="2A3CF055">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第二章第42.1款</w:t>
            </w:r>
          </w:p>
        </w:tc>
        <w:tc>
          <w:tcPr>
            <w:tcW w:w="1949" w:type="dxa"/>
            <w:noWrap/>
            <w:vAlign w:val="center"/>
          </w:tcPr>
          <w:p w14:paraId="7D70E28B">
            <w:pPr>
              <w:snapToGrid w:val="0"/>
              <w:jc w:val="center"/>
              <w:textAlignment w:val="baseline"/>
              <w:rPr>
                <w:rFonts w:ascii="宋体" w:hAnsi="宋体" w:cs="宋体"/>
                <w:color w:val="000000" w:themeColor="text1"/>
                <w:szCs w:val="21"/>
              </w:rPr>
            </w:pPr>
            <w:r>
              <w:rPr>
                <w:rFonts w:hint="eastAsia" w:ascii="宋体" w:hAnsi="宋体" w:cs="宋体"/>
                <w:color w:val="000000" w:themeColor="text1"/>
                <w:szCs w:val="21"/>
              </w:rPr>
              <w:t>其他规定</w:t>
            </w:r>
          </w:p>
        </w:tc>
        <w:tc>
          <w:tcPr>
            <w:tcW w:w="6301" w:type="dxa"/>
            <w:noWrap/>
            <w:vAlign w:val="center"/>
          </w:tcPr>
          <w:p w14:paraId="65F4A5FA">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温馨提示：磋商须知前附表与磋商文件其它地方不一致时，以磋商须知前附表为准。</w:t>
            </w:r>
          </w:p>
          <w:p w14:paraId="5DD6AF8C">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1、信用信息查询的查询渠道：“信用中国”网站（www.creditchina.gov.cn）、“信用湖南”网站（www.credithunan.gov.cn）、“信用郴州”网站（xycz.czs.gov.cn）、湖南省政府采购网（www.ccgp-hunan.gov.cn）、中国政府采购网（www.ccgp.gov.cn）。</w:t>
            </w:r>
          </w:p>
          <w:p w14:paraId="585B2320">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2、信用信息查询的截止时点：至本项目投标截止时间止。</w:t>
            </w:r>
          </w:p>
          <w:p w14:paraId="423446B5">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3、信用信息查询记录的具体方式：由采购人或采购代理机构在规定的查询渠道进行查询。</w:t>
            </w:r>
          </w:p>
          <w:p w14:paraId="31BBDB1D">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4、信用信息查询记录证据留存的具体方式：查询记录的网上打印件。</w:t>
            </w:r>
          </w:p>
          <w:p w14:paraId="44F27CD0">
            <w:pPr>
              <w:snapToGrid w:val="0"/>
              <w:jc w:val="left"/>
              <w:textAlignment w:val="baseline"/>
              <w:rPr>
                <w:rFonts w:ascii="宋体" w:hAnsi="宋体" w:cs="宋体"/>
                <w:color w:val="000000" w:themeColor="text1"/>
                <w:szCs w:val="21"/>
              </w:rPr>
            </w:pPr>
            <w:r>
              <w:rPr>
                <w:rFonts w:hint="eastAsia" w:ascii="宋体" w:hAnsi="宋体" w:cs="宋体"/>
                <w:color w:val="000000" w:themeColor="text1"/>
                <w:szCs w:val="21"/>
              </w:rPr>
              <w:t>5、信用信息的使用规则：留存备查。</w:t>
            </w:r>
          </w:p>
        </w:tc>
      </w:tr>
    </w:tbl>
    <w:p w14:paraId="3014ECD4">
      <w:pPr>
        <w:snapToGrid w:val="0"/>
        <w:spacing w:line="360" w:lineRule="auto"/>
        <w:textAlignment w:val="baseline"/>
        <w:rPr>
          <w:rFonts w:ascii="宋体" w:hAnsi="宋体" w:cs="宋体"/>
          <w:b/>
          <w:bCs/>
          <w:color w:val="000000" w:themeColor="text1"/>
          <w:sz w:val="20"/>
          <w:szCs w:val="21"/>
        </w:rPr>
      </w:pPr>
    </w:p>
    <w:p w14:paraId="1BCD1BFA">
      <w:pPr>
        <w:textAlignment w:val="baseline"/>
        <w:rPr>
          <w:rFonts w:ascii="宋体" w:hAnsi="宋体" w:cs="宋体"/>
          <w:b/>
          <w:bCs/>
          <w:color w:val="000000" w:themeColor="text1"/>
          <w:szCs w:val="21"/>
        </w:rPr>
      </w:pPr>
    </w:p>
    <w:p w14:paraId="66BE5825">
      <w:pPr>
        <w:textAlignment w:val="baseline"/>
        <w:rPr>
          <w:rFonts w:ascii="宋体" w:hAnsi="宋体" w:cs="宋体"/>
          <w:b/>
          <w:bCs/>
          <w:color w:val="000000" w:themeColor="text1"/>
          <w:szCs w:val="21"/>
        </w:rPr>
      </w:pPr>
    </w:p>
    <w:p w14:paraId="590A7AD7">
      <w:pPr>
        <w:textAlignment w:val="baseline"/>
        <w:rPr>
          <w:rFonts w:ascii="宋体" w:hAnsi="宋体" w:cs="宋体"/>
          <w:b/>
          <w:bCs/>
          <w:color w:val="000000" w:themeColor="text1"/>
          <w:szCs w:val="21"/>
        </w:rPr>
      </w:pPr>
    </w:p>
    <w:p w14:paraId="341197B3">
      <w:pPr>
        <w:textAlignment w:val="baseline"/>
        <w:rPr>
          <w:rFonts w:ascii="宋体" w:hAnsi="宋体" w:cs="宋体"/>
          <w:b/>
          <w:bCs/>
          <w:color w:val="000000" w:themeColor="text1"/>
          <w:szCs w:val="21"/>
        </w:rPr>
      </w:pPr>
    </w:p>
    <w:p w14:paraId="4DA718EC">
      <w:pPr>
        <w:textAlignment w:val="baseline"/>
        <w:rPr>
          <w:rFonts w:ascii="宋体" w:hAnsi="宋体" w:cs="宋体"/>
          <w:b/>
          <w:color w:val="000000" w:themeColor="text1"/>
          <w:sz w:val="20"/>
          <w:szCs w:val="21"/>
        </w:rPr>
      </w:pPr>
      <w:r>
        <w:rPr>
          <w:rFonts w:hint="eastAsia" w:ascii="宋体" w:hAnsi="宋体" w:cs="宋体"/>
          <w:b/>
          <w:bCs/>
          <w:color w:val="000000" w:themeColor="text1"/>
          <w:szCs w:val="21"/>
        </w:rPr>
        <w:t>附页1                                   资格性审查</w:t>
      </w:r>
    </w:p>
    <w:tbl>
      <w:tblPr>
        <w:tblStyle w:val="47"/>
        <w:tblW w:w="9475" w:type="dxa"/>
        <w:tblInd w:w="244"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00"/>
        <w:gridCol w:w="4425"/>
        <w:gridCol w:w="3950"/>
      </w:tblGrid>
      <w:tr w14:paraId="543B61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1100" w:type="dxa"/>
            <w:vAlign w:val="center"/>
          </w:tcPr>
          <w:p w14:paraId="36E2118B">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序号</w:t>
            </w:r>
          </w:p>
        </w:tc>
        <w:tc>
          <w:tcPr>
            <w:tcW w:w="4425" w:type="dxa"/>
            <w:vAlign w:val="center"/>
          </w:tcPr>
          <w:p w14:paraId="2A1E6D76">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审查项目</w:t>
            </w:r>
          </w:p>
        </w:tc>
        <w:tc>
          <w:tcPr>
            <w:tcW w:w="3950" w:type="dxa"/>
            <w:vAlign w:val="center"/>
          </w:tcPr>
          <w:p w14:paraId="242BC54E">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审查标准</w:t>
            </w:r>
          </w:p>
        </w:tc>
      </w:tr>
      <w:tr w14:paraId="5D6ED3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7CB7AE15">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1</w:t>
            </w:r>
          </w:p>
        </w:tc>
        <w:tc>
          <w:tcPr>
            <w:tcW w:w="4425" w:type="dxa"/>
            <w:vAlign w:val="center"/>
          </w:tcPr>
          <w:p w14:paraId="241DD1C2">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具有独立承担民事责任的能力；</w:t>
            </w:r>
          </w:p>
        </w:tc>
        <w:tc>
          <w:tcPr>
            <w:tcW w:w="3950" w:type="dxa"/>
            <w:vAlign w:val="center"/>
          </w:tcPr>
          <w:p w14:paraId="7A13C5FF">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独立法人提交依法取得的企业营业执照，营业执照处于有效期</w:t>
            </w:r>
          </w:p>
        </w:tc>
      </w:tr>
      <w:tr w14:paraId="376277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32BD3F82">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2</w:t>
            </w:r>
          </w:p>
        </w:tc>
        <w:tc>
          <w:tcPr>
            <w:tcW w:w="4425" w:type="dxa"/>
            <w:vAlign w:val="center"/>
          </w:tcPr>
          <w:p w14:paraId="25582418">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具有良好的商业信誉和健全的财务会计制度；</w:t>
            </w:r>
          </w:p>
        </w:tc>
        <w:tc>
          <w:tcPr>
            <w:tcW w:w="3950" w:type="dxa"/>
            <w:vAlign w:val="center"/>
          </w:tcPr>
          <w:p w14:paraId="408F059A">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根据《湖南省财政厅关于政府采购促进中小企业发展有关措施的通知》（湘财购[2022]17号）相关规定，符合法定条件的供应商凭《湖南省政府采购供应商资格承诺函》（格式见 ）参与政府采购活动，无需提供财务状况、缴纳税收和社会保障资金等资格证明材料</w:t>
            </w:r>
          </w:p>
        </w:tc>
      </w:tr>
      <w:tr w14:paraId="7EAD24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1A532C6E">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3</w:t>
            </w:r>
          </w:p>
        </w:tc>
        <w:tc>
          <w:tcPr>
            <w:tcW w:w="4425" w:type="dxa"/>
            <w:vAlign w:val="center"/>
          </w:tcPr>
          <w:p w14:paraId="485C83BD">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具有履行合同所必需的设备和专业技术能力；</w:t>
            </w:r>
          </w:p>
        </w:tc>
        <w:tc>
          <w:tcPr>
            <w:tcW w:w="3950" w:type="dxa"/>
            <w:vAlign w:val="center"/>
          </w:tcPr>
          <w:p w14:paraId="0EB0C756">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提供投标人资格声明等相关证明</w:t>
            </w:r>
          </w:p>
        </w:tc>
      </w:tr>
      <w:tr w14:paraId="3B9C0D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79D4CE2B">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4</w:t>
            </w:r>
          </w:p>
        </w:tc>
        <w:tc>
          <w:tcPr>
            <w:tcW w:w="4425" w:type="dxa"/>
            <w:vAlign w:val="center"/>
          </w:tcPr>
          <w:p w14:paraId="3EF41625">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有依法缴纳税收和社会保障资金的良好记录；</w:t>
            </w:r>
          </w:p>
        </w:tc>
        <w:tc>
          <w:tcPr>
            <w:tcW w:w="3950" w:type="dxa"/>
            <w:vAlign w:val="center"/>
          </w:tcPr>
          <w:p w14:paraId="6FFD3974">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bCs/>
                <w:color w:val="000000" w:themeColor="text1"/>
                <w:szCs w:val="21"/>
              </w:rPr>
              <w:t>根据《湖南省财政厅关于政府采购促进中小企业发展有关措施的通知》（湘财购[2022]17号）相关规定，符合法定条件的供应商凭《湖南省政府采购供应商资格承诺函》（格式见附件）参与政府采购活动，无需提供财</w:t>
            </w:r>
            <w:r>
              <w:rPr>
                <w:rFonts w:hint="eastAsia" w:ascii="宋体" w:hAnsi="宋体" w:cs="宋体"/>
                <w:color w:val="000000" w:themeColor="text1"/>
                <w:szCs w:val="21"/>
              </w:rPr>
              <w:t>务状况、缴纳税收和社会保障资金等资格证明材料</w:t>
            </w:r>
          </w:p>
        </w:tc>
      </w:tr>
      <w:tr w14:paraId="720574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30B5FA67">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5</w:t>
            </w:r>
          </w:p>
        </w:tc>
        <w:tc>
          <w:tcPr>
            <w:tcW w:w="4425" w:type="dxa"/>
            <w:vAlign w:val="center"/>
          </w:tcPr>
          <w:p w14:paraId="76391F45">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参加政府采购活动前三年内，在经营活动中没有重大违法记录；</w:t>
            </w:r>
          </w:p>
        </w:tc>
        <w:tc>
          <w:tcPr>
            <w:tcW w:w="3950" w:type="dxa"/>
            <w:vAlign w:val="center"/>
          </w:tcPr>
          <w:p w14:paraId="5086A5A9">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bCs/>
                <w:color w:val="000000" w:themeColor="text1"/>
                <w:szCs w:val="21"/>
              </w:rPr>
              <w:t>根据《湖南省财政厅关于政府采购促进中小企业发展有关措施的通知》（湘财购[2022]17号）相关规定，符合法定条件的供应商凭《湖南省政府采购供应商资格承诺函》（格式见附件）参与政府采购活动，无需提供财</w:t>
            </w:r>
            <w:r>
              <w:rPr>
                <w:rFonts w:hint="eastAsia" w:ascii="宋体" w:hAnsi="宋体" w:cs="宋体"/>
                <w:color w:val="000000" w:themeColor="text1"/>
                <w:szCs w:val="21"/>
              </w:rPr>
              <w:t>务状况、缴纳税收和社会保障资金等资格证明材料</w:t>
            </w:r>
          </w:p>
        </w:tc>
      </w:tr>
      <w:tr w14:paraId="127C7C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7DC43DA4">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6</w:t>
            </w:r>
          </w:p>
        </w:tc>
        <w:tc>
          <w:tcPr>
            <w:tcW w:w="4425" w:type="dxa"/>
            <w:vAlign w:val="center"/>
          </w:tcPr>
          <w:p w14:paraId="5D70DD1D">
            <w:pPr>
              <w:adjustRightInd w:val="0"/>
              <w:snapToGrid w:val="0"/>
              <w:spacing w:beforeLines="50" w:line="360" w:lineRule="auto"/>
              <w:jc w:val="left"/>
              <w:rPr>
                <w:rFonts w:cs="宋体" w:asciiTheme="minorEastAsia" w:hAnsiTheme="minorEastAsia" w:eastAsiaTheme="minorEastAsia"/>
                <w:color w:val="000000" w:themeColor="text1"/>
                <w:kern w:val="0"/>
                <w:szCs w:val="21"/>
              </w:rPr>
            </w:pPr>
            <w:r>
              <w:rPr>
                <w:rFonts w:hint="eastAsia"/>
                <w:color w:val="000000" w:themeColor="text1"/>
                <w:szCs w:val="21"/>
              </w:rPr>
              <w:t>根据《财政部关于在政府采购活动中查询及使用信用记录》（财库〔2016〕125号）文件：采购人、采购代理机构应当通过“信用中国”网站（www.creditchina.gov.cn）、中国政府采购网(www.ccgp.gov.cn)、“信用湖南”网站（www.credithunan.gov.cn）、湖南省政府采购网（www.ccgp-hunan.gov.cn）和“信用郴州”网站（xycz.czs.gov.cn）等渠道查询相关主体信用记录，并采取必要方式做好信用信息查询记录和证据留存，信用信息查询记录及相关证据应当与其他采购文件一并保存；对列入失信被执行人、重大税收违法案件当事人名单、政府采购严重违法失信行为记录名单及其他不符合《中华人民共和国政府采购法》第二十二条规定条件的供应商，应当拒绝其参与政府采购活动；</w:t>
            </w:r>
          </w:p>
        </w:tc>
        <w:tc>
          <w:tcPr>
            <w:tcW w:w="3950" w:type="dxa"/>
            <w:vAlign w:val="center"/>
          </w:tcPr>
          <w:p w14:paraId="25F0DCC2">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olor w:val="000000" w:themeColor="text1"/>
                <w:szCs w:val="21"/>
              </w:rPr>
              <w:t>在采购人、采购代理机构查询“信用中国”网站（www.creditchina.gov.cn）、中国政府采购网(www.ccgp.gov.cn)、“信用湖南”网站（www.credithunan.gov.cn）、湖南省政府采购网（www.ccgp-hunan.gov.cn）和“信用郴州”网站（xycz.czs.gov.cn）等渠道相关主体信用记录中供应商有列入失信被执行人、重大税收违法案件当事人名单、政府采购严重违法失信行为记录名单及其他不符合《中华人民共和国政府采购法》第二十二条规定条件的拒绝其参与政府采购活动；</w:t>
            </w:r>
          </w:p>
        </w:tc>
      </w:tr>
      <w:tr w14:paraId="1F4759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736112D5">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7</w:t>
            </w:r>
          </w:p>
        </w:tc>
        <w:tc>
          <w:tcPr>
            <w:tcW w:w="4425" w:type="dxa"/>
            <w:vAlign w:val="center"/>
          </w:tcPr>
          <w:p w14:paraId="12B77831">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供应商特定资格条件</w:t>
            </w:r>
          </w:p>
        </w:tc>
        <w:tc>
          <w:tcPr>
            <w:tcW w:w="3950" w:type="dxa"/>
            <w:vAlign w:val="center"/>
          </w:tcPr>
          <w:p w14:paraId="6DEE6EB9">
            <w:pPr>
              <w:spacing w:line="360" w:lineRule="auto"/>
              <w:rPr>
                <w:rFonts w:ascii="宋体" w:hAnsi="宋体" w:cs="宋体"/>
                <w:color w:val="000000" w:themeColor="text1"/>
                <w:szCs w:val="21"/>
              </w:rPr>
            </w:pPr>
            <w:r>
              <w:rPr>
                <w:rFonts w:hint="eastAsia" w:ascii="宋体" w:hAnsi="宋体" w:cs="宋体"/>
                <w:color w:val="000000" w:themeColor="text1"/>
                <w:szCs w:val="21"/>
              </w:rPr>
              <w:t>（1）具有行政主管部门颁发的公路工程施工总承包叁级及以上资质或交通安全设施养护资质，安全生产许可证处于有效期，且在人员、设备、资金等方面具备相应的施工能力；</w:t>
            </w:r>
          </w:p>
          <w:p w14:paraId="20587372">
            <w:pPr>
              <w:spacing w:line="360" w:lineRule="auto"/>
              <w:rPr>
                <w:rFonts w:ascii="宋体" w:hAnsi="宋体" w:cs="宋体"/>
                <w:color w:val="000000" w:themeColor="text1"/>
                <w:szCs w:val="21"/>
              </w:rPr>
            </w:pPr>
            <w:r>
              <w:rPr>
                <w:rFonts w:hint="eastAsia" w:ascii="宋体" w:hAnsi="宋体" w:cs="宋体"/>
                <w:color w:val="000000" w:themeColor="text1"/>
                <w:szCs w:val="21"/>
              </w:rPr>
              <w:t>（2）拟任项目经理（项目负责人）具备公路工程专业贰级及以上注册建造师执业资格及公路工程相关专业中级及以上技术职称和有效的B类安全生产考核合格证书（水运类不认可），项目经理（项目负责人）须本单位正式职工且在其他在建项目中未担任项目经理并提供本单位正式职工及无在建工程承诺书；拟任项目总工具有公路工程相关专业中级及以上职称证书及</w:t>
            </w:r>
            <w:r>
              <w:rPr>
                <w:rFonts w:hint="eastAsia" w:ascii="宋体" w:hAnsi="宋体" w:cs="宋体"/>
                <w:color w:val="000000" w:themeColor="text1"/>
                <w:spacing w:val="-1"/>
                <w:szCs w:val="21"/>
                <w:shd w:val="clear" w:color="auto" w:fill="FFFFFF"/>
              </w:rPr>
              <w:t>交通行政主管部门核发的公路</w:t>
            </w:r>
            <w:r>
              <w:rPr>
                <w:rFonts w:hint="eastAsia" w:ascii="宋体" w:hAnsi="宋体" w:cs="宋体"/>
                <w:color w:val="000000" w:themeColor="text1"/>
                <w:szCs w:val="21"/>
                <w:shd w:val="clear" w:color="auto" w:fill="FFFFFF"/>
              </w:rPr>
              <w:t>B</w:t>
            </w:r>
            <w:r>
              <w:rPr>
                <w:rFonts w:hint="eastAsia" w:ascii="宋体" w:hAnsi="宋体" w:cs="宋体"/>
                <w:color w:val="000000" w:themeColor="text1"/>
                <w:spacing w:val="-3"/>
                <w:szCs w:val="21"/>
                <w:shd w:val="clear" w:color="auto" w:fill="FFFFFF"/>
              </w:rPr>
              <w:t>类安全生产考核合格证（水运类不认可）</w:t>
            </w:r>
            <w:r>
              <w:rPr>
                <w:rFonts w:hint="eastAsia" w:ascii="宋体" w:hAnsi="宋体" w:cs="宋体"/>
                <w:color w:val="000000" w:themeColor="text1"/>
                <w:szCs w:val="21"/>
              </w:rPr>
              <w:t>。</w:t>
            </w:r>
          </w:p>
          <w:p w14:paraId="56B5AD5D">
            <w:pPr>
              <w:spacing w:line="360" w:lineRule="auto"/>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（3）供应商为湖南省外企业，须按照湘建建〔2015〕190 号文件要求办理省外入湘企业基本情况登记，并提供“湖南省住房和城乡建设网”查询记录证明；</w:t>
            </w:r>
          </w:p>
        </w:tc>
      </w:tr>
      <w:tr w14:paraId="35CBDE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2FF0325F">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8</w:t>
            </w:r>
          </w:p>
        </w:tc>
        <w:tc>
          <w:tcPr>
            <w:tcW w:w="4425" w:type="dxa"/>
            <w:vAlign w:val="center"/>
          </w:tcPr>
          <w:p w14:paraId="7AB65D54">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不存在第二章“磋商须知正文”第3.3款情形</w:t>
            </w:r>
          </w:p>
        </w:tc>
        <w:tc>
          <w:tcPr>
            <w:tcW w:w="3950" w:type="dxa"/>
            <w:vAlign w:val="center"/>
          </w:tcPr>
          <w:p w14:paraId="0529FD44">
            <w:pPr>
              <w:numPr>
                <w:ilvl w:val="0"/>
                <w:numId w:val="2"/>
              </w:numPr>
              <w:rPr>
                <w:color w:val="000000" w:themeColor="text1"/>
              </w:rPr>
            </w:pPr>
            <w:r>
              <w:rPr>
                <w:rFonts w:hint="eastAsia" w:ascii="宋体" w:hAnsi="宋体" w:cs="宋体"/>
                <w:color w:val="000000" w:themeColor="text1"/>
                <w:szCs w:val="21"/>
              </w:rPr>
              <w:t>与采购人、采购代理机构存在</w:t>
            </w:r>
            <w:r>
              <w:rPr>
                <w:rFonts w:hint="eastAsia" w:ascii="宋体" w:hAnsi="宋体" w:cs="宋体"/>
                <w:bCs/>
                <w:color w:val="000000" w:themeColor="text1"/>
                <w:szCs w:val="21"/>
              </w:rPr>
              <w:t>隶属关系或者其他利害关系；</w:t>
            </w:r>
          </w:p>
          <w:p w14:paraId="7CF5B71B">
            <w:pPr>
              <w:numPr>
                <w:ilvl w:val="0"/>
                <w:numId w:val="2"/>
              </w:numPr>
              <w:rPr>
                <w:color w:val="000000" w:themeColor="text1"/>
              </w:rPr>
            </w:pPr>
            <w:r>
              <w:rPr>
                <w:rFonts w:hint="eastAsia" w:ascii="宋体" w:hAnsi="宋体" w:cs="宋体"/>
                <w:color w:val="000000" w:themeColor="text1"/>
                <w:szCs w:val="21"/>
              </w:rPr>
              <w:t>供应商与其他供应商的法定代表人（或者负责人）为同一人，或者与其他供应商存在直接控股、管理关系</w:t>
            </w:r>
            <w:r>
              <w:rPr>
                <w:rFonts w:hint="eastAsia"/>
                <w:color w:val="000000" w:themeColor="text1"/>
              </w:rPr>
              <w:t>；</w:t>
            </w:r>
          </w:p>
          <w:p w14:paraId="69DB1E76">
            <w:pPr>
              <w:rPr>
                <w:color w:val="000000" w:themeColor="text1"/>
              </w:rPr>
            </w:pPr>
            <w:r>
              <w:rPr>
                <w:rFonts w:hint="eastAsia"/>
                <w:color w:val="000000" w:themeColor="text1"/>
              </w:rPr>
              <w:t>3、受到刑事处罚，或者责令停产停业、在一至三年内禁止参加政府采购活动、暂扣或者吊销许可证、暂扣或者吊销执照等情形之一的行政处罚，或者存在财政部门认定的其他重大违法记录。</w:t>
            </w:r>
          </w:p>
        </w:tc>
      </w:tr>
      <w:tr w14:paraId="162B6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100" w:type="dxa"/>
            <w:vAlign w:val="center"/>
          </w:tcPr>
          <w:p w14:paraId="5A5B12C6">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9</w:t>
            </w:r>
          </w:p>
        </w:tc>
        <w:tc>
          <w:tcPr>
            <w:tcW w:w="4425" w:type="dxa"/>
          </w:tcPr>
          <w:p w14:paraId="7D18A6B9">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其他情形</w:t>
            </w:r>
          </w:p>
        </w:tc>
        <w:tc>
          <w:tcPr>
            <w:tcW w:w="3950" w:type="dxa"/>
            <w:vAlign w:val="center"/>
          </w:tcPr>
          <w:p w14:paraId="1F430164">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符合法律、行政法规规定的其他条件。</w:t>
            </w:r>
          </w:p>
        </w:tc>
      </w:tr>
      <w:tr w14:paraId="402CF4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1100" w:type="dxa"/>
            <w:vAlign w:val="center"/>
          </w:tcPr>
          <w:p w14:paraId="181BA816">
            <w:pPr>
              <w:adjustRightInd w:val="0"/>
              <w:snapToGrid w:val="0"/>
              <w:spacing w:beforeLines="50" w:line="360" w:lineRule="auto"/>
              <w:jc w:val="center"/>
              <w:rPr>
                <w:rFonts w:cs="宋体" w:asciiTheme="minorEastAsia" w:hAnsiTheme="minorEastAsia" w:eastAsiaTheme="minorEastAsia"/>
                <w:color w:val="000000" w:themeColor="text1"/>
                <w:kern w:val="0"/>
                <w:sz w:val="20"/>
                <w:szCs w:val="21"/>
              </w:rPr>
            </w:pPr>
            <w:r>
              <w:rPr>
                <w:rFonts w:hint="eastAsia" w:asciiTheme="minorEastAsia" w:hAnsiTheme="minorEastAsia" w:eastAsiaTheme="minorEastAsia"/>
                <w:color w:val="000000" w:themeColor="text1"/>
                <w:kern w:val="0"/>
                <w:sz w:val="20"/>
                <w:szCs w:val="21"/>
              </w:rPr>
              <w:t>结论</w:t>
            </w:r>
          </w:p>
        </w:tc>
        <w:tc>
          <w:tcPr>
            <w:tcW w:w="8375" w:type="dxa"/>
            <w:gridSpan w:val="2"/>
            <w:vAlign w:val="center"/>
          </w:tcPr>
          <w:p w14:paraId="7D7BB1A6">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p>
        </w:tc>
      </w:tr>
    </w:tbl>
    <w:p w14:paraId="5604D177">
      <w:pPr>
        <w:jc w:val="center"/>
        <w:textAlignment w:val="baseline"/>
        <w:rPr>
          <w:rFonts w:ascii="宋体" w:hAnsi="宋体" w:cs="宋体"/>
          <w:b/>
          <w:color w:val="000000" w:themeColor="text1"/>
          <w:sz w:val="28"/>
          <w:szCs w:val="28"/>
        </w:rPr>
      </w:pPr>
    </w:p>
    <w:p w14:paraId="4737A9C1">
      <w:pPr>
        <w:jc w:val="center"/>
        <w:textAlignment w:val="baseline"/>
        <w:rPr>
          <w:rFonts w:ascii="宋体" w:hAnsi="宋体" w:cs="宋体"/>
          <w:b/>
          <w:bCs/>
          <w:color w:val="000000" w:themeColor="text1"/>
          <w:szCs w:val="21"/>
        </w:rPr>
      </w:pPr>
      <w:r>
        <w:rPr>
          <w:rFonts w:hint="eastAsia" w:ascii="宋体" w:hAnsi="宋体" w:cs="宋体"/>
          <w:b/>
          <w:bCs/>
          <w:color w:val="000000" w:themeColor="text1"/>
          <w:szCs w:val="21"/>
        </w:rPr>
        <w:t>符合性审查</w:t>
      </w:r>
    </w:p>
    <w:tbl>
      <w:tblPr>
        <w:tblStyle w:val="47"/>
        <w:tblW w:w="9589" w:type="dxa"/>
        <w:tblInd w:w="19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39"/>
        <w:gridCol w:w="3025"/>
        <w:gridCol w:w="5725"/>
      </w:tblGrid>
      <w:tr w14:paraId="02307A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839" w:type="dxa"/>
            <w:vAlign w:val="center"/>
          </w:tcPr>
          <w:p w14:paraId="350F56C4">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序号</w:t>
            </w:r>
          </w:p>
        </w:tc>
        <w:tc>
          <w:tcPr>
            <w:tcW w:w="3025" w:type="dxa"/>
            <w:vAlign w:val="center"/>
          </w:tcPr>
          <w:p w14:paraId="439713CF">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审查项目</w:t>
            </w:r>
          </w:p>
        </w:tc>
        <w:tc>
          <w:tcPr>
            <w:tcW w:w="5725" w:type="dxa"/>
            <w:vAlign w:val="center"/>
          </w:tcPr>
          <w:p w14:paraId="1340F7F8">
            <w:pPr>
              <w:adjustRightInd w:val="0"/>
              <w:snapToGrid w:val="0"/>
              <w:spacing w:beforeLines="50" w:line="360" w:lineRule="auto"/>
              <w:jc w:val="center"/>
              <w:rPr>
                <w:rFonts w:cs="宋体" w:asciiTheme="minorEastAsia" w:hAnsiTheme="minorEastAsia" w:eastAsiaTheme="minorEastAsia"/>
                <w:b/>
                <w:color w:val="000000" w:themeColor="text1"/>
                <w:kern w:val="0"/>
                <w:szCs w:val="21"/>
              </w:rPr>
            </w:pPr>
            <w:r>
              <w:rPr>
                <w:rFonts w:hint="eastAsia" w:cs="宋体" w:asciiTheme="minorEastAsia" w:hAnsiTheme="minorEastAsia" w:eastAsiaTheme="minorEastAsia"/>
                <w:b/>
                <w:color w:val="000000" w:themeColor="text1"/>
                <w:kern w:val="0"/>
                <w:szCs w:val="21"/>
              </w:rPr>
              <w:t>审查标准</w:t>
            </w:r>
          </w:p>
        </w:tc>
      </w:tr>
      <w:tr w14:paraId="221971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053EBEFA">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1</w:t>
            </w:r>
          </w:p>
        </w:tc>
        <w:tc>
          <w:tcPr>
            <w:tcW w:w="3025" w:type="dxa"/>
            <w:vAlign w:val="center"/>
          </w:tcPr>
          <w:p w14:paraId="31C9B154">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响应文件签署、盖章</w:t>
            </w:r>
          </w:p>
        </w:tc>
        <w:tc>
          <w:tcPr>
            <w:tcW w:w="5725" w:type="dxa"/>
            <w:vAlign w:val="center"/>
          </w:tcPr>
          <w:p w14:paraId="06D1DE27">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响应文件按照磋商文件要求签署、盖章的</w:t>
            </w:r>
          </w:p>
        </w:tc>
      </w:tr>
      <w:tr w14:paraId="7D8B0A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0189BE8B">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2</w:t>
            </w:r>
          </w:p>
        </w:tc>
        <w:tc>
          <w:tcPr>
            <w:tcW w:w="3025" w:type="dxa"/>
            <w:vAlign w:val="center"/>
          </w:tcPr>
          <w:p w14:paraId="20172961">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实质性要求</w:t>
            </w:r>
          </w:p>
        </w:tc>
        <w:tc>
          <w:tcPr>
            <w:tcW w:w="5725" w:type="dxa"/>
            <w:vAlign w:val="center"/>
          </w:tcPr>
          <w:p w14:paraId="5B327B83">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响应文件满足第二章“磋商须知正文”第26.1款规定的实质性要求</w:t>
            </w:r>
          </w:p>
        </w:tc>
      </w:tr>
      <w:tr w14:paraId="523F9D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717B3D9E">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3</w:t>
            </w:r>
          </w:p>
        </w:tc>
        <w:tc>
          <w:tcPr>
            <w:tcW w:w="3025" w:type="dxa"/>
            <w:vAlign w:val="center"/>
          </w:tcPr>
          <w:p w14:paraId="5D82632E">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项目预算</w:t>
            </w:r>
          </w:p>
        </w:tc>
        <w:tc>
          <w:tcPr>
            <w:tcW w:w="5725" w:type="dxa"/>
            <w:vAlign w:val="center"/>
          </w:tcPr>
          <w:p w14:paraId="0AA44555">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供应商的投标报价没有超过采购项目预算</w:t>
            </w:r>
          </w:p>
        </w:tc>
      </w:tr>
      <w:tr w14:paraId="4F4F7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7E9D3CFD">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4</w:t>
            </w:r>
          </w:p>
        </w:tc>
        <w:tc>
          <w:tcPr>
            <w:tcW w:w="3025" w:type="dxa"/>
            <w:vAlign w:val="center"/>
          </w:tcPr>
          <w:p w14:paraId="1AF02967">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响应有效期</w:t>
            </w:r>
          </w:p>
        </w:tc>
        <w:tc>
          <w:tcPr>
            <w:tcW w:w="5725" w:type="dxa"/>
            <w:vAlign w:val="center"/>
          </w:tcPr>
          <w:p w14:paraId="4F9D91EB">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响应文件有效期满足磋商文件规定</w:t>
            </w:r>
          </w:p>
        </w:tc>
      </w:tr>
      <w:tr w14:paraId="59781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7046CEBE">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cs="宋体" w:asciiTheme="minorEastAsia" w:hAnsiTheme="minorEastAsia" w:eastAsiaTheme="minorEastAsia"/>
                <w:color w:val="000000" w:themeColor="text1"/>
                <w:kern w:val="0"/>
                <w:szCs w:val="21"/>
              </w:rPr>
              <w:t>5</w:t>
            </w:r>
          </w:p>
        </w:tc>
        <w:tc>
          <w:tcPr>
            <w:tcW w:w="3025" w:type="dxa"/>
            <w:vAlign w:val="center"/>
          </w:tcPr>
          <w:p w14:paraId="4925F2D3">
            <w:pPr>
              <w:adjustRightInd w:val="0"/>
              <w:snapToGrid w:val="0"/>
              <w:spacing w:beforeLines="50" w:line="360" w:lineRule="auto"/>
              <w:jc w:val="center"/>
              <w:rPr>
                <w:rFonts w:asciiTheme="minorEastAsia" w:hAnsiTheme="minorEastAsia" w:eastAsiaTheme="minorEastAsia"/>
                <w:color w:val="000000" w:themeColor="text1"/>
                <w:kern w:val="0"/>
                <w:szCs w:val="21"/>
              </w:rPr>
            </w:pPr>
            <w:r>
              <w:rPr>
                <w:rFonts w:hint="eastAsia" w:asciiTheme="minorEastAsia" w:hAnsiTheme="minorEastAsia" w:eastAsiaTheme="minorEastAsia"/>
                <w:color w:val="000000" w:themeColor="text1"/>
                <w:kern w:val="0"/>
                <w:szCs w:val="21"/>
              </w:rPr>
              <w:t>其他情形</w:t>
            </w:r>
          </w:p>
        </w:tc>
        <w:tc>
          <w:tcPr>
            <w:tcW w:w="5725" w:type="dxa"/>
            <w:vAlign w:val="center"/>
          </w:tcPr>
          <w:p w14:paraId="1DD71414">
            <w:pPr>
              <w:adjustRightInd w:val="0"/>
              <w:snapToGrid w:val="0"/>
              <w:spacing w:beforeLines="50" w:line="360" w:lineRule="auto"/>
              <w:jc w:val="center"/>
              <w:rPr>
                <w:rFonts w:cs="宋体" w:asciiTheme="minorEastAsia" w:hAnsiTheme="minorEastAsia" w:eastAsiaTheme="minorEastAsia"/>
                <w:color w:val="000000" w:themeColor="text1"/>
                <w:kern w:val="0"/>
                <w:szCs w:val="21"/>
              </w:rPr>
            </w:pPr>
            <w:r>
              <w:rPr>
                <w:rFonts w:hint="eastAsia" w:ascii="宋体" w:hAnsi="宋体" w:cs="宋体"/>
                <w:color w:val="000000" w:themeColor="text1"/>
                <w:szCs w:val="21"/>
              </w:rPr>
              <w:t>响应文件符合法律、规章、规范性文件和磋商文件规定及要求</w:t>
            </w:r>
          </w:p>
        </w:tc>
      </w:tr>
      <w:tr w14:paraId="2D9E1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39" w:type="dxa"/>
            <w:vAlign w:val="center"/>
          </w:tcPr>
          <w:p w14:paraId="774B1490">
            <w:pPr>
              <w:adjustRightInd w:val="0"/>
              <w:snapToGrid w:val="0"/>
              <w:spacing w:beforeLines="50" w:line="360" w:lineRule="auto"/>
              <w:jc w:val="center"/>
              <w:rPr>
                <w:rFonts w:cs="宋体" w:asciiTheme="minorEastAsia" w:hAnsiTheme="minorEastAsia" w:eastAsiaTheme="minorEastAsia"/>
                <w:color w:val="000000" w:themeColor="text1"/>
                <w:kern w:val="0"/>
                <w:sz w:val="20"/>
                <w:szCs w:val="21"/>
              </w:rPr>
            </w:pPr>
            <w:r>
              <w:rPr>
                <w:rFonts w:hint="eastAsia" w:cs="宋体" w:asciiTheme="minorEastAsia" w:hAnsiTheme="minorEastAsia" w:eastAsiaTheme="minorEastAsia"/>
                <w:color w:val="000000" w:themeColor="text1"/>
                <w:kern w:val="0"/>
                <w:sz w:val="20"/>
                <w:szCs w:val="21"/>
              </w:rPr>
              <w:t>结论</w:t>
            </w:r>
          </w:p>
        </w:tc>
        <w:tc>
          <w:tcPr>
            <w:tcW w:w="8750" w:type="dxa"/>
            <w:gridSpan w:val="2"/>
            <w:vAlign w:val="center"/>
          </w:tcPr>
          <w:p w14:paraId="1809603E">
            <w:pPr>
              <w:adjustRightInd w:val="0"/>
              <w:snapToGrid w:val="0"/>
              <w:spacing w:beforeLines="50" w:line="360" w:lineRule="auto"/>
              <w:jc w:val="center"/>
              <w:rPr>
                <w:rFonts w:cs="宋体" w:asciiTheme="minorEastAsia" w:hAnsiTheme="minorEastAsia" w:eastAsiaTheme="minorEastAsia"/>
                <w:color w:val="000000" w:themeColor="text1"/>
                <w:kern w:val="0"/>
                <w:sz w:val="20"/>
                <w:szCs w:val="21"/>
              </w:rPr>
            </w:pPr>
          </w:p>
        </w:tc>
      </w:tr>
    </w:tbl>
    <w:p w14:paraId="5A9EA304">
      <w:pPr>
        <w:jc w:val="center"/>
        <w:textAlignment w:val="baseline"/>
        <w:rPr>
          <w:rFonts w:ascii="宋体" w:hAnsi="宋体" w:cs="宋体"/>
          <w:b/>
          <w:color w:val="000000" w:themeColor="text1"/>
          <w:sz w:val="28"/>
          <w:szCs w:val="28"/>
        </w:rPr>
      </w:pPr>
    </w:p>
    <w:p w14:paraId="2A5E3BA8">
      <w:pPr>
        <w:textAlignment w:val="baseline"/>
        <w:rPr>
          <w:rFonts w:ascii="宋体" w:hAnsi="宋体" w:cs="宋体"/>
          <w:b/>
          <w:bCs/>
          <w:color w:val="000000" w:themeColor="text1"/>
          <w:szCs w:val="21"/>
        </w:rPr>
      </w:pPr>
    </w:p>
    <w:p w14:paraId="27000D08">
      <w:pPr>
        <w:textAlignment w:val="baseline"/>
        <w:rPr>
          <w:rFonts w:ascii="宋体" w:hAnsi="宋体" w:cs="宋体"/>
          <w:b/>
          <w:bCs/>
          <w:color w:val="000000" w:themeColor="text1"/>
          <w:szCs w:val="21"/>
        </w:rPr>
      </w:pPr>
    </w:p>
    <w:p w14:paraId="63F6C0B1">
      <w:pPr>
        <w:textAlignment w:val="baseline"/>
        <w:rPr>
          <w:rFonts w:ascii="宋体" w:hAnsi="宋体" w:cs="宋体"/>
          <w:b/>
          <w:bCs/>
          <w:color w:val="000000" w:themeColor="text1"/>
          <w:szCs w:val="21"/>
        </w:rPr>
      </w:pPr>
    </w:p>
    <w:p w14:paraId="2AAB37A4">
      <w:pPr>
        <w:textAlignment w:val="baseline"/>
        <w:rPr>
          <w:rFonts w:ascii="宋体" w:hAnsi="宋体" w:cs="宋体"/>
          <w:b/>
          <w:bCs/>
          <w:color w:val="000000" w:themeColor="text1"/>
          <w:szCs w:val="21"/>
        </w:rPr>
      </w:pPr>
    </w:p>
    <w:p w14:paraId="68A78413">
      <w:pPr>
        <w:textAlignment w:val="baseline"/>
        <w:rPr>
          <w:rFonts w:ascii="宋体" w:hAnsi="宋体" w:cs="宋体"/>
          <w:b/>
          <w:bCs/>
          <w:color w:val="000000" w:themeColor="text1"/>
          <w:szCs w:val="21"/>
        </w:rPr>
      </w:pPr>
    </w:p>
    <w:p w14:paraId="3086CBF9">
      <w:pPr>
        <w:textAlignment w:val="baseline"/>
        <w:rPr>
          <w:rFonts w:hint="eastAsia" w:ascii="宋体" w:hAnsi="宋体" w:cs="宋体"/>
          <w:b/>
          <w:bCs/>
          <w:color w:val="000000" w:themeColor="text1"/>
          <w:szCs w:val="21"/>
        </w:rPr>
      </w:pPr>
    </w:p>
    <w:p w14:paraId="322CD37C">
      <w:pPr>
        <w:textAlignment w:val="baseline"/>
        <w:rPr>
          <w:rFonts w:ascii="宋体" w:hAnsi="宋体" w:cs="宋体"/>
          <w:b/>
          <w:color w:val="000000" w:themeColor="text1"/>
          <w:sz w:val="28"/>
          <w:szCs w:val="28"/>
        </w:rPr>
      </w:pPr>
      <w:r>
        <w:rPr>
          <w:rFonts w:hint="eastAsia" w:ascii="宋体" w:hAnsi="宋体" w:cs="宋体"/>
          <w:b/>
          <w:bCs/>
          <w:color w:val="000000" w:themeColor="text1"/>
          <w:szCs w:val="21"/>
        </w:rPr>
        <w:t xml:space="preserve">附页2                     </w:t>
      </w:r>
      <w:r>
        <w:rPr>
          <w:rFonts w:hint="eastAsia" w:ascii="宋体" w:hAnsi="宋体" w:cs="宋体"/>
          <w:b/>
          <w:color w:val="000000" w:themeColor="text1"/>
          <w:sz w:val="28"/>
          <w:szCs w:val="28"/>
        </w:rPr>
        <w:t>评审因素和标准</w:t>
      </w:r>
    </w:p>
    <w:tbl>
      <w:tblPr>
        <w:tblStyle w:val="47"/>
        <w:tblW w:w="0" w:type="auto"/>
        <w:tblInd w:w="-110" w:type="dxa"/>
        <w:tblLayout w:type="fixed"/>
        <w:tblCellMar>
          <w:top w:w="0" w:type="dxa"/>
          <w:left w:w="108" w:type="dxa"/>
          <w:bottom w:w="0" w:type="dxa"/>
          <w:right w:w="108" w:type="dxa"/>
        </w:tblCellMar>
      </w:tblPr>
      <w:tblGrid>
        <w:gridCol w:w="3968"/>
        <w:gridCol w:w="5731"/>
      </w:tblGrid>
      <w:tr w14:paraId="66FFE44A">
        <w:tblPrEx>
          <w:tblCellMar>
            <w:top w:w="0" w:type="dxa"/>
            <w:left w:w="108" w:type="dxa"/>
            <w:bottom w:w="0" w:type="dxa"/>
            <w:right w:w="108" w:type="dxa"/>
          </w:tblCellMar>
        </w:tblPrEx>
        <w:trPr>
          <w:trHeight w:val="562" w:hRule="exact"/>
        </w:trPr>
        <w:tc>
          <w:tcPr>
            <w:tcW w:w="3968"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0366735A">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适用范围</w:t>
            </w:r>
          </w:p>
        </w:tc>
        <w:tc>
          <w:tcPr>
            <w:tcW w:w="5731"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2293BCE4">
            <w:pPr>
              <w:snapToGrid w:val="0"/>
              <w:spacing w:line="360" w:lineRule="auto"/>
              <w:ind w:left="625" w:leftChars="1" w:hanging="623" w:hangingChars="297"/>
              <w:jc w:val="center"/>
              <w:textAlignment w:val="baseline"/>
              <w:rPr>
                <w:rFonts w:ascii="宋体" w:hAnsi="宋体"/>
                <w:b/>
                <w:color w:val="000000" w:themeColor="text1"/>
                <w:szCs w:val="21"/>
              </w:rPr>
            </w:pPr>
          </w:p>
        </w:tc>
      </w:tr>
      <w:tr w14:paraId="34323375">
        <w:tblPrEx>
          <w:tblCellMar>
            <w:top w:w="0" w:type="dxa"/>
            <w:left w:w="108" w:type="dxa"/>
            <w:bottom w:w="0" w:type="dxa"/>
            <w:right w:w="108" w:type="dxa"/>
          </w:tblCellMar>
        </w:tblPrEx>
        <w:trPr>
          <w:trHeight w:val="564" w:hRule="exact"/>
        </w:trPr>
        <w:tc>
          <w:tcPr>
            <w:tcW w:w="9699" w:type="dxa"/>
            <w:gridSpan w:val="2"/>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0803D7B5">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评审因素及权值</w:t>
            </w:r>
          </w:p>
        </w:tc>
      </w:tr>
      <w:tr w14:paraId="1072660E">
        <w:tblPrEx>
          <w:tblCellMar>
            <w:top w:w="0" w:type="dxa"/>
            <w:left w:w="108" w:type="dxa"/>
            <w:bottom w:w="0" w:type="dxa"/>
            <w:right w:w="108" w:type="dxa"/>
          </w:tblCellMar>
        </w:tblPrEx>
        <w:trPr>
          <w:trHeight w:val="315" w:hRule="exact"/>
        </w:trPr>
        <w:tc>
          <w:tcPr>
            <w:tcW w:w="3968"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3A64D4FA">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评审因素</w:t>
            </w:r>
          </w:p>
        </w:tc>
        <w:tc>
          <w:tcPr>
            <w:tcW w:w="5731"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05808507">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权值范围</w:t>
            </w:r>
          </w:p>
        </w:tc>
      </w:tr>
      <w:tr w14:paraId="156D90E2">
        <w:tblPrEx>
          <w:tblCellMar>
            <w:top w:w="0" w:type="dxa"/>
            <w:left w:w="108" w:type="dxa"/>
            <w:bottom w:w="0" w:type="dxa"/>
            <w:right w:w="108" w:type="dxa"/>
          </w:tblCellMar>
        </w:tblPrEx>
        <w:trPr>
          <w:trHeight w:val="308" w:hRule="exact"/>
        </w:trPr>
        <w:tc>
          <w:tcPr>
            <w:tcW w:w="3968"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074D6C2F">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技术部分</w:t>
            </w:r>
          </w:p>
        </w:tc>
        <w:tc>
          <w:tcPr>
            <w:tcW w:w="5731"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687DB815">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A2=60</w:t>
            </w:r>
          </w:p>
        </w:tc>
      </w:tr>
      <w:tr w14:paraId="2EBB5607">
        <w:tblPrEx>
          <w:tblCellMar>
            <w:top w:w="0" w:type="dxa"/>
            <w:left w:w="108" w:type="dxa"/>
            <w:bottom w:w="0" w:type="dxa"/>
            <w:right w:w="108" w:type="dxa"/>
          </w:tblCellMar>
        </w:tblPrEx>
        <w:trPr>
          <w:trHeight w:val="262" w:hRule="exact"/>
        </w:trPr>
        <w:tc>
          <w:tcPr>
            <w:tcW w:w="3968"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7C348BB1">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商务部分</w:t>
            </w:r>
          </w:p>
        </w:tc>
        <w:tc>
          <w:tcPr>
            <w:tcW w:w="5731"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0D2D7EED">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A3=30</w:t>
            </w:r>
          </w:p>
        </w:tc>
      </w:tr>
      <w:tr w14:paraId="5FA2941D">
        <w:tblPrEx>
          <w:tblCellMar>
            <w:top w:w="0" w:type="dxa"/>
            <w:left w:w="108" w:type="dxa"/>
            <w:bottom w:w="0" w:type="dxa"/>
            <w:right w:w="108" w:type="dxa"/>
          </w:tblCellMar>
        </w:tblPrEx>
        <w:trPr>
          <w:trHeight w:val="282" w:hRule="exact"/>
        </w:trPr>
        <w:tc>
          <w:tcPr>
            <w:tcW w:w="3968"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6E1B8C22">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报价</w:t>
            </w:r>
          </w:p>
        </w:tc>
        <w:tc>
          <w:tcPr>
            <w:tcW w:w="5731" w:type="dxa"/>
            <w:tcBorders>
              <w:top w:val="single" w:color="000000" w:sz="6" w:space="0"/>
              <w:left w:val="single" w:color="000000" w:sz="6" w:space="0"/>
              <w:bottom w:val="single" w:color="000000" w:sz="6" w:space="0"/>
              <w:right w:val="single" w:color="000000" w:sz="6" w:space="0"/>
            </w:tcBorders>
            <w:noWrap/>
            <w:tcMar>
              <w:left w:w="0" w:type="dxa"/>
              <w:right w:w="0" w:type="dxa"/>
            </w:tcMar>
            <w:vAlign w:val="center"/>
          </w:tcPr>
          <w:p w14:paraId="504F0CA4">
            <w:pPr>
              <w:snapToGrid w:val="0"/>
              <w:spacing w:line="360" w:lineRule="auto"/>
              <w:ind w:left="625" w:leftChars="1" w:hanging="623" w:hangingChars="297"/>
              <w:jc w:val="center"/>
              <w:textAlignment w:val="baseline"/>
              <w:rPr>
                <w:rFonts w:ascii="宋体" w:hAnsi="宋体"/>
                <w:b/>
                <w:color w:val="000000" w:themeColor="text1"/>
                <w:szCs w:val="21"/>
              </w:rPr>
            </w:pPr>
            <w:r>
              <w:rPr>
                <w:rFonts w:hint="eastAsia" w:ascii="宋体" w:hAnsi="宋体"/>
                <w:b/>
                <w:color w:val="000000" w:themeColor="text1"/>
                <w:szCs w:val="21"/>
              </w:rPr>
              <w:t>A1=10</w:t>
            </w:r>
          </w:p>
        </w:tc>
      </w:tr>
    </w:tbl>
    <w:p w14:paraId="2FEFC756">
      <w:pPr>
        <w:pStyle w:val="64"/>
        <w:jc w:val="both"/>
        <w:textAlignment w:val="baseline"/>
        <w:rPr>
          <w:color w:val="000000" w:themeColor="text1"/>
          <w:sz w:val="21"/>
        </w:rPr>
      </w:pPr>
    </w:p>
    <w:tbl>
      <w:tblPr>
        <w:tblStyle w:val="47"/>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244"/>
        <w:gridCol w:w="1076"/>
        <w:gridCol w:w="710"/>
        <w:gridCol w:w="5959"/>
      </w:tblGrid>
      <w:tr w14:paraId="196E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722" w:type="dxa"/>
            <w:noWrap/>
            <w:vAlign w:val="center"/>
          </w:tcPr>
          <w:p w14:paraId="5CBA2A54">
            <w:pPr>
              <w:snapToGrid w:val="0"/>
              <w:spacing w:line="288" w:lineRule="auto"/>
              <w:textAlignment w:val="baseline"/>
              <w:rPr>
                <w:rFonts w:ascii="宋体" w:hAnsi="宋体" w:cs="宋体"/>
                <w:color w:val="000000" w:themeColor="text1"/>
                <w:szCs w:val="21"/>
              </w:rPr>
            </w:pPr>
            <w:r>
              <w:rPr>
                <w:rFonts w:hint="eastAsia" w:ascii="宋体" w:hAnsi="宋体" w:cs="宋体"/>
                <w:color w:val="000000" w:themeColor="text1"/>
                <w:szCs w:val="21"/>
              </w:rPr>
              <w:t>序号</w:t>
            </w:r>
          </w:p>
        </w:tc>
        <w:tc>
          <w:tcPr>
            <w:tcW w:w="1244" w:type="dxa"/>
            <w:noWrap/>
            <w:vAlign w:val="center"/>
          </w:tcPr>
          <w:p w14:paraId="3359B188">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评审因素</w:t>
            </w:r>
          </w:p>
        </w:tc>
        <w:tc>
          <w:tcPr>
            <w:tcW w:w="1076" w:type="dxa"/>
            <w:noWrap/>
            <w:vAlign w:val="center"/>
          </w:tcPr>
          <w:p w14:paraId="5134F895">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pacing w:val="-6"/>
                <w:szCs w:val="21"/>
              </w:rPr>
              <w:t>计分因素</w:t>
            </w:r>
          </w:p>
        </w:tc>
        <w:tc>
          <w:tcPr>
            <w:tcW w:w="710" w:type="dxa"/>
            <w:noWrap/>
            <w:vAlign w:val="center"/>
          </w:tcPr>
          <w:p w14:paraId="489F2D61">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分值</w:t>
            </w:r>
          </w:p>
        </w:tc>
        <w:tc>
          <w:tcPr>
            <w:tcW w:w="5959" w:type="dxa"/>
            <w:noWrap/>
            <w:vAlign w:val="center"/>
          </w:tcPr>
          <w:p w14:paraId="51072A86">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评分标准</w:t>
            </w:r>
          </w:p>
        </w:tc>
      </w:tr>
      <w:tr w14:paraId="676E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2" w:hRule="atLeast"/>
        </w:trPr>
        <w:tc>
          <w:tcPr>
            <w:tcW w:w="722" w:type="dxa"/>
            <w:vMerge w:val="restart"/>
            <w:noWrap/>
            <w:vAlign w:val="center"/>
          </w:tcPr>
          <w:p w14:paraId="5028EB6B">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1</w:t>
            </w:r>
          </w:p>
        </w:tc>
        <w:tc>
          <w:tcPr>
            <w:tcW w:w="1244" w:type="dxa"/>
            <w:vMerge w:val="restart"/>
            <w:noWrap/>
            <w:vAlign w:val="center"/>
          </w:tcPr>
          <w:p w14:paraId="397F00E3">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 xml:space="preserve">技术 </w:t>
            </w:r>
            <w:r>
              <w:rPr>
                <w:rFonts w:hint="eastAsia" w:ascii="宋体" w:hAnsi="宋体" w:cs="宋体"/>
                <w:b/>
                <w:color w:val="000000" w:themeColor="text1"/>
                <w:szCs w:val="21"/>
              </w:rPr>
              <w:t>A2</w:t>
            </w:r>
          </w:p>
          <w:p w14:paraId="2DE54D68">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（60分）</w:t>
            </w:r>
          </w:p>
        </w:tc>
        <w:tc>
          <w:tcPr>
            <w:tcW w:w="1076" w:type="dxa"/>
            <w:noWrap/>
            <w:vAlign w:val="center"/>
          </w:tcPr>
          <w:p w14:paraId="1E92EEE6">
            <w:pPr>
              <w:snapToGrid w:val="0"/>
              <w:spacing w:line="360" w:lineRule="exact"/>
              <w:jc w:val="center"/>
              <w:rPr>
                <w:rFonts w:ascii="新宋体" w:hAnsi="新宋体" w:eastAsia="新宋体"/>
                <w:bCs/>
                <w:color w:val="000000" w:themeColor="text1"/>
              </w:rPr>
            </w:pPr>
            <w:r>
              <w:rPr>
                <w:rFonts w:hint="eastAsia" w:ascii="新宋体" w:hAnsi="新宋体" w:eastAsia="新宋体"/>
                <w:bCs/>
                <w:color w:val="000000" w:themeColor="text1"/>
              </w:rPr>
              <w:t>施工组织方案</w:t>
            </w:r>
          </w:p>
        </w:tc>
        <w:tc>
          <w:tcPr>
            <w:tcW w:w="710" w:type="dxa"/>
            <w:noWrap/>
            <w:vAlign w:val="center"/>
          </w:tcPr>
          <w:p w14:paraId="0CCBECFE">
            <w:pPr>
              <w:snapToGrid w:val="0"/>
              <w:spacing w:line="360" w:lineRule="exact"/>
              <w:jc w:val="center"/>
              <w:rPr>
                <w:rFonts w:ascii="新宋体" w:hAnsi="新宋体" w:eastAsia="新宋体"/>
                <w:bCs/>
                <w:color w:val="000000" w:themeColor="text1"/>
              </w:rPr>
            </w:pPr>
            <w:r>
              <w:rPr>
                <w:rFonts w:hint="eastAsia" w:ascii="新宋体" w:hAnsi="新宋体" w:eastAsia="新宋体"/>
                <w:bCs/>
                <w:color w:val="000000" w:themeColor="text1"/>
              </w:rPr>
              <w:t>56</w:t>
            </w:r>
          </w:p>
        </w:tc>
        <w:tc>
          <w:tcPr>
            <w:tcW w:w="5959" w:type="dxa"/>
            <w:noWrap/>
            <w:vAlign w:val="center"/>
          </w:tcPr>
          <w:p w14:paraId="198ED3D3">
            <w:pPr>
              <w:snapToGrid w:val="0"/>
              <w:spacing w:line="360" w:lineRule="exact"/>
              <w:rPr>
                <w:rFonts w:ascii="宋体" w:hAnsi="宋体" w:cs="宋体"/>
                <w:color w:val="000000" w:themeColor="text1"/>
                <w:szCs w:val="21"/>
              </w:rPr>
            </w:pPr>
            <w:r>
              <w:rPr>
                <w:rFonts w:hint="eastAsia" w:ascii="宋体" w:hAnsi="宋体" w:cs="宋体"/>
                <w:color w:val="000000" w:themeColor="text1"/>
                <w:szCs w:val="21"/>
              </w:rPr>
              <w:t>供应商根据本项目需求，提供详细的施工组织方案,内容包括但不限于①项目概况②总体施工组织布置及规划③项目的施工方案、方法与技术措施④工程进度及保畅保证措施⑤工程质量管理体系及保证措施⑥安全生产管理体系措施⑦项目风险预测与防范，事故应急预案等</w:t>
            </w:r>
          </w:p>
          <w:p w14:paraId="3897245A">
            <w:pPr>
              <w:numPr>
                <w:ilvl w:val="0"/>
                <w:numId w:val="3"/>
              </w:numPr>
              <w:snapToGrid w:val="0"/>
              <w:spacing w:line="360" w:lineRule="exact"/>
              <w:rPr>
                <w:rFonts w:ascii="宋体" w:hAnsi="宋体" w:cs="宋体"/>
                <w:color w:val="000000" w:themeColor="text1"/>
                <w:szCs w:val="21"/>
              </w:rPr>
            </w:pPr>
            <w:r>
              <w:rPr>
                <w:rFonts w:hint="eastAsia" w:ascii="宋体" w:hAnsi="宋体" w:cs="宋体"/>
                <w:color w:val="000000" w:themeColor="text1"/>
                <w:szCs w:val="21"/>
              </w:rPr>
              <w:t>供应商完全满足工程要求，切实可行且科学合理的计56分；</w:t>
            </w:r>
          </w:p>
          <w:p w14:paraId="4B312040">
            <w:pPr>
              <w:numPr>
                <w:ilvl w:val="0"/>
                <w:numId w:val="3"/>
              </w:numPr>
              <w:snapToGrid w:val="0"/>
              <w:spacing w:line="360" w:lineRule="exact"/>
              <w:rPr>
                <w:rFonts w:ascii="宋体" w:hAnsi="宋体" w:cs="宋体"/>
                <w:color w:val="000000" w:themeColor="text1"/>
                <w:szCs w:val="21"/>
              </w:rPr>
            </w:pPr>
            <w:r>
              <w:rPr>
                <w:rFonts w:hint="eastAsia" w:ascii="宋体" w:hAnsi="宋体" w:cs="宋体"/>
                <w:color w:val="000000" w:themeColor="text1"/>
                <w:szCs w:val="21"/>
              </w:rPr>
              <w:t>供应商基本满足工程要求或提供的施工方案与本项目无实际关联的每处扣5分，扣完为止；</w:t>
            </w:r>
          </w:p>
          <w:p w14:paraId="3A527269">
            <w:pPr>
              <w:numPr>
                <w:ilvl w:val="0"/>
                <w:numId w:val="3"/>
              </w:numPr>
              <w:snapToGrid w:val="0"/>
              <w:spacing w:line="360" w:lineRule="exact"/>
              <w:rPr>
                <w:rFonts w:ascii="宋体" w:hAnsi="宋体" w:cs="宋体"/>
                <w:color w:val="000000" w:themeColor="text1"/>
                <w:szCs w:val="21"/>
              </w:rPr>
            </w:pPr>
            <w:r>
              <w:rPr>
                <w:rFonts w:hint="eastAsia" w:ascii="宋体" w:hAnsi="宋体" w:cs="宋体"/>
                <w:color w:val="000000" w:themeColor="text1"/>
                <w:szCs w:val="21"/>
              </w:rPr>
              <w:t>供应商有缺项漏项的每处扣8分，扣完为止；</w:t>
            </w:r>
          </w:p>
        </w:tc>
      </w:tr>
      <w:tr w14:paraId="0F71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722" w:type="dxa"/>
            <w:vMerge w:val="continue"/>
            <w:noWrap/>
            <w:vAlign w:val="center"/>
          </w:tcPr>
          <w:p w14:paraId="4DAE5354">
            <w:pPr>
              <w:snapToGrid w:val="0"/>
              <w:spacing w:line="288" w:lineRule="auto"/>
              <w:jc w:val="center"/>
              <w:textAlignment w:val="baseline"/>
              <w:rPr>
                <w:rFonts w:ascii="宋体" w:hAnsi="宋体" w:cs="宋体"/>
                <w:color w:val="000000" w:themeColor="text1"/>
                <w:szCs w:val="21"/>
              </w:rPr>
            </w:pPr>
          </w:p>
        </w:tc>
        <w:tc>
          <w:tcPr>
            <w:tcW w:w="1244" w:type="dxa"/>
            <w:vMerge w:val="continue"/>
            <w:noWrap/>
            <w:vAlign w:val="center"/>
          </w:tcPr>
          <w:p w14:paraId="3537EAA3">
            <w:pPr>
              <w:snapToGrid w:val="0"/>
              <w:spacing w:line="288" w:lineRule="auto"/>
              <w:jc w:val="center"/>
              <w:textAlignment w:val="baseline"/>
              <w:rPr>
                <w:rFonts w:ascii="宋体" w:hAnsi="宋体" w:cs="宋体"/>
                <w:color w:val="000000" w:themeColor="text1"/>
                <w:szCs w:val="21"/>
              </w:rPr>
            </w:pPr>
          </w:p>
        </w:tc>
        <w:tc>
          <w:tcPr>
            <w:tcW w:w="1076" w:type="dxa"/>
            <w:noWrap/>
            <w:vAlign w:val="center"/>
          </w:tcPr>
          <w:p w14:paraId="7B0AD188">
            <w:pPr>
              <w:snapToGrid w:val="0"/>
              <w:spacing w:line="360" w:lineRule="exact"/>
              <w:jc w:val="center"/>
              <w:rPr>
                <w:rFonts w:ascii="新宋体" w:hAnsi="新宋体" w:eastAsia="新宋体"/>
                <w:bCs/>
                <w:color w:val="000000" w:themeColor="text1"/>
              </w:rPr>
            </w:pPr>
            <w:r>
              <w:rPr>
                <w:rFonts w:hint="eastAsia" w:ascii="新宋体" w:hAnsi="新宋体" w:eastAsia="新宋体"/>
                <w:bCs/>
                <w:color w:val="000000" w:themeColor="text1"/>
              </w:rPr>
              <w:t>合理化建议</w:t>
            </w:r>
          </w:p>
        </w:tc>
        <w:tc>
          <w:tcPr>
            <w:tcW w:w="710" w:type="dxa"/>
            <w:noWrap/>
            <w:vAlign w:val="center"/>
          </w:tcPr>
          <w:p w14:paraId="625D4DF9">
            <w:pPr>
              <w:snapToGrid w:val="0"/>
              <w:spacing w:line="360" w:lineRule="exact"/>
              <w:jc w:val="center"/>
              <w:rPr>
                <w:rFonts w:ascii="新宋体" w:hAnsi="新宋体" w:eastAsia="新宋体"/>
                <w:bCs/>
                <w:color w:val="000000" w:themeColor="text1"/>
              </w:rPr>
            </w:pPr>
            <w:r>
              <w:rPr>
                <w:rFonts w:hint="eastAsia" w:ascii="新宋体" w:hAnsi="新宋体" w:eastAsia="新宋体"/>
                <w:bCs/>
                <w:color w:val="000000" w:themeColor="text1"/>
              </w:rPr>
              <w:t>4</w:t>
            </w:r>
          </w:p>
        </w:tc>
        <w:tc>
          <w:tcPr>
            <w:tcW w:w="5959" w:type="dxa"/>
            <w:noWrap/>
            <w:vAlign w:val="center"/>
          </w:tcPr>
          <w:p w14:paraId="5ADE50BD">
            <w:pPr>
              <w:snapToGrid w:val="0"/>
              <w:spacing w:line="360" w:lineRule="exact"/>
              <w:rPr>
                <w:rFonts w:ascii="宋体" w:hAnsi="宋体" w:cs="宋体"/>
                <w:color w:val="000000" w:themeColor="text1"/>
                <w:szCs w:val="21"/>
              </w:rPr>
            </w:pPr>
            <w:r>
              <w:rPr>
                <w:rFonts w:hint="eastAsia" w:ascii="宋体" w:hAnsi="宋体"/>
                <w:color w:val="000000" w:themeColor="text1"/>
                <w:szCs w:val="21"/>
              </w:rPr>
              <w:t>供应商对本项目提出了切实、可行的合理化建议，经磋商小组认定能够予以采纳的，每提供1条，得1分，最高不超过 4分。</w:t>
            </w:r>
          </w:p>
        </w:tc>
      </w:tr>
      <w:tr w14:paraId="7D35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22" w:type="dxa"/>
            <w:noWrap/>
            <w:vAlign w:val="center"/>
          </w:tcPr>
          <w:p w14:paraId="63CF93F8">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2</w:t>
            </w:r>
          </w:p>
        </w:tc>
        <w:tc>
          <w:tcPr>
            <w:tcW w:w="1244" w:type="dxa"/>
            <w:noWrap/>
            <w:vAlign w:val="center"/>
          </w:tcPr>
          <w:p w14:paraId="34874D62">
            <w:pPr>
              <w:snapToGrid w:val="0"/>
              <w:spacing w:line="360" w:lineRule="exact"/>
              <w:rPr>
                <w:rFonts w:ascii="宋体" w:hAnsi="宋体"/>
                <w:color w:val="000000" w:themeColor="text1"/>
                <w:szCs w:val="21"/>
              </w:rPr>
            </w:pPr>
            <w:r>
              <w:rPr>
                <w:rFonts w:hint="eastAsia" w:ascii="宋体" w:hAnsi="宋体"/>
                <w:color w:val="000000" w:themeColor="text1"/>
                <w:szCs w:val="21"/>
              </w:rPr>
              <w:t>商务 A3</w:t>
            </w:r>
          </w:p>
          <w:p w14:paraId="7A82C9B5">
            <w:pPr>
              <w:snapToGrid w:val="0"/>
              <w:spacing w:line="360" w:lineRule="exact"/>
              <w:rPr>
                <w:rFonts w:ascii="宋体" w:hAnsi="宋体"/>
                <w:color w:val="000000" w:themeColor="text1"/>
                <w:szCs w:val="21"/>
              </w:rPr>
            </w:pPr>
            <w:r>
              <w:rPr>
                <w:rFonts w:hint="eastAsia" w:ascii="宋体" w:hAnsi="宋体"/>
                <w:color w:val="000000" w:themeColor="text1"/>
                <w:szCs w:val="21"/>
              </w:rPr>
              <w:t>（30分）</w:t>
            </w:r>
          </w:p>
        </w:tc>
        <w:tc>
          <w:tcPr>
            <w:tcW w:w="1076" w:type="dxa"/>
            <w:noWrap/>
            <w:vAlign w:val="center"/>
          </w:tcPr>
          <w:p w14:paraId="228F42B9">
            <w:pPr>
              <w:snapToGrid w:val="0"/>
              <w:spacing w:line="360" w:lineRule="exact"/>
              <w:rPr>
                <w:rFonts w:ascii="宋体" w:hAnsi="宋体"/>
                <w:color w:val="000000" w:themeColor="text1"/>
                <w:szCs w:val="21"/>
              </w:rPr>
            </w:pPr>
            <w:r>
              <w:rPr>
                <w:rFonts w:hint="eastAsia" w:ascii="宋体" w:hAnsi="宋体"/>
                <w:color w:val="000000" w:themeColor="text1"/>
                <w:szCs w:val="21"/>
              </w:rPr>
              <w:t>企业业绩</w:t>
            </w:r>
          </w:p>
        </w:tc>
        <w:tc>
          <w:tcPr>
            <w:tcW w:w="710" w:type="dxa"/>
            <w:noWrap/>
            <w:vAlign w:val="center"/>
          </w:tcPr>
          <w:p w14:paraId="0571C9CC">
            <w:pPr>
              <w:snapToGrid w:val="0"/>
              <w:spacing w:line="360" w:lineRule="exact"/>
              <w:jc w:val="center"/>
              <w:rPr>
                <w:rFonts w:ascii="宋体" w:hAnsi="宋体"/>
                <w:color w:val="000000" w:themeColor="text1"/>
                <w:szCs w:val="21"/>
              </w:rPr>
            </w:pPr>
            <w:r>
              <w:rPr>
                <w:rFonts w:hint="eastAsia" w:ascii="宋体" w:hAnsi="宋体"/>
                <w:color w:val="000000" w:themeColor="text1"/>
                <w:szCs w:val="21"/>
              </w:rPr>
              <w:t>30</w:t>
            </w:r>
          </w:p>
        </w:tc>
        <w:tc>
          <w:tcPr>
            <w:tcW w:w="5959" w:type="dxa"/>
            <w:noWrap/>
            <w:vAlign w:val="center"/>
          </w:tcPr>
          <w:p w14:paraId="720334DE">
            <w:pPr>
              <w:snapToGrid w:val="0"/>
              <w:spacing w:line="360" w:lineRule="exact"/>
              <w:rPr>
                <w:rFonts w:ascii="宋体" w:hAnsi="宋体"/>
                <w:color w:val="000000" w:themeColor="text1"/>
                <w:szCs w:val="21"/>
              </w:rPr>
            </w:pPr>
            <w:r>
              <w:rPr>
                <w:rFonts w:hint="eastAsia" w:ascii="宋体" w:hAnsi="宋体"/>
                <w:color w:val="000000" w:themeColor="text1"/>
                <w:szCs w:val="21"/>
              </w:rPr>
              <w:t>供应商近3年内（自2021年1月1日起至响应磋商截止时间之前）具有同类或类似项目业绩的每个计10分；最高计30分。</w:t>
            </w:r>
          </w:p>
          <w:p w14:paraId="6C127A5E">
            <w:pPr>
              <w:snapToGrid w:val="0"/>
              <w:spacing w:line="360" w:lineRule="exact"/>
              <w:rPr>
                <w:rFonts w:ascii="宋体" w:hAnsi="宋体"/>
                <w:color w:val="000000" w:themeColor="text1"/>
                <w:szCs w:val="21"/>
              </w:rPr>
            </w:pPr>
            <w:r>
              <w:rPr>
                <w:rFonts w:hint="eastAsia" w:ascii="宋体" w:hAnsi="宋体"/>
                <w:color w:val="000000" w:themeColor="text1"/>
                <w:szCs w:val="21"/>
              </w:rPr>
              <w:t>注：1、提供中标（成交）通知书或施工合同复印件。</w:t>
            </w:r>
          </w:p>
        </w:tc>
      </w:tr>
      <w:tr w14:paraId="61012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722" w:type="dxa"/>
            <w:noWrap/>
            <w:vAlign w:val="center"/>
          </w:tcPr>
          <w:p w14:paraId="4063BB2E">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3</w:t>
            </w:r>
          </w:p>
        </w:tc>
        <w:tc>
          <w:tcPr>
            <w:tcW w:w="1244" w:type="dxa"/>
            <w:noWrap/>
            <w:vAlign w:val="center"/>
          </w:tcPr>
          <w:p w14:paraId="49657808">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磋商报价</w:t>
            </w:r>
          </w:p>
          <w:p w14:paraId="748CD258">
            <w:pPr>
              <w:snapToGrid w:val="0"/>
              <w:spacing w:line="288" w:lineRule="auto"/>
              <w:jc w:val="center"/>
              <w:textAlignment w:val="baseline"/>
              <w:rPr>
                <w:rFonts w:ascii="宋体" w:hAnsi="宋体" w:cs="宋体"/>
                <w:color w:val="000000" w:themeColor="text1"/>
                <w:szCs w:val="21"/>
              </w:rPr>
            </w:pPr>
            <w:r>
              <w:rPr>
                <w:rFonts w:hint="eastAsia" w:ascii="宋体" w:hAnsi="宋体" w:cs="宋体"/>
                <w:color w:val="000000" w:themeColor="text1"/>
                <w:szCs w:val="21"/>
              </w:rPr>
              <w:t>A1</w:t>
            </w:r>
          </w:p>
          <w:p w14:paraId="1E04C904">
            <w:pPr>
              <w:pStyle w:val="46"/>
              <w:spacing w:line="288" w:lineRule="auto"/>
              <w:ind w:left="0" w:leftChars="0" w:firstLine="0"/>
              <w:textAlignment w:val="baseline"/>
              <w:rPr>
                <w:rFonts w:ascii="宋体" w:hAnsi="宋体" w:cs="宋体"/>
                <w:color w:val="000000" w:themeColor="text1"/>
                <w:sz w:val="21"/>
                <w:szCs w:val="21"/>
                <w:lang w:val="en-US" w:eastAsia="zh-CN"/>
              </w:rPr>
            </w:pPr>
            <w:r>
              <w:rPr>
                <w:rFonts w:hint="eastAsia" w:ascii="宋体" w:hAnsi="宋体" w:cs="宋体"/>
                <w:color w:val="000000" w:themeColor="text1"/>
                <w:kern w:val="2"/>
                <w:sz w:val="21"/>
                <w:szCs w:val="21"/>
                <w:lang w:val="en-US" w:eastAsia="zh-CN"/>
              </w:rPr>
              <w:t>（10分）</w:t>
            </w:r>
          </w:p>
        </w:tc>
        <w:tc>
          <w:tcPr>
            <w:tcW w:w="7745" w:type="dxa"/>
            <w:gridSpan w:val="3"/>
            <w:noWrap/>
            <w:vAlign w:val="center"/>
          </w:tcPr>
          <w:p w14:paraId="4E093338">
            <w:pPr>
              <w:snapToGrid w:val="0"/>
              <w:spacing w:line="288" w:lineRule="auto"/>
              <w:jc w:val="left"/>
              <w:textAlignment w:val="baseline"/>
              <w:rPr>
                <w:color w:val="000000" w:themeColor="text1"/>
              </w:rPr>
            </w:pPr>
            <w:r>
              <w:rPr>
                <w:rFonts w:hint="eastAsia"/>
                <w:color w:val="000000" w:themeColor="text1"/>
              </w:rPr>
              <w:t>满足磋商文件要求且最后报价最低的供应商的价格为磋商基准价，其价格分为满分。其他供应商的价格分统一按照下列公式计算：</w:t>
            </w:r>
          </w:p>
          <w:p w14:paraId="79C90F68">
            <w:pPr>
              <w:snapToGrid w:val="0"/>
              <w:spacing w:line="288" w:lineRule="auto"/>
              <w:jc w:val="left"/>
              <w:textAlignment w:val="baseline"/>
              <w:rPr>
                <w:color w:val="000000" w:themeColor="text1"/>
              </w:rPr>
            </w:pPr>
            <w:r>
              <w:rPr>
                <w:rFonts w:hint="eastAsia"/>
                <w:color w:val="000000" w:themeColor="text1"/>
              </w:rPr>
              <w:t>磋商报价得分=（磋商基准价/最后磋商报价）×100×价格权值</w:t>
            </w:r>
          </w:p>
          <w:p w14:paraId="588FBF47">
            <w:pPr>
              <w:snapToGrid w:val="0"/>
              <w:spacing w:line="288" w:lineRule="auto"/>
              <w:jc w:val="left"/>
              <w:textAlignment w:val="baseline"/>
              <w:rPr>
                <w:color w:val="000000" w:themeColor="text1"/>
              </w:rPr>
            </w:pPr>
            <w:r>
              <w:rPr>
                <w:rFonts w:hint="eastAsia"/>
                <w:color w:val="000000" w:themeColor="text1"/>
              </w:rPr>
              <w:t>项目评审过程中，不得去掉最后报价中的最高报价和最低报价。</w:t>
            </w:r>
          </w:p>
        </w:tc>
      </w:tr>
      <w:tr w14:paraId="1DDB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711" w:type="dxa"/>
            <w:gridSpan w:val="5"/>
            <w:noWrap/>
            <w:vAlign w:val="center"/>
          </w:tcPr>
          <w:p w14:paraId="0D30DC05">
            <w:pPr>
              <w:spacing w:line="288" w:lineRule="auto"/>
              <w:jc w:val="left"/>
              <w:textAlignment w:val="baseline"/>
              <w:rPr>
                <w:rFonts w:ascii="宋体" w:hAnsi="宋体" w:cs="宋体"/>
                <w:b/>
                <w:bCs/>
                <w:color w:val="000000" w:themeColor="text1"/>
                <w:szCs w:val="21"/>
              </w:rPr>
            </w:pPr>
            <w:r>
              <w:rPr>
                <w:rFonts w:hint="eastAsia" w:ascii="宋体" w:hAnsi="宋体" w:cs="宋体"/>
                <w:b/>
                <w:bCs/>
                <w:color w:val="000000" w:themeColor="text1"/>
                <w:szCs w:val="21"/>
              </w:rPr>
              <w:t>说明：1、评分依据评标标准，对照响应文件进行。评标标准涉及要求提供复印件（或原件的），响应文件中须附相关证书和证明文件的复印件并加盖单位公章，否则相应计分项不予计分。</w:t>
            </w:r>
          </w:p>
          <w:p w14:paraId="6CDBDC02">
            <w:pPr>
              <w:spacing w:line="288" w:lineRule="auto"/>
              <w:jc w:val="left"/>
              <w:textAlignment w:val="baseline"/>
              <w:rPr>
                <w:rFonts w:ascii="宋体" w:hAnsi="宋体" w:cs="宋体"/>
                <w:b/>
                <w:bCs/>
                <w:color w:val="000000" w:themeColor="text1"/>
                <w:szCs w:val="21"/>
              </w:rPr>
            </w:pPr>
            <w:r>
              <w:rPr>
                <w:rFonts w:hint="eastAsia" w:ascii="宋体" w:hAnsi="宋体" w:cs="宋体"/>
                <w:b/>
                <w:bCs/>
                <w:color w:val="000000" w:themeColor="text1"/>
                <w:szCs w:val="21"/>
              </w:rPr>
              <w:t>2、供应商参与政府采购应提供真实有效的证明材料，应当诚信守法、公平竞争。如有以提供虚假材料（包括但不限于虚假技术参数响应、虚假业绩、虚假证书等）、隐瞒失信信息等谋取中标的行为，一经发现，将报行政监管部门严肃查处。</w:t>
            </w:r>
          </w:p>
          <w:p w14:paraId="04363272">
            <w:pPr>
              <w:spacing w:line="288" w:lineRule="auto"/>
              <w:jc w:val="left"/>
              <w:textAlignment w:val="baseline"/>
              <w:rPr>
                <w:rFonts w:ascii="宋体" w:hAnsi="宋体" w:cs="宋体"/>
                <w:color w:val="000000" w:themeColor="text1"/>
                <w:szCs w:val="21"/>
              </w:rPr>
            </w:pPr>
            <w:r>
              <w:rPr>
                <w:rFonts w:hint="eastAsia" w:ascii="宋体" w:hAnsi="宋体" w:cs="宋体"/>
                <w:b/>
                <w:bCs/>
                <w:color w:val="000000" w:themeColor="text1"/>
                <w:szCs w:val="21"/>
              </w:rPr>
              <w:t>3、如评标委员会认为供应商报价明显低于其他通过符合性审查供应商的报价，有可能影响工程质量或者不能诚信履约的，需提交相关证明材料；投标人不能证明其报价合理性的，评标委员会应当将其作为无效投标处理。</w:t>
            </w:r>
          </w:p>
        </w:tc>
      </w:tr>
    </w:tbl>
    <w:p w14:paraId="5CDA3D9F">
      <w:pPr>
        <w:tabs>
          <w:tab w:val="left" w:pos="2590"/>
        </w:tabs>
        <w:snapToGrid w:val="0"/>
        <w:spacing w:line="400" w:lineRule="atLeast"/>
        <w:ind w:right="26"/>
        <w:jc w:val="center"/>
        <w:textAlignment w:val="baseline"/>
        <w:rPr>
          <w:rFonts w:ascii="宋体" w:hAnsi="宋体" w:cs="宋体"/>
          <w:color w:val="000000" w:themeColor="text1"/>
          <w:sz w:val="24"/>
        </w:rPr>
      </w:pPr>
      <w:r>
        <w:rPr>
          <w:rFonts w:hint="eastAsia" w:ascii="宋体" w:hAnsi="宋体" w:cs="宋体"/>
          <w:color w:val="000000" w:themeColor="text1"/>
          <w:sz w:val="24"/>
        </w:rPr>
        <w:t>磋商须知正文</w:t>
      </w:r>
    </w:p>
    <w:p w14:paraId="311A0741">
      <w:pPr>
        <w:snapToGrid w:val="0"/>
        <w:spacing w:line="360" w:lineRule="auto"/>
        <w:textAlignment w:val="baseline"/>
        <w:rPr>
          <w:rFonts w:ascii="宋体" w:hAnsi="宋体" w:cs="宋体"/>
          <w:color w:val="000000" w:themeColor="text1"/>
          <w:szCs w:val="21"/>
        </w:rPr>
      </w:pPr>
      <w:r>
        <w:rPr>
          <w:rFonts w:hint="eastAsia" w:ascii="宋体" w:hAnsi="宋体" w:cs="宋体"/>
          <w:color w:val="000000" w:themeColor="text1"/>
          <w:szCs w:val="21"/>
        </w:rPr>
        <w:t>一、说明</w:t>
      </w:r>
    </w:p>
    <w:p w14:paraId="3F2C11BB">
      <w:pPr>
        <w:snapToGrid w:val="0"/>
        <w:spacing w:line="360" w:lineRule="auto"/>
        <w:textAlignment w:val="baseline"/>
        <w:rPr>
          <w:rFonts w:ascii="宋体" w:hAnsi="宋体" w:cs="宋体"/>
          <w:b/>
          <w:bCs/>
          <w:color w:val="000000" w:themeColor="text1"/>
          <w:szCs w:val="21"/>
        </w:rPr>
      </w:pPr>
      <w:r>
        <w:rPr>
          <w:rFonts w:hint="eastAsia" w:ascii="宋体" w:hAnsi="宋体" w:cs="宋体"/>
          <w:b/>
          <w:bCs/>
          <w:color w:val="000000" w:themeColor="text1"/>
          <w:szCs w:val="21"/>
        </w:rPr>
        <w:t>1.适用范围</w:t>
      </w:r>
    </w:p>
    <w:p w14:paraId="4DB3B4D9">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1.1 本磋商文件仅适用于磋商须知前附表(以下简称</w:t>
      </w:r>
      <w:r>
        <w:rPr>
          <w:rFonts w:hint="eastAsia" w:ascii="宋体" w:hAnsi="宋体" w:cs="宋体"/>
          <w:b/>
          <w:color w:val="000000" w:themeColor="text1"/>
          <w:szCs w:val="21"/>
        </w:rPr>
        <w:t>磋商须知前附表)</w:t>
      </w:r>
      <w:r>
        <w:rPr>
          <w:rFonts w:hint="eastAsia" w:ascii="宋体" w:hAnsi="宋体" w:cs="宋体"/>
          <w:color w:val="000000" w:themeColor="text1"/>
          <w:szCs w:val="21"/>
        </w:rPr>
        <w:t>中所叙述的采购项目。</w:t>
      </w:r>
    </w:p>
    <w:p w14:paraId="13BF8AA7">
      <w:pPr>
        <w:snapToGrid w:val="0"/>
        <w:spacing w:line="360" w:lineRule="auto"/>
        <w:textAlignment w:val="baseline"/>
        <w:rPr>
          <w:rFonts w:ascii="宋体" w:hAnsi="宋体" w:cs="宋体"/>
          <w:b/>
          <w:bCs/>
          <w:color w:val="000000" w:themeColor="text1"/>
          <w:szCs w:val="21"/>
        </w:rPr>
      </w:pPr>
      <w:r>
        <w:rPr>
          <w:rFonts w:hint="eastAsia" w:ascii="宋体" w:hAnsi="宋体" w:cs="宋体"/>
          <w:b/>
          <w:bCs/>
          <w:color w:val="000000" w:themeColor="text1"/>
          <w:szCs w:val="21"/>
        </w:rPr>
        <w:t>2.定义</w:t>
      </w:r>
    </w:p>
    <w:p w14:paraId="628016BD">
      <w:pPr>
        <w:snapToGrid w:val="0"/>
        <w:spacing w:line="360" w:lineRule="auto"/>
        <w:ind w:firstLine="420" w:firstLineChars="200"/>
        <w:textAlignment w:val="baseline"/>
        <w:rPr>
          <w:rFonts w:ascii="宋体" w:hAnsi="宋体" w:cs="宋体"/>
          <w:b/>
          <w:color w:val="000000" w:themeColor="text1"/>
          <w:szCs w:val="21"/>
        </w:rPr>
      </w:pPr>
      <w:r>
        <w:rPr>
          <w:rFonts w:hint="eastAsia" w:ascii="宋体" w:hAnsi="宋体" w:cs="宋体"/>
          <w:color w:val="000000" w:themeColor="text1"/>
          <w:szCs w:val="21"/>
        </w:rPr>
        <w:t>2.1 “采购人”是指依法进行政府采购的国家机关、事业单位、团体组织。本次政府采购的采购人名称、地址、电话、联系人见</w:t>
      </w:r>
      <w:r>
        <w:rPr>
          <w:rFonts w:hint="eastAsia" w:ascii="宋体" w:hAnsi="宋体" w:cs="宋体"/>
          <w:b/>
          <w:color w:val="000000" w:themeColor="text1"/>
          <w:szCs w:val="21"/>
        </w:rPr>
        <w:t>磋商须知前附表</w:t>
      </w:r>
      <w:r>
        <w:rPr>
          <w:rFonts w:hint="eastAsia" w:ascii="宋体" w:hAnsi="宋体" w:cs="宋体"/>
          <w:color w:val="000000" w:themeColor="text1"/>
          <w:szCs w:val="21"/>
        </w:rPr>
        <w:t>。</w:t>
      </w:r>
    </w:p>
    <w:p w14:paraId="0E8991D3">
      <w:pPr>
        <w:snapToGrid w:val="0"/>
        <w:spacing w:line="360" w:lineRule="auto"/>
        <w:ind w:firstLine="420" w:firstLineChars="200"/>
        <w:textAlignment w:val="baseline"/>
        <w:rPr>
          <w:rFonts w:ascii="宋体" w:hAnsi="宋体" w:cs="宋体"/>
          <w:b/>
          <w:color w:val="000000" w:themeColor="text1"/>
          <w:szCs w:val="21"/>
        </w:rPr>
      </w:pPr>
      <w:r>
        <w:rPr>
          <w:rFonts w:hint="eastAsia" w:ascii="宋体" w:hAnsi="宋体" w:cs="宋体"/>
          <w:color w:val="000000" w:themeColor="text1"/>
          <w:szCs w:val="21"/>
        </w:rPr>
        <w:t>2.2 “采购代理机构”是指接受采购人委托，代理采购项目的集中采购机构和其他采购代理机构。本次政府采购的采购代理机构名称、地址、电话、联系人见</w:t>
      </w:r>
      <w:r>
        <w:rPr>
          <w:rFonts w:hint="eastAsia" w:ascii="宋体" w:hAnsi="宋体" w:cs="宋体"/>
          <w:b/>
          <w:color w:val="000000" w:themeColor="text1"/>
          <w:szCs w:val="21"/>
        </w:rPr>
        <w:t>磋商须知前附表。</w:t>
      </w:r>
    </w:p>
    <w:p w14:paraId="49F5B9A2">
      <w:pPr>
        <w:snapToGrid w:val="0"/>
        <w:spacing w:line="360" w:lineRule="auto"/>
        <w:ind w:firstLine="420" w:firstLineChars="200"/>
        <w:textAlignment w:val="baseline"/>
        <w:rPr>
          <w:rFonts w:ascii="宋体" w:hAnsi="宋体" w:cs="宋体"/>
          <w:bCs/>
          <w:color w:val="000000" w:themeColor="text1"/>
          <w:kern w:val="36"/>
          <w:szCs w:val="21"/>
        </w:rPr>
      </w:pPr>
      <w:r>
        <w:rPr>
          <w:rFonts w:hint="eastAsia" w:ascii="宋体" w:hAnsi="宋体" w:cs="宋体"/>
          <w:color w:val="000000" w:themeColor="text1"/>
          <w:szCs w:val="21"/>
        </w:rPr>
        <w:t>2.3 “供应商”是指响应磋商文件要求、参加竞争性磋商采购的法人、其他组织或者自然人。本次政府采购项目</w:t>
      </w:r>
      <w:r>
        <w:rPr>
          <w:rFonts w:hint="eastAsia" w:ascii="宋体" w:hAnsi="宋体" w:cs="宋体"/>
          <w:color w:val="000000" w:themeColor="text1"/>
          <w:kern w:val="0"/>
          <w:szCs w:val="21"/>
        </w:rPr>
        <w:t>邀请</w:t>
      </w:r>
      <w:r>
        <w:rPr>
          <w:rFonts w:hint="eastAsia" w:ascii="宋体" w:hAnsi="宋体" w:cs="宋体"/>
          <w:color w:val="000000" w:themeColor="text1"/>
          <w:szCs w:val="21"/>
        </w:rPr>
        <w:t>的</w:t>
      </w:r>
      <w:r>
        <w:rPr>
          <w:rFonts w:hint="eastAsia" w:ascii="宋体" w:hAnsi="宋体" w:cs="宋体"/>
          <w:color w:val="000000" w:themeColor="text1"/>
          <w:kern w:val="0"/>
          <w:szCs w:val="21"/>
        </w:rPr>
        <w:t>供应商通过</w:t>
      </w:r>
      <w:r>
        <w:rPr>
          <w:rFonts w:hint="eastAsia" w:ascii="宋体" w:hAnsi="宋体" w:cs="宋体"/>
          <w:b/>
          <w:color w:val="000000" w:themeColor="text1"/>
          <w:szCs w:val="21"/>
        </w:rPr>
        <w:t>磋商须知前附表</w:t>
      </w:r>
      <w:r>
        <w:rPr>
          <w:rFonts w:hint="eastAsia" w:ascii="宋体" w:hAnsi="宋体" w:cs="宋体"/>
          <w:color w:val="000000" w:themeColor="text1"/>
          <w:szCs w:val="21"/>
        </w:rPr>
        <w:t>所述方式</w:t>
      </w:r>
      <w:r>
        <w:rPr>
          <w:rFonts w:hint="eastAsia" w:ascii="宋体" w:hAnsi="宋体" w:cs="宋体"/>
          <w:color w:val="000000" w:themeColor="text1"/>
          <w:kern w:val="0"/>
          <w:szCs w:val="21"/>
        </w:rPr>
        <w:t>，邀请符合资格条件的供应商提交响应文件（含资格证明资料），参与竞争性磋商采购活动。</w:t>
      </w:r>
    </w:p>
    <w:p w14:paraId="44D47C3D">
      <w:pPr>
        <w:snapToGrid w:val="0"/>
        <w:spacing w:line="360" w:lineRule="auto"/>
        <w:ind w:firstLine="420" w:firstLineChars="200"/>
        <w:textAlignment w:val="baseline"/>
        <w:rPr>
          <w:rFonts w:ascii="宋体" w:hAnsi="宋体" w:cs="宋体"/>
          <w:color w:val="000000" w:themeColor="text1"/>
          <w:kern w:val="0"/>
          <w:szCs w:val="21"/>
        </w:rPr>
      </w:pPr>
      <w:r>
        <w:rPr>
          <w:rFonts w:hint="eastAsia" w:ascii="宋体" w:hAnsi="宋体" w:cs="宋体"/>
          <w:color w:val="000000" w:themeColor="text1"/>
          <w:szCs w:val="21"/>
        </w:rPr>
        <w:t>2.4 “磋商小组”是指</w:t>
      </w:r>
      <w:r>
        <w:rPr>
          <w:rFonts w:hint="eastAsia" w:ascii="宋体" w:hAnsi="宋体" w:cs="宋体"/>
          <w:color w:val="000000" w:themeColor="text1"/>
          <w:kern w:val="0"/>
          <w:szCs w:val="21"/>
        </w:rPr>
        <w:t>依据财政部</w:t>
      </w:r>
      <w:r>
        <w:rPr>
          <w:rFonts w:hint="eastAsia" w:ascii="宋体" w:hAnsi="宋体" w:cs="宋体"/>
          <w:bCs/>
          <w:color w:val="000000" w:themeColor="text1"/>
          <w:kern w:val="36"/>
          <w:szCs w:val="21"/>
        </w:rPr>
        <w:t>《政府采购竞争性磋商采购方式管理暂行办法》有关规定组建，依法依规</w:t>
      </w:r>
      <w:r>
        <w:rPr>
          <w:rFonts w:hint="eastAsia" w:ascii="宋体" w:hAnsi="宋体" w:cs="宋体"/>
          <w:color w:val="000000" w:themeColor="text1"/>
          <w:kern w:val="0"/>
          <w:szCs w:val="21"/>
        </w:rPr>
        <w:t>履行其职责和义务的机构。</w:t>
      </w:r>
    </w:p>
    <w:p w14:paraId="488C85C9">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2.5 “货物”是指各种形态和种类的物品，包括原资料、燃料、设备、产品等，详见《政府采购品目分类目录》(</w:t>
      </w:r>
      <w:r>
        <w:rPr>
          <w:rStyle w:val="50"/>
          <w:rFonts w:hint="eastAsia" w:ascii="宋体" w:hAnsi="宋体" w:cs="宋体"/>
          <w:b w:val="0"/>
          <w:color w:val="000000" w:themeColor="text1"/>
          <w:szCs w:val="21"/>
        </w:rPr>
        <w:t>财库[2013]189号</w:t>
      </w:r>
      <w:r>
        <w:rPr>
          <w:rFonts w:hint="eastAsia" w:ascii="宋体" w:hAnsi="宋体" w:cs="宋体"/>
          <w:color w:val="000000" w:themeColor="text1"/>
          <w:szCs w:val="21"/>
        </w:rPr>
        <w:t>)。</w:t>
      </w:r>
    </w:p>
    <w:p w14:paraId="07DD7063">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2.6 “工程”是指建设工程，包括建筑物和构筑物的新建、改建、扩建、装修、拆除、修缮等，详见《政府采购品目分类目录》(</w:t>
      </w:r>
      <w:r>
        <w:rPr>
          <w:rStyle w:val="50"/>
          <w:rFonts w:hint="eastAsia" w:ascii="宋体" w:hAnsi="宋体" w:cs="宋体"/>
          <w:b w:val="0"/>
          <w:color w:val="000000" w:themeColor="text1"/>
          <w:szCs w:val="21"/>
        </w:rPr>
        <w:t>财库[2013]189号</w:t>
      </w:r>
      <w:r>
        <w:rPr>
          <w:rFonts w:hint="eastAsia" w:ascii="宋体" w:hAnsi="宋体" w:cs="宋体"/>
          <w:color w:val="000000" w:themeColor="text1"/>
          <w:szCs w:val="21"/>
        </w:rPr>
        <w:t>)。</w:t>
      </w:r>
    </w:p>
    <w:p w14:paraId="119CA7B8">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2.7 “服务”是指除货物和工程以外的其他政府采购对象，详见《政府采购品目分类目录》(</w:t>
      </w:r>
      <w:r>
        <w:rPr>
          <w:rStyle w:val="50"/>
          <w:rFonts w:hint="eastAsia" w:ascii="宋体" w:hAnsi="宋体" w:cs="宋体"/>
          <w:b w:val="0"/>
          <w:color w:val="000000" w:themeColor="text1"/>
          <w:szCs w:val="21"/>
        </w:rPr>
        <w:t>财库[2013]189号</w:t>
      </w:r>
      <w:r>
        <w:rPr>
          <w:rFonts w:hint="eastAsia" w:ascii="宋体" w:hAnsi="宋体" w:cs="宋体"/>
          <w:color w:val="000000" w:themeColor="text1"/>
          <w:szCs w:val="21"/>
        </w:rPr>
        <w:t>)。</w:t>
      </w:r>
    </w:p>
    <w:p w14:paraId="31C3E018">
      <w:pPr>
        <w:snapToGrid w:val="0"/>
        <w:spacing w:line="360" w:lineRule="auto"/>
        <w:ind w:firstLine="420" w:firstLineChars="200"/>
        <w:textAlignment w:val="baseline"/>
        <w:rPr>
          <w:rFonts w:ascii="宋体" w:hAnsi="宋体" w:cs="宋体"/>
          <w:color w:val="000000" w:themeColor="text1"/>
          <w:kern w:val="0"/>
          <w:szCs w:val="21"/>
        </w:rPr>
      </w:pPr>
      <w:r>
        <w:rPr>
          <w:rFonts w:hint="eastAsia" w:ascii="宋体" w:hAnsi="宋体" w:cs="宋体"/>
          <w:color w:val="000000" w:themeColor="text1"/>
          <w:szCs w:val="21"/>
        </w:rPr>
        <w:t>2.8</w:t>
      </w:r>
      <w:r>
        <w:rPr>
          <w:rFonts w:hint="eastAsia" w:ascii="宋体" w:hAnsi="宋体" w:cs="宋体"/>
          <w:color w:val="000000" w:themeColor="text1"/>
          <w:kern w:val="0"/>
          <w:szCs w:val="21"/>
        </w:rPr>
        <w:t xml:space="preserve"> “进口产品”是指通过中国海关报关验放进入中国境内且产自关境外的产品，详见《关于政府采购进口产品管理有关问题的通知》(财库[2007]119号)。</w:t>
      </w:r>
    </w:p>
    <w:p w14:paraId="73CAB676">
      <w:pPr>
        <w:snapToGrid w:val="0"/>
        <w:spacing w:line="360" w:lineRule="auto"/>
        <w:textAlignment w:val="baseline"/>
        <w:rPr>
          <w:rFonts w:ascii="宋体" w:hAnsi="宋体" w:cs="宋体"/>
          <w:b/>
          <w:bCs/>
          <w:color w:val="000000" w:themeColor="text1"/>
          <w:szCs w:val="21"/>
        </w:rPr>
      </w:pPr>
      <w:r>
        <w:rPr>
          <w:rFonts w:hint="eastAsia" w:ascii="宋体" w:hAnsi="宋体" w:cs="宋体"/>
          <w:b/>
          <w:bCs/>
          <w:color w:val="000000" w:themeColor="text1"/>
          <w:szCs w:val="21"/>
        </w:rPr>
        <w:t>3.供应商的资格要求</w:t>
      </w:r>
    </w:p>
    <w:p w14:paraId="3CE5B800">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3.1 供应商应当符合</w:t>
      </w:r>
      <w:r>
        <w:rPr>
          <w:rFonts w:hint="eastAsia" w:ascii="宋体" w:hAnsi="宋体" w:cs="宋体"/>
          <w:b/>
          <w:color w:val="000000" w:themeColor="text1"/>
          <w:szCs w:val="21"/>
        </w:rPr>
        <w:t>磋商须知前附表</w:t>
      </w:r>
      <w:r>
        <w:rPr>
          <w:rFonts w:hint="eastAsia" w:ascii="宋体" w:hAnsi="宋体" w:cs="宋体"/>
          <w:color w:val="000000" w:themeColor="text1"/>
          <w:szCs w:val="21"/>
        </w:rPr>
        <w:t>中规定的资格条件要求。</w:t>
      </w:r>
    </w:p>
    <w:p w14:paraId="358E6749">
      <w:pPr>
        <w:snapToGrid w:val="0"/>
        <w:spacing w:line="360" w:lineRule="auto"/>
        <w:ind w:firstLine="420" w:firstLineChars="200"/>
        <w:jc w:val="left"/>
        <w:textAlignment w:val="baseline"/>
        <w:rPr>
          <w:rFonts w:ascii="宋体" w:hAnsi="宋体" w:cs="宋体"/>
          <w:color w:val="000000" w:themeColor="text1"/>
          <w:szCs w:val="21"/>
        </w:rPr>
      </w:pPr>
      <w:r>
        <w:rPr>
          <w:rFonts w:hint="eastAsia" w:ascii="宋体" w:hAnsi="宋体" w:cs="宋体"/>
          <w:color w:val="000000" w:themeColor="text1"/>
          <w:szCs w:val="21"/>
        </w:rPr>
        <w:t xml:space="preserve">3.2供应商为联合体形式的，除应满足本章第3.1款资格条件要求及第3.3款规定外，还应遵守以下规定： </w:t>
      </w:r>
    </w:p>
    <w:p w14:paraId="35BDE126">
      <w:pPr>
        <w:snapToGrid w:val="0"/>
        <w:spacing w:line="360" w:lineRule="auto"/>
        <w:ind w:firstLine="420" w:firstLineChars="200"/>
        <w:jc w:val="left"/>
        <w:textAlignment w:val="baseline"/>
        <w:rPr>
          <w:rFonts w:ascii="宋体" w:hAnsi="宋体" w:cs="宋体"/>
          <w:color w:val="000000" w:themeColor="text1"/>
          <w:kern w:val="0"/>
          <w:szCs w:val="21"/>
          <w:lang w:val="zh-CN"/>
        </w:rPr>
      </w:pPr>
      <w:r>
        <w:rPr>
          <w:rFonts w:hint="eastAsia" w:ascii="宋体" w:hAnsi="宋体" w:cs="宋体"/>
          <w:color w:val="000000" w:themeColor="text1"/>
          <w:kern w:val="0"/>
          <w:szCs w:val="21"/>
          <w:lang w:val="zh-CN"/>
        </w:rPr>
        <w:t>（1）联合体各方应按磋商文件提供的格式签订联合体协议书，明确联合体牵头人和各方权利义务(含承担工作及工作量比例)；</w:t>
      </w:r>
    </w:p>
    <w:p w14:paraId="411022AE">
      <w:pPr>
        <w:snapToGrid w:val="0"/>
        <w:spacing w:line="360" w:lineRule="auto"/>
        <w:ind w:firstLine="420" w:firstLineChars="200"/>
        <w:jc w:val="left"/>
        <w:textAlignment w:val="baseline"/>
        <w:rPr>
          <w:rFonts w:ascii="宋体" w:hAnsi="宋体" w:cs="宋体"/>
          <w:color w:val="000000" w:themeColor="text1"/>
          <w:kern w:val="0"/>
          <w:szCs w:val="21"/>
          <w:lang w:val="zh-CN"/>
        </w:rPr>
      </w:pPr>
      <w:r>
        <w:rPr>
          <w:rFonts w:hint="eastAsia" w:ascii="宋体" w:hAnsi="宋体" w:cs="宋体"/>
          <w:color w:val="000000" w:themeColor="text1"/>
          <w:kern w:val="0"/>
          <w:szCs w:val="21"/>
          <w:lang w:val="zh-CN"/>
        </w:rPr>
        <w:t>（2）联合体中有同类资质的供应商按照联合体分工承担相同工作的，应当按照资质等级较低的供应商确定资质等级；</w:t>
      </w:r>
    </w:p>
    <w:p w14:paraId="5B61965D">
      <w:pPr>
        <w:snapToGrid w:val="0"/>
        <w:spacing w:line="360" w:lineRule="auto"/>
        <w:ind w:firstLine="420" w:firstLineChars="200"/>
        <w:jc w:val="left"/>
        <w:textAlignment w:val="baseline"/>
        <w:rPr>
          <w:rFonts w:ascii="宋体" w:hAnsi="宋体" w:cs="宋体"/>
          <w:color w:val="000000" w:themeColor="text1"/>
          <w:kern w:val="0"/>
          <w:szCs w:val="21"/>
          <w:lang w:val="zh-CN"/>
        </w:rPr>
      </w:pPr>
      <w:r>
        <w:rPr>
          <w:rFonts w:hint="eastAsia" w:ascii="宋体" w:hAnsi="宋体" w:cs="宋体"/>
          <w:color w:val="000000" w:themeColor="text1"/>
          <w:kern w:val="0"/>
          <w:szCs w:val="21"/>
          <w:lang w:val="zh-CN"/>
        </w:rPr>
        <w:t>（3）以联合体形式参加政府采购活动的，联合体各方不得再单独参加或者与其他供应商另外组成联合体参加同一合同项下的政府采购活动。</w:t>
      </w:r>
    </w:p>
    <w:p w14:paraId="5B3A9DE3">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3.3 供应商不得存在下列情形之一：</w:t>
      </w:r>
    </w:p>
    <w:p w14:paraId="473EF5FA">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（l）与采购人、采购代理机构存在</w:t>
      </w:r>
      <w:r>
        <w:rPr>
          <w:rFonts w:hint="eastAsia" w:ascii="宋体" w:hAnsi="宋体" w:cs="宋体"/>
          <w:bCs/>
          <w:color w:val="000000" w:themeColor="text1"/>
          <w:szCs w:val="21"/>
        </w:rPr>
        <w:t>隶属关系或者其他利害关系</w:t>
      </w:r>
      <w:r>
        <w:rPr>
          <w:rFonts w:hint="eastAsia" w:ascii="宋体" w:hAnsi="宋体" w:cs="宋体"/>
          <w:color w:val="000000" w:themeColor="text1"/>
          <w:szCs w:val="21"/>
        </w:rPr>
        <w:t>。</w:t>
      </w:r>
    </w:p>
    <w:p w14:paraId="467B3805">
      <w:pPr>
        <w:snapToGrid w:val="0"/>
        <w:spacing w:line="360" w:lineRule="auto"/>
        <w:ind w:firstLine="420" w:firstLineChars="200"/>
        <w:textAlignment w:val="baseline"/>
        <w:rPr>
          <w:rFonts w:ascii="宋体" w:hAnsi="宋体" w:cs="宋体"/>
          <w:szCs w:val="21"/>
        </w:rPr>
      </w:pPr>
      <w:r>
        <w:rPr>
          <w:rFonts w:hint="eastAsia" w:ascii="宋体" w:hAnsi="宋体" w:cs="宋体"/>
          <w:color w:val="000000" w:themeColor="text1"/>
          <w:szCs w:val="21"/>
        </w:rPr>
        <w:t>（2）与其他供应商的法定代表人（或者负责人）为同一</w:t>
      </w:r>
      <w:r>
        <w:rPr>
          <w:rFonts w:hint="eastAsia" w:ascii="宋体" w:hAnsi="宋体" w:cs="宋体"/>
          <w:szCs w:val="21"/>
        </w:rPr>
        <w:t>人，或者与其他供应商存在直接控股、管理关系。</w:t>
      </w:r>
    </w:p>
    <w:p w14:paraId="0203A197">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（3）</w:t>
      </w:r>
      <w:r>
        <w:rPr>
          <w:rFonts w:hint="eastAsia" w:ascii="宋体" w:hAnsi="宋体" w:cs="宋体"/>
          <w:bCs/>
          <w:szCs w:val="21"/>
        </w:rPr>
        <w:t>受到刑事处罚，或者责令停产停业、在一至三年内禁止参加政府采购活动、暂扣或者吊销许可证、暂扣或者吊销执照等情形之一的行政处罚，或者存在</w:t>
      </w:r>
      <w:r>
        <w:rPr>
          <w:rFonts w:hint="eastAsia" w:ascii="宋体" w:hAnsi="宋体" w:cs="宋体"/>
          <w:szCs w:val="21"/>
        </w:rPr>
        <w:t>财政部门认定的其他重大违法记录。</w:t>
      </w:r>
    </w:p>
    <w:p w14:paraId="78B4F73D">
      <w:pPr>
        <w:snapToGrid w:val="0"/>
        <w:spacing w:line="360" w:lineRule="auto"/>
        <w:textAlignment w:val="baseline"/>
        <w:rPr>
          <w:rFonts w:ascii="宋体" w:hAnsi="宋体" w:cs="宋体"/>
          <w:b/>
          <w:bCs/>
          <w:szCs w:val="21"/>
        </w:rPr>
      </w:pPr>
      <w:r>
        <w:rPr>
          <w:rFonts w:hint="eastAsia" w:ascii="宋体" w:hAnsi="宋体" w:cs="宋体"/>
          <w:b/>
          <w:bCs/>
          <w:szCs w:val="21"/>
        </w:rPr>
        <w:t xml:space="preserve">4.参与磋商的费用 </w:t>
      </w:r>
    </w:p>
    <w:p w14:paraId="7DD6CF74">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4.1 无论磋商的结果如何，供应商应自行承担所有与竞争性磋商采购活动有关的全部费用。</w:t>
      </w:r>
    </w:p>
    <w:p w14:paraId="7C09BA94">
      <w:pPr>
        <w:pStyle w:val="26"/>
        <w:snapToGrid w:val="0"/>
        <w:spacing w:line="360" w:lineRule="auto"/>
        <w:textAlignment w:val="baseline"/>
        <w:rPr>
          <w:rFonts w:hAnsi="宋体" w:cs="宋体"/>
          <w:b/>
          <w:bCs/>
          <w:sz w:val="21"/>
        </w:rPr>
      </w:pPr>
      <w:r>
        <w:rPr>
          <w:rFonts w:hint="eastAsia" w:hAnsi="宋体" w:cs="宋体"/>
          <w:b/>
          <w:sz w:val="21"/>
        </w:rPr>
        <w:t>5．</w:t>
      </w:r>
      <w:r>
        <w:rPr>
          <w:rFonts w:hint="eastAsia" w:hAnsi="宋体" w:cs="宋体"/>
          <w:b/>
          <w:bCs/>
          <w:sz w:val="21"/>
        </w:rPr>
        <w:t>授权委托</w:t>
      </w:r>
    </w:p>
    <w:p w14:paraId="756D9134">
      <w:pPr>
        <w:pStyle w:val="26"/>
        <w:snapToGrid w:val="0"/>
        <w:spacing w:line="360" w:lineRule="auto"/>
        <w:ind w:firstLine="420" w:firstLineChars="200"/>
        <w:textAlignment w:val="baseline"/>
        <w:rPr>
          <w:rFonts w:hAnsi="宋体" w:cs="宋体"/>
          <w:sz w:val="21"/>
        </w:rPr>
      </w:pPr>
      <w:r>
        <w:rPr>
          <w:rFonts w:hint="eastAsia" w:hAnsi="宋体" w:cs="宋体"/>
          <w:kern w:val="2"/>
          <w:sz w:val="21"/>
        </w:rPr>
        <w:t>5.1供应商代表为供应商法定代表人的，应持有法定代表人身份证明。供应商代表不是供应商法定代表人的，应持有法定代表人授权书，并附法定代表人身份证明。</w:t>
      </w:r>
    </w:p>
    <w:p w14:paraId="440B596B">
      <w:pPr>
        <w:pStyle w:val="26"/>
        <w:snapToGrid w:val="0"/>
        <w:spacing w:line="360" w:lineRule="auto"/>
        <w:textAlignment w:val="baseline"/>
        <w:rPr>
          <w:rFonts w:hAnsi="宋体" w:cs="宋体"/>
          <w:b/>
          <w:sz w:val="21"/>
        </w:rPr>
      </w:pPr>
      <w:r>
        <w:rPr>
          <w:rFonts w:hint="eastAsia" w:hAnsi="宋体" w:cs="宋体"/>
          <w:b/>
          <w:sz w:val="21"/>
        </w:rPr>
        <w:t>6．联合体形式</w:t>
      </w:r>
    </w:p>
    <w:p w14:paraId="76F001D3">
      <w:pPr>
        <w:pStyle w:val="26"/>
        <w:snapToGrid w:val="0"/>
        <w:spacing w:line="360" w:lineRule="auto"/>
        <w:ind w:firstLine="420" w:firstLineChars="200"/>
        <w:textAlignment w:val="baseline"/>
        <w:rPr>
          <w:rFonts w:hAnsi="宋体" w:cs="宋体"/>
          <w:sz w:val="21"/>
        </w:rPr>
      </w:pPr>
      <w:r>
        <w:rPr>
          <w:rFonts w:hint="eastAsia" w:hAnsi="宋体" w:cs="宋体"/>
          <w:sz w:val="21"/>
        </w:rPr>
        <w:t>6.1</w:t>
      </w:r>
      <w:r>
        <w:rPr>
          <w:rFonts w:hint="eastAsia" w:hAnsi="宋体" w:cs="宋体"/>
          <w:kern w:val="2"/>
          <w:sz w:val="21"/>
        </w:rPr>
        <w:t>除</w:t>
      </w:r>
      <w:r>
        <w:rPr>
          <w:rFonts w:hint="eastAsia" w:hAnsi="宋体" w:cs="宋体"/>
          <w:b/>
          <w:kern w:val="2"/>
          <w:sz w:val="21"/>
        </w:rPr>
        <w:t>磋商须知前附表</w:t>
      </w:r>
      <w:r>
        <w:rPr>
          <w:rFonts w:hint="eastAsia" w:hAnsi="宋体" w:cs="宋体"/>
          <w:kern w:val="2"/>
          <w:sz w:val="21"/>
        </w:rPr>
        <w:t>中另有规定，本次采购不接受为联合体形式的供应商。</w:t>
      </w:r>
    </w:p>
    <w:p w14:paraId="1EA70A1E">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6.2供应商为联合体形式的，除应符合本章第3条规定外，还应遵守以下规定：</w:t>
      </w:r>
    </w:p>
    <w:p w14:paraId="7B7E4E4D">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（l）联合体各方必须签订联合体协议书，明确联合体牵头人和各方的义务、工作、合同工作量比例；</w:t>
      </w:r>
    </w:p>
    <w:p w14:paraId="53F53B4F">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（2）联合体各方均应当符合本章第3.1</w:t>
      </w:r>
      <w:r>
        <w:rPr>
          <w:rFonts w:hint="eastAsia" w:ascii="宋体" w:hAnsi="宋体" w:cs="宋体"/>
          <w:szCs w:val="21"/>
          <w:lang w:val="zh-CN"/>
        </w:rPr>
        <w:t>款</w:t>
      </w:r>
      <w:r>
        <w:rPr>
          <w:rFonts w:hint="eastAsia" w:ascii="宋体" w:hAnsi="宋体" w:cs="宋体"/>
          <w:szCs w:val="21"/>
        </w:rPr>
        <w:t>规定的供应商基本资格条件；</w:t>
      </w:r>
    </w:p>
    <w:p w14:paraId="1B0504CB">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（3）除</w:t>
      </w:r>
      <w:r>
        <w:rPr>
          <w:rFonts w:hint="eastAsia" w:ascii="宋体" w:hAnsi="宋体" w:cs="宋体"/>
          <w:b/>
          <w:szCs w:val="21"/>
        </w:rPr>
        <w:t>磋商须知前附表</w:t>
      </w:r>
      <w:r>
        <w:rPr>
          <w:rFonts w:hint="eastAsia" w:ascii="宋体" w:hAnsi="宋体" w:cs="宋体"/>
          <w:szCs w:val="21"/>
        </w:rPr>
        <w:t>中另有规定，联合体各方中至少有一方应当符合本章第3.1</w:t>
      </w:r>
      <w:r>
        <w:rPr>
          <w:rFonts w:hint="eastAsia" w:ascii="宋体" w:hAnsi="宋体" w:cs="宋体"/>
          <w:kern w:val="0"/>
          <w:szCs w:val="21"/>
          <w:lang w:val="zh-CN"/>
        </w:rPr>
        <w:t>款</w:t>
      </w:r>
      <w:r>
        <w:rPr>
          <w:rFonts w:hint="eastAsia" w:ascii="宋体" w:hAnsi="宋体" w:cs="宋体"/>
          <w:szCs w:val="21"/>
        </w:rPr>
        <w:t>规定的供应商特定资格条件；</w:t>
      </w:r>
    </w:p>
    <w:p w14:paraId="32A9526F">
      <w:pPr>
        <w:snapToGrid w:val="0"/>
        <w:spacing w:line="360" w:lineRule="auto"/>
        <w:ind w:firstLine="420" w:firstLineChars="200"/>
        <w:jc w:val="left"/>
        <w:textAlignment w:val="baseline"/>
        <w:rPr>
          <w:rFonts w:ascii="宋体" w:hAnsi="宋体" w:cs="宋体"/>
          <w:kern w:val="0"/>
          <w:szCs w:val="21"/>
          <w:lang w:val="zh-CN"/>
        </w:rPr>
      </w:pPr>
      <w:r>
        <w:rPr>
          <w:rFonts w:hint="eastAsia" w:ascii="宋体" w:hAnsi="宋体" w:cs="宋体"/>
          <w:szCs w:val="21"/>
        </w:rPr>
        <w:t>（4）</w:t>
      </w:r>
      <w:r>
        <w:rPr>
          <w:rFonts w:hint="eastAsia" w:ascii="宋体" w:hAnsi="宋体" w:cs="宋体"/>
          <w:kern w:val="0"/>
          <w:szCs w:val="21"/>
          <w:lang w:val="zh-CN"/>
        </w:rPr>
        <w:t>联合体各方不得再单独或与其他供应商组成新的联合体参加同一项目的采购活动。</w:t>
      </w:r>
    </w:p>
    <w:p w14:paraId="385330C2">
      <w:pPr>
        <w:snapToGrid w:val="0"/>
        <w:spacing w:line="360" w:lineRule="auto"/>
        <w:textAlignment w:val="baseline"/>
        <w:rPr>
          <w:rFonts w:ascii="宋体" w:hAnsi="宋体" w:cs="宋体"/>
          <w:b/>
          <w:szCs w:val="21"/>
        </w:rPr>
      </w:pPr>
      <w:r>
        <w:rPr>
          <w:rFonts w:hint="eastAsia" w:ascii="宋体" w:hAnsi="宋体" w:cs="宋体"/>
          <w:b/>
          <w:szCs w:val="21"/>
        </w:rPr>
        <w:t>7.现场勘察</w:t>
      </w:r>
    </w:p>
    <w:p w14:paraId="2BB600EB">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7.1供应商应按</w:t>
      </w:r>
      <w:r>
        <w:rPr>
          <w:rFonts w:hint="eastAsia" w:ascii="宋体" w:hAnsi="宋体" w:cs="宋体"/>
          <w:b/>
          <w:szCs w:val="21"/>
        </w:rPr>
        <w:t>磋商须知前附表</w:t>
      </w:r>
      <w:r>
        <w:rPr>
          <w:rFonts w:hint="eastAsia" w:ascii="宋体" w:hAnsi="宋体" w:cs="宋体"/>
          <w:szCs w:val="21"/>
        </w:rPr>
        <w:t>中规定对采购项目现场和周围环境的现场考察。</w:t>
      </w:r>
    </w:p>
    <w:p w14:paraId="67C358D1">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7.2勘察现场的费用由供应商自己承担，勘察期间所发生的人身伤害及财产损失由供应商自己负责。</w:t>
      </w:r>
    </w:p>
    <w:p w14:paraId="757D43FB">
      <w:pPr>
        <w:snapToGrid w:val="0"/>
        <w:spacing w:line="360" w:lineRule="auto"/>
        <w:ind w:firstLine="420" w:firstLineChars="200"/>
        <w:jc w:val="left"/>
        <w:textAlignment w:val="baseline"/>
        <w:rPr>
          <w:rFonts w:ascii="宋体" w:hAnsi="宋体" w:cs="宋体"/>
          <w:kern w:val="0"/>
          <w:szCs w:val="21"/>
          <w:lang w:val="zh-CN"/>
        </w:rPr>
      </w:pPr>
      <w:r>
        <w:rPr>
          <w:rFonts w:hint="eastAsia" w:ascii="宋体" w:hAnsi="宋体" w:cs="宋体"/>
          <w:szCs w:val="21"/>
        </w:rPr>
        <w:t>7.3</w:t>
      </w:r>
      <w:r>
        <w:rPr>
          <w:rFonts w:hint="eastAsia" w:ascii="宋体" w:hAnsi="宋体" w:cs="宋体"/>
          <w:kern w:val="0"/>
          <w:szCs w:val="21"/>
          <w:lang w:val="zh-CN"/>
        </w:rPr>
        <w:t>采购人不对供应商据此而做出的推论、理解和结论负责。一旦成交，供应商不得以任何借口，提出额外补偿，或延长合同期限的要求。</w:t>
      </w:r>
    </w:p>
    <w:p w14:paraId="203162AE">
      <w:pPr>
        <w:snapToGrid w:val="0"/>
        <w:spacing w:line="360" w:lineRule="auto"/>
        <w:jc w:val="left"/>
        <w:textAlignment w:val="baseline"/>
        <w:rPr>
          <w:rFonts w:ascii="宋体" w:hAnsi="宋体" w:cs="宋体"/>
          <w:b/>
          <w:szCs w:val="21"/>
        </w:rPr>
      </w:pPr>
      <w:r>
        <w:rPr>
          <w:rFonts w:hint="eastAsia" w:ascii="宋体" w:hAnsi="宋体" w:cs="宋体"/>
          <w:b/>
          <w:szCs w:val="21"/>
        </w:rPr>
        <w:t>8.采购进口产品</w:t>
      </w:r>
    </w:p>
    <w:p w14:paraId="7E3B391F">
      <w:pPr>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szCs w:val="21"/>
        </w:rPr>
        <w:t>8.1除</w:t>
      </w:r>
      <w:r>
        <w:rPr>
          <w:rFonts w:hint="eastAsia" w:ascii="宋体" w:hAnsi="宋体" w:cs="宋体"/>
          <w:b/>
          <w:szCs w:val="21"/>
        </w:rPr>
        <w:t>磋商文件前附表</w:t>
      </w:r>
      <w:r>
        <w:rPr>
          <w:rFonts w:hint="eastAsia" w:ascii="宋体" w:hAnsi="宋体" w:cs="宋体"/>
          <w:szCs w:val="21"/>
        </w:rPr>
        <w:t>另有规定外，本项目</w:t>
      </w:r>
      <w:r>
        <w:rPr>
          <w:rFonts w:hint="eastAsia" w:ascii="宋体" w:hAnsi="宋体" w:cs="宋体"/>
          <w:kern w:val="0"/>
          <w:szCs w:val="21"/>
        </w:rPr>
        <w:t>拒绝进口产品参加</w:t>
      </w:r>
      <w:r>
        <w:rPr>
          <w:rFonts w:hint="eastAsia" w:ascii="宋体" w:hAnsi="宋体" w:cs="宋体"/>
          <w:szCs w:val="21"/>
        </w:rPr>
        <w:t>竞争性磋商采购活动</w:t>
      </w:r>
      <w:r>
        <w:rPr>
          <w:rFonts w:hint="eastAsia" w:ascii="宋体" w:hAnsi="宋体" w:cs="宋体"/>
          <w:kern w:val="0"/>
          <w:szCs w:val="21"/>
        </w:rPr>
        <w:t>。</w:t>
      </w:r>
    </w:p>
    <w:p w14:paraId="1517AE74">
      <w:pPr>
        <w:snapToGrid w:val="0"/>
        <w:spacing w:line="360" w:lineRule="auto"/>
        <w:ind w:firstLine="420" w:firstLineChars="20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8.2按照相关</w:t>
      </w:r>
      <w:r>
        <w:rPr>
          <w:rFonts w:hint="eastAsia" w:ascii="宋体" w:hAnsi="宋体" w:cs="宋体"/>
          <w:color w:val="000000" w:themeColor="text1"/>
          <w:szCs w:val="21"/>
        </w:rPr>
        <w:t>规定</w:t>
      </w:r>
      <w:r>
        <w:rPr>
          <w:rFonts w:hint="eastAsia" w:ascii="宋体" w:hAnsi="宋体" w:cs="宋体"/>
          <w:color w:val="000000" w:themeColor="text1"/>
          <w:kern w:val="0"/>
          <w:szCs w:val="21"/>
        </w:rPr>
        <w:t>同意购买进口产品的，</w:t>
      </w:r>
      <w:r>
        <w:rPr>
          <w:rFonts w:hint="eastAsia" w:ascii="宋体" w:hAnsi="宋体" w:cs="宋体"/>
          <w:color w:val="000000" w:themeColor="text1"/>
          <w:szCs w:val="21"/>
        </w:rPr>
        <w:t>本项目</w:t>
      </w:r>
      <w:r>
        <w:rPr>
          <w:rFonts w:hint="eastAsia" w:ascii="宋体" w:hAnsi="宋体" w:cs="宋体"/>
          <w:color w:val="000000" w:themeColor="text1"/>
          <w:kern w:val="0"/>
          <w:szCs w:val="21"/>
          <w:lang w:val="zh-CN"/>
        </w:rPr>
        <w:t>采购活动</w:t>
      </w:r>
      <w:r>
        <w:rPr>
          <w:rFonts w:hint="eastAsia" w:ascii="宋体" w:hAnsi="宋体" w:cs="宋体"/>
          <w:color w:val="000000" w:themeColor="text1"/>
          <w:kern w:val="0"/>
          <w:szCs w:val="21"/>
        </w:rPr>
        <w:t>不限制满足</w:t>
      </w:r>
      <w:r>
        <w:rPr>
          <w:rFonts w:hint="eastAsia" w:ascii="宋体" w:hAnsi="宋体" w:cs="宋体"/>
          <w:color w:val="000000" w:themeColor="text1"/>
          <w:szCs w:val="21"/>
        </w:rPr>
        <w:t>磋商文件要求</w:t>
      </w:r>
      <w:r>
        <w:rPr>
          <w:rFonts w:hint="eastAsia" w:ascii="宋体" w:hAnsi="宋体" w:cs="宋体"/>
          <w:color w:val="000000" w:themeColor="text1"/>
          <w:kern w:val="0"/>
          <w:szCs w:val="21"/>
        </w:rPr>
        <w:t>的国内产品参与</w:t>
      </w:r>
      <w:r>
        <w:rPr>
          <w:rFonts w:hint="eastAsia" w:ascii="宋体" w:hAnsi="宋体" w:cs="宋体"/>
          <w:color w:val="000000" w:themeColor="text1"/>
          <w:szCs w:val="21"/>
        </w:rPr>
        <w:t>竞争性磋商</w:t>
      </w:r>
      <w:r>
        <w:rPr>
          <w:rFonts w:hint="eastAsia" w:ascii="宋体" w:hAnsi="宋体" w:cs="宋体"/>
          <w:color w:val="000000" w:themeColor="text1"/>
          <w:kern w:val="0"/>
          <w:szCs w:val="21"/>
        </w:rPr>
        <w:t>。</w:t>
      </w:r>
    </w:p>
    <w:p w14:paraId="2E94494A">
      <w:pPr>
        <w:snapToGrid w:val="0"/>
        <w:spacing w:line="360" w:lineRule="auto"/>
        <w:ind w:left="792" w:hanging="789" w:hangingChars="376"/>
        <w:textAlignment w:val="baseline"/>
        <w:rPr>
          <w:rFonts w:ascii="宋体" w:hAnsi="宋体" w:cs="宋体"/>
          <w:szCs w:val="21"/>
        </w:rPr>
      </w:pPr>
      <w:r>
        <w:rPr>
          <w:rFonts w:hint="eastAsia" w:ascii="宋体" w:hAnsi="宋体" w:cs="宋体"/>
          <w:szCs w:val="21"/>
        </w:rPr>
        <w:t>二、磋商文件</w:t>
      </w:r>
    </w:p>
    <w:p w14:paraId="4ACD702D">
      <w:pPr>
        <w:snapToGrid w:val="0"/>
        <w:spacing w:line="360" w:lineRule="auto"/>
        <w:textAlignment w:val="baseline"/>
        <w:rPr>
          <w:rFonts w:ascii="宋体" w:hAnsi="宋体" w:cs="宋体"/>
          <w:b/>
          <w:bCs/>
          <w:szCs w:val="21"/>
        </w:rPr>
      </w:pPr>
      <w:r>
        <w:rPr>
          <w:rFonts w:hint="eastAsia" w:ascii="宋体" w:hAnsi="宋体" w:cs="宋体"/>
          <w:b/>
          <w:bCs/>
          <w:szCs w:val="21"/>
        </w:rPr>
        <w:t>9．磋商文件的组成</w:t>
      </w:r>
    </w:p>
    <w:p w14:paraId="6A33527F">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en-US" w:eastAsia="zh-CN"/>
        </w:rPr>
        <w:t>9</w:t>
      </w:r>
      <w:r>
        <w:rPr>
          <w:rFonts w:hint="eastAsia" w:hAnsi="宋体" w:cs="宋体"/>
          <w:sz w:val="21"/>
          <w:lang w:val="zh-CN"/>
        </w:rPr>
        <w:t>.1 磋商文件由下列文件组成：</w:t>
      </w:r>
    </w:p>
    <w:p w14:paraId="68AF970F">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zh-CN"/>
        </w:rPr>
        <w:t>第一章 磋商邀请</w:t>
      </w:r>
    </w:p>
    <w:p w14:paraId="0C11FB13">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zh-CN"/>
        </w:rPr>
        <w:t>第二章 磋商须知</w:t>
      </w:r>
    </w:p>
    <w:p w14:paraId="7AB182F4">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zh-CN"/>
        </w:rPr>
        <w:t>第三章 政府采购合同格式条款</w:t>
      </w:r>
    </w:p>
    <w:p w14:paraId="4EA6C355">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zh-CN"/>
        </w:rPr>
        <w:t>第四章 采购需求</w:t>
      </w:r>
    </w:p>
    <w:p w14:paraId="4A604CA6">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zh-CN"/>
        </w:rPr>
        <w:t>第五章 响应文件组成</w:t>
      </w:r>
    </w:p>
    <w:p w14:paraId="471BC03A">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en-US" w:eastAsia="zh-CN"/>
        </w:rPr>
        <w:t>9</w:t>
      </w:r>
      <w:r>
        <w:rPr>
          <w:rFonts w:hint="eastAsia" w:hAnsi="宋体" w:cs="宋体"/>
          <w:sz w:val="21"/>
          <w:lang w:val="zh-CN"/>
        </w:rPr>
        <w:t>.2磋商小组根据与供应商磋商情况可能实质性变动的内容，包括采购需求中的技术、服务要求以及合同条款，在</w:t>
      </w:r>
      <w:r>
        <w:rPr>
          <w:rFonts w:hint="eastAsia" w:hAnsi="宋体" w:cs="宋体"/>
          <w:b/>
          <w:bCs/>
          <w:sz w:val="21"/>
          <w:lang w:val="zh-CN"/>
        </w:rPr>
        <w:t>磋商须知前附表</w:t>
      </w:r>
      <w:r>
        <w:rPr>
          <w:rFonts w:hint="eastAsia" w:hAnsi="宋体" w:cs="宋体"/>
          <w:sz w:val="21"/>
          <w:lang w:val="zh-CN"/>
        </w:rPr>
        <w:t>中明确。</w:t>
      </w:r>
    </w:p>
    <w:p w14:paraId="4DDE70F4">
      <w:pPr>
        <w:pStyle w:val="26"/>
        <w:snapToGrid w:val="0"/>
        <w:spacing w:line="360" w:lineRule="auto"/>
        <w:ind w:firstLine="420" w:firstLineChars="200"/>
        <w:textAlignment w:val="baseline"/>
        <w:rPr>
          <w:rFonts w:hAnsi="宋体" w:cs="宋体"/>
          <w:sz w:val="21"/>
          <w:lang w:val="zh-CN"/>
        </w:rPr>
      </w:pPr>
      <w:r>
        <w:rPr>
          <w:rFonts w:hint="eastAsia" w:hAnsi="宋体" w:cs="宋体"/>
          <w:sz w:val="21"/>
          <w:lang w:val="en-US" w:eastAsia="zh-CN"/>
        </w:rPr>
        <w:t>9</w:t>
      </w:r>
      <w:r>
        <w:rPr>
          <w:rFonts w:hint="eastAsia" w:hAnsi="宋体" w:cs="宋体"/>
          <w:sz w:val="21"/>
          <w:lang w:val="zh-CN"/>
        </w:rPr>
        <w:t>.3供应商应仔细阅读磋商文件的全部内容，按照磋商文件要求编制响应文件。任何对磋商文件的忽略或误解不能作为响应文件存在缺陷或瑕疵的理由，其风险由供应商承担。</w:t>
      </w:r>
    </w:p>
    <w:p w14:paraId="7B9F6967">
      <w:pPr>
        <w:snapToGrid w:val="0"/>
        <w:spacing w:line="360" w:lineRule="auto"/>
        <w:textAlignment w:val="baseline"/>
        <w:rPr>
          <w:rFonts w:ascii="宋体" w:hAnsi="宋体" w:cs="宋体"/>
          <w:b/>
          <w:szCs w:val="21"/>
        </w:rPr>
      </w:pPr>
      <w:r>
        <w:rPr>
          <w:rFonts w:hint="eastAsia" w:ascii="宋体" w:hAnsi="宋体" w:cs="宋体"/>
          <w:b/>
          <w:szCs w:val="21"/>
        </w:rPr>
        <w:t>10. 磋商文件的提供期限</w:t>
      </w:r>
    </w:p>
    <w:p w14:paraId="4BF4BF03">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10.1磋商文件的提供期限自开始发出之日起不得少于五个工作日。具体提供期限见</w:t>
      </w:r>
      <w:r>
        <w:rPr>
          <w:rFonts w:hint="eastAsia" w:ascii="宋体" w:hAnsi="宋体" w:cs="宋体"/>
          <w:b/>
          <w:szCs w:val="21"/>
        </w:rPr>
        <w:t>磋商文件前附表</w:t>
      </w:r>
      <w:r>
        <w:rPr>
          <w:rFonts w:hint="eastAsia" w:ascii="宋体" w:hAnsi="宋体" w:cs="宋体"/>
          <w:szCs w:val="21"/>
        </w:rPr>
        <w:t>。</w:t>
      </w:r>
    </w:p>
    <w:p w14:paraId="08F7FEEA">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10.2供应商应持</w:t>
      </w:r>
      <w:r>
        <w:rPr>
          <w:rFonts w:hint="eastAsia" w:ascii="宋体" w:hAnsi="宋体" w:cs="宋体"/>
          <w:b/>
          <w:szCs w:val="21"/>
        </w:rPr>
        <w:t>磋商文件前附表</w:t>
      </w:r>
      <w:r>
        <w:rPr>
          <w:rFonts w:hint="eastAsia" w:ascii="宋体" w:hAnsi="宋体" w:cs="宋体"/>
          <w:szCs w:val="21"/>
        </w:rPr>
        <w:t>规定的资料领取或购买磋商文件。</w:t>
      </w:r>
    </w:p>
    <w:p w14:paraId="6BA45C9B">
      <w:pPr>
        <w:pStyle w:val="26"/>
        <w:snapToGrid w:val="0"/>
        <w:spacing w:line="360" w:lineRule="auto"/>
        <w:textAlignment w:val="baseline"/>
        <w:rPr>
          <w:rFonts w:hAnsi="宋体" w:cs="宋体"/>
          <w:sz w:val="21"/>
        </w:rPr>
      </w:pPr>
      <w:r>
        <w:rPr>
          <w:rFonts w:hint="eastAsia" w:hAnsi="宋体" w:cs="宋体"/>
          <w:b/>
          <w:sz w:val="21"/>
        </w:rPr>
        <w:t>1</w:t>
      </w:r>
      <w:r>
        <w:rPr>
          <w:rFonts w:hint="eastAsia" w:hAnsi="宋体" w:cs="宋体"/>
          <w:b/>
          <w:sz w:val="21"/>
          <w:lang w:val="en-US" w:eastAsia="zh-CN"/>
        </w:rPr>
        <w:t>1</w:t>
      </w:r>
      <w:r>
        <w:rPr>
          <w:rFonts w:hint="eastAsia" w:hAnsi="宋体" w:cs="宋体"/>
          <w:b/>
          <w:sz w:val="21"/>
        </w:rPr>
        <w:t>.提交首次响应文件的截止时间</w:t>
      </w:r>
    </w:p>
    <w:p w14:paraId="1EB7588B">
      <w:pPr>
        <w:pStyle w:val="26"/>
        <w:snapToGrid w:val="0"/>
        <w:spacing w:line="360" w:lineRule="auto"/>
        <w:ind w:firstLine="420" w:firstLineChars="200"/>
        <w:textAlignment w:val="baseline"/>
        <w:rPr>
          <w:rFonts w:hAnsi="宋体" w:cs="宋体"/>
          <w:sz w:val="21"/>
        </w:rPr>
      </w:pPr>
      <w:r>
        <w:rPr>
          <w:rFonts w:hint="eastAsia" w:hAnsi="宋体" w:cs="宋体"/>
          <w:sz w:val="21"/>
        </w:rPr>
        <w:t>1</w:t>
      </w:r>
      <w:r>
        <w:rPr>
          <w:rFonts w:hint="eastAsia" w:hAnsi="宋体" w:cs="宋体"/>
          <w:sz w:val="21"/>
          <w:lang w:val="en-US" w:eastAsia="zh-CN"/>
        </w:rPr>
        <w:t>1</w:t>
      </w:r>
      <w:r>
        <w:rPr>
          <w:rFonts w:hint="eastAsia" w:hAnsi="宋体" w:cs="宋体"/>
          <w:kern w:val="2"/>
          <w:sz w:val="21"/>
        </w:rPr>
        <w:t>.1供应商提交首次响应文件截止时间见</w:t>
      </w:r>
      <w:r>
        <w:rPr>
          <w:rFonts w:hint="eastAsia" w:hAnsi="宋体" w:cs="宋体"/>
          <w:b/>
          <w:kern w:val="2"/>
          <w:sz w:val="21"/>
          <w:lang w:val="en-US" w:eastAsia="zh-CN"/>
        </w:rPr>
        <w:t>磋商须知前附表</w:t>
      </w:r>
      <w:r>
        <w:rPr>
          <w:rFonts w:hint="eastAsia" w:hAnsi="宋体" w:cs="宋体"/>
          <w:sz w:val="21"/>
        </w:rPr>
        <w:t>。</w:t>
      </w:r>
    </w:p>
    <w:p w14:paraId="237361B3">
      <w:pPr>
        <w:snapToGrid w:val="0"/>
        <w:spacing w:line="360" w:lineRule="auto"/>
        <w:textAlignment w:val="baseline"/>
        <w:rPr>
          <w:rFonts w:ascii="宋体" w:hAnsi="宋体" w:cs="宋体"/>
          <w:b/>
          <w:bCs/>
          <w:szCs w:val="21"/>
        </w:rPr>
      </w:pPr>
      <w:r>
        <w:rPr>
          <w:rFonts w:hint="eastAsia" w:ascii="宋体" w:hAnsi="宋体" w:cs="宋体"/>
          <w:b/>
          <w:bCs/>
          <w:szCs w:val="21"/>
        </w:rPr>
        <w:t>12.磋商文件的澄清</w:t>
      </w:r>
      <w:r>
        <w:rPr>
          <w:rFonts w:hint="eastAsia" w:ascii="宋体" w:hAnsi="宋体" w:cs="宋体"/>
          <w:b/>
          <w:kern w:val="0"/>
          <w:szCs w:val="21"/>
          <w:lang w:val="zh-CN"/>
        </w:rPr>
        <w:t>或者</w:t>
      </w:r>
      <w:r>
        <w:rPr>
          <w:rFonts w:hint="eastAsia" w:ascii="宋体" w:hAnsi="宋体" w:cs="宋体"/>
          <w:b/>
          <w:bCs/>
          <w:szCs w:val="21"/>
        </w:rPr>
        <w:t>修改</w:t>
      </w:r>
    </w:p>
    <w:p w14:paraId="32CDF9D3">
      <w:pPr>
        <w:snapToGrid w:val="0"/>
        <w:spacing w:line="360" w:lineRule="auto"/>
        <w:ind w:right="-105" w:firstLine="420" w:firstLineChars="200"/>
        <w:textAlignment w:val="baseline"/>
        <w:rPr>
          <w:rFonts w:ascii="宋体" w:hAnsi="宋体" w:cs="宋体"/>
          <w:kern w:val="0"/>
          <w:szCs w:val="21"/>
        </w:rPr>
      </w:pPr>
      <w:r>
        <w:rPr>
          <w:rFonts w:hint="eastAsia" w:ascii="宋体" w:hAnsi="宋体" w:cs="宋体"/>
          <w:szCs w:val="21"/>
        </w:rPr>
        <w:t>12.1在</w:t>
      </w:r>
      <w:r>
        <w:rPr>
          <w:rFonts w:hint="eastAsia" w:ascii="宋体" w:hAnsi="宋体" w:cs="宋体"/>
          <w:kern w:val="0"/>
          <w:szCs w:val="21"/>
        </w:rPr>
        <w:t xml:space="preserve">提交首次响应文件截止之日前，采购人、采购代理机构可以对已发出的磋商文件进行必要的澄清或者修改。 </w:t>
      </w:r>
    </w:p>
    <w:p w14:paraId="40CC62CF">
      <w:pPr>
        <w:snapToGrid w:val="0"/>
        <w:spacing w:line="360" w:lineRule="auto"/>
        <w:ind w:right="-105" w:firstLine="420" w:firstLineChars="200"/>
        <w:textAlignment w:val="baseline"/>
        <w:rPr>
          <w:rFonts w:ascii="宋体" w:hAnsi="宋体" w:cs="宋体"/>
          <w:kern w:val="0"/>
          <w:szCs w:val="21"/>
        </w:rPr>
      </w:pPr>
      <w:r>
        <w:rPr>
          <w:rFonts w:hint="eastAsia" w:ascii="宋体" w:hAnsi="宋体" w:cs="宋体"/>
          <w:szCs w:val="21"/>
        </w:rPr>
        <w:t>12.2</w:t>
      </w:r>
      <w:r>
        <w:rPr>
          <w:rFonts w:hint="eastAsia" w:ascii="宋体" w:hAnsi="宋体" w:cs="宋体"/>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59126308">
      <w:pPr>
        <w:snapToGrid w:val="0"/>
        <w:spacing w:line="360" w:lineRule="auto"/>
        <w:ind w:right="-105" w:firstLine="420" w:firstLineChars="200"/>
        <w:textAlignment w:val="baseline"/>
        <w:rPr>
          <w:rFonts w:ascii="宋体" w:hAnsi="宋体" w:cs="宋体"/>
          <w:kern w:val="0"/>
          <w:szCs w:val="21"/>
        </w:rPr>
      </w:pPr>
      <w:r>
        <w:rPr>
          <w:rFonts w:hint="eastAsia" w:ascii="宋体" w:hAnsi="宋体" w:cs="宋体"/>
          <w:kern w:val="0"/>
          <w:szCs w:val="21"/>
        </w:rPr>
        <w:t>12.2提交首次响应文件截止时间前对磋商文件澄清或者修改内容，为磋商文件的组成部分。</w:t>
      </w:r>
    </w:p>
    <w:p w14:paraId="462612B1">
      <w:pPr>
        <w:snapToGrid w:val="0"/>
        <w:spacing w:line="360" w:lineRule="auto"/>
        <w:ind w:left="792" w:hanging="789" w:hangingChars="376"/>
        <w:textAlignment w:val="baseline"/>
        <w:rPr>
          <w:rFonts w:ascii="宋体" w:hAnsi="宋体" w:cs="宋体"/>
          <w:szCs w:val="21"/>
        </w:rPr>
      </w:pPr>
      <w:r>
        <w:rPr>
          <w:rFonts w:hint="eastAsia" w:ascii="宋体" w:hAnsi="宋体" w:cs="宋体"/>
          <w:szCs w:val="21"/>
        </w:rPr>
        <w:t>三、响应文件</w:t>
      </w:r>
    </w:p>
    <w:p w14:paraId="41D5EE12">
      <w:pPr>
        <w:snapToGrid w:val="0"/>
        <w:spacing w:line="360" w:lineRule="auto"/>
        <w:textAlignment w:val="baseline"/>
        <w:rPr>
          <w:rFonts w:ascii="宋体" w:hAnsi="宋体" w:cs="宋体"/>
          <w:b/>
          <w:bCs/>
          <w:szCs w:val="21"/>
        </w:rPr>
      </w:pPr>
      <w:r>
        <w:rPr>
          <w:rFonts w:hint="eastAsia" w:ascii="宋体" w:hAnsi="宋体" w:cs="宋体"/>
          <w:b/>
          <w:bCs/>
          <w:szCs w:val="21"/>
        </w:rPr>
        <w:t>13.一般要求</w:t>
      </w:r>
    </w:p>
    <w:p w14:paraId="5B017514">
      <w:pPr>
        <w:snapToGrid w:val="0"/>
        <w:spacing w:line="360" w:lineRule="auto"/>
        <w:ind w:firstLine="420" w:firstLineChars="200"/>
        <w:textAlignment w:val="baseline"/>
        <w:rPr>
          <w:rFonts w:ascii="宋体" w:hAnsi="宋体" w:cs="宋体"/>
          <w:bCs/>
          <w:szCs w:val="21"/>
        </w:rPr>
      </w:pPr>
      <w:r>
        <w:rPr>
          <w:rFonts w:hint="eastAsia" w:ascii="宋体" w:hAnsi="宋体" w:cs="宋体"/>
          <w:bCs/>
          <w:szCs w:val="21"/>
        </w:rPr>
        <w:t>13.1 供应商应仔细阅读磋商文件的所有内容，按磋商文件的要求编制响应文件，并保证所提供的全部资料的真实性，以使其响应文件对磋商文件做出实质性的响应。</w:t>
      </w:r>
    </w:p>
    <w:p w14:paraId="38E620CB">
      <w:pPr>
        <w:snapToGrid w:val="0"/>
        <w:spacing w:line="360" w:lineRule="auto"/>
        <w:ind w:firstLine="420" w:firstLineChars="200"/>
        <w:textAlignment w:val="baseline"/>
        <w:rPr>
          <w:rFonts w:ascii="宋体" w:hAnsi="宋体" w:cs="宋体"/>
          <w:bCs/>
          <w:szCs w:val="21"/>
        </w:rPr>
      </w:pPr>
      <w:r>
        <w:rPr>
          <w:rFonts w:hint="eastAsia" w:ascii="宋体" w:hAnsi="宋体" w:cs="宋体"/>
          <w:bCs/>
          <w:szCs w:val="21"/>
        </w:rPr>
        <w:t xml:space="preserve">13.2 </w:t>
      </w:r>
      <w:r>
        <w:rPr>
          <w:rFonts w:hint="eastAsia" w:ascii="宋体" w:hAnsi="宋体" w:cs="宋体"/>
          <w:szCs w:val="21"/>
        </w:rPr>
        <w:t>供应商提交的响应文件及供应商与采购人或采购代理机构、磋商小组就有关磋商的所有来往函电均使用中文。供应商可以提交其它语言的资料，但应附中文注释，在有差异时以中文为准。</w:t>
      </w:r>
    </w:p>
    <w:p w14:paraId="427BBBB9">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1</w:t>
      </w:r>
      <w:r>
        <w:rPr>
          <w:rFonts w:hint="eastAsia" w:hAnsi="宋体" w:cs="宋体"/>
          <w:bCs/>
          <w:kern w:val="2"/>
          <w:sz w:val="21"/>
          <w:lang w:val="en-US" w:eastAsia="zh-CN"/>
        </w:rPr>
        <w:t>3</w:t>
      </w:r>
      <w:r>
        <w:rPr>
          <w:rFonts w:hint="eastAsia" w:hAnsi="宋体" w:cs="宋体"/>
          <w:bCs/>
          <w:kern w:val="2"/>
          <w:sz w:val="21"/>
        </w:rPr>
        <w:t>.3 计量单位应使用我国法定计量单位，未列明时应默认为我国法定计量单位。</w:t>
      </w:r>
    </w:p>
    <w:p w14:paraId="063B4DBF">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1</w:t>
      </w:r>
      <w:r>
        <w:rPr>
          <w:rFonts w:hint="eastAsia" w:hAnsi="宋体" w:cs="宋体"/>
          <w:bCs/>
          <w:kern w:val="2"/>
          <w:sz w:val="21"/>
          <w:lang w:val="en-US" w:eastAsia="zh-CN"/>
        </w:rPr>
        <w:t>3</w:t>
      </w:r>
      <w:r>
        <w:rPr>
          <w:rFonts w:hint="eastAsia" w:hAnsi="宋体" w:cs="宋体"/>
          <w:bCs/>
          <w:kern w:val="2"/>
          <w:sz w:val="21"/>
        </w:rPr>
        <w:t>.4 响应文件应采用书面形式，电报、传真、电子邮件形式的响应文件概不接受。</w:t>
      </w:r>
    </w:p>
    <w:p w14:paraId="680867BD">
      <w:pPr>
        <w:snapToGrid w:val="0"/>
        <w:spacing w:line="360" w:lineRule="auto"/>
        <w:ind w:firstLine="420" w:firstLineChars="200"/>
        <w:textAlignment w:val="baseline"/>
        <w:rPr>
          <w:rFonts w:ascii="宋体" w:hAnsi="宋体" w:cs="宋体"/>
          <w:bCs/>
          <w:szCs w:val="21"/>
        </w:rPr>
      </w:pPr>
      <w:r>
        <w:rPr>
          <w:rFonts w:hint="eastAsia" w:ascii="宋体" w:hAnsi="宋体" w:cs="宋体"/>
          <w:bCs/>
          <w:szCs w:val="21"/>
        </w:rPr>
        <w:t>13.5 供应商应按磋商文件中提供的响应文件格式填写。</w:t>
      </w:r>
    </w:p>
    <w:p w14:paraId="5A53C890">
      <w:pPr>
        <w:snapToGrid w:val="0"/>
        <w:spacing w:line="360" w:lineRule="auto"/>
        <w:textAlignment w:val="baseline"/>
        <w:rPr>
          <w:rFonts w:ascii="宋体" w:hAnsi="宋体" w:cs="宋体"/>
          <w:b/>
          <w:bCs/>
          <w:szCs w:val="21"/>
        </w:rPr>
      </w:pPr>
      <w:r>
        <w:rPr>
          <w:rFonts w:hint="eastAsia" w:ascii="宋体" w:hAnsi="宋体" w:cs="宋体"/>
          <w:b/>
          <w:bCs/>
          <w:szCs w:val="21"/>
        </w:rPr>
        <w:t>14.</w:t>
      </w:r>
      <w:r>
        <w:rPr>
          <w:rFonts w:hint="eastAsia" w:ascii="宋体" w:hAnsi="宋体" w:cs="宋体"/>
          <w:b/>
          <w:szCs w:val="21"/>
        </w:rPr>
        <w:t>响应文件</w:t>
      </w:r>
      <w:r>
        <w:rPr>
          <w:rFonts w:hint="eastAsia" w:ascii="宋体" w:hAnsi="宋体" w:cs="宋体"/>
          <w:b/>
          <w:bCs/>
          <w:szCs w:val="21"/>
        </w:rPr>
        <w:t>的组成</w:t>
      </w:r>
    </w:p>
    <w:p w14:paraId="25771F63">
      <w:pPr>
        <w:snapToGrid w:val="0"/>
        <w:spacing w:line="360" w:lineRule="auto"/>
        <w:ind w:firstLine="420" w:firstLineChars="200"/>
        <w:jc w:val="left"/>
        <w:textAlignment w:val="baseline"/>
        <w:rPr>
          <w:rFonts w:ascii="宋体" w:hAnsi="宋体" w:cs="宋体"/>
          <w:bCs/>
          <w:szCs w:val="21"/>
        </w:rPr>
      </w:pPr>
      <w:r>
        <w:rPr>
          <w:rFonts w:hint="eastAsia" w:ascii="宋体" w:hAnsi="宋体" w:cs="宋体"/>
          <w:bCs/>
          <w:szCs w:val="21"/>
        </w:rPr>
        <w:t xml:space="preserve">14.1 响应文件包括下列内容： </w:t>
      </w:r>
    </w:p>
    <w:p w14:paraId="24F31250">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（1）磋商响应声明</w:t>
      </w:r>
    </w:p>
    <w:p w14:paraId="77E5B3A5">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（2）保证金</w:t>
      </w:r>
    </w:p>
    <w:p w14:paraId="48E42568">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（3）供应商的资格证明文件</w:t>
      </w:r>
    </w:p>
    <w:p w14:paraId="11CE3F25">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（4）施工组织设计</w:t>
      </w:r>
    </w:p>
    <w:p w14:paraId="35000551">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（5）技术/商务响应与偏离表</w:t>
      </w:r>
    </w:p>
    <w:p w14:paraId="3AEDC17A">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（6）提供享受政府采购政策的证明材料</w:t>
      </w:r>
    </w:p>
    <w:p w14:paraId="190B134F">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（7）报价一览表及报价文件</w:t>
      </w:r>
    </w:p>
    <w:p w14:paraId="4DBB505A">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（8）供应商认为需要提供的其它资料</w:t>
      </w:r>
    </w:p>
    <w:p w14:paraId="4EFA7FC4">
      <w:pPr>
        <w:pStyle w:val="26"/>
        <w:snapToGrid w:val="0"/>
        <w:spacing w:line="360" w:lineRule="auto"/>
        <w:ind w:firstLine="420" w:firstLineChars="200"/>
        <w:textAlignment w:val="baseline"/>
        <w:rPr>
          <w:rFonts w:hAnsi="宋体" w:cs="宋体"/>
          <w:bCs/>
          <w:kern w:val="2"/>
          <w:sz w:val="21"/>
        </w:rPr>
      </w:pPr>
      <w:r>
        <w:rPr>
          <w:rFonts w:hint="eastAsia" w:hAnsi="宋体" w:cs="宋体"/>
          <w:bCs/>
          <w:kern w:val="2"/>
          <w:sz w:val="21"/>
        </w:rPr>
        <w:t>（9）最后报价</w:t>
      </w:r>
    </w:p>
    <w:p w14:paraId="05101F2E">
      <w:pPr>
        <w:snapToGrid w:val="0"/>
        <w:spacing w:line="360" w:lineRule="auto"/>
        <w:ind w:firstLine="420" w:firstLineChars="200"/>
        <w:textAlignment w:val="baseline"/>
        <w:rPr>
          <w:rFonts w:ascii="宋体" w:hAnsi="宋体" w:cs="宋体"/>
          <w:bCs/>
          <w:szCs w:val="21"/>
        </w:rPr>
      </w:pPr>
      <w:r>
        <w:rPr>
          <w:rFonts w:hint="eastAsia" w:ascii="宋体" w:hAnsi="宋体" w:cs="宋体"/>
          <w:bCs/>
          <w:szCs w:val="21"/>
        </w:rPr>
        <w:t>14.2在磋商过程中，供应商根据磋商小组书面形式要求提交的最后报价(或者重新提交的响应文件和最后报价)是响应文件的有效组成部分。</w:t>
      </w:r>
    </w:p>
    <w:p w14:paraId="46E018FE">
      <w:pPr>
        <w:snapToGrid w:val="0"/>
        <w:spacing w:line="360" w:lineRule="auto"/>
        <w:ind w:firstLine="420" w:firstLineChars="200"/>
        <w:textAlignment w:val="baseline"/>
        <w:rPr>
          <w:rFonts w:ascii="宋体" w:hAnsi="宋体" w:cs="宋体"/>
          <w:bCs/>
          <w:szCs w:val="21"/>
        </w:rPr>
      </w:pPr>
      <w:r>
        <w:rPr>
          <w:rFonts w:hint="eastAsia" w:ascii="宋体" w:hAnsi="宋体" w:cs="宋体"/>
          <w:bCs/>
          <w:szCs w:val="21"/>
        </w:rPr>
        <w:t>14.3磋商文件规定可能发生实质性变动的，供应商应当在《技术/商务响应与偏离表》中对应内容注明。</w:t>
      </w:r>
    </w:p>
    <w:p w14:paraId="233AC818">
      <w:pPr>
        <w:snapToGrid w:val="0"/>
        <w:spacing w:line="360" w:lineRule="auto"/>
        <w:ind w:firstLine="420" w:firstLineChars="200"/>
        <w:textAlignment w:val="baseline"/>
        <w:rPr>
          <w:rFonts w:ascii="宋体" w:hAnsi="宋体" w:cs="宋体"/>
          <w:szCs w:val="21"/>
        </w:rPr>
      </w:pPr>
      <w:r>
        <w:rPr>
          <w:rFonts w:hint="eastAsia" w:ascii="宋体" w:hAnsi="宋体" w:cs="宋体"/>
          <w:bCs/>
          <w:szCs w:val="21"/>
        </w:rPr>
        <w:t>14.4根据《政府采购法》第四十二条的规定，供应商无论成交与否，其响应文件不予退还</w:t>
      </w:r>
      <w:r>
        <w:rPr>
          <w:rFonts w:hint="eastAsia" w:ascii="宋体" w:hAnsi="宋体" w:cs="宋体"/>
          <w:szCs w:val="21"/>
        </w:rPr>
        <w:t>。</w:t>
      </w:r>
    </w:p>
    <w:p w14:paraId="50115CFA">
      <w:pPr>
        <w:snapToGrid w:val="0"/>
        <w:spacing w:line="360" w:lineRule="auto"/>
        <w:textAlignment w:val="baseline"/>
        <w:rPr>
          <w:rFonts w:ascii="宋体" w:hAnsi="宋体" w:cs="宋体"/>
          <w:b/>
          <w:bCs/>
          <w:szCs w:val="21"/>
        </w:rPr>
      </w:pPr>
      <w:r>
        <w:rPr>
          <w:rFonts w:hint="eastAsia" w:ascii="宋体" w:hAnsi="宋体" w:cs="宋体"/>
          <w:b/>
          <w:bCs/>
          <w:szCs w:val="21"/>
        </w:rPr>
        <w:t>15.报价</w:t>
      </w:r>
    </w:p>
    <w:p w14:paraId="17C68668">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15.1供应商应当根据磋商文件要求和范围，以</w:t>
      </w:r>
      <w:r>
        <w:rPr>
          <w:rFonts w:hint="eastAsia" w:ascii="宋体" w:hAnsi="宋体" w:cs="宋体"/>
          <w:bCs/>
          <w:szCs w:val="21"/>
        </w:rPr>
        <w:t>人民币</w:t>
      </w:r>
      <w:r>
        <w:rPr>
          <w:rFonts w:hint="eastAsia" w:ascii="宋体" w:hAnsi="宋体" w:cs="宋体"/>
          <w:szCs w:val="21"/>
        </w:rPr>
        <w:t>报价，以元为单位，保留小数点后两位。</w:t>
      </w:r>
    </w:p>
    <w:p w14:paraId="023ECB89">
      <w:pPr>
        <w:pStyle w:val="124"/>
        <w:snapToGrid w:val="0"/>
        <w:spacing w:line="360" w:lineRule="auto"/>
        <w:ind w:firstLine="420" w:firstLineChars="200"/>
        <w:textAlignment w:val="baseline"/>
        <w:rPr>
          <w:rFonts w:ascii="宋体" w:hAnsi="宋体" w:cs="宋体"/>
          <w:kern w:val="2"/>
          <w:sz w:val="21"/>
        </w:rPr>
      </w:pPr>
      <w:r>
        <w:rPr>
          <w:rFonts w:hint="eastAsia" w:ascii="宋体" w:hAnsi="宋体" w:cs="宋体"/>
          <w:sz w:val="21"/>
        </w:rPr>
        <w:t>1</w:t>
      </w:r>
      <w:r>
        <w:rPr>
          <w:rFonts w:hint="eastAsia" w:ascii="宋体" w:hAnsi="宋体" w:cs="宋体"/>
          <w:kern w:val="2"/>
          <w:sz w:val="21"/>
          <w:lang w:val="en-US" w:eastAsia="zh-CN"/>
        </w:rPr>
        <w:t>5</w:t>
      </w:r>
      <w:r>
        <w:rPr>
          <w:rFonts w:hint="eastAsia" w:ascii="宋体" w:hAnsi="宋体" w:cs="宋体"/>
          <w:kern w:val="2"/>
          <w:sz w:val="21"/>
        </w:rPr>
        <w:t>.2供应商应按第五章 响应文件组成格式填写。</w:t>
      </w:r>
    </w:p>
    <w:p w14:paraId="6B51882C">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1</w:t>
      </w:r>
      <w:r>
        <w:rPr>
          <w:rFonts w:hint="eastAsia" w:hAnsi="宋体" w:cs="宋体"/>
          <w:kern w:val="2"/>
          <w:sz w:val="21"/>
          <w:lang w:val="en-US" w:eastAsia="zh-CN"/>
        </w:rPr>
        <w:t>5</w:t>
      </w:r>
      <w:r>
        <w:rPr>
          <w:rFonts w:hint="eastAsia" w:hAnsi="宋体" w:cs="宋体"/>
          <w:kern w:val="2"/>
          <w:sz w:val="21"/>
        </w:rPr>
        <w:t>.3响应文件中标明的价格在合同执行过程中是固定不变的，不得以任何理由予以变更。以可变动价格提交的报价将被认为是非实质响应而被拒绝。</w:t>
      </w:r>
    </w:p>
    <w:p w14:paraId="26B960FE">
      <w:pPr>
        <w:pStyle w:val="26"/>
        <w:snapToGrid w:val="0"/>
        <w:spacing w:line="360" w:lineRule="auto"/>
        <w:ind w:firstLine="420" w:firstLineChars="200"/>
        <w:textAlignment w:val="baseline"/>
        <w:rPr>
          <w:rFonts w:hAnsi="宋体" w:cs="宋体"/>
          <w:sz w:val="21"/>
        </w:rPr>
      </w:pPr>
      <w:r>
        <w:rPr>
          <w:rFonts w:hint="eastAsia" w:hAnsi="宋体" w:cs="宋体"/>
          <w:kern w:val="2"/>
          <w:sz w:val="21"/>
        </w:rPr>
        <w:t>1</w:t>
      </w:r>
      <w:r>
        <w:rPr>
          <w:rFonts w:hint="eastAsia" w:hAnsi="宋体" w:cs="宋体"/>
          <w:kern w:val="2"/>
          <w:sz w:val="21"/>
          <w:lang w:val="en-US" w:eastAsia="zh-CN"/>
        </w:rPr>
        <w:t>5</w:t>
      </w:r>
      <w:r>
        <w:rPr>
          <w:rFonts w:hint="eastAsia" w:hAnsi="宋体" w:cs="宋体"/>
          <w:kern w:val="2"/>
          <w:sz w:val="21"/>
        </w:rPr>
        <w:t>.4</w:t>
      </w:r>
      <w:r>
        <w:rPr>
          <w:rFonts w:hint="eastAsia" w:hAnsi="宋体" w:cs="宋体"/>
          <w:kern w:val="2"/>
          <w:sz w:val="21"/>
          <w:lang w:val="zh-CN"/>
        </w:rPr>
        <w:t>供应商</w:t>
      </w:r>
      <w:r>
        <w:rPr>
          <w:rFonts w:hint="eastAsia" w:hAnsi="宋体" w:cs="宋体"/>
          <w:kern w:val="2"/>
          <w:sz w:val="21"/>
        </w:rPr>
        <w:t>的报价不得超过采购项目预算，采购项目预算或其计算方法见</w:t>
      </w:r>
      <w:r>
        <w:rPr>
          <w:rFonts w:hint="eastAsia" w:hAnsi="宋体" w:cs="宋体"/>
          <w:b/>
          <w:bCs/>
          <w:kern w:val="2"/>
          <w:sz w:val="21"/>
        </w:rPr>
        <w:t>磋商须知前附表</w:t>
      </w:r>
      <w:r>
        <w:rPr>
          <w:rFonts w:hint="eastAsia" w:hAnsi="宋体" w:cs="宋体"/>
          <w:sz w:val="21"/>
        </w:rPr>
        <w:t>。</w:t>
      </w:r>
    </w:p>
    <w:p w14:paraId="72FA7709">
      <w:pPr>
        <w:pStyle w:val="26"/>
        <w:snapToGrid w:val="0"/>
        <w:spacing w:line="360" w:lineRule="auto"/>
        <w:textAlignment w:val="baseline"/>
        <w:rPr>
          <w:rFonts w:hAnsi="宋体" w:cs="宋体"/>
          <w:b/>
          <w:sz w:val="21"/>
        </w:rPr>
      </w:pPr>
      <w:r>
        <w:rPr>
          <w:rFonts w:hint="eastAsia" w:hAnsi="宋体" w:cs="宋体"/>
          <w:b/>
          <w:sz w:val="21"/>
        </w:rPr>
        <w:t>1</w:t>
      </w:r>
      <w:r>
        <w:rPr>
          <w:rFonts w:hint="eastAsia" w:hAnsi="宋体" w:cs="宋体"/>
          <w:b/>
          <w:sz w:val="21"/>
          <w:lang w:val="en-US" w:eastAsia="zh-CN"/>
        </w:rPr>
        <w:t>6</w:t>
      </w:r>
      <w:r>
        <w:rPr>
          <w:rFonts w:hint="eastAsia" w:hAnsi="宋体" w:cs="宋体"/>
          <w:b/>
          <w:sz w:val="21"/>
        </w:rPr>
        <w:t>.供应商符合磋商文件规定的证明文件</w:t>
      </w:r>
    </w:p>
    <w:p w14:paraId="58DED844">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16.1供应商应提交满足本章第3.1款规定的资格条件要求的证明文件,该证明文件作为响应文件的一部分。</w:t>
      </w:r>
    </w:p>
    <w:p w14:paraId="5BC98BDE">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16.2如果供应商为联合体，则应提交联合体各方资格证明文件、联合体协议。否则，在评审时将其视为无效响应。</w:t>
      </w:r>
    </w:p>
    <w:p w14:paraId="6F3F0078">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16.3 除</w:t>
      </w:r>
      <w:r>
        <w:rPr>
          <w:rFonts w:hint="eastAsia" w:ascii="宋体" w:hAnsi="宋体" w:cs="宋体"/>
          <w:b/>
          <w:szCs w:val="21"/>
        </w:rPr>
        <w:t>磋商须知前附表</w:t>
      </w:r>
      <w:r>
        <w:rPr>
          <w:rFonts w:hint="eastAsia" w:ascii="宋体" w:hAnsi="宋体" w:cs="宋体"/>
          <w:szCs w:val="21"/>
        </w:rPr>
        <w:t>另有规定外，供应商提供的货物及服务不是供应商制造或拥有的，则必须提供经销、或代理采购货物、或采购货物提供售后服务的证明文件。</w:t>
      </w:r>
    </w:p>
    <w:p w14:paraId="3E2BA2E3">
      <w:pPr>
        <w:snapToGrid w:val="0"/>
        <w:spacing w:line="360" w:lineRule="auto"/>
        <w:ind w:firstLine="420" w:firstLineChars="200"/>
        <w:jc w:val="left"/>
        <w:textAlignment w:val="baseline"/>
        <w:rPr>
          <w:rFonts w:ascii="宋体" w:hAnsi="宋体" w:cs="宋体"/>
          <w:b/>
          <w:szCs w:val="21"/>
        </w:rPr>
      </w:pPr>
      <w:r>
        <w:rPr>
          <w:rFonts w:hint="eastAsia" w:ascii="宋体" w:hAnsi="宋体" w:cs="宋体"/>
          <w:b/>
          <w:szCs w:val="21"/>
        </w:rPr>
        <w:t>17．样品提供</w:t>
      </w:r>
    </w:p>
    <w:p w14:paraId="7F9B45FD">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 xml:space="preserve">17.1 </w:t>
      </w:r>
      <w:r>
        <w:rPr>
          <w:rFonts w:hint="eastAsia" w:ascii="宋体" w:hAnsi="宋体" w:cs="宋体"/>
          <w:b/>
          <w:bCs/>
          <w:szCs w:val="21"/>
        </w:rPr>
        <w:t>磋商须知前附表</w:t>
      </w:r>
      <w:r>
        <w:rPr>
          <w:rFonts w:hint="eastAsia" w:ascii="宋体" w:hAnsi="宋体" w:cs="宋体"/>
          <w:szCs w:val="21"/>
        </w:rPr>
        <w:t>规定供应商在磋商时提供样品的，供应商有以下情形之一的，在评审时将其视为无效响应。</w:t>
      </w:r>
    </w:p>
    <w:p w14:paraId="78F67EFC">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（1）未在</w:t>
      </w:r>
      <w:r>
        <w:rPr>
          <w:rFonts w:hint="eastAsia" w:ascii="宋体" w:hAnsi="宋体" w:cs="宋体"/>
          <w:b/>
          <w:szCs w:val="21"/>
        </w:rPr>
        <w:t>磋商须知前附表</w:t>
      </w:r>
      <w:r>
        <w:rPr>
          <w:rFonts w:hint="eastAsia" w:ascii="宋体" w:hAnsi="宋体" w:cs="宋体"/>
          <w:szCs w:val="21"/>
        </w:rPr>
        <w:t>规定的提交时间、地点提交的；</w:t>
      </w:r>
    </w:p>
    <w:p w14:paraId="3EA65A47">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（2）</w:t>
      </w:r>
      <w:r>
        <w:rPr>
          <w:rFonts w:hint="eastAsia" w:ascii="宋体" w:hAnsi="宋体" w:cs="宋体"/>
          <w:bCs/>
          <w:szCs w:val="21"/>
        </w:rPr>
        <w:t>供应商</w:t>
      </w:r>
      <w:r>
        <w:rPr>
          <w:rFonts w:hint="eastAsia" w:ascii="宋体" w:hAnsi="宋体" w:cs="宋体"/>
          <w:szCs w:val="21"/>
        </w:rPr>
        <w:t>提供的样品与磋商文件中要求提供样品的型号、规格不一致的。</w:t>
      </w:r>
    </w:p>
    <w:p w14:paraId="703E58CD">
      <w:pPr>
        <w:snapToGrid w:val="0"/>
        <w:spacing w:line="360" w:lineRule="auto"/>
        <w:textAlignment w:val="baseline"/>
        <w:rPr>
          <w:rFonts w:ascii="宋体" w:hAnsi="宋体" w:cs="宋体"/>
          <w:b/>
          <w:bCs/>
          <w:szCs w:val="21"/>
        </w:rPr>
      </w:pPr>
      <w:r>
        <w:rPr>
          <w:rFonts w:hint="eastAsia" w:ascii="宋体" w:hAnsi="宋体" w:cs="宋体"/>
          <w:b/>
          <w:bCs/>
          <w:szCs w:val="21"/>
        </w:rPr>
        <w:t>18.磋商保证金</w:t>
      </w:r>
    </w:p>
    <w:p w14:paraId="3C2BA996">
      <w:pPr>
        <w:pStyle w:val="26"/>
        <w:snapToGrid w:val="0"/>
        <w:spacing w:line="360" w:lineRule="auto"/>
        <w:ind w:firstLine="420" w:firstLineChars="200"/>
        <w:textAlignment w:val="baseline"/>
        <w:rPr>
          <w:rFonts w:hAnsi="宋体" w:cs="宋体"/>
          <w:kern w:val="2"/>
          <w:sz w:val="21"/>
        </w:rPr>
      </w:pPr>
      <w:r>
        <w:rPr>
          <w:rFonts w:hint="eastAsia" w:hAnsi="宋体" w:cs="宋体"/>
          <w:sz w:val="21"/>
        </w:rPr>
        <w:t>1</w:t>
      </w:r>
      <w:r>
        <w:rPr>
          <w:rFonts w:hint="eastAsia" w:hAnsi="宋体" w:cs="宋体"/>
          <w:kern w:val="2"/>
          <w:sz w:val="21"/>
          <w:lang w:val="en-US" w:eastAsia="zh-CN"/>
        </w:rPr>
        <w:t>8</w:t>
      </w:r>
      <w:r>
        <w:rPr>
          <w:rFonts w:hint="eastAsia" w:hAnsi="宋体" w:cs="宋体"/>
          <w:kern w:val="2"/>
          <w:sz w:val="21"/>
        </w:rPr>
        <w:t>.1</w:t>
      </w:r>
      <w:r>
        <w:rPr>
          <w:rFonts w:hint="eastAsia" w:hAnsi="宋体" w:cs="宋体"/>
          <w:b/>
          <w:bCs/>
          <w:kern w:val="2"/>
          <w:sz w:val="21"/>
        </w:rPr>
        <w:t>磋商须知前附表</w:t>
      </w:r>
      <w:r>
        <w:rPr>
          <w:rFonts w:hint="eastAsia" w:hAnsi="宋体" w:cs="宋体"/>
          <w:kern w:val="2"/>
          <w:sz w:val="21"/>
        </w:rPr>
        <w:t>规定交纳磋商保证金的，应按</w:t>
      </w:r>
      <w:r>
        <w:rPr>
          <w:rFonts w:hint="eastAsia" w:hAnsi="宋体" w:cs="宋体"/>
          <w:b/>
          <w:bCs/>
          <w:kern w:val="2"/>
          <w:sz w:val="21"/>
        </w:rPr>
        <w:t>磋商须知前附表</w:t>
      </w:r>
      <w:r>
        <w:rPr>
          <w:rFonts w:hint="eastAsia" w:hAnsi="宋体" w:cs="宋体"/>
          <w:kern w:val="2"/>
          <w:sz w:val="21"/>
        </w:rPr>
        <w:t>规定的磋商保证金形式交纳，不得以现金方式交纳，在提交首次响应文件截止时间前，向采购代理机构交纳不超过</w:t>
      </w:r>
      <w:r>
        <w:rPr>
          <w:rFonts w:hint="eastAsia" w:hAnsi="宋体" w:cs="宋体"/>
          <w:kern w:val="2"/>
          <w:sz w:val="21"/>
          <w:lang w:val="zh-CN"/>
        </w:rPr>
        <w:t>采购项目预算2﹪</w:t>
      </w:r>
      <w:r>
        <w:rPr>
          <w:rFonts w:hint="eastAsia" w:hAnsi="宋体" w:cs="宋体"/>
          <w:kern w:val="2"/>
          <w:sz w:val="21"/>
        </w:rPr>
        <w:t>的磋商保证金(数额采用四舍五入，计算至元)。磋商保证金有效期应当与</w:t>
      </w:r>
      <w:r>
        <w:rPr>
          <w:rFonts w:hint="eastAsia" w:hAnsi="宋体" w:cs="宋体"/>
          <w:color w:val="000000" w:themeColor="text1"/>
          <w:kern w:val="2"/>
          <w:sz w:val="21"/>
        </w:rPr>
        <w:t>本章第</w:t>
      </w:r>
      <w:r>
        <w:rPr>
          <w:rFonts w:hint="eastAsia" w:hAnsi="宋体" w:cs="宋体"/>
          <w:color w:val="000000" w:themeColor="text1"/>
          <w:kern w:val="2"/>
          <w:sz w:val="21"/>
          <w:lang w:val="en-US" w:eastAsia="zh-CN"/>
        </w:rPr>
        <w:t>19</w:t>
      </w:r>
      <w:r>
        <w:rPr>
          <w:rFonts w:hint="eastAsia" w:hAnsi="宋体" w:cs="宋体"/>
          <w:color w:val="000000" w:themeColor="text1"/>
          <w:kern w:val="2"/>
          <w:sz w:val="21"/>
        </w:rPr>
        <w:t>.1</w:t>
      </w:r>
      <w:r>
        <w:rPr>
          <w:rFonts w:hint="eastAsia" w:hAnsi="宋体" w:cs="宋体"/>
          <w:color w:val="000000" w:themeColor="text1"/>
          <w:kern w:val="2"/>
          <w:sz w:val="21"/>
          <w:lang w:val="zh-CN"/>
        </w:rPr>
        <w:t>款</w:t>
      </w:r>
      <w:r>
        <w:rPr>
          <w:rFonts w:hint="eastAsia" w:hAnsi="宋体" w:cs="宋体"/>
          <w:kern w:val="2"/>
          <w:sz w:val="21"/>
        </w:rPr>
        <w:t>规定的响应文件有效期一致。</w:t>
      </w:r>
    </w:p>
    <w:p w14:paraId="708E6F2D">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18.2</w:t>
      </w:r>
      <w:r>
        <w:rPr>
          <w:rFonts w:hint="eastAsia" w:ascii="宋体" w:hAnsi="宋体" w:cs="宋体"/>
          <w:szCs w:val="21"/>
          <w:lang w:val="zh-CN"/>
        </w:rPr>
        <w:t>供应商为联合体的，可以由联合体中的一方或者共同交纳磋商保证金，其交纳的磋商保证金，对联合体各方均具有约束力。</w:t>
      </w:r>
    </w:p>
    <w:p w14:paraId="5BFB0D45">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1</w:t>
      </w:r>
      <w:r>
        <w:rPr>
          <w:rFonts w:hint="eastAsia" w:hAnsi="宋体" w:cs="宋体"/>
          <w:kern w:val="2"/>
          <w:sz w:val="21"/>
          <w:lang w:val="en-US" w:eastAsia="zh-CN"/>
        </w:rPr>
        <w:t>8</w:t>
      </w:r>
      <w:r>
        <w:rPr>
          <w:rFonts w:hint="eastAsia" w:hAnsi="宋体" w:cs="宋体"/>
          <w:kern w:val="2"/>
          <w:sz w:val="21"/>
        </w:rPr>
        <w:t>.3供应商未按照磋商文件要求提交磋商保证金的，响应无效。</w:t>
      </w:r>
    </w:p>
    <w:p w14:paraId="59D04165">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1</w:t>
      </w:r>
      <w:r>
        <w:rPr>
          <w:rFonts w:hint="eastAsia" w:hAnsi="宋体" w:cs="宋体"/>
          <w:kern w:val="2"/>
          <w:sz w:val="21"/>
          <w:lang w:val="en-US" w:eastAsia="zh-CN"/>
        </w:rPr>
        <w:t>8</w:t>
      </w:r>
      <w:r>
        <w:rPr>
          <w:rFonts w:hint="eastAsia" w:hAnsi="宋体" w:cs="宋体"/>
          <w:kern w:val="2"/>
          <w:sz w:val="21"/>
        </w:rPr>
        <w:t>.4采购代理机构在成交通知书发出后5个工作日内退还未成交供应商的磋商保证金；在采购合同签定后5个工作日内退还成交供应商的磋商保证金，但因供应商自身原因导致无法及时退还的除外。</w:t>
      </w:r>
    </w:p>
    <w:p w14:paraId="28AE9A89">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19.5 有下列情形之一的，磋商保证金不予退还，并上缴本级财政国库：</w:t>
      </w:r>
    </w:p>
    <w:p w14:paraId="62BE4322">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（1）供应商在提交首次响应文件截止时间后撤回响应文件的；</w:t>
      </w:r>
    </w:p>
    <w:p w14:paraId="0A078BED">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（2）供应商在响应文件中提供虚假资料的；</w:t>
      </w:r>
    </w:p>
    <w:p w14:paraId="5827D7F6">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（3）确定成交结果后，无正当理由放弃成交资格的；</w:t>
      </w:r>
    </w:p>
    <w:p w14:paraId="3EE5DE2F">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 xml:space="preserve"> (4) 除因不可抗力或磋商文件认可的情形以外，成交供应商不与采购人签订合同的；</w:t>
      </w:r>
    </w:p>
    <w:p w14:paraId="318D6656">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（5）供应商与采购人、其他供应商或者采购代理机构恶意串通的；</w:t>
      </w:r>
    </w:p>
    <w:p w14:paraId="224DCF7D">
      <w:pPr>
        <w:pStyle w:val="26"/>
        <w:tabs>
          <w:tab w:val="left" w:pos="6300"/>
        </w:tabs>
        <w:snapToGrid w:val="0"/>
        <w:spacing w:line="360" w:lineRule="auto"/>
        <w:ind w:firstLine="420" w:firstLineChars="200"/>
        <w:textAlignment w:val="baseline"/>
        <w:rPr>
          <w:rFonts w:hAnsi="宋体" w:cs="宋体"/>
          <w:kern w:val="2"/>
          <w:sz w:val="21"/>
        </w:rPr>
      </w:pPr>
      <w:r>
        <w:rPr>
          <w:rFonts w:hint="eastAsia" w:hAnsi="宋体" w:cs="宋体"/>
          <w:kern w:val="2"/>
          <w:sz w:val="21"/>
        </w:rPr>
        <w:t>（6）磋商文件规定的其他情形。</w:t>
      </w:r>
    </w:p>
    <w:p w14:paraId="186129C8">
      <w:pPr>
        <w:snapToGrid w:val="0"/>
        <w:spacing w:line="360" w:lineRule="auto"/>
        <w:textAlignment w:val="baseline"/>
        <w:rPr>
          <w:rFonts w:ascii="宋体" w:hAnsi="宋体" w:cs="宋体"/>
          <w:b/>
          <w:bCs/>
          <w:szCs w:val="21"/>
        </w:rPr>
      </w:pPr>
      <w:r>
        <w:rPr>
          <w:rFonts w:hint="eastAsia" w:ascii="宋体" w:hAnsi="宋体" w:cs="宋体"/>
          <w:b/>
          <w:bCs/>
          <w:szCs w:val="21"/>
        </w:rPr>
        <w:t>19.</w:t>
      </w:r>
      <w:r>
        <w:rPr>
          <w:rFonts w:hint="eastAsia" w:ascii="宋体" w:hAnsi="宋体" w:cs="宋体"/>
          <w:b/>
          <w:szCs w:val="21"/>
        </w:rPr>
        <w:t>响应文件有效期</w:t>
      </w:r>
    </w:p>
    <w:p w14:paraId="678D47BC">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19.1响应文件有效期见</w:t>
      </w:r>
      <w:r>
        <w:rPr>
          <w:rFonts w:hint="eastAsia" w:ascii="宋体" w:hAnsi="宋体" w:cs="宋体"/>
          <w:b/>
          <w:szCs w:val="21"/>
        </w:rPr>
        <w:t>磋商须知前附表</w:t>
      </w:r>
      <w:r>
        <w:rPr>
          <w:rFonts w:hint="eastAsia" w:ascii="宋体" w:hAnsi="宋体" w:cs="宋体"/>
          <w:szCs w:val="21"/>
        </w:rPr>
        <w:t>，在此期间响应文件对供应商具有法律约束力，从</w:t>
      </w:r>
      <w:r>
        <w:rPr>
          <w:rFonts w:hint="eastAsia" w:ascii="宋体" w:hAnsi="宋体" w:cs="宋体"/>
          <w:kern w:val="0"/>
          <w:szCs w:val="21"/>
        </w:rPr>
        <w:t>提交首次响应文件截止时间</w:t>
      </w:r>
      <w:r>
        <w:rPr>
          <w:rFonts w:hint="eastAsia" w:ascii="宋体" w:hAnsi="宋体" w:cs="宋体"/>
          <w:szCs w:val="21"/>
        </w:rPr>
        <w:t>之日起计算。响应文件有效期不足的将被视为无效响应。</w:t>
      </w:r>
    </w:p>
    <w:p w14:paraId="13A72DFA">
      <w:pPr>
        <w:snapToGrid w:val="0"/>
        <w:spacing w:line="360" w:lineRule="auto"/>
        <w:textAlignment w:val="baseline"/>
        <w:rPr>
          <w:rFonts w:ascii="宋体" w:hAnsi="宋体" w:cs="宋体"/>
          <w:b/>
          <w:bCs/>
          <w:szCs w:val="21"/>
        </w:rPr>
      </w:pPr>
      <w:r>
        <w:rPr>
          <w:rFonts w:hint="eastAsia" w:ascii="宋体" w:hAnsi="宋体" w:cs="宋体"/>
          <w:b/>
          <w:bCs/>
          <w:szCs w:val="21"/>
        </w:rPr>
        <w:t>20.响应文件的签署及规定</w:t>
      </w:r>
    </w:p>
    <w:p w14:paraId="0ABE5E17">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2</w:t>
      </w:r>
      <w:r>
        <w:rPr>
          <w:rFonts w:hint="eastAsia" w:hAnsi="宋体" w:cs="宋体"/>
          <w:kern w:val="2"/>
          <w:sz w:val="21"/>
          <w:lang w:val="en-US" w:eastAsia="zh-CN"/>
        </w:rPr>
        <w:t>0</w:t>
      </w:r>
      <w:r>
        <w:rPr>
          <w:rFonts w:hint="eastAsia" w:hAnsi="宋体" w:cs="宋体"/>
          <w:kern w:val="2"/>
          <w:sz w:val="21"/>
        </w:rPr>
        <w:t>.1响应文件的正本和副本应装订成册，正本一份，副本、电子文件份数见</w:t>
      </w:r>
      <w:r>
        <w:rPr>
          <w:rFonts w:hint="eastAsia" w:hAnsi="宋体" w:cs="宋体"/>
          <w:b/>
          <w:bCs/>
          <w:kern w:val="2"/>
          <w:sz w:val="21"/>
        </w:rPr>
        <w:t>磋商须知前附表</w:t>
      </w:r>
      <w:r>
        <w:rPr>
          <w:rFonts w:hint="eastAsia" w:hAnsi="宋体" w:cs="宋体"/>
          <w:kern w:val="2"/>
          <w:sz w:val="21"/>
        </w:rPr>
        <w:t>。正本和副本的封面上应标记“正本”或“副本”的字样，当正本和副本有差异时，以正本为准。</w:t>
      </w:r>
    </w:p>
    <w:p w14:paraId="1426DAB7">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2</w:t>
      </w:r>
      <w:r>
        <w:rPr>
          <w:rFonts w:hint="eastAsia" w:hAnsi="宋体" w:cs="宋体"/>
          <w:kern w:val="2"/>
          <w:sz w:val="21"/>
          <w:lang w:val="en-US" w:eastAsia="zh-CN"/>
        </w:rPr>
        <w:t>0</w:t>
      </w:r>
      <w:r>
        <w:rPr>
          <w:rFonts w:hint="eastAsia" w:hAnsi="宋体" w:cs="宋体"/>
          <w:kern w:val="2"/>
          <w:sz w:val="21"/>
        </w:rPr>
        <w:t>.2 响应文件正本和副本应按磋商文件要求签章处盖单位章和由法定代表人或其委托代理人签字；任何加行、涂改、增删，应有法定代表人或其委托代理人在旁边签字。否则，将导致响应文件无效。</w:t>
      </w:r>
    </w:p>
    <w:p w14:paraId="14CA9BA5">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2</w:t>
      </w:r>
      <w:r>
        <w:rPr>
          <w:rFonts w:hint="eastAsia" w:hAnsi="宋体" w:cs="宋体"/>
          <w:kern w:val="2"/>
          <w:sz w:val="21"/>
          <w:lang w:val="en-US" w:eastAsia="zh-CN"/>
        </w:rPr>
        <w:t>0</w:t>
      </w:r>
      <w:r>
        <w:rPr>
          <w:rFonts w:hint="eastAsia" w:hAnsi="宋体" w:cs="宋体"/>
          <w:kern w:val="2"/>
          <w:sz w:val="21"/>
        </w:rPr>
        <w:t>.3 在磋商过程中，供应商按磋商文件规定和磋商小组要求提交的最后报价(或者重新提交的响应文件和最后报价)，一式两份，可打印或用不退色墨水书写，但需经法定代表人或其委托代理人签字，或者加盖供应商单位章。否则，将导致响应文件无效。</w:t>
      </w:r>
    </w:p>
    <w:p w14:paraId="0930869D">
      <w:pPr>
        <w:snapToGrid w:val="0"/>
        <w:spacing w:line="360" w:lineRule="auto"/>
        <w:ind w:left="792" w:hanging="789" w:hangingChars="376"/>
        <w:textAlignment w:val="baseline"/>
        <w:rPr>
          <w:rFonts w:ascii="宋体" w:hAnsi="宋体" w:cs="宋体"/>
          <w:szCs w:val="21"/>
        </w:rPr>
      </w:pPr>
      <w:r>
        <w:rPr>
          <w:rFonts w:hint="eastAsia" w:ascii="宋体" w:hAnsi="宋体" w:cs="宋体"/>
          <w:szCs w:val="21"/>
        </w:rPr>
        <w:t>四、响应文件的递交</w:t>
      </w:r>
    </w:p>
    <w:p w14:paraId="57662820">
      <w:pPr>
        <w:snapToGrid w:val="0"/>
        <w:spacing w:line="360" w:lineRule="auto"/>
        <w:textAlignment w:val="baseline"/>
        <w:rPr>
          <w:rFonts w:ascii="宋体" w:hAnsi="宋体" w:cs="宋体"/>
          <w:b/>
          <w:bCs/>
          <w:szCs w:val="21"/>
        </w:rPr>
      </w:pPr>
      <w:r>
        <w:rPr>
          <w:rFonts w:hint="eastAsia" w:ascii="宋体" w:hAnsi="宋体" w:cs="宋体"/>
          <w:b/>
          <w:bCs/>
          <w:szCs w:val="21"/>
        </w:rPr>
        <w:t>21.</w:t>
      </w:r>
      <w:r>
        <w:rPr>
          <w:rFonts w:hint="eastAsia" w:ascii="宋体" w:hAnsi="宋体" w:cs="宋体"/>
          <w:b/>
          <w:szCs w:val="21"/>
        </w:rPr>
        <w:t>响应文件</w:t>
      </w:r>
      <w:r>
        <w:rPr>
          <w:rFonts w:hint="eastAsia" w:ascii="宋体" w:hAnsi="宋体" w:cs="宋体"/>
          <w:b/>
          <w:bCs/>
          <w:szCs w:val="21"/>
        </w:rPr>
        <w:t>的密封和标记</w:t>
      </w:r>
    </w:p>
    <w:p w14:paraId="66504A4E">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2</w:t>
      </w:r>
      <w:r>
        <w:rPr>
          <w:rFonts w:hint="eastAsia" w:hAnsi="宋体" w:cs="宋体"/>
          <w:kern w:val="2"/>
          <w:sz w:val="21"/>
          <w:lang w:val="en-US" w:eastAsia="zh-CN"/>
        </w:rPr>
        <w:t>1</w:t>
      </w:r>
      <w:r>
        <w:rPr>
          <w:rFonts w:hint="eastAsia" w:hAnsi="宋体" w:cs="宋体"/>
          <w:kern w:val="2"/>
          <w:sz w:val="21"/>
        </w:rPr>
        <w:t>.1响应文件正、副本应一起密封包装，加贴封条，并在封套的封口处盖供应商单位章或者由法定代表人或其委托代理人签字。</w:t>
      </w:r>
    </w:p>
    <w:p w14:paraId="40B5EE28">
      <w:pPr>
        <w:pStyle w:val="26"/>
        <w:snapToGrid w:val="0"/>
        <w:spacing w:line="360" w:lineRule="auto"/>
        <w:ind w:firstLine="420" w:firstLineChars="200"/>
        <w:textAlignment w:val="baseline"/>
        <w:rPr>
          <w:rFonts w:hAnsi="宋体" w:cs="宋体"/>
          <w:sz w:val="21"/>
        </w:rPr>
      </w:pPr>
      <w:r>
        <w:rPr>
          <w:rFonts w:hint="eastAsia" w:hAnsi="宋体" w:cs="宋体"/>
          <w:kern w:val="2"/>
          <w:sz w:val="21"/>
        </w:rPr>
        <w:t>2</w:t>
      </w:r>
      <w:r>
        <w:rPr>
          <w:rFonts w:hint="eastAsia" w:hAnsi="宋体" w:cs="宋体"/>
          <w:kern w:val="2"/>
          <w:sz w:val="21"/>
          <w:lang w:val="en-US" w:eastAsia="zh-CN"/>
        </w:rPr>
        <w:t>1</w:t>
      </w:r>
      <w:r>
        <w:rPr>
          <w:rFonts w:hint="eastAsia" w:hAnsi="宋体" w:cs="宋体"/>
          <w:kern w:val="2"/>
          <w:sz w:val="21"/>
        </w:rPr>
        <w:t>.2响应文件封套上应写明的内容见</w:t>
      </w:r>
      <w:r>
        <w:rPr>
          <w:rFonts w:hint="eastAsia" w:hAnsi="宋体" w:cs="宋体"/>
          <w:b/>
          <w:sz w:val="21"/>
        </w:rPr>
        <w:t>磋商须知前附表。</w:t>
      </w:r>
    </w:p>
    <w:p w14:paraId="4EA63A1D">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21.3响应文件如果未按上述规定密封和加写标记，采购人或采购代理机构将拒绝接收。</w:t>
      </w:r>
    </w:p>
    <w:p w14:paraId="69F40194">
      <w:pPr>
        <w:snapToGrid w:val="0"/>
        <w:spacing w:line="360" w:lineRule="auto"/>
        <w:textAlignment w:val="baseline"/>
        <w:rPr>
          <w:rFonts w:ascii="宋体" w:hAnsi="宋体" w:cs="宋体"/>
          <w:b/>
          <w:bCs/>
          <w:szCs w:val="21"/>
        </w:rPr>
      </w:pPr>
      <w:r>
        <w:rPr>
          <w:rFonts w:hint="eastAsia" w:ascii="宋体" w:hAnsi="宋体" w:cs="宋体"/>
          <w:b/>
          <w:bCs/>
          <w:szCs w:val="21"/>
        </w:rPr>
        <w:t>22.响应文件的</w:t>
      </w:r>
      <w:r>
        <w:rPr>
          <w:rFonts w:hint="eastAsia" w:ascii="宋体" w:hAnsi="宋体" w:cs="宋体"/>
          <w:b/>
          <w:kern w:val="0"/>
          <w:szCs w:val="21"/>
          <w:lang w:val="zh-CN"/>
        </w:rPr>
        <w:t>补充、修改或者撤回</w:t>
      </w:r>
    </w:p>
    <w:p w14:paraId="1963F8EA">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2</w:t>
      </w:r>
      <w:r>
        <w:rPr>
          <w:rFonts w:hint="eastAsia" w:hAnsi="宋体" w:cs="宋体"/>
          <w:kern w:val="2"/>
          <w:sz w:val="21"/>
          <w:lang w:val="en-US" w:eastAsia="zh-CN"/>
        </w:rPr>
        <w:t>2</w:t>
      </w:r>
      <w:r>
        <w:rPr>
          <w:rFonts w:hint="eastAsia" w:hAnsi="宋体" w:cs="宋体"/>
          <w:kern w:val="2"/>
          <w:sz w:val="21"/>
        </w:rPr>
        <w:t>.1供应商在提交首次响应文件截止时间前，可以对所提交的首次响应文件进行补充、修改或者撤回，并书面通知采购人、采购代理机构。该通知应有供应商法定代表人或其委托代理人签字。</w:t>
      </w:r>
    </w:p>
    <w:p w14:paraId="1F81F47D">
      <w:pPr>
        <w:pStyle w:val="26"/>
        <w:snapToGrid w:val="0"/>
        <w:spacing w:line="360" w:lineRule="auto"/>
        <w:ind w:firstLine="420" w:firstLineChars="200"/>
        <w:textAlignment w:val="baseline"/>
        <w:rPr>
          <w:rFonts w:hAnsi="宋体" w:cs="宋体"/>
          <w:sz w:val="21"/>
        </w:rPr>
      </w:pPr>
      <w:r>
        <w:rPr>
          <w:rFonts w:hint="eastAsia" w:hAnsi="宋体" w:cs="宋体"/>
          <w:kern w:val="2"/>
          <w:sz w:val="21"/>
        </w:rPr>
        <w:t>2</w:t>
      </w:r>
      <w:r>
        <w:rPr>
          <w:rFonts w:hint="eastAsia" w:hAnsi="宋体" w:cs="宋体"/>
          <w:kern w:val="2"/>
          <w:sz w:val="21"/>
          <w:lang w:val="en-US" w:eastAsia="zh-CN"/>
        </w:rPr>
        <w:t>2</w:t>
      </w:r>
      <w:r>
        <w:rPr>
          <w:rFonts w:hint="eastAsia" w:hAnsi="宋体" w:cs="宋体"/>
          <w:kern w:val="2"/>
          <w:sz w:val="21"/>
        </w:rPr>
        <w:t>.2</w:t>
      </w:r>
      <w:r>
        <w:rPr>
          <w:rFonts w:hint="eastAsia" w:hAnsi="宋体" w:cs="宋体"/>
          <w:kern w:val="2"/>
          <w:sz w:val="21"/>
          <w:lang w:val="zh-CN"/>
        </w:rPr>
        <w:t>补充、修改的内容与响应文件不一致时，以补充、修改的内容为准。</w:t>
      </w:r>
    </w:p>
    <w:p w14:paraId="74FA05AC">
      <w:pPr>
        <w:snapToGrid w:val="0"/>
        <w:spacing w:line="360" w:lineRule="auto"/>
        <w:textAlignment w:val="baseline"/>
        <w:rPr>
          <w:rFonts w:ascii="宋体" w:hAnsi="宋体" w:cs="宋体"/>
          <w:b/>
          <w:bCs/>
          <w:szCs w:val="21"/>
        </w:rPr>
      </w:pPr>
      <w:r>
        <w:rPr>
          <w:rFonts w:hint="eastAsia" w:ascii="宋体" w:hAnsi="宋体" w:cs="宋体"/>
          <w:b/>
          <w:bCs/>
          <w:szCs w:val="21"/>
        </w:rPr>
        <w:t>23.响应文件的递交与接收</w:t>
      </w:r>
    </w:p>
    <w:p w14:paraId="031B6DC5">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23.1 供应商应在</w:t>
      </w:r>
      <w:r>
        <w:rPr>
          <w:rFonts w:hint="eastAsia" w:ascii="宋体" w:hAnsi="宋体" w:cs="宋体"/>
          <w:kern w:val="0"/>
          <w:szCs w:val="21"/>
        </w:rPr>
        <w:t>提交首次响应文件截止时间</w:t>
      </w:r>
      <w:r>
        <w:rPr>
          <w:rFonts w:hint="eastAsia" w:ascii="宋体" w:hAnsi="宋体" w:cs="宋体"/>
          <w:szCs w:val="21"/>
        </w:rPr>
        <w:t>前，将响应文件送达</w:t>
      </w:r>
      <w:r>
        <w:rPr>
          <w:rFonts w:hint="eastAsia" w:ascii="宋体" w:hAnsi="宋体" w:cs="宋体"/>
          <w:b/>
          <w:szCs w:val="21"/>
        </w:rPr>
        <w:t>磋商须知前附表</w:t>
      </w:r>
      <w:r>
        <w:rPr>
          <w:rFonts w:hint="eastAsia" w:ascii="宋体" w:hAnsi="宋体" w:cs="宋体"/>
          <w:szCs w:val="21"/>
        </w:rPr>
        <w:t>中指定的地点。</w:t>
      </w:r>
      <w:r>
        <w:rPr>
          <w:rFonts w:hint="eastAsia" w:ascii="宋体" w:hAnsi="宋体" w:cs="宋体"/>
          <w:kern w:val="0"/>
          <w:szCs w:val="21"/>
        </w:rPr>
        <w:t>在截止时间后送达的响应文件，采购人、采购代理机构或者磋商小组应当拒收。</w:t>
      </w:r>
    </w:p>
    <w:p w14:paraId="442FC36D">
      <w:pPr>
        <w:pStyle w:val="26"/>
        <w:snapToGrid w:val="0"/>
        <w:spacing w:line="360" w:lineRule="auto"/>
        <w:ind w:firstLine="420" w:firstLineChars="200"/>
        <w:textAlignment w:val="baseline"/>
        <w:rPr>
          <w:rFonts w:hAnsi="宋体" w:cs="宋体"/>
          <w:sz w:val="21"/>
        </w:rPr>
      </w:pPr>
      <w:r>
        <w:rPr>
          <w:rFonts w:hint="eastAsia" w:hAnsi="宋体" w:cs="宋体"/>
          <w:sz w:val="21"/>
        </w:rPr>
        <w:t>2</w:t>
      </w:r>
      <w:r>
        <w:rPr>
          <w:rFonts w:hint="eastAsia" w:hAnsi="宋体" w:cs="宋体"/>
          <w:sz w:val="21"/>
          <w:lang w:val="en-US" w:eastAsia="zh-CN"/>
        </w:rPr>
        <w:t>3</w:t>
      </w:r>
      <w:r>
        <w:rPr>
          <w:rFonts w:hint="eastAsia" w:hAnsi="宋体" w:cs="宋体"/>
          <w:sz w:val="21"/>
        </w:rPr>
        <w:t>.2在提交首次响应文件截止时间后，由供应商代表当场查验响应文件的密封状况，采购人或采购代理机构不当场拆封响应文件。</w:t>
      </w:r>
    </w:p>
    <w:p w14:paraId="15F93BD3">
      <w:pPr>
        <w:snapToGrid w:val="0"/>
        <w:spacing w:line="360" w:lineRule="auto"/>
        <w:textAlignment w:val="baseline"/>
        <w:rPr>
          <w:rFonts w:ascii="宋体" w:hAnsi="宋体" w:cs="宋体"/>
          <w:szCs w:val="21"/>
        </w:rPr>
      </w:pPr>
      <w:r>
        <w:rPr>
          <w:rFonts w:hint="eastAsia" w:ascii="宋体" w:hAnsi="宋体" w:cs="宋体"/>
          <w:szCs w:val="21"/>
        </w:rPr>
        <w:t>五、响应文件的磋商与评审</w:t>
      </w:r>
    </w:p>
    <w:p w14:paraId="32958C55">
      <w:pPr>
        <w:tabs>
          <w:tab w:val="left" w:pos="0"/>
        </w:tabs>
        <w:snapToGrid w:val="0"/>
        <w:spacing w:line="360" w:lineRule="auto"/>
        <w:textAlignment w:val="baseline"/>
        <w:rPr>
          <w:rFonts w:ascii="宋体" w:hAnsi="宋体" w:cs="宋体"/>
          <w:b/>
          <w:bCs/>
          <w:szCs w:val="21"/>
        </w:rPr>
      </w:pPr>
      <w:r>
        <w:rPr>
          <w:rFonts w:hint="eastAsia" w:ascii="宋体" w:hAnsi="宋体" w:cs="宋体"/>
          <w:b/>
          <w:bCs/>
          <w:szCs w:val="21"/>
        </w:rPr>
        <w:t>24.磋商程序</w:t>
      </w:r>
    </w:p>
    <w:p w14:paraId="52D511DB">
      <w:pPr>
        <w:widowControl/>
        <w:snapToGrid w:val="0"/>
        <w:spacing w:line="360" w:lineRule="auto"/>
        <w:ind w:firstLine="420"/>
        <w:jc w:val="left"/>
        <w:textAlignment w:val="baseline"/>
        <w:rPr>
          <w:rFonts w:ascii="宋体" w:hAnsi="宋体" w:cs="宋体"/>
          <w:bCs/>
          <w:color w:val="000000" w:themeColor="text1"/>
          <w:szCs w:val="21"/>
        </w:rPr>
      </w:pPr>
      <w:r>
        <w:rPr>
          <w:rFonts w:hint="eastAsia" w:ascii="宋体" w:hAnsi="宋体" w:cs="宋体"/>
          <w:kern w:val="0"/>
          <w:szCs w:val="21"/>
        </w:rPr>
        <w:t>24.1磋</w:t>
      </w:r>
      <w:r>
        <w:rPr>
          <w:rFonts w:hint="eastAsia" w:ascii="宋体" w:hAnsi="宋体" w:cs="宋体"/>
          <w:color w:val="000000" w:themeColor="text1"/>
          <w:kern w:val="0"/>
          <w:szCs w:val="21"/>
        </w:rPr>
        <w:t>商程序：响应文件审查、磋商（包括澄清）、响应文件评审、</w:t>
      </w:r>
      <w:r>
        <w:rPr>
          <w:rFonts w:hint="eastAsia" w:ascii="宋体" w:hAnsi="宋体" w:cs="宋体"/>
          <w:bCs/>
          <w:color w:val="000000" w:themeColor="text1"/>
          <w:szCs w:val="21"/>
        </w:rPr>
        <w:t>提出成交供应商。其中，</w:t>
      </w:r>
      <w:r>
        <w:rPr>
          <w:rFonts w:hint="eastAsia" w:ascii="宋体" w:hAnsi="宋体" w:cs="宋体"/>
          <w:color w:val="000000" w:themeColor="text1"/>
          <w:kern w:val="0"/>
          <w:szCs w:val="21"/>
        </w:rPr>
        <w:t>磋商按</w:t>
      </w:r>
      <w:r>
        <w:rPr>
          <w:rFonts w:hint="eastAsia" w:ascii="宋体" w:hAnsi="宋体" w:cs="宋体"/>
          <w:color w:val="000000" w:themeColor="text1"/>
          <w:szCs w:val="21"/>
        </w:rPr>
        <w:t>本章第29.1</w:t>
      </w:r>
      <w:r>
        <w:rPr>
          <w:rFonts w:hint="eastAsia" w:ascii="宋体" w:hAnsi="宋体" w:cs="宋体"/>
          <w:color w:val="000000" w:themeColor="text1"/>
          <w:kern w:val="0"/>
          <w:szCs w:val="21"/>
          <w:lang w:val="zh-CN"/>
        </w:rPr>
        <w:t>款或者</w:t>
      </w:r>
      <w:r>
        <w:rPr>
          <w:rFonts w:hint="eastAsia" w:ascii="宋体" w:hAnsi="宋体" w:cs="宋体"/>
          <w:color w:val="000000" w:themeColor="text1"/>
          <w:szCs w:val="21"/>
        </w:rPr>
        <w:t>第29.2</w:t>
      </w:r>
      <w:r>
        <w:rPr>
          <w:rFonts w:hint="eastAsia" w:ascii="宋体" w:hAnsi="宋体" w:cs="宋体"/>
          <w:color w:val="000000" w:themeColor="text1"/>
          <w:kern w:val="0"/>
          <w:szCs w:val="21"/>
          <w:lang w:val="zh-CN"/>
        </w:rPr>
        <w:t>款</w:t>
      </w:r>
      <w:r>
        <w:rPr>
          <w:rFonts w:hint="eastAsia" w:ascii="宋体" w:hAnsi="宋体" w:cs="宋体"/>
          <w:color w:val="000000" w:themeColor="text1"/>
          <w:szCs w:val="21"/>
        </w:rPr>
        <w:t>情形</w:t>
      </w:r>
      <w:r>
        <w:rPr>
          <w:rFonts w:hint="eastAsia" w:ascii="宋体" w:hAnsi="宋体" w:cs="宋体"/>
          <w:bCs/>
          <w:color w:val="000000" w:themeColor="text1"/>
          <w:szCs w:val="21"/>
        </w:rPr>
        <w:t>进行。</w:t>
      </w:r>
    </w:p>
    <w:p w14:paraId="320BD410">
      <w:pPr>
        <w:widowControl/>
        <w:snapToGrid w:val="0"/>
        <w:spacing w:line="360" w:lineRule="auto"/>
        <w:textAlignment w:val="baseline"/>
        <w:rPr>
          <w:rFonts w:ascii="宋体" w:hAnsi="宋体" w:cs="宋体"/>
          <w:b/>
          <w:color w:val="000000" w:themeColor="text1"/>
          <w:szCs w:val="21"/>
        </w:rPr>
      </w:pPr>
      <w:r>
        <w:rPr>
          <w:rFonts w:hint="eastAsia" w:ascii="宋体" w:hAnsi="宋体" w:cs="宋体"/>
          <w:b/>
          <w:color w:val="000000" w:themeColor="text1"/>
          <w:kern w:val="0"/>
          <w:szCs w:val="21"/>
        </w:rPr>
        <w:t>25.响应文件审查</w:t>
      </w:r>
    </w:p>
    <w:p w14:paraId="696D7264">
      <w:pPr>
        <w:widowControl/>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25.1 资格性审查：根据本章第3.1项规定的供应商资格条件要求，对响应文件的资格证明等进行审查，以确定供应商是否具备磋商资格条件。</w:t>
      </w:r>
    </w:p>
    <w:p w14:paraId="0E672A72">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25.2符合性审查: 对响应文件(包括首次提交的响应文件、重新提交的响应文件)的有效性、完整性和响应程度进行审查，以确定是否对磋商文件的实质性要求作出响应。</w:t>
      </w:r>
    </w:p>
    <w:p w14:paraId="111B1D01">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25.3响应文件审查结束后，磋商小组所有成员集中与单一供应商分别进行磋商，并给予所有参加磋商的供应商平等的磋商机会。供应商应派其法定代表人或委托代理人参加磋商。</w:t>
      </w:r>
    </w:p>
    <w:p w14:paraId="316C017F">
      <w:pPr>
        <w:pStyle w:val="26"/>
        <w:snapToGrid w:val="0"/>
        <w:spacing w:line="360" w:lineRule="auto"/>
        <w:textAlignment w:val="baseline"/>
        <w:rPr>
          <w:rFonts w:hAnsi="宋体" w:cs="宋体"/>
          <w:b/>
          <w:color w:val="000000" w:themeColor="text1"/>
          <w:sz w:val="21"/>
        </w:rPr>
      </w:pPr>
      <w:r>
        <w:rPr>
          <w:rFonts w:hint="eastAsia" w:hAnsi="宋体" w:cs="宋体"/>
          <w:b/>
          <w:color w:val="000000" w:themeColor="text1"/>
          <w:sz w:val="21"/>
        </w:rPr>
        <w:t>2</w:t>
      </w:r>
      <w:r>
        <w:rPr>
          <w:rFonts w:hint="eastAsia" w:hAnsi="宋体" w:cs="宋体"/>
          <w:b/>
          <w:color w:val="000000" w:themeColor="text1"/>
          <w:sz w:val="21"/>
          <w:lang w:val="en-US" w:eastAsia="zh-CN"/>
        </w:rPr>
        <w:t>6</w:t>
      </w:r>
      <w:r>
        <w:rPr>
          <w:rFonts w:hint="eastAsia" w:hAnsi="宋体" w:cs="宋体"/>
          <w:b/>
          <w:color w:val="000000" w:themeColor="text1"/>
          <w:sz w:val="21"/>
        </w:rPr>
        <w:t>.实质性响应</w:t>
      </w:r>
    </w:p>
    <w:p w14:paraId="4A7DE821">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26.1实质性响应是指响应文件(包括首次响应文件、重新提交的响应文件)与磋商文件要求的所有条款、条件和规格相符，没有偏离。偏离指不满足、或不响应磋商文件的要求。</w:t>
      </w:r>
    </w:p>
    <w:p w14:paraId="7FC6F495">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26.2响应文件是否实质性响应磋商文件要求由磋商小组依据磋商文件规定认定。磋商小组决定响应文件的响应性只根据响应文件本身的真实无误的内容，而不依据外部的证据。</w:t>
      </w:r>
    </w:p>
    <w:p w14:paraId="1003D3D2">
      <w:pPr>
        <w:pStyle w:val="26"/>
        <w:snapToGrid w:val="0"/>
        <w:spacing w:line="360" w:lineRule="auto"/>
        <w:textAlignment w:val="baseline"/>
        <w:rPr>
          <w:rFonts w:hAnsi="宋体" w:cs="宋体"/>
          <w:b/>
          <w:color w:val="000000" w:themeColor="text1"/>
          <w:sz w:val="21"/>
        </w:rPr>
      </w:pPr>
      <w:r>
        <w:rPr>
          <w:rFonts w:hint="eastAsia" w:hAnsi="宋体" w:cs="宋体"/>
          <w:b/>
          <w:color w:val="000000" w:themeColor="text1"/>
          <w:sz w:val="21"/>
        </w:rPr>
        <w:t>2</w:t>
      </w:r>
      <w:r>
        <w:rPr>
          <w:rFonts w:hint="eastAsia" w:hAnsi="宋体" w:cs="宋体"/>
          <w:b/>
          <w:color w:val="000000" w:themeColor="text1"/>
          <w:sz w:val="21"/>
          <w:lang w:val="en-US" w:eastAsia="zh-CN"/>
        </w:rPr>
        <w:t>7</w:t>
      </w:r>
      <w:r>
        <w:rPr>
          <w:rFonts w:hint="eastAsia" w:hAnsi="宋体" w:cs="宋体"/>
          <w:b/>
          <w:color w:val="000000" w:themeColor="text1"/>
          <w:sz w:val="21"/>
        </w:rPr>
        <w:t xml:space="preserve">.无效响应 </w:t>
      </w:r>
    </w:p>
    <w:p w14:paraId="457EF9B8">
      <w:pPr>
        <w:pStyle w:val="26"/>
        <w:snapToGrid w:val="0"/>
        <w:spacing w:line="360" w:lineRule="auto"/>
        <w:ind w:firstLine="411" w:firstLineChars="196"/>
        <w:textAlignment w:val="baseline"/>
        <w:rPr>
          <w:rFonts w:hAnsi="宋体" w:cs="宋体"/>
          <w:b/>
          <w:color w:val="000000" w:themeColor="text1"/>
          <w:sz w:val="21"/>
        </w:rPr>
      </w:pPr>
      <w:r>
        <w:rPr>
          <w:rFonts w:hint="eastAsia" w:hAnsi="宋体" w:cs="宋体"/>
          <w:color w:val="000000" w:themeColor="text1"/>
          <w:sz w:val="21"/>
        </w:rPr>
        <w:t>2</w:t>
      </w:r>
      <w:r>
        <w:rPr>
          <w:rFonts w:hint="eastAsia" w:hAnsi="宋体" w:cs="宋体"/>
          <w:color w:val="000000" w:themeColor="text1"/>
          <w:sz w:val="21"/>
          <w:lang w:val="en-US" w:eastAsia="zh-CN"/>
        </w:rPr>
        <w:t>7</w:t>
      </w:r>
      <w:r>
        <w:rPr>
          <w:rFonts w:hint="eastAsia" w:hAnsi="宋体" w:cs="宋体"/>
          <w:color w:val="000000" w:themeColor="text1"/>
          <w:sz w:val="21"/>
        </w:rPr>
        <w:t>.1磋商小组在对资格性和符合性进行审查时，有下列情况之一的，属无效响应，磋商小组应当告知有关供应商：</w:t>
      </w:r>
    </w:p>
    <w:p w14:paraId="41774119">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（1）供应商不具备本章第3.1款规定的供应商资格条件要求，或存在本章第3.3款情形的；</w:t>
      </w:r>
    </w:p>
    <w:p w14:paraId="1B13B8B3">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（2）响应文件未按照磋商文件要求签署、盖章的；</w:t>
      </w:r>
    </w:p>
    <w:p w14:paraId="155AF802">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（3）响应文件不满足本章第26.1款规定的实质性要求的；</w:t>
      </w:r>
    </w:p>
    <w:p w14:paraId="6C4F1D82">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（4）报价超过采购项目预算的；</w:t>
      </w:r>
    </w:p>
    <w:p w14:paraId="521E3840">
      <w:pPr>
        <w:snapToGrid w:val="0"/>
        <w:spacing w:line="360" w:lineRule="auto"/>
        <w:ind w:firstLine="420" w:firstLineChars="200"/>
        <w:textAlignment w:val="baseline"/>
        <w:rPr>
          <w:rFonts w:ascii="宋体" w:hAnsi="宋体" w:cs="宋体"/>
          <w:color w:val="000000" w:themeColor="text1"/>
          <w:szCs w:val="21"/>
        </w:rPr>
      </w:pPr>
      <w:r>
        <w:rPr>
          <w:rFonts w:hint="eastAsia" w:ascii="宋体" w:hAnsi="宋体" w:cs="宋体"/>
          <w:color w:val="000000" w:themeColor="text1"/>
          <w:szCs w:val="21"/>
        </w:rPr>
        <w:t>（5）响应文件有效期不足的；</w:t>
      </w:r>
    </w:p>
    <w:p w14:paraId="34B5FB39">
      <w:pPr>
        <w:snapToGrid w:val="0"/>
        <w:spacing w:line="360" w:lineRule="auto"/>
        <w:ind w:firstLine="420" w:firstLineChars="200"/>
        <w:textAlignment w:val="baseline"/>
        <w:rPr>
          <w:rFonts w:ascii="宋体" w:hAnsi="宋体" w:cs="宋体"/>
          <w:color w:val="FF0000"/>
          <w:szCs w:val="21"/>
        </w:rPr>
      </w:pPr>
      <w:r>
        <w:rPr>
          <w:rFonts w:hint="eastAsia" w:ascii="宋体" w:hAnsi="宋体" w:cs="宋体"/>
          <w:color w:val="000000" w:themeColor="text1"/>
          <w:szCs w:val="21"/>
        </w:rPr>
        <w:t>（6）响应文件不符合法律、规章、规范性文件和磋商文件规定及要求的。</w:t>
      </w:r>
    </w:p>
    <w:p w14:paraId="266D7E90">
      <w:pPr>
        <w:widowControl/>
        <w:snapToGrid w:val="0"/>
        <w:spacing w:line="360" w:lineRule="auto"/>
        <w:jc w:val="left"/>
        <w:textAlignment w:val="baseline"/>
        <w:rPr>
          <w:rFonts w:ascii="宋体" w:hAnsi="宋体" w:cs="宋体"/>
          <w:b/>
          <w:color w:val="000000" w:themeColor="text1"/>
          <w:kern w:val="0"/>
          <w:szCs w:val="21"/>
        </w:rPr>
      </w:pPr>
      <w:r>
        <w:rPr>
          <w:rFonts w:hint="eastAsia" w:ascii="宋体" w:hAnsi="宋体" w:cs="宋体"/>
          <w:b/>
          <w:color w:val="000000" w:themeColor="text1"/>
          <w:kern w:val="0"/>
          <w:szCs w:val="21"/>
        </w:rPr>
        <w:t>28.澄清</w:t>
      </w:r>
    </w:p>
    <w:p w14:paraId="6B943E33">
      <w:pPr>
        <w:widowControl/>
        <w:snapToGrid w:val="0"/>
        <w:spacing w:line="360" w:lineRule="auto"/>
        <w:ind w:firstLine="42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28.1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213D33D9">
      <w:pPr>
        <w:widowControl/>
        <w:snapToGrid w:val="0"/>
        <w:spacing w:line="360" w:lineRule="auto"/>
        <w:ind w:firstLine="42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28.2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00A3439">
      <w:pPr>
        <w:widowControl/>
        <w:snapToGrid w:val="0"/>
        <w:spacing w:line="360" w:lineRule="auto"/>
        <w:jc w:val="left"/>
        <w:textAlignment w:val="baseline"/>
        <w:rPr>
          <w:rFonts w:ascii="宋体" w:hAnsi="宋体" w:cs="宋体"/>
          <w:b/>
          <w:color w:val="000000" w:themeColor="text1"/>
          <w:kern w:val="0"/>
          <w:szCs w:val="21"/>
        </w:rPr>
      </w:pPr>
      <w:r>
        <w:rPr>
          <w:rFonts w:hint="eastAsia" w:ascii="宋体" w:hAnsi="宋体" w:cs="宋体"/>
          <w:b/>
          <w:color w:val="000000" w:themeColor="text1"/>
          <w:kern w:val="0"/>
          <w:szCs w:val="21"/>
        </w:rPr>
        <w:t>29.磋商</w:t>
      </w:r>
    </w:p>
    <w:p w14:paraId="0A53493B">
      <w:pPr>
        <w:widowControl/>
        <w:snapToGrid w:val="0"/>
        <w:spacing w:line="360" w:lineRule="auto"/>
        <w:ind w:firstLine="420"/>
        <w:jc w:val="left"/>
        <w:textAlignment w:val="baseline"/>
        <w:rPr>
          <w:rFonts w:ascii="宋体" w:hAnsi="宋体" w:cs="宋体"/>
          <w:color w:val="000000" w:themeColor="text1"/>
          <w:kern w:val="0"/>
          <w:szCs w:val="21"/>
          <w:lang w:val="zh-CN"/>
        </w:rPr>
      </w:pPr>
      <w:r>
        <w:rPr>
          <w:rFonts w:hint="eastAsia" w:ascii="宋体" w:hAnsi="宋体" w:cs="宋体"/>
          <w:color w:val="000000" w:themeColor="text1"/>
          <w:kern w:val="0"/>
          <w:szCs w:val="21"/>
        </w:rPr>
        <w:t>29.1</w:t>
      </w:r>
      <w:r>
        <w:rPr>
          <w:rFonts w:hint="eastAsia" w:ascii="宋体" w:hAnsi="宋体" w:cs="宋体"/>
          <w:color w:val="000000" w:themeColor="text1"/>
          <w:szCs w:val="21"/>
        </w:rPr>
        <w:t>本章第9.2项</w:t>
      </w:r>
      <w:r>
        <w:rPr>
          <w:rFonts w:hint="eastAsia" w:ascii="宋体" w:hAnsi="宋体" w:cs="宋体"/>
          <w:color w:val="000000" w:themeColor="text1"/>
          <w:kern w:val="0"/>
          <w:szCs w:val="21"/>
        </w:rPr>
        <w:t>未明确磋商文件实质性变动内容的，或者磋商文件明确了可能发生实质性变动内容，但在磋商过程中，</w:t>
      </w:r>
      <w:r>
        <w:rPr>
          <w:rFonts w:hint="eastAsia" w:ascii="宋体" w:hAnsi="宋体" w:cs="宋体"/>
          <w:bCs/>
          <w:color w:val="000000" w:themeColor="text1"/>
          <w:szCs w:val="21"/>
        </w:rPr>
        <w:t>磋商小组</w:t>
      </w:r>
      <w:r>
        <w:rPr>
          <w:rFonts w:hint="eastAsia" w:ascii="宋体" w:hAnsi="宋体" w:cs="宋体"/>
          <w:color w:val="000000" w:themeColor="text1"/>
          <w:kern w:val="0"/>
          <w:szCs w:val="21"/>
        </w:rPr>
        <w:t>根据磋商情况</w:t>
      </w:r>
      <w:r>
        <w:rPr>
          <w:rFonts w:hint="eastAsia" w:ascii="宋体" w:hAnsi="宋体" w:cs="宋体"/>
          <w:bCs/>
          <w:color w:val="000000" w:themeColor="text1"/>
          <w:szCs w:val="21"/>
        </w:rPr>
        <w:t>认为</w:t>
      </w:r>
      <w:r>
        <w:rPr>
          <w:rFonts w:hint="eastAsia" w:ascii="宋体" w:hAnsi="宋体" w:cs="宋体"/>
          <w:color w:val="000000" w:themeColor="text1"/>
          <w:kern w:val="0"/>
          <w:szCs w:val="21"/>
        </w:rPr>
        <w:t>磋商文件无需发生实质性变动的，磋商小组应当直接与响应文件审查合格的供应商就价格组织多轮磋商。</w:t>
      </w:r>
    </w:p>
    <w:p w14:paraId="6642D252">
      <w:pPr>
        <w:widowControl/>
        <w:tabs>
          <w:tab w:val="left" w:pos="1080"/>
          <w:tab w:val="left" w:pos="1260"/>
        </w:tabs>
        <w:snapToGrid w:val="0"/>
        <w:spacing w:line="360" w:lineRule="auto"/>
        <w:ind w:firstLine="42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（1）磋商结束后，磋商小组应当要求所有继续参加磋商的供应商在磋商小组规定时间内提交最后报价。</w:t>
      </w:r>
    </w:p>
    <w:p w14:paraId="65497290">
      <w:pPr>
        <w:widowControl/>
        <w:tabs>
          <w:tab w:val="left" w:pos="1080"/>
          <w:tab w:val="left" w:pos="1260"/>
        </w:tabs>
        <w:snapToGrid w:val="0"/>
        <w:spacing w:line="360" w:lineRule="auto"/>
        <w:ind w:firstLine="42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（2）磋商文件明确可能发生实质性变动，但在磋商过程中</w:t>
      </w:r>
      <w:r>
        <w:rPr>
          <w:rFonts w:hint="eastAsia" w:ascii="宋体" w:hAnsi="宋体" w:cs="宋体"/>
          <w:bCs/>
          <w:color w:val="000000" w:themeColor="text1"/>
          <w:szCs w:val="21"/>
        </w:rPr>
        <w:t>磋商小组</w:t>
      </w:r>
      <w:r>
        <w:rPr>
          <w:rFonts w:hint="eastAsia" w:ascii="宋体" w:hAnsi="宋体" w:cs="宋体"/>
          <w:color w:val="000000" w:themeColor="text1"/>
          <w:kern w:val="0"/>
          <w:szCs w:val="21"/>
        </w:rPr>
        <w:t>根据磋商情况</w:t>
      </w:r>
      <w:r>
        <w:rPr>
          <w:rFonts w:hint="eastAsia" w:ascii="宋体" w:hAnsi="宋体" w:cs="宋体"/>
          <w:bCs/>
          <w:color w:val="000000" w:themeColor="text1"/>
          <w:szCs w:val="21"/>
        </w:rPr>
        <w:t>认为</w:t>
      </w:r>
      <w:r>
        <w:rPr>
          <w:rFonts w:hint="eastAsia" w:ascii="宋体" w:hAnsi="宋体" w:cs="宋体"/>
          <w:color w:val="000000" w:themeColor="text1"/>
          <w:kern w:val="0"/>
          <w:szCs w:val="21"/>
        </w:rPr>
        <w:t>磋商文件无需发生实质性变动的，磋商小组不另行通知。</w:t>
      </w:r>
    </w:p>
    <w:p w14:paraId="5421F2A1">
      <w:pPr>
        <w:widowControl/>
        <w:snapToGrid w:val="0"/>
        <w:spacing w:line="360" w:lineRule="auto"/>
        <w:ind w:firstLine="420"/>
        <w:jc w:val="left"/>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29.2</w:t>
      </w:r>
      <w:r>
        <w:rPr>
          <w:rFonts w:hint="eastAsia" w:ascii="宋体" w:hAnsi="宋体" w:cs="宋体"/>
          <w:color w:val="000000" w:themeColor="text1"/>
          <w:szCs w:val="21"/>
        </w:rPr>
        <w:t>本章第9.2</w:t>
      </w:r>
      <w:r>
        <w:rPr>
          <w:rFonts w:hint="eastAsia" w:ascii="宋体" w:hAnsi="宋体" w:cs="宋体"/>
          <w:color w:val="000000" w:themeColor="text1"/>
          <w:kern w:val="0"/>
          <w:szCs w:val="21"/>
          <w:lang w:val="zh-CN"/>
        </w:rPr>
        <w:t>款</w:t>
      </w:r>
      <w:r>
        <w:rPr>
          <w:rFonts w:hint="eastAsia" w:ascii="宋体" w:hAnsi="宋体" w:cs="宋体"/>
          <w:color w:val="000000" w:themeColor="text1"/>
          <w:kern w:val="0"/>
          <w:szCs w:val="21"/>
        </w:rPr>
        <w:t>明确磋商文件实质性变动内容的，</w:t>
      </w:r>
      <w:r>
        <w:rPr>
          <w:rFonts w:hint="eastAsia" w:ascii="宋体" w:hAnsi="宋体" w:cs="宋体"/>
          <w:bCs/>
          <w:color w:val="000000" w:themeColor="text1"/>
          <w:szCs w:val="21"/>
        </w:rPr>
        <w:t>磋商小组</w:t>
      </w:r>
      <w:r>
        <w:rPr>
          <w:rFonts w:hint="eastAsia" w:ascii="宋体" w:hAnsi="宋体" w:cs="宋体"/>
          <w:color w:val="000000" w:themeColor="text1"/>
          <w:kern w:val="0"/>
          <w:szCs w:val="21"/>
        </w:rPr>
        <w:t>可以组织多轮磋商。</w:t>
      </w:r>
      <w:r>
        <w:rPr>
          <w:rFonts w:hint="eastAsia" w:ascii="宋体" w:hAnsi="宋体" w:cs="宋体"/>
          <w:bCs/>
          <w:color w:val="000000" w:themeColor="text1"/>
          <w:szCs w:val="21"/>
        </w:rPr>
        <w:t>在每一轮磋商中，磋商小组</w:t>
      </w:r>
      <w:r>
        <w:rPr>
          <w:rFonts w:hint="eastAsia" w:ascii="宋体" w:hAnsi="宋体" w:cs="宋体"/>
          <w:color w:val="000000" w:themeColor="text1"/>
          <w:kern w:val="0"/>
          <w:szCs w:val="21"/>
        </w:rPr>
        <w:t>可以根据磋商文件规定和磋商情况，</w:t>
      </w:r>
      <w:r>
        <w:rPr>
          <w:rFonts w:hint="eastAsia" w:ascii="宋体" w:hAnsi="宋体" w:cs="宋体"/>
          <w:bCs/>
          <w:color w:val="000000" w:themeColor="text1"/>
          <w:szCs w:val="21"/>
        </w:rPr>
        <w:t>对磋商文件的</w:t>
      </w:r>
      <w:r>
        <w:rPr>
          <w:rFonts w:hint="eastAsia" w:ascii="宋体" w:hAnsi="宋体" w:cs="宋体"/>
          <w:color w:val="000000" w:themeColor="text1"/>
          <w:kern w:val="0"/>
          <w:szCs w:val="21"/>
        </w:rPr>
        <w:t>采购需求中的技术、服务要求以及合同草案条款</w:t>
      </w:r>
      <w:r>
        <w:rPr>
          <w:rFonts w:hint="eastAsia" w:ascii="宋体" w:hAnsi="宋体" w:cs="宋体"/>
          <w:bCs/>
          <w:color w:val="000000" w:themeColor="text1"/>
          <w:szCs w:val="21"/>
        </w:rPr>
        <w:t>作实质性变动(磋商文件的实质性变动内容为磋商文件的组成部分)，并以书面形式要求</w:t>
      </w:r>
      <w:r>
        <w:rPr>
          <w:rFonts w:hint="eastAsia" w:ascii="宋体" w:hAnsi="宋体" w:cs="宋体"/>
          <w:color w:val="000000" w:themeColor="text1"/>
          <w:kern w:val="0"/>
          <w:szCs w:val="21"/>
        </w:rPr>
        <w:t>响应文件审查合格</w:t>
      </w:r>
      <w:r>
        <w:rPr>
          <w:rFonts w:hint="eastAsia" w:ascii="宋体" w:hAnsi="宋体" w:cs="宋体"/>
          <w:bCs/>
          <w:color w:val="000000" w:themeColor="text1"/>
          <w:szCs w:val="21"/>
        </w:rPr>
        <w:t>的供应商，在规定的</w:t>
      </w:r>
      <w:r>
        <w:rPr>
          <w:rFonts w:hint="eastAsia" w:ascii="宋体" w:hAnsi="宋体" w:cs="宋体"/>
          <w:color w:val="000000" w:themeColor="text1"/>
          <w:kern w:val="0"/>
          <w:szCs w:val="21"/>
        </w:rPr>
        <w:t>截止时间前</w:t>
      </w:r>
      <w:r>
        <w:rPr>
          <w:rFonts w:hint="eastAsia" w:ascii="宋体" w:hAnsi="宋体" w:cs="宋体"/>
          <w:bCs/>
          <w:color w:val="000000" w:themeColor="text1"/>
          <w:szCs w:val="21"/>
        </w:rPr>
        <w:t>重</w:t>
      </w:r>
      <w:r>
        <w:rPr>
          <w:rFonts w:hint="eastAsia" w:ascii="宋体" w:hAnsi="宋体" w:cs="宋体"/>
          <w:color w:val="000000" w:themeColor="text1"/>
          <w:kern w:val="0"/>
          <w:szCs w:val="21"/>
        </w:rPr>
        <w:t>新提交响应文件</w:t>
      </w:r>
      <w:r>
        <w:rPr>
          <w:rFonts w:hint="eastAsia" w:ascii="宋体" w:hAnsi="宋体" w:cs="宋体"/>
          <w:bCs/>
          <w:color w:val="000000" w:themeColor="text1"/>
          <w:szCs w:val="21"/>
        </w:rPr>
        <w:t>。</w:t>
      </w:r>
      <w:r>
        <w:rPr>
          <w:rFonts w:hint="eastAsia" w:ascii="宋体" w:hAnsi="宋体" w:cs="宋体"/>
          <w:color w:val="000000" w:themeColor="text1"/>
          <w:kern w:val="0"/>
          <w:szCs w:val="21"/>
        </w:rPr>
        <w:t>磋商小组应当</w:t>
      </w:r>
      <w:r>
        <w:rPr>
          <w:rFonts w:hint="eastAsia" w:ascii="宋体" w:hAnsi="宋体" w:cs="宋体"/>
          <w:color w:val="000000" w:themeColor="text1"/>
          <w:szCs w:val="21"/>
        </w:rPr>
        <w:t>根据本章第25.2</w:t>
      </w:r>
      <w:r>
        <w:rPr>
          <w:rFonts w:hint="eastAsia" w:ascii="宋体" w:hAnsi="宋体" w:cs="宋体"/>
          <w:color w:val="000000" w:themeColor="text1"/>
          <w:kern w:val="0"/>
          <w:szCs w:val="21"/>
          <w:lang w:val="zh-CN"/>
        </w:rPr>
        <w:t>款</w:t>
      </w:r>
      <w:r>
        <w:rPr>
          <w:rFonts w:hint="eastAsia" w:ascii="宋体" w:hAnsi="宋体" w:cs="宋体"/>
          <w:color w:val="000000" w:themeColor="text1"/>
          <w:szCs w:val="21"/>
        </w:rPr>
        <w:t>规定</w:t>
      </w:r>
      <w:r>
        <w:rPr>
          <w:rFonts w:hint="eastAsia" w:ascii="宋体" w:hAnsi="宋体" w:cs="宋体"/>
          <w:color w:val="000000" w:themeColor="text1"/>
          <w:kern w:val="0"/>
          <w:szCs w:val="21"/>
        </w:rPr>
        <w:t>对供应商重新提交的响应文件进行审查。供应商重新提交的响应文件审查不合格的，不得进入下一轮磋商，也不得要求提交最后报价。</w:t>
      </w:r>
    </w:p>
    <w:p w14:paraId="66C07294">
      <w:pPr>
        <w:numPr>
          <w:ilvl w:val="0"/>
          <w:numId w:val="4"/>
        </w:numPr>
        <w:snapToGrid w:val="0"/>
        <w:spacing w:line="360" w:lineRule="auto"/>
        <w:ind w:firstLine="420" w:firstLineChars="200"/>
        <w:textAlignment w:val="baseline"/>
        <w:rPr>
          <w:rFonts w:ascii="宋体" w:hAnsi="宋体" w:cs="宋体"/>
          <w:color w:val="000000" w:themeColor="text1"/>
          <w:kern w:val="0"/>
          <w:szCs w:val="21"/>
        </w:rPr>
      </w:pPr>
      <w:r>
        <w:rPr>
          <w:rFonts w:hint="eastAsia" w:ascii="宋体" w:hAnsi="宋体" w:cs="宋体"/>
          <w:color w:val="000000" w:themeColor="text1"/>
          <w:kern w:val="0"/>
          <w:szCs w:val="21"/>
        </w:rPr>
        <w:t>磋商文件能够详细列明采购需求的技术、服务要求的，磋商结束后，磋商小组应当要求所有继续参加磋商的供应商在规定时间内提交最后报价。</w:t>
      </w:r>
    </w:p>
    <w:p w14:paraId="6E2BD227">
      <w:pPr>
        <w:snapToGrid w:val="0"/>
        <w:spacing w:line="360" w:lineRule="auto"/>
        <w:ind w:firstLine="420" w:firstLineChars="200"/>
        <w:textAlignment w:val="baseline"/>
        <w:rPr>
          <w:rFonts w:ascii="宋体" w:hAnsi="宋体" w:cs="宋体"/>
          <w:kern w:val="0"/>
          <w:szCs w:val="21"/>
        </w:rPr>
      </w:pPr>
      <w:r>
        <w:rPr>
          <w:rFonts w:hint="eastAsia" w:ascii="宋体" w:hAnsi="宋体" w:cs="宋体"/>
          <w:color w:val="000000" w:themeColor="text1"/>
          <w:kern w:val="0"/>
          <w:szCs w:val="21"/>
        </w:rPr>
        <w:t>（2）磋商文件不能详细列明采购需求的技术、服务要求，需经磋商由供应商提供最终设计方案或解决方案的，磋商结束后，磋商小组应当按</w:t>
      </w:r>
      <w:r>
        <w:rPr>
          <w:rFonts w:hint="eastAsia" w:ascii="宋体" w:hAnsi="宋体" w:cs="宋体"/>
          <w:kern w:val="0"/>
          <w:szCs w:val="21"/>
        </w:rPr>
        <w:t>照少数服从多数的原则投票推荐3家以上供应商的设计方案或者解决方案，并要求其在规定时间内提交最后报价。</w:t>
      </w:r>
    </w:p>
    <w:p w14:paraId="08FAC061">
      <w:pPr>
        <w:widowControl/>
        <w:snapToGrid w:val="0"/>
        <w:spacing w:line="360" w:lineRule="auto"/>
        <w:ind w:firstLine="420"/>
        <w:jc w:val="left"/>
        <w:textAlignment w:val="baseline"/>
        <w:rPr>
          <w:rFonts w:ascii="宋体" w:hAnsi="宋体" w:cs="宋体"/>
          <w:bCs/>
          <w:szCs w:val="21"/>
        </w:rPr>
      </w:pPr>
      <w:r>
        <w:rPr>
          <w:rFonts w:hint="eastAsia" w:ascii="宋体" w:hAnsi="宋体" w:cs="宋体"/>
          <w:bCs/>
          <w:szCs w:val="21"/>
        </w:rPr>
        <w:t>29.3重</w:t>
      </w:r>
      <w:r>
        <w:rPr>
          <w:rFonts w:hint="eastAsia" w:ascii="宋体" w:hAnsi="宋体" w:cs="宋体"/>
          <w:kern w:val="0"/>
          <w:szCs w:val="21"/>
        </w:rPr>
        <w:t>新提交的响应文件</w:t>
      </w:r>
      <w:r>
        <w:rPr>
          <w:rFonts w:hint="eastAsia" w:ascii="宋体" w:hAnsi="宋体" w:cs="宋体"/>
          <w:szCs w:val="21"/>
        </w:rPr>
        <w:t>或者最后报价应按</w:t>
      </w:r>
      <w:r>
        <w:rPr>
          <w:rFonts w:hint="eastAsia" w:ascii="宋体" w:hAnsi="宋体" w:cs="宋体"/>
          <w:kern w:val="0"/>
          <w:szCs w:val="21"/>
        </w:rPr>
        <w:t>本章</w:t>
      </w:r>
      <w:r>
        <w:rPr>
          <w:rFonts w:hint="eastAsia" w:ascii="宋体" w:hAnsi="宋体" w:cs="宋体"/>
          <w:color w:val="000000" w:themeColor="text1"/>
          <w:kern w:val="0"/>
          <w:szCs w:val="21"/>
        </w:rPr>
        <w:t>第</w:t>
      </w:r>
      <w:r>
        <w:rPr>
          <w:rFonts w:hint="eastAsia" w:ascii="宋体" w:hAnsi="宋体" w:cs="宋体"/>
          <w:color w:val="000000" w:themeColor="text1"/>
          <w:szCs w:val="21"/>
        </w:rPr>
        <w:t>20.3</w:t>
      </w:r>
      <w:r>
        <w:rPr>
          <w:rFonts w:hint="eastAsia" w:ascii="宋体" w:hAnsi="宋体" w:cs="宋体"/>
          <w:color w:val="000000" w:themeColor="text1"/>
          <w:kern w:val="0"/>
          <w:szCs w:val="21"/>
          <w:lang w:val="zh-CN"/>
        </w:rPr>
        <w:t>款</w:t>
      </w:r>
      <w:r>
        <w:rPr>
          <w:rFonts w:hint="eastAsia" w:ascii="宋体" w:hAnsi="宋体" w:cs="宋体"/>
          <w:szCs w:val="21"/>
        </w:rPr>
        <w:t>规定，</w:t>
      </w:r>
      <w:r>
        <w:rPr>
          <w:rFonts w:hint="eastAsia" w:ascii="宋体" w:hAnsi="宋体" w:cs="宋体"/>
          <w:kern w:val="0"/>
          <w:szCs w:val="21"/>
        </w:rPr>
        <w:t>由其法定代表人或其委托代理人签字或者加盖供应商单位章，在规定时间内密封递交给磋商小组</w:t>
      </w:r>
      <w:r>
        <w:rPr>
          <w:rFonts w:hint="eastAsia" w:ascii="宋体" w:hAnsi="宋体" w:cs="宋体"/>
          <w:bCs/>
          <w:szCs w:val="21"/>
        </w:rPr>
        <w:t>。</w:t>
      </w:r>
    </w:p>
    <w:p w14:paraId="1CFD314F">
      <w:pPr>
        <w:widowControl/>
        <w:snapToGrid w:val="0"/>
        <w:spacing w:line="360" w:lineRule="auto"/>
        <w:ind w:firstLine="420"/>
        <w:jc w:val="left"/>
        <w:textAlignment w:val="baseline"/>
        <w:rPr>
          <w:rFonts w:ascii="宋体" w:hAnsi="宋体" w:cs="宋体"/>
          <w:kern w:val="0"/>
          <w:szCs w:val="21"/>
        </w:rPr>
      </w:pPr>
      <w:r>
        <w:rPr>
          <w:rFonts w:hint="eastAsia" w:ascii="宋体" w:hAnsi="宋体" w:cs="宋体"/>
          <w:kern w:val="0"/>
          <w:szCs w:val="21"/>
        </w:rPr>
        <w:t>29.4</w:t>
      </w:r>
      <w:r>
        <w:rPr>
          <w:rFonts w:hint="eastAsia" w:ascii="宋体" w:hAnsi="宋体" w:cs="宋体"/>
          <w:kern w:val="0"/>
          <w:szCs w:val="21"/>
          <w:lang w:val="zh-CN"/>
        </w:rPr>
        <w:t>供应商的</w:t>
      </w:r>
      <w:r>
        <w:rPr>
          <w:rFonts w:hint="eastAsia" w:ascii="宋体" w:hAnsi="宋体" w:cs="宋体"/>
          <w:bCs/>
          <w:szCs w:val="21"/>
        </w:rPr>
        <w:t>最</w:t>
      </w:r>
      <w:r>
        <w:rPr>
          <w:rFonts w:hint="eastAsia" w:ascii="宋体" w:hAnsi="宋体" w:cs="宋体"/>
          <w:kern w:val="0"/>
          <w:szCs w:val="21"/>
          <w:lang w:val="zh-CN"/>
        </w:rPr>
        <w:t>后</w:t>
      </w:r>
      <w:r>
        <w:rPr>
          <w:rFonts w:hint="eastAsia" w:ascii="宋体" w:hAnsi="宋体" w:cs="宋体"/>
          <w:bCs/>
          <w:szCs w:val="21"/>
        </w:rPr>
        <w:t>报价</w:t>
      </w:r>
      <w:r>
        <w:rPr>
          <w:rFonts w:hint="eastAsia" w:ascii="宋体" w:hAnsi="宋体" w:cs="宋体"/>
          <w:kern w:val="0"/>
          <w:szCs w:val="21"/>
        </w:rPr>
        <w:t>情况，磋商小组应召集所有参加最后报价的供应商当场开封</w:t>
      </w:r>
      <w:r>
        <w:rPr>
          <w:rFonts w:hint="eastAsia" w:ascii="宋体" w:hAnsi="宋体" w:cs="宋体"/>
          <w:bCs/>
          <w:szCs w:val="21"/>
        </w:rPr>
        <w:t>公布，并由供应商代表签字确认。</w:t>
      </w:r>
    </w:p>
    <w:p w14:paraId="7EDA561C">
      <w:pPr>
        <w:widowControl/>
        <w:snapToGrid w:val="0"/>
        <w:spacing w:line="360" w:lineRule="auto"/>
        <w:ind w:firstLine="420"/>
        <w:jc w:val="left"/>
        <w:textAlignment w:val="baseline"/>
        <w:rPr>
          <w:rFonts w:ascii="宋体" w:hAnsi="宋体" w:cs="宋体"/>
          <w:kern w:val="0"/>
          <w:szCs w:val="21"/>
        </w:rPr>
      </w:pPr>
      <w:r>
        <w:rPr>
          <w:rFonts w:hint="eastAsia" w:ascii="宋体" w:hAnsi="宋体" w:cs="宋体"/>
          <w:kern w:val="0"/>
          <w:szCs w:val="21"/>
        </w:rPr>
        <w:t>29.5提交首次响应文件的供应商，在提交最后报价之前，可以根据磋商情况退出磋商，并书面通知采购代理机构或者磋商小组。</w:t>
      </w:r>
      <w:r>
        <w:rPr>
          <w:rFonts w:hint="eastAsia" w:ascii="宋体" w:hAnsi="宋体" w:cs="宋体"/>
          <w:szCs w:val="21"/>
        </w:rPr>
        <w:t>该通知由供应商法定代表人或其委托代理人签字。</w:t>
      </w:r>
      <w:r>
        <w:rPr>
          <w:rFonts w:hint="eastAsia" w:ascii="宋体" w:hAnsi="宋体" w:cs="宋体"/>
          <w:kern w:val="0"/>
          <w:szCs w:val="21"/>
        </w:rPr>
        <w:t>采购代理机构按本章第</w:t>
      </w:r>
      <w:r>
        <w:rPr>
          <w:rFonts w:hint="eastAsia" w:ascii="宋体" w:hAnsi="宋体" w:cs="宋体"/>
          <w:color w:val="000000" w:themeColor="text1"/>
          <w:szCs w:val="21"/>
        </w:rPr>
        <w:t>18.4</w:t>
      </w:r>
      <w:r>
        <w:rPr>
          <w:rFonts w:hint="eastAsia" w:ascii="宋体" w:hAnsi="宋体" w:cs="宋体"/>
          <w:kern w:val="0"/>
          <w:szCs w:val="21"/>
          <w:lang w:val="zh-CN"/>
        </w:rPr>
        <w:t>款</w:t>
      </w:r>
      <w:r>
        <w:rPr>
          <w:rFonts w:hint="eastAsia" w:ascii="宋体" w:hAnsi="宋体" w:cs="宋体"/>
          <w:szCs w:val="21"/>
        </w:rPr>
        <w:t>规定</w:t>
      </w:r>
      <w:r>
        <w:rPr>
          <w:rFonts w:hint="eastAsia" w:ascii="宋体" w:hAnsi="宋体" w:cs="宋体"/>
          <w:kern w:val="0"/>
          <w:szCs w:val="21"/>
        </w:rPr>
        <w:t>退还退出磋商的供应商的磋商保证金。</w:t>
      </w:r>
    </w:p>
    <w:p w14:paraId="2E490C62">
      <w:pPr>
        <w:snapToGrid w:val="0"/>
        <w:spacing w:line="360" w:lineRule="auto"/>
        <w:ind w:firstLine="420" w:firstLineChars="200"/>
        <w:textAlignment w:val="baseline"/>
        <w:rPr>
          <w:rFonts w:ascii="宋体" w:hAnsi="宋体" w:cs="宋体"/>
          <w:kern w:val="0"/>
          <w:szCs w:val="21"/>
        </w:rPr>
      </w:pPr>
      <w:r>
        <w:rPr>
          <w:rFonts w:hint="eastAsia" w:ascii="宋体" w:hAnsi="宋体" w:cs="宋体"/>
          <w:bCs/>
          <w:szCs w:val="21"/>
        </w:rPr>
        <w:t>29.6</w:t>
      </w:r>
      <w:r>
        <w:rPr>
          <w:rFonts w:hint="eastAsia" w:ascii="宋体" w:hAnsi="宋体" w:cs="宋体"/>
          <w:kern w:val="0"/>
          <w:szCs w:val="21"/>
        </w:rPr>
        <w:t>提交首次响应文件的供应商，未按磋商文件规定及磋商小组要求提交最后报价(或者</w:t>
      </w:r>
      <w:r>
        <w:rPr>
          <w:rFonts w:hint="eastAsia" w:ascii="宋体" w:hAnsi="宋体" w:cs="宋体"/>
          <w:bCs/>
          <w:szCs w:val="21"/>
        </w:rPr>
        <w:t>重</w:t>
      </w:r>
      <w:r>
        <w:rPr>
          <w:rFonts w:hint="eastAsia" w:ascii="宋体" w:hAnsi="宋体" w:cs="宋体"/>
          <w:kern w:val="0"/>
          <w:szCs w:val="21"/>
        </w:rPr>
        <w:t>新提交的响应文件和最后报价)，且又未按本</w:t>
      </w:r>
      <w:r>
        <w:rPr>
          <w:rFonts w:hint="eastAsia" w:ascii="宋体" w:hAnsi="宋体" w:cs="宋体"/>
          <w:color w:val="000000" w:themeColor="text1"/>
          <w:kern w:val="0"/>
          <w:szCs w:val="21"/>
        </w:rPr>
        <w:t>章第</w:t>
      </w:r>
      <w:r>
        <w:rPr>
          <w:rFonts w:hint="eastAsia" w:ascii="宋体" w:hAnsi="宋体" w:cs="宋体"/>
          <w:color w:val="000000" w:themeColor="text1"/>
          <w:szCs w:val="21"/>
        </w:rPr>
        <w:t>29.5</w:t>
      </w:r>
      <w:r>
        <w:rPr>
          <w:rFonts w:hint="eastAsia" w:ascii="宋体" w:hAnsi="宋体" w:cs="宋体"/>
          <w:color w:val="000000" w:themeColor="text1"/>
          <w:kern w:val="0"/>
          <w:szCs w:val="21"/>
          <w:lang w:val="zh-CN"/>
        </w:rPr>
        <w:t>款</w:t>
      </w:r>
      <w:r>
        <w:rPr>
          <w:rFonts w:hint="eastAsia" w:ascii="宋体" w:hAnsi="宋体" w:cs="宋体"/>
          <w:color w:val="000000" w:themeColor="text1"/>
          <w:szCs w:val="21"/>
        </w:rPr>
        <w:t>规</w:t>
      </w:r>
      <w:r>
        <w:rPr>
          <w:rFonts w:hint="eastAsia" w:ascii="宋体" w:hAnsi="宋体" w:cs="宋体"/>
          <w:szCs w:val="21"/>
        </w:rPr>
        <w:t>定</w:t>
      </w:r>
      <w:r>
        <w:rPr>
          <w:rFonts w:hint="eastAsia" w:ascii="宋体" w:hAnsi="宋体" w:cs="宋体"/>
          <w:kern w:val="0"/>
          <w:szCs w:val="21"/>
        </w:rPr>
        <w:t>退出磋商的，供应商的磋商保证金不予退还。</w:t>
      </w:r>
    </w:p>
    <w:p w14:paraId="0E483814">
      <w:pPr>
        <w:widowControl/>
        <w:snapToGrid w:val="0"/>
        <w:spacing w:line="360" w:lineRule="auto"/>
        <w:jc w:val="left"/>
        <w:textAlignment w:val="baseline"/>
        <w:rPr>
          <w:rFonts w:ascii="宋体" w:hAnsi="宋体" w:cs="宋体"/>
          <w:b/>
          <w:bCs/>
          <w:szCs w:val="21"/>
        </w:rPr>
      </w:pPr>
      <w:r>
        <w:rPr>
          <w:rFonts w:hint="eastAsia" w:ascii="宋体" w:hAnsi="宋体" w:cs="宋体"/>
          <w:b/>
          <w:kern w:val="0"/>
          <w:szCs w:val="21"/>
        </w:rPr>
        <w:t>30.响应文件评审</w:t>
      </w:r>
    </w:p>
    <w:p w14:paraId="70FE65FD">
      <w:pPr>
        <w:widowControl/>
        <w:snapToGrid w:val="0"/>
        <w:spacing w:line="360" w:lineRule="auto"/>
        <w:ind w:firstLine="420" w:firstLineChars="200"/>
        <w:jc w:val="left"/>
        <w:textAlignment w:val="baseline"/>
        <w:rPr>
          <w:rFonts w:ascii="宋体" w:hAnsi="宋体" w:cs="宋体"/>
          <w:bCs/>
          <w:szCs w:val="21"/>
        </w:rPr>
      </w:pPr>
      <w:r>
        <w:rPr>
          <w:rFonts w:hint="eastAsia" w:ascii="宋体" w:hAnsi="宋体" w:cs="宋体"/>
          <w:bCs/>
          <w:szCs w:val="21"/>
        </w:rPr>
        <w:t>30.1经磋商确定最终采购需求和提交最后报价的供应商后，由磋商小组采用综合评分法对提交最后报价的供应商的响应文件和最后报价进行综合评价。</w:t>
      </w:r>
    </w:p>
    <w:p w14:paraId="0C08979B">
      <w:pPr>
        <w:widowControl/>
        <w:snapToGrid w:val="0"/>
        <w:spacing w:line="360" w:lineRule="auto"/>
        <w:ind w:firstLine="420" w:firstLineChars="200"/>
        <w:jc w:val="left"/>
        <w:textAlignment w:val="baseline"/>
        <w:rPr>
          <w:rFonts w:ascii="宋体" w:hAnsi="宋体" w:cs="宋体"/>
          <w:b/>
          <w:bCs/>
          <w:szCs w:val="21"/>
        </w:rPr>
      </w:pPr>
      <w:r>
        <w:rPr>
          <w:rFonts w:hint="eastAsia" w:ascii="宋体" w:hAnsi="宋体" w:cs="宋体"/>
          <w:bCs/>
          <w:szCs w:val="21"/>
        </w:rPr>
        <w:t>30.2综合评分法，是指响应文件满足磋商文件全部实质性要求且按评审因素的量化指标评审得分最高的供应商为成交候选供应商的评审方法。本采购项目的评审因素和标准见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cs="宋体"/>
          <w:b/>
          <w:bCs/>
          <w:szCs w:val="21"/>
        </w:rPr>
        <w:t>磋商须知前附表。</w:t>
      </w:r>
    </w:p>
    <w:p w14:paraId="5D762F67">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30.3综合评分法中的价格分采用低价优先法计算，即满足磋商文件要求且经调整后的最后报价最低的供应商的价格为磋商基准价，其价格分为满分。其他供应商的价格分按照下列公式计算：</w:t>
      </w:r>
    </w:p>
    <w:p w14:paraId="6CD96ED0">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磋商报价得分=（磋商基准价/最后磋商报价）×价格权值×100</w:t>
      </w:r>
    </w:p>
    <w:p w14:paraId="7608AFCA">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项目评审过程中，不得去掉最后报价中的最高报价和最低报价。</w:t>
      </w:r>
    </w:p>
    <w:p w14:paraId="1D1DA9B6">
      <w:pPr>
        <w:widowControl/>
        <w:snapToGrid w:val="0"/>
        <w:spacing w:line="360" w:lineRule="auto"/>
        <w:ind w:firstLine="420" w:firstLineChars="200"/>
        <w:jc w:val="left"/>
        <w:textAlignment w:val="baseline"/>
        <w:rPr>
          <w:rFonts w:ascii="宋体" w:hAnsi="宋体" w:cs="宋体"/>
          <w:szCs w:val="21"/>
        </w:rPr>
      </w:pPr>
      <w:r>
        <w:rPr>
          <w:rFonts w:hint="eastAsia" w:ascii="宋体" w:hAnsi="宋体" w:cs="宋体"/>
          <w:kern w:val="0"/>
          <w:szCs w:val="21"/>
        </w:rPr>
        <w:t>30.4</w:t>
      </w:r>
      <w:r>
        <w:rPr>
          <w:rFonts w:hint="eastAsia" w:ascii="宋体" w:hAnsi="宋体" w:cs="宋体"/>
          <w:szCs w:val="21"/>
        </w:rPr>
        <w:t>评审时，磋商小组各成员应当独立对每个供应商的</w:t>
      </w:r>
      <w:r>
        <w:rPr>
          <w:rFonts w:hint="eastAsia" w:ascii="宋体" w:hAnsi="宋体" w:cs="宋体"/>
          <w:bCs/>
          <w:szCs w:val="21"/>
        </w:rPr>
        <w:t>响应文件</w:t>
      </w:r>
      <w:r>
        <w:rPr>
          <w:rFonts w:hint="eastAsia" w:ascii="宋体" w:hAnsi="宋体" w:cs="宋体"/>
          <w:szCs w:val="21"/>
        </w:rPr>
        <w:t>进行评价、评分，并按照技术、商务、价格加分后，汇总各供应商的总得分。</w:t>
      </w:r>
    </w:p>
    <w:p w14:paraId="0351E51D">
      <w:pPr>
        <w:widowControl/>
        <w:snapToGrid w:val="0"/>
        <w:spacing w:line="360" w:lineRule="auto"/>
        <w:jc w:val="left"/>
        <w:textAlignment w:val="baseline"/>
        <w:rPr>
          <w:rFonts w:ascii="宋体" w:hAnsi="宋体" w:cs="宋体"/>
          <w:b/>
          <w:bCs/>
          <w:szCs w:val="21"/>
        </w:rPr>
      </w:pPr>
      <w:r>
        <w:rPr>
          <w:rFonts w:hint="eastAsia" w:ascii="宋体" w:hAnsi="宋体" w:cs="宋体"/>
          <w:b/>
          <w:bCs/>
          <w:szCs w:val="21"/>
        </w:rPr>
        <w:t>31.提出成交供应商</w:t>
      </w:r>
    </w:p>
    <w:p w14:paraId="03706C5C">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31.1</w:t>
      </w:r>
      <w:r>
        <w:rPr>
          <w:rFonts w:hint="eastAsia" w:ascii="宋体" w:hAnsi="宋体" w:cs="宋体"/>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w:t>
      </w:r>
      <w:r>
        <w:rPr>
          <w:rFonts w:hint="eastAsia" w:ascii="宋体" w:hAnsi="宋体" w:cs="宋体"/>
          <w:kern w:val="0"/>
          <w:szCs w:val="21"/>
        </w:rPr>
        <w:t>》（财库〔2015〕124号）所列“政府购买服务项目（含政府和社会资本合作项目）、市场竞争不充分的科研项目以及需要扶持的科技成果转化项目”情形的，</w:t>
      </w:r>
      <w:r>
        <w:rPr>
          <w:rFonts w:hint="eastAsia" w:ascii="宋体" w:hAnsi="宋体" w:cs="宋体"/>
          <w:bCs/>
          <w:szCs w:val="21"/>
        </w:rPr>
        <w:t>可以推荐2家成交候选供应商。</w:t>
      </w:r>
    </w:p>
    <w:p w14:paraId="49E87C94">
      <w:pPr>
        <w:tabs>
          <w:tab w:val="left" w:pos="0"/>
        </w:tabs>
        <w:snapToGrid w:val="0"/>
        <w:spacing w:line="360" w:lineRule="auto"/>
        <w:textAlignment w:val="baseline"/>
        <w:rPr>
          <w:rFonts w:ascii="宋体" w:hAnsi="宋体" w:cs="宋体"/>
          <w:b/>
          <w:bCs/>
          <w:szCs w:val="21"/>
        </w:rPr>
      </w:pPr>
      <w:r>
        <w:rPr>
          <w:rFonts w:hint="eastAsia" w:ascii="宋体" w:hAnsi="宋体" w:cs="宋体"/>
          <w:b/>
          <w:bCs/>
          <w:szCs w:val="21"/>
        </w:rPr>
        <w:t>32.确定成交供应商</w:t>
      </w:r>
    </w:p>
    <w:p w14:paraId="45752D88">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32.1采购代理机构应当在评审结束后2个工作日内将评审报告送采购人确认。</w:t>
      </w:r>
    </w:p>
    <w:p w14:paraId="515CAF3C">
      <w:pPr>
        <w:widowControl/>
        <w:snapToGrid w:val="0"/>
        <w:spacing w:line="360" w:lineRule="auto"/>
        <w:ind w:firstLine="420"/>
        <w:jc w:val="left"/>
        <w:textAlignment w:val="baseline"/>
        <w:rPr>
          <w:rFonts w:ascii="宋体" w:hAnsi="宋体" w:cs="宋体"/>
          <w:kern w:val="0"/>
          <w:szCs w:val="21"/>
        </w:rPr>
      </w:pPr>
      <w:r>
        <w:rPr>
          <w:rFonts w:hint="eastAsia" w:ascii="宋体" w:hAnsi="宋体" w:cs="宋体"/>
          <w:kern w:val="0"/>
          <w:szCs w:val="21"/>
        </w:rPr>
        <w:t>32.2采购人应当在收到评审报告后5个工作日内，从评审报告提出的成交候选供应商中，按照排序由高到低的原则确定成交供应商，也可以书面授权磋商小组直接确定成交供应商。</w:t>
      </w:r>
    </w:p>
    <w:p w14:paraId="1B97042C">
      <w:pPr>
        <w:pStyle w:val="26"/>
        <w:snapToGrid w:val="0"/>
        <w:spacing w:line="360" w:lineRule="auto"/>
        <w:ind w:left="634" w:hanging="630" w:hangingChars="300"/>
        <w:textAlignment w:val="baseline"/>
        <w:rPr>
          <w:rFonts w:hAnsi="宋体" w:cs="宋体"/>
          <w:b/>
          <w:sz w:val="21"/>
        </w:rPr>
      </w:pPr>
      <w:r>
        <w:rPr>
          <w:rFonts w:hint="eastAsia" w:hAnsi="宋体" w:cs="宋体"/>
          <w:b/>
          <w:sz w:val="21"/>
        </w:rPr>
        <w:t>34.磋商终止</w:t>
      </w:r>
    </w:p>
    <w:p w14:paraId="3C52D7F6">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bCs/>
          <w:szCs w:val="21"/>
        </w:rPr>
        <w:t>34.1</w:t>
      </w:r>
      <w:r>
        <w:rPr>
          <w:rFonts w:hint="eastAsia" w:ascii="宋体" w:hAnsi="宋体" w:cs="宋体"/>
          <w:kern w:val="0"/>
          <w:szCs w:val="21"/>
        </w:rPr>
        <w:t>出现下列情形之一的，采购人或者采购代理机构应当终止竞争性磋商采购活动，</w:t>
      </w:r>
      <w:r>
        <w:rPr>
          <w:rFonts w:hint="eastAsia" w:ascii="宋体" w:hAnsi="宋体" w:cs="宋体"/>
          <w:szCs w:val="21"/>
        </w:rPr>
        <w:t>在本章第37.1款指定的媒体上</w:t>
      </w:r>
      <w:r>
        <w:rPr>
          <w:rFonts w:hint="eastAsia" w:ascii="宋体" w:hAnsi="宋体" w:cs="宋体"/>
          <w:kern w:val="0"/>
          <w:szCs w:val="21"/>
        </w:rPr>
        <w:t xml:space="preserve">发布项目终止公告并说明原因，重新开展采购活动： </w:t>
      </w:r>
    </w:p>
    <w:p w14:paraId="1C8794F7">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（1）因情况变化，不再符合规定的竞争性磋商采购方式适用情形的；</w:t>
      </w:r>
    </w:p>
    <w:p w14:paraId="437A3DD2">
      <w:pPr>
        <w:widowControl/>
        <w:snapToGrid w:val="0"/>
        <w:spacing w:line="360" w:lineRule="auto"/>
        <w:ind w:firstLine="420"/>
        <w:jc w:val="left"/>
        <w:textAlignment w:val="baseline"/>
        <w:rPr>
          <w:rFonts w:ascii="宋体" w:hAnsi="宋体" w:cs="宋体"/>
          <w:kern w:val="0"/>
          <w:szCs w:val="21"/>
        </w:rPr>
      </w:pPr>
      <w:r>
        <w:rPr>
          <w:rFonts w:hint="eastAsia" w:ascii="宋体" w:hAnsi="宋体" w:cs="宋体"/>
          <w:kern w:val="0"/>
          <w:szCs w:val="21"/>
        </w:rPr>
        <w:t>（2）出现影响采购公正的违法、违规行为的；</w:t>
      </w:r>
    </w:p>
    <w:p w14:paraId="78FC1DD0">
      <w:pPr>
        <w:widowControl/>
        <w:snapToGrid w:val="0"/>
        <w:spacing w:line="360" w:lineRule="auto"/>
        <w:ind w:firstLine="420"/>
        <w:jc w:val="left"/>
        <w:textAlignment w:val="baseline"/>
        <w:rPr>
          <w:rFonts w:ascii="宋体" w:hAnsi="宋体" w:cs="宋体"/>
          <w:bCs/>
          <w:szCs w:val="21"/>
        </w:rPr>
      </w:pPr>
      <w:r>
        <w:rPr>
          <w:rFonts w:hint="eastAsia" w:ascii="宋体" w:hAnsi="宋体" w:cs="宋体"/>
          <w:kern w:val="0"/>
          <w:szCs w:val="21"/>
        </w:rPr>
        <w:t>（3）</w:t>
      </w:r>
      <w:r>
        <w:rPr>
          <w:rFonts w:hint="eastAsia" w:ascii="宋体" w:hAnsi="宋体" w:cs="宋体"/>
          <w:bCs/>
          <w:szCs w:val="21"/>
        </w:rPr>
        <w:t>除《政府采购竞争性磋商采购方式管理暂行办法》(财库〔2014〕214号)</w:t>
      </w:r>
      <w:r>
        <w:rPr>
          <w:rFonts w:hint="eastAsia" w:ascii="宋体" w:hAnsi="宋体" w:cs="宋体"/>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cs="宋体"/>
          <w:bCs/>
          <w:szCs w:val="21"/>
        </w:rPr>
        <w:t>情形外，在采购过程中符合要求的供应商或者报价未超过采购预算的供应商不足3家的；</w:t>
      </w:r>
    </w:p>
    <w:p w14:paraId="142959B8">
      <w:pPr>
        <w:widowControl/>
        <w:snapToGrid w:val="0"/>
        <w:spacing w:line="360" w:lineRule="auto"/>
        <w:ind w:firstLine="420"/>
        <w:jc w:val="left"/>
        <w:textAlignment w:val="baseline"/>
        <w:rPr>
          <w:rFonts w:ascii="宋体" w:hAnsi="宋体" w:cs="宋体"/>
          <w:bCs/>
          <w:szCs w:val="21"/>
        </w:rPr>
      </w:pPr>
      <w:r>
        <w:rPr>
          <w:rFonts w:hint="eastAsia" w:ascii="宋体" w:hAnsi="宋体" w:cs="宋体"/>
          <w:kern w:val="0"/>
          <w:szCs w:val="21"/>
        </w:rPr>
        <w:t>（4）因重大变故，采购任务取消的。</w:t>
      </w:r>
    </w:p>
    <w:p w14:paraId="70D70BB8">
      <w:pPr>
        <w:widowControl/>
        <w:snapToGrid w:val="0"/>
        <w:spacing w:line="360" w:lineRule="auto"/>
        <w:jc w:val="left"/>
        <w:textAlignment w:val="baseline"/>
        <w:rPr>
          <w:rFonts w:ascii="宋体" w:hAnsi="宋体" w:cs="宋体"/>
          <w:b/>
          <w:kern w:val="0"/>
          <w:szCs w:val="21"/>
        </w:rPr>
      </w:pPr>
      <w:r>
        <w:rPr>
          <w:rFonts w:hint="eastAsia" w:ascii="宋体" w:hAnsi="宋体" w:cs="宋体"/>
          <w:b/>
          <w:kern w:val="0"/>
          <w:szCs w:val="21"/>
        </w:rPr>
        <w:t>35．重新评审</w:t>
      </w:r>
    </w:p>
    <w:p w14:paraId="39E52964">
      <w:pPr>
        <w:widowControl/>
        <w:snapToGrid w:val="0"/>
        <w:spacing w:line="360" w:lineRule="auto"/>
        <w:ind w:firstLine="420" w:firstLineChars="200"/>
        <w:jc w:val="left"/>
        <w:textAlignment w:val="baseline"/>
        <w:rPr>
          <w:rFonts w:ascii="宋体" w:hAnsi="宋体" w:cs="宋体"/>
          <w:kern w:val="0"/>
          <w:szCs w:val="21"/>
        </w:rPr>
      </w:pPr>
      <w:r>
        <w:rPr>
          <w:rFonts w:hint="eastAsia" w:ascii="宋体" w:hAnsi="宋体" w:cs="宋体"/>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144078E8">
      <w:pPr>
        <w:snapToGrid w:val="0"/>
        <w:spacing w:line="360" w:lineRule="auto"/>
        <w:textAlignment w:val="baseline"/>
        <w:rPr>
          <w:rFonts w:ascii="宋体" w:hAnsi="宋体" w:cs="宋体"/>
          <w:b/>
          <w:bCs/>
          <w:szCs w:val="21"/>
        </w:rPr>
      </w:pPr>
      <w:r>
        <w:rPr>
          <w:rFonts w:hint="eastAsia" w:ascii="宋体" w:hAnsi="宋体" w:cs="宋体"/>
          <w:b/>
          <w:bCs/>
          <w:szCs w:val="21"/>
        </w:rPr>
        <w:t>36.保密及串通行为</w:t>
      </w:r>
    </w:p>
    <w:p w14:paraId="3D0EF060">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36.1磋商小组成员以及与评审工作有关的人员不得泄露评审情况以及评审过程中获悉的国家秘密、商业秘密。</w:t>
      </w:r>
    </w:p>
    <w:p w14:paraId="2913C557">
      <w:pPr>
        <w:snapToGrid w:val="0"/>
        <w:spacing w:line="360" w:lineRule="auto"/>
        <w:ind w:firstLine="420" w:firstLineChars="200"/>
        <w:textAlignment w:val="baseline"/>
        <w:rPr>
          <w:rFonts w:ascii="宋体" w:hAnsi="宋体" w:cs="宋体"/>
          <w:szCs w:val="21"/>
        </w:rPr>
      </w:pPr>
      <w:r>
        <w:rPr>
          <w:rFonts w:hint="eastAsia" w:ascii="宋体" w:hAnsi="宋体" w:cs="宋体"/>
          <w:szCs w:val="21"/>
        </w:rPr>
        <w:t>36.2</w:t>
      </w:r>
      <w:r>
        <w:rPr>
          <w:rFonts w:hint="eastAsia" w:ascii="宋体" w:hAnsi="宋体" w:cs="宋体"/>
          <w:kern w:val="0"/>
          <w:szCs w:val="21"/>
        </w:rPr>
        <w:t>供应商</w:t>
      </w:r>
      <w:r>
        <w:rPr>
          <w:rFonts w:hint="eastAsia" w:ascii="宋体" w:hAnsi="宋体" w:cs="宋体"/>
          <w:szCs w:val="21"/>
        </w:rPr>
        <w:t>不得与</w:t>
      </w:r>
      <w:r>
        <w:rPr>
          <w:rFonts w:hint="eastAsia" w:ascii="宋体" w:hAnsi="宋体" w:cs="宋体"/>
          <w:kern w:val="0"/>
          <w:szCs w:val="21"/>
        </w:rPr>
        <w:t>采购人、采购代理机构、其他供应商恶意</w:t>
      </w:r>
      <w:r>
        <w:rPr>
          <w:rFonts w:hint="eastAsia" w:ascii="宋体" w:hAnsi="宋体" w:cs="宋体"/>
          <w:szCs w:val="21"/>
        </w:rPr>
        <w:t>串通；不得向</w:t>
      </w:r>
      <w:r>
        <w:rPr>
          <w:rFonts w:hint="eastAsia" w:ascii="宋体" w:hAnsi="宋体" w:cs="宋体"/>
          <w:kern w:val="0"/>
          <w:szCs w:val="21"/>
        </w:rPr>
        <w:t>采购人、采购代理机构</w:t>
      </w:r>
      <w:r>
        <w:rPr>
          <w:rFonts w:hint="eastAsia" w:ascii="宋体" w:hAnsi="宋体" w:cs="宋体"/>
          <w:szCs w:val="21"/>
        </w:rPr>
        <w:t>或者磋商小组成员行贿或者提供其他不正当利益；不得提供虚假资料谋取成交；不得以任何方式干扰、影响采购工作。</w:t>
      </w:r>
    </w:p>
    <w:p w14:paraId="226F13E8">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rPr>
        <w:t>36.3</w:t>
      </w:r>
      <w:r>
        <w:rPr>
          <w:rFonts w:hint="eastAsia"/>
          <w:sz w:val="21"/>
          <w:szCs w:val="21"/>
          <w:lang w:val="zh-CN"/>
        </w:rPr>
        <w:t>有下列情形之一的，属于恶意串通，对供应商依照政府采购法第七十七条第一款的规定追究法律责任：</w:t>
      </w:r>
    </w:p>
    <w:p w14:paraId="7E23F385">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（一）供应商直接或者间接从采购人或者采购代理机构处获得其他供应商的相关情况并修改其投标文件或者响应文件；</w:t>
      </w:r>
    </w:p>
    <w:p w14:paraId="61BCD8BD">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（二）供应商按照采购人或者采购代理机构的授意撤换、修改投标文件或者响应文件；</w:t>
      </w:r>
    </w:p>
    <w:p w14:paraId="49923EBB">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（三）供应商之间协商报价、技术方案等投标文件或者响应文件的实质性内容；</w:t>
      </w:r>
    </w:p>
    <w:p w14:paraId="3316F7A3">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（四）属于同一集团、协会、商会等组织成员的供应商按照该组织要求协同参加政府采购活动；</w:t>
      </w:r>
    </w:p>
    <w:p w14:paraId="77204D61">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（五）供应商之间事先约定由某一特定供应商中标、成交；</w:t>
      </w:r>
    </w:p>
    <w:p w14:paraId="387FE5AE">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（六）供应商之间商定部分供应商放弃参加政府采购活动或者放弃中标、成交；</w:t>
      </w:r>
    </w:p>
    <w:p w14:paraId="7B996099">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（七）供应商与采购人或者采购代理机构之间、供应商相互之间，为谋求特定供应商中标、成交或者排斥其他供应商的其他串通行为。</w:t>
      </w:r>
    </w:p>
    <w:p w14:paraId="50EAB3D8">
      <w:pPr>
        <w:snapToGrid w:val="0"/>
        <w:spacing w:line="360" w:lineRule="auto"/>
        <w:textAlignment w:val="baseline"/>
        <w:rPr>
          <w:rFonts w:ascii="宋体" w:hAnsi="宋体" w:cs="宋体"/>
          <w:szCs w:val="21"/>
        </w:rPr>
      </w:pPr>
      <w:r>
        <w:rPr>
          <w:rFonts w:hint="eastAsia" w:ascii="宋体" w:hAnsi="宋体" w:cs="宋体"/>
          <w:szCs w:val="21"/>
        </w:rPr>
        <w:t>六、成交结果信息公布与授予合同</w:t>
      </w:r>
    </w:p>
    <w:p w14:paraId="4BCC0F69">
      <w:pPr>
        <w:snapToGrid w:val="0"/>
        <w:spacing w:line="360" w:lineRule="auto"/>
        <w:textAlignment w:val="baseline"/>
        <w:rPr>
          <w:rFonts w:ascii="宋体" w:hAnsi="宋体" w:cs="宋体"/>
          <w:b/>
          <w:bCs/>
          <w:szCs w:val="21"/>
        </w:rPr>
      </w:pPr>
      <w:r>
        <w:rPr>
          <w:rFonts w:hint="eastAsia" w:ascii="宋体" w:hAnsi="宋体" w:cs="宋体"/>
          <w:b/>
          <w:bCs/>
          <w:szCs w:val="21"/>
        </w:rPr>
        <w:t>37.成交信息的公布</w:t>
      </w:r>
    </w:p>
    <w:p w14:paraId="14E0243C">
      <w:pPr>
        <w:pStyle w:val="42"/>
        <w:snapToGrid w:val="0"/>
        <w:spacing w:before="0" w:beforeAutospacing="0" w:after="0" w:afterAutospacing="0" w:line="360" w:lineRule="auto"/>
        <w:ind w:firstLine="420" w:firstLineChars="200"/>
        <w:textAlignment w:val="baseline"/>
        <w:rPr>
          <w:sz w:val="21"/>
          <w:szCs w:val="21"/>
          <w:lang w:val="zh-CN"/>
        </w:rPr>
      </w:pPr>
      <w:r>
        <w:rPr>
          <w:rFonts w:hint="eastAsia"/>
          <w:sz w:val="21"/>
          <w:szCs w:val="21"/>
          <w:lang w:val="zh-CN"/>
        </w:rPr>
        <w:t>37.1成交供应商确定后2个工作日内，成交结果信息将在</w:t>
      </w:r>
      <w:r>
        <w:rPr>
          <w:rFonts w:hint="eastAsia"/>
          <w:b/>
          <w:bCs/>
          <w:sz w:val="21"/>
          <w:szCs w:val="21"/>
          <w:lang w:val="zh-CN"/>
        </w:rPr>
        <w:t>磋商须知前附表</w:t>
      </w:r>
      <w:r>
        <w:rPr>
          <w:rFonts w:hint="eastAsia"/>
          <w:sz w:val="21"/>
          <w:szCs w:val="21"/>
          <w:lang w:val="zh-CN"/>
        </w:rPr>
        <w:t>指定的媒体上公布。</w:t>
      </w:r>
    </w:p>
    <w:p w14:paraId="0F118E88">
      <w:pPr>
        <w:snapToGrid w:val="0"/>
        <w:spacing w:line="360" w:lineRule="auto"/>
        <w:textAlignment w:val="baseline"/>
        <w:rPr>
          <w:rFonts w:ascii="宋体" w:hAnsi="宋体" w:cs="宋体"/>
          <w:b/>
          <w:bCs/>
          <w:szCs w:val="21"/>
        </w:rPr>
      </w:pPr>
      <w:r>
        <w:rPr>
          <w:rFonts w:hint="eastAsia" w:ascii="宋体" w:hAnsi="宋体" w:cs="宋体"/>
          <w:b/>
          <w:bCs/>
          <w:szCs w:val="21"/>
        </w:rPr>
        <w:t>38.询问及质疑</w:t>
      </w:r>
    </w:p>
    <w:p w14:paraId="151205F1">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38.1供应商对政府采购活动事项有疑问的，可以向采购人或采购代理机构提出询问。</w:t>
      </w:r>
    </w:p>
    <w:p w14:paraId="217FF0B7">
      <w:pPr>
        <w:snapToGrid w:val="0"/>
        <w:spacing w:line="360" w:lineRule="auto"/>
        <w:ind w:firstLine="420" w:firstLineChars="200"/>
        <w:jc w:val="left"/>
        <w:textAlignment w:val="baseline"/>
        <w:rPr>
          <w:rFonts w:ascii="宋体" w:hAnsi="宋体" w:cs="宋体"/>
          <w:szCs w:val="21"/>
        </w:rPr>
      </w:pPr>
      <w:r>
        <w:rPr>
          <w:rFonts w:hint="eastAsia" w:ascii="宋体" w:hAnsi="宋体" w:cs="宋体"/>
          <w:szCs w:val="21"/>
        </w:rPr>
        <w:t>38.2供应商若认为磋商文件、采购过程和成交结果使自己的权益受到损害，可以按法律、行政法规及湖南省财政厅规范性文件规定向采购人或采购代理机构提出质疑。</w:t>
      </w:r>
    </w:p>
    <w:p w14:paraId="4960D80F">
      <w:pPr>
        <w:snapToGrid w:val="0"/>
        <w:spacing w:line="360" w:lineRule="auto"/>
        <w:textAlignment w:val="baseline"/>
        <w:rPr>
          <w:rFonts w:ascii="宋体" w:hAnsi="宋体" w:cs="宋体"/>
          <w:b/>
          <w:bCs/>
          <w:szCs w:val="21"/>
        </w:rPr>
      </w:pPr>
      <w:r>
        <w:rPr>
          <w:rFonts w:hint="eastAsia" w:ascii="宋体" w:hAnsi="宋体" w:cs="宋体"/>
          <w:b/>
          <w:bCs/>
          <w:szCs w:val="21"/>
        </w:rPr>
        <w:t>39.成交通知</w:t>
      </w:r>
    </w:p>
    <w:p w14:paraId="3221CB37">
      <w:pPr>
        <w:pStyle w:val="26"/>
        <w:snapToGrid w:val="0"/>
        <w:spacing w:line="360" w:lineRule="auto"/>
        <w:ind w:firstLine="420" w:firstLineChars="200"/>
        <w:textAlignment w:val="baseline"/>
        <w:rPr>
          <w:rFonts w:hAnsi="宋体" w:cs="宋体"/>
          <w:kern w:val="2"/>
          <w:sz w:val="21"/>
        </w:rPr>
      </w:pPr>
      <w:r>
        <w:rPr>
          <w:rFonts w:hint="eastAsia" w:hAnsi="宋体" w:cs="宋体"/>
          <w:sz w:val="21"/>
        </w:rPr>
        <w:t>3</w:t>
      </w:r>
      <w:r>
        <w:rPr>
          <w:rFonts w:hint="eastAsia" w:hAnsi="宋体" w:cs="宋体"/>
          <w:kern w:val="2"/>
          <w:sz w:val="21"/>
        </w:rPr>
        <w:t>9.1成交供应商确定后，采购人或采购代理机构将以书面形式向成交供应商发出成交通知书。成交通知书对采购人和成交供应商具有同等法律效力。</w:t>
      </w:r>
    </w:p>
    <w:p w14:paraId="2E4041AD">
      <w:pPr>
        <w:pStyle w:val="26"/>
        <w:snapToGrid w:val="0"/>
        <w:spacing w:line="360" w:lineRule="auto"/>
        <w:ind w:firstLine="420" w:firstLineChars="200"/>
        <w:textAlignment w:val="baseline"/>
        <w:rPr>
          <w:rFonts w:hAnsi="宋体" w:cs="宋体"/>
          <w:kern w:val="2"/>
          <w:sz w:val="21"/>
        </w:rPr>
      </w:pPr>
      <w:r>
        <w:rPr>
          <w:rFonts w:hint="eastAsia" w:hAnsi="宋体" w:cs="宋体"/>
          <w:kern w:val="2"/>
          <w:sz w:val="21"/>
        </w:rPr>
        <w:t>39.2 成交通知书是合同文件的组成部分。</w:t>
      </w:r>
    </w:p>
    <w:p w14:paraId="4B592D24">
      <w:pPr>
        <w:tabs>
          <w:tab w:val="left" w:pos="7560"/>
          <w:tab w:val="left" w:pos="7740"/>
          <w:tab w:val="left" w:pos="7920"/>
        </w:tabs>
        <w:snapToGrid w:val="0"/>
        <w:spacing w:line="360" w:lineRule="auto"/>
        <w:ind w:firstLine="420" w:firstLineChars="200"/>
        <w:textAlignment w:val="baseline"/>
        <w:rPr>
          <w:rFonts w:ascii="宋体" w:hAnsi="宋体" w:cs="宋体"/>
          <w:szCs w:val="21"/>
        </w:rPr>
      </w:pPr>
      <w:r>
        <w:rPr>
          <w:rFonts w:hint="eastAsia" w:ascii="宋体" w:hAnsi="宋体" w:cs="宋体"/>
          <w:szCs w:val="21"/>
        </w:rPr>
        <w:t>39.3 成交供应商在收到采购代理机构的成交通知书后10日内，应按照</w:t>
      </w:r>
      <w:r>
        <w:rPr>
          <w:rFonts w:hint="eastAsia" w:ascii="宋体" w:hAnsi="宋体" w:cs="宋体"/>
          <w:b/>
          <w:szCs w:val="21"/>
        </w:rPr>
        <w:t>磋商须知前附表</w:t>
      </w:r>
      <w:r>
        <w:rPr>
          <w:rFonts w:hint="eastAsia" w:ascii="宋体" w:hAnsi="宋体" w:cs="宋体"/>
          <w:szCs w:val="21"/>
        </w:rPr>
        <w:t>的规定，向采购人提交履约担保。联合体成交的，履约担保由联合体各方或联合体中牵头人的名义提交。</w:t>
      </w:r>
    </w:p>
    <w:p w14:paraId="1714A3D7">
      <w:pPr>
        <w:pStyle w:val="26"/>
        <w:snapToGrid w:val="0"/>
        <w:spacing w:line="360" w:lineRule="auto"/>
        <w:ind w:firstLine="420" w:firstLineChars="200"/>
        <w:textAlignment w:val="baseline"/>
        <w:rPr>
          <w:rFonts w:hAnsi="宋体" w:cs="宋体"/>
          <w:sz w:val="21"/>
        </w:rPr>
      </w:pPr>
      <w:r>
        <w:rPr>
          <w:rFonts w:hint="eastAsia" w:hAnsi="宋体" w:cs="宋体"/>
          <w:sz w:val="21"/>
        </w:rPr>
        <w:t>39.4 成交供应商</w:t>
      </w:r>
      <w:r>
        <w:rPr>
          <w:rFonts w:hint="eastAsia" w:hAnsi="宋体" w:cs="宋体"/>
          <w:spacing w:val="4"/>
          <w:sz w:val="21"/>
        </w:rPr>
        <w:t>没有按照本</w:t>
      </w:r>
      <w:r>
        <w:rPr>
          <w:rFonts w:hint="eastAsia" w:hAnsi="宋体" w:cs="宋体"/>
          <w:color w:val="000000" w:themeColor="text1"/>
          <w:spacing w:val="4"/>
          <w:sz w:val="21"/>
        </w:rPr>
        <w:t>章第39.3</w:t>
      </w:r>
      <w:r>
        <w:rPr>
          <w:rFonts w:hint="eastAsia" w:hAnsi="宋体" w:cs="宋体"/>
          <w:color w:val="000000" w:themeColor="text1"/>
          <w:sz w:val="21"/>
          <w:lang w:val="zh-CN"/>
        </w:rPr>
        <w:t>款</w:t>
      </w:r>
      <w:r>
        <w:rPr>
          <w:rFonts w:hint="eastAsia" w:hAnsi="宋体" w:cs="宋体"/>
          <w:color w:val="000000" w:themeColor="text1"/>
          <w:spacing w:val="4"/>
          <w:sz w:val="21"/>
        </w:rPr>
        <w:t>规</w:t>
      </w:r>
      <w:r>
        <w:rPr>
          <w:rFonts w:hint="eastAsia" w:hAnsi="宋体" w:cs="宋体"/>
          <w:spacing w:val="4"/>
          <w:sz w:val="21"/>
        </w:rPr>
        <w:t>定</w:t>
      </w:r>
      <w:r>
        <w:rPr>
          <w:rFonts w:hint="eastAsia" w:hAnsi="宋体" w:cs="宋体"/>
          <w:sz w:val="21"/>
        </w:rPr>
        <w:t>提交履约担保的</w:t>
      </w:r>
      <w:r>
        <w:rPr>
          <w:rFonts w:hint="eastAsia" w:hAnsi="宋体" w:cs="宋体"/>
          <w:spacing w:val="4"/>
          <w:sz w:val="21"/>
        </w:rPr>
        <w:t>，视为放弃</w:t>
      </w:r>
      <w:r>
        <w:rPr>
          <w:rFonts w:hint="eastAsia" w:hAnsi="宋体" w:cs="宋体"/>
          <w:sz w:val="21"/>
        </w:rPr>
        <w:t>成交资格</w:t>
      </w:r>
      <w:r>
        <w:rPr>
          <w:rFonts w:hint="eastAsia" w:hAnsi="宋体" w:cs="宋体"/>
          <w:spacing w:val="4"/>
          <w:sz w:val="21"/>
        </w:rPr>
        <w:t>，</w:t>
      </w:r>
      <w:r>
        <w:rPr>
          <w:rFonts w:hint="eastAsia" w:hAnsi="宋体" w:cs="宋体"/>
          <w:spacing w:val="2"/>
          <w:sz w:val="21"/>
        </w:rPr>
        <w:t>其保证金不予退还。</w:t>
      </w:r>
    </w:p>
    <w:p w14:paraId="7C118B40">
      <w:pPr>
        <w:snapToGrid w:val="0"/>
        <w:spacing w:line="360" w:lineRule="auto"/>
        <w:textAlignment w:val="baseline"/>
        <w:rPr>
          <w:rFonts w:ascii="宋体" w:hAnsi="宋体" w:cs="宋体"/>
          <w:b/>
          <w:bCs/>
          <w:szCs w:val="21"/>
        </w:rPr>
      </w:pPr>
      <w:r>
        <w:rPr>
          <w:rFonts w:hint="eastAsia" w:ascii="宋体" w:hAnsi="宋体" w:cs="宋体"/>
          <w:b/>
          <w:bCs/>
          <w:szCs w:val="21"/>
        </w:rPr>
        <w:t>40.签订合同</w:t>
      </w:r>
    </w:p>
    <w:p w14:paraId="43CDCD78">
      <w:pPr>
        <w:pStyle w:val="26"/>
        <w:snapToGrid w:val="0"/>
        <w:spacing w:line="360" w:lineRule="auto"/>
        <w:ind w:firstLine="420" w:firstLineChars="200"/>
        <w:textAlignment w:val="baseline"/>
        <w:rPr>
          <w:rFonts w:hAnsi="宋体" w:cs="宋体"/>
          <w:sz w:val="21"/>
        </w:rPr>
      </w:pPr>
      <w:r>
        <w:rPr>
          <w:rFonts w:hint="eastAsia" w:hAnsi="宋体" w:cs="宋体"/>
          <w:sz w:val="21"/>
        </w:rPr>
        <w:t>40.1成交供应商应当在成交通知书发出之日起30日内与采购人签订政府采购合同。</w:t>
      </w:r>
    </w:p>
    <w:p w14:paraId="5CC84733">
      <w:pPr>
        <w:pStyle w:val="26"/>
        <w:snapToGrid w:val="0"/>
        <w:spacing w:line="360" w:lineRule="auto"/>
        <w:ind w:firstLine="420" w:firstLineChars="200"/>
        <w:textAlignment w:val="baseline"/>
        <w:rPr>
          <w:rFonts w:hAnsi="宋体" w:cs="宋体"/>
          <w:sz w:val="21"/>
        </w:rPr>
      </w:pPr>
      <w:r>
        <w:rPr>
          <w:rFonts w:hint="eastAsia" w:hAnsi="宋体" w:cs="宋体"/>
          <w:sz w:val="21"/>
        </w:rPr>
        <w:t>40.2磋商文件、成交供应商的响应文件等均为签订政府采购合同的依据。</w:t>
      </w:r>
    </w:p>
    <w:p w14:paraId="1110B585">
      <w:pPr>
        <w:pStyle w:val="26"/>
        <w:snapToGrid w:val="0"/>
        <w:spacing w:line="360" w:lineRule="auto"/>
        <w:ind w:firstLine="420" w:firstLineChars="200"/>
        <w:textAlignment w:val="baseline"/>
        <w:rPr>
          <w:rFonts w:hAnsi="宋体" w:cs="宋体"/>
          <w:sz w:val="21"/>
        </w:rPr>
      </w:pPr>
      <w:r>
        <w:rPr>
          <w:rFonts w:hint="eastAsia" w:hAnsi="宋体" w:cs="宋体"/>
          <w:sz w:val="21"/>
        </w:rPr>
        <w:t>40.3 成交供应商应当按照合同约定履行义务。成交供应商不得向他人转让成交项目，也不得将成交项目分包后分别向他人转让。</w:t>
      </w:r>
    </w:p>
    <w:p w14:paraId="68FA0819">
      <w:pPr>
        <w:pStyle w:val="26"/>
        <w:snapToGrid w:val="0"/>
        <w:spacing w:line="360" w:lineRule="auto"/>
        <w:ind w:firstLine="420" w:firstLineChars="200"/>
        <w:textAlignment w:val="baseline"/>
        <w:rPr>
          <w:rFonts w:hAnsi="宋体" w:cs="宋体"/>
          <w:sz w:val="21"/>
        </w:rPr>
      </w:pPr>
      <w:r>
        <w:rPr>
          <w:rFonts w:hint="eastAsia" w:hAnsi="宋体" w:cs="宋体"/>
          <w:sz w:val="21"/>
        </w:rPr>
        <w:t>40.4 成交供应商有下列情形之一的，责令限期改正，情节严重的，列入不良行为记录名单，在1至3年内禁止参加政府采购活动，并予以通报：</w:t>
      </w:r>
    </w:p>
    <w:p w14:paraId="785C5F90">
      <w:pPr>
        <w:pStyle w:val="26"/>
        <w:snapToGrid w:val="0"/>
        <w:spacing w:line="360" w:lineRule="auto"/>
        <w:ind w:firstLine="420" w:firstLineChars="200"/>
        <w:textAlignment w:val="baseline"/>
        <w:rPr>
          <w:rFonts w:hAnsi="宋体" w:cs="宋体"/>
          <w:sz w:val="21"/>
        </w:rPr>
      </w:pPr>
      <w:r>
        <w:rPr>
          <w:rFonts w:hint="eastAsia" w:hAnsi="宋体" w:cs="宋体"/>
          <w:sz w:val="21"/>
        </w:rPr>
        <w:t>（一）成交后无正当理由不与采购人签订合同的；</w:t>
      </w:r>
    </w:p>
    <w:p w14:paraId="776465AF">
      <w:pPr>
        <w:pStyle w:val="26"/>
        <w:snapToGrid w:val="0"/>
        <w:spacing w:line="360" w:lineRule="auto"/>
        <w:ind w:firstLine="420" w:firstLineChars="200"/>
        <w:textAlignment w:val="baseline"/>
        <w:rPr>
          <w:rFonts w:hAnsi="宋体" w:cs="宋体"/>
          <w:sz w:val="21"/>
        </w:rPr>
      </w:pPr>
      <w:r>
        <w:rPr>
          <w:rFonts w:hint="eastAsia" w:hAnsi="宋体" w:cs="宋体"/>
          <w:sz w:val="21"/>
        </w:rPr>
        <w:t>（二）未按照采购文件确定的事项签订政府采购合同，或者与采购人另行订立背离合同实质性内容的协议的；</w:t>
      </w:r>
    </w:p>
    <w:p w14:paraId="6C4847DC">
      <w:pPr>
        <w:pStyle w:val="26"/>
        <w:snapToGrid w:val="0"/>
        <w:spacing w:line="360" w:lineRule="auto"/>
        <w:ind w:firstLine="420" w:firstLineChars="200"/>
        <w:textAlignment w:val="baseline"/>
        <w:rPr>
          <w:rFonts w:hAnsi="宋体" w:cs="宋体"/>
          <w:sz w:val="21"/>
        </w:rPr>
      </w:pPr>
      <w:r>
        <w:rPr>
          <w:rFonts w:hint="eastAsia" w:hAnsi="宋体" w:cs="宋体"/>
          <w:sz w:val="21"/>
        </w:rPr>
        <w:t>（三）拒绝履行合同义务的；</w:t>
      </w:r>
    </w:p>
    <w:p w14:paraId="22790F77">
      <w:pPr>
        <w:pStyle w:val="26"/>
        <w:snapToGrid w:val="0"/>
        <w:spacing w:line="360" w:lineRule="auto"/>
        <w:ind w:firstLine="420" w:firstLineChars="200"/>
        <w:textAlignment w:val="baseline"/>
        <w:rPr>
          <w:rFonts w:hAnsi="宋体" w:cs="宋体"/>
          <w:sz w:val="21"/>
        </w:rPr>
      </w:pPr>
      <w:r>
        <w:rPr>
          <w:rFonts w:hint="eastAsia" w:hAnsi="宋体" w:cs="宋体"/>
          <w:sz w:val="21"/>
        </w:rPr>
        <w:t>（四）违反法律、规章、规范性文件规定的。</w:t>
      </w:r>
    </w:p>
    <w:p w14:paraId="072651AE">
      <w:pPr>
        <w:snapToGrid w:val="0"/>
        <w:spacing w:line="360" w:lineRule="auto"/>
        <w:textAlignment w:val="baseline"/>
        <w:rPr>
          <w:rFonts w:ascii="宋体" w:hAnsi="宋体" w:cs="宋体"/>
          <w:szCs w:val="21"/>
        </w:rPr>
      </w:pPr>
      <w:r>
        <w:rPr>
          <w:rFonts w:hint="eastAsia" w:ascii="宋体" w:hAnsi="宋体" w:cs="宋体"/>
          <w:szCs w:val="21"/>
        </w:rPr>
        <w:t>七、其他规定</w:t>
      </w:r>
    </w:p>
    <w:p w14:paraId="0BC51FC1">
      <w:pPr>
        <w:snapToGrid w:val="0"/>
        <w:spacing w:line="360" w:lineRule="auto"/>
        <w:jc w:val="left"/>
        <w:textAlignment w:val="baseline"/>
        <w:rPr>
          <w:rFonts w:ascii="宋体" w:hAnsi="宋体" w:cs="宋体"/>
          <w:b/>
          <w:szCs w:val="21"/>
        </w:rPr>
      </w:pPr>
      <w:r>
        <w:rPr>
          <w:rFonts w:hint="eastAsia" w:ascii="宋体" w:hAnsi="宋体" w:cs="宋体"/>
          <w:b/>
          <w:szCs w:val="21"/>
        </w:rPr>
        <w:t>41.1采购代理服务费</w:t>
      </w:r>
    </w:p>
    <w:p w14:paraId="00AD39C0">
      <w:pPr>
        <w:tabs>
          <w:tab w:val="left" w:pos="420"/>
          <w:tab w:val="left" w:pos="7560"/>
          <w:tab w:val="left" w:pos="7740"/>
          <w:tab w:val="left" w:pos="7920"/>
        </w:tabs>
        <w:snapToGrid w:val="0"/>
        <w:spacing w:line="360" w:lineRule="auto"/>
        <w:ind w:firstLine="420" w:firstLineChars="200"/>
        <w:textAlignment w:val="baseline"/>
        <w:rPr>
          <w:rFonts w:ascii="宋体" w:hAnsi="宋体" w:cs="宋体"/>
          <w:szCs w:val="21"/>
        </w:rPr>
      </w:pPr>
      <w:r>
        <w:rPr>
          <w:rFonts w:hint="eastAsia" w:ascii="宋体" w:hAnsi="宋体" w:cs="宋体"/>
          <w:szCs w:val="21"/>
        </w:rPr>
        <w:t>41.1采购代理机构应按</w:t>
      </w:r>
      <w:r>
        <w:rPr>
          <w:rFonts w:hint="eastAsia" w:ascii="宋体" w:hAnsi="宋体" w:cs="宋体"/>
          <w:b/>
          <w:szCs w:val="21"/>
        </w:rPr>
        <w:t>磋商须知前附表</w:t>
      </w:r>
      <w:r>
        <w:rPr>
          <w:rFonts w:hint="eastAsia" w:ascii="宋体" w:hAnsi="宋体" w:cs="宋体"/>
          <w:szCs w:val="21"/>
        </w:rPr>
        <w:t>规定收取采购代理服务费。</w:t>
      </w:r>
    </w:p>
    <w:p w14:paraId="006205BB">
      <w:pPr>
        <w:tabs>
          <w:tab w:val="left" w:pos="420"/>
          <w:tab w:val="left" w:pos="7560"/>
          <w:tab w:val="left" w:pos="7740"/>
          <w:tab w:val="left" w:pos="7920"/>
        </w:tabs>
        <w:snapToGrid w:val="0"/>
        <w:spacing w:line="360" w:lineRule="auto"/>
        <w:ind w:firstLine="420" w:firstLineChars="200"/>
        <w:textAlignment w:val="baseline"/>
        <w:rPr>
          <w:rFonts w:ascii="宋体" w:hAnsi="宋体" w:cs="宋体"/>
          <w:szCs w:val="21"/>
        </w:rPr>
      </w:pPr>
      <w:r>
        <w:rPr>
          <w:rFonts w:hint="eastAsia" w:ascii="宋体" w:hAnsi="宋体" w:cs="宋体"/>
          <w:szCs w:val="21"/>
        </w:rPr>
        <w:t>41.2集中采购机构不得收取采购代理服务费。</w:t>
      </w:r>
    </w:p>
    <w:p w14:paraId="71645D2A">
      <w:pPr>
        <w:tabs>
          <w:tab w:val="left" w:pos="420"/>
          <w:tab w:val="left" w:pos="7560"/>
          <w:tab w:val="left" w:pos="7740"/>
          <w:tab w:val="left" w:pos="7920"/>
        </w:tabs>
        <w:snapToGrid w:val="0"/>
        <w:spacing w:line="360" w:lineRule="auto"/>
        <w:textAlignment w:val="baseline"/>
        <w:rPr>
          <w:rFonts w:ascii="宋体" w:hAnsi="宋体" w:cs="宋体"/>
          <w:b/>
          <w:szCs w:val="21"/>
        </w:rPr>
      </w:pPr>
      <w:r>
        <w:rPr>
          <w:rFonts w:hint="eastAsia" w:ascii="宋体" w:hAnsi="宋体" w:cs="宋体"/>
          <w:b/>
          <w:szCs w:val="21"/>
        </w:rPr>
        <w:t>42. 其他规定</w:t>
      </w:r>
    </w:p>
    <w:p w14:paraId="365ACEA7">
      <w:pPr>
        <w:tabs>
          <w:tab w:val="left" w:pos="420"/>
          <w:tab w:val="left" w:pos="7560"/>
          <w:tab w:val="left" w:pos="7740"/>
          <w:tab w:val="left" w:pos="7920"/>
        </w:tabs>
        <w:snapToGrid w:val="0"/>
        <w:spacing w:line="360" w:lineRule="auto"/>
        <w:ind w:firstLine="420" w:firstLineChars="200"/>
        <w:textAlignment w:val="baseline"/>
        <w:rPr>
          <w:rFonts w:ascii="宋体" w:hAnsi="宋体" w:cs="宋体"/>
          <w:szCs w:val="21"/>
        </w:rPr>
      </w:pPr>
      <w:r>
        <w:rPr>
          <w:rFonts w:hint="eastAsia" w:ascii="宋体" w:hAnsi="宋体" w:cs="宋体"/>
          <w:szCs w:val="21"/>
        </w:rPr>
        <w:t>42.1磋商文件的其他规定见</w:t>
      </w:r>
      <w:r>
        <w:rPr>
          <w:rFonts w:hint="eastAsia" w:ascii="宋体" w:hAnsi="宋体" w:cs="宋体"/>
          <w:b/>
          <w:szCs w:val="21"/>
        </w:rPr>
        <w:t>磋商须知前附表</w:t>
      </w:r>
      <w:r>
        <w:rPr>
          <w:rFonts w:hint="eastAsia" w:ascii="宋体" w:hAnsi="宋体" w:cs="宋体"/>
          <w:szCs w:val="21"/>
        </w:rPr>
        <w:t>。</w:t>
      </w:r>
    </w:p>
    <w:p w14:paraId="548482E8">
      <w:pPr>
        <w:snapToGrid w:val="0"/>
        <w:spacing w:before="159" w:line="360" w:lineRule="auto"/>
        <w:jc w:val="center"/>
        <w:textAlignment w:val="baseline"/>
        <w:rPr>
          <w:rFonts w:ascii="宋体" w:hAnsi="宋体" w:cs="宋体"/>
          <w:b/>
          <w:sz w:val="20"/>
          <w:szCs w:val="21"/>
        </w:rPr>
      </w:pPr>
    </w:p>
    <w:p w14:paraId="57599BFF">
      <w:pPr>
        <w:snapToGrid w:val="0"/>
        <w:spacing w:before="159" w:line="360" w:lineRule="auto"/>
        <w:jc w:val="center"/>
        <w:textAlignment w:val="baseline"/>
        <w:rPr>
          <w:rFonts w:ascii="宋体" w:hAnsi="宋体" w:cs="宋体"/>
          <w:b/>
          <w:sz w:val="32"/>
          <w:szCs w:val="32"/>
        </w:rPr>
      </w:pPr>
    </w:p>
    <w:p w14:paraId="43CD4EF4">
      <w:pPr>
        <w:snapToGrid w:val="0"/>
        <w:spacing w:before="159" w:line="360" w:lineRule="auto"/>
        <w:jc w:val="center"/>
        <w:textAlignment w:val="baseline"/>
        <w:rPr>
          <w:rFonts w:ascii="宋体" w:hAnsi="宋体" w:cs="宋体"/>
          <w:b/>
          <w:sz w:val="32"/>
          <w:szCs w:val="32"/>
        </w:rPr>
      </w:pPr>
    </w:p>
    <w:p w14:paraId="0C3E8B03">
      <w:pPr>
        <w:snapToGrid w:val="0"/>
        <w:spacing w:before="159" w:line="360" w:lineRule="auto"/>
        <w:textAlignment w:val="baseline"/>
        <w:rPr>
          <w:rFonts w:ascii="宋体" w:hAnsi="宋体" w:cs="宋体"/>
          <w:b/>
          <w:sz w:val="32"/>
          <w:szCs w:val="32"/>
        </w:rPr>
      </w:pPr>
    </w:p>
    <w:p w14:paraId="6AD660B4">
      <w:pPr>
        <w:snapToGrid w:val="0"/>
        <w:spacing w:before="159" w:line="360" w:lineRule="auto"/>
        <w:textAlignment w:val="baseline"/>
        <w:rPr>
          <w:rFonts w:ascii="宋体" w:hAnsi="宋体" w:cs="宋体"/>
          <w:b/>
          <w:sz w:val="32"/>
          <w:szCs w:val="32"/>
        </w:rPr>
      </w:pPr>
    </w:p>
    <w:p w14:paraId="5BFB6128">
      <w:pPr>
        <w:snapToGrid w:val="0"/>
        <w:spacing w:before="159" w:line="360" w:lineRule="auto"/>
        <w:textAlignment w:val="baseline"/>
        <w:rPr>
          <w:rFonts w:ascii="宋体" w:hAnsi="宋体" w:cs="宋体"/>
          <w:b/>
          <w:sz w:val="32"/>
          <w:szCs w:val="32"/>
        </w:rPr>
      </w:pPr>
    </w:p>
    <w:p w14:paraId="44536C5A">
      <w:pPr>
        <w:snapToGrid w:val="0"/>
        <w:spacing w:before="159" w:line="360" w:lineRule="auto"/>
        <w:ind w:left="420" w:leftChars="200"/>
        <w:jc w:val="center"/>
        <w:textAlignment w:val="baseline"/>
        <w:rPr>
          <w:rFonts w:ascii="宋体" w:hAnsi="宋体" w:cs="宋体"/>
          <w:b/>
          <w:bCs/>
          <w:sz w:val="32"/>
          <w:szCs w:val="32"/>
        </w:rPr>
      </w:pPr>
      <w:r>
        <w:rPr>
          <w:rFonts w:hint="eastAsia" w:ascii="宋体" w:hAnsi="宋体" w:cs="宋体"/>
          <w:b/>
          <w:sz w:val="32"/>
          <w:szCs w:val="32"/>
        </w:rPr>
        <w:br w:type="page"/>
      </w:r>
    </w:p>
    <w:p w14:paraId="64B93980">
      <w:pPr>
        <w:numPr>
          <w:ilvl w:val="0"/>
          <w:numId w:val="5"/>
        </w:numPr>
        <w:snapToGrid w:val="0"/>
        <w:spacing w:before="159" w:line="360" w:lineRule="auto"/>
        <w:ind w:left="420" w:leftChars="200"/>
        <w:jc w:val="center"/>
        <w:textAlignment w:val="baseline"/>
        <w:outlineLvl w:val="0"/>
        <w:rPr>
          <w:rFonts w:ascii="宋体" w:hAnsi="宋体" w:cs="宋体"/>
          <w:b/>
          <w:bCs/>
          <w:sz w:val="32"/>
          <w:szCs w:val="32"/>
        </w:rPr>
      </w:pPr>
      <w:bookmarkStart w:id="8" w:name="_Toc25542"/>
      <w:r>
        <w:rPr>
          <w:rFonts w:hint="eastAsia" w:ascii="宋体" w:hAnsi="宋体" w:cs="宋体"/>
          <w:b/>
          <w:bCs/>
          <w:sz w:val="32"/>
          <w:szCs w:val="32"/>
        </w:rPr>
        <w:t>政府采购合同格式</w:t>
      </w:r>
      <w:bookmarkEnd w:id="8"/>
    </w:p>
    <w:p w14:paraId="6323AD6F">
      <w:pPr>
        <w:pStyle w:val="46"/>
        <w:ind w:left="0" w:leftChars="0" w:firstLine="0"/>
        <w:jc w:val="center"/>
        <w:rPr>
          <w:b/>
          <w:bCs/>
          <w:color w:val="0000FF"/>
          <w:sz w:val="22"/>
          <w:szCs w:val="32"/>
        </w:rPr>
      </w:pPr>
      <w:r>
        <w:rPr>
          <w:rFonts w:hint="eastAsia"/>
          <w:b/>
          <w:bCs/>
          <w:color w:val="0000FF"/>
          <w:sz w:val="22"/>
          <w:szCs w:val="32"/>
          <w:lang w:eastAsia="zh-CN"/>
        </w:rPr>
        <w:t>（本合同仅作为参考范本，最终以实际签订合同为准）</w:t>
      </w:r>
    </w:p>
    <w:p w14:paraId="7FE83854">
      <w:pPr>
        <w:widowControl/>
        <w:jc w:val="center"/>
        <w:rPr>
          <w:rFonts w:ascii="黑体" w:hAnsi="宋体" w:eastAsia="黑体" w:cs="黑体"/>
          <w:color w:val="000000"/>
          <w:kern w:val="0"/>
          <w:sz w:val="28"/>
          <w:szCs w:val="28"/>
        </w:rPr>
      </w:pPr>
      <w:r>
        <w:rPr>
          <w:rFonts w:ascii="黑体" w:hAnsi="宋体" w:eastAsia="黑体" w:cs="黑体"/>
          <w:color w:val="000000"/>
          <w:kern w:val="0"/>
          <w:sz w:val="28"/>
          <w:szCs w:val="28"/>
        </w:rPr>
        <w:t>合 同 协 议 书</w:t>
      </w:r>
    </w:p>
    <w:p w14:paraId="612D3E6A">
      <w:pPr>
        <w:widowControl/>
        <w:spacing w:line="500" w:lineRule="exact"/>
        <w:ind w:firstLine="420" w:firstLineChars="200"/>
        <w:jc w:val="left"/>
        <w:rPr>
          <w:szCs w:val="21"/>
        </w:rPr>
      </w:pPr>
      <w:r>
        <w:rPr>
          <w:rFonts w:hint="eastAsia" w:ascii="宋体" w:hAnsi="宋体" w:cs="宋体"/>
          <w:color w:val="000000"/>
          <w:kern w:val="0"/>
          <w:szCs w:val="21"/>
        </w:rPr>
        <w:t xml:space="preserve">（甲方名称）为实施（项目名称），已接受（乙方名称）对该项目施工的投标。甲方和乙方共同达成如下协议。 </w:t>
      </w:r>
    </w:p>
    <w:p w14:paraId="5CEB9A22">
      <w:pPr>
        <w:widowControl/>
        <w:spacing w:line="500" w:lineRule="exact"/>
        <w:ind w:firstLine="420" w:firstLineChars="200"/>
        <w:jc w:val="left"/>
        <w:rPr>
          <w:szCs w:val="21"/>
        </w:rPr>
      </w:pPr>
      <w:r>
        <w:rPr>
          <w:color w:val="000000"/>
          <w:kern w:val="0"/>
          <w:szCs w:val="21"/>
        </w:rPr>
        <w:t xml:space="preserve">1. </w:t>
      </w:r>
    </w:p>
    <w:p w14:paraId="2CD82731">
      <w:pPr>
        <w:widowControl/>
        <w:spacing w:line="500" w:lineRule="exact"/>
        <w:ind w:firstLine="420" w:firstLineChars="200"/>
        <w:jc w:val="left"/>
        <w:rPr>
          <w:szCs w:val="21"/>
        </w:rPr>
      </w:pPr>
      <w:r>
        <w:rPr>
          <w:color w:val="000000"/>
          <w:kern w:val="0"/>
          <w:szCs w:val="21"/>
        </w:rPr>
        <w:t xml:space="preserve">2. </w:t>
      </w:r>
      <w:r>
        <w:rPr>
          <w:rFonts w:hint="eastAsia" w:ascii="宋体" w:hAnsi="宋体" w:cs="宋体"/>
          <w:color w:val="000000"/>
          <w:kern w:val="0"/>
          <w:szCs w:val="21"/>
        </w:rPr>
        <w:t xml:space="preserve">下列文件应视为构成合同文件的组成部分： </w:t>
      </w:r>
    </w:p>
    <w:p w14:paraId="31138D89">
      <w:pPr>
        <w:widowControl/>
        <w:spacing w:line="500" w:lineRule="exact"/>
        <w:ind w:firstLine="420" w:firstLineChars="200"/>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）本协议书及各种合同附件（含评标期间和合同谈判过程中的澄清文件和补充资料）； </w:t>
      </w:r>
    </w:p>
    <w:p w14:paraId="56E60072">
      <w:pPr>
        <w:widowControl/>
        <w:spacing w:line="500" w:lineRule="exact"/>
        <w:ind w:firstLine="420" w:firstLineChars="200"/>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）招标文件； </w:t>
      </w:r>
    </w:p>
    <w:p w14:paraId="0A75E534">
      <w:pPr>
        <w:widowControl/>
        <w:spacing w:line="500" w:lineRule="exact"/>
        <w:ind w:firstLine="420" w:firstLineChars="200"/>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）响应文件； </w:t>
      </w:r>
    </w:p>
    <w:p w14:paraId="72C05A9A">
      <w:pPr>
        <w:widowControl/>
        <w:spacing w:line="500" w:lineRule="exact"/>
        <w:ind w:firstLine="420" w:firstLineChars="200"/>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）成交通知书；； </w:t>
      </w:r>
    </w:p>
    <w:p w14:paraId="7A0B000C">
      <w:pPr>
        <w:widowControl/>
        <w:spacing w:line="500" w:lineRule="exact"/>
        <w:ind w:firstLine="420" w:firstLineChars="200"/>
        <w:jc w:val="left"/>
        <w:rPr>
          <w:szCs w:val="21"/>
        </w:rPr>
      </w:pPr>
      <w:r>
        <w:rPr>
          <w:rFonts w:hint="eastAsia" w:ascii="宋体" w:hAnsi="宋体" w:cs="宋体"/>
          <w:color w:val="000000"/>
          <w:kern w:val="0"/>
          <w:szCs w:val="21"/>
        </w:rPr>
        <w:t>（</w:t>
      </w:r>
      <w:r>
        <w:rPr>
          <w:rFonts w:hint="eastAsia"/>
          <w:color w:val="000000"/>
          <w:kern w:val="0"/>
          <w:szCs w:val="21"/>
        </w:rPr>
        <w:t>5</w:t>
      </w:r>
      <w:r>
        <w:rPr>
          <w:rFonts w:hint="eastAsia" w:ascii="宋体" w:hAnsi="宋体" w:cs="宋体"/>
          <w:color w:val="000000"/>
          <w:kern w:val="0"/>
          <w:szCs w:val="21"/>
        </w:rPr>
        <w:t xml:space="preserve">）工程量清单计量规则； </w:t>
      </w:r>
    </w:p>
    <w:p w14:paraId="5B7A6D7B">
      <w:pPr>
        <w:widowControl/>
        <w:spacing w:line="500" w:lineRule="exact"/>
        <w:ind w:firstLine="420" w:firstLineChars="200"/>
        <w:jc w:val="left"/>
        <w:rPr>
          <w:szCs w:val="21"/>
        </w:rPr>
      </w:pPr>
      <w:r>
        <w:rPr>
          <w:rFonts w:hint="eastAsia" w:ascii="宋体" w:hAnsi="宋体" w:cs="宋体"/>
          <w:color w:val="000000"/>
          <w:kern w:val="0"/>
          <w:szCs w:val="21"/>
        </w:rPr>
        <w:t>（</w:t>
      </w:r>
      <w:r>
        <w:rPr>
          <w:rFonts w:hint="eastAsia"/>
          <w:color w:val="000000"/>
          <w:kern w:val="0"/>
          <w:szCs w:val="21"/>
        </w:rPr>
        <w:t>6</w:t>
      </w:r>
      <w:r>
        <w:rPr>
          <w:rFonts w:hint="eastAsia" w:ascii="宋体" w:hAnsi="宋体" w:cs="宋体"/>
          <w:color w:val="000000"/>
          <w:kern w:val="0"/>
          <w:szCs w:val="21"/>
        </w:rPr>
        <w:t xml:space="preserve">）技术规范； </w:t>
      </w:r>
    </w:p>
    <w:p w14:paraId="1FCD58E5">
      <w:pPr>
        <w:widowControl/>
        <w:spacing w:line="500" w:lineRule="exact"/>
        <w:ind w:firstLine="420" w:firstLineChars="200"/>
        <w:jc w:val="left"/>
        <w:rPr>
          <w:szCs w:val="21"/>
        </w:rPr>
      </w:pPr>
      <w:r>
        <w:rPr>
          <w:rFonts w:hint="eastAsia" w:ascii="宋体" w:hAnsi="宋体" w:cs="宋体"/>
          <w:color w:val="000000"/>
          <w:kern w:val="0"/>
          <w:szCs w:val="21"/>
        </w:rPr>
        <w:t>（</w:t>
      </w:r>
      <w:r>
        <w:rPr>
          <w:rFonts w:hint="eastAsia"/>
          <w:color w:val="000000"/>
          <w:kern w:val="0"/>
          <w:szCs w:val="21"/>
        </w:rPr>
        <w:t>7</w:t>
      </w:r>
      <w:r>
        <w:rPr>
          <w:rFonts w:hint="eastAsia" w:ascii="宋体" w:hAnsi="宋体" w:cs="宋体"/>
          <w:color w:val="000000"/>
          <w:kern w:val="0"/>
          <w:szCs w:val="21"/>
        </w:rPr>
        <w:t xml:space="preserve">）图纸（如有）； </w:t>
      </w:r>
    </w:p>
    <w:p w14:paraId="490FFE3C">
      <w:pPr>
        <w:widowControl/>
        <w:spacing w:line="500" w:lineRule="exact"/>
        <w:ind w:firstLine="420" w:firstLineChars="200"/>
        <w:jc w:val="left"/>
        <w:rPr>
          <w:szCs w:val="21"/>
        </w:rPr>
      </w:pPr>
      <w:r>
        <w:rPr>
          <w:rFonts w:hint="eastAsia" w:ascii="宋体" w:hAnsi="宋体" w:cs="宋体"/>
          <w:color w:val="000000"/>
          <w:kern w:val="0"/>
          <w:szCs w:val="21"/>
        </w:rPr>
        <w:t>（</w:t>
      </w:r>
      <w:r>
        <w:rPr>
          <w:rFonts w:hint="eastAsia"/>
          <w:color w:val="000000"/>
          <w:kern w:val="0"/>
          <w:szCs w:val="21"/>
        </w:rPr>
        <w:t>8</w:t>
      </w:r>
      <w:r>
        <w:rPr>
          <w:rFonts w:hint="eastAsia" w:ascii="宋体" w:hAnsi="宋体" w:cs="宋体"/>
          <w:color w:val="000000"/>
          <w:kern w:val="0"/>
          <w:szCs w:val="21"/>
        </w:rPr>
        <w:t xml:space="preserve">）已标价工程量清单； </w:t>
      </w:r>
    </w:p>
    <w:p w14:paraId="6049C684">
      <w:pPr>
        <w:widowControl/>
        <w:spacing w:line="500" w:lineRule="exact"/>
        <w:ind w:firstLine="420" w:firstLineChars="200"/>
        <w:jc w:val="left"/>
        <w:rPr>
          <w:szCs w:val="21"/>
        </w:rPr>
      </w:pPr>
      <w:r>
        <w:rPr>
          <w:rFonts w:hint="eastAsia" w:ascii="宋体" w:hAnsi="宋体" w:cs="宋体"/>
          <w:color w:val="000000"/>
          <w:kern w:val="0"/>
          <w:szCs w:val="21"/>
        </w:rPr>
        <w:t>（</w:t>
      </w:r>
      <w:r>
        <w:rPr>
          <w:rFonts w:hint="eastAsia"/>
          <w:color w:val="000000"/>
          <w:kern w:val="0"/>
          <w:szCs w:val="21"/>
        </w:rPr>
        <w:t>9</w:t>
      </w:r>
      <w:r>
        <w:rPr>
          <w:rFonts w:hint="eastAsia" w:ascii="宋体" w:hAnsi="宋体" w:cs="宋体"/>
          <w:color w:val="000000"/>
          <w:kern w:val="0"/>
          <w:szCs w:val="21"/>
        </w:rPr>
        <w:t xml:space="preserve">）乙方有关人员、设备投入的承诺及响应文件中的施工组织设计； </w:t>
      </w:r>
    </w:p>
    <w:p w14:paraId="7A2EF61F">
      <w:pPr>
        <w:widowControl/>
        <w:spacing w:line="500" w:lineRule="exact"/>
        <w:ind w:firstLine="420" w:firstLineChars="200"/>
        <w:jc w:val="left"/>
        <w:rPr>
          <w:szCs w:val="21"/>
        </w:rPr>
      </w:pPr>
      <w:r>
        <w:rPr>
          <w:rFonts w:hint="eastAsia" w:ascii="宋体" w:hAnsi="宋体" w:cs="宋体"/>
          <w:color w:val="000000"/>
          <w:kern w:val="0"/>
          <w:szCs w:val="21"/>
        </w:rPr>
        <w:t>（</w:t>
      </w:r>
      <w:r>
        <w:rPr>
          <w:color w:val="000000"/>
          <w:kern w:val="0"/>
          <w:szCs w:val="21"/>
        </w:rPr>
        <w:t>1</w:t>
      </w:r>
      <w:r>
        <w:rPr>
          <w:rFonts w:hint="eastAsia"/>
          <w:color w:val="000000"/>
          <w:kern w:val="0"/>
          <w:szCs w:val="21"/>
        </w:rPr>
        <w:t>0</w:t>
      </w:r>
      <w:r>
        <w:rPr>
          <w:rFonts w:hint="eastAsia" w:ascii="宋体" w:hAnsi="宋体" w:cs="宋体"/>
          <w:color w:val="000000"/>
          <w:kern w:val="0"/>
          <w:szCs w:val="21"/>
        </w:rPr>
        <w:t xml:space="preserve">）其他合同文件。 </w:t>
      </w:r>
    </w:p>
    <w:p w14:paraId="7B103705">
      <w:pPr>
        <w:widowControl/>
        <w:spacing w:line="500" w:lineRule="exact"/>
        <w:ind w:firstLine="420" w:firstLineChars="200"/>
        <w:jc w:val="left"/>
        <w:rPr>
          <w:szCs w:val="21"/>
        </w:rPr>
      </w:pPr>
      <w:r>
        <w:rPr>
          <w:rFonts w:hint="eastAsia" w:ascii="宋体" w:hAnsi="宋体" w:cs="宋体"/>
          <w:color w:val="000000"/>
          <w:kern w:val="0"/>
          <w:szCs w:val="21"/>
        </w:rPr>
        <w:t xml:space="preserve">上述合同文件互相补充和解释。如果合同文件之间存在矛盾或不一致之处， 以上述文件的排列顺序在先者为准。 </w:t>
      </w:r>
    </w:p>
    <w:p w14:paraId="25D22FD3">
      <w:pPr>
        <w:widowControl/>
        <w:spacing w:line="500" w:lineRule="exact"/>
        <w:ind w:firstLine="420" w:firstLineChars="200"/>
        <w:jc w:val="left"/>
        <w:rPr>
          <w:szCs w:val="21"/>
        </w:rPr>
      </w:pPr>
      <w:r>
        <w:rPr>
          <w:color w:val="000000"/>
          <w:kern w:val="0"/>
          <w:szCs w:val="21"/>
        </w:rPr>
        <w:t xml:space="preserve">3. </w:t>
      </w:r>
      <w:r>
        <w:rPr>
          <w:rFonts w:hint="eastAsia" w:ascii="宋体" w:hAnsi="宋体" w:cs="宋体"/>
          <w:color w:val="000000"/>
          <w:kern w:val="0"/>
          <w:szCs w:val="21"/>
        </w:rPr>
        <w:t>根据工程量清单所列的预计数量和单价或总额价计算的签约合同价：人民币（大写）</w:t>
      </w:r>
      <w:r>
        <w:rPr>
          <w:color w:val="000000"/>
          <w:kern w:val="0"/>
          <w:szCs w:val="21"/>
        </w:rPr>
        <w:t>________</w:t>
      </w:r>
      <w:r>
        <w:rPr>
          <w:rFonts w:hint="eastAsia" w:ascii="宋体" w:hAnsi="宋体" w:cs="宋体"/>
          <w:color w:val="000000"/>
          <w:kern w:val="0"/>
          <w:szCs w:val="21"/>
        </w:rPr>
        <w:t>元（</w:t>
      </w:r>
      <w:r>
        <w:rPr>
          <w:color w:val="000000"/>
          <w:kern w:val="0"/>
          <w:szCs w:val="21"/>
        </w:rPr>
        <w:t>¥________</w:t>
      </w:r>
      <w:r>
        <w:rPr>
          <w:rFonts w:hint="eastAsia" w:ascii="宋体" w:hAnsi="宋体" w:cs="宋体"/>
          <w:color w:val="000000"/>
          <w:kern w:val="0"/>
          <w:szCs w:val="21"/>
        </w:rPr>
        <w:t xml:space="preserve">）。 </w:t>
      </w:r>
    </w:p>
    <w:p w14:paraId="747C3979">
      <w:pPr>
        <w:widowControl/>
        <w:spacing w:line="500" w:lineRule="exact"/>
        <w:ind w:firstLine="420" w:firstLineChars="200"/>
        <w:jc w:val="left"/>
        <w:rPr>
          <w:szCs w:val="21"/>
        </w:rPr>
      </w:pPr>
      <w:r>
        <w:rPr>
          <w:color w:val="000000"/>
          <w:kern w:val="0"/>
          <w:szCs w:val="21"/>
        </w:rPr>
        <w:t xml:space="preserve">4. </w:t>
      </w:r>
      <w:r>
        <w:rPr>
          <w:rFonts w:hint="eastAsia" w:ascii="宋体" w:hAnsi="宋体" w:cs="宋体"/>
          <w:color w:val="000000"/>
          <w:kern w:val="0"/>
          <w:szCs w:val="21"/>
        </w:rPr>
        <w:t xml:space="preserve">甲方项目经理： 。 </w:t>
      </w:r>
    </w:p>
    <w:p w14:paraId="03C40585">
      <w:pPr>
        <w:widowControl/>
        <w:spacing w:line="500" w:lineRule="exact"/>
        <w:ind w:firstLine="420" w:firstLineChars="200"/>
        <w:jc w:val="left"/>
        <w:rPr>
          <w:szCs w:val="21"/>
        </w:rPr>
      </w:pPr>
      <w:r>
        <w:rPr>
          <w:color w:val="000000"/>
          <w:kern w:val="0"/>
          <w:szCs w:val="21"/>
        </w:rPr>
        <w:t xml:space="preserve">5. </w:t>
      </w:r>
      <w:r>
        <w:rPr>
          <w:rFonts w:hint="eastAsia" w:ascii="宋体" w:hAnsi="宋体" w:cs="宋体"/>
          <w:color w:val="000000"/>
          <w:kern w:val="0"/>
          <w:szCs w:val="21"/>
        </w:rPr>
        <w:t xml:space="preserve">工程质量符合标准。工程安全目标：。 </w:t>
      </w:r>
    </w:p>
    <w:p w14:paraId="4F155B30">
      <w:pPr>
        <w:widowControl/>
        <w:spacing w:line="500" w:lineRule="exact"/>
        <w:ind w:firstLine="420" w:firstLineChars="200"/>
        <w:jc w:val="left"/>
        <w:rPr>
          <w:szCs w:val="21"/>
        </w:rPr>
      </w:pPr>
      <w:r>
        <w:rPr>
          <w:color w:val="000000"/>
          <w:kern w:val="0"/>
          <w:szCs w:val="21"/>
        </w:rPr>
        <w:t xml:space="preserve">6. </w:t>
      </w:r>
      <w:r>
        <w:rPr>
          <w:rFonts w:hint="eastAsia"/>
          <w:color w:val="000000"/>
          <w:kern w:val="0"/>
          <w:szCs w:val="21"/>
        </w:rPr>
        <w:t>乙方</w:t>
      </w:r>
      <w:r>
        <w:rPr>
          <w:rFonts w:hint="eastAsia" w:ascii="宋体" w:hAnsi="宋体" w:cs="宋体"/>
          <w:color w:val="000000"/>
          <w:kern w:val="0"/>
          <w:szCs w:val="21"/>
        </w:rPr>
        <w:t>承诺按合同约定承担工程的实施、完成及缺陷修复。</w:t>
      </w:r>
    </w:p>
    <w:p w14:paraId="021A8DD8">
      <w:pPr>
        <w:widowControl/>
        <w:spacing w:line="500" w:lineRule="exact"/>
        <w:ind w:firstLine="420" w:firstLineChars="200"/>
        <w:jc w:val="left"/>
        <w:rPr>
          <w:szCs w:val="21"/>
        </w:rPr>
      </w:pPr>
      <w:r>
        <w:rPr>
          <w:rFonts w:hint="eastAsia"/>
          <w:color w:val="000000"/>
          <w:kern w:val="0"/>
          <w:szCs w:val="21"/>
        </w:rPr>
        <w:t>7</w:t>
      </w:r>
      <w:r>
        <w:rPr>
          <w:color w:val="000000"/>
          <w:kern w:val="0"/>
          <w:szCs w:val="21"/>
        </w:rPr>
        <w:t xml:space="preserve">. </w:t>
      </w:r>
      <w:r>
        <w:rPr>
          <w:rFonts w:hint="eastAsia" w:ascii="宋体" w:hAnsi="宋体" w:cs="宋体"/>
          <w:color w:val="000000"/>
          <w:kern w:val="0"/>
          <w:szCs w:val="21"/>
        </w:rPr>
        <w:t xml:space="preserve">乙方应按照监理人指示开工，工期为日历天。 </w:t>
      </w:r>
    </w:p>
    <w:p w14:paraId="26723919">
      <w:pPr>
        <w:widowControl/>
        <w:spacing w:line="500" w:lineRule="exact"/>
        <w:ind w:firstLine="420" w:firstLineChars="200"/>
        <w:jc w:val="left"/>
        <w:rPr>
          <w:szCs w:val="21"/>
        </w:rPr>
      </w:pPr>
      <w:r>
        <w:rPr>
          <w:rFonts w:hint="eastAsia"/>
          <w:color w:val="000000"/>
          <w:kern w:val="0"/>
          <w:szCs w:val="21"/>
        </w:rPr>
        <w:t>8.</w:t>
      </w:r>
      <w:r>
        <w:rPr>
          <w:rFonts w:hint="eastAsia" w:ascii="宋体" w:hAnsi="宋体" w:cs="宋体"/>
          <w:color w:val="000000"/>
          <w:kern w:val="0"/>
          <w:szCs w:val="21"/>
        </w:rPr>
        <w:t xml:space="preserve">本协议书在乙方提供履约保证金后，由双方法定代表人或其委托代理人签署并加盖单位章之日起生效。本协议书自全部工程完工后经交工验收合格、缺陷责任期满签发缺陷责任终止证书后终止（如有）。 </w:t>
      </w:r>
    </w:p>
    <w:p w14:paraId="6513933F">
      <w:pPr>
        <w:widowControl/>
        <w:spacing w:line="500" w:lineRule="exact"/>
        <w:ind w:firstLine="420" w:firstLineChars="200"/>
        <w:jc w:val="left"/>
        <w:rPr>
          <w:szCs w:val="21"/>
        </w:rPr>
      </w:pPr>
      <w:r>
        <w:rPr>
          <w:rFonts w:hint="eastAsia"/>
          <w:color w:val="000000"/>
          <w:kern w:val="0"/>
          <w:szCs w:val="21"/>
        </w:rPr>
        <w:t>9</w:t>
      </w:r>
      <w:r>
        <w:rPr>
          <w:color w:val="000000"/>
          <w:kern w:val="0"/>
          <w:szCs w:val="21"/>
        </w:rPr>
        <w:t xml:space="preserve">. </w:t>
      </w:r>
      <w:r>
        <w:rPr>
          <w:rFonts w:hint="eastAsia" w:ascii="宋体" w:hAnsi="宋体" w:cs="宋体"/>
          <w:color w:val="000000"/>
          <w:kern w:val="0"/>
          <w:szCs w:val="21"/>
        </w:rPr>
        <w:t>本协议书正本贰份、副本</w:t>
      </w:r>
      <w:r>
        <w:rPr>
          <w:color w:val="000000"/>
          <w:kern w:val="0"/>
          <w:szCs w:val="21"/>
        </w:rPr>
        <w:t>____</w:t>
      </w:r>
      <w:r>
        <w:rPr>
          <w:rFonts w:hint="eastAsia" w:ascii="宋体" w:hAnsi="宋体" w:cs="宋体"/>
          <w:color w:val="000000"/>
          <w:kern w:val="0"/>
          <w:szCs w:val="21"/>
        </w:rPr>
        <w:t>份，合同双方各执正本壹份，副本</w:t>
      </w:r>
      <w:r>
        <w:rPr>
          <w:color w:val="000000"/>
          <w:kern w:val="0"/>
          <w:szCs w:val="21"/>
        </w:rPr>
        <w:t>____</w:t>
      </w:r>
      <w:r>
        <w:rPr>
          <w:rFonts w:hint="eastAsia" w:ascii="宋体" w:hAnsi="宋体" w:cs="宋体"/>
          <w:color w:val="000000"/>
          <w:kern w:val="0"/>
          <w:szCs w:val="21"/>
        </w:rPr>
        <w:t xml:space="preserve">份， 当正本与副本的内容不一致时，以正本为准。 </w:t>
      </w:r>
    </w:p>
    <w:p w14:paraId="5DDB4B76">
      <w:pPr>
        <w:widowControl/>
        <w:spacing w:line="500" w:lineRule="exact"/>
        <w:ind w:firstLine="420" w:firstLineChars="200"/>
        <w:jc w:val="left"/>
        <w:rPr>
          <w:szCs w:val="21"/>
        </w:rPr>
      </w:pPr>
      <w:r>
        <w:rPr>
          <w:color w:val="000000"/>
          <w:kern w:val="0"/>
          <w:szCs w:val="21"/>
        </w:rPr>
        <w:t>1</w:t>
      </w:r>
      <w:r>
        <w:rPr>
          <w:rFonts w:hint="eastAsia"/>
          <w:color w:val="000000"/>
          <w:kern w:val="0"/>
          <w:szCs w:val="21"/>
        </w:rPr>
        <w:t>0</w:t>
      </w:r>
      <w:r>
        <w:rPr>
          <w:color w:val="000000"/>
          <w:kern w:val="0"/>
          <w:szCs w:val="21"/>
        </w:rPr>
        <w:t xml:space="preserve">. </w:t>
      </w:r>
      <w:r>
        <w:rPr>
          <w:rFonts w:hint="eastAsia" w:ascii="宋体" w:hAnsi="宋体" w:cs="宋体"/>
          <w:color w:val="000000"/>
          <w:kern w:val="0"/>
          <w:szCs w:val="21"/>
        </w:rPr>
        <w:t xml:space="preserve">合同未尽事宜，双方另行签订补充协议。补充协议是合同的组成部分。 </w:t>
      </w:r>
    </w:p>
    <w:p w14:paraId="4C5307A8">
      <w:pPr>
        <w:widowControl/>
        <w:spacing w:line="500" w:lineRule="exact"/>
        <w:jc w:val="left"/>
        <w:rPr>
          <w:rFonts w:ascii="宋体" w:hAnsi="宋体" w:cs="宋体"/>
          <w:color w:val="000000"/>
          <w:kern w:val="0"/>
          <w:szCs w:val="21"/>
        </w:rPr>
      </w:pPr>
    </w:p>
    <w:p w14:paraId="6A1AE3DE">
      <w:pPr>
        <w:widowControl/>
        <w:spacing w:line="500" w:lineRule="exact"/>
        <w:ind w:firstLine="210" w:firstLineChars="100"/>
        <w:jc w:val="left"/>
        <w:rPr>
          <w:szCs w:val="21"/>
        </w:rPr>
      </w:pPr>
      <w:r>
        <w:rPr>
          <w:rFonts w:hint="eastAsia" w:ascii="宋体" w:hAnsi="宋体" w:cs="宋体"/>
          <w:color w:val="000000"/>
          <w:kern w:val="0"/>
          <w:szCs w:val="21"/>
        </w:rPr>
        <w:t xml:space="preserve">甲方：（盖单位章）             乙方：（盖单位章） </w:t>
      </w:r>
    </w:p>
    <w:p w14:paraId="58AC4367">
      <w:pPr>
        <w:widowControl/>
        <w:spacing w:line="400" w:lineRule="exact"/>
        <w:jc w:val="left"/>
        <w:rPr>
          <w:rFonts w:ascii="宋体" w:hAnsi="宋体" w:cs="宋体"/>
          <w:color w:val="000000"/>
          <w:kern w:val="0"/>
          <w:szCs w:val="21"/>
        </w:rPr>
      </w:pPr>
    </w:p>
    <w:p w14:paraId="3082CD8C">
      <w:pPr>
        <w:widowControl/>
        <w:spacing w:line="400" w:lineRule="exact"/>
        <w:jc w:val="left"/>
        <w:rPr>
          <w:rFonts w:ascii="宋体" w:hAnsi="宋体" w:cs="宋体"/>
          <w:color w:val="000000"/>
          <w:kern w:val="0"/>
          <w:szCs w:val="21"/>
        </w:rPr>
      </w:pPr>
    </w:p>
    <w:p w14:paraId="3373FAAD">
      <w:pPr>
        <w:widowControl/>
        <w:spacing w:line="400" w:lineRule="exact"/>
        <w:ind w:firstLine="210" w:firstLineChars="100"/>
        <w:jc w:val="left"/>
        <w:rPr>
          <w:szCs w:val="21"/>
        </w:rPr>
      </w:pPr>
      <w:r>
        <w:rPr>
          <w:rFonts w:hint="eastAsia" w:ascii="宋体" w:hAnsi="宋体" w:cs="宋体"/>
          <w:color w:val="000000"/>
          <w:kern w:val="0"/>
          <w:szCs w:val="21"/>
        </w:rPr>
        <w:t xml:space="preserve">法定代表人或其委托代理人： （签字）          法定代表人或其委托代理人： （签字） </w:t>
      </w:r>
    </w:p>
    <w:p w14:paraId="32520F9E">
      <w:pPr>
        <w:widowControl/>
        <w:spacing w:line="400" w:lineRule="exact"/>
        <w:jc w:val="left"/>
        <w:rPr>
          <w:rFonts w:ascii="宋体" w:hAnsi="宋体" w:cs="宋体"/>
          <w:color w:val="000000"/>
          <w:kern w:val="0"/>
          <w:szCs w:val="21"/>
        </w:rPr>
      </w:pPr>
    </w:p>
    <w:p w14:paraId="7E57DB4E">
      <w:pPr>
        <w:widowControl/>
        <w:spacing w:line="400" w:lineRule="exact"/>
        <w:jc w:val="left"/>
        <w:rPr>
          <w:rFonts w:ascii="宋体" w:hAnsi="宋体" w:cs="宋体"/>
          <w:color w:val="000000"/>
          <w:kern w:val="0"/>
          <w:szCs w:val="21"/>
        </w:rPr>
      </w:pPr>
    </w:p>
    <w:p w14:paraId="0D76CA88">
      <w:pPr>
        <w:widowControl/>
        <w:spacing w:line="400" w:lineRule="exact"/>
        <w:ind w:firstLine="1890" w:firstLineChars="900"/>
        <w:jc w:val="left"/>
        <w:rPr>
          <w:szCs w:val="21"/>
        </w:rPr>
      </w:pPr>
      <w:r>
        <w:rPr>
          <w:rFonts w:hint="eastAsia" w:ascii="宋体" w:hAnsi="宋体" w:cs="宋体"/>
          <w:color w:val="000000"/>
          <w:kern w:val="0"/>
          <w:szCs w:val="21"/>
        </w:rPr>
        <w:t>年 月 日                                                  年 月 日</w:t>
      </w:r>
    </w:p>
    <w:p w14:paraId="6B2952B8">
      <w:pPr>
        <w:pStyle w:val="17"/>
        <w:snapToGrid w:val="0"/>
        <w:ind w:left="105" w:leftChars="50"/>
        <w:textAlignment w:val="baseline"/>
        <w:rPr>
          <w:rFonts w:ascii="宋体" w:hAnsi="宋体" w:cs="宋体"/>
          <w:bCs/>
          <w:szCs w:val="21"/>
        </w:rPr>
      </w:pPr>
    </w:p>
    <w:p w14:paraId="6EF33793">
      <w:pPr>
        <w:pStyle w:val="17"/>
        <w:snapToGrid w:val="0"/>
        <w:ind w:left="105" w:leftChars="50"/>
        <w:textAlignment w:val="baseline"/>
        <w:rPr>
          <w:rFonts w:ascii="宋体" w:hAnsi="宋体" w:cs="宋体"/>
          <w:bCs/>
          <w:szCs w:val="21"/>
        </w:rPr>
      </w:pPr>
    </w:p>
    <w:p w14:paraId="0544DFF1">
      <w:pPr>
        <w:spacing w:after="159" w:line="360" w:lineRule="auto"/>
        <w:jc w:val="center"/>
        <w:textAlignment w:val="baseline"/>
        <w:rPr>
          <w:rFonts w:ascii="宋体" w:hAnsi="宋体" w:cs="宋体"/>
          <w:b/>
          <w:sz w:val="32"/>
          <w:szCs w:val="32"/>
        </w:rPr>
      </w:pPr>
      <w:r>
        <w:rPr>
          <w:rFonts w:ascii="宋体" w:hAnsi="宋体" w:cs="宋体"/>
          <w:b/>
          <w:bCs/>
          <w:sz w:val="32"/>
          <w:szCs w:val="32"/>
        </w:rPr>
        <w:br w:type="page"/>
      </w:r>
    </w:p>
    <w:p w14:paraId="724F45B2">
      <w:pPr>
        <w:spacing w:after="159" w:line="360" w:lineRule="auto"/>
        <w:jc w:val="center"/>
        <w:textAlignment w:val="baseline"/>
        <w:outlineLvl w:val="0"/>
        <w:rPr>
          <w:rFonts w:ascii="宋体" w:hAnsi="宋体" w:cs="宋体"/>
          <w:b/>
          <w:sz w:val="28"/>
          <w:szCs w:val="28"/>
        </w:rPr>
      </w:pPr>
      <w:bookmarkStart w:id="9" w:name="_Toc26168"/>
      <w:r>
        <w:rPr>
          <w:rFonts w:hint="eastAsia" w:ascii="宋体" w:hAnsi="宋体" w:cs="宋体"/>
          <w:b/>
          <w:sz w:val="28"/>
          <w:szCs w:val="28"/>
        </w:rPr>
        <w:t>通用合同条款</w:t>
      </w:r>
    </w:p>
    <w:p w14:paraId="0454E4DD">
      <w:pPr>
        <w:widowControl/>
        <w:jc w:val="left"/>
        <w:rPr>
          <w:szCs w:val="21"/>
        </w:rPr>
      </w:pPr>
      <w:r>
        <w:rPr>
          <w:color w:val="000000"/>
          <w:kern w:val="0"/>
          <w:szCs w:val="21"/>
        </w:rPr>
        <w:t xml:space="preserve">1. </w:t>
      </w:r>
      <w:r>
        <w:rPr>
          <w:rFonts w:ascii="黑体" w:hAnsi="宋体" w:eastAsia="黑体" w:cs="黑体"/>
          <w:color w:val="000000"/>
          <w:kern w:val="0"/>
          <w:szCs w:val="21"/>
        </w:rPr>
        <w:t xml:space="preserve">一般约定 </w:t>
      </w:r>
    </w:p>
    <w:p w14:paraId="37D91A35">
      <w:pPr>
        <w:widowControl/>
        <w:jc w:val="left"/>
        <w:rPr>
          <w:szCs w:val="21"/>
        </w:rPr>
      </w:pPr>
      <w:r>
        <w:rPr>
          <w:color w:val="000000"/>
          <w:kern w:val="0"/>
          <w:szCs w:val="21"/>
        </w:rPr>
        <w:t xml:space="preserve">1.1 </w:t>
      </w:r>
      <w:r>
        <w:rPr>
          <w:rFonts w:hint="eastAsia" w:ascii="黑体" w:hAnsi="宋体" w:eastAsia="黑体" w:cs="黑体"/>
          <w:color w:val="000000"/>
          <w:kern w:val="0"/>
          <w:szCs w:val="21"/>
        </w:rPr>
        <w:t xml:space="preserve">词语定义 </w:t>
      </w:r>
    </w:p>
    <w:p w14:paraId="0757012A">
      <w:pPr>
        <w:widowControl/>
        <w:ind w:firstLine="420" w:firstLineChars="200"/>
        <w:jc w:val="left"/>
        <w:rPr>
          <w:szCs w:val="21"/>
        </w:rPr>
      </w:pPr>
      <w:r>
        <w:rPr>
          <w:rFonts w:hint="eastAsia" w:ascii="宋体" w:hAnsi="宋体" w:cs="宋体"/>
          <w:color w:val="000000"/>
          <w:kern w:val="0"/>
          <w:szCs w:val="21"/>
        </w:rPr>
        <w:t xml:space="preserve">通用合同条款、专用合同条款中的下列词语应具有本款所赋予的含义。 </w:t>
      </w:r>
    </w:p>
    <w:p w14:paraId="3ADAB34D">
      <w:pPr>
        <w:widowControl/>
        <w:ind w:firstLine="210" w:firstLineChars="100"/>
        <w:jc w:val="left"/>
        <w:rPr>
          <w:szCs w:val="21"/>
        </w:rPr>
      </w:pPr>
      <w:r>
        <w:rPr>
          <w:color w:val="000000"/>
          <w:kern w:val="0"/>
          <w:szCs w:val="21"/>
        </w:rPr>
        <w:t xml:space="preserve">1.1.1 </w:t>
      </w:r>
      <w:r>
        <w:rPr>
          <w:rFonts w:hint="eastAsia" w:ascii="黑体" w:hAnsi="宋体" w:eastAsia="黑体" w:cs="黑体"/>
          <w:color w:val="000000"/>
          <w:kern w:val="0"/>
          <w:szCs w:val="21"/>
        </w:rPr>
        <w:t xml:space="preserve">合同 </w:t>
      </w:r>
    </w:p>
    <w:p w14:paraId="5DC40729">
      <w:pPr>
        <w:widowControl/>
        <w:ind w:firstLine="420" w:firstLineChars="200"/>
        <w:jc w:val="left"/>
        <w:rPr>
          <w:szCs w:val="21"/>
        </w:rPr>
      </w:pPr>
      <w:r>
        <w:rPr>
          <w:color w:val="000000"/>
          <w:kern w:val="0"/>
          <w:szCs w:val="21"/>
        </w:rPr>
        <w:t xml:space="preserve">1.1.1.1 </w:t>
      </w:r>
      <w:r>
        <w:rPr>
          <w:rFonts w:hint="eastAsia" w:ascii="宋体" w:hAnsi="宋体" w:cs="宋体"/>
          <w:color w:val="000000"/>
          <w:kern w:val="0"/>
          <w:szCs w:val="21"/>
        </w:rPr>
        <w:t xml:space="preserve">合同文件（或称合同）：指合同协议书、中标通知书、投标函及投标函附录、专用合同条款、通用合同条款、技术标准和要求、图纸、已标价工程量清单，以及其他合同文件。 </w:t>
      </w:r>
    </w:p>
    <w:p w14:paraId="35375499">
      <w:pPr>
        <w:widowControl/>
        <w:ind w:firstLine="420" w:firstLineChars="200"/>
        <w:jc w:val="left"/>
        <w:rPr>
          <w:szCs w:val="21"/>
        </w:rPr>
      </w:pPr>
      <w:r>
        <w:rPr>
          <w:color w:val="000000"/>
          <w:kern w:val="0"/>
          <w:szCs w:val="21"/>
        </w:rPr>
        <w:t xml:space="preserve">1.1.1.2 </w:t>
      </w:r>
      <w:r>
        <w:rPr>
          <w:rFonts w:hint="eastAsia" w:ascii="宋体" w:hAnsi="宋体" w:cs="宋体"/>
          <w:color w:val="000000"/>
          <w:kern w:val="0"/>
          <w:szCs w:val="21"/>
        </w:rPr>
        <w:t xml:space="preserve">合同协议书：指第 </w:t>
      </w:r>
      <w:r>
        <w:rPr>
          <w:color w:val="000000"/>
          <w:kern w:val="0"/>
          <w:szCs w:val="21"/>
        </w:rPr>
        <w:t xml:space="preserve">1.5 </w:t>
      </w:r>
      <w:r>
        <w:rPr>
          <w:rFonts w:hint="eastAsia" w:ascii="宋体" w:hAnsi="宋体" w:cs="宋体"/>
          <w:color w:val="000000"/>
          <w:kern w:val="0"/>
          <w:szCs w:val="21"/>
        </w:rPr>
        <w:t xml:space="preserve">款所指的合同协议书。 </w:t>
      </w:r>
    </w:p>
    <w:p w14:paraId="6E5CD81E">
      <w:pPr>
        <w:widowControl/>
        <w:ind w:firstLine="420" w:firstLineChars="200"/>
        <w:jc w:val="left"/>
        <w:rPr>
          <w:szCs w:val="21"/>
        </w:rPr>
      </w:pPr>
      <w:r>
        <w:rPr>
          <w:color w:val="000000"/>
          <w:kern w:val="0"/>
          <w:szCs w:val="21"/>
        </w:rPr>
        <w:t xml:space="preserve">1.1.1.3 </w:t>
      </w:r>
      <w:r>
        <w:rPr>
          <w:rFonts w:hint="eastAsia" w:ascii="宋体" w:hAnsi="宋体" w:cs="宋体"/>
          <w:color w:val="000000"/>
          <w:kern w:val="0"/>
          <w:szCs w:val="21"/>
        </w:rPr>
        <w:t xml:space="preserve">中标通知书：指发包人通知承包人中标的函件。 </w:t>
      </w:r>
    </w:p>
    <w:p w14:paraId="007B0832">
      <w:pPr>
        <w:widowControl/>
        <w:ind w:firstLine="420" w:firstLineChars="200"/>
        <w:jc w:val="left"/>
        <w:rPr>
          <w:szCs w:val="21"/>
        </w:rPr>
      </w:pPr>
      <w:r>
        <w:rPr>
          <w:color w:val="000000"/>
          <w:kern w:val="0"/>
          <w:szCs w:val="21"/>
        </w:rPr>
        <w:t xml:space="preserve">1.1.1.4 </w:t>
      </w:r>
      <w:r>
        <w:rPr>
          <w:rFonts w:hint="eastAsia" w:ascii="宋体" w:hAnsi="宋体" w:cs="宋体"/>
          <w:color w:val="000000"/>
          <w:kern w:val="0"/>
          <w:szCs w:val="21"/>
        </w:rPr>
        <w:t xml:space="preserve">投标函：指构成合同文件组成部分的由承包人填写并签署的投标函。 </w:t>
      </w:r>
    </w:p>
    <w:p w14:paraId="030E450C">
      <w:pPr>
        <w:widowControl/>
        <w:ind w:firstLine="420" w:firstLineChars="200"/>
        <w:jc w:val="left"/>
        <w:rPr>
          <w:szCs w:val="21"/>
        </w:rPr>
      </w:pPr>
      <w:r>
        <w:rPr>
          <w:color w:val="000000"/>
          <w:kern w:val="0"/>
          <w:szCs w:val="21"/>
        </w:rPr>
        <w:t xml:space="preserve">1.1.1.5 </w:t>
      </w:r>
      <w:r>
        <w:rPr>
          <w:rFonts w:hint="eastAsia" w:ascii="宋体" w:hAnsi="宋体" w:cs="宋体"/>
          <w:color w:val="000000"/>
          <w:kern w:val="0"/>
          <w:szCs w:val="21"/>
        </w:rPr>
        <w:t xml:space="preserve">投标函附录：指附在投标函后构成合同文件的投标函附录。 </w:t>
      </w:r>
    </w:p>
    <w:p w14:paraId="15072201">
      <w:pPr>
        <w:widowControl/>
        <w:ind w:firstLine="420" w:firstLineChars="200"/>
        <w:jc w:val="left"/>
        <w:rPr>
          <w:szCs w:val="21"/>
        </w:rPr>
      </w:pPr>
      <w:r>
        <w:rPr>
          <w:color w:val="000000"/>
          <w:kern w:val="0"/>
          <w:szCs w:val="21"/>
        </w:rPr>
        <w:t xml:space="preserve">1.1.1.6 </w:t>
      </w:r>
      <w:r>
        <w:rPr>
          <w:rFonts w:hint="eastAsia" w:ascii="宋体" w:hAnsi="宋体" w:cs="宋体"/>
          <w:color w:val="000000"/>
          <w:kern w:val="0"/>
          <w:szCs w:val="21"/>
        </w:rPr>
        <w:t xml:space="preserve">技术标准和要求：指构成合同文件组成部分的名为技术标准和要求的文件，包括合同双方当事人约定对其所作的修改或补充。 </w:t>
      </w:r>
    </w:p>
    <w:p w14:paraId="76B4AB3B">
      <w:pPr>
        <w:widowControl/>
        <w:ind w:firstLine="420" w:firstLineChars="200"/>
        <w:jc w:val="left"/>
        <w:rPr>
          <w:szCs w:val="21"/>
        </w:rPr>
      </w:pPr>
      <w:r>
        <w:rPr>
          <w:color w:val="000000"/>
          <w:kern w:val="0"/>
          <w:szCs w:val="21"/>
        </w:rPr>
        <w:t xml:space="preserve">1.1.1.7 </w:t>
      </w:r>
      <w:r>
        <w:rPr>
          <w:rFonts w:hint="eastAsia" w:ascii="宋体" w:hAnsi="宋体" w:cs="宋体"/>
          <w:color w:val="000000"/>
          <w:kern w:val="0"/>
          <w:szCs w:val="21"/>
        </w:rPr>
        <w:t xml:space="preserve">图纸：指包含在合同中的工程图纸，以及由发包人按合同约定提供的任何补充和修改的图纸，包括配套的说明。 </w:t>
      </w:r>
    </w:p>
    <w:p w14:paraId="7E8BFF4F">
      <w:pPr>
        <w:widowControl/>
        <w:ind w:firstLine="420" w:firstLineChars="200"/>
        <w:jc w:val="left"/>
        <w:rPr>
          <w:szCs w:val="21"/>
        </w:rPr>
      </w:pPr>
      <w:r>
        <w:rPr>
          <w:color w:val="000000"/>
          <w:kern w:val="0"/>
          <w:szCs w:val="21"/>
        </w:rPr>
        <w:t xml:space="preserve">1.1.1.8 </w:t>
      </w:r>
      <w:r>
        <w:rPr>
          <w:rFonts w:hint="eastAsia" w:ascii="宋体" w:hAnsi="宋体" w:cs="宋体"/>
          <w:color w:val="000000"/>
          <w:kern w:val="0"/>
          <w:szCs w:val="21"/>
        </w:rPr>
        <w:t xml:space="preserve">已标价工程量清单：指构成合同文件组成部分的由承包人按照规定的格式和要求填写并标明价格的工程量清单。 </w:t>
      </w:r>
    </w:p>
    <w:p w14:paraId="33A7D149">
      <w:pPr>
        <w:widowControl/>
        <w:ind w:firstLine="420" w:firstLineChars="200"/>
        <w:jc w:val="left"/>
        <w:rPr>
          <w:szCs w:val="21"/>
        </w:rPr>
      </w:pPr>
      <w:r>
        <w:rPr>
          <w:color w:val="000000"/>
          <w:kern w:val="0"/>
          <w:szCs w:val="21"/>
        </w:rPr>
        <w:t xml:space="preserve">1.1.1.9 </w:t>
      </w:r>
      <w:r>
        <w:rPr>
          <w:rFonts w:hint="eastAsia" w:ascii="宋体" w:hAnsi="宋体" w:cs="宋体"/>
          <w:color w:val="000000"/>
          <w:kern w:val="0"/>
          <w:szCs w:val="21"/>
        </w:rPr>
        <w:t xml:space="preserve">其他合同文件：指经合同双方当事人确认构成合同文件的其他文件。 </w:t>
      </w:r>
    </w:p>
    <w:p w14:paraId="41C51241">
      <w:pPr>
        <w:widowControl/>
        <w:ind w:firstLine="210" w:firstLineChars="100"/>
        <w:jc w:val="left"/>
        <w:rPr>
          <w:szCs w:val="21"/>
        </w:rPr>
      </w:pPr>
      <w:r>
        <w:rPr>
          <w:color w:val="000000"/>
          <w:kern w:val="0"/>
          <w:szCs w:val="21"/>
        </w:rPr>
        <w:t xml:space="preserve">1.1.2 </w:t>
      </w:r>
      <w:r>
        <w:rPr>
          <w:rFonts w:hint="eastAsia" w:ascii="黑体" w:hAnsi="宋体" w:eastAsia="黑体" w:cs="黑体"/>
          <w:color w:val="000000"/>
          <w:kern w:val="0"/>
          <w:szCs w:val="21"/>
        </w:rPr>
        <w:t xml:space="preserve">合同当事人和人员 </w:t>
      </w:r>
    </w:p>
    <w:p w14:paraId="41941FE6">
      <w:pPr>
        <w:widowControl/>
        <w:ind w:firstLine="420" w:firstLineChars="200"/>
        <w:jc w:val="left"/>
        <w:rPr>
          <w:szCs w:val="21"/>
        </w:rPr>
      </w:pPr>
      <w:r>
        <w:rPr>
          <w:color w:val="000000"/>
          <w:kern w:val="0"/>
          <w:szCs w:val="21"/>
        </w:rPr>
        <w:t xml:space="preserve">1.1.2.1 </w:t>
      </w:r>
      <w:r>
        <w:rPr>
          <w:rFonts w:hint="eastAsia" w:ascii="宋体" w:hAnsi="宋体" w:cs="宋体"/>
          <w:color w:val="000000"/>
          <w:kern w:val="0"/>
          <w:szCs w:val="21"/>
        </w:rPr>
        <w:t xml:space="preserve">合同当事人：指发包人和（或）承包人。 </w:t>
      </w:r>
    </w:p>
    <w:p w14:paraId="479E0441">
      <w:pPr>
        <w:widowControl/>
        <w:ind w:firstLine="420" w:firstLineChars="200"/>
        <w:jc w:val="left"/>
        <w:rPr>
          <w:szCs w:val="21"/>
        </w:rPr>
      </w:pPr>
      <w:r>
        <w:rPr>
          <w:color w:val="000000"/>
          <w:kern w:val="0"/>
          <w:szCs w:val="21"/>
        </w:rPr>
        <w:t xml:space="preserve">1.1.2.2 </w:t>
      </w:r>
      <w:r>
        <w:rPr>
          <w:rFonts w:hint="eastAsia" w:ascii="宋体" w:hAnsi="宋体" w:cs="宋体"/>
          <w:color w:val="000000"/>
          <w:kern w:val="0"/>
          <w:szCs w:val="21"/>
        </w:rPr>
        <w:t xml:space="preserve">发包人：指专用合同条款中指明并与承包人在合同协议书中签字的当事人。 </w:t>
      </w:r>
    </w:p>
    <w:p w14:paraId="162E325E">
      <w:pPr>
        <w:widowControl/>
        <w:ind w:firstLine="420" w:firstLineChars="200"/>
        <w:jc w:val="left"/>
        <w:rPr>
          <w:szCs w:val="21"/>
        </w:rPr>
      </w:pPr>
      <w:r>
        <w:rPr>
          <w:color w:val="000000"/>
          <w:kern w:val="0"/>
          <w:szCs w:val="21"/>
        </w:rPr>
        <w:t xml:space="preserve">1.1.2.3 </w:t>
      </w:r>
      <w:r>
        <w:rPr>
          <w:rFonts w:hint="eastAsia" w:ascii="宋体" w:hAnsi="宋体" w:cs="宋体"/>
          <w:color w:val="000000"/>
          <w:kern w:val="0"/>
          <w:szCs w:val="21"/>
        </w:rPr>
        <w:t xml:space="preserve">承包人：指与发包人签订合同协议书的当事人。 </w:t>
      </w:r>
    </w:p>
    <w:p w14:paraId="6AE24D7D">
      <w:pPr>
        <w:widowControl/>
        <w:ind w:firstLine="420" w:firstLineChars="200"/>
        <w:jc w:val="left"/>
        <w:rPr>
          <w:szCs w:val="21"/>
        </w:rPr>
      </w:pPr>
      <w:r>
        <w:rPr>
          <w:color w:val="000000"/>
          <w:kern w:val="0"/>
          <w:szCs w:val="21"/>
        </w:rPr>
        <w:t xml:space="preserve">1.1.2.4 </w:t>
      </w:r>
      <w:r>
        <w:rPr>
          <w:rFonts w:hint="eastAsia" w:ascii="宋体" w:hAnsi="宋体" w:cs="宋体"/>
          <w:color w:val="000000"/>
          <w:kern w:val="0"/>
          <w:szCs w:val="21"/>
        </w:rPr>
        <w:t xml:space="preserve">承包人项目经理：指承包人派驻施工场地的全权负责人。 </w:t>
      </w:r>
    </w:p>
    <w:p w14:paraId="0AE0C3ED">
      <w:pPr>
        <w:widowControl/>
        <w:ind w:firstLine="420" w:firstLineChars="200"/>
        <w:jc w:val="left"/>
        <w:rPr>
          <w:szCs w:val="21"/>
        </w:rPr>
      </w:pPr>
      <w:r>
        <w:rPr>
          <w:color w:val="000000"/>
          <w:kern w:val="0"/>
          <w:szCs w:val="21"/>
        </w:rPr>
        <w:t xml:space="preserve">1.1.2.5 </w:t>
      </w:r>
      <w:r>
        <w:rPr>
          <w:rFonts w:hint="eastAsia" w:ascii="宋体" w:hAnsi="宋体" w:cs="宋体"/>
          <w:color w:val="000000"/>
          <w:kern w:val="0"/>
          <w:szCs w:val="21"/>
        </w:rPr>
        <w:t xml:space="preserve">分包人：指从承包人处分包合同中某一部分工程，并与其签订分包合同的分包人。 </w:t>
      </w:r>
    </w:p>
    <w:p w14:paraId="67EE91AA">
      <w:pPr>
        <w:widowControl/>
        <w:ind w:firstLine="420" w:firstLineChars="200"/>
        <w:jc w:val="left"/>
        <w:rPr>
          <w:szCs w:val="21"/>
        </w:rPr>
      </w:pPr>
      <w:r>
        <w:rPr>
          <w:color w:val="000000"/>
          <w:kern w:val="0"/>
          <w:szCs w:val="21"/>
        </w:rPr>
        <w:t xml:space="preserve">1.1.2.6 </w:t>
      </w:r>
      <w:r>
        <w:rPr>
          <w:rFonts w:hint="eastAsia" w:ascii="宋体" w:hAnsi="宋体" w:cs="宋体"/>
          <w:color w:val="000000"/>
          <w:kern w:val="0"/>
          <w:szCs w:val="21"/>
        </w:rPr>
        <w:t xml:space="preserve">监理人：指在专用合同条款中指明的，受发包人委托对合同履行实施管理的法人或其他组织。 </w:t>
      </w:r>
    </w:p>
    <w:p w14:paraId="56E07101">
      <w:pPr>
        <w:widowControl/>
        <w:ind w:firstLine="420" w:firstLineChars="200"/>
        <w:jc w:val="left"/>
        <w:rPr>
          <w:szCs w:val="21"/>
        </w:rPr>
      </w:pPr>
      <w:r>
        <w:rPr>
          <w:color w:val="000000"/>
          <w:kern w:val="0"/>
          <w:szCs w:val="21"/>
        </w:rPr>
        <w:t xml:space="preserve">1.1.2.7 </w:t>
      </w:r>
      <w:r>
        <w:rPr>
          <w:rFonts w:hint="eastAsia" w:ascii="宋体" w:hAnsi="宋体" w:cs="宋体"/>
          <w:color w:val="000000"/>
          <w:kern w:val="0"/>
          <w:szCs w:val="21"/>
        </w:rPr>
        <w:t xml:space="preserve">总监理工程师（总监）：指由监理人委派常驻施工场地对合同履行实施管理的全权负责人。 </w:t>
      </w:r>
    </w:p>
    <w:p w14:paraId="71375B33">
      <w:pPr>
        <w:widowControl/>
        <w:ind w:firstLine="210" w:firstLineChars="100"/>
        <w:jc w:val="left"/>
        <w:rPr>
          <w:rFonts w:ascii="黑体" w:hAnsi="宋体" w:eastAsia="黑体" w:cs="黑体"/>
          <w:color w:val="000000"/>
          <w:kern w:val="0"/>
          <w:szCs w:val="21"/>
        </w:rPr>
      </w:pPr>
      <w:r>
        <w:rPr>
          <w:color w:val="000000"/>
          <w:kern w:val="0"/>
          <w:szCs w:val="21"/>
        </w:rPr>
        <w:t xml:space="preserve">1.1.3 </w:t>
      </w:r>
      <w:r>
        <w:rPr>
          <w:rFonts w:hint="eastAsia" w:ascii="黑体" w:hAnsi="宋体" w:eastAsia="黑体" w:cs="黑体"/>
          <w:color w:val="000000"/>
          <w:kern w:val="0"/>
          <w:szCs w:val="21"/>
        </w:rPr>
        <w:t>工程和设备</w:t>
      </w:r>
    </w:p>
    <w:p w14:paraId="12CDE30B">
      <w:pPr>
        <w:widowControl/>
        <w:ind w:firstLine="420" w:firstLineChars="200"/>
        <w:jc w:val="left"/>
        <w:rPr>
          <w:szCs w:val="21"/>
        </w:rPr>
      </w:pPr>
      <w:r>
        <w:rPr>
          <w:color w:val="000000"/>
          <w:kern w:val="0"/>
          <w:szCs w:val="21"/>
        </w:rPr>
        <w:t xml:space="preserve">1.1.3.1 </w:t>
      </w:r>
      <w:r>
        <w:rPr>
          <w:rFonts w:hint="eastAsia" w:ascii="宋体" w:hAnsi="宋体" w:cs="宋体"/>
          <w:color w:val="000000"/>
          <w:kern w:val="0"/>
          <w:szCs w:val="21"/>
        </w:rPr>
        <w:t xml:space="preserve">工程：指永久工程和（或）临时工程。 </w:t>
      </w:r>
    </w:p>
    <w:p w14:paraId="75A7B984">
      <w:pPr>
        <w:widowControl/>
        <w:ind w:firstLine="420" w:firstLineChars="200"/>
        <w:jc w:val="left"/>
        <w:rPr>
          <w:szCs w:val="21"/>
        </w:rPr>
      </w:pPr>
      <w:r>
        <w:rPr>
          <w:color w:val="000000"/>
          <w:kern w:val="0"/>
          <w:szCs w:val="21"/>
        </w:rPr>
        <w:t xml:space="preserve">1.1.3.2 </w:t>
      </w:r>
      <w:r>
        <w:rPr>
          <w:rFonts w:hint="eastAsia" w:ascii="宋体" w:hAnsi="宋体" w:cs="宋体"/>
          <w:color w:val="000000"/>
          <w:kern w:val="0"/>
          <w:szCs w:val="21"/>
        </w:rPr>
        <w:t xml:space="preserve">永久工程：指按合同约定建造并移交给发包人的工程，包括工程设备。 </w:t>
      </w:r>
    </w:p>
    <w:p w14:paraId="74E83D8E">
      <w:pPr>
        <w:widowControl/>
        <w:ind w:firstLine="420" w:firstLineChars="200"/>
        <w:jc w:val="left"/>
        <w:rPr>
          <w:szCs w:val="21"/>
        </w:rPr>
      </w:pPr>
      <w:r>
        <w:rPr>
          <w:color w:val="000000"/>
          <w:kern w:val="0"/>
          <w:szCs w:val="21"/>
        </w:rPr>
        <w:t xml:space="preserve">1.1.3.3 </w:t>
      </w:r>
      <w:r>
        <w:rPr>
          <w:rFonts w:hint="eastAsia" w:ascii="宋体" w:hAnsi="宋体" w:cs="宋体"/>
          <w:color w:val="000000"/>
          <w:kern w:val="0"/>
          <w:szCs w:val="21"/>
        </w:rPr>
        <w:t xml:space="preserve">临时工程：指为完成合同约定的永久工程所修建的各类临时性工程，不包括施工设备。 </w:t>
      </w:r>
    </w:p>
    <w:p w14:paraId="6F3D4EAC">
      <w:pPr>
        <w:widowControl/>
        <w:ind w:firstLine="420" w:firstLineChars="200"/>
        <w:jc w:val="left"/>
        <w:rPr>
          <w:szCs w:val="21"/>
        </w:rPr>
      </w:pPr>
      <w:r>
        <w:rPr>
          <w:color w:val="000000"/>
          <w:kern w:val="0"/>
          <w:szCs w:val="21"/>
        </w:rPr>
        <w:t xml:space="preserve">1.1.3.4 </w:t>
      </w:r>
      <w:r>
        <w:rPr>
          <w:rFonts w:hint="eastAsia" w:ascii="宋体" w:hAnsi="宋体" w:cs="宋体"/>
          <w:color w:val="000000"/>
          <w:kern w:val="0"/>
          <w:szCs w:val="21"/>
        </w:rPr>
        <w:t xml:space="preserve">单位工程：指专用合同条款中指明特定范围的永久工程。 </w:t>
      </w:r>
    </w:p>
    <w:p w14:paraId="4E837915">
      <w:pPr>
        <w:widowControl/>
        <w:ind w:firstLine="420" w:firstLineChars="200"/>
        <w:jc w:val="left"/>
        <w:rPr>
          <w:szCs w:val="21"/>
        </w:rPr>
      </w:pPr>
      <w:r>
        <w:rPr>
          <w:color w:val="000000"/>
          <w:kern w:val="0"/>
          <w:szCs w:val="21"/>
        </w:rPr>
        <w:t xml:space="preserve">1.1.3.5 </w:t>
      </w:r>
      <w:r>
        <w:rPr>
          <w:rFonts w:hint="eastAsia" w:ascii="宋体" w:hAnsi="宋体" w:cs="宋体"/>
          <w:color w:val="000000"/>
          <w:kern w:val="0"/>
          <w:szCs w:val="21"/>
        </w:rPr>
        <w:t xml:space="preserve">工程设备：指构成或计划构成永久工程一部分的机电设备、金属结构设备、仪器装置及其他类似的设备和装置。 </w:t>
      </w:r>
    </w:p>
    <w:p w14:paraId="0000C59E">
      <w:pPr>
        <w:widowControl/>
        <w:ind w:firstLine="420" w:firstLineChars="200"/>
        <w:jc w:val="left"/>
        <w:rPr>
          <w:szCs w:val="21"/>
        </w:rPr>
      </w:pPr>
      <w:r>
        <w:rPr>
          <w:color w:val="000000"/>
          <w:kern w:val="0"/>
          <w:szCs w:val="21"/>
        </w:rPr>
        <w:t xml:space="preserve">1.1.3.6 </w:t>
      </w:r>
      <w:r>
        <w:rPr>
          <w:rFonts w:hint="eastAsia" w:ascii="宋体" w:hAnsi="宋体" w:cs="宋体"/>
          <w:color w:val="000000"/>
          <w:kern w:val="0"/>
          <w:szCs w:val="21"/>
        </w:rPr>
        <w:t xml:space="preserve">施工设备：指为完成合同约定的各项工作所需的设备、器具和其他物品，不包括临时工程和材料。 </w:t>
      </w:r>
    </w:p>
    <w:p w14:paraId="5F472295">
      <w:pPr>
        <w:widowControl/>
        <w:ind w:firstLine="420" w:firstLineChars="200"/>
        <w:jc w:val="left"/>
        <w:rPr>
          <w:szCs w:val="21"/>
        </w:rPr>
      </w:pPr>
      <w:r>
        <w:rPr>
          <w:color w:val="000000"/>
          <w:kern w:val="0"/>
          <w:szCs w:val="21"/>
        </w:rPr>
        <w:t xml:space="preserve">1.1.3.7 </w:t>
      </w:r>
      <w:r>
        <w:rPr>
          <w:rFonts w:hint="eastAsia" w:ascii="宋体" w:hAnsi="宋体" w:cs="宋体"/>
          <w:color w:val="000000"/>
          <w:kern w:val="0"/>
          <w:szCs w:val="21"/>
        </w:rPr>
        <w:t xml:space="preserve">临时设施：指为完成合同约定的各项工作所服务的临时性生产和生活设施。 </w:t>
      </w:r>
    </w:p>
    <w:p w14:paraId="50304841">
      <w:pPr>
        <w:widowControl/>
        <w:ind w:firstLine="420" w:firstLineChars="200"/>
        <w:jc w:val="left"/>
        <w:rPr>
          <w:szCs w:val="21"/>
        </w:rPr>
      </w:pPr>
      <w:r>
        <w:rPr>
          <w:color w:val="000000"/>
          <w:kern w:val="0"/>
          <w:szCs w:val="21"/>
        </w:rPr>
        <w:t xml:space="preserve">1.1.3.8 </w:t>
      </w:r>
      <w:r>
        <w:rPr>
          <w:rFonts w:hint="eastAsia" w:ascii="宋体" w:hAnsi="宋体" w:cs="宋体"/>
          <w:color w:val="000000"/>
          <w:kern w:val="0"/>
          <w:szCs w:val="21"/>
        </w:rPr>
        <w:t xml:space="preserve">承包人设备：指承包人自带的施工设备。 </w:t>
      </w:r>
    </w:p>
    <w:p w14:paraId="069B90C5">
      <w:pPr>
        <w:widowControl/>
        <w:ind w:firstLine="420" w:firstLineChars="200"/>
        <w:jc w:val="left"/>
        <w:rPr>
          <w:szCs w:val="21"/>
        </w:rPr>
      </w:pPr>
      <w:r>
        <w:rPr>
          <w:color w:val="000000"/>
          <w:kern w:val="0"/>
          <w:szCs w:val="21"/>
        </w:rPr>
        <w:t xml:space="preserve">1.1.3.9 </w:t>
      </w:r>
      <w:r>
        <w:rPr>
          <w:rFonts w:hint="eastAsia" w:ascii="宋体" w:hAnsi="宋体" w:cs="宋体"/>
          <w:color w:val="000000"/>
          <w:kern w:val="0"/>
          <w:szCs w:val="21"/>
        </w:rPr>
        <w:t xml:space="preserve">施工场地（或称工地、现场）：指用于合同工程施工的场所，以及在合同中指定作为施工场地组成部分的其他场所，包括永久占地和临时占地。 </w:t>
      </w:r>
    </w:p>
    <w:p w14:paraId="374E4D05">
      <w:pPr>
        <w:widowControl/>
        <w:ind w:firstLine="420" w:firstLineChars="200"/>
        <w:jc w:val="left"/>
        <w:rPr>
          <w:szCs w:val="21"/>
        </w:rPr>
      </w:pPr>
      <w:r>
        <w:rPr>
          <w:color w:val="000000"/>
          <w:kern w:val="0"/>
          <w:szCs w:val="21"/>
        </w:rPr>
        <w:t xml:space="preserve">1.1.3.10 </w:t>
      </w:r>
      <w:r>
        <w:rPr>
          <w:rFonts w:hint="eastAsia" w:ascii="宋体" w:hAnsi="宋体" w:cs="宋体"/>
          <w:color w:val="000000"/>
          <w:kern w:val="0"/>
          <w:szCs w:val="21"/>
        </w:rPr>
        <w:t xml:space="preserve">永久占地：指专用合同条款中指明为实施合同工程需永久占用的土地。 </w:t>
      </w:r>
    </w:p>
    <w:p w14:paraId="26BBFC0C">
      <w:pPr>
        <w:widowControl/>
        <w:ind w:firstLine="420" w:firstLineChars="200"/>
        <w:jc w:val="left"/>
        <w:rPr>
          <w:szCs w:val="21"/>
        </w:rPr>
      </w:pPr>
      <w:r>
        <w:rPr>
          <w:color w:val="000000"/>
          <w:kern w:val="0"/>
          <w:szCs w:val="21"/>
        </w:rPr>
        <w:t xml:space="preserve">1.1.3.11 </w:t>
      </w:r>
      <w:r>
        <w:rPr>
          <w:rFonts w:hint="eastAsia" w:ascii="宋体" w:hAnsi="宋体" w:cs="宋体"/>
          <w:color w:val="000000"/>
          <w:kern w:val="0"/>
          <w:szCs w:val="21"/>
        </w:rPr>
        <w:t xml:space="preserve">临时占地：指专用合同条款中指明为实施合同工程需临时占用的土地。 </w:t>
      </w:r>
    </w:p>
    <w:p w14:paraId="5365779E">
      <w:pPr>
        <w:widowControl/>
        <w:ind w:firstLine="210" w:firstLineChars="100"/>
        <w:jc w:val="left"/>
        <w:rPr>
          <w:szCs w:val="21"/>
        </w:rPr>
      </w:pPr>
      <w:r>
        <w:rPr>
          <w:color w:val="000000"/>
          <w:kern w:val="0"/>
          <w:szCs w:val="21"/>
        </w:rPr>
        <w:t xml:space="preserve">1.1.4 </w:t>
      </w:r>
      <w:r>
        <w:rPr>
          <w:rFonts w:ascii="黑体" w:hAnsi="宋体" w:eastAsia="黑体" w:cs="黑体"/>
          <w:color w:val="000000"/>
          <w:kern w:val="0"/>
          <w:szCs w:val="21"/>
        </w:rPr>
        <w:t xml:space="preserve">日期 </w:t>
      </w:r>
    </w:p>
    <w:p w14:paraId="1A6A861C">
      <w:pPr>
        <w:widowControl/>
        <w:ind w:firstLine="420" w:firstLineChars="200"/>
        <w:jc w:val="left"/>
        <w:rPr>
          <w:szCs w:val="21"/>
        </w:rPr>
      </w:pPr>
      <w:r>
        <w:rPr>
          <w:color w:val="000000"/>
          <w:kern w:val="0"/>
          <w:szCs w:val="21"/>
        </w:rPr>
        <w:t xml:space="preserve">1.1.4.1 </w:t>
      </w:r>
      <w:r>
        <w:rPr>
          <w:rFonts w:hint="eastAsia" w:ascii="宋体" w:hAnsi="宋体" w:cs="宋体"/>
          <w:color w:val="000000"/>
          <w:kern w:val="0"/>
          <w:szCs w:val="21"/>
        </w:rPr>
        <w:t xml:space="preserve">开工通知：指监理人按第 </w:t>
      </w:r>
      <w:r>
        <w:rPr>
          <w:color w:val="000000"/>
          <w:kern w:val="0"/>
          <w:szCs w:val="21"/>
        </w:rPr>
        <w:t xml:space="preserve">11.1 </w:t>
      </w:r>
      <w:r>
        <w:rPr>
          <w:rFonts w:hint="eastAsia" w:ascii="宋体" w:hAnsi="宋体" w:cs="宋体"/>
          <w:color w:val="000000"/>
          <w:kern w:val="0"/>
          <w:szCs w:val="21"/>
        </w:rPr>
        <w:t xml:space="preserve">款通知承包人开工的函件。 </w:t>
      </w:r>
    </w:p>
    <w:p w14:paraId="34B82531">
      <w:pPr>
        <w:widowControl/>
        <w:ind w:firstLine="420" w:firstLineChars="200"/>
        <w:jc w:val="left"/>
        <w:rPr>
          <w:szCs w:val="21"/>
        </w:rPr>
      </w:pPr>
      <w:r>
        <w:rPr>
          <w:color w:val="000000"/>
          <w:kern w:val="0"/>
          <w:szCs w:val="21"/>
        </w:rPr>
        <w:t xml:space="preserve">1.1.4.2 </w:t>
      </w:r>
      <w:r>
        <w:rPr>
          <w:rFonts w:hint="eastAsia" w:ascii="宋体" w:hAnsi="宋体" w:cs="宋体"/>
          <w:color w:val="000000"/>
          <w:kern w:val="0"/>
          <w:szCs w:val="21"/>
        </w:rPr>
        <w:t xml:space="preserve">开工日期：指监理人按第 </w:t>
      </w:r>
      <w:r>
        <w:rPr>
          <w:color w:val="000000"/>
          <w:kern w:val="0"/>
          <w:szCs w:val="21"/>
        </w:rPr>
        <w:t xml:space="preserve">11.1 </w:t>
      </w:r>
      <w:r>
        <w:rPr>
          <w:rFonts w:hint="eastAsia" w:ascii="宋体" w:hAnsi="宋体" w:cs="宋体"/>
          <w:color w:val="000000"/>
          <w:kern w:val="0"/>
          <w:szCs w:val="21"/>
        </w:rPr>
        <w:t xml:space="preserve">款发出的开工通知中写明的开工日期。 </w:t>
      </w:r>
    </w:p>
    <w:p w14:paraId="1D02E024">
      <w:pPr>
        <w:widowControl/>
        <w:ind w:firstLine="420" w:firstLineChars="200"/>
        <w:jc w:val="left"/>
        <w:rPr>
          <w:szCs w:val="21"/>
        </w:rPr>
      </w:pPr>
      <w:r>
        <w:rPr>
          <w:color w:val="000000"/>
          <w:kern w:val="0"/>
          <w:szCs w:val="21"/>
        </w:rPr>
        <w:t xml:space="preserve">1.1.4.3 </w:t>
      </w:r>
      <w:r>
        <w:rPr>
          <w:rFonts w:hint="eastAsia" w:ascii="宋体" w:hAnsi="宋体" w:cs="宋体"/>
          <w:color w:val="000000"/>
          <w:kern w:val="0"/>
          <w:szCs w:val="21"/>
        </w:rPr>
        <w:t xml:space="preserve">工期：指承包人在投标函中承诺的完成合同工程所需的期限，包括按第 </w:t>
      </w:r>
      <w:r>
        <w:rPr>
          <w:color w:val="000000"/>
          <w:kern w:val="0"/>
          <w:szCs w:val="21"/>
        </w:rPr>
        <w:t xml:space="preserve">11.3 </w:t>
      </w:r>
      <w:r>
        <w:rPr>
          <w:rFonts w:hint="eastAsia" w:ascii="宋体" w:hAnsi="宋体" w:cs="宋体"/>
          <w:color w:val="000000"/>
          <w:kern w:val="0"/>
          <w:szCs w:val="21"/>
        </w:rPr>
        <w:t xml:space="preserve">款、第 </w:t>
      </w:r>
      <w:r>
        <w:rPr>
          <w:color w:val="000000"/>
          <w:kern w:val="0"/>
          <w:szCs w:val="21"/>
        </w:rPr>
        <w:t xml:space="preserve">11.4 </w:t>
      </w:r>
      <w:r>
        <w:rPr>
          <w:rFonts w:hint="eastAsia" w:ascii="宋体" w:hAnsi="宋体" w:cs="宋体"/>
          <w:color w:val="000000"/>
          <w:kern w:val="0"/>
          <w:szCs w:val="21"/>
        </w:rPr>
        <w:t xml:space="preserve">款和第 </w:t>
      </w:r>
      <w:r>
        <w:rPr>
          <w:color w:val="000000"/>
          <w:kern w:val="0"/>
          <w:szCs w:val="21"/>
        </w:rPr>
        <w:t xml:space="preserve">11.6 </w:t>
      </w:r>
      <w:r>
        <w:rPr>
          <w:rFonts w:hint="eastAsia" w:ascii="宋体" w:hAnsi="宋体" w:cs="宋体"/>
          <w:color w:val="000000"/>
          <w:kern w:val="0"/>
          <w:szCs w:val="21"/>
        </w:rPr>
        <w:t xml:space="preserve">款约定所作的变更。 </w:t>
      </w:r>
    </w:p>
    <w:p w14:paraId="56B10261">
      <w:pPr>
        <w:widowControl/>
        <w:ind w:firstLine="420" w:firstLineChars="200"/>
        <w:jc w:val="left"/>
        <w:rPr>
          <w:szCs w:val="21"/>
        </w:rPr>
      </w:pPr>
      <w:r>
        <w:rPr>
          <w:color w:val="000000"/>
          <w:kern w:val="0"/>
          <w:szCs w:val="21"/>
        </w:rPr>
        <w:t xml:space="preserve">1.1.4.4 </w:t>
      </w:r>
      <w:r>
        <w:rPr>
          <w:rFonts w:hint="eastAsia" w:ascii="宋体" w:hAnsi="宋体" w:cs="宋体"/>
          <w:color w:val="000000"/>
          <w:kern w:val="0"/>
          <w:szCs w:val="21"/>
        </w:rPr>
        <w:t xml:space="preserve">竣工日期：指第 </w:t>
      </w:r>
      <w:r>
        <w:rPr>
          <w:color w:val="000000"/>
          <w:kern w:val="0"/>
          <w:szCs w:val="21"/>
        </w:rPr>
        <w:t xml:space="preserve">1.1.4.3 </w:t>
      </w:r>
      <w:r>
        <w:rPr>
          <w:rFonts w:hint="eastAsia" w:ascii="宋体" w:hAnsi="宋体" w:cs="宋体"/>
          <w:color w:val="000000"/>
          <w:kern w:val="0"/>
          <w:szCs w:val="21"/>
        </w:rPr>
        <w:t xml:space="preserve">目约定工期届满时的日期。实际竣工日期以工程接收证书中写明的日期为准。 </w:t>
      </w:r>
    </w:p>
    <w:p w14:paraId="68AD126A">
      <w:pPr>
        <w:widowControl/>
        <w:ind w:firstLine="420" w:firstLineChars="200"/>
        <w:jc w:val="left"/>
        <w:rPr>
          <w:szCs w:val="21"/>
        </w:rPr>
      </w:pPr>
      <w:r>
        <w:rPr>
          <w:color w:val="000000"/>
          <w:kern w:val="0"/>
          <w:szCs w:val="21"/>
        </w:rPr>
        <w:t xml:space="preserve">1.1.4.5 </w:t>
      </w:r>
      <w:r>
        <w:rPr>
          <w:rFonts w:hint="eastAsia" w:ascii="宋体" w:hAnsi="宋体" w:cs="宋体"/>
          <w:color w:val="000000"/>
          <w:kern w:val="0"/>
          <w:szCs w:val="21"/>
        </w:rPr>
        <w:t xml:space="preserve">缺陷责任期：指履行第 </w:t>
      </w:r>
      <w:r>
        <w:rPr>
          <w:color w:val="000000"/>
          <w:kern w:val="0"/>
          <w:szCs w:val="21"/>
        </w:rPr>
        <w:t xml:space="preserve">19.2 </w:t>
      </w:r>
      <w:r>
        <w:rPr>
          <w:rFonts w:hint="eastAsia" w:ascii="宋体" w:hAnsi="宋体" w:cs="宋体"/>
          <w:color w:val="000000"/>
          <w:kern w:val="0"/>
          <w:szCs w:val="21"/>
        </w:rPr>
        <w:t xml:space="preserve">款约定的缺陷责任的期限，具体期限由专用合同条款约定，包括根据第 </w:t>
      </w:r>
      <w:r>
        <w:rPr>
          <w:color w:val="000000"/>
          <w:kern w:val="0"/>
          <w:szCs w:val="21"/>
        </w:rPr>
        <w:t xml:space="preserve">19.3 </w:t>
      </w:r>
      <w:r>
        <w:rPr>
          <w:rFonts w:hint="eastAsia" w:ascii="宋体" w:hAnsi="宋体" w:cs="宋体"/>
          <w:color w:val="000000"/>
          <w:kern w:val="0"/>
          <w:szCs w:val="21"/>
        </w:rPr>
        <w:t xml:space="preserve">款约定所作的延长。 </w:t>
      </w:r>
    </w:p>
    <w:p w14:paraId="1DA8AF53">
      <w:pPr>
        <w:widowControl/>
        <w:ind w:firstLine="420" w:firstLineChars="200"/>
        <w:jc w:val="left"/>
        <w:rPr>
          <w:szCs w:val="21"/>
        </w:rPr>
      </w:pPr>
      <w:r>
        <w:rPr>
          <w:color w:val="000000"/>
          <w:kern w:val="0"/>
          <w:szCs w:val="21"/>
        </w:rPr>
        <w:t xml:space="preserve">1.1.4.6 </w:t>
      </w:r>
      <w:r>
        <w:rPr>
          <w:rFonts w:hint="eastAsia" w:ascii="宋体" w:hAnsi="宋体" w:cs="宋体"/>
          <w:color w:val="000000"/>
          <w:kern w:val="0"/>
          <w:szCs w:val="21"/>
        </w:rPr>
        <w:t xml:space="preserve">基准日期：指投标截止时间前 </w:t>
      </w:r>
      <w:r>
        <w:rPr>
          <w:color w:val="000000"/>
          <w:kern w:val="0"/>
          <w:szCs w:val="21"/>
        </w:rPr>
        <w:t xml:space="preserve">28 </w:t>
      </w:r>
      <w:r>
        <w:rPr>
          <w:rFonts w:hint="eastAsia" w:ascii="宋体" w:hAnsi="宋体" w:cs="宋体"/>
          <w:color w:val="000000"/>
          <w:kern w:val="0"/>
          <w:szCs w:val="21"/>
        </w:rPr>
        <w:t xml:space="preserve">天的日期。 </w:t>
      </w:r>
    </w:p>
    <w:p w14:paraId="5001C749">
      <w:pPr>
        <w:widowControl/>
        <w:ind w:firstLine="420" w:firstLineChars="200"/>
        <w:jc w:val="left"/>
        <w:rPr>
          <w:szCs w:val="21"/>
        </w:rPr>
      </w:pPr>
      <w:r>
        <w:rPr>
          <w:color w:val="000000"/>
          <w:kern w:val="0"/>
          <w:szCs w:val="21"/>
        </w:rPr>
        <w:t xml:space="preserve">1.1.4.7 </w:t>
      </w:r>
      <w:r>
        <w:rPr>
          <w:rFonts w:hint="eastAsia" w:ascii="宋体" w:hAnsi="宋体" w:cs="宋体"/>
          <w:color w:val="000000"/>
          <w:kern w:val="0"/>
          <w:szCs w:val="21"/>
        </w:rPr>
        <w:t xml:space="preserve">天：除特别指明外，指日历天。合同中按天计算时间的，开始当天不计入，从次日开始计算。期限最后一天的截止时间为当天 </w:t>
      </w:r>
      <w:r>
        <w:rPr>
          <w:color w:val="000000"/>
          <w:kern w:val="0"/>
          <w:szCs w:val="21"/>
        </w:rPr>
        <w:t>24:00</w:t>
      </w:r>
      <w:r>
        <w:rPr>
          <w:rFonts w:hint="eastAsia" w:ascii="宋体" w:hAnsi="宋体" w:cs="宋体"/>
          <w:color w:val="000000"/>
          <w:kern w:val="0"/>
          <w:szCs w:val="21"/>
        </w:rPr>
        <w:t xml:space="preserve">。 </w:t>
      </w:r>
    </w:p>
    <w:p w14:paraId="7186CB8A">
      <w:pPr>
        <w:widowControl/>
        <w:ind w:firstLine="210" w:firstLineChars="100"/>
        <w:jc w:val="left"/>
        <w:rPr>
          <w:szCs w:val="21"/>
        </w:rPr>
      </w:pPr>
      <w:r>
        <w:rPr>
          <w:color w:val="000000"/>
          <w:kern w:val="0"/>
          <w:szCs w:val="21"/>
        </w:rPr>
        <w:t xml:space="preserve">1.1.5 </w:t>
      </w:r>
      <w:r>
        <w:rPr>
          <w:rFonts w:hint="eastAsia" w:ascii="黑体" w:hAnsi="宋体" w:eastAsia="黑体" w:cs="黑体"/>
          <w:color w:val="000000"/>
          <w:kern w:val="0"/>
          <w:szCs w:val="21"/>
        </w:rPr>
        <w:t xml:space="preserve">合同价格和费用 </w:t>
      </w:r>
    </w:p>
    <w:p w14:paraId="39442664">
      <w:pPr>
        <w:widowControl/>
        <w:ind w:firstLine="420" w:firstLineChars="200"/>
        <w:jc w:val="left"/>
        <w:rPr>
          <w:szCs w:val="21"/>
        </w:rPr>
      </w:pPr>
      <w:r>
        <w:rPr>
          <w:color w:val="000000"/>
          <w:kern w:val="0"/>
          <w:szCs w:val="21"/>
        </w:rPr>
        <w:t xml:space="preserve">1.1.5.1 </w:t>
      </w:r>
      <w:r>
        <w:rPr>
          <w:rFonts w:hint="eastAsia" w:ascii="宋体" w:hAnsi="宋体" w:cs="宋体"/>
          <w:color w:val="000000"/>
          <w:kern w:val="0"/>
          <w:szCs w:val="21"/>
        </w:rPr>
        <w:t xml:space="preserve">签约合同价：指签订合同时合同协议书中写明的，包括了暂列金额、暂估价的合同总金额。 </w:t>
      </w:r>
    </w:p>
    <w:p w14:paraId="4DFB8A85">
      <w:pPr>
        <w:widowControl/>
        <w:ind w:firstLine="420" w:firstLineChars="200"/>
        <w:jc w:val="left"/>
        <w:rPr>
          <w:szCs w:val="21"/>
        </w:rPr>
      </w:pPr>
      <w:r>
        <w:rPr>
          <w:color w:val="000000"/>
          <w:kern w:val="0"/>
          <w:szCs w:val="21"/>
        </w:rPr>
        <w:t xml:space="preserve">1.1.5.2 </w:t>
      </w:r>
      <w:r>
        <w:rPr>
          <w:rFonts w:hint="eastAsia" w:ascii="宋体" w:hAnsi="宋体" w:cs="宋体"/>
          <w:color w:val="000000"/>
          <w:kern w:val="0"/>
          <w:szCs w:val="21"/>
        </w:rPr>
        <w:t xml:space="preserve">合同价格：指承包人按合同约定完成了包括缺陷责任期内的全部承包工作后，发包人应付给承包人的金额，包括在履行合同过程中按合同约定进行的变更和调整。 </w:t>
      </w:r>
    </w:p>
    <w:p w14:paraId="399A1C97">
      <w:pPr>
        <w:widowControl/>
        <w:ind w:firstLine="420" w:firstLineChars="200"/>
        <w:jc w:val="left"/>
        <w:rPr>
          <w:szCs w:val="21"/>
        </w:rPr>
      </w:pPr>
      <w:r>
        <w:rPr>
          <w:color w:val="000000"/>
          <w:kern w:val="0"/>
          <w:szCs w:val="21"/>
        </w:rPr>
        <w:t xml:space="preserve">1.1.5.3 </w:t>
      </w:r>
      <w:r>
        <w:rPr>
          <w:rFonts w:hint="eastAsia" w:ascii="宋体" w:hAnsi="宋体" w:cs="宋体"/>
          <w:color w:val="000000"/>
          <w:kern w:val="0"/>
          <w:szCs w:val="21"/>
        </w:rPr>
        <w:t xml:space="preserve">费用：指为履行合同所发生的或将要发生的所有合理开支，包括管理费和应分摊的其他费用，但不包括利润。 </w:t>
      </w:r>
    </w:p>
    <w:p w14:paraId="504664F3">
      <w:pPr>
        <w:widowControl/>
        <w:ind w:firstLine="420" w:firstLineChars="200"/>
        <w:jc w:val="left"/>
        <w:rPr>
          <w:szCs w:val="21"/>
        </w:rPr>
      </w:pPr>
      <w:r>
        <w:rPr>
          <w:color w:val="000000"/>
          <w:kern w:val="0"/>
          <w:szCs w:val="21"/>
        </w:rPr>
        <w:t xml:space="preserve">1.1.5.4 </w:t>
      </w:r>
      <w:r>
        <w:rPr>
          <w:rFonts w:hint="eastAsia" w:ascii="宋体" w:hAnsi="宋体" w:cs="宋体"/>
          <w:color w:val="000000"/>
          <w:kern w:val="0"/>
          <w:szCs w:val="21"/>
        </w:rPr>
        <w:t xml:space="preserve">暂列金额：指已标价工程量清单中所列的暂列金额，用于在签订协议书时尚未确定或不可预见变更的施工及其所需材料、工程设备、服务等的金额，包括以计日工方式支付的金额。 </w:t>
      </w:r>
    </w:p>
    <w:p w14:paraId="4B335C36">
      <w:pPr>
        <w:widowControl/>
        <w:ind w:firstLine="420" w:firstLineChars="200"/>
        <w:jc w:val="left"/>
        <w:rPr>
          <w:szCs w:val="21"/>
        </w:rPr>
      </w:pPr>
      <w:r>
        <w:rPr>
          <w:color w:val="000000"/>
          <w:kern w:val="0"/>
          <w:szCs w:val="21"/>
        </w:rPr>
        <w:t xml:space="preserve">1.1.5.5 </w:t>
      </w:r>
      <w:r>
        <w:rPr>
          <w:rFonts w:hint="eastAsia" w:ascii="宋体" w:hAnsi="宋体" w:cs="宋体"/>
          <w:color w:val="000000"/>
          <w:kern w:val="0"/>
          <w:szCs w:val="21"/>
        </w:rPr>
        <w:t xml:space="preserve">暂估价：指发包人在工程量清单中给定的用于支付必然发生但暂时不能确定价格的材料、工程设备以及专业工程的金额。 </w:t>
      </w:r>
    </w:p>
    <w:p w14:paraId="099A6045">
      <w:pPr>
        <w:widowControl/>
        <w:ind w:firstLine="420" w:firstLineChars="200"/>
        <w:jc w:val="left"/>
        <w:rPr>
          <w:szCs w:val="21"/>
        </w:rPr>
      </w:pPr>
      <w:r>
        <w:rPr>
          <w:color w:val="000000"/>
          <w:kern w:val="0"/>
          <w:szCs w:val="21"/>
        </w:rPr>
        <w:t xml:space="preserve">1.1.5.6 </w:t>
      </w:r>
      <w:r>
        <w:rPr>
          <w:rFonts w:hint="eastAsia" w:ascii="宋体" w:hAnsi="宋体" w:cs="宋体"/>
          <w:color w:val="000000"/>
          <w:kern w:val="0"/>
          <w:szCs w:val="21"/>
        </w:rPr>
        <w:t xml:space="preserve">计日工：指对零星工作采取的一种计价方式，按合同中的计日工子目及其单价计价付款。 </w:t>
      </w:r>
    </w:p>
    <w:p w14:paraId="6FB39C49">
      <w:pPr>
        <w:widowControl/>
        <w:ind w:firstLine="420" w:firstLineChars="200"/>
        <w:jc w:val="left"/>
        <w:rPr>
          <w:szCs w:val="21"/>
        </w:rPr>
      </w:pPr>
      <w:r>
        <w:rPr>
          <w:color w:val="000000"/>
          <w:kern w:val="0"/>
          <w:szCs w:val="21"/>
        </w:rPr>
        <w:t xml:space="preserve">1.1.5.7 </w:t>
      </w:r>
      <w:r>
        <w:rPr>
          <w:rFonts w:hint="eastAsia" w:ascii="宋体" w:hAnsi="宋体" w:cs="宋体"/>
          <w:color w:val="000000"/>
          <w:kern w:val="0"/>
          <w:szCs w:val="21"/>
        </w:rPr>
        <w:t xml:space="preserve">质量保证金（或称保留金）：指按第 </w:t>
      </w:r>
      <w:r>
        <w:rPr>
          <w:color w:val="000000"/>
          <w:kern w:val="0"/>
          <w:szCs w:val="21"/>
        </w:rPr>
        <w:t xml:space="preserve">17.4.1 </w:t>
      </w:r>
      <w:r>
        <w:rPr>
          <w:rFonts w:hint="eastAsia" w:ascii="宋体" w:hAnsi="宋体" w:cs="宋体"/>
          <w:color w:val="000000"/>
          <w:kern w:val="0"/>
          <w:szCs w:val="21"/>
        </w:rPr>
        <w:t xml:space="preserve">项约定用于保证在缺陷责任期内履行缺陷修复义务的金额。 </w:t>
      </w:r>
    </w:p>
    <w:p w14:paraId="13AC2C40">
      <w:pPr>
        <w:widowControl/>
        <w:ind w:firstLine="210" w:firstLineChars="100"/>
        <w:jc w:val="left"/>
        <w:rPr>
          <w:szCs w:val="21"/>
        </w:rPr>
      </w:pPr>
      <w:r>
        <w:rPr>
          <w:color w:val="000000"/>
          <w:kern w:val="0"/>
          <w:szCs w:val="21"/>
        </w:rPr>
        <w:t xml:space="preserve">1.1.6 </w:t>
      </w:r>
      <w:r>
        <w:rPr>
          <w:rFonts w:ascii="黑体" w:hAnsi="宋体" w:eastAsia="黑体" w:cs="黑体"/>
          <w:color w:val="000000"/>
          <w:kern w:val="0"/>
          <w:szCs w:val="21"/>
        </w:rPr>
        <w:t xml:space="preserve">其他 </w:t>
      </w:r>
    </w:p>
    <w:p w14:paraId="2F19DB18">
      <w:pPr>
        <w:widowControl/>
        <w:ind w:firstLine="420" w:firstLineChars="200"/>
        <w:jc w:val="left"/>
        <w:rPr>
          <w:szCs w:val="21"/>
        </w:rPr>
      </w:pPr>
      <w:r>
        <w:rPr>
          <w:color w:val="000000"/>
          <w:kern w:val="0"/>
          <w:szCs w:val="21"/>
        </w:rPr>
        <w:t xml:space="preserve">1.1.6.1 </w:t>
      </w:r>
      <w:r>
        <w:rPr>
          <w:rFonts w:hint="eastAsia" w:ascii="宋体" w:hAnsi="宋体" w:cs="宋体"/>
          <w:color w:val="000000"/>
          <w:kern w:val="0"/>
          <w:szCs w:val="21"/>
        </w:rPr>
        <w:t xml:space="preserve">书面形式：指合同文件、信函、电报、传真等可以有形地表现所载内容的形式。 </w:t>
      </w:r>
    </w:p>
    <w:p w14:paraId="61BACC0D">
      <w:pPr>
        <w:widowControl/>
        <w:jc w:val="left"/>
        <w:rPr>
          <w:szCs w:val="21"/>
        </w:rPr>
      </w:pPr>
      <w:r>
        <w:rPr>
          <w:color w:val="000000"/>
          <w:kern w:val="0"/>
          <w:szCs w:val="21"/>
        </w:rPr>
        <w:t xml:space="preserve">1.2 </w:t>
      </w:r>
      <w:r>
        <w:rPr>
          <w:rFonts w:hint="eastAsia" w:ascii="黑体" w:hAnsi="宋体" w:eastAsia="黑体" w:cs="黑体"/>
          <w:color w:val="000000"/>
          <w:kern w:val="0"/>
          <w:szCs w:val="21"/>
        </w:rPr>
        <w:t xml:space="preserve">语言文字 </w:t>
      </w:r>
    </w:p>
    <w:p w14:paraId="40815A1A">
      <w:pPr>
        <w:widowControl/>
        <w:ind w:firstLine="210" w:firstLineChars="100"/>
        <w:jc w:val="left"/>
        <w:rPr>
          <w:szCs w:val="21"/>
        </w:rPr>
      </w:pPr>
      <w:r>
        <w:rPr>
          <w:rFonts w:hint="eastAsia" w:ascii="宋体" w:hAnsi="宋体" w:cs="宋体"/>
          <w:color w:val="000000"/>
          <w:kern w:val="0"/>
          <w:szCs w:val="21"/>
        </w:rPr>
        <w:t xml:space="preserve">除专用术语外，合同使用的语言文字为中文。必要时专用术语应附有中文注释。 </w:t>
      </w:r>
    </w:p>
    <w:p w14:paraId="145A6BB6">
      <w:pPr>
        <w:widowControl/>
        <w:jc w:val="left"/>
        <w:rPr>
          <w:szCs w:val="21"/>
        </w:rPr>
      </w:pPr>
      <w:r>
        <w:rPr>
          <w:color w:val="000000"/>
          <w:kern w:val="0"/>
          <w:szCs w:val="21"/>
        </w:rPr>
        <w:t xml:space="preserve">1.3 </w:t>
      </w:r>
      <w:r>
        <w:rPr>
          <w:rFonts w:hint="eastAsia" w:ascii="黑体" w:hAnsi="宋体" w:eastAsia="黑体" w:cs="黑体"/>
          <w:color w:val="000000"/>
          <w:kern w:val="0"/>
          <w:szCs w:val="21"/>
        </w:rPr>
        <w:t xml:space="preserve">法律 </w:t>
      </w:r>
    </w:p>
    <w:p w14:paraId="503DD481">
      <w:pPr>
        <w:widowControl/>
        <w:ind w:firstLine="210" w:firstLineChars="100"/>
        <w:jc w:val="left"/>
        <w:rPr>
          <w:szCs w:val="21"/>
        </w:rPr>
      </w:pPr>
      <w:r>
        <w:rPr>
          <w:rFonts w:hint="eastAsia" w:ascii="宋体" w:hAnsi="宋体" w:cs="宋体"/>
          <w:color w:val="000000"/>
          <w:kern w:val="0"/>
          <w:szCs w:val="21"/>
        </w:rPr>
        <w:t xml:space="preserve">适用于合同的法律包括中华人民共和国法律、行政法规、部门规章，以及工程所在地的地方法规、自治条例、单行条例和地方政府规章。 </w:t>
      </w:r>
    </w:p>
    <w:p w14:paraId="2AA35632">
      <w:pPr>
        <w:widowControl/>
        <w:jc w:val="left"/>
        <w:rPr>
          <w:szCs w:val="21"/>
        </w:rPr>
      </w:pPr>
      <w:r>
        <w:rPr>
          <w:color w:val="000000"/>
          <w:kern w:val="0"/>
          <w:szCs w:val="21"/>
        </w:rPr>
        <w:t xml:space="preserve">1.4 </w:t>
      </w:r>
      <w:r>
        <w:rPr>
          <w:rFonts w:hint="eastAsia" w:ascii="黑体" w:hAnsi="宋体" w:eastAsia="黑体" w:cs="黑体"/>
          <w:color w:val="000000"/>
          <w:kern w:val="0"/>
          <w:szCs w:val="21"/>
        </w:rPr>
        <w:t xml:space="preserve">合同文件的优先顺序 </w:t>
      </w:r>
    </w:p>
    <w:p w14:paraId="3AB04C4C">
      <w:pPr>
        <w:widowControl/>
        <w:ind w:firstLine="210" w:firstLineChars="100"/>
        <w:jc w:val="left"/>
        <w:rPr>
          <w:szCs w:val="21"/>
        </w:rPr>
      </w:pPr>
      <w:r>
        <w:rPr>
          <w:rFonts w:hint="eastAsia" w:ascii="宋体" w:hAnsi="宋体" w:cs="宋体"/>
          <w:color w:val="000000"/>
          <w:kern w:val="0"/>
          <w:szCs w:val="21"/>
        </w:rPr>
        <w:t xml:space="preserve">组成合同的各项文件应互相解释，互为说明。除专用合同条款另有约定外，解释合同文件的优先顺序如下： </w:t>
      </w:r>
    </w:p>
    <w:p w14:paraId="4156AED7">
      <w:pPr>
        <w:widowControl/>
        <w:ind w:firstLine="210" w:firstLineChars="100"/>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）合同协议书； </w:t>
      </w:r>
    </w:p>
    <w:p w14:paraId="76818CA8">
      <w:pPr>
        <w:widowControl/>
        <w:ind w:firstLine="210" w:firstLineChars="100"/>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）中标通知书； </w:t>
      </w:r>
    </w:p>
    <w:p w14:paraId="34D14EC1">
      <w:pPr>
        <w:widowControl/>
        <w:ind w:firstLine="210" w:firstLineChars="100"/>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）投标函及投标函附录； </w:t>
      </w:r>
    </w:p>
    <w:p w14:paraId="14CDB764">
      <w:pPr>
        <w:widowControl/>
        <w:ind w:firstLine="210" w:firstLineChars="100"/>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）专用合同条款； </w:t>
      </w:r>
    </w:p>
    <w:p w14:paraId="0BE993DF">
      <w:pPr>
        <w:widowControl/>
        <w:ind w:firstLine="210" w:firstLineChars="100"/>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）通用合同条款； </w:t>
      </w:r>
    </w:p>
    <w:p w14:paraId="4E3E0E9D">
      <w:pPr>
        <w:widowControl/>
        <w:ind w:firstLine="210" w:firstLineChars="100"/>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）技术标准和要求；</w:t>
      </w:r>
    </w:p>
    <w:p w14:paraId="03BEFB1E">
      <w:pPr>
        <w:widowControl/>
        <w:ind w:firstLine="210" w:firstLineChars="100"/>
        <w:jc w:val="left"/>
        <w:rPr>
          <w:szCs w:val="21"/>
        </w:rPr>
      </w:pPr>
      <w:r>
        <w:rPr>
          <w:rFonts w:hint="eastAsia" w:ascii="宋体" w:hAnsi="宋体" w:cs="宋体"/>
          <w:color w:val="000000"/>
          <w:kern w:val="0"/>
          <w:szCs w:val="21"/>
        </w:rPr>
        <w:t>（</w:t>
      </w:r>
      <w:r>
        <w:rPr>
          <w:color w:val="000000"/>
          <w:kern w:val="0"/>
          <w:szCs w:val="21"/>
        </w:rPr>
        <w:t>7</w:t>
      </w:r>
      <w:r>
        <w:rPr>
          <w:rFonts w:hint="eastAsia" w:ascii="宋体" w:hAnsi="宋体" w:cs="宋体"/>
          <w:color w:val="000000"/>
          <w:kern w:val="0"/>
          <w:szCs w:val="21"/>
        </w:rPr>
        <w:t xml:space="preserve">）图纸； </w:t>
      </w:r>
    </w:p>
    <w:p w14:paraId="1B3B1A9B">
      <w:pPr>
        <w:widowControl/>
        <w:ind w:firstLine="210" w:firstLineChars="100"/>
        <w:jc w:val="left"/>
        <w:rPr>
          <w:szCs w:val="21"/>
        </w:rPr>
      </w:pPr>
      <w:r>
        <w:rPr>
          <w:rFonts w:hint="eastAsia" w:ascii="宋体" w:hAnsi="宋体" w:cs="宋体"/>
          <w:color w:val="000000"/>
          <w:kern w:val="0"/>
          <w:szCs w:val="21"/>
        </w:rPr>
        <w:t>（</w:t>
      </w:r>
      <w:r>
        <w:rPr>
          <w:color w:val="000000"/>
          <w:kern w:val="0"/>
          <w:szCs w:val="21"/>
        </w:rPr>
        <w:t>8</w:t>
      </w:r>
      <w:r>
        <w:rPr>
          <w:rFonts w:hint="eastAsia" w:ascii="宋体" w:hAnsi="宋体" w:cs="宋体"/>
          <w:color w:val="000000"/>
          <w:kern w:val="0"/>
          <w:szCs w:val="21"/>
        </w:rPr>
        <w:t xml:space="preserve">）已标价工程量清单； </w:t>
      </w:r>
    </w:p>
    <w:p w14:paraId="47D141EC">
      <w:pPr>
        <w:widowControl/>
        <w:ind w:firstLine="210" w:firstLineChars="100"/>
        <w:jc w:val="left"/>
        <w:rPr>
          <w:szCs w:val="21"/>
        </w:rPr>
      </w:pPr>
      <w:r>
        <w:rPr>
          <w:rFonts w:hint="eastAsia" w:ascii="宋体" w:hAnsi="宋体" w:cs="宋体"/>
          <w:color w:val="000000"/>
          <w:kern w:val="0"/>
          <w:szCs w:val="21"/>
        </w:rPr>
        <w:t>（</w:t>
      </w:r>
      <w:r>
        <w:rPr>
          <w:color w:val="000000"/>
          <w:kern w:val="0"/>
          <w:szCs w:val="21"/>
        </w:rPr>
        <w:t>9</w:t>
      </w:r>
      <w:r>
        <w:rPr>
          <w:rFonts w:hint="eastAsia" w:ascii="宋体" w:hAnsi="宋体" w:cs="宋体"/>
          <w:color w:val="000000"/>
          <w:kern w:val="0"/>
          <w:szCs w:val="21"/>
        </w:rPr>
        <w:t xml:space="preserve">）其他合同文件。 </w:t>
      </w:r>
    </w:p>
    <w:p w14:paraId="74D9ED13">
      <w:pPr>
        <w:widowControl/>
        <w:jc w:val="left"/>
        <w:rPr>
          <w:szCs w:val="21"/>
        </w:rPr>
      </w:pPr>
      <w:r>
        <w:rPr>
          <w:color w:val="000000"/>
          <w:kern w:val="0"/>
          <w:szCs w:val="21"/>
        </w:rPr>
        <w:t xml:space="preserve">1.5 </w:t>
      </w:r>
      <w:r>
        <w:rPr>
          <w:rFonts w:ascii="黑体" w:hAnsi="宋体" w:eastAsia="黑体" w:cs="黑体"/>
          <w:color w:val="000000"/>
          <w:kern w:val="0"/>
          <w:szCs w:val="21"/>
        </w:rPr>
        <w:t xml:space="preserve">合同协议书 </w:t>
      </w:r>
    </w:p>
    <w:p w14:paraId="17D239AD">
      <w:pPr>
        <w:widowControl/>
        <w:ind w:firstLine="420" w:firstLineChars="200"/>
        <w:jc w:val="left"/>
        <w:rPr>
          <w:szCs w:val="21"/>
        </w:rPr>
      </w:pPr>
      <w:r>
        <w:rPr>
          <w:rFonts w:hint="eastAsia" w:ascii="宋体" w:hAnsi="宋体" w:cs="宋体"/>
          <w:color w:val="000000"/>
          <w:kern w:val="0"/>
          <w:szCs w:val="21"/>
        </w:rPr>
        <w:t xml:space="preserve">承包人按中标通知书规定的时间与发包人签订合同协议书。除法律另有规定或 合同另有约定外，发包人和承包人的法定代表人或其委托代理人在合同协议书上签 字并盖单位章后，合同生效。 </w:t>
      </w:r>
    </w:p>
    <w:p w14:paraId="5B896354">
      <w:pPr>
        <w:widowControl/>
        <w:jc w:val="left"/>
        <w:rPr>
          <w:szCs w:val="21"/>
        </w:rPr>
      </w:pPr>
      <w:r>
        <w:rPr>
          <w:color w:val="000000"/>
          <w:kern w:val="0"/>
          <w:szCs w:val="21"/>
        </w:rPr>
        <w:t xml:space="preserve">1.6 </w:t>
      </w:r>
      <w:r>
        <w:rPr>
          <w:rFonts w:hint="eastAsia" w:ascii="黑体" w:hAnsi="宋体" w:eastAsia="黑体" w:cs="黑体"/>
          <w:color w:val="000000"/>
          <w:kern w:val="0"/>
          <w:szCs w:val="21"/>
        </w:rPr>
        <w:t xml:space="preserve">图纸和承包人文件 </w:t>
      </w:r>
    </w:p>
    <w:p w14:paraId="5CB2F2F6">
      <w:pPr>
        <w:widowControl/>
        <w:ind w:firstLine="210" w:firstLineChars="100"/>
        <w:jc w:val="left"/>
        <w:rPr>
          <w:szCs w:val="21"/>
        </w:rPr>
      </w:pPr>
      <w:r>
        <w:rPr>
          <w:color w:val="000000"/>
          <w:kern w:val="0"/>
          <w:szCs w:val="21"/>
        </w:rPr>
        <w:t xml:space="preserve">1.6.1 </w:t>
      </w:r>
      <w:r>
        <w:rPr>
          <w:rFonts w:hint="eastAsia" w:ascii="黑体" w:hAnsi="宋体" w:eastAsia="黑体" w:cs="黑体"/>
          <w:color w:val="000000"/>
          <w:kern w:val="0"/>
          <w:szCs w:val="21"/>
        </w:rPr>
        <w:t xml:space="preserve">图纸的提供 </w:t>
      </w:r>
    </w:p>
    <w:p w14:paraId="07C49614">
      <w:pPr>
        <w:widowControl/>
        <w:ind w:firstLine="420" w:firstLineChars="200"/>
        <w:jc w:val="left"/>
        <w:rPr>
          <w:szCs w:val="21"/>
        </w:rPr>
      </w:pPr>
      <w:r>
        <w:rPr>
          <w:rFonts w:hint="eastAsia" w:ascii="宋体" w:hAnsi="宋体" w:cs="宋体"/>
          <w:color w:val="000000"/>
          <w:kern w:val="0"/>
          <w:szCs w:val="21"/>
        </w:rPr>
        <w:t xml:space="preserve">除专用合同条款另有约定外，图纸应在合理的期限内按照合同约定的数量提供给承包人。由于发包人未按时提供图纸造成工期延误的，按第 </w:t>
      </w:r>
      <w:r>
        <w:rPr>
          <w:color w:val="000000"/>
          <w:kern w:val="0"/>
          <w:szCs w:val="21"/>
        </w:rPr>
        <w:t xml:space="preserve">11.3 </w:t>
      </w:r>
      <w:r>
        <w:rPr>
          <w:rFonts w:hint="eastAsia" w:ascii="宋体" w:hAnsi="宋体" w:cs="宋体"/>
          <w:color w:val="000000"/>
          <w:kern w:val="0"/>
          <w:szCs w:val="21"/>
        </w:rPr>
        <w:t xml:space="preserve">款的约定办理。 </w:t>
      </w:r>
    </w:p>
    <w:p w14:paraId="1086173C">
      <w:pPr>
        <w:widowControl/>
        <w:ind w:firstLine="210" w:firstLineChars="100"/>
        <w:jc w:val="left"/>
        <w:rPr>
          <w:szCs w:val="21"/>
        </w:rPr>
      </w:pPr>
      <w:r>
        <w:rPr>
          <w:color w:val="000000"/>
          <w:kern w:val="0"/>
          <w:szCs w:val="21"/>
        </w:rPr>
        <w:t xml:space="preserve">1.6.2 </w:t>
      </w:r>
      <w:r>
        <w:rPr>
          <w:rFonts w:hint="eastAsia" w:ascii="黑体" w:hAnsi="宋体" w:eastAsia="黑体" w:cs="黑体"/>
          <w:color w:val="000000"/>
          <w:kern w:val="0"/>
          <w:szCs w:val="21"/>
        </w:rPr>
        <w:t xml:space="preserve">承包人提供的文件 </w:t>
      </w:r>
    </w:p>
    <w:p w14:paraId="5056144E">
      <w:pPr>
        <w:widowControl/>
        <w:ind w:firstLine="420" w:firstLineChars="200"/>
        <w:jc w:val="left"/>
        <w:rPr>
          <w:szCs w:val="21"/>
        </w:rPr>
      </w:pPr>
      <w:r>
        <w:rPr>
          <w:rFonts w:hint="eastAsia" w:ascii="宋体" w:hAnsi="宋体" w:cs="宋体"/>
          <w:color w:val="000000"/>
          <w:kern w:val="0"/>
          <w:szCs w:val="21"/>
        </w:rPr>
        <w:t xml:space="preserve">按专用合同条款约定由承包人提供的文件，包括部分工程的大样图、加工图等，承包人应按约定的数量和期限报送监理人。监理人应在专用合同条款约定的期限内批复。 </w:t>
      </w:r>
    </w:p>
    <w:p w14:paraId="5BB2C422">
      <w:pPr>
        <w:widowControl/>
        <w:jc w:val="left"/>
        <w:rPr>
          <w:szCs w:val="21"/>
        </w:rPr>
      </w:pPr>
      <w:r>
        <w:rPr>
          <w:color w:val="000000"/>
          <w:kern w:val="0"/>
          <w:szCs w:val="21"/>
        </w:rPr>
        <w:t xml:space="preserve">1.6.3 </w:t>
      </w:r>
      <w:r>
        <w:rPr>
          <w:rFonts w:hint="eastAsia" w:ascii="黑体" w:hAnsi="宋体" w:eastAsia="黑体" w:cs="黑体"/>
          <w:color w:val="000000"/>
          <w:kern w:val="0"/>
          <w:szCs w:val="21"/>
        </w:rPr>
        <w:t xml:space="preserve">图纸的修改 </w:t>
      </w:r>
    </w:p>
    <w:p w14:paraId="69FD7E61">
      <w:pPr>
        <w:widowControl/>
        <w:jc w:val="left"/>
        <w:rPr>
          <w:szCs w:val="21"/>
        </w:rPr>
      </w:pPr>
      <w:r>
        <w:rPr>
          <w:rFonts w:hint="eastAsia" w:ascii="宋体" w:hAnsi="宋体" w:cs="宋体"/>
          <w:color w:val="000000"/>
          <w:kern w:val="0"/>
          <w:szCs w:val="21"/>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08B152DF">
      <w:pPr>
        <w:widowControl/>
        <w:jc w:val="left"/>
        <w:rPr>
          <w:szCs w:val="21"/>
        </w:rPr>
      </w:pPr>
      <w:r>
        <w:rPr>
          <w:color w:val="000000"/>
          <w:kern w:val="0"/>
          <w:szCs w:val="21"/>
        </w:rPr>
        <w:t xml:space="preserve">1.6.4 </w:t>
      </w:r>
      <w:r>
        <w:rPr>
          <w:rFonts w:hint="eastAsia" w:ascii="黑体" w:hAnsi="宋体" w:eastAsia="黑体" w:cs="黑体"/>
          <w:color w:val="000000"/>
          <w:kern w:val="0"/>
          <w:szCs w:val="21"/>
        </w:rPr>
        <w:t xml:space="preserve">图纸的错误 </w:t>
      </w:r>
    </w:p>
    <w:p w14:paraId="37B68125">
      <w:pPr>
        <w:widowControl/>
        <w:jc w:val="left"/>
        <w:rPr>
          <w:szCs w:val="21"/>
        </w:rPr>
      </w:pPr>
      <w:r>
        <w:rPr>
          <w:rFonts w:hint="eastAsia" w:ascii="宋体" w:hAnsi="宋体" w:cs="宋体"/>
          <w:color w:val="000000"/>
          <w:kern w:val="0"/>
          <w:szCs w:val="21"/>
        </w:rPr>
        <w:t xml:space="preserve">承包人发现发包人提供的图纸存在明显错误或疏忽，应及时通知监理人。 </w:t>
      </w:r>
    </w:p>
    <w:p w14:paraId="49250093">
      <w:pPr>
        <w:widowControl/>
        <w:jc w:val="left"/>
        <w:rPr>
          <w:szCs w:val="21"/>
        </w:rPr>
      </w:pPr>
      <w:r>
        <w:rPr>
          <w:color w:val="000000"/>
          <w:kern w:val="0"/>
          <w:szCs w:val="21"/>
        </w:rPr>
        <w:t xml:space="preserve">1.6.5 </w:t>
      </w:r>
      <w:r>
        <w:rPr>
          <w:rFonts w:hint="eastAsia" w:ascii="黑体" w:hAnsi="宋体" w:eastAsia="黑体" w:cs="黑体"/>
          <w:color w:val="000000"/>
          <w:kern w:val="0"/>
          <w:szCs w:val="21"/>
        </w:rPr>
        <w:t xml:space="preserve">图纸和承包人文件的保管 </w:t>
      </w:r>
    </w:p>
    <w:p w14:paraId="4BBC0512">
      <w:pPr>
        <w:widowControl/>
        <w:jc w:val="left"/>
        <w:rPr>
          <w:szCs w:val="21"/>
        </w:rPr>
      </w:pPr>
      <w:r>
        <w:rPr>
          <w:rFonts w:hint="eastAsia" w:ascii="宋体" w:hAnsi="宋体" w:cs="宋体"/>
          <w:color w:val="000000"/>
          <w:kern w:val="0"/>
          <w:szCs w:val="21"/>
        </w:rPr>
        <w:t xml:space="preserve">监理人和承包人均应在施工场地各保存一套完整的包含第 </w:t>
      </w:r>
      <w:r>
        <w:rPr>
          <w:color w:val="000000"/>
          <w:kern w:val="0"/>
          <w:szCs w:val="21"/>
        </w:rPr>
        <w:t xml:space="preserve">1.6.1 </w:t>
      </w:r>
      <w:r>
        <w:rPr>
          <w:rFonts w:hint="eastAsia" w:ascii="宋体" w:hAnsi="宋体" w:cs="宋体"/>
          <w:color w:val="000000"/>
          <w:kern w:val="0"/>
          <w:szCs w:val="21"/>
        </w:rPr>
        <w:t xml:space="preserve">项、第 </w:t>
      </w:r>
      <w:r>
        <w:rPr>
          <w:color w:val="000000"/>
          <w:kern w:val="0"/>
          <w:szCs w:val="21"/>
        </w:rPr>
        <w:t xml:space="preserve">1.6.2 </w:t>
      </w:r>
      <w:r>
        <w:rPr>
          <w:rFonts w:hint="eastAsia" w:ascii="宋体" w:hAnsi="宋体" w:cs="宋体"/>
          <w:color w:val="000000"/>
          <w:kern w:val="0"/>
          <w:szCs w:val="21"/>
        </w:rPr>
        <w:t xml:space="preserve">项、第 </w:t>
      </w:r>
      <w:r>
        <w:rPr>
          <w:color w:val="000000"/>
          <w:kern w:val="0"/>
          <w:szCs w:val="21"/>
        </w:rPr>
        <w:t xml:space="preserve">1.6.3 </w:t>
      </w:r>
      <w:r>
        <w:rPr>
          <w:rFonts w:hint="eastAsia" w:ascii="宋体" w:hAnsi="宋体" w:cs="宋体"/>
          <w:color w:val="000000"/>
          <w:kern w:val="0"/>
          <w:szCs w:val="21"/>
        </w:rPr>
        <w:t xml:space="preserve">项约定内容的图纸和承包人文件。 </w:t>
      </w:r>
    </w:p>
    <w:p w14:paraId="2E7CEDE9">
      <w:pPr>
        <w:widowControl/>
        <w:jc w:val="left"/>
        <w:rPr>
          <w:szCs w:val="21"/>
        </w:rPr>
      </w:pPr>
      <w:r>
        <w:rPr>
          <w:color w:val="000000"/>
          <w:kern w:val="0"/>
          <w:szCs w:val="21"/>
        </w:rPr>
        <w:t xml:space="preserve">1.7 </w:t>
      </w:r>
      <w:r>
        <w:rPr>
          <w:rFonts w:hint="eastAsia" w:ascii="黑体" w:hAnsi="宋体" w:eastAsia="黑体" w:cs="黑体"/>
          <w:color w:val="000000"/>
          <w:kern w:val="0"/>
          <w:szCs w:val="21"/>
        </w:rPr>
        <w:t xml:space="preserve">联络 </w:t>
      </w:r>
    </w:p>
    <w:p w14:paraId="3B8242E3">
      <w:pPr>
        <w:widowControl/>
        <w:jc w:val="left"/>
        <w:rPr>
          <w:szCs w:val="21"/>
        </w:rPr>
      </w:pPr>
      <w:r>
        <w:rPr>
          <w:color w:val="000000"/>
          <w:kern w:val="0"/>
          <w:szCs w:val="21"/>
        </w:rPr>
        <w:t xml:space="preserve">1.7.1 </w:t>
      </w:r>
      <w:r>
        <w:rPr>
          <w:rFonts w:hint="eastAsia" w:ascii="宋体" w:hAnsi="宋体" w:cs="宋体"/>
          <w:color w:val="000000"/>
          <w:kern w:val="0"/>
          <w:szCs w:val="21"/>
        </w:rPr>
        <w:t xml:space="preserve">与合同有关的通知、批准、证明、证书、指示、要求、请求、同意、意见、确定和决定等，均应采用书面形式。 </w:t>
      </w:r>
    </w:p>
    <w:p w14:paraId="416E7DB2">
      <w:pPr>
        <w:widowControl/>
        <w:jc w:val="left"/>
        <w:rPr>
          <w:szCs w:val="21"/>
        </w:rPr>
      </w:pPr>
      <w:r>
        <w:rPr>
          <w:color w:val="000000"/>
          <w:kern w:val="0"/>
          <w:szCs w:val="21"/>
        </w:rPr>
        <w:t xml:space="preserve">1.7.2 </w:t>
      </w:r>
      <w:r>
        <w:rPr>
          <w:rFonts w:hint="eastAsia" w:ascii="宋体" w:hAnsi="宋体" w:cs="宋体"/>
          <w:color w:val="000000"/>
          <w:kern w:val="0"/>
          <w:szCs w:val="21"/>
        </w:rPr>
        <w:t xml:space="preserve">第 </w:t>
      </w:r>
      <w:r>
        <w:rPr>
          <w:color w:val="000000"/>
          <w:kern w:val="0"/>
          <w:szCs w:val="21"/>
        </w:rPr>
        <w:t xml:space="preserve">1.7.1 </w:t>
      </w:r>
      <w:r>
        <w:rPr>
          <w:rFonts w:hint="eastAsia" w:ascii="宋体" w:hAnsi="宋体" w:cs="宋体"/>
          <w:color w:val="000000"/>
          <w:kern w:val="0"/>
          <w:szCs w:val="21"/>
        </w:rPr>
        <w:t>项中的通知、批准、证明、证书、指示、要求、请求、同意、意见、确定和决定等来往函件，均应在合同约定的期限内送达指定地点和接收人，并办理签收手续。</w:t>
      </w:r>
    </w:p>
    <w:p w14:paraId="6E6470B4">
      <w:pPr>
        <w:widowControl/>
        <w:jc w:val="left"/>
        <w:rPr>
          <w:szCs w:val="21"/>
        </w:rPr>
      </w:pPr>
      <w:r>
        <w:rPr>
          <w:color w:val="000000"/>
          <w:kern w:val="0"/>
          <w:szCs w:val="21"/>
        </w:rPr>
        <w:t xml:space="preserve">1.8 </w:t>
      </w:r>
      <w:r>
        <w:rPr>
          <w:rFonts w:ascii="黑体" w:hAnsi="宋体" w:eastAsia="黑体" w:cs="黑体"/>
          <w:color w:val="000000"/>
          <w:kern w:val="0"/>
          <w:szCs w:val="21"/>
        </w:rPr>
        <w:t xml:space="preserve">转让 </w:t>
      </w:r>
    </w:p>
    <w:p w14:paraId="7B6BF375">
      <w:pPr>
        <w:widowControl/>
        <w:jc w:val="left"/>
        <w:rPr>
          <w:szCs w:val="21"/>
        </w:rPr>
      </w:pPr>
      <w:r>
        <w:rPr>
          <w:rFonts w:hint="eastAsia" w:ascii="宋体" w:hAnsi="宋体" w:cs="宋体"/>
          <w:color w:val="000000"/>
          <w:kern w:val="0"/>
          <w:szCs w:val="21"/>
        </w:rPr>
        <w:t xml:space="preserve">除合同另有约定外，未经对方当事人同意，一方当事人不得将合同权利全部或部分转让给第三人，也不得全部或部分转移合同义务。 </w:t>
      </w:r>
    </w:p>
    <w:p w14:paraId="50A1D570">
      <w:pPr>
        <w:widowControl/>
        <w:jc w:val="left"/>
        <w:rPr>
          <w:szCs w:val="21"/>
        </w:rPr>
      </w:pPr>
      <w:r>
        <w:rPr>
          <w:color w:val="000000"/>
          <w:kern w:val="0"/>
          <w:szCs w:val="21"/>
        </w:rPr>
        <w:t xml:space="preserve">1.9 </w:t>
      </w:r>
      <w:r>
        <w:rPr>
          <w:rFonts w:hint="eastAsia" w:ascii="黑体" w:hAnsi="宋体" w:eastAsia="黑体" w:cs="黑体"/>
          <w:color w:val="000000"/>
          <w:kern w:val="0"/>
          <w:szCs w:val="21"/>
        </w:rPr>
        <w:t xml:space="preserve">严禁贿赂 </w:t>
      </w:r>
    </w:p>
    <w:p w14:paraId="6FB27D76">
      <w:pPr>
        <w:widowControl/>
        <w:jc w:val="left"/>
        <w:rPr>
          <w:szCs w:val="21"/>
        </w:rPr>
      </w:pPr>
      <w:r>
        <w:rPr>
          <w:rFonts w:hint="eastAsia" w:ascii="宋体" w:hAnsi="宋体" w:cs="宋体"/>
          <w:color w:val="000000"/>
          <w:kern w:val="0"/>
          <w:szCs w:val="21"/>
        </w:rPr>
        <w:t xml:space="preserve">合同双方当事人不得以贿赂或变相贿赂的方式，谋取不当利益或损害对方权益。因贿赂造成对方损失的，行为人应赔偿损失，并承担相应的法律责任。 </w:t>
      </w:r>
    </w:p>
    <w:p w14:paraId="430D89C8">
      <w:pPr>
        <w:widowControl/>
        <w:jc w:val="left"/>
        <w:rPr>
          <w:szCs w:val="21"/>
        </w:rPr>
      </w:pPr>
      <w:r>
        <w:rPr>
          <w:color w:val="000000"/>
          <w:kern w:val="0"/>
          <w:szCs w:val="21"/>
        </w:rPr>
        <w:t xml:space="preserve">1.10 </w:t>
      </w:r>
      <w:r>
        <w:rPr>
          <w:rFonts w:hint="eastAsia" w:ascii="黑体" w:hAnsi="宋体" w:eastAsia="黑体" w:cs="黑体"/>
          <w:color w:val="000000"/>
          <w:kern w:val="0"/>
          <w:szCs w:val="21"/>
        </w:rPr>
        <w:t xml:space="preserve">化石、文物 </w:t>
      </w:r>
    </w:p>
    <w:p w14:paraId="1FCD1134">
      <w:pPr>
        <w:widowControl/>
        <w:jc w:val="left"/>
        <w:rPr>
          <w:szCs w:val="21"/>
        </w:rPr>
      </w:pPr>
      <w:r>
        <w:rPr>
          <w:color w:val="000000"/>
          <w:kern w:val="0"/>
          <w:szCs w:val="21"/>
        </w:rPr>
        <w:t xml:space="preserve">1.10.1 </w:t>
      </w:r>
      <w:r>
        <w:rPr>
          <w:rFonts w:hint="eastAsia" w:ascii="宋体" w:hAnsi="宋体" w:cs="宋体"/>
          <w:color w:val="000000"/>
          <w:kern w:val="0"/>
          <w:szCs w:val="21"/>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 </w:t>
      </w:r>
    </w:p>
    <w:p w14:paraId="7507F19D">
      <w:pPr>
        <w:widowControl/>
        <w:jc w:val="left"/>
        <w:rPr>
          <w:szCs w:val="21"/>
        </w:rPr>
      </w:pPr>
      <w:r>
        <w:rPr>
          <w:color w:val="000000"/>
          <w:kern w:val="0"/>
          <w:szCs w:val="21"/>
        </w:rPr>
        <w:t xml:space="preserve">1.10.2 </w:t>
      </w:r>
      <w:r>
        <w:rPr>
          <w:rFonts w:hint="eastAsia" w:ascii="宋体" w:hAnsi="宋体" w:cs="宋体"/>
          <w:color w:val="000000"/>
          <w:kern w:val="0"/>
          <w:szCs w:val="21"/>
        </w:rPr>
        <w:t xml:space="preserve">承包人发现文物后不及时报告或隐瞒不报，致使文物丢失或损坏的，应赔偿损失，并承担相应的法律责任。 </w:t>
      </w:r>
    </w:p>
    <w:p w14:paraId="162E867F">
      <w:pPr>
        <w:widowControl/>
        <w:jc w:val="left"/>
        <w:rPr>
          <w:szCs w:val="21"/>
        </w:rPr>
      </w:pPr>
      <w:r>
        <w:rPr>
          <w:color w:val="000000"/>
          <w:kern w:val="0"/>
          <w:szCs w:val="21"/>
        </w:rPr>
        <w:t xml:space="preserve">1.11 </w:t>
      </w:r>
      <w:r>
        <w:rPr>
          <w:rFonts w:hint="eastAsia" w:ascii="黑体" w:hAnsi="宋体" w:eastAsia="黑体" w:cs="黑体"/>
          <w:color w:val="000000"/>
          <w:kern w:val="0"/>
          <w:szCs w:val="21"/>
        </w:rPr>
        <w:t xml:space="preserve">专利技术 </w:t>
      </w:r>
    </w:p>
    <w:p w14:paraId="2A827617">
      <w:pPr>
        <w:widowControl/>
        <w:jc w:val="left"/>
        <w:rPr>
          <w:szCs w:val="21"/>
        </w:rPr>
      </w:pPr>
      <w:r>
        <w:rPr>
          <w:color w:val="000000"/>
          <w:kern w:val="0"/>
          <w:szCs w:val="21"/>
        </w:rPr>
        <w:t xml:space="preserve">1.11.1 </w:t>
      </w:r>
      <w:r>
        <w:rPr>
          <w:rFonts w:hint="eastAsia" w:ascii="宋体" w:hAnsi="宋体" w:cs="宋体"/>
          <w:color w:val="000000"/>
          <w:kern w:val="0"/>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p>
    <w:p w14:paraId="5DB0FD3C">
      <w:pPr>
        <w:widowControl/>
        <w:jc w:val="left"/>
        <w:rPr>
          <w:szCs w:val="21"/>
        </w:rPr>
      </w:pPr>
      <w:r>
        <w:rPr>
          <w:color w:val="000000"/>
          <w:kern w:val="0"/>
          <w:szCs w:val="21"/>
        </w:rPr>
        <w:t xml:space="preserve">1.11.2 </w:t>
      </w:r>
      <w:r>
        <w:rPr>
          <w:rFonts w:hint="eastAsia" w:ascii="宋体" w:hAnsi="宋体" w:cs="宋体"/>
          <w:color w:val="000000"/>
          <w:kern w:val="0"/>
          <w:szCs w:val="21"/>
        </w:rPr>
        <w:t xml:space="preserve">承包人在投标文件中采用专利技术的，专利技术的使用费包含在投标报价内。 </w:t>
      </w:r>
    </w:p>
    <w:p w14:paraId="764B9B6B">
      <w:pPr>
        <w:widowControl/>
        <w:jc w:val="left"/>
        <w:rPr>
          <w:szCs w:val="21"/>
        </w:rPr>
      </w:pPr>
      <w:r>
        <w:rPr>
          <w:color w:val="000000"/>
          <w:kern w:val="0"/>
          <w:szCs w:val="21"/>
        </w:rPr>
        <w:t xml:space="preserve">1.11.3 </w:t>
      </w:r>
      <w:r>
        <w:rPr>
          <w:rFonts w:hint="eastAsia" w:ascii="宋体" w:hAnsi="宋体" w:cs="宋体"/>
          <w:color w:val="000000"/>
          <w:kern w:val="0"/>
          <w:szCs w:val="21"/>
        </w:rPr>
        <w:t xml:space="preserve">承包人的技术秘密和声明需要保密的资料和信息，发包人和监理人不得为合同以外的目的泄露给他人。 </w:t>
      </w:r>
    </w:p>
    <w:p w14:paraId="40022BF1">
      <w:pPr>
        <w:widowControl/>
        <w:jc w:val="left"/>
        <w:rPr>
          <w:szCs w:val="21"/>
        </w:rPr>
      </w:pPr>
      <w:r>
        <w:rPr>
          <w:color w:val="000000"/>
          <w:kern w:val="0"/>
          <w:szCs w:val="21"/>
        </w:rPr>
        <w:t xml:space="preserve">1.12 </w:t>
      </w:r>
      <w:r>
        <w:rPr>
          <w:rFonts w:hint="eastAsia" w:ascii="黑体" w:hAnsi="宋体" w:eastAsia="黑体" w:cs="黑体"/>
          <w:color w:val="000000"/>
          <w:kern w:val="0"/>
          <w:szCs w:val="21"/>
        </w:rPr>
        <w:t xml:space="preserve">图纸和文件的保密 </w:t>
      </w:r>
    </w:p>
    <w:p w14:paraId="7633F002">
      <w:pPr>
        <w:widowControl/>
        <w:jc w:val="left"/>
        <w:rPr>
          <w:szCs w:val="21"/>
        </w:rPr>
      </w:pPr>
      <w:r>
        <w:rPr>
          <w:color w:val="000000"/>
          <w:kern w:val="0"/>
          <w:szCs w:val="21"/>
        </w:rPr>
        <w:t xml:space="preserve">1.12.1 </w:t>
      </w:r>
      <w:r>
        <w:rPr>
          <w:rFonts w:hint="eastAsia" w:ascii="宋体" w:hAnsi="宋体" w:cs="宋体"/>
          <w:color w:val="000000"/>
          <w:kern w:val="0"/>
          <w:szCs w:val="21"/>
        </w:rPr>
        <w:t xml:space="preserve">发包人提供的图纸和文件，未经发包人同意，承包人不得为合同以外的目的泄露给他人或公开发表与引用。 </w:t>
      </w:r>
    </w:p>
    <w:p w14:paraId="6AF6CA8F">
      <w:pPr>
        <w:widowControl/>
        <w:jc w:val="left"/>
        <w:rPr>
          <w:rFonts w:ascii="宋体" w:hAnsi="宋体" w:cs="宋体"/>
          <w:b/>
          <w:szCs w:val="21"/>
        </w:rPr>
      </w:pPr>
      <w:r>
        <w:rPr>
          <w:color w:val="000000"/>
          <w:kern w:val="0"/>
          <w:szCs w:val="21"/>
        </w:rPr>
        <w:t xml:space="preserve">1.12.2 </w:t>
      </w:r>
      <w:r>
        <w:rPr>
          <w:rFonts w:hint="eastAsia" w:ascii="宋体" w:hAnsi="宋体" w:cs="宋体"/>
          <w:color w:val="000000"/>
          <w:kern w:val="0"/>
          <w:szCs w:val="21"/>
        </w:rPr>
        <w:t>承包人提供的文件，未经承包人同意，发包人和监理人不得为合同以外的目的泄露给他人或公开发表与引用。</w:t>
      </w:r>
    </w:p>
    <w:p w14:paraId="76C6CC48">
      <w:pPr>
        <w:widowControl/>
        <w:jc w:val="left"/>
        <w:rPr>
          <w:szCs w:val="21"/>
        </w:rPr>
      </w:pPr>
      <w:r>
        <w:rPr>
          <w:color w:val="000000"/>
          <w:kern w:val="0"/>
          <w:szCs w:val="21"/>
        </w:rPr>
        <w:t xml:space="preserve">2. </w:t>
      </w:r>
      <w:r>
        <w:rPr>
          <w:rFonts w:ascii="黑体" w:hAnsi="宋体" w:eastAsia="黑体" w:cs="黑体"/>
          <w:color w:val="000000"/>
          <w:kern w:val="0"/>
          <w:szCs w:val="21"/>
        </w:rPr>
        <w:t xml:space="preserve">发包人义务 </w:t>
      </w:r>
    </w:p>
    <w:p w14:paraId="37446FEE">
      <w:pPr>
        <w:widowControl/>
        <w:jc w:val="left"/>
        <w:rPr>
          <w:szCs w:val="21"/>
        </w:rPr>
      </w:pPr>
      <w:r>
        <w:rPr>
          <w:color w:val="000000"/>
          <w:kern w:val="0"/>
          <w:szCs w:val="21"/>
        </w:rPr>
        <w:t xml:space="preserve">2.1 </w:t>
      </w:r>
      <w:r>
        <w:rPr>
          <w:rFonts w:hint="eastAsia" w:ascii="黑体" w:hAnsi="宋体" w:eastAsia="黑体" w:cs="黑体"/>
          <w:color w:val="000000"/>
          <w:kern w:val="0"/>
          <w:szCs w:val="21"/>
        </w:rPr>
        <w:t xml:space="preserve">遵守法律 </w:t>
      </w:r>
    </w:p>
    <w:p w14:paraId="4340FE8B">
      <w:pPr>
        <w:widowControl/>
        <w:jc w:val="left"/>
        <w:rPr>
          <w:szCs w:val="21"/>
        </w:rPr>
      </w:pPr>
      <w:r>
        <w:rPr>
          <w:rFonts w:hint="eastAsia" w:ascii="宋体" w:hAnsi="宋体" w:cs="宋体"/>
          <w:color w:val="000000"/>
          <w:kern w:val="0"/>
          <w:szCs w:val="21"/>
        </w:rPr>
        <w:t xml:space="preserve">发包人在履行合同过程中应遵守法律，并保证承包人免于承担因发包人违反法律而引起的任何责任。 </w:t>
      </w:r>
    </w:p>
    <w:p w14:paraId="656F67E3">
      <w:pPr>
        <w:widowControl/>
        <w:jc w:val="left"/>
        <w:rPr>
          <w:szCs w:val="21"/>
        </w:rPr>
      </w:pPr>
      <w:r>
        <w:rPr>
          <w:color w:val="000000"/>
          <w:kern w:val="0"/>
          <w:szCs w:val="21"/>
        </w:rPr>
        <w:t xml:space="preserve">2.2 </w:t>
      </w:r>
      <w:r>
        <w:rPr>
          <w:rFonts w:hint="eastAsia" w:ascii="黑体" w:hAnsi="宋体" w:eastAsia="黑体" w:cs="黑体"/>
          <w:color w:val="000000"/>
          <w:kern w:val="0"/>
          <w:szCs w:val="21"/>
        </w:rPr>
        <w:t xml:space="preserve">发出开工通知 </w:t>
      </w:r>
    </w:p>
    <w:p w14:paraId="7A9C36CC">
      <w:pPr>
        <w:widowControl/>
        <w:jc w:val="left"/>
        <w:rPr>
          <w:szCs w:val="21"/>
        </w:rPr>
      </w:pPr>
      <w:r>
        <w:rPr>
          <w:rFonts w:hint="eastAsia" w:ascii="宋体" w:hAnsi="宋体" w:cs="宋体"/>
          <w:color w:val="000000"/>
          <w:kern w:val="0"/>
          <w:szCs w:val="21"/>
        </w:rPr>
        <w:t xml:space="preserve">发包人应委托监理人按第 </w:t>
      </w:r>
      <w:r>
        <w:rPr>
          <w:color w:val="000000"/>
          <w:kern w:val="0"/>
          <w:szCs w:val="21"/>
        </w:rPr>
        <w:t xml:space="preserve">11.1 </w:t>
      </w:r>
      <w:r>
        <w:rPr>
          <w:rFonts w:hint="eastAsia" w:ascii="宋体" w:hAnsi="宋体" w:cs="宋体"/>
          <w:color w:val="000000"/>
          <w:kern w:val="0"/>
          <w:szCs w:val="21"/>
        </w:rPr>
        <w:t xml:space="preserve">款的约定向承包人发出开工通知。 </w:t>
      </w:r>
    </w:p>
    <w:p w14:paraId="261C2A27">
      <w:pPr>
        <w:widowControl/>
        <w:jc w:val="left"/>
        <w:rPr>
          <w:szCs w:val="21"/>
        </w:rPr>
      </w:pPr>
      <w:r>
        <w:rPr>
          <w:color w:val="000000"/>
          <w:kern w:val="0"/>
          <w:szCs w:val="21"/>
        </w:rPr>
        <w:t xml:space="preserve">2.3 </w:t>
      </w:r>
      <w:r>
        <w:rPr>
          <w:rFonts w:hint="eastAsia" w:ascii="黑体" w:hAnsi="宋体" w:eastAsia="黑体" w:cs="黑体"/>
          <w:color w:val="000000"/>
          <w:kern w:val="0"/>
          <w:szCs w:val="21"/>
        </w:rPr>
        <w:t xml:space="preserve">提供施工场地 </w:t>
      </w:r>
    </w:p>
    <w:p w14:paraId="24F6E58D">
      <w:pPr>
        <w:widowControl/>
        <w:jc w:val="left"/>
        <w:rPr>
          <w:szCs w:val="21"/>
        </w:rPr>
      </w:pPr>
      <w:r>
        <w:rPr>
          <w:rFonts w:hint="eastAsia" w:ascii="宋体" w:hAnsi="宋体" w:cs="宋体"/>
          <w:color w:val="000000"/>
          <w:kern w:val="0"/>
          <w:szCs w:val="21"/>
        </w:rPr>
        <w:t xml:space="preserve">发包人应按专用合同条款约定向承包人提供施工场地，以及施工场地内地下管线和地下设施等有关资料，并保证资料的真实、准确、完整。 </w:t>
      </w:r>
    </w:p>
    <w:p w14:paraId="19EEB30B">
      <w:pPr>
        <w:widowControl/>
        <w:jc w:val="left"/>
        <w:rPr>
          <w:szCs w:val="21"/>
        </w:rPr>
      </w:pPr>
      <w:r>
        <w:rPr>
          <w:color w:val="000000"/>
          <w:kern w:val="0"/>
          <w:szCs w:val="21"/>
        </w:rPr>
        <w:t xml:space="preserve">2.4 </w:t>
      </w:r>
      <w:r>
        <w:rPr>
          <w:rFonts w:hint="eastAsia" w:ascii="黑体" w:hAnsi="宋体" w:eastAsia="黑体" w:cs="黑体"/>
          <w:color w:val="000000"/>
          <w:kern w:val="0"/>
          <w:szCs w:val="21"/>
        </w:rPr>
        <w:t xml:space="preserve">协助承包人办理证件和批件 </w:t>
      </w:r>
    </w:p>
    <w:p w14:paraId="3596109C">
      <w:pPr>
        <w:widowControl/>
        <w:jc w:val="left"/>
        <w:rPr>
          <w:szCs w:val="21"/>
        </w:rPr>
      </w:pPr>
      <w:r>
        <w:rPr>
          <w:rFonts w:hint="eastAsia" w:ascii="宋体" w:hAnsi="宋体" w:cs="宋体"/>
          <w:color w:val="000000"/>
          <w:kern w:val="0"/>
          <w:szCs w:val="21"/>
        </w:rPr>
        <w:t xml:space="preserve">发包人应协助承包人办理法律规定的有关施工证件和批件。 </w:t>
      </w:r>
    </w:p>
    <w:p w14:paraId="63304D66">
      <w:pPr>
        <w:widowControl/>
        <w:jc w:val="left"/>
        <w:rPr>
          <w:szCs w:val="21"/>
        </w:rPr>
      </w:pPr>
      <w:r>
        <w:rPr>
          <w:color w:val="000000"/>
          <w:kern w:val="0"/>
          <w:szCs w:val="21"/>
        </w:rPr>
        <w:t xml:space="preserve">2.5 </w:t>
      </w:r>
      <w:r>
        <w:rPr>
          <w:rFonts w:hint="eastAsia" w:ascii="黑体" w:hAnsi="宋体" w:eastAsia="黑体" w:cs="黑体"/>
          <w:color w:val="000000"/>
          <w:kern w:val="0"/>
          <w:szCs w:val="21"/>
        </w:rPr>
        <w:t xml:space="preserve">组织设计交底 </w:t>
      </w:r>
    </w:p>
    <w:p w14:paraId="2DFBFAAD">
      <w:pPr>
        <w:widowControl/>
        <w:jc w:val="left"/>
        <w:rPr>
          <w:szCs w:val="21"/>
        </w:rPr>
      </w:pPr>
      <w:r>
        <w:rPr>
          <w:rFonts w:hint="eastAsia" w:ascii="宋体" w:hAnsi="宋体" w:cs="宋体"/>
          <w:color w:val="000000"/>
          <w:kern w:val="0"/>
          <w:szCs w:val="21"/>
        </w:rPr>
        <w:t xml:space="preserve">发包人应根据合同进度计划，组织设计单位向承包人进行设计交底。 </w:t>
      </w:r>
    </w:p>
    <w:p w14:paraId="25BABE0C">
      <w:pPr>
        <w:widowControl/>
        <w:jc w:val="left"/>
        <w:rPr>
          <w:szCs w:val="21"/>
        </w:rPr>
      </w:pPr>
      <w:r>
        <w:rPr>
          <w:color w:val="000000"/>
          <w:kern w:val="0"/>
          <w:szCs w:val="21"/>
        </w:rPr>
        <w:t xml:space="preserve">2.6 </w:t>
      </w:r>
      <w:r>
        <w:rPr>
          <w:rFonts w:hint="eastAsia" w:ascii="黑体" w:hAnsi="宋体" w:eastAsia="黑体" w:cs="黑体"/>
          <w:color w:val="000000"/>
          <w:kern w:val="0"/>
          <w:szCs w:val="21"/>
        </w:rPr>
        <w:t xml:space="preserve">支付合同价款 </w:t>
      </w:r>
    </w:p>
    <w:p w14:paraId="006794DC">
      <w:pPr>
        <w:widowControl/>
        <w:jc w:val="left"/>
        <w:rPr>
          <w:szCs w:val="21"/>
        </w:rPr>
      </w:pPr>
      <w:r>
        <w:rPr>
          <w:rFonts w:hint="eastAsia" w:ascii="宋体" w:hAnsi="宋体" w:cs="宋体"/>
          <w:color w:val="000000"/>
          <w:kern w:val="0"/>
          <w:szCs w:val="21"/>
        </w:rPr>
        <w:t xml:space="preserve">发包人应按合同约定向承包人及时支付合同价款。 </w:t>
      </w:r>
    </w:p>
    <w:p w14:paraId="0E508ED6">
      <w:pPr>
        <w:widowControl/>
        <w:jc w:val="left"/>
        <w:rPr>
          <w:szCs w:val="21"/>
        </w:rPr>
      </w:pPr>
      <w:r>
        <w:rPr>
          <w:color w:val="000000"/>
          <w:kern w:val="0"/>
          <w:szCs w:val="21"/>
        </w:rPr>
        <w:t xml:space="preserve">2.7 </w:t>
      </w:r>
      <w:r>
        <w:rPr>
          <w:rFonts w:hint="eastAsia" w:ascii="黑体" w:hAnsi="宋体" w:eastAsia="黑体" w:cs="黑体"/>
          <w:color w:val="000000"/>
          <w:kern w:val="0"/>
          <w:szCs w:val="21"/>
        </w:rPr>
        <w:t xml:space="preserve">组织竣工验收 </w:t>
      </w:r>
    </w:p>
    <w:p w14:paraId="7A551C09">
      <w:pPr>
        <w:widowControl/>
        <w:jc w:val="left"/>
        <w:rPr>
          <w:szCs w:val="21"/>
        </w:rPr>
      </w:pPr>
      <w:r>
        <w:rPr>
          <w:rFonts w:hint="eastAsia" w:ascii="宋体" w:hAnsi="宋体" w:cs="宋体"/>
          <w:color w:val="000000"/>
          <w:kern w:val="0"/>
          <w:szCs w:val="21"/>
        </w:rPr>
        <w:t xml:space="preserve">发包人应按合同约定及时组织竣工验收。 </w:t>
      </w:r>
    </w:p>
    <w:p w14:paraId="00E5BA2F">
      <w:pPr>
        <w:widowControl/>
        <w:jc w:val="left"/>
        <w:rPr>
          <w:szCs w:val="21"/>
        </w:rPr>
      </w:pPr>
      <w:r>
        <w:rPr>
          <w:color w:val="000000"/>
          <w:kern w:val="0"/>
          <w:szCs w:val="21"/>
        </w:rPr>
        <w:t xml:space="preserve">2.8 </w:t>
      </w:r>
      <w:r>
        <w:rPr>
          <w:rFonts w:hint="eastAsia" w:ascii="黑体" w:hAnsi="宋体" w:eastAsia="黑体" w:cs="黑体"/>
          <w:color w:val="000000"/>
          <w:kern w:val="0"/>
          <w:szCs w:val="21"/>
        </w:rPr>
        <w:t xml:space="preserve">其他义务 </w:t>
      </w:r>
    </w:p>
    <w:p w14:paraId="468B2BE6">
      <w:pPr>
        <w:widowControl/>
        <w:jc w:val="left"/>
        <w:rPr>
          <w:szCs w:val="21"/>
        </w:rPr>
      </w:pPr>
      <w:r>
        <w:rPr>
          <w:rFonts w:hint="eastAsia" w:ascii="宋体" w:hAnsi="宋体" w:cs="宋体"/>
          <w:color w:val="000000"/>
          <w:kern w:val="0"/>
          <w:szCs w:val="21"/>
        </w:rPr>
        <w:t xml:space="preserve">发包人应履行合同约定的其他义务。 </w:t>
      </w:r>
    </w:p>
    <w:p w14:paraId="3988AC04">
      <w:pPr>
        <w:widowControl/>
        <w:jc w:val="left"/>
        <w:rPr>
          <w:szCs w:val="21"/>
        </w:rPr>
      </w:pPr>
      <w:r>
        <w:rPr>
          <w:color w:val="000000"/>
          <w:kern w:val="0"/>
          <w:szCs w:val="21"/>
        </w:rPr>
        <w:t xml:space="preserve">3. </w:t>
      </w:r>
      <w:r>
        <w:rPr>
          <w:rFonts w:hint="eastAsia" w:ascii="黑体" w:hAnsi="宋体" w:eastAsia="黑体" w:cs="黑体"/>
          <w:color w:val="000000"/>
          <w:kern w:val="0"/>
          <w:szCs w:val="21"/>
        </w:rPr>
        <w:t xml:space="preserve">监理人 </w:t>
      </w:r>
    </w:p>
    <w:p w14:paraId="17AC8A87">
      <w:pPr>
        <w:widowControl/>
        <w:jc w:val="left"/>
        <w:rPr>
          <w:szCs w:val="21"/>
        </w:rPr>
      </w:pPr>
      <w:r>
        <w:rPr>
          <w:color w:val="000000"/>
          <w:kern w:val="0"/>
          <w:szCs w:val="21"/>
        </w:rPr>
        <w:t xml:space="preserve">3.1 </w:t>
      </w:r>
      <w:r>
        <w:rPr>
          <w:rFonts w:hint="eastAsia" w:ascii="黑体" w:hAnsi="宋体" w:eastAsia="黑体" w:cs="黑体"/>
          <w:color w:val="000000"/>
          <w:kern w:val="0"/>
          <w:szCs w:val="21"/>
        </w:rPr>
        <w:t xml:space="preserve">监理人的职责和权力 </w:t>
      </w:r>
    </w:p>
    <w:p w14:paraId="66BB375D">
      <w:pPr>
        <w:widowControl/>
        <w:jc w:val="left"/>
        <w:rPr>
          <w:szCs w:val="21"/>
        </w:rPr>
      </w:pPr>
      <w:r>
        <w:rPr>
          <w:color w:val="000000"/>
          <w:kern w:val="0"/>
          <w:szCs w:val="21"/>
        </w:rPr>
        <w:t xml:space="preserve">3.1.1 </w:t>
      </w:r>
      <w:r>
        <w:rPr>
          <w:rFonts w:hint="eastAsia" w:ascii="宋体" w:hAnsi="宋体" w:cs="宋体"/>
          <w:color w:val="000000"/>
          <w:kern w:val="0"/>
          <w:szCs w:val="21"/>
        </w:rPr>
        <w:t xml:space="preserve">监理人受发包人委托，享有合同约定的权力。监理人在行使某项权力前需要经发包人事先批准而通用合同条款没有指明的，应在专用合同条款中指明。 </w:t>
      </w:r>
    </w:p>
    <w:p w14:paraId="72A9BB14">
      <w:pPr>
        <w:widowControl/>
        <w:jc w:val="left"/>
        <w:rPr>
          <w:szCs w:val="21"/>
        </w:rPr>
      </w:pPr>
      <w:r>
        <w:rPr>
          <w:color w:val="000000"/>
          <w:kern w:val="0"/>
          <w:szCs w:val="21"/>
        </w:rPr>
        <w:t xml:space="preserve">3.1.2 </w:t>
      </w:r>
      <w:r>
        <w:rPr>
          <w:rFonts w:hint="eastAsia" w:ascii="宋体" w:hAnsi="宋体" w:cs="宋体"/>
          <w:color w:val="000000"/>
          <w:kern w:val="0"/>
          <w:szCs w:val="21"/>
        </w:rPr>
        <w:t xml:space="preserve">监理人发出的任何指示应视为已得到发包人的批准，但监理人无权免除或变更合同约定的发包人和承包人的权利、义务和责任。 </w:t>
      </w:r>
    </w:p>
    <w:p w14:paraId="777689F3">
      <w:pPr>
        <w:widowControl/>
        <w:jc w:val="left"/>
        <w:rPr>
          <w:szCs w:val="21"/>
        </w:rPr>
      </w:pPr>
      <w:r>
        <w:rPr>
          <w:color w:val="000000"/>
          <w:kern w:val="0"/>
          <w:szCs w:val="21"/>
        </w:rPr>
        <w:t xml:space="preserve">3.1.3 </w:t>
      </w:r>
      <w:r>
        <w:rPr>
          <w:rFonts w:hint="eastAsia" w:ascii="宋体" w:hAnsi="宋体" w:cs="宋体"/>
          <w:color w:val="000000"/>
          <w:kern w:val="0"/>
          <w:szCs w:val="21"/>
        </w:rPr>
        <w:t xml:space="preserve">合同约定应由承包人承担的义务和责任，不因监理人对承包人提交文件的审查或批准，对工程、材料和设备的检查和检验，以及为实施监理作出的指示等职务行为而减轻或解除。 </w:t>
      </w:r>
    </w:p>
    <w:p w14:paraId="081F6087">
      <w:pPr>
        <w:widowControl/>
        <w:jc w:val="left"/>
        <w:rPr>
          <w:szCs w:val="21"/>
        </w:rPr>
      </w:pPr>
      <w:r>
        <w:rPr>
          <w:color w:val="000000"/>
          <w:kern w:val="0"/>
          <w:szCs w:val="21"/>
        </w:rPr>
        <w:t xml:space="preserve">3.2 </w:t>
      </w:r>
      <w:r>
        <w:rPr>
          <w:rFonts w:ascii="黑体" w:hAnsi="宋体" w:eastAsia="黑体" w:cs="黑体"/>
          <w:color w:val="000000"/>
          <w:kern w:val="0"/>
          <w:szCs w:val="21"/>
        </w:rPr>
        <w:t xml:space="preserve">总监理工程师 </w:t>
      </w:r>
    </w:p>
    <w:p w14:paraId="330B6938">
      <w:pPr>
        <w:widowControl/>
        <w:jc w:val="left"/>
        <w:rPr>
          <w:szCs w:val="21"/>
        </w:rPr>
      </w:pPr>
      <w:r>
        <w:rPr>
          <w:rFonts w:hint="eastAsia" w:ascii="宋体" w:hAnsi="宋体" w:cs="宋体"/>
          <w:color w:val="000000"/>
          <w:kern w:val="0"/>
          <w:szCs w:val="21"/>
        </w:rPr>
        <w:t xml:space="preserve">发包人应在发出开工通知前将总监理工程师的任命通知承包人。总监理工程师更换时，应在调离 </w:t>
      </w:r>
      <w:r>
        <w:rPr>
          <w:color w:val="000000"/>
          <w:kern w:val="0"/>
          <w:szCs w:val="21"/>
        </w:rPr>
        <w:t xml:space="preserve">14 </w:t>
      </w:r>
      <w:r>
        <w:rPr>
          <w:rFonts w:hint="eastAsia" w:ascii="宋体" w:hAnsi="宋体" w:cs="宋体"/>
          <w:color w:val="000000"/>
          <w:kern w:val="0"/>
          <w:szCs w:val="21"/>
        </w:rPr>
        <w:t xml:space="preserve">天前通知承包人。总监理工程师短期离开施工场地的，应委派代表代行其职责，并通知承包人。 </w:t>
      </w:r>
    </w:p>
    <w:p w14:paraId="7485844D">
      <w:pPr>
        <w:widowControl/>
        <w:jc w:val="left"/>
        <w:rPr>
          <w:szCs w:val="21"/>
        </w:rPr>
      </w:pPr>
      <w:r>
        <w:rPr>
          <w:color w:val="000000"/>
          <w:kern w:val="0"/>
          <w:szCs w:val="21"/>
        </w:rPr>
        <w:t xml:space="preserve">3.3 </w:t>
      </w:r>
      <w:r>
        <w:rPr>
          <w:rFonts w:hint="eastAsia" w:ascii="黑体" w:hAnsi="宋体" w:eastAsia="黑体" w:cs="黑体"/>
          <w:color w:val="000000"/>
          <w:kern w:val="0"/>
          <w:szCs w:val="21"/>
        </w:rPr>
        <w:t xml:space="preserve">监理人员 </w:t>
      </w:r>
    </w:p>
    <w:p w14:paraId="1AC7F67F">
      <w:pPr>
        <w:widowControl/>
        <w:jc w:val="left"/>
        <w:rPr>
          <w:szCs w:val="21"/>
        </w:rPr>
      </w:pPr>
      <w:r>
        <w:rPr>
          <w:color w:val="000000"/>
          <w:kern w:val="0"/>
          <w:szCs w:val="21"/>
        </w:rPr>
        <w:t xml:space="preserve">3.3.1 </w:t>
      </w:r>
      <w:r>
        <w:rPr>
          <w:rFonts w:hint="eastAsia" w:ascii="宋体" w:hAnsi="宋体" w:cs="宋体"/>
          <w:color w:val="000000"/>
          <w:kern w:val="0"/>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 </w:t>
      </w:r>
    </w:p>
    <w:p w14:paraId="7479F3E8">
      <w:pPr>
        <w:widowControl/>
        <w:jc w:val="left"/>
        <w:rPr>
          <w:szCs w:val="21"/>
        </w:rPr>
      </w:pPr>
      <w:r>
        <w:rPr>
          <w:color w:val="000000"/>
          <w:kern w:val="0"/>
          <w:szCs w:val="21"/>
        </w:rPr>
        <w:t xml:space="preserve">3.3.2 </w:t>
      </w:r>
      <w:r>
        <w:rPr>
          <w:rFonts w:hint="eastAsia" w:ascii="宋体" w:hAnsi="宋体" w:cs="宋体"/>
          <w:color w:val="000000"/>
          <w:kern w:val="0"/>
          <w:szCs w:val="21"/>
        </w:rPr>
        <w:t xml:space="preserve">监理人员对承包人的任何工作、工程或其采用的材料和工程设备未在约定的或合理的期限内提出否定意见的，视为已获批准，但不影响监理人在以后拒绝该项工作、工程、材料或工程设备的权利。 </w:t>
      </w:r>
    </w:p>
    <w:p w14:paraId="2AE2E599">
      <w:pPr>
        <w:widowControl/>
        <w:jc w:val="left"/>
        <w:rPr>
          <w:szCs w:val="21"/>
        </w:rPr>
      </w:pPr>
      <w:r>
        <w:rPr>
          <w:color w:val="000000"/>
          <w:kern w:val="0"/>
          <w:szCs w:val="21"/>
        </w:rPr>
        <w:t xml:space="preserve">3.3.3 </w:t>
      </w:r>
      <w:r>
        <w:rPr>
          <w:rFonts w:hint="eastAsia" w:ascii="宋体" w:hAnsi="宋体" w:cs="宋体"/>
          <w:color w:val="000000"/>
          <w:kern w:val="0"/>
          <w:szCs w:val="21"/>
        </w:rPr>
        <w:t xml:space="preserve">承包人对总监理工程师授权的监理人员发出的指示有疑问的，可向总监理工程师提出书面异议，总监理工程师应在 </w:t>
      </w:r>
      <w:r>
        <w:rPr>
          <w:color w:val="000000"/>
          <w:kern w:val="0"/>
          <w:szCs w:val="21"/>
        </w:rPr>
        <w:t xml:space="preserve">48 </w:t>
      </w:r>
      <w:r>
        <w:rPr>
          <w:rFonts w:hint="eastAsia" w:ascii="宋体" w:hAnsi="宋体" w:cs="宋体"/>
          <w:color w:val="000000"/>
          <w:kern w:val="0"/>
          <w:szCs w:val="21"/>
        </w:rPr>
        <w:t xml:space="preserve">小时内对该指示予以确认、更改或撤销。 </w:t>
      </w:r>
    </w:p>
    <w:p w14:paraId="054A0344">
      <w:pPr>
        <w:widowControl/>
        <w:jc w:val="left"/>
        <w:rPr>
          <w:szCs w:val="21"/>
        </w:rPr>
      </w:pPr>
      <w:r>
        <w:rPr>
          <w:color w:val="000000"/>
          <w:kern w:val="0"/>
          <w:szCs w:val="21"/>
        </w:rPr>
        <w:t xml:space="preserve">3.3.4 </w:t>
      </w:r>
      <w:r>
        <w:rPr>
          <w:rFonts w:hint="eastAsia" w:ascii="宋体" w:hAnsi="宋体" w:cs="宋体"/>
          <w:color w:val="000000"/>
          <w:kern w:val="0"/>
          <w:szCs w:val="21"/>
        </w:rPr>
        <w:t xml:space="preserve">除专用合同条款另有约定外，总监理工程师不应将第 </w:t>
      </w:r>
      <w:r>
        <w:rPr>
          <w:color w:val="000000"/>
          <w:kern w:val="0"/>
          <w:szCs w:val="21"/>
        </w:rPr>
        <w:t xml:space="preserve">3.5 </w:t>
      </w:r>
      <w:r>
        <w:rPr>
          <w:rFonts w:hint="eastAsia" w:ascii="宋体" w:hAnsi="宋体" w:cs="宋体"/>
          <w:color w:val="000000"/>
          <w:kern w:val="0"/>
          <w:szCs w:val="21"/>
        </w:rPr>
        <w:t xml:space="preserve">款约定应由总监理工程师作出确定的权力授权或委托给其他监理人员。 </w:t>
      </w:r>
    </w:p>
    <w:p w14:paraId="60380670">
      <w:pPr>
        <w:widowControl/>
        <w:jc w:val="left"/>
        <w:rPr>
          <w:szCs w:val="21"/>
        </w:rPr>
      </w:pPr>
      <w:r>
        <w:rPr>
          <w:color w:val="000000"/>
          <w:kern w:val="0"/>
          <w:szCs w:val="21"/>
        </w:rPr>
        <w:t xml:space="preserve">3.4 </w:t>
      </w:r>
      <w:r>
        <w:rPr>
          <w:rFonts w:hint="eastAsia" w:ascii="黑体" w:hAnsi="宋体" w:eastAsia="黑体" w:cs="黑体"/>
          <w:color w:val="000000"/>
          <w:kern w:val="0"/>
          <w:szCs w:val="21"/>
        </w:rPr>
        <w:t xml:space="preserve">监理人的指示 </w:t>
      </w:r>
    </w:p>
    <w:p w14:paraId="75C6056F">
      <w:pPr>
        <w:widowControl/>
        <w:jc w:val="left"/>
        <w:rPr>
          <w:szCs w:val="21"/>
        </w:rPr>
      </w:pPr>
      <w:r>
        <w:rPr>
          <w:color w:val="000000"/>
          <w:kern w:val="0"/>
          <w:szCs w:val="21"/>
        </w:rPr>
        <w:t xml:space="preserve">3.4.1 </w:t>
      </w:r>
      <w:r>
        <w:rPr>
          <w:rFonts w:hint="eastAsia" w:ascii="宋体" w:hAnsi="宋体" w:cs="宋体"/>
          <w:color w:val="000000"/>
          <w:kern w:val="0"/>
          <w:szCs w:val="21"/>
        </w:rPr>
        <w:t xml:space="preserve">监理人应按第 </w:t>
      </w:r>
      <w:r>
        <w:rPr>
          <w:color w:val="000000"/>
          <w:kern w:val="0"/>
          <w:szCs w:val="21"/>
        </w:rPr>
        <w:t xml:space="preserve">3.1 </w:t>
      </w:r>
      <w:r>
        <w:rPr>
          <w:rFonts w:hint="eastAsia" w:ascii="宋体" w:hAnsi="宋体" w:cs="宋体"/>
          <w:color w:val="000000"/>
          <w:kern w:val="0"/>
          <w:szCs w:val="21"/>
        </w:rPr>
        <w:t xml:space="preserve">款的约定向承包人发出指示，监理人的指示应盖有监理人授权的施工场地机构章，并由总监理工程师或总监理工程师按第 </w:t>
      </w:r>
      <w:r>
        <w:rPr>
          <w:color w:val="000000"/>
          <w:kern w:val="0"/>
          <w:szCs w:val="21"/>
        </w:rPr>
        <w:t xml:space="preserve">3.3.1 </w:t>
      </w:r>
      <w:r>
        <w:rPr>
          <w:rFonts w:hint="eastAsia" w:ascii="宋体" w:hAnsi="宋体" w:cs="宋体"/>
          <w:color w:val="000000"/>
          <w:kern w:val="0"/>
          <w:szCs w:val="21"/>
        </w:rPr>
        <w:t xml:space="preserve">项约定授权的监理人员签字。 </w:t>
      </w:r>
    </w:p>
    <w:p w14:paraId="65C1892A">
      <w:pPr>
        <w:widowControl/>
        <w:jc w:val="left"/>
        <w:rPr>
          <w:szCs w:val="21"/>
        </w:rPr>
      </w:pPr>
      <w:r>
        <w:rPr>
          <w:color w:val="000000"/>
          <w:kern w:val="0"/>
          <w:szCs w:val="21"/>
        </w:rPr>
        <w:t xml:space="preserve">3.4.2 </w:t>
      </w:r>
      <w:r>
        <w:rPr>
          <w:rFonts w:hint="eastAsia" w:ascii="宋体" w:hAnsi="宋体" w:cs="宋体"/>
          <w:color w:val="000000"/>
          <w:kern w:val="0"/>
          <w:szCs w:val="21"/>
        </w:rPr>
        <w:t xml:space="preserve">承包人收到监理人按第 </w:t>
      </w:r>
      <w:r>
        <w:rPr>
          <w:color w:val="000000"/>
          <w:kern w:val="0"/>
          <w:szCs w:val="21"/>
        </w:rPr>
        <w:t xml:space="preserve">3.4.1 </w:t>
      </w:r>
      <w:r>
        <w:rPr>
          <w:rFonts w:hint="eastAsia" w:ascii="宋体" w:hAnsi="宋体" w:cs="宋体"/>
          <w:color w:val="000000"/>
          <w:kern w:val="0"/>
          <w:szCs w:val="21"/>
        </w:rPr>
        <w:t xml:space="preserve">项作出的指示后应遵照执行。指示构成变更的，应按第 </w:t>
      </w:r>
      <w:r>
        <w:rPr>
          <w:color w:val="000000"/>
          <w:kern w:val="0"/>
          <w:szCs w:val="21"/>
        </w:rPr>
        <w:t xml:space="preserve">15 </w:t>
      </w:r>
      <w:r>
        <w:rPr>
          <w:rFonts w:hint="eastAsia" w:ascii="宋体" w:hAnsi="宋体" w:cs="宋体"/>
          <w:color w:val="000000"/>
          <w:kern w:val="0"/>
          <w:szCs w:val="21"/>
        </w:rPr>
        <w:t xml:space="preserve">条处理。 </w:t>
      </w:r>
    </w:p>
    <w:p w14:paraId="7AC37792">
      <w:pPr>
        <w:widowControl/>
        <w:jc w:val="left"/>
        <w:rPr>
          <w:szCs w:val="21"/>
        </w:rPr>
      </w:pPr>
      <w:r>
        <w:rPr>
          <w:color w:val="000000"/>
          <w:kern w:val="0"/>
          <w:szCs w:val="21"/>
        </w:rPr>
        <w:t xml:space="preserve">3.4.3 </w:t>
      </w:r>
      <w:r>
        <w:rPr>
          <w:rFonts w:hint="eastAsia" w:ascii="宋体" w:hAnsi="宋体" w:cs="宋体"/>
          <w:color w:val="000000"/>
          <w:kern w:val="0"/>
          <w:szCs w:val="21"/>
        </w:rPr>
        <w:t xml:space="preserve">在紧急情况下，总监理工程师或被授权的监理人员可以当场签发临时书面指示，承包人应遵照执行。承包人应在收到上述临时书面指示后 </w:t>
      </w:r>
      <w:r>
        <w:rPr>
          <w:color w:val="000000"/>
          <w:kern w:val="0"/>
          <w:szCs w:val="21"/>
        </w:rPr>
        <w:t xml:space="preserve">24 </w:t>
      </w:r>
      <w:r>
        <w:rPr>
          <w:rFonts w:hint="eastAsia" w:ascii="宋体" w:hAnsi="宋体" w:cs="宋体"/>
          <w:color w:val="000000"/>
          <w:kern w:val="0"/>
          <w:szCs w:val="21"/>
        </w:rPr>
        <w:t xml:space="preserve">小时内，向监理人发出书面确认函。监理人在收到书面确认函后 </w:t>
      </w:r>
      <w:r>
        <w:rPr>
          <w:color w:val="000000"/>
          <w:kern w:val="0"/>
          <w:szCs w:val="21"/>
        </w:rPr>
        <w:t xml:space="preserve">24 </w:t>
      </w:r>
      <w:r>
        <w:rPr>
          <w:rFonts w:hint="eastAsia" w:ascii="宋体" w:hAnsi="宋体" w:cs="宋体"/>
          <w:color w:val="000000"/>
          <w:kern w:val="0"/>
          <w:szCs w:val="21"/>
        </w:rPr>
        <w:t xml:space="preserve">小时内未予答复的，该书面确认函应被视为监理人的正式指示。 </w:t>
      </w:r>
    </w:p>
    <w:p w14:paraId="723A4156">
      <w:pPr>
        <w:widowControl/>
        <w:jc w:val="left"/>
        <w:rPr>
          <w:szCs w:val="21"/>
        </w:rPr>
      </w:pPr>
      <w:r>
        <w:rPr>
          <w:color w:val="000000"/>
          <w:kern w:val="0"/>
          <w:szCs w:val="21"/>
        </w:rPr>
        <w:t xml:space="preserve">3.4.4 </w:t>
      </w:r>
      <w:r>
        <w:rPr>
          <w:rFonts w:hint="eastAsia" w:ascii="宋体" w:hAnsi="宋体" w:cs="宋体"/>
          <w:color w:val="000000"/>
          <w:kern w:val="0"/>
          <w:szCs w:val="21"/>
        </w:rPr>
        <w:t xml:space="preserve">除合同另有约定外，承包人只从总监理工程师或按第 </w:t>
      </w:r>
      <w:r>
        <w:rPr>
          <w:color w:val="000000"/>
          <w:kern w:val="0"/>
          <w:szCs w:val="21"/>
        </w:rPr>
        <w:t xml:space="preserve">3.3.1 </w:t>
      </w:r>
      <w:r>
        <w:rPr>
          <w:rFonts w:hint="eastAsia" w:ascii="宋体" w:hAnsi="宋体" w:cs="宋体"/>
          <w:color w:val="000000"/>
          <w:kern w:val="0"/>
          <w:szCs w:val="21"/>
        </w:rPr>
        <w:t xml:space="preserve">项被授权的监理人员处取得指示。 </w:t>
      </w:r>
    </w:p>
    <w:p w14:paraId="30C911B6">
      <w:pPr>
        <w:widowControl/>
        <w:jc w:val="left"/>
        <w:rPr>
          <w:szCs w:val="21"/>
        </w:rPr>
      </w:pPr>
      <w:r>
        <w:rPr>
          <w:color w:val="000000"/>
          <w:kern w:val="0"/>
          <w:szCs w:val="21"/>
        </w:rPr>
        <w:t xml:space="preserve">3.4.5 </w:t>
      </w:r>
      <w:r>
        <w:rPr>
          <w:rFonts w:hint="eastAsia" w:ascii="宋体" w:hAnsi="宋体" w:cs="宋体"/>
          <w:color w:val="000000"/>
          <w:kern w:val="0"/>
          <w:szCs w:val="21"/>
        </w:rPr>
        <w:t xml:space="preserve">由于监理人未能按合同约定发出指示、指示延误或指示错误而导致承包人费用增加和（或）工期延误的，由发包人承担赔偿责任。 </w:t>
      </w:r>
    </w:p>
    <w:p w14:paraId="0F509906">
      <w:pPr>
        <w:widowControl/>
        <w:jc w:val="left"/>
        <w:rPr>
          <w:szCs w:val="21"/>
        </w:rPr>
      </w:pPr>
      <w:r>
        <w:rPr>
          <w:color w:val="000000"/>
          <w:kern w:val="0"/>
          <w:szCs w:val="21"/>
        </w:rPr>
        <w:t xml:space="preserve">3.5 </w:t>
      </w:r>
      <w:r>
        <w:rPr>
          <w:rFonts w:ascii="黑体" w:hAnsi="宋体" w:eastAsia="黑体" w:cs="黑体"/>
          <w:color w:val="000000"/>
          <w:kern w:val="0"/>
          <w:szCs w:val="21"/>
        </w:rPr>
        <w:t xml:space="preserve">商定或确定 </w:t>
      </w:r>
    </w:p>
    <w:p w14:paraId="2339415F">
      <w:pPr>
        <w:widowControl/>
        <w:jc w:val="left"/>
        <w:rPr>
          <w:szCs w:val="21"/>
        </w:rPr>
      </w:pPr>
      <w:r>
        <w:rPr>
          <w:color w:val="000000"/>
          <w:kern w:val="0"/>
          <w:szCs w:val="21"/>
        </w:rPr>
        <w:t xml:space="preserve">3.5.1 </w:t>
      </w:r>
      <w:r>
        <w:rPr>
          <w:rFonts w:hint="eastAsia" w:ascii="宋体" w:hAnsi="宋体" w:cs="宋体"/>
          <w:color w:val="000000"/>
          <w:kern w:val="0"/>
          <w:szCs w:val="21"/>
        </w:rPr>
        <w:t xml:space="preserve">合同约定总监理工程师应按照本款对任何事项进行商定或确定时，总监理工程师应与合同当事人协商，尽量达成一致。不能达成一致的，总监理工程师应认真研究后审慎确定。 </w:t>
      </w:r>
    </w:p>
    <w:p w14:paraId="77F8AF7B">
      <w:pPr>
        <w:widowControl/>
        <w:jc w:val="left"/>
        <w:rPr>
          <w:szCs w:val="21"/>
        </w:rPr>
      </w:pPr>
      <w:r>
        <w:rPr>
          <w:color w:val="000000"/>
          <w:kern w:val="0"/>
          <w:szCs w:val="21"/>
        </w:rPr>
        <w:t xml:space="preserve">3.5.2 </w:t>
      </w:r>
      <w:r>
        <w:rPr>
          <w:rFonts w:hint="eastAsia" w:ascii="宋体" w:hAnsi="宋体" w:cs="宋体"/>
          <w:color w:val="000000"/>
          <w:kern w:val="0"/>
          <w:szCs w:val="21"/>
        </w:rPr>
        <w:t xml:space="preserve">总监理工程师应将商定或确定的事项通知合同当事人，并附详细依据。对总监理工程师的确定有异议的，构成争议，按照第 </w:t>
      </w:r>
      <w:r>
        <w:rPr>
          <w:color w:val="000000"/>
          <w:kern w:val="0"/>
          <w:szCs w:val="21"/>
        </w:rPr>
        <w:t xml:space="preserve">24 </w:t>
      </w:r>
      <w:r>
        <w:rPr>
          <w:rFonts w:hint="eastAsia" w:ascii="宋体" w:hAnsi="宋体" w:cs="宋体"/>
          <w:color w:val="000000"/>
          <w:kern w:val="0"/>
          <w:szCs w:val="21"/>
        </w:rPr>
        <w:t xml:space="preserve">条的约定处理。在争议解决前，双方应暂按总监理工程师的确定执行，按照第 </w:t>
      </w:r>
      <w:r>
        <w:rPr>
          <w:color w:val="000000"/>
          <w:kern w:val="0"/>
          <w:szCs w:val="21"/>
        </w:rPr>
        <w:t xml:space="preserve">24 </w:t>
      </w:r>
      <w:r>
        <w:rPr>
          <w:rFonts w:hint="eastAsia" w:ascii="宋体" w:hAnsi="宋体" w:cs="宋体"/>
          <w:color w:val="000000"/>
          <w:kern w:val="0"/>
          <w:szCs w:val="21"/>
        </w:rPr>
        <w:t xml:space="preserve">条的约定对总监理工程师的确定作出修改的，按修改后的结果执行。 </w:t>
      </w:r>
    </w:p>
    <w:p w14:paraId="26231FE0">
      <w:pPr>
        <w:widowControl/>
        <w:jc w:val="left"/>
        <w:rPr>
          <w:szCs w:val="21"/>
        </w:rPr>
      </w:pPr>
      <w:r>
        <w:rPr>
          <w:color w:val="000000"/>
          <w:kern w:val="0"/>
          <w:szCs w:val="21"/>
        </w:rPr>
        <w:t xml:space="preserve">4. </w:t>
      </w:r>
      <w:r>
        <w:rPr>
          <w:rFonts w:hint="eastAsia" w:ascii="黑体" w:hAnsi="宋体" w:eastAsia="黑体" w:cs="黑体"/>
          <w:color w:val="000000"/>
          <w:kern w:val="0"/>
          <w:szCs w:val="21"/>
        </w:rPr>
        <w:t xml:space="preserve">承包人 </w:t>
      </w:r>
    </w:p>
    <w:p w14:paraId="6E6F26D0">
      <w:pPr>
        <w:widowControl/>
        <w:jc w:val="left"/>
        <w:rPr>
          <w:szCs w:val="21"/>
        </w:rPr>
      </w:pPr>
      <w:r>
        <w:rPr>
          <w:color w:val="000000"/>
          <w:kern w:val="0"/>
          <w:szCs w:val="21"/>
        </w:rPr>
        <w:t xml:space="preserve">4.1 </w:t>
      </w:r>
      <w:r>
        <w:rPr>
          <w:rFonts w:hint="eastAsia" w:ascii="黑体" w:hAnsi="宋体" w:eastAsia="黑体" w:cs="黑体"/>
          <w:color w:val="000000"/>
          <w:kern w:val="0"/>
          <w:szCs w:val="21"/>
        </w:rPr>
        <w:t xml:space="preserve">承包人的一般义务 </w:t>
      </w:r>
    </w:p>
    <w:p w14:paraId="5552ADF1">
      <w:pPr>
        <w:widowControl/>
        <w:jc w:val="left"/>
        <w:rPr>
          <w:szCs w:val="21"/>
        </w:rPr>
      </w:pPr>
      <w:r>
        <w:rPr>
          <w:color w:val="000000"/>
          <w:kern w:val="0"/>
          <w:szCs w:val="21"/>
        </w:rPr>
        <w:t xml:space="preserve">4.1.1 </w:t>
      </w:r>
      <w:r>
        <w:rPr>
          <w:rFonts w:hint="eastAsia" w:ascii="黑体" w:hAnsi="宋体" w:eastAsia="黑体" w:cs="黑体"/>
          <w:color w:val="000000"/>
          <w:kern w:val="0"/>
          <w:szCs w:val="21"/>
        </w:rPr>
        <w:t xml:space="preserve">遵守法律 </w:t>
      </w:r>
    </w:p>
    <w:p w14:paraId="638FFA6A">
      <w:pPr>
        <w:widowControl/>
        <w:jc w:val="left"/>
        <w:rPr>
          <w:szCs w:val="21"/>
        </w:rPr>
      </w:pPr>
      <w:r>
        <w:rPr>
          <w:rFonts w:hint="eastAsia" w:ascii="宋体" w:hAnsi="宋体" w:cs="宋体"/>
          <w:color w:val="000000"/>
          <w:kern w:val="0"/>
          <w:szCs w:val="21"/>
        </w:rPr>
        <w:t xml:space="preserve">承包人在履行合同过程中应遵守法律，并保证发包人免于承担因承包人违反法律而引起的任何责任。 </w:t>
      </w:r>
    </w:p>
    <w:p w14:paraId="065FAD2D">
      <w:pPr>
        <w:widowControl/>
        <w:jc w:val="left"/>
        <w:rPr>
          <w:szCs w:val="21"/>
        </w:rPr>
      </w:pPr>
      <w:r>
        <w:rPr>
          <w:color w:val="000000"/>
          <w:kern w:val="0"/>
          <w:szCs w:val="21"/>
        </w:rPr>
        <w:t xml:space="preserve">4.1.2 </w:t>
      </w:r>
      <w:r>
        <w:rPr>
          <w:rFonts w:hint="eastAsia" w:ascii="黑体" w:hAnsi="宋体" w:eastAsia="黑体" w:cs="黑体"/>
          <w:color w:val="000000"/>
          <w:kern w:val="0"/>
          <w:szCs w:val="21"/>
        </w:rPr>
        <w:t xml:space="preserve">依法纳税 </w:t>
      </w:r>
    </w:p>
    <w:p w14:paraId="4198090D">
      <w:pPr>
        <w:widowControl/>
        <w:jc w:val="left"/>
        <w:rPr>
          <w:szCs w:val="21"/>
        </w:rPr>
      </w:pPr>
      <w:r>
        <w:rPr>
          <w:rFonts w:hint="eastAsia" w:ascii="宋体" w:hAnsi="宋体" w:cs="宋体"/>
          <w:color w:val="000000"/>
          <w:kern w:val="0"/>
          <w:szCs w:val="21"/>
        </w:rPr>
        <w:t xml:space="preserve">承包人应按有关法律规定纳税，应缴纳的税金包括在合同价格内。 </w:t>
      </w:r>
    </w:p>
    <w:p w14:paraId="662B1A18">
      <w:pPr>
        <w:widowControl/>
        <w:jc w:val="left"/>
        <w:rPr>
          <w:szCs w:val="21"/>
        </w:rPr>
      </w:pPr>
      <w:r>
        <w:rPr>
          <w:color w:val="000000"/>
          <w:kern w:val="0"/>
          <w:szCs w:val="21"/>
        </w:rPr>
        <w:t xml:space="preserve">4.1.3 </w:t>
      </w:r>
      <w:r>
        <w:rPr>
          <w:rFonts w:hint="eastAsia" w:ascii="黑体" w:hAnsi="宋体" w:eastAsia="黑体" w:cs="黑体"/>
          <w:color w:val="000000"/>
          <w:kern w:val="0"/>
          <w:szCs w:val="21"/>
        </w:rPr>
        <w:t xml:space="preserve">完成各项承包工作 </w:t>
      </w:r>
    </w:p>
    <w:p w14:paraId="0E6C998D">
      <w:pPr>
        <w:widowControl/>
        <w:jc w:val="left"/>
        <w:rPr>
          <w:szCs w:val="21"/>
        </w:rPr>
      </w:pPr>
      <w:r>
        <w:rPr>
          <w:rFonts w:hint="eastAsia" w:ascii="宋体" w:hAnsi="宋体" w:cs="宋体"/>
          <w:color w:val="000000"/>
          <w:kern w:val="0"/>
          <w:szCs w:val="21"/>
        </w:rPr>
        <w:t xml:space="preserve">承包人应按合同约定以及监理人根据第 </w:t>
      </w:r>
      <w:r>
        <w:rPr>
          <w:color w:val="000000"/>
          <w:kern w:val="0"/>
          <w:szCs w:val="21"/>
        </w:rPr>
        <w:t xml:space="preserve">3.4 </w:t>
      </w:r>
      <w:r>
        <w:rPr>
          <w:rFonts w:hint="eastAsia" w:ascii="宋体" w:hAnsi="宋体" w:cs="宋体"/>
          <w:color w:val="000000"/>
          <w:kern w:val="0"/>
          <w:szCs w:val="21"/>
        </w:rPr>
        <w:t xml:space="preserve">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 </w:t>
      </w:r>
    </w:p>
    <w:p w14:paraId="6A198D0F">
      <w:pPr>
        <w:widowControl/>
        <w:jc w:val="left"/>
        <w:rPr>
          <w:szCs w:val="21"/>
        </w:rPr>
      </w:pPr>
      <w:r>
        <w:rPr>
          <w:color w:val="000000"/>
          <w:kern w:val="0"/>
          <w:szCs w:val="21"/>
        </w:rPr>
        <w:t xml:space="preserve">4.1.4 </w:t>
      </w:r>
      <w:r>
        <w:rPr>
          <w:rFonts w:hint="eastAsia" w:ascii="黑体" w:hAnsi="宋体" w:eastAsia="黑体" w:cs="黑体"/>
          <w:color w:val="000000"/>
          <w:kern w:val="0"/>
          <w:szCs w:val="21"/>
        </w:rPr>
        <w:t xml:space="preserve">对施工作业和施工方法的完备性负责 </w:t>
      </w:r>
    </w:p>
    <w:p w14:paraId="6B17867C">
      <w:pPr>
        <w:widowControl/>
        <w:jc w:val="left"/>
        <w:rPr>
          <w:szCs w:val="21"/>
        </w:rPr>
      </w:pPr>
      <w:r>
        <w:rPr>
          <w:rFonts w:hint="eastAsia" w:ascii="宋体" w:hAnsi="宋体" w:cs="宋体"/>
          <w:color w:val="000000"/>
          <w:kern w:val="0"/>
          <w:szCs w:val="21"/>
        </w:rPr>
        <w:t>承包人应按合同约定的工作内容和施工进度要求，编制施工组织设计和施工措施计划，并对所有施工作业和施工方法的完备性和安全可靠性负责。</w:t>
      </w:r>
    </w:p>
    <w:p w14:paraId="39B09D42">
      <w:pPr>
        <w:widowControl/>
        <w:jc w:val="left"/>
        <w:rPr>
          <w:szCs w:val="21"/>
        </w:rPr>
      </w:pPr>
      <w:r>
        <w:rPr>
          <w:color w:val="000000"/>
          <w:kern w:val="0"/>
          <w:szCs w:val="21"/>
        </w:rPr>
        <w:t xml:space="preserve">4.1.5 </w:t>
      </w:r>
      <w:r>
        <w:rPr>
          <w:rFonts w:ascii="黑体" w:hAnsi="宋体" w:eastAsia="黑体" w:cs="黑体"/>
          <w:color w:val="000000"/>
          <w:kern w:val="0"/>
          <w:szCs w:val="21"/>
        </w:rPr>
        <w:t xml:space="preserve">保证工程施工和人员的安全 </w:t>
      </w:r>
    </w:p>
    <w:p w14:paraId="0A025BC6">
      <w:pPr>
        <w:widowControl/>
        <w:jc w:val="left"/>
        <w:rPr>
          <w:szCs w:val="21"/>
        </w:rPr>
      </w:pPr>
      <w:r>
        <w:rPr>
          <w:rFonts w:hint="eastAsia" w:ascii="宋体" w:hAnsi="宋体" w:cs="宋体"/>
          <w:color w:val="000000"/>
          <w:kern w:val="0"/>
          <w:szCs w:val="21"/>
        </w:rPr>
        <w:t xml:space="preserve">承包人应按第 </w:t>
      </w:r>
      <w:r>
        <w:rPr>
          <w:color w:val="000000"/>
          <w:kern w:val="0"/>
          <w:szCs w:val="21"/>
        </w:rPr>
        <w:t xml:space="preserve">9.2 </w:t>
      </w:r>
      <w:r>
        <w:rPr>
          <w:rFonts w:hint="eastAsia" w:ascii="宋体" w:hAnsi="宋体" w:cs="宋体"/>
          <w:color w:val="000000"/>
          <w:kern w:val="0"/>
          <w:szCs w:val="21"/>
        </w:rPr>
        <w:t xml:space="preserve">款约定采取施工安全措施，确保工程及其人员、材料、设备和设施的安全，防止因工程施工造成的人身伤害和财产损失。 </w:t>
      </w:r>
    </w:p>
    <w:p w14:paraId="71453CE8">
      <w:pPr>
        <w:widowControl/>
        <w:jc w:val="left"/>
        <w:rPr>
          <w:szCs w:val="21"/>
        </w:rPr>
      </w:pPr>
      <w:r>
        <w:rPr>
          <w:color w:val="000000"/>
          <w:kern w:val="0"/>
          <w:szCs w:val="21"/>
        </w:rPr>
        <w:t xml:space="preserve">4.1.6 </w:t>
      </w:r>
      <w:r>
        <w:rPr>
          <w:rFonts w:hint="eastAsia" w:ascii="黑体" w:hAnsi="宋体" w:eastAsia="黑体" w:cs="黑体"/>
          <w:color w:val="000000"/>
          <w:kern w:val="0"/>
          <w:szCs w:val="21"/>
        </w:rPr>
        <w:t xml:space="preserve">负责施工场地及其周边环境与生态的保护工作 </w:t>
      </w:r>
    </w:p>
    <w:p w14:paraId="1D12D5E3">
      <w:pPr>
        <w:widowControl/>
        <w:jc w:val="left"/>
        <w:rPr>
          <w:szCs w:val="21"/>
        </w:rPr>
      </w:pPr>
      <w:r>
        <w:rPr>
          <w:rFonts w:hint="eastAsia" w:ascii="宋体" w:hAnsi="宋体" w:cs="宋体"/>
          <w:color w:val="000000"/>
          <w:kern w:val="0"/>
          <w:szCs w:val="21"/>
        </w:rPr>
        <w:t xml:space="preserve">承包人应按照第 </w:t>
      </w:r>
      <w:r>
        <w:rPr>
          <w:color w:val="000000"/>
          <w:kern w:val="0"/>
          <w:szCs w:val="21"/>
        </w:rPr>
        <w:t xml:space="preserve">9.4 </w:t>
      </w:r>
      <w:r>
        <w:rPr>
          <w:rFonts w:hint="eastAsia" w:ascii="宋体" w:hAnsi="宋体" w:cs="宋体"/>
          <w:color w:val="000000"/>
          <w:kern w:val="0"/>
          <w:szCs w:val="21"/>
        </w:rPr>
        <w:t xml:space="preserve">款约定负责施工场地及其周边环境与生态的保护工作。 </w:t>
      </w:r>
    </w:p>
    <w:p w14:paraId="1F229879">
      <w:pPr>
        <w:widowControl/>
        <w:jc w:val="left"/>
        <w:rPr>
          <w:szCs w:val="21"/>
        </w:rPr>
      </w:pPr>
      <w:r>
        <w:rPr>
          <w:color w:val="000000"/>
          <w:kern w:val="0"/>
          <w:szCs w:val="21"/>
        </w:rPr>
        <w:t xml:space="preserve">4.1.7 </w:t>
      </w:r>
      <w:r>
        <w:rPr>
          <w:rFonts w:hint="eastAsia" w:ascii="黑体" w:hAnsi="宋体" w:eastAsia="黑体" w:cs="黑体"/>
          <w:color w:val="000000"/>
          <w:kern w:val="0"/>
          <w:szCs w:val="21"/>
        </w:rPr>
        <w:t xml:space="preserve">避免施工对公众与他人的利益造成损害 </w:t>
      </w:r>
    </w:p>
    <w:p w14:paraId="245CD247">
      <w:pPr>
        <w:widowControl/>
        <w:jc w:val="left"/>
        <w:rPr>
          <w:szCs w:val="21"/>
        </w:rPr>
      </w:pPr>
      <w:r>
        <w:rPr>
          <w:rFonts w:hint="eastAsia" w:ascii="宋体" w:hAnsi="宋体" w:cs="宋体"/>
          <w:color w:val="000000"/>
          <w:kern w:val="0"/>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 </w:t>
      </w:r>
    </w:p>
    <w:p w14:paraId="4AB7A7DF">
      <w:pPr>
        <w:widowControl/>
        <w:jc w:val="left"/>
        <w:rPr>
          <w:szCs w:val="21"/>
        </w:rPr>
      </w:pPr>
      <w:r>
        <w:rPr>
          <w:color w:val="000000"/>
          <w:kern w:val="0"/>
          <w:szCs w:val="21"/>
        </w:rPr>
        <w:t xml:space="preserve">4.1.8 </w:t>
      </w:r>
      <w:r>
        <w:rPr>
          <w:rFonts w:hint="eastAsia" w:ascii="黑体" w:hAnsi="宋体" w:eastAsia="黑体" w:cs="黑体"/>
          <w:color w:val="000000"/>
          <w:kern w:val="0"/>
          <w:szCs w:val="21"/>
        </w:rPr>
        <w:t xml:space="preserve">为他人提供方便 </w:t>
      </w:r>
    </w:p>
    <w:p w14:paraId="14CB610C">
      <w:pPr>
        <w:widowControl/>
        <w:jc w:val="left"/>
        <w:rPr>
          <w:szCs w:val="21"/>
        </w:rPr>
      </w:pPr>
      <w:r>
        <w:rPr>
          <w:rFonts w:hint="eastAsia" w:ascii="宋体" w:hAnsi="宋体" w:cs="宋体"/>
          <w:color w:val="000000"/>
          <w:kern w:val="0"/>
          <w:szCs w:val="21"/>
        </w:rPr>
        <w:t xml:space="preserve">承包人应按监理人的指示为他人在施工场地或附近实施与工程有关的其他各项工作提供可能的条件。除合同另有约定外，提供有关条件的内容和可能发生的费用，由监理人按第 </w:t>
      </w:r>
      <w:r>
        <w:rPr>
          <w:color w:val="000000"/>
          <w:kern w:val="0"/>
          <w:szCs w:val="21"/>
        </w:rPr>
        <w:t xml:space="preserve">3.5 </w:t>
      </w:r>
      <w:r>
        <w:rPr>
          <w:rFonts w:hint="eastAsia" w:ascii="宋体" w:hAnsi="宋体" w:cs="宋体"/>
          <w:color w:val="000000"/>
          <w:kern w:val="0"/>
          <w:szCs w:val="21"/>
        </w:rPr>
        <w:t xml:space="preserve">款商定或确定。 </w:t>
      </w:r>
    </w:p>
    <w:p w14:paraId="6489D626">
      <w:pPr>
        <w:widowControl/>
        <w:jc w:val="left"/>
        <w:rPr>
          <w:szCs w:val="21"/>
        </w:rPr>
      </w:pPr>
      <w:r>
        <w:rPr>
          <w:color w:val="000000"/>
          <w:kern w:val="0"/>
          <w:szCs w:val="21"/>
        </w:rPr>
        <w:t xml:space="preserve">4.1.9 </w:t>
      </w:r>
      <w:r>
        <w:rPr>
          <w:rFonts w:hint="eastAsia" w:ascii="黑体" w:hAnsi="宋体" w:eastAsia="黑体" w:cs="黑体"/>
          <w:color w:val="000000"/>
          <w:kern w:val="0"/>
          <w:szCs w:val="21"/>
        </w:rPr>
        <w:t xml:space="preserve">工程的维护和照管 </w:t>
      </w:r>
    </w:p>
    <w:p w14:paraId="40FFFAFF">
      <w:pPr>
        <w:widowControl/>
        <w:jc w:val="left"/>
        <w:rPr>
          <w:szCs w:val="21"/>
        </w:rPr>
      </w:pPr>
      <w:r>
        <w:rPr>
          <w:rFonts w:hint="eastAsia" w:ascii="宋体" w:hAnsi="宋体" w:cs="宋体"/>
          <w:color w:val="000000"/>
          <w:kern w:val="0"/>
          <w:szCs w:val="21"/>
        </w:rPr>
        <w:t xml:space="preserve">工程接收证书颁发前，承包人应负责照管和维护工程。工程接收证书颁发时尚有部分未竣工工程的，承包人还应负责该未竣工工程的照管和维护工作，直至竣工后移交给发包人为止。 </w:t>
      </w:r>
    </w:p>
    <w:p w14:paraId="79D04430">
      <w:pPr>
        <w:widowControl/>
        <w:jc w:val="left"/>
        <w:rPr>
          <w:szCs w:val="21"/>
        </w:rPr>
      </w:pPr>
      <w:r>
        <w:rPr>
          <w:color w:val="000000"/>
          <w:kern w:val="0"/>
          <w:szCs w:val="21"/>
        </w:rPr>
        <w:t xml:space="preserve">4.1.10 </w:t>
      </w:r>
      <w:r>
        <w:rPr>
          <w:rFonts w:hint="eastAsia" w:ascii="黑体" w:hAnsi="宋体" w:eastAsia="黑体" w:cs="黑体"/>
          <w:color w:val="000000"/>
          <w:kern w:val="0"/>
          <w:szCs w:val="21"/>
        </w:rPr>
        <w:t xml:space="preserve">其他义务 </w:t>
      </w:r>
    </w:p>
    <w:p w14:paraId="7E163AB4">
      <w:pPr>
        <w:widowControl/>
        <w:jc w:val="left"/>
        <w:rPr>
          <w:szCs w:val="21"/>
        </w:rPr>
      </w:pPr>
      <w:r>
        <w:rPr>
          <w:rFonts w:hint="eastAsia" w:ascii="宋体" w:hAnsi="宋体" w:cs="宋体"/>
          <w:color w:val="000000"/>
          <w:kern w:val="0"/>
          <w:szCs w:val="21"/>
        </w:rPr>
        <w:t xml:space="preserve">承包人应履行合同约定的其他义务。 </w:t>
      </w:r>
    </w:p>
    <w:p w14:paraId="76E88C62">
      <w:pPr>
        <w:widowControl/>
        <w:jc w:val="left"/>
        <w:rPr>
          <w:szCs w:val="21"/>
        </w:rPr>
      </w:pPr>
      <w:r>
        <w:rPr>
          <w:color w:val="000000"/>
          <w:kern w:val="0"/>
          <w:szCs w:val="21"/>
        </w:rPr>
        <w:t xml:space="preserve">4.2 </w:t>
      </w:r>
      <w:r>
        <w:rPr>
          <w:rFonts w:hint="eastAsia" w:ascii="黑体" w:hAnsi="宋体" w:eastAsia="黑体" w:cs="黑体"/>
          <w:color w:val="000000"/>
          <w:kern w:val="0"/>
          <w:szCs w:val="21"/>
        </w:rPr>
        <w:t xml:space="preserve">履约担保 </w:t>
      </w:r>
    </w:p>
    <w:p w14:paraId="72A611F5">
      <w:pPr>
        <w:widowControl/>
        <w:jc w:val="left"/>
        <w:rPr>
          <w:szCs w:val="21"/>
        </w:rPr>
      </w:pPr>
      <w:r>
        <w:rPr>
          <w:rFonts w:hint="eastAsia" w:ascii="宋体" w:hAnsi="宋体" w:cs="宋体"/>
          <w:color w:val="000000"/>
          <w:kern w:val="0"/>
          <w:szCs w:val="21"/>
        </w:rPr>
        <w:t xml:space="preserve">承包人应保证其履约担保在发包人颁发工程接收证书前一直有效。发包人应在工程接收证书颁发后 </w:t>
      </w:r>
      <w:r>
        <w:rPr>
          <w:color w:val="000000"/>
          <w:kern w:val="0"/>
          <w:szCs w:val="21"/>
        </w:rPr>
        <w:t xml:space="preserve">28 </w:t>
      </w:r>
      <w:r>
        <w:rPr>
          <w:rFonts w:hint="eastAsia" w:ascii="宋体" w:hAnsi="宋体" w:cs="宋体"/>
          <w:color w:val="000000"/>
          <w:kern w:val="0"/>
          <w:szCs w:val="21"/>
        </w:rPr>
        <w:t xml:space="preserve">天内把履约担保退还给承包人。 </w:t>
      </w:r>
    </w:p>
    <w:p w14:paraId="5CCCB168">
      <w:pPr>
        <w:widowControl/>
        <w:jc w:val="left"/>
        <w:rPr>
          <w:szCs w:val="21"/>
        </w:rPr>
      </w:pPr>
      <w:r>
        <w:rPr>
          <w:color w:val="000000"/>
          <w:kern w:val="0"/>
          <w:szCs w:val="21"/>
        </w:rPr>
        <w:t xml:space="preserve">4.3 </w:t>
      </w:r>
      <w:r>
        <w:rPr>
          <w:rFonts w:hint="eastAsia" w:ascii="黑体" w:hAnsi="宋体" w:eastAsia="黑体" w:cs="黑体"/>
          <w:color w:val="000000"/>
          <w:kern w:val="0"/>
          <w:szCs w:val="21"/>
        </w:rPr>
        <w:t xml:space="preserve">分包 </w:t>
      </w:r>
    </w:p>
    <w:p w14:paraId="33A3B9CE">
      <w:pPr>
        <w:widowControl/>
        <w:jc w:val="left"/>
        <w:rPr>
          <w:szCs w:val="21"/>
        </w:rPr>
      </w:pPr>
      <w:r>
        <w:rPr>
          <w:color w:val="000000"/>
          <w:kern w:val="0"/>
          <w:szCs w:val="21"/>
        </w:rPr>
        <w:t xml:space="preserve">4.3.1 </w:t>
      </w:r>
      <w:r>
        <w:rPr>
          <w:rFonts w:hint="eastAsia" w:ascii="宋体" w:hAnsi="宋体" w:cs="宋体"/>
          <w:color w:val="000000"/>
          <w:kern w:val="0"/>
          <w:szCs w:val="21"/>
        </w:rPr>
        <w:t xml:space="preserve">承包人不得将其承包的全部工程转包给第三人，或将其承包的全部工程肢解后以分包的名义转包给第三人。 </w:t>
      </w:r>
    </w:p>
    <w:p w14:paraId="5E7D9DE1">
      <w:pPr>
        <w:widowControl/>
        <w:jc w:val="left"/>
        <w:rPr>
          <w:szCs w:val="21"/>
        </w:rPr>
      </w:pPr>
      <w:r>
        <w:rPr>
          <w:color w:val="000000"/>
          <w:kern w:val="0"/>
          <w:szCs w:val="21"/>
        </w:rPr>
        <w:t xml:space="preserve">4.3.2 </w:t>
      </w:r>
      <w:r>
        <w:rPr>
          <w:rFonts w:hint="eastAsia" w:ascii="宋体" w:hAnsi="宋体" w:cs="宋体"/>
          <w:color w:val="000000"/>
          <w:kern w:val="0"/>
          <w:szCs w:val="21"/>
        </w:rPr>
        <w:t xml:space="preserve">承包人不得将工程主体、关键性工作分包给第三人。除专用合同条款另有约定外，未经发包人同意，承包人不得将工程的其他部分或工作分包给第三人。 </w:t>
      </w:r>
    </w:p>
    <w:p w14:paraId="1CA3A760">
      <w:pPr>
        <w:widowControl/>
        <w:jc w:val="left"/>
        <w:rPr>
          <w:szCs w:val="21"/>
        </w:rPr>
      </w:pPr>
      <w:r>
        <w:rPr>
          <w:color w:val="000000"/>
          <w:kern w:val="0"/>
          <w:szCs w:val="21"/>
        </w:rPr>
        <w:t xml:space="preserve">4.3.3 </w:t>
      </w:r>
      <w:r>
        <w:rPr>
          <w:rFonts w:hint="eastAsia" w:ascii="宋体" w:hAnsi="宋体" w:cs="宋体"/>
          <w:color w:val="000000"/>
          <w:kern w:val="0"/>
          <w:szCs w:val="21"/>
        </w:rPr>
        <w:t xml:space="preserve">分包人的资格能力应与其分包工程的标准和规模相适应。 </w:t>
      </w:r>
    </w:p>
    <w:p w14:paraId="24563E5C">
      <w:pPr>
        <w:widowControl/>
        <w:jc w:val="left"/>
        <w:rPr>
          <w:szCs w:val="21"/>
        </w:rPr>
      </w:pPr>
      <w:r>
        <w:rPr>
          <w:color w:val="000000"/>
          <w:kern w:val="0"/>
          <w:szCs w:val="21"/>
        </w:rPr>
        <w:t xml:space="preserve">4.3.4 </w:t>
      </w:r>
      <w:r>
        <w:rPr>
          <w:rFonts w:hint="eastAsia" w:ascii="宋体" w:hAnsi="宋体" w:cs="宋体"/>
          <w:color w:val="000000"/>
          <w:kern w:val="0"/>
          <w:szCs w:val="21"/>
        </w:rPr>
        <w:t xml:space="preserve">按投标函附录约定分包工程的，承包人应向发包人和监理人提交分包合同 </w:t>
      </w:r>
    </w:p>
    <w:p w14:paraId="37844CF4">
      <w:pPr>
        <w:widowControl/>
        <w:jc w:val="left"/>
        <w:rPr>
          <w:szCs w:val="21"/>
        </w:rPr>
      </w:pPr>
      <w:r>
        <w:rPr>
          <w:rFonts w:hint="eastAsia" w:ascii="宋体" w:hAnsi="宋体" w:cs="宋体"/>
          <w:color w:val="000000"/>
          <w:kern w:val="0"/>
          <w:szCs w:val="21"/>
        </w:rPr>
        <w:t xml:space="preserve">副本。 </w:t>
      </w:r>
    </w:p>
    <w:p w14:paraId="174E66F1">
      <w:pPr>
        <w:widowControl/>
        <w:jc w:val="left"/>
        <w:rPr>
          <w:szCs w:val="21"/>
        </w:rPr>
      </w:pPr>
      <w:r>
        <w:rPr>
          <w:color w:val="000000"/>
          <w:kern w:val="0"/>
          <w:szCs w:val="21"/>
        </w:rPr>
        <w:t xml:space="preserve">4.3.5 </w:t>
      </w:r>
      <w:r>
        <w:rPr>
          <w:rFonts w:hint="eastAsia" w:ascii="宋体" w:hAnsi="宋体" w:cs="宋体"/>
          <w:color w:val="000000"/>
          <w:kern w:val="0"/>
          <w:szCs w:val="21"/>
        </w:rPr>
        <w:t>承包人应与分包人就分包工程向发包人承担连带责任。</w:t>
      </w:r>
    </w:p>
    <w:p w14:paraId="2BE439C9">
      <w:pPr>
        <w:widowControl/>
        <w:jc w:val="left"/>
        <w:rPr>
          <w:szCs w:val="21"/>
        </w:rPr>
      </w:pPr>
      <w:r>
        <w:rPr>
          <w:color w:val="000000"/>
          <w:kern w:val="0"/>
          <w:szCs w:val="21"/>
        </w:rPr>
        <w:t xml:space="preserve">4.4 </w:t>
      </w:r>
      <w:r>
        <w:rPr>
          <w:rFonts w:ascii="黑体" w:hAnsi="宋体" w:eastAsia="黑体" w:cs="黑体"/>
          <w:color w:val="000000"/>
          <w:kern w:val="0"/>
          <w:szCs w:val="21"/>
        </w:rPr>
        <w:t xml:space="preserve">联合体 </w:t>
      </w:r>
    </w:p>
    <w:p w14:paraId="7F43B339">
      <w:pPr>
        <w:widowControl/>
        <w:jc w:val="left"/>
        <w:rPr>
          <w:szCs w:val="21"/>
        </w:rPr>
      </w:pPr>
      <w:r>
        <w:rPr>
          <w:color w:val="000000"/>
          <w:kern w:val="0"/>
          <w:szCs w:val="21"/>
        </w:rPr>
        <w:t xml:space="preserve">4.4.1 </w:t>
      </w:r>
      <w:r>
        <w:rPr>
          <w:rFonts w:hint="eastAsia" w:ascii="宋体" w:hAnsi="宋体" w:cs="宋体"/>
          <w:color w:val="000000"/>
          <w:kern w:val="0"/>
          <w:szCs w:val="21"/>
        </w:rPr>
        <w:t xml:space="preserve">联合体各方应共同与发包人签订合同协议书。联合体各方应为履行合同承担连带责任。 </w:t>
      </w:r>
    </w:p>
    <w:p w14:paraId="6B951F77">
      <w:pPr>
        <w:widowControl/>
        <w:jc w:val="left"/>
        <w:rPr>
          <w:szCs w:val="21"/>
        </w:rPr>
      </w:pPr>
      <w:r>
        <w:rPr>
          <w:color w:val="000000"/>
          <w:kern w:val="0"/>
          <w:szCs w:val="21"/>
        </w:rPr>
        <w:t xml:space="preserve">4.4.2 </w:t>
      </w:r>
      <w:r>
        <w:rPr>
          <w:rFonts w:hint="eastAsia" w:ascii="宋体" w:hAnsi="宋体" w:cs="宋体"/>
          <w:color w:val="000000"/>
          <w:kern w:val="0"/>
          <w:szCs w:val="21"/>
        </w:rPr>
        <w:t xml:space="preserve">联合体协议经发包人确认后作为合同附件。在履行合同过程中，未经发包人同意，不得修改联合体协议。 </w:t>
      </w:r>
    </w:p>
    <w:p w14:paraId="734310B0">
      <w:pPr>
        <w:widowControl/>
        <w:jc w:val="left"/>
        <w:rPr>
          <w:szCs w:val="21"/>
        </w:rPr>
      </w:pPr>
      <w:r>
        <w:rPr>
          <w:color w:val="000000"/>
          <w:kern w:val="0"/>
          <w:szCs w:val="21"/>
        </w:rPr>
        <w:t xml:space="preserve">4.4.3 </w:t>
      </w:r>
      <w:r>
        <w:rPr>
          <w:rFonts w:hint="eastAsia" w:ascii="宋体" w:hAnsi="宋体" w:cs="宋体"/>
          <w:color w:val="000000"/>
          <w:kern w:val="0"/>
          <w:szCs w:val="21"/>
        </w:rPr>
        <w:t xml:space="preserve">联合体牵头人负责与发包人和监理人联系，并接受指示，负责组织联合体各成员全面履行合同。 </w:t>
      </w:r>
    </w:p>
    <w:p w14:paraId="691AF3E3">
      <w:pPr>
        <w:widowControl/>
        <w:jc w:val="left"/>
        <w:rPr>
          <w:szCs w:val="21"/>
        </w:rPr>
      </w:pPr>
      <w:r>
        <w:rPr>
          <w:color w:val="000000"/>
          <w:kern w:val="0"/>
          <w:szCs w:val="21"/>
        </w:rPr>
        <w:t xml:space="preserve">4.5 </w:t>
      </w:r>
      <w:r>
        <w:rPr>
          <w:rFonts w:hint="eastAsia" w:ascii="黑体" w:hAnsi="宋体" w:eastAsia="黑体" w:cs="黑体"/>
          <w:color w:val="000000"/>
          <w:kern w:val="0"/>
          <w:szCs w:val="21"/>
        </w:rPr>
        <w:t xml:space="preserve">承包人项目经理 </w:t>
      </w:r>
    </w:p>
    <w:p w14:paraId="40E08361">
      <w:pPr>
        <w:widowControl/>
        <w:jc w:val="left"/>
        <w:rPr>
          <w:szCs w:val="21"/>
        </w:rPr>
      </w:pPr>
      <w:r>
        <w:rPr>
          <w:color w:val="000000"/>
          <w:kern w:val="0"/>
          <w:szCs w:val="21"/>
        </w:rPr>
        <w:t xml:space="preserve">4.5.1 </w:t>
      </w:r>
      <w:r>
        <w:rPr>
          <w:rFonts w:hint="eastAsia" w:ascii="宋体" w:hAnsi="宋体" w:cs="宋体"/>
          <w:color w:val="000000"/>
          <w:kern w:val="0"/>
          <w:szCs w:val="21"/>
        </w:rPr>
        <w:t xml:space="preserve">承包人应按合同约定指派项目经理，并在约定的期限内到职。承包人更换项目经理应事先征得发包人同意，并应在更换 </w:t>
      </w:r>
      <w:r>
        <w:rPr>
          <w:color w:val="000000"/>
          <w:kern w:val="0"/>
          <w:szCs w:val="21"/>
        </w:rPr>
        <w:t xml:space="preserve">14 </w:t>
      </w:r>
      <w:r>
        <w:rPr>
          <w:rFonts w:hint="eastAsia" w:ascii="宋体" w:hAnsi="宋体" w:cs="宋体"/>
          <w:color w:val="000000"/>
          <w:kern w:val="0"/>
          <w:szCs w:val="21"/>
        </w:rPr>
        <w:t xml:space="preserve">天前通知发包人和监理人。承包人项目经理短期离开施工场地，应事先征得监理人同意，并委派代表代行其职责。 </w:t>
      </w:r>
    </w:p>
    <w:p w14:paraId="26F0F9AB">
      <w:pPr>
        <w:widowControl/>
        <w:jc w:val="left"/>
        <w:rPr>
          <w:szCs w:val="21"/>
        </w:rPr>
      </w:pPr>
      <w:r>
        <w:rPr>
          <w:color w:val="000000"/>
          <w:kern w:val="0"/>
          <w:szCs w:val="21"/>
        </w:rPr>
        <w:t xml:space="preserve">4.5.2 </w:t>
      </w:r>
      <w:r>
        <w:rPr>
          <w:rFonts w:hint="eastAsia" w:ascii="宋体" w:hAnsi="宋体" w:cs="宋体"/>
          <w:color w:val="000000"/>
          <w:kern w:val="0"/>
          <w:szCs w:val="21"/>
        </w:rPr>
        <w:t xml:space="preserve">承包人项目经理应按合同约定以及监理人按第 </w:t>
      </w:r>
      <w:r>
        <w:rPr>
          <w:color w:val="000000"/>
          <w:kern w:val="0"/>
          <w:szCs w:val="21"/>
        </w:rPr>
        <w:t xml:space="preserve">3.4 </w:t>
      </w:r>
      <w:r>
        <w:rPr>
          <w:rFonts w:hint="eastAsia" w:ascii="宋体" w:hAnsi="宋体" w:cs="宋体"/>
          <w:color w:val="000000"/>
          <w:kern w:val="0"/>
          <w:szCs w:val="21"/>
        </w:rPr>
        <w:t xml:space="preserve">款作出的指示，负责组织合同工程的实施。在情况紧急且无法与监理人取得联系时，可采取保证工程和人员生命财产安全的紧急措施，并在采取措施后 </w:t>
      </w:r>
      <w:r>
        <w:rPr>
          <w:color w:val="000000"/>
          <w:kern w:val="0"/>
          <w:szCs w:val="21"/>
        </w:rPr>
        <w:t xml:space="preserve">24 </w:t>
      </w:r>
      <w:r>
        <w:rPr>
          <w:rFonts w:hint="eastAsia" w:ascii="宋体" w:hAnsi="宋体" w:cs="宋体"/>
          <w:color w:val="000000"/>
          <w:kern w:val="0"/>
          <w:szCs w:val="21"/>
        </w:rPr>
        <w:t xml:space="preserve">小时内向监理人提交书面报告。 </w:t>
      </w:r>
    </w:p>
    <w:p w14:paraId="7B6E4DFC">
      <w:pPr>
        <w:widowControl/>
        <w:jc w:val="left"/>
        <w:rPr>
          <w:szCs w:val="21"/>
        </w:rPr>
      </w:pPr>
      <w:r>
        <w:rPr>
          <w:color w:val="000000"/>
          <w:kern w:val="0"/>
          <w:szCs w:val="21"/>
        </w:rPr>
        <w:t>4.5.3</w:t>
      </w:r>
      <w:r>
        <w:rPr>
          <w:rFonts w:hint="eastAsia" w:ascii="宋体" w:hAnsi="宋体" w:cs="宋体"/>
          <w:color w:val="000000"/>
          <w:kern w:val="0"/>
          <w:szCs w:val="21"/>
        </w:rPr>
        <w:t xml:space="preserve">承包人为履行合同发出的一切函件均应盖有承包人授权的施工场地管理机构章，并由承包人项目经理或其授权代表签字。 </w:t>
      </w:r>
    </w:p>
    <w:p w14:paraId="5509A4EF">
      <w:pPr>
        <w:widowControl/>
        <w:jc w:val="left"/>
        <w:rPr>
          <w:szCs w:val="21"/>
        </w:rPr>
      </w:pPr>
      <w:r>
        <w:rPr>
          <w:color w:val="000000"/>
          <w:kern w:val="0"/>
          <w:szCs w:val="21"/>
        </w:rPr>
        <w:t xml:space="preserve">4.5.4 </w:t>
      </w:r>
      <w:r>
        <w:rPr>
          <w:rFonts w:hint="eastAsia" w:ascii="宋体" w:hAnsi="宋体" w:cs="宋体"/>
          <w:color w:val="000000"/>
          <w:kern w:val="0"/>
          <w:szCs w:val="21"/>
        </w:rPr>
        <w:t xml:space="preserve">承包人项目经理可以授权其下属人员履行其某项职责，但事先应将这些人员的姓名和授权范围通知监理人。 </w:t>
      </w:r>
    </w:p>
    <w:p w14:paraId="53F9B56B">
      <w:pPr>
        <w:widowControl/>
        <w:jc w:val="left"/>
        <w:rPr>
          <w:szCs w:val="21"/>
        </w:rPr>
      </w:pPr>
      <w:r>
        <w:rPr>
          <w:color w:val="000000"/>
          <w:kern w:val="0"/>
          <w:szCs w:val="21"/>
        </w:rPr>
        <w:t xml:space="preserve">4.6 </w:t>
      </w:r>
      <w:r>
        <w:rPr>
          <w:rFonts w:hint="eastAsia" w:ascii="黑体" w:hAnsi="宋体" w:eastAsia="黑体" w:cs="黑体"/>
          <w:color w:val="000000"/>
          <w:kern w:val="0"/>
          <w:szCs w:val="21"/>
        </w:rPr>
        <w:t xml:space="preserve">承包人人员的管理 </w:t>
      </w:r>
    </w:p>
    <w:p w14:paraId="50D0E876">
      <w:pPr>
        <w:widowControl/>
        <w:jc w:val="left"/>
        <w:rPr>
          <w:szCs w:val="21"/>
        </w:rPr>
      </w:pPr>
      <w:r>
        <w:rPr>
          <w:color w:val="000000"/>
          <w:kern w:val="0"/>
          <w:szCs w:val="21"/>
        </w:rPr>
        <w:t xml:space="preserve">4.6.1 </w:t>
      </w:r>
      <w:r>
        <w:rPr>
          <w:rFonts w:hint="eastAsia" w:ascii="宋体" w:hAnsi="宋体" w:cs="宋体"/>
          <w:color w:val="000000"/>
          <w:kern w:val="0"/>
          <w:szCs w:val="21"/>
        </w:rPr>
        <w:t xml:space="preserve">承包人应在接到开工通知后 </w:t>
      </w:r>
      <w:r>
        <w:rPr>
          <w:color w:val="000000"/>
          <w:kern w:val="0"/>
          <w:szCs w:val="21"/>
        </w:rPr>
        <w:t xml:space="preserve">28 </w:t>
      </w:r>
      <w:r>
        <w:rPr>
          <w:rFonts w:hint="eastAsia" w:ascii="宋体" w:hAnsi="宋体" w:cs="宋体"/>
          <w:color w:val="000000"/>
          <w:kern w:val="0"/>
          <w:szCs w:val="21"/>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 </w:t>
      </w:r>
    </w:p>
    <w:p w14:paraId="38CE3825">
      <w:pPr>
        <w:widowControl/>
        <w:jc w:val="left"/>
        <w:rPr>
          <w:szCs w:val="21"/>
        </w:rPr>
      </w:pPr>
      <w:r>
        <w:rPr>
          <w:color w:val="000000"/>
          <w:kern w:val="0"/>
          <w:szCs w:val="21"/>
        </w:rPr>
        <w:t xml:space="preserve">4.6.2 </w:t>
      </w:r>
      <w:r>
        <w:rPr>
          <w:rFonts w:hint="eastAsia" w:ascii="宋体" w:hAnsi="宋体" w:cs="宋体"/>
          <w:color w:val="000000"/>
          <w:kern w:val="0"/>
          <w:szCs w:val="21"/>
        </w:rPr>
        <w:t xml:space="preserve">为完成合同约定的各项工作，承包人应向施工场地派遣或雇佣足够数量的下列人员： </w:t>
      </w:r>
    </w:p>
    <w:p w14:paraId="621D89E6">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）具有相应资格的专业技工和合格的普工； </w:t>
      </w:r>
    </w:p>
    <w:p w14:paraId="5E00BCA0">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）具有相应施工经验的技术人员； </w:t>
      </w:r>
    </w:p>
    <w:p w14:paraId="6745B4D8">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）具有相应岗位资格的各级管理人员。 </w:t>
      </w:r>
    </w:p>
    <w:p w14:paraId="7C5FAEF8">
      <w:pPr>
        <w:widowControl/>
        <w:jc w:val="left"/>
        <w:rPr>
          <w:szCs w:val="21"/>
        </w:rPr>
      </w:pPr>
      <w:r>
        <w:rPr>
          <w:color w:val="000000"/>
          <w:kern w:val="0"/>
          <w:szCs w:val="21"/>
        </w:rPr>
        <w:t xml:space="preserve">4.6.3 </w:t>
      </w:r>
      <w:r>
        <w:rPr>
          <w:rFonts w:hint="eastAsia" w:ascii="宋体" w:hAnsi="宋体" w:cs="宋体"/>
          <w:color w:val="000000"/>
          <w:kern w:val="0"/>
          <w:szCs w:val="21"/>
        </w:rPr>
        <w:t xml:space="preserve">承包人安排在施工场地的主要管理人员和技术骨干应相对稳定。承包人更换主要管理人员和技术骨干时，应取得监理人的同意。 </w:t>
      </w:r>
    </w:p>
    <w:p w14:paraId="30226BE5">
      <w:pPr>
        <w:widowControl/>
        <w:jc w:val="left"/>
        <w:rPr>
          <w:szCs w:val="21"/>
        </w:rPr>
      </w:pPr>
      <w:r>
        <w:rPr>
          <w:color w:val="000000"/>
          <w:kern w:val="0"/>
          <w:szCs w:val="21"/>
        </w:rPr>
        <w:t xml:space="preserve">4.6.4 </w:t>
      </w:r>
      <w:r>
        <w:rPr>
          <w:rFonts w:hint="eastAsia" w:ascii="宋体" w:hAnsi="宋体" w:cs="宋体"/>
          <w:color w:val="000000"/>
          <w:kern w:val="0"/>
          <w:szCs w:val="21"/>
        </w:rPr>
        <w:t xml:space="preserve">特殊岗位的工作人员均应持有相应的资格证明，监理人有权随时检查。监理人认为有必要时，可进行现场考核。 </w:t>
      </w:r>
    </w:p>
    <w:p w14:paraId="2DE9AF9B">
      <w:pPr>
        <w:widowControl/>
        <w:jc w:val="left"/>
        <w:rPr>
          <w:szCs w:val="21"/>
        </w:rPr>
      </w:pPr>
      <w:r>
        <w:rPr>
          <w:color w:val="000000"/>
          <w:kern w:val="0"/>
          <w:szCs w:val="21"/>
        </w:rPr>
        <w:t xml:space="preserve">4.7 </w:t>
      </w:r>
      <w:r>
        <w:rPr>
          <w:rFonts w:ascii="黑体" w:hAnsi="宋体" w:eastAsia="黑体" w:cs="黑体"/>
          <w:color w:val="000000"/>
          <w:kern w:val="0"/>
          <w:szCs w:val="21"/>
        </w:rPr>
        <w:t xml:space="preserve">撤换承包人项目经理和其他人员 </w:t>
      </w:r>
    </w:p>
    <w:p w14:paraId="04EF50F0">
      <w:pPr>
        <w:widowControl/>
        <w:jc w:val="left"/>
        <w:rPr>
          <w:szCs w:val="21"/>
        </w:rPr>
      </w:pPr>
      <w:r>
        <w:rPr>
          <w:rFonts w:hint="eastAsia" w:ascii="宋体" w:hAnsi="宋体" w:cs="宋体"/>
          <w:color w:val="000000"/>
          <w:kern w:val="0"/>
          <w:szCs w:val="21"/>
        </w:rPr>
        <w:t xml:space="preserve">承包人应对其项目经理和其他人员进行有效管理。监理人要求撤换不能胜任本职工作、行为不端或玩忽职守的承包人项目经理和其他人员的，承包人应予以撤换。 </w:t>
      </w:r>
    </w:p>
    <w:p w14:paraId="772A8776">
      <w:pPr>
        <w:widowControl/>
        <w:jc w:val="left"/>
        <w:rPr>
          <w:szCs w:val="21"/>
        </w:rPr>
      </w:pPr>
      <w:r>
        <w:rPr>
          <w:color w:val="000000"/>
          <w:kern w:val="0"/>
          <w:szCs w:val="21"/>
        </w:rPr>
        <w:t xml:space="preserve">4.8 </w:t>
      </w:r>
      <w:r>
        <w:rPr>
          <w:rFonts w:hint="eastAsia" w:ascii="黑体" w:hAnsi="宋体" w:eastAsia="黑体" w:cs="黑体"/>
          <w:color w:val="000000"/>
          <w:kern w:val="0"/>
          <w:szCs w:val="21"/>
        </w:rPr>
        <w:t xml:space="preserve">保障承包人人员的合法权益 </w:t>
      </w:r>
    </w:p>
    <w:p w14:paraId="7637D1A3">
      <w:pPr>
        <w:widowControl/>
        <w:jc w:val="left"/>
        <w:rPr>
          <w:szCs w:val="21"/>
        </w:rPr>
      </w:pPr>
      <w:r>
        <w:rPr>
          <w:color w:val="000000"/>
          <w:kern w:val="0"/>
          <w:szCs w:val="21"/>
        </w:rPr>
        <w:t xml:space="preserve">4.8.1 </w:t>
      </w:r>
      <w:r>
        <w:rPr>
          <w:rFonts w:hint="eastAsia" w:ascii="宋体" w:hAnsi="宋体" w:cs="宋体"/>
          <w:color w:val="000000"/>
          <w:kern w:val="0"/>
          <w:szCs w:val="21"/>
        </w:rPr>
        <w:t xml:space="preserve">承包人应与其雇佣的人员签订劳动合同，并按时发放工资。 </w:t>
      </w:r>
    </w:p>
    <w:p w14:paraId="2E065644">
      <w:pPr>
        <w:widowControl/>
        <w:jc w:val="left"/>
        <w:rPr>
          <w:szCs w:val="21"/>
        </w:rPr>
      </w:pPr>
      <w:r>
        <w:rPr>
          <w:color w:val="000000"/>
          <w:kern w:val="0"/>
          <w:szCs w:val="21"/>
        </w:rPr>
        <w:t xml:space="preserve">4.8.2 </w:t>
      </w:r>
      <w:r>
        <w:rPr>
          <w:rFonts w:hint="eastAsia" w:ascii="宋体" w:hAnsi="宋体" w:cs="宋体"/>
          <w:color w:val="000000"/>
          <w:kern w:val="0"/>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 </w:t>
      </w:r>
    </w:p>
    <w:p w14:paraId="493B2586">
      <w:pPr>
        <w:widowControl/>
        <w:jc w:val="left"/>
        <w:rPr>
          <w:szCs w:val="21"/>
        </w:rPr>
      </w:pPr>
      <w:r>
        <w:rPr>
          <w:color w:val="000000"/>
          <w:kern w:val="0"/>
          <w:szCs w:val="21"/>
        </w:rPr>
        <w:t xml:space="preserve">4.8.3 </w:t>
      </w:r>
      <w:r>
        <w:rPr>
          <w:rFonts w:hint="eastAsia" w:ascii="宋体" w:hAnsi="宋体" w:cs="宋体"/>
          <w:color w:val="000000"/>
          <w:kern w:val="0"/>
          <w:szCs w:val="21"/>
        </w:rPr>
        <w:t xml:space="preserve">承包人应为其雇佣人员提供必要的食宿条件，以及符合环境保护和卫生要求的生活环境，在远离城镇的施工场地，还应配备必要的伤病防治和急救的医务人员与医疗设施。 </w:t>
      </w:r>
    </w:p>
    <w:p w14:paraId="3C373205">
      <w:pPr>
        <w:widowControl/>
        <w:jc w:val="left"/>
        <w:rPr>
          <w:szCs w:val="21"/>
        </w:rPr>
      </w:pPr>
      <w:r>
        <w:rPr>
          <w:color w:val="000000"/>
          <w:kern w:val="0"/>
          <w:szCs w:val="21"/>
        </w:rPr>
        <w:t xml:space="preserve">4.8.4 </w:t>
      </w:r>
      <w:r>
        <w:rPr>
          <w:rFonts w:hint="eastAsia" w:ascii="宋体" w:hAnsi="宋体" w:cs="宋体"/>
          <w:color w:val="000000"/>
          <w:kern w:val="0"/>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 </w:t>
      </w:r>
    </w:p>
    <w:p w14:paraId="5BF70CA3">
      <w:pPr>
        <w:widowControl/>
        <w:jc w:val="left"/>
        <w:rPr>
          <w:szCs w:val="21"/>
        </w:rPr>
      </w:pPr>
      <w:r>
        <w:rPr>
          <w:color w:val="000000"/>
          <w:kern w:val="0"/>
          <w:szCs w:val="21"/>
        </w:rPr>
        <w:t xml:space="preserve">4.8.5 </w:t>
      </w:r>
      <w:r>
        <w:rPr>
          <w:rFonts w:hint="eastAsia" w:ascii="宋体" w:hAnsi="宋体" w:cs="宋体"/>
          <w:color w:val="000000"/>
          <w:kern w:val="0"/>
          <w:szCs w:val="21"/>
        </w:rPr>
        <w:t xml:space="preserve">承包人应按有关法律规定和合同约定，为其雇佣人员办理保险。 </w:t>
      </w:r>
    </w:p>
    <w:p w14:paraId="63CF83EC">
      <w:pPr>
        <w:widowControl/>
        <w:jc w:val="left"/>
        <w:rPr>
          <w:szCs w:val="21"/>
        </w:rPr>
      </w:pPr>
      <w:r>
        <w:rPr>
          <w:color w:val="000000"/>
          <w:kern w:val="0"/>
          <w:szCs w:val="21"/>
        </w:rPr>
        <w:t xml:space="preserve">4.8.6 </w:t>
      </w:r>
      <w:r>
        <w:rPr>
          <w:rFonts w:hint="eastAsia" w:ascii="宋体" w:hAnsi="宋体" w:cs="宋体"/>
          <w:color w:val="000000"/>
          <w:kern w:val="0"/>
          <w:szCs w:val="21"/>
        </w:rPr>
        <w:t xml:space="preserve">承包人应负责处理其雇佣人员因工伤亡事故的善后事宜。 </w:t>
      </w:r>
    </w:p>
    <w:p w14:paraId="28AAE8FF">
      <w:pPr>
        <w:widowControl/>
        <w:jc w:val="left"/>
        <w:rPr>
          <w:szCs w:val="21"/>
        </w:rPr>
      </w:pPr>
      <w:r>
        <w:rPr>
          <w:color w:val="000000"/>
          <w:kern w:val="0"/>
          <w:szCs w:val="21"/>
        </w:rPr>
        <w:t xml:space="preserve">4.9 </w:t>
      </w:r>
      <w:r>
        <w:rPr>
          <w:rFonts w:hint="eastAsia" w:ascii="黑体" w:hAnsi="宋体" w:eastAsia="黑体" w:cs="黑体"/>
          <w:color w:val="000000"/>
          <w:kern w:val="0"/>
          <w:szCs w:val="21"/>
        </w:rPr>
        <w:t xml:space="preserve">工程价款应专款专用 </w:t>
      </w:r>
    </w:p>
    <w:p w14:paraId="5418B1D2">
      <w:pPr>
        <w:widowControl/>
        <w:jc w:val="left"/>
        <w:rPr>
          <w:szCs w:val="21"/>
        </w:rPr>
      </w:pPr>
      <w:r>
        <w:rPr>
          <w:rFonts w:hint="eastAsia" w:ascii="宋体" w:hAnsi="宋体" w:cs="宋体"/>
          <w:color w:val="000000"/>
          <w:kern w:val="0"/>
          <w:szCs w:val="21"/>
        </w:rPr>
        <w:t xml:space="preserve">发包人按合同约定支付给承包人的各项价款应专用于合同工程。 </w:t>
      </w:r>
    </w:p>
    <w:p w14:paraId="4D18502D">
      <w:pPr>
        <w:widowControl/>
        <w:jc w:val="left"/>
        <w:rPr>
          <w:szCs w:val="21"/>
        </w:rPr>
      </w:pPr>
      <w:r>
        <w:rPr>
          <w:color w:val="000000"/>
          <w:kern w:val="0"/>
          <w:szCs w:val="21"/>
        </w:rPr>
        <w:t xml:space="preserve">4.10 </w:t>
      </w:r>
      <w:r>
        <w:rPr>
          <w:rFonts w:hint="eastAsia" w:ascii="黑体" w:hAnsi="宋体" w:eastAsia="黑体" w:cs="黑体"/>
          <w:color w:val="000000"/>
          <w:kern w:val="0"/>
          <w:szCs w:val="21"/>
        </w:rPr>
        <w:t xml:space="preserve">承包人现场查勘 </w:t>
      </w:r>
    </w:p>
    <w:p w14:paraId="2E264987">
      <w:pPr>
        <w:widowControl/>
        <w:jc w:val="left"/>
        <w:rPr>
          <w:szCs w:val="21"/>
        </w:rPr>
      </w:pPr>
      <w:r>
        <w:rPr>
          <w:color w:val="000000"/>
          <w:kern w:val="0"/>
          <w:szCs w:val="21"/>
        </w:rPr>
        <w:t xml:space="preserve">4.10.1 </w:t>
      </w:r>
      <w:r>
        <w:rPr>
          <w:rFonts w:hint="eastAsia" w:ascii="宋体" w:hAnsi="宋体" w:cs="宋体"/>
          <w:color w:val="000000"/>
          <w:kern w:val="0"/>
          <w:szCs w:val="21"/>
        </w:rPr>
        <w:t xml:space="preserve">发包人应将其持有的现场地质勘探资料、水文气象资料提供给承包人，并对其准确性负责。但承包人应对其阅读上述有关资料后所作出的解释和推断负责。 </w:t>
      </w:r>
    </w:p>
    <w:p w14:paraId="7A72FA12">
      <w:pPr>
        <w:widowControl/>
        <w:jc w:val="left"/>
        <w:rPr>
          <w:szCs w:val="21"/>
        </w:rPr>
      </w:pPr>
      <w:r>
        <w:rPr>
          <w:color w:val="000000"/>
          <w:kern w:val="0"/>
          <w:szCs w:val="21"/>
        </w:rPr>
        <w:t xml:space="preserve">4.10.2 </w:t>
      </w:r>
      <w:r>
        <w:rPr>
          <w:rFonts w:hint="eastAsia" w:ascii="宋体" w:hAnsi="宋体" w:cs="宋体"/>
          <w:color w:val="000000"/>
          <w:kern w:val="0"/>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 </w:t>
      </w:r>
    </w:p>
    <w:p w14:paraId="229F342C">
      <w:pPr>
        <w:widowControl/>
        <w:jc w:val="left"/>
        <w:rPr>
          <w:szCs w:val="21"/>
        </w:rPr>
      </w:pPr>
      <w:r>
        <w:rPr>
          <w:color w:val="000000"/>
          <w:kern w:val="0"/>
          <w:szCs w:val="21"/>
        </w:rPr>
        <w:t xml:space="preserve">4.11 </w:t>
      </w:r>
      <w:r>
        <w:rPr>
          <w:rFonts w:hint="eastAsia" w:ascii="黑体" w:hAnsi="宋体" w:eastAsia="黑体" w:cs="黑体"/>
          <w:color w:val="000000"/>
          <w:kern w:val="0"/>
          <w:szCs w:val="21"/>
        </w:rPr>
        <w:t xml:space="preserve">不利物质条件 </w:t>
      </w:r>
    </w:p>
    <w:p w14:paraId="0D760471">
      <w:pPr>
        <w:widowControl/>
        <w:jc w:val="left"/>
        <w:rPr>
          <w:szCs w:val="21"/>
        </w:rPr>
      </w:pPr>
      <w:r>
        <w:rPr>
          <w:color w:val="000000"/>
          <w:kern w:val="0"/>
          <w:szCs w:val="21"/>
        </w:rPr>
        <w:t xml:space="preserve">4.11.1 </w:t>
      </w:r>
      <w:r>
        <w:rPr>
          <w:rFonts w:hint="eastAsia" w:ascii="宋体" w:hAnsi="宋体" w:cs="宋体"/>
          <w:color w:val="000000"/>
          <w:kern w:val="0"/>
          <w:szCs w:val="21"/>
        </w:rPr>
        <w:t xml:space="preserve">不利物质条件，除专用合同条款另有约定外，是指承包人在施工场地遇到的不可预见的自然物质条件、非自然的物质障碍和污染物，包括地下和水文条件，但不包括气候条件。 </w:t>
      </w:r>
    </w:p>
    <w:p w14:paraId="06DF650A">
      <w:pPr>
        <w:widowControl/>
        <w:jc w:val="left"/>
        <w:rPr>
          <w:szCs w:val="21"/>
        </w:rPr>
      </w:pPr>
      <w:r>
        <w:rPr>
          <w:color w:val="000000"/>
          <w:kern w:val="0"/>
          <w:szCs w:val="21"/>
        </w:rPr>
        <w:t xml:space="preserve">4.11.2 </w:t>
      </w:r>
      <w:r>
        <w:rPr>
          <w:rFonts w:hint="eastAsia" w:ascii="宋体" w:hAnsi="宋体" w:cs="宋体"/>
          <w:color w:val="000000"/>
          <w:kern w:val="0"/>
          <w:szCs w:val="21"/>
        </w:rPr>
        <w:t xml:space="preserve">承包人遇到不利物质条件时，应采取适应不利物质条件的合理措施继续施工，并及时通知监理人。监理人应当及时发出指示，指示构成变更的，按第 </w:t>
      </w:r>
      <w:r>
        <w:rPr>
          <w:color w:val="000000"/>
          <w:kern w:val="0"/>
          <w:szCs w:val="21"/>
        </w:rPr>
        <w:t xml:space="preserve">15 </w:t>
      </w:r>
      <w:r>
        <w:rPr>
          <w:rFonts w:hint="eastAsia" w:ascii="宋体" w:hAnsi="宋体" w:cs="宋体"/>
          <w:color w:val="000000"/>
          <w:kern w:val="0"/>
          <w:szCs w:val="21"/>
        </w:rPr>
        <w:t xml:space="preserve">条约定办理。监理人没有发出指示的，承包人因采取合理措施而增加的费用和（或）工期延误，由发包人承担。 </w:t>
      </w:r>
    </w:p>
    <w:p w14:paraId="7A835676">
      <w:pPr>
        <w:widowControl/>
        <w:jc w:val="left"/>
        <w:rPr>
          <w:szCs w:val="21"/>
        </w:rPr>
      </w:pPr>
      <w:r>
        <w:rPr>
          <w:color w:val="000000"/>
          <w:kern w:val="0"/>
          <w:szCs w:val="21"/>
        </w:rPr>
        <w:t xml:space="preserve">5. </w:t>
      </w:r>
      <w:r>
        <w:rPr>
          <w:rFonts w:ascii="黑体" w:hAnsi="宋体" w:eastAsia="黑体" w:cs="黑体"/>
          <w:color w:val="000000"/>
          <w:kern w:val="0"/>
          <w:szCs w:val="21"/>
        </w:rPr>
        <w:t xml:space="preserve">材料和工程设备 </w:t>
      </w:r>
    </w:p>
    <w:p w14:paraId="17B21200">
      <w:pPr>
        <w:widowControl/>
        <w:jc w:val="left"/>
        <w:rPr>
          <w:szCs w:val="21"/>
        </w:rPr>
      </w:pPr>
      <w:r>
        <w:rPr>
          <w:color w:val="000000"/>
          <w:kern w:val="0"/>
          <w:szCs w:val="21"/>
        </w:rPr>
        <w:t xml:space="preserve">5.1 </w:t>
      </w:r>
      <w:r>
        <w:rPr>
          <w:rFonts w:hint="eastAsia" w:ascii="黑体" w:hAnsi="宋体" w:eastAsia="黑体" w:cs="黑体"/>
          <w:color w:val="000000"/>
          <w:kern w:val="0"/>
          <w:szCs w:val="21"/>
        </w:rPr>
        <w:t xml:space="preserve">承包人提供的材料和工程设备 </w:t>
      </w:r>
    </w:p>
    <w:p w14:paraId="353DB665">
      <w:pPr>
        <w:widowControl/>
        <w:jc w:val="left"/>
        <w:rPr>
          <w:szCs w:val="21"/>
        </w:rPr>
      </w:pPr>
      <w:r>
        <w:rPr>
          <w:color w:val="000000"/>
          <w:kern w:val="0"/>
          <w:szCs w:val="21"/>
        </w:rPr>
        <w:t xml:space="preserve">5.1.1 </w:t>
      </w:r>
      <w:r>
        <w:rPr>
          <w:rFonts w:hint="eastAsia" w:ascii="宋体" w:hAnsi="宋体" w:cs="宋体"/>
          <w:color w:val="000000"/>
          <w:kern w:val="0"/>
          <w:szCs w:val="21"/>
        </w:rPr>
        <w:t xml:space="preserve">除专用合同条款另有约定外，承包人提供的材料和工程设备均由承包人负责采购、运输和保管。承包人应对其采购的材料和工程设备负责。 </w:t>
      </w:r>
    </w:p>
    <w:p w14:paraId="3CB02A81">
      <w:pPr>
        <w:widowControl/>
        <w:jc w:val="left"/>
        <w:rPr>
          <w:szCs w:val="21"/>
        </w:rPr>
      </w:pPr>
      <w:r>
        <w:rPr>
          <w:color w:val="000000"/>
          <w:kern w:val="0"/>
          <w:szCs w:val="21"/>
        </w:rPr>
        <w:t xml:space="preserve">5.1.2 </w:t>
      </w:r>
      <w:r>
        <w:rPr>
          <w:rFonts w:hint="eastAsia" w:ascii="宋体" w:hAnsi="宋体" w:cs="宋体"/>
          <w:color w:val="000000"/>
          <w:kern w:val="0"/>
          <w:szCs w:val="21"/>
        </w:rP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 </w:t>
      </w:r>
    </w:p>
    <w:p w14:paraId="096B1DE5">
      <w:pPr>
        <w:widowControl/>
        <w:jc w:val="left"/>
        <w:rPr>
          <w:szCs w:val="21"/>
        </w:rPr>
      </w:pPr>
      <w:r>
        <w:rPr>
          <w:color w:val="000000"/>
          <w:kern w:val="0"/>
          <w:szCs w:val="21"/>
        </w:rPr>
        <w:t xml:space="preserve">5.1.3 </w:t>
      </w:r>
      <w:r>
        <w:rPr>
          <w:rFonts w:hint="eastAsia" w:ascii="宋体" w:hAnsi="宋体" w:cs="宋体"/>
          <w:color w:val="000000"/>
          <w:kern w:val="0"/>
          <w:szCs w:val="21"/>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 </w:t>
      </w:r>
    </w:p>
    <w:p w14:paraId="1498B9A9">
      <w:pPr>
        <w:widowControl/>
        <w:jc w:val="left"/>
        <w:rPr>
          <w:szCs w:val="21"/>
        </w:rPr>
      </w:pPr>
      <w:r>
        <w:rPr>
          <w:color w:val="000000"/>
          <w:kern w:val="0"/>
          <w:szCs w:val="21"/>
        </w:rPr>
        <w:t xml:space="preserve">5.2 </w:t>
      </w:r>
      <w:r>
        <w:rPr>
          <w:rFonts w:hint="eastAsia" w:ascii="黑体" w:hAnsi="宋体" w:eastAsia="黑体" w:cs="黑体"/>
          <w:color w:val="000000"/>
          <w:kern w:val="0"/>
          <w:szCs w:val="21"/>
        </w:rPr>
        <w:t xml:space="preserve">发包人提供的材料和工程设备 </w:t>
      </w:r>
    </w:p>
    <w:p w14:paraId="36D94ADA">
      <w:pPr>
        <w:widowControl/>
        <w:jc w:val="left"/>
        <w:rPr>
          <w:szCs w:val="21"/>
        </w:rPr>
      </w:pPr>
      <w:r>
        <w:rPr>
          <w:color w:val="000000"/>
          <w:kern w:val="0"/>
          <w:szCs w:val="21"/>
        </w:rPr>
        <w:t xml:space="preserve">5.2.1 </w:t>
      </w:r>
      <w:r>
        <w:rPr>
          <w:rFonts w:hint="eastAsia" w:ascii="宋体" w:hAnsi="宋体" w:cs="宋体"/>
          <w:color w:val="000000"/>
          <w:kern w:val="0"/>
          <w:szCs w:val="21"/>
        </w:rPr>
        <w:t xml:space="preserve">发包人提供的材料和工程设备，应在专用合同条款中写明材料和工程设备的名称、规格、数量、价格、交货方式、交货地点和计划交货日期等。 </w:t>
      </w:r>
    </w:p>
    <w:p w14:paraId="4E011322">
      <w:pPr>
        <w:widowControl/>
        <w:jc w:val="left"/>
        <w:rPr>
          <w:szCs w:val="21"/>
        </w:rPr>
      </w:pPr>
      <w:r>
        <w:rPr>
          <w:color w:val="000000"/>
          <w:kern w:val="0"/>
          <w:szCs w:val="21"/>
        </w:rPr>
        <w:t xml:space="preserve">5.2.2 </w:t>
      </w:r>
      <w:r>
        <w:rPr>
          <w:rFonts w:hint="eastAsia" w:ascii="宋体" w:hAnsi="宋体" w:cs="宋体"/>
          <w:color w:val="000000"/>
          <w:kern w:val="0"/>
          <w:szCs w:val="21"/>
        </w:rPr>
        <w:t xml:space="preserve">承包人应根据合同进度计划的安排，向监理人报送要求发包人交货的日期计划。发包人应按照监理人与合同双方当事人商定的交货日期，向承包人提交材料和工程设备。 </w:t>
      </w:r>
    </w:p>
    <w:p w14:paraId="1A9D4182">
      <w:pPr>
        <w:widowControl/>
        <w:jc w:val="left"/>
        <w:rPr>
          <w:szCs w:val="21"/>
        </w:rPr>
      </w:pPr>
      <w:r>
        <w:rPr>
          <w:color w:val="000000"/>
          <w:kern w:val="0"/>
          <w:szCs w:val="21"/>
        </w:rPr>
        <w:t xml:space="preserve">5.2.3 </w:t>
      </w:r>
      <w:r>
        <w:rPr>
          <w:rFonts w:hint="eastAsia" w:ascii="宋体" w:hAnsi="宋体" w:cs="宋体"/>
          <w:color w:val="000000"/>
          <w:kern w:val="0"/>
          <w:szCs w:val="21"/>
        </w:rPr>
        <w:t xml:space="preserve">发包人应在材料和工程设备到货 </w:t>
      </w:r>
      <w:r>
        <w:rPr>
          <w:color w:val="000000"/>
          <w:kern w:val="0"/>
          <w:szCs w:val="21"/>
        </w:rPr>
        <w:t xml:space="preserve">7 </w:t>
      </w:r>
      <w:r>
        <w:rPr>
          <w:rFonts w:hint="eastAsia" w:ascii="宋体" w:hAnsi="宋体" w:cs="宋体"/>
          <w:color w:val="000000"/>
          <w:kern w:val="0"/>
          <w:szCs w:val="21"/>
        </w:rPr>
        <w:t xml:space="preserve">天前通知承包人，承包人应会同监理人在约定的时间内，赴交货地点共同进行验收。除专用合同条款另有约定外，发包人提供的材料和工程设备验收后，由承包人负责接收、运输和保管。 </w:t>
      </w:r>
    </w:p>
    <w:p w14:paraId="4AD0226B">
      <w:pPr>
        <w:widowControl/>
        <w:jc w:val="left"/>
        <w:rPr>
          <w:szCs w:val="21"/>
        </w:rPr>
      </w:pPr>
      <w:r>
        <w:rPr>
          <w:color w:val="000000"/>
          <w:kern w:val="0"/>
          <w:szCs w:val="21"/>
        </w:rPr>
        <w:t xml:space="preserve">5.2.4 </w:t>
      </w:r>
      <w:r>
        <w:rPr>
          <w:rFonts w:hint="eastAsia" w:ascii="宋体" w:hAnsi="宋体" w:cs="宋体"/>
          <w:color w:val="000000"/>
          <w:kern w:val="0"/>
          <w:szCs w:val="21"/>
        </w:rPr>
        <w:t xml:space="preserve">发包人要求向承包人提前交货的，承包人不得拒绝，但发包人应承担承包人由此增加的费用。 </w:t>
      </w:r>
    </w:p>
    <w:p w14:paraId="1084858C">
      <w:pPr>
        <w:widowControl/>
        <w:jc w:val="left"/>
        <w:rPr>
          <w:szCs w:val="21"/>
        </w:rPr>
      </w:pPr>
      <w:r>
        <w:rPr>
          <w:color w:val="000000"/>
          <w:kern w:val="0"/>
          <w:szCs w:val="21"/>
        </w:rPr>
        <w:t xml:space="preserve">5.2.5 </w:t>
      </w:r>
      <w:r>
        <w:rPr>
          <w:rFonts w:hint="eastAsia" w:ascii="宋体" w:hAnsi="宋体" w:cs="宋体"/>
          <w:color w:val="000000"/>
          <w:kern w:val="0"/>
          <w:szCs w:val="21"/>
        </w:rPr>
        <w:t xml:space="preserve">承包人要求更改交货日期或地点的，应事先报请监理人批准。由于承包人要求更改交货时间或地点所增加的费用和（或）工期延误由承包人承担。 </w:t>
      </w:r>
    </w:p>
    <w:p w14:paraId="3F7B2879">
      <w:pPr>
        <w:widowControl/>
        <w:jc w:val="left"/>
        <w:rPr>
          <w:szCs w:val="21"/>
        </w:rPr>
      </w:pPr>
      <w:r>
        <w:rPr>
          <w:color w:val="000000"/>
          <w:kern w:val="0"/>
          <w:szCs w:val="21"/>
        </w:rPr>
        <w:t xml:space="preserve">5.2.6 </w:t>
      </w:r>
      <w:r>
        <w:rPr>
          <w:rFonts w:hint="eastAsia" w:ascii="宋体" w:hAnsi="宋体" w:cs="宋体"/>
          <w:color w:val="000000"/>
          <w:kern w:val="0"/>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 </w:t>
      </w:r>
    </w:p>
    <w:p w14:paraId="64F36F3B">
      <w:pPr>
        <w:widowControl/>
        <w:jc w:val="left"/>
        <w:rPr>
          <w:szCs w:val="21"/>
        </w:rPr>
      </w:pPr>
      <w:r>
        <w:rPr>
          <w:color w:val="000000"/>
          <w:kern w:val="0"/>
          <w:szCs w:val="21"/>
        </w:rPr>
        <w:t xml:space="preserve">5.3 </w:t>
      </w:r>
      <w:r>
        <w:rPr>
          <w:rFonts w:ascii="黑体" w:hAnsi="宋体" w:eastAsia="黑体" w:cs="黑体"/>
          <w:color w:val="000000"/>
          <w:kern w:val="0"/>
          <w:szCs w:val="21"/>
        </w:rPr>
        <w:t xml:space="preserve">材料和工程设备专用于合同工程 </w:t>
      </w:r>
    </w:p>
    <w:p w14:paraId="0847AC5F">
      <w:pPr>
        <w:widowControl/>
        <w:jc w:val="left"/>
        <w:rPr>
          <w:szCs w:val="21"/>
        </w:rPr>
      </w:pPr>
      <w:r>
        <w:rPr>
          <w:color w:val="000000"/>
          <w:kern w:val="0"/>
          <w:szCs w:val="21"/>
        </w:rPr>
        <w:t xml:space="preserve">5.3.1 </w:t>
      </w:r>
      <w:r>
        <w:rPr>
          <w:rFonts w:hint="eastAsia" w:ascii="宋体" w:hAnsi="宋体" w:cs="宋体"/>
          <w:color w:val="000000"/>
          <w:kern w:val="0"/>
          <w:szCs w:val="21"/>
        </w:rPr>
        <w:t xml:space="preserve">运入施工场地的材料、工程设备，包括备品备件、安装专用工器具与随机资料，必须专用于合同工程，未经监理人同意，承包人不得运出施工场地或挪作他用。 </w:t>
      </w:r>
    </w:p>
    <w:p w14:paraId="5C8E1475">
      <w:pPr>
        <w:widowControl/>
        <w:jc w:val="left"/>
        <w:rPr>
          <w:szCs w:val="21"/>
        </w:rPr>
      </w:pPr>
      <w:r>
        <w:rPr>
          <w:color w:val="000000"/>
          <w:kern w:val="0"/>
          <w:szCs w:val="21"/>
        </w:rPr>
        <w:t xml:space="preserve">5.3.2 </w:t>
      </w:r>
      <w:r>
        <w:rPr>
          <w:rFonts w:hint="eastAsia" w:ascii="宋体" w:hAnsi="宋体" w:cs="宋体"/>
          <w:color w:val="000000"/>
          <w:kern w:val="0"/>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 </w:t>
      </w:r>
    </w:p>
    <w:p w14:paraId="64DF6F88">
      <w:pPr>
        <w:widowControl/>
        <w:jc w:val="left"/>
        <w:rPr>
          <w:szCs w:val="21"/>
        </w:rPr>
      </w:pPr>
      <w:r>
        <w:rPr>
          <w:color w:val="000000"/>
          <w:kern w:val="0"/>
          <w:szCs w:val="21"/>
        </w:rPr>
        <w:t xml:space="preserve">5.4 </w:t>
      </w:r>
      <w:r>
        <w:rPr>
          <w:rFonts w:hint="eastAsia" w:ascii="黑体" w:hAnsi="宋体" w:eastAsia="黑体" w:cs="黑体"/>
          <w:color w:val="000000"/>
          <w:kern w:val="0"/>
          <w:szCs w:val="21"/>
        </w:rPr>
        <w:t xml:space="preserve">禁止使用不合格的材料和工程设备 </w:t>
      </w:r>
    </w:p>
    <w:p w14:paraId="35004F6C">
      <w:pPr>
        <w:widowControl/>
        <w:jc w:val="left"/>
        <w:rPr>
          <w:szCs w:val="21"/>
        </w:rPr>
      </w:pPr>
      <w:r>
        <w:rPr>
          <w:color w:val="000000"/>
          <w:kern w:val="0"/>
          <w:szCs w:val="21"/>
        </w:rPr>
        <w:t xml:space="preserve">5.4.1 </w:t>
      </w:r>
      <w:r>
        <w:rPr>
          <w:rFonts w:hint="eastAsia" w:ascii="宋体" w:hAnsi="宋体" w:cs="宋体"/>
          <w:color w:val="000000"/>
          <w:kern w:val="0"/>
          <w:szCs w:val="21"/>
        </w:rPr>
        <w:t xml:space="preserve">监理人有权拒绝承包人提供的不合格材料或工程设备，并要求承包人立即进行更换。监理人应在更换后再次进行检查和检验，由此增加的费用和（或）工期延误由承包人承担。 </w:t>
      </w:r>
    </w:p>
    <w:p w14:paraId="1ED0F338">
      <w:pPr>
        <w:widowControl/>
        <w:jc w:val="left"/>
        <w:rPr>
          <w:szCs w:val="21"/>
        </w:rPr>
      </w:pPr>
      <w:r>
        <w:rPr>
          <w:color w:val="000000"/>
          <w:kern w:val="0"/>
          <w:szCs w:val="21"/>
        </w:rPr>
        <w:t xml:space="preserve">5.4.2 </w:t>
      </w:r>
      <w:r>
        <w:rPr>
          <w:rFonts w:hint="eastAsia" w:ascii="宋体" w:hAnsi="宋体" w:cs="宋体"/>
          <w:color w:val="000000"/>
          <w:kern w:val="0"/>
          <w:szCs w:val="21"/>
        </w:rPr>
        <w:t xml:space="preserve">监理人发现承包人使用了不合格的材料和工程设备，应即时发出指示要求承包人立即改正，并禁止在工程中继续使用不合格的材料和工程设备。 </w:t>
      </w:r>
    </w:p>
    <w:p w14:paraId="053F5F32">
      <w:pPr>
        <w:widowControl/>
        <w:jc w:val="left"/>
        <w:rPr>
          <w:szCs w:val="21"/>
        </w:rPr>
      </w:pPr>
      <w:r>
        <w:rPr>
          <w:color w:val="000000"/>
          <w:kern w:val="0"/>
          <w:szCs w:val="21"/>
        </w:rPr>
        <w:t xml:space="preserve">5.4.3 </w:t>
      </w:r>
      <w:r>
        <w:rPr>
          <w:rFonts w:hint="eastAsia" w:ascii="宋体" w:hAnsi="宋体" w:cs="宋体"/>
          <w:color w:val="000000"/>
          <w:kern w:val="0"/>
          <w:szCs w:val="21"/>
        </w:rPr>
        <w:t xml:space="preserve">发包人提供的材料或工程设备不符合合同要求的，承包人有权拒绝，并可要求发包人更换，由此增加的费用和（或）工期延误由发包人承担。 </w:t>
      </w:r>
    </w:p>
    <w:p w14:paraId="164B88C1">
      <w:pPr>
        <w:widowControl/>
        <w:jc w:val="left"/>
        <w:rPr>
          <w:szCs w:val="21"/>
        </w:rPr>
      </w:pPr>
      <w:r>
        <w:rPr>
          <w:color w:val="000000"/>
          <w:kern w:val="0"/>
          <w:szCs w:val="21"/>
        </w:rPr>
        <w:t xml:space="preserve">6. </w:t>
      </w:r>
      <w:r>
        <w:rPr>
          <w:rFonts w:hint="eastAsia" w:ascii="黑体" w:hAnsi="宋体" w:eastAsia="黑体" w:cs="黑体"/>
          <w:color w:val="000000"/>
          <w:kern w:val="0"/>
          <w:szCs w:val="21"/>
        </w:rPr>
        <w:t xml:space="preserve">施工设备和临时设施 </w:t>
      </w:r>
    </w:p>
    <w:p w14:paraId="09082099">
      <w:pPr>
        <w:widowControl/>
        <w:jc w:val="left"/>
        <w:rPr>
          <w:szCs w:val="21"/>
        </w:rPr>
      </w:pPr>
      <w:r>
        <w:rPr>
          <w:color w:val="000000"/>
          <w:kern w:val="0"/>
          <w:szCs w:val="21"/>
        </w:rPr>
        <w:t xml:space="preserve">6.1 </w:t>
      </w:r>
      <w:r>
        <w:rPr>
          <w:rFonts w:hint="eastAsia" w:ascii="黑体" w:hAnsi="宋体" w:eastAsia="黑体" w:cs="黑体"/>
          <w:color w:val="000000"/>
          <w:kern w:val="0"/>
          <w:szCs w:val="21"/>
        </w:rPr>
        <w:t xml:space="preserve">承包人提供的施工设备和临时设施 </w:t>
      </w:r>
    </w:p>
    <w:p w14:paraId="14D5F177">
      <w:pPr>
        <w:widowControl/>
        <w:jc w:val="left"/>
        <w:rPr>
          <w:szCs w:val="21"/>
        </w:rPr>
      </w:pPr>
      <w:r>
        <w:rPr>
          <w:color w:val="000000"/>
          <w:kern w:val="0"/>
          <w:szCs w:val="21"/>
        </w:rPr>
        <w:t xml:space="preserve">6.1.1 </w:t>
      </w:r>
      <w:r>
        <w:rPr>
          <w:rFonts w:hint="eastAsia" w:ascii="宋体" w:hAnsi="宋体" w:cs="宋体"/>
          <w:color w:val="000000"/>
          <w:kern w:val="0"/>
          <w:szCs w:val="21"/>
        </w:rPr>
        <w:t xml:space="preserve">承包人应按合同进度计划的要求，及时配置施工设备和修建临时设施。进入施工场地的承包人设备需经监理人核查后才能投入使用。承包人更换合同约定的承包人设备的，应报监理人批准。 </w:t>
      </w:r>
    </w:p>
    <w:p w14:paraId="316F193F">
      <w:pPr>
        <w:widowControl/>
        <w:jc w:val="left"/>
        <w:rPr>
          <w:szCs w:val="21"/>
        </w:rPr>
      </w:pPr>
      <w:r>
        <w:rPr>
          <w:color w:val="000000"/>
          <w:kern w:val="0"/>
          <w:szCs w:val="21"/>
        </w:rPr>
        <w:t xml:space="preserve">6.1.2 </w:t>
      </w:r>
      <w:r>
        <w:rPr>
          <w:rFonts w:hint="eastAsia" w:ascii="宋体" w:hAnsi="宋体" w:cs="宋体"/>
          <w:color w:val="000000"/>
          <w:kern w:val="0"/>
          <w:szCs w:val="21"/>
        </w:rPr>
        <w:t xml:space="preserve">除专用合同条款另有约定外，承包人应自行承担修建临时设施的费用，需要临时占地的，应由发包人办理申请手续并承担相应费用。 </w:t>
      </w:r>
    </w:p>
    <w:p w14:paraId="7A0F5F01">
      <w:pPr>
        <w:widowControl/>
        <w:jc w:val="left"/>
        <w:rPr>
          <w:szCs w:val="21"/>
        </w:rPr>
      </w:pPr>
      <w:r>
        <w:rPr>
          <w:color w:val="000000"/>
          <w:kern w:val="0"/>
          <w:szCs w:val="21"/>
        </w:rPr>
        <w:t xml:space="preserve">6.2 </w:t>
      </w:r>
      <w:r>
        <w:rPr>
          <w:rFonts w:hint="eastAsia" w:ascii="黑体" w:hAnsi="宋体" w:eastAsia="黑体" w:cs="黑体"/>
          <w:color w:val="000000"/>
          <w:kern w:val="0"/>
          <w:szCs w:val="21"/>
        </w:rPr>
        <w:t xml:space="preserve">发包人提供的施工设备和临时设施 </w:t>
      </w:r>
    </w:p>
    <w:p w14:paraId="691F76BC">
      <w:pPr>
        <w:widowControl/>
        <w:jc w:val="left"/>
        <w:rPr>
          <w:szCs w:val="21"/>
        </w:rPr>
      </w:pPr>
      <w:r>
        <w:rPr>
          <w:rFonts w:hint="eastAsia" w:ascii="宋体" w:hAnsi="宋体" w:cs="宋体"/>
          <w:color w:val="000000"/>
          <w:kern w:val="0"/>
          <w:szCs w:val="21"/>
        </w:rPr>
        <w:t>发包人提供的施工设备或临时设施在专用合同条款中约定</w:t>
      </w:r>
    </w:p>
    <w:p w14:paraId="383E8D29">
      <w:pPr>
        <w:widowControl/>
        <w:jc w:val="left"/>
        <w:rPr>
          <w:szCs w:val="21"/>
        </w:rPr>
      </w:pPr>
      <w:r>
        <w:rPr>
          <w:color w:val="000000"/>
          <w:kern w:val="0"/>
          <w:szCs w:val="21"/>
        </w:rPr>
        <w:t xml:space="preserve">6.3 </w:t>
      </w:r>
      <w:r>
        <w:rPr>
          <w:rFonts w:ascii="黑体" w:hAnsi="宋体" w:eastAsia="黑体" w:cs="黑体"/>
          <w:color w:val="000000"/>
          <w:kern w:val="0"/>
          <w:szCs w:val="21"/>
        </w:rPr>
        <w:t xml:space="preserve">要求承包人增加或更换施工设备 </w:t>
      </w:r>
    </w:p>
    <w:p w14:paraId="0504176C">
      <w:pPr>
        <w:widowControl/>
        <w:jc w:val="left"/>
        <w:rPr>
          <w:szCs w:val="21"/>
        </w:rPr>
      </w:pPr>
      <w:r>
        <w:rPr>
          <w:rFonts w:hint="eastAsia" w:ascii="宋体" w:hAnsi="宋体" w:cs="宋体"/>
          <w:color w:val="000000"/>
          <w:kern w:val="0"/>
          <w:szCs w:val="21"/>
        </w:rPr>
        <w:t xml:space="preserve">承包人使用的施工设备不能满足合同进度计划和（或）质量要求时，监理人有权要求承包人增加或更换施工设备，承包人应及时增加或更换，由此增加的费用和（或）工期延误由承包人承担。 </w:t>
      </w:r>
    </w:p>
    <w:p w14:paraId="081A8879">
      <w:pPr>
        <w:widowControl/>
        <w:jc w:val="left"/>
        <w:rPr>
          <w:szCs w:val="21"/>
        </w:rPr>
      </w:pPr>
      <w:r>
        <w:rPr>
          <w:color w:val="000000"/>
          <w:kern w:val="0"/>
          <w:szCs w:val="21"/>
        </w:rPr>
        <w:t xml:space="preserve">6.4 </w:t>
      </w:r>
      <w:r>
        <w:rPr>
          <w:rFonts w:hint="eastAsia" w:ascii="黑体" w:hAnsi="宋体" w:eastAsia="黑体" w:cs="黑体"/>
          <w:color w:val="000000"/>
          <w:kern w:val="0"/>
          <w:szCs w:val="21"/>
        </w:rPr>
        <w:t xml:space="preserve">施工设备和临时设施专用于合同工程 </w:t>
      </w:r>
    </w:p>
    <w:p w14:paraId="5168B393">
      <w:pPr>
        <w:widowControl/>
        <w:jc w:val="left"/>
        <w:rPr>
          <w:szCs w:val="21"/>
        </w:rPr>
      </w:pPr>
      <w:r>
        <w:rPr>
          <w:color w:val="000000"/>
          <w:kern w:val="0"/>
          <w:szCs w:val="21"/>
        </w:rPr>
        <w:t xml:space="preserve">6.4.1 </w:t>
      </w:r>
      <w:r>
        <w:rPr>
          <w:rFonts w:hint="eastAsia" w:ascii="宋体" w:hAnsi="宋体" w:cs="宋体"/>
          <w:color w:val="000000"/>
          <w:kern w:val="0"/>
          <w:szCs w:val="21"/>
        </w:rPr>
        <w:t xml:space="preserve">除合同另有约定外，运入施工场地的所有施工设备以及在施工场地建设的临时设施应专用于合同工程。未经监理人同意，不得将上述施工设备和临时设施中的任何部分运出施工场地或挪作他用。 </w:t>
      </w:r>
    </w:p>
    <w:p w14:paraId="69FA602D">
      <w:pPr>
        <w:widowControl/>
        <w:jc w:val="left"/>
        <w:rPr>
          <w:szCs w:val="21"/>
        </w:rPr>
      </w:pPr>
      <w:r>
        <w:rPr>
          <w:color w:val="000000"/>
          <w:kern w:val="0"/>
          <w:szCs w:val="21"/>
        </w:rPr>
        <w:t xml:space="preserve">6.4.2 </w:t>
      </w:r>
      <w:r>
        <w:rPr>
          <w:rFonts w:hint="eastAsia" w:ascii="宋体" w:hAnsi="宋体" w:cs="宋体"/>
          <w:color w:val="000000"/>
          <w:kern w:val="0"/>
          <w:szCs w:val="21"/>
        </w:rPr>
        <w:t xml:space="preserve">经监理人同意，承包人可根据合同进度计划撤走闲置的施工设备。 </w:t>
      </w:r>
    </w:p>
    <w:p w14:paraId="2C5399F8">
      <w:pPr>
        <w:widowControl/>
        <w:jc w:val="left"/>
        <w:rPr>
          <w:szCs w:val="21"/>
        </w:rPr>
      </w:pPr>
      <w:r>
        <w:rPr>
          <w:color w:val="000000"/>
          <w:kern w:val="0"/>
          <w:szCs w:val="21"/>
        </w:rPr>
        <w:t xml:space="preserve">7. </w:t>
      </w:r>
      <w:r>
        <w:rPr>
          <w:rFonts w:hint="eastAsia" w:ascii="黑体" w:hAnsi="宋体" w:eastAsia="黑体" w:cs="黑体"/>
          <w:color w:val="000000"/>
          <w:kern w:val="0"/>
          <w:szCs w:val="21"/>
        </w:rPr>
        <w:t xml:space="preserve">交通运输 </w:t>
      </w:r>
    </w:p>
    <w:p w14:paraId="12B28B08">
      <w:pPr>
        <w:widowControl/>
        <w:jc w:val="left"/>
        <w:rPr>
          <w:szCs w:val="21"/>
        </w:rPr>
      </w:pPr>
      <w:r>
        <w:rPr>
          <w:color w:val="000000"/>
          <w:kern w:val="0"/>
          <w:szCs w:val="21"/>
        </w:rPr>
        <w:t xml:space="preserve">7.1 </w:t>
      </w:r>
      <w:r>
        <w:rPr>
          <w:rFonts w:hint="eastAsia" w:ascii="黑体" w:hAnsi="宋体" w:eastAsia="黑体" w:cs="黑体"/>
          <w:color w:val="000000"/>
          <w:kern w:val="0"/>
          <w:szCs w:val="21"/>
        </w:rPr>
        <w:t xml:space="preserve">道路通行权和场外设施 </w:t>
      </w:r>
    </w:p>
    <w:p w14:paraId="146323B1">
      <w:pPr>
        <w:widowControl/>
        <w:jc w:val="left"/>
        <w:rPr>
          <w:szCs w:val="21"/>
        </w:rPr>
      </w:pPr>
      <w:r>
        <w:rPr>
          <w:rFonts w:hint="eastAsia" w:ascii="宋体" w:hAnsi="宋体" w:cs="宋体"/>
          <w:color w:val="000000"/>
          <w:kern w:val="0"/>
          <w:szCs w:val="21"/>
        </w:rPr>
        <w:t xml:space="preserve">除专用合同条款另有约定外，发包人应根据合同工程的施工需要，负责办理取得出入施工场地的专用和临时道路的通行权，以及取得为工程建设所需修建场外设施的权利，并承担有关费用。承包人应协助发包人办理上述手续。 </w:t>
      </w:r>
    </w:p>
    <w:p w14:paraId="496B56A5">
      <w:pPr>
        <w:widowControl/>
        <w:jc w:val="left"/>
        <w:rPr>
          <w:szCs w:val="21"/>
        </w:rPr>
      </w:pPr>
      <w:r>
        <w:rPr>
          <w:color w:val="000000"/>
          <w:kern w:val="0"/>
          <w:szCs w:val="21"/>
        </w:rPr>
        <w:t xml:space="preserve">7.2 </w:t>
      </w:r>
      <w:r>
        <w:rPr>
          <w:rFonts w:hint="eastAsia" w:ascii="黑体" w:hAnsi="宋体" w:eastAsia="黑体" w:cs="黑体"/>
          <w:color w:val="000000"/>
          <w:kern w:val="0"/>
          <w:szCs w:val="21"/>
        </w:rPr>
        <w:t xml:space="preserve">场内施工道路 </w:t>
      </w:r>
    </w:p>
    <w:p w14:paraId="778BA58E">
      <w:pPr>
        <w:widowControl/>
        <w:jc w:val="left"/>
        <w:rPr>
          <w:szCs w:val="21"/>
        </w:rPr>
      </w:pPr>
      <w:r>
        <w:rPr>
          <w:color w:val="000000"/>
          <w:kern w:val="0"/>
          <w:szCs w:val="21"/>
        </w:rPr>
        <w:t xml:space="preserve">7.2.1 </w:t>
      </w:r>
      <w:r>
        <w:rPr>
          <w:rFonts w:hint="eastAsia" w:ascii="宋体" w:hAnsi="宋体" w:cs="宋体"/>
          <w:color w:val="000000"/>
          <w:kern w:val="0"/>
          <w:szCs w:val="21"/>
        </w:rPr>
        <w:t xml:space="preserve">除专用合同条款另有约定外，承包人应负责修建、维修、养护和管理施工所需的临时道路和交通设施，包括维修、养护和管理发包人提供的道路和交通设施，并承担相应费用。 </w:t>
      </w:r>
    </w:p>
    <w:p w14:paraId="64D302BA">
      <w:pPr>
        <w:widowControl/>
        <w:jc w:val="left"/>
        <w:rPr>
          <w:szCs w:val="21"/>
        </w:rPr>
      </w:pPr>
      <w:r>
        <w:rPr>
          <w:color w:val="000000"/>
          <w:kern w:val="0"/>
          <w:szCs w:val="21"/>
        </w:rPr>
        <w:t xml:space="preserve">7.2.2 </w:t>
      </w:r>
      <w:r>
        <w:rPr>
          <w:rFonts w:hint="eastAsia" w:ascii="宋体" w:hAnsi="宋体" w:cs="宋体"/>
          <w:color w:val="000000"/>
          <w:kern w:val="0"/>
          <w:szCs w:val="21"/>
        </w:rPr>
        <w:t xml:space="preserve">除专用合同条款另有约定外，承包人修建的临时道路和交通设施应免费提供发包人和监理人使用。 </w:t>
      </w:r>
    </w:p>
    <w:p w14:paraId="4750AEDA">
      <w:pPr>
        <w:widowControl/>
        <w:jc w:val="left"/>
        <w:rPr>
          <w:szCs w:val="21"/>
        </w:rPr>
      </w:pPr>
      <w:r>
        <w:rPr>
          <w:color w:val="000000"/>
          <w:kern w:val="0"/>
          <w:szCs w:val="21"/>
        </w:rPr>
        <w:t xml:space="preserve">7.3 </w:t>
      </w:r>
      <w:r>
        <w:rPr>
          <w:rFonts w:hint="eastAsia" w:ascii="黑体" w:hAnsi="宋体" w:eastAsia="黑体" w:cs="黑体"/>
          <w:color w:val="000000"/>
          <w:kern w:val="0"/>
          <w:szCs w:val="21"/>
        </w:rPr>
        <w:t xml:space="preserve">场外交通 </w:t>
      </w:r>
    </w:p>
    <w:p w14:paraId="609A19EA">
      <w:pPr>
        <w:widowControl/>
        <w:jc w:val="left"/>
        <w:rPr>
          <w:szCs w:val="21"/>
        </w:rPr>
      </w:pPr>
      <w:r>
        <w:rPr>
          <w:color w:val="000000"/>
          <w:kern w:val="0"/>
          <w:szCs w:val="21"/>
        </w:rPr>
        <w:t xml:space="preserve">7.3.1 </w:t>
      </w:r>
      <w:r>
        <w:rPr>
          <w:rFonts w:hint="eastAsia" w:ascii="宋体" w:hAnsi="宋体" w:cs="宋体"/>
          <w:color w:val="000000"/>
          <w:kern w:val="0"/>
          <w:szCs w:val="21"/>
        </w:rPr>
        <w:t xml:space="preserve">承包人车辆外出行驶所需的场外公共道路的通行费、养路费和税款等由承包人承担。 </w:t>
      </w:r>
    </w:p>
    <w:p w14:paraId="1B5BA863">
      <w:pPr>
        <w:widowControl/>
        <w:jc w:val="left"/>
        <w:rPr>
          <w:szCs w:val="21"/>
        </w:rPr>
      </w:pPr>
      <w:r>
        <w:rPr>
          <w:color w:val="000000"/>
          <w:kern w:val="0"/>
          <w:szCs w:val="21"/>
        </w:rPr>
        <w:t xml:space="preserve">7.3.2 </w:t>
      </w:r>
      <w:r>
        <w:rPr>
          <w:rFonts w:hint="eastAsia" w:ascii="宋体" w:hAnsi="宋体" w:cs="宋体"/>
          <w:color w:val="000000"/>
          <w:kern w:val="0"/>
          <w:szCs w:val="21"/>
        </w:rPr>
        <w:t>承包人应遵守有关交通法规，严格按照道路和桥梁的限制荷重安全行驶，并服从交通管理部门的检查和监督。</w:t>
      </w:r>
    </w:p>
    <w:p w14:paraId="7FD86D17">
      <w:pPr>
        <w:widowControl/>
        <w:jc w:val="left"/>
        <w:rPr>
          <w:szCs w:val="21"/>
        </w:rPr>
      </w:pPr>
      <w:r>
        <w:rPr>
          <w:color w:val="000000"/>
          <w:kern w:val="0"/>
          <w:szCs w:val="21"/>
        </w:rPr>
        <w:t xml:space="preserve">7.4 </w:t>
      </w:r>
      <w:r>
        <w:rPr>
          <w:rFonts w:ascii="黑体" w:hAnsi="宋体" w:eastAsia="黑体" w:cs="黑体"/>
          <w:color w:val="000000"/>
          <w:kern w:val="0"/>
          <w:szCs w:val="21"/>
        </w:rPr>
        <w:t xml:space="preserve">超大件和超重件的运输 </w:t>
      </w:r>
    </w:p>
    <w:p w14:paraId="61A43643">
      <w:pPr>
        <w:widowControl/>
        <w:jc w:val="left"/>
        <w:rPr>
          <w:szCs w:val="21"/>
        </w:rPr>
      </w:pPr>
      <w:r>
        <w:rPr>
          <w:rFonts w:hint="eastAsia" w:ascii="宋体" w:hAnsi="宋体" w:cs="宋体"/>
          <w:color w:val="000000"/>
          <w:kern w:val="0"/>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 </w:t>
      </w:r>
    </w:p>
    <w:p w14:paraId="61F2EDEC">
      <w:pPr>
        <w:widowControl/>
        <w:jc w:val="left"/>
        <w:rPr>
          <w:szCs w:val="21"/>
        </w:rPr>
      </w:pPr>
      <w:r>
        <w:rPr>
          <w:color w:val="000000"/>
          <w:kern w:val="0"/>
          <w:szCs w:val="21"/>
        </w:rPr>
        <w:t xml:space="preserve">7.5 </w:t>
      </w:r>
      <w:r>
        <w:rPr>
          <w:rFonts w:hint="eastAsia" w:ascii="黑体" w:hAnsi="宋体" w:eastAsia="黑体" w:cs="黑体"/>
          <w:color w:val="000000"/>
          <w:kern w:val="0"/>
          <w:szCs w:val="21"/>
        </w:rPr>
        <w:t xml:space="preserve">道路和桥梁的损坏责任 </w:t>
      </w:r>
    </w:p>
    <w:p w14:paraId="3F9E00E4">
      <w:pPr>
        <w:widowControl/>
        <w:jc w:val="left"/>
        <w:rPr>
          <w:szCs w:val="21"/>
        </w:rPr>
      </w:pPr>
      <w:r>
        <w:rPr>
          <w:rFonts w:hint="eastAsia" w:ascii="宋体" w:hAnsi="宋体" w:cs="宋体"/>
          <w:color w:val="000000"/>
          <w:kern w:val="0"/>
          <w:szCs w:val="21"/>
        </w:rPr>
        <w:t xml:space="preserve">因承包人运输造成施工场地内外公共道路和桥梁损坏的，由承包人承担修复损坏的全部费用和可能引起的赔偿。 </w:t>
      </w:r>
    </w:p>
    <w:p w14:paraId="00E41BBA">
      <w:pPr>
        <w:widowControl/>
        <w:jc w:val="left"/>
        <w:rPr>
          <w:szCs w:val="21"/>
        </w:rPr>
      </w:pPr>
      <w:r>
        <w:rPr>
          <w:color w:val="000000"/>
          <w:kern w:val="0"/>
          <w:szCs w:val="21"/>
        </w:rPr>
        <w:t xml:space="preserve">7.6 </w:t>
      </w:r>
      <w:r>
        <w:rPr>
          <w:rFonts w:hint="eastAsia" w:ascii="黑体" w:hAnsi="宋体" w:eastAsia="黑体" w:cs="黑体"/>
          <w:color w:val="000000"/>
          <w:kern w:val="0"/>
          <w:szCs w:val="21"/>
        </w:rPr>
        <w:t xml:space="preserve">水路和航空运输 </w:t>
      </w:r>
    </w:p>
    <w:p w14:paraId="78D84981">
      <w:pPr>
        <w:widowControl/>
        <w:jc w:val="left"/>
        <w:rPr>
          <w:szCs w:val="21"/>
        </w:rPr>
      </w:pPr>
      <w:r>
        <w:rPr>
          <w:rFonts w:hint="eastAsia" w:ascii="宋体" w:hAnsi="宋体" w:cs="宋体"/>
          <w:color w:val="000000"/>
          <w:kern w:val="0"/>
          <w:szCs w:val="21"/>
        </w:rPr>
        <w:t xml:space="preserve">本条上述各款的内容适用于水路运输和航空运输，其中“道路”一词的涵义包括河道、航线、船闸、机场、码头、堤防以及水路或航空运输中其他相似结构物；“车辆”一词的涵义包括船舶和飞机等。 </w:t>
      </w:r>
    </w:p>
    <w:p w14:paraId="015729A3">
      <w:pPr>
        <w:widowControl/>
        <w:jc w:val="left"/>
        <w:rPr>
          <w:szCs w:val="21"/>
        </w:rPr>
      </w:pPr>
      <w:r>
        <w:rPr>
          <w:color w:val="000000"/>
          <w:kern w:val="0"/>
          <w:szCs w:val="21"/>
        </w:rPr>
        <w:t xml:space="preserve">8. </w:t>
      </w:r>
      <w:r>
        <w:rPr>
          <w:rFonts w:hint="eastAsia" w:ascii="黑体" w:hAnsi="宋体" w:eastAsia="黑体" w:cs="黑体"/>
          <w:color w:val="000000"/>
          <w:kern w:val="0"/>
          <w:szCs w:val="21"/>
        </w:rPr>
        <w:t xml:space="preserve">测量放线 </w:t>
      </w:r>
    </w:p>
    <w:p w14:paraId="3751DE90">
      <w:pPr>
        <w:widowControl/>
        <w:jc w:val="left"/>
        <w:rPr>
          <w:szCs w:val="21"/>
        </w:rPr>
      </w:pPr>
      <w:r>
        <w:rPr>
          <w:color w:val="000000"/>
          <w:kern w:val="0"/>
          <w:szCs w:val="21"/>
        </w:rPr>
        <w:t xml:space="preserve">8.1 </w:t>
      </w:r>
      <w:r>
        <w:rPr>
          <w:rFonts w:hint="eastAsia" w:ascii="黑体" w:hAnsi="宋体" w:eastAsia="黑体" w:cs="黑体"/>
          <w:color w:val="000000"/>
          <w:kern w:val="0"/>
          <w:szCs w:val="21"/>
        </w:rPr>
        <w:t xml:space="preserve">施工控制网 </w:t>
      </w:r>
    </w:p>
    <w:p w14:paraId="5B97CCBA">
      <w:pPr>
        <w:widowControl/>
        <w:jc w:val="left"/>
        <w:rPr>
          <w:szCs w:val="21"/>
        </w:rPr>
      </w:pPr>
      <w:r>
        <w:rPr>
          <w:color w:val="000000"/>
          <w:kern w:val="0"/>
          <w:szCs w:val="21"/>
        </w:rPr>
        <w:t xml:space="preserve">8.1.1 </w:t>
      </w:r>
      <w:r>
        <w:rPr>
          <w:rFonts w:hint="eastAsia" w:ascii="宋体" w:hAnsi="宋体" w:cs="宋体"/>
          <w:color w:val="000000"/>
          <w:kern w:val="0"/>
          <w:szCs w:val="21"/>
        </w:rPr>
        <w:t xml:space="preserve">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 </w:t>
      </w:r>
    </w:p>
    <w:p w14:paraId="48D59A2C">
      <w:pPr>
        <w:widowControl/>
        <w:jc w:val="left"/>
        <w:rPr>
          <w:szCs w:val="21"/>
        </w:rPr>
      </w:pPr>
      <w:r>
        <w:rPr>
          <w:color w:val="000000"/>
          <w:kern w:val="0"/>
          <w:szCs w:val="21"/>
        </w:rPr>
        <w:t xml:space="preserve">8.1.2 </w:t>
      </w:r>
      <w:r>
        <w:rPr>
          <w:rFonts w:hint="eastAsia" w:ascii="宋体" w:hAnsi="宋体" w:cs="宋体"/>
          <w:color w:val="000000"/>
          <w:kern w:val="0"/>
          <w:szCs w:val="21"/>
        </w:rPr>
        <w:t xml:space="preserve">承包人应负责管理施工控制网点。施工控制网点丢失或损坏的，承包人应及时修复。承包人应承担施工控制网点的管理与修复费用，并在工程竣工后将施工控制网点移交发包人。 </w:t>
      </w:r>
    </w:p>
    <w:p w14:paraId="51BBFC49">
      <w:pPr>
        <w:widowControl/>
        <w:jc w:val="left"/>
        <w:rPr>
          <w:szCs w:val="21"/>
        </w:rPr>
      </w:pPr>
      <w:r>
        <w:rPr>
          <w:color w:val="000000"/>
          <w:kern w:val="0"/>
          <w:szCs w:val="21"/>
        </w:rPr>
        <w:t xml:space="preserve">8.2 </w:t>
      </w:r>
      <w:r>
        <w:rPr>
          <w:rFonts w:hint="eastAsia" w:ascii="黑体" w:hAnsi="宋体" w:eastAsia="黑体" w:cs="黑体"/>
          <w:color w:val="000000"/>
          <w:kern w:val="0"/>
          <w:szCs w:val="21"/>
        </w:rPr>
        <w:t xml:space="preserve">施工测量 </w:t>
      </w:r>
    </w:p>
    <w:p w14:paraId="7EB8D491">
      <w:pPr>
        <w:widowControl/>
        <w:jc w:val="left"/>
        <w:rPr>
          <w:szCs w:val="21"/>
        </w:rPr>
      </w:pPr>
      <w:r>
        <w:rPr>
          <w:color w:val="000000"/>
          <w:kern w:val="0"/>
          <w:szCs w:val="21"/>
        </w:rPr>
        <w:t xml:space="preserve">8.2.1 </w:t>
      </w:r>
      <w:r>
        <w:rPr>
          <w:rFonts w:hint="eastAsia" w:ascii="宋体" w:hAnsi="宋体" w:cs="宋体"/>
          <w:color w:val="000000"/>
          <w:kern w:val="0"/>
          <w:szCs w:val="21"/>
        </w:rPr>
        <w:t xml:space="preserve">承包人应负责施工过程中的全部施工测量放线工作，并配置合格的人员、仪器、设备和其他物品。 </w:t>
      </w:r>
    </w:p>
    <w:p w14:paraId="5D019739">
      <w:pPr>
        <w:widowControl/>
        <w:jc w:val="left"/>
        <w:rPr>
          <w:rFonts w:ascii="宋体" w:hAnsi="宋体" w:cs="宋体"/>
          <w:color w:val="000000"/>
          <w:kern w:val="0"/>
          <w:szCs w:val="21"/>
        </w:rPr>
      </w:pPr>
      <w:r>
        <w:rPr>
          <w:color w:val="000000"/>
          <w:kern w:val="0"/>
          <w:szCs w:val="21"/>
        </w:rPr>
        <w:t xml:space="preserve">8.2.2 </w:t>
      </w:r>
      <w:r>
        <w:rPr>
          <w:rFonts w:hint="eastAsia" w:ascii="宋体" w:hAnsi="宋体" w:cs="宋体"/>
          <w:color w:val="000000"/>
          <w:kern w:val="0"/>
          <w:szCs w:val="21"/>
        </w:rPr>
        <w:t>监理人可以指示承包人进行抽样复测，当复测中发现错误或出现超过合同约定的误差时，承包人应按监理人指示进行修正或补测，并承担相应的复测费用。</w:t>
      </w:r>
    </w:p>
    <w:p w14:paraId="13DF68A7">
      <w:pPr>
        <w:widowControl/>
        <w:jc w:val="left"/>
        <w:rPr>
          <w:szCs w:val="21"/>
        </w:rPr>
      </w:pPr>
      <w:r>
        <w:rPr>
          <w:color w:val="000000"/>
          <w:kern w:val="0"/>
          <w:szCs w:val="21"/>
        </w:rPr>
        <w:t xml:space="preserve">8.3 </w:t>
      </w:r>
      <w:r>
        <w:rPr>
          <w:rFonts w:ascii="黑体" w:hAnsi="宋体" w:eastAsia="黑体" w:cs="黑体"/>
          <w:color w:val="000000"/>
          <w:kern w:val="0"/>
          <w:szCs w:val="21"/>
        </w:rPr>
        <w:t xml:space="preserve">基准资料错误的责任 </w:t>
      </w:r>
    </w:p>
    <w:p w14:paraId="45E7C6E5">
      <w:pPr>
        <w:widowControl/>
        <w:jc w:val="left"/>
        <w:rPr>
          <w:szCs w:val="21"/>
        </w:rPr>
      </w:pPr>
      <w:r>
        <w:rPr>
          <w:rFonts w:hint="eastAsia" w:ascii="宋体" w:hAnsi="宋体" w:cs="宋体"/>
          <w:color w:val="000000"/>
          <w:kern w:val="0"/>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 </w:t>
      </w:r>
    </w:p>
    <w:p w14:paraId="15FCD9F0">
      <w:pPr>
        <w:widowControl/>
        <w:jc w:val="left"/>
        <w:rPr>
          <w:szCs w:val="21"/>
        </w:rPr>
      </w:pPr>
      <w:r>
        <w:rPr>
          <w:color w:val="000000"/>
          <w:kern w:val="0"/>
          <w:szCs w:val="21"/>
        </w:rPr>
        <w:t xml:space="preserve">8.4 </w:t>
      </w:r>
      <w:r>
        <w:rPr>
          <w:rFonts w:hint="eastAsia" w:ascii="黑体" w:hAnsi="宋体" w:eastAsia="黑体" w:cs="黑体"/>
          <w:color w:val="000000"/>
          <w:kern w:val="0"/>
          <w:szCs w:val="21"/>
        </w:rPr>
        <w:t xml:space="preserve">监理人使用施工控制网 </w:t>
      </w:r>
    </w:p>
    <w:p w14:paraId="5D4ADC1D">
      <w:pPr>
        <w:widowControl/>
        <w:jc w:val="left"/>
        <w:rPr>
          <w:szCs w:val="21"/>
        </w:rPr>
      </w:pPr>
      <w:r>
        <w:rPr>
          <w:rFonts w:hint="eastAsia" w:ascii="宋体" w:hAnsi="宋体" w:cs="宋体"/>
          <w:color w:val="000000"/>
          <w:kern w:val="0"/>
          <w:szCs w:val="21"/>
        </w:rPr>
        <w:t xml:space="preserve">监理人需要使用施工控制网的，承包人应提供必要的协助，发包人不再为此支付费用。 </w:t>
      </w:r>
    </w:p>
    <w:p w14:paraId="27017130">
      <w:pPr>
        <w:widowControl/>
        <w:jc w:val="left"/>
        <w:rPr>
          <w:szCs w:val="21"/>
        </w:rPr>
      </w:pPr>
      <w:r>
        <w:rPr>
          <w:color w:val="000000"/>
          <w:kern w:val="0"/>
          <w:szCs w:val="21"/>
        </w:rPr>
        <w:t xml:space="preserve">9. </w:t>
      </w:r>
      <w:r>
        <w:rPr>
          <w:rFonts w:hint="eastAsia" w:ascii="黑体" w:hAnsi="宋体" w:eastAsia="黑体" w:cs="黑体"/>
          <w:color w:val="000000"/>
          <w:kern w:val="0"/>
          <w:szCs w:val="21"/>
        </w:rPr>
        <w:t xml:space="preserve">施工安全、治安保卫和环境保护 </w:t>
      </w:r>
    </w:p>
    <w:p w14:paraId="1DA7F314">
      <w:pPr>
        <w:widowControl/>
        <w:jc w:val="left"/>
        <w:rPr>
          <w:szCs w:val="21"/>
        </w:rPr>
      </w:pPr>
      <w:r>
        <w:rPr>
          <w:color w:val="000000"/>
          <w:kern w:val="0"/>
          <w:szCs w:val="21"/>
        </w:rPr>
        <w:t xml:space="preserve">9.1 </w:t>
      </w:r>
      <w:r>
        <w:rPr>
          <w:rFonts w:hint="eastAsia" w:ascii="黑体" w:hAnsi="宋体" w:eastAsia="黑体" w:cs="黑体"/>
          <w:color w:val="000000"/>
          <w:kern w:val="0"/>
          <w:szCs w:val="21"/>
        </w:rPr>
        <w:t xml:space="preserve">发包人的施工安全责任 </w:t>
      </w:r>
    </w:p>
    <w:p w14:paraId="0CE7EAD0">
      <w:pPr>
        <w:widowControl/>
        <w:jc w:val="left"/>
        <w:rPr>
          <w:szCs w:val="21"/>
        </w:rPr>
      </w:pPr>
      <w:r>
        <w:rPr>
          <w:color w:val="000000"/>
          <w:kern w:val="0"/>
          <w:szCs w:val="21"/>
        </w:rPr>
        <w:t xml:space="preserve">9.1.1 </w:t>
      </w:r>
      <w:r>
        <w:rPr>
          <w:rFonts w:hint="eastAsia" w:ascii="宋体" w:hAnsi="宋体" w:cs="宋体"/>
          <w:color w:val="000000"/>
          <w:kern w:val="0"/>
          <w:szCs w:val="21"/>
        </w:rPr>
        <w:t xml:space="preserve">发包人应按合同约定履行安全职责，授权监理人按合同约定的安全工作内容监督、检查承包人安全工作的实施，组织承包人和有关单位进行安全检查。 </w:t>
      </w:r>
    </w:p>
    <w:p w14:paraId="39A4B39C">
      <w:pPr>
        <w:widowControl/>
        <w:jc w:val="left"/>
        <w:rPr>
          <w:szCs w:val="21"/>
        </w:rPr>
      </w:pPr>
      <w:r>
        <w:rPr>
          <w:color w:val="000000"/>
          <w:kern w:val="0"/>
          <w:szCs w:val="21"/>
        </w:rPr>
        <w:t xml:space="preserve">9.1.2 </w:t>
      </w:r>
      <w:r>
        <w:rPr>
          <w:rFonts w:hint="eastAsia" w:ascii="宋体" w:hAnsi="宋体" w:cs="宋体"/>
          <w:color w:val="000000"/>
          <w:kern w:val="0"/>
          <w:szCs w:val="21"/>
        </w:rPr>
        <w:t xml:space="preserve">发包人应对其现场机构雇佣的全部人员的工伤事故承担责任，但由于承包人原因造成发包人人员工伤的，应由承包人承担责任。 </w:t>
      </w:r>
    </w:p>
    <w:p w14:paraId="08205C57">
      <w:pPr>
        <w:widowControl/>
        <w:jc w:val="left"/>
        <w:rPr>
          <w:szCs w:val="21"/>
        </w:rPr>
      </w:pPr>
      <w:r>
        <w:rPr>
          <w:color w:val="000000"/>
          <w:kern w:val="0"/>
          <w:szCs w:val="21"/>
        </w:rPr>
        <w:t xml:space="preserve">9.1.3 </w:t>
      </w:r>
      <w:r>
        <w:rPr>
          <w:rFonts w:hint="eastAsia" w:ascii="宋体" w:hAnsi="宋体" w:cs="宋体"/>
          <w:color w:val="000000"/>
          <w:kern w:val="0"/>
          <w:szCs w:val="21"/>
        </w:rPr>
        <w:t xml:space="preserve">发包人应负责赔偿以下各种情况造成的第三者人身伤亡和财产损失： </w:t>
      </w:r>
    </w:p>
    <w:p w14:paraId="58F4AA82">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）工程或工程的任何部分对土地的占用所造成的第三者财产损失； </w:t>
      </w:r>
    </w:p>
    <w:p w14:paraId="1C0E6D8C">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）由于发包人原因在施工场地及其毗邻地带造成的第三者人身伤亡和财产损失。 </w:t>
      </w:r>
    </w:p>
    <w:p w14:paraId="75AE5E19">
      <w:pPr>
        <w:widowControl/>
        <w:jc w:val="left"/>
        <w:rPr>
          <w:szCs w:val="21"/>
        </w:rPr>
      </w:pPr>
      <w:r>
        <w:rPr>
          <w:color w:val="000000"/>
          <w:kern w:val="0"/>
          <w:szCs w:val="21"/>
        </w:rPr>
        <w:t xml:space="preserve">9.2 </w:t>
      </w:r>
      <w:r>
        <w:rPr>
          <w:rFonts w:hint="eastAsia" w:ascii="黑体" w:hAnsi="宋体" w:eastAsia="黑体" w:cs="黑体"/>
          <w:color w:val="000000"/>
          <w:kern w:val="0"/>
          <w:szCs w:val="21"/>
        </w:rPr>
        <w:t xml:space="preserve">承包人的施工安全责任 </w:t>
      </w:r>
    </w:p>
    <w:p w14:paraId="04C6634B">
      <w:pPr>
        <w:widowControl/>
        <w:jc w:val="left"/>
        <w:rPr>
          <w:szCs w:val="21"/>
        </w:rPr>
      </w:pPr>
      <w:r>
        <w:rPr>
          <w:color w:val="000000"/>
          <w:kern w:val="0"/>
          <w:szCs w:val="21"/>
        </w:rPr>
        <w:t xml:space="preserve">9.2.1 </w:t>
      </w:r>
      <w:r>
        <w:rPr>
          <w:rFonts w:hint="eastAsia" w:ascii="宋体" w:hAnsi="宋体" w:cs="宋体"/>
          <w:color w:val="000000"/>
          <w:kern w:val="0"/>
          <w:szCs w:val="21"/>
        </w:rPr>
        <w:t>承包人应按合同约定履行安全职责</w:t>
      </w:r>
      <w:r>
        <w:rPr>
          <w:color w:val="000000"/>
          <w:kern w:val="0"/>
          <w:szCs w:val="21"/>
        </w:rPr>
        <w:t>,</w:t>
      </w:r>
      <w:r>
        <w:rPr>
          <w:rFonts w:hint="eastAsia" w:ascii="宋体" w:hAnsi="宋体" w:cs="宋体"/>
          <w:color w:val="000000"/>
          <w:kern w:val="0"/>
          <w:szCs w:val="21"/>
        </w:rPr>
        <w:t>执行监理人有关安全工作的指示</w:t>
      </w:r>
      <w:r>
        <w:rPr>
          <w:color w:val="000000"/>
          <w:kern w:val="0"/>
          <w:szCs w:val="21"/>
        </w:rPr>
        <w:t>,</w:t>
      </w:r>
      <w:r>
        <w:rPr>
          <w:rFonts w:hint="eastAsia" w:ascii="宋体" w:hAnsi="宋体" w:cs="宋体"/>
          <w:color w:val="000000"/>
          <w:kern w:val="0"/>
          <w:szCs w:val="21"/>
        </w:rPr>
        <w:t xml:space="preserve">并在专用合同条款约定的期限内，按合同约定的安全工作内容，编制施工安全措施计划报送监理人审批。 </w:t>
      </w:r>
    </w:p>
    <w:p w14:paraId="3502AE77">
      <w:pPr>
        <w:widowControl/>
        <w:jc w:val="left"/>
        <w:rPr>
          <w:szCs w:val="21"/>
        </w:rPr>
      </w:pPr>
      <w:r>
        <w:rPr>
          <w:color w:val="000000"/>
          <w:kern w:val="0"/>
          <w:szCs w:val="21"/>
        </w:rPr>
        <w:t xml:space="preserve">9.2.2 </w:t>
      </w:r>
      <w:r>
        <w:rPr>
          <w:rFonts w:hint="eastAsia" w:ascii="宋体" w:hAnsi="宋体" w:cs="宋体"/>
          <w:color w:val="000000"/>
          <w:kern w:val="0"/>
          <w:szCs w:val="21"/>
        </w:rPr>
        <w:t xml:space="preserve">承包人应加强施工作业安全管理，特别应加强易燃、易爆材料、火工器材、 有毒与腐蚀性材料和其他危险品的管理，以及对爆破作业和地下工程施工等危险作业的管理。 </w:t>
      </w:r>
    </w:p>
    <w:p w14:paraId="67CD6108">
      <w:pPr>
        <w:widowControl/>
        <w:jc w:val="left"/>
        <w:rPr>
          <w:szCs w:val="21"/>
        </w:rPr>
      </w:pPr>
      <w:r>
        <w:rPr>
          <w:color w:val="000000"/>
          <w:kern w:val="0"/>
          <w:szCs w:val="21"/>
        </w:rPr>
        <w:t xml:space="preserve">9.2.3 </w:t>
      </w:r>
      <w:r>
        <w:rPr>
          <w:rFonts w:hint="eastAsia" w:ascii="宋体" w:hAnsi="宋体" w:cs="宋体"/>
          <w:color w:val="000000"/>
          <w:kern w:val="0"/>
          <w:szCs w:val="21"/>
        </w:rPr>
        <w:t>承包人应严格按照国家安全标准制定施工安全操作规程，配备必要的安全生产和劳动保护设施，加强对承包人人员的安全教育，并发放安全工作手册和劳动保护用具。</w:t>
      </w:r>
    </w:p>
    <w:p w14:paraId="2D89DECA">
      <w:pPr>
        <w:widowControl/>
        <w:jc w:val="left"/>
        <w:rPr>
          <w:szCs w:val="21"/>
        </w:rPr>
      </w:pPr>
      <w:r>
        <w:rPr>
          <w:color w:val="000000"/>
          <w:kern w:val="0"/>
          <w:szCs w:val="21"/>
        </w:rPr>
        <w:t xml:space="preserve">9.2.4 </w:t>
      </w:r>
      <w:r>
        <w:rPr>
          <w:rFonts w:hint="eastAsia" w:ascii="宋体" w:hAnsi="宋体" w:cs="宋体"/>
          <w:color w:val="000000"/>
          <w:kern w:val="0"/>
          <w:szCs w:val="21"/>
        </w:rPr>
        <w:t xml:space="preserve">承包人应按监理人的指示制定应对灾害的紧急预案，报送监理人审批。承包人还应按预案做好安全检查，配置必要的救助物资和器材，切实保护好有关人员的人身和财产安全。 </w:t>
      </w:r>
    </w:p>
    <w:p w14:paraId="2523D1FF">
      <w:pPr>
        <w:widowControl/>
        <w:jc w:val="left"/>
        <w:rPr>
          <w:szCs w:val="21"/>
        </w:rPr>
      </w:pPr>
      <w:r>
        <w:rPr>
          <w:color w:val="000000"/>
          <w:kern w:val="0"/>
          <w:szCs w:val="21"/>
        </w:rPr>
        <w:t xml:space="preserve">9.2.5 </w:t>
      </w:r>
      <w:r>
        <w:rPr>
          <w:rFonts w:hint="eastAsia" w:ascii="宋体" w:hAnsi="宋体" w:cs="宋体"/>
          <w:color w:val="000000"/>
          <w:kern w:val="0"/>
          <w:szCs w:val="21"/>
        </w:rPr>
        <w:t xml:space="preserve">合同约定的安全作业环境及安全施工措施所需费用应遵守有关规定，并包括在相关工作的合同价格中。因采取合同未约定的安全作业环境及安全施工措施增加的费用，由监理人按第 </w:t>
      </w:r>
      <w:r>
        <w:rPr>
          <w:color w:val="000000"/>
          <w:kern w:val="0"/>
          <w:szCs w:val="21"/>
        </w:rPr>
        <w:t xml:space="preserve">3.5 </w:t>
      </w:r>
      <w:r>
        <w:rPr>
          <w:rFonts w:hint="eastAsia" w:ascii="宋体" w:hAnsi="宋体" w:cs="宋体"/>
          <w:color w:val="000000"/>
          <w:kern w:val="0"/>
          <w:szCs w:val="21"/>
        </w:rPr>
        <w:t xml:space="preserve">款商定或确定。 </w:t>
      </w:r>
    </w:p>
    <w:p w14:paraId="0C1F03DF">
      <w:pPr>
        <w:widowControl/>
        <w:jc w:val="left"/>
        <w:rPr>
          <w:szCs w:val="21"/>
        </w:rPr>
      </w:pPr>
      <w:r>
        <w:rPr>
          <w:color w:val="000000"/>
          <w:kern w:val="0"/>
          <w:szCs w:val="21"/>
        </w:rPr>
        <w:t xml:space="preserve">9.2.6 </w:t>
      </w:r>
      <w:r>
        <w:rPr>
          <w:rFonts w:hint="eastAsia" w:ascii="宋体" w:hAnsi="宋体" w:cs="宋体"/>
          <w:color w:val="000000"/>
          <w:kern w:val="0"/>
          <w:szCs w:val="21"/>
        </w:rPr>
        <w:t xml:space="preserve">承包人应对其履行合同所雇佣的全部人员，包括分包人人员的工伤事故承担责任，但由于发包人原造成承包人人员工伤事故的，应由发包人承担责任。 </w:t>
      </w:r>
    </w:p>
    <w:p w14:paraId="31D87D40">
      <w:pPr>
        <w:widowControl/>
        <w:jc w:val="left"/>
        <w:rPr>
          <w:szCs w:val="21"/>
        </w:rPr>
      </w:pPr>
      <w:r>
        <w:rPr>
          <w:color w:val="000000"/>
          <w:kern w:val="0"/>
          <w:szCs w:val="21"/>
        </w:rPr>
        <w:t xml:space="preserve">9.2.7 </w:t>
      </w:r>
      <w:r>
        <w:rPr>
          <w:rFonts w:hint="eastAsia" w:ascii="宋体" w:hAnsi="宋体" w:cs="宋体"/>
          <w:color w:val="000000"/>
          <w:kern w:val="0"/>
          <w:szCs w:val="21"/>
        </w:rPr>
        <w:t xml:space="preserve">由于承包人原因在施工场地内及其毗邻地带造成的第三者人员伤亡和财产损失，由承包人负责赔偿。 </w:t>
      </w:r>
    </w:p>
    <w:p w14:paraId="2E043771">
      <w:pPr>
        <w:widowControl/>
        <w:jc w:val="left"/>
        <w:rPr>
          <w:szCs w:val="21"/>
        </w:rPr>
      </w:pPr>
      <w:r>
        <w:rPr>
          <w:color w:val="000000"/>
          <w:kern w:val="0"/>
          <w:szCs w:val="21"/>
        </w:rPr>
        <w:t xml:space="preserve">9.3 </w:t>
      </w:r>
      <w:r>
        <w:rPr>
          <w:rFonts w:ascii="黑体" w:hAnsi="宋体" w:eastAsia="黑体" w:cs="黑体"/>
          <w:color w:val="000000"/>
          <w:kern w:val="0"/>
          <w:szCs w:val="21"/>
        </w:rPr>
        <w:t xml:space="preserve">治安保卫 </w:t>
      </w:r>
    </w:p>
    <w:p w14:paraId="227A5334">
      <w:pPr>
        <w:widowControl/>
        <w:jc w:val="left"/>
        <w:rPr>
          <w:szCs w:val="21"/>
        </w:rPr>
      </w:pPr>
      <w:r>
        <w:rPr>
          <w:color w:val="000000"/>
          <w:kern w:val="0"/>
          <w:szCs w:val="21"/>
        </w:rPr>
        <w:t xml:space="preserve">9.3.1 </w:t>
      </w:r>
      <w:r>
        <w:rPr>
          <w:rFonts w:hint="eastAsia" w:ascii="宋体" w:hAnsi="宋体" w:cs="宋体"/>
          <w:color w:val="000000"/>
          <w:kern w:val="0"/>
          <w:szCs w:val="21"/>
        </w:rPr>
        <w:t xml:space="preserve">除合同另有约定外，发包人应与当地公安部门协商，在现场建立治安管理机构或联防组织，统一管理施工场地的治安保卫事项，履行合同工程的治安保卫职责。 </w:t>
      </w:r>
    </w:p>
    <w:p w14:paraId="374BBB06">
      <w:pPr>
        <w:widowControl/>
        <w:jc w:val="left"/>
        <w:rPr>
          <w:szCs w:val="21"/>
        </w:rPr>
      </w:pPr>
      <w:r>
        <w:rPr>
          <w:color w:val="000000"/>
          <w:kern w:val="0"/>
          <w:szCs w:val="21"/>
        </w:rPr>
        <w:t xml:space="preserve">9.3.2 </w:t>
      </w:r>
      <w:r>
        <w:rPr>
          <w:rFonts w:hint="eastAsia" w:ascii="宋体" w:hAnsi="宋体" w:cs="宋体"/>
          <w:color w:val="000000"/>
          <w:kern w:val="0"/>
          <w:szCs w:val="21"/>
        </w:rPr>
        <w:t xml:space="preserve">发包人和承包人除应协助现场治安管理机构或联防组织维护施工场地的社会治安外，还应做好包括生活区在内的各自管辖区的治安保卫工作。 </w:t>
      </w:r>
    </w:p>
    <w:p w14:paraId="60814A54">
      <w:pPr>
        <w:widowControl/>
        <w:jc w:val="left"/>
        <w:rPr>
          <w:szCs w:val="21"/>
        </w:rPr>
      </w:pPr>
      <w:r>
        <w:rPr>
          <w:color w:val="000000"/>
          <w:kern w:val="0"/>
          <w:szCs w:val="21"/>
        </w:rPr>
        <w:t xml:space="preserve">9.3.3 </w:t>
      </w:r>
      <w:r>
        <w:rPr>
          <w:rFonts w:hint="eastAsia" w:ascii="宋体" w:hAnsi="宋体" w:cs="宋体"/>
          <w:color w:val="000000"/>
          <w:kern w:val="0"/>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 </w:t>
      </w:r>
    </w:p>
    <w:p w14:paraId="0E6ED000">
      <w:pPr>
        <w:widowControl/>
        <w:jc w:val="left"/>
        <w:rPr>
          <w:szCs w:val="21"/>
        </w:rPr>
      </w:pPr>
      <w:r>
        <w:rPr>
          <w:color w:val="000000"/>
          <w:kern w:val="0"/>
          <w:szCs w:val="21"/>
        </w:rPr>
        <w:t xml:space="preserve">9.4 </w:t>
      </w:r>
      <w:r>
        <w:rPr>
          <w:rFonts w:hint="eastAsia" w:ascii="黑体" w:hAnsi="宋体" w:eastAsia="黑体" w:cs="黑体"/>
          <w:color w:val="000000"/>
          <w:kern w:val="0"/>
          <w:szCs w:val="21"/>
        </w:rPr>
        <w:t xml:space="preserve">环境保护 </w:t>
      </w:r>
    </w:p>
    <w:p w14:paraId="0A52F0A5">
      <w:pPr>
        <w:widowControl/>
        <w:jc w:val="left"/>
        <w:rPr>
          <w:szCs w:val="21"/>
        </w:rPr>
      </w:pPr>
      <w:r>
        <w:rPr>
          <w:color w:val="000000"/>
          <w:kern w:val="0"/>
          <w:szCs w:val="21"/>
        </w:rPr>
        <w:t xml:space="preserve">9.4.1 </w:t>
      </w:r>
      <w:r>
        <w:rPr>
          <w:rFonts w:hint="eastAsia" w:ascii="宋体" w:hAnsi="宋体" w:cs="宋体"/>
          <w:color w:val="000000"/>
          <w:kern w:val="0"/>
          <w:szCs w:val="21"/>
        </w:rPr>
        <w:t xml:space="preserve">承包人在施工过程中，应遵守有关环境保护的法律，履行合同约定的环境保护义务，并对违反法律和合同约定义务所造成的环境破坏、人身伤害和财产损失负责。 </w:t>
      </w:r>
    </w:p>
    <w:p w14:paraId="29E5AA19">
      <w:pPr>
        <w:widowControl/>
        <w:jc w:val="left"/>
        <w:rPr>
          <w:szCs w:val="21"/>
        </w:rPr>
      </w:pPr>
      <w:r>
        <w:rPr>
          <w:color w:val="000000"/>
          <w:kern w:val="0"/>
          <w:szCs w:val="21"/>
        </w:rPr>
        <w:t xml:space="preserve">9.4.2 </w:t>
      </w:r>
      <w:r>
        <w:rPr>
          <w:rFonts w:hint="eastAsia" w:ascii="宋体" w:hAnsi="宋体" w:cs="宋体"/>
          <w:color w:val="000000"/>
          <w:kern w:val="0"/>
          <w:szCs w:val="21"/>
        </w:rPr>
        <w:t xml:space="preserve">承包人应按合同约定的环保工作内容，编制施工环保措施计划，报送监理人审批。 </w:t>
      </w:r>
    </w:p>
    <w:p w14:paraId="7875D2BF">
      <w:pPr>
        <w:widowControl/>
        <w:jc w:val="left"/>
        <w:rPr>
          <w:szCs w:val="21"/>
        </w:rPr>
      </w:pPr>
      <w:r>
        <w:rPr>
          <w:color w:val="000000"/>
          <w:kern w:val="0"/>
          <w:szCs w:val="21"/>
        </w:rPr>
        <w:t xml:space="preserve">9.4.3 </w:t>
      </w:r>
      <w:r>
        <w:rPr>
          <w:rFonts w:hint="eastAsia" w:ascii="宋体" w:hAnsi="宋体" w:cs="宋体"/>
          <w:color w:val="000000"/>
          <w:kern w:val="0"/>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 </w:t>
      </w:r>
    </w:p>
    <w:p w14:paraId="360EB149">
      <w:pPr>
        <w:widowControl/>
        <w:jc w:val="left"/>
        <w:rPr>
          <w:szCs w:val="21"/>
        </w:rPr>
      </w:pPr>
      <w:r>
        <w:rPr>
          <w:color w:val="000000"/>
          <w:kern w:val="0"/>
          <w:szCs w:val="21"/>
        </w:rPr>
        <w:t xml:space="preserve">9.4.4 </w:t>
      </w:r>
      <w:r>
        <w:rPr>
          <w:rFonts w:hint="eastAsia" w:ascii="宋体" w:hAnsi="宋体" w:cs="宋体"/>
          <w:color w:val="000000"/>
          <w:kern w:val="0"/>
          <w:szCs w:val="21"/>
        </w:rPr>
        <w:t>承包人应按合同约定采取有效措施，对施工开挖的边坡及时进行支护</w:t>
      </w:r>
      <w:r>
        <w:rPr>
          <w:color w:val="000000"/>
          <w:kern w:val="0"/>
          <w:szCs w:val="21"/>
        </w:rPr>
        <w:t>,</w:t>
      </w:r>
      <w:r>
        <w:rPr>
          <w:rFonts w:hint="eastAsia" w:ascii="宋体" w:hAnsi="宋体" w:cs="宋体"/>
          <w:color w:val="000000"/>
          <w:kern w:val="0"/>
          <w:szCs w:val="21"/>
        </w:rPr>
        <w:t xml:space="preserve">维护排水设施，并进行水土保护，避免因施工造成的地质灾害。 </w:t>
      </w:r>
    </w:p>
    <w:p w14:paraId="5B9B0C73">
      <w:pPr>
        <w:widowControl/>
        <w:jc w:val="left"/>
        <w:rPr>
          <w:szCs w:val="21"/>
        </w:rPr>
      </w:pPr>
      <w:r>
        <w:rPr>
          <w:color w:val="000000"/>
          <w:kern w:val="0"/>
          <w:szCs w:val="21"/>
        </w:rPr>
        <w:t xml:space="preserve">9.4.5 </w:t>
      </w:r>
      <w:r>
        <w:rPr>
          <w:rFonts w:hint="eastAsia" w:ascii="宋体" w:hAnsi="宋体" w:cs="宋体"/>
          <w:color w:val="000000"/>
          <w:kern w:val="0"/>
          <w:szCs w:val="21"/>
        </w:rPr>
        <w:t xml:space="preserve">承包人应按国家饮用水管理标准定期对饮用水源进行监测，防止施工活动污染饮用水源。 </w:t>
      </w:r>
    </w:p>
    <w:p w14:paraId="456FDA57">
      <w:pPr>
        <w:widowControl/>
        <w:jc w:val="left"/>
        <w:rPr>
          <w:szCs w:val="21"/>
        </w:rPr>
      </w:pPr>
      <w:r>
        <w:rPr>
          <w:color w:val="000000"/>
          <w:kern w:val="0"/>
          <w:szCs w:val="21"/>
        </w:rPr>
        <w:t xml:space="preserve">9.4.6 </w:t>
      </w:r>
      <w:r>
        <w:rPr>
          <w:rFonts w:hint="eastAsia" w:ascii="宋体" w:hAnsi="宋体" w:cs="宋体"/>
          <w:color w:val="000000"/>
          <w:kern w:val="0"/>
          <w:szCs w:val="21"/>
        </w:rPr>
        <w:t xml:space="preserve">承包人应按合同约定，加强对噪声、粉尘、废气、废水和废油的控制，努力降低噪声，控制粉尘和废气浓度，做好废水和废油的治理和排放。 </w:t>
      </w:r>
    </w:p>
    <w:p w14:paraId="1BE71466">
      <w:pPr>
        <w:widowControl/>
        <w:jc w:val="left"/>
        <w:rPr>
          <w:szCs w:val="21"/>
        </w:rPr>
      </w:pPr>
      <w:r>
        <w:rPr>
          <w:color w:val="000000"/>
          <w:kern w:val="0"/>
          <w:szCs w:val="21"/>
        </w:rPr>
        <w:t xml:space="preserve">9.5 </w:t>
      </w:r>
      <w:r>
        <w:rPr>
          <w:rFonts w:ascii="黑体" w:hAnsi="宋体" w:eastAsia="黑体" w:cs="黑体"/>
          <w:color w:val="000000"/>
          <w:kern w:val="0"/>
          <w:szCs w:val="21"/>
        </w:rPr>
        <w:t xml:space="preserve">事故处理 </w:t>
      </w:r>
    </w:p>
    <w:p w14:paraId="5D3E1D8B">
      <w:pPr>
        <w:widowControl/>
        <w:jc w:val="left"/>
        <w:rPr>
          <w:szCs w:val="21"/>
        </w:rPr>
      </w:pPr>
      <w:r>
        <w:rPr>
          <w:rFonts w:hint="eastAsia" w:ascii="宋体" w:hAnsi="宋体" w:cs="宋体"/>
          <w:color w:val="000000"/>
          <w:kern w:val="0"/>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 </w:t>
      </w:r>
    </w:p>
    <w:p w14:paraId="4A41B578">
      <w:pPr>
        <w:widowControl/>
        <w:jc w:val="left"/>
        <w:rPr>
          <w:szCs w:val="21"/>
        </w:rPr>
      </w:pPr>
      <w:r>
        <w:rPr>
          <w:color w:val="000000"/>
          <w:kern w:val="0"/>
          <w:szCs w:val="21"/>
        </w:rPr>
        <w:t xml:space="preserve">10. </w:t>
      </w:r>
      <w:r>
        <w:rPr>
          <w:rFonts w:hint="eastAsia" w:ascii="黑体" w:hAnsi="宋体" w:eastAsia="黑体" w:cs="黑体"/>
          <w:color w:val="000000"/>
          <w:kern w:val="0"/>
          <w:szCs w:val="21"/>
        </w:rPr>
        <w:t xml:space="preserve">进度计划 </w:t>
      </w:r>
    </w:p>
    <w:p w14:paraId="57B10DDB">
      <w:pPr>
        <w:widowControl/>
        <w:jc w:val="left"/>
        <w:rPr>
          <w:szCs w:val="21"/>
        </w:rPr>
      </w:pPr>
      <w:r>
        <w:rPr>
          <w:color w:val="000000"/>
          <w:kern w:val="0"/>
          <w:szCs w:val="21"/>
        </w:rPr>
        <w:t xml:space="preserve">10.1 </w:t>
      </w:r>
      <w:r>
        <w:rPr>
          <w:rFonts w:hint="eastAsia" w:ascii="黑体" w:hAnsi="宋体" w:eastAsia="黑体" w:cs="黑体"/>
          <w:color w:val="000000"/>
          <w:kern w:val="0"/>
          <w:szCs w:val="21"/>
        </w:rPr>
        <w:t xml:space="preserve">合同进度计划 </w:t>
      </w:r>
    </w:p>
    <w:p w14:paraId="3DA89016">
      <w:pPr>
        <w:widowControl/>
        <w:jc w:val="left"/>
        <w:rPr>
          <w:szCs w:val="21"/>
        </w:rPr>
      </w:pPr>
      <w:r>
        <w:rPr>
          <w:rFonts w:hint="eastAsia" w:ascii="宋体" w:hAnsi="宋体" w:cs="宋体"/>
          <w:color w:val="000000"/>
          <w:kern w:val="0"/>
          <w:szCs w:val="21"/>
        </w:rPr>
        <w:t xml:space="preserve">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 </w:t>
      </w:r>
    </w:p>
    <w:p w14:paraId="54787490">
      <w:pPr>
        <w:widowControl/>
        <w:jc w:val="left"/>
        <w:rPr>
          <w:szCs w:val="21"/>
        </w:rPr>
      </w:pPr>
      <w:r>
        <w:rPr>
          <w:color w:val="000000"/>
          <w:kern w:val="0"/>
          <w:szCs w:val="21"/>
        </w:rPr>
        <w:t xml:space="preserve">10.2 </w:t>
      </w:r>
      <w:r>
        <w:rPr>
          <w:rFonts w:hint="eastAsia" w:ascii="黑体" w:hAnsi="宋体" w:eastAsia="黑体" w:cs="黑体"/>
          <w:color w:val="000000"/>
          <w:kern w:val="0"/>
          <w:szCs w:val="21"/>
        </w:rPr>
        <w:t xml:space="preserve">合同进度计划的修订 </w:t>
      </w:r>
    </w:p>
    <w:p w14:paraId="7C4260F2">
      <w:pPr>
        <w:widowControl/>
        <w:jc w:val="left"/>
        <w:rPr>
          <w:szCs w:val="21"/>
        </w:rPr>
      </w:pPr>
      <w:r>
        <w:rPr>
          <w:rFonts w:hint="eastAsia" w:ascii="宋体" w:hAnsi="宋体" w:cs="宋体"/>
          <w:color w:val="000000"/>
          <w:kern w:val="0"/>
          <w:szCs w:val="21"/>
        </w:rPr>
        <w:t xml:space="preserve">不论何种原因造成工程的实际进度与第 </w:t>
      </w:r>
      <w:r>
        <w:rPr>
          <w:color w:val="000000"/>
          <w:kern w:val="0"/>
          <w:szCs w:val="21"/>
        </w:rPr>
        <w:t xml:space="preserve">10.1 </w:t>
      </w:r>
      <w:r>
        <w:rPr>
          <w:rFonts w:hint="eastAsia" w:ascii="宋体" w:hAnsi="宋体" w:cs="宋体"/>
          <w:color w:val="000000"/>
          <w:kern w:val="0"/>
          <w:szCs w:val="21"/>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194FD877">
      <w:pPr>
        <w:widowControl/>
        <w:jc w:val="left"/>
        <w:rPr>
          <w:szCs w:val="21"/>
        </w:rPr>
      </w:pPr>
      <w:r>
        <w:rPr>
          <w:color w:val="000000"/>
          <w:kern w:val="0"/>
          <w:szCs w:val="21"/>
        </w:rPr>
        <w:t xml:space="preserve">11. </w:t>
      </w:r>
      <w:r>
        <w:rPr>
          <w:rFonts w:ascii="黑体" w:hAnsi="宋体" w:eastAsia="黑体" w:cs="黑体"/>
          <w:color w:val="000000"/>
          <w:kern w:val="0"/>
          <w:szCs w:val="21"/>
        </w:rPr>
        <w:t xml:space="preserve">开工和竣工 </w:t>
      </w:r>
    </w:p>
    <w:p w14:paraId="2658EA63">
      <w:pPr>
        <w:widowControl/>
        <w:jc w:val="left"/>
        <w:rPr>
          <w:szCs w:val="21"/>
        </w:rPr>
      </w:pPr>
      <w:r>
        <w:rPr>
          <w:color w:val="000000"/>
          <w:kern w:val="0"/>
          <w:szCs w:val="21"/>
        </w:rPr>
        <w:t xml:space="preserve">11.1 </w:t>
      </w:r>
      <w:r>
        <w:rPr>
          <w:rFonts w:hint="eastAsia" w:ascii="黑体" w:hAnsi="宋体" w:eastAsia="黑体" w:cs="黑体"/>
          <w:color w:val="000000"/>
          <w:kern w:val="0"/>
          <w:szCs w:val="21"/>
        </w:rPr>
        <w:t xml:space="preserve">开工 </w:t>
      </w:r>
    </w:p>
    <w:p w14:paraId="5797D9AA">
      <w:pPr>
        <w:widowControl/>
        <w:jc w:val="left"/>
        <w:rPr>
          <w:szCs w:val="21"/>
        </w:rPr>
      </w:pPr>
      <w:r>
        <w:rPr>
          <w:color w:val="000000"/>
          <w:kern w:val="0"/>
          <w:szCs w:val="21"/>
        </w:rPr>
        <w:t xml:space="preserve">11.1.1 </w:t>
      </w:r>
      <w:r>
        <w:rPr>
          <w:rFonts w:hint="eastAsia" w:ascii="宋体" w:hAnsi="宋体" w:cs="宋体"/>
          <w:color w:val="000000"/>
          <w:kern w:val="0"/>
          <w:szCs w:val="21"/>
        </w:rPr>
        <w:t xml:space="preserve">监理人应在开工日期 </w:t>
      </w:r>
      <w:r>
        <w:rPr>
          <w:color w:val="000000"/>
          <w:kern w:val="0"/>
          <w:szCs w:val="21"/>
        </w:rPr>
        <w:t xml:space="preserve">7 </w:t>
      </w:r>
      <w:r>
        <w:rPr>
          <w:rFonts w:hint="eastAsia" w:ascii="宋体" w:hAnsi="宋体" w:cs="宋体"/>
          <w:color w:val="000000"/>
          <w:kern w:val="0"/>
          <w:szCs w:val="21"/>
        </w:rPr>
        <w:t xml:space="preserve">天前向承包人发出开工通知。监理人在发出开工通知前应获得发包人同意。工期自监理人发出的开工通知中载明的开工日期起计算。承包人应在开工日期后尽快施工。 </w:t>
      </w:r>
    </w:p>
    <w:p w14:paraId="4F4D44D9">
      <w:pPr>
        <w:widowControl/>
        <w:jc w:val="left"/>
        <w:rPr>
          <w:szCs w:val="21"/>
        </w:rPr>
      </w:pPr>
      <w:r>
        <w:rPr>
          <w:color w:val="000000"/>
          <w:kern w:val="0"/>
          <w:szCs w:val="21"/>
        </w:rPr>
        <w:t xml:space="preserve">11.1.2 </w:t>
      </w:r>
      <w:r>
        <w:rPr>
          <w:rFonts w:hint="eastAsia" w:ascii="宋体" w:hAnsi="宋体" w:cs="宋体"/>
          <w:color w:val="000000"/>
          <w:kern w:val="0"/>
          <w:szCs w:val="21"/>
        </w:rPr>
        <w:t xml:space="preserve">承包人应按第 </w:t>
      </w:r>
      <w:r>
        <w:rPr>
          <w:color w:val="000000"/>
          <w:kern w:val="0"/>
          <w:szCs w:val="21"/>
        </w:rPr>
        <w:t xml:space="preserve">10.1 </w:t>
      </w:r>
      <w:r>
        <w:rPr>
          <w:rFonts w:hint="eastAsia" w:ascii="宋体" w:hAnsi="宋体" w:cs="宋体"/>
          <w:color w:val="000000"/>
          <w:kern w:val="0"/>
          <w:szCs w:val="21"/>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 </w:t>
      </w:r>
    </w:p>
    <w:p w14:paraId="0AB3BF27">
      <w:pPr>
        <w:widowControl/>
        <w:jc w:val="left"/>
        <w:rPr>
          <w:szCs w:val="21"/>
        </w:rPr>
      </w:pPr>
      <w:r>
        <w:rPr>
          <w:color w:val="000000"/>
          <w:kern w:val="0"/>
          <w:szCs w:val="21"/>
        </w:rPr>
        <w:t xml:space="preserve">11.2 </w:t>
      </w:r>
    </w:p>
    <w:p w14:paraId="49403E8F">
      <w:pPr>
        <w:widowControl/>
        <w:jc w:val="left"/>
        <w:rPr>
          <w:szCs w:val="21"/>
        </w:rPr>
      </w:pPr>
      <w:r>
        <w:rPr>
          <w:rFonts w:ascii="黑体" w:hAnsi="宋体" w:eastAsia="黑体" w:cs="黑体"/>
          <w:color w:val="000000"/>
          <w:kern w:val="0"/>
          <w:szCs w:val="21"/>
        </w:rPr>
        <w:t xml:space="preserve">竣工 </w:t>
      </w:r>
    </w:p>
    <w:p w14:paraId="1257A2BA">
      <w:pPr>
        <w:widowControl/>
        <w:jc w:val="left"/>
        <w:rPr>
          <w:szCs w:val="21"/>
        </w:rPr>
      </w:pPr>
      <w:r>
        <w:rPr>
          <w:rFonts w:hint="eastAsia" w:ascii="宋体" w:hAnsi="宋体" w:cs="宋体"/>
          <w:color w:val="000000"/>
          <w:kern w:val="0"/>
          <w:szCs w:val="21"/>
        </w:rPr>
        <w:t xml:space="preserve">承包人应在第 </w:t>
      </w:r>
      <w:r>
        <w:rPr>
          <w:color w:val="000000"/>
          <w:kern w:val="0"/>
          <w:szCs w:val="21"/>
        </w:rPr>
        <w:t xml:space="preserve">1.1.4.3 </w:t>
      </w:r>
      <w:r>
        <w:rPr>
          <w:rFonts w:hint="eastAsia" w:ascii="宋体" w:hAnsi="宋体" w:cs="宋体"/>
          <w:color w:val="000000"/>
          <w:kern w:val="0"/>
          <w:szCs w:val="21"/>
        </w:rPr>
        <w:t xml:space="preserve">目约定的期限内完成合同工程。实际竣工日期在接收证书 </w:t>
      </w:r>
    </w:p>
    <w:p w14:paraId="68BA303A">
      <w:pPr>
        <w:widowControl/>
        <w:jc w:val="left"/>
        <w:rPr>
          <w:szCs w:val="21"/>
        </w:rPr>
      </w:pPr>
      <w:r>
        <w:rPr>
          <w:rFonts w:hint="eastAsia" w:ascii="宋体" w:hAnsi="宋体" w:cs="宋体"/>
          <w:color w:val="000000"/>
          <w:kern w:val="0"/>
          <w:szCs w:val="21"/>
        </w:rPr>
        <w:t xml:space="preserve">中写明。 </w:t>
      </w:r>
    </w:p>
    <w:p w14:paraId="0BD86823">
      <w:pPr>
        <w:widowControl/>
        <w:jc w:val="left"/>
        <w:rPr>
          <w:szCs w:val="21"/>
        </w:rPr>
      </w:pPr>
      <w:r>
        <w:rPr>
          <w:color w:val="000000"/>
          <w:kern w:val="0"/>
          <w:szCs w:val="21"/>
        </w:rPr>
        <w:t xml:space="preserve">11.3 </w:t>
      </w:r>
      <w:r>
        <w:rPr>
          <w:rFonts w:hint="eastAsia" w:ascii="黑体" w:hAnsi="宋体" w:eastAsia="黑体" w:cs="黑体"/>
          <w:color w:val="000000"/>
          <w:kern w:val="0"/>
          <w:szCs w:val="21"/>
        </w:rPr>
        <w:t xml:space="preserve">发包人的工期延误 </w:t>
      </w:r>
    </w:p>
    <w:p w14:paraId="310647B3">
      <w:pPr>
        <w:widowControl/>
        <w:jc w:val="left"/>
        <w:rPr>
          <w:szCs w:val="21"/>
        </w:rPr>
      </w:pPr>
      <w:r>
        <w:rPr>
          <w:rFonts w:hint="eastAsia" w:ascii="宋体" w:hAnsi="宋体" w:cs="宋体"/>
          <w:color w:val="000000"/>
          <w:kern w:val="0"/>
          <w:szCs w:val="21"/>
        </w:rPr>
        <w:t xml:space="preserve">在履行合同过程中，由于发包人的下列原因造成工期延误的，承包人有权要求发包人延长工期和（或）增加费用，并支付合理利润。需要修订合同进度计划的，按照第 </w:t>
      </w:r>
      <w:r>
        <w:rPr>
          <w:color w:val="000000"/>
          <w:kern w:val="0"/>
          <w:szCs w:val="21"/>
        </w:rPr>
        <w:t xml:space="preserve">10.2 </w:t>
      </w:r>
      <w:r>
        <w:rPr>
          <w:rFonts w:hint="eastAsia" w:ascii="宋体" w:hAnsi="宋体" w:cs="宋体"/>
          <w:color w:val="000000"/>
          <w:kern w:val="0"/>
          <w:szCs w:val="21"/>
        </w:rPr>
        <w:t xml:space="preserve">款的约定办理。 </w:t>
      </w:r>
    </w:p>
    <w:p w14:paraId="63DB695F">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）增加合同工作内容</w:t>
      </w:r>
      <w:r>
        <w:rPr>
          <w:color w:val="000000"/>
          <w:kern w:val="0"/>
          <w:szCs w:val="21"/>
        </w:rPr>
        <w:t xml:space="preserve">; </w:t>
      </w:r>
    </w:p>
    <w:p w14:paraId="72189DE0">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）改变合同中任何一项工作的质量要求或其他特性； </w:t>
      </w:r>
    </w:p>
    <w:p w14:paraId="7B042878">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）发包人迟延提供材料、工程设备或变更交货地点的； </w:t>
      </w:r>
    </w:p>
    <w:p w14:paraId="0AD7BE2C">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）因发包人原因导致的暂停施工； </w:t>
      </w:r>
    </w:p>
    <w:p w14:paraId="743C94AF">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）提供图纸延误； </w:t>
      </w:r>
    </w:p>
    <w:p w14:paraId="3B240558">
      <w:pPr>
        <w:widowControl/>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）未按合同约定及时支付预付款、进度款； </w:t>
      </w:r>
    </w:p>
    <w:p w14:paraId="63EDA733">
      <w:pPr>
        <w:widowControl/>
        <w:jc w:val="left"/>
        <w:rPr>
          <w:szCs w:val="21"/>
        </w:rPr>
      </w:pPr>
      <w:r>
        <w:rPr>
          <w:rFonts w:hint="eastAsia" w:ascii="宋体" w:hAnsi="宋体" w:cs="宋体"/>
          <w:color w:val="000000"/>
          <w:kern w:val="0"/>
          <w:szCs w:val="21"/>
        </w:rPr>
        <w:t>（</w:t>
      </w:r>
      <w:r>
        <w:rPr>
          <w:color w:val="000000"/>
          <w:kern w:val="0"/>
          <w:szCs w:val="21"/>
        </w:rPr>
        <w:t>7</w:t>
      </w:r>
      <w:r>
        <w:rPr>
          <w:rFonts w:hint="eastAsia" w:ascii="宋体" w:hAnsi="宋体" w:cs="宋体"/>
          <w:color w:val="000000"/>
          <w:kern w:val="0"/>
          <w:szCs w:val="21"/>
        </w:rPr>
        <w:t xml:space="preserve">）发包人造成工期延误的其他原因。 </w:t>
      </w:r>
    </w:p>
    <w:p w14:paraId="6A81D414">
      <w:pPr>
        <w:widowControl/>
        <w:jc w:val="left"/>
        <w:rPr>
          <w:szCs w:val="21"/>
        </w:rPr>
      </w:pPr>
      <w:r>
        <w:rPr>
          <w:color w:val="000000"/>
          <w:kern w:val="0"/>
          <w:szCs w:val="21"/>
        </w:rPr>
        <w:t xml:space="preserve">11.4 </w:t>
      </w:r>
      <w:r>
        <w:rPr>
          <w:rFonts w:hint="eastAsia" w:ascii="黑体" w:hAnsi="宋体" w:eastAsia="黑体" w:cs="黑体"/>
          <w:color w:val="000000"/>
          <w:kern w:val="0"/>
          <w:szCs w:val="21"/>
        </w:rPr>
        <w:t xml:space="preserve">异常恶劣的气候条件 </w:t>
      </w:r>
    </w:p>
    <w:p w14:paraId="1DB48A0E">
      <w:pPr>
        <w:widowControl/>
        <w:jc w:val="left"/>
        <w:rPr>
          <w:szCs w:val="21"/>
        </w:rPr>
      </w:pPr>
      <w:r>
        <w:rPr>
          <w:rFonts w:hint="eastAsia" w:ascii="宋体" w:hAnsi="宋体" w:cs="宋体"/>
          <w:color w:val="000000"/>
          <w:kern w:val="0"/>
          <w:szCs w:val="21"/>
        </w:rPr>
        <w:t xml:space="preserve">由于出现专用合同条款约定的异常恶劣气候的条件导致工期延误的，承包人有权要求发包人延长工期。 </w:t>
      </w:r>
    </w:p>
    <w:p w14:paraId="71FA629C">
      <w:pPr>
        <w:widowControl/>
        <w:jc w:val="left"/>
        <w:rPr>
          <w:szCs w:val="21"/>
        </w:rPr>
      </w:pPr>
      <w:r>
        <w:rPr>
          <w:color w:val="000000"/>
          <w:kern w:val="0"/>
          <w:szCs w:val="21"/>
        </w:rPr>
        <w:t xml:space="preserve">11.5 </w:t>
      </w:r>
      <w:r>
        <w:rPr>
          <w:rFonts w:hint="eastAsia" w:ascii="黑体" w:hAnsi="宋体" w:eastAsia="黑体" w:cs="黑体"/>
          <w:color w:val="000000"/>
          <w:kern w:val="0"/>
          <w:szCs w:val="21"/>
        </w:rPr>
        <w:t xml:space="preserve">承包人的工期延误 </w:t>
      </w:r>
    </w:p>
    <w:p w14:paraId="156235DB">
      <w:pPr>
        <w:widowControl/>
        <w:jc w:val="left"/>
        <w:rPr>
          <w:szCs w:val="21"/>
        </w:rPr>
      </w:pPr>
      <w:r>
        <w:rPr>
          <w:rFonts w:hint="eastAsia" w:ascii="宋体" w:hAnsi="宋体" w:cs="宋体"/>
          <w:color w:val="000000"/>
          <w:kern w:val="0"/>
          <w:szCs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24163810">
      <w:pPr>
        <w:widowControl/>
        <w:jc w:val="left"/>
        <w:rPr>
          <w:szCs w:val="21"/>
        </w:rPr>
      </w:pPr>
      <w:r>
        <w:rPr>
          <w:color w:val="000000"/>
          <w:kern w:val="0"/>
          <w:szCs w:val="21"/>
        </w:rPr>
        <w:t xml:space="preserve">11.6 </w:t>
      </w:r>
      <w:r>
        <w:rPr>
          <w:rFonts w:ascii="黑体" w:hAnsi="宋体" w:eastAsia="黑体" w:cs="黑体"/>
          <w:color w:val="000000"/>
          <w:kern w:val="0"/>
          <w:szCs w:val="21"/>
        </w:rPr>
        <w:t xml:space="preserve">工期提前 </w:t>
      </w:r>
    </w:p>
    <w:p w14:paraId="62C370B6">
      <w:pPr>
        <w:widowControl/>
        <w:jc w:val="left"/>
        <w:rPr>
          <w:szCs w:val="21"/>
        </w:rPr>
      </w:pPr>
      <w:r>
        <w:rPr>
          <w:rFonts w:hint="eastAsia" w:ascii="宋体" w:hAnsi="宋体" w:cs="宋体"/>
          <w:color w:val="000000"/>
          <w:kern w:val="0"/>
          <w:szCs w:val="21"/>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14:paraId="4C132A66">
      <w:pPr>
        <w:widowControl/>
        <w:jc w:val="left"/>
        <w:rPr>
          <w:szCs w:val="21"/>
        </w:rPr>
      </w:pPr>
      <w:r>
        <w:rPr>
          <w:color w:val="000000"/>
          <w:kern w:val="0"/>
          <w:szCs w:val="21"/>
        </w:rPr>
        <w:t xml:space="preserve">12. </w:t>
      </w:r>
      <w:r>
        <w:rPr>
          <w:rFonts w:hint="eastAsia" w:ascii="黑体" w:hAnsi="宋体" w:eastAsia="黑体" w:cs="黑体"/>
          <w:color w:val="000000"/>
          <w:kern w:val="0"/>
          <w:szCs w:val="21"/>
        </w:rPr>
        <w:t xml:space="preserve">暂停施工 </w:t>
      </w:r>
    </w:p>
    <w:p w14:paraId="10012C0E">
      <w:pPr>
        <w:widowControl/>
        <w:jc w:val="left"/>
        <w:rPr>
          <w:szCs w:val="21"/>
        </w:rPr>
      </w:pPr>
      <w:r>
        <w:rPr>
          <w:color w:val="000000"/>
          <w:kern w:val="0"/>
          <w:szCs w:val="21"/>
        </w:rPr>
        <w:t xml:space="preserve">12.1 </w:t>
      </w:r>
      <w:r>
        <w:rPr>
          <w:rFonts w:hint="eastAsia" w:ascii="黑体" w:hAnsi="宋体" w:eastAsia="黑体" w:cs="黑体"/>
          <w:color w:val="000000"/>
          <w:kern w:val="0"/>
          <w:szCs w:val="21"/>
        </w:rPr>
        <w:t xml:space="preserve">承包人暂停施工的责任 </w:t>
      </w:r>
    </w:p>
    <w:p w14:paraId="1112F35A">
      <w:pPr>
        <w:widowControl/>
        <w:jc w:val="left"/>
        <w:rPr>
          <w:szCs w:val="21"/>
        </w:rPr>
      </w:pPr>
      <w:r>
        <w:rPr>
          <w:rFonts w:hint="eastAsia" w:ascii="宋体" w:hAnsi="宋体" w:cs="宋体"/>
          <w:color w:val="000000"/>
          <w:kern w:val="0"/>
          <w:szCs w:val="21"/>
        </w:rPr>
        <w:t xml:space="preserve">因下列暂停施工增加的费用和（或）工期延误由承包人承担： </w:t>
      </w:r>
    </w:p>
    <w:p w14:paraId="13CCBFFA">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）承包人违约引起的暂停施工； </w:t>
      </w:r>
    </w:p>
    <w:p w14:paraId="07BE565E">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）由于承包人原因为工程合理施工和安全保障所必需的暂停施工； </w:t>
      </w:r>
    </w:p>
    <w:p w14:paraId="7B64F32C">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）承包人擅自暂停施工； </w:t>
      </w:r>
    </w:p>
    <w:p w14:paraId="3E51E316">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）承包人其他原因引起的暂停施工； </w:t>
      </w:r>
    </w:p>
    <w:p w14:paraId="1BE05A8E">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）专用合同条款约定由承包人承担的其他暂停施工。 </w:t>
      </w:r>
    </w:p>
    <w:p w14:paraId="6E9622BD">
      <w:pPr>
        <w:widowControl/>
        <w:jc w:val="left"/>
        <w:rPr>
          <w:szCs w:val="21"/>
        </w:rPr>
      </w:pPr>
      <w:r>
        <w:rPr>
          <w:color w:val="000000"/>
          <w:kern w:val="0"/>
          <w:szCs w:val="21"/>
        </w:rPr>
        <w:t xml:space="preserve">12.2 </w:t>
      </w:r>
      <w:r>
        <w:rPr>
          <w:rFonts w:hint="eastAsia" w:ascii="黑体" w:hAnsi="宋体" w:eastAsia="黑体" w:cs="黑体"/>
          <w:color w:val="000000"/>
          <w:kern w:val="0"/>
          <w:szCs w:val="21"/>
        </w:rPr>
        <w:t xml:space="preserve">发包人暂停施工的责任 </w:t>
      </w:r>
    </w:p>
    <w:p w14:paraId="61CD412B">
      <w:pPr>
        <w:widowControl/>
        <w:jc w:val="left"/>
        <w:rPr>
          <w:szCs w:val="21"/>
        </w:rPr>
      </w:pPr>
      <w:r>
        <w:rPr>
          <w:rFonts w:hint="eastAsia" w:ascii="宋体" w:hAnsi="宋体" w:cs="宋体"/>
          <w:color w:val="000000"/>
          <w:kern w:val="0"/>
          <w:szCs w:val="21"/>
        </w:rPr>
        <w:t xml:space="preserve">由于发包人原因引起的暂停施工造成工期延误的，承包人有权要求发包人延长工期和（或）增加费用，并支付合理利润。 </w:t>
      </w:r>
    </w:p>
    <w:p w14:paraId="57EE3D00">
      <w:pPr>
        <w:widowControl/>
        <w:jc w:val="left"/>
        <w:rPr>
          <w:szCs w:val="21"/>
        </w:rPr>
      </w:pPr>
      <w:r>
        <w:rPr>
          <w:color w:val="000000"/>
          <w:kern w:val="0"/>
          <w:szCs w:val="21"/>
        </w:rPr>
        <w:t xml:space="preserve">12.3 </w:t>
      </w:r>
      <w:r>
        <w:rPr>
          <w:rFonts w:hint="eastAsia" w:ascii="黑体" w:hAnsi="宋体" w:eastAsia="黑体" w:cs="黑体"/>
          <w:color w:val="000000"/>
          <w:kern w:val="0"/>
          <w:szCs w:val="21"/>
        </w:rPr>
        <w:t xml:space="preserve">监理人暂停施工指示 </w:t>
      </w:r>
    </w:p>
    <w:p w14:paraId="4DE4880D">
      <w:pPr>
        <w:widowControl/>
        <w:jc w:val="left"/>
        <w:rPr>
          <w:szCs w:val="21"/>
        </w:rPr>
      </w:pPr>
      <w:r>
        <w:rPr>
          <w:color w:val="000000"/>
          <w:kern w:val="0"/>
          <w:szCs w:val="21"/>
        </w:rPr>
        <w:t xml:space="preserve">12.3.1 </w:t>
      </w:r>
      <w:r>
        <w:rPr>
          <w:rFonts w:hint="eastAsia" w:ascii="宋体" w:hAnsi="宋体" w:cs="宋体"/>
          <w:color w:val="000000"/>
          <w:kern w:val="0"/>
          <w:szCs w:val="21"/>
        </w:rPr>
        <w:t xml:space="preserve">监理人认为有必要时，可向承包人作出暂停施工的指示，承包人应按监理人指示暂停施工。不论由于何种原因引起的暂停施工，暂停施工期间承包人应负责妥善保护工程并提供安全保障。 </w:t>
      </w:r>
    </w:p>
    <w:p w14:paraId="270E0A04">
      <w:pPr>
        <w:widowControl/>
        <w:jc w:val="left"/>
        <w:rPr>
          <w:szCs w:val="21"/>
        </w:rPr>
      </w:pPr>
      <w:r>
        <w:rPr>
          <w:color w:val="000000"/>
          <w:kern w:val="0"/>
          <w:szCs w:val="21"/>
        </w:rPr>
        <w:t xml:space="preserve">12.3.2 </w:t>
      </w:r>
      <w:r>
        <w:rPr>
          <w:rFonts w:hint="eastAsia" w:ascii="宋体" w:hAnsi="宋体" w:cs="宋体"/>
          <w:color w:val="000000"/>
          <w:kern w:val="0"/>
          <w:szCs w:val="21"/>
        </w:rPr>
        <w:t xml:space="preserve">由于发包人的原因发生暂停施工的紧急情况，且监理人未及时下达暂停施工指示的，承包人可先暂停施工，并及时向监理人提出暂停施工的书面请求。监理人应在接到书面请求后的 </w:t>
      </w:r>
      <w:r>
        <w:rPr>
          <w:color w:val="000000"/>
          <w:kern w:val="0"/>
          <w:szCs w:val="21"/>
        </w:rPr>
        <w:t xml:space="preserve">24 </w:t>
      </w:r>
      <w:r>
        <w:rPr>
          <w:rFonts w:hint="eastAsia" w:ascii="宋体" w:hAnsi="宋体" w:cs="宋体"/>
          <w:color w:val="000000"/>
          <w:kern w:val="0"/>
          <w:szCs w:val="21"/>
        </w:rPr>
        <w:t xml:space="preserve">小时内予以答复，逾期未答复的，视为同意承包人的暂停施工请求。 </w:t>
      </w:r>
    </w:p>
    <w:p w14:paraId="7C3833C1">
      <w:pPr>
        <w:widowControl/>
        <w:jc w:val="left"/>
        <w:rPr>
          <w:szCs w:val="21"/>
        </w:rPr>
      </w:pPr>
      <w:r>
        <w:rPr>
          <w:color w:val="000000"/>
          <w:kern w:val="0"/>
          <w:szCs w:val="21"/>
        </w:rPr>
        <w:t xml:space="preserve">12.4 </w:t>
      </w:r>
      <w:r>
        <w:rPr>
          <w:rFonts w:hint="eastAsia" w:ascii="黑体" w:hAnsi="宋体" w:eastAsia="黑体" w:cs="黑体"/>
          <w:color w:val="000000"/>
          <w:kern w:val="0"/>
          <w:szCs w:val="21"/>
        </w:rPr>
        <w:t xml:space="preserve">暂停施工后的复工 </w:t>
      </w:r>
    </w:p>
    <w:p w14:paraId="22B7B535">
      <w:pPr>
        <w:widowControl/>
        <w:jc w:val="left"/>
        <w:rPr>
          <w:szCs w:val="21"/>
        </w:rPr>
      </w:pPr>
      <w:r>
        <w:rPr>
          <w:color w:val="000000"/>
          <w:kern w:val="0"/>
          <w:szCs w:val="21"/>
        </w:rPr>
        <w:t xml:space="preserve">12.4.1 </w:t>
      </w:r>
      <w:r>
        <w:rPr>
          <w:rFonts w:hint="eastAsia" w:ascii="宋体" w:hAnsi="宋体" w:cs="宋体"/>
          <w:color w:val="000000"/>
          <w:kern w:val="0"/>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789C4F3F">
      <w:pPr>
        <w:widowControl/>
        <w:jc w:val="left"/>
        <w:rPr>
          <w:szCs w:val="21"/>
        </w:rPr>
      </w:pPr>
      <w:r>
        <w:rPr>
          <w:color w:val="000000"/>
          <w:kern w:val="0"/>
          <w:szCs w:val="21"/>
        </w:rPr>
        <w:t xml:space="preserve">12.4.2 </w:t>
      </w:r>
      <w:r>
        <w:rPr>
          <w:rFonts w:hint="eastAsia" w:ascii="宋体" w:hAnsi="宋体" w:cs="宋体"/>
          <w:color w:val="000000"/>
          <w:kern w:val="0"/>
          <w:szCs w:val="21"/>
        </w:rPr>
        <w:t xml:space="preserve">承包人无故拖延和拒绝复工的，由此增加的费用和工期延误由承包人承担；因发包人原因无法按时复工的，承包人有权要求发包人延长工期和（或）增加费用，并支付合理利润。 </w:t>
      </w:r>
    </w:p>
    <w:p w14:paraId="46C60956">
      <w:pPr>
        <w:widowControl/>
        <w:jc w:val="left"/>
        <w:rPr>
          <w:szCs w:val="21"/>
        </w:rPr>
      </w:pPr>
      <w:r>
        <w:rPr>
          <w:color w:val="000000"/>
          <w:kern w:val="0"/>
          <w:szCs w:val="21"/>
        </w:rPr>
        <w:t xml:space="preserve">12.5 </w:t>
      </w:r>
      <w:r>
        <w:rPr>
          <w:rFonts w:ascii="黑体" w:hAnsi="宋体" w:eastAsia="黑体" w:cs="黑体"/>
          <w:color w:val="000000"/>
          <w:kern w:val="0"/>
          <w:szCs w:val="21"/>
        </w:rPr>
        <w:t xml:space="preserve">暂停施工持续 </w:t>
      </w:r>
      <w:r>
        <w:rPr>
          <w:color w:val="000000"/>
          <w:kern w:val="0"/>
          <w:szCs w:val="21"/>
        </w:rPr>
        <w:t xml:space="preserve">56 </w:t>
      </w:r>
      <w:r>
        <w:rPr>
          <w:rFonts w:hint="eastAsia" w:ascii="黑体" w:hAnsi="宋体" w:eastAsia="黑体" w:cs="黑体"/>
          <w:color w:val="000000"/>
          <w:kern w:val="0"/>
          <w:szCs w:val="21"/>
        </w:rPr>
        <w:t xml:space="preserve">天以上 </w:t>
      </w:r>
    </w:p>
    <w:p w14:paraId="279FB288">
      <w:pPr>
        <w:widowControl/>
        <w:jc w:val="left"/>
        <w:rPr>
          <w:szCs w:val="21"/>
        </w:rPr>
      </w:pPr>
      <w:r>
        <w:rPr>
          <w:color w:val="000000"/>
          <w:kern w:val="0"/>
          <w:szCs w:val="21"/>
        </w:rPr>
        <w:t xml:space="preserve">12.5.1 </w:t>
      </w:r>
      <w:r>
        <w:rPr>
          <w:rFonts w:hint="eastAsia" w:ascii="宋体" w:hAnsi="宋体" w:cs="宋体"/>
          <w:color w:val="000000"/>
          <w:kern w:val="0"/>
          <w:szCs w:val="21"/>
        </w:rPr>
        <w:t xml:space="preserve">监理人发出暂停施工指示后 </w:t>
      </w:r>
      <w:r>
        <w:rPr>
          <w:color w:val="000000"/>
          <w:kern w:val="0"/>
          <w:szCs w:val="21"/>
        </w:rPr>
        <w:t xml:space="preserve">56 </w:t>
      </w:r>
      <w:r>
        <w:rPr>
          <w:rFonts w:hint="eastAsia" w:ascii="宋体" w:hAnsi="宋体" w:cs="宋体"/>
          <w:color w:val="000000"/>
          <w:kern w:val="0"/>
          <w:szCs w:val="21"/>
        </w:rPr>
        <w:t xml:space="preserve">天内未向承包人发出复工通知，除了该项停工属于第 </w:t>
      </w:r>
      <w:r>
        <w:rPr>
          <w:color w:val="000000"/>
          <w:kern w:val="0"/>
          <w:szCs w:val="21"/>
        </w:rPr>
        <w:t xml:space="preserve">12.1 </w:t>
      </w:r>
      <w:r>
        <w:rPr>
          <w:rFonts w:hint="eastAsia" w:ascii="宋体" w:hAnsi="宋体" w:cs="宋体"/>
          <w:color w:val="000000"/>
          <w:kern w:val="0"/>
          <w:szCs w:val="21"/>
        </w:rPr>
        <w:t xml:space="preserve">款的情况外，承包人可向监理人提交书面通知，要求监理人在收到书面通知后 </w:t>
      </w:r>
      <w:r>
        <w:rPr>
          <w:color w:val="000000"/>
          <w:kern w:val="0"/>
          <w:szCs w:val="21"/>
        </w:rPr>
        <w:t xml:space="preserve">28 </w:t>
      </w:r>
      <w:r>
        <w:rPr>
          <w:rFonts w:hint="eastAsia" w:ascii="宋体" w:hAnsi="宋体" w:cs="宋体"/>
          <w:color w:val="000000"/>
          <w:kern w:val="0"/>
          <w:szCs w:val="21"/>
        </w:rPr>
        <w:t xml:space="preserve">天内准许已暂停施工的工程其中一部分工程继续施工。如监理人逾期不予批准，则承包人可以通知监理人，将工程受影响的部分视为按第 </w:t>
      </w:r>
      <w:r>
        <w:rPr>
          <w:color w:val="000000"/>
          <w:kern w:val="0"/>
          <w:szCs w:val="21"/>
        </w:rPr>
        <w:t>15.1</w:t>
      </w: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）项的可取消工作。如暂停施工影响到整个工程，可视为发包人违约，应按第 </w:t>
      </w:r>
      <w:r>
        <w:rPr>
          <w:color w:val="000000"/>
          <w:kern w:val="0"/>
          <w:szCs w:val="21"/>
        </w:rPr>
        <w:t xml:space="preserve">22.2 </w:t>
      </w:r>
      <w:r>
        <w:rPr>
          <w:rFonts w:hint="eastAsia" w:ascii="宋体" w:hAnsi="宋体" w:cs="宋体"/>
          <w:color w:val="000000"/>
          <w:kern w:val="0"/>
          <w:szCs w:val="21"/>
        </w:rPr>
        <w:t xml:space="preserve">款的 </w:t>
      </w:r>
    </w:p>
    <w:p w14:paraId="1C0B54FF">
      <w:pPr>
        <w:widowControl/>
        <w:jc w:val="left"/>
        <w:rPr>
          <w:szCs w:val="21"/>
        </w:rPr>
      </w:pPr>
      <w:r>
        <w:rPr>
          <w:rFonts w:hint="eastAsia" w:ascii="宋体" w:hAnsi="宋体" w:cs="宋体"/>
          <w:color w:val="000000"/>
          <w:kern w:val="0"/>
          <w:szCs w:val="21"/>
        </w:rPr>
        <w:t xml:space="preserve">约定办理。 </w:t>
      </w:r>
    </w:p>
    <w:p w14:paraId="19DE5962">
      <w:pPr>
        <w:widowControl/>
        <w:jc w:val="left"/>
        <w:rPr>
          <w:szCs w:val="21"/>
        </w:rPr>
      </w:pPr>
      <w:r>
        <w:rPr>
          <w:color w:val="000000"/>
          <w:kern w:val="0"/>
          <w:szCs w:val="21"/>
        </w:rPr>
        <w:t xml:space="preserve">12.5.2 </w:t>
      </w:r>
      <w:r>
        <w:rPr>
          <w:rFonts w:hint="eastAsia" w:ascii="宋体" w:hAnsi="宋体" w:cs="宋体"/>
          <w:color w:val="000000"/>
          <w:kern w:val="0"/>
          <w:szCs w:val="21"/>
        </w:rPr>
        <w:t xml:space="preserve">由于承包人责任引起的暂停施工，如承包人在收到监理人暂停施工指示 </w:t>
      </w:r>
    </w:p>
    <w:p w14:paraId="69DF4B86">
      <w:pPr>
        <w:widowControl/>
        <w:jc w:val="left"/>
        <w:rPr>
          <w:szCs w:val="21"/>
        </w:rPr>
      </w:pPr>
      <w:r>
        <w:rPr>
          <w:rFonts w:hint="eastAsia" w:ascii="宋体" w:hAnsi="宋体" w:cs="宋体"/>
          <w:color w:val="000000"/>
          <w:kern w:val="0"/>
          <w:szCs w:val="21"/>
        </w:rPr>
        <w:t xml:space="preserve">后 </w:t>
      </w:r>
      <w:r>
        <w:rPr>
          <w:color w:val="000000"/>
          <w:kern w:val="0"/>
          <w:szCs w:val="21"/>
        </w:rPr>
        <w:t xml:space="preserve">56 </w:t>
      </w:r>
      <w:r>
        <w:rPr>
          <w:rFonts w:hint="eastAsia" w:ascii="宋体" w:hAnsi="宋体" w:cs="宋体"/>
          <w:color w:val="000000"/>
          <w:kern w:val="0"/>
          <w:szCs w:val="21"/>
        </w:rPr>
        <w:t xml:space="preserve">天内不认真采取有效的复工措施，造成工期延误，可视为承包人违约，应按第 </w:t>
      </w:r>
      <w:r>
        <w:rPr>
          <w:color w:val="000000"/>
          <w:kern w:val="0"/>
          <w:szCs w:val="21"/>
        </w:rPr>
        <w:t xml:space="preserve">22.1 </w:t>
      </w:r>
      <w:r>
        <w:rPr>
          <w:rFonts w:hint="eastAsia" w:ascii="宋体" w:hAnsi="宋体" w:cs="宋体"/>
          <w:color w:val="000000"/>
          <w:kern w:val="0"/>
          <w:szCs w:val="21"/>
        </w:rPr>
        <w:t xml:space="preserve">款的约定办理。 </w:t>
      </w:r>
    </w:p>
    <w:p w14:paraId="4B6E2245">
      <w:pPr>
        <w:widowControl/>
        <w:jc w:val="left"/>
        <w:rPr>
          <w:szCs w:val="21"/>
        </w:rPr>
      </w:pPr>
      <w:r>
        <w:rPr>
          <w:color w:val="000000"/>
          <w:kern w:val="0"/>
          <w:szCs w:val="21"/>
        </w:rPr>
        <w:t xml:space="preserve">13. </w:t>
      </w:r>
      <w:r>
        <w:rPr>
          <w:rFonts w:hint="eastAsia" w:ascii="黑体" w:hAnsi="宋体" w:eastAsia="黑体" w:cs="黑体"/>
          <w:color w:val="000000"/>
          <w:kern w:val="0"/>
          <w:szCs w:val="21"/>
        </w:rPr>
        <w:t xml:space="preserve">工程质量 </w:t>
      </w:r>
    </w:p>
    <w:p w14:paraId="6AEA302C">
      <w:pPr>
        <w:widowControl/>
        <w:jc w:val="left"/>
        <w:rPr>
          <w:szCs w:val="21"/>
        </w:rPr>
      </w:pPr>
      <w:r>
        <w:rPr>
          <w:color w:val="000000"/>
          <w:kern w:val="0"/>
          <w:szCs w:val="21"/>
        </w:rPr>
        <w:t xml:space="preserve">13.1 </w:t>
      </w:r>
      <w:r>
        <w:rPr>
          <w:rFonts w:hint="eastAsia" w:ascii="黑体" w:hAnsi="宋体" w:eastAsia="黑体" w:cs="黑体"/>
          <w:color w:val="000000"/>
          <w:kern w:val="0"/>
          <w:szCs w:val="21"/>
        </w:rPr>
        <w:t xml:space="preserve">工程质量要求 </w:t>
      </w:r>
    </w:p>
    <w:p w14:paraId="056AD4FB">
      <w:pPr>
        <w:widowControl/>
        <w:jc w:val="left"/>
        <w:rPr>
          <w:szCs w:val="21"/>
        </w:rPr>
      </w:pPr>
      <w:r>
        <w:rPr>
          <w:color w:val="000000"/>
          <w:kern w:val="0"/>
          <w:szCs w:val="21"/>
        </w:rPr>
        <w:t xml:space="preserve">13.1.1 </w:t>
      </w:r>
      <w:r>
        <w:rPr>
          <w:rFonts w:hint="eastAsia" w:ascii="宋体" w:hAnsi="宋体" w:cs="宋体"/>
          <w:color w:val="000000"/>
          <w:kern w:val="0"/>
          <w:szCs w:val="21"/>
        </w:rPr>
        <w:t xml:space="preserve">工程质量验收按合同约定验收标准执行。 </w:t>
      </w:r>
    </w:p>
    <w:p w14:paraId="363613DB">
      <w:pPr>
        <w:widowControl/>
        <w:jc w:val="left"/>
        <w:rPr>
          <w:szCs w:val="21"/>
        </w:rPr>
      </w:pPr>
      <w:r>
        <w:rPr>
          <w:color w:val="000000"/>
          <w:kern w:val="0"/>
          <w:szCs w:val="21"/>
        </w:rPr>
        <w:t xml:space="preserve">13.1.2 </w:t>
      </w:r>
      <w:r>
        <w:rPr>
          <w:rFonts w:hint="eastAsia" w:ascii="宋体" w:hAnsi="宋体" w:cs="宋体"/>
          <w:color w:val="000000"/>
          <w:kern w:val="0"/>
          <w:szCs w:val="21"/>
        </w:rPr>
        <w:t xml:space="preserve">因承包人原因造成工程质量达不到合同约定验收标准的，监理人有权要求承包人返工直至符合合同要求为止，由此造成的费用增加和（或）工期延误由承包人承担。 </w:t>
      </w:r>
    </w:p>
    <w:p w14:paraId="0CEE177E">
      <w:pPr>
        <w:widowControl/>
        <w:jc w:val="left"/>
        <w:rPr>
          <w:szCs w:val="21"/>
        </w:rPr>
      </w:pPr>
      <w:r>
        <w:rPr>
          <w:color w:val="000000"/>
          <w:kern w:val="0"/>
          <w:szCs w:val="21"/>
        </w:rPr>
        <w:t xml:space="preserve">13.1.3 </w:t>
      </w:r>
      <w:r>
        <w:rPr>
          <w:rFonts w:hint="eastAsia" w:ascii="宋体" w:hAnsi="宋体" w:cs="宋体"/>
          <w:color w:val="000000"/>
          <w:kern w:val="0"/>
          <w:szCs w:val="21"/>
        </w:rPr>
        <w:t xml:space="preserve">因发包人原因造成工程质量达不到合同约定验收标准的，发包人应承担由于承包人返工造成的费用增加和（或）工期延误，并支付承包人合理利润。 </w:t>
      </w:r>
    </w:p>
    <w:p w14:paraId="4C650F60">
      <w:pPr>
        <w:widowControl/>
        <w:jc w:val="left"/>
        <w:rPr>
          <w:szCs w:val="21"/>
        </w:rPr>
      </w:pPr>
      <w:r>
        <w:rPr>
          <w:color w:val="000000"/>
          <w:kern w:val="0"/>
          <w:szCs w:val="21"/>
        </w:rPr>
        <w:t xml:space="preserve">13.2 </w:t>
      </w:r>
      <w:r>
        <w:rPr>
          <w:rFonts w:hint="eastAsia" w:ascii="黑体" w:hAnsi="宋体" w:eastAsia="黑体" w:cs="黑体"/>
          <w:color w:val="000000"/>
          <w:kern w:val="0"/>
          <w:szCs w:val="21"/>
        </w:rPr>
        <w:t xml:space="preserve">承包人的质量管理 </w:t>
      </w:r>
    </w:p>
    <w:p w14:paraId="101A9EA1">
      <w:pPr>
        <w:widowControl/>
        <w:jc w:val="left"/>
        <w:rPr>
          <w:szCs w:val="21"/>
        </w:rPr>
      </w:pPr>
      <w:r>
        <w:rPr>
          <w:color w:val="000000"/>
          <w:kern w:val="0"/>
          <w:szCs w:val="21"/>
        </w:rPr>
        <w:t xml:space="preserve">13.2.1 </w:t>
      </w:r>
      <w:r>
        <w:rPr>
          <w:rFonts w:hint="eastAsia" w:ascii="宋体" w:hAnsi="宋体" w:cs="宋体"/>
          <w:color w:val="000000"/>
          <w:kern w:val="0"/>
          <w:szCs w:val="21"/>
        </w:rPr>
        <w:t xml:space="preserve">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 </w:t>
      </w:r>
    </w:p>
    <w:p w14:paraId="323EC917">
      <w:pPr>
        <w:widowControl/>
        <w:jc w:val="left"/>
        <w:rPr>
          <w:szCs w:val="21"/>
        </w:rPr>
      </w:pPr>
      <w:r>
        <w:rPr>
          <w:color w:val="000000"/>
          <w:kern w:val="0"/>
          <w:szCs w:val="21"/>
        </w:rPr>
        <w:t xml:space="preserve">13.2.2 </w:t>
      </w:r>
      <w:r>
        <w:rPr>
          <w:rFonts w:hint="eastAsia" w:ascii="宋体" w:hAnsi="宋体" w:cs="宋体"/>
          <w:color w:val="000000"/>
          <w:kern w:val="0"/>
          <w:szCs w:val="21"/>
        </w:rPr>
        <w:t>承包人应加强对施工人员的质量教育和技术培训，定期考核施工人员的劳动技能，严格执行规范和操作规程。</w:t>
      </w:r>
    </w:p>
    <w:p w14:paraId="01D4C086">
      <w:pPr>
        <w:widowControl/>
        <w:jc w:val="left"/>
        <w:rPr>
          <w:szCs w:val="21"/>
        </w:rPr>
      </w:pPr>
      <w:r>
        <w:rPr>
          <w:color w:val="000000"/>
          <w:kern w:val="0"/>
          <w:szCs w:val="21"/>
        </w:rPr>
        <w:t xml:space="preserve">13.3 </w:t>
      </w:r>
      <w:r>
        <w:rPr>
          <w:rFonts w:ascii="黑体" w:hAnsi="宋体" w:eastAsia="黑体" w:cs="黑体"/>
          <w:color w:val="000000"/>
          <w:kern w:val="0"/>
          <w:szCs w:val="21"/>
        </w:rPr>
        <w:t xml:space="preserve">承包人的质量检查 </w:t>
      </w:r>
    </w:p>
    <w:p w14:paraId="4276820E">
      <w:pPr>
        <w:widowControl/>
        <w:jc w:val="left"/>
        <w:rPr>
          <w:szCs w:val="21"/>
        </w:rPr>
      </w:pPr>
      <w:r>
        <w:rPr>
          <w:rFonts w:hint="eastAsia" w:ascii="宋体" w:hAnsi="宋体" w:cs="宋体"/>
          <w:color w:val="000000"/>
          <w:kern w:val="0"/>
          <w:szCs w:val="21"/>
        </w:rPr>
        <w:t xml:space="preserve">承包人应按合同约定对材料、工程设备以及工程的所有部位及其施工工艺进行全过程的质量检查和检验，并作详细记录，编制工程质量报表，报送监理人审查。 </w:t>
      </w:r>
    </w:p>
    <w:p w14:paraId="5099EFC0">
      <w:pPr>
        <w:widowControl/>
        <w:jc w:val="left"/>
        <w:rPr>
          <w:szCs w:val="21"/>
        </w:rPr>
      </w:pPr>
      <w:r>
        <w:rPr>
          <w:color w:val="000000"/>
          <w:kern w:val="0"/>
          <w:szCs w:val="21"/>
        </w:rPr>
        <w:t xml:space="preserve">13.4 </w:t>
      </w:r>
      <w:r>
        <w:rPr>
          <w:rFonts w:hint="eastAsia" w:ascii="黑体" w:hAnsi="宋体" w:eastAsia="黑体" w:cs="黑体"/>
          <w:color w:val="000000"/>
          <w:kern w:val="0"/>
          <w:szCs w:val="21"/>
        </w:rPr>
        <w:t xml:space="preserve">监理人的质量检查 </w:t>
      </w:r>
    </w:p>
    <w:p w14:paraId="4B3B51B8">
      <w:pPr>
        <w:widowControl/>
        <w:jc w:val="left"/>
        <w:rPr>
          <w:szCs w:val="21"/>
        </w:rPr>
      </w:pPr>
      <w:r>
        <w:rPr>
          <w:rFonts w:hint="eastAsia" w:ascii="宋体" w:hAnsi="宋体" w:cs="宋体"/>
          <w:color w:val="000000"/>
          <w:kern w:val="0"/>
          <w:szCs w:val="21"/>
        </w:rPr>
        <w:t xml:space="preserve">监理人有权对工程的所有部位及其施工工艺、材料和工程设备进行检查和检验。 承包人应为监理人的检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 </w:t>
      </w:r>
    </w:p>
    <w:p w14:paraId="33FA5F51">
      <w:pPr>
        <w:widowControl/>
        <w:jc w:val="left"/>
        <w:rPr>
          <w:szCs w:val="21"/>
        </w:rPr>
      </w:pPr>
      <w:r>
        <w:rPr>
          <w:rFonts w:hint="eastAsia" w:ascii="宋体" w:hAnsi="宋体" w:cs="宋体"/>
          <w:color w:val="000000"/>
          <w:kern w:val="0"/>
          <w:szCs w:val="21"/>
        </w:rPr>
        <w:t xml:space="preserve">免除承包人按合同约定应负的责任。 </w:t>
      </w:r>
    </w:p>
    <w:p w14:paraId="64784191">
      <w:pPr>
        <w:widowControl/>
        <w:jc w:val="left"/>
        <w:rPr>
          <w:szCs w:val="21"/>
        </w:rPr>
      </w:pPr>
      <w:r>
        <w:rPr>
          <w:color w:val="000000"/>
          <w:kern w:val="0"/>
          <w:szCs w:val="21"/>
        </w:rPr>
        <w:t xml:space="preserve">13.5 </w:t>
      </w:r>
      <w:r>
        <w:rPr>
          <w:rFonts w:hint="eastAsia" w:ascii="黑体" w:hAnsi="宋体" w:eastAsia="黑体" w:cs="黑体"/>
          <w:color w:val="000000"/>
          <w:kern w:val="0"/>
          <w:szCs w:val="21"/>
        </w:rPr>
        <w:t xml:space="preserve">工程隐蔽部位覆盖前的检查 </w:t>
      </w:r>
    </w:p>
    <w:p w14:paraId="53CD5129">
      <w:pPr>
        <w:widowControl/>
        <w:jc w:val="left"/>
        <w:rPr>
          <w:szCs w:val="21"/>
        </w:rPr>
      </w:pPr>
      <w:r>
        <w:rPr>
          <w:color w:val="000000"/>
          <w:kern w:val="0"/>
          <w:szCs w:val="21"/>
        </w:rPr>
        <w:t xml:space="preserve">13.5.1 </w:t>
      </w:r>
      <w:r>
        <w:rPr>
          <w:rFonts w:hint="eastAsia" w:ascii="黑体" w:hAnsi="宋体" w:eastAsia="黑体" w:cs="黑体"/>
          <w:color w:val="000000"/>
          <w:kern w:val="0"/>
          <w:szCs w:val="21"/>
        </w:rPr>
        <w:t xml:space="preserve">通知监理人检查 </w:t>
      </w:r>
    </w:p>
    <w:p w14:paraId="15BCBB70">
      <w:pPr>
        <w:widowControl/>
        <w:jc w:val="left"/>
        <w:rPr>
          <w:szCs w:val="21"/>
        </w:rPr>
      </w:pPr>
      <w:r>
        <w:rPr>
          <w:rFonts w:hint="eastAsia" w:ascii="宋体" w:hAnsi="宋体" w:cs="宋体"/>
          <w:color w:val="000000"/>
          <w:kern w:val="0"/>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 </w:t>
      </w:r>
    </w:p>
    <w:p w14:paraId="6A04E1CF">
      <w:pPr>
        <w:widowControl/>
        <w:jc w:val="left"/>
        <w:rPr>
          <w:szCs w:val="21"/>
        </w:rPr>
      </w:pPr>
      <w:r>
        <w:rPr>
          <w:color w:val="000000"/>
          <w:kern w:val="0"/>
          <w:szCs w:val="21"/>
        </w:rPr>
        <w:t xml:space="preserve">13.5.2 </w:t>
      </w:r>
      <w:r>
        <w:rPr>
          <w:rFonts w:hint="eastAsia" w:ascii="黑体" w:hAnsi="宋体" w:eastAsia="黑体" w:cs="黑体"/>
          <w:color w:val="000000"/>
          <w:kern w:val="0"/>
          <w:szCs w:val="21"/>
        </w:rPr>
        <w:t xml:space="preserve">监理人未到场检查 </w:t>
      </w:r>
    </w:p>
    <w:p w14:paraId="618AA6EF">
      <w:pPr>
        <w:widowControl/>
        <w:jc w:val="left"/>
        <w:rPr>
          <w:szCs w:val="21"/>
        </w:rPr>
      </w:pPr>
      <w:r>
        <w:rPr>
          <w:rFonts w:hint="eastAsia" w:ascii="宋体" w:hAnsi="宋体" w:cs="宋体"/>
          <w:color w:val="000000"/>
          <w:kern w:val="0"/>
          <w:szCs w:val="21"/>
        </w:rPr>
        <w:t xml:space="preserve">监理人未按第 </w:t>
      </w:r>
      <w:r>
        <w:rPr>
          <w:color w:val="000000"/>
          <w:kern w:val="0"/>
          <w:szCs w:val="21"/>
        </w:rPr>
        <w:t xml:space="preserve">13.5.1 </w:t>
      </w:r>
      <w:r>
        <w:rPr>
          <w:rFonts w:hint="eastAsia" w:ascii="宋体" w:hAnsi="宋体" w:cs="宋体"/>
          <w:color w:val="000000"/>
          <w:kern w:val="0"/>
          <w:szCs w:val="21"/>
        </w:rPr>
        <w:t xml:space="preserve">项约定的时间进行检查的，除监理人另有指示外，承包人可自行完成覆盖工作，并作相应记录报送监理人，监理人应签字确认。监理人事后对检查记录有疑问的，可按第 </w:t>
      </w:r>
      <w:r>
        <w:rPr>
          <w:color w:val="000000"/>
          <w:kern w:val="0"/>
          <w:szCs w:val="21"/>
        </w:rPr>
        <w:t xml:space="preserve">13.5.3 </w:t>
      </w:r>
      <w:r>
        <w:rPr>
          <w:rFonts w:hint="eastAsia" w:ascii="宋体" w:hAnsi="宋体" w:cs="宋体"/>
          <w:color w:val="000000"/>
          <w:kern w:val="0"/>
          <w:szCs w:val="21"/>
        </w:rPr>
        <w:t xml:space="preserve">项的约定重新检查。 </w:t>
      </w:r>
    </w:p>
    <w:p w14:paraId="30E462B1">
      <w:pPr>
        <w:widowControl/>
        <w:jc w:val="left"/>
        <w:rPr>
          <w:szCs w:val="21"/>
        </w:rPr>
      </w:pPr>
      <w:r>
        <w:rPr>
          <w:color w:val="000000"/>
          <w:kern w:val="0"/>
          <w:szCs w:val="21"/>
        </w:rPr>
        <w:t xml:space="preserve">13.5.3 </w:t>
      </w:r>
      <w:r>
        <w:rPr>
          <w:rFonts w:hint="eastAsia" w:ascii="黑体" w:hAnsi="宋体" w:eastAsia="黑体" w:cs="黑体"/>
          <w:color w:val="000000"/>
          <w:kern w:val="0"/>
          <w:szCs w:val="21"/>
        </w:rPr>
        <w:t xml:space="preserve">监理人重新检查 </w:t>
      </w:r>
    </w:p>
    <w:p w14:paraId="7253381B">
      <w:pPr>
        <w:widowControl/>
        <w:jc w:val="left"/>
        <w:rPr>
          <w:szCs w:val="21"/>
        </w:rPr>
      </w:pPr>
      <w:r>
        <w:rPr>
          <w:rFonts w:hint="eastAsia" w:ascii="宋体" w:hAnsi="宋体" w:cs="宋体"/>
          <w:color w:val="000000"/>
          <w:kern w:val="0"/>
          <w:szCs w:val="21"/>
        </w:rPr>
        <w:t xml:space="preserve">承包人按第 </w:t>
      </w:r>
      <w:r>
        <w:rPr>
          <w:color w:val="000000"/>
          <w:kern w:val="0"/>
          <w:szCs w:val="21"/>
        </w:rPr>
        <w:t xml:space="preserve">13.5.1 </w:t>
      </w:r>
      <w:r>
        <w:rPr>
          <w:rFonts w:hint="eastAsia" w:ascii="宋体" w:hAnsi="宋体" w:cs="宋体"/>
          <w:color w:val="000000"/>
          <w:kern w:val="0"/>
          <w:szCs w:val="21"/>
        </w:rPr>
        <w:t xml:space="preserve">项或 </w:t>
      </w:r>
      <w:r>
        <w:rPr>
          <w:color w:val="000000"/>
          <w:kern w:val="0"/>
          <w:szCs w:val="21"/>
        </w:rPr>
        <w:t xml:space="preserve">13.5.2 </w:t>
      </w:r>
      <w:r>
        <w:rPr>
          <w:rFonts w:hint="eastAsia" w:ascii="宋体" w:hAnsi="宋体" w:cs="宋体"/>
          <w:color w:val="000000"/>
          <w:kern w:val="0"/>
          <w:szCs w:val="21"/>
        </w:rP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 </w:t>
      </w:r>
    </w:p>
    <w:p w14:paraId="3FB5D74F">
      <w:pPr>
        <w:widowControl/>
        <w:jc w:val="left"/>
        <w:rPr>
          <w:szCs w:val="21"/>
        </w:rPr>
      </w:pPr>
      <w:r>
        <w:rPr>
          <w:color w:val="000000"/>
          <w:kern w:val="0"/>
          <w:szCs w:val="21"/>
        </w:rPr>
        <w:t xml:space="preserve">13.5.4 </w:t>
      </w:r>
      <w:r>
        <w:rPr>
          <w:rFonts w:hint="eastAsia" w:ascii="黑体" w:hAnsi="宋体" w:eastAsia="黑体" w:cs="黑体"/>
          <w:color w:val="000000"/>
          <w:kern w:val="0"/>
          <w:szCs w:val="21"/>
        </w:rPr>
        <w:t xml:space="preserve">承包人私自覆盖 </w:t>
      </w:r>
    </w:p>
    <w:p w14:paraId="4377D8DE">
      <w:pPr>
        <w:widowControl/>
        <w:jc w:val="left"/>
        <w:rPr>
          <w:szCs w:val="21"/>
        </w:rPr>
      </w:pPr>
      <w:r>
        <w:rPr>
          <w:rFonts w:hint="eastAsia" w:ascii="宋体" w:hAnsi="宋体" w:cs="宋体"/>
          <w:color w:val="000000"/>
          <w:kern w:val="0"/>
          <w:szCs w:val="21"/>
        </w:rPr>
        <w:t>承包人未通知监理人到场检查，私自将工程隐蔽部位覆盖的，监理人有权指示，承包人钻孔探测或揭开检查，由此增加的费用和（或）工期延误由承包人承担</w:t>
      </w:r>
    </w:p>
    <w:p w14:paraId="71D4AD96">
      <w:pPr>
        <w:widowControl/>
        <w:jc w:val="left"/>
        <w:rPr>
          <w:szCs w:val="21"/>
        </w:rPr>
      </w:pPr>
      <w:r>
        <w:rPr>
          <w:color w:val="000000"/>
          <w:kern w:val="0"/>
          <w:szCs w:val="21"/>
        </w:rPr>
        <w:t xml:space="preserve">13.6 </w:t>
      </w:r>
      <w:r>
        <w:rPr>
          <w:rFonts w:ascii="黑体" w:hAnsi="宋体" w:eastAsia="黑体" w:cs="黑体"/>
          <w:color w:val="000000"/>
          <w:kern w:val="0"/>
          <w:szCs w:val="21"/>
        </w:rPr>
        <w:t xml:space="preserve">清除不合格工程 </w:t>
      </w:r>
    </w:p>
    <w:p w14:paraId="3FA0F927">
      <w:pPr>
        <w:widowControl/>
        <w:jc w:val="left"/>
        <w:rPr>
          <w:szCs w:val="21"/>
        </w:rPr>
      </w:pPr>
      <w:r>
        <w:rPr>
          <w:color w:val="000000"/>
          <w:kern w:val="0"/>
          <w:szCs w:val="21"/>
        </w:rPr>
        <w:t xml:space="preserve">13.6.1 </w:t>
      </w:r>
      <w:r>
        <w:rPr>
          <w:rFonts w:hint="eastAsia" w:ascii="宋体" w:hAnsi="宋体" w:cs="宋体"/>
          <w:color w:val="000000"/>
          <w:kern w:val="0"/>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 </w:t>
      </w:r>
    </w:p>
    <w:p w14:paraId="39E1CE48">
      <w:pPr>
        <w:widowControl/>
        <w:jc w:val="left"/>
        <w:rPr>
          <w:szCs w:val="21"/>
        </w:rPr>
      </w:pPr>
      <w:r>
        <w:rPr>
          <w:color w:val="000000"/>
          <w:kern w:val="0"/>
          <w:szCs w:val="21"/>
        </w:rPr>
        <w:t xml:space="preserve">13.6.2 </w:t>
      </w:r>
      <w:r>
        <w:rPr>
          <w:rFonts w:hint="eastAsia" w:ascii="宋体" w:hAnsi="宋体" w:cs="宋体"/>
          <w:color w:val="000000"/>
          <w:kern w:val="0"/>
          <w:szCs w:val="21"/>
        </w:rPr>
        <w:t xml:space="preserve">由于发包人提供的材料或工程设备不合格造成的工程不合格，需要承包人采取措施补救的，发包人应承担由此增加的费用和（或）工期延误，并支付承包人合理利润。 </w:t>
      </w:r>
    </w:p>
    <w:p w14:paraId="69B5D373">
      <w:pPr>
        <w:widowControl/>
        <w:jc w:val="left"/>
        <w:rPr>
          <w:szCs w:val="21"/>
        </w:rPr>
      </w:pPr>
      <w:r>
        <w:rPr>
          <w:color w:val="000000"/>
          <w:kern w:val="0"/>
          <w:szCs w:val="21"/>
        </w:rPr>
        <w:t xml:space="preserve">14. </w:t>
      </w:r>
      <w:r>
        <w:rPr>
          <w:rFonts w:hint="eastAsia" w:ascii="黑体" w:hAnsi="宋体" w:eastAsia="黑体" w:cs="黑体"/>
          <w:color w:val="000000"/>
          <w:kern w:val="0"/>
          <w:szCs w:val="21"/>
        </w:rPr>
        <w:t xml:space="preserve">试验和检验 </w:t>
      </w:r>
    </w:p>
    <w:p w14:paraId="64CC5406">
      <w:pPr>
        <w:widowControl/>
        <w:jc w:val="left"/>
        <w:rPr>
          <w:szCs w:val="21"/>
        </w:rPr>
      </w:pPr>
      <w:r>
        <w:rPr>
          <w:color w:val="000000"/>
          <w:kern w:val="0"/>
          <w:szCs w:val="21"/>
        </w:rPr>
        <w:t xml:space="preserve">14.1 </w:t>
      </w:r>
      <w:r>
        <w:rPr>
          <w:rFonts w:hint="eastAsia" w:ascii="黑体" w:hAnsi="宋体" w:eastAsia="黑体" w:cs="黑体"/>
          <w:color w:val="000000"/>
          <w:kern w:val="0"/>
          <w:szCs w:val="21"/>
        </w:rPr>
        <w:t xml:space="preserve">材料、工程设备和工程的试验和检验 </w:t>
      </w:r>
    </w:p>
    <w:p w14:paraId="0B749F36">
      <w:pPr>
        <w:widowControl/>
        <w:jc w:val="left"/>
        <w:rPr>
          <w:szCs w:val="21"/>
        </w:rPr>
      </w:pPr>
      <w:r>
        <w:rPr>
          <w:color w:val="000000"/>
          <w:kern w:val="0"/>
          <w:szCs w:val="21"/>
        </w:rPr>
        <w:t xml:space="preserve">14.1.1 </w:t>
      </w:r>
      <w:r>
        <w:rPr>
          <w:rFonts w:hint="eastAsia" w:ascii="宋体" w:hAnsi="宋体" w:cs="宋体"/>
          <w:color w:val="000000"/>
          <w:kern w:val="0"/>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 </w:t>
      </w:r>
    </w:p>
    <w:p w14:paraId="5ED80312">
      <w:pPr>
        <w:widowControl/>
        <w:jc w:val="left"/>
        <w:rPr>
          <w:szCs w:val="21"/>
        </w:rPr>
      </w:pPr>
      <w:r>
        <w:rPr>
          <w:color w:val="000000"/>
          <w:kern w:val="0"/>
          <w:szCs w:val="21"/>
        </w:rPr>
        <w:t xml:space="preserve">14.1.2 </w:t>
      </w:r>
      <w:r>
        <w:rPr>
          <w:rFonts w:hint="eastAsia" w:ascii="宋体" w:hAnsi="宋体" w:cs="宋体"/>
          <w:color w:val="000000"/>
          <w:kern w:val="0"/>
          <w:szCs w:val="21"/>
        </w:rPr>
        <w:t xml:space="preserve">监理人未按合同约定派员参加试验和检验的，除监理人另有指示外，承包人可自行试验和检验，并应立即将试验和检验结果报送监理人，监理人应签字确认。 </w:t>
      </w:r>
    </w:p>
    <w:p w14:paraId="70329F16">
      <w:pPr>
        <w:widowControl/>
        <w:jc w:val="left"/>
        <w:rPr>
          <w:szCs w:val="21"/>
        </w:rPr>
      </w:pPr>
      <w:r>
        <w:rPr>
          <w:color w:val="000000"/>
          <w:kern w:val="0"/>
          <w:szCs w:val="21"/>
        </w:rPr>
        <w:t xml:space="preserve">14.1.3 </w:t>
      </w:r>
      <w:r>
        <w:rPr>
          <w:rFonts w:hint="eastAsia" w:ascii="宋体" w:hAnsi="宋体" w:cs="宋体"/>
          <w:color w:val="000000"/>
          <w:kern w:val="0"/>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 </w:t>
      </w:r>
    </w:p>
    <w:p w14:paraId="00041B4E">
      <w:pPr>
        <w:widowControl/>
        <w:jc w:val="left"/>
        <w:rPr>
          <w:szCs w:val="21"/>
        </w:rPr>
      </w:pPr>
      <w:r>
        <w:rPr>
          <w:rFonts w:hint="eastAsia" w:ascii="宋体" w:hAnsi="宋体" w:cs="宋体"/>
          <w:color w:val="000000"/>
          <w:kern w:val="0"/>
          <w:szCs w:val="21"/>
        </w:rPr>
        <w:t xml:space="preserve">工期延误，并支付承包人合理利润。 </w:t>
      </w:r>
    </w:p>
    <w:p w14:paraId="7D74E55B">
      <w:pPr>
        <w:widowControl/>
        <w:jc w:val="left"/>
        <w:rPr>
          <w:szCs w:val="21"/>
        </w:rPr>
      </w:pPr>
      <w:r>
        <w:rPr>
          <w:color w:val="000000"/>
          <w:kern w:val="0"/>
          <w:szCs w:val="21"/>
        </w:rPr>
        <w:t xml:space="preserve">14.2 </w:t>
      </w:r>
      <w:r>
        <w:rPr>
          <w:rFonts w:hint="eastAsia" w:ascii="黑体" w:hAnsi="宋体" w:eastAsia="黑体" w:cs="黑体"/>
          <w:color w:val="000000"/>
          <w:kern w:val="0"/>
          <w:szCs w:val="21"/>
        </w:rPr>
        <w:t xml:space="preserve">现场材料试验 </w:t>
      </w:r>
    </w:p>
    <w:p w14:paraId="0AD7EF5F">
      <w:pPr>
        <w:widowControl/>
        <w:jc w:val="left"/>
        <w:rPr>
          <w:szCs w:val="21"/>
        </w:rPr>
      </w:pPr>
      <w:r>
        <w:rPr>
          <w:color w:val="000000"/>
          <w:kern w:val="0"/>
          <w:szCs w:val="21"/>
        </w:rPr>
        <w:t xml:space="preserve">14.2.1 </w:t>
      </w:r>
      <w:r>
        <w:rPr>
          <w:rFonts w:hint="eastAsia" w:ascii="宋体" w:hAnsi="宋体" w:cs="宋体"/>
          <w:color w:val="000000"/>
          <w:kern w:val="0"/>
          <w:szCs w:val="21"/>
        </w:rPr>
        <w:t xml:space="preserve">承包人根据合同约定或监理人指示进行的现场材料试验，应由承包人提供试验场所、试验人员、试验设备器材以及其他必要的试验条件。 </w:t>
      </w:r>
    </w:p>
    <w:p w14:paraId="1463EA02">
      <w:pPr>
        <w:widowControl/>
        <w:jc w:val="left"/>
        <w:rPr>
          <w:szCs w:val="21"/>
        </w:rPr>
      </w:pPr>
      <w:r>
        <w:rPr>
          <w:color w:val="000000"/>
          <w:kern w:val="0"/>
          <w:szCs w:val="21"/>
        </w:rPr>
        <w:t xml:space="preserve">14.2.2 </w:t>
      </w:r>
      <w:r>
        <w:rPr>
          <w:rFonts w:hint="eastAsia" w:ascii="宋体" w:hAnsi="宋体" w:cs="宋体"/>
          <w:color w:val="000000"/>
          <w:kern w:val="0"/>
          <w:szCs w:val="21"/>
        </w:rPr>
        <w:t>监理人在必要时可以使用承包人的试验场所、试验设备器材以及其他试验条件，进行以工程质量检查为目的的复核性材料试验，承包人应予以协助。</w:t>
      </w:r>
    </w:p>
    <w:p w14:paraId="57F4FD33">
      <w:pPr>
        <w:widowControl/>
        <w:jc w:val="left"/>
        <w:rPr>
          <w:szCs w:val="21"/>
        </w:rPr>
      </w:pPr>
      <w:r>
        <w:rPr>
          <w:color w:val="000000"/>
          <w:kern w:val="0"/>
          <w:szCs w:val="21"/>
        </w:rPr>
        <w:t xml:space="preserve">14.3 </w:t>
      </w:r>
      <w:r>
        <w:rPr>
          <w:rFonts w:ascii="黑体" w:hAnsi="宋体" w:eastAsia="黑体" w:cs="黑体"/>
          <w:color w:val="000000"/>
          <w:kern w:val="0"/>
          <w:szCs w:val="21"/>
        </w:rPr>
        <w:t xml:space="preserve">现场工艺试验 </w:t>
      </w:r>
    </w:p>
    <w:p w14:paraId="0D717C69">
      <w:pPr>
        <w:widowControl/>
        <w:jc w:val="left"/>
        <w:rPr>
          <w:szCs w:val="21"/>
        </w:rPr>
      </w:pPr>
      <w:r>
        <w:rPr>
          <w:rFonts w:hint="eastAsia" w:ascii="宋体" w:hAnsi="宋体" w:cs="宋体"/>
          <w:color w:val="000000"/>
          <w:kern w:val="0"/>
          <w:szCs w:val="21"/>
        </w:rPr>
        <w:t xml:space="preserve">承包人应按合同约定或监理人指示进行现场工艺试验。对大型的现场工艺试验，监理人认为必要时，应由承包人根据监理人提出的工艺试验要求，编制工艺试验措施计划，报送监理人审批。 </w:t>
      </w:r>
    </w:p>
    <w:p w14:paraId="4F71FBBD">
      <w:pPr>
        <w:widowControl/>
        <w:jc w:val="left"/>
        <w:rPr>
          <w:szCs w:val="21"/>
        </w:rPr>
      </w:pPr>
      <w:r>
        <w:rPr>
          <w:color w:val="000000"/>
          <w:kern w:val="0"/>
          <w:szCs w:val="21"/>
        </w:rPr>
        <w:t xml:space="preserve">15. </w:t>
      </w:r>
      <w:r>
        <w:rPr>
          <w:rFonts w:hint="eastAsia" w:ascii="黑体" w:hAnsi="宋体" w:eastAsia="黑体" w:cs="黑体"/>
          <w:color w:val="000000"/>
          <w:kern w:val="0"/>
          <w:szCs w:val="21"/>
        </w:rPr>
        <w:t xml:space="preserve">变更 </w:t>
      </w:r>
    </w:p>
    <w:p w14:paraId="0BECA703">
      <w:pPr>
        <w:widowControl/>
        <w:jc w:val="left"/>
        <w:rPr>
          <w:szCs w:val="21"/>
        </w:rPr>
      </w:pPr>
      <w:r>
        <w:rPr>
          <w:color w:val="000000"/>
          <w:kern w:val="0"/>
          <w:szCs w:val="21"/>
        </w:rPr>
        <w:t xml:space="preserve">15.1 </w:t>
      </w:r>
      <w:r>
        <w:rPr>
          <w:rFonts w:hint="eastAsia" w:ascii="黑体" w:hAnsi="宋体" w:eastAsia="黑体" w:cs="黑体"/>
          <w:color w:val="000000"/>
          <w:kern w:val="0"/>
          <w:szCs w:val="21"/>
        </w:rPr>
        <w:t xml:space="preserve">变更的范围和内容 </w:t>
      </w:r>
    </w:p>
    <w:p w14:paraId="3EB27EF0">
      <w:pPr>
        <w:widowControl/>
        <w:jc w:val="left"/>
        <w:rPr>
          <w:szCs w:val="21"/>
        </w:rPr>
      </w:pPr>
      <w:r>
        <w:rPr>
          <w:rFonts w:hint="eastAsia" w:ascii="宋体" w:hAnsi="宋体" w:cs="宋体"/>
          <w:color w:val="000000"/>
          <w:kern w:val="0"/>
          <w:szCs w:val="21"/>
        </w:rPr>
        <w:t xml:space="preserve">除专用合同条款另有约定外，在履行合同中发生以下情形之一，应按照本条规定进行变更。 </w:t>
      </w:r>
    </w:p>
    <w:p w14:paraId="73750E47">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）取消合同中任何一项工作，但被取消的工作不能转由发包人或其他人实施； </w:t>
      </w:r>
    </w:p>
    <w:p w14:paraId="5C049661">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）改变合同中任何一项工作的质量或其他特性； </w:t>
      </w:r>
    </w:p>
    <w:p w14:paraId="1C374147">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）改变合同工程的基线、标高、位置或尺寸； </w:t>
      </w:r>
    </w:p>
    <w:p w14:paraId="3414064C">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）改变合同中任何一项工作的施工时间或改变已批准的施工工艺或顺序； </w:t>
      </w:r>
    </w:p>
    <w:p w14:paraId="7B23B260">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）为完成工程需要追加的额外工作。 </w:t>
      </w:r>
    </w:p>
    <w:p w14:paraId="579ACCF7">
      <w:pPr>
        <w:widowControl/>
        <w:jc w:val="left"/>
        <w:rPr>
          <w:szCs w:val="21"/>
        </w:rPr>
      </w:pPr>
      <w:r>
        <w:rPr>
          <w:color w:val="000000"/>
          <w:kern w:val="0"/>
          <w:szCs w:val="21"/>
        </w:rPr>
        <w:t xml:space="preserve">15.2 </w:t>
      </w:r>
      <w:r>
        <w:rPr>
          <w:rFonts w:hint="eastAsia" w:ascii="黑体" w:hAnsi="宋体" w:eastAsia="黑体" w:cs="黑体"/>
          <w:color w:val="000000"/>
          <w:kern w:val="0"/>
          <w:szCs w:val="21"/>
        </w:rPr>
        <w:t xml:space="preserve">变更权 </w:t>
      </w:r>
    </w:p>
    <w:p w14:paraId="1D643499">
      <w:pPr>
        <w:widowControl/>
        <w:jc w:val="left"/>
        <w:rPr>
          <w:szCs w:val="21"/>
        </w:rPr>
      </w:pPr>
      <w:r>
        <w:rPr>
          <w:rFonts w:hint="eastAsia" w:ascii="宋体" w:hAnsi="宋体" w:cs="宋体"/>
          <w:color w:val="000000"/>
          <w:kern w:val="0"/>
          <w:szCs w:val="21"/>
        </w:rPr>
        <w:t xml:space="preserve">在履行合同过程中，经发包人同意，监理人可按第 </w:t>
      </w:r>
      <w:r>
        <w:rPr>
          <w:color w:val="000000"/>
          <w:kern w:val="0"/>
          <w:szCs w:val="21"/>
        </w:rPr>
        <w:t xml:space="preserve">15.3 </w:t>
      </w:r>
      <w:r>
        <w:rPr>
          <w:rFonts w:hint="eastAsia" w:ascii="宋体" w:hAnsi="宋体" w:cs="宋体"/>
          <w:color w:val="000000"/>
          <w:kern w:val="0"/>
          <w:szCs w:val="21"/>
        </w:rPr>
        <w:t xml:space="preserve">款约定的变更程序向承包人作出变更指示，承包人应遵照执行。没有监理人的变更指示，承包人不得擅自变更。 </w:t>
      </w:r>
    </w:p>
    <w:p w14:paraId="1AE16B99">
      <w:pPr>
        <w:widowControl/>
        <w:jc w:val="left"/>
        <w:rPr>
          <w:szCs w:val="21"/>
        </w:rPr>
      </w:pPr>
      <w:r>
        <w:rPr>
          <w:color w:val="000000"/>
          <w:kern w:val="0"/>
          <w:szCs w:val="21"/>
        </w:rPr>
        <w:t xml:space="preserve">15.3 </w:t>
      </w:r>
      <w:r>
        <w:rPr>
          <w:rFonts w:hint="eastAsia" w:ascii="黑体" w:hAnsi="宋体" w:eastAsia="黑体" w:cs="黑体"/>
          <w:color w:val="000000"/>
          <w:kern w:val="0"/>
          <w:szCs w:val="21"/>
        </w:rPr>
        <w:t xml:space="preserve">变更程序 </w:t>
      </w:r>
    </w:p>
    <w:p w14:paraId="7B30A38D">
      <w:pPr>
        <w:widowControl/>
        <w:jc w:val="left"/>
        <w:rPr>
          <w:szCs w:val="21"/>
        </w:rPr>
      </w:pPr>
      <w:r>
        <w:rPr>
          <w:color w:val="000000"/>
          <w:kern w:val="0"/>
          <w:szCs w:val="21"/>
        </w:rPr>
        <w:t xml:space="preserve">15.3.1 </w:t>
      </w:r>
      <w:r>
        <w:rPr>
          <w:rFonts w:hint="eastAsia" w:ascii="黑体" w:hAnsi="宋体" w:eastAsia="黑体" w:cs="黑体"/>
          <w:color w:val="000000"/>
          <w:kern w:val="0"/>
          <w:szCs w:val="21"/>
        </w:rPr>
        <w:t xml:space="preserve">变更的提出 </w:t>
      </w:r>
    </w:p>
    <w:p w14:paraId="5CA6A509">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）在合同履行过程中，可能发生第 </w:t>
      </w:r>
      <w:r>
        <w:rPr>
          <w:color w:val="000000"/>
          <w:kern w:val="0"/>
          <w:szCs w:val="21"/>
        </w:rPr>
        <w:t xml:space="preserve">15.1 </w:t>
      </w:r>
      <w:r>
        <w:rPr>
          <w:rFonts w:hint="eastAsia" w:ascii="宋体" w:hAnsi="宋体" w:cs="宋体"/>
          <w:color w:val="000000"/>
          <w:kern w:val="0"/>
          <w:szCs w:val="21"/>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w:t>
      </w:r>
      <w:r>
        <w:rPr>
          <w:color w:val="000000"/>
          <w:kern w:val="0"/>
          <w:szCs w:val="21"/>
        </w:rPr>
        <w:t xml:space="preserve">15.3.3 </w:t>
      </w:r>
      <w:r>
        <w:rPr>
          <w:rFonts w:hint="eastAsia" w:ascii="宋体" w:hAnsi="宋体" w:cs="宋体"/>
          <w:color w:val="000000"/>
          <w:kern w:val="0"/>
          <w:szCs w:val="21"/>
        </w:rPr>
        <w:t xml:space="preserve">项约定发出变更指示。 </w:t>
      </w:r>
    </w:p>
    <w:p w14:paraId="43392FAE">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）在合同履行过程中，发生第 </w:t>
      </w:r>
      <w:r>
        <w:rPr>
          <w:color w:val="000000"/>
          <w:kern w:val="0"/>
          <w:szCs w:val="21"/>
        </w:rPr>
        <w:t xml:space="preserve">15.1 </w:t>
      </w:r>
      <w:r>
        <w:rPr>
          <w:rFonts w:hint="eastAsia" w:ascii="宋体" w:hAnsi="宋体" w:cs="宋体"/>
          <w:color w:val="000000"/>
          <w:kern w:val="0"/>
          <w:szCs w:val="21"/>
        </w:rPr>
        <w:t xml:space="preserve">款约定情形的，监理人应按照第 </w:t>
      </w:r>
      <w:r>
        <w:rPr>
          <w:color w:val="000000"/>
          <w:kern w:val="0"/>
          <w:szCs w:val="21"/>
        </w:rPr>
        <w:t>15.3.3</w:t>
      </w:r>
      <w:r>
        <w:rPr>
          <w:rFonts w:hint="eastAsia" w:ascii="宋体" w:hAnsi="宋体" w:cs="宋体"/>
          <w:color w:val="000000"/>
          <w:kern w:val="0"/>
          <w:szCs w:val="21"/>
        </w:rPr>
        <w:t xml:space="preserve">项约定向承包人发出变更指示。 </w:t>
      </w:r>
    </w:p>
    <w:p w14:paraId="17A23A51">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）承包人收到监理人按合同约定发出的图纸和文件，经检查认为其中存在第</w:t>
      </w:r>
      <w:r>
        <w:rPr>
          <w:color w:val="000000"/>
          <w:kern w:val="0"/>
          <w:szCs w:val="21"/>
        </w:rPr>
        <w:t xml:space="preserve">15.1 </w:t>
      </w:r>
      <w:r>
        <w:rPr>
          <w:rFonts w:hint="eastAsia" w:ascii="宋体" w:hAnsi="宋体" w:cs="宋体"/>
          <w:color w:val="000000"/>
          <w:kern w:val="0"/>
          <w:szCs w:val="21"/>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 </w:t>
      </w:r>
      <w:r>
        <w:rPr>
          <w:color w:val="000000"/>
          <w:kern w:val="0"/>
          <w:szCs w:val="21"/>
        </w:rPr>
        <w:t xml:space="preserve">14 </w:t>
      </w:r>
      <w:r>
        <w:rPr>
          <w:rFonts w:hint="eastAsia" w:ascii="宋体" w:hAnsi="宋体" w:cs="宋体"/>
          <w:color w:val="000000"/>
          <w:kern w:val="0"/>
          <w:szCs w:val="21"/>
        </w:rPr>
        <w:t xml:space="preserve">天内作出变更指示。经研究后不同意作为变更的，应由监理人书面答复承包人。 </w:t>
      </w:r>
    </w:p>
    <w:p w14:paraId="79CFF385">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）若承包人收到监理人的变更意向书后认为难以实施此项变更，应立即通知监理人，说明原因并附详细依据。监理人与承包人和发包人协商后确定撤销、改变或不改变原变更意向书。 </w:t>
      </w:r>
    </w:p>
    <w:p w14:paraId="1A2792BD">
      <w:pPr>
        <w:widowControl/>
        <w:jc w:val="left"/>
        <w:rPr>
          <w:szCs w:val="21"/>
        </w:rPr>
      </w:pPr>
      <w:r>
        <w:rPr>
          <w:color w:val="000000"/>
          <w:kern w:val="0"/>
          <w:szCs w:val="21"/>
        </w:rPr>
        <w:t xml:space="preserve">15.3.2 </w:t>
      </w:r>
      <w:r>
        <w:rPr>
          <w:rFonts w:ascii="黑体" w:hAnsi="宋体" w:eastAsia="黑体" w:cs="黑体"/>
          <w:color w:val="000000"/>
          <w:kern w:val="0"/>
          <w:szCs w:val="21"/>
        </w:rPr>
        <w:t xml:space="preserve">变更估价 </w:t>
      </w:r>
    </w:p>
    <w:p w14:paraId="38954BBA">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）除专用合同条款对期限另有约定外，承包人应在收到变更指示或变更意向书后的 </w:t>
      </w:r>
      <w:r>
        <w:rPr>
          <w:color w:val="000000"/>
          <w:kern w:val="0"/>
          <w:szCs w:val="21"/>
        </w:rPr>
        <w:t xml:space="preserve">14 </w:t>
      </w:r>
      <w:r>
        <w:rPr>
          <w:rFonts w:hint="eastAsia" w:ascii="宋体" w:hAnsi="宋体" w:cs="宋体"/>
          <w:color w:val="000000"/>
          <w:kern w:val="0"/>
          <w:szCs w:val="21"/>
        </w:rPr>
        <w:t xml:space="preserve">天内，向监理人提交变更报价书，报价内容应根据第 </w:t>
      </w:r>
      <w:r>
        <w:rPr>
          <w:color w:val="000000"/>
          <w:kern w:val="0"/>
          <w:szCs w:val="21"/>
        </w:rPr>
        <w:t xml:space="preserve">15.4 </w:t>
      </w:r>
      <w:r>
        <w:rPr>
          <w:rFonts w:hint="eastAsia" w:ascii="宋体" w:hAnsi="宋体" w:cs="宋体"/>
          <w:color w:val="000000"/>
          <w:kern w:val="0"/>
          <w:szCs w:val="21"/>
        </w:rPr>
        <w:t xml:space="preserve">款约定的估价原则，详细开列变更工作的价格组成及其依据，并附必要的施工方法说明和有关图纸。 </w:t>
      </w:r>
    </w:p>
    <w:p w14:paraId="6D7EF348">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）变更工作影响工期的，承包人应提出调整工期的具体细节。监理人认为有必要时，可要求承包人提交要求提前或延长工期的施工进度计划及相应施工措施等详细资料。 </w:t>
      </w:r>
    </w:p>
    <w:p w14:paraId="6F5DD986">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）除专用合同条款对期限另有约定外，监理人收到承包人变更报价书后的</w:t>
      </w:r>
      <w:r>
        <w:rPr>
          <w:color w:val="000000"/>
          <w:kern w:val="0"/>
          <w:szCs w:val="21"/>
        </w:rPr>
        <w:t xml:space="preserve">14 </w:t>
      </w:r>
      <w:r>
        <w:rPr>
          <w:rFonts w:hint="eastAsia" w:ascii="宋体" w:hAnsi="宋体" w:cs="宋体"/>
          <w:color w:val="000000"/>
          <w:kern w:val="0"/>
          <w:szCs w:val="21"/>
        </w:rPr>
        <w:t xml:space="preserve">天内，根据第 </w:t>
      </w:r>
      <w:r>
        <w:rPr>
          <w:color w:val="000000"/>
          <w:kern w:val="0"/>
          <w:szCs w:val="21"/>
        </w:rPr>
        <w:t xml:space="preserve">15.4 </w:t>
      </w:r>
      <w:r>
        <w:rPr>
          <w:rFonts w:hint="eastAsia" w:ascii="宋体" w:hAnsi="宋体" w:cs="宋体"/>
          <w:color w:val="000000"/>
          <w:kern w:val="0"/>
          <w:szCs w:val="21"/>
        </w:rPr>
        <w:t xml:space="preserve">款约定的估价原则，按照第 </w:t>
      </w:r>
      <w:r>
        <w:rPr>
          <w:color w:val="000000"/>
          <w:kern w:val="0"/>
          <w:szCs w:val="21"/>
        </w:rPr>
        <w:t xml:space="preserve">3.5 </w:t>
      </w:r>
      <w:r>
        <w:rPr>
          <w:rFonts w:hint="eastAsia" w:ascii="宋体" w:hAnsi="宋体" w:cs="宋体"/>
          <w:color w:val="000000"/>
          <w:kern w:val="0"/>
          <w:szCs w:val="21"/>
        </w:rPr>
        <w:t xml:space="preserve">款商定或确定变更价格。 </w:t>
      </w:r>
    </w:p>
    <w:p w14:paraId="40F61700">
      <w:pPr>
        <w:widowControl/>
        <w:jc w:val="left"/>
        <w:rPr>
          <w:szCs w:val="21"/>
        </w:rPr>
      </w:pPr>
      <w:r>
        <w:rPr>
          <w:color w:val="000000"/>
          <w:kern w:val="0"/>
          <w:szCs w:val="21"/>
        </w:rPr>
        <w:t xml:space="preserve">15.3.3 </w:t>
      </w:r>
      <w:r>
        <w:rPr>
          <w:rFonts w:hint="eastAsia" w:ascii="黑体" w:hAnsi="宋体" w:eastAsia="黑体" w:cs="黑体"/>
          <w:color w:val="000000"/>
          <w:kern w:val="0"/>
          <w:szCs w:val="21"/>
        </w:rPr>
        <w:t xml:space="preserve">变更指示 </w:t>
      </w:r>
    </w:p>
    <w:p w14:paraId="752FE149">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）变更指示只能由监理人发出。 </w:t>
      </w:r>
    </w:p>
    <w:p w14:paraId="2041BA65">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）变更指示应说明变更的目的、范围、变更内容以及变更的工程量及其进度和技术要求，并附有关图纸和文件。承包人收到变更指示后，应按变更指示进行变更工作。 </w:t>
      </w:r>
    </w:p>
    <w:p w14:paraId="1584223F">
      <w:pPr>
        <w:widowControl/>
        <w:jc w:val="left"/>
        <w:rPr>
          <w:szCs w:val="21"/>
        </w:rPr>
      </w:pPr>
      <w:r>
        <w:rPr>
          <w:color w:val="000000"/>
          <w:kern w:val="0"/>
          <w:szCs w:val="21"/>
        </w:rPr>
        <w:t xml:space="preserve">15.4 </w:t>
      </w:r>
      <w:r>
        <w:rPr>
          <w:rFonts w:hint="eastAsia" w:ascii="黑体" w:hAnsi="宋体" w:eastAsia="黑体" w:cs="黑体"/>
          <w:color w:val="000000"/>
          <w:kern w:val="0"/>
          <w:szCs w:val="21"/>
        </w:rPr>
        <w:t xml:space="preserve">变更的估价原则 </w:t>
      </w:r>
    </w:p>
    <w:p w14:paraId="7EBFE675">
      <w:pPr>
        <w:widowControl/>
        <w:jc w:val="left"/>
        <w:rPr>
          <w:szCs w:val="21"/>
        </w:rPr>
      </w:pPr>
      <w:r>
        <w:rPr>
          <w:rFonts w:hint="eastAsia" w:ascii="宋体" w:hAnsi="宋体" w:cs="宋体"/>
          <w:color w:val="000000"/>
          <w:kern w:val="0"/>
          <w:szCs w:val="21"/>
        </w:rPr>
        <w:t xml:space="preserve">除专用合同条款另有约定外，因变更引起的价格调整按照本款约定处理。 </w:t>
      </w:r>
    </w:p>
    <w:p w14:paraId="1FE35FD6">
      <w:pPr>
        <w:widowControl/>
        <w:jc w:val="left"/>
        <w:rPr>
          <w:szCs w:val="21"/>
        </w:rPr>
      </w:pPr>
      <w:r>
        <w:rPr>
          <w:color w:val="000000"/>
          <w:kern w:val="0"/>
          <w:szCs w:val="21"/>
        </w:rPr>
        <w:t xml:space="preserve">15.4.1 </w:t>
      </w:r>
      <w:r>
        <w:rPr>
          <w:rFonts w:hint="eastAsia" w:ascii="宋体" w:hAnsi="宋体" w:cs="宋体"/>
          <w:color w:val="000000"/>
          <w:kern w:val="0"/>
          <w:szCs w:val="21"/>
        </w:rPr>
        <w:t xml:space="preserve">已标价工程量清单中有适用于变更工作的子目的，采用该子目的单价。 </w:t>
      </w:r>
    </w:p>
    <w:p w14:paraId="21687B52">
      <w:pPr>
        <w:widowControl/>
        <w:jc w:val="left"/>
        <w:rPr>
          <w:szCs w:val="21"/>
        </w:rPr>
      </w:pPr>
      <w:r>
        <w:rPr>
          <w:color w:val="000000"/>
          <w:kern w:val="0"/>
          <w:szCs w:val="21"/>
        </w:rPr>
        <w:t xml:space="preserve">15.4.2 </w:t>
      </w:r>
      <w:r>
        <w:rPr>
          <w:rFonts w:hint="eastAsia" w:ascii="宋体" w:hAnsi="宋体" w:cs="宋体"/>
          <w:color w:val="000000"/>
          <w:kern w:val="0"/>
          <w:szCs w:val="21"/>
        </w:rPr>
        <w:t xml:space="preserve">已标价工程量清单中无适用于变更工作的子目，但有类似子目的，可在合理范围内参照类似子目的单价，由监理人按第 </w:t>
      </w:r>
      <w:r>
        <w:rPr>
          <w:color w:val="000000"/>
          <w:kern w:val="0"/>
          <w:szCs w:val="21"/>
        </w:rPr>
        <w:t xml:space="preserve">3.5 </w:t>
      </w:r>
      <w:r>
        <w:rPr>
          <w:rFonts w:hint="eastAsia" w:ascii="宋体" w:hAnsi="宋体" w:cs="宋体"/>
          <w:color w:val="000000"/>
          <w:kern w:val="0"/>
          <w:szCs w:val="21"/>
        </w:rPr>
        <w:t xml:space="preserve">款商定或确定变更工作的单价。 </w:t>
      </w:r>
    </w:p>
    <w:p w14:paraId="17D0EB34">
      <w:pPr>
        <w:widowControl/>
        <w:jc w:val="left"/>
        <w:rPr>
          <w:szCs w:val="21"/>
        </w:rPr>
      </w:pPr>
      <w:r>
        <w:rPr>
          <w:color w:val="000000"/>
          <w:kern w:val="0"/>
          <w:szCs w:val="21"/>
        </w:rPr>
        <w:t xml:space="preserve">15.4.3 </w:t>
      </w:r>
      <w:r>
        <w:rPr>
          <w:rFonts w:hint="eastAsia" w:ascii="宋体" w:hAnsi="宋体" w:cs="宋体"/>
          <w:color w:val="000000"/>
          <w:kern w:val="0"/>
          <w:szCs w:val="21"/>
        </w:rPr>
        <w:t xml:space="preserve">已标价工程量清单中无适用或类似子目的单价，可按照成本加利润的原则，由监理人按第 </w:t>
      </w:r>
      <w:r>
        <w:rPr>
          <w:color w:val="000000"/>
          <w:kern w:val="0"/>
          <w:szCs w:val="21"/>
        </w:rPr>
        <w:t xml:space="preserve">3.5 </w:t>
      </w:r>
      <w:r>
        <w:rPr>
          <w:rFonts w:hint="eastAsia" w:ascii="宋体" w:hAnsi="宋体" w:cs="宋体"/>
          <w:color w:val="000000"/>
          <w:kern w:val="0"/>
          <w:szCs w:val="21"/>
        </w:rPr>
        <w:t xml:space="preserve">款商定或确定变更工作的单价。 </w:t>
      </w:r>
    </w:p>
    <w:p w14:paraId="51C9F77D">
      <w:pPr>
        <w:widowControl/>
        <w:jc w:val="left"/>
        <w:rPr>
          <w:szCs w:val="21"/>
        </w:rPr>
      </w:pPr>
      <w:r>
        <w:rPr>
          <w:color w:val="000000"/>
          <w:kern w:val="0"/>
          <w:szCs w:val="21"/>
        </w:rPr>
        <w:t xml:space="preserve">15.5 </w:t>
      </w:r>
      <w:r>
        <w:rPr>
          <w:rFonts w:hint="eastAsia" w:ascii="黑体" w:hAnsi="宋体" w:eastAsia="黑体" w:cs="黑体"/>
          <w:color w:val="000000"/>
          <w:kern w:val="0"/>
          <w:szCs w:val="21"/>
        </w:rPr>
        <w:t xml:space="preserve">承包人的合理化建议 </w:t>
      </w:r>
    </w:p>
    <w:p w14:paraId="31DC104B">
      <w:pPr>
        <w:widowControl/>
        <w:jc w:val="left"/>
        <w:rPr>
          <w:rFonts w:ascii="宋体" w:hAnsi="宋体" w:cs="宋体"/>
          <w:color w:val="000000"/>
          <w:kern w:val="0"/>
          <w:szCs w:val="21"/>
        </w:rPr>
      </w:pPr>
      <w:r>
        <w:rPr>
          <w:color w:val="000000"/>
          <w:kern w:val="0"/>
          <w:szCs w:val="21"/>
        </w:rPr>
        <w:t xml:space="preserve">15.5.1 </w:t>
      </w:r>
      <w:r>
        <w:rPr>
          <w:rFonts w:hint="eastAsia" w:ascii="宋体" w:hAnsi="宋体" w:cs="宋体"/>
          <w:color w:val="000000"/>
          <w:kern w:val="0"/>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w:t>
      </w:r>
      <w:r>
        <w:rPr>
          <w:color w:val="000000"/>
          <w:kern w:val="0"/>
          <w:szCs w:val="21"/>
        </w:rPr>
        <w:t>15.3.3</w:t>
      </w:r>
      <w:r>
        <w:rPr>
          <w:rFonts w:hint="eastAsia" w:ascii="宋体" w:hAnsi="宋体" w:cs="宋体"/>
          <w:color w:val="000000"/>
          <w:kern w:val="0"/>
          <w:szCs w:val="21"/>
        </w:rPr>
        <w:t xml:space="preserve">项约定向承包人发出变更指示。 </w:t>
      </w:r>
    </w:p>
    <w:p w14:paraId="73B2D4E3">
      <w:pPr>
        <w:widowControl/>
        <w:jc w:val="left"/>
        <w:rPr>
          <w:szCs w:val="21"/>
        </w:rPr>
      </w:pPr>
      <w:r>
        <w:rPr>
          <w:color w:val="000000"/>
          <w:kern w:val="0"/>
          <w:szCs w:val="21"/>
        </w:rPr>
        <w:t xml:space="preserve">15.5.2 </w:t>
      </w:r>
      <w:r>
        <w:rPr>
          <w:rFonts w:hint="eastAsia" w:ascii="宋体" w:hAnsi="宋体" w:cs="宋体"/>
          <w:color w:val="000000"/>
          <w:kern w:val="0"/>
          <w:szCs w:val="21"/>
        </w:rPr>
        <w:t xml:space="preserve">承包人提出的合理化建议降低了合同价格、缩短了工期或者提高了工程经济效益的，发包人可按国家有关规定在专用合同条款中约定给予奖励。 </w:t>
      </w:r>
    </w:p>
    <w:p w14:paraId="5FCA13D0">
      <w:pPr>
        <w:widowControl/>
        <w:jc w:val="left"/>
        <w:rPr>
          <w:szCs w:val="21"/>
        </w:rPr>
      </w:pPr>
      <w:r>
        <w:rPr>
          <w:color w:val="000000"/>
          <w:kern w:val="0"/>
          <w:szCs w:val="21"/>
        </w:rPr>
        <w:t xml:space="preserve">15.6 </w:t>
      </w:r>
      <w:r>
        <w:rPr>
          <w:rFonts w:ascii="黑体" w:hAnsi="宋体" w:eastAsia="黑体" w:cs="黑体"/>
          <w:color w:val="000000"/>
          <w:kern w:val="0"/>
          <w:szCs w:val="21"/>
        </w:rPr>
        <w:t xml:space="preserve">暂列金额 </w:t>
      </w:r>
    </w:p>
    <w:p w14:paraId="0A1D246C">
      <w:pPr>
        <w:widowControl/>
        <w:jc w:val="left"/>
        <w:rPr>
          <w:szCs w:val="21"/>
        </w:rPr>
      </w:pPr>
      <w:r>
        <w:rPr>
          <w:rFonts w:hint="eastAsia" w:ascii="宋体" w:hAnsi="宋体" w:cs="宋体"/>
          <w:color w:val="000000"/>
          <w:kern w:val="0"/>
          <w:szCs w:val="21"/>
        </w:rPr>
        <w:t xml:space="preserve">暂列金额只能按照监理人的指示使用，并对合同价格进行相应调整。 </w:t>
      </w:r>
    </w:p>
    <w:p w14:paraId="1B9C56AA">
      <w:pPr>
        <w:widowControl/>
        <w:jc w:val="left"/>
        <w:rPr>
          <w:szCs w:val="21"/>
        </w:rPr>
      </w:pPr>
      <w:r>
        <w:rPr>
          <w:color w:val="000000"/>
          <w:kern w:val="0"/>
          <w:szCs w:val="21"/>
        </w:rPr>
        <w:t xml:space="preserve">15.7 </w:t>
      </w:r>
      <w:r>
        <w:rPr>
          <w:rFonts w:hint="eastAsia" w:ascii="黑体" w:hAnsi="宋体" w:eastAsia="黑体" w:cs="黑体"/>
          <w:color w:val="000000"/>
          <w:kern w:val="0"/>
          <w:szCs w:val="21"/>
        </w:rPr>
        <w:t xml:space="preserve">计日工 </w:t>
      </w:r>
    </w:p>
    <w:p w14:paraId="2218CDE0">
      <w:pPr>
        <w:widowControl/>
        <w:jc w:val="left"/>
        <w:rPr>
          <w:szCs w:val="21"/>
        </w:rPr>
      </w:pPr>
      <w:r>
        <w:rPr>
          <w:color w:val="000000"/>
          <w:kern w:val="0"/>
          <w:szCs w:val="21"/>
        </w:rPr>
        <w:t xml:space="preserve">15.7.1 </w:t>
      </w:r>
      <w:r>
        <w:rPr>
          <w:rFonts w:hint="eastAsia" w:ascii="宋体" w:hAnsi="宋体" w:cs="宋体"/>
          <w:color w:val="000000"/>
          <w:kern w:val="0"/>
          <w:szCs w:val="21"/>
        </w:rPr>
        <w:t xml:space="preserve">发包人认为有必要时，由监理人通知承包人以计日工方式实施变更的零星工作。其价款按列入已标价工程量清单中的计日工计价子目及其单价进行计算。 </w:t>
      </w:r>
    </w:p>
    <w:p w14:paraId="4621C5AD">
      <w:pPr>
        <w:widowControl/>
        <w:jc w:val="left"/>
        <w:rPr>
          <w:szCs w:val="21"/>
        </w:rPr>
      </w:pPr>
      <w:r>
        <w:rPr>
          <w:color w:val="000000"/>
          <w:kern w:val="0"/>
          <w:szCs w:val="21"/>
        </w:rPr>
        <w:t xml:space="preserve">15.7.2 </w:t>
      </w:r>
      <w:r>
        <w:rPr>
          <w:rFonts w:hint="eastAsia" w:ascii="宋体" w:hAnsi="宋体" w:cs="宋体"/>
          <w:color w:val="000000"/>
          <w:kern w:val="0"/>
          <w:szCs w:val="21"/>
        </w:rPr>
        <w:t xml:space="preserve">采用计日工计价的任何一项变更工作，应从暂列金额中支付，承包人应在该项变更的实施过程中，每天提交以下报表和有关凭证报送监理人审批： </w:t>
      </w:r>
    </w:p>
    <w:p w14:paraId="41009163">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）工作名称、内容和数量； </w:t>
      </w:r>
    </w:p>
    <w:p w14:paraId="2EFF01B0">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）投入该工作所有人员的姓名、工种、级别和耗用工时； </w:t>
      </w:r>
    </w:p>
    <w:p w14:paraId="07A091EF">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）投入该工作的材料类别和数量； </w:t>
      </w:r>
    </w:p>
    <w:p w14:paraId="2B39595F">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）投入该工作的施工设备型号、台数和耗用台时； </w:t>
      </w:r>
    </w:p>
    <w:p w14:paraId="63A45162">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）监理人要求提交的其他资料和凭证。 </w:t>
      </w:r>
    </w:p>
    <w:p w14:paraId="21507113">
      <w:pPr>
        <w:widowControl/>
        <w:jc w:val="left"/>
        <w:rPr>
          <w:szCs w:val="21"/>
        </w:rPr>
      </w:pPr>
      <w:r>
        <w:rPr>
          <w:color w:val="000000"/>
          <w:kern w:val="0"/>
          <w:szCs w:val="21"/>
        </w:rPr>
        <w:t xml:space="preserve">15.7.3 </w:t>
      </w:r>
      <w:r>
        <w:rPr>
          <w:rFonts w:hint="eastAsia" w:ascii="宋体" w:hAnsi="宋体" w:cs="宋体"/>
          <w:color w:val="000000"/>
          <w:kern w:val="0"/>
          <w:szCs w:val="21"/>
        </w:rPr>
        <w:t xml:space="preserve">计日工由承包人汇总后，按第 </w:t>
      </w:r>
      <w:r>
        <w:rPr>
          <w:color w:val="000000"/>
          <w:kern w:val="0"/>
          <w:szCs w:val="21"/>
        </w:rPr>
        <w:t xml:space="preserve">17.3.2 </w:t>
      </w:r>
      <w:r>
        <w:rPr>
          <w:rFonts w:hint="eastAsia" w:ascii="宋体" w:hAnsi="宋体" w:cs="宋体"/>
          <w:color w:val="000000"/>
          <w:kern w:val="0"/>
          <w:szCs w:val="21"/>
        </w:rPr>
        <w:t xml:space="preserve">项的约定列入进度付款申请单，由监理人复核并经发包人同意后列入进度付款。 </w:t>
      </w:r>
    </w:p>
    <w:p w14:paraId="7C2185FC">
      <w:pPr>
        <w:widowControl/>
        <w:jc w:val="left"/>
        <w:rPr>
          <w:szCs w:val="21"/>
        </w:rPr>
      </w:pPr>
      <w:r>
        <w:rPr>
          <w:color w:val="000000"/>
          <w:kern w:val="0"/>
          <w:szCs w:val="21"/>
        </w:rPr>
        <w:t xml:space="preserve">15.8 </w:t>
      </w:r>
      <w:r>
        <w:rPr>
          <w:rFonts w:hint="eastAsia" w:ascii="黑体" w:hAnsi="宋体" w:eastAsia="黑体" w:cs="黑体"/>
          <w:color w:val="000000"/>
          <w:kern w:val="0"/>
          <w:szCs w:val="21"/>
        </w:rPr>
        <w:t xml:space="preserve">暂估价 </w:t>
      </w:r>
    </w:p>
    <w:p w14:paraId="7A9C8AC4">
      <w:pPr>
        <w:widowControl/>
        <w:jc w:val="left"/>
        <w:rPr>
          <w:szCs w:val="21"/>
        </w:rPr>
      </w:pPr>
      <w:r>
        <w:rPr>
          <w:color w:val="000000"/>
          <w:kern w:val="0"/>
          <w:szCs w:val="21"/>
        </w:rPr>
        <w:t xml:space="preserve">15.8.1 </w:t>
      </w:r>
      <w:r>
        <w:rPr>
          <w:rFonts w:hint="eastAsia" w:ascii="宋体" w:hAnsi="宋体" w:cs="宋体"/>
          <w:color w:val="000000"/>
          <w:kern w:val="0"/>
          <w:szCs w:val="21"/>
        </w:rPr>
        <w:t xml:space="preserve">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 额与工程量清单中所列的暂估价的金额差以及相应的税金等其他费用列入合同价格。 </w:t>
      </w:r>
    </w:p>
    <w:p w14:paraId="7FC68FA9">
      <w:pPr>
        <w:widowControl/>
        <w:jc w:val="left"/>
        <w:rPr>
          <w:szCs w:val="21"/>
        </w:rPr>
      </w:pPr>
      <w:r>
        <w:rPr>
          <w:color w:val="000000"/>
          <w:kern w:val="0"/>
          <w:szCs w:val="21"/>
        </w:rPr>
        <w:t xml:space="preserve">15.8.2 </w:t>
      </w:r>
      <w:r>
        <w:rPr>
          <w:rFonts w:hint="eastAsia" w:ascii="宋体" w:hAnsi="宋体" w:cs="宋体"/>
          <w:color w:val="000000"/>
          <w:kern w:val="0"/>
          <w:szCs w:val="21"/>
        </w:rPr>
        <w:t xml:space="preserve">发包人在工程量清单中给定暂估价的材料和工程设备不属于依法必须招标的范围或未达到规定的规模标准的，应由承包人按第 </w:t>
      </w:r>
      <w:r>
        <w:rPr>
          <w:color w:val="000000"/>
          <w:kern w:val="0"/>
          <w:szCs w:val="21"/>
        </w:rPr>
        <w:t xml:space="preserve">5.1 </w:t>
      </w:r>
      <w:r>
        <w:rPr>
          <w:rFonts w:hint="eastAsia" w:ascii="宋体" w:hAnsi="宋体" w:cs="宋体"/>
          <w:color w:val="000000"/>
          <w:kern w:val="0"/>
          <w:szCs w:val="21"/>
        </w:rPr>
        <w:t xml:space="preserve">款的约定提供。经监理人确认的材料、工程设备的价格与工程量清单中所列的暂估价的金额差以及相应的税金等其他费用列入合同价格。 </w:t>
      </w:r>
    </w:p>
    <w:p w14:paraId="4A9B4CEF">
      <w:pPr>
        <w:widowControl/>
        <w:jc w:val="left"/>
        <w:rPr>
          <w:szCs w:val="21"/>
        </w:rPr>
      </w:pPr>
      <w:r>
        <w:rPr>
          <w:color w:val="000000"/>
          <w:kern w:val="0"/>
          <w:szCs w:val="21"/>
        </w:rPr>
        <w:t xml:space="preserve">15.8.3 </w:t>
      </w:r>
      <w:r>
        <w:rPr>
          <w:rFonts w:hint="eastAsia" w:ascii="宋体" w:hAnsi="宋体" w:cs="宋体"/>
          <w:color w:val="000000"/>
          <w:kern w:val="0"/>
          <w:szCs w:val="21"/>
        </w:rPr>
        <w:t xml:space="preserve">发包人在工程量清单中给定暂估价的专业工程不属于依法必须招标的范围或未达到规定的规模标准的，由监理人按照第 </w:t>
      </w:r>
      <w:r>
        <w:rPr>
          <w:color w:val="000000"/>
          <w:kern w:val="0"/>
          <w:szCs w:val="21"/>
        </w:rPr>
        <w:t xml:space="preserve">15.4 </w:t>
      </w:r>
      <w:r>
        <w:rPr>
          <w:rFonts w:hint="eastAsia" w:ascii="宋体" w:hAnsi="宋体" w:cs="宋体"/>
          <w:color w:val="000000"/>
          <w:kern w:val="0"/>
          <w:szCs w:val="21"/>
        </w:rPr>
        <w:t>款进行估价，但专用合同条款另有约定的除外。经估价的专业工程与工程量清单中所列的暂估价的金额差以及相应的税金等其他费用列入合同价格。</w:t>
      </w:r>
    </w:p>
    <w:p w14:paraId="06C81094">
      <w:pPr>
        <w:widowControl/>
        <w:jc w:val="left"/>
        <w:rPr>
          <w:szCs w:val="21"/>
        </w:rPr>
      </w:pPr>
      <w:r>
        <w:rPr>
          <w:color w:val="000000"/>
          <w:kern w:val="0"/>
          <w:szCs w:val="21"/>
        </w:rPr>
        <w:t xml:space="preserve">16. </w:t>
      </w:r>
      <w:r>
        <w:rPr>
          <w:rFonts w:ascii="黑体" w:hAnsi="宋体" w:eastAsia="黑体" w:cs="黑体"/>
          <w:color w:val="000000"/>
          <w:kern w:val="0"/>
          <w:szCs w:val="21"/>
        </w:rPr>
        <w:t xml:space="preserve">价格调整 </w:t>
      </w:r>
    </w:p>
    <w:p w14:paraId="295B6A60">
      <w:pPr>
        <w:widowControl/>
        <w:jc w:val="left"/>
        <w:rPr>
          <w:szCs w:val="21"/>
        </w:rPr>
      </w:pPr>
      <w:r>
        <w:rPr>
          <w:color w:val="000000"/>
          <w:kern w:val="0"/>
          <w:szCs w:val="21"/>
        </w:rPr>
        <w:t xml:space="preserve">16.1 </w:t>
      </w:r>
      <w:r>
        <w:rPr>
          <w:rFonts w:hint="eastAsia" w:ascii="黑体" w:hAnsi="宋体" w:eastAsia="黑体" w:cs="黑体"/>
          <w:color w:val="000000"/>
          <w:kern w:val="0"/>
          <w:szCs w:val="21"/>
        </w:rPr>
        <w:t xml:space="preserve">物价波动引起的价格调整 </w:t>
      </w:r>
    </w:p>
    <w:p w14:paraId="4957DCB4">
      <w:pPr>
        <w:widowControl/>
        <w:jc w:val="left"/>
        <w:rPr>
          <w:szCs w:val="21"/>
        </w:rPr>
      </w:pPr>
      <w:r>
        <w:rPr>
          <w:rFonts w:hint="eastAsia" w:ascii="宋体" w:hAnsi="宋体" w:cs="宋体"/>
          <w:color w:val="000000"/>
          <w:kern w:val="0"/>
          <w:szCs w:val="21"/>
        </w:rPr>
        <w:t xml:space="preserve">除专用合同条款另有约定外，因物价波动引起的价格调整按照本款约定处理。 </w:t>
      </w:r>
    </w:p>
    <w:p w14:paraId="0FA075C4">
      <w:pPr>
        <w:widowControl/>
        <w:jc w:val="left"/>
        <w:rPr>
          <w:szCs w:val="21"/>
        </w:rPr>
      </w:pPr>
      <w:r>
        <w:rPr>
          <w:color w:val="000000"/>
          <w:kern w:val="0"/>
          <w:szCs w:val="21"/>
        </w:rPr>
        <w:t xml:space="preserve">16.1.1 </w:t>
      </w:r>
      <w:r>
        <w:rPr>
          <w:rFonts w:hint="eastAsia" w:ascii="黑体" w:hAnsi="宋体" w:eastAsia="黑体" w:cs="黑体"/>
          <w:color w:val="000000"/>
          <w:kern w:val="0"/>
          <w:szCs w:val="21"/>
        </w:rPr>
        <w:t xml:space="preserve">采用价格指数调整价格差额 </w:t>
      </w:r>
    </w:p>
    <w:p w14:paraId="3FB30933">
      <w:pPr>
        <w:widowControl/>
        <w:jc w:val="left"/>
        <w:rPr>
          <w:szCs w:val="21"/>
        </w:rPr>
      </w:pPr>
      <w:r>
        <w:rPr>
          <w:color w:val="000000"/>
          <w:kern w:val="0"/>
          <w:szCs w:val="21"/>
        </w:rPr>
        <w:t xml:space="preserve">16.1.1.1 </w:t>
      </w:r>
      <w:r>
        <w:rPr>
          <w:rFonts w:hint="eastAsia" w:ascii="黑体" w:hAnsi="宋体" w:eastAsia="黑体" w:cs="黑体"/>
          <w:color w:val="000000"/>
          <w:kern w:val="0"/>
          <w:szCs w:val="21"/>
        </w:rPr>
        <w:t xml:space="preserve">价格调整公式 </w:t>
      </w:r>
    </w:p>
    <w:p w14:paraId="38C0B1D5">
      <w:pPr>
        <w:widowControl/>
        <w:jc w:val="left"/>
        <w:rPr>
          <w:szCs w:val="21"/>
        </w:rPr>
      </w:pPr>
      <w:r>
        <w:rPr>
          <w:rFonts w:hint="eastAsia" w:ascii="宋体" w:hAnsi="宋体" w:cs="宋体"/>
          <w:color w:val="000000"/>
          <w:kern w:val="0"/>
          <w:szCs w:val="21"/>
        </w:rPr>
        <w:t>因人工、材料和设备等价格波动影响合同价格时，根据投标函附录中的价格指数和权重表约定的数据，按以下公式计算差额并调整合同价格：</w:t>
      </w:r>
    </w:p>
    <w:p w14:paraId="4E534370">
      <w:pPr>
        <w:widowControl/>
        <w:jc w:val="left"/>
        <w:rPr>
          <w:szCs w:val="21"/>
        </w:rPr>
      </w:pPr>
      <w:r>
        <w:rPr>
          <w:szCs w:val="21"/>
        </w:rPr>
        <w:pict>
          <v:shape id="_x0000_i1025" o:spt="75" type="#_x0000_t75" style="height:280.5pt;width:441.75pt;" filled="f" o:preferrelative="t" stroked="f" coordsize="21600,21600">
            <v:path/>
            <v:fill on="f" focussize="0,0"/>
            <v:stroke on="f" joinstyle="miter"/>
            <v:imagedata r:id="rId13" o:title=""/>
            <o:lock v:ext="edit" aspectratio="t"/>
            <w10:wrap type="none"/>
            <w10:anchorlock/>
          </v:shape>
        </w:pict>
      </w:r>
    </w:p>
    <w:p w14:paraId="395D1B99">
      <w:pPr>
        <w:widowControl/>
        <w:jc w:val="left"/>
        <w:rPr>
          <w:szCs w:val="21"/>
        </w:rPr>
      </w:pPr>
      <w:r>
        <w:rPr>
          <w:color w:val="000000"/>
          <w:kern w:val="0"/>
          <w:szCs w:val="21"/>
        </w:rPr>
        <w:t xml:space="preserve">16.1.1.2 </w:t>
      </w:r>
      <w:r>
        <w:rPr>
          <w:rFonts w:ascii="黑体" w:hAnsi="宋体" w:eastAsia="黑体" w:cs="黑体"/>
          <w:color w:val="000000"/>
          <w:kern w:val="0"/>
          <w:szCs w:val="21"/>
        </w:rPr>
        <w:t xml:space="preserve">暂时确定调整差额 </w:t>
      </w:r>
    </w:p>
    <w:p w14:paraId="2F1BD3FE">
      <w:pPr>
        <w:widowControl/>
        <w:jc w:val="left"/>
        <w:rPr>
          <w:rFonts w:ascii="宋体" w:hAnsi="宋体" w:cs="宋体"/>
          <w:color w:val="000000"/>
          <w:kern w:val="0"/>
          <w:szCs w:val="21"/>
        </w:rPr>
      </w:pPr>
      <w:r>
        <w:rPr>
          <w:rFonts w:hint="eastAsia" w:ascii="宋体" w:hAnsi="宋体" w:cs="宋体"/>
          <w:color w:val="000000"/>
          <w:kern w:val="0"/>
          <w:szCs w:val="21"/>
        </w:rPr>
        <w:t>在计算调整差额时得不到现行价格指数的，可暂用上一次价格指数计算，并在以后的付款中再按实际价格指数进行调整。</w:t>
      </w:r>
    </w:p>
    <w:p w14:paraId="2C7A0A4A">
      <w:pPr>
        <w:widowControl/>
        <w:jc w:val="left"/>
        <w:rPr>
          <w:rFonts w:ascii="黑体" w:hAnsi="宋体" w:eastAsia="黑体" w:cs="黑体"/>
          <w:color w:val="000000"/>
          <w:kern w:val="0"/>
          <w:szCs w:val="21"/>
        </w:rPr>
      </w:pPr>
      <w:r>
        <w:rPr>
          <w:color w:val="000000"/>
          <w:kern w:val="0"/>
          <w:szCs w:val="21"/>
        </w:rPr>
        <w:t xml:space="preserve">16.1.1.3 </w:t>
      </w:r>
      <w:r>
        <w:rPr>
          <w:rFonts w:ascii="黑体" w:hAnsi="宋体" w:eastAsia="黑体" w:cs="黑体"/>
          <w:color w:val="000000"/>
          <w:kern w:val="0"/>
          <w:szCs w:val="21"/>
        </w:rPr>
        <w:t>权重的调整</w:t>
      </w:r>
    </w:p>
    <w:p w14:paraId="061A8E65">
      <w:pPr>
        <w:widowControl/>
        <w:jc w:val="left"/>
        <w:rPr>
          <w:szCs w:val="21"/>
        </w:rPr>
      </w:pPr>
      <w:r>
        <w:rPr>
          <w:rFonts w:hint="eastAsia" w:ascii="宋体" w:hAnsi="宋体" w:cs="宋体"/>
          <w:color w:val="000000"/>
          <w:kern w:val="0"/>
          <w:szCs w:val="21"/>
        </w:rPr>
        <w:t xml:space="preserve">按第 </w:t>
      </w:r>
      <w:r>
        <w:rPr>
          <w:color w:val="000000"/>
          <w:kern w:val="0"/>
          <w:szCs w:val="21"/>
        </w:rPr>
        <w:t xml:space="preserve">15.1 </w:t>
      </w:r>
      <w:r>
        <w:rPr>
          <w:rFonts w:hint="eastAsia" w:ascii="宋体" w:hAnsi="宋体" w:cs="宋体"/>
          <w:color w:val="000000"/>
          <w:kern w:val="0"/>
          <w:szCs w:val="21"/>
        </w:rPr>
        <w:t xml:space="preserve">款约定的变更导致原定合同中的权重不合理时，由监理人与承包人和发包人协商后进行调整。 </w:t>
      </w:r>
    </w:p>
    <w:p w14:paraId="39DF4250">
      <w:pPr>
        <w:widowControl/>
        <w:jc w:val="left"/>
        <w:rPr>
          <w:szCs w:val="21"/>
        </w:rPr>
      </w:pPr>
      <w:r>
        <w:rPr>
          <w:color w:val="000000"/>
          <w:kern w:val="0"/>
          <w:szCs w:val="21"/>
        </w:rPr>
        <w:t xml:space="preserve">16.1.1.4 </w:t>
      </w:r>
      <w:r>
        <w:rPr>
          <w:rFonts w:hint="eastAsia" w:ascii="黑体" w:hAnsi="宋体" w:eastAsia="黑体" w:cs="黑体"/>
          <w:color w:val="000000"/>
          <w:kern w:val="0"/>
          <w:szCs w:val="21"/>
        </w:rPr>
        <w:t xml:space="preserve">承包人工期延误后的价格调整 </w:t>
      </w:r>
    </w:p>
    <w:p w14:paraId="2698200C">
      <w:pPr>
        <w:widowControl/>
        <w:jc w:val="left"/>
        <w:rPr>
          <w:szCs w:val="21"/>
        </w:rPr>
      </w:pPr>
      <w:r>
        <w:rPr>
          <w:rFonts w:hint="eastAsia" w:ascii="宋体" w:hAnsi="宋体" w:cs="宋体"/>
          <w:color w:val="000000"/>
          <w:kern w:val="0"/>
          <w:szCs w:val="21"/>
        </w:rPr>
        <w:t xml:space="preserve">由于承包人原因未在约定的工期内竣工的，则对原约定竣工日期后继续施工的工程，在使用第 </w:t>
      </w:r>
      <w:r>
        <w:rPr>
          <w:color w:val="000000"/>
          <w:kern w:val="0"/>
          <w:szCs w:val="21"/>
        </w:rPr>
        <w:t xml:space="preserve">16.1.1.1 </w:t>
      </w:r>
      <w:r>
        <w:rPr>
          <w:rFonts w:hint="eastAsia" w:ascii="宋体" w:hAnsi="宋体" w:cs="宋体"/>
          <w:color w:val="000000"/>
          <w:kern w:val="0"/>
          <w:szCs w:val="21"/>
        </w:rPr>
        <w:t xml:space="preserve">目价格调整公式时，应采用原约定竣工日期与实际竣工日期的两个价格指数中较低的一个作为现行价格指数。 </w:t>
      </w:r>
    </w:p>
    <w:p w14:paraId="5B96C395">
      <w:pPr>
        <w:widowControl/>
        <w:jc w:val="left"/>
        <w:rPr>
          <w:szCs w:val="21"/>
        </w:rPr>
      </w:pPr>
      <w:r>
        <w:rPr>
          <w:color w:val="000000"/>
          <w:kern w:val="0"/>
          <w:szCs w:val="21"/>
        </w:rPr>
        <w:t xml:space="preserve">16.1.2 </w:t>
      </w:r>
      <w:r>
        <w:rPr>
          <w:rFonts w:hint="eastAsia" w:ascii="黑体" w:hAnsi="宋体" w:eastAsia="黑体" w:cs="黑体"/>
          <w:color w:val="000000"/>
          <w:kern w:val="0"/>
          <w:szCs w:val="21"/>
        </w:rPr>
        <w:t xml:space="preserve">采用造价信息调整价格差额 </w:t>
      </w:r>
    </w:p>
    <w:p w14:paraId="2C63E899">
      <w:pPr>
        <w:widowControl/>
        <w:jc w:val="left"/>
        <w:rPr>
          <w:szCs w:val="21"/>
        </w:rPr>
      </w:pPr>
      <w:r>
        <w:rPr>
          <w:rFonts w:hint="eastAsia" w:ascii="宋体" w:hAnsi="宋体" w:cs="宋体"/>
          <w:color w:val="000000"/>
          <w:kern w:val="0"/>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 </w:t>
      </w:r>
    </w:p>
    <w:p w14:paraId="6E9702CB">
      <w:pPr>
        <w:widowControl/>
        <w:jc w:val="left"/>
        <w:rPr>
          <w:szCs w:val="21"/>
        </w:rPr>
      </w:pPr>
      <w:r>
        <w:rPr>
          <w:color w:val="000000"/>
          <w:kern w:val="0"/>
          <w:szCs w:val="21"/>
        </w:rPr>
        <w:t xml:space="preserve">16.2 </w:t>
      </w:r>
      <w:r>
        <w:rPr>
          <w:rFonts w:hint="eastAsia" w:ascii="黑体" w:hAnsi="宋体" w:eastAsia="黑体" w:cs="黑体"/>
          <w:color w:val="000000"/>
          <w:kern w:val="0"/>
          <w:szCs w:val="21"/>
        </w:rPr>
        <w:t xml:space="preserve">法律变化引起的价格调整 </w:t>
      </w:r>
    </w:p>
    <w:p w14:paraId="15201F77">
      <w:pPr>
        <w:widowControl/>
        <w:jc w:val="left"/>
        <w:rPr>
          <w:szCs w:val="21"/>
        </w:rPr>
      </w:pPr>
      <w:r>
        <w:rPr>
          <w:rFonts w:hint="eastAsia" w:ascii="宋体" w:hAnsi="宋体" w:cs="宋体"/>
          <w:color w:val="000000"/>
          <w:kern w:val="0"/>
          <w:szCs w:val="21"/>
        </w:rPr>
        <w:t xml:space="preserve">在基准日后，因法律变化导致承包人在合同履行中所需要的工程费用发生除第 </w:t>
      </w:r>
    </w:p>
    <w:p w14:paraId="2C996152">
      <w:pPr>
        <w:widowControl/>
        <w:jc w:val="left"/>
        <w:rPr>
          <w:szCs w:val="21"/>
        </w:rPr>
      </w:pPr>
      <w:r>
        <w:rPr>
          <w:color w:val="000000"/>
          <w:kern w:val="0"/>
          <w:szCs w:val="21"/>
        </w:rPr>
        <w:t xml:space="preserve">16.1 </w:t>
      </w:r>
      <w:r>
        <w:rPr>
          <w:rFonts w:hint="eastAsia" w:ascii="宋体" w:hAnsi="宋体" w:cs="宋体"/>
          <w:color w:val="000000"/>
          <w:kern w:val="0"/>
          <w:szCs w:val="21"/>
        </w:rPr>
        <w:t xml:space="preserve">款约定以外的增减时，监理人应根据法律、国家或省、自治区、直辖市有关部门的规定，按第 </w:t>
      </w:r>
      <w:r>
        <w:rPr>
          <w:color w:val="000000"/>
          <w:kern w:val="0"/>
          <w:szCs w:val="21"/>
        </w:rPr>
        <w:t xml:space="preserve">3.5 </w:t>
      </w:r>
      <w:r>
        <w:rPr>
          <w:rFonts w:hint="eastAsia" w:ascii="宋体" w:hAnsi="宋体" w:cs="宋体"/>
          <w:color w:val="000000"/>
          <w:kern w:val="0"/>
          <w:szCs w:val="21"/>
        </w:rPr>
        <w:t xml:space="preserve">款商定或确定需调整的合同价款。 </w:t>
      </w:r>
    </w:p>
    <w:p w14:paraId="329302F7">
      <w:pPr>
        <w:widowControl/>
        <w:jc w:val="left"/>
        <w:rPr>
          <w:szCs w:val="21"/>
        </w:rPr>
      </w:pPr>
      <w:r>
        <w:rPr>
          <w:color w:val="000000"/>
          <w:kern w:val="0"/>
          <w:szCs w:val="21"/>
        </w:rPr>
        <w:t xml:space="preserve">17. </w:t>
      </w:r>
      <w:r>
        <w:rPr>
          <w:rFonts w:hint="eastAsia" w:ascii="黑体" w:hAnsi="宋体" w:eastAsia="黑体" w:cs="黑体"/>
          <w:color w:val="000000"/>
          <w:kern w:val="0"/>
          <w:szCs w:val="21"/>
        </w:rPr>
        <w:t xml:space="preserve">计量与支付 </w:t>
      </w:r>
    </w:p>
    <w:p w14:paraId="6B26C80B">
      <w:pPr>
        <w:widowControl/>
        <w:jc w:val="left"/>
        <w:rPr>
          <w:szCs w:val="21"/>
        </w:rPr>
      </w:pPr>
      <w:r>
        <w:rPr>
          <w:color w:val="000000"/>
          <w:kern w:val="0"/>
          <w:szCs w:val="21"/>
        </w:rPr>
        <w:t xml:space="preserve">17.1 </w:t>
      </w:r>
      <w:r>
        <w:rPr>
          <w:rFonts w:hint="eastAsia" w:ascii="黑体" w:hAnsi="宋体" w:eastAsia="黑体" w:cs="黑体"/>
          <w:color w:val="000000"/>
          <w:kern w:val="0"/>
          <w:szCs w:val="21"/>
        </w:rPr>
        <w:t xml:space="preserve">计量 </w:t>
      </w:r>
    </w:p>
    <w:p w14:paraId="4FE41CC6">
      <w:pPr>
        <w:widowControl/>
        <w:jc w:val="left"/>
        <w:rPr>
          <w:szCs w:val="21"/>
        </w:rPr>
      </w:pPr>
      <w:r>
        <w:rPr>
          <w:color w:val="000000"/>
          <w:kern w:val="0"/>
          <w:szCs w:val="21"/>
        </w:rPr>
        <w:t xml:space="preserve">17.1.1 </w:t>
      </w:r>
      <w:r>
        <w:rPr>
          <w:rFonts w:hint="eastAsia" w:ascii="黑体" w:hAnsi="宋体" w:eastAsia="黑体" w:cs="黑体"/>
          <w:color w:val="000000"/>
          <w:kern w:val="0"/>
          <w:szCs w:val="21"/>
        </w:rPr>
        <w:t xml:space="preserve">计量单位 </w:t>
      </w:r>
    </w:p>
    <w:p w14:paraId="4766E2F9">
      <w:pPr>
        <w:widowControl/>
        <w:jc w:val="left"/>
        <w:rPr>
          <w:szCs w:val="21"/>
        </w:rPr>
      </w:pPr>
      <w:r>
        <w:rPr>
          <w:rFonts w:hint="eastAsia" w:ascii="宋体" w:hAnsi="宋体" w:cs="宋体"/>
          <w:color w:val="000000"/>
          <w:kern w:val="0"/>
          <w:szCs w:val="21"/>
        </w:rPr>
        <w:t xml:space="preserve">计量采用国家法定的计量单位。 </w:t>
      </w:r>
    </w:p>
    <w:p w14:paraId="4AF5D298">
      <w:pPr>
        <w:widowControl/>
        <w:jc w:val="left"/>
        <w:rPr>
          <w:szCs w:val="21"/>
        </w:rPr>
      </w:pPr>
      <w:r>
        <w:rPr>
          <w:color w:val="000000"/>
          <w:kern w:val="0"/>
          <w:szCs w:val="21"/>
        </w:rPr>
        <w:t xml:space="preserve">17.1.2 </w:t>
      </w:r>
      <w:r>
        <w:rPr>
          <w:rFonts w:hint="eastAsia" w:ascii="黑体" w:hAnsi="宋体" w:eastAsia="黑体" w:cs="黑体"/>
          <w:color w:val="000000"/>
          <w:kern w:val="0"/>
          <w:szCs w:val="21"/>
        </w:rPr>
        <w:t xml:space="preserve">计量方法 </w:t>
      </w:r>
    </w:p>
    <w:p w14:paraId="4767842E">
      <w:pPr>
        <w:widowControl/>
        <w:jc w:val="left"/>
        <w:rPr>
          <w:szCs w:val="21"/>
        </w:rPr>
      </w:pPr>
      <w:r>
        <w:rPr>
          <w:rFonts w:hint="eastAsia" w:ascii="宋体" w:hAnsi="宋体" w:cs="宋体"/>
          <w:color w:val="000000"/>
          <w:kern w:val="0"/>
          <w:szCs w:val="21"/>
        </w:rPr>
        <w:t xml:space="preserve">工程量清单中的工程量计算规则应按有关国家标准、行业标准的规定，并在合同中约定执行。 </w:t>
      </w:r>
    </w:p>
    <w:p w14:paraId="02505867">
      <w:pPr>
        <w:widowControl/>
        <w:jc w:val="left"/>
        <w:rPr>
          <w:szCs w:val="21"/>
        </w:rPr>
      </w:pPr>
      <w:r>
        <w:rPr>
          <w:color w:val="000000"/>
          <w:kern w:val="0"/>
          <w:szCs w:val="21"/>
        </w:rPr>
        <w:t xml:space="preserve">17.1.3 </w:t>
      </w:r>
      <w:r>
        <w:rPr>
          <w:rFonts w:hint="eastAsia" w:ascii="黑体" w:hAnsi="宋体" w:eastAsia="黑体" w:cs="黑体"/>
          <w:color w:val="000000"/>
          <w:kern w:val="0"/>
          <w:szCs w:val="21"/>
        </w:rPr>
        <w:t xml:space="preserve">计量周期 </w:t>
      </w:r>
    </w:p>
    <w:p w14:paraId="2DB669A8">
      <w:pPr>
        <w:widowControl/>
        <w:jc w:val="left"/>
        <w:rPr>
          <w:szCs w:val="21"/>
        </w:rPr>
      </w:pPr>
      <w:r>
        <w:rPr>
          <w:rFonts w:hint="eastAsia" w:ascii="宋体" w:hAnsi="宋体" w:cs="宋体"/>
          <w:color w:val="000000"/>
          <w:kern w:val="0"/>
          <w:szCs w:val="21"/>
        </w:rPr>
        <w:t xml:space="preserve">除专用合同条款另有约定外，单价子目已完成工程量按月计量，总价子目的计 量周期按批准的支付分解报告确定。 </w:t>
      </w:r>
    </w:p>
    <w:p w14:paraId="50AB3981">
      <w:pPr>
        <w:widowControl/>
        <w:jc w:val="left"/>
        <w:rPr>
          <w:szCs w:val="21"/>
        </w:rPr>
      </w:pPr>
      <w:r>
        <w:rPr>
          <w:color w:val="000000"/>
          <w:kern w:val="0"/>
          <w:szCs w:val="21"/>
        </w:rPr>
        <w:t xml:space="preserve">17.1.4 </w:t>
      </w:r>
      <w:r>
        <w:rPr>
          <w:rFonts w:hint="eastAsia" w:ascii="黑体" w:hAnsi="宋体" w:eastAsia="黑体" w:cs="黑体"/>
          <w:color w:val="000000"/>
          <w:kern w:val="0"/>
          <w:szCs w:val="21"/>
        </w:rPr>
        <w:t xml:space="preserve">单价子目的计量 </w:t>
      </w:r>
    </w:p>
    <w:p w14:paraId="01C999A0">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）已标价工程量清单中的单价子目工程量为估算工程量。结算工程量是承包 人实际完成的，并按合同约定的计量方法进行计量的工程量。</w:t>
      </w:r>
    </w:p>
    <w:p w14:paraId="7ED0AD10">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）承包人对已完成的工程进行计量，向监理人提交进度付款申请单、已完成工程量报表和有关计量资料。 </w:t>
      </w:r>
    </w:p>
    <w:p w14:paraId="5DDB6903">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）监理人对承包人提交的工程量报表进行复核，以确定实际完成的工程量。对数量有异议的，可要求承包人按第 </w:t>
      </w:r>
      <w:r>
        <w:rPr>
          <w:color w:val="000000"/>
          <w:kern w:val="0"/>
          <w:szCs w:val="21"/>
        </w:rPr>
        <w:t xml:space="preserve">8.2 </w:t>
      </w:r>
      <w:r>
        <w:rPr>
          <w:rFonts w:hint="eastAsia" w:ascii="宋体" w:hAnsi="宋体" w:cs="宋体"/>
          <w:color w:val="000000"/>
          <w:kern w:val="0"/>
          <w:szCs w:val="21"/>
        </w:rPr>
        <w:t xml:space="preserve">款约定进行共同复核和抽样复测。承包人应协助监理人进行复核并按监理人要求提供补充计量资料。承包人未按监理人要求参加复核，监理人复核或修正的工程量视为承包人实际完成的工程量。 </w:t>
      </w:r>
    </w:p>
    <w:p w14:paraId="516F763D">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）监理人认为有必要时，可通知承包人共同进行联合测量、计量，承包人应遵照执行。 </w:t>
      </w:r>
    </w:p>
    <w:p w14:paraId="4D04DD6C">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）承包人完成工程量清单中每个子目的工程量后，监理人应要求承包人派员 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 </w:t>
      </w:r>
    </w:p>
    <w:p w14:paraId="2A4B1A09">
      <w:pPr>
        <w:widowControl/>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）监理人应在收到承包人提交的工程量报表后的 </w:t>
      </w:r>
      <w:r>
        <w:rPr>
          <w:color w:val="000000"/>
          <w:kern w:val="0"/>
          <w:szCs w:val="21"/>
        </w:rPr>
        <w:t xml:space="preserve">7 </w:t>
      </w:r>
      <w:r>
        <w:rPr>
          <w:rFonts w:hint="eastAsia" w:ascii="宋体" w:hAnsi="宋体" w:cs="宋体"/>
          <w:color w:val="000000"/>
          <w:kern w:val="0"/>
          <w:szCs w:val="21"/>
        </w:rPr>
        <w:t xml:space="preserve">天内进行复核，监理人未 在约定时间内复核的，承包人提交的工程量报表中的工程量视为承包人实际完成的工程量，据此计算工程价款。 </w:t>
      </w:r>
    </w:p>
    <w:p w14:paraId="2084C034">
      <w:pPr>
        <w:widowControl/>
        <w:jc w:val="left"/>
        <w:rPr>
          <w:szCs w:val="21"/>
        </w:rPr>
      </w:pPr>
      <w:r>
        <w:rPr>
          <w:color w:val="000000"/>
          <w:kern w:val="0"/>
          <w:szCs w:val="21"/>
        </w:rPr>
        <w:t xml:space="preserve">17.1.5 </w:t>
      </w:r>
      <w:r>
        <w:rPr>
          <w:rFonts w:ascii="黑体" w:hAnsi="宋体" w:eastAsia="黑体" w:cs="黑体"/>
          <w:color w:val="000000"/>
          <w:kern w:val="0"/>
          <w:szCs w:val="21"/>
        </w:rPr>
        <w:t xml:space="preserve">总价子目的计量 </w:t>
      </w:r>
    </w:p>
    <w:p w14:paraId="7B006CF9">
      <w:pPr>
        <w:widowControl/>
        <w:jc w:val="left"/>
        <w:rPr>
          <w:szCs w:val="21"/>
        </w:rPr>
      </w:pPr>
      <w:r>
        <w:rPr>
          <w:rFonts w:hint="eastAsia" w:ascii="宋体" w:hAnsi="宋体" w:cs="宋体"/>
          <w:color w:val="000000"/>
          <w:kern w:val="0"/>
          <w:szCs w:val="21"/>
        </w:rPr>
        <w:t xml:space="preserve">除专用合同条款另有约定外，总价子目的分解和计量按照下述约定进行。 </w:t>
      </w:r>
    </w:p>
    <w:p w14:paraId="06421261">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）总价子目的计量和支付应以总价为基础，不因第 </w:t>
      </w:r>
      <w:r>
        <w:rPr>
          <w:color w:val="000000"/>
          <w:kern w:val="0"/>
          <w:szCs w:val="21"/>
        </w:rPr>
        <w:t xml:space="preserve">16.1 </w:t>
      </w:r>
      <w:r>
        <w:rPr>
          <w:rFonts w:hint="eastAsia" w:ascii="宋体" w:hAnsi="宋体" w:cs="宋体"/>
          <w:color w:val="000000"/>
          <w:kern w:val="0"/>
          <w:szCs w:val="21"/>
        </w:rPr>
        <w:t xml:space="preserve">款中的因素而进行调整。承包人实际完成的工程量，是进行工程目标管理和控制进度支付的依据。 </w:t>
      </w:r>
    </w:p>
    <w:p w14:paraId="6B3A979A">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 </w:t>
      </w:r>
    </w:p>
    <w:p w14:paraId="59370C35">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）监理人对承包人提交的上述资料进行复核，以确定分阶段实际完成的工程量和工程形象目标。对其有异议的，可要求承包人按第 </w:t>
      </w:r>
      <w:r>
        <w:rPr>
          <w:color w:val="000000"/>
          <w:kern w:val="0"/>
          <w:szCs w:val="21"/>
        </w:rPr>
        <w:t xml:space="preserve">8.2 </w:t>
      </w:r>
      <w:r>
        <w:rPr>
          <w:rFonts w:hint="eastAsia" w:ascii="宋体" w:hAnsi="宋体" w:cs="宋体"/>
          <w:color w:val="000000"/>
          <w:kern w:val="0"/>
          <w:szCs w:val="21"/>
        </w:rPr>
        <w:t xml:space="preserve">款约定进行共同复核和抽样复测。 </w:t>
      </w:r>
    </w:p>
    <w:p w14:paraId="63B7904E">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）除按照第 </w:t>
      </w:r>
      <w:r>
        <w:rPr>
          <w:color w:val="000000"/>
          <w:kern w:val="0"/>
          <w:szCs w:val="21"/>
        </w:rPr>
        <w:t xml:space="preserve">15 </w:t>
      </w:r>
      <w:r>
        <w:rPr>
          <w:rFonts w:hint="eastAsia" w:ascii="宋体" w:hAnsi="宋体" w:cs="宋体"/>
          <w:color w:val="000000"/>
          <w:kern w:val="0"/>
          <w:szCs w:val="21"/>
        </w:rPr>
        <w:t xml:space="preserve">条约定的变更外，总价子目的工程量是承包人用于结算的最终工程量。 </w:t>
      </w:r>
    </w:p>
    <w:p w14:paraId="25BF822C">
      <w:pPr>
        <w:widowControl/>
        <w:jc w:val="left"/>
        <w:rPr>
          <w:szCs w:val="21"/>
        </w:rPr>
      </w:pPr>
      <w:r>
        <w:rPr>
          <w:color w:val="000000"/>
          <w:kern w:val="0"/>
          <w:szCs w:val="21"/>
        </w:rPr>
        <w:t xml:space="preserve">17.2 </w:t>
      </w:r>
      <w:r>
        <w:rPr>
          <w:rFonts w:hint="eastAsia" w:ascii="黑体" w:hAnsi="宋体" w:eastAsia="黑体" w:cs="黑体"/>
          <w:color w:val="000000"/>
          <w:kern w:val="0"/>
          <w:szCs w:val="21"/>
        </w:rPr>
        <w:t xml:space="preserve">预付款 </w:t>
      </w:r>
    </w:p>
    <w:p w14:paraId="73674878">
      <w:pPr>
        <w:widowControl/>
        <w:jc w:val="left"/>
        <w:rPr>
          <w:szCs w:val="21"/>
        </w:rPr>
      </w:pPr>
      <w:r>
        <w:rPr>
          <w:color w:val="000000"/>
          <w:kern w:val="0"/>
          <w:szCs w:val="21"/>
        </w:rPr>
        <w:t xml:space="preserve">17.2.1 </w:t>
      </w:r>
      <w:r>
        <w:rPr>
          <w:rFonts w:hint="eastAsia" w:ascii="黑体" w:hAnsi="宋体" w:eastAsia="黑体" w:cs="黑体"/>
          <w:color w:val="000000"/>
          <w:kern w:val="0"/>
          <w:szCs w:val="21"/>
        </w:rPr>
        <w:t xml:space="preserve">预付款 </w:t>
      </w:r>
    </w:p>
    <w:p w14:paraId="5E7DD469">
      <w:pPr>
        <w:widowControl/>
        <w:jc w:val="left"/>
        <w:rPr>
          <w:szCs w:val="21"/>
        </w:rPr>
      </w:pPr>
      <w:r>
        <w:rPr>
          <w:rFonts w:hint="eastAsia" w:ascii="宋体" w:hAnsi="宋体" w:cs="宋体"/>
          <w:color w:val="000000"/>
          <w:kern w:val="0"/>
          <w:szCs w:val="21"/>
        </w:rPr>
        <w:t xml:space="preserve">预付款用于承包人为合同工程施工购置材料、工程设备、施工设备、修建临时设施以及组织施工队伍进场等。预付款的额度和预付办法在专用合同条款中约定。预付款必须专用于合同工程。 </w:t>
      </w:r>
    </w:p>
    <w:p w14:paraId="36F721DA">
      <w:pPr>
        <w:widowControl/>
        <w:jc w:val="left"/>
        <w:rPr>
          <w:szCs w:val="21"/>
        </w:rPr>
      </w:pPr>
      <w:r>
        <w:rPr>
          <w:color w:val="000000"/>
          <w:kern w:val="0"/>
          <w:szCs w:val="21"/>
        </w:rPr>
        <w:t xml:space="preserve">17.2.2 </w:t>
      </w:r>
      <w:r>
        <w:rPr>
          <w:rFonts w:ascii="黑体" w:hAnsi="宋体" w:eastAsia="黑体" w:cs="黑体"/>
          <w:color w:val="000000"/>
          <w:kern w:val="0"/>
          <w:szCs w:val="21"/>
        </w:rPr>
        <w:t xml:space="preserve">预付款保函 </w:t>
      </w:r>
    </w:p>
    <w:p w14:paraId="5871AAA6">
      <w:pPr>
        <w:widowControl/>
        <w:jc w:val="left"/>
        <w:rPr>
          <w:szCs w:val="21"/>
        </w:rPr>
      </w:pPr>
      <w:r>
        <w:rPr>
          <w:rFonts w:hint="eastAsia" w:ascii="宋体" w:hAnsi="宋体" w:cs="宋体"/>
          <w:color w:val="000000"/>
          <w:kern w:val="0"/>
          <w:szCs w:val="21"/>
        </w:rPr>
        <w:t xml:space="preserve">除专用合同条款另有约定外，承包人应在收到预付款的同时向发包人提交预付款保函，预付款保函的担保金额应与预付款金额相同。保函的担保金额可根据预付款扣回的金额相应递减。 </w:t>
      </w:r>
    </w:p>
    <w:p w14:paraId="13A5B18A">
      <w:pPr>
        <w:widowControl/>
        <w:jc w:val="left"/>
        <w:rPr>
          <w:szCs w:val="21"/>
        </w:rPr>
      </w:pPr>
      <w:r>
        <w:rPr>
          <w:color w:val="000000"/>
          <w:kern w:val="0"/>
          <w:szCs w:val="21"/>
        </w:rPr>
        <w:t xml:space="preserve">17.2.3 </w:t>
      </w:r>
      <w:r>
        <w:rPr>
          <w:rFonts w:hint="eastAsia" w:ascii="黑体" w:hAnsi="宋体" w:eastAsia="黑体" w:cs="黑体"/>
          <w:color w:val="000000"/>
          <w:kern w:val="0"/>
          <w:szCs w:val="21"/>
        </w:rPr>
        <w:t xml:space="preserve">预付款的扣回与还清 </w:t>
      </w:r>
    </w:p>
    <w:p w14:paraId="3470582B">
      <w:pPr>
        <w:widowControl/>
        <w:jc w:val="left"/>
        <w:rPr>
          <w:szCs w:val="21"/>
        </w:rPr>
      </w:pPr>
      <w:r>
        <w:rPr>
          <w:rFonts w:hint="eastAsia" w:ascii="宋体" w:hAnsi="宋体" w:cs="宋体"/>
          <w:color w:val="000000"/>
          <w:kern w:val="0"/>
          <w:szCs w:val="21"/>
        </w:rPr>
        <w:t xml:space="preserve">预付款在进度付款中扣回，扣回办法在专用合同条款中约定。在颁发工程接收证书前，由于不可抗力或其他原因解除合同时，预付款尚未扣清的，尚未扣清的预付款余额应作为承包人的到期应付款。 </w:t>
      </w:r>
    </w:p>
    <w:p w14:paraId="6A090644">
      <w:pPr>
        <w:widowControl/>
        <w:jc w:val="left"/>
        <w:rPr>
          <w:szCs w:val="21"/>
        </w:rPr>
      </w:pPr>
      <w:r>
        <w:rPr>
          <w:color w:val="000000"/>
          <w:kern w:val="0"/>
          <w:szCs w:val="21"/>
        </w:rPr>
        <w:t xml:space="preserve">17.3 </w:t>
      </w:r>
      <w:r>
        <w:rPr>
          <w:rFonts w:hint="eastAsia" w:ascii="黑体" w:hAnsi="宋体" w:eastAsia="黑体" w:cs="黑体"/>
          <w:color w:val="000000"/>
          <w:kern w:val="0"/>
          <w:szCs w:val="21"/>
        </w:rPr>
        <w:t xml:space="preserve">工程进度付款 </w:t>
      </w:r>
    </w:p>
    <w:p w14:paraId="19829FC5">
      <w:pPr>
        <w:widowControl/>
        <w:jc w:val="left"/>
        <w:rPr>
          <w:szCs w:val="21"/>
        </w:rPr>
      </w:pPr>
      <w:r>
        <w:rPr>
          <w:color w:val="000000"/>
          <w:kern w:val="0"/>
          <w:szCs w:val="21"/>
        </w:rPr>
        <w:t xml:space="preserve">17.3.1 </w:t>
      </w:r>
      <w:r>
        <w:rPr>
          <w:rFonts w:hint="eastAsia" w:ascii="黑体" w:hAnsi="宋体" w:eastAsia="黑体" w:cs="黑体"/>
          <w:color w:val="000000"/>
          <w:kern w:val="0"/>
          <w:szCs w:val="21"/>
        </w:rPr>
        <w:t xml:space="preserve">付款周期 </w:t>
      </w:r>
    </w:p>
    <w:p w14:paraId="7DC3A25A">
      <w:pPr>
        <w:widowControl/>
        <w:jc w:val="left"/>
        <w:rPr>
          <w:szCs w:val="21"/>
        </w:rPr>
      </w:pPr>
      <w:r>
        <w:rPr>
          <w:rFonts w:hint="eastAsia" w:ascii="宋体" w:hAnsi="宋体" w:cs="宋体"/>
          <w:color w:val="000000"/>
          <w:kern w:val="0"/>
          <w:szCs w:val="21"/>
        </w:rPr>
        <w:t xml:space="preserve">付款周期同计量周期。 </w:t>
      </w:r>
    </w:p>
    <w:p w14:paraId="31950AAE">
      <w:pPr>
        <w:widowControl/>
        <w:jc w:val="left"/>
        <w:rPr>
          <w:szCs w:val="21"/>
        </w:rPr>
      </w:pPr>
      <w:r>
        <w:rPr>
          <w:color w:val="000000"/>
          <w:kern w:val="0"/>
          <w:szCs w:val="21"/>
        </w:rPr>
        <w:t xml:space="preserve">17.3.2 </w:t>
      </w:r>
      <w:r>
        <w:rPr>
          <w:rFonts w:hint="eastAsia" w:ascii="黑体" w:hAnsi="宋体" w:eastAsia="黑体" w:cs="黑体"/>
          <w:color w:val="000000"/>
          <w:kern w:val="0"/>
          <w:szCs w:val="21"/>
        </w:rPr>
        <w:t xml:space="preserve">进度付款申请单 </w:t>
      </w:r>
    </w:p>
    <w:p w14:paraId="0A1BF22B">
      <w:pPr>
        <w:widowControl/>
        <w:jc w:val="left"/>
        <w:rPr>
          <w:szCs w:val="21"/>
        </w:rPr>
      </w:pPr>
      <w:r>
        <w:rPr>
          <w:rFonts w:hint="eastAsia" w:ascii="宋体" w:hAnsi="宋体" w:cs="宋体"/>
          <w:color w:val="000000"/>
          <w:kern w:val="0"/>
          <w:szCs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 </w:t>
      </w:r>
    </w:p>
    <w:p w14:paraId="0A62DE12">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）截至本次付款周期末已实施工程的价款； </w:t>
      </w:r>
    </w:p>
    <w:p w14:paraId="754F974E">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）根据第 </w:t>
      </w:r>
      <w:r>
        <w:rPr>
          <w:color w:val="000000"/>
          <w:kern w:val="0"/>
          <w:szCs w:val="21"/>
        </w:rPr>
        <w:t xml:space="preserve">15 </w:t>
      </w:r>
      <w:r>
        <w:rPr>
          <w:rFonts w:hint="eastAsia" w:ascii="宋体" w:hAnsi="宋体" w:cs="宋体"/>
          <w:color w:val="000000"/>
          <w:kern w:val="0"/>
          <w:szCs w:val="21"/>
        </w:rPr>
        <w:t xml:space="preserve">条应增加和扣减的变更金额； </w:t>
      </w:r>
    </w:p>
    <w:p w14:paraId="5BB24C9F">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）根据第 </w:t>
      </w:r>
      <w:r>
        <w:rPr>
          <w:color w:val="000000"/>
          <w:kern w:val="0"/>
          <w:szCs w:val="21"/>
        </w:rPr>
        <w:t xml:space="preserve">23 </w:t>
      </w:r>
      <w:r>
        <w:rPr>
          <w:rFonts w:hint="eastAsia" w:ascii="宋体" w:hAnsi="宋体" w:cs="宋体"/>
          <w:color w:val="000000"/>
          <w:kern w:val="0"/>
          <w:szCs w:val="21"/>
        </w:rPr>
        <w:t xml:space="preserve">条应增加和扣减的索赔金额； </w:t>
      </w:r>
    </w:p>
    <w:p w14:paraId="7025DCB6">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）根据第 </w:t>
      </w:r>
      <w:r>
        <w:rPr>
          <w:color w:val="000000"/>
          <w:kern w:val="0"/>
          <w:szCs w:val="21"/>
        </w:rPr>
        <w:t xml:space="preserve">17.2 </w:t>
      </w:r>
      <w:r>
        <w:rPr>
          <w:rFonts w:hint="eastAsia" w:ascii="宋体" w:hAnsi="宋体" w:cs="宋体"/>
          <w:color w:val="000000"/>
          <w:kern w:val="0"/>
          <w:szCs w:val="21"/>
        </w:rPr>
        <w:t xml:space="preserve">款约定应支付的预付款和扣减的返还预付款； </w:t>
      </w:r>
    </w:p>
    <w:p w14:paraId="6294272F">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）根据第 </w:t>
      </w:r>
      <w:r>
        <w:rPr>
          <w:color w:val="000000"/>
          <w:kern w:val="0"/>
          <w:szCs w:val="21"/>
        </w:rPr>
        <w:t xml:space="preserve">17.4.1 </w:t>
      </w:r>
      <w:r>
        <w:rPr>
          <w:rFonts w:hint="eastAsia" w:ascii="宋体" w:hAnsi="宋体" w:cs="宋体"/>
          <w:color w:val="000000"/>
          <w:kern w:val="0"/>
          <w:szCs w:val="21"/>
        </w:rPr>
        <w:t xml:space="preserve">项约定应扣减的质量保证金； </w:t>
      </w:r>
    </w:p>
    <w:p w14:paraId="7863F420">
      <w:pPr>
        <w:widowControl/>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）根据合同应增加和扣减的其他金额。 </w:t>
      </w:r>
    </w:p>
    <w:p w14:paraId="44F3417D">
      <w:pPr>
        <w:widowControl/>
        <w:jc w:val="left"/>
        <w:rPr>
          <w:szCs w:val="21"/>
        </w:rPr>
      </w:pPr>
      <w:r>
        <w:rPr>
          <w:color w:val="000000"/>
          <w:kern w:val="0"/>
          <w:szCs w:val="21"/>
        </w:rPr>
        <w:t xml:space="preserve">17.3.3 </w:t>
      </w:r>
      <w:r>
        <w:rPr>
          <w:rFonts w:hint="eastAsia" w:ascii="黑体" w:hAnsi="宋体" w:eastAsia="黑体" w:cs="黑体"/>
          <w:color w:val="000000"/>
          <w:kern w:val="0"/>
          <w:szCs w:val="21"/>
        </w:rPr>
        <w:t xml:space="preserve">进度付款证书和支付时间 </w:t>
      </w:r>
    </w:p>
    <w:p w14:paraId="2C586CCF">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）监理人在收到承包人进度付款申请单以及相应的支持性证明文件后的 </w:t>
      </w:r>
      <w:r>
        <w:rPr>
          <w:color w:val="000000"/>
          <w:kern w:val="0"/>
          <w:szCs w:val="21"/>
        </w:rPr>
        <w:t>14</w:t>
      </w:r>
      <w:r>
        <w:rPr>
          <w:rFonts w:hint="eastAsia" w:ascii="宋体" w:hAnsi="宋体" w:cs="宋体"/>
          <w:color w:val="000000"/>
          <w:kern w:val="0"/>
          <w:szCs w:val="21"/>
        </w:rP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w:t>
      </w:r>
    </w:p>
    <w:p w14:paraId="7F454039">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）发包人应在监理人收到进度付款申请单后的 </w:t>
      </w:r>
      <w:r>
        <w:rPr>
          <w:color w:val="000000"/>
          <w:kern w:val="0"/>
          <w:szCs w:val="21"/>
        </w:rPr>
        <w:t xml:space="preserve">28 </w:t>
      </w:r>
      <w:r>
        <w:rPr>
          <w:rFonts w:hint="eastAsia" w:ascii="宋体" w:hAnsi="宋体" w:cs="宋体"/>
          <w:color w:val="000000"/>
          <w:kern w:val="0"/>
          <w:szCs w:val="21"/>
        </w:rPr>
        <w:t xml:space="preserve">天内，将进度应付款支付给承包人。发包人不按期支付的，按专用合同条款的约定支付逾期付款违约金。 </w:t>
      </w:r>
    </w:p>
    <w:p w14:paraId="4FB234B7">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）监理人出具进度付款证书，不应视为监理人已同意、批准或接受了承包人完成的该部分工作。 </w:t>
      </w:r>
    </w:p>
    <w:p w14:paraId="2F9051DA">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）进度付款涉及政府投资资金的，按照国库集中支付等国家相关规定和专用合同条款的约定办理。</w:t>
      </w:r>
    </w:p>
    <w:p w14:paraId="1D523B0E">
      <w:pPr>
        <w:widowControl/>
        <w:jc w:val="left"/>
        <w:rPr>
          <w:szCs w:val="21"/>
        </w:rPr>
      </w:pPr>
      <w:r>
        <w:rPr>
          <w:color w:val="000000"/>
          <w:kern w:val="0"/>
          <w:szCs w:val="21"/>
        </w:rPr>
        <w:t xml:space="preserve">17.3.4 </w:t>
      </w:r>
      <w:r>
        <w:rPr>
          <w:rFonts w:ascii="黑体" w:hAnsi="宋体" w:eastAsia="黑体" w:cs="黑体"/>
          <w:color w:val="000000"/>
          <w:kern w:val="0"/>
          <w:szCs w:val="21"/>
        </w:rPr>
        <w:t xml:space="preserve">工程进度付款的修正 </w:t>
      </w:r>
    </w:p>
    <w:p w14:paraId="620C2427">
      <w:pPr>
        <w:widowControl/>
        <w:jc w:val="left"/>
        <w:rPr>
          <w:szCs w:val="21"/>
        </w:rPr>
      </w:pPr>
      <w:r>
        <w:rPr>
          <w:rFonts w:hint="eastAsia" w:ascii="宋体" w:hAnsi="宋体" w:cs="宋体"/>
          <w:color w:val="000000"/>
          <w:kern w:val="0"/>
          <w:szCs w:val="21"/>
        </w:rPr>
        <w:t xml:space="preserve">在对以往历次已签发的进度付款证书进行汇总和复核中发现错、漏或重复的，监理人有权予以修正，承包人也有权提出修正申请。经双方复核同意的修正，应在本次进度付款中支付或扣除。 </w:t>
      </w:r>
    </w:p>
    <w:p w14:paraId="396F4A20">
      <w:pPr>
        <w:widowControl/>
        <w:jc w:val="left"/>
        <w:rPr>
          <w:szCs w:val="21"/>
        </w:rPr>
      </w:pPr>
      <w:r>
        <w:rPr>
          <w:color w:val="000000"/>
          <w:kern w:val="0"/>
          <w:szCs w:val="21"/>
        </w:rPr>
        <w:t xml:space="preserve">17.4 </w:t>
      </w:r>
      <w:r>
        <w:rPr>
          <w:rFonts w:hint="eastAsia" w:ascii="黑体" w:hAnsi="宋体" w:eastAsia="黑体" w:cs="黑体"/>
          <w:color w:val="000000"/>
          <w:kern w:val="0"/>
          <w:szCs w:val="21"/>
        </w:rPr>
        <w:t xml:space="preserve">质量保证金 </w:t>
      </w:r>
    </w:p>
    <w:p w14:paraId="7938DD1D">
      <w:pPr>
        <w:widowControl/>
        <w:jc w:val="left"/>
        <w:rPr>
          <w:szCs w:val="21"/>
        </w:rPr>
      </w:pPr>
      <w:r>
        <w:rPr>
          <w:color w:val="000000"/>
          <w:kern w:val="0"/>
          <w:szCs w:val="21"/>
        </w:rPr>
        <w:t xml:space="preserve">17.4.1 </w:t>
      </w:r>
      <w:r>
        <w:rPr>
          <w:rFonts w:hint="eastAsia" w:ascii="宋体" w:hAnsi="宋体" w:cs="宋体"/>
          <w:color w:val="000000"/>
          <w:kern w:val="0"/>
          <w:szCs w:val="21"/>
        </w:rPr>
        <w:t xml:space="preserve">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 </w:t>
      </w:r>
    </w:p>
    <w:p w14:paraId="429ED7B6">
      <w:pPr>
        <w:widowControl/>
        <w:jc w:val="left"/>
        <w:rPr>
          <w:szCs w:val="21"/>
        </w:rPr>
      </w:pPr>
      <w:r>
        <w:rPr>
          <w:color w:val="000000"/>
          <w:kern w:val="0"/>
          <w:szCs w:val="21"/>
        </w:rPr>
        <w:t xml:space="preserve">17.4.2 </w:t>
      </w:r>
      <w:r>
        <w:rPr>
          <w:rFonts w:hint="eastAsia" w:ascii="宋体" w:hAnsi="宋体" w:cs="宋体"/>
          <w:color w:val="000000"/>
          <w:kern w:val="0"/>
          <w:szCs w:val="21"/>
        </w:rPr>
        <w:t xml:space="preserve">在第 </w:t>
      </w:r>
      <w:r>
        <w:rPr>
          <w:color w:val="000000"/>
          <w:kern w:val="0"/>
          <w:szCs w:val="21"/>
        </w:rPr>
        <w:t xml:space="preserve">1.1.4.5 </w:t>
      </w:r>
      <w:r>
        <w:rPr>
          <w:rFonts w:hint="eastAsia" w:ascii="宋体" w:hAnsi="宋体" w:cs="宋体"/>
          <w:color w:val="000000"/>
          <w:kern w:val="0"/>
          <w:szCs w:val="21"/>
        </w:rPr>
        <w:t xml:space="preserve">目约定的缺陷责任期满时，承包人向发包人申请到期应返还承包人剩余的质量保证金金额，发包人应在 </w:t>
      </w:r>
      <w:r>
        <w:rPr>
          <w:color w:val="000000"/>
          <w:kern w:val="0"/>
          <w:szCs w:val="21"/>
        </w:rPr>
        <w:t xml:space="preserve">14 </w:t>
      </w:r>
      <w:r>
        <w:rPr>
          <w:rFonts w:hint="eastAsia" w:ascii="宋体" w:hAnsi="宋体" w:cs="宋体"/>
          <w:color w:val="000000"/>
          <w:kern w:val="0"/>
          <w:szCs w:val="21"/>
        </w:rPr>
        <w:t xml:space="preserve">天内会同承包人按照合同约定的内容核实承包人是否完成缺陷责任。如无异议，发包人应当在核实后将剩余保证金返还承包人。 </w:t>
      </w:r>
    </w:p>
    <w:p w14:paraId="3FE2AE2E">
      <w:pPr>
        <w:widowControl/>
        <w:jc w:val="left"/>
        <w:rPr>
          <w:szCs w:val="21"/>
        </w:rPr>
      </w:pPr>
      <w:r>
        <w:rPr>
          <w:color w:val="000000"/>
          <w:kern w:val="0"/>
          <w:szCs w:val="21"/>
        </w:rPr>
        <w:t xml:space="preserve">17.4.3 </w:t>
      </w:r>
      <w:r>
        <w:rPr>
          <w:rFonts w:hint="eastAsia" w:ascii="宋体" w:hAnsi="宋体" w:cs="宋体"/>
          <w:color w:val="000000"/>
          <w:kern w:val="0"/>
          <w:szCs w:val="21"/>
        </w:rPr>
        <w:t xml:space="preserve">在第 </w:t>
      </w:r>
      <w:r>
        <w:rPr>
          <w:color w:val="000000"/>
          <w:kern w:val="0"/>
          <w:szCs w:val="21"/>
        </w:rPr>
        <w:t xml:space="preserve">1.1.4.5 </w:t>
      </w:r>
      <w:r>
        <w:rPr>
          <w:rFonts w:hint="eastAsia" w:ascii="宋体" w:hAnsi="宋体" w:cs="宋体"/>
          <w:color w:val="000000"/>
          <w:kern w:val="0"/>
          <w:szCs w:val="21"/>
        </w:rPr>
        <w:t xml:space="preserve">目约定的缺陷责任期满时，承包人没有完成缺陷责任的，发包人有权扣留与未履行责任剩余工作所需金额相应的质量保证金余额，并有权根据第 </w:t>
      </w:r>
      <w:r>
        <w:rPr>
          <w:color w:val="000000"/>
          <w:kern w:val="0"/>
          <w:szCs w:val="21"/>
        </w:rPr>
        <w:t xml:space="preserve">19.3 </w:t>
      </w:r>
      <w:r>
        <w:rPr>
          <w:rFonts w:hint="eastAsia" w:ascii="宋体" w:hAnsi="宋体" w:cs="宋体"/>
          <w:color w:val="000000"/>
          <w:kern w:val="0"/>
          <w:szCs w:val="21"/>
        </w:rPr>
        <w:t xml:space="preserve">款约定要求延长缺陷责任期，直至完成剩余工作为止。 </w:t>
      </w:r>
    </w:p>
    <w:p w14:paraId="54E30A71">
      <w:pPr>
        <w:widowControl/>
        <w:jc w:val="left"/>
        <w:rPr>
          <w:szCs w:val="21"/>
        </w:rPr>
      </w:pPr>
      <w:r>
        <w:rPr>
          <w:color w:val="000000"/>
          <w:kern w:val="0"/>
          <w:szCs w:val="21"/>
        </w:rPr>
        <w:t xml:space="preserve">17.5 </w:t>
      </w:r>
      <w:r>
        <w:rPr>
          <w:rFonts w:hint="eastAsia" w:ascii="黑体" w:hAnsi="宋体" w:eastAsia="黑体" w:cs="黑体"/>
          <w:color w:val="000000"/>
          <w:kern w:val="0"/>
          <w:szCs w:val="21"/>
        </w:rPr>
        <w:t xml:space="preserve">竣工结算 </w:t>
      </w:r>
    </w:p>
    <w:p w14:paraId="3F4C24F6">
      <w:pPr>
        <w:widowControl/>
        <w:jc w:val="left"/>
        <w:rPr>
          <w:szCs w:val="21"/>
        </w:rPr>
      </w:pPr>
      <w:r>
        <w:rPr>
          <w:color w:val="000000"/>
          <w:kern w:val="0"/>
          <w:szCs w:val="21"/>
        </w:rPr>
        <w:t xml:space="preserve">17.5.1 </w:t>
      </w:r>
      <w:r>
        <w:rPr>
          <w:rFonts w:hint="eastAsia" w:ascii="黑体" w:hAnsi="宋体" w:eastAsia="黑体" w:cs="黑体"/>
          <w:color w:val="000000"/>
          <w:kern w:val="0"/>
          <w:szCs w:val="21"/>
        </w:rPr>
        <w:t xml:space="preserve">竣工付款申请单 </w:t>
      </w:r>
    </w:p>
    <w:p w14:paraId="061C40E5">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 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 </w:t>
      </w:r>
    </w:p>
    <w:p w14:paraId="3D54176E">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）监理人对竣工付款申请单有异议的，有权要求承包人进行修正和提供补充资料。经监理人和承包人协商后，由承包人向监理人提交修正后的竣工付款申请单。 </w:t>
      </w:r>
    </w:p>
    <w:p w14:paraId="7BC74E28">
      <w:pPr>
        <w:widowControl/>
        <w:jc w:val="left"/>
        <w:rPr>
          <w:szCs w:val="21"/>
        </w:rPr>
      </w:pPr>
      <w:r>
        <w:rPr>
          <w:color w:val="000000"/>
          <w:kern w:val="0"/>
          <w:szCs w:val="21"/>
        </w:rPr>
        <w:t xml:space="preserve">17.5.2 </w:t>
      </w:r>
      <w:r>
        <w:rPr>
          <w:rFonts w:hint="eastAsia" w:ascii="黑体" w:hAnsi="宋体" w:eastAsia="黑体" w:cs="黑体"/>
          <w:color w:val="000000"/>
          <w:kern w:val="0"/>
          <w:szCs w:val="21"/>
        </w:rPr>
        <w:t xml:space="preserve">竣工付款证书及支付时间 </w:t>
      </w:r>
    </w:p>
    <w:p w14:paraId="7A1646A6">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）监理人在收到承包人提交的竣工付款申请单后的 </w:t>
      </w:r>
      <w:r>
        <w:rPr>
          <w:color w:val="000000"/>
          <w:kern w:val="0"/>
          <w:szCs w:val="21"/>
        </w:rPr>
        <w:t xml:space="preserve">14 </w:t>
      </w:r>
      <w:r>
        <w:rPr>
          <w:rFonts w:hint="eastAsia" w:ascii="宋体" w:hAnsi="宋体" w:cs="宋体"/>
          <w:color w:val="000000"/>
          <w:kern w:val="0"/>
          <w:szCs w:val="21"/>
        </w:rPr>
        <w:t>天内完成核查，提出 发包人到期应支付给承包人的价款送发包人审核并抄送承包人。发包人应在收到后</w:t>
      </w:r>
      <w:r>
        <w:rPr>
          <w:color w:val="000000"/>
          <w:kern w:val="0"/>
          <w:szCs w:val="21"/>
        </w:rPr>
        <w:t xml:space="preserve">14 </w:t>
      </w:r>
      <w:r>
        <w:rPr>
          <w:rFonts w:hint="eastAsia" w:ascii="宋体" w:hAnsi="宋体" w:cs="宋体"/>
          <w:color w:val="000000"/>
          <w:kern w:val="0"/>
          <w:szCs w:val="21"/>
        </w:rPr>
        <w:t xml:space="preserve">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 </w:t>
      </w:r>
    </w:p>
    <w:p w14:paraId="7E639AC4">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）发包人应在监理人出具竣工付款证书后的 </w:t>
      </w:r>
      <w:r>
        <w:rPr>
          <w:color w:val="000000"/>
          <w:kern w:val="0"/>
          <w:szCs w:val="21"/>
        </w:rPr>
        <w:t xml:space="preserve">14 </w:t>
      </w:r>
      <w:r>
        <w:rPr>
          <w:rFonts w:hint="eastAsia" w:ascii="宋体" w:hAnsi="宋体" w:cs="宋体"/>
          <w:color w:val="000000"/>
          <w:kern w:val="0"/>
          <w:szCs w:val="21"/>
        </w:rPr>
        <w:t xml:space="preserve">天内，将应支付款支付给承包人。发包人不按期支付的，按第 </w:t>
      </w:r>
      <w:r>
        <w:rPr>
          <w:color w:val="000000"/>
          <w:kern w:val="0"/>
          <w:szCs w:val="21"/>
        </w:rPr>
        <w:t>17.3.3</w:t>
      </w: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）目的约定，将逾期付款违约金支付给承包人。 </w:t>
      </w:r>
    </w:p>
    <w:p w14:paraId="5ACE0579">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）承包人对发包人签认的竣工付款证书有异议的，发包人可出具竣工付款申请单中承包人已同意部分的临时付款证书。存在争议的部分，按第 </w:t>
      </w:r>
      <w:r>
        <w:rPr>
          <w:color w:val="000000"/>
          <w:kern w:val="0"/>
          <w:szCs w:val="21"/>
        </w:rPr>
        <w:t xml:space="preserve">24 </w:t>
      </w:r>
      <w:r>
        <w:rPr>
          <w:rFonts w:hint="eastAsia" w:ascii="宋体" w:hAnsi="宋体" w:cs="宋体"/>
          <w:color w:val="000000"/>
          <w:kern w:val="0"/>
          <w:szCs w:val="21"/>
        </w:rPr>
        <w:t xml:space="preserve">条的约定办理。 </w:t>
      </w:r>
    </w:p>
    <w:p w14:paraId="6ABEFBBE">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）竣工付款涉及政府投资资金的，按第 </w:t>
      </w:r>
      <w:r>
        <w:rPr>
          <w:color w:val="000000"/>
          <w:kern w:val="0"/>
          <w:szCs w:val="21"/>
        </w:rPr>
        <w:t>17.3.3</w:t>
      </w: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）目的约定办理。 </w:t>
      </w:r>
    </w:p>
    <w:p w14:paraId="39051251">
      <w:pPr>
        <w:widowControl/>
        <w:jc w:val="left"/>
        <w:rPr>
          <w:szCs w:val="21"/>
        </w:rPr>
      </w:pPr>
      <w:r>
        <w:rPr>
          <w:color w:val="000000"/>
          <w:kern w:val="0"/>
          <w:szCs w:val="21"/>
        </w:rPr>
        <w:t xml:space="preserve">17.6 </w:t>
      </w:r>
      <w:r>
        <w:rPr>
          <w:rFonts w:ascii="黑体" w:hAnsi="宋体" w:eastAsia="黑体" w:cs="黑体"/>
          <w:color w:val="000000"/>
          <w:kern w:val="0"/>
          <w:szCs w:val="21"/>
        </w:rPr>
        <w:t xml:space="preserve">最终结清 </w:t>
      </w:r>
    </w:p>
    <w:p w14:paraId="1C2B07D4">
      <w:pPr>
        <w:widowControl/>
        <w:jc w:val="left"/>
        <w:rPr>
          <w:szCs w:val="21"/>
        </w:rPr>
      </w:pPr>
      <w:r>
        <w:rPr>
          <w:color w:val="000000"/>
          <w:kern w:val="0"/>
          <w:szCs w:val="21"/>
        </w:rPr>
        <w:t xml:space="preserve">17.6.1 </w:t>
      </w:r>
      <w:r>
        <w:rPr>
          <w:rFonts w:hint="eastAsia" w:ascii="黑体" w:hAnsi="宋体" w:eastAsia="黑体" w:cs="黑体"/>
          <w:color w:val="000000"/>
          <w:kern w:val="0"/>
          <w:szCs w:val="21"/>
        </w:rPr>
        <w:t xml:space="preserve">最终结清申请单 </w:t>
      </w:r>
    </w:p>
    <w:p w14:paraId="62AC9CCC">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）缺陷责任期终止证书签发后，承包人可按专用合同条款约定的份数和期限 向监理人提交最终结清申请单，并提供相关证明材料。 </w:t>
      </w:r>
    </w:p>
    <w:p w14:paraId="6A2F46FF">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）发包人对最终结清申请单内容有异议的，有权要求承包人进行修正和提供补充资料，由承包人向监理人提交修正后的最终结清申请单。 </w:t>
      </w:r>
    </w:p>
    <w:p w14:paraId="63AC27D6">
      <w:pPr>
        <w:widowControl/>
        <w:jc w:val="left"/>
        <w:rPr>
          <w:szCs w:val="21"/>
        </w:rPr>
      </w:pPr>
      <w:r>
        <w:rPr>
          <w:color w:val="000000"/>
          <w:kern w:val="0"/>
          <w:szCs w:val="21"/>
        </w:rPr>
        <w:t xml:space="preserve">17.6.2 </w:t>
      </w:r>
      <w:r>
        <w:rPr>
          <w:rFonts w:hint="eastAsia" w:ascii="黑体" w:hAnsi="宋体" w:eastAsia="黑体" w:cs="黑体"/>
          <w:color w:val="000000"/>
          <w:kern w:val="0"/>
          <w:szCs w:val="21"/>
        </w:rPr>
        <w:t xml:space="preserve">最终结清证书和支付时间 </w:t>
      </w:r>
    </w:p>
    <w:p w14:paraId="6EE446BF">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）监理人收到承包人提交的最终结清申请单后的 </w:t>
      </w:r>
      <w:r>
        <w:rPr>
          <w:color w:val="000000"/>
          <w:kern w:val="0"/>
          <w:szCs w:val="21"/>
        </w:rPr>
        <w:t xml:space="preserve">14 </w:t>
      </w:r>
      <w:r>
        <w:rPr>
          <w:rFonts w:hint="eastAsia" w:ascii="宋体" w:hAnsi="宋体" w:cs="宋体"/>
          <w:color w:val="000000"/>
          <w:kern w:val="0"/>
          <w:szCs w:val="21"/>
        </w:rPr>
        <w:t xml:space="preserve">天内，提出发包人应支付给承包人的价款送发包人审核并抄送承包人。发包人应在收到后 </w:t>
      </w:r>
      <w:r>
        <w:rPr>
          <w:color w:val="000000"/>
          <w:kern w:val="0"/>
          <w:szCs w:val="21"/>
        </w:rPr>
        <w:t xml:space="preserve">14 </w:t>
      </w:r>
      <w:r>
        <w:rPr>
          <w:rFonts w:hint="eastAsia" w:ascii="宋体" w:hAnsi="宋体" w:cs="宋体"/>
          <w:color w:val="000000"/>
          <w:kern w:val="0"/>
          <w:szCs w:val="21"/>
        </w:rPr>
        <w:t xml:space="preserve">天内审核完毕，由监理人向承包人出具经发包人签认的最终结清证书。监理人未在约定时间内核查，又未提出具体意见的，视为承包人提交的最终结清申请单已经监理人核查同 意；发包人未在约定时间内审核又未提出具体意见的，监理人提出应支付给承包人 </w:t>
      </w:r>
    </w:p>
    <w:p w14:paraId="5269C1C2">
      <w:pPr>
        <w:widowControl/>
        <w:jc w:val="left"/>
        <w:rPr>
          <w:szCs w:val="21"/>
        </w:rPr>
      </w:pPr>
      <w:r>
        <w:rPr>
          <w:rFonts w:hint="eastAsia" w:ascii="宋体" w:hAnsi="宋体" w:cs="宋体"/>
          <w:color w:val="000000"/>
          <w:kern w:val="0"/>
          <w:szCs w:val="21"/>
        </w:rPr>
        <w:t xml:space="preserve">的价款视为已经发包人同意。 </w:t>
      </w:r>
    </w:p>
    <w:p w14:paraId="2C6E697A">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）发包人应在监理人出具最终结清证书后的 </w:t>
      </w:r>
      <w:r>
        <w:rPr>
          <w:color w:val="000000"/>
          <w:kern w:val="0"/>
          <w:szCs w:val="21"/>
        </w:rPr>
        <w:t xml:space="preserve">14 </w:t>
      </w:r>
      <w:r>
        <w:rPr>
          <w:rFonts w:hint="eastAsia" w:ascii="宋体" w:hAnsi="宋体" w:cs="宋体"/>
          <w:color w:val="000000"/>
          <w:kern w:val="0"/>
          <w:szCs w:val="21"/>
        </w:rPr>
        <w:t xml:space="preserve">天内，将应支付款支付给承包人。发包人不按期支付的，按第 </w:t>
      </w:r>
      <w:r>
        <w:rPr>
          <w:color w:val="000000"/>
          <w:kern w:val="0"/>
          <w:szCs w:val="21"/>
        </w:rPr>
        <w:t>17.3.3</w:t>
      </w: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）目的约定，将逾期付款违约金支付给承包人。 </w:t>
      </w:r>
    </w:p>
    <w:p w14:paraId="527B4F1C">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）承包人对发包人签认的最终结清证书有异议的，按第 </w:t>
      </w:r>
      <w:r>
        <w:rPr>
          <w:color w:val="000000"/>
          <w:kern w:val="0"/>
          <w:szCs w:val="21"/>
        </w:rPr>
        <w:t xml:space="preserve">24 </w:t>
      </w:r>
      <w:r>
        <w:rPr>
          <w:rFonts w:hint="eastAsia" w:ascii="宋体" w:hAnsi="宋体" w:cs="宋体"/>
          <w:color w:val="000000"/>
          <w:kern w:val="0"/>
          <w:szCs w:val="21"/>
        </w:rPr>
        <w:t xml:space="preserve">条的约定办理。 </w:t>
      </w:r>
    </w:p>
    <w:p w14:paraId="4B568D1B">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）最终结清付款涉及政府投资资金的，按第 </w:t>
      </w:r>
      <w:r>
        <w:rPr>
          <w:color w:val="000000"/>
          <w:kern w:val="0"/>
          <w:szCs w:val="21"/>
        </w:rPr>
        <w:t>17.3.3</w:t>
      </w: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）目的约定办理。 </w:t>
      </w:r>
    </w:p>
    <w:p w14:paraId="104B0CCF">
      <w:pPr>
        <w:widowControl/>
        <w:jc w:val="left"/>
        <w:rPr>
          <w:szCs w:val="21"/>
        </w:rPr>
      </w:pPr>
      <w:r>
        <w:rPr>
          <w:color w:val="000000"/>
          <w:kern w:val="0"/>
          <w:szCs w:val="21"/>
        </w:rPr>
        <w:t xml:space="preserve">18. </w:t>
      </w:r>
      <w:r>
        <w:rPr>
          <w:rFonts w:hint="eastAsia" w:ascii="黑体" w:hAnsi="宋体" w:eastAsia="黑体" w:cs="黑体"/>
          <w:color w:val="000000"/>
          <w:kern w:val="0"/>
          <w:szCs w:val="21"/>
        </w:rPr>
        <w:t xml:space="preserve">竣工验收 </w:t>
      </w:r>
    </w:p>
    <w:p w14:paraId="0974A0DF">
      <w:pPr>
        <w:widowControl/>
        <w:jc w:val="left"/>
        <w:rPr>
          <w:szCs w:val="21"/>
        </w:rPr>
      </w:pPr>
      <w:r>
        <w:rPr>
          <w:color w:val="000000"/>
          <w:kern w:val="0"/>
          <w:szCs w:val="21"/>
        </w:rPr>
        <w:t xml:space="preserve">18.1 </w:t>
      </w:r>
      <w:r>
        <w:rPr>
          <w:rFonts w:hint="eastAsia" w:ascii="黑体" w:hAnsi="宋体" w:eastAsia="黑体" w:cs="黑体"/>
          <w:color w:val="000000"/>
          <w:kern w:val="0"/>
          <w:szCs w:val="21"/>
        </w:rPr>
        <w:t xml:space="preserve">竣工验收的含义 </w:t>
      </w:r>
    </w:p>
    <w:p w14:paraId="27968779">
      <w:pPr>
        <w:widowControl/>
        <w:jc w:val="left"/>
        <w:rPr>
          <w:szCs w:val="21"/>
        </w:rPr>
      </w:pPr>
      <w:r>
        <w:rPr>
          <w:color w:val="000000"/>
          <w:kern w:val="0"/>
          <w:szCs w:val="21"/>
        </w:rPr>
        <w:t xml:space="preserve">18.1.1 </w:t>
      </w:r>
      <w:r>
        <w:rPr>
          <w:rFonts w:hint="eastAsia" w:ascii="宋体" w:hAnsi="宋体" w:cs="宋体"/>
          <w:color w:val="000000"/>
          <w:kern w:val="0"/>
          <w:szCs w:val="21"/>
        </w:rPr>
        <w:t xml:space="preserve">竣工验收指承包人完成了全部合同工作后，发包人按合同要求进行的验收。 </w:t>
      </w:r>
    </w:p>
    <w:p w14:paraId="5D0129BE">
      <w:pPr>
        <w:widowControl/>
        <w:jc w:val="left"/>
        <w:rPr>
          <w:szCs w:val="21"/>
        </w:rPr>
      </w:pPr>
      <w:r>
        <w:rPr>
          <w:color w:val="000000"/>
          <w:kern w:val="0"/>
          <w:szCs w:val="21"/>
        </w:rPr>
        <w:t xml:space="preserve">18.1.2 </w:t>
      </w:r>
      <w:r>
        <w:rPr>
          <w:rFonts w:hint="eastAsia" w:ascii="宋体" w:hAnsi="宋体" w:cs="宋体"/>
          <w:color w:val="000000"/>
          <w:kern w:val="0"/>
          <w:szCs w:val="21"/>
        </w:rPr>
        <w:t>国家验收是政府有关部门根据法律、规范、规程和政策要求，针对发包人全面组织实施的整个工程正式交付投运前的验收。</w:t>
      </w:r>
    </w:p>
    <w:p w14:paraId="2FAB9D87">
      <w:pPr>
        <w:widowControl/>
        <w:jc w:val="left"/>
        <w:rPr>
          <w:szCs w:val="21"/>
        </w:rPr>
      </w:pPr>
      <w:r>
        <w:rPr>
          <w:color w:val="000000"/>
          <w:kern w:val="0"/>
          <w:szCs w:val="21"/>
        </w:rPr>
        <w:t xml:space="preserve">18.1.3 </w:t>
      </w:r>
      <w:r>
        <w:rPr>
          <w:rFonts w:hint="eastAsia" w:ascii="宋体" w:hAnsi="宋体" w:cs="宋体"/>
          <w:color w:val="000000"/>
          <w:kern w:val="0"/>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 </w:t>
      </w:r>
    </w:p>
    <w:p w14:paraId="5A2BAA43">
      <w:pPr>
        <w:widowControl/>
        <w:jc w:val="left"/>
        <w:rPr>
          <w:szCs w:val="21"/>
        </w:rPr>
      </w:pPr>
      <w:r>
        <w:rPr>
          <w:color w:val="000000"/>
          <w:kern w:val="0"/>
          <w:szCs w:val="21"/>
        </w:rPr>
        <w:t xml:space="preserve">18.2 </w:t>
      </w:r>
      <w:r>
        <w:rPr>
          <w:rFonts w:ascii="黑体" w:hAnsi="宋体" w:eastAsia="黑体" w:cs="黑体"/>
          <w:color w:val="000000"/>
          <w:kern w:val="0"/>
          <w:szCs w:val="21"/>
        </w:rPr>
        <w:t xml:space="preserve">竣工验收申请报告 </w:t>
      </w:r>
    </w:p>
    <w:p w14:paraId="44E0A5CC">
      <w:pPr>
        <w:widowControl/>
        <w:jc w:val="left"/>
        <w:rPr>
          <w:szCs w:val="21"/>
        </w:rPr>
      </w:pPr>
      <w:r>
        <w:rPr>
          <w:rFonts w:hint="eastAsia" w:ascii="宋体" w:hAnsi="宋体" w:cs="宋体"/>
          <w:color w:val="000000"/>
          <w:kern w:val="0"/>
          <w:szCs w:val="21"/>
        </w:rPr>
        <w:t xml:space="preserve">当工程具备以下条件时，承包人即可向监理人报送竣工验收申请报告： </w:t>
      </w:r>
    </w:p>
    <w:p w14:paraId="54685ED2">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）除监理人同意列入缺陷责任期内完成的尾工（甩项）工程和缺陷修补工作外，合同范围内的全部单位工程以及有关工作，包括合同要求的试验、试运行以及检验和验收均已完成，并符合合同要求； </w:t>
      </w:r>
    </w:p>
    <w:p w14:paraId="507646CA">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）已按合同约定的内容和份数备齐了符合要求的竣工资料； </w:t>
      </w:r>
    </w:p>
    <w:p w14:paraId="07415D22">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）已按监理人的要求编制了在缺陷责任期内完成的尾工（甩项）工程和缺陷修补工作清单以及相应施工计划； </w:t>
      </w:r>
    </w:p>
    <w:p w14:paraId="081A4782">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）监理人要求在竣工验收前应完成的其他工作； </w:t>
      </w:r>
    </w:p>
    <w:p w14:paraId="0B454849">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）监理人要求提交的竣工验收资料清单。 </w:t>
      </w:r>
    </w:p>
    <w:p w14:paraId="4FBFA007">
      <w:pPr>
        <w:widowControl/>
        <w:jc w:val="left"/>
        <w:rPr>
          <w:szCs w:val="21"/>
        </w:rPr>
      </w:pPr>
      <w:r>
        <w:rPr>
          <w:color w:val="000000"/>
          <w:kern w:val="0"/>
          <w:szCs w:val="21"/>
        </w:rPr>
        <w:t xml:space="preserve">18.3 </w:t>
      </w:r>
      <w:r>
        <w:rPr>
          <w:rFonts w:hint="eastAsia" w:ascii="黑体" w:hAnsi="宋体" w:eastAsia="黑体" w:cs="黑体"/>
          <w:color w:val="000000"/>
          <w:kern w:val="0"/>
          <w:szCs w:val="21"/>
        </w:rPr>
        <w:t xml:space="preserve">验收 </w:t>
      </w:r>
    </w:p>
    <w:p w14:paraId="2BC5EA05">
      <w:pPr>
        <w:widowControl/>
        <w:jc w:val="left"/>
        <w:rPr>
          <w:szCs w:val="21"/>
        </w:rPr>
      </w:pPr>
      <w:r>
        <w:rPr>
          <w:rFonts w:hint="eastAsia" w:ascii="宋体" w:hAnsi="宋体" w:cs="宋体"/>
          <w:color w:val="000000"/>
          <w:kern w:val="0"/>
          <w:szCs w:val="21"/>
        </w:rPr>
        <w:t xml:space="preserve">监理人收到承包人按第 </w:t>
      </w:r>
      <w:r>
        <w:rPr>
          <w:color w:val="000000"/>
          <w:kern w:val="0"/>
          <w:szCs w:val="21"/>
        </w:rPr>
        <w:t xml:space="preserve">18.2 </w:t>
      </w:r>
      <w:r>
        <w:rPr>
          <w:rFonts w:hint="eastAsia" w:ascii="宋体" w:hAnsi="宋体" w:cs="宋体"/>
          <w:color w:val="000000"/>
          <w:kern w:val="0"/>
          <w:szCs w:val="21"/>
        </w:rPr>
        <w:t xml:space="preserve">款约定提交的竣工验收申请报告后，应审查申请报告的各项内容，并按以下不同情况进行处理。 </w:t>
      </w:r>
    </w:p>
    <w:p w14:paraId="27D8B9A1">
      <w:pPr>
        <w:widowControl/>
        <w:jc w:val="left"/>
        <w:rPr>
          <w:szCs w:val="21"/>
        </w:rPr>
      </w:pPr>
      <w:r>
        <w:rPr>
          <w:color w:val="000000"/>
          <w:kern w:val="0"/>
          <w:szCs w:val="21"/>
        </w:rPr>
        <w:t xml:space="preserve">18.3.1 </w:t>
      </w:r>
      <w:r>
        <w:rPr>
          <w:rFonts w:hint="eastAsia" w:ascii="宋体" w:hAnsi="宋体" w:cs="宋体"/>
          <w:color w:val="000000"/>
          <w:kern w:val="0"/>
          <w:szCs w:val="21"/>
        </w:rPr>
        <w:t xml:space="preserve">监理人审查后认为尚不具备竣工验收条件的，应在收到竣工验收申请报告后的 </w:t>
      </w:r>
      <w:r>
        <w:rPr>
          <w:color w:val="000000"/>
          <w:kern w:val="0"/>
          <w:szCs w:val="21"/>
        </w:rPr>
        <w:t xml:space="preserve">28 </w:t>
      </w:r>
      <w:r>
        <w:rPr>
          <w:rFonts w:hint="eastAsia" w:ascii="宋体" w:hAnsi="宋体" w:cs="宋体"/>
          <w:color w:val="000000"/>
          <w:kern w:val="0"/>
          <w:szCs w:val="21"/>
        </w:rPr>
        <w:t xml:space="preserve">天内通知承包人，指出在颁发接收证书前承包人还需进行的工作内容。承包人完成监理人通知的全部工作内容后，应再次提交竣工验收申请报告，直至监理人同意为止。 </w:t>
      </w:r>
    </w:p>
    <w:p w14:paraId="0571922D">
      <w:pPr>
        <w:widowControl/>
        <w:jc w:val="left"/>
        <w:rPr>
          <w:szCs w:val="21"/>
        </w:rPr>
      </w:pPr>
      <w:r>
        <w:rPr>
          <w:color w:val="000000"/>
          <w:kern w:val="0"/>
          <w:szCs w:val="21"/>
        </w:rPr>
        <w:t xml:space="preserve">18.3.2 </w:t>
      </w:r>
      <w:r>
        <w:rPr>
          <w:rFonts w:hint="eastAsia" w:ascii="宋体" w:hAnsi="宋体" w:cs="宋体"/>
          <w:color w:val="000000"/>
          <w:kern w:val="0"/>
          <w:szCs w:val="21"/>
        </w:rPr>
        <w:t xml:space="preserve">监理人审查后认为已具备竣工验收条件的，应在收到竣工验收申请报告后的 </w:t>
      </w:r>
      <w:r>
        <w:rPr>
          <w:color w:val="000000"/>
          <w:kern w:val="0"/>
          <w:szCs w:val="21"/>
        </w:rPr>
        <w:t xml:space="preserve">28 </w:t>
      </w:r>
      <w:r>
        <w:rPr>
          <w:rFonts w:hint="eastAsia" w:ascii="宋体" w:hAnsi="宋体" w:cs="宋体"/>
          <w:color w:val="000000"/>
          <w:kern w:val="0"/>
          <w:szCs w:val="21"/>
        </w:rPr>
        <w:t xml:space="preserve">天内提请发包人进行工程验收。 </w:t>
      </w:r>
    </w:p>
    <w:p w14:paraId="29978126">
      <w:pPr>
        <w:widowControl/>
        <w:jc w:val="left"/>
        <w:rPr>
          <w:szCs w:val="21"/>
        </w:rPr>
      </w:pPr>
      <w:r>
        <w:rPr>
          <w:color w:val="000000"/>
          <w:kern w:val="0"/>
          <w:szCs w:val="21"/>
        </w:rPr>
        <w:t xml:space="preserve">18.3.3 </w:t>
      </w:r>
      <w:r>
        <w:rPr>
          <w:rFonts w:hint="eastAsia" w:ascii="宋体" w:hAnsi="宋体" w:cs="宋体"/>
          <w:color w:val="000000"/>
          <w:kern w:val="0"/>
          <w:szCs w:val="21"/>
        </w:rPr>
        <w:t xml:space="preserve">发包人经过验收后同意接收工程的，应在监理人收到竣工验收申请报告后的 </w:t>
      </w:r>
      <w:r>
        <w:rPr>
          <w:color w:val="000000"/>
          <w:kern w:val="0"/>
          <w:szCs w:val="21"/>
        </w:rPr>
        <w:t xml:space="preserve">56 </w:t>
      </w:r>
      <w:r>
        <w:rPr>
          <w:rFonts w:hint="eastAsia" w:ascii="宋体" w:hAnsi="宋体" w:cs="宋体"/>
          <w:color w:val="000000"/>
          <w:kern w:val="0"/>
          <w:szCs w:val="21"/>
        </w:rPr>
        <w:t xml:space="preserve">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 </w:t>
      </w:r>
    </w:p>
    <w:p w14:paraId="50135203">
      <w:pPr>
        <w:widowControl/>
        <w:jc w:val="left"/>
        <w:rPr>
          <w:szCs w:val="21"/>
        </w:rPr>
      </w:pPr>
      <w:r>
        <w:rPr>
          <w:color w:val="000000"/>
          <w:kern w:val="0"/>
          <w:szCs w:val="21"/>
        </w:rPr>
        <w:t xml:space="preserve">18.3.4 </w:t>
      </w:r>
      <w:r>
        <w:rPr>
          <w:rFonts w:hint="eastAsia" w:ascii="宋体" w:hAnsi="宋体" w:cs="宋体"/>
          <w:color w:val="000000"/>
          <w:kern w:val="0"/>
          <w:szCs w:val="21"/>
        </w:rPr>
        <w:t xml:space="preserve">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w:t>
      </w:r>
      <w:r>
        <w:rPr>
          <w:color w:val="000000"/>
          <w:kern w:val="0"/>
          <w:szCs w:val="21"/>
        </w:rPr>
        <w:t xml:space="preserve">18.3.1 </w:t>
      </w:r>
      <w:r>
        <w:rPr>
          <w:rFonts w:hint="eastAsia" w:ascii="宋体" w:hAnsi="宋体" w:cs="宋体"/>
          <w:color w:val="000000"/>
          <w:kern w:val="0"/>
          <w:szCs w:val="21"/>
        </w:rPr>
        <w:t xml:space="preserve">项、第 </w:t>
      </w:r>
      <w:r>
        <w:rPr>
          <w:color w:val="000000"/>
          <w:kern w:val="0"/>
          <w:szCs w:val="21"/>
        </w:rPr>
        <w:t xml:space="preserve">18.3.2 </w:t>
      </w:r>
      <w:r>
        <w:rPr>
          <w:rFonts w:hint="eastAsia" w:ascii="宋体" w:hAnsi="宋体" w:cs="宋体"/>
          <w:color w:val="000000"/>
          <w:kern w:val="0"/>
          <w:szCs w:val="21"/>
        </w:rPr>
        <w:t xml:space="preserve">项和第 </w:t>
      </w:r>
      <w:r>
        <w:rPr>
          <w:color w:val="000000"/>
          <w:kern w:val="0"/>
          <w:szCs w:val="21"/>
        </w:rPr>
        <w:t xml:space="preserve">18.3.3 </w:t>
      </w:r>
      <w:r>
        <w:rPr>
          <w:rFonts w:hint="eastAsia" w:ascii="宋体" w:hAnsi="宋体" w:cs="宋体"/>
          <w:color w:val="000000"/>
          <w:kern w:val="0"/>
          <w:szCs w:val="21"/>
        </w:rPr>
        <w:t xml:space="preserve">项的约定进行。 </w:t>
      </w:r>
    </w:p>
    <w:p w14:paraId="44D341A4">
      <w:pPr>
        <w:widowControl/>
        <w:jc w:val="left"/>
        <w:rPr>
          <w:szCs w:val="21"/>
        </w:rPr>
      </w:pPr>
      <w:r>
        <w:rPr>
          <w:color w:val="000000"/>
          <w:kern w:val="0"/>
          <w:szCs w:val="21"/>
        </w:rPr>
        <w:t xml:space="preserve">18.3.5 </w:t>
      </w:r>
      <w:r>
        <w:rPr>
          <w:rFonts w:hint="eastAsia" w:ascii="宋体" w:hAnsi="宋体" w:cs="宋体"/>
          <w:color w:val="000000"/>
          <w:kern w:val="0"/>
          <w:szCs w:val="21"/>
        </w:rPr>
        <w:t xml:space="preserve">除专用合同条款另有约定外，经验收合格工程的实际竣工日期，以提交竣工验收申请报告的日期为准，并在工程接收证书中写明。 </w:t>
      </w:r>
    </w:p>
    <w:p w14:paraId="104B367A">
      <w:pPr>
        <w:widowControl/>
        <w:jc w:val="left"/>
        <w:rPr>
          <w:szCs w:val="21"/>
        </w:rPr>
      </w:pPr>
      <w:r>
        <w:rPr>
          <w:color w:val="000000"/>
          <w:kern w:val="0"/>
          <w:szCs w:val="21"/>
        </w:rPr>
        <w:t xml:space="preserve">18.3.6 </w:t>
      </w:r>
      <w:r>
        <w:rPr>
          <w:rFonts w:hint="eastAsia" w:ascii="宋体" w:hAnsi="宋体" w:cs="宋体"/>
          <w:color w:val="000000"/>
          <w:kern w:val="0"/>
          <w:szCs w:val="21"/>
        </w:rPr>
        <w:t xml:space="preserve">发包人在收到承包人竣工验收申请报告 </w:t>
      </w:r>
      <w:r>
        <w:rPr>
          <w:color w:val="000000"/>
          <w:kern w:val="0"/>
          <w:szCs w:val="21"/>
        </w:rPr>
        <w:t xml:space="preserve">56 </w:t>
      </w:r>
      <w:r>
        <w:rPr>
          <w:rFonts w:hint="eastAsia" w:ascii="宋体" w:hAnsi="宋体" w:cs="宋体"/>
          <w:color w:val="000000"/>
          <w:kern w:val="0"/>
          <w:szCs w:val="21"/>
        </w:rPr>
        <w:t xml:space="preserve">天后未进行验收的，视为验收合格，实际竣工日期以提交竣工验收申请报告的日期为准，但发包人由于不可抗力不能进行验收的除外。 </w:t>
      </w:r>
    </w:p>
    <w:p w14:paraId="1D9C8D8D">
      <w:pPr>
        <w:widowControl/>
        <w:jc w:val="left"/>
        <w:rPr>
          <w:szCs w:val="21"/>
        </w:rPr>
      </w:pPr>
      <w:r>
        <w:rPr>
          <w:color w:val="000000"/>
          <w:kern w:val="0"/>
          <w:szCs w:val="21"/>
        </w:rPr>
        <w:t xml:space="preserve">18.4 </w:t>
      </w:r>
      <w:r>
        <w:rPr>
          <w:rFonts w:ascii="黑体" w:hAnsi="宋体" w:eastAsia="黑体" w:cs="黑体"/>
          <w:color w:val="000000"/>
          <w:kern w:val="0"/>
          <w:szCs w:val="21"/>
        </w:rPr>
        <w:t xml:space="preserve">单位工程验收 </w:t>
      </w:r>
    </w:p>
    <w:p w14:paraId="444C7D70">
      <w:pPr>
        <w:widowControl/>
        <w:jc w:val="left"/>
        <w:rPr>
          <w:szCs w:val="21"/>
        </w:rPr>
      </w:pPr>
      <w:r>
        <w:rPr>
          <w:color w:val="000000"/>
          <w:kern w:val="0"/>
          <w:szCs w:val="21"/>
        </w:rPr>
        <w:t xml:space="preserve">18.4.1 </w:t>
      </w:r>
      <w:r>
        <w:rPr>
          <w:rFonts w:hint="eastAsia" w:ascii="宋体" w:hAnsi="宋体" w:cs="宋体"/>
          <w:color w:val="000000"/>
          <w:kern w:val="0"/>
          <w:szCs w:val="21"/>
        </w:rPr>
        <w:t xml:space="preserve">发包人根据合同进度计划安排，在全部工程竣工前需要使用已经竣工的单位工程时，或承包人提出经发包人同意时，可进行单位工程验收。验收的程序可参照第 </w:t>
      </w:r>
      <w:r>
        <w:rPr>
          <w:color w:val="000000"/>
          <w:kern w:val="0"/>
          <w:szCs w:val="21"/>
        </w:rPr>
        <w:t xml:space="preserve">18.2 </w:t>
      </w:r>
      <w:r>
        <w:rPr>
          <w:rFonts w:hint="eastAsia" w:ascii="宋体" w:hAnsi="宋体" w:cs="宋体"/>
          <w:color w:val="000000"/>
          <w:kern w:val="0"/>
          <w:szCs w:val="21"/>
        </w:rPr>
        <w:t xml:space="preserve">款与第 </w:t>
      </w:r>
      <w:r>
        <w:rPr>
          <w:color w:val="000000"/>
          <w:kern w:val="0"/>
          <w:szCs w:val="21"/>
        </w:rPr>
        <w:t xml:space="preserve">18.3 </w:t>
      </w:r>
      <w:r>
        <w:rPr>
          <w:rFonts w:hint="eastAsia" w:ascii="宋体" w:hAnsi="宋体" w:cs="宋体"/>
          <w:color w:val="000000"/>
          <w:kern w:val="0"/>
          <w:szCs w:val="21"/>
        </w:rPr>
        <w:t xml:space="preserve">款的约定进行。验收合格后，由监理人向承包人出具经发包人签认的单位工程验收证书。已签发单位工程接收证书的单位工程由发包人负责照管。单位工程的验收成果和结论作为全部工程竣工验收申请报告的附件。 </w:t>
      </w:r>
    </w:p>
    <w:p w14:paraId="13B96A70">
      <w:pPr>
        <w:widowControl/>
        <w:jc w:val="left"/>
        <w:rPr>
          <w:szCs w:val="21"/>
        </w:rPr>
      </w:pPr>
      <w:r>
        <w:rPr>
          <w:color w:val="000000"/>
          <w:kern w:val="0"/>
          <w:szCs w:val="21"/>
        </w:rPr>
        <w:t xml:space="preserve">18.4.2 </w:t>
      </w:r>
      <w:r>
        <w:rPr>
          <w:rFonts w:hint="eastAsia" w:ascii="宋体" w:hAnsi="宋体" w:cs="宋体"/>
          <w:color w:val="000000"/>
          <w:kern w:val="0"/>
          <w:szCs w:val="21"/>
        </w:rPr>
        <w:t xml:space="preserve">发包人在全部工程竣工前，使用已接收的单位工程导致承包人费用增加 </w:t>
      </w:r>
    </w:p>
    <w:p w14:paraId="1796C64F">
      <w:pPr>
        <w:widowControl/>
        <w:jc w:val="left"/>
        <w:rPr>
          <w:szCs w:val="21"/>
        </w:rPr>
      </w:pPr>
      <w:r>
        <w:rPr>
          <w:rFonts w:hint="eastAsia" w:ascii="宋体" w:hAnsi="宋体" w:cs="宋体"/>
          <w:color w:val="000000"/>
          <w:kern w:val="0"/>
          <w:szCs w:val="21"/>
        </w:rPr>
        <w:t xml:space="preserve">的，发包人应承担由此增加的费用和（或）工期延误，并支付承包人合理利润。 </w:t>
      </w:r>
    </w:p>
    <w:p w14:paraId="603B3D5A">
      <w:pPr>
        <w:widowControl/>
        <w:jc w:val="left"/>
        <w:rPr>
          <w:szCs w:val="21"/>
        </w:rPr>
      </w:pPr>
      <w:r>
        <w:rPr>
          <w:color w:val="000000"/>
          <w:kern w:val="0"/>
          <w:szCs w:val="21"/>
        </w:rPr>
        <w:t xml:space="preserve">18.5 </w:t>
      </w:r>
      <w:r>
        <w:rPr>
          <w:rFonts w:hint="eastAsia" w:ascii="黑体" w:hAnsi="宋体" w:eastAsia="黑体" w:cs="黑体"/>
          <w:color w:val="000000"/>
          <w:kern w:val="0"/>
          <w:szCs w:val="21"/>
        </w:rPr>
        <w:t xml:space="preserve">施工期运行 </w:t>
      </w:r>
    </w:p>
    <w:p w14:paraId="60AAC451">
      <w:pPr>
        <w:widowControl/>
        <w:jc w:val="left"/>
        <w:rPr>
          <w:szCs w:val="21"/>
        </w:rPr>
      </w:pPr>
      <w:r>
        <w:rPr>
          <w:color w:val="000000"/>
          <w:kern w:val="0"/>
          <w:szCs w:val="21"/>
        </w:rPr>
        <w:t xml:space="preserve">18.5.1 </w:t>
      </w:r>
      <w:r>
        <w:rPr>
          <w:rFonts w:hint="eastAsia" w:ascii="宋体" w:hAnsi="宋体" w:cs="宋体"/>
          <w:color w:val="000000"/>
          <w:kern w:val="0"/>
          <w:szCs w:val="21"/>
        </w:rPr>
        <w:t xml:space="preserve">施工期运行是指合同工程尚未全部竣工，其中某项或某几项单位工程或工程设备安装已竣工，根据专用合同条款约定，需要投入施工期运行的，经发包人按第 </w:t>
      </w:r>
      <w:r>
        <w:rPr>
          <w:color w:val="000000"/>
          <w:kern w:val="0"/>
          <w:szCs w:val="21"/>
        </w:rPr>
        <w:t xml:space="preserve">18.4 </w:t>
      </w:r>
      <w:r>
        <w:rPr>
          <w:rFonts w:hint="eastAsia" w:ascii="宋体" w:hAnsi="宋体" w:cs="宋体"/>
          <w:color w:val="000000"/>
          <w:kern w:val="0"/>
          <w:szCs w:val="21"/>
        </w:rPr>
        <w:t xml:space="preserve">款的约定验收合格，证明能确保安全后，才能在施工期投入运行。 </w:t>
      </w:r>
    </w:p>
    <w:p w14:paraId="6BBA55F0">
      <w:pPr>
        <w:widowControl/>
        <w:jc w:val="left"/>
        <w:rPr>
          <w:szCs w:val="21"/>
        </w:rPr>
      </w:pPr>
      <w:r>
        <w:rPr>
          <w:color w:val="000000"/>
          <w:kern w:val="0"/>
          <w:szCs w:val="21"/>
        </w:rPr>
        <w:t xml:space="preserve">18.5.2 </w:t>
      </w:r>
      <w:r>
        <w:rPr>
          <w:rFonts w:hint="eastAsia" w:ascii="宋体" w:hAnsi="宋体" w:cs="宋体"/>
          <w:color w:val="000000"/>
          <w:kern w:val="0"/>
          <w:szCs w:val="21"/>
        </w:rPr>
        <w:t xml:space="preserve">在施工期运行中发现工程或工程设备损坏或存在缺陷的，由承包人按第 </w:t>
      </w:r>
    </w:p>
    <w:p w14:paraId="4BC90CFD">
      <w:pPr>
        <w:widowControl/>
        <w:jc w:val="left"/>
        <w:rPr>
          <w:szCs w:val="21"/>
        </w:rPr>
      </w:pPr>
      <w:r>
        <w:rPr>
          <w:color w:val="000000"/>
          <w:kern w:val="0"/>
          <w:szCs w:val="21"/>
        </w:rPr>
        <w:t xml:space="preserve">19.2 </w:t>
      </w:r>
      <w:r>
        <w:rPr>
          <w:rFonts w:hint="eastAsia" w:ascii="宋体" w:hAnsi="宋体" w:cs="宋体"/>
          <w:color w:val="000000"/>
          <w:kern w:val="0"/>
          <w:szCs w:val="21"/>
        </w:rPr>
        <w:t xml:space="preserve">款约定进行修复。 </w:t>
      </w:r>
    </w:p>
    <w:p w14:paraId="59ADB853">
      <w:pPr>
        <w:widowControl/>
        <w:jc w:val="left"/>
        <w:rPr>
          <w:szCs w:val="21"/>
        </w:rPr>
      </w:pPr>
      <w:r>
        <w:rPr>
          <w:color w:val="000000"/>
          <w:kern w:val="0"/>
          <w:szCs w:val="21"/>
        </w:rPr>
        <w:t xml:space="preserve">18.6 </w:t>
      </w:r>
      <w:r>
        <w:rPr>
          <w:rFonts w:hint="eastAsia" w:ascii="黑体" w:hAnsi="宋体" w:eastAsia="黑体" w:cs="黑体"/>
          <w:color w:val="000000"/>
          <w:kern w:val="0"/>
          <w:szCs w:val="21"/>
        </w:rPr>
        <w:t xml:space="preserve">试运行 </w:t>
      </w:r>
    </w:p>
    <w:p w14:paraId="508E4A29">
      <w:pPr>
        <w:widowControl/>
        <w:jc w:val="left"/>
        <w:rPr>
          <w:szCs w:val="21"/>
        </w:rPr>
      </w:pPr>
      <w:r>
        <w:rPr>
          <w:color w:val="000000"/>
          <w:kern w:val="0"/>
          <w:szCs w:val="21"/>
        </w:rPr>
        <w:t xml:space="preserve">18.6.1 </w:t>
      </w:r>
      <w:r>
        <w:rPr>
          <w:rFonts w:hint="eastAsia" w:ascii="宋体" w:hAnsi="宋体" w:cs="宋体"/>
          <w:color w:val="000000"/>
          <w:kern w:val="0"/>
          <w:szCs w:val="21"/>
        </w:rPr>
        <w:t xml:space="preserve">除专用合同条款另有约定外，承包人应按专用合同条款约定进行工程及工程设备试运行，负责提供试运行所需的人员、器材和必要的条件，并承担全部试运行费用。 </w:t>
      </w:r>
    </w:p>
    <w:p w14:paraId="4B9909AF">
      <w:pPr>
        <w:widowControl/>
        <w:jc w:val="left"/>
        <w:rPr>
          <w:szCs w:val="21"/>
        </w:rPr>
      </w:pPr>
      <w:r>
        <w:rPr>
          <w:color w:val="000000"/>
          <w:kern w:val="0"/>
          <w:szCs w:val="21"/>
        </w:rPr>
        <w:t xml:space="preserve">18.6.2 </w:t>
      </w:r>
      <w:r>
        <w:rPr>
          <w:rFonts w:hint="eastAsia" w:ascii="宋体" w:hAnsi="宋体" w:cs="宋体"/>
          <w:color w:val="000000"/>
          <w:kern w:val="0"/>
          <w:szCs w:val="21"/>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 </w:t>
      </w:r>
    </w:p>
    <w:p w14:paraId="4F1387B2">
      <w:pPr>
        <w:widowControl/>
        <w:jc w:val="left"/>
        <w:rPr>
          <w:szCs w:val="21"/>
        </w:rPr>
      </w:pPr>
      <w:r>
        <w:rPr>
          <w:color w:val="000000"/>
          <w:kern w:val="0"/>
          <w:szCs w:val="21"/>
        </w:rPr>
        <w:t xml:space="preserve">18.7 </w:t>
      </w:r>
      <w:r>
        <w:rPr>
          <w:rFonts w:hint="eastAsia" w:ascii="黑体" w:hAnsi="宋体" w:eastAsia="黑体" w:cs="黑体"/>
          <w:color w:val="000000"/>
          <w:kern w:val="0"/>
          <w:szCs w:val="21"/>
        </w:rPr>
        <w:t xml:space="preserve">竣工清场 </w:t>
      </w:r>
    </w:p>
    <w:p w14:paraId="45EB1B3A">
      <w:pPr>
        <w:widowControl/>
        <w:jc w:val="left"/>
        <w:rPr>
          <w:szCs w:val="21"/>
        </w:rPr>
      </w:pPr>
      <w:r>
        <w:rPr>
          <w:color w:val="000000"/>
          <w:kern w:val="0"/>
          <w:szCs w:val="21"/>
        </w:rPr>
        <w:t xml:space="preserve">18.7.1 </w:t>
      </w:r>
      <w:r>
        <w:rPr>
          <w:rFonts w:hint="eastAsia" w:ascii="宋体" w:hAnsi="宋体" w:cs="宋体"/>
          <w:color w:val="000000"/>
          <w:kern w:val="0"/>
          <w:szCs w:val="21"/>
        </w:rPr>
        <w:t xml:space="preserve">除合同另有约定外，工程接收证书颁发后，承包人应按以下要求对施工场地进行清理，直至监理人检验合格为止。竣工清场费用由承包人承担。 </w:t>
      </w:r>
    </w:p>
    <w:p w14:paraId="0F514548">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）施工场地内残留的垃圾已全部清除出场；</w:t>
      </w:r>
    </w:p>
    <w:p w14:paraId="06228A71">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）临时工程已拆除，场地已按合同要求进行清理、平整或复原； </w:t>
      </w:r>
    </w:p>
    <w:p w14:paraId="79AC3792">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）按合同约定应撤离的承包人设备和剩余的材料，包括废弃的施工设备和 </w:t>
      </w:r>
    </w:p>
    <w:p w14:paraId="591A25E2">
      <w:pPr>
        <w:widowControl/>
        <w:jc w:val="left"/>
        <w:rPr>
          <w:szCs w:val="21"/>
        </w:rPr>
      </w:pPr>
      <w:r>
        <w:rPr>
          <w:rFonts w:hint="eastAsia" w:ascii="宋体" w:hAnsi="宋体" w:cs="宋体"/>
          <w:color w:val="000000"/>
          <w:kern w:val="0"/>
          <w:szCs w:val="21"/>
        </w:rPr>
        <w:t xml:space="preserve">材料，已按计划撤离施工场地； </w:t>
      </w:r>
    </w:p>
    <w:p w14:paraId="4BE0DAD1">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）工程建筑物周边及其附近道路、河道的施工堆积物，已按监理人指示全 </w:t>
      </w:r>
    </w:p>
    <w:p w14:paraId="2A398AD2">
      <w:pPr>
        <w:widowControl/>
        <w:jc w:val="left"/>
        <w:rPr>
          <w:szCs w:val="21"/>
        </w:rPr>
      </w:pPr>
      <w:r>
        <w:rPr>
          <w:rFonts w:hint="eastAsia" w:ascii="宋体" w:hAnsi="宋体" w:cs="宋体"/>
          <w:color w:val="000000"/>
          <w:kern w:val="0"/>
          <w:szCs w:val="21"/>
        </w:rPr>
        <w:t xml:space="preserve">部清理； </w:t>
      </w:r>
    </w:p>
    <w:p w14:paraId="5B331D23">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）监理人指示的其他场地清理工作已全部完成。 </w:t>
      </w:r>
    </w:p>
    <w:p w14:paraId="0A8A7281">
      <w:pPr>
        <w:widowControl/>
        <w:jc w:val="left"/>
        <w:rPr>
          <w:szCs w:val="21"/>
        </w:rPr>
      </w:pPr>
      <w:r>
        <w:rPr>
          <w:color w:val="000000"/>
          <w:kern w:val="0"/>
          <w:szCs w:val="21"/>
        </w:rPr>
        <w:t xml:space="preserve">18.7.2 </w:t>
      </w:r>
      <w:r>
        <w:rPr>
          <w:rFonts w:hint="eastAsia" w:ascii="宋体" w:hAnsi="宋体" w:cs="宋体"/>
          <w:color w:val="000000"/>
          <w:kern w:val="0"/>
          <w:szCs w:val="21"/>
        </w:rPr>
        <w:t xml:space="preserve">承包人未按监理人的要求恢复临时占地，或者场地清理未达到合同约定的，发包人有权委托其他人恢复或清理，所发生的金额从拟支付给承包人的款项中扣除。 </w:t>
      </w:r>
    </w:p>
    <w:p w14:paraId="70998C42">
      <w:pPr>
        <w:widowControl/>
        <w:jc w:val="left"/>
        <w:rPr>
          <w:szCs w:val="21"/>
        </w:rPr>
      </w:pPr>
      <w:r>
        <w:rPr>
          <w:color w:val="000000"/>
          <w:kern w:val="0"/>
          <w:szCs w:val="21"/>
        </w:rPr>
        <w:t xml:space="preserve">18.8 </w:t>
      </w:r>
      <w:r>
        <w:rPr>
          <w:rFonts w:ascii="黑体" w:hAnsi="宋体" w:eastAsia="黑体" w:cs="黑体"/>
          <w:color w:val="000000"/>
          <w:kern w:val="0"/>
          <w:szCs w:val="21"/>
        </w:rPr>
        <w:t xml:space="preserve">施工队伍的撤离 </w:t>
      </w:r>
    </w:p>
    <w:p w14:paraId="2DA49BF2">
      <w:pPr>
        <w:widowControl/>
        <w:jc w:val="left"/>
        <w:rPr>
          <w:szCs w:val="21"/>
        </w:rPr>
      </w:pPr>
      <w:r>
        <w:rPr>
          <w:rFonts w:hint="eastAsia" w:ascii="宋体" w:hAnsi="宋体" w:cs="宋体"/>
          <w:color w:val="000000"/>
          <w:kern w:val="0"/>
          <w:szCs w:val="21"/>
        </w:rPr>
        <w:t xml:space="preserve">工程接收证书颁发后的 </w:t>
      </w:r>
      <w:r>
        <w:rPr>
          <w:color w:val="000000"/>
          <w:kern w:val="0"/>
          <w:szCs w:val="21"/>
        </w:rPr>
        <w:t xml:space="preserve">56 </w:t>
      </w:r>
      <w:r>
        <w:rPr>
          <w:rFonts w:hint="eastAsia" w:ascii="宋体" w:hAnsi="宋体" w:cs="宋体"/>
          <w:color w:val="000000"/>
          <w:kern w:val="0"/>
          <w:szCs w:val="21"/>
        </w:rPr>
        <w:t xml:space="preserve">天内，除了经监理人同意需在缺陷责任期内继续工作 和使用的人员、施工设备和临时工程外，其余的人员、施工设备和临时工程均应撤离施工场地或拆除。除合同另有约定外，缺陷责任期满时，承包人的人员和施工设备应全部撤离施工场地。 </w:t>
      </w:r>
    </w:p>
    <w:p w14:paraId="2CFB2541">
      <w:pPr>
        <w:widowControl/>
        <w:jc w:val="left"/>
        <w:rPr>
          <w:szCs w:val="21"/>
        </w:rPr>
      </w:pPr>
      <w:r>
        <w:rPr>
          <w:color w:val="000000"/>
          <w:kern w:val="0"/>
          <w:szCs w:val="21"/>
        </w:rPr>
        <w:t xml:space="preserve">19. </w:t>
      </w:r>
      <w:r>
        <w:rPr>
          <w:rFonts w:hint="eastAsia" w:ascii="黑体" w:hAnsi="宋体" w:eastAsia="黑体" w:cs="黑体"/>
          <w:color w:val="000000"/>
          <w:kern w:val="0"/>
          <w:szCs w:val="21"/>
        </w:rPr>
        <w:t xml:space="preserve">缺陷责任与保修责任 </w:t>
      </w:r>
    </w:p>
    <w:p w14:paraId="2B87CCB9">
      <w:pPr>
        <w:widowControl/>
        <w:jc w:val="left"/>
        <w:rPr>
          <w:szCs w:val="21"/>
        </w:rPr>
      </w:pPr>
      <w:r>
        <w:rPr>
          <w:color w:val="000000"/>
          <w:kern w:val="0"/>
          <w:szCs w:val="21"/>
        </w:rPr>
        <w:t xml:space="preserve">19.1 </w:t>
      </w:r>
      <w:r>
        <w:rPr>
          <w:rFonts w:hint="eastAsia" w:ascii="黑体" w:hAnsi="宋体" w:eastAsia="黑体" w:cs="黑体"/>
          <w:color w:val="000000"/>
          <w:kern w:val="0"/>
          <w:szCs w:val="21"/>
        </w:rPr>
        <w:t xml:space="preserve">缺陷责任期的起算时间 </w:t>
      </w:r>
    </w:p>
    <w:p w14:paraId="7BE4AD8F">
      <w:pPr>
        <w:widowControl/>
        <w:jc w:val="left"/>
        <w:rPr>
          <w:szCs w:val="21"/>
        </w:rPr>
      </w:pPr>
      <w:r>
        <w:rPr>
          <w:rFonts w:hint="eastAsia" w:ascii="宋体" w:hAnsi="宋体" w:cs="宋体"/>
          <w:color w:val="000000"/>
          <w:kern w:val="0"/>
          <w:szCs w:val="21"/>
        </w:rPr>
        <w:t xml:space="preserve">缺陷责任期自实际竣工日期起计算。在全部工程竣工验收前，已经发包人提前 </w:t>
      </w:r>
    </w:p>
    <w:p w14:paraId="14DA3C2D">
      <w:pPr>
        <w:widowControl/>
        <w:jc w:val="left"/>
        <w:rPr>
          <w:szCs w:val="21"/>
        </w:rPr>
      </w:pPr>
      <w:r>
        <w:rPr>
          <w:rFonts w:hint="eastAsia" w:ascii="宋体" w:hAnsi="宋体" w:cs="宋体"/>
          <w:color w:val="000000"/>
          <w:kern w:val="0"/>
          <w:szCs w:val="21"/>
        </w:rPr>
        <w:t xml:space="preserve">验收的单位工程，其缺陷责任期的起算日期相应提前。 </w:t>
      </w:r>
    </w:p>
    <w:p w14:paraId="74131D26">
      <w:pPr>
        <w:widowControl/>
        <w:jc w:val="left"/>
        <w:rPr>
          <w:szCs w:val="21"/>
        </w:rPr>
      </w:pPr>
      <w:r>
        <w:rPr>
          <w:color w:val="000000"/>
          <w:kern w:val="0"/>
          <w:szCs w:val="21"/>
        </w:rPr>
        <w:t xml:space="preserve">19.2 </w:t>
      </w:r>
      <w:r>
        <w:rPr>
          <w:rFonts w:hint="eastAsia" w:ascii="黑体" w:hAnsi="宋体" w:eastAsia="黑体" w:cs="黑体"/>
          <w:color w:val="000000"/>
          <w:kern w:val="0"/>
          <w:szCs w:val="21"/>
        </w:rPr>
        <w:t xml:space="preserve">缺陷责任 </w:t>
      </w:r>
    </w:p>
    <w:p w14:paraId="51A12E42">
      <w:pPr>
        <w:widowControl/>
        <w:jc w:val="left"/>
        <w:rPr>
          <w:szCs w:val="21"/>
        </w:rPr>
      </w:pPr>
      <w:r>
        <w:rPr>
          <w:color w:val="000000"/>
          <w:kern w:val="0"/>
          <w:szCs w:val="21"/>
        </w:rPr>
        <w:t xml:space="preserve">19.2.1 </w:t>
      </w:r>
      <w:r>
        <w:rPr>
          <w:rFonts w:hint="eastAsia" w:ascii="宋体" w:hAnsi="宋体" w:cs="宋体"/>
          <w:color w:val="000000"/>
          <w:kern w:val="0"/>
          <w:szCs w:val="21"/>
        </w:rPr>
        <w:t xml:space="preserve">承包人应在缺陷责任期内对已交付使用的工程承担缺陷责任。 </w:t>
      </w:r>
    </w:p>
    <w:p w14:paraId="4DF35236">
      <w:pPr>
        <w:widowControl/>
        <w:jc w:val="left"/>
        <w:rPr>
          <w:szCs w:val="21"/>
        </w:rPr>
      </w:pPr>
      <w:r>
        <w:rPr>
          <w:color w:val="000000"/>
          <w:kern w:val="0"/>
          <w:szCs w:val="21"/>
        </w:rPr>
        <w:t xml:space="preserve">19.2.2 </w:t>
      </w:r>
      <w:r>
        <w:rPr>
          <w:rFonts w:hint="eastAsia" w:ascii="宋体" w:hAnsi="宋体" w:cs="宋体"/>
          <w:color w:val="000000"/>
          <w:kern w:val="0"/>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 </w:t>
      </w:r>
    </w:p>
    <w:p w14:paraId="564363F7">
      <w:pPr>
        <w:widowControl/>
        <w:jc w:val="left"/>
        <w:rPr>
          <w:szCs w:val="21"/>
        </w:rPr>
      </w:pPr>
      <w:r>
        <w:rPr>
          <w:color w:val="000000"/>
          <w:kern w:val="0"/>
          <w:szCs w:val="21"/>
        </w:rPr>
        <w:t xml:space="preserve">19.2.3 </w:t>
      </w:r>
      <w:r>
        <w:rPr>
          <w:rFonts w:hint="eastAsia" w:ascii="宋体" w:hAnsi="宋体" w:cs="宋体"/>
          <w:color w:val="000000"/>
          <w:kern w:val="0"/>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 </w:t>
      </w:r>
    </w:p>
    <w:p w14:paraId="554A7C09">
      <w:pPr>
        <w:widowControl/>
        <w:jc w:val="left"/>
        <w:rPr>
          <w:szCs w:val="21"/>
        </w:rPr>
      </w:pPr>
      <w:r>
        <w:rPr>
          <w:color w:val="000000"/>
          <w:kern w:val="0"/>
          <w:szCs w:val="21"/>
        </w:rPr>
        <w:t xml:space="preserve">19.2.4 </w:t>
      </w:r>
      <w:r>
        <w:rPr>
          <w:rFonts w:hint="eastAsia" w:ascii="宋体" w:hAnsi="宋体" w:cs="宋体"/>
          <w:color w:val="000000"/>
          <w:kern w:val="0"/>
          <w:szCs w:val="21"/>
        </w:rPr>
        <w:t xml:space="preserve">承包人不能在合理时间内修复缺陷的，发包人可自行修复或委托其他人修复，所需费用和利润的承担，按第 </w:t>
      </w:r>
      <w:r>
        <w:rPr>
          <w:color w:val="000000"/>
          <w:kern w:val="0"/>
          <w:szCs w:val="21"/>
        </w:rPr>
        <w:t xml:space="preserve">19.2.3 </w:t>
      </w:r>
      <w:r>
        <w:rPr>
          <w:rFonts w:hint="eastAsia" w:ascii="宋体" w:hAnsi="宋体" w:cs="宋体"/>
          <w:color w:val="000000"/>
          <w:kern w:val="0"/>
          <w:szCs w:val="21"/>
        </w:rPr>
        <w:t>项约定办理。</w:t>
      </w:r>
    </w:p>
    <w:p w14:paraId="4EF05054">
      <w:pPr>
        <w:widowControl/>
        <w:jc w:val="left"/>
        <w:rPr>
          <w:szCs w:val="21"/>
        </w:rPr>
      </w:pPr>
      <w:r>
        <w:rPr>
          <w:color w:val="000000"/>
          <w:kern w:val="0"/>
          <w:szCs w:val="21"/>
        </w:rPr>
        <w:t xml:space="preserve">19.3 </w:t>
      </w:r>
      <w:r>
        <w:rPr>
          <w:rFonts w:ascii="黑体" w:hAnsi="宋体" w:eastAsia="黑体" w:cs="黑体"/>
          <w:color w:val="000000"/>
          <w:kern w:val="0"/>
          <w:szCs w:val="21"/>
        </w:rPr>
        <w:t xml:space="preserve">缺陷责任期的延长 </w:t>
      </w:r>
    </w:p>
    <w:p w14:paraId="49E0C91A">
      <w:pPr>
        <w:widowControl/>
        <w:jc w:val="left"/>
        <w:rPr>
          <w:szCs w:val="21"/>
        </w:rPr>
      </w:pPr>
      <w:r>
        <w:rPr>
          <w:rFonts w:hint="eastAsia" w:ascii="宋体" w:hAnsi="宋体" w:cs="宋体"/>
          <w:color w:val="000000"/>
          <w:kern w:val="0"/>
          <w:szCs w:val="21"/>
        </w:rPr>
        <w:t xml:space="preserve">由于承包人原因造成某项缺陷或损坏使某项工程或工程设备不能按原定目标使用而需要再次检查、检验和修复的，发包人有权要求承包人相应延长缺陷责任期，但缺陷责任期最长不超过 </w:t>
      </w:r>
      <w:r>
        <w:rPr>
          <w:color w:val="000000"/>
          <w:kern w:val="0"/>
          <w:szCs w:val="21"/>
        </w:rPr>
        <w:t xml:space="preserve">2 </w:t>
      </w:r>
      <w:r>
        <w:rPr>
          <w:rFonts w:hint="eastAsia" w:ascii="宋体" w:hAnsi="宋体" w:cs="宋体"/>
          <w:color w:val="000000"/>
          <w:kern w:val="0"/>
          <w:szCs w:val="21"/>
        </w:rPr>
        <w:t xml:space="preserve">年。 </w:t>
      </w:r>
    </w:p>
    <w:p w14:paraId="4F534C64">
      <w:pPr>
        <w:widowControl/>
        <w:jc w:val="left"/>
        <w:rPr>
          <w:szCs w:val="21"/>
        </w:rPr>
      </w:pPr>
      <w:r>
        <w:rPr>
          <w:color w:val="000000"/>
          <w:kern w:val="0"/>
          <w:szCs w:val="21"/>
        </w:rPr>
        <w:t xml:space="preserve">19.4 </w:t>
      </w:r>
      <w:r>
        <w:rPr>
          <w:rFonts w:hint="eastAsia" w:ascii="黑体" w:hAnsi="宋体" w:eastAsia="黑体" w:cs="黑体"/>
          <w:color w:val="000000"/>
          <w:kern w:val="0"/>
          <w:szCs w:val="21"/>
        </w:rPr>
        <w:t xml:space="preserve">进一步试验和试运行 </w:t>
      </w:r>
    </w:p>
    <w:p w14:paraId="46E1ADF4">
      <w:pPr>
        <w:widowControl/>
        <w:jc w:val="left"/>
        <w:rPr>
          <w:szCs w:val="21"/>
        </w:rPr>
      </w:pPr>
      <w:r>
        <w:rPr>
          <w:rFonts w:hint="eastAsia" w:ascii="宋体" w:hAnsi="宋体" w:cs="宋体"/>
          <w:color w:val="000000"/>
          <w:kern w:val="0"/>
          <w:szCs w:val="21"/>
        </w:rPr>
        <w:t xml:space="preserve">任何一项缺陷或损坏修复后，经检查证明其影响了工程或工程设备的使用性能，承包人应重新进行合同约定的试验和试运行，试验和试运行的全部费用应由责任方承担。 </w:t>
      </w:r>
    </w:p>
    <w:p w14:paraId="5E5E8B20">
      <w:pPr>
        <w:widowControl/>
        <w:jc w:val="left"/>
        <w:rPr>
          <w:szCs w:val="21"/>
        </w:rPr>
      </w:pPr>
      <w:r>
        <w:rPr>
          <w:color w:val="000000"/>
          <w:kern w:val="0"/>
          <w:szCs w:val="21"/>
        </w:rPr>
        <w:t xml:space="preserve">19.5 </w:t>
      </w:r>
      <w:r>
        <w:rPr>
          <w:rFonts w:hint="eastAsia" w:ascii="黑体" w:hAnsi="宋体" w:eastAsia="黑体" w:cs="黑体"/>
          <w:color w:val="000000"/>
          <w:kern w:val="0"/>
          <w:szCs w:val="21"/>
        </w:rPr>
        <w:t xml:space="preserve">承包人的进入权 </w:t>
      </w:r>
    </w:p>
    <w:p w14:paraId="4972E5BA">
      <w:pPr>
        <w:widowControl/>
        <w:jc w:val="left"/>
        <w:rPr>
          <w:szCs w:val="21"/>
        </w:rPr>
      </w:pPr>
      <w:r>
        <w:rPr>
          <w:rFonts w:hint="eastAsia" w:ascii="宋体" w:hAnsi="宋体" w:cs="宋体"/>
          <w:color w:val="000000"/>
          <w:kern w:val="0"/>
          <w:szCs w:val="21"/>
        </w:rPr>
        <w:t xml:space="preserve">缺陷责任期内承包人为缺陷修复工作需要，有权进入工程现场，但应遵守发包人的保安和保密规定。 </w:t>
      </w:r>
    </w:p>
    <w:p w14:paraId="1A3DD6CA">
      <w:pPr>
        <w:widowControl/>
        <w:jc w:val="left"/>
        <w:rPr>
          <w:szCs w:val="21"/>
        </w:rPr>
      </w:pPr>
      <w:r>
        <w:rPr>
          <w:color w:val="000000"/>
          <w:kern w:val="0"/>
          <w:szCs w:val="21"/>
        </w:rPr>
        <w:t xml:space="preserve">19.6 </w:t>
      </w:r>
      <w:r>
        <w:rPr>
          <w:rFonts w:hint="eastAsia" w:ascii="黑体" w:hAnsi="宋体" w:eastAsia="黑体" w:cs="黑体"/>
          <w:color w:val="000000"/>
          <w:kern w:val="0"/>
          <w:szCs w:val="21"/>
        </w:rPr>
        <w:t xml:space="preserve">缺陷责任期终止证书 </w:t>
      </w:r>
    </w:p>
    <w:p w14:paraId="3C62F5C9">
      <w:pPr>
        <w:widowControl/>
        <w:jc w:val="left"/>
        <w:rPr>
          <w:szCs w:val="21"/>
        </w:rPr>
      </w:pPr>
      <w:r>
        <w:rPr>
          <w:rFonts w:hint="eastAsia" w:ascii="宋体" w:hAnsi="宋体" w:cs="宋体"/>
          <w:color w:val="000000"/>
          <w:kern w:val="0"/>
          <w:szCs w:val="21"/>
        </w:rPr>
        <w:t xml:space="preserve">在第 </w:t>
      </w:r>
      <w:r>
        <w:rPr>
          <w:color w:val="000000"/>
          <w:kern w:val="0"/>
          <w:szCs w:val="21"/>
        </w:rPr>
        <w:t xml:space="preserve">1.1.4.5 </w:t>
      </w:r>
      <w:r>
        <w:rPr>
          <w:rFonts w:hint="eastAsia" w:ascii="宋体" w:hAnsi="宋体" w:cs="宋体"/>
          <w:color w:val="000000"/>
          <w:kern w:val="0"/>
          <w:szCs w:val="21"/>
        </w:rPr>
        <w:t xml:space="preserve">目约定的缺陷责任期，包括根据第 </w:t>
      </w:r>
      <w:r>
        <w:rPr>
          <w:color w:val="000000"/>
          <w:kern w:val="0"/>
          <w:szCs w:val="21"/>
        </w:rPr>
        <w:t xml:space="preserve">19.3 </w:t>
      </w:r>
      <w:r>
        <w:rPr>
          <w:rFonts w:hint="eastAsia" w:ascii="宋体" w:hAnsi="宋体" w:cs="宋体"/>
          <w:color w:val="000000"/>
          <w:kern w:val="0"/>
          <w:szCs w:val="21"/>
        </w:rPr>
        <w:t xml:space="preserve">款延长的期限终止后 </w:t>
      </w:r>
      <w:r>
        <w:rPr>
          <w:color w:val="000000"/>
          <w:kern w:val="0"/>
          <w:szCs w:val="21"/>
        </w:rPr>
        <w:t xml:space="preserve">14 </w:t>
      </w:r>
      <w:r>
        <w:rPr>
          <w:rFonts w:hint="eastAsia" w:ascii="宋体" w:hAnsi="宋体" w:cs="宋体"/>
          <w:color w:val="000000"/>
          <w:kern w:val="0"/>
          <w:szCs w:val="21"/>
        </w:rPr>
        <w:t xml:space="preserve">天内，由监理人向承包人出具经发包人签认的缺陷责任期终止证书，并退还剩余的质量保证金。 </w:t>
      </w:r>
    </w:p>
    <w:p w14:paraId="355D57A9">
      <w:pPr>
        <w:widowControl/>
        <w:jc w:val="left"/>
        <w:rPr>
          <w:szCs w:val="21"/>
        </w:rPr>
      </w:pPr>
      <w:r>
        <w:rPr>
          <w:color w:val="000000"/>
          <w:kern w:val="0"/>
          <w:szCs w:val="21"/>
        </w:rPr>
        <w:t xml:space="preserve">19.7 </w:t>
      </w:r>
      <w:r>
        <w:rPr>
          <w:rFonts w:hint="eastAsia" w:ascii="黑体" w:hAnsi="宋体" w:eastAsia="黑体" w:cs="黑体"/>
          <w:color w:val="000000"/>
          <w:kern w:val="0"/>
          <w:szCs w:val="21"/>
        </w:rPr>
        <w:t xml:space="preserve">保修责任 </w:t>
      </w:r>
    </w:p>
    <w:p w14:paraId="0357DBB6">
      <w:pPr>
        <w:widowControl/>
        <w:jc w:val="left"/>
        <w:rPr>
          <w:szCs w:val="21"/>
        </w:rPr>
      </w:pPr>
      <w:r>
        <w:rPr>
          <w:rFonts w:hint="eastAsia" w:ascii="宋体" w:hAnsi="宋体" w:cs="宋体"/>
          <w:color w:val="000000"/>
          <w:kern w:val="0"/>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 </w:t>
      </w:r>
    </w:p>
    <w:p w14:paraId="109B3863">
      <w:pPr>
        <w:widowControl/>
        <w:jc w:val="left"/>
        <w:rPr>
          <w:szCs w:val="21"/>
        </w:rPr>
      </w:pPr>
      <w:r>
        <w:rPr>
          <w:color w:val="000000"/>
          <w:kern w:val="0"/>
          <w:szCs w:val="21"/>
        </w:rPr>
        <w:t xml:space="preserve">20. </w:t>
      </w:r>
      <w:r>
        <w:rPr>
          <w:rFonts w:hint="eastAsia" w:ascii="黑体" w:hAnsi="宋体" w:eastAsia="黑体" w:cs="黑体"/>
          <w:color w:val="000000"/>
          <w:kern w:val="0"/>
          <w:szCs w:val="21"/>
        </w:rPr>
        <w:t xml:space="preserve">保险 </w:t>
      </w:r>
    </w:p>
    <w:p w14:paraId="49B07F88">
      <w:pPr>
        <w:widowControl/>
        <w:jc w:val="left"/>
        <w:rPr>
          <w:szCs w:val="21"/>
        </w:rPr>
      </w:pPr>
      <w:r>
        <w:rPr>
          <w:color w:val="000000"/>
          <w:kern w:val="0"/>
          <w:szCs w:val="21"/>
        </w:rPr>
        <w:t xml:space="preserve">20.1 </w:t>
      </w:r>
      <w:r>
        <w:rPr>
          <w:rFonts w:hint="eastAsia" w:ascii="黑体" w:hAnsi="宋体" w:eastAsia="黑体" w:cs="黑体"/>
          <w:color w:val="000000"/>
          <w:kern w:val="0"/>
          <w:szCs w:val="21"/>
        </w:rPr>
        <w:t xml:space="preserve">工程保险 </w:t>
      </w:r>
    </w:p>
    <w:p w14:paraId="54D6D93F">
      <w:pPr>
        <w:widowControl/>
        <w:jc w:val="left"/>
        <w:rPr>
          <w:szCs w:val="21"/>
        </w:rPr>
      </w:pPr>
      <w:r>
        <w:rPr>
          <w:rFonts w:hint="eastAsia" w:ascii="宋体" w:hAnsi="宋体" w:cs="宋体"/>
          <w:color w:val="000000"/>
          <w:kern w:val="0"/>
          <w:szCs w:val="21"/>
        </w:rPr>
        <w:t>除专用合同条款另有约定外，承包人应以发包人和承包人的共同名义向双方同意的保险人投保建筑工程一切险、安装工程一切险。其具体的投保内容、保险金额、险费率、保险期限等有关内容在专用合同条款中约定。</w:t>
      </w:r>
    </w:p>
    <w:p w14:paraId="7A9D6301">
      <w:pPr>
        <w:widowControl/>
        <w:jc w:val="left"/>
        <w:rPr>
          <w:szCs w:val="21"/>
        </w:rPr>
      </w:pPr>
      <w:r>
        <w:rPr>
          <w:color w:val="000000"/>
          <w:kern w:val="0"/>
          <w:szCs w:val="21"/>
        </w:rPr>
        <w:t xml:space="preserve">20.2 </w:t>
      </w:r>
      <w:r>
        <w:rPr>
          <w:rFonts w:ascii="黑体" w:hAnsi="宋体" w:eastAsia="黑体" w:cs="黑体"/>
          <w:color w:val="000000"/>
          <w:kern w:val="0"/>
          <w:szCs w:val="21"/>
        </w:rPr>
        <w:t xml:space="preserve">人员工伤事故的保险 </w:t>
      </w:r>
    </w:p>
    <w:p w14:paraId="17483698">
      <w:pPr>
        <w:widowControl/>
        <w:jc w:val="left"/>
        <w:rPr>
          <w:szCs w:val="21"/>
        </w:rPr>
      </w:pPr>
      <w:r>
        <w:rPr>
          <w:color w:val="000000"/>
          <w:kern w:val="0"/>
          <w:szCs w:val="21"/>
        </w:rPr>
        <w:t xml:space="preserve">20.2.1 </w:t>
      </w:r>
      <w:r>
        <w:rPr>
          <w:rFonts w:hint="eastAsia" w:ascii="黑体" w:hAnsi="宋体" w:eastAsia="黑体" w:cs="黑体"/>
          <w:color w:val="000000"/>
          <w:kern w:val="0"/>
          <w:szCs w:val="21"/>
        </w:rPr>
        <w:t xml:space="preserve">承包人员工伤事故的保险 </w:t>
      </w:r>
    </w:p>
    <w:p w14:paraId="5E865967">
      <w:pPr>
        <w:widowControl/>
        <w:jc w:val="left"/>
        <w:rPr>
          <w:szCs w:val="21"/>
        </w:rPr>
      </w:pPr>
      <w:r>
        <w:rPr>
          <w:rFonts w:hint="eastAsia" w:ascii="宋体" w:hAnsi="宋体" w:cs="宋体"/>
          <w:color w:val="000000"/>
          <w:kern w:val="0"/>
          <w:szCs w:val="21"/>
        </w:rPr>
        <w:t xml:space="preserve">承包人应依照有关法律规定参加工伤保险，为其履行合同所雇用的全部人员，缴纳工伤保险费，并要求其分包人也进行此项保险。 </w:t>
      </w:r>
    </w:p>
    <w:p w14:paraId="4FFA9AF0">
      <w:pPr>
        <w:widowControl/>
        <w:jc w:val="left"/>
        <w:rPr>
          <w:szCs w:val="21"/>
        </w:rPr>
      </w:pPr>
      <w:r>
        <w:rPr>
          <w:color w:val="000000"/>
          <w:kern w:val="0"/>
          <w:szCs w:val="21"/>
        </w:rPr>
        <w:t xml:space="preserve">20.2.2 </w:t>
      </w:r>
      <w:r>
        <w:rPr>
          <w:rFonts w:hint="eastAsia" w:ascii="黑体" w:hAnsi="宋体" w:eastAsia="黑体" w:cs="黑体"/>
          <w:color w:val="000000"/>
          <w:kern w:val="0"/>
          <w:szCs w:val="21"/>
        </w:rPr>
        <w:t xml:space="preserve">发包人员工伤事故的保险 </w:t>
      </w:r>
    </w:p>
    <w:p w14:paraId="3420F6D2">
      <w:pPr>
        <w:widowControl/>
        <w:jc w:val="left"/>
        <w:rPr>
          <w:szCs w:val="21"/>
        </w:rPr>
      </w:pPr>
      <w:r>
        <w:rPr>
          <w:rFonts w:hint="eastAsia" w:ascii="宋体" w:hAnsi="宋体" w:cs="宋体"/>
          <w:color w:val="000000"/>
          <w:kern w:val="0"/>
          <w:szCs w:val="21"/>
        </w:rPr>
        <w:t xml:space="preserve">发包人应依照有关法律规定参加工伤保险，为其现场机构雇用的全部人员，缴纳工伤保险费，并要求其监理人也进行此项保险。 </w:t>
      </w:r>
    </w:p>
    <w:p w14:paraId="6D6A2151">
      <w:pPr>
        <w:widowControl/>
        <w:jc w:val="left"/>
        <w:rPr>
          <w:szCs w:val="21"/>
        </w:rPr>
      </w:pPr>
      <w:r>
        <w:rPr>
          <w:color w:val="000000"/>
          <w:kern w:val="0"/>
          <w:szCs w:val="21"/>
        </w:rPr>
        <w:t xml:space="preserve">20.3 </w:t>
      </w:r>
      <w:r>
        <w:rPr>
          <w:rFonts w:hint="eastAsia" w:ascii="黑体" w:hAnsi="宋体" w:eastAsia="黑体" w:cs="黑体"/>
          <w:color w:val="000000"/>
          <w:kern w:val="0"/>
          <w:szCs w:val="21"/>
        </w:rPr>
        <w:t xml:space="preserve">人身意外伤害险 </w:t>
      </w:r>
    </w:p>
    <w:p w14:paraId="3BD874BF">
      <w:pPr>
        <w:widowControl/>
        <w:jc w:val="left"/>
        <w:rPr>
          <w:szCs w:val="21"/>
        </w:rPr>
      </w:pPr>
      <w:r>
        <w:rPr>
          <w:color w:val="000000"/>
          <w:kern w:val="0"/>
          <w:szCs w:val="21"/>
        </w:rPr>
        <w:t xml:space="preserve">20.3.1 </w:t>
      </w:r>
      <w:r>
        <w:rPr>
          <w:rFonts w:hint="eastAsia" w:ascii="宋体" w:hAnsi="宋体" w:cs="宋体"/>
          <w:color w:val="000000"/>
          <w:kern w:val="0"/>
          <w:szCs w:val="21"/>
        </w:rPr>
        <w:t xml:space="preserve">发包人应在整个施工期间为其现场机构雇用的全部人员，投保人身意外伤害险，缴纳保险费，并要求其监理人也进行此项保险。 </w:t>
      </w:r>
    </w:p>
    <w:p w14:paraId="495451ED">
      <w:pPr>
        <w:widowControl/>
        <w:jc w:val="left"/>
        <w:rPr>
          <w:szCs w:val="21"/>
        </w:rPr>
      </w:pPr>
      <w:r>
        <w:rPr>
          <w:color w:val="000000"/>
          <w:kern w:val="0"/>
          <w:szCs w:val="21"/>
        </w:rPr>
        <w:t xml:space="preserve">20.3.2 </w:t>
      </w:r>
      <w:r>
        <w:rPr>
          <w:rFonts w:hint="eastAsia" w:ascii="宋体" w:hAnsi="宋体" w:cs="宋体"/>
          <w:color w:val="000000"/>
          <w:kern w:val="0"/>
          <w:szCs w:val="21"/>
        </w:rPr>
        <w:t xml:space="preserve">承包人应在整个施工期间为其现场机构雇用的全部人员，投保人身意外伤害险，缴纳保险费，并要求其分包人也进行此项保险。 </w:t>
      </w:r>
    </w:p>
    <w:p w14:paraId="78F23DAC">
      <w:pPr>
        <w:widowControl/>
        <w:jc w:val="left"/>
        <w:rPr>
          <w:szCs w:val="21"/>
        </w:rPr>
      </w:pPr>
      <w:r>
        <w:rPr>
          <w:color w:val="000000"/>
          <w:kern w:val="0"/>
          <w:szCs w:val="21"/>
        </w:rPr>
        <w:t xml:space="preserve">20.4 </w:t>
      </w:r>
      <w:r>
        <w:rPr>
          <w:rFonts w:hint="eastAsia" w:ascii="黑体" w:hAnsi="宋体" w:eastAsia="黑体" w:cs="黑体"/>
          <w:color w:val="000000"/>
          <w:kern w:val="0"/>
          <w:szCs w:val="21"/>
        </w:rPr>
        <w:t xml:space="preserve">第三者责任险 </w:t>
      </w:r>
    </w:p>
    <w:p w14:paraId="2DFFEC7B">
      <w:pPr>
        <w:widowControl/>
        <w:jc w:val="left"/>
        <w:rPr>
          <w:szCs w:val="21"/>
        </w:rPr>
      </w:pPr>
      <w:r>
        <w:rPr>
          <w:color w:val="000000"/>
          <w:kern w:val="0"/>
          <w:szCs w:val="21"/>
        </w:rPr>
        <w:t xml:space="preserve">20.4.1 </w:t>
      </w:r>
      <w:r>
        <w:rPr>
          <w:rFonts w:hint="eastAsia" w:ascii="宋体" w:hAnsi="宋体" w:cs="宋体"/>
          <w:color w:val="000000"/>
          <w:kern w:val="0"/>
          <w:szCs w:val="21"/>
        </w:rPr>
        <w:t xml:space="preserve">第三者责任系指在保险期内，对因工程意外事故造成的、依法应由被保险人负责的工地上及毗邻地区的第三者人身伤亡、疾病或财产损失（本工程除外）， 以及被保险人因此而支付的诉讼费用和事先经保险人书面同意支付的其他费用等赔偿责任。 </w:t>
      </w:r>
    </w:p>
    <w:p w14:paraId="38FEC782">
      <w:pPr>
        <w:widowControl/>
        <w:jc w:val="left"/>
        <w:rPr>
          <w:szCs w:val="21"/>
        </w:rPr>
      </w:pPr>
      <w:r>
        <w:rPr>
          <w:color w:val="000000"/>
          <w:kern w:val="0"/>
          <w:szCs w:val="21"/>
        </w:rPr>
        <w:t xml:space="preserve">20.4.2 </w:t>
      </w:r>
      <w:r>
        <w:rPr>
          <w:rFonts w:hint="eastAsia" w:ascii="宋体" w:hAnsi="宋体" w:cs="宋体"/>
          <w:color w:val="000000"/>
          <w:kern w:val="0"/>
          <w:szCs w:val="21"/>
        </w:rPr>
        <w:t xml:space="preserve">在缺陷责任期终止证书颁发前，承包人应以承包人和发包人的共同名义，投保第 </w:t>
      </w:r>
      <w:r>
        <w:rPr>
          <w:color w:val="000000"/>
          <w:kern w:val="0"/>
          <w:szCs w:val="21"/>
        </w:rPr>
        <w:t xml:space="preserve">20.4.1 </w:t>
      </w:r>
      <w:r>
        <w:rPr>
          <w:rFonts w:hint="eastAsia" w:ascii="宋体" w:hAnsi="宋体" w:cs="宋体"/>
          <w:color w:val="000000"/>
          <w:kern w:val="0"/>
          <w:szCs w:val="21"/>
        </w:rPr>
        <w:t xml:space="preserve">项约定的第三者责任险，其保险费率、保险金额等有关内容在专用合同条款中约定。 </w:t>
      </w:r>
    </w:p>
    <w:p w14:paraId="05CE6288">
      <w:pPr>
        <w:widowControl/>
        <w:jc w:val="left"/>
        <w:rPr>
          <w:szCs w:val="21"/>
        </w:rPr>
      </w:pPr>
      <w:r>
        <w:rPr>
          <w:color w:val="000000"/>
          <w:kern w:val="0"/>
          <w:szCs w:val="21"/>
        </w:rPr>
        <w:t xml:space="preserve">20.5 </w:t>
      </w:r>
      <w:r>
        <w:rPr>
          <w:rFonts w:hint="eastAsia" w:ascii="黑体" w:hAnsi="宋体" w:eastAsia="黑体" w:cs="黑体"/>
          <w:color w:val="000000"/>
          <w:kern w:val="0"/>
          <w:szCs w:val="21"/>
        </w:rPr>
        <w:t xml:space="preserve">其他保险 </w:t>
      </w:r>
    </w:p>
    <w:p w14:paraId="52D87EC8">
      <w:pPr>
        <w:widowControl/>
        <w:jc w:val="left"/>
        <w:rPr>
          <w:szCs w:val="21"/>
        </w:rPr>
      </w:pPr>
      <w:r>
        <w:rPr>
          <w:rFonts w:hint="eastAsia" w:ascii="宋体" w:hAnsi="宋体" w:cs="宋体"/>
          <w:color w:val="000000"/>
          <w:kern w:val="0"/>
          <w:szCs w:val="21"/>
        </w:rPr>
        <w:t xml:space="preserve">除专用合同条款另有约定外，承包人应为其施工设备、进场的材料和工程设备等办理保险。 </w:t>
      </w:r>
    </w:p>
    <w:p w14:paraId="0BC70016">
      <w:pPr>
        <w:widowControl/>
        <w:jc w:val="left"/>
        <w:rPr>
          <w:szCs w:val="21"/>
        </w:rPr>
      </w:pPr>
      <w:r>
        <w:rPr>
          <w:color w:val="000000"/>
          <w:kern w:val="0"/>
          <w:szCs w:val="21"/>
        </w:rPr>
        <w:t xml:space="preserve">20.6 </w:t>
      </w:r>
      <w:r>
        <w:rPr>
          <w:rFonts w:hint="eastAsia" w:ascii="黑体" w:hAnsi="宋体" w:eastAsia="黑体" w:cs="黑体"/>
          <w:color w:val="000000"/>
          <w:kern w:val="0"/>
          <w:szCs w:val="21"/>
        </w:rPr>
        <w:t xml:space="preserve">对各项保险的一般要求 </w:t>
      </w:r>
    </w:p>
    <w:p w14:paraId="3B9B832D">
      <w:pPr>
        <w:widowControl/>
        <w:jc w:val="left"/>
        <w:rPr>
          <w:szCs w:val="21"/>
        </w:rPr>
      </w:pPr>
      <w:r>
        <w:rPr>
          <w:color w:val="000000"/>
          <w:kern w:val="0"/>
          <w:szCs w:val="21"/>
        </w:rPr>
        <w:t xml:space="preserve">20.6.1 </w:t>
      </w:r>
      <w:r>
        <w:rPr>
          <w:rFonts w:hint="eastAsia" w:ascii="黑体" w:hAnsi="宋体" w:eastAsia="黑体" w:cs="黑体"/>
          <w:color w:val="000000"/>
          <w:kern w:val="0"/>
          <w:szCs w:val="21"/>
        </w:rPr>
        <w:t xml:space="preserve">保险凭证 </w:t>
      </w:r>
    </w:p>
    <w:p w14:paraId="48F16EF3">
      <w:pPr>
        <w:widowControl/>
        <w:jc w:val="left"/>
        <w:rPr>
          <w:szCs w:val="21"/>
        </w:rPr>
      </w:pPr>
      <w:r>
        <w:rPr>
          <w:rFonts w:hint="eastAsia" w:ascii="宋体" w:hAnsi="宋体" w:cs="宋体"/>
          <w:color w:val="000000"/>
          <w:kern w:val="0"/>
          <w:szCs w:val="21"/>
        </w:rPr>
        <w:t xml:space="preserve">承包人应在专用合同条款约定的期限内向发包人提交各项保险生效的证据和保险单副本，保险单必须与专用合同条款约定的条件保持一致。 </w:t>
      </w:r>
    </w:p>
    <w:p w14:paraId="6CDB8108">
      <w:pPr>
        <w:widowControl/>
        <w:jc w:val="left"/>
        <w:rPr>
          <w:szCs w:val="21"/>
        </w:rPr>
      </w:pPr>
      <w:r>
        <w:rPr>
          <w:color w:val="000000"/>
          <w:kern w:val="0"/>
          <w:szCs w:val="21"/>
        </w:rPr>
        <w:t xml:space="preserve">20.6.2 </w:t>
      </w:r>
      <w:r>
        <w:rPr>
          <w:rFonts w:hint="eastAsia" w:ascii="黑体" w:hAnsi="宋体" w:eastAsia="黑体" w:cs="黑体"/>
          <w:color w:val="000000"/>
          <w:kern w:val="0"/>
          <w:szCs w:val="21"/>
        </w:rPr>
        <w:t xml:space="preserve">保险合同条款的变动 </w:t>
      </w:r>
    </w:p>
    <w:p w14:paraId="4AD9094C">
      <w:pPr>
        <w:widowControl/>
        <w:jc w:val="left"/>
        <w:rPr>
          <w:szCs w:val="21"/>
        </w:rPr>
      </w:pPr>
      <w:r>
        <w:rPr>
          <w:rFonts w:hint="eastAsia" w:ascii="宋体" w:hAnsi="宋体" w:cs="宋体"/>
          <w:color w:val="000000"/>
          <w:kern w:val="0"/>
          <w:szCs w:val="21"/>
        </w:rPr>
        <w:t xml:space="preserve">承包人需要变动保险合同条款时，应事先征得发包人同意，并通知监理人。保险人作出变动的，承包人应在收到保险人通知后立即通知发包人和监理人。 </w:t>
      </w:r>
    </w:p>
    <w:p w14:paraId="7A5B4516">
      <w:pPr>
        <w:widowControl/>
        <w:jc w:val="left"/>
        <w:rPr>
          <w:szCs w:val="21"/>
        </w:rPr>
      </w:pPr>
      <w:r>
        <w:rPr>
          <w:color w:val="000000"/>
          <w:kern w:val="0"/>
          <w:szCs w:val="21"/>
        </w:rPr>
        <w:t xml:space="preserve">20.6.3 </w:t>
      </w:r>
      <w:r>
        <w:rPr>
          <w:rFonts w:ascii="黑体" w:hAnsi="宋体" w:eastAsia="黑体" w:cs="黑体"/>
          <w:color w:val="000000"/>
          <w:kern w:val="0"/>
          <w:szCs w:val="21"/>
        </w:rPr>
        <w:t xml:space="preserve">持续保险 </w:t>
      </w:r>
    </w:p>
    <w:p w14:paraId="613C34D8">
      <w:pPr>
        <w:widowControl/>
        <w:jc w:val="left"/>
        <w:rPr>
          <w:szCs w:val="21"/>
        </w:rPr>
      </w:pPr>
      <w:r>
        <w:rPr>
          <w:rFonts w:hint="eastAsia" w:ascii="宋体" w:hAnsi="宋体" w:cs="宋体"/>
          <w:color w:val="000000"/>
          <w:kern w:val="0"/>
          <w:szCs w:val="21"/>
        </w:rPr>
        <w:t xml:space="preserve">承包人应与保险人保持联系，使保险人能够随时了解工程实施中的变动，并确保 按保险合同条款要求持续保险。 </w:t>
      </w:r>
    </w:p>
    <w:p w14:paraId="2C9231C1">
      <w:pPr>
        <w:widowControl/>
        <w:jc w:val="left"/>
        <w:rPr>
          <w:szCs w:val="21"/>
        </w:rPr>
      </w:pPr>
      <w:r>
        <w:rPr>
          <w:color w:val="000000"/>
          <w:kern w:val="0"/>
          <w:szCs w:val="21"/>
        </w:rPr>
        <w:t xml:space="preserve">20.6.4 </w:t>
      </w:r>
      <w:r>
        <w:rPr>
          <w:rFonts w:hint="eastAsia" w:ascii="黑体" w:hAnsi="宋体" w:eastAsia="黑体" w:cs="黑体"/>
          <w:color w:val="000000"/>
          <w:kern w:val="0"/>
          <w:szCs w:val="21"/>
        </w:rPr>
        <w:t xml:space="preserve">保险金不足的补偿 </w:t>
      </w:r>
    </w:p>
    <w:p w14:paraId="27E6967C">
      <w:pPr>
        <w:widowControl/>
        <w:jc w:val="left"/>
        <w:rPr>
          <w:szCs w:val="21"/>
        </w:rPr>
      </w:pPr>
      <w:r>
        <w:rPr>
          <w:rFonts w:hint="eastAsia" w:ascii="宋体" w:hAnsi="宋体" w:cs="宋体"/>
          <w:color w:val="000000"/>
          <w:kern w:val="0"/>
          <w:szCs w:val="21"/>
        </w:rPr>
        <w:t xml:space="preserve">保险金不足以补偿损失的，应由承包人和（或）发包人按合同约定负责补偿。 </w:t>
      </w:r>
    </w:p>
    <w:p w14:paraId="45453EF6">
      <w:pPr>
        <w:widowControl/>
        <w:jc w:val="left"/>
        <w:rPr>
          <w:szCs w:val="21"/>
        </w:rPr>
      </w:pPr>
      <w:r>
        <w:rPr>
          <w:color w:val="000000"/>
          <w:kern w:val="0"/>
          <w:szCs w:val="21"/>
        </w:rPr>
        <w:t xml:space="preserve">20.6.5 </w:t>
      </w:r>
      <w:r>
        <w:rPr>
          <w:rFonts w:hint="eastAsia" w:ascii="黑体" w:hAnsi="宋体" w:eastAsia="黑体" w:cs="黑体"/>
          <w:color w:val="000000"/>
          <w:kern w:val="0"/>
          <w:szCs w:val="21"/>
        </w:rPr>
        <w:t xml:space="preserve">未按约定投保的补救 </w:t>
      </w:r>
    </w:p>
    <w:p w14:paraId="18CE1EEB">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）由于负有投保义务的一方当事人未按合同约定办理保险，或未能使保险持续有效的，另一方当事人可代为办理，所需费用由对方当事人承担。 </w:t>
      </w:r>
    </w:p>
    <w:p w14:paraId="5642AEFA">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）由于负有投保义务的一方当事人未按合同约定办理某项保险，导致受益人未能得到保险人的赔偿，原应从该项保险得到的保险金应由负有投保义务的一方当事人支付。 </w:t>
      </w:r>
    </w:p>
    <w:p w14:paraId="59541081">
      <w:pPr>
        <w:widowControl/>
        <w:jc w:val="left"/>
        <w:rPr>
          <w:szCs w:val="21"/>
        </w:rPr>
      </w:pPr>
      <w:r>
        <w:rPr>
          <w:color w:val="000000"/>
          <w:kern w:val="0"/>
          <w:szCs w:val="21"/>
        </w:rPr>
        <w:t xml:space="preserve">20.6.6 </w:t>
      </w:r>
      <w:r>
        <w:rPr>
          <w:rFonts w:hint="eastAsia" w:ascii="黑体" w:hAnsi="宋体" w:eastAsia="黑体" w:cs="黑体"/>
          <w:color w:val="000000"/>
          <w:kern w:val="0"/>
          <w:szCs w:val="21"/>
        </w:rPr>
        <w:t xml:space="preserve">报告义务 </w:t>
      </w:r>
    </w:p>
    <w:p w14:paraId="6323D203">
      <w:pPr>
        <w:widowControl/>
        <w:jc w:val="left"/>
        <w:rPr>
          <w:szCs w:val="21"/>
        </w:rPr>
      </w:pPr>
      <w:r>
        <w:rPr>
          <w:rFonts w:hint="eastAsia" w:ascii="宋体" w:hAnsi="宋体" w:cs="宋体"/>
          <w:color w:val="000000"/>
          <w:kern w:val="0"/>
          <w:szCs w:val="21"/>
        </w:rPr>
        <w:t xml:space="preserve">当保险事故发生时，投保人应按照保险单规定的条件和期限及时向保险人报 </w:t>
      </w:r>
    </w:p>
    <w:p w14:paraId="37DE2B0F">
      <w:pPr>
        <w:widowControl/>
        <w:jc w:val="left"/>
        <w:rPr>
          <w:szCs w:val="21"/>
        </w:rPr>
      </w:pPr>
      <w:r>
        <w:rPr>
          <w:rFonts w:hint="eastAsia" w:ascii="宋体" w:hAnsi="宋体" w:cs="宋体"/>
          <w:color w:val="000000"/>
          <w:kern w:val="0"/>
          <w:szCs w:val="21"/>
        </w:rPr>
        <w:t xml:space="preserve">告。 </w:t>
      </w:r>
    </w:p>
    <w:p w14:paraId="4636B17A">
      <w:pPr>
        <w:widowControl/>
        <w:jc w:val="left"/>
        <w:rPr>
          <w:szCs w:val="21"/>
        </w:rPr>
      </w:pPr>
      <w:r>
        <w:rPr>
          <w:color w:val="000000"/>
          <w:kern w:val="0"/>
          <w:szCs w:val="21"/>
        </w:rPr>
        <w:t xml:space="preserve">21. </w:t>
      </w:r>
      <w:r>
        <w:rPr>
          <w:rFonts w:hint="eastAsia" w:ascii="黑体" w:hAnsi="宋体" w:eastAsia="黑体" w:cs="黑体"/>
          <w:color w:val="000000"/>
          <w:kern w:val="0"/>
          <w:szCs w:val="21"/>
        </w:rPr>
        <w:t xml:space="preserve">不可抗力 </w:t>
      </w:r>
    </w:p>
    <w:p w14:paraId="690D3C71">
      <w:pPr>
        <w:widowControl/>
        <w:jc w:val="left"/>
        <w:rPr>
          <w:szCs w:val="21"/>
        </w:rPr>
      </w:pPr>
      <w:r>
        <w:rPr>
          <w:color w:val="000000"/>
          <w:kern w:val="0"/>
          <w:szCs w:val="21"/>
        </w:rPr>
        <w:t xml:space="preserve">21.1 </w:t>
      </w:r>
      <w:r>
        <w:rPr>
          <w:rFonts w:hint="eastAsia" w:ascii="黑体" w:hAnsi="宋体" w:eastAsia="黑体" w:cs="黑体"/>
          <w:color w:val="000000"/>
          <w:kern w:val="0"/>
          <w:szCs w:val="21"/>
        </w:rPr>
        <w:t xml:space="preserve">不可抗力的确认 </w:t>
      </w:r>
    </w:p>
    <w:p w14:paraId="2FD249B2">
      <w:pPr>
        <w:widowControl/>
        <w:jc w:val="left"/>
        <w:rPr>
          <w:szCs w:val="21"/>
        </w:rPr>
      </w:pPr>
      <w:r>
        <w:rPr>
          <w:color w:val="000000"/>
          <w:kern w:val="0"/>
          <w:szCs w:val="21"/>
        </w:rPr>
        <w:t xml:space="preserve">21.1.1 </w:t>
      </w:r>
      <w:r>
        <w:rPr>
          <w:rFonts w:hint="eastAsia" w:ascii="宋体" w:hAnsi="宋体" w:cs="宋体"/>
          <w:color w:val="000000"/>
          <w:kern w:val="0"/>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 </w:t>
      </w:r>
    </w:p>
    <w:p w14:paraId="47E2AA92">
      <w:pPr>
        <w:widowControl/>
        <w:jc w:val="left"/>
        <w:rPr>
          <w:szCs w:val="21"/>
        </w:rPr>
      </w:pPr>
      <w:r>
        <w:rPr>
          <w:color w:val="000000"/>
          <w:kern w:val="0"/>
          <w:szCs w:val="21"/>
        </w:rPr>
        <w:t xml:space="preserve">21.1.2 </w:t>
      </w:r>
      <w:r>
        <w:rPr>
          <w:rFonts w:hint="eastAsia" w:ascii="宋体" w:hAnsi="宋体" w:cs="宋体"/>
          <w:color w:val="000000"/>
          <w:kern w:val="0"/>
          <w:szCs w:val="21"/>
        </w:rPr>
        <w:t xml:space="preserve">不可抗力发生后，发包人和承包人应及时认真统计所造成的损失，收集不可抗力造成损失的证据。合同双方对是否属于不可抗力或其损失的意见不一致的，由监理人按第 </w:t>
      </w:r>
      <w:r>
        <w:rPr>
          <w:color w:val="000000"/>
          <w:kern w:val="0"/>
          <w:szCs w:val="21"/>
        </w:rPr>
        <w:t xml:space="preserve">3.5 </w:t>
      </w:r>
      <w:r>
        <w:rPr>
          <w:rFonts w:hint="eastAsia" w:ascii="宋体" w:hAnsi="宋体" w:cs="宋体"/>
          <w:color w:val="000000"/>
          <w:kern w:val="0"/>
          <w:szCs w:val="21"/>
        </w:rPr>
        <w:t xml:space="preserve">款商定或确定。发生争议时，按第 </w:t>
      </w:r>
      <w:r>
        <w:rPr>
          <w:color w:val="000000"/>
          <w:kern w:val="0"/>
          <w:szCs w:val="21"/>
        </w:rPr>
        <w:t xml:space="preserve">24 </w:t>
      </w:r>
      <w:r>
        <w:rPr>
          <w:rFonts w:hint="eastAsia" w:ascii="宋体" w:hAnsi="宋体" w:cs="宋体"/>
          <w:color w:val="000000"/>
          <w:kern w:val="0"/>
          <w:szCs w:val="21"/>
        </w:rPr>
        <w:t xml:space="preserve">条的约定办理。 </w:t>
      </w:r>
    </w:p>
    <w:p w14:paraId="39540CB8">
      <w:pPr>
        <w:widowControl/>
        <w:jc w:val="left"/>
        <w:rPr>
          <w:szCs w:val="21"/>
        </w:rPr>
      </w:pPr>
      <w:r>
        <w:rPr>
          <w:color w:val="000000"/>
          <w:kern w:val="0"/>
          <w:szCs w:val="21"/>
        </w:rPr>
        <w:t xml:space="preserve">21.2 </w:t>
      </w:r>
      <w:r>
        <w:rPr>
          <w:rFonts w:hint="eastAsia" w:ascii="黑体" w:hAnsi="宋体" w:eastAsia="黑体" w:cs="黑体"/>
          <w:color w:val="000000"/>
          <w:kern w:val="0"/>
          <w:szCs w:val="21"/>
        </w:rPr>
        <w:t xml:space="preserve">不可抗力的通知 </w:t>
      </w:r>
    </w:p>
    <w:p w14:paraId="6A8B85C7">
      <w:pPr>
        <w:widowControl/>
        <w:jc w:val="left"/>
        <w:rPr>
          <w:szCs w:val="21"/>
        </w:rPr>
      </w:pPr>
      <w:r>
        <w:rPr>
          <w:color w:val="000000"/>
          <w:kern w:val="0"/>
          <w:szCs w:val="21"/>
        </w:rPr>
        <w:t xml:space="preserve">21.2.1 </w:t>
      </w:r>
      <w:r>
        <w:rPr>
          <w:rFonts w:hint="eastAsia" w:ascii="宋体" w:hAnsi="宋体" w:cs="宋体"/>
          <w:color w:val="000000"/>
          <w:kern w:val="0"/>
          <w:szCs w:val="21"/>
        </w:rPr>
        <w:t xml:space="preserve">合同一方当事人遇到不可抗力事件，使其履行合同义务受到阻碍时，应立即通知合同另一方当事人和监理人，书面说明不可抗力和受阻碍的详细情况，并提供必要的证明。 </w:t>
      </w:r>
    </w:p>
    <w:p w14:paraId="42D974F8">
      <w:pPr>
        <w:widowControl/>
        <w:jc w:val="left"/>
        <w:rPr>
          <w:szCs w:val="21"/>
        </w:rPr>
      </w:pPr>
      <w:r>
        <w:rPr>
          <w:color w:val="000000"/>
          <w:kern w:val="0"/>
          <w:szCs w:val="21"/>
        </w:rPr>
        <w:t xml:space="preserve">21.2.2 </w:t>
      </w:r>
      <w:r>
        <w:rPr>
          <w:rFonts w:hint="eastAsia" w:ascii="宋体" w:hAnsi="宋体" w:cs="宋体"/>
          <w:color w:val="000000"/>
          <w:kern w:val="0"/>
          <w:szCs w:val="21"/>
        </w:rPr>
        <w:t xml:space="preserve">如不可抗力持续发生，合同一方当事人应及时向合同另一方当事人和监理人提交中间报告，说明不可抗力和履行合同受阻的情况，并于不可抗力事件结束后 </w:t>
      </w:r>
      <w:r>
        <w:rPr>
          <w:color w:val="000000"/>
          <w:kern w:val="0"/>
          <w:szCs w:val="21"/>
        </w:rPr>
        <w:t xml:space="preserve">28 </w:t>
      </w:r>
      <w:r>
        <w:rPr>
          <w:rFonts w:hint="eastAsia" w:ascii="宋体" w:hAnsi="宋体" w:cs="宋体"/>
          <w:color w:val="000000"/>
          <w:kern w:val="0"/>
          <w:szCs w:val="21"/>
        </w:rPr>
        <w:t>天内提交最终报告及有关资料。</w:t>
      </w:r>
    </w:p>
    <w:p w14:paraId="76EA8E58">
      <w:pPr>
        <w:widowControl/>
        <w:jc w:val="left"/>
        <w:rPr>
          <w:szCs w:val="21"/>
        </w:rPr>
      </w:pPr>
      <w:r>
        <w:rPr>
          <w:color w:val="000000"/>
          <w:kern w:val="0"/>
          <w:szCs w:val="21"/>
        </w:rPr>
        <w:t xml:space="preserve">21.3 </w:t>
      </w:r>
      <w:r>
        <w:rPr>
          <w:rFonts w:ascii="黑体" w:hAnsi="宋体" w:eastAsia="黑体" w:cs="黑体"/>
          <w:color w:val="000000"/>
          <w:kern w:val="0"/>
          <w:szCs w:val="21"/>
        </w:rPr>
        <w:t xml:space="preserve">不可抗力后果及其处理 </w:t>
      </w:r>
    </w:p>
    <w:p w14:paraId="37BE594B">
      <w:pPr>
        <w:widowControl/>
        <w:jc w:val="left"/>
        <w:rPr>
          <w:szCs w:val="21"/>
        </w:rPr>
      </w:pPr>
      <w:r>
        <w:rPr>
          <w:color w:val="000000"/>
          <w:kern w:val="0"/>
          <w:szCs w:val="21"/>
        </w:rPr>
        <w:t xml:space="preserve">21.3.1 </w:t>
      </w:r>
      <w:r>
        <w:rPr>
          <w:rFonts w:hint="eastAsia" w:ascii="黑体" w:hAnsi="宋体" w:eastAsia="黑体" w:cs="黑体"/>
          <w:color w:val="000000"/>
          <w:kern w:val="0"/>
          <w:szCs w:val="21"/>
        </w:rPr>
        <w:t xml:space="preserve">不可抗力造成损害的责任 </w:t>
      </w:r>
    </w:p>
    <w:p w14:paraId="17471E4E">
      <w:pPr>
        <w:widowControl/>
        <w:jc w:val="left"/>
        <w:rPr>
          <w:szCs w:val="21"/>
        </w:rPr>
      </w:pPr>
      <w:r>
        <w:rPr>
          <w:rFonts w:hint="eastAsia" w:ascii="宋体" w:hAnsi="宋体" w:cs="宋体"/>
          <w:color w:val="000000"/>
          <w:kern w:val="0"/>
          <w:szCs w:val="21"/>
        </w:rPr>
        <w:t xml:space="preserve">除专用合同条款另有约定外，不可抗力导致的人员伤亡、财产损失、费用增加和（或）工期延误等后果，由合同双方按以下原则承担： </w:t>
      </w:r>
    </w:p>
    <w:p w14:paraId="089E54EC">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）永久工程，包括已运至施工场地的材料和工程设备的损害，以及因工程损害造成的第三者人员伤亡和财产损失由发包人承担； </w:t>
      </w:r>
    </w:p>
    <w:p w14:paraId="627A4BE1">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）承包人设备的损坏由承包人承担； </w:t>
      </w:r>
    </w:p>
    <w:p w14:paraId="123141DD">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）发包人和承包人各自承担其人员伤亡和其他财产损失及其相关费用； </w:t>
      </w:r>
    </w:p>
    <w:p w14:paraId="037A1DDA">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）承包人的停工损失由承包人承担，但停工期间应监理人要求照管工程和清理、修复工程的金额由发包人承担； </w:t>
      </w:r>
    </w:p>
    <w:p w14:paraId="4C5AE935">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）不能按期竣工的，应合理延长工期，承包人不需支付逾期竣工违约金。发包人要求赶工的，承包人应采取赶工措施，赶工费用由发包人承担。 </w:t>
      </w:r>
    </w:p>
    <w:p w14:paraId="25B168AE">
      <w:pPr>
        <w:widowControl/>
        <w:jc w:val="left"/>
        <w:rPr>
          <w:szCs w:val="21"/>
        </w:rPr>
      </w:pPr>
      <w:r>
        <w:rPr>
          <w:color w:val="000000"/>
          <w:kern w:val="0"/>
          <w:szCs w:val="21"/>
        </w:rPr>
        <w:t xml:space="preserve">21.3.2 </w:t>
      </w:r>
      <w:r>
        <w:rPr>
          <w:rFonts w:hint="eastAsia" w:ascii="黑体" w:hAnsi="宋体" w:eastAsia="黑体" w:cs="黑体"/>
          <w:color w:val="000000"/>
          <w:kern w:val="0"/>
          <w:szCs w:val="21"/>
        </w:rPr>
        <w:t xml:space="preserve">延迟履行期间发生的不可抗力 </w:t>
      </w:r>
    </w:p>
    <w:p w14:paraId="4204ABEE">
      <w:pPr>
        <w:widowControl/>
        <w:jc w:val="left"/>
        <w:rPr>
          <w:szCs w:val="21"/>
        </w:rPr>
      </w:pPr>
      <w:r>
        <w:rPr>
          <w:rFonts w:hint="eastAsia" w:ascii="宋体" w:hAnsi="宋体" w:cs="宋体"/>
          <w:color w:val="000000"/>
          <w:kern w:val="0"/>
          <w:szCs w:val="21"/>
        </w:rPr>
        <w:t xml:space="preserve">合同一方当事人延迟履行，在延迟履行期间发生不可抗力的，不免除其责任。 </w:t>
      </w:r>
    </w:p>
    <w:p w14:paraId="58E88F9C">
      <w:pPr>
        <w:widowControl/>
        <w:jc w:val="left"/>
        <w:rPr>
          <w:szCs w:val="21"/>
        </w:rPr>
      </w:pPr>
      <w:r>
        <w:rPr>
          <w:color w:val="000000"/>
          <w:kern w:val="0"/>
          <w:szCs w:val="21"/>
        </w:rPr>
        <w:t xml:space="preserve">21.3.3 </w:t>
      </w:r>
      <w:r>
        <w:rPr>
          <w:rFonts w:hint="eastAsia" w:ascii="黑体" w:hAnsi="宋体" w:eastAsia="黑体" w:cs="黑体"/>
          <w:color w:val="000000"/>
          <w:kern w:val="0"/>
          <w:szCs w:val="21"/>
        </w:rPr>
        <w:t xml:space="preserve">避免和减少不可抗力损失 </w:t>
      </w:r>
    </w:p>
    <w:p w14:paraId="056DD461">
      <w:pPr>
        <w:widowControl/>
        <w:jc w:val="left"/>
        <w:rPr>
          <w:szCs w:val="21"/>
        </w:rPr>
      </w:pPr>
      <w:r>
        <w:rPr>
          <w:rFonts w:hint="eastAsia" w:ascii="宋体" w:hAnsi="宋体" w:cs="宋体"/>
          <w:color w:val="000000"/>
          <w:kern w:val="0"/>
          <w:szCs w:val="21"/>
        </w:rPr>
        <w:t xml:space="preserve">不可抗力发生后，发包人和承包人均应采取措施尽量避免和减少损失的扩大，任何一方没有采取有效措施导致损失扩大的，应对扩大的损失承担责任。 </w:t>
      </w:r>
    </w:p>
    <w:p w14:paraId="0699ACE8">
      <w:pPr>
        <w:widowControl/>
        <w:jc w:val="left"/>
        <w:rPr>
          <w:szCs w:val="21"/>
        </w:rPr>
      </w:pPr>
      <w:r>
        <w:rPr>
          <w:color w:val="000000"/>
          <w:kern w:val="0"/>
          <w:szCs w:val="21"/>
        </w:rPr>
        <w:t xml:space="preserve">21.3.4 </w:t>
      </w:r>
      <w:r>
        <w:rPr>
          <w:rFonts w:hint="eastAsia" w:ascii="黑体" w:hAnsi="宋体" w:eastAsia="黑体" w:cs="黑体"/>
          <w:color w:val="000000"/>
          <w:kern w:val="0"/>
          <w:szCs w:val="21"/>
        </w:rPr>
        <w:t xml:space="preserve">因不可抗力解除合同 </w:t>
      </w:r>
    </w:p>
    <w:p w14:paraId="45A17BB7">
      <w:pPr>
        <w:widowControl/>
        <w:jc w:val="left"/>
        <w:rPr>
          <w:szCs w:val="21"/>
        </w:rPr>
      </w:pPr>
      <w:r>
        <w:rPr>
          <w:rFonts w:hint="eastAsia" w:ascii="宋体" w:hAnsi="宋体" w:cs="宋体"/>
          <w:color w:val="000000"/>
          <w:kern w:val="0"/>
          <w:szCs w:val="21"/>
        </w:rPr>
        <w:t xml:space="preserve">合同一方当事人因不可抗力不能履行合同的，应当及时通知对方解除合同。合同解除后，承包人应按照第 </w:t>
      </w:r>
      <w:r>
        <w:rPr>
          <w:color w:val="000000"/>
          <w:kern w:val="0"/>
          <w:szCs w:val="21"/>
        </w:rPr>
        <w:t xml:space="preserve">22.2.5 </w:t>
      </w:r>
      <w:r>
        <w:rPr>
          <w:rFonts w:hint="eastAsia" w:ascii="宋体" w:hAnsi="宋体" w:cs="宋体"/>
          <w:color w:val="000000"/>
          <w:kern w:val="0"/>
          <w:szCs w:val="21"/>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 </w:t>
      </w:r>
      <w:r>
        <w:rPr>
          <w:color w:val="000000"/>
          <w:kern w:val="0"/>
          <w:szCs w:val="21"/>
        </w:rPr>
        <w:t xml:space="preserve">22.2.4 </w:t>
      </w:r>
      <w:r>
        <w:rPr>
          <w:rFonts w:hint="eastAsia" w:ascii="宋体" w:hAnsi="宋体" w:cs="宋体"/>
          <w:color w:val="000000"/>
          <w:kern w:val="0"/>
          <w:szCs w:val="21"/>
        </w:rPr>
        <w:t xml:space="preserve">项约定，由监理人按第 </w:t>
      </w:r>
      <w:r>
        <w:rPr>
          <w:color w:val="000000"/>
          <w:kern w:val="0"/>
          <w:szCs w:val="21"/>
        </w:rPr>
        <w:t xml:space="preserve">3.5 </w:t>
      </w:r>
      <w:r>
        <w:rPr>
          <w:rFonts w:hint="eastAsia" w:ascii="宋体" w:hAnsi="宋体" w:cs="宋体"/>
          <w:color w:val="000000"/>
          <w:kern w:val="0"/>
          <w:szCs w:val="21"/>
        </w:rPr>
        <w:t xml:space="preserve">款商定或确定。 </w:t>
      </w:r>
    </w:p>
    <w:p w14:paraId="50A44B90">
      <w:pPr>
        <w:widowControl/>
        <w:jc w:val="left"/>
        <w:rPr>
          <w:szCs w:val="21"/>
        </w:rPr>
      </w:pPr>
      <w:r>
        <w:rPr>
          <w:color w:val="000000"/>
          <w:kern w:val="0"/>
          <w:szCs w:val="21"/>
        </w:rPr>
        <w:t xml:space="preserve">22. </w:t>
      </w:r>
      <w:r>
        <w:rPr>
          <w:rFonts w:hint="eastAsia" w:ascii="黑体" w:hAnsi="宋体" w:eastAsia="黑体" w:cs="黑体"/>
          <w:color w:val="000000"/>
          <w:kern w:val="0"/>
          <w:szCs w:val="21"/>
        </w:rPr>
        <w:t xml:space="preserve">违约 </w:t>
      </w:r>
    </w:p>
    <w:p w14:paraId="1B860719">
      <w:pPr>
        <w:widowControl/>
        <w:jc w:val="left"/>
        <w:rPr>
          <w:szCs w:val="21"/>
        </w:rPr>
      </w:pPr>
      <w:r>
        <w:rPr>
          <w:color w:val="000000"/>
          <w:kern w:val="0"/>
          <w:szCs w:val="21"/>
        </w:rPr>
        <w:t xml:space="preserve">22.1 </w:t>
      </w:r>
      <w:r>
        <w:rPr>
          <w:rFonts w:hint="eastAsia" w:ascii="黑体" w:hAnsi="宋体" w:eastAsia="黑体" w:cs="黑体"/>
          <w:color w:val="000000"/>
          <w:kern w:val="0"/>
          <w:szCs w:val="21"/>
        </w:rPr>
        <w:t xml:space="preserve">承包人违约 </w:t>
      </w:r>
    </w:p>
    <w:p w14:paraId="23D460A0">
      <w:pPr>
        <w:widowControl/>
        <w:jc w:val="left"/>
        <w:rPr>
          <w:szCs w:val="21"/>
        </w:rPr>
      </w:pPr>
      <w:r>
        <w:rPr>
          <w:color w:val="000000"/>
          <w:kern w:val="0"/>
          <w:szCs w:val="21"/>
        </w:rPr>
        <w:t xml:space="preserve">22.1.1 </w:t>
      </w:r>
      <w:r>
        <w:rPr>
          <w:rFonts w:hint="eastAsia" w:ascii="黑体" w:hAnsi="宋体" w:eastAsia="黑体" w:cs="黑体"/>
          <w:color w:val="000000"/>
          <w:kern w:val="0"/>
          <w:szCs w:val="21"/>
        </w:rPr>
        <w:t xml:space="preserve">承包人违约的情形 </w:t>
      </w:r>
    </w:p>
    <w:p w14:paraId="4CB68BBF">
      <w:pPr>
        <w:widowControl/>
        <w:jc w:val="left"/>
        <w:rPr>
          <w:szCs w:val="21"/>
        </w:rPr>
      </w:pPr>
      <w:r>
        <w:rPr>
          <w:rFonts w:hint="eastAsia" w:ascii="宋体" w:hAnsi="宋体" w:cs="宋体"/>
          <w:color w:val="000000"/>
          <w:kern w:val="0"/>
          <w:szCs w:val="21"/>
        </w:rPr>
        <w:t xml:space="preserve">在履行合同过程中发生的下列情况属承包人违约： </w:t>
      </w:r>
    </w:p>
    <w:p w14:paraId="488F7574">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）承包人违反第 </w:t>
      </w:r>
      <w:r>
        <w:rPr>
          <w:color w:val="000000"/>
          <w:kern w:val="0"/>
          <w:szCs w:val="21"/>
        </w:rPr>
        <w:t xml:space="preserve">1.8 </w:t>
      </w:r>
      <w:r>
        <w:rPr>
          <w:rFonts w:hint="eastAsia" w:ascii="宋体" w:hAnsi="宋体" w:cs="宋体"/>
          <w:color w:val="000000"/>
          <w:kern w:val="0"/>
          <w:szCs w:val="21"/>
        </w:rPr>
        <w:t xml:space="preserve">款或第 </w:t>
      </w:r>
      <w:r>
        <w:rPr>
          <w:color w:val="000000"/>
          <w:kern w:val="0"/>
          <w:szCs w:val="21"/>
        </w:rPr>
        <w:t xml:space="preserve">4.3 </w:t>
      </w:r>
      <w:r>
        <w:rPr>
          <w:rFonts w:hint="eastAsia" w:ascii="宋体" w:hAnsi="宋体" w:cs="宋体"/>
          <w:color w:val="000000"/>
          <w:kern w:val="0"/>
          <w:szCs w:val="21"/>
        </w:rPr>
        <w:t xml:space="preserve">款的约定，私自将合同的全部或部分权利转 </w:t>
      </w:r>
    </w:p>
    <w:p w14:paraId="272FBD42">
      <w:pPr>
        <w:widowControl/>
        <w:jc w:val="left"/>
        <w:rPr>
          <w:szCs w:val="21"/>
        </w:rPr>
      </w:pPr>
      <w:r>
        <w:rPr>
          <w:rFonts w:hint="eastAsia" w:ascii="宋体" w:hAnsi="宋体" w:cs="宋体"/>
          <w:color w:val="000000"/>
          <w:kern w:val="0"/>
          <w:szCs w:val="21"/>
        </w:rPr>
        <w:t xml:space="preserve">让给其他人，或私自将合同的全部或部分义务转移给其他人； </w:t>
      </w:r>
    </w:p>
    <w:p w14:paraId="46FF677E">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）承包人违反第 </w:t>
      </w:r>
      <w:r>
        <w:rPr>
          <w:color w:val="000000"/>
          <w:kern w:val="0"/>
          <w:szCs w:val="21"/>
        </w:rPr>
        <w:t xml:space="preserve">5.3 </w:t>
      </w:r>
      <w:r>
        <w:rPr>
          <w:rFonts w:hint="eastAsia" w:ascii="宋体" w:hAnsi="宋体" w:cs="宋体"/>
          <w:color w:val="000000"/>
          <w:kern w:val="0"/>
          <w:szCs w:val="21"/>
        </w:rPr>
        <w:t xml:space="preserve">款或第 </w:t>
      </w:r>
      <w:r>
        <w:rPr>
          <w:color w:val="000000"/>
          <w:kern w:val="0"/>
          <w:szCs w:val="21"/>
        </w:rPr>
        <w:t xml:space="preserve">6.4 </w:t>
      </w:r>
      <w:r>
        <w:rPr>
          <w:rFonts w:hint="eastAsia" w:ascii="宋体" w:hAnsi="宋体" w:cs="宋体"/>
          <w:color w:val="000000"/>
          <w:kern w:val="0"/>
          <w:szCs w:val="21"/>
        </w:rPr>
        <w:t xml:space="preserve">款的约定，未经监理人批准，私自将已按合 </w:t>
      </w:r>
    </w:p>
    <w:p w14:paraId="6DBE8C2C">
      <w:pPr>
        <w:widowControl/>
        <w:jc w:val="left"/>
        <w:rPr>
          <w:szCs w:val="21"/>
        </w:rPr>
      </w:pPr>
      <w:r>
        <w:rPr>
          <w:rFonts w:hint="eastAsia" w:ascii="宋体" w:hAnsi="宋体" w:cs="宋体"/>
          <w:color w:val="000000"/>
          <w:kern w:val="0"/>
          <w:szCs w:val="21"/>
        </w:rPr>
        <w:t>同约定进入施工场地的施工设备、临时设施或材料撤离施工场地；</w:t>
      </w:r>
    </w:p>
    <w:p w14:paraId="39CD476F">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）承包人违反第 </w:t>
      </w:r>
      <w:r>
        <w:rPr>
          <w:color w:val="000000"/>
          <w:kern w:val="0"/>
          <w:szCs w:val="21"/>
        </w:rPr>
        <w:t xml:space="preserve">5.4 </w:t>
      </w:r>
      <w:r>
        <w:rPr>
          <w:rFonts w:hint="eastAsia" w:ascii="宋体" w:hAnsi="宋体" w:cs="宋体"/>
          <w:color w:val="000000"/>
          <w:kern w:val="0"/>
          <w:szCs w:val="21"/>
        </w:rPr>
        <w:t xml:space="preserve">款的约定使用了不合格材料或工程设备，工程质量达不 </w:t>
      </w:r>
    </w:p>
    <w:p w14:paraId="7C3F6BF1">
      <w:pPr>
        <w:widowControl/>
        <w:jc w:val="left"/>
        <w:rPr>
          <w:szCs w:val="21"/>
        </w:rPr>
      </w:pPr>
      <w:r>
        <w:rPr>
          <w:rFonts w:hint="eastAsia" w:ascii="宋体" w:hAnsi="宋体" w:cs="宋体"/>
          <w:color w:val="000000"/>
          <w:kern w:val="0"/>
          <w:szCs w:val="21"/>
        </w:rPr>
        <w:t xml:space="preserve">到标准要求，又拒绝清除不合格工程； </w:t>
      </w:r>
    </w:p>
    <w:p w14:paraId="48095C24">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）承包人未能按合同进度计划及时完成合同约定的工作，已造成或预期造成 </w:t>
      </w:r>
    </w:p>
    <w:p w14:paraId="0C035757">
      <w:pPr>
        <w:widowControl/>
        <w:jc w:val="left"/>
        <w:rPr>
          <w:szCs w:val="21"/>
        </w:rPr>
      </w:pPr>
      <w:r>
        <w:rPr>
          <w:rFonts w:hint="eastAsia" w:ascii="宋体" w:hAnsi="宋体" w:cs="宋体"/>
          <w:color w:val="000000"/>
          <w:kern w:val="0"/>
          <w:szCs w:val="21"/>
        </w:rPr>
        <w:t xml:space="preserve">工期延误； </w:t>
      </w:r>
    </w:p>
    <w:p w14:paraId="45354C2D">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）承包人在缺陷责任期内，未能对工程接收证书所列的缺陷清单的内容或缺陷责任期内发生的缺陷进行修复，而又拒绝按监理人指示再进行修补； </w:t>
      </w:r>
    </w:p>
    <w:p w14:paraId="4A44E5F7">
      <w:pPr>
        <w:widowControl/>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）承包人无法继续履行或明确表示不履行或实质上已停止履行合同； </w:t>
      </w:r>
    </w:p>
    <w:p w14:paraId="7EF20AD5">
      <w:pPr>
        <w:widowControl/>
        <w:jc w:val="left"/>
        <w:rPr>
          <w:szCs w:val="21"/>
        </w:rPr>
      </w:pPr>
      <w:r>
        <w:rPr>
          <w:rFonts w:hint="eastAsia" w:ascii="宋体" w:hAnsi="宋体" w:cs="宋体"/>
          <w:color w:val="000000"/>
          <w:kern w:val="0"/>
          <w:szCs w:val="21"/>
        </w:rPr>
        <w:t>（</w:t>
      </w:r>
      <w:r>
        <w:rPr>
          <w:color w:val="000000"/>
          <w:kern w:val="0"/>
          <w:szCs w:val="21"/>
        </w:rPr>
        <w:t>7</w:t>
      </w:r>
      <w:r>
        <w:rPr>
          <w:rFonts w:hint="eastAsia" w:ascii="宋体" w:hAnsi="宋体" w:cs="宋体"/>
          <w:color w:val="000000"/>
          <w:kern w:val="0"/>
          <w:szCs w:val="21"/>
        </w:rPr>
        <w:t xml:space="preserve">）承包人不按合同约定履行义务的其他情况。 </w:t>
      </w:r>
    </w:p>
    <w:p w14:paraId="1A45BB63">
      <w:pPr>
        <w:widowControl/>
        <w:jc w:val="left"/>
        <w:rPr>
          <w:szCs w:val="21"/>
        </w:rPr>
      </w:pPr>
      <w:r>
        <w:rPr>
          <w:color w:val="000000"/>
          <w:kern w:val="0"/>
          <w:szCs w:val="21"/>
        </w:rPr>
        <w:t xml:space="preserve">22.1.2 </w:t>
      </w:r>
      <w:r>
        <w:rPr>
          <w:rFonts w:ascii="黑体" w:hAnsi="宋体" w:eastAsia="黑体" w:cs="黑体"/>
          <w:color w:val="000000"/>
          <w:kern w:val="0"/>
          <w:szCs w:val="21"/>
        </w:rPr>
        <w:t xml:space="preserve">对承包人违约的处理 </w:t>
      </w:r>
    </w:p>
    <w:p w14:paraId="72589E79">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）承包人发生第 </w:t>
      </w:r>
      <w:r>
        <w:rPr>
          <w:color w:val="000000"/>
          <w:kern w:val="0"/>
          <w:szCs w:val="21"/>
        </w:rPr>
        <w:t>22.1.1</w:t>
      </w: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）目约定的违约情况时，发包人可通知承包人立即解除合同，并按有关法律处理。 </w:t>
      </w:r>
    </w:p>
    <w:p w14:paraId="06B2BA62">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）承包人发生除第 </w:t>
      </w:r>
      <w:r>
        <w:rPr>
          <w:color w:val="000000"/>
          <w:kern w:val="0"/>
          <w:szCs w:val="21"/>
        </w:rPr>
        <w:t>22.1.1</w:t>
      </w: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）目约定以外的其他违约情况时，监理人可向承包人发出整改通知，要求其在指定的期限内改正。承包人应承担其违约所引起的费用增加和（或）工期延误。 </w:t>
      </w:r>
    </w:p>
    <w:p w14:paraId="27C342DA">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）经检查证明承包人已采取了有效措施纠正违约行为，具备复工条件的，可由监理人签发复工通知复工。 </w:t>
      </w:r>
    </w:p>
    <w:p w14:paraId="7B2DE372">
      <w:pPr>
        <w:widowControl/>
        <w:jc w:val="left"/>
        <w:rPr>
          <w:szCs w:val="21"/>
        </w:rPr>
      </w:pPr>
      <w:r>
        <w:rPr>
          <w:color w:val="000000"/>
          <w:kern w:val="0"/>
          <w:szCs w:val="21"/>
        </w:rPr>
        <w:t xml:space="preserve">22.1.3 </w:t>
      </w:r>
      <w:r>
        <w:rPr>
          <w:rFonts w:hint="eastAsia" w:ascii="黑体" w:hAnsi="宋体" w:eastAsia="黑体" w:cs="黑体"/>
          <w:color w:val="000000"/>
          <w:kern w:val="0"/>
          <w:szCs w:val="21"/>
        </w:rPr>
        <w:t xml:space="preserve">承包人违约解除合同 </w:t>
      </w:r>
    </w:p>
    <w:p w14:paraId="520EBB00">
      <w:pPr>
        <w:widowControl/>
        <w:jc w:val="left"/>
        <w:rPr>
          <w:szCs w:val="21"/>
        </w:rPr>
      </w:pPr>
      <w:r>
        <w:rPr>
          <w:rFonts w:hint="eastAsia" w:ascii="宋体" w:hAnsi="宋体" w:cs="宋体"/>
          <w:color w:val="000000"/>
          <w:kern w:val="0"/>
          <w:szCs w:val="21"/>
        </w:rPr>
        <w:t xml:space="preserve">监理人发出整改通知 </w:t>
      </w:r>
      <w:r>
        <w:rPr>
          <w:color w:val="000000"/>
          <w:kern w:val="0"/>
          <w:szCs w:val="21"/>
        </w:rPr>
        <w:t xml:space="preserve">28 </w:t>
      </w:r>
      <w:r>
        <w:rPr>
          <w:rFonts w:hint="eastAsia" w:ascii="宋体" w:hAnsi="宋体" w:cs="宋体"/>
          <w:color w:val="000000"/>
          <w:kern w:val="0"/>
          <w:szCs w:val="21"/>
        </w:rP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 </w:t>
      </w:r>
    </w:p>
    <w:p w14:paraId="289EE5B1">
      <w:pPr>
        <w:widowControl/>
        <w:jc w:val="left"/>
        <w:rPr>
          <w:szCs w:val="21"/>
        </w:rPr>
      </w:pPr>
      <w:r>
        <w:rPr>
          <w:color w:val="000000"/>
          <w:kern w:val="0"/>
          <w:szCs w:val="21"/>
        </w:rPr>
        <w:t xml:space="preserve">22.1.4 </w:t>
      </w:r>
      <w:r>
        <w:rPr>
          <w:rFonts w:hint="eastAsia" w:ascii="黑体" w:hAnsi="宋体" w:eastAsia="黑体" w:cs="黑体"/>
          <w:color w:val="000000"/>
          <w:kern w:val="0"/>
          <w:szCs w:val="21"/>
        </w:rPr>
        <w:t xml:space="preserve">合同解除后的估价、付款和结清 </w:t>
      </w:r>
    </w:p>
    <w:p w14:paraId="04F3BAF1">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）合同解除后，监理人按第 </w:t>
      </w:r>
      <w:r>
        <w:rPr>
          <w:color w:val="000000"/>
          <w:kern w:val="0"/>
          <w:szCs w:val="21"/>
        </w:rPr>
        <w:t xml:space="preserve">3.5 </w:t>
      </w:r>
      <w:r>
        <w:rPr>
          <w:rFonts w:hint="eastAsia" w:ascii="宋体" w:hAnsi="宋体" w:cs="宋体"/>
          <w:color w:val="000000"/>
          <w:kern w:val="0"/>
          <w:szCs w:val="21"/>
        </w:rPr>
        <w:t xml:space="preserve">款商定或确定承包人实际完成工作的价值，以及承包人已提供的材料、施工设备、工程设备和临时工程等的价值。 </w:t>
      </w:r>
    </w:p>
    <w:p w14:paraId="45B1000C">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）合同解除后，发包人应暂停对承包人的一切付款，查清各项付款和已扣款金额，包括承包人应支付的违约金。 </w:t>
      </w:r>
    </w:p>
    <w:p w14:paraId="2703E5C6">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）合同解除后，发包人应按第 </w:t>
      </w:r>
      <w:r>
        <w:rPr>
          <w:color w:val="000000"/>
          <w:kern w:val="0"/>
          <w:szCs w:val="21"/>
        </w:rPr>
        <w:t xml:space="preserve">23.4 </w:t>
      </w:r>
      <w:r>
        <w:rPr>
          <w:rFonts w:hint="eastAsia" w:ascii="宋体" w:hAnsi="宋体" w:cs="宋体"/>
          <w:color w:val="000000"/>
          <w:kern w:val="0"/>
          <w:szCs w:val="21"/>
        </w:rPr>
        <w:t xml:space="preserve">款的约定向承包人索赔由于解除合同给发包人造成的损失。 </w:t>
      </w:r>
    </w:p>
    <w:p w14:paraId="0E411640">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）合同双方确认上述往来款项后，出具最终结清付款证书，结清全部合同款项。 </w:t>
      </w:r>
    </w:p>
    <w:p w14:paraId="28AF00F7">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）发包人和承包人未能就解除合同后的结清达成一致而形成争议的，按第 </w:t>
      </w:r>
    </w:p>
    <w:p w14:paraId="73CC3DCB">
      <w:pPr>
        <w:widowControl/>
        <w:jc w:val="left"/>
        <w:rPr>
          <w:szCs w:val="21"/>
        </w:rPr>
      </w:pPr>
      <w:r>
        <w:rPr>
          <w:color w:val="000000"/>
          <w:kern w:val="0"/>
          <w:szCs w:val="21"/>
        </w:rPr>
        <w:t xml:space="preserve">24 </w:t>
      </w:r>
      <w:r>
        <w:rPr>
          <w:rFonts w:hint="eastAsia" w:ascii="宋体" w:hAnsi="宋体" w:cs="宋体"/>
          <w:color w:val="000000"/>
          <w:kern w:val="0"/>
          <w:szCs w:val="21"/>
        </w:rPr>
        <w:t xml:space="preserve">条的约定办理。 </w:t>
      </w:r>
    </w:p>
    <w:p w14:paraId="6C5B11A6">
      <w:pPr>
        <w:widowControl/>
        <w:jc w:val="left"/>
        <w:rPr>
          <w:szCs w:val="21"/>
        </w:rPr>
      </w:pPr>
      <w:r>
        <w:rPr>
          <w:color w:val="000000"/>
          <w:kern w:val="0"/>
          <w:szCs w:val="21"/>
        </w:rPr>
        <w:t xml:space="preserve">22.1.5 </w:t>
      </w:r>
      <w:r>
        <w:rPr>
          <w:rFonts w:hint="eastAsia" w:ascii="黑体" w:hAnsi="宋体" w:eastAsia="黑体" w:cs="黑体"/>
          <w:color w:val="000000"/>
          <w:kern w:val="0"/>
          <w:szCs w:val="21"/>
        </w:rPr>
        <w:t>协议利益的转让</w:t>
      </w:r>
    </w:p>
    <w:p w14:paraId="3141A16D">
      <w:pPr>
        <w:widowControl/>
        <w:jc w:val="left"/>
        <w:rPr>
          <w:szCs w:val="21"/>
        </w:rPr>
      </w:pPr>
      <w:r>
        <w:rPr>
          <w:rFonts w:hint="eastAsia" w:ascii="宋体" w:hAnsi="宋体" w:cs="宋体"/>
          <w:color w:val="000000"/>
          <w:kern w:val="0"/>
          <w:szCs w:val="21"/>
        </w:rPr>
        <w:t xml:space="preserve">因承包人违约解除合同的，发包人有权要求承包人将其为实施合同而签订的材料和设备的订货协议或任何服务协议利益转让给发包人，并在解除合同后的 </w:t>
      </w:r>
      <w:r>
        <w:rPr>
          <w:color w:val="000000"/>
          <w:kern w:val="0"/>
          <w:szCs w:val="21"/>
        </w:rPr>
        <w:t xml:space="preserve">14 </w:t>
      </w:r>
      <w:r>
        <w:rPr>
          <w:rFonts w:hint="eastAsia" w:ascii="宋体" w:hAnsi="宋体" w:cs="宋体"/>
          <w:color w:val="000000"/>
          <w:kern w:val="0"/>
          <w:szCs w:val="21"/>
        </w:rPr>
        <w:t xml:space="preserve">天内，依法办理转让手续。 </w:t>
      </w:r>
    </w:p>
    <w:p w14:paraId="7D3F29E5">
      <w:pPr>
        <w:widowControl/>
        <w:jc w:val="left"/>
        <w:rPr>
          <w:szCs w:val="21"/>
        </w:rPr>
      </w:pPr>
      <w:r>
        <w:rPr>
          <w:color w:val="000000"/>
          <w:kern w:val="0"/>
          <w:szCs w:val="21"/>
        </w:rPr>
        <w:t xml:space="preserve">22.1.6 </w:t>
      </w:r>
      <w:r>
        <w:rPr>
          <w:rFonts w:ascii="黑体" w:hAnsi="宋体" w:eastAsia="黑体" w:cs="黑体"/>
          <w:color w:val="000000"/>
          <w:kern w:val="0"/>
          <w:szCs w:val="21"/>
        </w:rPr>
        <w:t xml:space="preserve">紧急情况下无能力或不愿进行抢救 </w:t>
      </w:r>
    </w:p>
    <w:p w14:paraId="24AC9786">
      <w:pPr>
        <w:widowControl/>
        <w:jc w:val="left"/>
        <w:rPr>
          <w:szCs w:val="21"/>
        </w:rPr>
      </w:pPr>
      <w:r>
        <w:rPr>
          <w:rFonts w:hint="eastAsia" w:ascii="宋体" w:hAnsi="宋体" w:cs="宋体"/>
          <w:color w:val="000000"/>
          <w:kern w:val="0"/>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 </w:t>
      </w:r>
    </w:p>
    <w:p w14:paraId="7EF3A8CE">
      <w:pPr>
        <w:widowControl/>
        <w:jc w:val="left"/>
        <w:rPr>
          <w:szCs w:val="21"/>
        </w:rPr>
      </w:pPr>
      <w:r>
        <w:rPr>
          <w:color w:val="000000"/>
          <w:kern w:val="0"/>
          <w:szCs w:val="21"/>
        </w:rPr>
        <w:t xml:space="preserve">22.2 </w:t>
      </w:r>
      <w:r>
        <w:rPr>
          <w:rFonts w:hint="eastAsia" w:ascii="黑体" w:hAnsi="宋体" w:eastAsia="黑体" w:cs="黑体"/>
          <w:color w:val="000000"/>
          <w:kern w:val="0"/>
          <w:szCs w:val="21"/>
        </w:rPr>
        <w:t xml:space="preserve">发包人违约 </w:t>
      </w:r>
    </w:p>
    <w:p w14:paraId="7B02D137">
      <w:pPr>
        <w:widowControl/>
        <w:jc w:val="left"/>
        <w:rPr>
          <w:szCs w:val="21"/>
        </w:rPr>
      </w:pPr>
      <w:r>
        <w:rPr>
          <w:color w:val="000000"/>
          <w:kern w:val="0"/>
          <w:szCs w:val="21"/>
        </w:rPr>
        <w:t xml:space="preserve">22.2.1 </w:t>
      </w:r>
      <w:r>
        <w:rPr>
          <w:rFonts w:hint="eastAsia" w:ascii="黑体" w:hAnsi="宋体" w:eastAsia="黑体" w:cs="黑体"/>
          <w:color w:val="000000"/>
          <w:kern w:val="0"/>
          <w:szCs w:val="21"/>
        </w:rPr>
        <w:t xml:space="preserve">发包人违约的情形 </w:t>
      </w:r>
    </w:p>
    <w:p w14:paraId="58BFFEB0">
      <w:pPr>
        <w:widowControl/>
        <w:jc w:val="left"/>
        <w:rPr>
          <w:szCs w:val="21"/>
        </w:rPr>
      </w:pPr>
      <w:r>
        <w:rPr>
          <w:rFonts w:hint="eastAsia" w:ascii="宋体" w:hAnsi="宋体" w:cs="宋体"/>
          <w:color w:val="000000"/>
          <w:kern w:val="0"/>
          <w:szCs w:val="21"/>
        </w:rPr>
        <w:t xml:space="preserve">在履行合同过程中发生的下列情形，属发包人违约： </w:t>
      </w:r>
    </w:p>
    <w:p w14:paraId="1B7F9DB8">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）发包人未能按合同约定支付预付款或合同价款，或拖延、拒绝批准付款申请和支付凭证，导致付款延误的； </w:t>
      </w:r>
    </w:p>
    <w:p w14:paraId="4DBBD4B9">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）发包人原因造成停工的； </w:t>
      </w:r>
    </w:p>
    <w:p w14:paraId="028C3230">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）监理人无正当理由没有在约定期限内发出复工指示，导致承包人无法复工的； </w:t>
      </w:r>
    </w:p>
    <w:p w14:paraId="586A4931">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）发包人无法继续履行或明确表示不履行或实质上已停止履行合同的； </w:t>
      </w:r>
    </w:p>
    <w:p w14:paraId="68D2BFBC">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）发包人不履行合同约定其他义务的。 </w:t>
      </w:r>
    </w:p>
    <w:p w14:paraId="1CDB248D">
      <w:pPr>
        <w:widowControl/>
        <w:jc w:val="left"/>
        <w:rPr>
          <w:szCs w:val="21"/>
        </w:rPr>
      </w:pPr>
      <w:r>
        <w:rPr>
          <w:color w:val="000000"/>
          <w:kern w:val="0"/>
          <w:szCs w:val="21"/>
        </w:rPr>
        <w:t xml:space="preserve">22.2.2 </w:t>
      </w:r>
      <w:r>
        <w:rPr>
          <w:rFonts w:hint="eastAsia" w:ascii="黑体" w:hAnsi="宋体" w:eastAsia="黑体" w:cs="黑体"/>
          <w:color w:val="000000"/>
          <w:kern w:val="0"/>
          <w:szCs w:val="21"/>
        </w:rPr>
        <w:t xml:space="preserve">承包人有权暂停施工 </w:t>
      </w:r>
    </w:p>
    <w:p w14:paraId="06DF7519">
      <w:pPr>
        <w:widowControl/>
        <w:jc w:val="left"/>
        <w:rPr>
          <w:szCs w:val="21"/>
        </w:rPr>
      </w:pPr>
      <w:r>
        <w:rPr>
          <w:rFonts w:hint="eastAsia" w:ascii="宋体" w:hAnsi="宋体" w:cs="宋体"/>
          <w:color w:val="000000"/>
          <w:kern w:val="0"/>
          <w:szCs w:val="21"/>
        </w:rPr>
        <w:t xml:space="preserve">发包人发生除第 </w:t>
      </w:r>
      <w:r>
        <w:rPr>
          <w:color w:val="000000"/>
          <w:kern w:val="0"/>
          <w:szCs w:val="21"/>
        </w:rPr>
        <w:t>22.2.1</w:t>
      </w: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）目以外的违约情况时，承包人可向发包人发出通知，要求发包人采取有效措施纠正违约行为。发包人收到承包人通知后的 </w:t>
      </w:r>
      <w:r>
        <w:rPr>
          <w:color w:val="000000"/>
          <w:kern w:val="0"/>
          <w:szCs w:val="21"/>
        </w:rPr>
        <w:t xml:space="preserve">28 </w:t>
      </w:r>
      <w:r>
        <w:rPr>
          <w:rFonts w:hint="eastAsia" w:ascii="宋体" w:hAnsi="宋体" w:cs="宋体"/>
          <w:color w:val="000000"/>
          <w:kern w:val="0"/>
          <w:szCs w:val="21"/>
        </w:rPr>
        <w:t xml:space="preserve">天内仍不履行合同义务，承包人有权暂停施工，并通知监理人，发包人应承担由此增加的费用和（或）工期延误，并支付承包人合理利润。 </w:t>
      </w:r>
    </w:p>
    <w:p w14:paraId="33E9159F">
      <w:pPr>
        <w:widowControl/>
        <w:jc w:val="left"/>
        <w:rPr>
          <w:szCs w:val="21"/>
        </w:rPr>
      </w:pPr>
      <w:r>
        <w:rPr>
          <w:color w:val="000000"/>
          <w:kern w:val="0"/>
          <w:szCs w:val="21"/>
        </w:rPr>
        <w:t xml:space="preserve">22.2.3 </w:t>
      </w:r>
      <w:r>
        <w:rPr>
          <w:rFonts w:hint="eastAsia" w:ascii="黑体" w:hAnsi="宋体" w:eastAsia="黑体" w:cs="黑体"/>
          <w:color w:val="000000"/>
          <w:kern w:val="0"/>
          <w:szCs w:val="21"/>
        </w:rPr>
        <w:t xml:space="preserve">发包人违约解除合同 </w:t>
      </w:r>
    </w:p>
    <w:p w14:paraId="0DA5BF0D">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）发生第 </w:t>
      </w:r>
      <w:r>
        <w:rPr>
          <w:color w:val="000000"/>
          <w:kern w:val="0"/>
          <w:szCs w:val="21"/>
        </w:rPr>
        <w:t>22.2.1</w:t>
      </w: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）目的违约情况时，承包人可书面通知发包人解除合同。 </w:t>
      </w:r>
    </w:p>
    <w:p w14:paraId="49E3A621">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）承包人按第 </w:t>
      </w:r>
      <w:r>
        <w:rPr>
          <w:color w:val="000000"/>
          <w:kern w:val="0"/>
          <w:szCs w:val="21"/>
        </w:rPr>
        <w:t xml:space="preserve">22.2.2 </w:t>
      </w:r>
      <w:r>
        <w:rPr>
          <w:rFonts w:hint="eastAsia" w:ascii="宋体" w:hAnsi="宋体" w:cs="宋体"/>
          <w:color w:val="000000"/>
          <w:kern w:val="0"/>
          <w:szCs w:val="21"/>
        </w:rPr>
        <w:t xml:space="preserve">项暂停施工 </w:t>
      </w:r>
      <w:r>
        <w:rPr>
          <w:color w:val="000000"/>
          <w:kern w:val="0"/>
          <w:szCs w:val="21"/>
        </w:rPr>
        <w:t xml:space="preserve">28 </w:t>
      </w:r>
      <w:r>
        <w:rPr>
          <w:rFonts w:hint="eastAsia" w:ascii="宋体" w:hAnsi="宋体" w:cs="宋体"/>
          <w:color w:val="000000"/>
          <w:kern w:val="0"/>
          <w:szCs w:val="21"/>
        </w:rPr>
        <w:t xml:space="preserve">天后，发包人仍不纠正违约行为的，承包人可向发包人发出解除合同通知。但承包人的这一行动不免除发包人承担的违约责任，也不影响承包人根据合同约定享有的索赔权利。 </w:t>
      </w:r>
    </w:p>
    <w:p w14:paraId="2765D1DB">
      <w:pPr>
        <w:widowControl/>
        <w:jc w:val="left"/>
        <w:rPr>
          <w:szCs w:val="21"/>
        </w:rPr>
      </w:pPr>
      <w:r>
        <w:rPr>
          <w:color w:val="000000"/>
          <w:kern w:val="0"/>
          <w:szCs w:val="21"/>
        </w:rPr>
        <w:t xml:space="preserve">22.2.4 </w:t>
      </w:r>
      <w:r>
        <w:rPr>
          <w:rFonts w:hint="eastAsia" w:ascii="黑体" w:hAnsi="宋体" w:eastAsia="黑体" w:cs="黑体"/>
          <w:color w:val="000000"/>
          <w:kern w:val="0"/>
          <w:szCs w:val="21"/>
        </w:rPr>
        <w:t xml:space="preserve">解除合同后的付款 </w:t>
      </w:r>
    </w:p>
    <w:p w14:paraId="6A83B996">
      <w:pPr>
        <w:widowControl/>
        <w:jc w:val="left"/>
        <w:rPr>
          <w:szCs w:val="21"/>
        </w:rPr>
      </w:pPr>
      <w:r>
        <w:rPr>
          <w:rFonts w:hint="eastAsia" w:ascii="宋体" w:hAnsi="宋体" w:cs="宋体"/>
          <w:color w:val="000000"/>
          <w:kern w:val="0"/>
          <w:szCs w:val="21"/>
        </w:rPr>
        <w:t xml:space="preserve">因发包人违约解除合同的，发包人应在解除合同后 </w:t>
      </w:r>
      <w:r>
        <w:rPr>
          <w:color w:val="000000"/>
          <w:kern w:val="0"/>
          <w:szCs w:val="21"/>
        </w:rPr>
        <w:t xml:space="preserve">28 </w:t>
      </w:r>
      <w:r>
        <w:rPr>
          <w:rFonts w:hint="eastAsia" w:ascii="宋体" w:hAnsi="宋体" w:cs="宋体"/>
          <w:color w:val="000000"/>
          <w:kern w:val="0"/>
          <w:szCs w:val="21"/>
        </w:rPr>
        <w:t xml:space="preserve">天内向承包人支付下列金额，承包人应在此期限内及时向发包人提交要求支付下列金额的有关资料和凭证： </w:t>
      </w:r>
    </w:p>
    <w:p w14:paraId="65F80524">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）合同解除日以前所完成工作的价款； </w:t>
      </w:r>
    </w:p>
    <w:p w14:paraId="6CFCA2C0">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）承包人为该工程施工订购并已付款的材料、工程设备和其他物品的金额。发包人付还后，该材料、工程设备和其他物品归发包人所有； </w:t>
      </w:r>
    </w:p>
    <w:p w14:paraId="246B0058">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）承包人为完成工程所发生的，而发包人未支付的金额； </w:t>
      </w:r>
    </w:p>
    <w:p w14:paraId="6F22DA7E">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）承包人撤离施工场地以及遣散承包人人员的金额； </w:t>
      </w:r>
    </w:p>
    <w:p w14:paraId="3C62DAF0">
      <w:pPr>
        <w:widowControl/>
        <w:jc w:val="left"/>
        <w:rPr>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 xml:space="preserve">）由于解除合同应赔偿的承包人损失； </w:t>
      </w:r>
    </w:p>
    <w:p w14:paraId="4CA5EE20">
      <w:pPr>
        <w:widowControl/>
        <w:jc w:val="left"/>
        <w:rPr>
          <w:szCs w:val="21"/>
        </w:rPr>
      </w:pPr>
      <w:r>
        <w:rPr>
          <w:rFonts w:hint="eastAsia" w:ascii="宋体" w:hAnsi="宋体" w:cs="宋体"/>
          <w:color w:val="000000"/>
          <w:kern w:val="0"/>
          <w:szCs w:val="21"/>
        </w:rPr>
        <w:t>（</w:t>
      </w:r>
      <w:r>
        <w:rPr>
          <w:color w:val="000000"/>
          <w:kern w:val="0"/>
          <w:szCs w:val="21"/>
        </w:rPr>
        <w:t>6</w:t>
      </w:r>
      <w:r>
        <w:rPr>
          <w:rFonts w:hint="eastAsia" w:ascii="宋体" w:hAnsi="宋体" w:cs="宋体"/>
          <w:color w:val="000000"/>
          <w:kern w:val="0"/>
          <w:szCs w:val="21"/>
        </w:rPr>
        <w:t xml:space="preserve">）按合同约定在合同解除日前应支付给承包人的其他金额。发包人应按本项约定支付上述金额并退还质量保证金和履约担保，但有权要求承包人支付应偿还给发包人的各项金额。 </w:t>
      </w:r>
    </w:p>
    <w:p w14:paraId="15C25868">
      <w:pPr>
        <w:widowControl/>
        <w:jc w:val="left"/>
        <w:rPr>
          <w:szCs w:val="21"/>
        </w:rPr>
      </w:pPr>
      <w:r>
        <w:rPr>
          <w:color w:val="000000"/>
          <w:kern w:val="0"/>
          <w:szCs w:val="21"/>
        </w:rPr>
        <w:t xml:space="preserve">22.2.5 </w:t>
      </w:r>
      <w:r>
        <w:rPr>
          <w:rFonts w:ascii="黑体" w:hAnsi="宋体" w:eastAsia="黑体" w:cs="黑体"/>
          <w:color w:val="000000"/>
          <w:kern w:val="0"/>
          <w:szCs w:val="21"/>
        </w:rPr>
        <w:t xml:space="preserve">解除合同后的承包人撤离 </w:t>
      </w:r>
    </w:p>
    <w:p w14:paraId="6D5D9023">
      <w:pPr>
        <w:widowControl/>
        <w:jc w:val="left"/>
        <w:rPr>
          <w:szCs w:val="21"/>
        </w:rPr>
      </w:pPr>
      <w:r>
        <w:rPr>
          <w:rFonts w:hint="eastAsia" w:ascii="宋体" w:hAnsi="宋体" w:cs="宋体"/>
          <w:color w:val="000000"/>
          <w:kern w:val="0"/>
          <w:szCs w:val="21"/>
        </w:rPr>
        <w:t xml:space="preserve">因发包人违约而解除合同后，承包人应妥善做好已竣工工程和已购材料、设备的保护和移交工作，按发包人要求将承包人设备和人员撤出施工场地。承包人撤出施工场地应遵守第 </w:t>
      </w:r>
      <w:r>
        <w:rPr>
          <w:color w:val="000000"/>
          <w:kern w:val="0"/>
          <w:szCs w:val="21"/>
        </w:rPr>
        <w:t xml:space="preserve">18.7.1 </w:t>
      </w:r>
      <w:r>
        <w:rPr>
          <w:rFonts w:hint="eastAsia" w:ascii="宋体" w:hAnsi="宋体" w:cs="宋体"/>
          <w:color w:val="000000"/>
          <w:kern w:val="0"/>
          <w:szCs w:val="21"/>
        </w:rPr>
        <w:t xml:space="preserve">项的约定，发包人应为承包人撤出提供必要条件。 </w:t>
      </w:r>
    </w:p>
    <w:p w14:paraId="7CDCE0E4">
      <w:pPr>
        <w:widowControl/>
        <w:jc w:val="left"/>
        <w:rPr>
          <w:szCs w:val="21"/>
        </w:rPr>
      </w:pPr>
      <w:r>
        <w:rPr>
          <w:color w:val="000000"/>
          <w:kern w:val="0"/>
          <w:szCs w:val="21"/>
        </w:rPr>
        <w:t xml:space="preserve">22.3 </w:t>
      </w:r>
      <w:r>
        <w:rPr>
          <w:rFonts w:hint="eastAsia" w:ascii="黑体" w:hAnsi="宋体" w:eastAsia="黑体" w:cs="黑体"/>
          <w:color w:val="000000"/>
          <w:kern w:val="0"/>
          <w:szCs w:val="21"/>
        </w:rPr>
        <w:t xml:space="preserve">第三人造成的违约 </w:t>
      </w:r>
    </w:p>
    <w:p w14:paraId="127D4145">
      <w:pPr>
        <w:widowControl/>
        <w:jc w:val="left"/>
        <w:rPr>
          <w:szCs w:val="21"/>
        </w:rPr>
      </w:pPr>
      <w:r>
        <w:rPr>
          <w:rFonts w:hint="eastAsia" w:ascii="宋体" w:hAnsi="宋体" w:cs="宋体"/>
          <w:color w:val="000000"/>
          <w:kern w:val="0"/>
          <w:szCs w:val="21"/>
        </w:rPr>
        <w:t xml:space="preserve">在履行合同过程中，一方当事人因第三人的原因造成违约的，应当向对方当事人承担违约责任。一方当事人和第三人之间的纠纷，依照法律规定或者按照约定解决。 </w:t>
      </w:r>
    </w:p>
    <w:p w14:paraId="4AF9CB0D">
      <w:pPr>
        <w:widowControl/>
        <w:jc w:val="left"/>
        <w:rPr>
          <w:szCs w:val="21"/>
        </w:rPr>
      </w:pPr>
      <w:r>
        <w:rPr>
          <w:color w:val="000000"/>
          <w:kern w:val="0"/>
          <w:szCs w:val="21"/>
        </w:rPr>
        <w:t xml:space="preserve">23. </w:t>
      </w:r>
      <w:r>
        <w:rPr>
          <w:rFonts w:hint="eastAsia" w:ascii="黑体" w:hAnsi="宋体" w:eastAsia="黑体" w:cs="黑体"/>
          <w:color w:val="000000"/>
          <w:kern w:val="0"/>
          <w:szCs w:val="21"/>
        </w:rPr>
        <w:t xml:space="preserve">索赔 </w:t>
      </w:r>
    </w:p>
    <w:p w14:paraId="01DD2969">
      <w:pPr>
        <w:widowControl/>
        <w:jc w:val="left"/>
        <w:rPr>
          <w:szCs w:val="21"/>
        </w:rPr>
      </w:pPr>
      <w:r>
        <w:rPr>
          <w:color w:val="000000"/>
          <w:kern w:val="0"/>
          <w:szCs w:val="21"/>
        </w:rPr>
        <w:t xml:space="preserve">23.1 </w:t>
      </w:r>
      <w:r>
        <w:rPr>
          <w:rFonts w:hint="eastAsia" w:ascii="黑体" w:hAnsi="宋体" w:eastAsia="黑体" w:cs="黑体"/>
          <w:color w:val="000000"/>
          <w:kern w:val="0"/>
          <w:szCs w:val="21"/>
        </w:rPr>
        <w:t xml:space="preserve">承包人索赔的提出 </w:t>
      </w:r>
    </w:p>
    <w:p w14:paraId="37A72D11">
      <w:pPr>
        <w:widowControl/>
        <w:jc w:val="left"/>
        <w:rPr>
          <w:szCs w:val="21"/>
        </w:rPr>
      </w:pPr>
      <w:r>
        <w:rPr>
          <w:rFonts w:hint="eastAsia" w:ascii="宋体" w:hAnsi="宋体" w:cs="宋体"/>
          <w:color w:val="000000"/>
          <w:kern w:val="0"/>
          <w:szCs w:val="21"/>
        </w:rPr>
        <w:t xml:space="preserve">根据合同约定，承包人认为有权得到追加付款和（或）延长工期的，应按以下程序向发包人提出索赔： </w:t>
      </w:r>
    </w:p>
    <w:p w14:paraId="6D818901">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）承包人应在知道或应当知道索赔事件发生后 </w:t>
      </w:r>
      <w:r>
        <w:rPr>
          <w:color w:val="000000"/>
          <w:kern w:val="0"/>
          <w:szCs w:val="21"/>
        </w:rPr>
        <w:t xml:space="preserve">28 </w:t>
      </w:r>
      <w:r>
        <w:rPr>
          <w:rFonts w:hint="eastAsia" w:ascii="宋体" w:hAnsi="宋体" w:cs="宋体"/>
          <w:color w:val="000000"/>
          <w:kern w:val="0"/>
          <w:szCs w:val="21"/>
        </w:rPr>
        <w:t xml:space="preserve">天内，向监理人递交索赔意向通知书，并说明发生索赔事件的事由。承包人未在前述 </w:t>
      </w:r>
      <w:r>
        <w:rPr>
          <w:color w:val="000000"/>
          <w:kern w:val="0"/>
          <w:szCs w:val="21"/>
        </w:rPr>
        <w:t xml:space="preserve">28 </w:t>
      </w:r>
      <w:r>
        <w:rPr>
          <w:rFonts w:hint="eastAsia" w:ascii="宋体" w:hAnsi="宋体" w:cs="宋体"/>
          <w:color w:val="000000"/>
          <w:kern w:val="0"/>
          <w:szCs w:val="21"/>
        </w:rPr>
        <w:t xml:space="preserve">天内发出索赔意向通知书的，丧失要求追加付款和（或）延长工期的权利； </w:t>
      </w:r>
    </w:p>
    <w:p w14:paraId="6EDDAF3C">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）承包人应在发出索赔意向通知书后 </w:t>
      </w:r>
      <w:r>
        <w:rPr>
          <w:color w:val="000000"/>
          <w:kern w:val="0"/>
          <w:szCs w:val="21"/>
        </w:rPr>
        <w:t xml:space="preserve">28 </w:t>
      </w:r>
      <w:r>
        <w:rPr>
          <w:rFonts w:hint="eastAsia" w:ascii="宋体" w:hAnsi="宋体" w:cs="宋体"/>
          <w:color w:val="000000"/>
          <w:kern w:val="0"/>
          <w:szCs w:val="21"/>
        </w:rPr>
        <w:t xml:space="preserve">天内，向监理人正式递交索赔通知书。索赔通知书应详细说明索赔理由以及要求追加的付款金额和（或）延长的工期，并附必要的记录和证明材料； </w:t>
      </w:r>
    </w:p>
    <w:p w14:paraId="46E2B0B2">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）索赔事件具有连续影响的，承包人应按合理时间间隔继续递交延续索赔通知，说明连续影响的实际情况和记录，列出累计的追加付款金额和（或）工期延长天数； </w:t>
      </w:r>
    </w:p>
    <w:p w14:paraId="0AE0B799">
      <w:pPr>
        <w:widowControl/>
        <w:jc w:val="left"/>
        <w:rPr>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 xml:space="preserve">）在索赔事件影响结束后的 </w:t>
      </w:r>
      <w:r>
        <w:rPr>
          <w:color w:val="000000"/>
          <w:kern w:val="0"/>
          <w:szCs w:val="21"/>
        </w:rPr>
        <w:t xml:space="preserve">28 </w:t>
      </w:r>
      <w:r>
        <w:rPr>
          <w:rFonts w:hint="eastAsia" w:ascii="宋体" w:hAnsi="宋体" w:cs="宋体"/>
          <w:color w:val="000000"/>
          <w:kern w:val="0"/>
          <w:szCs w:val="21"/>
        </w:rPr>
        <w:t>天内，承包人应向监理人递交最终索赔通知书，说明最终要求索赔的追加付款金额和延长的工期，并附必要的记录和证明材料。</w:t>
      </w:r>
    </w:p>
    <w:p w14:paraId="48A3F154">
      <w:pPr>
        <w:widowControl/>
        <w:jc w:val="left"/>
        <w:rPr>
          <w:szCs w:val="21"/>
        </w:rPr>
      </w:pPr>
      <w:r>
        <w:rPr>
          <w:color w:val="000000"/>
          <w:kern w:val="0"/>
          <w:szCs w:val="21"/>
        </w:rPr>
        <w:t xml:space="preserve">23.2 </w:t>
      </w:r>
      <w:r>
        <w:rPr>
          <w:rFonts w:ascii="黑体" w:hAnsi="宋体" w:eastAsia="黑体" w:cs="黑体"/>
          <w:color w:val="000000"/>
          <w:kern w:val="0"/>
          <w:szCs w:val="21"/>
        </w:rPr>
        <w:t xml:space="preserve">承包人索赔处理程序 </w:t>
      </w:r>
    </w:p>
    <w:p w14:paraId="38A0A017">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）监理人收到承包人提交的索赔通知书后，应及时审查索赔通知书的内容、查验承包人的记录和证明材料，必要时监理人可要求承包人提交全部原始记录副本。 </w:t>
      </w:r>
    </w:p>
    <w:p w14:paraId="2A8578A4">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 xml:space="preserve">）监理人应按第 </w:t>
      </w:r>
      <w:r>
        <w:rPr>
          <w:color w:val="000000"/>
          <w:kern w:val="0"/>
          <w:szCs w:val="21"/>
        </w:rPr>
        <w:t xml:space="preserve">3.5 </w:t>
      </w:r>
      <w:r>
        <w:rPr>
          <w:rFonts w:hint="eastAsia" w:ascii="宋体" w:hAnsi="宋体" w:cs="宋体"/>
          <w:color w:val="000000"/>
          <w:kern w:val="0"/>
          <w:szCs w:val="21"/>
        </w:rPr>
        <w:t xml:space="preserve">款商定或确定追加的付款和（或）延长的工期，并在收到上述索赔通知书或有关索赔的进一步证明材料后的 </w:t>
      </w:r>
      <w:r>
        <w:rPr>
          <w:color w:val="000000"/>
          <w:kern w:val="0"/>
          <w:szCs w:val="21"/>
        </w:rPr>
        <w:t xml:space="preserve">42 </w:t>
      </w:r>
      <w:r>
        <w:rPr>
          <w:rFonts w:hint="eastAsia" w:ascii="宋体" w:hAnsi="宋体" w:cs="宋体"/>
          <w:color w:val="000000"/>
          <w:kern w:val="0"/>
          <w:szCs w:val="21"/>
        </w:rPr>
        <w:t xml:space="preserve">天内，将索赔处理结果答复承包人。 </w:t>
      </w:r>
    </w:p>
    <w:p w14:paraId="2BC55ABB">
      <w:pPr>
        <w:widowControl/>
        <w:jc w:val="left"/>
        <w:rPr>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 xml:space="preserve">）承包人接受索赔处理结果的，发包人应在作出索赔处理结果答复后 </w:t>
      </w:r>
      <w:r>
        <w:rPr>
          <w:color w:val="000000"/>
          <w:kern w:val="0"/>
          <w:szCs w:val="21"/>
        </w:rPr>
        <w:t xml:space="preserve">28 </w:t>
      </w:r>
      <w:r>
        <w:rPr>
          <w:rFonts w:hint="eastAsia" w:ascii="宋体" w:hAnsi="宋体" w:cs="宋体"/>
          <w:color w:val="000000"/>
          <w:kern w:val="0"/>
          <w:szCs w:val="21"/>
        </w:rPr>
        <w:t xml:space="preserve">天内完成赔付。承包人不接受索赔处理结果的，按第 </w:t>
      </w:r>
      <w:r>
        <w:rPr>
          <w:color w:val="000000"/>
          <w:kern w:val="0"/>
          <w:szCs w:val="21"/>
        </w:rPr>
        <w:t xml:space="preserve">24 </w:t>
      </w:r>
      <w:r>
        <w:rPr>
          <w:rFonts w:hint="eastAsia" w:ascii="宋体" w:hAnsi="宋体" w:cs="宋体"/>
          <w:color w:val="000000"/>
          <w:kern w:val="0"/>
          <w:szCs w:val="21"/>
        </w:rPr>
        <w:t xml:space="preserve">条的约定办理。 </w:t>
      </w:r>
    </w:p>
    <w:p w14:paraId="5154DB70">
      <w:pPr>
        <w:widowControl/>
        <w:jc w:val="left"/>
        <w:rPr>
          <w:szCs w:val="21"/>
        </w:rPr>
      </w:pPr>
      <w:r>
        <w:rPr>
          <w:color w:val="000000"/>
          <w:kern w:val="0"/>
          <w:szCs w:val="21"/>
        </w:rPr>
        <w:t xml:space="preserve">23.3 </w:t>
      </w:r>
      <w:r>
        <w:rPr>
          <w:rFonts w:hint="eastAsia" w:ascii="黑体" w:hAnsi="宋体" w:eastAsia="黑体" w:cs="黑体"/>
          <w:color w:val="000000"/>
          <w:kern w:val="0"/>
          <w:szCs w:val="21"/>
        </w:rPr>
        <w:t xml:space="preserve">承包人提出索赔的期限 </w:t>
      </w:r>
    </w:p>
    <w:p w14:paraId="316DC2D4">
      <w:pPr>
        <w:widowControl/>
        <w:jc w:val="left"/>
        <w:rPr>
          <w:szCs w:val="21"/>
        </w:rPr>
      </w:pPr>
      <w:r>
        <w:rPr>
          <w:color w:val="000000"/>
          <w:kern w:val="0"/>
          <w:szCs w:val="21"/>
        </w:rPr>
        <w:t xml:space="preserve">23.3.1 </w:t>
      </w:r>
      <w:r>
        <w:rPr>
          <w:rFonts w:hint="eastAsia" w:ascii="宋体" w:hAnsi="宋体" w:cs="宋体"/>
          <w:color w:val="000000"/>
          <w:kern w:val="0"/>
          <w:szCs w:val="21"/>
        </w:rPr>
        <w:t xml:space="preserve">承包人按第 </w:t>
      </w:r>
      <w:r>
        <w:rPr>
          <w:color w:val="000000"/>
          <w:kern w:val="0"/>
          <w:szCs w:val="21"/>
        </w:rPr>
        <w:t xml:space="preserve">17.5 </w:t>
      </w:r>
      <w:r>
        <w:rPr>
          <w:rFonts w:hint="eastAsia" w:ascii="宋体" w:hAnsi="宋体" w:cs="宋体"/>
          <w:color w:val="000000"/>
          <w:kern w:val="0"/>
          <w:szCs w:val="21"/>
        </w:rPr>
        <w:t xml:space="preserve">款的约定接受了竣工付款证书后，应被认为已无权再提出在合同工程接收证书颁发前所发生的任何索赔。 </w:t>
      </w:r>
    </w:p>
    <w:p w14:paraId="74A8185B">
      <w:pPr>
        <w:widowControl/>
        <w:jc w:val="left"/>
        <w:rPr>
          <w:szCs w:val="21"/>
        </w:rPr>
      </w:pPr>
      <w:r>
        <w:rPr>
          <w:color w:val="000000"/>
          <w:kern w:val="0"/>
          <w:szCs w:val="21"/>
        </w:rPr>
        <w:t xml:space="preserve">23.3.2 </w:t>
      </w:r>
      <w:r>
        <w:rPr>
          <w:rFonts w:hint="eastAsia" w:ascii="宋体" w:hAnsi="宋体" w:cs="宋体"/>
          <w:color w:val="000000"/>
          <w:kern w:val="0"/>
          <w:szCs w:val="21"/>
        </w:rPr>
        <w:t xml:space="preserve">承包人按第 </w:t>
      </w:r>
      <w:r>
        <w:rPr>
          <w:color w:val="000000"/>
          <w:kern w:val="0"/>
          <w:szCs w:val="21"/>
        </w:rPr>
        <w:t xml:space="preserve">17.6 </w:t>
      </w:r>
      <w:r>
        <w:rPr>
          <w:rFonts w:hint="eastAsia" w:ascii="宋体" w:hAnsi="宋体" w:cs="宋体"/>
          <w:color w:val="000000"/>
          <w:kern w:val="0"/>
          <w:szCs w:val="21"/>
        </w:rPr>
        <w:t xml:space="preserve">款的约定提交的最终结清申请单中，只限于提出工程接收证书颁发后发生的索赔。提出索赔的期限自接受最终结清证书时终止。 </w:t>
      </w:r>
    </w:p>
    <w:p w14:paraId="284A3790">
      <w:pPr>
        <w:widowControl/>
        <w:jc w:val="left"/>
        <w:rPr>
          <w:szCs w:val="21"/>
        </w:rPr>
      </w:pPr>
      <w:r>
        <w:rPr>
          <w:color w:val="000000"/>
          <w:kern w:val="0"/>
          <w:szCs w:val="21"/>
        </w:rPr>
        <w:t xml:space="preserve">23.4 </w:t>
      </w:r>
      <w:r>
        <w:rPr>
          <w:rFonts w:hint="eastAsia" w:ascii="黑体" w:hAnsi="宋体" w:eastAsia="黑体" w:cs="黑体"/>
          <w:color w:val="000000"/>
          <w:kern w:val="0"/>
          <w:szCs w:val="21"/>
        </w:rPr>
        <w:t xml:space="preserve">发包人的索赔 </w:t>
      </w:r>
    </w:p>
    <w:p w14:paraId="54DA7E88">
      <w:pPr>
        <w:widowControl/>
        <w:jc w:val="left"/>
        <w:rPr>
          <w:szCs w:val="21"/>
        </w:rPr>
      </w:pPr>
      <w:r>
        <w:rPr>
          <w:color w:val="000000"/>
          <w:kern w:val="0"/>
          <w:szCs w:val="21"/>
        </w:rPr>
        <w:t xml:space="preserve">23.4.1 </w:t>
      </w:r>
      <w:r>
        <w:rPr>
          <w:rFonts w:hint="eastAsia" w:ascii="宋体" w:hAnsi="宋体" w:cs="宋体"/>
          <w:color w:val="000000"/>
          <w:kern w:val="0"/>
          <w:szCs w:val="21"/>
        </w:rPr>
        <w:t xml:space="preserve">发生索赔事件后，监理人应及时书面通知承包人，详细说明发包人有权得到的索赔金额和（或）延长缺陷责任期的细节和依据。发包人提出索赔的期限和要求与第 </w:t>
      </w:r>
      <w:r>
        <w:rPr>
          <w:color w:val="000000"/>
          <w:kern w:val="0"/>
          <w:szCs w:val="21"/>
        </w:rPr>
        <w:t xml:space="preserve">23.3 </w:t>
      </w:r>
      <w:r>
        <w:rPr>
          <w:rFonts w:hint="eastAsia" w:ascii="宋体" w:hAnsi="宋体" w:cs="宋体"/>
          <w:color w:val="000000"/>
          <w:kern w:val="0"/>
          <w:szCs w:val="21"/>
        </w:rPr>
        <w:t xml:space="preserve">款的约定相同，延长缺陷责任期的通知应在缺陷责任期届满前发出。 </w:t>
      </w:r>
    </w:p>
    <w:p w14:paraId="79F6E7A1">
      <w:pPr>
        <w:widowControl/>
        <w:jc w:val="left"/>
        <w:rPr>
          <w:szCs w:val="21"/>
        </w:rPr>
      </w:pPr>
      <w:r>
        <w:rPr>
          <w:color w:val="000000"/>
          <w:kern w:val="0"/>
          <w:szCs w:val="21"/>
        </w:rPr>
        <w:t xml:space="preserve">23.4.2 </w:t>
      </w:r>
      <w:r>
        <w:rPr>
          <w:rFonts w:hint="eastAsia" w:ascii="宋体" w:hAnsi="宋体" w:cs="宋体"/>
          <w:color w:val="000000"/>
          <w:kern w:val="0"/>
          <w:szCs w:val="21"/>
        </w:rPr>
        <w:t xml:space="preserve">监理人按第 </w:t>
      </w:r>
      <w:r>
        <w:rPr>
          <w:color w:val="000000"/>
          <w:kern w:val="0"/>
          <w:szCs w:val="21"/>
        </w:rPr>
        <w:t xml:space="preserve">3.5 </w:t>
      </w:r>
      <w:r>
        <w:rPr>
          <w:rFonts w:hint="eastAsia" w:ascii="宋体" w:hAnsi="宋体" w:cs="宋体"/>
          <w:color w:val="000000"/>
          <w:kern w:val="0"/>
          <w:szCs w:val="21"/>
        </w:rPr>
        <w:t xml:space="preserve">款商定或确定发包人从承包人处得到赔付的金额和（或） </w:t>
      </w:r>
    </w:p>
    <w:p w14:paraId="15C2DF34">
      <w:pPr>
        <w:widowControl/>
        <w:jc w:val="left"/>
        <w:rPr>
          <w:szCs w:val="21"/>
        </w:rPr>
      </w:pPr>
      <w:r>
        <w:rPr>
          <w:rFonts w:hint="eastAsia" w:ascii="宋体" w:hAnsi="宋体" w:cs="宋体"/>
          <w:color w:val="000000"/>
          <w:kern w:val="0"/>
          <w:szCs w:val="21"/>
        </w:rPr>
        <w:t xml:space="preserve">缺陷责任期的延长期。承包人应付给发包人的金额可从拟支付给承包人的合同价款 </w:t>
      </w:r>
    </w:p>
    <w:p w14:paraId="6B3BB6EB">
      <w:pPr>
        <w:widowControl/>
        <w:jc w:val="left"/>
        <w:rPr>
          <w:szCs w:val="21"/>
        </w:rPr>
      </w:pPr>
      <w:r>
        <w:rPr>
          <w:rFonts w:hint="eastAsia" w:ascii="宋体" w:hAnsi="宋体" w:cs="宋体"/>
          <w:color w:val="000000"/>
          <w:kern w:val="0"/>
          <w:szCs w:val="21"/>
        </w:rPr>
        <w:t xml:space="preserve">中扣除，或由承包人以其他方式支付给发包人。 </w:t>
      </w:r>
    </w:p>
    <w:p w14:paraId="38D4739E">
      <w:pPr>
        <w:widowControl/>
        <w:jc w:val="left"/>
        <w:rPr>
          <w:szCs w:val="21"/>
        </w:rPr>
      </w:pPr>
      <w:r>
        <w:rPr>
          <w:color w:val="000000"/>
          <w:kern w:val="0"/>
          <w:szCs w:val="21"/>
        </w:rPr>
        <w:t xml:space="preserve">24. </w:t>
      </w:r>
      <w:r>
        <w:rPr>
          <w:rFonts w:hint="eastAsia" w:ascii="黑体" w:hAnsi="宋体" w:eastAsia="黑体" w:cs="黑体"/>
          <w:color w:val="000000"/>
          <w:kern w:val="0"/>
          <w:szCs w:val="21"/>
        </w:rPr>
        <w:t xml:space="preserve">争议的解决 </w:t>
      </w:r>
    </w:p>
    <w:p w14:paraId="4182C4EB">
      <w:pPr>
        <w:widowControl/>
        <w:jc w:val="left"/>
        <w:rPr>
          <w:szCs w:val="21"/>
        </w:rPr>
      </w:pPr>
      <w:r>
        <w:rPr>
          <w:color w:val="000000"/>
          <w:kern w:val="0"/>
          <w:szCs w:val="21"/>
        </w:rPr>
        <w:t xml:space="preserve">24.1 </w:t>
      </w:r>
      <w:r>
        <w:rPr>
          <w:rFonts w:hint="eastAsia" w:ascii="黑体" w:hAnsi="宋体" w:eastAsia="黑体" w:cs="黑体"/>
          <w:color w:val="000000"/>
          <w:kern w:val="0"/>
          <w:szCs w:val="21"/>
        </w:rPr>
        <w:t xml:space="preserve">争议的解决方式 </w:t>
      </w:r>
    </w:p>
    <w:p w14:paraId="24D8A61C">
      <w:pPr>
        <w:widowControl/>
        <w:jc w:val="left"/>
        <w:rPr>
          <w:szCs w:val="21"/>
        </w:rPr>
      </w:pPr>
      <w:r>
        <w:rPr>
          <w:rFonts w:hint="eastAsia" w:ascii="宋体" w:hAnsi="宋体" w:cs="宋体"/>
          <w:color w:val="000000"/>
          <w:kern w:val="0"/>
          <w:szCs w:val="21"/>
        </w:rPr>
        <w:t xml:space="preserve">发包人和承包人在履行合同中发生争议的，可以友好协商解决或者提请争议评 </w:t>
      </w:r>
    </w:p>
    <w:p w14:paraId="55CE7CE8">
      <w:pPr>
        <w:widowControl/>
        <w:jc w:val="left"/>
        <w:rPr>
          <w:szCs w:val="21"/>
        </w:rPr>
      </w:pPr>
      <w:r>
        <w:rPr>
          <w:rFonts w:hint="eastAsia" w:ascii="宋体" w:hAnsi="宋体" w:cs="宋体"/>
          <w:color w:val="000000"/>
          <w:kern w:val="0"/>
          <w:szCs w:val="21"/>
        </w:rPr>
        <w:t xml:space="preserve">审组评审。合同当事人友好协商解决不成、不愿提请争议评审或者不接受争议评审组意见的，可在专用合同条款中约定下列一种方式解决： </w:t>
      </w:r>
    </w:p>
    <w:p w14:paraId="69A7105E">
      <w:pPr>
        <w:widowControl/>
        <w:jc w:val="left"/>
        <w:rPr>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 xml:space="preserve">）向约定的仲裁委员会申请仲裁； </w:t>
      </w:r>
    </w:p>
    <w:p w14:paraId="7734F7C8">
      <w:pPr>
        <w:widowControl/>
        <w:jc w:val="left"/>
        <w:rPr>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）向有管辖权的人民法院提起诉讼。</w:t>
      </w:r>
    </w:p>
    <w:p w14:paraId="1004BE5E">
      <w:pPr>
        <w:widowControl/>
        <w:jc w:val="left"/>
        <w:rPr>
          <w:szCs w:val="21"/>
        </w:rPr>
      </w:pPr>
      <w:r>
        <w:rPr>
          <w:color w:val="000000"/>
          <w:kern w:val="0"/>
          <w:szCs w:val="21"/>
        </w:rPr>
        <w:t xml:space="preserve">24.2 </w:t>
      </w:r>
      <w:r>
        <w:rPr>
          <w:rFonts w:ascii="黑体" w:hAnsi="宋体" w:eastAsia="黑体" w:cs="黑体"/>
          <w:color w:val="000000"/>
          <w:kern w:val="0"/>
          <w:szCs w:val="21"/>
        </w:rPr>
        <w:t xml:space="preserve">友好解决 </w:t>
      </w:r>
    </w:p>
    <w:p w14:paraId="24741D45">
      <w:pPr>
        <w:widowControl/>
        <w:jc w:val="left"/>
        <w:rPr>
          <w:szCs w:val="21"/>
        </w:rPr>
      </w:pPr>
      <w:r>
        <w:rPr>
          <w:rFonts w:hint="eastAsia" w:ascii="宋体" w:hAnsi="宋体" w:cs="宋体"/>
          <w:color w:val="000000"/>
          <w:kern w:val="0"/>
          <w:szCs w:val="21"/>
        </w:rPr>
        <w:t xml:space="preserve">在提请争议评审、仲裁或者诉讼前，以及在争议评审、仲裁或诉讼过程中，发包人和承包人均可共同努力友好协商解决争议。 </w:t>
      </w:r>
    </w:p>
    <w:p w14:paraId="4D15BE00">
      <w:pPr>
        <w:widowControl/>
        <w:jc w:val="left"/>
        <w:rPr>
          <w:szCs w:val="21"/>
        </w:rPr>
      </w:pPr>
      <w:r>
        <w:rPr>
          <w:color w:val="000000"/>
          <w:kern w:val="0"/>
          <w:szCs w:val="21"/>
        </w:rPr>
        <w:t xml:space="preserve">24.3 </w:t>
      </w:r>
      <w:r>
        <w:rPr>
          <w:rFonts w:hint="eastAsia" w:ascii="黑体" w:hAnsi="宋体" w:eastAsia="黑体" w:cs="黑体"/>
          <w:color w:val="000000"/>
          <w:kern w:val="0"/>
          <w:szCs w:val="21"/>
        </w:rPr>
        <w:t xml:space="preserve">争议评审 </w:t>
      </w:r>
    </w:p>
    <w:p w14:paraId="5EF25760">
      <w:pPr>
        <w:widowControl/>
        <w:jc w:val="left"/>
        <w:rPr>
          <w:szCs w:val="21"/>
        </w:rPr>
      </w:pPr>
      <w:r>
        <w:rPr>
          <w:color w:val="000000"/>
          <w:kern w:val="0"/>
          <w:szCs w:val="21"/>
        </w:rPr>
        <w:t xml:space="preserve">24.3.1 </w:t>
      </w:r>
      <w:r>
        <w:rPr>
          <w:rFonts w:hint="eastAsia" w:ascii="宋体" w:hAnsi="宋体" w:cs="宋体"/>
          <w:color w:val="000000"/>
          <w:kern w:val="0"/>
          <w:szCs w:val="21"/>
        </w:rPr>
        <w:t xml:space="preserve">采用争议评审的，发包人和承包人应在开工日后的 </w:t>
      </w:r>
      <w:r>
        <w:rPr>
          <w:color w:val="000000"/>
          <w:kern w:val="0"/>
          <w:szCs w:val="21"/>
        </w:rPr>
        <w:t xml:space="preserve">28 </w:t>
      </w:r>
      <w:r>
        <w:rPr>
          <w:rFonts w:hint="eastAsia" w:ascii="宋体" w:hAnsi="宋体" w:cs="宋体"/>
          <w:color w:val="000000"/>
          <w:kern w:val="0"/>
          <w:szCs w:val="21"/>
        </w:rPr>
        <w:t xml:space="preserve">天内或在争议发生后，协商成立争议评审组。争议评审组由有合同管理和工程实践经验的专家组成。 </w:t>
      </w:r>
    </w:p>
    <w:p w14:paraId="6BD935D3">
      <w:pPr>
        <w:widowControl/>
        <w:jc w:val="left"/>
        <w:rPr>
          <w:szCs w:val="21"/>
        </w:rPr>
      </w:pPr>
      <w:r>
        <w:rPr>
          <w:color w:val="000000"/>
          <w:kern w:val="0"/>
          <w:szCs w:val="21"/>
        </w:rPr>
        <w:t xml:space="preserve">24.3.2 </w:t>
      </w:r>
      <w:r>
        <w:rPr>
          <w:rFonts w:hint="eastAsia" w:ascii="宋体" w:hAnsi="宋体" w:cs="宋体"/>
          <w:color w:val="000000"/>
          <w:kern w:val="0"/>
          <w:szCs w:val="21"/>
        </w:rPr>
        <w:t xml:space="preserve">合同双方的争议，应首先由申请人向争议评审组提交一份详细的评审申请报告，并附必要的文件、图纸和证明材料，申请人还应将上述报告的副本同时提交给被申请人和监理人。 </w:t>
      </w:r>
    </w:p>
    <w:p w14:paraId="211E5055">
      <w:pPr>
        <w:widowControl/>
        <w:jc w:val="left"/>
        <w:rPr>
          <w:szCs w:val="21"/>
        </w:rPr>
      </w:pPr>
      <w:r>
        <w:rPr>
          <w:color w:val="000000"/>
          <w:kern w:val="0"/>
          <w:szCs w:val="21"/>
        </w:rPr>
        <w:t xml:space="preserve">24.3.3 </w:t>
      </w:r>
      <w:r>
        <w:rPr>
          <w:rFonts w:hint="eastAsia" w:ascii="宋体" w:hAnsi="宋体" w:cs="宋体"/>
          <w:color w:val="000000"/>
          <w:kern w:val="0"/>
          <w:szCs w:val="21"/>
        </w:rPr>
        <w:t xml:space="preserve">被申请人在收到申请人评审申请报告副本后的 </w:t>
      </w:r>
      <w:r>
        <w:rPr>
          <w:color w:val="000000"/>
          <w:kern w:val="0"/>
          <w:szCs w:val="21"/>
        </w:rPr>
        <w:t xml:space="preserve">28 </w:t>
      </w:r>
      <w:r>
        <w:rPr>
          <w:rFonts w:hint="eastAsia" w:ascii="宋体" w:hAnsi="宋体" w:cs="宋体"/>
          <w:color w:val="000000"/>
          <w:kern w:val="0"/>
          <w:szCs w:val="21"/>
        </w:rPr>
        <w:t xml:space="preserve">天内，向争议评审组提交一份答辩报告，并附证明材料。被申请人应将答辩报告的副本同时提交给申请人和监理人。 </w:t>
      </w:r>
    </w:p>
    <w:p w14:paraId="760D0E32">
      <w:pPr>
        <w:widowControl/>
        <w:jc w:val="left"/>
        <w:rPr>
          <w:szCs w:val="21"/>
        </w:rPr>
      </w:pPr>
      <w:r>
        <w:rPr>
          <w:color w:val="000000"/>
          <w:kern w:val="0"/>
          <w:szCs w:val="21"/>
        </w:rPr>
        <w:t xml:space="preserve">24.3.4 </w:t>
      </w:r>
      <w:r>
        <w:rPr>
          <w:rFonts w:hint="eastAsia" w:ascii="宋体" w:hAnsi="宋体" w:cs="宋体"/>
          <w:color w:val="000000"/>
          <w:kern w:val="0"/>
          <w:szCs w:val="21"/>
        </w:rPr>
        <w:t xml:space="preserve">除专用合同条款另有约定外，争议评审组在收到合同双方报告后的 </w:t>
      </w:r>
      <w:r>
        <w:rPr>
          <w:color w:val="000000"/>
          <w:kern w:val="0"/>
          <w:szCs w:val="21"/>
        </w:rPr>
        <w:t xml:space="preserve">14 </w:t>
      </w:r>
      <w:r>
        <w:rPr>
          <w:rFonts w:hint="eastAsia" w:ascii="宋体" w:hAnsi="宋体" w:cs="宋体"/>
          <w:color w:val="000000"/>
          <w:kern w:val="0"/>
          <w:szCs w:val="21"/>
        </w:rPr>
        <w:t xml:space="preserve">天内，邀请双方代表和有关人员举行调查会，向双方调查争议细节；必要时争议评审组可要求双方进一步提供补充材料。 </w:t>
      </w:r>
    </w:p>
    <w:p w14:paraId="13CA1035">
      <w:pPr>
        <w:widowControl/>
        <w:jc w:val="left"/>
        <w:rPr>
          <w:szCs w:val="21"/>
        </w:rPr>
      </w:pPr>
      <w:r>
        <w:rPr>
          <w:color w:val="000000"/>
          <w:kern w:val="0"/>
          <w:szCs w:val="21"/>
        </w:rPr>
        <w:t xml:space="preserve">24.3.5 </w:t>
      </w:r>
      <w:r>
        <w:rPr>
          <w:rFonts w:hint="eastAsia" w:ascii="宋体" w:hAnsi="宋体" w:cs="宋体"/>
          <w:color w:val="000000"/>
          <w:kern w:val="0"/>
          <w:szCs w:val="21"/>
        </w:rPr>
        <w:t xml:space="preserve">除专用合同条款另有约定外，在调查会结束后的 </w:t>
      </w:r>
      <w:r>
        <w:rPr>
          <w:color w:val="000000"/>
          <w:kern w:val="0"/>
          <w:szCs w:val="21"/>
        </w:rPr>
        <w:t xml:space="preserve">14 </w:t>
      </w:r>
      <w:r>
        <w:rPr>
          <w:rFonts w:hint="eastAsia" w:ascii="宋体" w:hAnsi="宋体" w:cs="宋体"/>
          <w:color w:val="000000"/>
          <w:kern w:val="0"/>
          <w:szCs w:val="21"/>
        </w:rPr>
        <w:t xml:space="preserve">天内，争议评审组应在不受任何干扰的情况下进行独立、公正的评审，作出书面评审意见，并说明理由。在争议评审期间，争议双方暂按总监理工程师的确定执行。 </w:t>
      </w:r>
    </w:p>
    <w:p w14:paraId="313D82B5">
      <w:pPr>
        <w:widowControl/>
        <w:jc w:val="left"/>
        <w:rPr>
          <w:szCs w:val="21"/>
        </w:rPr>
      </w:pPr>
      <w:r>
        <w:rPr>
          <w:color w:val="000000"/>
          <w:kern w:val="0"/>
          <w:szCs w:val="21"/>
        </w:rPr>
        <w:t xml:space="preserve">24.3.6 </w:t>
      </w:r>
      <w:r>
        <w:rPr>
          <w:rFonts w:hint="eastAsia" w:ascii="宋体" w:hAnsi="宋体" w:cs="宋体"/>
          <w:color w:val="000000"/>
          <w:kern w:val="0"/>
          <w:szCs w:val="21"/>
        </w:rPr>
        <w:t xml:space="preserve">发包人和承包人接受评审意见的，由监理人根据评审意见拟定执行协议，经争议双方签字后作为合同的补充文件，并遵照执行。 </w:t>
      </w:r>
    </w:p>
    <w:p w14:paraId="4833FEDD">
      <w:pPr>
        <w:widowControl/>
        <w:jc w:val="left"/>
        <w:rPr>
          <w:szCs w:val="21"/>
        </w:rPr>
      </w:pPr>
      <w:r>
        <w:rPr>
          <w:color w:val="000000"/>
          <w:kern w:val="0"/>
          <w:szCs w:val="21"/>
        </w:rPr>
        <w:t xml:space="preserve">24.3.7 </w:t>
      </w:r>
      <w:r>
        <w:rPr>
          <w:rFonts w:hint="eastAsia" w:ascii="宋体" w:hAnsi="宋体" w:cs="宋体"/>
          <w:color w:val="000000"/>
          <w:kern w:val="0"/>
          <w:szCs w:val="21"/>
        </w:rPr>
        <w:t xml:space="preserve">发包人或承包人不接受评审意见，并要求提交仲裁或提起诉讼的，应在收到评审意见后的 </w:t>
      </w:r>
      <w:r>
        <w:rPr>
          <w:color w:val="000000"/>
          <w:kern w:val="0"/>
          <w:szCs w:val="21"/>
        </w:rPr>
        <w:t xml:space="preserve">14 </w:t>
      </w:r>
      <w:r>
        <w:rPr>
          <w:rFonts w:hint="eastAsia" w:ascii="宋体" w:hAnsi="宋体" w:cs="宋体"/>
          <w:color w:val="000000"/>
          <w:kern w:val="0"/>
          <w:szCs w:val="21"/>
        </w:rPr>
        <w:t>天内将仲裁或起诉意向书面通知另一方，并抄送监理人，但在仲裁或诉讼结束前应暂按总监理工程师的确定执行。</w:t>
      </w:r>
    </w:p>
    <w:p w14:paraId="74539BB1">
      <w:pPr>
        <w:widowControl/>
        <w:jc w:val="left"/>
      </w:pPr>
    </w:p>
    <w:p w14:paraId="5889B0AE">
      <w:pPr>
        <w:widowControl/>
        <w:jc w:val="left"/>
      </w:pPr>
    </w:p>
    <w:p w14:paraId="61C3CB9F">
      <w:pPr>
        <w:spacing w:after="159" w:line="360" w:lineRule="auto"/>
        <w:jc w:val="center"/>
        <w:textAlignment w:val="baseline"/>
        <w:outlineLvl w:val="0"/>
        <w:rPr>
          <w:rFonts w:ascii="宋体" w:hAnsi="宋体" w:cs="宋体"/>
          <w:b/>
          <w:sz w:val="32"/>
          <w:szCs w:val="32"/>
        </w:rPr>
      </w:pPr>
    </w:p>
    <w:p w14:paraId="409E4BCD">
      <w:pPr>
        <w:spacing w:after="159" w:line="360" w:lineRule="auto"/>
        <w:jc w:val="center"/>
        <w:textAlignment w:val="baseline"/>
        <w:outlineLvl w:val="0"/>
        <w:rPr>
          <w:rFonts w:ascii="宋体" w:hAnsi="宋体" w:cs="宋体"/>
          <w:b/>
          <w:sz w:val="32"/>
          <w:szCs w:val="32"/>
        </w:rPr>
      </w:pPr>
    </w:p>
    <w:p w14:paraId="3553B216">
      <w:pPr>
        <w:spacing w:after="159" w:line="360" w:lineRule="auto"/>
        <w:jc w:val="center"/>
        <w:textAlignment w:val="baseline"/>
        <w:outlineLvl w:val="0"/>
        <w:rPr>
          <w:rFonts w:ascii="宋体" w:hAnsi="宋体" w:cs="宋体"/>
          <w:b/>
          <w:sz w:val="32"/>
          <w:szCs w:val="32"/>
        </w:rPr>
      </w:pPr>
    </w:p>
    <w:p w14:paraId="2B8117CF">
      <w:pPr>
        <w:spacing w:after="159" w:line="360" w:lineRule="auto"/>
        <w:jc w:val="center"/>
        <w:textAlignment w:val="baseline"/>
        <w:outlineLvl w:val="0"/>
        <w:rPr>
          <w:rFonts w:ascii="宋体" w:hAnsi="宋体" w:cs="宋体"/>
          <w:b/>
          <w:sz w:val="32"/>
          <w:szCs w:val="32"/>
        </w:rPr>
      </w:pPr>
    </w:p>
    <w:p w14:paraId="291ED193">
      <w:pPr>
        <w:spacing w:after="159" w:line="360" w:lineRule="auto"/>
        <w:jc w:val="center"/>
        <w:textAlignment w:val="baseline"/>
        <w:outlineLvl w:val="0"/>
        <w:rPr>
          <w:rFonts w:ascii="宋体" w:hAnsi="宋体" w:cs="宋体"/>
          <w:b/>
          <w:sz w:val="32"/>
          <w:szCs w:val="32"/>
        </w:rPr>
      </w:pPr>
    </w:p>
    <w:p w14:paraId="72808D65">
      <w:pPr>
        <w:spacing w:after="159" w:line="360" w:lineRule="auto"/>
        <w:jc w:val="center"/>
        <w:textAlignment w:val="baseline"/>
        <w:outlineLvl w:val="0"/>
        <w:rPr>
          <w:rFonts w:ascii="宋体" w:hAnsi="宋体" w:cs="宋体"/>
          <w:b/>
          <w:sz w:val="32"/>
          <w:szCs w:val="32"/>
        </w:rPr>
      </w:pPr>
    </w:p>
    <w:p w14:paraId="69293D8A">
      <w:pPr>
        <w:spacing w:after="159" w:line="360" w:lineRule="auto"/>
        <w:jc w:val="center"/>
        <w:textAlignment w:val="baseline"/>
        <w:outlineLvl w:val="0"/>
        <w:rPr>
          <w:rFonts w:ascii="宋体" w:hAnsi="宋体" w:cs="宋体"/>
          <w:b/>
          <w:sz w:val="32"/>
          <w:szCs w:val="32"/>
        </w:rPr>
      </w:pPr>
    </w:p>
    <w:p w14:paraId="5A2E6EE8">
      <w:pPr>
        <w:spacing w:after="159" w:line="360" w:lineRule="auto"/>
        <w:jc w:val="center"/>
        <w:textAlignment w:val="baseline"/>
        <w:outlineLvl w:val="0"/>
        <w:rPr>
          <w:color w:val="000000" w:themeColor="text1"/>
        </w:rPr>
      </w:pPr>
      <w:r>
        <w:rPr>
          <w:rFonts w:hint="eastAsia" w:ascii="宋体" w:hAnsi="宋体" w:cs="宋体"/>
          <w:b/>
          <w:sz w:val="32"/>
          <w:szCs w:val="32"/>
        </w:rPr>
        <w:t>第四章采购需求</w:t>
      </w:r>
      <w:bookmarkEnd w:id="9"/>
    </w:p>
    <w:p w14:paraId="31FFBE38">
      <w:pPr>
        <w:widowControl/>
        <w:numPr>
          <w:ilvl w:val="0"/>
          <w:numId w:val="6"/>
        </w:numPr>
        <w:snapToGrid w:val="0"/>
        <w:spacing w:line="360" w:lineRule="auto"/>
        <w:ind w:left="2" w:leftChars="1"/>
        <w:jc w:val="left"/>
        <w:textAlignment w:val="baseline"/>
        <w:rPr>
          <w:rFonts w:ascii="宋体" w:hAnsi="宋体" w:cs="宋体"/>
          <w:b/>
          <w:color w:val="FF0000"/>
          <w:sz w:val="18"/>
          <w:szCs w:val="18"/>
        </w:rPr>
      </w:pPr>
      <w:r>
        <w:rPr>
          <w:rFonts w:hint="eastAsia" w:ascii="宋体" w:hAnsi="宋体" w:cs="宋体"/>
          <w:b/>
          <w:color w:val="FF0000"/>
          <w:sz w:val="18"/>
          <w:szCs w:val="18"/>
        </w:rPr>
        <w:t>项目名称：</w:t>
      </w:r>
      <w:r>
        <w:rPr>
          <w:rFonts w:hint="eastAsia" w:ascii="宋体" w:hAnsi="宋体" w:cs="宋体"/>
          <w:bCs/>
          <w:color w:val="FF0000"/>
          <w:sz w:val="18"/>
          <w:szCs w:val="18"/>
        </w:rPr>
        <w:t>汝城县2024年第三批农村公路安防工程</w:t>
      </w:r>
    </w:p>
    <w:p w14:paraId="569FEF58">
      <w:pPr>
        <w:widowControl/>
        <w:snapToGrid w:val="0"/>
        <w:spacing w:line="360" w:lineRule="auto"/>
        <w:jc w:val="left"/>
        <w:textAlignment w:val="baseline"/>
        <w:rPr>
          <w:rFonts w:ascii="宋体" w:hAnsi="宋体" w:cs="宋体"/>
          <w:b/>
          <w:color w:val="FF0000"/>
          <w:sz w:val="18"/>
          <w:szCs w:val="18"/>
        </w:rPr>
      </w:pPr>
      <w:r>
        <w:rPr>
          <w:rFonts w:hint="eastAsia" w:ascii="宋体" w:hAnsi="宋体" w:cs="宋体"/>
          <w:b/>
          <w:color w:val="FF0000"/>
          <w:sz w:val="18"/>
          <w:szCs w:val="18"/>
        </w:rPr>
        <w:t>二、预算金额：</w:t>
      </w:r>
      <w:r>
        <w:rPr>
          <w:rFonts w:hint="eastAsia" w:ascii="宋体" w:hAnsi="宋体" w:cs="宋体"/>
          <w:bCs/>
          <w:color w:val="FF0000"/>
          <w:sz w:val="18"/>
          <w:szCs w:val="18"/>
        </w:rPr>
        <w:t>1817870.00元</w:t>
      </w:r>
    </w:p>
    <w:p w14:paraId="340BE7FA">
      <w:pPr>
        <w:widowControl/>
        <w:snapToGrid w:val="0"/>
        <w:spacing w:line="360" w:lineRule="auto"/>
        <w:jc w:val="left"/>
        <w:textAlignment w:val="baseline"/>
        <w:rPr>
          <w:rFonts w:ascii="宋体" w:hAnsi="宋体" w:cs="宋体"/>
          <w:b/>
          <w:color w:val="FF0000"/>
          <w:sz w:val="18"/>
          <w:szCs w:val="18"/>
        </w:rPr>
      </w:pPr>
      <w:r>
        <w:rPr>
          <w:rFonts w:hint="eastAsia" w:ascii="宋体" w:hAnsi="宋体" w:cs="宋体"/>
          <w:b/>
          <w:color w:val="FF0000"/>
          <w:sz w:val="18"/>
          <w:szCs w:val="18"/>
        </w:rPr>
        <w:t>三、工程概况：</w:t>
      </w:r>
      <w:r>
        <w:rPr>
          <w:rFonts w:hint="eastAsia" w:ascii="宋体" w:hAnsi="宋体" w:cs="宋体"/>
          <w:bCs/>
          <w:color w:val="FF0000"/>
          <w:sz w:val="18"/>
          <w:szCs w:val="18"/>
        </w:rPr>
        <w:t>结合公路现状、当地地形以及调查的该路段近年来的事故情况采取了在陡坡、急弯、连续陡坡、视距不良、路侧险要等危险路段增设防撞墙、标志牌、波形钢护栏等安保设施，以提高公路安全系数，保障行车安全。总长109.42公里。</w:t>
      </w:r>
    </w:p>
    <w:p w14:paraId="3C940638">
      <w:pPr>
        <w:widowControl/>
        <w:snapToGrid w:val="0"/>
        <w:spacing w:line="360" w:lineRule="auto"/>
        <w:jc w:val="left"/>
        <w:textAlignment w:val="baseline"/>
        <w:rPr>
          <w:b/>
          <w:color w:val="FF0000"/>
          <w:sz w:val="18"/>
          <w:szCs w:val="18"/>
        </w:rPr>
      </w:pPr>
      <w:r>
        <w:rPr>
          <w:rFonts w:hint="eastAsia"/>
          <w:b/>
          <w:color w:val="FF0000"/>
          <w:sz w:val="18"/>
          <w:szCs w:val="18"/>
        </w:rPr>
        <w:t>四、工期及质量要求</w:t>
      </w:r>
    </w:p>
    <w:p w14:paraId="452D0C01">
      <w:pPr>
        <w:widowControl/>
        <w:snapToGrid w:val="0"/>
        <w:spacing w:line="360" w:lineRule="auto"/>
        <w:ind w:firstLine="360" w:firstLineChars="200"/>
        <w:jc w:val="left"/>
        <w:textAlignment w:val="baseline"/>
        <w:rPr>
          <w:rFonts w:ascii="宋体" w:hAnsi="宋体" w:cs="宋体"/>
          <w:color w:val="FF0000"/>
          <w:sz w:val="18"/>
          <w:szCs w:val="18"/>
        </w:rPr>
      </w:pPr>
      <w:r>
        <w:rPr>
          <w:rFonts w:hint="eastAsia" w:ascii="宋体" w:hAnsi="宋体" w:cs="宋体"/>
          <w:color w:val="FF0000"/>
          <w:sz w:val="18"/>
          <w:szCs w:val="18"/>
        </w:rPr>
        <w:t>1.工期：</w:t>
      </w:r>
      <w:r>
        <w:rPr>
          <w:rFonts w:hint="eastAsia" w:ascii="宋体" w:hAnsi="宋体" w:cs="宋体"/>
          <w:color w:val="FF0000"/>
          <w:sz w:val="18"/>
          <w:szCs w:val="18"/>
          <w:lang w:val="en-US" w:eastAsia="zh-CN"/>
        </w:rPr>
        <w:t>60</w:t>
      </w:r>
      <w:r>
        <w:rPr>
          <w:rFonts w:hint="eastAsia" w:ascii="宋体" w:hAnsi="宋体" w:cs="宋体"/>
          <w:color w:val="FF0000"/>
          <w:sz w:val="18"/>
          <w:szCs w:val="18"/>
        </w:rPr>
        <w:t>日历天。</w:t>
      </w:r>
    </w:p>
    <w:p w14:paraId="02B2BEFD">
      <w:pPr>
        <w:widowControl/>
        <w:snapToGrid w:val="0"/>
        <w:spacing w:line="360" w:lineRule="auto"/>
        <w:ind w:firstLine="360" w:firstLineChars="200"/>
        <w:jc w:val="left"/>
        <w:textAlignment w:val="baseline"/>
        <w:rPr>
          <w:rFonts w:ascii="宋体" w:hAnsi="宋体" w:cs="宋体"/>
          <w:color w:val="FF0000"/>
          <w:sz w:val="18"/>
          <w:szCs w:val="18"/>
        </w:rPr>
      </w:pPr>
      <w:r>
        <w:rPr>
          <w:rFonts w:hint="eastAsia" w:ascii="宋体" w:hAnsi="宋体" w:cs="宋体"/>
          <w:color w:val="FF0000"/>
          <w:sz w:val="18"/>
          <w:szCs w:val="18"/>
        </w:rPr>
        <w:t>2.施工地点：汝城县马桥镇、文明瑶族乡、暖水镇、大坪镇、三江口瑶族镇、集益乡等乡镇。</w:t>
      </w:r>
    </w:p>
    <w:p w14:paraId="7A71822D">
      <w:pPr>
        <w:widowControl/>
        <w:snapToGrid w:val="0"/>
        <w:spacing w:line="360" w:lineRule="auto"/>
        <w:ind w:firstLine="360" w:firstLineChars="200"/>
        <w:jc w:val="left"/>
        <w:textAlignment w:val="baseline"/>
        <w:rPr>
          <w:rFonts w:ascii="宋体" w:hAnsi="宋体" w:cs="宋体"/>
          <w:color w:val="FF0000"/>
          <w:sz w:val="18"/>
          <w:szCs w:val="18"/>
        </w:rPr>
      </w:pPr>
      <w:r>
        <w:rPr>
          <w:rFonts w:hint="eastAsia" w:ascii="宋体" w:hAnsi="宋体" w:cs="宋体"/>
          <w:color w:val="FF0000"/>
          <w:sz w:val="18"/>
          <w:szCs w:val="18"/>
        </w:rPr>
        <w:t>3.质量标准：工程交工验收的质量评定：合格及以上，竣工验收的质量评定：合格及以上。</w:t>
      </w:r>
    </w:p>
    <w:p w14:paraId="3CCEF89A">
      <w:pPr>
        <w:widowControl/>
        <w:snapToGrid w:val="0"/>
        <w:spacing w:line="360" w:lineRule="auto"/>
        <w:ind w:firstLine="360" w:firstLineChars="200"/>
        <w:jc w:val="left"/>
        <w:textAlignment w:val="baseline"/>
        <w:rPr>
          <w:rFonts w:ascii="宋体" w:hAnsi="宋体" w:cs="宋体"/>
          <w:color w:val="FF0000"/>
          <w:sz w:val="18"/>
          <w:szCs w:val="18"/>
        </w:rPr>
      </w:pPr>
      <w:r>
        <w:rPr>
          <w:rFonts w:hint="eastAsia" w:ascii="宋体" w:hAnsi="宋体" w:cs="宋体"/>
          <w:color w:val="FF0000"/>
          <w:sz w:val="18"/>
          <w:szCs w:val="18"/>
        </w:rPr>
        <w:t>4.安全目标：严格执行有关安全生产的法律法规和规章制度，确保：安全生产“零事故”。</w:t>
      </w:r>
    </w:p>
    <w:p w14:paraId="40CB9464">
      <w:pPr>
        <w:pStyle w:val="3"/>
        <w:textAlignment w:val="baseline"/>
        <w:rPr>
          <w:color w:val="FF0000"/>
          <w:sz w:val="18"/>
          <w:szCs w:val="18"/>
        </w:rPr>
      </w:pPr>
      <w:r>
        <w:rPr>
          <w:rFonts w:hint="eastAsia"/>
          <w:color w:val="FF0000"/>
          <w:sz w:val="18"/>
          <w:szCs w:val="18"/>
          <w:lang w:val="en-US" w:eastAsia="zh-CN"/>
        </w:rPr>
        <w:t>五</w:t>
      </w:r>
      <w:r>
        <w:rPr>
          <w:rFonts w:hint="eastAsia"/>
          <w:color w:val="FF0000"/>
          <w:sz w:val="18"/>
          <w:szCs w:val="18"/>
        </w:rPr>
        <w:t>、项目实施要求</w:t>
      </w:r>
    </w:p>
    <w:p w14:paraId="79D362CC">
      <w:pPr>
        <w:pStyle w:val="17"/>
        <w:snapToGrid w:val="0"/>
        <w:spacing w:after="0" w:line="440" w:lineRule="exact"/>
        <w:ind w:right="23" w:firstLine="360" w:firstLineChars="200"/>
        <w:textAlignment w:val="baseline"/>
        <w:rPr>
          <w:rFonts w:ascii="宋体" w:hAnsi="宋体" w:cs="宋体"/>
          <w:b/>
          <w:color w:val="FF0000"/>
          <w:sz w:val="18"/>
          <w:szCs w:val="18"/>
        </w:rPr>
      </w:pPr>
      <w:r>
        <w:rPr>
          <w:rFonts w:hint="eastAsia" w:ascii="宋体" w:hAnsi="宋体" w:cs="宋体"/>
          <w:b/>
          <w:color w:val="FF0000"/>
          <w:sz w:val="18"/>
          <w:szCs w:val="18"/>
        </w:rPr>
        <w:t>1、</w:t>
      </w:r>
      <w:r>
        <w:rPr>
          <w:rFonts w:hint="eastAsia" w:ascii="宋体" w:hAnsi="宋体" w:cs="宋体"/>
          <w:b/>
          <w:color w:val="FF0000"/>
          <w:sz w:val="18"/>
          <w:szCs w:val="18"/>
        </w:rPr>
        <w:tab/>
      </w:r>
      <w:r>
        <w:rPr>
          <w:rFonts w:hint="eastAsia" w:ascii="宋体" w:hAnsi="宋体" w:cs="宋体"/>
          <w:b/>
          <w:color w:val="FF0000"/>
          <w:sz w:val="18"/>
          <w:szCs w:val="18"/>
        </w:rPr>
        <w:t>建筑材料运输、保管及保险</w:t>
      </w:r>
    </w:p>
    <w:p w14:paraId="3EA699C8">
      <w:pPr>
        <w:pStyle w:val="17"/>
        <w:snapToGrid w:val="0"/>
        <w:spacing w:after="0" w:line="440" w:lineRule="exact"/>
        <w:ind w:right="23" w:firstLine="360" w:firstLineChars="200"/>
        <w:textAlignment w:val="baseline"/>
        <w:rPr>
          <w:rFonts w:ascii="宋体" w:hAnsi="宋体" w:cs="宋体"/>
          <w:color w:val="FF0000"/>
          <w:sz w:val="18"/>
          <w:szCs w:val="18"/>
        </w:rPr>
      </w:pPr>
      <w:r>
        <w:rPr>
          <w:rFonts w:hint="eastAsia" w:ascii="宋体" w:hAnsi="宋体" w:cs="宋体"/>
          <w:color w:val="FF0000"/>
          <w:sz w:val="18"/>
          <w:szCs w:val="18"/>
        </w:rPr>
        <w:t>1.1</w:t>
      </w:r>
      <w:r>
        <w:rPr>
          <w:rFonts w:hint="eastAsia" w:ascii="宋体" w:hAnsi="宋体" w:cs="宋体"/>
          <w:color w:val="FF0000"/>
          <w:sz w:val="18"/>
          <w:szCs w:val="18"/>
        </w:rPr>
        <w:tab/>
      </w:r>
      <w:r>
        <w:rPr>
          <w:rFonts w:hint="eastAsia" w:ascii="宋体" w:hAnsi="宋体" w:cs="宋体"/>
          <w:color w:val="FF0000"/>
          <w:sz w:val="18"/>
          <w:szCs w:val="18"/>
          <w:lang w:eastAsia="zh-CN"/>
        </w:rPr>
        <w:t>供应商</w:t>
      </w:r>
      <w:r>
        <w:rPr>
          <w:rFonts w:hint="eastAsia" w:ascii="宋体" w:hAnsi="宋体" w:cs="宋体"/>
          <w:color w:val="FF0000"/>
          <w:sz w:val="18"/>
          <w:szCs w:val="18"/>
        </w:rPr>
        <w:t>负责建筑材料到施工地点的全部运输，包括装卸及现场搬运等。</w:t>
      </w:r>
    </w:p>
    <w:p w14:paraId="4636A484">
      <w:pPr>
        <w:pStyle w:val="17"/>
        <w:snapToGrid w:val="0"/>
        <w:spacing w:after="0" w:line="440" w:lineRule="exact"/>
        <w:ind w:right="23" w:firstLine="360" w:firstLineChars="200"/>
        <w:textAlignment w:val="baseline"/>
        <w:rPr>
          <w:rFonts w:ascii="宋体" w:hAnsi="宋体" w:cs="宋体"/>
          <w:color w:val="FF0000"/>
          <w:sz w:val="18"/>
          <w:szCs w:val="18"/>
        </w:rPr>
      </w:pPr>
      <w:r>
        <w:rPr>
          <w:rFonts w:hint="eastAsia" w:ascii="宋体" w:hAnsi="宋体" w:cs="宋体"/>
          <w:color w:val="FF0000"/>
          <w:sz w:val="18"/>
          <w:szCs w:val="18"/>
        </w:rPr>
        <w:t>1.2</w:t>
      </w:r>
      <w:r>
        <w:rPr>
          <w:rFonts w:hint="eastAsia" w:ascii="宋体" w:hAnsi="宋体" w:cs="宋体"/>
          <w:color w:val="FF0000"/>
          <w:sz w:val="18"/>
          <w:szCs w:val="18"/>
        </w:rPr>
        <w:tab/>
      </w:r>
      <w:r>
        <w:rPr>
          <w:rFonts w:hint="eastAsia" w:ascii="宋体" w:hAnsi="宋体" w:cs="宋体"/>
          <w:color w:val="FF0000"/>
          <w:sz w:val="18"/>
          <w:szCs w:val="18"/>
          <w:lang w:eastAsia="zh-CN"/>
        </w:rPr>
        <w:t>供应商</w:t>
      </w:r>
      <w:r>
        <w:rPr>
          <w:rFonts w:hint="eastAsia" w:ascii="宋体" w:hAnsi="宋体" w:cs="宋体"/>
          <w:color w:val="FF0000"/>
          <w:sz w:val="18"/>
          <w:szCs w:val="18"/>
        </w:rPr>
        <w:t>负责建筑材料在施工地点的保管，直至项目验收合格。</w:t>
      </w:r>
    </w:p>
    <w:p w14:paraId="0D49BC95">
      <w:pPr>
        <w:pStyle w:val="17"/>
        <w:snapToGrid w:val="0"/>
        <w:spacing w:after="0" w:line="440" w:lineRule="exact"/>
        <w:ind w:right="23" w:firstLine="360" w:firstLineChars="200"/>
        <w:textAlignment w:val="baseline"/>
        <w:rPr>
          <w:rFonts w:ascii="宋体" w:hAnsi="宋体" w:cs="宋体"/>
          <w:color w:val="FF0000"/>
          <w:sz w:val="18"/>
          <w:szCs w:val="18"/>
        </w:rPr>
      </w:pPr>
      <w:r>
        <w:rPr>
          <w:rFonts w:hint="eastAsia" w:ascii="宋体" w:hAnsi="宋体" w:cs="宋体"/>
          <w:color w:val="FF0000"/>
          <w:sz w:val="18"/>
          <w:szCs w:val="18"/>
        </w:rPr>
        <w:t>1.3</w:t>
      </w:r>
      <w:r>
        <w:rPr>
          <w:rFonts w:hint="eastAsia" w:ascii="宋体" w:hAnsi="宋体" w:cs="宋体"/>
          <w:color w:val="FF0000"/>
          <w:sz w:val="18"/>
          <w:szCs w:val="18"/>
        </w:rPr>
        <w:tab/>
      </w:r>
      <w:r>
        <w:rPr>
          <w:rFonts w:hint="eastAsia" w:ascii="宋体" w:hAnsi="宋体" w:cs="宋体"/>
          <w:color w:val="FF0000"/>
          <w:sz w:val="18"/>
          <w:szCs w:val="18"/>
          <w:lang w:eastAsia="zh-CN"/>
        </w:rPr>
        <w:t>供应商</w:t>
      </w:r>
      <w:r>
        <w:rPr>
          <w:rFonts w:hint="eastAsia" w:ascii="宋体" w:hAnsi="宋体" w:cs="宋体"/>
          <w:color w:val="FF0000"/>
          <w:sz w:val="18"/>
          <w:szCs w:val="18"/>
        </w:rPr>
        <w:t>负责其派出的施工人员的人身意外保险。</w:t>
      </w:r>
    </w:p>
    <w:p w14:paraId="340B3AE7">
      <w:pPr>
        <w:pStyle w:val="17"/>
        <w:snapToGrid w:val="0"/>
        <w:spacing w:after="0" w:line="440" w:lineRule="exact"/>
        <w:ind w:right="23" w:firstLine="360" w:firstLineChars="200"/>
        <w:textAlignment w:val="baseline"/>
        <w:rPr>
          <w:rFonts w:ascii="宋体" w:hAnsi="宋体" w:cs="宋体"/>
          <w:b/>
          <w:color w:val="FF0000"/>
          <w:sz w:val="18"/>
          <w:szCs w:val="18"/>
        </w:rPr>
      </w:pPr>
      <w:r>
        <w:rPr>
          <w:rFonts w:hint="eastAsia" w:ascii="宋体" w:hAnsi="宋体" w:cs="宋体"/>
          <w:b/>
          <w:color w:val="FF0000"/>
          <w:sz w:val="18"/>
          <w:szCs w:val="18"/>
        </w:rPr>
        <w:t>2、</w:t>
      </w:r>
      <w:r>
        <w:rPr>
          <w:rFonts w:hint="eastAsia" w:ascii="宋体" w:hAnsi="宋体" w:cs="宋体"/>
          <w:b/>
          <w:color w:val="FF0000"/>
          <w:sz w:val="18"/>
          <w:szCs w:val="18"/>
        </w:rPr>
        <w:tab/>
      </w:r>
      <w:r>
        <w:rPr>
          <w:rFonts w:hint="eastAsia" w:ascii="宋体" w:hAnsi="宋体" w:cs="宋体"/>
          <w:b/>
          <w:color w:val="FF0000"/>
          <w:sz w:val="18"/>
          <w:szCs w:val="18"/>
        </w:rPr>
        <w:t>施工要求</w:t>
      </w:r>
    </w:p>
    <w:p w14:paraId="0AED4C39">
      <w:pPr>
        <w:pStyle w:val="17"/>
        <w:snapToGrid w:val="0"/>
        <w:spacing w:after="0" w:line="440" w:lineRule="exact"/>
        <w:ind w:right="23" w:firstLine="360" w:firstLineChars="200"/>
        <w:textAlignment w:val="baseline"/>
        <w:rPr>
          <w:rFonts w:ascii="宋体" w:hAnsi="宋体" w:cs="宋体"/>
          <w:color w:val="FF0000"/>
          <w:sz w:val="18"/>
          <w:szCs w:val="18"/>
        </w:rPr>
      </w:pPr>
      <w:r>
        <w:rPr>
          <w:rFonts w:hint="eastAsia" w:ascii="宋体" w:hAnsi="宋体" w:cs="宋体"/>
          <w:color w:val="FF0000"/>
          <w:sz w:val="18"/>
          <w:szCs w:val="18"/>
          <w:lang w:eastAsia="zh-CN"/>
        </w:rPr>
        <w:t>供应商</w:t>
      </w:r>
      <w:r>
        <w:rPr>
          <w:rFonts w:hint="eastAsia" w:ascii="宋体" w:hAnsi="宋体" w:cs="宋体"/>
          <w:color w:val="FF0000"/>
          <w:sz w:val="18"/>
          <w:szCs w:val="18"/>
        </w:rPr>
        <w:t>须加强施工的组织管理，所有施工人员须遵守文明安全施工的有关规章制度，实行持证上岗，打卡签到制度。</w:t>
      </w:r>
    </w:p>
    <w:p w14:paraId="29FB3DA9">
      <w:pPr>
        <w:pStyle w:val="17"/>
        <w:snapToGrid w:val="0"/>
        <w:spacing w:after="0" w:line="440" w:lineRule="exact"/>
        <w:ind w:right="23" w:firstLine="360" w:firstLineChars="200"/>
        <w:textAlignment w:val="baseline"/>
        <w:rPr>
          <w:rFonts w:ascii="宋体" w:hAnsi="宋体" w:cs="宋体"/>
          <w:b/>
          <w:color w:val="FF0000"/>
          <w:sz w:val="18"/>
          <w:szCs w:val="18"/>
        </w:rPr>
      </w:pPr>
      <w:r>
        <w:rPr>
          <w:rFonts w:hint="eastAsia" w:ascii="宋体" w:hAnsi="宋体" w:cs="宋体"/>
          <w:b/>
          <w:color w:val="FF0000"/>
          <w:sz w:val="18"/>
          <w:szCs w:val="18"/>
        </w:rPr>
        <w:t>3、验收要求</w:t>
      </w:r>
    </w:p>
    <w:p w14:paraId="6D99DB70">
      <w:pPr>
        <w:pStyle w:val="17"/>
        <w:snapToGrid w:val="0"/>
        <w:spacing w:after="0" w:line="440" w:lineRule="exact"/>
        <w:ind w:right="23" w:firstLine="360" w:firstLineChars="200"/>
        <w:textAlignment w:val="baseline"/>
        <w:rPr>
          <w:color w:val="FF0000"/>
          <w:sz w:val="18"/>
          <w:szCs w:val="18"/>
        </w:rPr>
      </w:pPr>
      <w:r>
        <w:rPr>
          <w:rFonts w:hint="eastAsia" w:ascii="宋体" w:hAnsi="宋体" w:cs="宋体"/>
          <w:color w:val="FF0000"/>
          <w:sz w:val="18"/>
          <w:szCs w:val="18"/>
        </w:rPr>
        <w:t>由采购人组织验收活动，建设单位负责在当地相关行政主管部门办理工程竣工验收备案。</w:t>
      </w:r>
    </w:p>
    <w:p w14:paraId="510ED534">
      <w:pPr>
        <w:pStyle w:val="3"/>
        <w:textAlignment w:val="baseline"/>
        <w:rPr>
          <w:color w:val="FF0000"/>
          <w:sz w:val="18"/>
          <w:szCs w:val="18"/>
        </w:rPr>
      </w:pPr>
      <w:r>
        <w:rPr>
          <w:rFonts w:hint="eastAsia"/>
          <w:color w:val="FF0000"/>
          <w:sz w:val="18"/>
          <w:szCs w:val="18"/>
          <w:lang w:val="en-US" w:eastAsia="zh-CN"/>
        </w:rPr>
        <w:t>六</w:t>
      </w:r>
      <w:r>
        <w:rPr>
          <w:rFonts w:hint="eastAsia"/>
          <w:color w:val="FF0000"/>
          <w:sz w:val="18"/>
          <w:szCs w:val="18"/>
        </w:rPr>
        <w:t>、项目特别说明</w:t>
      </w:r>
    </w:p>
    <w:p w14:paraId="07D4F7F8">
      <w:pPr>
        <w:widowControl/>
        <w:snapToGrid w:val="0"/>
        <w:spacing w:line="360" w:lineRule="auto"/>
        <w:ind w:firstLine="360" w:firstLineChars="200"/>
        <w:jc w:val="left"/>
        <w:textAlignment w:val="baseline"/>
        <w:rPr>
          <w:rFonts w:ascii="宋体" w:hAnsi="宋体" w:cs="宋体"/>
          <w:color w:val="FF0000"/>
          <w:sz w:val="18"/>
          <w:szCs w:val="18"/>
        </w:rPr>
      </w:pPr>
      <w:r>
        <w:rPr>
          <w:rFonts w:hint="eastAsia" w:ascii="宋体" w:hAnsi="宋体" w:cs="宋体"/>
          <w:color w:val="FF0000"/>
          <w:sz w:val="18"/>
          <w:szCs w:val="18"/>
        </w:rPr>
        <w:t>付款人：采购人</w:t>
      </w:r>
    </w:p>
    <w:p w14:paraId="3CD0C045">
      <w:pPr>
        <w:spacing w:line="360" w:lineRule="auto"/>
        <w:ind w:firstLine="360" w:firstLineChars="200"/>
        <w:textAlignment w:val="baseline"/>
        <w:rPr>
          <w:rFonts w:ascii="宋体" w:hAnsi="宋体" w:cs="宋体"/>
          <w:color w:val="FF0000"/>
          <w:sz w:val="18"/>
          <w:szCs w:val="18"/>
        </w:rPr>
      </w:pPr>
      <w:r>
        <w:rPr>
          <w:rFonts w:hint="eastAsia" w:ascii="宋体" w:hAnsi="宋体" w:cs="宋体"/>
          <w:color w:val="FF0000"/>
          <w:sz w:val="18"/>
          <w:szCs w:val="18"/>
        </w:rPr>
        <w:t>付款方式：签订合同时约定</w:t>
      </w:r>
    </w:p>
    <w:p w14:paraId="482A8A0A">
      <w:pPr>
        <w:spacing w:line="360" w:lineRule="auto"/>
        <w:textAlignment w:val="baseline"/>
        <w:rPr>
          <w:rFonts w:ascii="宋体" w:hAnsi="宋体" w:cs="宋体"/>
          <w:b/>
          <w:bCs/>
          <w:color w:val="FF0000"/>
          <w:sz w:val="18"/>
          <w:szCs w:val="18"/>
        </w:rPr>
      </w:pPr>
      <w:r>
        <w:rPr>
          <w:rFonts w:hint="eastAsia" w:ascii="宋体" w:hAnsi="宋体" w:cs="宋体"/>
          <w:b/>
          <w:bCs/>
          <w:color w:val="FF0000"/>
          <w:sz w:val="18"/>
          <w:szCs w:val="18"/>
        </w:rPr>
        <w:t>七、其他未尽事项在合同签订时约定</w:t>
      </w:r>
    </w:p>
    <w:p w14:paraId="791984EB">
      <w:pPr>
        <w:spacing w:line="360" w:lineRule="auto"/>
        <w:textAlignment w:val="baseline"/>
        <w:rPr>
          <w:rFonts w:ascii="宋体" w:hAnsi="宋体" w:cs="宋体"/>
          <w:b/>
          <w:bCs/>
          <w:color w:val="FF0000"/>
          <w:sz w:val="18"/>
          <w:szCs w:val="18"/>
        </w:rPr>
      </w:pPr>
      <w:r>
        <w:rPr>
          <w:rFonts w:hint="eastAsia" w:ascii="宋体" w:hAnsi="宋体" w:cs="宋体"/>
          <w:b/>
          <w:bCs/>
          <w:color w:val="FF0000"/>
          <w:sz w:val="18"/>
          <w:szCs w:val="18"/>
        </w:rPr>
        <w:t>八、工程量清单</w:t>
      </w:r>
    </w:p>
    <w:p w14:paraId="045FECB9">
      <w:pPr>
        <w:spacing w:line="360" w:lineRule="auto"/>
        <w:textAlignment w:val="baseline"/>
        <w:rPr>
          <w:rFonts w:ascii="宋体" w:hAnsi="宋体" w:cs="宋体"/>
          <w:b/>
          <w:bCs/>
          <w:color w:val="FF0000"/>
          <w:sz w:val="18"/>
          <w:szCs w:val="18"/>
        </w:rPr>
      </w:pPr>
    </w:p>
    <w:p w14:paraId="787422D1">
      <w:pPr>
        <w:spacing w:line="360" w:lineRule="auto"/>
        <w:textAlignment w:val="baseline"/>
        <w:rPr>
          <w:rFonts w:ascii="宋体" w:hAnsi="宋体" w:cs="宋体"/>
          <w:b/>
          <w:bCs/>
          <w:color w:val="FF0000"/>
          <w:sz w:val="18"/>
          <w:szCs w:val="18"/>
        </w:rPr>
      </w:pPr>
    </w:p>
    <w:p w14:paraId="27477A84">
      <w:pPr>
        <w:spacing w:line="360" w:lineRule="auto"/>
        <w:textAlignment w:val="baseline"/>
        <w:rPr>
          <w:rFonts w:ascii="宋体" w:hAnsi="宋体" w:cs="宋体"/>
          <w:b/>
          <w:bCs/>
          <w:color w:val="FF0000"/>
          <w:sz w:val="18"/>
          <w:szCs w:val="18"/>
        </w:rPr>
      </w:pPr>
    </w:p>
    <w:p w14:paraId="6F994583">
      <w:pPr>
        <w:spacing w:line="360" w:lineRule="auto"/>
        <w:textAlignment w:val="baseline"/>
        <w:rPr>
          <w:rFonts w:ascii="宋体" w:hAnsi="宋体" w:cs="宋体"/>
          <w:b/>
          <w:bCs/>
          <w:color w:val="FF0000"/>
          <w:sz w:val="18"/>
          <w:szCs w:val="18"/>
        </w:rPr>
      </w:pPr>
    </w:p>
    <w:p w14:paraId="4F70EEA5">
      <w:pPr>
        <w:spacing w:line="360" w:lineRule="auto"/>
        <w:textAlignment w:val="baseline"/>
        <w:rPr>
          <w:rFonts w:ascii="宋体" w:hAnsi="宋体" w:cs="宋体"/>
          <w:b/>
          <w:bCs/>
          <w:color w:val="FF0000"/>
          <w:sz w:val="18"/>
          <w:szCs w:val="18"/>
        </w:rPr>
      </w:pPr>
    </w:p>
    <w:p w14:paraId="620B362C">
      <w:pPr>
        <w:spacing w:line="360" w:lineRule="auto"/>
        <w:textAlignment w:val="baseline"/>
        <w:rPr>
          <w:rFonts w:ascii="宋体" w:hAnsi="宋体" w:cs="宋体"/>
          <w:b/>
          <w:bCs/>
          <w:color w:val="FF0000"/>
          <w:sz w:val="18"/>
          <w:szCs w:val="18"/>
        </w:rPr>
      </w:pPr>
    </w:p>
    <w:p w14:paraId="0EB1F621">
      <w:pPr>
        <w:spacing w:line="360" w:lineRule="auto"/>
        <w:textAlignment w:val="baseline"/>
        <w:rPr>
          <w:rFonts w:ascii="宋体" w:hAnsi="宋体" w:cs="宋体"/>
          <w:b/>
          <w:bCs/>
          <w:color w:val="FF0000"/>
          <w:sz w:val="18"/>
          <w:szCs w:val="18"/>
        </w:rPr>
      </w:pPr>
    </w:p>
    <w:p w14:paraId="7C7F6A8F">
      <w:pPr>
        <w:spacing w:line="360" w:lineRule="auto"/>
        <w:textAlignment w:val="baseline"/>
        <w:rPr>
          <w:rFonts w:ascii="宋体" w:hAnsi="宋体" w:cs="宋体"/>
          <w:b/>
          <w:bCs/>
          <w:color w:val="FF0000"/>
          <w:sz w:val="18"/>
          <w:szCs w:val="18"/>
        </w:rPr>
      </w:pPr>
    </w:p>
    <w:tbl>
      <w:tblPr>
        <w:tblStyle w:val="47"/>
        <w:tblW w:w="12766" w:type="dxa"/>
        <w:tblInd w:w="93" w:type="dxa"/>
        <w:tblLayout w:type="fixed"/>
        <w:tblCellMar>
          <w:top w:w="0" w:type="dxa"/>
          <w:left w:w="108" w:type="dxa"/>
          <w:bottom w:w="0" w:type="dxa"/>
          <w:right w:w="108" w:type="dxa"/>
        </w:tblCellMar>
      </w:tblPr>
      <w:tblGrid>
        <w:gridCol w:w="236"/>
        <w:gridCol w:w="933"/>
        <w:gridCol w:w="2172"/>
        <w:gridCol w:w="1105"/>
        <w:gridCol w:w="937"/>
        <w:gridCol w:w="974"/>
        <w:gridCol w:w="992"/>
        <w:gridCol w:w="1106"/>
        <w:gridCol w:w="1349"/>
        <w:gridCol w:w="344"/>
        <w:gridCol w:w="2618"/>
      </w:tblGrid>
      <w:tr w14:paraId="53F068A8">
        <w:tblPrEx>
          <w:tblCellMar>
            <w:top w:w="0" w:type="dxa"/>
            <w:left w:w="108" w:type="dxa"/>
            <w:bottom w:w="0" w:type="dxa"/>
            <w:right w:w="108" w:type="dxa"/>
          </w:tblCellMar>
        </w:tblPrEx>
        <w:trPr>
          <w:gridAfter w:val="2"/>
          <w:wAfter w:w="2965" w:type="dxa"/>
          <w:trHeight w:val="560" w:hRule="atLeast"/>
        </w:trPr>
        <w:tc>
          <w:tcPr>
            <w:tcW w:w="9801" w:type="dxa"/>
            <w:gridSpan w:val="9"/>
            <w:tcBorders>
              <w:top w:val="nil"/>
              <w:left w:val="nil"/>
              <w:bottom w:val="nil"/>
              <w:right w:val="nil"/>
            </w:tcBorders>
            <w:shd w:val="clear" w:color="auto" w:fill="FFFFFF"/>
          </w:tcPr>
          <w:p w14:paraId="5FF34A7D">
            <w:pPr>
              <w:widowControl/>
              <w:jc w:val="center"/>
              <w:textAlignment w:val="top"/>
              <w:rPr>
                <w:rFonts w:ascii="宋体" w:hAnsi="宋体" w:cs="宋体"/>
                <w:b/>
                <w:bCs/>
                <w:color w:val="FF0000"/>
                <w:sz w:val="36"/>
                <w:szCs w:val="36"/>
              </w:rPr>
            </w:pPr>
            <w:r>
              <w:rPr>
                <w:rFonts w:hint="eastAsia" w:ascii="宋体" w:hAnsi="宋体" w:cs="宋体"/>
                <w:b/>
                <w:bCs/>
                <w:color w:val="FF0000"/>
                <w:kern w:val="0"/>
                <w:sz w:val="36"/>
                <w:szCs w:val="36"/>
              </w:rPr>
              <w:t>表A.0.2-5 工程量清单</w:t>
            </w:r>
          </w:p>
        </w:tc>
      </w:tr>
      <w:tr w14:paraId="35796609">
        <w:tblPrEx>
          <w:tblCellMar>
            <w:top w:w="0" w:type="dxa"/>
            <w:left w:w="108" w:type="dxa"/>
            <w:bottom w:w="0" w:type="dxa"/>
            <w:right w:w="108" w:type="dxa"/>
          </w:tblCellMar>
        </w:tblPrEx>
        <w:trPr>
          <w:gridAfter w:val="2"/>
          <w:wAfter w:w="2965" w:type="dxa"/>
          <w:trHeight w:val="300" w:hRule="atLeast"/>
        </w:trPr>
        <w:tc>
          <w:tcPr>
            <w:tcW w:w="7344" w:type="dxa"/>
            <w:gridSpan w:val="7"/>
            <w:tcBorders>
              <w:top w:val="nil"/>
              <w:left w:val="nil"/>
              <w:bottom w:val="nil"/>
              <w:right w:val="nil"/>
            </w:tcBorders>
            <w:shd w:val="clear" w:color="auto" w:fill="FFFFFF"/>
            <w:vAlign w:val="center"/>
          </w:tcPr>
          <w:p w14:paraId="1925F2F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建设项目名称：汝城县2024年第三批农村公路安防工程预算评审</w:t>
            </w:r>
          </w:p>
        </w:tc>
        <w:tc>
          <w:tcPr>
            <w:tcW w:w="2457" w:type="dxa"/>
            <w:gridSpan w:val="2"/>
            <w:tcBorders>
              <w:top w:val="nil"/>
              <w:left w:val="nil"/>
              <w:bottom w:val="nil"/>
              <w:right w:val="nil"/>
            </w:tcBorders>
            <w:shd w:val="clear" w:color="auto" w:fill="FFFFFF"/>
            <w:vAlign w:val="bottom"/>
          </w:tcPr>
          <w:p w14:paraId="7FC7F24F">
            <w:pPr>
              <w:jc w:val="right"/>
              <w:rPr>
                <w:rFonts w:ascii="宋体" w:hAnsi="宋体" w:cs="宋体"/>
                <w:color w:val="FF0000"/>
                <w:sz w:val="16"/>
                <w:szCs w:val="16"/>
              </w:rPr>
            </w:pPr>
          </w:p>
        </w:tc>
      </w:tr>
      <w:tr w14:paraId="72FFFB0A">
        <w:tblPrEx>
          <w:tblCellMar>
            <w:top w:w="0" w:type="dxa"/>
            <w:left w:w="108" w:type="dxa"/>
            <w:bottom w:w="0" w:type="dxa"/>
            <w:right w:w="108" w:type="dxa"/>
          </w:tblCellMar>
        </w:tblPrEx>
        <w:trPr>
          <w:trHeight w:val="300" w:hRule="atLeast"/>
        </w:trPr>
        <w:tc>
          <w:tcPr>
            <w:tcW w:w="4438" w:type="dxa"/>
            <w:gridSpan w:val="4"/>
            <w:tcBorders>
              <w:top w:val="nil"/>
              <w:left w:val="nil"/>
              <w:bottom w:val="nil"/>
              <w:right w:val="nil"/>
            </w:tcBorders>
            <w:shd w:val="clear" w:color="auto" w:fill="FFFFFF"/>
            <w:vAlign w:val="center"/>
          </w:tcPr>
          <w:p w14:paraId="4664CE1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编制范围：汝城县2024年第三批农村公路安防工程预算评审</w:t>
            </w:r>
          </w:p>
        </w:tc>
        <w:tc>
          <w:tcPr>
            <w:tcW w:w="1913" w:type="dxa"/>
            <w:gridSpan w:val="2"/>
            <w:tcBorders>
              <w:top w:val="nil"/>
              <w:left w:val="nil"/>
              <w:bottom w:val="nil"/>
              <w:right w:val="nil"/>
            </w:tcBorders>
            <w:shd w:val="clear" w:color="auto" w:fill="FFFFFF"/>
            <w:vAlign w:val="center"/>
          </w:tcPr>
          <w:p w14:paraId="41B37C26">
            <w:pPr>
              <w:jc w:val="left"/>
              <w:rPr>
                <w:rFonts w:ascii="宋体" w:hAnsi="宋体" w:cs="宋体"/>
                <w:color w:val="FF0000"/>
                <w:sz w:val="16"/>
                <w:szCs w:val="16"/>
              </w:rPr>
            </w:pPr>
          </w:p>
        </w:tc>
        <w:tc>
          <w:tcPr>
            <w:tcW w:w="993" w:type="dxa"/>
            <w:tcBorders>
              <w:top w:val="nil"/>
              <w:left w:val="nil"/>
              <w:bottom w:val="nil"/>
              <w:right w:val="nil"/>
            </w:tcBorders>
            <w:shd w:val="clear" w:color="auto" w:fill="FFFFFF"/>
            <w:vAlign w:val="center"/>
          </w:tcPr>
          <w:p w14:paraId="3FECB234">
            <w:pPr>
              <w:jc w:val="left"/>
              <w:rPr>
                <w:rFonts w:ascii="宋体" w:hAnsi="宋体" w:cs="宋体"/>
                <w:color w:val="FF0000"/>
                <w:sz w:val="16"/>
                <w:szCs w:val="16"/>
              </w:rPr>
            </w:pPr>
          </w:p>
        </w:tc>
        <w:tc>
          <w:tcPr>
            <w:tcW w:w="1107" w:type="dxa"/>
            <w:tcBorders>
              <w:top w:val="nil"/>
              <w:left w:val="nil"/>
              <w:bottom w:val="nil"/>
              <w:right w:val="nil"/>
            </w:tcBorders>
            <w:shd w:val="clear" w:color="auto" w:fill="FFFFFF"/>
            <w:vAlign w:val="center"/>
          </w:tcPr>
          <w:p w14:paraId="5CDA6FFD">
            <w:pPr>
              <w:widowControl/>
              <w:jc w:val="right"/>
              <w:textAlignment w:val="center"/>
              <w:rPr>
                <w:rFonts w:ascii="宋体" w:hAnsi="宋体" w:cs="宋体"/>
                <w:color w:val="FF0000"/>
                <w:sz w:val="16"/>
                <w:szCs w:val="16"/>
              </w:rPr>
            </w:pPr>
            <w:r>
              <w:rPr>
                <w:rFonts w:hint="eastAsia" w:ascii="宋体" w:hAnsi="宋体" w:cs="宋体"/>
                <w:color w:val="FF0000"/>
                <w:kern w:val="0"/>
                <w:sz w:val="16"/>
                <w:szCs w:val="16"/>
              </w:rPr>
              <w:t>第 1 页</w:t>
            </w:r>
          </w:p>
        </w:tc>
        <w:tc>
          <w:tcPr>
            <w:tcW w:w="1694" w:type="dxa"/>
            <w:gridSpan w:val="2"/>
            <w:tcBorders>
              <w:top w:val="nil"/>
              <w:left w:val="nil"/>
              <w:bottom w:val="nil"/>
              <w:right w:val="nil"/>
            </w:tcBorders>
            <w:shd w:val="clear" w:color="auto" w:fill="FFFFFF"/>
            <w:vAlign w:val="center"/>
          </w:tcPr>
          <w:p w14:paraId="22794AC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共 2 页01表</w:t>
            </w:r>
          </w:p>
        </w:tc>
        <w:tc>
          <w:tcPr>
            <w:tcW w:w="2621" w:type="dxa"/>
            <w:tcBorders>
              <w:top w:val="nil"/>
              <w:left w:val="nil"/>
              <w:bottom w:val="nil"/>
              <w:right w:val="nil"/>
            </w:tcBorders>
            <w:shd w:val="clear" w:color="auto" w:fill="FFFFFF"/>
            <w:vAlign w:val="center"/>
          </w:tcPr>
          <w:p w14:paraId="6B83CE85">
            <w:pPr>
              <w:widowControl/>
              <w:jc w:val="right"/>
              <w:textAlignment w:val="center"/>
              <w:rPr>
                <w:rFonts w:ascii="宋体" w:hAnsi="宋体" w:cs="宋体"/>
                <w:color w:val="FF0000"/>
                <w:sz w:val="16"/>
                <w:szCs w:val="16"/>
              </w:rPr>
            </w:pPr>
          </w:p>
        </w:tc>
      </w:tr>
      <w:tr w14:paraId="4ED54F90">
        <w:tblPrEx>
          <w:tblCellMar>
            <w:top w:w="0" w:type="dxa"/>
            <w:left w:w="108" w:type="dxa"/>
            <w:bottom w:w="0" w:type="dxa"/>
            <w:right w:w="108" w:type="dxa"/>
          </w:tblCellMar>
        </w:tblPrEx>
        <w:trPr>
          <w:gridAfter w:val="2"/>
          <w:wAfter w:w="2965" w:type="dxa"/>
          <w:trHeight w:val="520" w:hRule="atLeast"/>
        </w:trPr>
        <w:tc>
          <w:tcPr>
            <w:tcW w:w="222" w:type="dxa"/>
            <w:tcBorders>
              <w:top w:val="nil"/>
              <w:left w:val="nil"/>
              <w:bottom w:val="nil"/>
              <w:right w:val="nil"/>
            </w:tcBorders>
            <w:shd w:val="clear" w:color="auto" w:fill="FFFFFF"/>
          </w:tcPr>
          <w:p w14:paraId="18DCFC8D">
            <w:pPr>
              <w:jc w:val="left"/>
              <w:rPr>
                <w:rFonts w:ascii="SansSerif" w:hAnsi="SansSerif" w:eastAsia="SansSerif" w:cs="SansSerif"/>
                <w:color w:val="FF0000"/>
                <w:sz w:val="20"/>
                <w:szCs w:val="20"/>
              </w:rPr>
            </w:pPr>
          </w:p>
        </w:tc>
        <w:tc>
          <w:tcPr>
            <w:tcW w:w="93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19B05DB">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分项编号</w:t>
            </w:r>
          </w:p>
        </w:tc>
        <w:tc>
          <w:tcPr>
            <w:tcW w:w="2175" w:type="dxa"/>
            <w:tcBorders>
              <w:top w:val="single" w:color="000000" w:sz="8" w:space="0"/>
              <w:left w:val="nil"/>
              <w:bottom w:val="single" w:color="000000" w:sz="4" w:space="0"/>
              <w:right w:val="single" w:color="000000" w:sz="4" w:space="0"/>
            </w:tcBorders>
            <w:shd w:val="clear" w:color="auto" w:fill="FFFFFF"/>
            <w:vAlign w:val="center"/>
          </w:tcPr>
          <w:p w14:paraId="2C2B8C52">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工程或费用名称</w:t>
            </w:r>
          </w:p>
        </w:tc>
        <w:tc>
          <w:tcPr>
            <w:tcW w:w="1106" w:type="dxa"/>
            <w:tcBorders>
              <w:top w:val="single" w:color="000000" w:sz="8" w:space="0"/>
              <w:left w:val="nil"/>
              <w:bottom w:val="single" w:color="000000" w:sz="4" w:space="0"/>
              <w:right w:val="single" w:color="000000" w:sz="4" w:space="0"/>
            </w:tcBorders>
            <w:shd w:val="clear" w:color="auto" w:fill="FFFFFF"/>
            <w:vAlign w:val="center"/>
          </w:tcPr>
          <w:p w14:paraId="6A8537E7">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单位</w:t>
            </w:r>
          </w:p>
        </w:tc>
        <w:tc>
          <w:tcPr>
            <w:tcW w:w="938" w:type="dxa"/>
            <w:tcBorders>
              <w:top w:val="single" w:color="000000" w:sz="8" w:space="0"/>
              <w:left w:val="nil"/>
              <w:bottom w:val="single" w:color="000000" w:sz="4" w:space="0"/>
              <w:right w:val="single" w:color="000000" w:sz="4" w:space="0"/>
            </w:tcBorders>
            <w:shd w:val="clear" w:color="auto" w:fill="FFFFFF"/>
            <w:vAlign w:val="center"/>
          </w:tcPr>
          <w:p w14:paraId="14D025EA">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数量</w:t>
            </w:r>
          </w:p>
        </w:tc>
        <w:tc>
          <w:tcPr>
            <w:tcW w:w="975" w:type="dxa"/>
            <w:tcBorders>
              <w:top w:val="single" w:color="000000" w:sz="8" w:space="0"/>
              <w:left w:val="nil"/>
              <w:bottom w:val="single" w:color="000000" w:sz="4" w:space="0"/>
              <w:right w:val="single" w:color="000000" w:sz="4" w:space="0"/>
            </w:tcBorders>
            <w:shd w:val="clear" w:color="auto" w:fill="FFFFFF"/>
            <w:vAlign w:val="center"/>
          </w:tcPr>
          <w:p w14:paraId="249B89D3">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金额（元）</w:t>
            </w:r>
          </w:p>
        </w:tc>
        <w:tc>
          <w:tcPr>
            <w:tcW w:w="993" w:type="dxa"/>
            <w:tcBorders>
              <w:top w:val="single" w:color="000000" w:sz="8" w:space="0"/>
              <w:left w:val="nil"/>
              <w:bottom w:val="single" w:color="000000" w:sz="4" w:space="0"/>
              <w:right w:val="single" w:color="000000" w:sz="4" w:space="0"/>
            </w:tcBorders>
            <w:shd w:val="clear" w:color="auto" w:fill="FFFFFF"/>
            <w:vAlign w:val="center"/>
          </w:tcPr>
          <w:p w14:paraId="38120762">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技术经济指标</w:t>
            </w:r>
          </w:p>
        </w:tc>
        <w:tc>
          <w:tcPr>
            <w:tcW w:w="1107" w:type="dxa"/>
            <w:tcBorders>
              <w:top w:val="single" w:color="000000" w:sz="8" w:space="0"/>
              <w:left w:val="nil"/>
              <w:bottom w:val="single" w:color="000000" w:sz="4" w:space="0"/>
              <w:right w:val="single" w:color="000000" w:sz="4" w:space="0"/>
            </w:tcBorders>
            <w:shd w:val="clear" w:color="auto" w:fill="FFFFFF"/>
            <w:vAlign w:val="center"/>
          </w:tcPr>
          <w:p w14:paraId="6DFB394E">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各项费用比例(%)</w:t>
            </w:r>
          </w:p>
        </w:tc>
        <w:tc>
          <w:tcPr>
            <w:tcW w:w="1350" w:type="dxa"/>
            <w:tcBorders>
              <w:top w:val="single" w:color="000000" w:sz="8" w:space="0"/>
              <w:left w:val="nil"/>
              <w:bottom w:val="single" w:color="000000" w:sz="4" w:space="0"/>
              <w:right w:val="single" w:color="000000" w:sz="8" w:space="0"/>
            </w:tcBorders>
            <w:shd w:val="clear" w:color="auto" w:fill="FFFFFF"/>
            <w:vAlign w:val="center"/>
          </w:tcPr>
          <w:p w14:paraId="09A5C6E1">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备注</w:t>
            </w:r>
          </w:p>
        </w:tc>
      </w:tr>
      <w:tr w14:paraId="54AF31B4">
        <w:tblPrEx>
          <w:tblCellMar>
            <w:top w:w="0" w:type="dxa"/>
            <w:left w:w="108" w:type="dxa"/>
            <w:bottom w:w="0" w:type="dxa"/>
            <w:right w:w="108" w:type="dxa"/>
          </w:tblCellMar>
        </w:tblPrEx>
        <w:trPr>
          <w:gridAfter w:val="2"/>
          <w:wAfter w:w="2965" w:type="dxa"/>
          <w:trHeight w:val="360" w:hRule="atLeast"/>
        </w:trPr>
        <w:tc>
          <w:tcPr>
            <w:tcW w:w="222" w:type="dxa"/>
            <w:tcBorders>
              <w:top w:val="nil"/>
              <w:left w:val="nil"/>
              <w:bottom w:val="nil"/>
              <w:right w:val="nil"/>
            </w:tcBorders>
            <w:shd w:val="clear" w:color="auto" w:fill="FFFFFF"/>
          </w:tcPr>
          <w:p w14:paraId="46FB717D">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4BEB0B8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1</w:t>
            </w:r>
          </w:p>
        </w:tc>
        <w:tc>
          <w:tcPr>
            <w:tcW w:w="2175" w:type="dxa"/>
            <w:tcBorders>
              <w:top w:val="nil"/>
              <w:left w:val="nil"/>
              <w:bottom w:val="single" w:color="000000" w:sz="4" w:space="0"/>
              <w:right w:val="single" w:color="000000" w:sz="4" w:space="0"/>
            </w:tcBorders>
            <w:shd w:val="clear" w:color="auto" w:fill="FFFFFF"/>
            <w:vAlign w:val="center"/>
          </w:tcPr>
          <w:p w14:paraId="4F934668">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第一部分 建筑安装工程费</w:t>
            </w:r>
          </w:p>
        </w:tc>
        <w:tc>
          <w:tcPr>
            <w:tcW w:w="1106" w:type="dxa"/>
            <w:tcBorders>
              <w:top w:val="nil"/>
              <w:left w:val="nil"/>
              <w:bottom w:val="single" w:color="000000" w:sz="4" w:space="0"/>
              <w:right w:val="single" w:color="000000" w:sz="4" w:space="0"/>
            </w:tcBorders>
            <w:shd w:val="clear" w:color="auto" w:fill="FFFFFF"/>
            <w:vAlign w:val="center"/>
          </w:tcPr>
          <w:p w14:paraId="6C439448">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71ED8B4D">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628977E8">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B88C7BD">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7552DBEB">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B6EECB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 xml:space="preserve">建设项目路线总长度（主线长度） </w:t>
            </w:r>
          </w:p>
        </w:tc>
      </w:tr>
      <w:tr w14:paraId="2071DA07">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7B37B4EE">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24200D39">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102</w:t>
            </w:r>
          </w:p>
        </w:tc>
        <w:tc>
          <w:tcPr>
            <w:tcW w:w="2175" w:type="dxa"/>
            <w:tcBorders>
              <w:top w:val="nil"/>
              <w:left w:val="nil"/>
              <w:bottom w:val="single" w:color="000000" w:sz="4" w:space="0"/>
              <w:right w:val="single" w:color="000000" w:sz="4" w:space="0"/>
            </w:tcBorders>
            <w:shd w:val="clear" w:color="auto" w:fill="FFFFFF"/>
            <w:vAlign w:val="center"/>
          </w:tcPr>
          <w:p w14:paraId="5789649D">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路基工程</w:t>
            </w:r>
          </w:p>
        </w:tc>
        <w:tc>
          <w:tcPr>
            <w:tcW w:w="1106" w:type="dxa"/>
            <w:tcBorders>
              <w:top w:val="nil"/>
              <w:left w:val="nil"/>
              <w:bottom w:val="single" w:color="000000" w:sz="4" w:space="0"/>
              <w:right w:val="single" w:color="000000" w:sz="4" w:space="0"/>
            </w:tcBorders>
            <w:shd w:val="clear" w:color="auto" w:fill="FFFFFF"/>
            <w:vAlign w:val="center"/>
          </w:tcPr>
          <w:p w14:paraId="610F3CD1">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938" w:type="dxa"/>
            <w:tcBorders>
              <w:top w:val="nil"/>
              <w:left w:val="nil"/>
              <w:bottom w:val="single" w:color="000000" w:sz="4" w:space="0"/>
              <w:right w:val="single" w:color="000000" w:sz="4" w:space="0"/>
            </w:tcBorders>
            <w:shd w:val="clear" w:color="auto" w:fill="FFFFFF"/>
            <w:vAlign w:val="center"/>
          </w:tcPr>
          <w:p w14:paraId="546D3B72">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32B1099">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0717CC4">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590559CF">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5A36B8F6">
            <w:pPr>
              <w:widowControl/>
              <w:jc w:val="left"/>
              <w:textAlignment w:val="center"/>
              <w:rPr>
                <w:rFonts w:ascii="宋体" w:hAnsi="宋体" w:cs="宋体"/>
                <w:color w:val="FF0000"/>
                <w:sz w:val="16"/>
                <w:szCs w:val="16"/>
              </w:rPr>
            </w:pPr>
          </w:p>
        </w:tc>
      </w:tr>
      <w:tr w14:paraId="419399FE">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2F7C28E3">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1505445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LJ01</w:t>
            </w:r>
          </w:p>
        </w:tc>
        <w:tc>
          <w:tcPr>
            <w:tcW w:w="2175" w:type="dxa"/>
            <w:tcBorders>
              <w:top w:val="nil"/>
              <w:left w:val="nil"/>
              <w:bottom w:val="single" w:color="000000" w:sz="4" w:space="0"/>
              <w:right w:val="single" w:color="000000" w:sz="4" w:space="0"/>
            </w:tcBorders>
            <w:shd w:val="clear" w:color="auto" w:fill="FFFFFF"/>
            <w:vAlign w:val="center"/>
          </w:tcPr>
          <w:p w14:paraId="447E804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场地清理</w:t>
            </w:r>
          </w:p>
        </w:tc>
        <w:tc>
          <w:tcPr>
            <w:tcW w:w="1106" w:type="dxa"/>
            <w:tcBorders>
              <w:top w:val="nil"/>
              <w:left w:val="nil"/>
              <w:bottom w:val="single" w:color="000000" w:sz="4" w:space="0"/>
              <w:right w:val="single" w:color="000000" w:sz="4" w:space="0"/>
            </w:tcBorders>
            <w:shd w:val="clear" w:color="auto" w:fill="FFFFFF"/>
            <w:vAlign w:val="center"/>
          </w:tcPr>
          <w:p w14:paraId="1B95166A">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938" w:type="dxa"/>
            <w:tcBorders>
              <w:top w:val="nil"/>
              <w:left w:val="nil"/>
              <w:bottom w:val="single" w:color="000000" w:sz="4" w:space="0"/>
              <w:right w:val="single" w:color="000000" w:sz="4" w:space="0"/>
            </w:tcBorders>
            <w:shd w:val="clear" w:color="auto" w:fill="FFFFFF"/>
            <w:vAlign w:val="center"/>
          </w:tcPr>
          <w:p w14:paraId="588E0441">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51A2C770">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1E723E25">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1E98E48">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F163DFE">
            <w:pPr>
              <w:widowControl/>
              <w:jc w:val="left"/>
              <w:textAlignment w:val="center"/>
              <w:rPr>
                <w:rFonts w:ascii="宋体" w:hAnsi="宋体" w:cs="宋体"/>
                <w:color w:val="FF0000"/>
                <w:sz w:val="16"/>
                <w:szCs w:val="16"/>
              </w:rPr>
            </w:pPr>
          </w:p>
        </w:tc>
      </w:tr>
      <w:tr w14:paraId="5C021B16">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06D2A633">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4741BD2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LJ0101</w:t>
            </w:r>
          </w:p>
        </w:tc>
        <w:tc>
          <w:tcPr>
            <w:tcW w:w="2175" w:type="dxa"/>
            <w:tcBorders>
              <w:top w:val="nil"/>
              <w:left w:val="nil"/>
              <w:bottom w:val="single" w:color="000000" w:sz="4" w:space="0"/>
              <w:right w:val="single" w:color="000000" w:sz="4" w:space="0"/>
            </w:tcBorders>
            <w:shd w:val="clear" w:color="auto" w:fill="FFFFFF"/>
            <w:vAlign w:val="center"/>
          </w:tcPr>
          <w:p w14:paraId="4E01F67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除草</w:t>
            </w:r>
          </w:p>
        </w:tc>
        <w:tc>
          <w:tcPr>
            <w:tcW w:w="1106" w:type="dxa"/>
            <w:tcBorders>
              <w:top w:val="nil"/>
              <w:left w:val="nil"/>
              <w:bottom w:val="single" w:color="000000" w:sz="4" w:space="0"/>
              <w:right w:val="single" w:color="000000" w:sz="4" w:space="0"/>
            </w:tcBorders>
            <w:shd w:val="clear" w:color="auto" w:fill="FFFFFF"/>
            <w:vAlign w:val="center"/>
          </w:tcPr>
          <w:p w14:paraId="7390BC4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938" w:type="dxa"/>
            <w:tcBorders>
              <w:top w:val="nil"/>
              <w:left w:val="nil"/>
              <w:bottom w:val="single" w:color="000000" w:sz="4" w:space="0"/>
              <w:right w:val="single" w:color="000000" w:sz="4" w:space="0"/>
            </w:tcBorders>
            <w:shd w:val="clear" w:color="auto" w:fill="FFFFFF"/>
            <w:vAlign w:val="center"/>
          </w:tcPr>
          <w:p w14:paraId="5CE2F96E">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131.738</w:t>
            </w:r>
          </w:p>
        </w:tc>
        <w:tc>
          <w:tcPr>
            <w:tcW w:w="975" w:type="dxa"/>
            <w:tcBorders>
              <w:top w:val="nil"/>
              <w:left w:val="nil"/>
              <w:bottom w:val="single" w:color="000000" w:sz="4" w:space="0"/>
              <w:right w:val="single" w:color="000000" w:sz="4" w:space="0"/>
            </w:tcBorders>
            <w:shd w:val="clear" w:color="auto" w:fill="FFFFFF"/>
            <w:vAlign w:val="center"/>
          </w:tcPr>
          <w:p w14:paraId="68AB627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65DBDDFC">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0E47AB39">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77A2D79">
            <w:pPr>
              <w:widowControl/>
              <w:jc w:val="left"/>
              <w:textAlignment w:val="center"/>
              <w:rPr>
                <w:rFonts w:ascii="宋体" w:hAnsi="宋体" w:cs="宋体"/>
                <w:color w:val="FF0000"/>
                <w:sz w:val="16"/>
                <w:szCs w:val="16"/>
              </w:rPr>
            </w:pPr>
          </w:p>
        </w:tc>
      </w:tr>
      <w:tr w14:paraId="4788201A">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031F6284">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09C72955">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103</w:t>
            </w:r>
          </w:p>
        </w:tc>
        <w:tc>
          <w:tcPr>
            <w:tcW w:w="2175" w:type="dxa"/>
            <w:tcBorders>
              <w:top w:val="nil"/>
              <w:left w:val="nil"/>
              <w:bottom w:val="single" w:color="000000" w:sz="4" w:space="0"/>
              <w:right w:val="single" w:color="000000" w:sz="4" w:space="0"/>
            </w:tcBorders>
            <w:shd w:val="clear" w:color="auto" w:fill="FFFFFF"/>
            <w:vAlign w:val="center"/>
          </w:tcPr>
          <w:p w14:paraId="1332B3B6">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路面工程</w:t>
            </w:r>
          </w:p>
        </w:tc>
        <w:tc>
          <w:tcPr>
            <w:tcW w:w="1106" w:type="dxa"/>
            <w:tcBorders>
              <w:top w:val="nil"/>
              <w:left w:val="nil"/>
              <w:bottom w:val="single" w:color="000000" w:sz="4" w:space="0"/>
              <w:right w:val="single" w:color="000000" w:sz="4" w:space="0"/>
            </w:tcBorders>
            <w:shd w:val="clear" w:color="auto" w:fill="FFFFFF"/>
            <w:vAlign w:val="center"/>
          </w:tcPr>
          <w:p w14:paraId="01FBE8C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938" w:type="dxa"/>
            <w:tcBorders>
              <w:top w:val="nil"/>
              <w:left w:val="nil"/>
              <w:bottom w:val="single" w:color="000000" w:sz="4" w:space="0"/>
              <w:right w:val="single" w:color="000000" w:sz="4" w:space="0"/>
            </w:tcBorders>
            <w:shd w:val="clear" w:color="auto" w:fill="FFFFFF"/>
            <w:vAlign w:val="center"/>
          </w:tcPr>
          <w:p w14:paraId="64119A45">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2C029FF6">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3E26442">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661F9CC9">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09B5666B">
            <w:pPr>
              <w:widowControl/>
              <w:jc w:val="left"/>
              <w:textAlignment w:val="center"/>
              <w:rPr>
                <w:rFonts w:ascii="宋体" w:hAnsi="宋体" w:cs="宋体"/>
                <w:color w:val="FF0000"/>
                <w:sz w:val="16"/>
                <w:szCs w:val="16"/>
              </w:rPr>
            </w:pPr>
          </w:p>
        </w:tc>
      </w:tr>
      <w:tr w14:paraId="15B10598">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4073BC72">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5EFA485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LM04</w:t>
            </w:r>
          </w:p>
        </w:tc>
        <w:tc>
          <w:tcPr>
            <w:tcW w:w="2175" w:type="dxa"/>
            <w:tcBorders>
              <w:top w:val="nil"/>
              <w:left w:val="nil"/>
              <w:bottom w:val="single" w:color="000000" w:sz="4" w:space="0"/>
              <w:right w:val="single" w:color="000000" w:sz="4" w:space="0"/>
            </w:tcBorders>
            <w:shd w:val="clear" w:color="auto" w:fill="FFFFFF"/>
            <w:vAlign w:val="center"/>
          </w:tcPr>
          <w:p w14:paraId="127B04E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路槽、路肩及中央分隔带</w:t>
            </w:r>
          </w:p>
        </w:tc>
        <w:tc>
          <w:tcPr>
            <w:tcW w:w="1106" w:type="dxa"/>
            <w:tcBorders>
              <w:top w:val="nil"/>
              <w:left w:val="nil"/>
              <w:bottom w:val="single" w:color="000000" w:sz="4" w:space="0"/>
              <w:right w:val="single" w:color="000000" w:sz="4" w:space="0"/>
            </w:tcBorders>
            <w:shd w:val="clear" w:color="auto" w:fill="FFFFFF"/>
            <w:vAlign w:val="center"/>
          </w:tcPr>
          <w:p w14:paraId="043EFC3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m2</w:t>
            </w:r>
          </w:p>
        </w:tc>
        <w:tc>
          <w:tcPr>
            <w:tcW w:w="938" w:type="dxa"/>
            <w:tcBorders>
              <w:top w:val="nil"/>
              <w:left w:val="nil"/>
              <w:bottom w:val="single" w:color="000000" w:sz="4" w:space="0"/>
              <w:right w:val="single" w:color="000000" w:sz="4" w:space="0"/>
            </w:tcBorders>
            <w:shd w:val="clear" w:color="auto" w:fill="FFFFFF"/>
            <w:vAlign w:val="center"/>
          </w:tcPr>
          <w:p w14:paraId="1609E623">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9BE0FAF">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7F259E3A">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739B37D3">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48202C25">
            <w:pPr>
              <w:widowControl/>
              <w:jc w:val="left"/>
              <w:textAlignment w:val="center"/>
              <w:rPr>
                <w:rFonts w:ascii="宋体" w:hAnsi="宋体" w:cs="宋体"/>
                <w:color w:val="FF0000"/>
                <w:sz w:val="16"/>
                <w:szCs w:val="16"/>
              </w:rPr>
            </w:pPr>
          </w:p>
        </w:tc>
      </w:tr>
      <w:tr w14:paraId="03C926A6">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E6BA4C6">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18A0099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LM0402</w:t>
            </w:r>
          </w:p>
        </w:tc>
        <w:tc>
          <w:tcPr>
            <w:tcW w:w="2175" w:type="dxa"/>
            <w:tcBorders>
              <w:top w:val="nil"/>
              <w:left w:val="nil"/>
              <w:bottom w:val="single" w:color="000000" w:sz="4" w:space="0"/>
              <w:right w:val="single" w:color="000000" w:sz="4" w:space="0"/>
            </w:tcBorders>
            <w:shd w:val="clear" w:color="auto" w:fill="FFFFFF"/>
            <w:vAlign w:val="center"/>
          </w:tcPr>
          <w:p w14:paraId="365BBF48">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路肩</w:t>
            </w:r>
          </w:p>
        </w:tc>
        <w:tc>
          <w:tcPr>
            <w:tcW w:w="1106" w:type="dxa"/>
            <w:tcBorders>
              <w:top w:val="nil"/>
              <w:left w:val="nil"/>
              <w:bottom w:val="single" w:color="000000" w:sz="4" w:space="0"/>
              <w:right w:val="single" w:color="000000" w:sz="4" w:space="0"/>
            </w:tcBorders>
            <w:shd w:val="clear" w:color="auto" w:fill="FFFFFF"/>
            <w:vAlign w:val="center"/>
          </w:tcPr>
          <w:p w14:paraId="17D01BC5">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938" w:type="dxa"/>
            <w:tcBorders>
              <w:top w:val="nil"/>
              <w:left w:val="nil"/>
              <w:bottom w:val="single" w:color="000000" w:sz="4" w:space="0"/>
              <w:right w:val="single" w:color="000000" w:sz="4" w:space="0"/>
            </w:tcBorders>
            <w:shd w:val="clear" w:color="auto" w:fill="FFFFFF"/>
            <w:vAlign w:val="center"/>
          </w:tcPr>
          <w:p w14:paraId="48097AA6">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3C0288F">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D41748B">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47B67E35">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1831B0F5">
            <w:pPr>
              <w:widowControl/>
              <w:jc w:val="left"/>
              <w:textAlignment w:val="center"/>
              <w:rPr>
                <w:rFonts w:ascii="宋体" w:hAnsi="宋体" w:cs="宋体"/>
                <w:color w:val="FF0000"/>
                <w:sz w:val="16"/>
                <w:szCs w:val="16"/>
              </w:rPr>
            </w:pPr>
          </w:p>
        </w:tc>
      </w:tr>
      <w:tr w14:paraId="4DB56F14">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514802C4">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63A3D5DC">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LM040201</w:t>
            </w:r>
          </w:p>
        </w:tc>
        <w:tc>
          <w:tcPr>
            <w:tcW w:w="2175" w:type="dxa"/>
            <w:tcBorders>
              <w:top w:val="nil"/>
              <w:left w:val="nil"/>
              <w:bottom w:val="single" w:color="000000" w:sz="4" w:space="0"/>
              <w:right w:val="single" w:color="000000" w:sz="4" w:space="0"/>
            </w:tcBorders>
            <w:shd w:val="clear" w:color="auto" w:fill="FFFFFF"/>
            <w:vAlign w:val="center"/>
          </w:tcPr>
          <w:p w14:paraId="1ED0A10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培路肩</w:t>
            </w:r>
          </w:p>
        </w:tc>
        <w:tc>
          <w:tcPr>
            <w:tcW w:w="1106" w:type="dxa"/>
            <w:tcBorders>
              <w:top w:val="nil"/>
              <w:left w:val="nil"/>
              <w:bottom w:val="single" w:color="000000" w:sz="4" w:space="0"/>
              <w:right w:val="single" w:color="000000" w:sz="4" w:space="0"/>
            </w:tcBorders>
            <w:shd w:val="clear" w:color="auto" w:fill="FFFFFF"/>
            <w:vAlign w:val="center"/>
          </w:tcPr>
          <w:p w14:paraId="0CBF844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m3</w:t>
            </w:r>
          </w:p>
        </w:tc>
        <w:tc>
          <w:tcPr>
            <w:tcW w:w="938" w:type="dxa"/>
            <w:tcBorders>
              <w:top w:val="nil"/>
              <w:left w:val="nil"/>
              <w:bottom w:val="single" w:color="000000" w:sz="4" w:space="0"/>
              <w:right w:val="single" w:color="000000" w:sz="4" w:space="0"/>
            </w:tcBorders>
            <w:shd w:val="clear" w:color="auto" w:fill="FFFFFF"/>
            <w:vAlign w:val="center"/>
          </w:tcPr>
          <w:p w14:paraId="15B25B99">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47</w:t>
            </w:r>
          </w:p>
        </w:tc>
        <w:tc>
          <w:tcPr>
            <w:tcW w:w="975" w:type="dxa"/>
            <w:tcBorders>
              <w:top w:val="nil"/>
              <w:left w:val="nil"/>
              <w:bottom w:val="single" w:color="000000" w:sz="4" w:space="0"/>
              <w:right w:val="single" w:color="000000" w:sz="4" w:space="0"/>
            </w:tcBorders>
            <w:shd w:val="clear" w:color="auto" w:fill="FFFFFF"/>
            <w:vAlign w:val="center"/>
          </w:tcPr>
          <w:p w14:paraId="6F8A76B1">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5043585">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0ED76B7E">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E3EC1E8">
            <w:pPr>
              <w:widowControl/>
              <w:jc w:val="left"/>
              <w:textAlignment w:val="center"/>
              <w:rPr>
                <w:rFonts w:ascii="宋体" w:hAnsi="宋体" w:cs="宋体"/>
                <w:color w:val="FF0000"/>
                <w:sz w:val="16"/>
                <w:szCs w:val="16"/>
              </w:rPr>
            </w:pPr>
          </w:p>
        </w:tc>
      </w:tr>
      <w:tr w14:paraId="384D6C1D">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688D3657">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7214437F">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107</w:t>
            </w:r>
          </w:p>
        </w:tc>
        <w:tc>
          <w:tcPr>
            <w:tcW w:w="2175" w:type="dxa"/>
            <w:tcBorders>
              <w:top w:val="nil"/>
              <w:left w:val="nil"/>
              <w:bottom w:val="single" w:color="000000" w:sz="4" w:space="0"/>
              <w:right w:val="single" w:color="000000" w:sz="4" w:space="0"/>
            </w:tcBorders>
            <w:shd w:val="clear" w:color="auto" w:fill="FFFFFF"/>
            <w:vAlign w:val="center"/>
          </w:tcPr>
          <w:p w14:paraId="21DE295C">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交通工程及沿线设施</w:t>
            </w:r>
          </w:p>
        </w:tc>
        <w:tc>
          <w:tcPr>
            <w:tcW w:w="1106" w:type="dxa"/>
            <w:tcBorders>
              <w:top w:val="nil"/>
              <w:left w:val="nil"/>
              <w:bottom w:val="single" w:color="000000" w:sz="4" w:space="0"/>
              <w:right w:val="single" w:color="000000" w:sz="4" w:space="0"/>
            </w:tcBorders>
            <w:shd w:val="clear" w:color="auto" w:fill="FFFFFF"/>
            <w:vAlign w:val="center"/>
          </w:tcPr>
          <w:p w14:paraId="1AF6203C">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3B6D2650">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5DF438FB">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58A2397">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18AE9EBD">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1F25E55">
            <w:pPr>
              <w:widowControl/>
              <w:jc w:val="left"/>
              <w:textAlignment w:val="center"/>
              <w:rPr>
                <w:rFonts w:ascii="宋体" w:hAnsi="宋体" w:cs="宋体"/>
                <w:color w:val="FF0000"/>
                <w:sz w:val="16"/>
                <w:szCs w:val="16"/>
              </w:rPr>
            </w:pPr>
          </w:p>
        </w:tc>
      </w:tr>
      <w:tr w14:paraId="23CF51AE">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BA21D41">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613522DA">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10701</w:t>
            </w:r>
          </w:p>
        </w:tc>
        <w:tc>
          <w:tcPr>
            <w:tcW w:w="2175" w:type="dxa"/>
            <w:tcBorders>
              <w:top w:val="nil"/>
              <w:left w:val="nil"/>
              <w:bottom w:val="single" w:color="000000" w:sz="4" w:space="0"/>
              <w:right w:val="single" w:color="000000" w:sz="4" w:space="0"/>
            </w:tcBorders>
            <w:shd w:val="clear" w:color="auto" w:fill="FFFFFF"/>
            <w:vAlign w:val="center"/>
          </w:tcPr>
          <w:p w14:paraId="53D4B3EA">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交通安全设施</w:t>
            </w:r>
          </w:p>
        </w:tc>
        <w:tc>
          <w:tcPr>
            <w:tcW w:w="1106" w:type="dxa"/>
            <w:tcBorders>
              <w:top w:val="nil"/>
              <w:left w:val="nil"/>
              <w:bottom w:val="single" w:color="000000" w:sz="4" w:space="0"/>
              <w:right w:val="single" w:color="000000" w:sz="4" w:space="0"/>
            </w:tcBorders>
            <w:shd w:val="clear" w:color="auto" w:fill="FFFFFF"/>
            <w:vAlign w:val="center"/>
          </w:tcPr>
          <w:p w14:paraId="155CE4C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2E9897BD">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6C69EC7">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5DB098F">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5FA34E3E">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A9105A1">
            <w:pPr>
              <w:widowControl/>
              <w:jc w:val="left"/>
              <w:textAlignment w:val="center"/>
              <w:rPr>
                <w:rFonts w:ascii="宋体" w:hAnsi="宋体" w:cs="宋体"/>
                <w:color w:val="FF0000"/>
                <w:sz w:val="16"/>
                <w:szCs w:val="16"/>
              </w:rPr>
            </w:pPr>
          </w:p>
        </w:tc>
      </w:tr>
      <w:tr w14:paraId="498EC801">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615A2AE2">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17DC36CB">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JA01</w:t>
            </w:r>
          </w:p>
        </w:tc>
        <w:tc>
          <w:tcPr>
            <w:tcW w:w="2175" w:type="dxa"/>
            <w:tcBorders>
              <w:top w:val="nil"/>
              <w:left w:val="nil"/>
              <w:bottom w:val="single" w:color="000000" w:sz="4" w:space="0"/>
              <w:right w:val="single" w:color="000000" w:sz="4" w:space="0"/>
            </w:tcBorders>
            <w:shd w:val="clear" w:color="auto" w:fill="FFFFFF"/>
            <w:vAlign w:val="center"/>
          </w:tcPr>
          <w:p w14:paraId="3662D1A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护栏</w:t>
            </w:r>
          </w:p>
        </w:tc>
        <w:tc>
          <w:tcPr>
            <w:tcW w:w="1106" w:type="dxa"/>
            <w:tcBorders>
              <w:top w:val="nil"/>
              <w:left w:val="nil"/>
              <w:bottom w:val="single" w:color="000000" w:sz="4" w:space="0"/>
              <w:right w:val="single" w:color="000000" w:sz="4" w:space="0"/>
            </w:tcBorders>
            <w:shd w:val="clear" w:color="auto" w:fill="FFFFFF"/>
            <w:vAlign w:val="center"/>
          </w:tcPr>
          <w:p w14:paraId="76BA2869">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w:t>
            </w:r>
          </w:p>
        </w:tc>
        <w:tc>
          <w:tcPr>
            <w:tcW w:w="938" w:type="dxa"/>
            <w:tcBorders>
              <w:top w:val="nil"/>
              <w:left w:val="nil"/>
              <w:bottom w:val="single" w:color="000000" w:sz="4" w:space="0"/>
              <w:right w:val="single" w:color="000000" w:sz="4" w:space="0"/>
            </w:tcBorders>
            <w:shd w:val="clear" w:color="auto" w:fill="FFFFFF"/>
            <w:vAlign w:val="center"/>
          </w:tcPr>
          <w:p w14:paraId="4E3E6295">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4BFA85AC">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EB8E17B">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65BD0D46">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E587F8B">
            <w:pPr>
              <w:widowControl/>
              <w:jc w:val="left"/>
              <w:textAlignment w:val="center"/>
              <w:rPr>
                <w:rFonts w:ascii="宋体" w:hAnsi="宋体" w:cs="宋体"/>
                <w:color w:val="FF0000"/>
                <w:sz w:val="16"/>
                <w:szCs w:val="16"/>
              </w:rPr>
            </w:pPr>
          </w:p>
        </w:tc>
      </w:tr>
      <w:tr w14:paraId="1B373574">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F5BDECE">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531111C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JA010301</w:t>
            </w:r>
          </w:p>
        </w:tc>
        <w:tc>
          <w:tcPr>
            <w:tcW w:w="2175" w:type="dxa"/>
            <w:tcBorders>
              <w:top w:val="nil"/>
              <w:left w:val="nil"/>
              <w:bottom w:val="single" w:color="000000" w:sz="4" w:space="0"/>
              <w:right w:val="single" w:color="000000" w:sz="4" w:space="0"/>
            </w:tcBorders>
            <w:shd w:val="clear" w:color="auto" w:fill="FFFFFF"/>
            <w:vAlign w:val="center"/>
          </w:tcPr>
          <w:p w14:paraId="785DEEA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示警桩</w:t>
            </w:r>
          </w:p>
        </w:tc>
        <w:tc>
          <w:tcPr>
            <w:tcW w:w="1106" w:type="dxa"/>
            <w:tcBorders>
              <w:top w:val="nil"/>
              <w:left w:val="nil"/>
              <w:bottom w:val="single" w:color="000000" w:sz="4" w:space="0"/>
              <w:right w:val="single" w:color="000000" w:sz="4" w:space="0"/>
            </w:tcBorders>
            <w:shd w:val="clear" w:color="auto" w:fill="FFFFFF"/>
            <w:vAlign w:val="center"/>
          </w:tcPr>
          <w:p w14:paraId="2F74768A">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938" w:type="dxa"/>
            <w:tcBorders>
              <w:top w:val="nil"/>
              <w:left w:val="nil"/>
              <w:bottom w:val="single" w:color="000000" w:sz="4" w:space="0"/>
              <w:right w:val="single" w:color="000000" w:sz="4" w:space="0"/>
            </w:tcBorders>
            <w:shd w:val="clear" w:color="auto" w:fill="FFFFFF"/>
            <w:vAlign w:val="center"/>
          </w:tcPr>
          <w:p w14:paraId="6390AF4C">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4970</w:t>
            </w:r>
          </w:p>
        </w:tc>
        <w:tc>
          <w:tcPr>
            <w:tcW w:w="975" w:type="dxa"/>
            <w:tcBorders>
              <w:top w:val="nil"/>
              <w:left w:val="nil"/>
              <w:bottom w:val="single" w:color="000000" w:sz="4" w:space="0"/>
              <w:right w:val="single" w:color="000000" w:sz="4" w:space="0"/>
            </w:tcBorders>
            <w:shd w:val="clear" w:color="auto" w:fill="FFFFFF"/>
            <w:vAlign w:val="center"/>
          </w:tcPr>
          <w:p w14:paraId="75C3542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6A86D335">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096DF3CD">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067AC8F5">
            <w:pPr>
              <w:widowControl/>
              <w:jc w:val="left"/>
              <w:textAlignment w:val="center"/>
              <w:rPr>
                <w:rFonts w:ascii="宋体" w:hAnsi="宋体" w:cs="宋体"/>
                <w:color w:val="FF0000"/>
                <w:sz w:val="16"/>
                <w:szCs w:val="16"/>
              </w:rPr>
            </w:pPr>
          </w:p>
        </w:tc>
      </w:tr>
      <w:tr w14:paraId="3E97EBB7">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81256E9">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17523E6C">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JA0105</w:t>
            </w:r>
          </w:p>
        </w:tc>
        <w:tc>
          <w:tcPr>
            <w:tcW w:w="2175" w:type="dxa"/>
            <w:tcBorders>
              <w:top w:val="nil"/>
              <w:left w:val="nil"/>
              <w:bottom w:val="single" w:color="000000" w:sz="4" w:space="0"/>
              <w:right w:val="single" w:color="000000" w:sz="4" w:space="0"/>
            </w:tcBorders>
            <w:shd w:val="clear" w:color="auto" w:fill="FFFFFF"/>
            <w:vAlign w:val="center"/>
          </w:tcPr>
          <w:p w14:paraId="1B11289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钢护栏</w:t>
            </w:r>
          </w:p>
        </w:tc>
        <w:tc>
          <w:tcPr>
            <w:tcW w:w="1106" w:type="dxa"/>
            <w:tcBorders>
              <w:top w:val="nil"/>
              <w:left w:val="nil"/>
              <w:bottom w:val="single" w:color="000000" w:sz="4" w:space="0"/>
              <w:right w:val="single" w:color="000000" w:sz="4" w:space="0"/>
            </w:tcBorders>
            <w:shd w:val="clear" w:color="auto" w:fill="FFFFFF"/>
            <w:vAlign w:val="center"/>
          </w:tcPr>
          <w:p w14:paraId="3D4C439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w:t>
            </w:r>
          </w:p>
        </w:tc>
        <w:tc>
          <w:tcPr>
            <w:tcW w:w="938" w:type="dxa"/>
            <w:tcBorders>
              <w:top w:val="nil"/>
              <w:left w:val="nil"/>
              <w:bottom w:val="single" w:color="000000" w:sz="4" w:space="0"/>
              <w:right w:val="single" w:color="000000" w:sz="4" w:space="0"/>
            </w:tcBorders>
            <w:shd w:val="clear" w:color="auto" w:fill="FFFFFF"/>
            <w:vAlign w:val="center"/>
          </w:tcPr>
          <w:p w14:paraId="7F692384">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4230</w:t>
            </w:r>
          </w:p>
        </w:tc>
        <w:tc>
          <w:tcPr>
            <w:tcW w:w="975" w:type="dxa"/>
            <w:tcBorders>
              <w:top w:val="nil"/>
              <w:left w:val="nil"/>
              <w:bottom w:val="single" w:color="000000" w:sz="4" w:space="0"/>
              <w:right w:val="single" w:color="000000" w:sz="4" w:space="0"/>
            </w:tcBorders>
            <w:shd w:val="clear" w:color="auto" w:fill="FFFFFF"/>
            <w:vAlign w:val="center"/>
          </w:tcPr>
          <w:p w14:paraId="34C9A1B4">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CBA1D49">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45621E7">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19BCBFD0">
            <w:pPr>
              <w:widowControl/>
              <w:jc w:val="left"/>
              <w:textAlignment w:val="center"/>
              <w:rPr>
                <w:rFonts w:ascii="宋体" w:hAnsi="宋体" w:cs="宋体"/>
                <w:color w:val="FF0000"/>
                <w:sz w:val="16"/>
                <w:szCs w:val="16"/>
              </w:rPr>
            </w:pPr>
          </w:p>
        </w:tc>
      </w:tr>
      <w:tr w14:paraId="3386B15C">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2D302CC">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2C934A4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JA03</w:t>
            </w:r>
          </w:p>
        </w:tc>
        <w:tc>
          <w:tcPr>
            <w:tcW w:w="2175" w:type="dxa"/>
            <w:tcBorders>
              <w:top w:val="nil"/>
              <w:left w:val="nil"/>
              <w:bottom w:val="single" w:color="000000" w:sz="4" w:space="0"/>
              <w:right w:val="single" w:color="000000" w:sz="4" w:space="0"/>
            </w:tcBorders>
            <w:shd w:val="clear" w:color="auto" w:fill="FFFFFF"/>
            <w:vAlign w:val="center"/>
          </w:tcPr>
          <w:p w14:paraId="0BEC657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标志牌</w:t>
            </w:r>
          </w:p>
        </w:tc>
        <w:tc>
          <w:tcPr>
            <w:tcW w:w="1106" w:type="dxa"/>
            <w:tcBorders>
              <w:top w:val="nil"/>
              <w:left w:val="nil"/>
              <w:bottom w:val="single" w:color="000000" w:sz="4" w:space="0"/>
              <w:right w:val="single" w:color="000000" w:sz="4" w:space="0"/>
            </w:tcBorders>
            <w:shd w:val="clear" w:color="auto" w:fill="FFFFFF"/>
            <w:vAlign w:val="center"/>
          </w:tcPr>
          <w:p w14:paraId="036E79B2">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块</w:t>
            </w:r>
          </w:p>
        </w:tc>
        <w:tc>
          <w:tcPr>
            <w:tcW w:w="938" w:type="dxa"/>
            <w:tcBorders>
              <w:top w:val="nil"/>
              <w:left w:val="nil"/>
              <w:bottom w:val="single" w:color="000000" w:sz="4" w:space="0"/>
              <w:right w:val="single" w:color="000000" w:sz="4" w:space="0"/>
            </w:tcBorders>
            <w:shd w:val="clear" w:color="auto" w:fill="FFFFFF"/>
            <w:vAlign w:val="center"/>
          </w:tcPr>
          <w:p w14:paraId="667153D5">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151</w:t>
            </w:r>
          </w:p>
        </w:tc>
        <w:tc>
          <w:tcPr>
            <w:tcW w:w="975" w:type="dxa"/>
            <w:tcBorders>
              <w:top w:val="nil"/>
              <w:left w:val="nil"/>
              <w:bottom w:val="single" w:color="000000" w:sz="4" w:space="0"/>
              <w:right w:val="single" w:color="000000" w:sz="4" w:space="0"/>
            </w:tcBorders>
            <w:shd w:val="clear" w:color="auto" w:fill="FFFFFF"/>
            <w:vAlign w:val="center"/>
          </w:tcPr>
          <w:p w14:paraId="30CFC35B">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E2EA1F8">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EAD0D67">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2F7E0D94">
            <w:pPr>
              <w:widowControl/>
              <w:jc w:val="left"/>
              <w:textAlignment w:val="center"/>
              <w:rPr>
                <w:rFonts w:ascii="宋体" w:hAnsi="宋体" w:cs="宋体"/>
                <w:color w:val="FF0000"/>
                <w:sz w:val="16"/>
                <w:szCs w:val="16"/>
              </w:rPr>
            </w:pPr>
          </w:p>
        </w:tc>
      </w:tr>
      <w:tr w14:paraId="7C27A8F3">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7F1BD969">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773FF36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JA0301</w:t>
            </w:r>
          </w:p>
        </w:tc>
        <w:tc>
          <w:tcPr>
            <w:tcW w:w="2175" w:type="dxa"/>
            <w:tcBorders>
              <w:top w:val="nil"/>
              <w:left w:val="nil"/>
              <w:bottom w:val="single" w:color="000000" w:sz="4" w:space="0"/>
              <w:right w:val="single" w:color="000000" w:sz="4" w:space="0"/>
            </w:tcBorders>
            <w:shd w:val="clear" w:color="auto" w:fill="FFFFFF"/>
            <w:vAlign w:val="center"/>
          </w:tcPr>
          <w:p w14:paraId="4700086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铝合金标志牌</w:t>
            </w:r>
          </w:p>
        </w:tc>
        <w:tc>
          <w:tcPr>
            <w:tcW w:w="1106" w:type="dxa"/>
            <w:tcBorders>
              <w:top w:val="nil"/>
              <w:left w:val="nil"/>
              <w:bottom w:val="single" w:color="000000" w:sz="4" w:space="0"/>
              <w:right w:val="single" w:color="000000" w:sz="4" w:space="0"/>
            </w:tcBorders>
            <w:shd w:val="clear" w:color="auto" w:fill="FFFFFF"/>
            <w:vAlign w:val="center"/>
          </w:tcPr>
          <w:p w14:paraId="615EB705">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块</w:t>
            </w:r>
          </w:p>
        </w:tc>
        <w:tc>
          <w:tcPr>
            <w:tcW w:w="938" w:type="dxa"/>
            <w:tcBorders>
              <w:top w:val="nil"/>
              <w:left w:val="nil"/>
              <w:bottom w:val="single" w:color="000000" w:sz="4" w:space="0"/>
              <w:right w:val="single" w:color="000000" w:sz="4" w:space="0"/>
            </w:tcBorders>
            <w:shd w:val="clear" w:color="auto" w:fill="FFFFFF"/>
            <w:vAlign w:val="center"/>
          </w:tcPr>
          <w:p w14:paraId="7EC81AEE">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151</w:t>
            </w:r>
          </w:p>
        </w:tc>
        <w:tc>
          <w:tcPr>
            <w:tcW w:w="975" w:type="dxa"/>
            <w:tcBorders>
              <w:top w:val="nil"/>
              <w:left w:val="nil"/>
              <w:bottom w:val="single" w:color="000000" w:sz="4" w:space="0"/>
              <w:right w:val="single" w:color="000000" w:sz="4" w:space="0"/>
            </w:tcBorders>
            <w:shd w:val="clear" w:color="auto" w:fill="FFFFFF"/>
            <w:vAlign w:val="center"/>
          </w:tcPr>
          <w:p w14:paraId="263D0718">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E02BF26">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13814DFE">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6EE0ED6E">
            <w:pPr>
              <w:widowControl/>
              <w:jc w:val="left"/>
              <w:textAlignment w:val="center"/>
              <w:rPr>
                <w:rFonts w:ascii="宋体" w:hAnsi="宋体" w:cs="宋体"/>
                <w:color w:val="FF0000"/>
                <w:sz w:val="16"/>
                <w:szCs w:val="16"/>
              </w:rPr>
            </w:pPr>
          </w:p>
        </w:tc>
      </w:tr>
      <w:tr w14:paraId="050120CD">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196576C0">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0277EA1B">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JA06</w:t>
            </w:r>
          </w:p>
        </w:tc>
        <w:tc>
          <w:tcPr>
            <w:tcW w:w="2175" w:type="dxa"/>
            <w:tcBorders>
              <w:top w:val="nil"/>
              <w:left w:val="nil"/>
              <w:bottom w:val="single" w:color="000000" w:sz="4" w:space="0"/>
              <w:right w:val="single" w:color="000000" w:sz="4" w:space="0"/>
            </w:tcBorders>
            <w:shd w:val="clear" w:color="auto" w:fill="FFFFFF"/>
            <w:vAlign w:val="center"/>
          </w:tcPr>
          <w:p w14:paraId="7E9E44E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轮廓标</w:t>
            </w:r>
          </w:p>
        </w:tc>
        <w:tc>
          <w:tcPr>
            <w:tcW w:w="1106" w:type="dxa"/>
            <w:tcBorders>
              <w:top w:val="nil"/>
              <w:left w:val="nil"/>
              <w:bottom w:val="single" w:color="000000" w:sz="4" w:space="0"/>
              <w:right w:val="single" w:color="000000" w:sz="4" w:space="0"/>
            </w:tcBorders>
            <w:shd w:val="clear" w:color="auto" w:fill="FFFFFF"/>
            <w:vAlign w:val="center"/>
          </w:tcPr>
          <w:p w14:paraId="4CB361EE">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938" w:type="dxa"/>
            <w:tcBorders>
              <w:top w:val="nil"/>
              <w:left w:val="nil"/>
              <w:bottom w:val="single" w:color="000000" w:sz="4" w:space="0"/>
              <w:right w:val="single" w:color="000000" w:sz="4" w:space="0"/>
            </w:tcBorders>
            <w:shd w:val="clear" w:color="auto" w:fill="FFFFFF"/>
            <w:vAlign w:val="center"/>
          </w:tcPr>
          <w:p w14:paraId="045BD3D7">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23</w:t>
            </w:r>
          </w:p>
        </w:tc>
        <w:tc>
          <w:tcPr>
            <w:tcW w:w="975" w:type="dxa"/>
            <w:tcBorders>
              <w:top w:val="nil"/>
              <w:left w:val="nil"/>
              <w:bottom w:val="single" w:color="000000" w:sz="4" w:space="0"/>
              <w:right w:val="single" w:color="000000" w:sz="4" w:space="0"/>
            </w:tcBorders>
            <w:shd w:val="clear" w:color="auto" w:fill="FFFFFF"/>
            <w:vAlign w:val="center"/>
          </w:tcPr>
          <w:p w14:paraId="1F7C9067">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23BFF86">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735BF944">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F936302">
            <w:pPr>
              <w:widowControl/>
              <w:jc w:val="left"/>
              <w:textAlignment w:val="center"/>
              <w:rPr>
                <w:rFonts w:ascii="宋体" w:hAnsi="宋体" w:cs="宋体"/>
                <w:color w:val="FF0000"/>
                <w:sz w:val="16"/>
                <w:szCs w:val="16"/>
              </w:rPr>
            </w:pPr>
          </w:p>
        </w:tc>
      </w:tr>
      <w:tr w14:paraId="4A227829">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791F7D9A">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72B5944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JA0603</w:t>
            </w:r>
          </w:p>
        </w:tc>
        <w:tc>
          <w:tcPr>
            <w:tcW w:w="2175" w:type="dxa"/>
            <w:tcBorders>
              <w:top w:val="nil"/>
              <w:left w:val="nil"/>
              <w:bottom w:val="single" w:color="000000" w:sz="4" w:space="0"/>
              <w:right w:val="single" w:color="000000" w:sz="4" w:space="0"/>
            </w:tcBorders>
            <w:shd w:val="clear" w:color="auto" w:fill="FFFFFF"/>
            <w:vAlign w:val="center"/>
          </w:tcPr>
          <w:p w14:paraId="5B87CA4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栏式轮廓标</w:t>
            </w:r>
          </w:p>
        </w:tc>
        <w:tc>
          <w:tcPr>
            <w:tcW w:w="1106" w:type="dxa"/>
            <w:tcBorders>
              <w:top w:val="nil"/>
              <w:left w:val="nil"/>
              <w:bottom w:val="single" w:color="000000" w:sz="4" w:space="0"/>
              <w:right w:val="single" w:color="000000" w:sz="4" w:space="0"/>
            </w:tcBorders>
            <w:shd w:val="clear" w:color="auto" w:fill="FFFFFF"/>
            <w:vAlign w:val="center"/>
          </w:tcPr>
          <w:p w14:paraId="4B96EF46">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938" w:type="dxa"/>
            <w:tcBorders>
              <w:top w:val="nil"/>
              <w:left w:val="nil"/>
              <w:bottom w:val="single" w:color="000000" w:sz="4" w:space="0"/>
              <w:right w:val="single" w:color="000000" w:sz="4" w:space="0"/>
            </w:tcBorders>
            <w:shd w:val="clear" w:color="auto" w:fill="FFFFFF"/>
            <w:vAlign w:val="center"/>
          </w:tcPr>
          <w:p w14:paraId="14A3BD22">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23</w:t>
            </w:r>
          </w:p>
        </w:tc>
        <w:tc>
          <w:tcPr>
            <w:tcW w:w="975" w:type="dxa"/>
            <w:tcBorders>
              <w:top w:val="nil"/>
              <w:left w:val="nil"/>
              <w:bottom w:val="single" w:color="000000" w:sz="4" w:space="0"/>
              <w:right w:val="single" w:color="000000" w:sz="4" w:space="0"/>
            </w:tcBorders>
            <w:shd w:val="clear" w:color="auto" w:fill="FFFFFF"/>
            <w:vAlign w:val="center"/>
          </w:tcPr>
          <w:p w14:paraId="26C269D6">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7C0AF37">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6D650F4">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D43180D">
            <w:pPr>
              <w:widowControl/>
              <w:jc w:val="left"/>
              <w:textAlignment w:val="center"/>
              <w:rPr>
                <w:rFonts w:ascii="宋体" w:hAnsi="宋体" w:cs="宋体"/>
                <w:color w:val="FF0000"/>
                <w:sz w:val="16"/>
                <w:szCs w:val="16"/>
              </w:rPr>
            </w:pPr>
          </w:p>
        </w:tc>
      </w:tr>
      <w:tr w14:paraId="102FED0A">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09BFE095">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07365F34">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110</w:t>
            </w:r>
          </w:p>
        </w:tc>
        <w:tc>
          <w:tcPr>
            <w:tcW w:w="2175" w:type="dxa"/>
            <w:tcBorders>
              <w:top w:val="nil"/>
              <w:left w:val="nil"/>
              <w:bottom w:val="single" w:color="000000" w:sz="4" w:space="0"/>
              <w:right w:val="single" w:color="000000" w:sz="4" w:space="0"/>
            </w:tcBorders>
            <w:shd w:val="clear" w:color="auto" w:fill="FFFFFF"/>
            <w:vAlign w:val="center"/>
          </w:tcPr>
          <w:p w14:paraId="764F10C8">
            <w:pPr>
              <w:widowControl/>
              <w:jc w:val="left"/>
              <w:textAlignment w:val="center"/>
              <w:rPr>
                <w:rFonts w:ascii="宋体" w:hAnsi="宋体" w:cs="宋体"/>
                <w:b/>
                <w:bCs/>
                <w:color w:val="FF0000"/>
                <w:sz w:val="16"/>
                <w:szCs w:val="16"/>
              </w:rPr>
            </w:pPr>
            <w:r>
              <w:rPr>
                <w:rFonts w:hint="eastAsia" w:ascii="宋体" w:hAnsi="宋体" w:cs="宋体"/>
                <w:b/>
                <w:bCs/>
                <w:color w:val="FF0000"/>
                <w:kern w:val="0"/>
                <w:sz w:val="16"/>
                <w:szCs w:val="16"/>
              </w:rPr>
              <w:t>专项费用</w:t>
            </w:r>
          </w:p>
        </w:tc>
        <w:tc>
          <w:tcPr>
            <w:tcW w:w="1106" w:type="dxa"/>
            <w:tcBorders>
              <w:top w:val="nil"/>
              <w:left w:val="nil"/>
              <w:bottom w:val="single" w:color="000000" w:sz="4" w:space="0"/>
              <w:right w:val="single" w:color="000000" w:sz="4" w:space="0"/>
            </w:tcBorders>
            <w:shd w:val="clear" w:color="auto" w:fill="FFFFFF"/>
            <w:vAlign w:val="center"/>
          </w:tcPr>
          <w:p w14:paraId="0DE87068">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938" w:type="dxa"/>
            <w:tcBorders>
              <w:top w:val="nil"/>
              <w:left w:val="nil"/>
              <w:bottom w:val="single" w:color="000000" w:sz="4" w:space="0"/>
              <w:right w:val="single" w:color="000000" w:sz="4" w:space="0"/>
            </w:tcBorders>
            <w:shd w:val="clear" w:color="auto" w:fill="FFFFFF"/>
            <w:vAlign w:val="center"/>
          </w:tcPr>
          <w:p w14:paraId="4E4F2D68">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7C8EA638">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77D5A352">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1AF721B6">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720F4D7">
            <w:pPr>
              <w:widowControl/>
              <w:jc w:val="left"/>
              <w:textAlignment w:val="center"/>
              <w:rPr>
                <w:rFonts w:ascii="宋体" w:hAnsi="宋体" w:cs="宋体"/>
                <w:color w:val="FF0000"/>
                <w:sz w:val="16"/>
                <w:szCs w:val="16"/>
              </w:rPr>
            </w:pPr>
          </w:p>
        </w:tc>
      </w:tr>
      <w:tr w14:paraId="1BEB404D">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525CF96C">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0CE58C3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11001</w:t>
            </w:r>
          </w:p>
        </w:tc>
        <w:tc>
          <w:tcPr>
            <w:tcW w:w="2175" w:type="dxa"/>
            <w:tcBorders>
              <w:top w:val="nil"/>
              <w:left w:val="nil"/>
              <w:bottom w:val="single" w:color="000000" w:sz="4" w:space="0"/>
              <w:right w:val="single" w:color="000000" w:sz="4" w:space="0"/>
            </w:tcBorders>
            <w:shd w:val="clear" w:color="auto" w:fill="FFFFFF"/>
            <w:vAlign w:val="center"/>
          </w:tcPr>
          <w:p w14:paraId="1297A8B2">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施工场地建设费</w:t>
            </w:r>
          </w:p>
        </w:tc>
        <w:tc>
          <w:tcPr>
            <w:tcW w:w="1106" w:type="dxa"/>
            <w:tcBorders>
              <w:top w:val="nil"/>
              <w:left w:val="nil"/>
              <w:bottom w:val="single" w:color="000000" w:sz="4" w:space="0"/>
              <w:right w:val="single" w:color="000000" w:sz="4" w:space="0"/>
            </w:tcBorders>
            <w:shd w:val="clear" w:color="auto" w:fill="FFFFFF"/>
            <w:vAlign w:val="center"/>
          </w:tcPr>
          <w:p w14:paraId="0BA5E5E2">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938" w:type="dxa"/>
            <w:tcBorders>
              <w:top w:val="nil"/>
              <w:left w:val="nil"/>
              <w:bottom w:val="single" w:color="000000" w:sz="4" w:space="0"/>
              <w:right w:val="single" w:color="000000" w:sz="4" w:space="0"/>
            </w:tcBorders>
            <w:shd w:val="clear" w:color="auto" w:fill="FFFFFF"/>
            <w:vAlign w:val="center"/>
          </w:tcPr>
          <w:p w14:paraId="6B0A6D9D">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4B23FBC">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17353AD6">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E26B0AE">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3FE6FC90">
            <w:pPr>
              <w:widowControl/>
              <w:jc w:val="left"/>
              <w:textAlignment w:val="center"/>
              <w:rPr>
                <w:rFonts w:ascii="宋体" w:hAnsi="宋体" w:cs="宋体"/>
                <w:color w:val="FF0000"/>
                <w:sz w:val="16"/>
                <w:szCs w:val="16"/>
              </w:rPr>
            </w:pPr>
          </w:p>
        </w:tc>
      </w:tr>
      <w:tr w14:paraId="791F258D">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35DF2454">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1D275EB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11002</w:t>
            </w:r>
          </w:p>
        </w:tc>
        <w:tc>
          <w:tcPr>
            <w:tcW w:w="2175" w:type="dxa"/>
            <w:tcBorders>
              <w:top w:val="nil"/>
              <w:left w:val="nil"/>
              <w:bottom w:val="single" w:color="000000" w:sz="4" w:space="0"/>
              <w:right w:val="single" w:color="000000" w:sz="4" w:space="0"/>
            </w:tcBorders>
            <w:shd w:val="clear" w:color="auto" w:fill="FFFFFF"/>
            <w:vAlign w:val="center"/>
          </w:tcPr>
          <w:p w14:paraId="71CE8A92">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安全生产费</w:t>
            </w:r>
          </w:p>
        </w:tc>
        <w:tc>
          <w:tcPr>
            <w:tcW w:w="1106" w:type="dxa"/>
            <w:tcBorders>
              <w:top w:val="nil"/>
              <w:left w:val="nil"/>
              <w:bottom w:val="single" w:color="000000" w:sz="4" w:space="0"/>
              <w:right w:val="single" w:color="000000" w:sz="4" w:space="0"/>
            </w:tcBorders>
            <w:shd w:val="clear" w:color="auto" w:fill="FFFFFF"/>
            <w:vAlign w:val="center"/>
          </w:tcPr>
          <w:p w14:paraId="6DA5A9AA">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938" w:type="dxa"/>
            <w:tcBorders>
              <w:top w:val="nil"/>
              <w:left w:val="nil"/>
              <w:bottom w:val="single" w:color="000000" w:sz="4" w:space="0"/>
              <w:right w:val="single" w:color="000000" w:sz="4" w:space="0"/>
            </w:tcBorders>
            <w:shd w:val="clear" w:color="auto" w:fill="FFFFFF"/>
            <w:vAlign w:val="center"/>
          </w:tcPr>
          <w:p w14:paraId="3F879F53">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37565C42">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7AC477E">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54BD10C9">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4CF1535B">
            <w:pPr>
              <w:widowControl/>
              <w:jc w:val="left"/>
              <w:textAlignment w:val="center"/>
              <w:rPr>
                <w:rFonts w:ascii="宋体" w:hAnsi="宋体" w:cs="宋体"/>
                <w:color w:val="FF0000"/>
                <w:sz w:val="16"/>
                <w:szCs w:val="16"/>
              </w:rPr>
            </w:pPr>
          </w:p>
        </w:tc>
      </w:tr>
      <w:tr w14:paraId="236E917A">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6F852A73">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255AB5B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3</w:t>
            </w:r>
          </w:p>
        </w:tc>
        <w:tc>
          <w:tcPr>
            <w:tcW w:w="2175" w:type="dxa"/>
            <w:tcBorders>
              <w:top w:val="nil"/>
              <w:left w:val="nil"/>
              <w:bottom w:val="single" w:color="000000" w:sz="4" w:space="0"/>
              <w:right w:val="single" w:color="000000" w:sz="4" w:space="0"/>
            </w:tcBorders>
            <w:shd w:val="clear" w:color="auto" w:fill="FFFFFF"/>
            <w:vAlign w:val="center"/>
          </w:tcPr>
          <w:p w14:paraId="21C0EA35">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第三部分 工程建设其他费</w:t>
            </w:r>
          </w:p>
        </w:tc>
        <w:tc>
          <w:tcPr>
            <w:tcW w:w="1106" w:type="dxa"/>
            <w:tcBorders>
              <w:top w:val="nil"/>
              <w:left w:val="nil"/>
              <w:bottom w:val="single" w:color="000000" w:sz="4" w:space="0"/>
              <w:right w:val="single" w:color="000000" w:sz="4" w:space="0"/>
            </w:tcBorders>
            <w:shd w:val="clear" w:color="auto" w:fill="FFFFFF"/>
            <w:vAlign w:val="center"/>
          </w:tcPr>
          <w:p w14:paraId="711DBF3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54F5D8BF">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7EF779C0">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781483A4">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7C5C67AF">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9C91A95">
            <w:pPr>
              <w:widowControl/>
              <w:jc w:val="left"/>
              <w:textAlignment w:val="center"/>
              <w:rPr>
                <w:rFonts w:ascii="宋体" w:hAnsi="宋体" w:cs="宋体"/>
                <w:color w:val="FF0000"/>
                <w:sz w:val="16"/>
                <w:szCs w:val="16"/>
              </w:rPr>
            </w:pPr>
          </w:p>
        </w:tc>
      </w:tr>
      <w:tr w14:paraId="38828D86">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67D52C7F">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735A4BEB">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308</w:t>
            </w:r>
          </w:p>
        </w:tc>
        <w:tc>
          <w:tcPr>
            <w:tcW w:w="2175" w:type="dxa"/>
            <w:tcBorders>
              <w:top w:val="nil"/>
              <w:left w:val="nil"/>
              <w:bottom w:val="single" w:color="000000" w:sz="4" w:space="0"/>
              <w:right w:val="single" w:color="000000" w:sz="4" w:space="0"/>
            </w:tcBorders>
            <w:shd w:val="clear" w:color="auto" w:fill="FFFFFF"/>
            <w:vAlign w:val="center"/>
          </w:tcPr>
          <w:p w14:paraId="04FAC9BC">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工程保险费</w:t>
            </w:r>
          </w:p>
        </w:tc>
        <w:tc>
          <w:tcPr>
            <w:tcW w:w="1106" w:type="dxa"/>
            <w:tcBorders>
              <w:top w:val="nil"/>
              <w:left w:val="nil"/>
              <w:bottom w:val="single" w:color="000000" w:sz="4" w:space="0"/>
              <w:right w:val="single" w:color="000000" w:sz="4" w:space="0"/>
            </w:tcBorders>
            <w:shd w:val="clear" w:color="auto" w:fill="FFFFFF"/>
            <w:vAlign w:val="center"/>
          </w:tcPr>
          <w:p w14:paraId="5B0E53E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总额</w:t>
            </w:r>
          </w:p>
        </w:tc>
        <w:tc>
          <w:tcPr>
            <w:tcW w:w="938" w:type="dxa"/>
            <w:tcBorders>
              <w:top w:val="nil"/>
              <w:left w:val="nil"/>
              <w:bottom w:val="single" w:color="000000" w:sz="4" w:space="0"/>
              <w:right w:val="single" w:color="000000" w:sz="4" w:space="0"/>
            </w:tcBorders>
            <w:shd w:val="clear" w:color="auto" w:fill="FFFFFF"/>
            <w:vAlign w:val="center"/>
          </w:tcPr>
          <w:p w14:paraId="54FDA2AE">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w:t>
            </w:r>
          </w:p>
        </w:tc>
        <w:tc>
          <w:tcPr>
            <w:tcW w:w="975" w:type="dxa"/>
            <w:tcBorders>
              <w:top w:val="nil"/>
              <w:left w:val="nil"/>
              <w:bottom w:val="single" w:color="000000" w:sz="4" w:space="0"/>
              <w:right w:val="single" w:color="000000" w:sz="4" w:space="0"/>
            </w:tcBorders>
            <w:shd w:val="clear" w:color="auto" w:fill="FFFFFF"/>
            <w:vAlign w:val="center"/>
          </w:tcPr>
          <w:p w14:paraId="3ED96F01">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6DBDF2DD">
            <w:pPr>
              <w:widowControl/>
              <w:jc w:val="right"/>
              <w:textAlignment w:val="center"/>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660856E1">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7BBA4C12">
            <w:pPr>
              <w:widowControl/>
              <w:jc w:val="left"/>
              <w:textAlignment w:val="center"/>
              <w:rPr>
                <w:rFonts w:ascii="宋体" w:hAnsi="宋体" w:cs="宋体"/>
                <w:color w:val="FF0000"/>
                <w:sz w:val="16"/>
                <w:szCs w:val="16"/>
              </w:rPr>
            </w:pPr>
          </w:p>
        </w:tc>
      </w:tr>
      <w:tr w14:paraId="54950D1F">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2C7BE322">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320ADA1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5</w:t>
            </w:r>
          </w:p>
        </w:tc>
        <w:tc>
          <w:tcPr>
            <w:tcW w:w="2175" w:type="dxa"/>
            <w:tcBorders>
              <w:top w:val="nil"/>
              <w:left w:val="nil"/>
              <w:bottom w:val="single" w:color="000000" w:sz="4" w:space="0"/>
              <w:right w:val="single" w:color="000000" w:sz="4" w:space="0"/>
            </w:tcBorders>
            <w:shd w:val="clear" w:color="auto" w:fill="FFFFFF"/>
            <w:vAlign w:val="center"/>
          </w:tcPr>
          <w:p w14:paraId="6514149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第一至四部分合计</w:t>
            </w:r>
          </w:p>
        </w:tc>
        <w:tc>
          <w:tcPr>
            <w:tcW w:w="1106" w:type="dxa"/>
            <w:tcBorders>
              <w:top w:val="nil"/>
              <w:left w:val="nil"/>
              <w:bottom w:val="single" w:color="000000" w:sz="4" w:space="0"/>
              <w:right w:val="single" w:color="000000" w:sz="4" w:space="0"/>
            </w:tcBorders>
            <w:shd w:val="clear" w:color="auto" w:fill="FFFFFF"/>
            <w:vAlign w:val="center"/>
          </w:tcPr>
          <w:p w14:paraId="3E66C7B1">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04886924">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0AE04771">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70BFC7C3">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2760E467">
            <w:pPr>
              <w:widowControl/>
              <w:jc w:val="right"/>
              <w:textAlignment w:val="center"/>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06814F0D">
            <w:pPr>
              <w:widowControl/>
              <w:jc w:val="left"/>
              <w:textAlignment w:val="center"/>
              <w:rPr>
                <w:rFonts w:ascii="宋体" w:hAnsi="宋体" w:cs="宋体"/>
                <w:color w:val="FF0000"/>
                <w:sz w:val="16"/>
                <w:szCs w:val="16"/>
              </w:rPr>
            </w:pPr>
          </w:p>
        </w:tc>
      </w:tr>
      <w:tr w14:paraId="31D63E0B">
        <w:tblPrEx>
          <w:tblCellMar>
            <w:top w:w="0" w:type="dxa"/>
            <w:left w:w="108" w:type="dxa"/>
            <w:bottom w:w="0" w:type="dxa"/>
            <w:right w:w="108" w:type="dxa"/>
          </w:tblCellMar>
        </w:tblPrEx>
        <w:trPr>
          <w:gridAfter w:val="2"/>
          <w:wAfter w:w="2965" w:type="dxa"/>
          <w:trHeight w:val="300" w:hRule="atLeast"/>
        </w:trPr>
        <w:tc>
          <w:tcPr>
            <w:tcW w:w="222" w:type="dxa"/>
            <w:tcBorders>
              <w:top w:val="nil"/>
              <w:left w:val="nil"/>
              <w:bottom w:val="nil"/>
              <w:right w:val="nil"/>
            </w:tcBorders>
            <w:shd w:val="clear" w:color="auto" w:fill="FFFFFF"/>
          </w:tcPr>
          <w:p w14:paraId="664971F6">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2518D09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6</w:t>
            </w:r>
          </w:p>
        </w:tc>
        <w:tc>
          <w:tcPr>
            <w:tcW w:w="2175" w:type="dxa"/>
            <w:tcBorders>
              <w:top w:val="nil"/>
              <w:left w:val="nil"/>
              <w:bottom w:val="single" w:color="000000" w:sz="4" w:space="0"/>
              <w:right w:val="single" w:color="000000" w:sz="4" w:space="0"/>
            </w:tcBorders>
            <w:shd w:val="clear" w:color="auto" w:fill="FFFFFF"/>
            <w:vAlign w:val="center"/>
          </w:tcPr>
          <w:p w14:paraId="47B98B15">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建设期贷款利息</w:t>
            </w:r>
          </w:p>
        </w:tc>
        <w:tc>
          <w:tcPr>
            <w:tcW w:w="1106" w:type="dxa"/>
            <w:tcBorders>
              <w:top w:val="nil"/>
              <w:left w:val="nil"/>
              <w:bottom w:val="single" w:color="000000" w:sz="4" w:space="0"/>
              <w:right w:val="single" w:color="000000" w:sz="4" w:space="0"/>
            </w:tcBorders>
            <w:shd w:val="clear" w:color="auto" w:fill="FFFFFF"/>
            <w:vAlign w:val="center"/>
          </w:tcPr>
          <w:p w14:paraId="0CAB736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38" w:type="dxa"/>
            <w:tcBorders>
              <w:top w:val="nil"/>
              <w:left w:val="nil"/>
              <w:bottom w:val="single" w:color="000000" w:sz="4" w:space="0"/>
              <w:right w:val="single" w:color="000000" w:sz="4" w:space="0"/>
            </w:tcBorders>
            <w:shd w:val="clear" w:color="auto" w:fill="FFFFFF"/>
            <w:vAlign w:val="center"/>
          </w:tcPr>
          <w:p w14:paraId="32584108">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2F50BC45">
            <w:pPr>
              <w:jc w:val="right"/>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E166BE9">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52BAA705">
            <w:pPr>
              <w:jc w:val="right"/>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2B59653B">
            <w:pPr>
              <w:widowControl/>
              <w:jc w:val="left"/>
              <w:textAlignment w:val="center"/>
              <w:rPr>
                <w:rFonts w:ascii="宋体" w:hAnsi="宋体" w:cs="宋体"/>
                <w:color w:val="FF0000"/>
                <w:sz w:val="16"/>
                <w:szCs w:val="16"/>
              </w:rPr>
            </w:pPr>
          </w:p>
        </w:tc>
      </w:tr>
      <w:tr w14:paraId="2DD68B22">
        <w:tblPrEx>
          <w:tblCellMar>
            <w:top w:w="0" w:type="dxa"/>
            <w:left w:w="108" w:type="dxa"/>
            <w:bottom w:w="0" w:type="dxa"/>
            <w:right w:w="108" w:type="dxa"/>
          </w:tblCellMar>
        </w:tblPrEx>
        <w:trPr>
          <w:gridAfter w:val="2"/>
          <w:wAfter w:w="2965" w:type="dxa"/>
          <w:trHeight w:val="240" w:hRule="atLeast"/>
        </w:trPr>
        <w:tc>
          <w:tcPr>
            <w:tcW w:w="222" w:type="dxa"/>
            <w:tcBorders>
              <w:top w:val="nil"/>
              <w:left w:val="nil"/>
              <w:bottom w:val="nil"/>
              <w:right w:val="nil"/>
            </w:tcBorders>
            <w:shd w:val="clear" w:color="auto" w:fill="FFFFFF"/>
          </w:tcPr>
          <w:p w14:paraId="1CE4D4AB">
            <w:pPr>
              <w:jc w:val="left"/>
              <w:rPr>
                <w:rFonts w:ascii="SansSerif" w:hAnsi="SansSerif" w:eastAsia="SansSerif" w:cs="SansSerif"/>
                <w:color w:val="FF0000"/>
                <w:sz w:val="20"/>
                <w:szCs w:val="20"/>
              </w:rPr>
            </w:pPr>
          </w:p>
        </w:tc>
        <w:tc>
          <w:tcPr>
            <w:tcW w:w="935" w:type="dxa"/>
            <w:tcBorders>
              <w:top w:val="nil"/>
              <w:left w:val="single" w:color="000000" w:sz="8" w:space="0"/>
              <w:bottom w:val="single" w:color="000000" w:sz="4" w:space="0"/>
              <w:right w:val="single" w:color="000000" w:sz="4" w:space="0"/>
            </w:tcBorders>
            <w:shd w:val="clear" w:color="auto" w:fill="FFFFFF"/>
            <w:vAlign w:val="center"/>
          </w:tcPr>
          <w:p w14:paraId="79693FA0">
            <w:pPr>
              <w:jc w:val="left"/>
              <w:rPr>
                <w:rFonts w:ascii="宋体" w:hAnsi="宋体" w:cs="宋体"/>
                <w:color w:val="FF0000"/>
                <w:sz w:val="16"/>
                <w:szCs w:val="16"/>
              </w:rPr>
            </w:pPr>
          </w:p>
        </w:tc>
        <w:tc>
          <w:tcPr>
            <w:tcW w:w="2175" w:type="dxa"/>
            <w:tcBorders>
              <w:top w:val="nil"/>
              <w:left w:val="nil"/>
              <w:bottom w:val="single" w:color="000000" w:sz="4" w:space="0"/>
              <w:right w:val="single" w:color="000000" w:sz="4" w:space="0"/>
            </w:tcBorders>
            <w:shd w:val="clear" w:color="auto" w:fill="FFFFFF"/>
            <w:vAlign w:val="center"/>
          </w:tcPr>
          <w:p w14:paraId="6EF4A0D5">
            <w:pPr>
              <w:jc w:val="left"/>
              <w:rPr>
                <w:rFonts w:ascii="宋体" w:hAnsi="宋体" w:cs="宋体"/>
                <w:color w:val="FF0000"/>
                <w:sz w:val="16"/>
                <w:szCs w:val="16"/>
              </w:rPr>
            </w:pPr>
          </w:p>
        </w:tc>
        <w:tc>
          <w:tcPr>
            <w:tcW w:w="1106" w:type="dxa"/>
            <w:tcBorders>
              <w:top w:val="nil"/>
              <w:left w:val="nil"/>
              <w:bottom w:val="single" w:color="000000" w:sz="4" w:space="0"/>
              <w:right w:val="single" w:color="000000" w:sz="4" w:space="0"/>
            </w:tcBorders>
            <w:shd w:val="clear" w:color="auto" w:fill="FFFFFF"/>
            <w:vAlign w:val="center"/>
          </w:tcPr>
          <w:p w14:paraId="0C16F94A">
            <w:pPr>
              <w:jc w:val="center"/>
              <w:rPr>
                <w:rFonts w:ascii="宋体" w:hAnsi="宋体" w:cs="宋体"/>
                <w:color w:val="FF0000"/>
                <w:sz w:val="16"/>
                <w:szCs w:val="16"/>
              </w:rPr>
            </w:pPr>
          </w:p>
        </w:tc>
        <w:tc>
          <w:tcPr>
            <w:tcW w:w="938" w:type="dxa"/>
            <w:tcBorders>
              <w:top w:val="nil"/>
              <w:left w:val="nil"/>
              <w:bottom w:val="single" w:color="000000" w:sz="4" w:space="0"/>
              <w:right w:val="single" w:color="000000" w:sz="4" w:space="0"/>
            </w:tcBorders>
            <w:shd w:val="clear" w:color="auto" w:fill="FFFFFF"/>
            <w:vAlign w:val="center"/>
          </w:tcPr>
          <w:p w14:paraId="01DE0C03">
            <w:pPr>
              <w:jc w:val="right"/>
              <w:rPr>
                <w:rFonts w:ascii="Arial Narrow" w:hAnsi="Arial Narrow" w:eastAsia="Arial Narrow" w:cs="Arial Narrow"/>
                <w:color w:val="FF0000"/>
                <w:sz w:val="16"/>
                <w:szCs w:val="16"/>
              </w:rPr>
            </w:pPr>
          </w:p>
        </w:tc>
        <w:tc>
          <w:tcPr>
            <w:tcW w:w="975" w:type="dxa"/>
            <w:tcBorders>
              <w:top w:val="nil"/>
              <w:left w:val="nil"/>
              <w:bottom w:val="single" w:color="000000" w:sz="4" w:space="0"/>
              <w:right w:val="single" w:color="000000" w:sz="4" w:space="0"/>
            </w:tcBorders>
            <w:shd w:val="clear" w:color="auto" w:fill="FFFFFF"/>
            <w:vAlign w:val="center"/>
          </w:tcPr>
          <w:p w14:paraId="1343F850">
            <w:pPr>
              <w:jc w:val="right"/>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1DA380E">
            <w:pPr>
              <w:jc w:val="right"/>
              <w:rPr>
                <w:rFonts w:ascii="Arial Narrow" w:hAnsi="Arial Narrow" w:eastAsia="Arial Narrow" w:cs="Arial Narrow"/>
                <w:color w:val="FF0000"/>
                <w:sz w:val="16"/>
                <w:szCs w:val="16"/>
              </w:rPr>
            </w:pPr>
          </w:p>
        </w:tc>
        <w:tc>
          <w:tcPr>
            <w:tcW w:w="1107" w:type="dxa"/>
            <w:tcBorders>
              <w:top w:val="nil"/>
              <w:left w:val="nil"/>
              <w:bottom w:val="single" w:color="000000" w:sz="4" w:space="0"/>
              <w:right w:val="single" w:color="000000" w:sz="4" w:space="0"/>
            </w:tcBorders>
            <w:shd w:val="clear" w:color="auto" w:fill="FFFFFF"/>
            <w:vAlign w:val="center"/>
          </w:tcPr>
          <w:p w14:paraId="751FE6D9">
            <w:pPr>
              <w:jc w:val="right"/>
              <w:rPr>
                <w:rFonts w:ascii="Arial Narrow" w:hAnsi="Arial Narrow" w:eastAsia="Arial Narrow" w:cs="Arial Narrow"/>
                <w:color w:val="FF0000"/>
                <w:sz w:val="16"/>
                <w:szCs w:val="16"/>
              </w:rPr>
            </w:pPr>
          </w:p>
        </w:tc>
        <w:tc>
          <w:tcPr>
            <w:tcW w:w="1350" w:type="dxa"/>
            <w:tcBorders>
              <w:top w:val="nil"/>
              <w:left w:val="nil"/>
              <w:bottom w:val="single" w:color="000000" w:sz="4" w:space="0"/>
              <w:right w:val="single" w:color="000000" w:sz="8" w:space="0"/>
            </w:tcBorders>
            <w:shd w:val="clear" w:color="auto" w:fill="FFFFFF"/>
            <w:vAlign w:val="center"/>
          </w:tcPr>
          <w:p w14:paraId="2630A768">
            <w:pPr>
              <w:jc w:val="left"/>
              <w:rPr>
                <w:rFonts w:ascii="宋体" w:hAnsi="宋体" w:cs="宋体"/>
                <w:color w:val="FF0000"/>
                <w:sz w:val="16"/>
                <w:szCs w:val="16"/>
              </w:rPr>
            </w:pPr>
          </w:p>
        </w:tc>
      </w:tr>
    </w:tbl>
    <w:p w14:paraId="71D5E157">
      <w:pPr>
        <w:spacing w:line="360" w:lineRule="auto"/>
        <w:textAlignment w:val="baseline"/>
        <w:rPr>
          <w:rFonts w:ascii="宋体" w:hAnsi="宋体" w:cs="宋体"/>
          <w:b/>
          <w:bCs/>
          <w:color w:val="FF0000"/>
          <w:sz w:val="18"/>
          <w:szCs w:val="18"/>
        </w:rPr>
      </w:pPr>
    </w:p>
    <w:tbl>
      <w:tblPr>
        <w:tblStyle w:val="47"/>
        <w:tblW w:w="12764" w:type="dxa"/>
        <w:tblInd w:w="93" w:type="dxa"/>
        <w:tblLayout w:type="fixed"/>
        <w:tblCellMar>
          <w:top w:w="0" w:type="dxa"/>
          <w:left w:w="108" w:type="dxa"/>
          <w:bottom w:w="0" w:type="dxa"/>
          <w:right w:w="108" w:type="dxa"/>
        </w:tblCellMar>
      </w:tblPr>
      <w:tblGrid>
        <w:gridCol w:w="236"/>
        <w:gridCol w:w="1162"/>
        <w:gridCol w:w="2224"/>
        <w:gridCol w:w="1492"/>
        <w:gridCol w:w="838"/>
        <w:gridCol w:w="1049"/>
        <w:gridCol w:w="949"/>
        <w:gridCol w:w="966"/>
        <w:gridCol w:w="1116"/>
        <w:gridCol w:w="2496"/>
        <w:gridCol w:w="236"/>
      </w:tblGrid>
      <w:tr w14:paraId="101374B8">
        <w:tblPrEx>
          <w:tblCellMar>
            <w:top w:w="0" w:type="dxa"/>
            <w:left w:w="108" w:type="dxa"/>
            <w:bottom w:w="0" w:type="dxa"/>
            <w:right w:w="108" w:type="dxa"/>
          </w:tblCellMar>
        </w:tblPrEx>
        <w:trPr>
          <w:gridAfter w:val="2"/>
          <w:wAfter w:w="2735" w:type="dxa"/>
          <w:trHeight w:val="560" w:hRule="atLeast"/>
        </w:trPr>
        <w:tc>
          <w:tcPr>
            <w:tcW w:w="10029" w:type="dxa"/>
            <w:gridSpan w:val="9"/>
            <w:tcBorders>
              <w:top w:val="nil"/>
              <w:left w:val="nil"/>
              <w:bottom w:val="nil"/>
              <w:right w:val="nil"/>
            </w:tcBorders>
            <w:shd w:val="clear" w:color="auto" w:fill="FFFFFF"/>
          </w:tcPr>
          <w:p w14:paraId="2CB57B03">
            <w:pPr>
              <w:widowControl/>
              <w:jc w:val="center"/>
              <w:textAlignment w:val="top"/>
              <w:rPr>
                <w:rFonts w:ascii="宋体" w:hAnsi="宋体" w:cs="宋体"/>
                <w:b/>
                <w:bCs/>
                <w:color w:val="FF0000"/>
                <w:sz w:val="36"/>
                <w:szCs w:val="36"/>
              </w:rPr>
            </w:pPr>
            <w:r>
              <w:rPr>
                <w:rFonts w:hint="eastAsia" w:ascii="宋体" w:hAnsi="宋体" w:cs="宋体"/>
                <w:b/>
                <w:bCs/>
                <w:color w:val="FF0000"/>
                <w:kern w:val="0"/>
                <w:sz w:val="36"/>
                <w:szCs w:val="36"/>
              </w:rPr>
              <w:t>表A.0.2-5 工程量清单</w:t>
            </w:r>
          </w:p>
        </w:tc>
      </w:tr>
      <w:tr w14:paraId="3018EDB3">
        <w:tblPrEx>
          <w:tblCellMar>
            <w:top w:w="0" w:type="dxa"/>
            <w:left w:w="108" w:type="dxa"/>
            <w:bottom w:w="0" w:type="dxa"/>
            <w:right w:w="108" w:type="dxa"/>
          </w:tblCellMar>
        </w:tblPrEx>
        <w:trPr>
          <w:gridAfter w:val="2"/>
          <w:wAfter w:w="2735" w:type="dxa"/>
          <w:trHeight w:val="300" w:hRule="atLeast"/>
        </w:trPr>
        <w:tc>
          <w:tcPr>
            <w:tcW w:w="7945" w:type="dxa"/>
            <w:gridSpan w:val="7"/>
            <w:tcBorders>
              <w:top w:val="nil"/>
              <w:left w:val="nil"/>
              <w:bottom w:val="nil"/>
              <w:right w:val="nil"/>
            </w:tcBorders>
            <w:shd w:val="clear" w:color="auto" w:fill="FFFFFF"/>
            <w:vAlign w:val="center"/>
          </w:tcPr>
          <w:p w14:paraId="2BCE1061">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建设项目名称：汝城县2024年第三批农村公路安防工程预算评审</w:t>
            </w:r>
          </w:p>
        </w:tc>
        <w:tc>
          <w:tcPr>
            <w:tcW w:w="2084" w:type="dxa"/>
            <w:gridSpan w:val="2"/>
            <w:tcBorders>
              <w:top w:val="nil"/>
              <w:left w:val="nil"/>
              <w:bottom w:val="nil"/>
              <w:right w:val="nil"/>
            </w:tcBorders>
            <w:shd w:val="clear" w:color="auto" w:fill="FFFFFF"/>
            <w:vAlign w:val="bottom"/>
          </w:tcPr>
          <w:p w14:paraId="011C9A05">
            <w:pPr>
              <w:jc w:val="right"/>
              <w:rPr>
                <w:rFonts w:ascii="宋体" w:hAnsi="宋体" w:cs="宋体"/>
                <w:color w:val="FF0000"/>
                <w:sz w:val="16"/>
                <w:szCs w:val="16"/>
              </w:rPr>
            </w:pPr>
          </w:p>
        </w:tc>
      </w:tr>
      <w:tr w14:paraId="1C429273">
        <w:tblPrEx>
          <w:tblCellMar>
            <w:top w:w="0" w:type="dxa"/>
            <w:left w:w="108" w:type="dxa"/>
            <w:bottom w:w="0" w:type="dxa"/>
            <w:right w:w="108" w:type="dxa"/>
          </w:tblCellMar>
        </w:tblPrEx>
        <w:trPr>
          <w:trHeight w:val="300" w:hRule="atLeast"/>
        </w:trPr>
        <w:tc>
          <w:tcPr>
            <w:tcW w:w="5106" w:type="dxa"/>
            <w:gridSpan w:val="4"/>
            <w:tcBorders>
              <w:top w:val="nil"/>
              <w:left w:val="nil"/>
              <w:bottom w:val="nil"/>
              <w:right w:val="nil"/>
            </w:tcBorders>
            <w:shd w:val="clear" w:color="auto" w:fill="FFFFFF"/>
            <w:vAlign w:val="center"/>
          </w:tcPr>
          <w:p w14:paraId="1C611571">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编制范围：汝城县2024年第三批农村公路安防工程预算评审</w:t>
            </w:r>
          </w:p>
        </w:tc>
        <w:tc>
          <w:tcPr>
            <w:tcW w:w="1889" w:type="dxa"/>
            <w:gridSpan w:val="2"/>
            <w:tcBorders>
              <w:top w:val="nil"/>
              <w:left w:val="nil"/>
              <w:bottom w:val="nil"/>
              <w:right w:val="nil"/>
            </w:tcBorders>
            <w:shd w:val="clear" w:color="auto" w:fill="FFFFFF"/>
            <w:vAlign w:val="center"/>
          </w:tcPr>
          <w:p w14:paraId="6E86F4BE">
            <w:pPr>
              <w:jc w:val="left"/>
              <w:rPr>
                <w:rFonts w:ascii="宋体" w:hAnsi="宋体" w:cs="宋体"/>
                <w:color w:val="FF0000"/>
                <w:sz w:val="16"/>
                <w:szCs w:val="16"/>
              </w:rPr>
            </w:pPr>
          </w:p>
        </w:tc>
        <w:tc>
          <w:tcPr>
            <w:tcW w:w="950" w:type="dxa"/>
            <w:tcBorders>
              <w:top w:val="nil"/>
              <w:left w:val="nil"/>
              <w:bottom w:val="nil"/>
              <w:right w:val="nil"/>
            </w:tcBorders>
            <w:shd w:val="clear" w:color="auto" w:fill="FFFFFF"/>
            <w:vAlign w:val="center"/>
          </w:tcPr>
          <w:p w14:paraId="54CDEEC5">
            <w:pPr>
              <w:jc w:val="left"/>
              <w:rPr>
                <w:rFonts w:ascii="宋体" w:hAnsi="宋体" w:cs="宋体"/>
                <w:color w:val="FF0000"/>
                <w:sz w:val="16"/>
                <w:szCs w:val="16"/>
              </w:rPr>
            </w:pPr>
          </w:p>
        </w:tc>
        <w:tc>
          <w:tcPr>
            <w:tcW w:w="967" w:type="dxa"/>
            <w:tcBorders>
              <w:top w:val="nil"/>
              <w:left w:val="nil"/>
              <w:bottom w:val="nil"/>
              <w:right w:val="nil"/>
            </w:tcBorders>
            <w:shd w:val="clear" w:color="auto" w:fill="FFFFFF"/>
            <w:vAlign w:val="center"/>
          </w:tcPr>
          <w:p w14:paraId="72399B13">
            <w:pPr>
              <w:widowControl/>
              <w:textAlignment w:val="center"/>
              <w:rPr>
                <w:rFonts w:ascii="宋体" w:hAnsi="宋体" w:cs="宋体"/>
                <w:color w:val="FF0000"/>
                <w:sz w:val="16"/>
                <w:szCs w:val="16"/>
              </w:rPr>
            </w:pPr>
            <w:r>
              <w:rPr>
                <w:rFonts w:hint="eastAsia" w:ascii="宋体" w:hAnsi="宋体" w:cs="宋体"/>
                <w:color w:val="FF0000"/>
                <w:kern w:val="0"/>
                <w:sz w:val="16"/>
                <w:szCs w:val="16"/>
              </w:rPr>
              <w:t>第 2 页</w:t>
            </w:r>
          </w:p>
        </w:tc>
        <w:tc>
          <w:tcPr>
            <w:tcW w:w="3616" w:type="dxa"/>
            <w:gridSpan w:val="2"/>
            <w:tcBorders>
              <w:top w:val="nil"/>
              <w:left w:val="nil"/>
              <w:bottom w:val="nil"/>
              <w:right w:val="nil"/>
            </w:tcBorders>
            <w:shd w:val="clear" w:color="auto" w:fill="FFFFFF"/>
            <w:vAlign w:val="center"/>
          </w:tcPr>
          <w:p w14:paraId="074DBA4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共 2 页01表</w:t>
            </w:r>
          </w:p>
        </w:tc>
        <w:tc>
          <w:tcPr>
            <w:tcW w:w="236" w:type="dxa"/>
            <w:tcBorders>
              <w:top w:val="nil"/>
              <w:left w:val="nil"/>
              <w:bottom w:val="nil"/>
              <w:right w:val="nil"/>
            </w:tcBorders>
            <w:shd w:val="clear" w:color="auto" w:fill="FFFFFF"/>
            <w:vAlign w:val="center"/>
          </w:tcPr>
          <w:p w14:paraId="17E08F2A">
            <w:pPr>
              <w:widowControl/>
              <w:jc w:val="right"/>
              <w:textAlignment w:val="center"/>
              <w:rPr>
                <w:rFonts w:ascii="宋体" w:hAnsi="宋体" w:cs="宋体"/>
                <w:color w:val="FF0000"/>
                <w:sz w:val="16"/>
                <w:szCs w:val="16"/>
              </w:rPr>
            </w:pPr>
          </w:p>
        </w:tc>
      </w:tr>
      <w:tr w14:paraId="64105FEC">
        <w:tblPrEx>
          <w:tblCellMar>
            <w:top w:w="0" w:type="dxa"/>
            <w:left w:w="108" w:type="dxa"/>
            <w:bottom w:w="0" w:type="dxa"/>
            <w:right w:w="108" w:type="dxa"/>
          </w:tblCellMar>
        </w:tblPrEx>
        <w:trPr>
          <w:gridAfter w:val="2"/>
          <w:wAfter w:w="2735" w:type="dxa"/>
          <w:trHeight w:val="520" w:hRule="atLeast"/>
        </w:trPr>
        <w:tc>
          <w:tcPr>
            <w:tcW w:w="222" w:type="dxa"/>
            <w:tcBorders>
              <w:top w:val="nil"/>
              <w:left w:val="nil"/>
              <w:bottom w:val="nil"/>
              <w:right w:val="nil"/>
            </w:tcBorders>
            <w:shd w:val="clear" w:color="auto" w:fill="FFFFFF"/>
          </w:tcPr>
          <w:p w14:paraId="508A0F49">
            <w:pPr>
              <w:jc w:val="left"/>
              <w:rPr>
                <w:rFonts w:ascii="SansSerif" w:hAnsi="SansSerif" w:eastAsia="SansSerif" w:cs="SansSerif"/>
                <w:color w:val="FF0000"/>
                <w:sz w:val="20"/>
                <w:szCs w:val="20"/>
              </w:rPr>
            </w:pPr>
          </w:p>
        </w:tc>
        <w:tc>
          <w:tcPr>
            <w:tcW w:w="1163"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7B000FF">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分项编号</w:t>
            </w:r>
          </w:p>
        </w:tc>
        <w:tc>
          <w:tcPr>
            <w:tcW w:w="2227" w:type="dxa"/>
            <w:tcBorders>
              <w:top w:val="single" w:color="000000" w:sz="8" w:space="0"/>
              <w:left w:val="nil"/>
              <w:bottom w:val="single" w:color="000000" w:sz="4" w:space="0"/>
              <w:right w:val="single" w:color="000000" w:sz="4" w:space="0"/>
            </w:tcBorders>
            <w:shd w:val="clear" w:color="auto" w:fill="FFFFFF"/>
            <w:vAlign w:val="center"/>
          </w:tcPr>
          <w:p w14:paraId="49AB3761">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工程或费用名称</w:t>
            </w:r>
          </w:p>
        </w:tc>
        <w:tc>
          <w:tcPr>
            <w:tcW w:w="1494" w:type="dxa"/>
            <w:tcBorders>
              <w:top w:val="single" w:color="000000" w:sz="8" w:space="0"/>
              <w:left w:val="nil"/>
              <w:bottom w:val="single" w:color="000000" w:sz="4" w:space="0"/>
              <w:right w:val="single" w:color="000000" w:sz="4" w:space="0"/>
            </w:tcBorders>
            <w:shd w:val="clear" w:color="auto" w:fill="FFFFFF"/>
            <w:vAlign w:val="center"/>
          </w:tcPr>
          <w:p w14:paraId="25F600A7">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单位</w:t>
            </w:r>
          </w:p>
        </w:tc>
        <w:tc>
          <w:tcPr>
            <w:tcW w:w="839" w:type="dxa"/>
            <w:tcBorders>
              <w:top w:val="single" w:color="000000" w:sz="8" w:space="0"/>
              <w:left w:val="nil"/>
              <w:bottom w:val="single" w:color="000000" w:sz="4" w:space="0"/>
              <w:right w:val="single" w:color="000000" w:sz="4" w:space="0"/>
            </w:tcBorders>
            <w:shd w:val="clear" w:color="auto" w:fill="FFFFFF"/>
            <w:vAlign w:val="center"/>
          </w:tcPr>
          <w:p w14:paraId="5D75A2C6">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数量</w:t>
            </w:r>
          </w:p>
        </w:tc>
        <w:tc>
          <w:tcPr>
            <w:tcW w:w="1050" w:type="dxa"/>
            <w:tcBorders>
              <w:top w:val="single" w:color="000000" w:sz="8" w:space="0"/>
              <w:left w:val="nil"/>
              <w:bottom w:val="single" w:color="000000" w:sz="4" w:space="0"/>
              <w:right w:val="single" w:color="000000" w:sz="4" w:space="0"/>
            </w:tcBorders>
            <w:shd w:val="clear" w:color="auto" w:fill="FFFFFF"/>
            <w:vAlign w:val="center"/>
          </w:tcPr>
          <w:p w14:paraId="449A4228">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金额（元）</w:t>
            </w:r>
          </w:p>
        </w:tc>
        <w:tc>
          <w:tcPr>
            <w:tcW w:w="950" w:type="dxa"/>
            <w:tcBorders>
              <w:top w:val="single" w:color="000000" w:sz="8" w:space="0"/>
              <w:left w:val="nil"/>
              <w:bottom w:val="single" w:color="000000" w:sz="4" w:space="0"/>
              <w:right w:val="single" w:color="000000" w:sz="4" w:space="0"/>
            </w:tcBorders>
            <w:shd w:val="clear" w:color="auto" w:fill="FFFFFF"/>
            <w:vAlign w:val="center"/>
          </w:tcPr>
          <w:p w14:paraId="3AF38130">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技术经济指标</w:t>
            </w:r>
          </w:p>
        </w:tc>
        <w:tc>
          <w:tcPr>
            <w:tcW w:w="967" w:type="dxa"/>
            <w:tcBorders>
              <w:top w:val="single" w:color="000000" w:sz="8" w:space="0"/>
              <w:left w:val="nil"/>
              <w:bottom w:val="single" w:color="000000" w:sz="4" w:space="0"/>
              <w:right w:val="single" w:color="000000" w:sz="4" w:space="0"/>
            </w:tcBorders>
            <w:shd w:val="clear" w:color="auto" w:fill="FFFFFF"/>
            <w:vAlign w:val="center"/>
          </w:tcPr>
          <w:p w14:paraId="6A7984F9">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各项费用比例(%)</w:t>
            </w:r>
          </w:p>
        </w:tc>
        <w:tc>
          <w:tcPr>
            <w:tcW w:w="1117" w:type="dxa"/>
            <w:tcBorders>
              <w:top w:val="single" w:color="000000" w:sz="8" w:space="0"/>
              <w:left w:val="nil"/>
              <w:bottom w:val="single" w:color="000000" w:sz="4" w:space="0"/>
              <w:right w:val="single" w:color="000000" w:sz="8" w:space="0"/>
            </w:tcBorders>
            <w:shd w:val="clear" w:color="auto" w:fill="FFFFFF"/>
            <w:vAlign w:val="center"/>
          </w:tcPr>
          <w:p w14:paraId="14D5CD4E">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备注</w:t>
            </w:r>
          </w:p>
        </w:tc>
      </w:tr>
      <w:tr w14:paraId="55BF7B76">
        <w:tblPrEx>
          <w:tblCellMar>
            <w:top w:w="0" w:type="dxa"/>
            <w:left w:w="108" w:type="dxa"/>
            <w:bottom w:w="0" w:type="dxa"/>
            <w:right w:w="108" w:type="dxa"/>
          </w:tblCellMar>
        </w:tblPrEx>
        <w:trPr>
          <w:gridAfter w:val="2"/>
          <w:wAfter w:w="2735" w:type="dxa"/>
          <w:trHeight w:val="300" w:hRule="atLeast"/>
        </w:trPr>
        <w:tc>
          <w:tcPr>
            <w:tcW w:w="222" w:type="dxa"/>
            <w:tcBorders>
              <w:top w:val="nil"/>
              <w:left w:val="nil"/>
              <w:bottom w:val="nil"/>
              <w:right w:val="nil"/>
            </w:tcBorders>
            <w:shd w:val="clear" w:color="auto" w:fill="FFFFFF"/>
          </w:tcPr>
          <w:p w14:paraId="47D952C1">
            <w:pPr>
              <w:jc w:val="left"/>
              <w:rPr>
                <w:rFonts w:ascii="SansSerif" w:hAnsi="SansSerif" w:eastAsia="SansSerif" w:cs="SansSerif"/>
                <w:color w:val="FF0000"/>
                <w:sz w:val="20"/>
                <w:szCs w:val="20"/>
              </w:rPr>
            </w:pPr>
          </w:p>
        </w:tc>
        <w:tc>
          <w:tcPr>
            <w:tcW w:w="1163" w:type="dxa"/>
            <w:tcBorders>
              <w:top w:val="nil"/>
              <w:left w:val="single" w:color="000000" w:sz="8" w:space="0"/>
              <w:bottom w:val="single" w:color="000000" w:sz="4" w:space="0"/>
              <w:right w:val="single" w:color="000000" w:sz="4" w:space="0"/>
            </w:tcBorders>
            <w:shd w:val="clear" w:color="auto" w:fill="FFFFFF"/>
            <w:vAlign w:val="center"/>
          </w:tcPr>
          <w:p w14:paraId="3C9C297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7</w:t>
            </w:r>
          </w:p>
        </w:tc>
        <w:tc>
          <w:tcPr>
            <w:tcW w:w="2227" w:type="dxa"/>
            <w:tcBorders>
              <w:top w:val="nil"/>
              <w:left w:val="nil"/>
              <w:bottom w:val="single" w:color="000000" w:sz="4" w:space="0"/>
              <w:right w:val="single" w:color="000000" w:sz="4" w:space="0"/>
            </w:tcBorders>
            <w:shd w:val="clear" w:color="auto" w:fill="FFFFFF"/>
            <w:vAlign w:val="center"/>
          </w:tcPr>
          <w:p w14:paraId="510B319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公路基本造价</w:t>
            </w:r>
          </w:p>
        </w:tc>
        <w:tc>
          <w:tcPr>
            <w:tcW w:w="1494" w:type="dxa"/>
            <w:tcBorders>
              <w:top w:val="nil"/>
              <w:left w:val="nil"/>
              <w:bottom w:val="single" w:color="000000" w:sz="4" w:space="0"/>
              <w:right w:val="single" w:color="000000" w:sz="4" w:space="0"/>
            </w:tcBorders>
            <w:shd w:val="clear" w:color="auto" w:fill="FFFFFF"/>
            <w:vAlign w:val="center"/>
          </w:tcPr>
          <w:p w14:paraId="7C23B5A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839" w:type="dxa"/>
            <w:tcBorders>
              <w:top w:val="nil"/>
              <w:left w:val="nil"/>
              <w:bottom w:val="single" w:color="000000" w:sz="4" w:space="0"/>
              <w:right w:val="single" w:color="000000" w:sz="4" w:space="0"/>
            </w:tcBorders>
            <w:shd w:val="clear" w:color="auto" w:fill="FFFFFF"/>
            <w:vAlign w:val="center"/>
          </w:tcPr>
          <w:p w14:paraId="2146644E">
            <w:pPr>
              <w:jc w:val="right"/>
              <w:rPr>
                <w:rFonts w:ascii="Arial Narrow" w:hAnsi="Arial Narrow" w:eastAsia="Arial Narrow" w:cs="Arial Narrow"/>
                <w:color w:val="FF0000"/>
                <w:sz w:val="16"/>
                <w:szCs w:val="16"/>
              </w:rPr>
            </w:pPr>
          </w:p>
        </w:tc>
        <w:tc>
          <w:tcPr>
            <w:tcW w:w="1050" w:type="dxa"/>
            <w:tcBorders>
              <w:top w:val="nil"/>
              <w:left w:val="nil"/>
              <w:bottom w:val="single" w:color="000000" w:sz="4" w:space="0"/>
              <w:right w:val="single" w:color="000000" w:sz="4" w:space="0"/>
            </w:tcBorders>
            <w:shd w:val="clear" w:color="auto" w:fill="FFFFFF"/>
            <w:vAlign w:val="center"/>
          </w:tcPr>
          <w:p w14:paraId="4C5FA93B">
            <w:pPr>
              <w:widowControl/>
              <w:jc w:val="right"/>
              <w:textAlignment w:val="center"/>
              <w:rPr>
                <w:rFonts w:ascii="Arial Narrow" w:hAnsi="Arial Narrow" w:eastAsia="Arial Narrow" w:cs="Arial Narrow"/>
                <w:color w:val="FF0000"/>
                <w:sz w:val="16"/>
                <w:szCs w:val="16"/>
              </w:rPr>
            </w:pPr>
          </w:p>
        </w:tc>
        <w:tc>
          <w:tcPr>
            <w:tcW w:w="950" w:type="dxa"/>
            <w:tcBorders>
              <w:top w:val="nil"/>
              <w:left w:val="nil"/>
              <w:bottom w:val="single" w:color="000000" w:sz="4" w:space="0"/>
              <w:right w:val="single" w:color="000000" w:sz="4" w:space="0"/>
            </w:tcBorders>
            <w:shd w:val="clear" w:color="auto" w:fill="FFFFFF"/>
            <w:vAlign w:val="center"/>
          </w:tcPr>
          <w:p w14:paraId="58C0A05F">
            <w:pPr>
              <w:jc w:val="right"/>
              <w:rPr>
                <w:rFonts w:ascii="Arial Narrow" w:hAnsi="Arial Narrow" w:eastAsia="Arial Narrow" w:cs="Arial Narrow"/>
                <w:color w:val="FF0000"/>
                <w:sz w:val="16"/>
                <w:szCs w:val="16"/>
              </w:rPr>
            </w:pPr>
          </w:p>
        </w:tc>
        <w:tc>
          <w:tcPr>
            <w:tcW w:w="967" w:type="dxa"/>
            <w:tcBorders>
              <w:top w:val="nil"/>
              <w:left w:val="nil"/>
              <w:bottom w:val="single" w:color="000000" w:sz="4" w:space="0"/>
              <w:right w:val="single" w:color="000000" w:sz="4" w:space="0"/>
            </w:tcBorders>
            <w:shd w:val="clear" w:color="auto" w:fill="FFFFFF"/>
            <w:vAlign w:val="center"/>
          </w:tcPr>
          <w:p w14:paraId="0C0CF9AC">
            <w:pPr>
              <w:widowControl/>
              <w:jc w:val="right"/>
              <w:textAlignment w:val="center"/>
              <w:rPr>
                <w:rFonts w:ascii="Arial Narrow" w:hAnsi="Arial Narrow" w:eastAsia="Arial Narrow" w:cs="Arial Narrow"/>
                <w:color w:val="FF0000"/>
                <w:sz w:val="16"/>
                <w:szCs w:val="16"/>
              </w:rPr>
            </w:pPr>
          </w:p>
        </w:tc>
        <w:tc>
          <w:tcPr>
            <w:tcW w:w="1117" w:type="dxa"/>
            <w:tcBorders>
              <w:top w:val="nil"/>
              <w:left w:val="nil"/>
              <w:bottom w:val="single" w:color="000000" w:sz="4" w:space="0"/>
              <w:right w:val="single" w:color="000000" w:sz="8" w:space="0"/>
            </w:tcBorders>
            <w:shd w:val="clear" w:color="auto" w:fill="FFFFFF"/>
            <w:vAlign w:val="center"/>
          </w:tcPr>
          <w:p w14:paraId="44D91D20">
            <w:pPr>
              <w:widowControl/>
              <w:jc w:val="left"/>
              <w:textAlignment w:val="center"/>
              <w:rPr>
                <w:rFonts w:ascii="宋体" w:hAnsi="宋体" w:cs="宋体"/>
                <w:color w:val="FF0000"/>
                <w:sz w:val="16"/>
                <w:szCs w:val="16"/>
              </w:rPr>
            </w:pPr>
          </w:p>
        </w:tc>
      </w:tr>
    </w:tbl>
    <w:p w14:paraId="0DA6ED60">
      <w:pPr>
        <w:spacing w:line="360" w:lineRule="auto"/>
        <w:textAlignment w:val="baseline"/>
        <w:rPr>
          <w:rFonts w:ascii="宋体" w:hAnsi="宋体" w:cs="宋体"/>
          <w:b/>
          <w:bCs/>
          <w:color w:val="FF0000"/>
          <w:sz w:val="18"/>
          <w:szCs w:val="18"/>
        </w:rPr>
      </w:pPr>
    </w:p>
    <w:p w14:paraId="41A91438">
      <w:pPr>
        <w:spacing w:line="360" w:lineRule="auto"/>
        <w:textAlignment w:val="baseline"/>
        <w:rPr>
          <w:rFonts w:ascii="宋体" w:hAnsi="宋体" w:cs="宋体"/>
          <w:b/>
          <w:bCs/>
          <w:color w:val="FF0000"/>
          <w:sz w:val="18"/>
          <w:szCs w:val="18"/>
        </w:rPr>
      </w:pPr>
    </w:p>
    <w:tbl>
      <w:tblPr>
        <w:tblStyle w:val="47"/>
        <w:tblW w:w="12766" w:type="dxa"/>
        <w:tblInd w:w="93" w:type="dxa"/>
        <w:tblLayout w:type="fixed"/>
        <w:tblCellMar>
          <w:top w:w="0" w:type="dxa"/>
          <w:left w:w="108" w:type="dxa"/>
          <w:bottom w:w="0" w:type="dxa"/>
          <w:right w:w="108" w:type="dxa"/>
        </w:tblCellMar>
      </w:tblPr>
      <w:tblGrid>
        <w:gridCol w:w="579"/>
        <w:gridCol w:w="616"/>
        <w:gridCol w:w="696"/>
        <w:gridCol w:w="856"/>
        <w:gridCol w:w="1636"/>
        <w:gridCol w:w="710"/>
        <w:gridCol w:w="697"/>
        <w:gridCol w:w="750"/>
        <w:gridCol w:w="993"/>
        <w:gridCol w:w="750"/>
        <w:gridCol w:w="1776"/>
        <w:gridCol w:w="236"/>
        <w:gridCol w:w="2235"/>
        <w:gridCol w:w="236"/>
      </w:tblGrid>
      <w:tr w14:paraId="32C06E10">
        <w:tblPrEx>
          <w:tblCellMar>
            <w:top w:w="0" w:type="dxa"/>
            <w:left w:w="108" w:type="dxa"/>
            <w:bottom w:w="0" w:type="dxa"/>
            <w:right w:w="108" w:type="dxa"/>
          </w:tblCellMar>
        </w:tblPrEx>
        <w:trPr>
          <w:gridAfter w:val="3"/>
          <w:wAfter w:w="2707" w:type="dxa"/>
          <w:trHeight w:val="560" w:hRule="atLeast"/>
        </w:trPr>
        <w:tc>
          <w:tcPr>
            <w:tcW w:w="10059" w:type="dxa"/>
            <w:gridSpan w:val="11"/>
            <w:tcBorders>
              <w:top w:val="nil"/>
              <w:left w:val="nil"/>
              <w:bottom w:val="nil"/>
              <w:right w:val="nil"/>
            </w:tcBorders>
            <w:shd w:val="clear" w:color="auto" w:fill="FFFFFF"/>
          </w:tcPr>
          <w:p w14:paraId="133AFD80">
            <w:pPr>
              <w:widowControl/>
              <w:jc w:val="center"/>
              <w:textAlignment w:val="top"/>
              <w:rPr>
                <w:rFonts w:ascii="宋体" w:hAnsi="宋体" w:cs="宋体"/>
                <w:b/>
                <w:bCs/>
                <w:color w:val="FF0000"/>
                <w:sz w:val="36"/>
                <w:szCs w:val="36"/>
              </w:rPr>
            </w:pPr>
            <w:r>
              <w:rPr>
                <w:rFonts w:hint="eastAsia" w:ascii="宋体" w:hAnsi="宋体" w:cs="宋体"/>
                <w:b/>
                <w:bCs/>
                <w:color w:val="FF0000"/>
                <w:kern w:val="0"/>
                <w:sz w:val="36"/>
                <w:szCs w:val="36"/>
              </w:rPr>
              <w:t>表A.0.2-5 工程量清单（07样式）</w:t>
            </w:r>
          </w:p>
        </w:tc>
      </w:tr>
      <w:tr w14:paraId="1D0ECC3C">
        <w:tblPrEx>
          <w:tblCellMar>
            <w:top w:w="0" w:type="dxa"/>
            <w:left w:w="108" w:type="dxa"/>
            <w:bottom w:w="0" w:type="dxa"/>
            <w:right w:w="108" w:type="dxa"/>
          </w:tblCellMar>
        </w:tblPrEx>
        <w:trPr>
          <w:gridAfter w:val="2"/>
          <w:wAfter w:w="2471" w:type="dxa"/>
          <w:trHeight w:val="300" w:hRule="atLeast"/>
        </w:trPr>
        <w:tc>
          <w:tcPr>
            <w:tcW w:w="10059" w:type="dxa"/>
            <w:gridSpan w:val="11"/>
            <w:tcBorders>
              <w:top w:val="nil"/>
              <w:left w:val="nil"/>
              <w:bottom w:val="nil"/>
              <w:right w:val="nil"/>
            </w:tcBorders>
            <w:shd w:val="clear" w:color="auto" w:fill="FFFFFF"/>
            <w:vAlign w:val="center"/>
          </w:tcPr>
          <w:p w14:paraId="7A090041">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建设项目名称：汝城县2024年第三批农村公路安防工程预算评审</w:t>
            </w:r>
          </w:p>
        </w:tc>
        <w:tc>
          <w:tcPr>
            <w:tcW w:w="236" w:type="dxa"/>
            <w:tcBorders>
              <w:top w:val="nil"/>
              <w:left w:val="nil"/>
              <w:bottom w:val="nil"/>
              <w:right w:val="nil"/>
            </w:tcBorders>
            <w:shd w:val="clear" w:color="auto" w:fill="FFFFFF"/>
            <w:vAlign w:val="bottom"/>
          </w:tcPr>
          <w:p w14:paraId="080A2069">
            <w:pPr>
              <w:jc w:val="right"/>
              <w:rPr>
                <w:rFonts w:ascii="宋体" w:hAnsi="宋体" w:cs="宋体"/>
                <w:color w:val="FF0000"/>
                <w:sz w:val="16"/>
                <w:szCs w:val="16"/>
              </w:rPr>
            </w:pPr>
          </w:p>
        </w:tc>
      </w:tr>
      <w:tr w14:paraId="7E6DEFCA">
        <w:tblPrEx>
          <w:tblCellMar>
            <w:top w:w="0" w:type="dxa"/>
            <w:left w:w="108" w:type="dxa"/>
            <w:bottom w:w="0" w:type="dxa"/>
            <w:right w:w="108" w:type="dxa"/>
          </w:tblCellMar>
        </w:tblPrEx>
        <w:trPr>
          <w:trHeight w:val="300" w:hRule="atLeast"/>
        </w:trPr>
        <w:tc>
          <w:tcPr>
            <w:tcW w:w="5093" w:type="dxa"/>
            <w:gridSpan w:val="6"/>
            <w:tcBorders>
              <w:top w:val="nil"/>
              <w:left w:val="nil"/>
              <w:bottom w:val="nil"/>
              <w:right w:val="nil"/>
            </w:tcBorders>
            <w:shd w:val="clear" w:color="auto" w:fill="FFFFFF"/>
            <w:vAlign w:val="center"/>
          </w:tcPr>
          <w:p w14:paraId="7DE7A66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编制范围：汝城县2024年第三批农村公路安防工程预算评审</w:t>
            </w:r>
          </w:p>
        </w:tc>
        <w:tc>
          <w:tcPr>
            <w:tcW w:w="7437" w:type="dxa"/>
            <w:gridSpan w:val="7"/>
            <w:tcBorders>
              <w:top w:val="nil"/>
              <w:left w:val="nil"/>
              <w:bottom w:val="nil"/>
              <w:right w:val="nil"/>
            </w:tcBorders>
            <w:shd w:val="clear" w:color="auto" w:fill="FFFFFF"/>
            <w:vAlign w:val="center"/>
          </w:tcPr>
          <w:p w14:paraId="544F85A2">
            <w:pPr>
              <w:widowControl/>
              <w:ind w:firstLine="3200" w:firstLineChars="2000"/>
              <w:jc w:val="left"/>
              <w:textAlignment w:val="center"/>
              <w:rPr>
                <w:rFonts w:ascii="宋体" w:hAnsi="宋体" w:cs="宋体"/>
                <w:color w:val="FF0000"/>
                <w:sz w:val="16"/>
                <w:szCs w:val="16"/>
              </w:rPr>
            </w:pPr>
            <w:r>
              <w:rPr>
                <w:rFonts w:hint="eastAsia" w:ascii="宋体" w:hAnsi="宋体" w:cs="宋体"/>
                <w:color w:val="FF0000"/>
                <w:kern w:val="0"/>
                <w:sz w:val="16"/>
                <w:szCs w:val="16"/>
              </w:rPr>
              <w:t>第 1 页共2页  01表</w:t>
            </w:r>
          </w:p>
        </w:tc>
        <w:tc>
          <w:tcPr>
            <w:tcW w:w="236" w:type="dxa"/>
            <w:tcBorders>
              <w:top w:val="nil"/>
              <w:left w:val="nil"/>
              <w:bottom w:val="nil"/>
              <w:right w:val="nil"/>
            </w:tcBorders>
            <w:shd w:val="clear" w:color="auto" w:fill="FFFFFF"/>
            <w:vAlign w:val="center"/>
          </w:tcPr>
          <w:p w14:paraId="1684C963">
            <w:pPr>
              <w:widowControl/>
              <w:jc w:val="right"/>
              <w:textAlignment w:val="center"/>
              <w:rPr>
                <w:rFonts w:ascii="宋体" w:hAnsi="宋体" w:cs="宋体"/>
                <w:color w:val="FF0000"/>
                <w:sz w:val="16"/>
                <w:szCs w:val="16"/>
              </w:rPr>
            </w:pPr>
          </w:p>
        </w:tc>
      </w:tr>
      <w:tr w14:paraId="1366C900">
        <w:tblPrEx>
          <w:tblCellMar>
            <w:top w:w="0" w:type="dxa"/>
            <w:left w:w="108" w:type="dxa"/>
            <w:bottom w:w="0" w:type="dxa"/>
            <w:right w:w="108" w:type="dxa"/>
          </w:tblCellMar>
        </w:tblPrEx>
        <w:trPr>
          <w:gridAfter w:val="3"/>
          <w:wAfter w:w="2707" w:type="dxa"/>
          <w:trHeight w:val="90" w:hRule="atLeast"/>
        </w:trPr>
        <w:tc>
          <w:tcPr>
            <w:tcW w:w="579"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0FEA3BB0">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项</w:t>
            </w:r>
          </w:p>
        </w:tc>
        <w:tc>
          <w:tcPr>
            <w:tcW w:w="616" w:type="dxa"/>
            <w:tcBorders>
              <w:top w:val="single" w:color="000000" w:sz="8" w:space="0"/>
              <w:left w:val="nil"/>
              <w:bottom w:val="single" w:color="000000" w:sz="4" w:space="0"/>
              <w:right w:val="single" w:color="000000" w:sz="4" w:space="0"/>
            </w:tcBorders>
            <w:shd w:val="clear" w:color="auto" w:fill="FFFFFF"/>
            <w:vAlign w:val="center"/>
          </w:tcPr>
          <w:p w14:paraId="3586EFB8">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目</w:t>
            </w:r>
          </w:p>
        </w:tc>
        <w:tc>
          <w:tcPr>
            <w:tcW w:w="696" w:type="dxa"/>
            <w:tcBorders>
              <w:top w:val="single" w:color="000000" w:sz="8" w:space="0"/>
              <w:left w:val="nil"/>
              <w:bottom w:val="single" w:color="000000" w:sz="4" w:space="0"/>
              <w:right w:val="single" w:color="000000" w:sz="4" w:space="0"/>
            </w:tcBorders>
            <w:shd w:val="clear" w:color="auto" w:fill="FFFFFF"/>
            <w:vAlign w:val="center"/>
          </w:tcPr>
          <w:p w14:paraId="69B37D3B">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节</w:t>
            </w:r>
          </w:p>
        </w:tc>
        <w:tc>
          <w:tcPr>
            <w:tcW w:w="856" w:type="dxa"/>
            <w:tcBorders>
              <w:top w:val="single" w:color="000000" w:sz="8" w:space="0"/>
              <w:left w:val="nil"/>
              <w:bottom w:val="single" w:color="000000" w:sz="4" w:space="0"/>
              <w:right w:val="single" w:color="000000" w:sz="4" w:space="0"/>
            </w:tcBorders>
            <w:shd w:val="clear" w:color="auto" w:fill="FFFFFF"/>
            <w:vAlign w:val="center"/>
          </w:tcPr>
          <w:p w14:paraId="77F1E0E5">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细目</w:t>
            </w:r>
          </w:p>
        </w:tc>
        <w:tc>
          <w:tcPr>
            <w:tcW w:w="1636" w:type="dxa"/>
            <w:tcBorders>
              <w:top w:val="single" w:color="000000" w:sz="8" w:space="0"/>
              <w:left w:val="nil"/>
              <w:bottom w:val="single" w:color="000000" w:sz="4" w:space="0"/>
              <w:right w:val="single" w:color="000000" w:sz="4" w:space="0"/>
            </w:tcBorders>
            <w:shd w:val="clear" w:color="auto" w:fill="FFFFFF"/>
            <w:vAlign w:val="center"/>
          </w:tcPr>
          <w:p w14:paraId="02253BF6">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工程或费用名称</w:t>
            </w:r>
          </w:p>
        </w:tc>
        <w:tc>
          <w:tcPr>
            <w:tcW w:w="710" w:type="dxa"/>
            <w:tcBorders>
              <w:top w:val="single" w:color="000000" w:sz="8" w:space="0"/>
              <w:left w:val="nil"/>
              <w:bottom w:val="single" w:color="000000" w:sz="4" w:space="0"/>
              <w:right w:val="single" w:color="000000" w:sz="4" w:space="0"/>
            </w:tcBorders>
            <w:shd w:val="clear" w:color="auto" w:fill="FFFFFF"/>
            <w:vAlign w:val="center"/>
          </w:tcPr>
          <w:p w14:paraId="414F8C7B">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单位</w:t>
            </w:r>
          </w:p>
        </w:tc>
        <w:tc>
          <w:tcPr>
            <w:tcW w:w="697" w:type="dxa"/>
            <w:tcBorders>
              <w:top w:val="single" w:color="000000" w:sz="8" w:space="0"/>
              <w:left w:val="nil"/>
              <w:bottom w:val="single" w:color="000000" w:sz="4" w:space="0"/>
              <w:right w:val="single" w:color="000000" w:sz="4" w:space="0"/>
            </w:tcBorders>
            <w:shd w:val="clear" w:color="auto" w:fill="FFFFFF"/>
            <w:vAlign w:val="center"/>
          </w:tcPr>
          <w:p w14:paraId="0CDDD51F">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数量</w:t>
            </w:r>
          </w:p>
        </w:tc>
        <w:tc>
          <w:tcPr>
            <w:tcW w:w="750" w:type="dxa"/>
            <w:tcBorders>
              <w:top w:val="single" w:color="000000" w:sz="8" w:space="0"/>
              <w:left w:val="nil"/>
              <w:bottom w:val="single" w:color="000000" w:sz="4" w:space="0"/>
              <w:right w:val="single" w:color="000000" w:sz="4" w:space="0"/>
            </w:tcBorders>
            <w:shd w:val="clear" w:color="auto" w:fill="FFFFFF"/>
            <w:vAlign w:val="center"/>
          </w:tcPr>
          <w:p w14:paraId="460A50AA">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金额（元）</w:t>
            </w:r>
          </w:p>
        </w:tc>
        <w:tc>
          <w:tcPr>
            <w:tcW w:w="993" w:type="dxa"/>
            <w:tcBorders>
              <w:top w:val="single" w:color="000000" w:sz="8" w:space="0"/>
              <w:left w:val="nil"/>
              <w:bottom w:val="single" w:color="000000" w:sz="4" w:space="0"/>
              <w:right w:val="single" w:color="000000" w:sz="4" w:space="0"/>
            </w:tcBorders>
            <w:shd w:val="clear" w:color="auto" w:fill="FFFFFF"/>
            <w:vAlign w:val="center"/>
          </w:tcPr>
          <w:p w14:paraId="4DDF6AD0">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技术经济指标</w:t>
            </w:r>
          </w:p>
        </w:tc>
        <w:tc>
          <w:tcPr>
            <w:tcW w:w="750" w:type="dxa"/>
            <w:tcBorders>
              <w:top w:val="single" w:color="000000" w:sz="8" w:space="0"/>
              <w:left w:val="nil"/>
              <w:bottom w:val="single" w:color="000000" w:sz="4" w:space="0"/>
              <w:right w:val="single" w:color="000000" w:sz="4" w:space="0"/>
            </w:tcBorders>
            <w:shd w:val="clear" w:color="auto" w:fill="FFFFFF"/>
            <w:vAlign w:val="center"/>
          </w:tcPr>
          <w:p w14:paraId="0C64B233">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各项费用比例(%)</w:t>
            </w:r>
          </w:p>
        </w:tc>
        <w:tc>
          <w:tcPr>
            <w:tcW w:w="1776" w:type="dxa"/>
            <w:tcBorders>
              <w:top w:val="single" w:color="000000" w:sz="8" w:space="0"/>
              <w:left w:val="nil"/>
              <w:bottom w:val="single" w:color="000000" w:sz="4" w:space="0"/>
              <w:right w:val="single" w:color="000000" w:sz="8" w:space="0"/>
            </w:tcBorders>
            <w:shd w:val="clear" w:color="auto" w:fill="FFFFFF"/>
            <w:vAlign w:val="center"/>
          </w:tcPr>
          <w:p w14:paraId="33DF2B28">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备注</w:t>
            </w:r>
          </w:p>
        </w:tc>
      </w:tr>
      <w:tr w14:paraId="745ECE8D">
        <w:tblPrEx>
          <w:tblCellMar>
            <w:top w:w="0" w:type="dxa"/>
            <w:left w:w="108" w:type="dxa"/>
            <w:bottom w:w="0" w:type="dxa"/>
            <w:right w:w="108" w:type="dxa"/>
          </w:tblCellMar>
        </w:tblPrEx>
        <w:trPr>
          <w:gridAfter w:val="3"/>
          <w:wAfter w:w="2707" w:type="dxa"/>
          <w:trHeight w:val="36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158D5F37">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13486693">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2F734359">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43308526">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02739E3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第一部分 建筑安装工程费</w:t>
            </w:r>
          </w:p>
        </w:tc>
        <w:tc>
          <w:tcPr>
            <w:tcW w:w="710" w:type="dxa"/>
            <w:tcBorders>
              <w:top w:val="nil"/>
              <w:left w:val="nil"/>
              <w:bottom w:val="single" w:color="000000" w:sz="4" w:space="0"/>
              <w:right w:val="single" w:color="000000" w:sz="4" w:space="0"/>
            </w:tcBorders>
            <w:shd w:val="clear" w:color="auto" w:fill="FFFFFF"/>
            <w:vAlign w:val="center"/>
          </w:tcPr>
          <w:p w14:paraId="2046E1D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04496820">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6F7FA10">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64163CFC">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5199E24">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68933C27">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 xml:space="preserve">建设项目路线总长度（主线长度） </w:t>
            </w:r>
          </w:p>
        </w:tc>
      </w:tr>
      <w:tr w14:paraId="7A6132EB">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5B290012">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102</w:t>
            </w:r>
          </w:p>
        </w:tc>
        <w:tc>
          <w:tcPr>
            <w:tcW w:w="616" w:type="dxa"/>
            <w:tcBorders>
              <w:top w:val="nil"/>
              <w:left w:val="nil"/>
              <w:bottom w:val="single" w:color="000000" w:sz="4" w:space="0"/>
              <w:right w:val="single" w:color="000000" w:sz="4" w:space="0"/>
            </w:tcBorders>
            <w:shd w:val="clear" w:color="auto" w:fill="FFFFFF"/>
            <w:vAlign w:val="center"/>
          </w:tcPr>
          <w:p w14:paraId="4113407C">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265D4837">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7DAF1C3A">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268E5905">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路基工程</w:t>
            </w:r>
          </w:p>
        </w:tc>
        <w:tc>
          <w:tcPr>
            <w:tcW w:w="710" w:type="dxa"/>
            <w:tcBorders>
              <w:top w:val="nil"/>
              <w:left w:val="nil"/>
              <w:bottom w:val="single" w:color="000000" w:sz="4" w:space="0"/>
              <w:right w:val="single" w:color="000000" w:sz="4" w:space="0"/>
            </w:tcBorders>
            <w:shd w:val="clear" w:color="auto" w:fill="FFFFFF"/>
            <w:vAlign w:val="center"/>
          </w:tcPr>
          <w:p w14:paraId="2DFE7D6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697" w:type="dxa"/>
            <w:tcBorders>
              <w:top w:val="nil"/>
              <w:left w:val="nil"/>
              <w:bottom w:val="single" w:color="000000" w:sz="4" w:space="0"/>
              <w:right w:val="single" w:color="000000" w:sz="4" w:space="0"/>
            </w:tcBorders>
            <w:shd w:val="clear" w:color="auto" w:fill="FFFFFF"/>
            <w:vAlign w:val="center"/>
          </w:tcPr>
          <w:p w14:paraId="39BFFE86">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82EB398">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247ACDB">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321445A">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09BF6A18">
            <w:pPr>
              <w:widowControl/>
              <w:jc w:val="left"/>
              <w:textAlignment w:val="center"/>
              <w:rPr>
                <w:rFonts w:ascii="宋体" w:hAnsi="宋体" w:cs="宋体"/>
                <w:color w:val="FF0000"/>
                <w:sz w:val="16"/>
                <w:szCs w:val="16"/>
              </w:rPr>
            </w:pPr>
          </w:p>
        </w:tc>
      </w:tr>
      <w:tr w14:paraId="423D3956">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3F3F1F32">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35E93C1E">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LJ01</w:t>
            </w:r>
          </w:p>
        </w:tc>
        <w:tc>
          <w:tcPr>
            <w:tcW w:w="696" w:type="dxa"/>
            <w:tcBorders>
              <w:top w:val="nil"/>
              <w:left w:val="nil"/>
              <w:bottom w:val="single" w:color="000000" w:sz="4" w:space="0"/>
              <w:right w:val="single" w:color="000000" w:sz="4" w:space="0"/>
            </w:tcBorders>
            <w:shd w:val="clear" w:color="auto" w:fill="FFFFFF"/>
            <w:vAlign w:val="center"/>
          </w:tcPr>
          <w:p w14:paraId="7BC1CA17">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0490CDB2">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481B071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场地清理</w:t>
            </w:r>
          </w:p>
        </w:tc>
        <w:tc>
          <w:tcPr>
            <w:tcW w:w="710" w:type="dxa"/>
            <w:tcBorders>
              <w:top w:val="nil"/>
              <w:left w:val="nil"/>
              <w:bottom w:val="single" w:color="000000" w:sz="4" w:space="0"/>
              <w:right w:val="single" w:color="000000" w:sz="4" w:space="0"/>
            </w:tcBorders>
            <w:shd w:val="clear" w:color="auto" w:fill="FFFFFF"/>
            <w:vAlign w:val="center"/>
          </w:tcPr>
          <w:p w14:paraId="1566E8FF">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697" w:type="dxa"/>
            <w:tcBorders>
              <w:top w:val="nil"/>
              <w:left w:val="nil"/>
              <w:bottom w:val="single" w:color="000000" w:sz="4" w:space="0"/>
              <w:right w:val="single" w:color="000000" w:sz="4" w:space="0"/>
            </w:tcBorders>
            <w:shd w:val="clear" w:color="auto" w:fill="FFFFFF"/>
            <w:vAlign w:val="center"/>
          </w:tcPr>
          <w:p w14:paraId="0D8264ED">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3D9B2DA8">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532AAD7">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E0AE272">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49BF921D">
            <w:pPr>
              <w:widowControl/>
              <w:jc w:val="left"/>
              <w:textAlignment w:val="center"/>
              <w:rPr>
                <w:rFonts w:ascii="宋体" w:hAnsi="宋体" w:cs="宋体"/>
                <w:color w:val="FF0000"/>
                <w:sz w:val="16"/>
                <w:szCs w:val="16"/>
              </w:rPr>
            </w:pPr>
          </w:p>
        </w:tc>
      </w:tr>
      <w:tr w14:paraId="4F60FBBE">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D612C00">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715B8B44">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479F9F2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LJ0101</w:t>
            </w:r>
          </w:p>
        </w:tc>
        <w:tc>
          <w:tcPr>
            <w:tcW w:w="856" w:type="dxa"/>
            <w:tcBorders>
              <w:top w:val="nil"/>
              <w:left w:val="nil"/>
              <w:bottom w:val="single" w:color="000000" w:sz="4" w:space="0"/>
              <w:right w:val="single" w:color="000000" w:sz="4" w:space="0"/>
            </w:tcBorders>
            <w:shd w:val="clear" w:color="auto" w:fill="FFFFFF"/>
            <w:vAlign w:val="center"/>
          </w:tcPr>
          <w:p w14:paraId="331CAA9D">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66491D8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除草</w:t>
            </w:r>
          </w:p>
        </w:tc>
        <w:tc>
          <w:tcPr>
            <w:tcW w:w="710" w:type="dxa"/>
            <w:tcBorders>
              <w:top w:val="nil"/>
              <w:left w:val="nil"/>
              <w:bottom w:val="single" w:color="000000" w:sz="4" w:space="0"/>
              <w:right w:val="single" w:color="000000" w:sz="4" w:space="0"/>
            </w:tcBorders>
            <w:shd w:val="clear" w:color="auto" w:fill="FFFFFF"/>
            <w:vAlign w:val="center"/>
          </w:tcPr>
          <w:p w14:paraId="055DF18F">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697" w:type="dxa"/>
            <w:tcBorders>
              <w:top w:val="nil"/>
              <w:left w:val="nil"/>
              <w:bottom w:val="single" w:color="000000" w:sz="4" w:space="0"/>
              <w:right w:val="single" w:color="000000" w:sz="4" w:space="0"/>
            </w:tcBorders>
            <w:shd w:val="clear" w:color="auto" w:fill="FFFFFF"/>
            <w:vAlign w:val="center"/>
          </w:tcPr>
          <w:p w14:paraId="0DFB4D3E">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131.738</w:t>
            </w:r>
          </w:p>
        </w:tc>
        <w:tc>
          <w:tcPr>
            <w:tcW w:w="750" w:type="dxa"/>
            <w:tcBorders>
              <w:top w:val="nil"/>
              <w:left w:val="nil"/>
              <w:bottom w:val="single" w:color="000000" w:sz="4" w:space="0"/>
              <w:right w:val="single" w:color="000000" w:sz="4" w:space="0"/>
            </w:tcBorders>
            <w:shd w:val="clear" w:color="auto" w:fill="FFFFFF"/>
            <w:vAlign w:val="center"/>
          </w:tcPr>
          <w:p w14:paraId="03763F25">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9926F52">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E391B9D">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25B20367">
            <w:pPr>
              <w:widowControl/>
              <w:jc w:val="left"/>
              <w:textAlignment w:val="center"/>
              <w:rPr>
                <w:rFonts w:ascii="宋体" w:hAnsi="宋体" w:cs="宋体"/>
                <w:color w:val="FF0000"/>
                <w:sz w:val="16"/>
                <w:szCs w:val="16"/>
              </w:rPr>
            </w:pPr>
          </w:p>
        </w:tc>
      </w:tr>
      <w:tr w14:paraId="59FB7C38">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36E2F64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103</w:t>
            </w:r>
          </w:p>
        </w:tc>
        <w:tc>
          <w:tcPr>
            <w:tcW w:w="616" w:type="dxa"/>
            <w:tcBorders>
              <w:top w:val="nil"/>
              <w:left w:val="nil"/>
              <w:bottom w:val="single" w:color="000000" w:sz="4" w:space="0"/>
              <w:right w:val="single" w:color="000000" w:sz="4" w:space="0"/>
            </w:tcBorders>
            <w:shd w:val="clear" w:color="auto" w:fill="FFFFFF"/>
            <w:vAlign w:val="center"/>
          </w:tcPr>
          <w:p w14:paraId="3BAE810C">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49C2E1E7">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160D72F7">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17EA1B39">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路面工程</w:t>
            </w:r>
          </w:p>
        </w:tc>
        <w:tc>
          <w:tcPr>
            <w:tcW w:w="710" w:type="dxa"/>
            <w:tcBorders>
              <w:top w:val="nil"/>
              <w:left w:val="nil"/>
              <w:bottom w:val="single" w:color="000000" w:sz="4" w:space="0"/>
              <w:right w:val="single" w:color="000000" w:sz="4" w:space="0"/>
            </w:tcBorders>
            <w:shd w:val="clear" w:color="auto" w:fill="FFFFFF"/>
            <w:vAlign w:val="center"/>
          </w:tcPr>
          <w:p w14:paraId="14983DB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697" w:type="dxa"/>
            <w:tcBorders>
              <w:top w:val="nil"/>
              <w:left w:val="nil"/>
              <w:bottom w:val="single" w:color="000000" w:sz="4" w:space="0"/>
              <w:right w:val="single" w:color="000000" w:sz="4" w:space="0"/>
            </w:tcBorders>
            <w:shd w:val="clear" w:color="auto" w:fill="FFFFFF"/>
            <w:vAlign w:val="center"/>
          </w:tcPr>
          <w:p w14:paraId="1A73B3E0">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84A3C4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AE38DF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4306DE38">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49754F36">
            <w:pPr>
              <w:widowControl/>
              <w:jc w:val="left"/>
              <w:textAlignment w:val="center"/>
              <w:rPr>
                <w:rFonts w:ascii="宋体" w:hAnsi="宋体" w:cs="宋体"/>
                <w:color w:val="FF0000"/>
                <w:sz w:val="16"/>
                <w:szCs w:val="16"/>
              </w:rPr>
            </w:pPr>
          </w:p>
        </w:tc>
      </w:tr>
      <w:tr w14:paraId="47CA4235">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50017EF">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673C542E">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LM04</w:t>
            </w:r>
          </w:p>
        </w:tc>
        <w:tc>
          <w:tcPr>
            <w:tcW w:w="696" w:type="dxa"/>
            <w:tcBorders>
              <w:top w:val="nil"/>
              <w:left w:val="nil"/>
              <w:bottom w:val="single" w:color="000000" w:sz="4" w:space="0"/>
              <w:right w:val="single" w:color="000000" w:sz="4" w:space="0"/>
            </w:tcBorders>
            <w:shd w:val="clear" w:color="auto" w:fill="FFFFFF"/>
            <w:vAlign w:val="center"/>
          </w:tcPr>
          <w:p w14:paraId="47C8D552">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747F55C1">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135485C9">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路槽、路肩及中央分隔带</w:t>
            </w:r>
          </w:p>
        </w:tc>
        <w:tc>
          <w:tcPr>
            <w:tcW w:w="710" w:type="dxa"/>
            <w:tcBorders>
              <w:top w:val="nil"/>
              <w:left w:val="nil"/>
              <w:bottom w:val="single" w:color="000000" w:sz="4" w:space="0"/>
              <w:right w:val="single" w:color="000000" w:sz="4" w:space="0"/>
            </w:tcBorders>
            <w:shd w:val="clear" w:color="auto" w:fill="FFFFFF"/>
            <w:vAlign w:val="center"/>
          </w:tcPr>
          <w:p w14:paraId="6DF80F5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m2</w:t>
            </w:r>
          </w:p>
        </w:tc>
        <w:tc>
          <w:tcPr>
            <w:tcW w:w="697" w:type="dxa"/>
            <w:tcBorders>
              <w:top w:val="nil"/>
              <w:left w:val="nil"/>
              <w:bottom w:val="single" w:color="000000" w:sz="4" w:space="0"/>
              <w:right w:val="single" w:color="000000" w:sz="4" w:space="0"/>
            </w:tcBorders>
            <w:shd w:val="clear" w:color="auto" w:fill="FFFFFF"/>
            <w:vAlign w:val="center"/>
          </w:tcPr>
          <w:p w14:paraId="0C17FCDD">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0038B50C">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CA67A68">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0992FF2C">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6744A05A">
            <w:pPr>
              <w:widowControl/>
              <w:jc w:val="left"/>
              <w:textAlignment w:val="center"/>
              <w:rPr>
                <w:rFonts w:ascii="宋体" w:hAnsi="宋体" w:cs="宋体"/>
                <w:color w:val="FF0000"/>
                <w:sz w:val="16"/>
                <w:szCs w:val="16"/>
              </w:rPr>
            </w:pPr>
          </w:p>
        </w:tc>
      </w:tr>
      <w:tr w14:paraId="32E42E80">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D47215C">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406DBCBF">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05145B8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LM0402</w:t>
            </w:r>
          </w:p>
        </w:tc>
        <w:tc>
          <w:tcPr>
            <w:tcW w:w="856" w:type="dxa"/>
            <w:tcBorders>
              <w:top w:val="nil"/>
              <w:left w:val="nil"/>
              <w:bottom w:val="single" w:color="000000" w:sz="4" w:space="0"/>
              <w:right w:val="single" w:color="000000" w:sz="4" w:space="0"/>
            </w:tcBorders>
            <w:shd w:val="clear" w:color="auto" w:fill="FFFFFF"/>
            <w:vAlign w:val="center"/>
          </w:tcPr>
          <w:p w14:paraId="27DF7B67">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0746304F">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路肩</w:t>
            </w:r>
          </w:p>
        </w:tc>
        <w:tc>
          <w:tcPr>
            <w:tcW w:w="710" w:type="dxa"/>
            <w:tcBorders>
              <w:top w:val="nil"/>
              <w:left w:val="nil"/>
              <w:bottom w:val="single" w:color="000000" w:sz="4" w:space="0"/>
              <w:right w:val="single" w:color="000000" w:sz="4" w:space="0"/>
            </w:tcBorders>
            <w:shd w:val="clear" w:color="auto" w:fill="FFFFFF"/>
            <w:vAlign w:val="center"/>
          </w:tcPr>
          <w:p w14:paraId="0A95868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km</w:t>
            </w:r>
          </w:p>
        </w:tc>
        <w:tc>
          <w:tcPr>
            <w:tcW w:w="697" w:type="dxa"/>
            <w:tcBorders>
              <w:top w:val="nil"/>
              <w:left w:val="nil"/>
              <w:bottom w:val="single" w:color="000000" w:sz="4" w:space="0"/>
              <w:right w:val="single" w:color="000000" w:sz="4" w:space="0"/>
            </w:tcBorders>
            <w:shd w:val="clear" w:color="auto" w:fill="FFFFFF"/>
            <w:vAlign w:val="center"/>
          </w:tcPr>
          <w:p w14:paraId="2A61F8E2">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308687A0">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5389825">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47AD5BE7">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337E24AC">
            <w:pPr>
              <w:widowControl/>
              <w:jc w:val="left"/>
              <w:textAlignment w:val="center"/>
              <w:rPr>
                <w:rFonts w:ascii="宋体" w:hAnsi="宋体" w:cs="宋体"/>
                <w:color w:val="FF0000"/>
                <w:sz w:val="16"/>
                <w:szCs w:val="16"/>
              </w:rPr>
            </w:pPr>
          </w:p>
        </w:tc>
      </w:tr>
      <w:tr w14:paraId="081B8A1C">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60ADB332">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42E52FD9">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73DBFB00">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2A8BE1AB">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LM040201</w:t>
            </w:r>
          </w:p>
        </w:tc>
        <w:tc>
          <w:tcPr>
            <w:tcW w:w="1636" w:type="dxa"/>
            <w:tcBorders>
              <w:top w:val="nil"/>
              <w:left w:val="nil"/>
              <w:bottom w:val="single" w:color="000000" w:sz="4" w:space="0"/>
              <w:right w:val="single" w:color="000000" w:sz="4" w:space="0"/>
            </w:tcBorders>
            <w:shd w:val="clear" w:color="auto" w:fill="FFFFFF"/>
            <w:vAlign w:val="center"/>
          </w:tcPr>
          <w:p w14:paraId="433101B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培路肩</w:t>
            </w:r>
          </w:p>
        </w:tc>
        <w:tc>
          <w:tcPr>
            <w:tcW w:w="710" w:type="dxa"/>
            <w:tcBorders>
              <w:top w:val="nil"/>
              <w:left w:val="nil"/>
              <w:bottom w:val="single" w:color="000000" w:sz="4" w:space="0"/>
              <w:right w:val="single" w:color="000000" w:sz="4" w:space="0"/>
            </w:tcBorders>
            <w:shd w:val="clear" w:color="auto" w:fill="FFFFFF"/>
            <w:vAlign w:val="center"/>
          </w:tcPr>
          <w:p w14:paraId="75F6A9AE">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m3</w:t>
            </w:r>
          </w:p>
        </w:tc>
        <w:tc>
          <w:tcPr>
            <w:tcW w:w="697" w:type="dxa"/>
            <w:tcBorders>
              <w:top w:val="nil"/>
              <w:left w:val="nil"/>
              <w:bottom w:val="single" w:color="000000" w:sz="4" w:space="0"/>
              <w:right w:val="single" w:color="000000" w:sz="4" w:space="0"/>
            </w:tcBorders>
            <w:shd w:val="clear" w:color="auto" w:fill="FFFFFF"/>
            <w:vAlign w:val="center"/>
          </w:tcPr>
          <w:p w14:paraId="5D2A872C">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47</w:t>
            </w:r>
          </w:p>
        </w:tc>
        <w:tc>
          <w:tcPr>
            <w:tcW w:w="750" w:type="dxa"/>
            <w:tcBorders>
              <w:top w:val="nil"/>
              <w:left w:val="nil"/>
              <w:bottom w:val="single" w:color="000000" w:sz="4" w:space="0"/>
              <w:right w:val="single" w:color="000000" w:sz="4" w:space="0"/>
            </w:tcBorders>
            <w:shd w:val="clear" w:color="auto" w:fill="FFFFFF"/>
            <w:vAlign w:val="center"/>
          </w:tcPr>
          <w:p w14:paraId="1C17D58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E75EBAC">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D4A3568">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09012709">
            <w:pPr>
              <w:widowControl/>
              <w:jc w:val="left"/>
              <w:textAlignment w:val="center"/>
              <w:rPr>
                <w:rFonts w:ascii="宋体" w:hAnsi="宋体" w:cs="宋体"/>
                <w:color w:val="FF0000"/>
                <w:sz w:val="16"/>
                <w:szCs w:val="16"/>
              </w:rPr>
            </w:pPr>
          </w:p>
        </w:tc>
      </w:tr>
      <w:tr w14:paraId="393FD3BC">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2A68E1E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107</w:t>
            </w:r>
          </w:p>
        </w:tc>
        <w:tc>
          <w:tcPr>
            <w:tcW w:w="616" w:type="dxa"/>
            <w:tcBorders>
              <w:top w:val="nil"/>
              <w:left w:val="nil"/>
              <w:bottom w:val="single" w:color="000000" w:sz="4" w:space="0"/>
              <w:right w:val="single" w:color="000000" w:sz="4" w:space="0"/>
            </w:tcBorders>
            <w:shd w:val="clear" w:color="auto" w:fill="FFFFFF"/>
            <w:vAlign w:val="center"/>
          </w:tcPr>
          <w:p w14:paraId="50241446">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5D0BF00B">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00E1E0D3">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3440304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交通工程及沿线设施</w:t>
            </w:r>
          </w:p>
        </w:tc>
        <w:tc>
          <w:tcPr>
            <w:tcW w:w="710" w:type="dxa"/>
            <w:tcBorders>
              <w:top w:val="nil"/>
              <w:left w:val="nil"/>
              <w:bottom w:val="single" w:color="000000" w:sz="4" w:space="0"/>
              <w:right w:val="single" w:color="000000" w:sz="4" w:space="0"/>
            </w:tcBorders>
            <w:shd w:val="clear" w:color="auto" w:fill="FFFFFF"/>
            <w:vAlign w:val="center"/>
          </w:tcPr>
          <w:p w14:paraId="49E3144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4CE4BAD5">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673AB30">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0BC903B">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490E740">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7A9BDF07">
            <w:pPr>
              <w:widowControl/>
              <w:jc w:val="left"/>
              <w:textAlignment w:val="center"/>
              <w:rPr>
                <w:rFonts w:ascii="宋体" w:hAnsi="宋体" w:cs="宋体"/>
                <w:color w:val="FF0000"/>
                <w:sz w:val="16"/>
                <w:szCs w:val="16"/>
              </w:rPr>
            </w:pPr>
          </w:p>
        </w:tc>
      </w:tr>
      <w:tr w14:paraId="5BB61BEB">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1E7141B4">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2AB6FCB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10701</w:t>
            </w:r>
          </w:p>
        </w:tc>
        <w:tc>
          <w:tcPr>
            <w:tcW w:w="696" w:type="dxa"/>
            <w:tcBorders>
              <w:top w:val="nil"/>
              <w:left w:val="nil"/>
              <w:bottom w:val="single" w:color="000000" w:sz="4" w:space="0"/>
              <w:right w:val="single" w:color="000000" w:sz="4" w:space="0"/>
            </w:tcBorders>
            <w:shd w:val="clear" w:color="auto" w:fill="FFFFFF"/>
            <w:vAlign w:val="center"/>
          </w:tcPr>
          <w:p w14:paraId="69656976">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7A6B48C3">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3B33DD78">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交通安全设施</w:t>
            </w:r>
          </w:p>
        </w:tc>
        <w:tc>
          <w:tcPr>
            <w:tcW w:w="710" w:type="dxa"/>
            <w:tcBorders>
              <w:top w:val="nil"/>
              <w:left w:val="nil"/>
              <w:bottom w:val="single" w:color="000000" w:sz="4" w:space="0"/>
              <w:right w:val="single" w:color="000000" w:sz="4" w:space="0"/>
            </w:tcBorders>
            <w:shd w:val="clear" w:color="auto" w:fill="FFFFFF"/>
            <w:vAlign w:val="center"/>
          </w:tcPr>
          <w:p w14:paraId="2E94701B">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0215E2A3">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8FC0A72">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678BAEA">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D24C2AC">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22FC4091">
            <w:pPr>
              <w:widowControl/>
              <w:jc w:val="left"/>
              <w:textAlignment w:val="center"/>
              <w:rPr>
                <w:rFonts w:ascii="宋体" w:hAnsi="宋体" w:cs="宋体"/>
                <w:color w:val="FF0000"/>
                <w:sz w:val="16"/>
                <w:szCs w:val="16"/>
              </w:rPr>
            </w:pPr>
          </w:p>
        </w:tc>
      </w:tr>
      <w:tr w14:paraId="48644281">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15BE8884">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6BBE8C9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1BA606A9">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JA01</w:t>
            </w:r>
          </w:p>
        </w:tc>
        <w:tc>
          <w:tcPr>
            <w:tcW w:w="856" w:type="dxa"/>
            <w:tcBorders>
              <w:top w:val="nil"/>
              <w:left w:val="nil"/>
              <w:bottom w:val="single" w:color="000000" w:sz="4" w:space="0"/>
              <w:right w:val="single" w:color="000000" w:sz="4" w:space="0"/>
            </w:tcBorders>
            <w:shd w:val="clear" w:color="auto" w:fill="FFFFFF"/>
            <w:vAlign w:val="center"/>
          </w:tcPr>
          <w:p w14:paraId="2C2B2E4D">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423D0F31">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护栏</w:t>
            </w:r>
          </w:p>
        </w:tc>
        <w:tc>
          <w:tcPr>
            <w:tcW w:w="710" w:type="dxa"/>
            <w:tcBorders>
              <w:top w:val="nil"/>
              <w:left w:val="nil"/>
              <w:bottom w:val="single" w:color="000000" w:sz="4" w:space="0"/>
              <w:right w:val="single" w:color="000000" w:sz="4" w:space="0"/>
            </w:tcBorders>
            <w:shd w:val="clear" w:color="auto" w:fill="FFFFFF"/>
            <w:vAlign w:val="center"/>
          </w:tcPr>
          <w:p w14:paraId="25D0B8CB">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w:t>
            </w:r>
          </w:p>
        </w:tc>
        <w:tc>
          <w:tcPr>
            <w:tcW w:w="697" w:type="dxa"/>
            <w:tcBorders>
              <w:top w:val="nil"/>
              <w:left w:val="nil"/>
              <w:bottom w:val="single" w:color="000000" w:sz="4" w:space="0"/>
              <w:right w:val="single" w:color="000000" w:sz="4" w:space="0"/>
            </w:tcBorders>
            <w:shd w:val="clear" w:color="auto" w:fill="FFFFFF"/>
            <w:vAlign w:val="center"/>
          </w:tcPr>
          <w:p w14:paraId="2A46777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3BBF4A6">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0EAD84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C70A908">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0A8A16FC">
            <w:pPr>
              <w:widowControl/>
              <w:jc w:val="left"/>
              <w:textAlignment w:val="center"/>
              <w:rPr>
                <w:rFonts w:ascii="宋体" w:hAnsi="宋体" w:cs="宋体"/>
                <w:color w:val="FF0000"/>
                <w:sz w:val="16"/>
                <w:szCs w:val="16"/>
              </w:rPr>
            </w:pPr>
          </w:p>
        </w:tc>
      </w:tr>
      <w:tr w14:paraId="4650B7E3">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F471217">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40EC43D7">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676DCC73">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6E855775">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JA010301</w:t>
            </w:r>
          </w:p>
        </w:tc>
        <w:tc>
          <w:tcPr>
            <w:tcW w:w="1636" w:type="dxa"/>
            <w:tcBorders>
              <w:top w:val="nil"/>
              <w:left w:val="nil"/>
              <w:bottom w:val="single" w:color="000000" w:sz="4" w:space="0"/>
              <w:right w:val="single" w:color="000000" w:sz="4" w:space="0"/>
            </w:tcBorders>
            <w:shd w:val="clear" w:color="auto" w:fill="FFFFFF"/>
            <w:vAlign w:val="center"/>
          </w:tcPr>
          <w:p w14:paraId="4D287D6A">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示警桩</w:t>
            </w:r>
          </w:p>
        </w:tc>
        <w:tc>
          <w:tcPr>
            <w:tcW w:w="710" w:type="dxa"/>
            <w:tcBorders>
              <w:top w:val="nil"/>
              <w:left w:val="nil"/>
              <w:bottom w:val="single" w:color="000000" w:sz="4" w:space="0"/>
              <w:right w:val="single" w:color="000000" w:sz="4" w:space="0"/>
            </w:tcBorders>
            <w:shd w:val="clear" w:color="auto" w:fill="FFFFFF"/>
            <w:vAlign w:val="center"/>
          </w:tcPr>
          <w:p w14:paraId="4DFB075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697" w:type="dxa"/>
            <w:tcBorders>
              <w:top w:val="nil"/>
              <w:left w:val="nil"/>
              <w:bottom w:val="single" w:color="000000" w:sz="4" w:space="0"/>
              <w:right w:val="single" w:color="000000" w:sz="4" w:space="0"/>
            </w:tcBorders>
            <w:shd w:val="clear" w:color="auto" w:fill="FFFFFF"/>
            <w:vAlign w:val="center"/>
          </w:tcPr>
          <w:p w14:paraId="20E4E743">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4970</w:t>
            </w:r>
          </w:p>
        </w:tc>
        <w:tc>
          <w:tcPr>
            <w:tcW w:w="750" w:type="dxa"/>
            <w:tcBorders>
              <w:top w:val="nil"/>
              <w:left w:val="nil"/>
              <w:bottom w:val="single" w:color="000000" w:sz="4" w:space="0"/>
              <w:right w:val="single" w:color="000000" w:sz="4" w:space="0"/>
            </w:tcBorders>
            <w:shd w:val="clear" w:color="auto" w:fill="FFFFFF"/>
            <w:vAlign w:val="center"/>
          </w:tcPr>
          <w:p w14:paraId="203A5F7B">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8099F32">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00A298A3">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542FECA5">
            <w:pPr>
              <w:widowControl/>
              <w:jc w:val="left"/>
              <w:textAlignment w:val="center"/>
              <w:rPr>
                <w:rFonts w:ascii="宋体" w:hAnsi="宋体" w:cs="宋体"/>
                <w:color w:val="FF0000"/>
                <w:sz w:val="16"/>
                <w:szCs w:val="16"/>
              </w:rPr>
            </w:pPr>
          </w:p>
        </w:tc>
      </w:tr>
      <w:tr w14:paraId="44820446">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0D2F3D2">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2E37CE8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1D50B04B">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6545016F">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JA0105</w:t>
            </w:r>
          </w:p>
        </w:tc>
        <w:tc>
          <w:tcPr>
            <w:tcW w:w="1636" w:type="dxa"/>
            <w:tcBorders>
              <w:top w:val="nil"/>
              <w:left w:val="nil"/>
              <w:bottom w:val="single" w:color="000000" w:sz="4" w:space="0"/>
              <w:right w:val="single" w:color="000000" w:sz="4" w:space="0"/>
            </w:tcBorders>
            <w:shd w:val="clear" w:color="auto" w:fill="FFFFFF"/>
            <w:vAlign w:val="center"/>
          </w:tcPr>
          <w:p w14:paraId="1A2E875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钢护栏</w:t>
            </w:r>
          </w:p>
        </w:tc>
        <w:tc>
          <w:tcPr>
            <w:tcW w:w="710" w:type="dxa"/>
            <w:tcBorders>
              <w:top w:val="nil"/>
              <w:left w:val="nil"/>
              <w:bottom w:val="single" w:color="000000" w:sz="4" w:space="0"/>
              <w:right w:val="single" w:color="000000" w:sz="4" w:space="0"/>
            </w:tcBorders>
            <w:shd w:val="clear" w:color="auto" w:fill="FFFFFF"/>
            <w:vAlign w:val="center"/>
          </w:tcPr>
          <w:p w14:paraId="2BA79522">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m</w:t>
            </w:r>
          </w:p>
        </w:tc>
        <w:tc>
          <w:tcPr>
            <w:tcW w:w="697" w:type="dxa"/>
            <w:tcBorders>
              <w:top w:val="nil"/>
              <w:left w:val="nil"/>
              <w:bottom w:val="single" w:color="000000" w:sz="4" w:space="0"/>
              <w:right w:val="single" w:color="000000" w:sz="4" w:space="0"/>
            </w:tcBorders>
            <w:shd w:val="clear" w:color="auto" w:fill="FFFFFF"/>
            <w:vAlign w:val="center"/>
          </w:tcPr>
          <w:p w14:paraId="7A8A1B72">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4230</w:t>
            </w:r>
          </w:p>
        </w:tc>
        <w:tc>
          <w:tcPr>
            <w:tcW w:w="750" w:type="dxa"/>
            <w:tcBorders>
              <w:top w:val="nil"/>
              <w:left w:val="nil"/>
              <w:bottom w:val="single" w:color="000000" w:sz="4" w:space="0"/>
              <w:right w:val="single" w:color="000000" w:sz="4" w:space="0"/>
            </w:tcBorders>
            <w:shd w:val="clear" w:color="auto" w:fill="FFFFFF"/>
            <w:vAlign w:val="center"/>
          </w:tcPr>
          <w:p w14:paraId="455D034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16DBB3F8">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624DCEE">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5ACB718F">
            <w:pPr>
              <w:widowControl/>
              <w:jc w:val="left"/>
              <w:textAlignment w:val="center"/>
              <w:rPr>
                <w:rFonts w:ascii="宋体" w:hAnsi="宋体" w:cs="宋体"/>
                <w:color w:val="FF0000"/>
                <w:sz w:val="16"/>
                <w:szCs w:val="16"/>
              </w:rPr>
            </w:pPr>
          </w:p>
        </w:tc>
      </w:tr>
      <w:tr w14:paraId="7B474F08">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6F9EE66F">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122F5395">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00A273FB">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JA03</w:t>
            </w:r>
          </w:p>
        </w:tc>
        <w:tc>
          <w:tcPr>
            <w:tcW w:w="856" w:type="dxa"/>
            <w:tcBorders>
              <w:top w:val="nil"/>
              <w:left w:val="nil"/>
              <w:bottom w:val="single" w:color="000000" w:sz="4" w:space="0"/>
              <w:right w:val="single" w:color="000000" w:sz="4" w:space="0"/>
            </w:tcBorders>
            <w:shd w:val="clear" w:color="auto" w:fill="FFFFFF"/>
            <w:vAlign w:val="center"/>
          </w:tcPr>
          <w:p w14:paraId="753F40B4">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400F4AA3">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标志牌</w:t>
            </w:r>
          </w:p>
        </w:tc>
        <w:tc>
          <w:tcPr>
            <w:tcW w:w="710" w:type="dxa"/>
            <w:tcBorders>
              <w:top w:val="nil"/>
              <w:left w:val="nil"/>
              <w:bottom w:val="single" w:color="000000" w:sz="4" w:space="0"/>
              <w:right w:val="single" w:color="000000" w:sz="4" w:space="0"/>
            </w:tcBorders>
            <w:shd w:val="clear" w:color="auto" w:fill="FFFFFF"/>
            <w:vAlign w:val="center"/>
          </w:tcPr>
          <w:p w14:paraId="545CC16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块</w:t>
            </w:r>
          </w:p>
        </w:tc>
        <w:tc>
          <w:tcPr>
            <w:tcW w:w="697" w:type="dxa"/>
            <w:tcBorders>
              <w:top w:val="nil"/>
              <w:left w:val="nil"/>
              <w:bottom w:val="single" w:color="000000" w:sz="4" w:space="0"/>
              <w:right w:val="single" w:color="000000" w:sz="4" w:space="0"/>
            </w:tcBorders>
            <w:shd w:val="clear" w:color="auto" w:fill="FFFFFF"/>
            <w:vAlign w:val="center"/>
          </w:tcPr>
          <w:p w14:paraId="50FA9538">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151</w:t>
            </w:r>
          </w:p>
        </w:tc>
        <w:tc>
          <w:tcPr>
            <w:tcW w:w="750" w:type="dxa"/>
            <w:tcBorders>
              <w:top w:val="nil"/>
              <w:left w:val="nil"/>
              <w:bottom w:val="single" w:color="000000" w:sz="4" w:space="0"/>
              <w:right w:val="single" w:color="000000" w:sz="4" w:space="0"/>
            </w:tcBorders>
            <w:shd w:val="clear" w:color="auto" w:fill="FFFFFF"/>
            <w:vAlign w:val="center"/>
          </w:tcPr>
          <w:p w14:paraId="508A6A17">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56AE644">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BFB691C">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5A1FAFB1">
            <w:pPr>
              <w:widowControl/>
              <w:jc w:val="left"/>
              <w:textAlignment w:val="center"/>
              <w:rPr>
                <w:rFonts w:ascii="宋体" w:hAnsi="宋体" w:cs="宋体"/>
                <w:color w:val="FF0000"/>
                <w:sz w:val="16"/>
                <w:szCs w:val="16"/>
              </w:rPr>
            </w:pPr>
          </w:p>
        </w:tc>
      </w:tr>
      <w:tr w14:paraId="03E1257F">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32E801FE">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4F6F9EC8">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0F5D1253">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549FCFC3">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JA0301</w:t>
            </w:r>
          </w:p>
        </w:tc>
        <w:tc>
          <w:tcPr>
            <w:tcW w:w="1636" w:type="dxa"/>
            <w:tcBorders>
              <w:top w:val="nil"/>
              <w:left w:val="nil"/>
              <w:bottom w:val="single" w:color="000000" w:sz="4" w:space="0"/>
              <w:right w:val="single" w:color="000000" w:sz="4" w:space="0"/>
            </w:tcBorders>
            <w:shd w:val="clear" w:color="auto" w:fill="FFFFFF"/>
            <w:vAlign w:val="center"/>
          </w:tcPr>
          <w:p w14:paraId="6032303F">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铝合金标志牌</w:t>
            </w:r>
          </w:p>
        </w:tc>
        <w:tc>
          <w:tcPr>
            <w:tcW w:w="710" w:type="dxa"/>
            <w:tcBorders>
              <w:top w:val="nil"/>
              <w:left w:val="nil"/>
              <w:bottom w:val="single" w:color="000000" w:sz="4" w:space="0"/>
              <w:right w:val="single" w:color="000000" w:sz="4" w:space="0"/>
            </w:tcBorders>
            <w:shd w:val="clear" w:color="auto" w:fill="FFFFFF"/>
            <w:vAlign w:val="center"/>
          </w:tcPr>
          <w:p w14:paraId="494811B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块</w:t>
            </w:r>
          </w:p>
        </w:tc>
        <w:tc>
          <w:tcPr>
            <w:tcW w:w="697" w:type="dxa"/>
            <w:tcBorders>
              <w:top w:val="nil"/>
              <w:left w:val="nil"/>
              <w:bottom w:val="single" w:color="000000" w:sz="4" w:space="0"/>
              <w:right w:val="single" w:color="000000" w:sz="4" w:space="0"/>
            </w:tcBorders>
            <w:shd w:val="clear" w:color="auto" w:fill="FFFFFF"/>
            <w:vAlign w:val="center"/>
          </w:tcPr>
          <w:p w14:paraId="1571592F">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151</w:t>
            </w:r>
          </w:p>
        </w:tc>
        <w:tc>
          <w:tcPr>
            <w:tcW w:w="750" w:type="dxa"/>
            <w:tcBorders>
              <w:top w:val="nil"/>
              <w:left w:val="nil"/>
              <w:bottom w:val="single" w:color="000000" w:sz="4" w:space="0"/>
              <w:right w:val="single" w:color="000000" w:sz="4" w:space="0"/>
            </w:tcBorders>
            <w:shd w:val="clear" w:color="auto" w:fill="FFFFFF"/>
            <w:vAlign w:val="center"/>
          </w:tcPr>
          <w:p w14:paraId="62AA3F97">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2C1C4A4">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435241C9">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1C8449D4">
            <w:pPr>
              <w:widowControl/>
              <w:jc w:val="left"/>
              <w:textAlignment w:val="center"/>
              <w:rPr>
                <w:rFonts w:ascii="宋体" w:hAnsi="宋体" w:cs="宋体"/>
                <w:color w:val="FF0000"/>
                <w:sz w:val="16"/>
                <w:szCs w:val="16"/>
              </w:rPr>
            </w:pPr>
          </w:p>
        </w:tc>
      </w:tr>
      <w:tr w14:paraId="7B47858F">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14024323">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42DFC91C">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03A101A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JA06</w:t>
            </w:r>
          </w:p>
        </w:tc>
        <w:tc>
          <w:tcPr>
            <w:tcW w:w="856" w:type="dxa"/>
            <w:tcBorders>
              <w:top w:val="nil"/>
              <w:left w:val="nil"/>
              <w:bottom w:val="single" w:color="000000" w:sz="4" w:space="0"/>
              <w:right w:val="single" w:color="000000" w:sz="4" w:space="0"/>
            </w:tcBorders>
            <w:shd w:val="clear" w:color="auto" w:fill="FFFFFF"/>
            <w:vAlign w:val="center"/>
          </w:tcPr>
          <w:p w14:paraId="7BC8C44B">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0938FB04">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轮廓标</w:t>
            </w:r>
          </w:p>
        </w:tc>
        <w:tc>
          <w:tcPr>
            <w:tcW w:w="710" w:type="dxa"/>
            <w:tcBorders>
              <w:top w:val="nil"/>
              <w:left w:val="nil"/>
              <w:bottom w:val="single" w:color="000000" w:sz="4" w:space="0"/>
              <w:right w:val="single" w:color="000000" w:sz="4" w:space="0"/>
            </w:tcBorders>
            <w:shd w:val="clear" w:color="auto" w:fill="FFFFFF"/>
            <w:vAlign w:val="center"/>
          </w:tcPr>
          <w:p w14:paraId="38084DB7">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697" w:type="dxa"/>
            <w:tcBorders>
              <w:top w:val="nil"/>
              <w:left w:val="nil"/>
              <w:bottom w:val="single" w:color="000000" w:sz="4" w:space="0"/>
              <w:right w:val="single" w:color="000000" w:sz="4" w:space="0"/>
            </w:tcBorders>
            <w:shd w:val="clear" w:color="auto" w:fill="FFFFFF"/>
            <w:vAlign w:val="center"/>
          </w:tcPr>
          <w:p w14:paraId="1E4DCACB">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23</w:t>
            </w:r>
          </w:p>
        </w:tc>
        <w:tc>
          <w:tcPr>
            <w:tcW w:w="750" w:type="dxa"/>
            <w:tcBorders>
              <w:top w:val="nil"/>
              <w:left w:val="nil"/>
              <w:bottom w:val="single" w:color="000000" w:sz="4" w:space="0"/>
              <w:right w:val="single" w:color="000000" w:sz="4" w:space="0"/>
            </w:tcBorders>
            <w:shd w:val="clear" w:color="auto" w:fill="FFFFFF"/>
            <w:vAlign w:val="center"/>
          </w:tcPr>
          <w:p w14:paraId="74742D06">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572DDD8E">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0614F060">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187B4DC4">
            <w:pPr>
              <w:widowControl/>
              <w:jc w:val="left"/>
              <w:textAlignment w:val="center"/>
              <w:rPr>
                <w:rFonts w:ascii="宋体" w:hAnsi="宋体" w:cs="宋体"/>
                <w:color w:val="FF0000"/>
                <w:sz w:val="16"/>
                <w:szCs w:val="16"/>
              </w:rPr>
            </w:pPr>
          </w:p>
        </w:tc>
      </w:tr>
      <w:tr w14:paraId="32016CB4">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75C8CEE7">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1E0B39E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1AA90BFA">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06BD083C">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JA0603</w:t>
            </w:r>
          </w:p>
        </w:tc>
        <w:tc>
          <w:tcPr>
            <w:tcW w:w="1636" w:type="dxa"/>
            <w:tcBorders>
              <w:top w:val="nil"/>
              <w:left w:val="nil"/>
              <w:bottom w:val="single" w:color="000000" w:sz="4" w:space="0"/>
              <w:right w:val="single" w:color="000000" w:sz="4" w:space="0"/>
            </w:tcBorders>
            <w:shd w:val="clear" w:color="auto" w:fill="FFFFFF"/>
            <w:vAlign w:val="center"/>
          </w:tcPr>
          <w:p w14:paraId="0A30DC0B">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栏式轮廓标</w:t>
            </w:r>
          </w:p>
        </w:tc>
        <w:tc>
          <w:tcPr>
            <w:tcW w:w="710" w:type="dxa"/>
            <w:tcBorders>
              <w:top w:val="nil"/>
              <w:left w:val="nil"/>
              <w:bottom w:val="single" w:color="000000" w:sz="4" w:space="0"/>
              <w:right w:val="single" w:color="000000" w:sz="4" w:space="0"/>
            </w:tcBorders>
            <w:shd w:val="clear" w:color="auto" w:fill="FFFFFF"/>
            <w:vAlign w:val="center"/>
          </w:tcPr>
          <w:p w14:paraId="2BA31D6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个</w:t>
            </w:r>
          </w:p>
        </w:tc>
        <w:tc>
          <w:tcPr>
            <w:tcW w:w="697" w:type="dxa"/>
            <w:tcBorders>
              <w:top w:val="nil"/>
              <w:left w:val="nil"/>
              <w:bottom w:val="single" w:color="000000" w:sz="4" w:space="0"/>
              <w:right w:val="single" w:color="000000" w:sz="4" w:space="0"/>
            </w:tcBorders>
            <w:shd w:val="clear" w:color="auto" w:fill="FFFFFF"/>
            <w:vAlign w:val="center"/>
          </w:tcPr>
          <w:p w14:paraId="1E596FF5">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23</w:t>
            </w:r>
          </w:p>
        </w:tc>
        <w:tc>
          <w:tcPr>
            <w:tcW w:w="750" w:type="dxa"/>
            <w:tcBorders>
              <w:top w:val="nil"/>
              <w:left w:val="nil"/>
              <w:bottom w:val="single" w:color="000000" w:sz="4" w:space="0"/>
              <w:right w:val="single" w:color="000000" w:sz="4" w:space="0"/>
            </w:tcBorders>
            <w:shd w:val="clear" w:color="auto" w:fill="FFFFFF"/>
            <w:vAlign w:val="center"/>
          </w:tcPr>
          <w:p w14:paraId="354B3D52">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6166EB9">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AF1E050">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572CA558">
            <w:pPr>
              <w:widowControl/>
              <w:jc w:val="left"/>
              <w:textAlignment w:val="center"/>
              <w:rPr>
                <w:rFonts w:ascii="宋体" w:hAnsi="宋体" w:cs="宋体"/>
                <w:color w:val="FF0000"/>
                <w:sz w:val="16"/>
                <w:szCs w:val="16"/>
              </w:rPr>
            </w:pPr>
          </w:p>
        </w:tc>
      </w:tr>
      <w:tr w14:paraId="2EEEB161">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13E00A4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110</w:t>
            </w:r>
          </w:p>
        </w:tc>
        <w:tc>
          <w:tcPr>
            <w:tcW w:w="616" w:type="dxa"/>
            <w:tcBorders>
              <w:top w:val="nil"/>
              <w:left w:val="nil"/>
              <w:bottom w:val="single" w:color="000000" w:sz="4" w:space="0"/>
              <w:right w:val="single" w:color="000000" w:sz="4" w:space="0"/>
            </w:tcBorders>
            <w:shd w:val="clear" w:color="auto" w:fill="FFFFFF"/>
            <w:vAlign w:val="center"/>
          </w:tcPr>
          <w:p w14:paraId="78612D8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6EDF6FB5">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12868B61">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103006E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专项费用</w:t>
            </w:r>
          </w:p>
        </w:tc>
        <w:tc>
          <w:tcPr>
            <w:tcW w:w="710" w:type="dxa"/>
            <w:tcBorders>
              <w:top w:val="nil"/>
              <w:left w:val="nil"/>
              <w:bottom w:val="single" w:color="000000" w:sz="4" w:space="0"/>
              <w:right w:val="single" w:color="000000" w:sz="4" w:space="0"/>
            </w:tcBorders>
            <w:shd w:val="clear" w:color="auto" w:fill="FFFFFF"/>
            <w:vAlign w:val="center"/>
          </w:tcPr>
          <w:p w14:paraId="5389B451">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697" w:type="dxa"/>
            <w:tcBorders>
              <w:top w:val="nil"/>
              <w:left w:val="nil"/>
              <w:bottom w:val="single" w:color="000000" w:sz="4" w:space="0"/>
              <w:right w:val="single" w:color="000000" w:sz="4" w:space="0"/>
            </w:tcBorders>
            <w:shd w:val="clear" w:color="auto" w:fill="FFFFFF"/>
            <w:vAlign w:val="center"/>
          </w:tcPr>
          <w:p w14:paraId="28AEA96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EEA1626">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22734DB">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49703A3A">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5813CDB1">
            <w:pPr>
              <w:widowControl/>
              <w:jc w:val="left"/>
              <w:textAlignment w:val="center"/>
              <w:rPr>
                <w:rFonts w:ascii="宋体" w:hAnsi="宋体" w:cs="宋体"/>
                <w:color w:val="FF0000"/>
                <w:sz w:val="16"/>
                <w:szCs w:val="16"/>
              </w:rPr>
            </w:pPr>
          </w:p>
        </w:tc>
      </w:tr>
      <w:tr w14:paraId="5E75482E">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623BE072">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27E650D5">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11001</w:t>
            </w:r>
          </w:p>
        </w:tc>
        <w:tc>
          <w:tcPr>
            <w:tcW w:w="696" w:type="dxa"/>
            <w:tcBorders>
              <w:top w:val="nil"/>
              <w:left w:val="nil"/>
              <w:bottom w:val="single" w:color="000000" w:sz="4" w:space="0"/>
              <w:right w:val="single" w:color="000000" w:sz="4" w:space="0"/>
            </w:tcBorders>
            <w:shd w:val="clear" w:color="auto" w:fill="FFFFFF"/>
            <w:vAlign w:val="center"/>
          </w:tcPr>
          <w:p w14:paraId="42D87592">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38214346">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6FADAB08">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施工场地建设费</w:t>
            </w:r>
          </w:p>
        </w:tc>
        <w:tc>
          <w:tcPr>
            <w:tcW w:w="710" w:type="dxa"/>
            <w:tcBorders>
              <w:top w:val="nil"/>
              <w:left w:val="nil"/>
              <w:bottom w:val="single" w:color="000000" w:sz="4" w:space="0"/>
              <w:right w:val="single" w:color="000000" w:sz="4" w:space="0"/>
            </w:tcBorders>
            <w:shd w:val="clear" w:color="auto" w:fill="FFFFFF"/>
            <w:vAlign w:val="center"/>
          </w:tcPr>
          <w:p w14:paraId="3A148D46">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697" w:type="dxa"/>
            <w:tcBorders>
              <w:top w:val="nil"/>
              <w:left w:val="nil"/>
              <w:bottom w:val="single" w:color="000000" w:sz="4" w:space="0"/>
              <w:right w:val="single" w:color="000000" w:sz="4" w:space="0"/>
            </w:tcBorders>
            <w:shd w:val="clear" w:color="auto" w:fill="FFFFFF"/>
            <w:vAlign w:val="center"/>
          </w:tcPr>
          <w:p w14:paraId="131FC6AF">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84BC6A9">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D5B06A6">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D3E6DBF">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2A8CEAEC">
            <w:pPr>
              <w:widowControl/>
              <w:jc w:val="left"/>
              <w:textAlignment w:val="center"/>
              <w:rPr>
                <w:rFonts w:ascii="宋体" w:hAnsi="宋体" w:cs="宋体"/>
                <w:color w:val="FF0000"/>
                <w:sz w:val="16"/>
                <w:szCs w:val="16"/>
              </w:rPr>
            </w:pPr>
          </w:p>
        </w:tc>
      </w:tr>
      <w:tr w14:paraId="060EDDCB">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65E29FF8">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6736A1D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11002</w:t>
            </w:r>
          </w:p>
        </w:tc>
        <w:tc>
          <w:tcPr>
            <w:tcW w:w="696" w:type="dxa"/>
            <w:tcBorders>
              <w:top w:val="nil"/>
              <w:left w:val="nil"/>
              <w:bottom w:val="single" w:color="000000" w:sz="4" w:space="0"/>
              <w:right w:val="single" w:color="000000" w:sz="4" w:space="0"/>
            </w:tcBorders>
            <w:shd w:val="clear" w:color="auto" w:fill="FFFFFF"/>
            <w:vAlign w:val="center"/>
          </w:tcPr>
          <w:p w14:paraId="29E4786A">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3322134D">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2ED5BA5E">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安全生产费</w:t>
            </w:r>
          </w:p>
        </w:tc>
        <w:tc>
          <w:tcPr>
            <w:tcW w:w="710" w:type="dxa"/>
            <w:tcBorders>
              <w:top w:val="nil"/>
              <w:left w:val="nil"/>
              <w:bottom w:val="single" w:color="000000" w:sz="4" w:space="0"/>
              <w:right w:val="single" w:color="000000" w:sz="4" w:space="0"/>
            </w:tcBorders>
            <w:shd w:val="clear" w:color="auto" w:fill="FFFFFF"/>
            <w:vAlign w:val="center"/>
          </w:tcPr>
          <w:p w14:paraId="51ADAD04">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元</w:t>
            </w:r>
          </w:p>
        </w:tc>
        <w:tc>
          <w:tcPr>
            <w:tcW w:w="697" w:type="dxa"/>
            <w:tcBorders>
              <w:top w:val="nil"/>
              <w:left w:val="nil"/>
              <w:bottom w:val="single" w:color="000000" w:sz="4" w:space="0"/>
              <w:right w:val="single" w:color="000000" w:sz="4" w:space="0"/>
            </w:tcBorders>
            <w:shd w:val="clear" w:color="auto" w:fill="FFFFFF"/>
            <w:vAlign w:val="center"/>
          </w:tcPr>
          <w:p w14:paraId="39A52500">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8209562">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2CB7FFD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106755A6">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49258D55">
            <w:pPr>
              <w:widowControl/>
              <w:jc w:val="left"/>
              <w:textAlignment w:val="center"/>
              <w:rPr>
                <w:rFonts w:ascii="宋体" w:hAnsi="宋体" w:cs="宋体"/>
                <w:color w:val="FF0000"/>
                <w:sz w:val="16"/>
                <w:szCs w:val="16"/>
              </w:rPr>
            </w:pPr>
          </w:p>
        </w:tc>
      </w:tr>
      <w:tr w14:paraId="1DBD175A">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3F9B998A">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6D4C5BB3">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2BBAE9BC">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0F8D3D5A">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1CFB141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第三部分 工程建设其他费</w:t>
            </w:r>
          </w:p>
        </w:tc>
        <w:tc>
          <w:tcPr>
            <w:tcW w:w="710" w:type="dxa"/>
            <w:tcBorders>
              <w:top w:val="nil"/>
              <w:left w:val="nil"/>
              <w:bottom w:val="single" w:color="000000" w:sz="4" w:space="0"/>
              <w:right w:val="single" w:color="000000" w:sz="4" w:space="0"/>
            </w:tcBorders>
            <w:shd w:val="clear" w:color="auto" w:fill="FFFFFF"/>
            <w:vAlign w:val="center"/>
          </w:tcPr>
          <w:p w14:paraId="15C664EB">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7A495AAE">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04050905">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300ADAF1">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A7F9784">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6D3DC1AC">
            <w:pPr>
              <w:widowControl/>
              <w:jc w:val="left"/>
              <w:textAlignment w:val="center"/>
              <w:rPr>
                <w:rFonts w:ascii="宋体" w:hAnsi="宋体" w:cs="宋体"/>
                <w:color w:val="FF0000"/>
                <w:sz w:val="16"/>
                <w:szCs w:val="16"/>
              </w:rPr>
            </w:pPr>
          </w:p>
        </w:tc>
      </w:tr>
      <w:tr w14:paraId="0C3DBE1A">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053FA0E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308</w:t>
            </w:r>
          </w:p>
        </w:tc>
        <w:tc>
          <w:tcPr>
            <w:tcW w:w="616" w:type="dxa"/>
            <w:tcBorders>
              <w:top w:val="nil"/>
              <w:left w:val="nil"/>
              <w:bottom w:val="single" w:color="000000" w:sz="4" w:space="0"/>
              <w:right w:val="single" w:color="000000" w:sz="4" w:space="0"/>
            </w:tcBorders>
            <w:shd w:val="clear" w:color="auto" w:fill="FFFFFF"/>
            <w:vAlign w:val="center"/>
          </w:tcPr>
          <w:p w14:paraId="4ABF8CCA">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13134B3B">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585F0F0C">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215AD5D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工程保险费</w:t>
            </w:r>
          </w:p>
        </w:tc>
        <w:tc>
          <w:tcPr>
            <w:tcW w:w="710" w:type="dxa"/>
            <w:tcBorders>
              <w:top w:val="nil"/>
              <w:left w:val="nil"/>
              <w:bottom w:val="single" w:color="000000" w:sz="4" w:space="0"/>
              <w:right w:val="single" w:color="000000" w:sz="4" w:space="0"/>
            </w:tcBorders>
            <w:shd w:val="clear" w:color="auto" w:fill="FFFFFF"/>
            <w:vAlign w:val="center"/>
          </w:tcPr>
          <w:p w14:paraId="35D78E3D">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总额</w:t>
            </w:r>
          </w:p>
        </w:tc>
        <w:tc>
          <w:tcPr>
            <w:tcW w:w="697" w:type="dxa"/>
            <w:tcBorders>
              <w:top w:val="nil"/>
              <w:left w:val="nil"/>
              <w:bottom w:val="single" w:color="000000" w:sz="4" w:space="0"/>
              <w:right w:val="single" w:color="000000" w:sz="4" w:space="0"/>
            </w:tcBorders>
            <w:shd w:val="clear" w:color="auto" w:fill="FFFFFF"/>
            <w:vAlign w:val="center"/>
          </w:tcPr>
          <w:p w14:paraId="411DCBA7">
            <w:pPr>
              <w:widowControl/>
              <w:jc w:val="right"/>
              <w:textAlignment w:val="center"/>
              <w:rPr>
                <w:rFonts w:ascii="Arial Narrow" w:hAnsi="Arial Narrow" w:eastAsia="Arial Narrow" w:cs="Arial Narrow"/>
                <w:color w:val="FF0000"/>
                <w:sz w:val="16"/>
                <w:szCs w:val="16"/>
              </w:rPr>
            </w:pPr>
            <w:r>
              <w:rPr>
                <w:rFonts w:ascii="Arial Narrow" w:hAnsi="Arial Narrow" w:eastAsia="Arial Narrow" w:cs="Arial Narrow"/>
                <w:color w:val="FF0000"/>
                <w:kern w:val="0"/>
                <w:sz w:val="16"/>
                <w:szCs w:val="16"/>
              </w:rPr>
              <w:t>1</w:t>
            </w:r>
          </w:p>
        </w:tc>
        <w:tc>
          <w:tcPr>
            <w:tcW w:w="750" w:type="dxa"/>
            <w:tcBorders>
              <w:top w:val="nil"/>
              <w:left w:val="nil"/>
              <w:bottom w:val="single" w:color="000000" w:sz="4" w:space="0"/>
              <w:right w:val="single" w:color="000000" w:sz="4" w:space="0"/>
            </w:tcBorders>
            <w:shd w:val="clear" w:color="auto" w:fill="FFFFFF"/>
            <w:vAlign w:val="center"/>
          </w:tcPr>
          <w:p w14:paraId="1DF15D57">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D367E70">
            <w:pPr>
              <w:widowControl/>
              <w:jc w:val="right"/>
              <w:textAlignment w:val="center"/>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8EFD83D">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21D36E20">
            <w:pPr>
              <w:widowControl/>
              <w:jc w:val="left"/>
              <w:textAlignment w:val="center"/>
              <w:rPr>
                <w:rFonts w:ascii="宋体" w:hAnsi="宋体" w:cs="宋体"/>
                <w:color w:val="FF0000"/>
                <w:sz w:val="16"/>
                <w:szCs w:val="16"/>
              </w:rPr>
            </w:pPr>
          </w:p>
        </w:tc>
      </w:tr>
      <w:tr w14:paraId="77DF2911">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016C82F">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1445111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04E776B2">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10DC6945">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181CABD6">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第一至四部分合计</w:t>
            </w:r>
          </w:p>
        </w:tc>
        <w:tc>
          <w:tcPr>
            <w:tcW w:w="710" w:type="dxa"/>
            <w:tcBorders>
              <w:top w:val="nil"/>
              <w:left w:val="nil"/>
              <w:bottom w:val="single" w:color="000000" w:sz="4" w:space="0"/>
              <w:right w:val="single" w:color="000000" w:sz="4" w:space="0"/>
            </w:tcBorders>
            <w:shd w:val="clear" w:color="auto" w:fill="FFFFFF"/>
            <w:vAlign w:val="center"/>
          </w:tcPr>
          <w:p w14:paraId="4E1CF7A1">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35EF7DF3">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60ACDEE">
            <w:pPr>
              <w:widowControl/>
              <w:jc w:val="right"/>
              <w:textAlignment w:val="center"/>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49B5B9DC">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32653479">
            <w:pPr>
              <w:widowControl/>
              <w:jc w:val="right"/>
              <w:textAlignment w:val="center"/>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025877BF">
            <w:pPr>
              <w:widowControl/>
              <w:jc w:val="left"/>
              <w:textAlignment w:val="center"/>
              <w:rPr>
                <w:rFonts w:ascii="宋体" w:hAnsi="宋体" w:cs="宋体"/>
                <w:color w:val="FF0000"/>
                <w:sz w:val="16"/>
                <w:szCs w:val="16"/>
              </w:rPr>
            </w:pPr>
          </w:p>
        </w:tc>
      </w:tr>
      <w:tr w14:paraId="394CBF55">
        <w:tblPrEx>
          <w:tblCellMar>
            <w:top w:w="0" w:type="dxa"/>
            <w:left w:w="108" w:type="dxa"/>
            <w:bottom w:w="0" w:type="dxa"/>
            <w:right w:w="108" w:type="dxa"/>
          </w:tblCellMar>
        </w:tblPrEx>
        <w:trPr>
          <w:gridAfter w:val="3"/>
          <w:wAfter w:w="2707" w:type="dxa"/>
          <w:trHeight w:val="30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6CEA138D">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166F68AE">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1E1EEE6E">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693BA563">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04D86F0D">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建设期贷款利息</w:t>
            </w:r>
          </w:p>
        </w:tc>
        <w:tc>
          <w:tcPr>
            <w:tcW w:w="710" w:type="dxa"/>
            <w:tcBorders>
              <w:top w:val="nil"/>
              <w:left w:val="nil"/>
              <w:bottom w:val="single" w:color="000000" w:sz="4" w:space="0"/>
              <w:right w:val="single" w:color="000000" w:sz="4" w:space="0"/>
            </w:tcBorders>
            <w:shd w:val="clear" w:color="auto" w:fill="FFFFFF"/>
            <w:vAlign w:val="center"/>
          </w:tcPr>
          <w:p w14:paraId="6E857F80">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697" w:type="dxa"/>
            <w:tcBorders>
              <w:top w:val="nil"/>
              <w:left w:val="nil"/>
              <w:bottom w:val="single" w:color="000000" w:sz="4" w:space="0"/>
              <w:right w:val="single" w:color="000000" w:sz="4" w:space="0"/>
            </w:tcBorders>
            <w:shd w:val="clear" w:color="auto" w:fill="FFFFFF"/>
            <w:vAlign w:val="center"/>
          </w:tcPr>
          <w:p w14:paraId="4E01660D">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96061D1">
            <w:pPr>
              <w:jc w:val="right"/>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6C043797">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79A478D3">
            <w:pPr>
              <w:jc w:val="right"/>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613F6497">
            <w:pPr>
              <w:widowControl/>
              <w:jc w:val="left"/>
              <w:textAlignment w:val="center"/>
              <w:rPr>
                <w:rFonts w:ascii="宋体" w:hAnsi="宋体" w:cs="宋体"/>
                <w:color w:val="FF0000"/>
                <w:sz w:val="16"/>
                <w:szCs w:val="16"/>
              </w:rPr>
            </w:pPr>
          </w:p>
        </w:tc>
      </w:tr>
      <w:tr w14:paraId="006ADB21">
        <w:tblPrEx>
          <w:tblCellMar>
            <w:top w:w="0" w:type="dxa"/>
            <w:left w:w="108" w:type="dxa"/>
            <w:bottom w:w="0" w:type="dxa"/>
            <w:right w:w="108" w:type="dxa"/>
          </w:tblCellMar>
        </w:tblPrEx>
        <w:trPr>
          <w:gridAfter w:val="3"/>
          <w:wAfter w:w="2707" w:type="dxa"/>
          <w:trHeight w:val="240" w:hRule="atLeast"/>
        </w:trPr>
        <w:tc>
          <w:tcPr>
            <w:tcW w:w="579" w:type="dxa"/>
            <w:tcBorders>
              <w:top w:val="nil"/>
              <w:left w:val="single" w:color="000000" w:sz="8" w:space="0"/>
              <w:bottom w:val="single" w:color="000000" w:sz="4" w:space="0"/>
              <w:right w:val="single" w:color="000000" w:sz="4" w:space="0"/>
            </w:tcBorders>
            <w:shd w:val="clear" w:color="auto" w:fill="FFFFFF"/>
            <w:vAlign w:val="center"/>
          </w:tcPr>
          <w:p w14:paraId="4D2D82A1">
            <w:pPr>
              <w:jc w:val="center"/>
              <w:rPr>
                <w:rFonts w:ascii="宋体" w:hAnsi="宋体" w:cs="宋体"/>
                <w:color w:val="FF0000"/>
                <w:sz w:val="16"/>
                <w:szCs w:val="16"/>
              </w:rPr>
            </w:pPr>
          </w:p>
        </w:tc>
        <w:tc>
          <w:tcPr>
            <w:tcW w:w="616" w:type="dxa"/>
            <w:tcBorders>
              <w:top w:val="nil"/>
              <w:left w:val="nil"/>
              <w:bottom w:val="single" w:color="000000" w:sz="4" w:space="0"/>
              <w:right w:val="single" w:color="000000" w:sz="4" w:space="0"/>
            </w:tcBorders>
            <w:shd w:val="clear" w:color="auto" w:fill="FFFFFF"/>
            <w:vAlign w:val="center"/>
          </w:tcPr>
          <w:p w14:paraId="5B81B713">
            <w:pPr>
              <w:jc w:val="center"/>
              <w:rPr>
                <w:rFonts w:ascii="宋体" w:hAnsi="宋体" w:cs="宋体"/>
                <w:color w:val="FF0000"/>
                <w:sz w:val="16"/>
                <w:szCs w:val="16"/>
              </w:rPr>
            </w:pPr>
          </w:p>
        </w:tc>
        <w:tc>
          <w:tcPr>
            <w:tcW w:w="696" w:type="dxa"/>
            <w:tcBorders>
              <w:top w:val="nil"/>
              <w:left w:val="nil"/>
              <w:bottom w:val="single" w:color="000000" w:sz="4" w:space="0"/>
              <w:right w:val="single" w:color="000000" w:sz="4" w:space="0"/>
            </w:tcBorders>
            <w:shd w:val="clear" w:color="auto" w:fill="FFFFFF"/>
            <w:vAlign w:val="center"/>
          </w:tcPr>
          <w:p w14:paraId="4E16D261">
            <w:pPr>
              <w:jc w:val="center"/>
              <w:rPr>
                <w:rFonts w:ascii="宋体" w:hAnsi="宋体" w:cs="宋体"/>
                <w:color w:val="FF0000"/>
                <w:sz w:val="16"/>
                <w:szCs w:val="16"/>
              </w:rPr>
            </w:pPr>
          </w:p>
        </w:tc>
        <w:tc>
          <w:tcPr>
            <w:tcW w:w="856" w:type="dxa"/>
            <w:tcBorders>
              <w:top w:val="nil"/>
              <w:left w:val="nil"/>
              <w:bottom w:val="single" w:color="000000" w:sz="4" w:space="0"/>
              <w:right w:val="single" w:color="000000" w:sz="4" w:space="0"/>
            </w:tcBorders>
            <w:shd w:val="clear" w:color="auto" w:fill="FFFFFF"/>
            <w:vAlign w:val="center"/>
          </w:tcPr>
          <w:p w14:paraId="7CCC4AC3">
            <w:pPr>
              <w:jc w:val="center"/>
              <w:rPr>
                <w:rFonts w:ascii="宋体" w:hAnsi="宋体" w:cs="宋体"/>
                <w:color w:val="FF0000"/>
                <w:sz w:val="16"/>
                <w:szCs w:val="16"/>
              </w:rPr>
            </w:pPr>
          </w:p>
        </w:tc>
        <w:tc>
          <w:tcPr>
            <w:tcW w:w="1636" w:type="dxa"/>
            <w:tcBorders>
              <w:top w:val="nil"/>
              <w:left w:val="nil"/>
              <w:bottom w:val="single" w:color="000000" w:sz="4" w:space="0"/>
              <w:right w:val="single" w:color="000000" w:sz="4" w:space="0"/>
            </w:tcBorders>
            <w:shd w:val="clear" w:color="auto" w:fill="FFFFFF"/>
            <w:vAlign w:val="center"/>
          </w:tcPr>
          <w:p w14:paraId="638291A3">
            <w:pPr>
              <w:jc w:val="left"/>
              <w:rPr>
                <w:rFonts w:ascii="宋体" w:hAnsi="宋体" w:cs="宋体"/>
                <w:color w:val="FF0000"/>
                <w:sz w:val="16"/>
                <w:szCs w:val="16"/>
              </w:rPr>
            </w:pPr>
          </w:p>
        </w:tc>
        <w:tc>
          <w:tcPr>
            <w:tcW w:w="710" w:type="dxa"/>
            <w:tcBorders>
              <w:top w:val="nil"/>
              <w:left w:val="nil"/>
              <w:bottom w:val="single" w:color="000000" w:sz="4" w:space="0"/>
              <w:right w:val="single" w:color="000000" w:sz="4" w:space="0"/>
            </w:tcBorders>
            <w:shd w:val="clear" w:color="auto" w:fill="FFFFFF"/>
            <w:vAlign w:val="center"/>
          </w:tcPr>
          <w:p w14:paraId="69494E1C">
            <w:pPr>
              <w:jc w:val="center"/>
              <w:rPr>
                <w:rFonts w:ascii="宋体" w:hAnsi="宋体" w:cs="宋体"/>
                <w:color w:val="FF0000"/>
                <w:sz w:val="16"/>
                <w:szCs w:val="16"/>
              </w:rPr>
            </w:pPr>
          </w:p>
        </w:tc>
        <w:tc>
          <w:tcPr>
            <w:tcW w:w="697" w:type="dxa"/>
            <w:tcBorders>
              <w:top w:val="nil"/>
              <w:left w:val="nil"/>
              <w:bottom w:val="single" w:color="000000" w:sz="4" w:space="0"/>
              <w:right w:val="single" w:color="000000" w:sz="4" w:space="0"/>
            </w:tcBorders>
            <w:shd w:val="clear" w:color="auto" w:fill="FFFFFF"/>
            <w:vAlign w:val="center"/>
          </w:tcPr>
          <w:p w14:paraId="648113CA">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20FA4B50">
            <w:pPr>
              <w:jc w:val="right"/>
              <w:rPr>
                <w:rFonts w:ascii="Arial Narrow" w:hAnsi="Arial Narrow" w:eastAsia="Arial Narrow" w:cs="Arial Narrow"/>
                <w:color w:val="FF0000"/>
                <w:sz w:val="16"/>
                <w:szCs w:val="16"/>
              </w:rPr>
            </w:pPr>
          </w:p>
        </w:tc>
        <w:tc>
          <w:tcPr>
            <w:tcW w:w="993" w:type="dxa"/>
            <w:tcBorders>
              <w:top w:val="nil"/>
              <w:left w:val="nil"/>
              <w:bottom w:val="single" w:color="000000" w:sz="4" w:space="0"/>
              <w:right w:val="single" w:color="000000" w:sz="4" w:space="0"/>
            </w:tcBorders>
            <w:shd w:val="clear" w:color="auto" w:fill="FFFFFF"/>
            <w:vAlign w:val="center"/>
          </w:tcPr>
          <w:p w14:paraId="06294585">
            <w:pPr>
              <w:jc w:val="right"/>
              <w:rPr>
                <w:rFonts w:ascii="Arial Narrow" w:hAnsi="Arial Narrow" w:eastAsia="Arial Narrow" w:cs="Arial Narrow"/>
                <w:color w:val="FF0000"/>
                <w:sz w:val="16"/>
                <w:szCs w:val="16"/>
              </w:rPr>
            </w:pPr>
          </w:p>
        </w:tc>
        <w:tc>
          <w:tcPr>
            <w:tcW w:w="750" w:type="dxa"/>
            <w:tcBorders>
              <w:top w:val="nil"/>
              <w:left w:val="nil"/>
              <w:bottom w:val="single" w:color="000000" w:sz="4" w:space="0"/>
              <w:right w:val="single" w:color="000000" w:sz="4" w:space="0"/>
            </w:tcBorders>
            <w:shd w:val="clear" w:color="auto" w:fill="FFFFFF"/>
            <w:vAlign w:val="center"/>
          </w:tcPr>
          <w:p w14:paraId="513CAF53">
            <w:pPr>
              <w:jc w:val="right"/>
              <w:rPr>
                <w:rFonts w:ascii="Arial Narrow" w:hAnsi="Arial Narrow" w:eastAsia="Arial Narrow" w:cs="Arial Narrow"/>
                <w:color w:val="FF0000"/>
                <w:sz w:val="16"/>
                <w:szCs w:val="16"/>
              </w:rPr>
            </w:pPr>
          </w:p>
        </w:tc>
        <w:tc>
          <w:tcPr>
            <w:tcW w:w="1776" w:type="dxa"/>
            <w:tcBorders>
              <w:top w:val="nil"/>
              <w:left w:val="nil"/>
              <w:bottom w:val="single" w:color="000000" w:sz="4" w:space="0"/>
              <w:right w:val="single" w:color="000000" w:sz="8" w:space="0"/>
            </w:tcBorders>
            <w:shd w:val="clear" w:color="auto" w:fill="FFFFFF"/>
            <w:vAlign w:val="center"/>
          </w:tcPr>
          <w:p w14:paraId="1B49D087">
            <w:pPr>
              <w:jc w:val="left"/>
              <w:rPr>
                <w:rFonts w:ascii="宋体" w:hAnsi="宋体" w:cs="宋体"/>
                <w:color w:val="FF0000"/>
                <w:sz w:val="16"/>
                <w:szCs w:val="16"/>
              </w:rPr>
            </w:pPr>
          </w:p>
        </w:tc>
      </w:tr>
    </w:tbl>
    <w:p w14:paraId="007CE9F9">
      <w:pPr>
        <w:spacing w:line="360" w:lineRule="auto"/>
        <w:textAlignment w:val="baseline"/>
        <w:rPr>
          <w:rFonts w:ascii="宋体" w:hAnsi="宋体" w:cs="宋体"/>
          <w:b/>
          <w:bCs/>
          <w:color w:val="FF0000"/>
          <w:sz w:val="18"/>
          <w:szCs w:val="18"/>
        </w:rPr>
      </w:pPr>
    </w:p>
    <w:tbl>
      <w:tblPr>
        <w:tblStyle w:val="47"/>
        <w:tblW w:w="12754" w:type="dxa"/>
        <w:tblInd w:w="93" w:type="dxa"/>
        <w:tblLayout w:type="fixed"/>
        <w:tblCellMar>
          <w:top w:w="0" w:type="dxa"/>
          <w:left w:w="108" w:type="dxa"/>
          <w:bottom w:w="0" w:type="dxa"/>
          <w:right w:w="108" w:type="dxa"/>
        </w:tblCellMar>
      </w:tblPr>
      <w:tblGrid>
        <w:gridCol w:w="581"/>
        <w:gridCol w:w="581"/>
        <w:gridCol w:w="581"/>
        <w:gridCol w:w="847"/>
        <w:gridCol w:w="1427"/>
        <w:gridCol w:w="971"/>
        <w:gridCol w:w="915"/>
        <w:gridCol w:w="1178"/>
        <w:gridCol w:w="1169"/>
        <w:gridCol w:w="240"/>
        <w:gridCol w:w="755"/>
        <w:gridCol w:w="769"/>
        <w:gridCol w:w="110"/>
        <w:gridCol w:w="126"/>
        <w:gridCol w:w="2268"/>
        <w:gridCol w:w="236"/>
      </w:tblGrid>
      <w:tr w14:paraId="2B768F39">
        <w:tblPrEx>
          <w:tblCellMar>
            <w:top w:w="0" w:type="dxa"/>
            <w:left w:w="108" w:type="dxa"/>
            <w:bottom w:w="0" w:type="dxa"/>
            <w:right w:w="108" w:type="dxa"/>
          </w:tblCellMar>
        </w:tblPrEx>
        <w:trPr>
          <w:gridAfter w:val="3"/>
          <w:wAfter w:w="2630" w:type="dxa"/>
          <w:trHeight w:val="560" w:hRule="atLeast"/>
        </w:trPr>
        <w:tc>
          <w:tcPr>
            <w:tcW w:w="10124" w:type="dxa"/>
            <w:gridSpan w:val="13"/>
            <w:tcBorders>
              <w:top w:val="nil"/>
              <w:left w:val="nil"/>
              <w:bottom w:val="nil"/>
              <w:right w:val="nil"/>
            </w:tcBorders>
            <w:shd w:val="clear" w:color="auto" w:fill="FFFFFF"/>
          </w:tcPr>
          <w:p w14:paraId="23CEC476">
            <w:pPr>
              <w:widowControl/>
              <w:jc w:val="center"/>
              <w:textAlignment w:val="top"/>
              <w:rPr>
                <w:rFonts w:ascii="宋体" w:hAnsi="宋体" w:cs="宋体"/>
                <w:b/>
                <w:bCs/>
                <w:color w:val="FF0000"/>
                <w:sz w:val="36"/>
                <w:szCs w:val="36"/>
              </w:rPr>
            </w:pPr>
            <w:r>
              <w:rPr>
                <w:rFonts w:hint="eastAsia" w:ascii="宋体" w:hAnsi="宋体" w:cs="宋体"/>
                <w:b/>
                <w:bCs/>
                <w:color w:val="FF0000"/>
                <w:kern w:val="0"/>
                <w:sz w:val="36"/>
                <w:szCs w:val="36"/>
              </w:rPr>
              <w:t>表A.0.2-5 工程量清单（07样式）</w:t>
            </w:r>
          </w:p>
        </w:tc>
      </w:tr>
      <w:tr w14:paraId="57B26C89">
        <w:tblPrEx>
          <w:tblCellMar>
            <w:top w:w="0" w:type="dxa"/>
            <w:left w:w="108" w:type="dxa"/>
            <w:bottom w:w="0" w:type="dxa"/>
            <w:right w:w="108" w:type="dxa"/>
          </w:tblCellMar>
        </w:tblPrEx>
        <w:trPr>
          <w:gridAfter w:val="2"/>
          <w:wAfter w:w="2504" w:type="dxa"/>
          <w:trHeight w:val="300" w:hRule="atLeast"/>
        </w:trPr>
        <w:tc>
          <w:tcPr>
            <w:tcW w:w="10014" w:type="dxa"/>
            <w:gridSpan w:val="12"/>
            <w:tcBorders>
              <w:top w:val="nil"/>
              <w:left w:val="nil"/>
              <w:bottom w:val="nil"/>
              <w:right w:val="nil"/>
            </w:tcBorders>
            <w:shd w:val="clear" w:color="auto" w:fill="FFFFFF"/>
            <w:vAlign w:val="center"/>
          </w:tcPr>
          <w:p w14:paraId="6ED71560">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建设项目名称：汝城县2024年第三批农村公路安防工程预算评审</w:t>
            </w:r>
          </w:p>
        </w:tc>
        <w:tc>
          <w:tcPr>
            <w:tcW w:w="236" w:type="dxa"/>
            <w:gridSpan w:val="2"/>
            <w:tcBorders>
              <w:top w:val="nil"/>
              <w:left w:val="nil"/>
              <w:bottom w:val="nil"/>
              <w:right w:val="nil"/>
            </w:tcBorders>
            <w:shd w:val="clear" w:color="auto" w:fill="FFFFFF"/>
            <w:vAlign w:val="bottom"/>
          </w:tcPr>
          <w:p w14:paraId="2BE30B4B">
            <w:pPr>
              <w:jc w:val="right"/>
              <w:rPr>
                <w:rFonts w:ascii="宋体" w:hAnsi="宋体" w:cs="宋体"/>
                <w:color w:val="FF0000"/>
                <w:sz w:val="16"/>
                <w:szCs w:val="16"/>
              </w:rPr>
            </w:pPr>
          </w:p>
        </w:tc>
      </w:tr>
      <w:tr w14:paraId="065ABDFE">
        <w:tblPrEx>
          <w:tblCellMar>
            <w:top w:w="0" w:type="dxa"/>
            <w:left w:w="108" w:type="dxa"/>
            <w:bottom w:w="0" w:type="dxa"/>
            <w:right w:w="108" w:type="dxa"/>
          </w:tblCellMar>
        </w:tblPrEx>
        <w:trPr>
          <w:trHeight w:val="300" w:hRule="atLeast"/>
        </w:trPr>
        <w:tc>
          <w:tcPr>
            <w:tcW w:w="4988" w:type="dxa"/>
            <w:gridSpan w:val="6"/>
            <w:tcBorders>
              <w:top w:val="nil"/>
              <w:left w:val="nil"/>
              <w:bottom w:val="nil"/>
              <w:right w:val="nil"/>
            </w:tcBorders>
            <w:shd w:val="clear" w:color="auto" w:fill="FFFFFF"/>
            <w:vAlign w:val="center"/>
          </w:tcPr>
          <w:p w14:paraId="6CB3F39F">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编制范围：汝城县2024年第三批农村公路安防工程预算评审</w:t>
            </w:r>
          </w:p>
        </w:tc>
        <w:tc>
          <w:tcPr>
            <w:tcW w:w="3262" w:type="dxa"/>
            <w:gridSpan w:val="3"/>
            <w:tcBorders>
              <w:top w:val="nil"/>
              <w:left w:val="nil"/>
              <w:bottom w:val="nil"/>
              <w:right w:val="nil"/>
            </w:tcBorders>
            <w:shd w:val="clear" w:color="auto" w:fill="FFFFFF"/>
            <w:vAlign w:val="center"/>
          </w:tcPr>
          <w:p w14:paraId="376E8C32">
            <w:pPr>
              <w:jc w:val="left"/>
              <w:rPr>
                <w:rFonts w:ascii="宋体" w:hAnsi="宋体" w:cs="宋体"/>
                <w:color w:val="FF0000"/>
                <w:sz w:val="16"/>
                <w:szCs w:val="16"/>
              </w:rPr>
            </w:pPr>
          </w:p>
        </w:tc>
        <w:tc>
          <w:tcPr>
            <w:tcW w:w="240" w:type="dxa"/>
            <w:tcBorders>
              <w:top w:val="nil"/>
              <w:left w:val="nil"/>
              <w:bottom w:val="nil"/>
              <w:right w:val="nil"/>
            </w:tcBorders>
            <w:shd w:val="clear" w:color="auto" w:fill="FFFFFF"/>
            <w:vAlign w:val="center"/>
          </w:tcPr>
          <w:p w14:paraId="4830AA16">
            <w:pPr>
              <w:jc w:val="left"/>
              <w:rPr>
                <w:rFonts w:ascii="宋体" w:hAnsi="宋体" w:cs="宋体"/>
                <w:color w:val="FF0000"/>
                <w:sz w:val="16"/>
                <w:szCs w:val="16"/>
              </w:rPr>
            </w:pPr>
          </w:p>
        </w:tc>
        <w:tc>
          <w:tcPr>
            <w:tcW w:w="755" w:type="dxa"/>
            <w:tcBorders>
              <w:top w:val="nil"/>
              <w:left w:val="nil"/>
              <w:bottom w:val="nil"/>
              <w:right w:val="nil"/>
            </w:tcBorders>
            <w:shd w:val="clear" w:color="auto" w:fill="FFFFFF"/>
            <w:vAlign w:val="center"/>
          </w:tcPr>
          <w:p w14:paraId="33664EBF">
            <w:pPr>
              <w:widowControl/>
              <w:jc w:val="right"/>
              <w:textAlignment w:val="center"/>
              <w:rPr>
                <w:rFonts w:ascii="宋体" w:hAnsi="宋体" w:cs="宋体"/>
                <w:color w:val="FF0000"/>
                <w:sz w:val="16"/>
                <w:szCs w:val="16"/>
              </w:rPr>
            </w:pPr>
            <w:r>
              <w:rPr>
                <w:rFonts w:hint="eastAsia" w:ascii="宋体" w:hAnsi="宋体" w:cs="宋体"/>
                <w:color w:val="FF0000"/>
                <w:kern w:val="0"/>
                <w:sz w:val="16"/>
                <w:szCs w:val="16"/>
              </w:rPr>
              <w:t>第 2 页</w:t>
            </w:r>
          </w:p>
        </w:tc>
        <w:tc>
          <w:tcPr>
            <w:tcW w:w="3273" w:type="dxa"/>
            <w:gridSpan w:val="4"/>
            <w:tcBorders>
              <w:top w:val="nil"/>
              <w:left w:val="nil"/>
              <w:bottom w:val="nil"/>
              <w:right w:val="nil"/>
            </w:tcBorders>
            <w:shd w:val="clear" w:color="auto" w:fill="FFFFFF"/>
            <w:vAlign w:val="center"/>
          </w:tcPr>
          <w:p w14:paraId="59B69DF5">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共 2 页</w:t>
            </w:r>
          </w:p>
        </w:tc>
        <w:tc>
          <w:tcPr>
            <w:tcW w:w="236" w:type="dxa"/>
            <w:tcBorders>
              <w:top w:val="nil"/>
              <w:left w:val="nil"/>
              <w:bottom w:val="nil"/>
              <w:right w:val="nil"/>
            </w:tcBorders>
            <w:shd w:val="clear" w:color="auto" w:fill="FFFFFF"/>
            <w:vAlign w:val="center"/>
          </w:tcPr>
          <w:p w14:paraId="498199A6">
            <w:pPr>
              <w:widowControl/>
              <w:jc w:val="right"/>
              <w:textAlignment w:val="center"/>
              <w:rPr>
                <w:rFonts w:ascii="宋体" w:hAnsi="宋体" w:cs="宋体"/>
                <w:color w:val="FF0000"/>
                <w:sz w:val="16"/>
                <w:szCs w:val="16"/>
              </w:rPr>
            </w:pPr>
            <w:r>
              <w:rPr>
                <w:rFonts w:hint="eastAsia" w:ascii="宋体" w:hAnsi="宋体" w:cs="宋体"/>
                <w:color w:val="FF0000"/>
                <w:kern w:val="0"/>
                <w:sz w:val="16"/>
                <w:szCs w:val="16"/>
              </w:rPr>
              <w:t>01表</w:t>
            </w:r>
          </w:p>
        </w:tc>
      </w:tr>
      <w:tr w14:paraId="5DAE76D3">
        <w:tblPrEx>
          <w:tblCellMar>
            <w:top w:w="0" w:type="dxa"/>
            <w:left w:w="108" w:type="dxa"/>
            <w:bottom w:w="0" w:type="dxa"/>
            <w:right w:w="108" w:type="dxa"/>
          </w:tblCellMar>
        </w:tblPrEx>
        <w:trPr>
          <w:gridAfter w:val="3"/>
          <w:wAfter w:w="2630" w:type="dxa"/>
          <w:trHeight w:val="520"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1C3264FD">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项</w:t>
            </w:r>
          </w:p>
        </w:tc>
        <w:tc>
          <w:tcPr>
            <w:tcW w:w="581" w:type="dxa"/>
            <w:tcBorders>
              <w:top w:val="single" w:color="000000" w:sz="8" w:space="0"/>
              <w:left w:val="nil"/>
              <w:bottom w:val="single" w:color="000000" w:sz="4" w:space="0"/>
              <w:right w:val="single" w:color="000000" w:sz="4" w:space="0"/>
            </w:tcBorders>
            <w:shd w:val="clear" w:color="auto" w:fill="FFFFFF"/>
            <w:vAlign w:val="center"/>
          </w:tcPr>
          <w:p w14:paraId="24B90E9F">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目</w:t>
            </w:r>
          </w:p>
        </w:tc>
        <w:tc>
          <w:tcPr>
            <w:tcW w:w="581" w:type="dxa"/>
            <w:tcBorders>
              <w:top w:val="single" w:color="000000" w:sz="8" w:space="0"/>
              <w:left w:val="nil"/>
              <w:bottom w:val="single" w:color="000000" w:sz="4" w:space="0"/>
              <w:right w:val="single" w:color="000000" w:sz="4" w:space="0"/>
            </w:tcBorders>
            <w:shd w:val="clear" w:color="auto" w:fill="FFFFFF"/>
            <w:vAlign w:val="center"/>
          </w:tcPr>
          <w:p w14:paraId="09B379F4">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节</w:t>
            </w:r>
          </w:p>
        </w:tc>
        <w:tc>
          <w:tcPr>
            <w:tcW w:w="847" w:type="dxa"/>
            <w:tcBorders>
              <w:top w:val="single" w:color="000000" w:sz="8" w:space="0"/>
              <w:left w:val="nil"/>
              <w:bottom w:val="single" w:color="000000" w:sz="4" w:space="0"/>
              <w:right w:val="single" w:color="000000" w:sz="4" w:space="0"/>
            </w:tcBorders>
            <w:shd w:val="clear" w:color="auto" w:fill="FFFFFF"/>
            <w:vAlign w:val="center"/>
          </w:tcPr>
          <w:p w14:paraId="2FBB06ED">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细目</w:t>
            </w:r>
          </w:p>
        </w:tc>
        <w:tc>
          <w:tcPr>
            <w:tcW w:w="1427" w:type="dxa"/>
            <w:tcBorders>
              <w:top w:val="single" w:color="000000" w:sz="8" w:space="0"/>
              <w:left w:val="nil"/>
              <w:bottom w:val="single" w:color="000000" w:sz="4" w:space="0"/>
              <w:right w:val="single" w:color="000000" w:sz="4" w:space="0"/>
            </w:tcBorders>
            <w:shd w:val="clear" w:color="auto" w:fill="FFFFFF"/>
            <w:vAlign w:val="center"/>
          </w:tcPr>
          <w:p w14:paraId="1B91AC8B">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工程或费用名称</w:t>
            </w:r>
          </w:p>
        </w:tc>
        <w:tc>
          <w:tcPr>
            <w:tcW w:w="971" w:type="dxa"/>
            <w:tcBorders>
              <w:top w:val="single" w:color="000000" w:sz="8" w:space="0"/>
              <w:left w:val="nil"/>
              <w:bottom w:val="single" w:color="000000" w:sz="4" w:space="0"/>
              <w:right w:val="single" w:color="000000" w:sz="4" w:space="0"/>
            </w:tcBorders>
            <w:shd w:val="clear" w:color="auto" w:fill="FFFFFF"/>
            <w:vAlign w:val="center"/>
          </w:tcPr>
          <w:p w14:paraId="638E9EE4">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单位</w:t>
            </w:r>
          </w:p>
        </w:tc>
        <w:tc>
          <w:tcPr>
            <w:tcW w:w="915" w:type="dxa"/>
            <w:tcBorders>
              <w:top w:val="single" w:color="000000" w:sz="8" w:space="0"/>
              <w:left w:val="nil"/>
              <w:bottom w:val="single" w:color="000000" w:sz="4" w:space="0"/>
              <w:right w:val="single" w:color="000000" w:sz="4" w:space="0"/>
            </w:tcBorders>
            <w:shd w:val="clear" w:color="auto" w:fill="FFFFFF"/>
            <w:vAlign w:val="center"/>
          </w:tcPr>
          <w:p w14:paraId="52498F50">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数量</w:t>
            </w:r>
          </w:p>
        </w:tc>
        <w:tc>
          <w:tcPr>
            <w:tcW w:w="1178" w:type="dxa"/>
            <w:tcBorders>
              <w:top w:val="single" w:color="000000" w:sz="8" w:space="0"/>
              <w:left w:val="nil"/>
              <w:bottom w:val="single" w:color="000000" w:sz="4" w:space="0"/>
              <w:right w:val="single" w:color="000000" w:sz="4" w:space="0"/>
            </w:tcBorders>
            <w:shd w:val="clear" w:color="auto" w:fill="FFFFFF"/>
            <w:vAlign w:val="center"/>
          </w:tcPr>
          <w:p w14:paraId="77C1F334">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金额（元）</w:t>
            </w:r>
          </w:p>
        </w:tc>
        <w:tc>
          <w:tcPr>
            <w:tcW w:w="1409" w:type="dxa"/>
            <w:gridSpan w:val="2"/>
            <w:tcBorders>
              <w:top w:val="single" w:color="000000" w:sz="8" w:space="0"/>
              <w:left w:val="nil"/>
              <w:bottom w:val="single" w:color="000000" w:sz="4" w:space="0"/>
              <w:right w:val="single" w:color="000000" w:sz="4" w:space="0"/>
            </w:tcBorders>
            <w:shd w:val="clear" w:color="auto" w:fill="FFFFFF"/>
            <w:vAlign w:val="center"/>
          </w:tcPr>
          <w:p w14:paraId="6D5078AF">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技术经济指标</w:t>
            </w:r>
          </w:p>
        </w:tc>
        <w:tc>
          <w:tcPr>
            <w:tcW w:w="755" w:type="dxa"/>
            <w:tcBorders>
              <w:top w:val="single" w:color="000000" w:sz="8" w:space="0"/>
              <w:left w:val="nil"/>
              <w:bottom w:val="single" w:color="000000" w:sz="4" w:space="0"/>
              <w:right w:val="single" w:color="000000" w:sz="4" w:space="0"/>
            </w:tcBorders>
            <w:shd w:val="clear" w:color="auto" w:fill="FFFFFF"/>
            <w:vAlign w:val="center"/>
          </w:tcPr>
          <w:p w14:paraId="448FA1A7">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各项费用比例(%)</w:t>
            </w:r>
          </w:p>
        </w:tc>
        <w:tc>
          <w:tcPr>
            <w:tcW w:w="879" w:type="dxa"/>
            <w:gridSpan w:val="2"/>
            <w:tcBorders>
              <w:top w:val="single" w:color="000000" w:sz="8" w:space="0"/>
              <w:left w:val="nil"/>
              <w:bottom w:val="single" w:color="000000" w:sz="4" w:space="0"/>
              <w:right w:val="single" w:color="000000" w:sz="8" w:space="0"/>
            </w:tcBorders>
            <w:shd w:val="clear" w:color="auto" w:fill="FFFFFF"/>
            <w:vAlign w:val="center"/>
          </w:tcPr>
          <w:p w14:paraId="03A4E3E3">
            <w:pPr>
              <w:widowControl/>
              <w:jc w:val="center"/>
              <w:textAlignment w:val="center"/>
              <w:rPr>
                <w:rFonts w:ascii="宋体" w:hAnsi="宋体" w:cs="宋体"/>
                <w:b/>
                <w:bCs/>
                <w:color w:val="FF0000"/>
                <w:sz w:val="16"/>
                <w:szCs w:val="16"/>
              </w:rPr>
            </w:pPr>
            <w:r>
              <w:rPr>
                <w:rFonts w:hint="eastAsia" w:ascii="宋体" w:hAnsi="宋体" w:cs="宋体"/>
                <w:b/>
                <w:bCs/>
                <w:color w:val="FF0000"/>
                <w:kern w:val="0"/>
                <w:sz w:val="16"/>
                <w:szCs w:val="16"/>
              </w:rPr>
              <w:t>备注</w:t>
            </w:r>
          </w:p>
        </w:tc>
      </w:tr>
      <w:tr w14:paraId="253381BC">
        <w:tblPrEx>
          <w:tblCellMar>
            <w:top w:w="0" w:type="dxa"/>
            <w:left w:w="108" w:type="dxa"/>
            <w:bottom w:w="0" w:type="dxa"/>
            <w:right w:w="108" w:type="dxa"/>
          </w:tblCellMar>
        </w:tblPrEx>
        <w:trPr>
          <w:gridAfter w:val="3"/>
          <w:wAfter w:w="2630" w:type="dxa"/>
          <w:trHeight w:val="300" w:hRule="atLeast"/>
        </w:trPr>
        <w:tc>
          <w:tcPr>
            <w:tcW w:w="581" w:type="dxa"/>
            <w:tcBorders>
              <w:top w:val="nil"/>
              <w:left w:val="single" w:color="000000" w:sz="8" w:space="0"/>
              <w:bottom w:val="single" w:color="000000" w:sz="4" w:space="0"/>
              <w:right w:val="single" w:color="000000" w:sz="4" w:space="0"/>
            </w:tcBorders>
            <w:shd w:val="clear" w:color="auto" w:fill="FFFFFF"/>
            <w:vAlign w:val="center"/>
          </w:tcPr>
          <w:p w14:paraId="1C9FA85F">
            <w:pPr>
              <w:jc w:val="center"/>
              <w:rPr>
                <w:rFonts w:ascii="宋体" w:hAnsi="宋体" w:cs="宋体"/>
                <w:color w:val="FF0000"/>
                <w:sz w:val="16"/>
                <w:szCs w:val="16"/>
              </w:rPr>
            </w:pPr>
          </w:p>
        </w:tc>
        <w:tc>
          <w:tcPr>
            <w:tcW w:w="581" w:type="dxa"/>
            <w:tcBorders>
              <w:top w:val="nil"/>
              <w:left w:val="nil"/>
              <w:bottom w:val="single" w:color="000000" w:sz="4" w:space="0"/>
              <w:right w:val="single" w:color="000000" w:sz="4" w:space="0"/>
            </w:tcBorders>
            <w:shd w:val="clear" w:color="auto" w:fill="FFFFFF"/>
            <w:vAlign w:val="center"/>
          </w:tcPr>
          <w:p w14:paraId="175C77C2">
            <w:pPr>
              <w:jc w:val="center"/>
              <w:rPr>
                <w:rFonts w:ascii="宋体" w:hAnsi="宋体" w:cs="宋体"/>
                <w:color w:val="FF0000"/>
                <w:sz w:val="16"/>
                <w:szCs w:val="16"/>
              </w:rPr>
            </w:pPr>
          </w:p>
        </w:tc>
        <w:tc>
          <w:tcPr>
            <w:tcW w:w="581" w:type="dxa"/>
            <w:tcBorders>
              <w:top w:val="nil"/>
              <w:left w:val="nil"/>
              <w:bottom w:val="single" w:color="000000" w:sz="4" w:space="0"/>
              <w:right w:val="single" w:color="000000" w:sz="4" w:space="0"/>
            </w:tcBorders>
            <w:shd w:val="clear" w:color="auto" w:fill="FFFFFF"/>
            <w:vAlign w:val="center"/>
          </w:tcPr>
          <w:p w14:paraId="16B5E9ED">
            <w:pPr>
              <w:jc w:val="center"/>
              <w:rPr>
                <w:rFonts w:ascii="宋体" w:hAnsi="宋体" w:cs="宋体"/>
                <w:color w:val="FF0000"/>
                <w:sz w:val="16"/>
                <w:szCs w:val="16"/>
              </w:rPr>
            </w:pPr>
          </w:p>
        </w:tc>
        <w:tc>
          <w:tcPr>
            <w:tcW w:w="847" w:type="dxa"/>
            <w:tcBorders>
              <w:top w:val="nil"/>
              <w:left w:val="nil"/>
              <w:bottom w:val="single" w:color="000000" w:sz="4" w:space="0"/>
              <w:right w:val="single" w:color="000000" w:sz="4" w:space="0"/>
            </w:tcBorders>
            <w:shd w:val="clear" w:color="auto" w:fill="FFFFFF"/>
            <w:vAlign w:val="center"/>
          </w:tcPr>
          <w:p w14:paraId="75EA3BCC">
            <w:pPr>
              <w:jc w:val="center"/>
              <w:rPr>
                <w:rFonts w:ascii="宋体" w:hAnsi="宋体" w:cs="宋体"/>
                <w:color w:val="FF0000"/>
                <w:sz w:val="16"/>
                <w:szCs w:val="16"/>
              </w:rPr>
            </w:pPr>
          </w:p>
        </w:tc>
        <w:tc>
          <w:tcPr>
            <w:tcW w:w="1427" w:type="dxa"/>
            <w:tcBorders>
              <w:top w:val="nil"/>
              <w:left w:val="nil"/>
              <w:bottom w:val="single" w:color="000000" w:sz="4" w:space="0"/>
              <w:right w:val="single" w:color="000000" w:sz="4" w:space="0"/>
            </w:tcBorders>
            <w:shd w:val="clear" w:color="auto" w:fill="FFFFFF"/>
            <w:vAlign w:val="center"/>
          </w:tcPr>
          <w:p w14:paraId="4CE03A48">
            <w:pPr>
              <w:widowControl/>
              <w:jc w:val="left"/>
              <w:textAlignment w:val="center"/>
              <w:rPr>
                <w:rFonts w:ascii="宋体" w:hAnsi="宋体" w:cs="宋体"/>
                <w:color w:val="FF0000"/>
                <w:sz w:val="16"/>
                <w:szCs w:val="16"/>
              </w:rPr>
            </w:pPr>
            <w:r>
              <w:rPr>
                <w:rFonts w:hint="eastAsia" w:ascii="宋体" w:hAnsi="宋体" w:cs="宋体"/>
                <w:color w:val="FF0000"/>
                <w:kern w:val="0"/>
                <w:sz w:val="16"/>
                <w:szCs w:val="16"/>
              </w:rPr>
              <w:t>公路基本造价</w:t>
            </w:r>
          </w:p>
        </w:tc>
        <w:tc>
          <w:tcPr>
            <w:tcW w:w="971" w:type="dxa"/>
            <w:tcBorders>
              <w:top w:val="nil"/>
              <w:left w:val="nil"/>
              <w:bottom w:val="single" w:color="000000" w:sz="4" w:space="0"/>
              <w:right w:val="single" w:color="000000" w:sz="4" w:space="0"/>
            </w:tcBorders>
            <w:shd w:val="clear" w:color="auto" w:fill="FFFFFF"/>
            <w:vAlign w:val="center"/>
          </w:tcPr>
          <w:p w14:paraId="11BC3B0A">
            <w:pPr>
              <w:widowControl/>
              <w:jc w:val="center"/>
              <w:textAlignment w:val="center"/>
              <w:rPr>
                <w:rFonts w:ascii="宋体" w:hAnsi="宋体" w:cs="宋体"/>
                <w:color w:val="FF0000"/>
                <w:sz w:val="16"/>
                <w:szCs w:val="16"/>
              </w:rPr>
            </w:pPr>
            <w:r>
              <w:rPr>
                <w:rFonts w:hint="eastAsia" w:ascii="宋体" w:hAnsi="宋体" w:cs="宋体"/>
                <w:color w:val="FF0000"/>
                <w:kern w:val="0"/>
                <w:sz w:val="16"/>
                <w:szCs w:val="16"/>
              </w:rPr>
              <w:t>公路公里</w:t>
            </w:r>
          </w:p>
        </w:tc>
        <w:tc>
          <w:tcPr>
            <w:tcW w:w="915" w:type="dxa"/>
            <w:tcBorders>
              <w:top w:val="nil"/>
              <w:left w:val="nil"/>
              <w:bottom w:val="single" w:color="000000" w:sz="4" w:space="0"/>
              <w:right w:val="single" w:color="000000" w:sz="4" w:space="0"/>
            </w:tcBorders>
            <w:shd w:val="clear" w:color="auto" w:fill="FFFFFF"/>
            <w:vAlign w:val="center"/>
          </w:tcPr>
          <w:p w14:paraId="7E9C0973">
            <w:pPr>
              <w:jc w:val="right"/>
              <w:rPr>
                <w:rFonts w:ascii="Arial Narrow" w:hAnsi="Arial Narrow" w:eastAsia="Arial Narrow" w:cs="Arial Narrow"/>
                <w:color w:val="FF0000"/>
                <w:sz w:val="16"/>
                <w:szCs w:val="16"/>
              </w:rPr>
            </w:pPr>
          </w:p>
        </w:tc>
        <w:tc>
          <w:tcPr>
            <w:tcW w:w="1178" w:type="dxa"/>
            <w:tcBorders>
              <w:top w:val="nil"/>
              <w:left w:val="nil"/>
              <w:bottom w:val="single" w:color="000000" w:sz="4" w:space="0"/>
              <w:right w:val="single" w:color="000000" w:sz="4" w:space="0"/>
            </w:tcBorders>
            <w:shd w:val="clear" w:color="auto" w:fill="FFFFFF"/>
            <w:vAlign w:val="center"/>
          </w:tcPr>
          <w:p w14:paraId="4B85BB46">
            <w:pPr>
              <w:widowControl/>
              <w:jc w:val="right"/>
              <w:textAlignment w:val="center"/>
              <w:rPr>
                <w:rFonts w:ascii="Arial Narrow" w:hAnsi="Arial Narrow" w:eastAsia="Arial Narrow" w:cs="Arial Narrow"/>
                <w:color w:val="FF0000"/>
                <w:sz w:val="16"/>
                <w:szCs w:val="16"/>
              </w:rPr>
            </w:pPr>
          </w:p>
        </w:tc>
        <w:tc>
          <w:tcPr>
            <w:tcW w:w="1409" w:type="dxa"/>
            <w:gridSpan w:val="2"/>
            <w:tcBorders>
              <w:top w:val="nil"/>
              <w:left w:val="nil"/>
              <w:bottom w:val="single" w:color="000000" w:sz="4" w:space="0"/>
              <w:right w:val="single" w:color="000000" w:sz="4" w:space="0"/>
            </w:tcBorders>
            <w:shd w:val="clear" w:color="auto" w:fill="FFFFFF"/>
            <w:vAlign w:val="center"/>
          </w:tcPr>
          <w:p w14:paraId="5D73493F">
            <w:pPr>
              <w:jc w:val="right"/>
              <w:rPr>
                <w:rFonts w:ascii="Arial Narrow" w:hAnsi="Arial Narrow" w:eastAsia="Arial Narrow" w:cs="Arial Narrow"/>
                <w:color w:val="FF0000"/>
                <w:sz w:val="16"/>
                <w:szCs w:val="16"/>
              </w:rPr>
            </w:pPr>
          </w:p>
        </w:tc>
        <w:tc>
          <w:tcPr>
            <w:tcW w:w="755" w:type="dxa"/>
            <w:tcBorders>
              <w:top w:val="nil"/>
              <w:left w:val="nil"/>
              <w:bottom w:val="single" w:color="000000" w:sz="4" w:space="0"/>
              <w:right w:val="single" w:color="000000" w:sz="4" w:space="0"/>
            </w:tcBorders>
            <w:shd w:val="clear" w:color="auto" w:fill="FFFFFF"/>
            <w:vAlign w:val="center"/>
          </w:tcPr>
          <w:p w14:paraId="2F0AA2BB">
            <w:pPr>
              <w:widowControl/>
              <w:jc w:val="right"/>
              <w:textAlignment w:val="center"/>
              <w:rPr>
                <w:rFonts w:ascii="Arial Narrow" w:hAnsi="Arial Narrow" w:eastAsia="Arial Narrow" w:cs="Arial Narrow"/>
                <w:color w:val="FF0000"/>
                <w:sz w:val="16"/>
                <w:szCs w:val="16"/>
              </w:rPr>
            </w:pPr>
          </w:p>
        </w:tc>
        <w:tc>
          <w:tcPr>
            <w:tcW w:w="879" w:type="dxa"/>
            <w:gridSpan w:val="2"/>
            <w:tcBorders>
              <w:top w:val="nil"/>
              <w:left w:val="nil"/>
              <w:bottom w:val="single" w:color="000000" w:sz="4" w:space="0"/>
              <w:right w:val="single" w:color="000000" w:sz="8" w:space="0"/>
            </w:tcBorders>
            <w:shd w:val="clear" w:color="auto" w:fill="FFFFFF"/>
            <w:vAlign w:val="center"/>
          </w:tcPr>
          <w:p w14:paraId="5CFFF9DA">
            <w:pPr>
              <w:widowControl/>
              <w:jc w:val="left"/>
              <w:textAlignment w:val="center"/>
              <w:rPr>
                <w:rFonts w:ascii="宋体" w:hAnsi="宋体" w:cs="宋体"/>
                <w:color w:val="FF0000"/>
                <w:sz w:val="16"/>
                <w:szCs w:val="16"/>
              </w:rPr>
            </w:pPr>
          </w:p>
        </w:tc>
      </w:tr>
    </w:tbl>
    <w:p w14:paraId="54BDC769">
      <w:pPr>
        <w:spacing w:line="360" w:lineRule="auto"/>
        <w:textAlignment w:val="baseline"/>
        <w:rPr>
          <w:rFonts w:ascii="宋体" w:hAnsi="宋体" w:cs="宋体"/>
          <w:b/>
          <w:bCs/>
          <w:color w:val="FF0000"/>
          <w:sz w:val="18"/>
          <w:szCs w:val="18"/>
        </w:rPr>
      </w:pPr>
    </w:p>
    <w:p w14:paraId="7359E24B">
      <w:pPr>
        <w:spacing w:line="360" w:lineRule="auto"/>
        <w:textAlignment w:val="baseline"/>
        <w:rPr>
          <w:rFonts w:ascii="宋体" w:hAnsi="宋体" w:cs="宋体"/>
          <w:b/>
          <w:bCs/>
          <w:color w:val="FF0000"/>
          <w:sz w:val="18"/>
          <w:szCs w:val="18"/>
        </w:rPr>
      </w:pPr>
    </w:p>
    <w:p w14:paraId="1D6F1F06">
      <w:pPr>
        <w:spacing w:line="360" w:lineRule="auto"/>
        <w:ind w:right="23"/>
        <w:jc w:val="center"/>
        <w:textAlignment w:val="baseline"/>
        <w:outlineLvl w:val="0"/>
        <w:rPr>
          <w:rFonts w:ascii="宋体" w:hAnsi="宋体" w:cs="宋体"/>
          <w:b/>
          <w:sz w:val="32"/>
          <w:szCs w:val="32"/>
        </w:rPr>
      </w:pPr>
      <w:bookmarkStart w:id="10" w:name="_Toc23102"/>
      <w:r>
        <w:rPr>
          <w:rFonts w:hint="eastAsia" w:ascii="宋体" w:hAnsi="宋体" w:cs="宋体"/>
          <w:b/>
          <w:sz w:val="32"/>
          <w:szCs w:val="32"/>
        </w:rPr>
        <w:t>第五章 响应文件组成</w:t>
      </w:r>
      <w:bookmarkEnd w:id="10"/>
    </w:p>
    <w:p w14:paraId="5A85AE83">
      <w:pPr>
        <w:spacing w:line="360" w:lineRule="exact"/>
        <w:ind w:right="23"/>
        <w:textAlignment w:val="baseline"/>
        <w:rPr>
          <w:rFonts w:ascii="宋体" w:hAnsi="宋体" w:cs="宋体"/>
          <w:sz w:val="20"/>
        </w:rPr>
      </w:pPr>
    </w:p>
    <w:p w14:paraId="579330BE">
      <w:pPr>
        <w:spacing w:line="360" w:lineRule="exact"/>
        <w:ind w:right="23"/>
        <w:textAlignment w:val="baseline"/>
        <w:rPr>
          <w:rFonts w:ascii="宋体" w:hAnsi="宋体" w:cs="宋体"/>
          <w:sz w:val="20"/>
        </w:rPr>
      </w:pPr>
      <w:r>
        <w:rPr>
          <w:rFonts w:hint="eastAsia" w:ascii="宋体" w:hAnsi="宋体" w:cs="宋体"/>
        </w:rPr>
        <w:t>供应商的响应文件应包含以下九个部分：</w:t>
      </w:r>
    </w:p>
    <w:p w14:paraId="781E207F">
      <w:pPr>
        <w:spacing w:line="360" w:lineRule="exact"/>
        <w:ind w:right="23"/>
        <w:textAlignment w:val="baseline"/>
        <w:rPr>
          <w:rFonts w:ascii="宋体" w:hAnsi="宋体" w:cs="宋体"/>
          <w:sz w:val="20"/>
        </w:rPr>
      </w:pPr>
    </w:p>
    <w:p w14:paraId="24FECB9D">
      <w:pPr>
        <w:snapToGrid w:val="0"/>
        <w:spacing w:line="360" w:lineRule="auto"/>
        <w:ind w:right="21"/>
        <w:jc w:val="left"/>
        <w:textAlignment w:val="baseline"/>
        <w:rPr>
          <w:rFonts w:ascii="宋体" w:hAnsi="宋体" w:cs="宋体"/>
          <w:b/>
          <w:sz w:val="20"/>
          <w:szCs w:val="21"/>
        </w:rPr>
      </w:pPr>
      <w:r>
        <w:rPr>
          <w:rFonts w:hint="eastAsia" w:ascii="宋体" w:hAnsi="宋体" w:cs="宋体"/>
          <w:b/>
          <w:szCs w:val="21"/>
        </w:rPr>
        <w:t>一、磋商响应声明</w:t>
      </w:r>
    </w:p>
    <w:p w14:paraId="0D6B41E3">
      <w:pPr>
        <w:snapToGrid w:val="0"/>
        <w:spacing w:line="360" w:lineRule="auto"/>
        <w:ind w:right="21" w:firstLine="420" w:firstLineChars="200"/>
        <w:jc w:val="left"/>
        <w:textAlignment w:val="baseline"/>
        <w:rPr>
          <w:rFonts w:ascii="宋体" w:hAnsi="宋体" w:cs="宋体"/>
          <w:sz w:val="20"/>
          <w:szCs w:val="21"/>
        </w:rPr>
      </w:pPr>
      <w:r>
        <w:rPr>
          <w:rFonts w:hint="eastAsia" w:ascii="宋体" w:hAnsi="宋体" w:cs="宋体"/>
          <w:szCs w:val="21"/>
        </w:rPr>
        <w:t>附件1：法定代表人身份证明</w:t>
      </w:r>
    </w:p>
    <w:p w14:paraId="6DDA9A86">
      <w:pPr>
        <w:snapToGrid w:val="0"/>
        <w:spacing w:line="360" w:lineRule="auto"/>
        <w:ind w:right="21" w:firstLine="420" w:firstLineChars="200"/>
        <w:jc w:val="left"/>
        <w:textAlignment w:val="baseline"/>
        <w:rPr>
          <w:rFonts w:ascii="宋体" w:hAnsi="宋体" w:cs="宋体"/>
          <w:sz w:val="20"/>
          <w:szCs w:val="21"/>
        </w:rPr>
      </w:pPr>
      <w:r>
        <w:rPr>
          <w:rFonts w:hint="eastAsia" w:ascii="宋体" w:hAnsi="宋体" w:cs="宋体"/>
          <w:szCs w:val="21"/>
        </w:rPr>
        <w:t>附件2：法定代表人授权书</w:t>
      </w:r>
    </w:p>
    <w:p w14:paraId="38BDBAE9">
      <w:pPr>
        <w:snapToGrid w:val="0"/>
        <w:spacing w:line="360" w:lineRule="auto"/>
        <w:ind w:right="21" w:firstLine="420" w:firstLineChars="200"/>
        <w:jc w:val="left"/>
        <w:textAlignment w:val="baseline"/>
        <w:rPr>
          <w:rFonts w:ascii="宋体" w:hAnsi="宋体" w:cs="宋体"/>
          <w:sz w:val="20"/>
          <w:szCs w:val="21"/>
        </w:rPr>
      </w:pPr>
      <w:r>
        <w:rPr>
          <w:rFonts w:hint="eastAsia" w:ascii="宋体" w:hAnsi="宋体" w:cs="宋体"/>
          <w:szCs w:val="21"/>
        </w:rPr>
        <w:t>附件3：不拖欠民工工资承诺书</w:t>
      </w:r>
    </w:p>
    <w:p w14:paraId="0E7F4ACC">
      <w:pPr>
        <w:snapToGrid w:val="0"/>
        <w:spacing w:line="360" w:lineRule="auto"/>
        <w:ind w:right="21"/>
        <w:jc w:val="left"/>
        <w:textAlignment w:val="baseline"/>
        <w:rPr>
          <w:rFonts w:ascii="宋体" w:hAnsi="宋体" w:cs="宋体"/>
          <w:b/>
          <w:sz w:val="20"/>
          <w:szCs w:val="21"/>
        </w:rPr>
      </w:pPr>
      <w:r>
        <w:rPr>
          <w:rFonts w:hint="eastAsia" w:ascii="宋体" w:hAnsi="宋体" w:cs="宋体"/>
          <w:b/>
          <w:szCs w:val="21"/>
        </w:rPr>
        <w:t>二、供应商的资格证明材料</w:t>
      </w:r>
    </w:p>
    <w:p w14:paraId="3BD74342">
      <w:pPr>
        <w:snapToGrid w:val="0"/>
        <w:spacing w:line="360" w:lineRule="auto"/>
        <w:ind w:right="21" w:firstLine="420" w:firstLineChars="200"/>
        <w:jc w:val="left"/>
        <w:textAlignment w:val="baseline"/>
        <w:rPr>
          <w:rFonts w:ascii="宋体" w:hAnsi="宋体" w:cs="宋体"/>
          <w:sz w:val="20"/>
          <w:szCs w:val="21"/>
        </w:rPr>
      </w:pPr>
      <w:r>
        <w:rPr>
          <w:rFonts w:hint="eastAsia" w:ascii="宋体" w:hAnsi="宋体" w:cs="宋体"/>
          <w:szCs w:val="21"/>
        </w:rPr>
        <w:t>附件4：供应商基本情况表</w:t>
      </w:r>
    </w:p>
    <w:p w14:paraId="05CE417B">
      <w:pPr>
        <w:pStyle w:val="26"/>
        <w:snapToGrid w:val="0"/>
        <w:spacing w:line="360" w:lineRule="auto"/>
        <w:ind w:right="21"/>
        <w:textAlignment w:val="baseline"/>
        <w:rPr>
          <w:rFonts w:hAnsi="宋体" w:cs="宋体"/>
          <w:b/>
          <w:sz w:val="21"/>
        </w:rPr>
      </w:pPr>
      <w:r>
        <w:rPr>
          <w:rFonts w:hint="eastAsia" w:hAnsi="宋体" w:cs="宋体"/>
          <w:b/>
          <w:sz w:val="21"/>
          <w:lang w:eastAsia="zh-CN"/>
        </w:rPr>
        <w:t>三</w:t>
      </w:r>
      <w:r>
        <w:rPr>
          <w:rFonts w:hint="eastAsia" w:hAnsi="宋体" w:cs="宋体"/>
          <w:b/>
          <w:sz w:val="21"/>
        </w:rPr>
        <w:t>、施工组织设计</w:t>
      </w:r>
    </w:p>
    <w:p w14:paraId="08152EDB">
      <w:pPr>
        <w:snapToGrid w:val="0"/>
        <w:spacing w:line="360" w:lineRule="auto"/>
        <w:ind w:left="-88" w:leftChars="-42" w:right="21" w:firstLine="210" w:firstLineChars="100"/>
        <w:textAlignment w:val="baseline"/>
        <w:rPr>
          <w:rFonts w:ascii="宋体" w:hAnsi="宋体" w:cs="宋体"/>
          <w:sz w:val="20"/>
          <w:szCs w:val="21"/>
        </w:rPr>
      </w:pPr>
      <w:r>
        <w:rPr>
          <w:rFonts w:hint="eastAsia" w:ascii="宋体" w:hAnsi="宋体" w:cs="宋体"/>
          <w:szCs w:val="21"/>
        </w:rPr>
        <w:t xml:space="preserve">   附件5：施工组织设计</w:t>
      </w:r>
    </w:p>
    <w:p w14:paraId="50AD2781">
      <w:pPr>
        <w:snapToGrid w:val="0"/>
        <w:spacing w:line="360" w:lineRule="auto"/>
        <w:ind w:left="-88" w:leftChars="-42" w:right="21" w:firstLine="525" w:firstLineChars="250"/>
        <w:textAlignment w:val="baseline"/>
        <w:rPr>
          <w:rFonts w:ascii="宋体" w:hAnsi="宋体" w:cs="宋体"/>
          <w:bCs/>
          <w:sz w:val="20"/>
          <w:szCs w:val="21"/>
        </w:rPr>
      </w:pPr>
      <w:r>
        <w:rPr>
          <w:rFonts w:hint="eastAsia" w:ascii="宋体" w:hAnsi="宋体" w:cs="宋体"/>
          <w:szCs w:val="21"/>
        </w:rPr>
        <w:t>附件5-1：主要人员简历表</w:t>
      </w:r>
    </w:p>
    <w:p w14:paraId="5837049D">
      <w:pPr>
        <w:pStyle w:val="26"/>
        <w:snapToGrid w:val="0"/>
        <w:spacing w:line="360" w:lineRule="auto"/>
        <w:ind w:right="21"/>
        <w:textAlignment w:val="baseline"/>
        <w:rPr>
          <w:rFonts w:hAnsi="宋体" w:cs="宋体"/>
          <w:b/>
          <w:sz w:val="21"/>
        </w:rPr>
      </w:pPr>
      <w:r>
        <w:rPr>
          <w:rFonts w:hint="eastAsia" w:hAnsi="宋体" w:cs="宋体"/>
          <w:b/>
          <w:sz w:val="21"/>
        </w:rPr>
        <w:t>五、技术/商务响应与偏离表</w:t>
      </w:r>
    </w:p>
    <w:p w14:paraId="7D71F62C">
      <w:pPr>
        <w:pStyle w:val="26"/>
        <w:snapToGrid w:val="0"/>
        <w:spacing w:line="360" w:lineRule="auto"/>
        <w:ind w:right="21"/>
        <w:textAlignment w:val="baseline"/>
        <w:rPr>
          <w:rFonts w:hAnsi="宋体" w:cs="宋体"/>
          <w:b/>
          <w:sz w:val="21"/>
        </w:rPr>
      </w:pPr>
      <w:r>
        <w:rPr>
          <w:rFonts w:hint="eastAsia" w:hAnsi="宋体" w:cs="宋体"/>
          <w:b/>
          <w:sz w:val="21"/>
        </w:rPr>
        <w:t>六、提供政府采购政策产品等证明材料</w:t>
      </w:r>
    </w:p>
    <w:p w14:paraId="63D22257">
      <w:pPr>
        <w:pStyle w:val="26"/>
        <w:snapToGrid w:val="0"/>
        <w:spacing w:line="360" w:lineRule="auto"/>
        <w:ind w:right="21" w:firstLine="420" w:firstLineChars="200"/>
        <w:textAlignment w:val="baseline"/>
        <w:rPr>
          <w:rFonts w:hAnsi="宋体" w:cs="宋体"/>
          <w:sz w:val="21"/>
        </w:rPr>
      </w:pPr>
      <w:r>
        <w:rPr>
          <w:rFonts w:hint="eastAsia" w:hAnsi="宋体" w:cs="宋体"/>
          <w:sz w:val="21"/>
        </w:rPr>
        <w:t>附件</w:t>
      </w:r>
      <w:r>
        <w:rPr>
          <w:rFonts w:hint="eastAsia" w:hAnsi="宋体" w:cs="宋体"/>
          <w:sz w:val="21"/>
          <w:lang w:val="en-US" w:eastAsia="zh-CN"/>
        </w:rPr>
        <w:t>6</w:t>
      </w:r>
      <w:r>
        <w:rPr>
          <w:rFonts w:hint="eastAsia" w:hAnsi="宋体" w:cs="宋体"/>
          <w:sz w:val="21"/>
        </w:rPr>
        <w:t>：中小企业声明函</w:t>
      </w:r>
    </w:p>
    <w:p w14:paraId="0F687942">
      <w:pPr>
        <w:pStyle w:val="26"/>
        <w:snapToGrid w:val="0"/>
        <w:spacing w:line="360" w:lineRule="auto"/>
        <w:ind w:right="21"/>
        <w:textAlignment w:val="baseline"/>
        <w:rPr>
          <w:rFonts w:hAnsi="宋体" w:cs="宋体"/>
          <w:b/>
          <w:sz w:val="21"/>
        </w:rPr>
      </w:pPr>
      <w:r>
        <w:rPr>
          <w:rFonts w:hint="eastAsia" w:hAnsi="宋体" w:cs="宋体"/>
          <w:b/>
          <w:sz w:val="21"/>
        </w:rPr>
        <w:t>七、报价一览表及报价文件</w:t>
      </w:r>
    </w:p>
    <w:p w14:paraId="1151340B">
      <w:pPr>
        <w:snapToGrid w:val="0"/>
        <w:spacing w:line="360" w:lineRule="auto"/>
        <w:ind w:right="21" w:firstLine="420" w:firstLineChars="200"/>
        <w:jc w:val="left"/>
        <w:textAlignment w:val="baseline"/>
        <w:rPr>
          <w:rFonts w:ascii="宋体" w:hAnsi="宋体" w:cs="宋体"/>
          <w:sz w:val="20"/>
          <w:szCs w:val="21"/>
        </w:rPr>
      </w:pPr>
      <w:r>
        <w:rPr>
          <w:rFonts w:hint="eastAsia" w:ascii="宋体" w:hAnsi="宋体" w:cs="宋体"/>
          <w:szCs w:val="21"/>
        </w:rPr>
        <w:t>附件7-1：报价一览表</w:t>
      </w:r>
    </w:p>
    <w:p w14:paraId="211A67DA">
      <w:pPr>
        <w:pStyle w:val="26"/>
        <w:snapToGrid w:val="0"/>
        <w:spacing w:line="360" w:lineRule="auto"/>
        <w:ind w:right="21" w:firstLine="420" w:firstLineChars="200"/>
        <w:textAlignment w:val="baseline"/>
        <w:rPr>
          <w:rFonts w:hAnsi="宋体" w:cs="宋体"/>
          <w:b/>
          <w:bCs/>
          <w:sz w:val="21"/>
        </w:rPr>
      </w:pPr>
      <w:r>
        <w:rPr>
          <w:rFonts w:hint="eastAsia" w:hAnsi="宋体" w:cs="宋体"/>
          <w:sz w:val="21"/>
        </w:rPr>
        <w:t>附件</w:t>
      </w:r>
      <w:r>
        <w:rPr>
          <w:rFonts w:hint="eastAsia" w:hAnsi="宋体" w:cs="宋体"/>
          <w:sz w:val="21"/>
          <w:lang w:val="en-US" w:eastAsia="zh-CN"/>
        </w:rPr>
        <w:t>7</w:t>
      </w:r>
      <w:r>
        <w:rPr>
          <w:rFonts w:hint="eastAsia" w:hAnsi="宋体" w:cs="宋体"/>
          <w:sz w:val="21"/>
        </w:rPr>
        <w:t>-2：报价书</w:t>
      </w:r>
    </w:p>
    <w:p w14:paraId="32A50EDF">
      <w:pPr>
        <w:pStyle w:val="26"/>
        <w:snapToGrid w:val="0"/>
        <w:spacing w:line="360" w:lineRule="auto"/>
        <w:ind w:right="21"/>
        <w:textAlignment w:val="baseline"/>
        <w:rPr>
          <w:rFonts w:hAnsi="宋体" w:cs="宋体"/>
          <w:b/>
          <w:sz w:val="21"/>
        </w:rPr>
      </w:pPr>
      <w:r>
        <w:rPr>
          <w:rFonts w:hint="eastAsia" w:hAnsi="宋体" w:cs="宋体"/>
          <w:b/>
          <w:sz w:val="21"/>
        </w:rPr>
        <w:t>八、供应商认为需要提供的其它资料</w:t>
      </w:r>
    </w:p>
    <w:p w14:paraId="374BA205">
      <w:pPr>
        <w:pStyle w:val="26"/>
        <w:snapToGrid w:val="0"/>
        <w:spacing w:line="360" w:lineRule="auto"/>
        <w:ind w:right="21"/>
        <w:textAlignment w:val="baseline"/>
        <w:rPr>
          <w:rFonts w:hAnsi="宋体" w:cs="宋体"/>
          <w:b/>
          <w:sz w:val="21"/>
        </w:rPr>
      </w:pPr>
      <w:r>
        <w:rPr>
          <w:rFonts w:hint="eastAsia" w:hAnsi="宋体" w:cs="宋体"/>
          <w:b/>
          <w:sz w:val="21"/>
        </w:rPr>
        <w:t>九、最后报价</w:t>
      </w:r>
    </w:p>
    <w:p w14:paraId="795442A7">
      <w:pPr>
        <w:spacing w:line="360" w:lineRule="exact"/>
        <w:ind w:right="23"/>
        <w:textAlignment w:val="baseline"/>
        <w:rPr>
          <w:rFonts w:ascii="宋体" w:hAnsi="宋体" w:cs="宋体"/>
          <w:b/>
          <w:sz w:val="20"/>
        </w:rPr>
      </w:pPr>
    </w:p>
    <w:p w14:paraId="4BF5F392">
      <w:pPr>
        <w:spacing w:line="360" w:lineRule="exact"/>
        <w:ind w:right="23"/>
        <w:textAlignment w:val="baseline"/>
        <w:rPr>
          <w:rFonts w:ascii="宋体" w:hAnsi="宋体" w:cs="宋体"/>
          <w:b/>
          <w:sz w:val="20"/>
        </w:rPr>
      </w:pPr>
    </w:p>
    <w:p w14:paraId="520F3C72">
      <w:pPr>
        <w:spacing w:line="360" w:lineRule="exact"/>
        <w:ind w:right="23"/>
        <w:textAlignment w:val="baseline"/>
        <w:rPr>
          <w:rFonts w:ascii="宋体" w:hAnsi="宋体" w:cs="宋体"/>
          <w:b/>
          <w:sz w:val="20"/>
        </w:rPr>
      </w:pPr>
    </w:p>
    <w:p w14:paraId="0F87097F">
      <w:pPr>
        <w:spacing w:line="360" w:lineRule="exact"/>
        <w:ind w:right="23"/>
        <w:textAlignment w:val="baseline"/>
        <w:rPr>
          <w:rFonts w:ascii="宋体" w:hAnsi="宋体" w:cs="宋体"/>
          <w:b/>
          <w:sz w:val="20"/>
        </w:rPr>
      </w:pPr>
    </w:p>
    <w:p w14:paraId="10A485EC">
      <w:pPr>
        <w:spacing w:line="360" w:lineRule="exact"/>
        <w:jc w:val="center"/>
        <w:textAlignment w:val="baseline"/>
        <w:rPr>
          <w:rFonts w:ascii="宋体" w:hAnsi="宋体" w:cs="宋体"/>
          <w:b/>
          <w:sz w:val="32"/>
          <w:szCs w:val="32"/>
        </w:rPr>
      </w:pPr>
      <w:r>
        <w:rPr>
          <w:rFonts w:hint="eastAsia" w:ascii="宋体" w:hAnsi="宋体" w:cs="宋体"/>
          <w:b/>
          <w:sz w:val="32"/>
          <w:szCs w:val="32"/>
        </w:rPr>
        <w:br w:type="page"/>
      </w:r>
    </w:p>
    <w:p w14:paraId="20EB79BF">
      <w:pPr>
        <w:numPr>
          <w:ilvl w:val="0"/>
          <w:numId w:val="7"/>
        </w:numPr>
        <w:spacing w:line="360" w:lineRule="exact"/>
        <w:jc w:val="center"/>
        <w:textAlignment w:val="baseline"/>
        <w:rPr>
          <w:rFonts w:ascii="宋体" w:hAnsi="宋体" w:cs="宋体"/>
          <w:b/>
          <w:sz w:val="32"/>
        </w:rPr>
      </w:pPr>
      <w:r>
        <w:rPr>
          <w:rFonts w:hint="eastAsia" w:ascii="宋体" w:hAnsi="宋体" w:cs="宋体"/>
          <w:b/>
          <w:sz w:val="32"/>
          <w:szCs w:val="32"/>
        </w:rPr>
        <w:t>磋商响应声明</w:t>
      </w:r>
    </w:p>
    <w:p w14:paraId="5E56745B">
      <w:pPr>
        <w:pStyle w:val="46"/>
        <w:ind w:left="421"/>
        <w:textAlignment w:val="baseline"/>
        <w:rPr>
          <w:sz w:val="21"/>
        </w:rPr>
      </w:pPr>
    </w:p>
    <w:p w14:paraId="2B48F29A">
      <w:pPr>
        <w:snapToGrid w:val="0"/>
        <w:spacing w:line="360" w:lineRule="auto"/>
        <w:textAlignment w:val="baseline"/>
        <w:rPr>
          <w:rFonts w:ascii="宋体" w:hAnsi="宋体" w:cs="宋体"/>
          <w:sz w:val="20"/>
          <w:szCs w:val="21"/>
        </w:rPr>
      </w:pPr>
      <w:r>
        <w:rPr>
          <w:rFonts w:hint="eastAsia" w:ascii="宋体" w:hAnsi="宋体" w:cs="宋体"/>
          <w:szCs w:val="21"/>
        </w:rPr>
        <w:t>致 (采购人、采购代理机构)：</w:t>
      </w:r>
    </w:p>
    <w:p w14:paraId="2ACB3652">
      <w:pPr>
        <w:snapToGrid w:val="0"/>
        <w:spacing w:line="360" w:lineRule="auto"/>
        <w:ind w:firstLine="420" w:firstLineChars="200"/>
        <w:textAlignment w:val="baseline"/>
        <w:rPr>
          <w:rFonts w:ascii="宋体" w:hAnsi="宋体" w:cs="宋体"/>
          <w:sz w:val="20"/>
          <w:szCs w:val="21"/>
        </w:rPr>
      </w:pPr>
      <w:r>
        <w:rPr>
          <w:rFonts w:hint="eastAsia" w:ascii="宋体" w:hAnsi="宋体" w:cs="宋体"/>
          <w:szCs w:val="21"/>
        </w:rPr>
        <w:t>我方已仔细研究了</w:t>
      </w:r>
      <w:r>
        <w:rPr>
          <w:rFonts w:hint="eastAsia" w:ascii="宋体" w:hAnsi="宋体" w:cs="宋体"/>
          <w:szCs w:val="21"/>
          <w:u w:val="single" w:color="000000"/>
        </w:rPr>
        <w:t xml:space="preserve">                 (</w:t>
      </w:r>
      <w:r>
        <w:rPr>
          <w:rFonts w:hint="eastAsia" w:ascii="宋体" w:hAnsi="宋体" w:cs="宋体"/>
          <w:szCs w:val="21"/>
        </w:rPr>
        <w:t>项目名称)的竞争性磋商文件（采购代理编号：）的全部内容，知悉参加竞争性磋商的风险，我方承诺接受磋商文件的全部条款且无任何异议。</w:t>
      </w:r>
    </w:p>
    <w:p w14:paraId="6DB9D25F">
      <w:pPr>
        <w:pStyle w:val="26"/>
        <w:snapToGrid w:val="0"/>
        <w:spacing w:line="360" w:lineRule="auto"/>
        <w:ind w:firstLine="420" w:firstLineChars="200"/>
        <w:textAlignment w:val="baseline"/>
        <w:rPr>
          <w:rFonts w:hAnsi="宋体" w:cs="宋体"/>
          <w:sz w:val="21"/>
        </w:rPr>
      </w:pPr>
      <w:r>
        <w:rPr>
          <w:rFonts w:hint="eastAsia" w:hAnsi="宋体" w:cs="宋体"/>
          <w:sz w:val="21"/>
        </w:rPr>
        <w:t>一、我方同意在磋商文件中规定的提交首次响应文件截止时间起</w:t>
      </w:r>
      <w:r>
        <w:rPr>
          <w:rFonts w:hint="eastAsia" w:hAnsi="宋体" w:cs="宋体"/>
          <w:sz w:val="21"/>
          <w:u w:val="single" w:color="000000"/>
          <w:lang w:val="en-US" w:eastAsia="zh-CN"/>
        </w:rPr>
        <w:t>90</w:t>
      </w:r>
      <w:r>
        <w:rPr>
          <w:rFonts w:hint="eastAsia" w:hAnsi="宋体" w:cs="宋体"/>
          <w:sz w:val="21"/>
        </w:rPr>
        <w:t>日内(响应文件有效期)遵守本响应文件中的承诺且在此期限期满之前均具有法律约束力。</w:t>
      </w:r>
    </w:p>
    <w:p w14:paraId="08BF1A5D">
      <w:pPr>
        <w:pStyle w:val="26"/>
        <w:snapToGrid w:val="0"/>
        <w:spacing w:line="360" w:lineRule="auto"/>
        <w:ind w:firstLine="420" w:firstLineChars="200"/>
        <w:textAlignment w:val="baseline"/>
        <w:rPr>
          <w:rFonts w:hAnsi="宋体" w:cs="宋体"/>
          <w:sz w:val="21"/>
        </w:rPr>
      </w:pPr>
      <w:r>
        <w:rPr>
          <w:rFonts w:hint="eastAsia" w:hAnsi="宋体" w:cs="宋体"/>
          <w:sz w:val="21"/>
        </w:rPr>
        <w:t>二、我方提交响应文件正本一份和副本一式份</w:t>
      </w:r>
      <w:r>
        <w:rPr>
          <w:rFonts w:hint="eastAsia" w:hAnsi="宋体" w:cs="宋体"/>
          <w:sz w:val="21"/>
          <w:lang w:eastAsia="zh-CN"/>
        </w:rPr>
        <w:t>，电子版</w:t>
      </w:r>
      <w:r>
        <w:rPr>
          <w:rFonts w:hint="eastAsia" w:hAnsi="宋体" w:cs="宋体"/>
          <w:sz w:val="21"/>
          <w:lang w:val="en-US" w:eastAsia="zh-CN"/>
        </w:rPr>
        <w:t>份</w:t>
      </w:r>
      <w:r>
        <w:rPr>
          <w:rFonts w:hint="eastAsia" w:hAnsi="宋体" w:cs="宋体"/>
          <w:sz w:val="21"/>
        </w:rPr>
        <w:t>，并保证响应文件提供的数据和资料全部内容真实、合法、准确和完整，我们对此负责，并愿承担由此引起的法律责任。</w:t>
      </w:r>
    </w:p>
    <w:p w14:paraId="722F88DD">
      <w:pPr>
        <w:pStyle w:val="26"/>
        <w:snapToGrid w:val="0"/>
        <w:spacing w:line="360" w:lineRule="auto"/>
        <w:ind w:firstLine="420" w:firstLineChars="200"/>
        <w:textAlignment w:val="baseline"/>
        <w:rPr>
          <w:rFonts w:hAnsi="宋体" w:cs="宋体"/>
          <w:sz w:val="21"/>
        </w:rPr>
      </w:pPr>
      <w:r>
        <w:rPr>
          <w:rFonts w:hint="eastAsia" w:hAnsi="宋体" w:cs="宋体"/>
          <w:sz w:val="21"/>
        </w:rPr>
        <w:t>三、我方愿意向贵方提供任何与本项采购有关的数据、情况和技术资料。若贵方需要，我方愿意提供我方作出的一切承诺的证明资料。</w:t>
      </w:r>
    </w:p>
    <w:p w14:paraId="58DC3208">
      <w:pPr>
        <w:pStyle w:val="26"/>
        <w:snapToGrid w:val="0"/>
        <w:spacing w:line="360" w:lineRule="auto"/>
        <w:ind w:firstLine="420" w:firstLineChars="200"/>
        <w:textAlignment w:val="baseline"/>
        <w:rPr>
          <w:rFonts w:hAnsi="宋体" w:cs="宋体"/>
          <w:sz w:val="21"/>
        </w:rPr>
      </w:pPr>
      <w:r>
        <w:rPr>
          <w:rFonts w:hint="eastAsia" w:hAnsi="宋体" w:cs="宋体"/>
          <w:sz w:val="21"/>
        </w:rPr>
        <w:t>四、我方愿意按磋商文件规定和磋商小组要求重新提交响应文件和最后报价。</w:t>
      </w:r>
    </w:p>
    <w:p w14:paraId="549C9342">
      <w:pPr>
        <w:pStyle w:val="26"/>
        <w:snapToGrid w:val="0"/>
        <w:spacing w:line="360" w:lineRule="auto"/>
        <w:ind w:firstLine="420" w:firstLineChars="200"/>
        <w:textAlignment w:val="baseline"/>
        <w:rPr>
          <w:rFonts w:hAnsi="宋体" w:cs="宋体"/>
          <w:sz w:val="21"/>
        </w:rPr>
      </w:pPr>
      <w:r>
        <w:rPr>
          <w:rFonts w:hint="eastAsia" w:hAnsi="宋体" w:cs="宋体"/>
          <w:sz w:val="21"/>
        </w:rPr>
        <w:t>五、我方承诺遵守《中华人民共和国政府采购法》的有关规定，保证在获得成交资格后，按照磋商文件确定的事项签订政府采购合同，履行双方所签订的合同，并承担合同规定的责任和义务。</w:t>
      </w:r>
    </w:p>
    <w:p w14:paraId="1CEF39C7">
      <w:pPr>
        <w:pStyle w:val="26"/>
        <w:snapToGrid w:val="0"/>
        <w:spacing w:line="360" w:lineRule="auto"/>
        <w:ind w:firstLine="420" w:firstLineChars="200"/>
        <w:textAlignment w:val="baseline"/>
        <w:rPr>
          <w:rFonts w:hAnsi="宋体" w:cs="宋体"/>
          <w:sz w:val="21"/>
        </w:rPr>
      </w:pPr>
      <w:r>
        <w:rPr>
          <w:rFonts w:hint="eastAsia" w:hAnsi="宋体" w:cs="宋体"/>
          <w:sz w:val="21"/>
        </w:rPr>
        <w:t xml:space="preserve">六、我方在此声明： </w:t>
      </w:r>
    </w:p>
    <w:p w14:paraId="2330C980">
      <w:pPr>
        <w:pStyle w:val="26"/>
        <w:snapToGrid w:val="0"/>
        <w:spacing w:line="360" w:lineRule="auto"/>
        <w:ind w:firstLine="420" w:firstLineChars="200"/>
        <w:textAlignment w:val="baseline"/>
        <w:rPr>
          <w:rFonts w:hAnsi="宋体" w:cs="宋体"/>
          <w:sz w:val="21"/>
        </w:rPr>
      </w:pPr>
      <w:r>
        <w:rPr>
          <w:rFonts w:hint="eastAsia" w:hAnsi="宋体" w:cs="宋体"/>
          <w:sz w:val="21"/>
        </w:rPr>
        <w:t>（一）我方与采购人或采购代理机构不存在隶属关系或者其他利害关系。</w:t>
      </w:r>
    </w:p>
    <w:p w14:paraId="385FA025">
      <w:pPr>
        <w:pStyle w:val="26"/>
        <w:snapToGrid w:val="0"/>
        <w:spacing w:line="360" w:lineRule="auto"/>
        <w:ind w:firstLine="420" w:firstLineChars="200"/>
        <w:textAlignment w:val="baseline"/>
        <w:rPr>
          <w:rFonts w:hAnsi="宋体" w:cs="宋体"/>
          <w:sz w:val="21"/>
        </w:rPr>
      </w:pPr>
      <w:r>
        <w:rPr>
          <w:rFonts w:hint="eastAsia" w:hAnsi="宋体" w:cs="宋体"/>
          <w:sz w:val="21"/>
        </w:rPr>
        <w:t>（二）我方与参加本项目的其他供应商不存在直接控股、管理关系，或者与其他供应商法定代表人（或者负责人）为同一人。</w:t>
      </w:r>
    </w:p>
    <w:p w14:paraId="74767DE8">
      <w:pPr>
        <w:pStyle w:val="26"/>
        <w:snapToGrid w:val="0"/>
        <w:spacing w:line="360" w:lineRule="auto"/>
        <w:ind w:firstLine="420" w:firstLineChars="200"/>
        <w:textAlignment w:val="baseline"/>
        <w:rPr>
          <w:rFonts w:hAnsi="宋体" w:cs="宋体"/>
          <w:sz w:val="21"/>
        </w:rPr>
      </w:pPr>
      <w:r>
        <w:rPr>
          <w:rFonts w:hint="eastAsia" w:hAnsi="宋体" w:cs="宋体"/>
          <w:sz w:val="21"/>
        </w:rPr>
        <w:t>（三）我方未为本项目前期准备提供设计或咨询服务。</w:t>
      </w:r>
    </w:p>
    <w:p w14:paraId="1CB8D87F">
      <w:pPr>
        <w:pStyle w:val="26"/>
        <w:snapToGrid w:val="0"/>
        <w:spacing w:line="360" w:lineRule="auto"/>
        <w:ind w:firstLine="420" w:firstLineChars="200"/>
        <w:textAlignment w:val="baseline"/>
        <w:rPr>
          <w:rFonts w:hAnsi="宋体" w:cs="宋体"/>
          <w:sz w:val="21"/>
        </w:rPr>
      </w:pPr>
      <w:r>
        <w:rPr>
          <w:rFonts w:hint="eastAsia" w:hAnsi="宋体" w:cs="宋体"/>
          <w:sz w:val="21"/>
        </w:rPr>
        <w:t>（四）我方承诺（承诺期：成立三年以上的，为提交首次响应文件截止时间前三年内；成立不足三年的，为实际时间）：</w:t>
      </w:r>
    </w:p>
    <w:p w14:paraId="6DE71C81">
      <w:pPr>
        <w:pStyle w:val="26"/>
        <w:snapToGrid w:val="0"/>
        <w:spacing w:line="360" w:lineRule="auto"/>
        <w:ind w:firstLine="420" w:firstLineChars="200"/>
        <w:textAlignment w:val="baseline"/>
        <w:rPr>
          <w:rFonts w:hAnsi="宋体" w:cs="宋体"/>
          <w:sz w:val="21"/>
        </w:rPr>
      </w:pPr>
      <w:r>
        <w:rPr>
          <w:rFonts w:hint="eastAsia" w:hAnsi="宋体" w:cs="宋体"/>
          <w:sz w:val="21"/>
        </w:rPr>
        <w:t>1、我方依法缴纳了各项税费及各项社会保障资金，没有偷税、漏税及欠缴行为。</w:t>
      </w:r>
    </w:p>
    <w:p w14:paraId="79C7E351">
      <w:pPr>
        <w:pStyle w:val="26"/>
        <w:snapToGrid w:val="0"/>
        <w:spacing w:line="360" w:lineRule="auto"/>
        <w:ind w:firstLine="420" w:firstLineChars="200"/>
        <w:textAlignment w:val="baseline"/>
        <w:rPr>
          <w:rFonts w:hAnsi="宋体" w:cs="宋体"/>
          <w:sz w:val="21"/>
        </w:rPr>
      </w:pPr>
      <w:r>
        <w:rPr>
          <w:rFonts w:hint="eastAsia" w:hAnsi="宋体" w:cs="宋体"/>
          <w:sz w:val="21"/>
        </w:rPr>
        <w:t>2、我方在经营活动中没有存在下列重大违法记录：</w:t>
      </w:r>
    </w:p>
    <w:p w14:paraId="6ED9429F">
      <w:pPr>
        <w:pStyle w:val="26"/>
        <w:snapToGrid w:val="0"/>
        <w:spacing w:line="360" w:lineRule="auto"/>
        <w:ind w:firstLine="420" w:firstLineChars="200"/>
        <w:textAlignment w:val="baseline"/>
        <w:rPr>
          <w:rFonts w:hAnsi="宋体" w:cs="宋体"/>
          <w:sz w:val="21"/>
        </w:rPr>
      </w:pPr>
      <w:r>
        <w:rPr>
          <w:rFonts w:hint="eastAsia" w:hAnsi="宋体" w:cs="宋体"/>
          <w:sz w:val="21"/>
        </w:rPr>
        <w:t>(1)受到刑事处罚；</w:t>
      </w:r>
    </w:p>
    <w:p w14:paraId="1D5FB3FC">
      <w:pPr>
        <w:pStyle w:val="26"/>
        <w:snapToGrid w:val="0"/>
        <w:spacing w:line="360" w:lineRule="auto"/>
        <w:ind w:firstLine="420" w:firstLineChars="200"/>
        <w:textAlignment w:val="baseline"/>
        <w:rPr>
          <w:rFonts w:hAnsi="宋体" w:cs="宋体"/>
          <w:sz w:val="21"/>
        </w:rPr>
      </w:pPr>
      <w:r>
        <w:rPr>
          <w:rFonts w:hint="eastAsia" w:hAnsi="宋体" w:cs="宋体"/>
          <w:sz w:val="21"/>
        </w:rPr>
        <w:t>(2)受到三万元以上的罚款、责令停产停业、在一至三年内禁止参加政府采购活动、暂扣或者吊销许可证、暂扣或者吊销执照的行政处罚。</w:t>
      </w:r>
    </w:p>
    <w:p w14:paraId="22F53F79">
      <w:pPr>
        <w:pStyle w:val="26"/>
        <w:snapToGrid w:val="0"/>
        <w:spacing w:line="360" w:lineRule="exact"/>
        <w:ind w:firstLine="400" w:firstLineChars="200"/>
        <w:textAlignment w:val="baseline"/>
        <w:rPr>
          <w:rFonts w:hAnsi="宋体" w:cs="宋体"/>
        </w:rPr>
      </w:pPr>
    </w:p>
    <w:p w14:paraId="4E8B79B7">
      <w:pPr>
        <w:snapToGrid w:val="0"/>
        <w:spacing w:line="360" w:lineRule="exact"/>
        <w:ind w:right="23"/>
        <w:textAlignment w:val="baseline"/>
        <w:rPr>
          <w:rFonts w:ascii="宋体" w:hAnsi="宋体" w:cs="宋体"/>
          <w:sz w:val="20"/>
          <w:szCs w:val="21"/>
        </w:rPr>
      </w:pPr>
      <w:r>
        <w:rPr>
          <w:rFonts w:hint="eastAsia" w:ascii="宋体" w:hAnsi="宋体" w:cs="宋体"/>
          <w:bCs/>
          <w:szCs w:val="21"/>
        </w:rPr>
        <w:t>附件1：</w:t>
      </w:r>
      <w:r>
        <w:rPr>
          <w:rFonts w:hint="eastAsia" w:ascii="宋体" w:hAnsi="宋体" w:cs="宋体"/>
          <w:szCs w:val="21"/>
        </w:rPr>
        <w:t>法定代表人身份证明</w:t>
      </w:r>
    </w:p>
    <w:p w14:paraId="4FFB110A">
      <w:pPr>
        <w:snapToGrid w:val="0"/>
        <w:spacing w:line="360" w:lineRule="exact"/>
        <w:ind w:right="23"/>
        <w:textAlignment w:val="baseline"/>
        <w:rPr>
          <w:rFonts w:ascii="宋体" w:hAnsi="宋体" w:cs="宋体"/>
          <w:sz w:val="20"/>
          <w:szCs w:val="21"/>
        </w:rPr>
      </w:pPr>
      <w:r>
        <w:rPr>
          <w:rFonts w:hint="eastAsia" w:ascii="宋体" w:hAnsi="宋体" w:cs="宋体"/>
          <w:bCs/>
          <w:szCs w:val="21"/>
        </w:rPr>
        <w:t>附件2</w:t>
      </w:r>
      <w:r>
        <w:rPr>
          <w:rFonts w:hint="eastAsia" w:ascii="宋体" w:hAnsi="宋体" w:cs="宋体"/>
          <w:szCs w:val="21"/>
        </w:rPr>
        <w:t>：法定代表人授权书</w:t>
      </w:r>
    </w:p>
    <w:p w14:paraId="1DEDAD95">
      <w:pPr>
        <w:snapToGrid w:val="0"/>
        <w:spacing w:line="360" w:lineRule="exact"/>
        <w:ind w:right="23"/>
        <w:textAlignment w:val="baseline"/>
        <w:rPr>
          <w:rFonts w:ascii="宋体" w:hAnsi="宋体" w:cs="宋体"/>
          <w:sz w:val="20"/>
          <w:szCs w:val="21"/>
        </w:rPr>
      </w:pPr>
      <w:r>
        <w:rPr>
          <w:rFonts w:hint="eastAsia" w:ascii="宋体" w:hAnsi="宋体" w:cs="宋体"/>
          <w:szCs w:val="21"/>
        </w:rPr>
        <w:t>附件3：不拖欠民工工资承诺书</w:t>
      </w:r>
    </w:p>
    <w:p w14:paraId="07D96623">
      <w:pPr>
        <w:pStyle w:val="26"/>
        <w:snapToGrid w:val="0"/>
        <w:spacing w:line="360" w:lineRule="exact"/>
        <w:ind w:right="23"/>
        <w:textAlignment w:val="baseline"/>
        <w:rPr>
          <w:rFonts w:hAnsi="宋体" w:cs="宋体"/>
          <w:sz w:val="21"/>
        </w:rPr>
      </w:pPr>
    </w:p>
    <w:p w14:paraId="15EB835E">
      <w:pPr>
        <w:pStyle w:val="26"/>
        <w:snapToGrid w:val="0"/>
        <w:spacing w:line="360" w:lineRule="exact"/>
        <w:ind w:right="23"/>
        <w:textAlignment w:val="baseline"/>
        <w:rPr>
          <w:rFonts w:hAnsi="宋体" w:cs="宋体"/>
          <w:sz w:val="21"/>
        </w:rPr>
      </w:pPr>
      <w:r>
        <w:rPr>
          <w:rFonts w:hint="eastAsia" w:hAnsi="宋体" w:cs="宋体"/>
          <w:sz w:val="21"/>
        </w:rPr>
        <w:t>供应商名称(盖单位章)：</w:t>
      </w:r>
    </w:p>
    <w:p w14:paraId="53DB2CBC">
      <w:pPr>
        <w:snapToGrid w:val="0"/>
        <w:spacing w:line="360" w:lineRule="exact"/>
        <w:ind w:right="23"/>
        <w:textAlignment w:val="baseline"/>
        <w:rPr>
          <w:rFonts w:ascii="宋体" w:hAnsi="宋体" w:cs="宋体"/>
          <w:sz w:val="20"/>
          <w:szCs w:val="21"/>
        </w:rPr>
      </w:pPr>
      <w:r>
        <w:rPr>
          <w:rFonts w:hint="eastAsia" w:ascii="宋体" w:hAnsi="宋体" w:cs="宋体"/>
          <w:szCs w:val="21"/>
        </w:rPr>
        <w:t>法定代表人或其委托代理人 (签字)：</w:t>
      </w:r>
    </w:p>
    <w:p w14:paraId="116D061F">
      <w:pPr>
        <w:snapToGrid w:val="0"/>
        <w:spacing w:line="360" w:lineRule="exact"/>
        <w:ind w:right="23"/>
        <w:textAlignment w:val="baseline"/>
        <w:rPr>
          <w:rFonts w:ascii="宋体" w:hAnsi="宋体" w:cs="宋体"/>
          <w:sz w:val="20"/>
          <w:szCs w:val="21"/>
        </w:rPr>
      </w:pPr>
      <w:r>
        <w:rPr>
          <w:rFonts w:hint="eastAsia" w:ascii="宋体" w:hAnsi="宋体" w:cs="宋体"/>
          <w:szCs w:val="21"/>
        </w:rPr>
        <w:t>日期：年月日</w:t>
      </w:r>
    </w:p>
    <w:p w14:paraId="60113AB4">
      <w:pPr>
        <w:snapToGrid w:val="0"/>
        <w:spacing w:line="360" w:lineRule="auto"/>
        <w:ind w:right="23"/>
        <w:textAlignment w:val="baseline"/>
        <w:rPr>
          <w:rFonts w:ascii="宋体" w:hAnsi="宋体" w:cs="宋体"/>
          <w:bCs/>
          <w:sz w:val="24"/>
        </w:rPr>
      </w:pPr>
      <w:r>
        <w:rPr>
          <w:rFonts w:hint="eastAsia" w:ascii="宋体" w:hAnsi="宋体" w:cs="宋体"/>
          <w:bCs/>
          <w:sz w:val="24"/>
        </w:rPr>
        <w:br w:type="page"/>
      </w:r>
    </w:p>
    <w:p w14:paraId="524B8FD1">
      <w:pPr>
        <w:snapToGrid w:val="0"/>
        <w:spacing w:line="360" w:lineRule="auto"/>
        <w:ind w:right="23"/>
        <w:textAlignment w:val="baseline"/>
        <w:rPr>
          <w:rFonts w:ascii="宋体" w:hAnsi="宋体" w:cs="宋体"/>
          <w:sz w:val="24"/>
        </w:rPr>
      </w:pPr>
      <w:r>
        <w:rPr>
          <w:rFonts w:hint="eastAsia" w:ascii="宋体" w:hAnsi="宋体" w:cs="宋体"/>
          <w:bCs/>
          <w:sz w:val="24"/>
        </w:rPr>
        <w:t>附件1：</w:t>
      </w:r>
    </w:p>
    <w:p w14:paraId="7D30181C">
      <w:pPr>
        <w:snapToGrid w:val="0"/>
        <w:spacing w:line="360" w:lineRule="auto"/>
        <w:ind w:right="23"/>
        <w:jc w:val="center"/>
        <w:textAlignment w:val="baseline"/>
        <w:rPr>
          <w:rFonts w:ascii="宋体" w:hAnsi="宋体" w:cs="宋体"/>
          <w:sz w:val="20"/>
          <w:szCs w:val="21"/>
        </w:rPr>
      </w:pPr>
      <w:r>
        <w:rPr>
          <w:rFonts w:hint="eastAsia" w:ascii="宋体" w:hAnsi="宋体" w:cs="宋体"/>
          <w:b/>
          <w:sz w:val="28"/>
          <w:szCs w:val="28"/>
        </w:rPr>
        <w:t>法定代表人身份证明</w:t>
      </w:r>
    </w:p>
    <w:p w14:paraId="571C684D">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szCs w:val="21"/>
        </w:rPr>
        <w:t>供应商</w:t>
      </w:r>
      <w:r>
        <w:rPr>
          <w:rFonts w:hint="eastAsia" w:ascii="宋体" w:hAnsi="宋体" w:cs="宋体"/>
          <w:kern w:val="0"/>
          <w:szCs w:val="21"/>
        </w:rPr>
        <w:t>名称：</w:t>
      </w:r>
    </w:p>
    <w:p w14:paraId="64F9D693">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kern w:val="0"/>
          <w:szCs w:val="21"/>
        </w:rPr>
        <w:t>注册号：</w:t>
      </w:r>
    </w:p>
    <w:p w14:paraId="4D5AEB78">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kern w:val="0"/>
          <w:szCs w:val="21"/>
        </w:rPr>
        <w:t>注册地址：</w:t>
      </w:r>
    </w:p>
    <w:p w14:paraId="42A51EF6">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kern w:val="0"/>
          <w:szCs w:val="21"/>
        </w:rPr>
        <w:t>成立时间： 年 月 日</w:t>
      </w:r>
    </w:p>
    <w:p w14:paraId="614C5251">
      <w:pPr>
        <w:snapToGrid w:val="0"/>
        <w:spacing w:before="157" w:line="360" w:lineRule="auto"/>
        <w:ind w:right="23"/>
        <w:jc w:val="left"/>
        <w:textAlignment w:val="baseline"/>
        <w:rPr>
          <w:rFonts w:ascii="宋体" w:hAnsi="宋体" w:cs="宋体"/>
          <w:kern w:val="0"/>
          <w:sz w:val="20"/>
          <w:szCs w:val="21"/>
          <w:u w:val="single" w:color="000000"/>
        </w:rPr>
      </w:pPr>
      <w:r>
        <w:rPr>
          <w:rFonts w:hint="eastAsia" w:ascii="宋体" w:hAnsi="宋体" w:cs="宋体"/>
          <w:kern w:val="0"/>
          <w:szCs w:val="21"/>
        </w:rPr>
        <w:t>经营期限：</w:t>
      </w:r>
    </w:p>
    <w:p w14:paraId="5B39FD1B">
      <w:pPr>
        <w:snapToGrid w:val="0"/>
        <w:spacing w:before="157" w:line="360" w:lineRule="auto"/>
        <w:ind w:right="23"/>
        <w:jc w:val="left"/>
        <w:textAlignment w:val="baseline"/>
        <w:rPr>
          <w:rFonts w:ascii="宋体" w:hAnsi="宋体" w:cs="宋体"/>
          <w:kern w:val="0"/>
          <w:sz w:val="20"/>
          <w:szCs w:val="21"/>
          <w:u w:val="single" w:color="000000"/>
        </w:rPr>
      </w:pPr>
      <w:r>
        <w:rPr>
          <w:rFonts w:hint="eastAsia" w:ascii="宋体" w:hAnsi="宋体" w:cs="宋体"/>
          <w:kern w:val="0"/>
          <w:szCs w:val="21"/>
        </w:rPr>
        <w:t>经营范围：主营： ；兼营：</w:t>
      </w:r>
    </w:p>
    <w:p w14:paraId="21590462">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kern w:val="0"/>
          <w:szCs w:val="21"/>
        </w:rPr>
        <w:t>姓名： 性别： 年龄： 系（</w:t>
      </w:r>
      <w:r>
        <w:rPr>
          <w:rFonts w:hint="eastAsia" w:ascii="宋体" w:hAnsi="宋体" w:cs="宋体"/>
          <w:szCs w:val="21"/>
        </w:rPr>
        <w:t>供应商</w:t>
      </w:r>
      <w:r>
        <w:rPr>
          <w:rFonts w:hint="eastAsia" w:ascii="宋体" w:hAnsi="宋体" w:cs="宋体"/>
          <w:kern w:val="0"/>
          <w:szCs w:val="21"/>
        </w:rPr>
        <w:t>名称）的法定代表人。</w:t>
      </w:r>
    </w:p>
    <w:p w14:paraId="3B0FB706">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kern w:val="0"/>
          <w:szCs w:val="21"/>
        </w:rPr>
        <w:t>特此证明。</w:t>
      </w:r>
    </w:p>
    <w:p w14:paraId="2ABC5A8F">
      <w:pPr>
        <w:snapToGrid w:val="0"/>
        <w:spacing w:before="157" w:line="360" w:lineRule="auto"/>
        <w:ind w:right="23"/>
        <w:jc w:val="left"/>
        <w:textAlignment w:val="baseline"/>
        <w:rPr>
          <w:rFonts w:ascii="宋体" w:hAnsi="宋体" w:cs="宋体"/>
          <w:kern w:val="0"/>
          <w:sz w:val="20"/>
          <w:szCs w:val="21"/>
        </w:rPr>
      </w:pPr>
      <w:r>
        <w:rPr>
          <w:rFonts w:hint="eastAsia" w:ascii="宋体" w:hAnsi="宋体" w:cs="宋体"/>
          <w:szCs w:val="21"/>
        </w:rPr>
        <w:t>附：法定代表人身份证复印件</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0"/>
      </w:tblGrid>
      <w:tr w14:paraId="75FC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89" w:hRule="atLeast"/>
        </w:trPr>
        <w:tc>
          <w:tcPr>
            <w:tcW w:w="10120" w:type="dxa"/>
            <w:noWrap/>
          </w:tcPr>
          <w:p w14:paraId="53548FBC">
            <w:pPr>
              <w:snapToGrid w:val="0"/>
              <w:spacing w:line="480" w:lineRule="auto"/>
              <w:ind w:right="23"/>
              <w:textAlignment w:val="baseline"/>
              <w:rPr>
                <w:rFonts w:ascii="宋体" w:hAnsi="宋体" w:cs="宋体"/>
                <w:sz w:val="20"/>
                <w:szCs w:val="21"/>
              </w:rPr>
            </w:pPr>
          </w:p>
        </w:tc>
      </w:tr>
    </w:tbl>
    <w:p w14:paraId="70AFBCE7">
      <w:pPr>
        <w:snapToGrid w:val="0"/>
        <w:spacing w:line="480" w:lineRule="auto"/>
        <w:ind w:right="23"/>
        <w:textAlignment w:val="baseline"/>
        <w:rPr>
          <w:rFonts w:ascii="宋体" w:hAnsi="宋体" w:cs="宋体"/>
          <w:sz w:val="20"/>
          <w:szCs w:val="21"/>
        </w:rPr>
      </w:pPr>
    </w:p>
    <w:p w14:paraId="3B33F616">
      <w:pPr>
        <w:snapToGrid w:val="0"/>
        <w:ind w:right="23"/>
        <w:textAlignment w:val="baseline"/>
        <w:rPr>
          <w:rFonts w:ascii="宋体" w:hAnsi="宋体" w:cs="宋体"/>
          <w:sz w:val="20"/>
          <w:szCs w:val="21"/>
        </w:rPr>
      </w:pPr>
    </w:p>
    <w:p w14:paraId="6AA5071A">
      <w:pPr>
        <w:snapToGrid w:val="0"/>
        <w:ind w:right="23"/>
        <w:textAlignment w:val="baseline"/>
        <w:rPr>
          <w:rFonts w:ascii="宋体" w:hAnsi="宋体" w:cs="宋体"/>
          <w:sz w:val="20"/>
          <w:szCs w:val="21"/>
        </w:rPr>
      </w:pPr>
    </w:p>
    <w:p w14:paraId="05C6127C">
      <w:pPr>
        <w:snapToGrid w:val="0"/>
        <w:spacing w:line="360" w:lineRule="auto"/>
        <w:ind w:right="23"/>
        <w:textAlignment w:val="baseline"/>
        <w:rPr>
          <w:rFonts w:ascii="宋体" w:hAnsi="宋体" w:cs="宋体"/>
          <w:sz w:val="20"/>
          <w:szCs w:val="21"/>
        </w:rPr>
      </w:pPr>
    </w:p>
    <w:p w14:paraId="616B1D21">
      <w:pPr>
        <w:snapToGrid w:val="0"/>
        <w:spacing w:line="360" w:lineRule="auto"/>
        <w:ind w:right="23"/>
        <w:textAlignment w:val="baseline"/>
        <w:rPr>
          <w:rFonts w:ascii="宋体" w:hAnsi="宋体" w:cs="宋体"/>
          <w:sz w:val="20"/>
          <w:szCs w:val="21"/>
        </w:rPr>
      </w:pPr>
      <w:r>
        <w:rPr>
          <w:rFonts w:hint="eastAsia" w:ascii="宋体" w:hAnsi="宋体" w:cs="宋体"/>
          <w:szCs w:val="21"/>
        </w:rPr>
        <w:t>供应商名称（盖单位章）：</w:t>
      </w:r>
    </w:p>
    <w:p w14:paraId="52856092">
      <w:pPr>
        <w:snapToGrid w:val="0"/>
        <w:spacing w:line="360" w:lineRule="auto"/>
        <w:ind w:right="23"/>
        <w:textAlignment w:val="baseline"/>
        <w:rPr>
          <w:rFonts w:ascii="宋体" w:hAnsi="宋体" w:cs="宋体"/>
          <w:sz w:val="20"/>
          <w:szCs w:val="21"/>
        </w:rPr>
      </w:pPr>
      <w:r>
        <w:rPr>
          <w:rFonts w:hint="eastAsia" w:ascii="宋体" w:hAnsi="宋体" w:cs="宋体"/>
          <w:szCs w:val="21"/>
        </w:rPr>
        <w:t xml:space="preserve">日期：年月日      </w:t>
      </w:r>
    </w:p>
    <w:p w14:paraId="4C2BEF01">
      <w:pPr>
        <w:snapToGrid w:val="0"/>
        <w:spacing w:line="360" w:lineRule="auto"/>
        <w:ind w:right="23"/>
        <w:textAlignment w:val="baseline"/>
        <w:rPr>
          <w:rFonts w:ascii="宋体" w:hAnsi="宋体" w:cs="宋体"/>
          <w:sz w:val="24"/>
        </w:rPr>
      </w:pPr>
      <w:r>
        <w:rPr>
          <w:rFonts w:hint="eastAsia" w:ascii="宋体" w:hAnsi="宋体" w:cs="宋体"/>
          <w:bCs/>
          <w:sz w:val="24"/>
        </w:rPr>
        <w:br w:type="page"/>
      </w:r>
    </w:p>
    <w:p w14:paraId="547FBC8D">
      <w:pPr>
        <w:snapToGrid w:val="0"/>
        <w:spacing w:line="360" w:lineRule="auto"/>
        <w:ind w:right="23"/>
        <w:textAlignment w:val="baseline"/>
        <w:rPr>
          <w:rFonts w:ascii="宋体" w:hAnsi="宋体" w:cs="宋体"/>
          <w:sz w:val="24"/>
        </w:rPr>
      </w:pPr>
      <w:r>
        <w:rPr>
          <w:rFonts w:hint="eastAsia" w:ascii="宋体" w:hAnsi="宋体" w:cs="宋体"/>
          <w:bCs/>
          <w:sz w:val="24"/>
        </w:rPr>
        <w:t>附件2</w:t>
      </w:r>
      <w:r>
        <w:rPr>
          <w:rFonts w:hint="eastAsia" w:ascii="宋体" w:hAnsi="宋体" w:cs="宋体"/>
          <w:sz w:val="24"/>
        </w:rPr>
        <w:t>：</w:t>
      </w:r>
    </w:p>
    <w:p w14:paraId="39EED567">
      <w:pPr>
        <w:snapToGrid w:val="0"/>
        <w:spacing w:line="360" w:lineRule="auto"/>
        <w:ind w:right="23"/>
        <w:jc w:val="center"/>
        <w:textAlignment w:val="baseline"/>
        <w:rPr>
          <w:rFonts w:ascii="宋体" w:hAnsi="宋体" w:cs="宋体"/>
          <w:b/>
          <w:sz w:val="28"/>
          <w:szCs w:val="28"/>
        </w:rPr>
      </w:pPr>
      <w:r>
        <w:rPr>
          <w:rFonts w:hint="eastAsia" w:ascii="宋体" w:hAnsi="宋体" w:cs="宋体"/>
          <w:b/>
          <w:sz w:val="28"/>
          <w:szCs w:val="28"/>
        </w:rPr>
        <w:t>法定代表人授权书</w:t>
      </w:r>
    </w:p>
    <w:p w14:paraId="46E34C0D">
      <w:pPr>
        <w:snapToGrid w:val="0"/>
        <w:spacing w:line="360" w:lineRule="auto"/>
        <w:ind w:right="23"/>
        <w:textAlignment w:val="baseline"/>
        <w:rPr>
          <w:rFonts w:ascii="宋体" w:hAnsi="宋体" w:cs="宋体"/>
          <w:b/>
          <w:sz w:val="28"/>
          <w:szCs w:val="28"/>
        </w:rPr>
      </w:pPr>
    </w:p>
    <w:p w14:paraId="47305F7D">
      <w:pPr>
        <w:snapToGrid w:val="0"/>
        <w:spacing w:before="157" w:line="360" w:lineRule="auto"/>
        <w:ind w:firstLine="420" w:firstLineChars="200"/>
        <w:jc w:val="left"/>
        <w:textAlignment w:val="baseline"/>
        <w:rPr>
          <w:rFonts w:ascii="宋体" w:hAnsi="宋体" w:cs="宋体"/>
          <w:kern w:val="0"/>
          <w:sz w:val="20"/>
          <w:szCs w:val="21"/>
        </w:rPr>
      </w:pPr>
      <w:r>
        <w:rPr>
          <w:rFonts w:hint="eastAsia" w:ascii="宋体" w:hAnsi="宋体" w:cs="宋体"/>
          <w:kern w:val="0"/>
          <w:szCs w:val="21"/>
        </w:rPr>
        <w:t>本人（姓名、职务）系 （</w:t>
      </w:r>
      <w:r>
        <w:rPr>
          <w:rFonts w:hint="eastAsia" w:ascii="宋体" w:hAnsi="宋体" w:cs="宋体"/>
          <w:szCs w:val="21"/>
        </w:rPr>
        <w:t>供应商</w:t>
      </w:r>
      <w:r>
        <w:rPr>
          <w:rFonts w:hint="eastAsia" w:ascii="宋体" w:hAnsi="宋体" w:cs="宋体"/>
          <w:kern w:val="0"/>
          <w:szCs w:val="21"/>
        </w:rPr>
        <w:t>名称）的法定代表人，现授权（姓名、职务）为我方代理人。代理人根据授权，以我方名义：(1)签署、澄清、补正、修改、撤回、提交（项目名称、委托代理编号）响应文件；(2)签署并重新提交响应文件及最后报价；(3)签订合同和处理有关事宜，其法律后果由我方承担；（4）询问、质疑、投诉等相关事项，其法律后果由我方承担。</w:t>
      </w:r>
    </w:p>
    <w:p w14:paraId="105AA38A">
      <w:pPr>
        <w:snapToGrid w:val="0"/>
        <w:spacing w:before="157" w:line="360" w:lineRule="auto"/>
        <w:ind w:firstLine="400" w:firstLineChars="200"/>
        <w:jc w:val="left"/>
        <w:textAlignment w:val="baseline"/>
        <w:rPr>
          <w:rFonts w:ascii="宋体" w:hAnsi="宋体" w:cs="宋体"/>
          <w:kern w:val="0"/>
          <w:sz w:val="20"/>
          <w:szCs w:val="21"/>
        </w:rPr>
      </w:pPr>
    </w:p>
    <w:p w14:paraId="09515E03">
      <w:pPr>
        <w:snapToGrid w:val="0"/>
        <w:spacing w:before="157" w:line="360" w:lineRule="auto"/>
        <w:ind w:firstLine="420" w:firstLineChars="200"/>
        <w:jc w:val="left"/>
        <w:textAlignment w:val="baseline"/>
        <w:rPr>
          <w:rFonts w:ascii="宋体" w:hAnsi="宋体" w:cs="宋体"/>
          <w:kern w:val="0"/>
          <w:sz w:val="20"/>
          <w:szCs w:val="21"/>
        </w:rPr>
      </w:pPr>
      <w:r>
        <w:rPr>
          <w:rFonts w:hint="eastAsia" w:ascii="宋体" w:hAnsi="宋体" w:cs="宋体"/>
          <w:kern w:val="0"/>
          <w:szCs w:val="21"/>
        </w:rPr>
        <w:t>委托期限： 。</w:t>
      </w:r>
    </w:p>
    <w:p w14:paraId="3EB96E59">
      <w:pPr>
        <w:spacing w:line="360" w:lineRule="auto"/>
        <w:ind w:firstLine="435"/>
        <w:textAlignment w:val="baseline"/>
        <w:rPr>
          <w:rFonts w:ascii="宋体" w:hAnsi="宋体" w:cs="宋体"/>
          <w:kern w:val="0"/>
          <w:sz w:val="20"/>
          <w:szCs w:val="21"/>
        </w:rPr>
      </w:pPr>
      <w:r>
        <w:rPr>
          <w:rFonts w:hint="eastAsia" w:ascii="宋体" w:hAnsi="宋体" w:cs="宋体"/>
          <w:kern w:val="0"/>
          <w:szCs w:val="21"/>
        </w:rPr>
        <w:t>代理人无转委托权。</w:t>
      </w:r>
    </w:p>
    <w:p w14:paraId="02AACAF5">
      <w:pPr>
        <w:spacing w:line="360" w:lineRule="auto"/>
        <w:ind w:firstLine="435"/>
        <w:textAlignment w:val="baseline"/>
        <w:rPr>
          <w:rFonts w:ascii="宋体" w:hAnsi="宋体" w:cs="宋体"/>
          <w:sz w:val="20"/>
          <w:szCs w:val="21"/>
        </w:rPr>
      </w:pPr>
      <w:r>
        <w:rPr>
          <w:rFonts w:hint="eastAsia" w:ascii="宋体" w:hAnsi="宋体" w:cs="宋体"/>
          <w:szCs w:val="21"/>
        </w:rPr>
        <w:t>本授权书于年月日签字生效，特此声明。</w:t>
      </w:r>
    </w:p>
    <w:p w14:paraId="29D1D8B3">
      <w:pPr>
        <w:snapToGrid w:val="0"/>
        <w:spacing w:before="157" w:line="360" w:lineRule="auto"/>
        <w:ind w:firstLine="420" w:firstLineChars="200"/>
        <w:textAlignment w:val="baseline"/>
        <w:rPr>
          <w:rFonts w:ascii="宋体" w:hAnsi="宋体" w:cs="宋体"/>
          <w:sz w:val="20"/>
          <w:szCs w:val="21"/>
        </w:rPr>
      </w:pPr>
      <w:r>
        <w:rPr>
          <w:rFonts w:hint="eastAsia" w:ascii="宋体" w:hAnsi="宋体" w:cs="宋体"/>
          <w:szCs w:val="21"/>
        </w:rPr>
        <w:t>附：委托代理人身份证复印件及法定代表人身份证明(附件1，原件)</w:t>
      </w:r>
    </w:p>
    <w:tbl>
      <w:tblPr>
        <w:tblStyle w:val="47"/>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0"/>
      </w:tblGrid>
      <w:tr w14:paraId="35D2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65" w:hRule="atLeast"/>
        </w:trPr>
        <w:tc>
          <w:tcPr>
            <w:tcW w:w="10140" w:type="dxa"/>
            <w:noWrap/>
          </w:tcPr>
          <w:p w14:paraId="7D5B9C78">
            <w:pPr>
              <w:snapToGrid w:val="0"/>
              <w:spacing w:line="480" w:lineRule="auto"/>
              <w:ind w:right="23"/>
              <w:textAlignment w:val="baseline"/>
              <w:rPr>
                <w:rFonts w:ascii="宋体" w:hAnsi="宋体" w:cs="宋体"/>
                <w:sz w:val="20"/>
                <w:szCs w:val="21"/>
              </w:rPr>
            </w:pPr>
          </w:p>
        </w:tc>
      </w:tr>
    </w:tbl>
    <w:p w14:paraId="3A707387">
      <w:pPr>
        <w:snapToGrid w:val="0"/>
        <w:spacing w:line="360" w:lineRule="auto"/>
        <w:ind w:right="23"/>
        <w:textAlignment w:val="baseline"/>
        <w:rPr>
          <w:rFonts w:ascii="宋体" w:hAnsi="宋体" w:cs="宋体"/>
          <w:sz w:val="20"/>
          <w:szCs w:val="21"/>
        </w:rPr>
      </w:pPr>
    </w:p>
    <w:p w14:paraId="41FF6AAC">
      <w:pPr>
        <w:snapToGrid w:val="0"/>
        <w:spacing w:line="480" w:lineRule="auto"/>
        <w:ind w:right="23"/>
        <w:textAlignment w:val="baseline"/>
        <w:rPr>
          <w:rFonts w:ascii="宋体" w:hAnsi="宋体" w:cs="宋体"/>
          <w:sz w:val="20"/>
          <w:szCs w:val="21"/>
        </w:rPr>
      </w:pPr>
      <w:r>
        <w:rPr>
          <w:rFonts w:hint="eastAsia" w:ascii="宋体" w:hAnsi="宋体" w:cs="宋体"/>
          <w:szCs w:val="21"/>
        </w:rPr>
        <w:t>法定代表人（签字）：</w:t>
      </w:r>
    </w:p>
    <w:p w14:paraId="2A84E21E">
      <w:pPr>
        <w:snapToGrid w:val="0"/>
        <w:spacing w:line="480" w:lineRule="auto"/>
        <w:ind w:right="23"/>
        <w:textAlignment w:val="baseline"/>
        <w:rPr>
          <w:rFonts w:ascii="宋体" w:hAnsi="宋体" w:cs="宋体"/>
          <w:sz w:val="20"/>
          <w:szCs w:val="21"/>
        </w:rPr>
      </w:pPr>
      <w:r>
        <w:rPr>
          <w:rFonts w:hint="eastAsia" w:ascii="宋体" w:hAnsi="宋体" w:cs="宋体"/>
          <w:szCs w:val="21"/>
        </w:rPr>
        <w:t>委托代理人（签字）：</w:t>
      </w:r>
    </w:p>
    <w:p w14:paraId="1A2403F6">
      <w:pPr>
        <w:snapToGrid w:val="0"/>
        <w:spacing w:line="480" w:lineRule="auto"/>
        <w:ind w:right="23"/>
        <w:textAlignment w:val="baseline"/>
        <w:rPr>
          <w:rFonts w:ascii="宋体" w:hAnsi="宋体" w:cs="宋体"/>
          <w:sz w:val="20"/>
          <w:szCs w:val="21"/>
        </w:rPr>
      </w:pPr>
      <w:r>
        <w:rPr>
          <w:rFonts w:hint="eastAsia" w:ascii="宋体" w:hAnsi="宋体" w:cs="宋体"/>
          <w:szCs w:val="21"/>
        </w:rPr>
        <w:t>日期：年月日</w:t>
      </w:r>
    </w:p>
    <w:p w14:paraId="4A180154">
      <w:pPr>
        <w:snapToGrid w:val="0"/>
        <w:spacing w:before="157" w:line="360" w:lineRule="auto"/>
        <w:ind w:right="420"/>
        <w:textAlignment w:val="baseline"/>
        <w:rPr>
          <w:rFonts w:ascii="宋体" w:hAnsi="宋体" w:cs="宋体"/>
          <w:sz w:val="24"/>
        </w:rPr>
      </w:pPr>
      <w:r>
        <w:rPr>
          <w:rFonts w:hint="eastAsia" w:ascii="宋体" w:hAnsi="宋体" w:cs="宋体"/>
          <w:bCs/>
          <w:szCs w:val="21"/>
        </w:rPr>
        <w:br w:type="page"/>
      </w:r>
    </w:p>
    <w:p w14:paraId="328A26D5">
      <w:pPr>
        <w:snapToGrid w:val="0"/>
        <w:spacing w:line="480" w:lineRule="exact"/>
        <w:ind w:right="23"/>
        <w:textAlignment w:val="baseline"/>
        <w:rPr>
          <w:rFonts w:ascii="宋体" w:hAnsi="宋体" w:cs="宋体"/>
          <w:b/>
          <w:sz w:val="28"/>
        </w:rPr>
      </w:pPr>
      <w:r>
        <w:rPr>
          <w:rFonts w:hint="eastAsia" w:ascii="宋体" w:hAnsi="宋体" w:cs="宋体"/>
          <w:bCs/>
          <w:sz w:val="24"/>
        </w:rPr>
        <w:t xml:space="preserve">附件3：                 </w:t>
      </w:r>
      <w:r>
        <w:rPr>
          <w:rFonts w:hint="eastAsia" w:ascii="宋体" w:hAnsi="宋体" w:cs="宋体"/>
          <w:b/>
          <w:sz w:val="28"/>
          <w:szCs w:val="28"/>
        </w:rPr>
        <w:t>不拖欠民工工资承诺书</w:t>
      </w:r>
    </w:p>
    <w:p w14:paraId="7E8B5F28">
      <w:pPr>
        <w:snapToGrid w:val="0"/>
        <w:spacing w:line="480" w:lineRule="exact"/>
        <w:ind w:right="23"/>
        <w:textAlignment w:val="baseline"/>
        <w:rPr>
          <w:rFonts w:ascii="宋体" w:hAnsi="宋体" w:cs="宋体"/>
          <w:b/>
          <w:sz w:val="28"/>
          <w:szCs w:val="28"/>
        </w:rPr>
      </w:pPr>
    </w:p>
    <w:p w14:paraId="4E16E97D">
      <w:pPr>
        <w:snapToGrid w:val="0"/>
        <w:spacing w:line="480" w:lineRule="exact"/>
        <w:ind w:right="23" w:firstLine="4000" w:firstLineChars="2000"/>
        <w:textAlignment w:val="baseline"/>
        <w:rPr>
          <w:rFonts w:ascii="宋体" w:hAnsi="宋体" w:cs="宋体"/>
          <w:sz w:val="20"/>
          <w:szCs w:val="21"/>
        </w:rPr>
      </w:pPr>
      <w:r>
        <w:rPr>
          <w:rFonts w:hint="eastAsia" w:ascii="宋体" w:hAnsi="宋体" w:cs="宋体"/>
          <w:sz w:val="20"/>
          <w:szCs w:val="21"/>
        </w:rPr>
        <w:t>（格式自拟）</w:t>
      </w:r>
    </w:p>
    <w:p w14:paraId="2F805AD7">
      <w:pPr>
        <w:snapToGrid w:val="0"/>
        <w:spacing w:line="480" w:lineRule="exact"/>
        <w:ind w:right="23"/>
        <w:textAlignment w:val="baseline"/>
        <w:rPr>
          <w:rFonts w:ascii="宋体" w:hAnsi="宋体" w:cs="宋体"/>
          <w:sz w:val="20"/>
          <w:szCs w:val="21"/>
        </w:rPr>
      </w:pPr>
      <w:r>
        <w:rPr>
          <w:rFonts w:hint="eastAsia" w:ascii="宋体" w:hAnsi="宋体" w:cs="宋体"/>
          <w:szCs w:val="21"/>
        </w:rPr>
        <w:t>供应商名称（盖章）：</w:t>
      </w:r>
    </w:p>
    <w:p w14:paraId="0D647329">
      <w:pPr>
        <w:snapToGrid w:val="0"/>
        <w:spacing w:line="480" w:lineRule="exact"/>
        <w:ind w:right="23"/>
        <w:textAlignment w:val="baseline"/>
        <w:rPr>
          <w:rFonts w:ascii="宋体" w:hAnsi="宋体" w:cs="宋体"/>
          <w:sz w:val="20"/>
          <w:szCs w:val="21"/>
        </w:rPr>
      </w:pPr>
      <w:r>
        <w:rPr>
          <w:rFonts w:hint="eastAsia" w:ascii="宋体" w:hAnsi="宋体" w:cs="宋体"/>
          <w:szCs w:val="21"/>
        </w:rPr>
        <w:t>法定代表人或其委托代理人（签字）：</w:t>
      </w:r>
    </w:p>
    <w:p w14:paraId="458D0C3A">
      <w:pPr>
        <w:snapToGrid w:val="0"/>
        <w:spacing w:line="360" w:lineRule="auto"/>
        <w:ind w:right="23"/>
        <w:textAlignment w:val="baseline"/>
        <w:rPr>
          <w:rFonts w:ascii="宋体" w:hAnsi="宋体" w:cs="宋体"/>
          <w:sz w:val="20"/>
          <w:szCs w:val="21"/>
        </w:rPr>
      </w:pPr>
    </w:p>
    <w:p w14:paraId="2E1034F5">
      <w:pPr>
        <w:snapToGrid w:val="0"/>
        <w:spacing w:line="360" w:lineRule="auto"/>
        <w:ind w:right="23"/>
        <w:textAlignment w:val="baseline"/>
        <w:rPr>
          <w:rFonts w:ascii="宋体" w:hAnsi="宋体" w:cs="宋体"/>
          <w:b/>
          <w:sz w:val="32"/>
          <w:szCs w:val="32"/>
        </w:rPr>
      </w:pPr>
      <w:r>
        <w:rPr>
          <w:rFonts w:hint="eastAsia" w:ascii="宋体" w:hAnsi="宋体" w:cs="宋体"/>
          <w:szCs w:val="21"/>
        </w:rPr>
        <w:t>日期：年月日</w:t>
      </w:r>
    </w:p>
    <w:p w14:paraId="74D3CEEC">
      <w:pPr>
        <w:pStyle w:val="26"/>
        <w:snapToGrid w:val="0"/>
        <w:spacing w:line="360" w:lineRule="auto"/>
        <w:ind w:right="23"/>
        <w:jc w:val="center"/>
        <w:textAlignment w:val="baseline"/>
        <w:rPr>
          <w:rFonts w:hAnsi="宋体" w:cs="宋体"/>
          <w:b/>
          <w:sz w:val="32"/>
          <w:szCs w:val="32"/>
        </w:rPr>
      </w:pPr>
    </w:p>
    <w:p w14:paraId="6032E5BF">
      <w:pPr>
        <w:pStyle w:val="26"/>
        <w:snapToGrid w:val="0"/>
        <w:spacing w:line="360" w:lineRule="auto"/>
        <w:ind w:right="23"/>
        <w:jc w:val="center"/>
        <w:textAlignment w:val="baseline"/>
        <w:rPr>
          <w:rFonts w:hAnsi="宋体" w:cs="宋体"/>
          <w:b/>
          <w:sz w:val="32"/>
          <w:szCs w:val="32"/>
        </w:rPr>
      </w:pPr>
    </w:p>
    <w:p w14:paraId="46811343">
      <w:pPr>
        <w:pStyle w:val="26"/>
        <w:snapToGrid w:val="0"/>
        <w:spacing w:line="360" w:lineRule="auto"/>
        <w:ind w:right="23"/>
        <w:jc w:val="center"/>
        <w:textAlignment w:val="baseline"/>
        <w:rPr>
          <w:rFonts w:hAnsi="宋体" w:cs="宋体"/>
          <w:b/>
          <w:sz w:val="32"/>
          <w:szCs w:val="32"/>
        </w:rPr>
      </w:pPr>
    </w:p>
    <w:p w14:paraId="4FEE263A">
      <w:pPr>
        <w:pStyle w:val="26"/>
        <w:snapToGrid w:val="0"/>
        <w:spacing w:line="360" w:lineRule="auto"/>
        <w:ind w:right="23"/>
        <w:jc w:val="center"/>
        <w:textAlignment w:val="baseline"/>
        <w:rPr>
          <w:rFonts w:hAnsi="宋体" w:cs="宋体"/>
          <w:b/>
          <w:sz w:val="32"/>
          <w:szCs w:val="32"/>
        </w:rPr>
      </w:pPr>
    </w:p>
    <w:p w14:paraId="2163B7E8">
      <w:pPr>
        <w:pStyle w:val="26"/>
        <w:snapToGrid w:val="0"/>
        <w:spacing w:line="360" w:lineRule="auto"/>
        <w:ind w:right="23"/>
        <w:jc w:val="center"/>
        <w:textAlignment w:val="baseline"/>
        <w:rPr>
          <w:rFonts w:hAnsi="宋体" w:cs="宋体"/>
          <w:b/>
          <w:sz w:val="32"/>
          <w:szCs w:val="32"/>
        </w:rPr>
      </w:pPr>
    </w:p>
    <w:p w14:paraId="4A1B6850">
      <w:pPr>
        <w:pStyle w:val="26"/>
        <w:snapToGrid w:val="0"/>
        <w:spacing w:line="360" w:lineRule="auto"/>
        <w:ind w:right="23"/>
        <w:jc w:val="center"/>
        <w:textAlignment w:val="baseline"/>
        <w:rPr>
          <w:rFonts w:hAnsi="宋体" w:cs="宋体"/>
          <w:b/>
          <w:sz w:val="32"/>
          <w:szCs w:val="32"/>
        </w:rPr>
      </w:pPr>
    </w:p>
    <w:p w14:paraId="74392498">
      <w:pPr>
        <w:pStyle w:val="26"/>
        <w:snapToGrid w:val="0"/>
        <w:spacing w:line="360" w:lineRule="auto"/>
        <w:ind w:right="23"/>
        <w:jc w:val="center"/>
        <w:textAlignment w:val="baseline"/>
        <w:rPr>
          <w:rFonts w:hAnsi="宋体" w:cs="宋体"/>
          <w:b/>
          <w:sz w:val="32"/>
          <w:szCs w:val="32"/>
        </w:rPr>
      </w:pPr>
    </w:p>
    <w:p w14:paraId="68769624">
      <w:pPr>
        <w:pStyle w:val="26"/>
        <w:snapToGrid w:val="0"/>
        <w:spacing w:line="360" w:lineRule="auto"/>
        <w:ind w:right="23"/>
        <w:jc w:val="center"/>
        <w:textAlignment w:val="baseline"/>
        <w:rPr>
          <w:rFonts w:hAnsi="宋体" w:cs="宋体"/>
          <w:b/>
          <w:sz w:val="32"/>
          <w:szCs w:val="32"/>
        </w:rPr>
      </w:pPr>
    </w:p>
    <w:p w14:paraId="32B96ABD">
      <w:pPr>
        <w:pStyle w:val="26"/>
        <w:snapToGrid w:val="0"/>
        <w:spacing w:line="360" w:lineRule="auto"/>
        <w:ind w:right="23"/>
        <w:jc w:val="center"/>
        <w:textAlignment w:val="baseline"/>
        <w:rPr>
          <w:rFonts w:hAnsi="宋体" w:cs="宋体"/>
          <w:b/>
          <w:sz w:val="32"/>
          <w:szCs w:val="32"/>
        </w:rPr>
      </w:pPr>
    </w:p>
    <w:p w14:paraId="0B1D4183">
      <w:pPr>
        <w:pStyle w:val="26"/>
        <w:snapToGrid w:val="0"/>
        <w:spacing w:line="360" w:lineRule="auto"/>
        <w:ind w:right="23"/>
        <w:jc w:val="center"/>
        <w:textAlignment w:val="baseline"/>
        <w:rPr>
          <w:rFonts w:hAnsi="宋体" w:cs="宋体"/>
          <w:b/>
          <w:sz w:val="32"/>
          <w:szCs w:val="32"/>
        </w:rPr>
      </w:pPr>
    </w:p>
    <w:p w14:paraId="7F4C4CB4">
      <w:pPr>
        <w:pStyle w:val="26"/>
        <w:snapToGrid w:val="0"/>
        <w:spacing w:line="360" w:lineRule="auto"/>
        <w:ind w:right="23"/>
        <w:jc w:val="center"/>
        <w:textAlignment w:val="baseline"/>
        <w:rPr>
          <w:rFonts w:hAnsi="宋体" w:cs="宋体"/>
          <w:b/>
          <w:sz w:val="32"/>
          <w:szCs w:val="32"/>
        </w:rPr>
      </w:pPr>
    </w:p>
    <w:p w14:paraId="3C56DA2D">
      <w:pPr>
        <w:pStyle w:val="26"/>
        <w:snapToGrid w:val="0"/>
        <w:spacing w:line="360" w:lineRule="auto"/>
        <w:ind w:right="23"/>
        <w:jc w:val="center"/>
        <w:textAlignment w:val="baseline"/>
        <w:rPr>
          <w:rFonts w:hAnsi="宋体" w:cs="宋体"/>
          <w:b/>
          <w:sz w:val="32"/>
          <w:szCs w:val="32"/>
        </w:rPr>
      </w:pPr>
    </w:p>
    <w:p w14:paraId="6B347BA4">
      <w:pPr>
        <w:pStyle w:val="26"/>
        <w:snapToGrid w:val="0"/>
        <w:spacing w:line="360" w:lineRule="auto"/>
        <w:ind w:right="23"/>
        <w:jc w:val="center"/>
        <w:textAlignment w:val="baseline"/>
        <w:rPr>
          <w:rFonts w:hAnsi="宋体" w:cs="宋体"/>
          <w:b/>
          <w:sz w:val="32"/>
          <w:szCs w:val="32"/>
        </w:rPr>
      </w:pPr>
    </w:p>
    <w:p w14:paraId="53C9D9C5">
      <w:pPr>
        <w:pStyle w:val="26"/>
        <w:snapToGrid w:val="0"/>
        <w:spacing w:line="360" w:lineRule="auto"/>
        <w:ind w:right="23"/>
        <w:jc w:val="center"/>
        <w:textAlignment w:val="baseline"/>
        <w:rPr>
          <w:rFonts w:hAnsi="宋体" w:cs="宋体"/>
          <w:b/>
          <w:sz w:val="32"/>
          <w:szCs w:val="32"/>
        </w:rPr>
      </w:pPr>
      <w:r>
        <w:rPr>
          <w:rFonts w:hint="eastAsia" w:hAnsi="宋体" w:cs="宋体"/>
          <w:b/>
          <w:sz w:val="32"/>
          <w:szCs w:val="32"/>
        </w:rPr>
        <w:br w:type="page"/>
      </w:r>
    </w:p>
    <w:p w14:paraId="735D5F55">
      <w:pPr>
        <w:snapToGrid w:val="0"/>
        <w:spacing w:line="360" w:lineRule="auto"/>
        <w:ind w:right="23"/>
        <w:jc w:val="center"/>
        <w:textAlignment w:val="baseline"/>
        <w:rPr>
          <w:rFonts w:ascii="宋体" w:hAnsi="宋体" w:cs="宋体"/>
          <w:b/>
          <w:sz w:val="32"/>
        </w:rPr>
      </w:pPr>
      <w:r>
        <w:rPr>
          <w:rFonts w:hint="eastAsia" w:ascii="宋体" w:hAnsi="宋体" w:cs="宋体"/>
          <w:b/>
          <w:sz w:val="32"/>
          <w:szCs w:val="32"/>
        </w:rPr>
        <w:t>二、供应商</w:t>
      </w:r>
      <w:r>
        <w:rPr>
          <w:rFonts w:hint="eastAsia" w:ascii="宋体" w:hAnsi="宋体" w:cs="宋体"/>
          <w:b/>
          <w:bCs/>
          <w:sz w:val="32"/>
          <w:szCs w:val="32"/>
        </w:rPr>
        <w:t>的资格证明材料</w:t>
      </w:r>
    </w:p>
    <w:p w14:paraId="631C20A1">
      <w:pPr>
        <w:snapToGrid w:val="0"/>
        <w:spacing w:line="360" w:lineRule="auto"/>
        <w:ind w:right="23"/>
        <w:textAlignment w:val="baseline"/>
        <w:rPr>
          <w:rFonts w:ascii="宋体" w:hAnsi="宋体" w:cs="宋体"/>
          <w:b/>
          <w:sz w:val="28"/>
          <w:szCs w:val="28"/>
        </w:rPr>
      </w:pPr>
      <w:r>
        <w:rPr>
          <w:rFonts w:hint="eastAsia" w:ascii="宋体" w:hAnsi="宋体" w:cs="宋体"/>
          <w:sz w:val="24"/>
        </w:rPr>
        <w:t xml:space="preserve">附件4：                    </w:t>
      </w:r>
      <w:r>
        <w:rPr>
          <w:rFonts w:hint="eastAsia" w:ascii="宋体" w:hAnsi="宋体" w:cs="宋体"/>
          <w:b/>
          <w:sz w:val="28"/>
          <w:szCs w:val="28"/>
        </w:rPr>
        <w:t>供应商基本情况表</w:t>
      </w:r>
    </w:p>
    <w:p w14:paraId="2E9FCB5F">
      <w:pPr>
        <w:snapToGrid w:val="0"/>
        <w:spacing w:line="360" w:lineRule="auto"/>
        <w:ind w:right="23"/>
        <w:textAlignment w:val="baseline"/>
        <w:rPr>
          <w:rFonts w:ascii="宋体" w:hAnsi="宋体" w:cs="宋体"/>
          <w:b/>
          <w:sz w:val="28"/>
          <w:szCs w:val="28"/>
        </w:rPr>
      </w:pPr>
    </w:p>
    <w:p w14:paraId="305C861B">
      <w:pPr>
        <w:snapToGrid w:val="0"/>
        <w:spacing w:line="360" w:lineRule="auto"/>
        <w:ind w:right="23"/>
        <w:textAlignment w:val="baseline"/>
        <w:rPr>
          <w:rFonts w:ascii="宋体" w:hAnsi="宋体" w:cs="宋体"/>
          <w:sz w:val="20"/>
          <w:szCs w:val="21"/>
        </w:rPr>
      </w:pPr>
      <w:r>
        <w:rPr>
          <w:rFonts w:hint="eastAsia" w:ascii="宋体" w:hAnsi="宋体" w:cs="宋体"/>
          <w:szCs w:val="21"/>
        </w:rPr>
        <w:t>供应商单位盖章</w:t>
      </w:r>
    </w:p>
    <w:tbl>
      <w:tblPr>
        <w:tblStyle w:val="47"/>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49"/>
        <w:gridCol w:w="562"/>
        <w:gridCol w:w="378"/>
        <w:gridCol w:w="1192"/>
        <w:gridCol w:w="892"/>
        <w:gridCol w:w="610"/>
        <w:gridCol w:w="312"/>
        <w:gridCol w:w="1129"/>
        <w:gridCol w:w="1385"/>
        <w:gridCol w:w="2695"/>
      </w:tblGrid>
      <w:tr w14:paraId="13A839E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689" w:type="dxa"/>
            <w:gridSpan w:val="3"/>
            <w:tcBorders>
              <w:bottom w:val="single" w:color="auto" w:sz="6" w:space="0"/>
              <w:right w:val="single" w:color="auto" w:sz="6" w:space="0"/>
            </w:tcBorders>
            <w:noWrap/>
            <w:vAlign w:val="center"/>
          </w:tcPr>
          <w:p w14:paraId="268E7CCA">
            <w:pPr>
              <w:spacing w:line="440" w:lineRule="exact"/>
              <w:ind w:right="23"/>
              <w:jc w:val="center"/>
              <w:textAlignment w:val="baseline"/>
              <w:rPr>
                <w:rFonts w:ascii="宋体" w:hAnsi="宋体" w:cs="宋体"/>
                <w:szCs w:val="21"/>
              </w:rPr>
            </w:pPr>
            <w:r>
              <w:rPr>
                <w:rFonts w:hint="eastAsia" w:ascii="宋体" w:hAnsi="宋体" w:cs="宋体"/>
                <w:szCs w:val="21"/>
              </w:rPr>
              <w:t>供应商名称</w:t>
            </w:r>
          </w:p>
        </w:tc>
        <w:tc>
          <w:tcPr>
            <w:tcW w:w="4135" w:type="dxa"/>
            <w:gridSpan w:val="5"/>
            <w:tcBorders>
              <w:left w:val="single" w:color="auto" w:sz="6" w:space="0"/>
              <w:bottom w:val="single" w:color="auto" w:sz="6" w:space="0"/>
              <w:right w:val="single" w:color="auto" w:sz="6" w:space="0"/>
            </w:tcBorders>
            <w:noWrap/>
            <w:vAlign w:val="center"/>
          </w:tcPr>
          <w:p w14:paraId="6C9DED17">
            <w:pPr>
              <w:spacing w:line="440" w:lineRule="exact"/>
              <w:ind w:right="23"/>
              <w:jc w:val="center"/>
              <w:textAlignment w:val="baseline"/>
              <w:rPr>
                <w:rFonts w:ascii="宋体" w:hAnsi="宋体" w:cs="宋体"/>
                <w:szCs w:val="21"/>
              </w:rPr>
            </w:pPr>
          </w:p>
        </w:tc>
        <w:tc>
          <w:tcPr>
            <w:tcW w:w="1385" w:type="dxa"/>
            <w:tcBorders>
              <w:left w:val="single" w:color="auto" w:sz="6" w:space="0"/>
              <w:bottom w:val="single" w:color="auto" w:sz="6" w:space="0"/>
              <w:right w:val="single" w:color="auto" w:sz="6" w:space="0"/>
            </w:tcBorders>
            <w:noWrap/>
            <w:vAlign w:val="center"/>
          </w:tcPr>
          <w:p w14:paraId="2F033575">
            <w:pPr>
              <w:spacing w:line="440" w:lineRule="exact"/>
              <w:ind w:right="23"/>
              <w:jc w:val="center"/>
              <w:textAlignment w:val="baseline"/>
              <w:rPr>
                <w:rFonts w:ascii="宋体" w:hAnsi="宋体" w:cs="宋体"/>
                <w:szCs w:val="21"/>
              </w:rPr>
            </w:pPr>
            <w:r>
              <w:rPr>
                <w:rFonts w:hint="eastAsia" w:ascii="宋体" w:hAnsi="宋体" w:cs="宋体"/>
                <w:szCs w:val="21"/>
              </w:rPr>
              <w:t>法定代表人</w:t>
            </w:r>
          </w:p>
        </w:tc>
        <w:tc>
          <w:tcPr>
            <w:tcW w:w="2695" w:type="dxa"/>
            <w:tcBorders>
              <w:left w:val="single" w:color="auto" w:sz="6" w:space="0"/>
              <w:bottom w:val="single" w:color="auto" w:sz="6" w:space="0"/>
            </w:tcBorders>
            <w:noWrap/>
            <w:vAlign w:val="center"/>
          </w:tcPr>
          <w:p w14:paraId="6D1B78BD">
            <w:pPr>
              <w:spacing w:line="440" w:lineRule="exact"/>
              <w:ind w:right="23"/>
              <w:jc w:val="center"/>
              <w:textAlignment w:val="baseline"/>
              <w:rPr>
                <w:rFonts w:ascii="宋体" w:hAnsi="宋体" w:cs="宋体"/>
                <w:szCs w:val="21"/>
              </w:rPr>
            </w:pPr>
          </w:p>
        </w:tc>
      </w:tr>
      <w:tr w14:paraId="4653B15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689" w:type="dxa"/>
            <w:gridSpan w:val="3"/>
            <w:tcBorders>
              <w:top w:val="single" w:color="auto" w:sz="6" w:space="0"/>
              <w:bottom w:val="single" w:color="auto" w:sz="6" w:space="0"/>
              <w:right w:val="single" w:color="auto" w:sz="6" w:space="0"/>
            </w:tcBorders>
            <w:noWrap/>
            <w:vAlign w:val="center"/>
          </w:tcPr>
          <w:p w14:paraId="4262ED7C">
            <w:pPr>
              <w:spacing w:line="440" w:lineRule="exact"/>
              <w:ind w:right="23"/>
              <w:jc w:val="center"/>
              <w:textAlignment w:val="baseline"/>
              <w:rPr>
                <w:rFonts w:ascii="宋体" w:hAnsi="宋体" w:cs="宋体"/>
                <w:szCs w:val="21"/>
              </w:rPr>
            </w:pPr>
            <w:r>
              <w:rPr>
                <w:rFonts w:hint="eastAsia" w:ascii="宋体" w:hAnsi="宋体" w:cs="宋体"/>
                <w:szCs w:val="21"/>
              </w:rPr>
              <w:t>组织机构代码</w:t>
            </w:r>
          </w:p>
        </w:tc>
        <w:tc>
          <w:tcPr>
            <w:tcW w:w="4135" w:type="dxa"/>
            <w:gridSpan w:val="5"/>
            <w:tcBorders>
              <w:top w:val="single" w:color="auto" w:sz="6" w:space="0"/>
              <w:left w:val="single" w:color="auto" w:sz="6" w:space="0"/>
              <w:bottom w:val="single" w:color="auto" w:sz="6" w:space="0"/>
              <w:right w:val="single" w:color="auto" w:sz="6" w:space="0"/>
            </w:tcBorders>
            <w:noWrap/>
            <w:vAlign w:val="center"/>
          </w:tcPr>
          <w:p w14:paraId="6AC60746">
            <w:pPr>
              <w:spacing w:line="440" w:lineRule="exact"/>
              <w:ind w:right="23"/>
              <w:jc w:val="center"/>
              <w:textAlignment w:val="baseline"/>
              <w:rPr>
                <w:rFonts w:ascii="宋体" w:hAnsi="宋体" w:cs="宋体"/>
                <w:szCs w:val="21"/>
              </w:rPr>
            </w:pPr>
          </w:p>
        </w:tc>
        <w:tc>
          <w:tcPr>
            <w:tcW w:w="1385" w:type="dxa"/>
            <w:tcBorders>
              <w:top w:val="single" w:color="auto" w:sz="6" w:space="0"/>
              <w:left w:val="single" w:color="auto" w:sz="6" w:space="0"/>
              <w:bottom w:val="single" w:color="auto" w:sz="6" w:space="0"/>
              <w:right w:val="single" w:color="auto" w:sz="6" w:space="0"/>
            </w:tcBorders>
            <w:noWrap/>
            <w:vAlign w:val="center"/>
          </w:tcPr>
          <w:p w14:paraId="726AE608">
            <w:pPr>
              <w:spacing w:line="440" w:lineRule="exact"/>
              <w:ind w:right="23"/>
              <w:jc w:val="center"/>
              <w:textAlignment w:val="baseline"/>
              <w:rPr>
                <w:rFonts w:ascii="宋体" w:hAnsi="宋体" w:cs="宋体"/>
                <w:szCs w:val="21"/>
              </w:rPr>
            </w:pPr>
            <w:r>
              <w:rPr>
                <w:rFonts w:hint="eastAsia" w:ascii="宋体" w:hAnsi="宋体" w:cs="宋体"/>
                <w:szCs w:val="21"/>
              </w:rPr>
              <w:t>邮政编码</w:t>
            </w:r>
          </w:p>
        </w:tc>
        <w:tc>
          <w:tcPr>
            <w:tcW w:w="2695" w:type="dxa"/>
            <w:tcBorders>
              <w:top w:val="single" w:color="auto" w:sz="6" w:space="0"/>
              <w:left w:val="single" w:color="auto" w:sz="6" w:space="0"/>
              <w:bottom w:val="single" w:color="auto" w:sz="6" w:space="0"/>
            </w:tcBorders>
            <w:noWrap/>
            <w:vAlign w:val="center"/>
          </w:tcPr>
          <w:p w14:paraId="443B5629">
            <w:pPr>
              <w:spacing w:line="440" w:lineRule="exact"/>
              <w:ind w:right="23"/>
              <w:jc w:val="center"/>
              <w:textAlignment w:val="baseline"/>
              <w:rPr>
                <w:rFonts w:ascii="宋体" w:hAnsi="宋体" w:cs="宋体"/>
                <w:szCs w:val="21"/>
              </w:rPr>
            </w:pPr>
          </w:p>
        </w:tc>
      </w:tr>
      <w:tr w14:paraId="6BCF9AA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689" w:type="dxa"/>
            <w:gridSpan w:val="3"/>
            <w:tcBorders>
              <w:top w:val="single" w:color="auto" w:sz="6" w:space="0"/>
              <w:bottom w:val="single" w:color="auto" w:sz="6" w:space="0"/>
              <w:right w:val="single" w:color="auto" w:sz="6" w:space="0"/>
            </w:tcBorders>
            <w:noWrap/>
            <w:vAlign w:val="center"/>
          </w:tcPr>
          <w:p w14:paraId="7D5C3DD7">
            <w:pPr>
              <w:spacing w:line="440" w:lineRule="exact"/>
              <w:ind w:right="23"/>
              <w:jc w:val="center"/>
              <w:textAlignment w:val="baseline"/>
              <w:rPr>
                <w:rFonts w:ascii="宋体" w:hAnsi="宋体" w:cs="宋体"/>
                <w:szCs w:val="21"/>
              </w:rPr>
            </w:pPr>
            <w:r>
              <w:rPr>
                <w:rFonts w:hint="eastAsia" w:ascii="宋体" w:hAnsi="宋体" w:cs="宋体"/>
                <w:szCs w:val="21"/>
              </w:rPr>
              <w:t>委托代理人</w:t>
            </w:r>
          </w:p>
        </w:tc>
        <w:tc>
          <w:tcPr>
            <w:tcW w:w="4135" w:type="dxa"/>
            <w:gridSpan w:val="5"/>
            <w:tcBorders>
              <w:top w:val="single" w:color="auto" w:sz="6" w:space="0"/>
              <w:left w:val="single" w:color="auto" w:sz="6" w:space="0"/>
              <w:bottom w:val="single" w:color="auto" w:sz="6" w:space="0"/>
              <w:right w:val="single" w:color="auto" w:sz="6" w:space="0"/>
            </w:tcBorders>
            <w:noWrap/>
            <w:vAlign w:val="center"/>
          </w:tcPr>
          <w:p w14:paraId="5CEE8F1A">
            <w:pPr>
              <w:spacing w:line="440" w:lineRule="exact"/>
              <w:ind w:right="23"/>
              <w:jc w:val="center"/>
              <w:textAlignment w:val="baseline"/>
              <w:rPr>
                <w:rFonts w:ascii="宋体" w:hAnsi="宋体" w:cs="宋体"/>
                <w:szCs w:val="21"/>
              </w:rPr>
            </w:pPr>
          </w:p>
        </w:tc>
        <w:tc>
          <w:tcPr>
            <w:tcW w:w="1385" w:type="dxa"/>
            <w:tcBorders>
              <w:top w:val="single" w:color="auto" w:sz="6" w:space="0"/>
              <w:left w:val="single" w:color="auto" w:sz="6" w:space="0"/>
              <w:bottom w:val="single" w:color="auto" w:sz="6" w:space="0"/>
              <w:right w:val="single" w:color="auto" w:sz="6" w:space="0"/>
            </w:tcBorders>
            <w:noWrap/>
            <w:vAlign w:val="center"/>
          </w:tcPr>
          <w:p w14:paraId="573AFE78">
            <w:pPr>
              <w:spacing w:line="440" w:lineRule="exact"/>
              <w:ind w:right="23"/>
              <w:jc w:val="center"/>
              <w:textAlignment w:val="baseline"/>
              <w:rPr>
                <w:rFonts w:ascii="宋体" w:hAnsi="宋体" w:cs="宋体"/>
                <w:szCs w:val="21"/>
              </w:rPr>
            </w:pPr>
            <w:r>
              <w:rPr>
                <w:rFonts w:hint="eastAsia" w:ascii="宋体" w:hAnsi="宋体" w:cs="宋体"/>
                <w:szCs w:val="21"/>
              </w:rPr>
              <w:t>电子邮箱</w:t>
            </w:r>
          </w:p>
        </w:tc>
        <w:tc>
          <w:tcPr>
            <w:tcW w:w="2695" w:type="dxa"/>
            <w:tcBorders>
              <w:top w:val="single" w:color="auto" w:sz="6" w:space="0"/>
              <w:left w:val="single" w:color="auto" w:sz="6" w:space="0"/>
              <w:bottom w:val="single" w:color="auto" w:sz="6" w:space="0"/>
            </w:tcBorders>
            <w:noWrap/>
            <w:vAlign w:val="center"/>
          </w:tcPr>
          <w:p w14:paraId="49E3C231">
            <w:pPr>
              <w:spacing w:line="440" w:lineRule="exact"/>
              <w:ind w:right="23"/>
              <w:jc w:val="center"/>
              <w:textAlignment w:val="baseline"/>
              <w:rPr>
                <w:rFonts w:ascii="宋体" w:hAnsi="宋体" w:cs="宋体"/>
                <w:szCs w:val="21"/>
              </w:rPr>
            </w:pPr>
          </w:p>
        </w:tc>
      </w:tr>
      <w:tr w14:paraId="6C8D2C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689" w:type="dxa"/>
            <w:gridSpan w:val="3"/>
            <w:tcBorders>
              <w:top w:val="single" w:color="auto" w:sz="6" w:space="0"/>
              <w:bottom w:val="single" w:color="auto" w:sz="6" w:space="0"/>
              <w:right w:val="single" w:color="auto" w:sz="6" w:space="0"/>
            </w:tcBorders>
            <w:noWrap/>
            <w:vAlign w:val="center"/>
          </w:tcPr>
          <w:p w14:paraId="42716A1F">
            <w:pPr>
              <w:spacing w:line="440" w:lineRule="exact"/>
              <w:ind w:right="23"/>
              <w:jc w:val="center"/>
              <w:textAlignment w:val="baseline"/>
              <w:rPr>
                <w:rFonts w:ascii="宋体" w:hAnsi="宋体" w:cs="宋体"/>
                <w:szCs w:val="21"/>
              </w:rPr>
            </w:pPr>
            <w:r>
              <w:rPr>
                <w:rFonts w:hint="eastAsia" w:ascii="宋体" w:hAnsi="宋体" w:cs="宋体"/>
                <w:szCs w:val="21"/>
              </w:rPr>
              <w:t>上年营业收入</w:t>
            </w:r>
          </w:p>
        </w:tc>
        <w:tc>
          <w:tcPr>
            <w:tcW w:w="4135" w:type="dxa"/>
            <w:gridSpan w:val="5"/>
            <w:tcBorders>
              <w:top w:val="single" w:color="auto" w:sz="6" w:space="0"/>
              <w:left w:val="single" w:color="auto" w:sz="6" w:space="0"/>
              <w:bottom w:val="single" w:color="auto" w:sz="6" w:space="0"/>
              <w:right w:val="single" w:color="auto" w:sz="6" w:space="0"/>
            </w:tcBorders>
            <w:noWrap/>
            <w:vAlign w:val="center"/>
          </w:tcPr>
          <w:p w14:paraId="00AB4ED2">
            <w:pPr>
              <w:spacing w:line="440" w:lineRule="exact"/>
              <w:ind w:right="23"/>
              <w:jc w:val="center"/>
              <w:textAlignment w:val="baseline"/>
              <w:rPr>
                <w:rFonts w:ascii="宋体" w:hAnsi="宋体" w:cs="宋体"/>
                <w:szCs w:val="21"/>
              </w:rPr>
            </w:pPr>
          </w:p>
        </w:tc>
        <w:tc>
          <w:tcPr>
            <w:tcW w:w="1385" w:type="dxa"/>
            <w:tcBorders>
              <w:top w:val="single" w:color="auto" w:sz="6" w:space="0"/>
              <w:left w:val="single" w:color="auto" w:sz="6" w:space="0"/>
              <w:bottom w:val="single" w:color="auto" w:sz="6" w:space="0"/>
              <w:right w:val="single" w:color="auto" w:sz="6" w:space="0"/>
            </w:tcBorders>
            <w:noWrap/>
            <w:vAlign w:val="center"/>
          </w:tcPr>
          <w:p w14:paraId="023A7C47">
            <w:pPr>
              <w:spacing w:line="440" w:lineRule="exact"/>
              <w:ind w:right="23"/>
              <w:jc w:val="center"/>
              <w:textAlignment w:val="baseline"/>
              <w:rPr>
                <w:rFonts w:ascii="宋体" w:hAnsi="宋体" w:cs="宋体"/>
                <w:szCs w:val="21"/>
              </w:rPr>
            </w:pPr>
            <w:r>
              <w:rPr>
                <w:rFonts w:hint="eastAsia" w:ascii="宋体" w:hAnsi="宋体" w:cs="宋体"/>
                <w:szCs w:val="21"/>
              </w:rPr>
              <w:t>员工总人数</w:t>
            </w:r>
          </w:p>
        </w:tc>
        <w:tc>
          <w:tcPr>
            <w:tcW w:w="2695" w:type="dxa"/>
            <w:tcBorders>
              <w:top w:val="single" w:color="auto" w:sz="6" w:space="0"/>
              <w:left w:val="single" w:color="auto" w:sz="6" w:space="0"/>
              <w:bottom w:val="single" w:color="auto" w:sz="6" w:space="0"/>
            </w:tcBorders>
            <w:noWrap/>
            <w:vAlign w:val="center"/>
          </w:tcPr>
          <w:p w14:paraId="2DE2CC77">
            <w:pPr>
              <w:spacing w:line="440" w:lineRule="exact"/>
              <w:ind w:right="23"/>
              <w:jc w:val="center"/>
              <w:textAlignment w:val="baseline"/>
              <w:rPr>
                <w:rFonts w:ascii="宋体" w:hAnsi="宋体" w:cs="宋体"/>
                <w:szCs w:val="21"/>
              </w:rPr>
            </w:pPr>
          </w:p>
        </w:tc>
      </w:tr>
      <w:tr w14:paraId="3EE7556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restart"/>
            <w:tcBorders>
              <w:top w:val="single" w:color="auto" w:sz="6" w:space="0"/>
              <w:bottom w:val="single" w:color="auto" w:sz="6" w:space="0"/>
              <w:right w:val="single" w:color="auto" w:sz="6" w:space="0"/>
            </w:tcBorders>
            <w:noWrap/>
            <w:vAlign w:val="center"/>
          </w:tcPr>
          <w:p w14:paraId="7F5B0683">
            <w:pPr>
              <w:spacing w:line="440" w:lineRule="exact"/>
              <w:ind w:right="23"/>
              <w:jc w:val="center"/>
              <w:textAlignment w:val="baseline"/>
              <w:rPr>
                <w:rFonts w:ascii="宋体" w:hAnsi="宋体" w:cs="宋体"/>
                <w:szCs w:val="21"/>
              </w:rPr>
            </w:pPr>
            <w:r>
              <w:rPr>
                <w:rFonts w:hint="eastAsia" w:ascii="宋体" w:hAnsi="宋体" w:cs="宋体"/>
                <w:szCs w:val="21"/>
              </w:rPr>
              <w:t>营业执照</w:t>
            </w:r>
          </w:p>
        </w:tc>
        <w:tc>
          <w:tcPr>
            <w:tcW w:w="2132" w:type="dxa"/>
            <w:gridSpan w:val="3"/>
            <w:tcBorders>
              <w:top w:val="single" w:color="auto" w:sz="6" w:space="0"/>
              <w:left w:val="single" w:color="auto" w:sz="6" w:space="0"/>
              <w:bottom w:val="single" w:color="auto" w:sz="6" w:space="0"/>
              <w:right w:val="single" w:color="auto" w:sz="6" w:space="0"/>
            </w:tcBorders>
            <w:noWrap/>
            <w:vAlign w:val="center"/>
          </w:tcPr>
          <w:p w14:paraId="05E6A563">
            <w:pPr>
              <w:spacing w:line="440" w:lineRule="exact"/>
              <w:ind w:right="23"/>
              <w:jc w:val="center"/>
              <w:textAlignment w:val="baseline"/>
              <w:rPr>
                <w:rFonts w:ascii="宋体" w:hAnsi="宋体" w:cs="宋体"/>
                <w:szCs w:val="21"/>
              </w:rPr>
            </w:pPr>
            <w:r>
              <w:rPr>
                <w:rFonts w:hint="eastAsia" w:ascii="宋体" w:hAnsi="宋体" w:cs="宋体"/>
                <w:szCs w:val="21"/>
              </w:rPr>
              <w:t>注册号码</w:t>
            </w:r>
          </w:p>
        </w:tc>
        <w:tc>
          <w:tcPr>
            <w:tcW w:w="1502" w:type="dxa"/>
            <w:gridSpan w:val="2"/>
            <w:tcBorders>
              <w:top w:val="single" w:color="auto" w:sz="6" w:space="0"/>
              <w:left w:val="single" w:color="auto" w:sz="6" w:space="0"/>
              <w:bottom w:val="single" w:color="auto" w:sz="6" w:space="0"/>
              <w:right w:val="single" w:color="auto" w:sz="6" w:space="0"/>
            </w:tcBorders>
            <w:noWrap/>
            <w:vAlign w:val="center"/>
          </w:tcPr>
          <w:p w14:paraId="4AB8DE4D">
            <w:pPr>
              <w:spacing w:line="440" w:lineRule="exact"/>
              <w:ind w:right="23"/>
              <w:jc w:val="center"/>
              <w:textAlignment w:val="baseline"/>
              <w:rPr>
                <w:rFonts w:ascii="宋体" w:hAnsi="宋体" w:cs="宋体"/>
                <w:szCs w:val="21"/>
              </w:rPr>
            </w:pPr>
          </w:p>
        </w:tc>
        <w:tc>
          <w:tcPr>
            <w:tcW w:w="1441" w:type="dxa"/>
            <w:gridSpan w:val="2"/>
            <w:tcBorders>
              <w:top w:val="single" w:color="auto" w:sz="6" w:space="0"/>
              <w:left w:val="single" w:color="auto" w:sz="6" w:space="0"/>
              <w:bottom w:val="single" w:color="auto" w:sz="6" w:space="0"/>
              <w:right w:val="single" w:color="auto" w:sz="6" w:space="0"/>
            </w:tcBorders>
            <w:noWrap/>
            <w:vAlign w:val="center"/>
          </w:tcPr>
          <w:p w14:paraId="1FFA5CCB">
            <w:pPr>
              <w:spacing w:line="440" w:lineRule="exact"/>
              <w:ind w:right="23" w:firstLine="105" w:firstLineChars="50"/>
              <w:jc w:val="center"/>
              <w:textAlignment w:val="baseline"/>
              <w:rPr>
                <w:rFonts w:ascii="宋体" w:hAnsi="宋体" w:cs="宋体"/>
                <w:szCs w:val="21"/>
              </w:rPr>
            </w:pPr>
            <w:r>
              <w:rPr>
                <w:rFonts w:hint="eastAsia" w:ascii="宋体" w:hAnsi="宋体" w:cs="宋体"/>
                <w:szCs w:val="21"/>
              </w:rPr>
              <w:t>注册地址</w:t>
            </w:r>
          </w:p>
        </w:tc>
        <w:tc>
          <w:tcPr>
            <w:tcW w:w="4080" w:type="dxa"/>
            <w:gridSpan w:val="2"/>
            <w:tcBorders>
              <w:top w:val="single" w:color="auto" w:sz="6" w:space="0"/>
              <w:left w:val="single" w:color="auto" w:sz="6" w:space="0"/>
              <w:bottom w:val="single" w:color="auto" w:sz="6" w:space="0"/>
            </w:tcBorders>
            <w:noWrap/>
            <w:vAlign w:val="center"/>
          </w:tcPr>
          <w:p w14:paraId="1ED6E565">
            <w:pPr>
              <w:spacing w:line="440" w:lineRule="exact"/>
              <w:ind w:right="23" w:firstLine="105" w:firstLineChars="50"/>
              <w:jc w:val="center"/>
              <w:textAlignment w:val="baseline"/>
              <w:rPr>
                <w:rFonts w:ascii="宋体" w:hAnsi="宋体" w:cs="宋体"/>
                <w:szCs w:val="21"/>
              </w:rPr>
            </w:pPr>
          </w:p>
        </w:tc>
      </w:tr>
      <w:tr w14:paraId="790ECF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noWrap/>
            <w:vAlign w:val="center"/>
          </w:tcPr>
          <w:p w14:paraId="6D5A3ABD">
            <w:pPr>
              <w:spacing w:line="440" w:lineRule="exact"/>
              <w:ind w:right="23"/>
              <w:jc w:val="center"/>
              <w:textAlignment w:val="baseline"/>
              <w:rPr>
                <w:rFonts w:ascii="宋体" w:hAnsi="宋体" w:cs="宋体"/>
                <w:szCs w:val="21"/>
              </w:rPr>
            </w:pPr>
          </w:p>
        </w:tc>
        <w:tc>
          <w:tcPr>
            <w:tcW w:w="2132" w:type="dxa"/>
            <w:gridSpan w:val="3"/>
            <w:tcBorders>
              <w:top w:val="single" w:color="auto" w:sz="6" w:space="0"/>
              <w:left w:val="single" w:color="auto" w:sz="6" w:space="0"/>
              <w:bottom w:val="single" w:color="auto" w:sz="6" w:space="0"/>
              <w:right w:val="single" w:color="auto" w:sz="6" w:space="0"/>
            </w:tcBorders>
            <w:noWrap/>
            <w:vAlign w:val="center"/>
          </w:tcPr>
          <w:p w14:paraId="6D56E499">
            <w:pPr>
              <w:spacing w:line="440" w:lineRule="exact"/>
              <w:ind w:right="23"/>
              <w:jc w:val="center"/>
              <w:textAlignment w:val="baseline"/>
              <w:rPr>
                <w:rFonts w:ascii="宋体" w:hAnsi="宋体" w:cs="宋体"/>
                <w:szCs w:val="21"/>
              </w:rPr>
            </w:pPr>
            <w:r>
              <w:rPr>
                <w:rFonts w:hint="eastAsia" w:ascii="宋体" w:hAnsi="宋体" w:cs="宋体"/>
                <w:szCs w:val="21"/>
              </w:rPr>
              <w:t>发证机关</w:t>
            </w:r>
          </w:p>
        </w:tc>
        <w:tc>
          <w:tcPr>
            <w:tcW w:w="1502" w:type="dxa"/>
            <w:gridSpan w:val="2"/>
            <w:tcBorders>
              <w:top w:val="single" w:color="auto" w:sz="6" w:space="0"/>
              <w:left w:val="single" w:color="auto" w:sz="6" w:space="0"/>
              <w:bottom w:val="single" w:color="auto" w:sz="6" w:space="0"/>
              <w:right w:val="single" w:color="auto" w:sz="6" w:space="0"/>
            </w:tcBorders>
            <w:noWrap/>
            <w:vAlign w:val="center"/>
          </w:tcPr>
          <w:p w14:paraId="1CDE0906">
            <w:pPr>
              <w:spacing w:line="440" w:lineRule="exact"/>
              <w:ind w:right="23"/>
              <w:jc w:val="center"/>
              <w:textAlignment w:val="baseline"/>
              <w:rPr>
                <w:rFonts w:ascii="宋体" w:hAnsi="宋体" w:cs="宋体"/>
                <w:szCs w:val="21"/>
              </w:rPr>
            </w:pPr>
          </w:p>
        </w:tc>
        <w:tc>
          <w:tcPr>
            <w:tcW w:w="1441" w:type="dxa"/>
            <w:gridSpan w:val="2"/>
            <w:tcBorders>
              <w:top w:val="single" w:color="auto" w:sz="6" w:space="0"/>
              <w:left w:val="single" w:color="auto" w:sz="6" w:space="0"/>
              <w:bottom w:val="single" w:color="auto" w:sz="6" w:space="0"/>
              <w:right w:val="single" w:color="auto" w:sz="6" w:space="0"/>
            </w:tcBorders>
            <w:noWrap/>
            <w:vAlign w:val="center"/>
          </w:tcPr>
          <w:p w14:paraId="555B8B48">
            <w:pPr>
              <w:spacing w:line="440" w:lineRule="exact"/>
              <w:ind w:right="23" w:firstLine="105" w:firstLineChars="50"/>
              <w:jc w:val="center"/>
              <w:textAlignment w:val="baseline"/>
              <w:rPr>
                <w:rFonts w:ascii="宋体" w:hAnsi="宋体" w:cs="宋体"/>
                <w:szCs w:val="21"/>
              </w:rPr>
            </w:pPr>
            <w:r>
              <w:rPr>
                <w:rFonts w:hint="eastAsia" w:ascii="宋体" w:hAnsi="宋体" w:cs="宋体"/>
                <w:szCs w:val="21"/>
              </w:rPr>
              <w:t>发证日期</w:t>
            </w:r>
          </w:p>
        </w:tc>
        <w:tc>
          <w:tcPr>
            <w:tcW w:w="4080" w:type="dxa"/>
            <w:gridSpan w:val="2"/>
            <w:tcBorders>
              <w:top w:val="single" w:color="auto" w:sz="6" w:space="0"/>
              <w:left w:val="single" w:color="auto" w:sz="6" w:space="0"/>
              <w:bottom w:val="single" w:color="auto" w:sz="6" w:space="0"/>
            </w:tcBorders>
            <w:noWrap/>
            <w:vAlign w:val="center"/>
          </w:tcPr>
          <w:p w14:paraId="6D0F189E">
            <w:pPr>
              <w:spacing w:line="440" w:lineRule="exact"/>
              <w:ind w:right="23" w:firstLine="105" w:firstLineChars="50"/>
              <w:jc w:val="center"/>
              <w:textAlignment w:val="baseline"/>
              <w:rPr>
                <w:rFonts w:ascii="宋体" w:hAnsi="宋体" w:cs="宋体"/>
                <w:szCs w:val="21"/>
              </w:rPr>
            </w:pPr>
          </w:p>
        </w:tc>
      </w:tr>
      <w:tr w14:paraId="1A8D325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noWrap/>
            <w:vAlign w:val="center"/>
          </w:tcPr>
          <w:p w14:paraId="12A5DCB7">
            <w:pPr>
              <w:spacing w:line="440" w:lineRule="exact"/>
              <w:ind w:right="23"/>
              <w:jc w:val="center"/>
              <w:textAlignment w:val="baseline"/>
              <w:rPr>
                <w:rFonts w:ascii="宋体" w:hAnsi="宋体" w:cs="宋体"/>
                <w:szCs w:val="21"/>
              </w:rPr>
            </w:pPr>
          </w:p>
        </w:tc>
        <w:tc>
          <w:tcPr>
            <w:tcW w:w="2132" w:type="dxa"/>
            <w:gridSpan w:val="3"/>
            <w:tcBorders>
              <w:top w:val="single" w:color="auto" w:sz="6" w:space="0"/>
              <w:left w:val="single" w:color="auto" w:sz="6" w:space="0"/>
              <w:bottom w:val="single" w:color="auto" w:sz="6" w:space="0"/>
              <w:right w:val="single" w:color="auto" w:sz="6" w:space="0"/>
            </w:tcBorders>
            <w:noWrap/>
            <w:vAlign w:val="center"/>
          </w:tcPr>
          <w:p w14:paraId="581B4756">
            <w:pPr>
              <w:spacing w:line="440" w:lineRule="exact"/>
              <w:ind w:right="23"/>
              <w:jc w:val="center"/>
              <w:textAlignment w:val="baseline"/>
              <w:rPr>
                <w:rFonts w:ascii="宋体" w:hAnsi="宋体" w:cs="宋体"/>
                <w:szCs w:val="21"/>
              </w:rPr>
            </w:pPr>
            <w:r>
              <w:rPr>
                <w:rFonts w:hint="eastAsia" w:ascii="宋体" w:hAnsi="宋体" w:cs="宋体"/>
                <w:szCs w:val="21"/>
              </w:rPr>
              <w:t>营业范围（主营）</w:t>
            </w:r>
          </w:p>
        </w:tc>
        <w:tc>
          <w:tcPr>
            <w:tcW w:w="7023" w:type="dxa"/>
            <w:gridSpan w:val="6"/>
            <w:tcBorders>
              <w:top w:val="single" w:color="auto" w:sz="6" w:space="0"/>
              <w:left w:val="single" w:color="auto" w:sz="6" w:space="0"/>
              <w:bottom w:val="single" w:color="auto" w:sz="6" w:space="0"/>
            </w:tcBorders>
            <w:noWrap/>
            <w:vAlign w:val="center"/>
          </w:tcPr>
          <w:p w14:paraId="4A85F16D">
            <w:pPr>
              <w:spacing w:line="440" w:lineRule="exact"/>
              <w:ind w:right="23" w:firstLine="105" w:firstLineChars="50"/>
              <w:jc w:val="center"/>
              <w:textAlignment w:val="baseline"/>
              <w:rPr>
                <w:rFonts w:ascii="宋体" w:hAnsi="宋体" w:cs="宋体"/>
                <w:szCs w:val="21"/>
              </w:rPr>
            </w:pPr>
          </w:p>
        </w:tc>
      </w:tr>
      <w:tr w14:paraId="3C93AB9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noWrap/>
            <w:vAlign w:val="center"/>
          </w:tcPr>
          <w:p w14:paraId="721D0778">
            <w:pPr>
              <w:spacing w:line="440" w:lineRule="exact"/>
              <w:ind w:right="23"/>
              <w:jc w:val="center"/>
              <w:textAlignment w:val="baseline"/>
              <w:rPr>
                <w:rFonts w:ascii="宋体" w:hAnsi="宋体" w:cs="宋体"/>
                <w:szCs w:val="21"/>
              </w:rPr>
            </w:pPr>
          </w:p>
        </w:tc>
        <w:tc>
          <w:tcPr>
            <w:tcW w:w="2132" w:type="dxa"/>
            <w:gridSpan w:val="3"/>
            <w:tcBorders>
              <w:top w:val="single" w:color="auto" w:sz="6" w:space="0"/>
              <w:left w:val="single" w:color="auto" w:sz="6" w:space="0"/>
              <w:bottom w:val="single" w:color="auto" w:sz="6" w:space="0"/>
              <w:right w:val="single" w:color="auto" w:sz="6" w:space="0"/>
            </w:tcBorders>
            <w:noWrap/>
            <w:vAlign w:val="center"/>
          </w:tcPr>
          <w:p w14:paraId="6F022864">
            <w:pPr>
              <w:spacing w:line="440" w:lineRule="exact"/>
              <w:ind w:right="23"/>
              <w:jc w:val="center"/>
              <w:textAlignment w:val="baseline"/>
              <w:rPr>
                <w:rFonts w:ascii="宋体" w:hAnsi="宋体" w:cs="宋体"/>
                <w:szCs w:val="21"/>
              </w:rPr>
            </w:pPr>
            <w:r>
              <w:rPr>
                <w:rFonts w:hint="eastAsia" w:ascii="宋体" w:hAnsi="宋体" w:cs="宋体"/>
                <w:szCs w:val="21"/>
              </w:rPr>
              <w:t>营业范围（兼营）</w:t>
            </w:r>
          </w:p>
        </w:tc>
        <w:tc>
          <w:tcPr>
            <w:tcW w:w="7023" w:type="dxa"/>
            <w:gridSpan w:val="6"/>
            <w:tcBorders>
              <w:top w:val="single" w:color="auto" w:sz="6" w:space="0"/>
              <w:left w:val="single" w:color="auto" w:sz="6" w:space="0"/>
              <w:bottom w:val="single" w:color="auto" w:sz="6" w:space="0"/>
            </w:tcBorders>
            <w:noWrap/>
            <w:vAlign w:val="center"/>
          </w:tcPr>
          <w:p w14:paraId="3E8AFD6D">
            <w:pPr>
              <w:spacing w:line="440" w:lineRule="exact"/>
              <w:ind w:right="23" w:firstLine="105" w:firstLineChars="50"/>
              <w:jc w:val="center"/>
              <w:textAlignment w:val="baseline"/>
              <w:rPr>
                <w:rFonts w:ascii="宋体" w:hAnsi="宋体" w:cs="宋体"/>
                <w:szCs w:val="21"/>
              </w:rPr>
            </w:pPr>
          </w:p>
        </w:tc>
      </w:tr>
      <w:tr w14:paraId="0D4EC8A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881" w:type="dxa"/>
            <w:gridSpan w:val="4"/>
            <w:tcBorders>
              <w:top w:val="single" w:color="auto" w:sz="6" w:space="0"/>
              <w:bottom w:val="single" w:color="auto" w:sz="6" w:space="0"/>
              <w:right w:val="single" w:color="auto" w:sz="6" w:space="0"/>
            </w:tcBorders>
            <w:noWrap/>
            <w:vAlign w:val="center"/>
          </w:tcPr>
          <w:p w14:paraId="212CB32A">
            <w:pPr>
              <w:spacing w:line="440" w:lineRule="exact"/>
              <w:ind w:right="23"/>
              <w:jc w:val="center"/>
              <w:textAlignment w:val="baseline"/>
              <w:rPr>
                <w:rFonts w:ascii="宋体" w:hAnsi="宋体" w:cs="宋体"/>
                <w:szCs w:val="21"/>
              </w:rPr>
            </w:pPr>
            <w:r>
              <w:rPr>
                <w:rFonts w:hint="eastAsia" w:ascii="宋体" w:hAnsi="宋体" w:cs="宋体"/>
                <w:szCs w:val="21"/>
              </w:rPr>
              <w:t>基本账户开户行及帐号</w:t>
            </w:r>
          </w:p>
        </w:tc>
        <w:tc>
          <w:tcPr>
            <w:tcW w:w="7023" w:type="dxa"/>
            <w:gridSpan w:val="6"/>
            <w:tcBorders>
              <w:top w:val="single" w:color="auto" w:sz="6" w:space="0"/>
              <w:left w:val="single" w:color="auto" w:sz="6" w:space="0"/>
              <w:bottom w:val="single" w:color="auto" w:sz="6" w:space="0"/>
            </w:tcBorders>
            <w:noWrap/>
            <w:vAlign w:val="center"/>
          </w:tcPr>
          <w:p w14:paraId="294DE3B1">
            <w:pPr>
              <w:spacing w:line="440" w:lineRule="exact"/>
              <w:ind w:right="23"/>
              <w:jc w:val="center"/>
              <w:textAlignment w:val="baseline"/>
              <w:rPr>
                <w:rFonts w:ascii="宋体" w:hAnsi="宋体" w:cs="宋体"/>
                <w:szCs w:val="21"/>
              </w:rPr>
            </w:pPr>
          </w:p>
        </w:tc>
      </w:tr>
      <w:tr w14:paraId="5402C9A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881" w:type="dxa"/>
            <w:gridSpan w:val="4"/>
            <w:tcBorders>
              <w:top w:val="single" w:color="auto" w:sz="6" w:space="0"/>
              <w:bottom w:val="single" w:color="auto" w:sz="6" w:space="0"/>
              <w:right w:val="single" w:color="auto" w:sz="6" w:space="0"/>
            </w:tcBorders>
            <w:noWrap/>
            <w:vAlign w:val="center"/>
          </w:tcPr>
          <w:p w14:paraId="484C81D0">
            <w:pPr>
              <w:spacing w:line="440" w:lineRule="exact"/>
              <w:ind w:right="23"/>
              <w:jc w:val="center"/>
              <w:textAlignment w:val="baseline"/>
              <w:rPr>
                <w:rFonts w:ascii="宋体" w:hAnsi="宋体" w:cs="宋体"/>
                <w:szCs w:val="21"/>
              </w:rPr>
            </w:pPr>
            <w:r>
              <w:rPr>
                <w:rFonts w:hint="eastAsia" w:ascii="宋体" w:hAnsi="宋体" w:cs="宋体"/>
                <w:szCs w:val="21"/>
              </w:rPr>
              <w:t>税务发证机关</w:t>
            </w:r>
          </w:p>
        </w:tc>
        <w:tc>
          <w:tcPr>
            <w:tcW w:w="7023" w:type="dxa"/>
            <w:gridSpan w:val="6"/>
            <w:tcBorders>
              <w:top w:val="single" w:color="auto" w:sz="6" w:space="0"/>
              <w:left w:val="single" w:color="auto" w:sz="6" w:space="0"/>
              <w:bottom w:val="single" w:color="auto" w:sz="6" w:space="0"/>
            </w:tcBorders>
            <w:noWrap/>
            <w:vAlign w:val="center"/>
          </w:tcPr>
          <w:p w14:paraId="44E02292">
            <w:pPr>
              <w:spacing w:line="440" w:lineRule="exact"/>
              <w:ind w:right="23"/>
              <w:jc w:val="center"/>
              <w:textAlignment w:val="baseline"/>
              <w:rPr>
                <w:rFonts w:ascii="宋体" w:hAnsi="宋体" w:cs="宋体"/>
                <w:szCs w:val="21"/>
              </w:rPr>
            </w:pPr>
          </w:p>
        </w:tc>
      </w:tr>
      <w:tr w14:paraId="3A57E48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3773" w:type="dxa"/>
            <w:gridSpan w:val="5"/>
            <w:tcBorders>
              <w:top w:val="single" w:color="auto" w:sz="6" w:space="0"/>
              <w:bottom w:val="single" w:color="auto" w:sz="6" w:space="0"/>
              <w:right w:val="single" w:color="auto" w:sz="6" w:space="0"/>
            </w:tcBorders>
            <w:noWrap/>
            <w:vAlign w:val="center"/>
          </w:tcPr>
          <w:p w14:paraId="385C79CC">
            <w:pPr>
              <w:spacing w:line="440" w:lineRule="exact"/>
              <w:ind w:right="23"/>
              <w:jc w:val="center"/>
              <w:textAlignment w:val="baseline"/>
              <w:rPr>
                <w:rFonts w:ascii="宋体" w:hAnsi="宋体" w:cs="宋体"/>
                <w:szCs w:val="21"/>
              </w:rPr>
            </w:pPr>
            <w:r>
              <w:rPr>
                <w:rFonts w:hint="eastAsia" w:ascii="宋体" w:hAnsi="宋体" w:cs="宋体"/>
                <w:szCs w:val="21"/>
              </w:rPr>
              <w:t>资质名称</w:t>
            </w:r>
          </w:p>
        </w:tc>
        <w:tc>
          <w:tcPr>
            <w:tcW w:w="922" w:type="dxa"/>
            <w:gridSpan w:val="2"/>
            <w:tcBorders>
              <w:top w:val="single" w:color="auto" w:sz="6" w:space="0"/>
              <w:left w:val="single" w:color="auto" w:sz="6" w:space="0"/>
              <w:bottom w:val="single" w:color="auto" w:sz="6" w:space="0"/>
              <w:right w:val="single" w:color="auto" w:sz="6" w:space="0"/>
            </w:tcBorders>
            <w:noWrap/>
            <w:vAlign w:val="center"/>
          </w:tcPr>
          <w:p w14:paraId="2EDE4F18">
            <w:pPr>
              <w:spacing w:line="440" w:lineRule="exact"/>
              <w:ind w:right="23"/>
              <w:jc w:val="center"/>
              <w:textAlignment w:val="baseline"/>
              <w:rPr>
                <w:rFonts w:ascii="宋体" w:hAnsi="宋体" w:cs="宋体"/>
                <w:szCs w:val="21"/>
              </w:rPr>
            </w:pPr>
            <w:r>
              <w:rPr>
                <w:rFonts w:hint="eastAsia" w:ascii="宋体" w:hAnsi="宋体" w:cs="宋体"/>
                <w:szCs w:val="21"/>
              </w:rPr>
              <w:t>等级</w:t>
            </w:r>
          </w:p>
        </w:tc>
        <w:tc>
          <w:tcPr>
            <w:tcW w:w="1129" w:type="dxa"/>
            <w:tcBorders>
              <w:top w:val="single" w:color="auto" w:sz="6" w:space="0"/>
              <w:left w:val="single" w:color="auto" w:sz="6" w:space="0"/>
              <w:bottom w:val="single" w:color="auto" w:sz="6" w:space="0"/>
              <w:right w:val="single" w:color="auto" w:sz="6" w:space="0"/>
            </w:tcBorders>
            <w:noWrap/>
            <w:vAlign w:val="center"/>
          </w:tcPr>
          <w:p w14:paraId="20EA1149">
            <w:pPr>
              <w:spacing w:line="440" w:lineRule="exact"/>
              <w:ind w:right="23"/>
              <w:jc w:val="center"/>
              <w:textAlignment w:val="baseline"/>
              <w:rPr>
                <w:rFonts w:ascii="宋体" w:hAnsi="宋体" w:cs="宋体"/>
                <w:szCs w:val="21"/>
              </w:rPr>
            </w:pPr>
            <w:r>
              <w:rPr>
                <w:rFonts w:hint="eastAsia" w:ascii="宋体" w:hAnsi="宋体" w:cs="宋体"/>
                <w:szCs w:val="21"/>
              </w:rPr>
              <w:t>发证机关</w:t>
            </w:r>
          </w:p>
        </w:tc>
        <w:tc>
          <w:tcPr>
            <w:tcW w:w="4080" w:type="dxa"/>
            <w:gridSpan w:val="2"/>
            <w:tcBorders>
              <w:top w:val="single" w:color="auto" w:sz="6" w:space="0"/>
              <w:left w:val="single" w:color="auto" w:sz="6" w:space="0"/>
              <w:bottom w:val="single" w:color="auto" w:sz="6" w:space="0"/>
            </w:tcBorders>
            <w:noWrap/>
            <w:vAlign w:val="center"/>
          </w:tcPr>
          <w:p w14:paraId="3E5DF3E1">
            <w:pPr>
              <w:spacing w:line="440" w:lineRule="exact"/>
              <w:ind w:right="23"/>
              <w:jc w:val="center"/>
              <w:textAlignment w:val="baseline"/>
              <w:rPr>
                <w:rFonts w:ascii="宋体" w:hAnsi="宋体" w:cs="宋体"/>
                <w:szCs w:val="21"/>
              </w:rPr>
            </w:pPr>
            <w:r>
              <w:rPr>
                <w:rFonts w:hint="eastAsia" w:ascii="宋体" w:hAnsi="宋体" w:cs="宋体"/>
                <w:szCs w:val="21"/>
              </w:rPr>
              <w:t>有效期</w:t>
            </w:r>
          </w:p>
        </w:tc>
      </w:tr>
      <w:tr w14:paraId="6B88999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noWrap/>
            <w:vAlign w:val="center"/>
          </w:tcPr>
          <w:p w14:paraId="07D79C69">
            <w:pPr>
              <w:spacing w:line="440" w:lineRule="exact"/>
              <w:ind w:right="23"/>
              <w:jc w:val="center"/>
              <w:textAlignment w:val="baseline"/>
              <w:rPr>
                <w:rFonts w:ascii="宋体" w:hAnsi="宋体" w:cs="宋体"/>
                <w:szCs w:val="21"/>
              </w:rPr>
            </w:pPr>
          </w:p>
        </w:tc>
        <w:tc>
          <w:tcPr>
            <w:tcW w:w="922" w:type="dxa"/>
            <w:gridSpan w:val="2"/>
            <w:tcBorders>
              <w:top w:val="single" w:color="auto" w:sz="6" w:space="0"/>
              <w:left w:val="single" w:color="auto" w:sz="6" w:space="0"/>
              <w:bottom w:val="single" w:color="auto" w:sz="6" w:space="0"/>
              <w:right w:val="single" w:color="auto" w:sz="6" w:space="0"/>
            </w:tcBorders>
            <w:noWrap/>
            <w:vAlign w:val="center"/>
          </w:tcPr>
          <w:p w14:paraId="347A336C">
            <w:pPr>
              <w:spacing w:line="440" w:lineRule="exact"/>
              <w:ind w:right="23"/>
              <w:jc w:val="center"/>
              <w:textAlignment w:val="baseline"/>
              <w:rPr>
                <w:rFonts w:ascii="宋体" w:hAnsi="宋体" w:cs="宋体"/>
                <w:szCs w:val="21"/>
              </w:rPr>
            </w:pPr>
          </w:p>
        </w:tc>
        <w:tc>
          <w:tcPr>
            <w:tcW w:w="1129" w:type="dxa"/>
            <w:tcBorders>
              <w:top w:val="single" w:color="auto" w:sz="6" w:space="0"/>
              <w:left w:val="single" w:color="auto" w:sz="6" w:space="0"/>
              <w:bottom w:val="single" w:color="auto" w:sz="6" w:space="0"/>
              <w:right w:val="single" w:color="auto" w:sz="6" w:space="0"/>
            </w:tcBorders>
            <w:noWrap/>
            <w:vAlign w:val="center"/>
          </w:tcPr>
          <w:p w14:paraId="4012B975">
            <w:pPr>
              <w:spacing w:line="440" w:lineRule="exact"/>
              <w:ind w:right="23"/>
              <w:jc w:val="center"/>
              <w:textAlignment w:val="baseline"/>
              <w:rPr>
                <w:rFonts w:ascii="宋体" w:hAnsi="宋体" w:cs="宋体"/>
                <w:szCs w:val="21"/>
              </w:rPr>
            </w:pPr>
          </w:p>
        </w:tc>
        <w:tc>
          <w:tcPr>
            <w:tcW w:w="4080" w:type="dxa"/>
            <w:gridSpan w:val="2"/>
            <w:tcBorders>
              <w:top w:val="single" w:color="auto" w:sz="6" w:space="0"/>
              <w:left w:val="single" w:color="auto" w:sz="6" w:space="0"/>
              <w:bottom w:val="single" w:color="auto" w:sz="6" w:space="0"/>
            </w:tcBorders>
            <w:noWrap/>
            <w:vAlign w:val="center"/>
          </w:tcPr>
          <w:p w14:paraId="458C9D84">
            <w:pPr>
              <w:spacing w:line="440" w:lineRule="exact"/>
              <w:ind w:right="23"/>
              <w:jc w:val="center"/>
              <w:textAlignment w:val="baseline"/>
              <w:rPr>
                <w:rFonts w:ascii="宋体" w:hAnsi="宋体" w:cs="宋体"/>
                <w:szCs w:val="21"/>
              </w:rPr>
            </w:pPr>
          </w:p>
        </w:tc>
      </w:tr>
      <w:tr w14:paraId="4A1BE46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noWrap/>
            <w:vAlign w:val="center"/>
          </w:tcPr>
          <w:p w14:paraId="0D2DD909">
            <w:pPr>
              <w:spacing w:line="440" w:lineRule="exact"/>
              <w:ind w:right="23"/>
              <w:jc w:val="center"/>
              <w:textAlignment w:val="baseline"/>
              <w:rPr>
                <w:rFonts w:ascii="宋体" w:hAnsi="宋体" w:cs="宋体"/>
                <w:szCs w:val="21"/>
              </w:rPr>
            </w:pPr>
          </w:p>
        </w:tc>
        <w:tc>
          <w:tcPr>
            <w:tcW w:w="922" w:type="dxa"/>
            <w:gridSpan w:val="2"/>
            <w:tcBorders>
              <w:top w:val="single" w:color="auto" w:sz="6" w:space="0"/>
              <w:left w:val="single" w:color="auto" w:sz="6" w:space="0"/>
              <w:bottom w:val="single" w:color="auto" w:sz="6" w:space="0"/>
              <w:right w:val="single" w:color="auto" w:sz="6" w:space="0"/>
            </w:tcBorders>
            <w:noWrap/>
            <w:vAlign w:val="center"/>
          </w:tcPr>
          <w:p w14:paraId="2DCEAA0D">
            <w:pPr>
              <w:spacing w:line="440" w:lineRule="exact"/>
              <w:ind w:right="23"/>
              <w:jc w:val="center"/>
              <w:textAlignment w:val="baseline"/>
              <w:rPr>
                <w:rFonts w:ascii="宋体" w:hAnsi="宋体" w:cs="宋体"/>
                <w:szCs w:val="21"/>
              </w:rPr>
            </w:pPr>
          </w:p>
        </w:tc>
        <w:tc>
          <w:tcPr>
            <w:tcW w:w="1129" w:type="dxa"/>
            <w:tcBorders>
              <w:top w:val="single" w:color="auto" w:sz="6" w:space="0"/>
              <w:left w:val="single" w:color="auto" w:sz="6" w:space="0"/>
              <w:bottom w:val="single" w:color="auto" w:sz="6" w:space="0"/>
              <w:right w:val="single" w:color="auto" w:sz="6" w:space="0"/>
            </w:tcBorders>
            <w:noWrap/>
            <w:vAlign w:val="center"/>
          </w:tcPr>
          <w:p w14:paraId="5BC994CE">
            <w:pPr>
              <w:spacing w:line="440" w:lineRule="exact"/>
              <w:ind w:right="23"/>
              <w:jc w:val="center"/>
              <w:textAlignment w:val="baseline"/>
              <w:rPr>
                <w:rFonts w:ascii="宋体" w:hAnsi="宋体" w:cs="宋体"/>
                <w:szCs w:val="21"/>
              </w:rPr>
            </w:pPr>
          </w:p>
        </w:tc>
        <w:tc>
          <w:tcPr>
            <w:tcW w:w="4080" w:type="dxa"/>
            <w:gridSpan w:val="2"/>
            <w:tcBorders>
              <w:top w:val="single" w:color="auto" w:sz="6" w:space="0"/>
              <w:left w:val="single" w:color="auto" w:sz="6" w:space="0"/>
              <w:bottom w:val="single" w:color="auto" w:sz="6" w:space="0"/>
            </w:tcBorders>
            <w:noWrap/>
            <w:vAlign w:val="center"/>
          </w:tcPr>
          <w:p w14:paraId="01931F76">
            <w:pPr>
              <w:spacing w:line="440" w:lineRule="exact"/>
              <w:ind w:right="23"/>
              <w:jc w:val="center"/>
              <w:textAlignment w:val="baseline"/>
              <w:rPr>
                <w:rFonts w:ascii="宋体" w:hAnsi="宋体" w:cs="宋体"/>
                <w:szCs w:val="21"/>
              </w:rPr>
            </w:pPr>
          </w:p>
        </w:tc>
      </w:tr>
      <w:tr w14:paraId="411B948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noWrap/>
            <w:vAlign w:val="center"/>
          </w:tcPr>
          <w:p w14:paraId="34550A0B">
            <w:pPr>
              <w:spacing w:line="440" w:lineRule="exact"/>
              <w:ind w:right="23"/>
              <w:jc w:val="center"/>
              <w:textAlignment w:val="baseline"/>
              <w:rPr>
                <w:rFonts w:ascii="宋体" w:hAnsi="宋体" w:cs="宋体"/>
                <w:szCs w:val="21"/>
              </w:rPr>
            </w:pPr>
          </w:p>
        </w:tc>
        <w:tc>
          <w:tcPr>
            <w:tcW w:w="922" w:type="dxa"/>
            <w:gridSpan w:val="2"/>
            <w:tcBorders>
              <w:top w:val="single" w:color="auto" w:sz="6" w:space="0"/>
              <w:left w:val="single" w:color="auto" w:sz="6" w:space="0"/>
              <w:bottom w:val="single" w:color="auto" w:sz="6" w:space="0"/>
              <w:right w:val="single" w:color="auto" w:sz="6" w:space="0"/>
            </w:tcBorders>
            <w:noWrap/>
            <w:vAlign w:val="center"/>
          </w:tcPr>
          <w:p w14:paraId="1A29F020">
            <w:pPr>
              <w:spacing w:line="440" w:lineRule="exact"/>
              <w:ind w:right="23"/>
              <w:jc w:val="center"/>
              <w:textAlignment w:val="baseline"/>
              <w:rPr>
                <w:rFonts w:ascii="宋体" w:hAnsi="宋体" w:cs="宋体"/>
                <w:szCs w:val="21"/>
              </w:rPr>
            </w:pPr>
          </w:p>
        </w:tc>
        <w:tc>
          <w:tcPr>
            <w:tcW w:w="1129" w:type="dxa"/>
            <w:tcBorders>
              <w:top w:val="single" w:color="auto" w:sz="6" w:space="0"/>
              <w:left w:val="single" w:color="auto" w:sz="6" w:space="0"/>
              <w:bottom w:val="single" w:color="auto" w:sz="6" w:space="0"/>
              <w:right w:val="single" w:color="auto" w:sz="6" w:space="0"/>
            </w:tcBorders>
            <w:noWrap/>
            <w:vAlign w:val="center"/>
          </w:tcPr>
          <w:p w14:paraId="1E83F2DE">
            <w:pPr>
              <w:spacing w:line="440" w:lineRule="exact"/>
              <w:ind w:right="23"/>
              <w:jc w:val="center"/>
              <w:textAlignment w:val="baseline"/>
              <w:rPr>
                <w:rFonts w:ascii="宋体" w:hAnsi="宋体" w:cs="宋体"/>
                <w:szCs w:val="21"/>
              </w:rPr>
            </w:pPr>
          </w:p>
        </w:tc>
        <w:tc>
          <w:tcPr>
            <w:tcW w:w="4080" w:type="dxa"/>
            <w:gridSpan w:val="2"/>
            <w:tcBorders>
              <w:top w:val="single" w:color="auto" w:sz="6" w:space="0"/>
              <w:left w:val="single" w:color="auto" w:sz="6" w:space="0"/>
              <w:bottom w:val="single" w:color="auto" w:sz="6" w:space="0"/>
            </w:tcBorders>
            <w:noWrap/>
            <w:vAlign w:val="center"/>
          </w:tcPr>
          <w:p w14:paraId="3F37A9FD">
            <w:pPr>
              <w:spacing w:line="440" w:lineRule="exact"/>
              <w:ind w:right="23"/>
              <w:jc w:val="center"/>
              <w:textAlignment w:val="baseline"/>
              <w:rPr>
                <w:rFonts w:ascii="宋体" w:hAnsi="宋体" w:cs="宋体"/>
                <w:szCs w:val="21"/>
              </w:rPr>
            </w:pPr>
          </w:p>
        </w:tc>
      </w:tr>
      <w:tr w14:paraId="0908E9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noWrap/>
            <w:vAlign w:val="center"/>
          </w:tcPr>
          <w:p w14:paraId="05E3276C">
            <w:pPr>
              <w:spacing w:line="440" w:lineRule="exact"/>
              <w:ind w:right="23"/>
              <w:jc w:val="center"/>
              <w:textAlignment w:val="baseline"/>
              <w:rPr>
                <w:rFonts w:ascii="宋体" w:hAnsi="宋体" w:cs="宋体"/>
                <w:szCs w:val="21"/>
              </w:rPr>
            </w:pPr>
          </w:p>
        </w:tc>
        <w:tc>
          <w:tcPr>
            <w:tcW w:w="922" w:type="dxa"/>
            <w:gridSpan w:val="2"/>
            <w:tcBorders>
              <w:top w:val="single" w:color="auto" w:sz="6" w:space="0"/>
              <w:left w:val="single" w:color="auto" w:sz="6" w:space="0"/>
              <w:bottom w:val="single" w:color="auto" w:sz="6" w:space="0"/>
              <w:right w:val="single" w:color="auto" w:sz="6" w:space="0"/>
            </w:tcBorders>
            <w:noWrap/>
            <w:vAlign w:val="center"/>
          </w:tcPr>
          <w:p w14:paraId="77F1D0B0">
            <w:pPr>
              <w:spacing w:line="440" w:lineRule="exact"/>
              <w:ind w:right="23"/>
              <w:jc w:val="center"/>
              <w:textAlignment w:val="baseline"/>
              <w:rPr>
                <w:rFonts w:ascii="宋体" w:hAnsi="宋体" w:cs="宋体"/>
                <w:szCs w:val="21"/>
              </w:rPr>
            </w:pPr>
          </w:p>
        </w:tc>
        <w:tc>
          <w:tcPr>
            <w:tcW w:w="1129" w:type="dxa"/>
            <w:tcBorders>
              <w:top w:val="single" w:color="auto" w:sz="6" w:space="0"/>
              <w:left w:val="single" w:color="auto" w:sz="6" w:space="0"/>
              <w:bottom w:val="single" w:color="auto" w:sz="6" w:space="0"/>
              <w:right w:val="single" w:color="auto" w:sz="6" w:space="0"/>
            </w:tcBorders>
            <w:noWrap/>
            <w:vAlign w:val="center"/>
          </w:tcPr>
          <w:p w14:paraId="6E99D95D">
            <w:pPr>
              <w:spacing w:line="440" w:lineRule="exact"/>
              <w:ind w:right="23"/>
              <w:jc w:val="center"/>
              <w:textAlignment w:val="baseline"/>
              <w:rPr>
                <w:rFonts w:ascii="宋体" w:hAnsi="宋体" w:cs="宋体"/>
                <w:szCs w:val="21"/>
              </w:rPr>
            </w:pPr>
          </w:p>
        </w:tc>
        <w:tc>
          <w:tcPr>
            <w:tcW w:w="4080" w:type="dxa"/>
            <w:gridSpan w:val="2"/>
            <w:tcBorders>
              <w:top w:val="single" w:color="auto" w:sz="6" w:space="0"/>
              <w:left w:val="single" w:color="auto" w:sz="6" w:space="0"/>
              <w:bottom w:val="single" w:color="auto" w:sz="6" w:space="0"/>
            </w:tcBorders>
            <w:noWrap/>
            <w:vAlign w:val="center"/>
          </w:tcPr>
          <w:p w14:paraId="35B4494D">
            <w:pPr>
              <w:spacing w:line="440" w:lineRule="exact"/>
              <w:ind w:right="23"/>
              <w:jc w:val="center"/>
              <w:textAlignment w:val="baseline"/>
              <w:rPr>
                <w:rFonts w:ascii="宋体" w:hAnsi="宋体" w:cs="宋体"/>
                <w:szCs w:val="21"/>
              </w:rPr>
            </w:pPr>
          </w:p>
        </w:tc>
      </w:tr>
      <w:tr w14:paraId="6E521D9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777" w:hRule="atLeast"/>
          <w:jc w:val="center"/>
        </w:trPr>
        <w:tc>
          <w:tcPr>
            <w:tcW w:w="1311" w:type="dxa"/>
            <w:gridSpan w:val="2"/>
            <w:tcBorders>
              <w:top w:val="single" w:color="auto" w:sz="6" w:space="0"/>
              <w:right w:val="single" w:color="auto" w:sz="6" w:space="0"/>
            </w:tcBorders>
            <w:noWrap/>
            <w:vAlign w:val="center"/>
          </w:tcPr>
          <w:p w14:paraId="5DF10437">
            <w:pPr>
              <w:spacing w:line="440" w:lineRule="exact"/>
              <w:ind w:right="23"/>
              <w:jc w:val="center"/>
              <w:textAlignment w:val="baseline"/>
              <w:rPr>
                <w:rFonts w:ascii="宋体" w:hAnsi="宋体" w:cs="宋体"/>
                <w:szCs w:val="21"/>
              </w:rPr>
            </w:pPr>
            <w:r>
              <w:rPr>
                <w:rFonts w:hint="eastAsia" w:ascii="宋体" w:hAnsi="宋体" w:cs="宋体"/>
                <w:szCs w:val="21"/>
              </w:rPr>
              <w:t>备注</w:t>
            </w:r>
          </w:p>
        </w:tc>
        <w:tc>
          <w:tcPr>
            <w:tcW w:w="8593" w:type="dxa"/>
            <w:gridSpan w:val="8"/>
            <w:tcBorders>
              <w:top w:val="single" w:color="auto" w:sz="6" w:space="0"/>
              <w:left w:val="single" w:color="auto" w:sz="6" w:space="0"/>
            </w:tcBorders>
            <w:noWrap/>
            <w:vAlign w:val="center"/>
          </w:tcPr>
          <w:p w14:paraId="2510042D">
            <w:pPr>
              <w:spacing w:line="440" w:lineRule="exact"/>
              <w:ind w:right="23"/>
              <w:textAlignment w:val="baseline"/>
              <w:rPr>
                <w:rFonts w:ascii="宋体" w:hAnsi="宋体" w:cs="宋体"/>
                <w:szCs w:val="21"/>
              </w:rPr>
            </w:pPr>
            <w:r>
              <w:rPr>
                <w:rFonts w:hint="eastAsia" w:ascii="宋体" w:hAnsi="宋体" w:cs="宋体"/>
                <w:szCs w:val="21"/>
              </w:rPr>
              <w:t>提供营业执照(副本复印件)，其他资料按第二章第42.1款或第四章要求提供。</w:t>
            </w:r>
          </w:p>
        </w:tc>
      </w:tr>
    </w:tbl>
    <w:p w14:paraId="0A70FD08">
      <w:pPr>
        <w:snapToGrid w:val="0"/>
        <w:spacing w:line="360" w:lineRule="auto"/>
        <w:ind w:right="23"/>
        <w:jc w:val="center"/>
        <w:textAlignment w:val="baseline"/>
        <w:rPr>
          <w:rFonts w:ascii="宋体" w:hAnsi="宋体" w:cs="宋体"/>
          <w:sz w:val="24"/>
        </w:rPr>
      </w:pPr>
    </w:p>
    <w:p w14:paraId="243D669E">
      <w:pPr>
        <w:spacing w:line="480" w:lineRule="exact"/>
        <w:ind w:right="23"/>
        <w:jc w:val="left"/>
        <w:textAlignment w:val="baseline"/>
        <w:outlineLvl w:val="0"/>
        <w:rPr>
          <w:rFonts w:ascii="宋体" w:hAnsi="宋体" w:cs="宋体"/>
          <w:sz w:val="24"/>
        </w:rPr>
      </w:pPr>
      <w:bookmarkStart w:id="11" w:name="_Toc27726"/>
      <w:r>
        <w:rPr>
          <w:rFonts w:hint="eastAsia" w:ascii="宋体" w:hAnsi="宋体" w:cs="宋体"/>
          <w:sz w:val="24"/>
        </w:rPr>
        <w:t>附件4-1：</w:t>
      </w:r>
      <w:bookmarkEnd w:id="11"/>
    </w:p>
    <w:p w14:paraId="15999EE8">
      <w:pPr>
        <w:spacing w:line="480" w:lineRule="exact"/>
        <w:ind w:right="23"/>
        <w:jc w:val="center"/>
        <w:textAlignment w:val="baseline"/>
        <w:rPr>
          <w:rFonts w:ascii="宋体" w:hAnsi="宋体" w:cs="宋体"/>
          <w:sz w:val="24"/>
        </w:rPr>
      </w:pPr>
      <w:r>
        <w:rPr>
          <w:rFonts w:hint="eastAsia" w:ascii="宋体" w:hAnsi="宋体" w:cs="宋体"/>
          <w:b/>
          <w:sz w:val="28"/>
          <w:szCs w:val="28"/>
        </w:rPr>
        <w:t>磋商文件规定的基本资格条件证明资料</w:t>
      </w:r>
    </w:p>
    <w:p w14:paraId="427D276E">
      <w:pPr>
        <w:spacing w:line="480" w:lineRule="exact"/>
        <w:ind w:right="23"/>
        <w:textAlignment w:val="baseline"/>
        <w:rPr>
          <w:rFonts w:ascii="宋体" w:hAnsi="宋体" w:cs="宋体"/>
          <w:sz w:val="24"/>
        </w:rPr>
      </w:pPr>
    </w:p>
    <w:p w14:paraId="110C3BCB">
      <w:pPr>
        <w:spacing w:line="360" w:lineRule="auto"/>
        <w:ind w:firstLine="420" w:firstLineChars="200"/>
        <w:textAlignment w:val="baseline"/>
        <w:rPr>
          <w:rStyle w:val="157"/>
          <w:rFonts w:ascii="宋体" w:hAnsi="宋体" w:cs="宋体"/>
          <w:color w:val="000000" w:themeColor="text1"/>
          <w:szCs w:val="21"/>
        </w:rPr>
      </w:pPr>
      <w:r>
        <w:rPr>
          <w:rStyle w:val="157"/>
          <w:rFonts w:hint="eastAsia" w:ascii="宋体" w:hAnsi="宋体" w:cs="宋体"/>
          <w:color w:val="000000" w:themeColor="text1"/>
          <w:szCs w:val="21"/>
        </w:rPr>
        <w:t>1、供应商基本资格条件：符合《中华人民共和国政府采购法》第二十二条规定的供应商条件；并提供以下资格证明文件：</w:t>
      </w:r>
    </w:p>
    <w:p w14:paraId="16015056">
      <w:pPr>
        <w:spacing w:line="360" w:lineRule="auto"/>
        <w:ind w:firstLine="420" w:firstLineChars="200"/>
        <w:textAlignment w:val="baseline"/>
        <w:rPr>
          <w:rStyle w:val="157"/>
          <w:rFonts w:ascii="宋体" w:hAnsi="宋体" w:cs="宋体"/>
          <w:color w:val="FF0000"/>
          <w:szCs w:val="21"/>
        </w:rPr>
      </w:pPr>
      <w:r>
        <w:rPr>
          <w:rStyle w:val="157"/>
          <w:rFonts w:hint="eastAsia" w:ascii="宋体" w:hAnsi="宋体" w:cs="宋体"/>
          <w:color w:val="FF0000"/>
          <w:szCs w:val="21"/>
        </w:rPr>
        <w:t>（1）独立法人提交依法取得的企业营业执照，营业执照处于有效期；</w:t>
      </w:r>
    </w:p>
    <w:p w14:paraId="675B29F1">
      <w:pPr>
        <w:spacing w:line="360" w:lineRule="auto"/>
        <w:ind w:firstLine="400" w:firstLineChars="200"/>
        <w:textAlignment w:val="baseline"/>
        <w:rPr>
          <w:rStyle w:val="157"/>
          <w:rFonts w:ascii="宋体" w:hAnsi="宋体" w:cs="宋体"/>
          <w:b/>
          <w:bCs/>
          <w:color w:val="FF0000"/>
          <w:sz w:val="20"/>
          <w:szCs w:val="20"/>
        </w:rPr>
      </w:pPr>
      <w:r>
        <w:rPr>
          <w:rStyle w:val="157"/>
          <w:rFonts w:hint="eastAsia" w:ascii="宋体" w:hAnsi="宋体" w:cs="宋体"/>
          <w:b/>
          <w:bCs/>
          <w:color w:val="FF0000"/>
          <w:sz w:val="20"/>
          <w:szCs w:val="20"/>
        </w:rPr>
        <w:t>注：供应商具有实行了“三证合一”登记制度改革的新证，视同为持有工商营业执照、组织机构代码证和税务登记证，实行了“五证合一”登记制度改革的新证，视同为持有工商营业执照、组织机构代码证、税务登记证、社保登记证和统计登记证，符合基本资格条件的相关条款；</w:t>
      </w:r>
    </w:p>
    <w:p w14:paraId="2BD58444">
      <w:pPr>
        <w:adjustRightInd w:val="0"/>
        <w:snapToGrid w:val="0"/>
        <w:spacing w:line="360" w:lineRule="auto"/>
        <w:ind w:firstLine="420" w:firstLineChars="200"/>
        <w:rPr>
          <w:rStyle w:val="157"/>
          <w:rFonts w:ascii="宋体" w:hAnsi="宋体" w:cs="宋体"/>
          <w:color w:val="FF0000"/>
          <w:szCs w:val="21"/>
        </w:rPr>
      </w:pPr>
      <w:r>
        <w:rPr>
          <w:rStyle w:val="157"/>
          <w:rFonts w:hint="eastAsia" w:ascii="宋体" w:hAnsi="宋体" w:cs="宋体"/>
          <w:color w:val="FF0000"/>
          <w:szCs w:val="21"/>
        </w:rPr>
        <w:t>（2）本项目专门面向中小企业。</w:t>
      </w:r>
      <w:r>
        <w:rPr>
          <w:rFonts w:hint="eastAsia" w:ascii="宋体" w:hAnsi="宋体" w:cs="宋体"/>
          <w:color w:val="FF0000"/>
          <w:szCs w:val="21"/>
        </w:rPr>
        <w:t>根据《湖南省财政厅关于政府采购促进中小企业发展有关措施的通知》（湘财购[2022]17号）相关规定，符合法定条件的供应商凭《湖南省政府采购供应商资格承诺函》（见格式见附件一）参与政府采购活动，无需提供财务状况、缴纳税收和社会保障资金等资格证明材料。</w:t>
      </w:r>
    </w:p>
    <w:p w14:paraId="1E3E65EA">
      <w:pPr>
        <w:adjustRightInd w:val="0"/>
        <w:snapToGrid w:val="0"/>
        <w:spacing w:line="360" w:lineRule="auto"/>
        <w:ind w:firstLine="420" w:firstLineChars="200"/>
        <w:rPr>
          <w:color w:val="FF0000"/>
        </w:rPr>
      </w:pPr>
      <w:r>
        <w:rPr>
          <w:rStyle w:val="157"/>
          <w:rFonts w:hint="eastAsia" w:ascii="宋体" w:hAnsi="宋体" w:cs="宋体"/>
          <w:color w:val="FF0000"/>
          <w:szCs w:val="21"/>
        </w:rPr>
        <w:t>（3）投标人资格声明（格式见附件二）；</w:t>
      </w:r>
    </w:p>
    <w:p w14:paraId="2110EDAD">
      <w:pPr>
        <w:spacing w:line="360" w:lineRule="auto"/>
        <w:ind w:right="23" w:firstLine="420" w:firstLineChars="200"/>
        <w:textAlignment w:val="baseline"/>
        <w:rPr>
          <w:rFonts w:ascii="宋体" w:hAnsi="宋体" w:cs="宋体"/>
          <w:color w:val="FF0000"/>
          <w:szCs w:val="21"/>
        </w:rPr>
      </w:pPr>
      <w:r>
        <w:rPr>
          <w:rStyle w:val="157"/>
          <w:rFonts w:hint="eastAsia" w:ascii="宋体" w:hAnsi="宋体" w:cs="宋体"/>
          <w:color w:val="FF0000"/>
          <w:szCs w:val="21"/>
        </w:rPr>
        <w:t>（4）供应商未被列入“信用中国”网站(www.creditchina.gov.cn)、“信用湖南”网站（www.credithunan.gov.cn）、“信用郴州”网站（xycz.czs.gov.cn）“记录失信被执行人或重大税收违法案件当事人名单或政府采购严重违法失信行为”记录名单:不处于中国政府采购网(www.ccgp.gov.cn)、</w:t>
      </w:r>
      <w:r>
        <w:rPr>
          <w:rFonts w:hint="eastAsia" w:ascii="宋体" w:hAnsi="宋体" w:cs="宋体"/>
          <w:color w:val="FF0000"/>
          <w:szCs w:val="21"/>
        </w:rPr>
        <w:t>湖南省政府采购网（www.ccgp-hunan.gov.cn）</w:t>
      </w:r>
      <w:r>
        <w:rPr>
          <w:rStyle w:val="157"/>
          <w:rFonts w:hint="eastAsia" w:ascii="宋体" w:hAnsi="宋体" w:cs="宋体"/>
          <w:color w:val="FF0000"/>
          <w:szCs w:val="21"/>
        </w:rPr>
        <w:t>“政府采购严重违法失信行为信息记录”中的禁止参加政府采购活动期间。</w:t>
      </w:r>
    </w:p>
    <w:p w14:paraId="2174526D">
      <w:pPr>
        <w:spacing w:line="480" w:lineRule="exact"/>
        <w:ind w:right="23"/>
        <w:textAlignment w:val="baseline"/>
        <w:rPr>
          <w:rFonts w:ascii="宋体" w:hAnsi="宋体" w:cs="宋体"/>
          <w:color w:val="000000" w:themeColor="text1"/>
          <w:sz w:val="24"/>
        </w:rPr>
      </w:pPr>
    </w:p>
    <w:p w14:paraId="27347685">
      <w:pPr>
        <w:textAlignment w:val="baseline"/>
        <w:rPr>
          <w:rFonts w:ascii="宋体" w:hAnsi="宋体" w:cs="宋体"/>
          <w:sz w:val="24"/>
        </w:rPr>
      </w:pPr>
    </w:p>
    <w:p w14:paraId="1547ED0E">
      <w:pPr>
        <w:pStyle w:val="64"/>
      </w:pPr>
    </w:p>
    <w:p w14:paraId="527B140B">
      <w:pPr>
        <w:pStyle w:val="46"/>
        <w:ind w:left="421"/>
        <w:textAlignment w:val="baseline"/>
        <w:rPr>
          <w:sz w:val="21"/>
        </w:rPr>
      </w:pPr>
    </w:p>
    <w:p w14:paraId="58C0765C"/>
    <w:p w14:paraId="75183F8F">
      <w:pPr>
        <w:pStyle w:val="64"/>
        <w:rPr>
          <w:sz w:val="21"/>
        </w:rPr>
      </w:pPr>
    </w:p>
    <w:p w14:paraId="0637435A">
      <w:pPr>
        <w:pStyle w:val="64"/>
        <w:rPr>
          <w:sz w:val="21"/>
        </w:rPr>
      </w:pPr>
    </w:p>
    <w:p w14:paraId="0A1626B5">
      <w:pPr>
        <w:pStyle w:val="64"/>
        <w:rPr>
          <w:sz w:val="21"/>
        </w:rPr>
      </w:pPr>
    </w:p>
    <w:p w14:paraId="720ACD60">
      <w:pPr>
        <w:pStyle w:val="64"/>
        <w:rPr>
          <w:sz w:val="21"/>
        </w:rPr>
      </w:pPr>
    </w:p>
    <w:p w14:paraId="203D41F1">
      <w:pPr>
        <w:pStyle w:val="64"/>
        <w:rPr>
          <w:sz w:val="21"/>
        </w:rPr>
      </w:pPr>
    </w:p>
    <w:p w14:paraId="16F97C67">
      <w:pPr>
        <w:pStyle w:val="64"/>
        <w:rPr>
          <w:sz w:val="21"/>
        </w:rPr>
      </w:pPr>
    </w:p>
    <w:p w14:paraId="6CC1E989">
      <w:pPr>
        <w:pStyle w:val="64"/>
        <w:rPr>
          <w:sz w:val="21"/>
        </w:rPr>
      </w:pPr>
    </w:p>
    <w:p w14:paraId="312FAEAD">
      <w:pPr>
        <w:pStyle w:val="64"/>
        <w:rPr>
          <w:sz w:val="21"/>
        </w:rPr>
      </w:pPr>
    </w:p>
    <w:p w14:paraId="238BA5E3">
      <w:pPr>
        <w:pStyle w:val="64"/>
        <w:rPr>
          <w:sz w:val="21"/>
        </w:rPr>
      </w:pPr>
    </w:p>
    <w:p w14:paraId="57CDCF74">
      <w:pPr>
        <w:pStyle w:val="64"/>
        <w:rPr>
          <w:sz w:val="21"/>
        </w:rPr>
      </w:pPr>
    </w:p>
    <w:p w14:paraId="43C55237">
      <w:pPr>
        <w:pStyle w:val="64"/>
        <w:rPr>
          <w:sz w:val="21"/>
        </w:rPr>
      </w:pPr>
    </w:p>
    <w:p w14:paraId="4E993CD0">
      <w:pPr>
        <w:pStyle w:val="64"/>
        <w:rPr>
          <w:sz w:val="21"/>
        </w:rPr>
      </w:pPr>
    </w:p>
    <w:p w14:paraId="597741D9">
      <w:pPr>
        <w:pStyle w:val="46"/>
        <w:ind w:left="0" w:leftChars="0" w:firstLine="0"/>
        <w:jc w:val="both"/>
        <w:rPr>
          <w:rFonts w:ascii="宋体" w:hAnsi="宋体"/>
          <w:b/>
          <w:bCs/>
          <w:sz w:val="21"/>
          <w:szCs w:val="21"/>
        </w:rPr>
      </w:pPr>
      <w:r>
        <w:rPr>
          <w:rFonts w:hint="eastAsia" w:ascii="宋体" w:hAnsi="宋体"/>
          <w:b/>
          <w:bCs/>
          <w:sz w:val="21"/>
          <w:szCs w:val="21"/>
          <w:lang w:val="en-US" w:eastAsia="zh-CN"/>
        </w:rPr>
        <w:t>附件一</w:t>
      </w:r>
    </w:p>
    <w:p w14:paraId="0B0AC230">
      <w:pPr>
        <w:pStyle w:val="46"/>
        <w:ind w:left="0" w:leftChars="0" w:firstLine="0"/>
        <w:jc w:val="center"/>
        <w:rPr>
          <w:rFonts w:ascii="宋体" w:hAnsi="宋体"/>
          <w:b/>
          <w:bCs/>
          <w:sz w:val="24"/>
        </w:rPr>
      </w:pPr>
      <w:r>
        <w:rPr>
          <w:rFonts w:hint="eastAsia" w:ascii="宋体" w:hAnsi="宋体"/>
          <w:b/>
          <w:bCs/>
          <w:sz w:val="24"/>
          <w:lang w:val="en-US" w:eastAsia="zh-CN"/>
        </w:rPr>
        <w:t>湖南省政府采购供应商资格承诺函</w:t>
      </w:r>
    </w:p>
    <w:p w14:paraId="496A0E9D">
      <w:pPr>
        <w:spacing w:line="600" w:lineRule="exact"/>
        <w:rPr>
          <w:rFonts w:ascii="宋体" w:hAnsi="宋体"/>
          <w:sz w:val="24"/>
        </w:rPr>
      </w:pPr>
      <w:r>
        <w:rPr>
          <w:rFonts w:hint="eastAsia" w:ascii="宋体" w:hAnsi="宋体"/>
          <w:sz w:val="24"/>
        </w:rPr>
        <w:t xml:space="preserve">    本公司独立承担民生责任、具有良好的商业信誉和健全的财务会计制度、依法缴纳税收和社会保障资金，在前三年的经营活动中无重大违法记录，未列入严重失信行为名单，符合政府采购供应商的基本资格要求。</w:t>
      </w:r>
    </w:p>
    <w:p w14:paraId="231E7DA7">
      <w:pPr>
        <w:pStyle w:val="46"/>
        <w:spacing w:line="600" w:lineRule="exact"/>
        <w:ind w:left="0" w:leftChars="0" w:firstLine="0"/>
        <w:rPr>
          <w:rFonts w:ascii="宋体" w:hAnsi="宋体"/>
          <w:sz w:val="24"/>
        </w:rPr>
      </w:pPr>
      <w:r>
        <w:rPr>
          <w:rFonts w:hint="eastAsia" w:ascii="宋体" w:hAnsi="宋体"/>
          <w:sz w:val="24"/>
          <w:lang w:val="en-US" w:eastAsia="zh-CN"/>
        </w:rPr>
        <w:t xml:space="preserve">    按照《政府采购促进中小企业发展管理办法》（财库〔2020〕46号，本公司企业规模为：大型</w:t>
      </w:r>
      <w:r>
        <w:rPr>
          <w:rFonts w:hint="eastAsia" w:ascii="宋体" w:hAnsi="宋体"/>
          <w:sz w:val="24"/>
          <w:lang w:val="en-US" w:eastAsia="zh-CN"/>
        </w:rPr>
        <w:sym w:font="Wingdings" w:char="00A8"/>
      </w:r>
      <w:r>
        <w:rPr>
          <w:rFonts w:hint="eastAsia" w:ascii="宋体" w:hAnsi="宋体"/>
          <w:sz w:val="24"/>
          <w:lang w:val="en-US" w:eastAsia="zh-CN"/>
        </w:rPr>
        <w:t xml:space="preserve"> 中型</w:t>
      </w:r>
      <w:r>
        <w:rPr>
          <w:rFonts w:hint="eastAsia" w:ascii="宋体" w:hAnsi="宋体"/>
          <w:sz w:val="24"/>
          <w:lang w:val="en-US" w:eastAsia="zh-CN"/>
        </w:rPr>
        <w:sym w:font="Wingdings" w:char="00A8"/>
      </w:r>
      <w:r>
        <w:rPr>
          <w:rFonts w:hint="eastAsia" w:ascii="宋体" w:hAnsi="宋体"/>
          <w:sz w:val="24"/>
          <w:lang w:val="en-US" w:eastAsia="zh-CN"/>
        </w:rPr>
        <w:t xml:space="preserve">  小型</w:t>
      </w:r>
      <w:r>
        <w:rPr>
          <w:rFonts w:hint="eastAsia" w:ascii="宋体" w:hAnsi="宋体"/>
          <w:sz w:val="24"/>
          <w:lang w:val="en-US" w:eastAsia="zh-CN"/>
        </w:rPr>
        <w:sym w:font="Wingdings" w:char="00A8"/>
      </w:r>
      <w:r>
        <w:rPr>
          <w:rFonts w:hint="eastAsia" w:ascii="宋体" w:hAnsi="宋体"/>
          <w:sz w:val="24"/>
          <w:lang w:val="en-US" w:eastAsia="zh-CN"/>
        </w:rPr>
        <w:t xml:space="preserve">  微型</w:t>
      </w:r>
      <w:r>
        <w:rPr>
          <w:rFonts w:hint="eastAsia" w:ascii="宋体" w:hAnsi="宋体"/>
          <w:sz w:val="24"/>
          <w:lang w:val="en-US" w:eastAsia="zh-CN"/>
        </w:rPr>
        <w:sym w:font="Wingdings" w:char="00A8"/>
      </w:r>
    </w:p>
    <w:p w14:paraId="7A510691">
      <w:pPr>
        <w:spacing w:line="600" w:lineRule="exact"/>
        <w:ind w:firstLine="240" w:firstLineChars="100"/>
        <w:rPr>
          <w:rFonts w:ascii="宋体" w:hAnsi="宋体"/>
          <w:sz w:val="24"/>
        </w:rPr>
      </w:pPr>
      <w:r>
        <w:rPr>
          <w:rFonts w:hint="eastAsia" w:ascii="宋体" w:hAnsi="宋体"/>
          <w:sz w:val="24"/>
        </w:rPr>
        <w:sym w:font="Wingdings" w:char="00A8"/>
      </w:r>
      <w:r>
        <w:rPr>
          <w:rFonts w:hint="eastAsia" w:ascii="宋体" w:hAnsi="宋体"/>
          <w:sz w:val="24"/>
        </w:rPr>
        <w:t xml:space="preserve"> 本公司自愿入驻湖南省政府采购电子卖场，遵守《湖南省政府采购电子卖场管理办法》（湘财购〔2019〕27号），如违反承诺，同意金融机构将增信保证划缴国库（非电子卖场采购活动项目不需勾选）。</w:t>
      </w:r>
    </w:p>
    <w:p w14:paraId="044E18FE">
      <w:pPr>
        <w:spacing w:line="600" w:lineRule="exact"/>
        <w:ind w:firstLine="6240" w:firstLineChars="2600"/>
        <w:rPr>
          <w:rFonts w:ascii="宋体" w:hAnsi="宋体"/>
          <w:sz w:val="24"/>
        </w:rPr>
      </w:pPr>
      <w:r>
        <w:rPr>
          <w:rFonts w:hint="eastAsia" w:ascii="宋体" w:hAnsi="宋体"/>
          <w:sz w:val="24"/>
        </w:rPr>
        <w:t>公司（单位）名称（盖章）</w:t>
      </w:r>
    </w:p>
    <w:p w14:paraId="41F8F908">
      <w:pPr>
        <w:pStyle w:val="46"/>
        <w:spacing w:line="600" w:lineRule="exact"/>
        <w:ind w:left="421"/>
        <w:rPr>
          <w:sz w:val="24"/>
          <w:u w:val="single"/>
        </w:rPr>
      </w:pPr>
      <w:r>
        <w:rPr>
          <w:rFonts w:hint="eastAsia" w:ascii="宋体" w:hAnsi="宋体"/>
          <w:sz w:val="24"/>
          <w:lang w:val="en-US" w:eastAsia="zh-CN"/>
        </w:rPr>
        <w:t>年月日</w:t>
      </w:r>
    </w:p>
    <w:p w14:paraId="5A570F89">
      <w:pPr>
        <w:rPr>
          <w:rFonts w:ascii="宋体" w:hAnsi="宋体"/>
          <w:sz w:val="24"/>
        </w:rPr>
      </w:pPr>
    </w:p>
    <w:p w14:paraId="5780DF67">
      <w:pPr>
        <w:rPr>
          <w:rFonts w:ascii="宋体" w:hAnsi="宋体"/>
          <w:sz w:val="24"/>
          <w:u w:val="single"/>
        </w:rPr>
      </w:pPr>
      <w:r>
        <w:rPr>
          <w:rFonts w:hint="eastAsia" w:ascii="宋体" w:hAnsi="宋体"/>
          <w:sz w:val="24"/>
        </w:rPr>
        <w:t>机构代码：注册登记机构：</w:t>
      </w:r>
    </w:p>
    <w:p w14:paraId="60FEE5B5">
      <w:pPr>
        <w:pStyle w:val="46"/>
        <w:ind w:left="0" w:leftChars="0" w:firstLine="0"/>
        <w:rPr>
          <w:rFonts w:ascii="宋体" w:hAnsi="宋体"/>
          <w:sz w:val="24"/>
          <w:u w:val="single"/>
        </w:rPr>
      </w:pPr>
    </w:p>
    <w:p w14:paraId="1470D763">
      <w:pPr>
        <w:spacing w:line="800" w:lineRule="exact"/>
        <w:rPr>
          <w:rFonts w:ascii="宋体" w:hAnsi="宋体"/>
          <w:sz w:val="24"/>
          <w:u w:val="single"/>
        </w:rPr>
      </w:pPr>
      <w:r>
        <w:rPr>
          <w:rFonts w:hint="eastAsia" w:ascii="宋体" w:hAnsi="宋体"/>
          <w:sz w:val="24"/>
        </w:rPr>
        <w:t>日期： 有效期：注册资本：</w:t>
      </w:r>
    </w:p>
    <w:p w14:paraId="704395A8">
      <w:pPr>
        <w:pStyle w:val="46"/>
        <w:spacing w:line="800" w:lineRule="exact"/>
        <w:ind w:left="0" w:leftChars="0" w:firstLine="0"/>
        <w:rPr>
          <w:rFonts w:ascii="宋体" w:hAnsi="宋体"/>
          <w:sz w:val="24"/>
          <w:u w:val="single"/>
        </w:rPr>
      </w:pPr>
      <w:r>
        <w:rPr>
          <w:rFonts w:hint="eastAsia" w:ascii="宋体" w:hAnsi="宋体"/>
          <w:sz w:val="24"/>
          <w:lang w:val="en-US" w:eastAsia="zh-CN"/>
        </w:rPr>
        <w:t>地址：</w:t>
      </w:r>
    </w:p>
    <w:p w14:paraId="0C995648">
      <w:pPr>
        <w:pStyle w:val="46"/>
        <w:spacing w:line="800" w:lineRule="exact"/>
        <w:ind w:left="0" w:leftChars="0" w:firstLine="0"/>
        <w:rPr>
          <w:rFonts w:ascii="宋体" w:hAnsi="宋体"/>
          <w:sz w:val="24"/>
          <w:u w:val="single"/>
        </w:rPr>
      </w:pPr>
      <w:r>
        <w:rPr>
          <w:rFonts w:hint="eastAsia" w:ascii="宋体" w:hAnsi="宋体"/>
          <w:sz w:val="24"/>
          <w:lang w:val="en-US" w:eastAsia="zh-CN"/>
        </w:rPr>
        <w:t>经济行业：经济性质：</w:t>
      </w:r>
    </w:p>
    <w:p w14:paraId="5D4756DD">
      <w:pPr>
        <w:pStyle w:val="46"/>
        <w:spacing w:line="800" w:lineRule="exact"/>
        <w:ind w:left="0" w:leftChars="0" w:firstLine="0"/>
        <w:rPr>
          <w:sz w:val="24"/>
        </w:rPr>
      </w:pPr>
      <w:r>
        <w:rPr>
          <w:rFonts w:hint="eastAsia"/>
          <w:sz w:val="24"/>
          <w:lang w:val="en-US" w:eastAsia="zh-CN"/>
        </w:rPr>
        <w:t>法定代表人(负责人)姓名</w:t>
      </w:r>
      <w:r>
        <w:rPr>
          <w:rFonts w:hint="eastAsia" w:ascii="宋体" w:hAnsi="宋体"/>
          <w:sz w:val="24"/>
        </w:rPr>
        <w:t>（</w:t>
      </w:r>
      <w:r>
        <w:rPr>
          <w:rFonts w:hint="eastAsia" w:ascii="宋体" w:hAnsi="宋体"/>
          <w:sz w:val="24"/>
          <w:lang w:eastAsia="zh-CN"/>
        </w:rPr>
        <w:t>签字或盖章</w:t>
      </w:r>
      <w:r>
        <w:rPr>
          <w:rFonts w:hint="eastAsia" w:ascii="宋体" w:hAnsi="宋体"/>
          <w:sz w:val="24"/>
        </w:rPr>
        <w:t>）</w:t>
      </w:r>
      <w:r>
        <w:rPr>
          <w:rFonts w:hint="eastAsia"/>
          <w:sz w:val="24"/>
          <w:lang w:val="en-US" w:eastAsia="zh-CN"/>
        </w:rPr>
        <w:t xml:space="preserve">：     </w:t>
      </w:r>
    </w:p>
    <w:p w14:paraId="5E164741">
      <w:pPr>
        <w:rPr>
          <w:sz w:val="24"/>
        </w:rPr>
      </w:pPr>
      <w:r>
        <w:rPr>
          <w:rFonts w:hint="eastAsia"/>
          <w:sz w:val="24"/>
        </w:rPr>
        <w:t>身份证号：                                    手机号：</w:t>
      </w:r>
    </w:p>
    <w:p w14:paraId="313808DE">
      <w:pPr>
        <w:pStyle w:val="46"/>
        <w:ind w:left="0" w:leftChars="0" w:firstLine="0"/>
        <w:rPr>
          <w:sz w:val="24"/>
        </w:rPr>
      </w:pPr>
    </w:p>
    <w:p w14:paraId="19861682">
      <w:pPr>
        <w:pStyle w:val="46"/>
        <w:ind w:left="0" w:leftChars="0" w:firstLine="0"/>
        <w:rPr>
          <w:sz w:val="24"/>
        </w:rPr>
      </w:pPr>
      <w:r>
        <w:rPr>
          <w:rFonts w:hint="eastAsia"/>
          <w:sz w:val="24"/>
          <w:lang w:val="en-US" w:eastAsia="zh-CN"/>
        </w:rPr>
        <w:t>授权代表人姓名</w:t>
      </w:r>
      <w:r>
        <w:rPr>
          <w:rFonts w:hint="eastAsia" w:ascii="宋体" w:hAnsi="宋体"/>
          <w:sz w:val="24"/>
        </w:rPr>
        <w:t>（</w:t>
      </w:r>
      <w:r>
        <w:rPr>
          <w:rFonts w:hint="eastAsia" w:ascii="宋体" w:hAnsi="宋体"/>
          <w:sz w:val="24"/>
          <w:lang w:eastAsia="zh-CN"/>
        </w:rPr>
        <w:t>签字或盖章</w:t>
      </w:r>
      <w:r>
        <w:rPr>
          <w:rFonts w:hint="eastAsia" w:ascii="宋体" w:hAnsi="宋体"/>
          <w:sz w:val="24"/>
        </w:rPr>
        <w:t>）</w:t>
      </w:r>
      <w:r>
        <w:rPr>
          <w:rFonts w:hint="eastAsia"/>
          <w:sz w:val="24"/>
          <w:lang w:val="en-US" w:eastAsia="zh-CN"/>
        </w:rPr>
        <w:t xml:space="preserve">： </w:t>
      </w:r>
    </w:p>
    <w:p w14:paraId="1E07D58C">
      <w:pPr>
        <w:rPr>
          <w:sz w:val="24"/>
        </w:rPr>
      </w:pPr>
      <w:r>
        <w:rPr>
          <w:rFonts w:hint="eastAsia"/>
          <w:sz w:val="24"/>
        </w:rPr>
        <w:t>身份证号：                                    手机号：</w:t>
      </w:r>
    </w:p>
    <w:p w14:paraId="7D269B75">
      <w:pPr>
        <w:widowControl/>
        <w:adjustRightInd w:val="0"/>
        <w:snapToGrid w:val="0"/>
        <w:spacing w:beforeLines="50" w:line="360" w:lineRule="auto"/>
        <w:jc w:val="center"/>
        <w:rPr>
          <w:rFonts w:ascii="黑体" w:hAnsi="仿宋" w:eastAsia="黑体" w:cs="宋体"/>
          <w:b/>
          <w:sz w:val="28"/>
          <w:szCs w:val="28"/>
        </w:rPr>
      </w:pPr>
    </w:p>
    <w:p w14:paraId="11AF363C">
      <w:pPr>
        <w:pStyle w:val="46"/>
        <w:ind w:left="0" w:leftChars="0" w:firstLine="0"/>
        <w:jc w:val="both"/>
        <w:rPr>
          <w:rFonts w:ascii="宋体" w:hAnsi="宋体"/>
          <w:b/>
          <w:bCs/>
          <w:sz w:val="21"/>
          <w:szCs w:val="21"/>
        </w:rPr>
      </w:pPr>
      <w:r>
        <w:rPr>
          <w:rFonts w:hint="eastAsia" w:ascii="宋体" w:hAnsi="宋体"/>
          <w:b/>
          <w:bCs/>
          <w:sz w:val="21"/>
          <w:szCs w:val="21"/>
          <w:lang w:val="en-US" w:eastAsia="zh-CN"/>
        </w:rPr>
        <w:t>附件二</w:t>
      </w:r>
    </w:p>
    <w:p w14:paraId="30D66A3E">
      <w:pPr>
        <w:widowControl/>
        <w:adjustRightInd w:val="0"/>
        <w:snapToGrid w:val="0"/>
        <w:spacing w:beforeLines="50" w:line="360" w:lineRule="auto"/>
        <w:jc w:val="center"/>
        <w:rPr>
          <w:rFonts w:ascii="宋体" w:hAnsi="宋体"/>
          <w:b/>
          <w:bCs/>
          <w:kern w:val="0"/>
          <w:sz w:val="24"/>
        </w:rPr>
      </w:pPr>
      <w:r>
        <w:rPr>
          <w:rFonts w:hint="eastAsia" w:ascii="宋体" w:hAnsi="宋体"/>
          <w:b/>
          <w:bCs/>
          <w:kern w:val="0"/>
          <w:sz w:val="24"/>
        </w:rPr>
        <w:t>投标人资格声明</w:t>
      </w:r>
    </w:p>
    <w:p w14:paraId="7F9AC997">
      <w:pPr>
        <w:widowControl/>
        <w:adjustRightInd w:val="0"/>
        <w:snapToGrid w:val="0"/>
        <w:spacing w:beforeLines="50" w:line="360" w:lineRule="auto"/>
        <w:jc w:val="left"/>
        <w:rPr>
          <w:rFonts w:ascii="宋体" w:hAnsi="宋体" w:cs="宋体"/>
          <w:kern w:val="0"/>
          <w:szCs w:val="21"/>
        </w:rPr>
      </w:pPr>
      <w:r>
        <w:rPr>
          <w:rFonts w:hint="eastAsia" w:ascii="宋体" w:hAnsi="宋体" w:cs="宋体"/>
          <w:szCs w:val="21"/>
        </w:rPr>
        <w:t>致(采购人、采购代理机构)：</w:t>
      </w:r>
    </w:p>
    <w:p w14:paraId="71F32076">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按照《中华人民共和国政府采购法》第二十二条和招标文件的规定，我单位郑重声明如下：</w:t>
      </w:r>
    </w:p>
    <w:p w14:paraId="6F1810FE">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一、我单位是按照中华人民共和国法律规定登记注册的，注册地点为，全称为，统一社会信用代码为，法定代表人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szCs w:val="21"/>
        </w:rPr>
        <w:t>为，具有独立承担民事责任的能力。</w:t>
      </w:r>
    </w:p>
    <w:p w14:paraId="647ABA53">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二、我单位未被</w:t>
      </w:r>
      <w:r>
        <w:rPr>
          <w:rFonts w:hint="eastAsia" w:ascii="华文中宋" w:hAnsi="华文中宋" w:eastAsia="华文中宋" w:cs="宋体"/>
          <w:szCs w:val="21"/>
        </w:rPr>
        <w:t>“</w:t>
      </w:r>
      <w:r>
        <w:rPr>
          <w:rFonts w:hint="eastAsia" w:ascii="宋体" w:hAnsi="宋体" w:cs="宋体"/>
          <w:szCs w:val="21"/>
        </w:rPr>
        <w:t>国家企业信用信息系统</w:t>
      </w:r>
      <w:r>
        <w:rPr>
          <w:rFonts w:hint="eastAsia" w:ascii="华文中宋" w:hAnsi="华文中宋" w:eastAsia="华文中宋" w:cs="宋体"/>
          <w:szCs w:val="21"/>
        </w:rPr>
        <w:t>”</w:t>
      </w:r>
      <w:r>
        <w:rPr>
          <w:rFonts w:hint="eastAsia" w:ascii="宋体" w:hAnsi="宋体" w:cs="宋体"/>
          <w:szCs w:val="21"/>
        </w:rPr>
        <w:t>列入经营异常名录或者严重违法企业名单。</w:t>
      </w:r>
    </w:p>
    <w:p w14:paraId="370E8ADD">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kern w:val="0"/>
          <w:szCs w:val="21"/>
        </w:rPr>
        <w:t>三、</w:t>
      </w:r>
      <w:r>
        <w:rPr>
          <w:rFonts w:hint="eastAsia" w:ascii="宋体" w:hAnsi="宋体" w:cs="宋体"/>
          <w:szCs w:val="21"/>
        </w:rPr>
        <w:t>我单位具有良好的商业信誉和健全的财务会计制度。</w:t>
      </w:r>
    </w:p>
    <w:p w14:paraId="6B226F42">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四、我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14:paraId="57234B46">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五、我单位具有履行本项目采购合同所必需的设备和专业技术能力，并具有履行合同的良好</w:t>
      </w:r>
      <w:r>
        <w:rPr>
          <w:rFonts w:asciiTheme="minorEastAsia" w:hAnsiTheme="minorEastAsia" w:eastAsiaTheme="minorEastAsia"/>
          <w:szCs w:val="21"/>
        </w:rPr>
        <w:t>记录</w:t>
      </w:r>
      <w:r>
        <w:rPr>
          <w:rFonts w:hint="eastAsia" w:ascii="宋体" w:hAnsi="宋体" w:cs="宋体"/>
          <w:szCs w:val="21"/>
        </w:rPr>
        <w:t>。</w:t>
      </w:r>
    </w:p>
    <w:p w14:paraId="47292960">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3100411F">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供应商在参加政府采购活动前3年内因违法经营被禁止在一定期限内参加政府采购活动，期限届满的，可以参加政府采购活动。</w:t>
      </w:r>
    </w:p>
    <w:p w14:paraId="3996A593">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七、我单位具备法律、行政法规规定的其他条件。</w:t>
      </w:r>
    </w:p>
    <w:p w14:paraId="18D63C76">
      <w:pPr>
        <w:widowControl/>
        <w:adjustRightInd w:val="0"/>
        <w:snapToGrid w:val="0"/>
        <w:spacing w:beforeLines="50" w:line="360" w:lineRule="auto"/>
        <w:ind w:firstLine="420" w:firstLineChars="200"/>
        <w:jc w:val="left"/>
        <w:rPr>
          <w:szCs w:val="21"/>
        </w:rPr>
      </w:pPr>
      <w:r>
        <w:rPr>
          <w:rFonts w:hint="eastAsia" w:ascii="宋体" w:hAnsi="宋体" w:cs="宋体"/>
          <w:kern w:val="0"/>
          <w:szCs w:val="21"/>
        </w:rPr>
        <w:t>八、</w:t>
      </w:r>
      <w:r>
        <w:rPr>
          <w:rFonts w:hint="eastAsia"/>
          <w:szCs w:val="21"/>
        </w:rPr>
        <w:t>与我单位存在“单位负责人为同一人或者存在直接控股、管理关系”的其他单位信息如下（如无，填写“无”）：</w:t>
      </w:r>
    </w:p>
    <w:p w14:paraId="1AA1EED6">
      <w:pPr>
        <w:adjustRightInd w:val="0"/>
        <w:snapToGrid w:val="0"/>
        <w:spacing w:beforeLines="50" w:line="360" w:lineRule="auto"/>
        <w:ind w:firstLine="420" w:firstLineChars="200"/>
        <w:rPr>
          <w:szCs w:val="21"/>
        </w:rPr>
      </w:pPr>
      <w:r>
        <w:rPr>
          <w:rFonts w:hint="eastAsia" w:asciiTheme="minorEastAsia" w:hAnsiTheme="minorEastAsia" w:eastAsiaTheme="minorEastAsia"/>
          <w:szCs w:val="21"/>
        </w:rPr>
        <w:t>1、</w:t>
      </w:r>
      <w:r>
        <w:rPr>
          <w:rFonts w:hint="eastAsia"/>
          <w:szCs w:val="21"/>
        </w:rPr>
        <w:t>与我单位的法定代表人（单位负责人）为同一人的其他单位如下：</w:t>
      </w:r>
    </w:p>
    <w:p w14:paraId="24008D1D">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w:t>
      </w:r>
      <w:r>
        <w:rPr>
          <w:rFonts w:hint="eastAsia"/>
          <w:szCs w:val="21"/>
        </w:rPr>
        <w:t>单位</w:t>
      </w:r>
      <w:r>
        <w:rPr>
          <w:rFonts w:hint="eastAsia" w:asciiTheme="minorEastAsia" w:hAnsiTheme="minorEastAsia" w:eastAsiaTheme="minorEastAsia"/>
          <w:szCs w:val="21"/>
        </w:rPr>
        <w:t>直接控股的其他单位如下：</w:t>
      </w:r>
    </w:p>
    <w:p w14:paraId="7855710E">
      <w:pPr>
        <w:adjustRightInd w:val="0"/>
        <w:snapToGrid w:val="0"/>
        <w:spacing w:beforeLines="50" w:line="360" w:lineRule="auto"/>
        <w:ind w:firstLine="420" w:firstLineChars="200"/>
        <w:rPr>
          <w:szCs w:val="21"/>
        </w:rPr>
      </w:pPr>
      <w:r>
        <w:rPr>
          <w:rFonts w:hint="eastAsia" w:asciiTheme="minorEastAsia" w:hAnsiTheme="minorEastAsia" w:eastAsiaTheme="minorEastAsia"/>
          <w:szCs w:val="21"/>
        </w:rPr>
        <w:t>3、与我</w:t>
      </w:r>
      <w:r>
        <w:rPr>
          <w:rFonts w:hint="eastAsia"/>
          <w:szCs w:val="21"/>
        </w:rPr>
        <w:t>单位存在</w:t>
      </w:r>
      <w:r>
        <w:rPr>
          <w:rFonts w:hint="eastAsia" w:asciiTheme="minorEastAsia" w:hAnsiTheme="minorEastAsia" w:eastAsiaTheme="minorEastAsia"/>
          <w:szCs w:val="21"/>
        </w:rPr>
        <w:t>管理关系的其他单位如下：</w:t>
      </w:r>
    </w:p>
    <w:p w14:paraId="2857A243">
      <w:pPr>
        <w:widowControl/>
        <w:adjustRightInd w:val="0"/>
        <w:snapToGrid w:val="0"/>
        <w:spacing w:beforeLines="50" w:line="360" w:lineRule="auto"/>
        <w:ind w:firstLine="420" w:firstLineChars="200"/>
        <w:jc w:val="left"/>
        <w:rPr>
          <w:szCs w:val="21"/>
        </w:rPr>
      </w:pPr>
      <w:r>
        <w:rPr>
          <w:rFonts w:hint="eastAsia" w:ascii="宋体" w:hAnsi="宋体"/>
          <w:szCs w:val="21"/>
        </w:rPr>
        <w:t>九、</w:t>
      </w:r>
      <w:r>
        <w:rPr>
          <w:rFonts w:asciiTheme="minorEastAsia" w:hAnsiTheme="minorEastAsia" w:eastAsiaTheme="minorEastAsia"/>
          <w:szCs w:val="21"/>
        </w:rPr>
        <w:t>我</w:t>
      </w:r>
      <w:r>
        <w:rPr>
          <w:rFonts w:hint="eastAsia" w:asciiTheme="minorEastAsia" w:hAnsiTheme="minorEastAsia" w:eastAsiaTheme="minorEastAsia"/>
          <w:szCs w:val="21"/>
        </w:rPr>
        <w:t>单位</w:t>
      </w:r>
      <w:r>
        <w:rPr>
          <w:rFonts w:asciiTheme="minorEastAsia" w:hAnsiTheme="minorEastAsia" w:eastAsiaTheme="minorEastAsia"/>
          <w:szCs w:val="21"/>
        </w:rPr>
        <w:t>不属于为本项目提供整体设计、规范编制或者项目管理、监理、检测等服务的投标人。</w:t>
      </w:r>
    </w:p>
    <w:p w14:paraId="56B8C636">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w:t>
      </w:r>
      <w:r>
        <w:rPr>
          <w:rFonts w:asciiTheme="minorEastAsia" w:hAnsiTheme="minorEastAsia" w:eastAsiaTheme="minorEastAsia"/>
          <w:szCs w:val="21"/>
        </w:rPr>
        <w:t>我单位无以下不良信用记录情形：</w:t>
      </w:r>
    </w:p>
    <w:p w14:paraId="1D9EB84A">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、在</w:t>
      </w:r>
      <w:r>
        <w:rPr>
          <w:rFonts w:hint="eastAsia" w:ascii="宋体" w:hAnsi="宋体" w:cs="宋体"/>
          <w:szCs w:val="21"/>
        </w:rPr>
        <w:t>“信用中国”网站被列入失信被执行人和重大税收违法案件当事人名单；</w:t>
      </w:r>
    </w:p>
    <w:p w14:paraId="6F7F9845">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、在</w:t>
      </w:r>
      <w:r>
        <w:rPr>
          <w:rFonts w:hint="eastAsia" w:ascii="宋体" w:hAnsi="宋体" w:cs="宋体"/>
          <w:szCs w:val="21"/>
        </w:rPr>
        <w:t>“中国政府采购网”网站被列入政府采购严重违法失信行为记录名单；</w:t>
      </w:r>
    </w:p>
    <w:p w14:paraId="21DF306C">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w:t>
      </w:r>
      <w:r>
        <w:rPr>
          <w:rFonts w:asciiTheme="minorEastAsia" w:hAnsiTheme="minorEastAsia" w:eastAsiaTheme="minorEastAsia"/>
          <w:szCs w:val="21"/>
        </w:rPr>
        <w:t>不符合《政府采购法》第二十二条规定的条件。</w:t>
      </w:r>
    </w:p>
    <w:p w14:paraId="3F244A49">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14:paraId="59F86E14">
      <w:pPr>
        <w:widowControl/>
        <w:adjustRightInd w:val="0"/>
        <w:snapToGrid w:val="0"/>
        <w:spacing w:beforeLines="50" w:line="360" w:lineRule="auto"/>
        <w:jc w:val="left"/>
        <w:rPr>
          <w:rFonts w:ascii="宋体" w:hAnsi="宋体" w:cs="宋体"/>
          <w:szCs w:val="21"/>
        </w:rPr>
      </w:pPr>
    </w:p>
    <w:p w14:paraId="163DB1D2">
      <w:pPr>
        <w:widowControl/>
        <w:adjustRightInd w:val="0"/>
        <w:snapToGrid w:val="0"/>
        <w:spacing w:beforeLines="50" w:line="360" w:lineRule="auto"/>
        <w:jc w:val="left"/>
        <w:rPr>
          <w:rFonts w:ascii="宋体" w:hAnsi="宋体" w:cs="宋体"/>
          <w:szCs w:val="21"/>
        </w:rPr>
      </w:pPr>
      <w:r>
        <w:rPr>
          <w:rFonts w:hint="eastAsia" w:cs="宋体" w:asciiTheme="minorEastAsia" w:hAnsiTheme="minorEastAsia" w:eastAsiaTheme="minorEastAsia"/>
          <w:szCs w:val="21"/>
        </w:rPr>
        <w:t>注：第三条“良好的商业信誉”是指投标人经营状况良好，无本资格声明第十条情形。</w:t>
      </w:r>
    </w:p>
    <w:p w14:paraId="5E82C27F">
      <w:pPr>
        <w:widowControl/>
        <w:adjustRightInd w:val="0"/>
        <w:snapToGrid w:val="0"/>
        <w:spacing w:beforeLines="50" w:line="360" w:lineRule="auto"/>
        <w:jc w:val="left"/>
        <w:rPr>
          <w:rFonts w:ascii="宋体" w:hAnsi="宋体" w:cs="宋体"/>
          <w:color w:val="FF0000"/>
          <w:szCs w:val="21"/>
        </w:rPr>
      </w:pPr>
    </w:p>
    <w:p w14:paraId="7E77505A">
      <w:pPr>
        <w:widowControl/>
        <w:adjustRightInd w:val="0"/>
        <w:snapToGrid w:val="0"/>
        <w:spacing w:line="360" w:lineRule="auto"/>
        <w:jc w:val="left"/>
        <w:rPr>
          <w:rFonts w:ascii="宋体" w:hAnsi="宋体" w:cs="宋体"/>
          <w:kern w:val="0"/>
          <w:szCs w:val="21"/>
        </w:rPr>
      </w:pPr>
      <w:r>
        <w:rPr>
          <w:rFonts w:hint="eastAsia" w:ascii="宋体" w:hAnsi="宋体" w:cs="宋体"/>
          <w:szCs w:val="21"/>
        </w:rPr>
        <w:t>投标人名称（盖单位公章）：</w:t>
      </w:r>
    </w:p>
    <w:p w14:paraId="65806D9E">
      <w:pPr>
        <w:widowControl/>
        <w:adjustRightInd w:val="0"/>
        <w:snapToGrid w:val="0"/>
        <w:spacing w:line="360" w:lineRule="auto"/>
        <w:jc w:val="left"/>
        <w:rPr>
          <w:rFonts w:ascii="宋体" w:hAnsi="宋体" w:cs="宋体"/>
          <w:b/>
          <w:bCs/>
          <w:kern w:val="0"/>
          <w:sz w:val="44"/>
          <w:szCs w:val="44"/>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rPr>
        <w:t>或委托代理人：（签字或盖章）</w:t>
      </w:r>
    </w:p>
    <w:p w14:paraId="58DA73D8">
      <w:pPr>
        <w:widowControl/>
        <w:adjustRightInd w:val="0"/>
        <w:snapToGrid w:val="0"/>
        <w:spacing w:line="360" w:lineRule="auto"/>
        <w:jc w:val="left"/>
        <w:rPr>
          <w:rFonts w:ascii="宋体" w:hAnsi="宋体" w:cs="宋体"/>
          <w:szCs w:val="21"/>
        </w:rPr>
      </w:pPr>
    </w:p>
    <w:p w14:paraId="05D724F9">
      <w:pPr>
        <w:widowControl/>
        <w:adjustRightInd w:val="0"/>
        <w:snapToGrid w:val="0"/>
        <w:spacing w:line="360" w:lineRule="auto"/>
        <w:jc w:val="left"/>
        <w:rPr>
          <w:rFonts w:cs="宋体" w:asciiTheme="minorEastAsia" w:hAnsiTheme="minorEastAsia" w:eastAsiaTheme="minorEastAsia"/>
          <w:szCs w:val="21"/>
        </w:rPr>
      </w:pPr>
      <w:r>
        <w:rPr>
          <w:rFonts w:hint="eastAsia" w:ascii="宋体" w:hAnsi="宋体" w:cs="宋体"/>
          <w:szCs w:val="21"/>
        </w:rPr>
        <w:t>日期：年月日</w:t>
      </w:r>
    </w:p>
    <w:p w14:paraId="6AD94942">
      <w:pPr>
        <w:spacing w:line="480" w:lineRule="exact"/>
        <w:ind w:right="23"/>
        <w:textAlignment w:val="baseline"/>
        <w:rPr>
          <w:rFonts w:ascii="宋体" w:hAnsi="宋体" w:cs="宋体"/>
          <w:sz w:val="24"/>
        </w:rPr>
      </w:pPr>
    </w:p>
    <w:p w14:paraId="7C5F0CAF">
      <w:pPr>
        <w:spacing w:line="480" w:lineRule="exact"/>
        <w:ind w:right="23"/>
        <w:textAlignment w:val="baseline"/>
        <w:rPr>
          <w:rFonts w:ascii="宋体" w:hAnsi="宋体" w:cs="宋体"/>
          <w:sz w:val="24"/>
        </w:rPr>
      </w:pPr>
    </w:p>
    <w:p w14:paraId="55D94D74">
      <w:pPr>
        <w:spacing w:line="480" w:lineRule="exact"/>
        <w:ind w:right="23"/>
        <w:textAlignment w:val="baseline"/>
        <w:rPr>
          <w:rFonts w:ascii="宋体" w:hAnsi="宋体" w:cs="宋体"/>
          <w:sz w:val="24"/>
        </w:rPr>
      </w:pPr>
    </w:p>
    <w:p w14:paraId="6F6B08E3">
      <w:pPr>
        <w:spacing w:line="480" w:lineRule="exact"/>
        <w:ind w:right="23"/>
        <w:textAlignment w:val="baseline"/>
        <w:rPr>
          <w:rFonts w:ascii="宋体" w:hAnsi="宋体" w:cs="宋体"/>
          <w:sz w:val="24"/>
        </w:rPr>
      </w:pPr>
    </w:p>
    <w:p w14:paraId="56B06BCD">
      <w:pPr>
        <w:spacing w:line="480" w:lineRule="exact"/>
        <w:ind w:right="23"/>
        <w:textAlignment w:val="baseline"/>
        <w:rPr>
          <w:rFonts w:ascii="宋体" w:hAnsi="宋体" w:cs="宋体"/>
          <w:sz w:val="24"/>
        </w:rPr>
      </w:pPr>
    </w:p>
    <w:p w14:paraId="7D8D1656">
      <w:pPr>
        <w:spacing w:line="480" w:lineRule="exact"/>
        <w:ind w:right="23"/>
        <w:textAlignment w:val="baseline"/>
        <w:rPr>
          <w:rFonts w:ascii="宋体" w:hAnsi="宋体" w:cs="宋体"/>
          <w:sz w:val="24"/>
        </w:rPr>
      </w:pPr>
    </w:p>
    <w:p w14:paraId="5A4257C1">
      <w:pPr>
        <w:spacing w:line="480" w:lineRule="exact"/>
        <w:ind w:right="23"/>
        <w:textAlignment w:val="baseline"/>
        <w:rPr>
          <w:rFonts w:ascii="宋体" w:hAnsi="宋体" w:cs="宋体"/>
          <w:sz w:val="24"/>
        </w:rPr>
      </w:pPr>
    </w:p>
    <w:p w14:paraId="5B6B8125">
      <w:pPr>
        <w:spacing w:line="480" w:lineRule="exact"/>
        <w:ind w:right="23"/>
        <w:textAlignment w:val="baseline"/>
        <w:rPr>
          <w:rFonts w:ascii="宋体" w:hAnsi="宋体" w:cs="宋体"/>
          <w:sz w:val="24"/>
        </w:rPr>
      </w:pPr>
    </w:p>
    <w:p w14:paraId="45DEE46B">
      <w:pPr>
        <w:spacing w:line="480" w:lineRule="exact"/>
        <w:ind w:right="23"/>
        <w:textAlignment w:val="baseline"/>
        <w:rPr>
          <w:rFonts w:ascii="宋体" w:hAnsi="宋体" w:cs="宋体"/>
          <w:sz w:val="24"/>
        </w:rPr>
      </w:pPr>
    </w:p>
    <w:p w14:paraId="7A9C7377">
      <w:pPr>
        <w:spacing w:line="480" w:lineRule="exact"/>
        <w:ind w:right="23"/>
        <w:textAlignment w:val="baseline"/>
        <w:rPr>
          <w:rFonts w:ascii="宋体" w:hAnsi="宋体" w:cs="宋体"/>
          <w:sz w:val="24"/>
        </w:rPr>
      </w:pPr>
    </w:p>
    <w:p w14:paraId="2F8FB124">
      <w:pPr>
        <w:spacing w:line="480" w:lineRule="exact"/>
        <w:ind w:right="23"/>
        <w:textAlignment w:val="baseline"/>
        <w:rPr>
          <w:rFonts w:ascii="宋体" w:hAnsi="宋体" w:cs="宋体"/>
          <w:sz w:val="24"/>
        </w:rPr>
      </w:pPr>
    </w:p>
    <w:p w14:paraId="54FD8D0F">
      <w:pPr>
        <w:spacing w:line="480" w:lineRule="exact"/>
        <w:ind w:right="23"/>
        <w:textAlignment w:val="baseline"/>
        <w:rPr>
          <w:rFonts w:ascii="宋体" w:hAnsi="宋体" w:cs="宋体"/>
          <w:sz w:val="24"/>
        </w:rPr>
      </w:pPr>
    </w:p>
    <w:p w14:paraId="056CB6ED">
      <w:pPr>
        <w:spacing w:line="480" w:lineRule="exact"/>
        <w:ind w:right="23"/>
        <w:textAlignment w:val="baseline"/>
        <w:rPr>
          <w:rFonts w:ascii="宋体" w:hAnsi="宋体" w:cs="宋体"/>
          <w:sz w:val="24"/>
        </w:rPr>
      </w:pPr>
    </w:p>
    <w:p w14:paraId="1C9D9060">
      <w:pPr>
        <w:spacing w:line="480" w:lineRule="exact"/>
        <w:ind w:right="23"/>
        <w:textAlignment w:val="baseline"/>
        <w:rPr>
          <w:rFonts w:ascii="宋体" w:hAnsi="宋体" w:cs="宋体"/>
          <w:sz w:val="24"/>
        </w:rPr>
      </w:pPr>
    </w:p>
    <w:p w14:paraId="1CA1E8B9">
      <w:pPr>
        <w:spacing w:line="480" w:lineRule="exact"/>
        <w:ind w:right="23"/>
        <w:textAlignment w:val="baseline"/>
        <w:rPr>
          <w:rFonts w:ascii="宋体" w:hAnsi="宋体" w:cs="宋体"/>
          <w:sz w:val="24"/>
        </w:rPr>
      </w:pPr>
    </w:p>
    <w:p w14:paraId="14C8A535">
      <w:pPr>
        <w:spacing w:line="480" w:lineRule="exact"/>
        <w:ind w:right="23"/>
        <w:textAlignment w:val="baseline"/>
        <w:rPr>
          <w:rFonts w:ascii="宋体" w:hAnsi="宋体" w:cs="宋体"/>
          <w:sz w:val="24"/>
        </w:rPr>
      </w:pPr>
    </w:p>
    <w:p w14:paraId="4C78B0DC">
      <w:pPr>
        <w:spacing w:line="480" w:lineRule="exact"/>
        <w:ind w:right="23"/>
        <w:textAlignment w:val="baseline"/>
        <w:rPr>
          <w:rFonts w:ascii="宋体" w:hAnsi="宋体" w:cs="宋体"/>
          <w:sz w:val="24"/>
        </w:rPr>
      </w:pPr>
    </w:p>
    <w:p w14:paraId="61EC084C">
      <w:pPr>
        <w:spacing w:line="480" w:lineRule="exact"/>
        <w:ind w:right="23"/>
        <w:textAlignment w:val="baseline"/>
        <w:rPr>
          <w:rFonts w:ascii="宋体" w:hAnsi="宋体" w:cs="宋体"/>
          <w:sz w:val="24"/>
        </w:rPr>
      </w:pPr>
    </w:p>
    <w:p w14:paraId="46F03343">
      <w:pPr>
        <w:spacing w:line="480" w:lineRule="exact"/>
        <w:ind w:right="23"/>
        <w:textAlignment w:val="baseline"/>
        <w:rPr>
          <w:rFonts w:ascii="宋体" w:hAnsi="宋体" w:cs="宋体"/>
          <w:sz w:val="24"/>
        </w:rPr>
      </w:pPr>
    </w:p>
    <w:p w14:paraId="05A16240">
      <w:pPr>
        <w:spacing w:line="480" w:lineRule="exact"/>
        <w:ind w:right="23"/>
        <w:textAlignment w:val="baseline"/>
        <w:rPr>
          <w:rFonts w:ascii="宋体" w:hAnsi="宋体" w:cs="宋体"/>
          <w:b/>
          <w:sz w:val="28"/>
          <w:szCs w:val="28"/>
        </w:rPr>
      </w:pPr>
      <w:r>
        <w:rPr>
          <w:rFonts w:hint="eastAsia" w:ascii="宋体" w:hAnsi="宋体" w:cs="宋体"/>
          <w:sz w:val="24"/>
        </w:rPr>
        <w:t xml:space="preserve">附件4-2：     </w:t>
      </w:r>
      <w:r>
        <w:rPr>
          <w:rFonts w:hint="eastAsia" w:ascii="宋体" w:hAnsi="宋体" w:cs="宋体"/>
          <w:b/>
          <w:sz w:val="28"/>
          <w:szCs w:val="28"/>
        </w:rPr>
        <w:t>磋商文件规定的特定资格条件证明资料</w:t>
      </w:r>
    </w:p>
    <w:p w14:paraId="1CE860B0">
      <w:pPr>
        <w:spacing w:line="480" w:lineRule="exact"/>
        <w:ind w:right="23"/>
        <w:textAlignment w:val="baseline"/>
        <w:rPr>
          <w:rFonts w:ascii="宋体" w:hAnsi="宋体" w:cs="宋体"/>
          <w:b/>
          <w:sz w:val="28"/>
          <w:szCs w:val="28"/>
        </w:rPr>
      </w:pPr>
    </w:p>
    <w:p w14:paraId="25AE1669">
      <w:pPr>
        <w:snapToGrid w:val="0"/>
        <w:spacing w:line="360" w:lineRule="auto"/>
        <w:ind w:right="23"/>
        <w:textAlignment w:val="baseline"/>
        <w:rPr>
          <w:rFonts w:ascii="宋体" w:hAnsi="宋体" w:cs="宋体"/>
          <w:kern w:val="0"/>
          <w:sz w:val="20"/>
          <w:szCs w:val="21"/>
        </w:rPr>
      </w:pPr>
      <w:r>
        <w:rPr>
          <w:rFonts w:hint="eastAsia" w:ascii="宋体" w:hAnsi="宋体" w:cs="宋体"/>
          <w:kern w:val="0"/>
          <w:szCs w:val="21"/>
        </w:rPr>
        <w:t>备注：提供第二章磋商须知第3.1款供应商特定资格条件证明资料的复印件。</w:t>
      </w:r>
    </w:p>
    <w:p w14:paraId="5D4B948F">
      <w:pPr>
        <w:snapToGrid w:val="0"/>
        <w:spacing w:line="360" w:lineRule="auto"/>
        <w:ind w:right="23"/>
        <w:textAlignment w:val="baseline"/>
        <w:rPr>
          <w:rFonts w:ascii="宋体" w:hAnsi="宋体" w:cs="宋体"/>
          <w:sz w:val="20"/>
          <w:szCs w:val="21"/>
        </w:rPr>
      </w:pPr>
    </w:p>
    <w:p w14:paraId="15BB472E">
      <w:pPr>
        <w:spacing w:line="480" w:lineRule="exact"/>
        <w:ind w:right="23"/>
        <w:textAlignment w:val="baseline"/>
        <w:rPr>
          <w:rFonts w:ascii="宋体" w:hAnsi="宋体" w:cs="宋体"/>
          <w:sz w:val="24"/>
        </w:rPr>
      </w:pPr>
      <w:r>
        <w:rPr>
          <w:rFonts w:hint="eastAsia" w:ascii="宋体" w:hAnsi="宋体" w:cs="宋体"/>
          <w:szCs w:val="21"/>
        </w:rPr>
        <w:br w:type="page"/>
      </w:r>
    </w:p>
    <w:p w14:paraId="3B25B54E">
      <w:pPr>
        <w:snapToGrid w:val="0"/>
        <w:spacing w:line="360" w:lineRule="auto"/>
        <w:ind w:right="23"/>
        <w:jc w:val="center"/>
        <w:textAlignment w:val="baseline"/>
        <w:rPr>
          <w:rFonts w:ascii="宋体" w:hAnsi="宋体" w:cs="宋体"/>
          <w:b/>
          <w:sz w:val="32"/>
          <w:szCs w:val="32"/>
        </w:rPr>
      </w:pPr>
      <w:r>
        <w:rPr>
          <w:rFonts w:hint="eastAsia" w:ascii="宋体" w:hAnsi="宋体" w:cs="宋体"/>
          <w:b/>
          <w:sz w:val="32"/>
          <w:szCs w:val="32"/>
        </w:rPr>
        <w:t>三、施工组织设计</w:t>
      </w:r>
    </w:p>
    <w:p w14:paraId="67B1D1D2">
      <w:pPr>
        <w:snapToGrid w:val="0"/>
        <w:ind w:left="-88" w:leftChars="-42" w:right="23" w:firstLine="200" w:firstLineChars="100"/>
        <w:textAlignment w:val="baseline"/>
        <w:rPr>
          <w:rFonts w:ascii="宋体" w:hAnsi="宋体" w:cs="宋体"/>
          <w:bCs/>
          <w:sz w:val="20"/>
          <w:szCs w:val="21"/>
        </w:rPr>
      </w:pPr>
    </w:p>
    <w:p w14:paraId="1BE17BAB">
      <w:pPr>
        <w:snapToGrid w:val="0"/>
        <w:ind w:left="-88" w:leftChars="-42" w:right="23" w:firstLine="240" w:firstLineChars="100"/>
        <w:textAlignment w:val="baseline"/>
        <w:outlineLvl w:val="0"/>
        <w:rPr>
          <w:rFonts w:ascii="宋体" w:hAnsi="宋体" w:cs="宋体"/>
          <w:b/>
          <w:bCs/>
          <w:sz w:val="24"/>
        </w:rPr>
      </w:pPr>
      <w:bookmarkStart w:id="12" w:name="_Toc4387"/>
      <w:r>
        <w:rPr>
          <w:rFonts w:hint="eastAsia" w:ascii="宋体" w:hAnsi="宋体" w:cs="宋体"/>
          <w:sz w:val="24"/>
        </w:rPr>
        <w:t>附件5：</w:t>
      </w:r>
      <w:bookmarkEnd w:id="12"/>
    </w:p>
    <w:p w14:paraId="697659C2">
      <w:pPr>
        <w:snapToGrid w:val="0"/>
        <w:ind w:left="-88" w:leftChars="-42" w:right="23" w:firstLine="3847" w:firstLineChars="1374"/>
        <w:textAlignment w:val="baseline"/>
        <w:rPr>
          <w:rFonts w:ascii="宋体" w:hAnsi="宋体" w:cs="宋体"/>
          <w:b/>
          <w:bCs/>
          <w:sz w:val="24"/>
        </w:rPr>
      </w:pPr>
      <w:r>
        <w:rPr>
          <w:rFonts w:hint="eastAsia" w:ascii="宋体" w:hAnsi="宋体" w:cs="宋体"/>
          <w:sz w:val="28"/>
          <w:szCs w:val="28"/>
        </w:rPr>
        <w:t>施工组织设计</w:t>
      </w:r>
    </w:p>
    <w:p w14:paraId="0184F691">
      <w:pPr>
        <w:spacing w:line="360" w:lineRule="atLeast"/>
        <w:ind w:right="23"/>
        <w:textAlignment w:val="baseline"/>
        <w:rPr>
          <w:rFonts w:ascii="宋体" w:hAnsi="宋体" w:cs="宋体"/>
          <w:sz w:val="28"/>
          <w:szCs w:val="28"/>
        </w:rPr>
      </w:pPr>
    </w:p>
    <w:p w14:paraId="6A5F245E">
      <w:pPr>
        <w:pStyle w:val="17"/>
        <w:spacing w:after="0" w:line="360" w:lineRule="auto"/>
        <w:ind w:right="23" w:firstLine="420" w:firstLineChars="200"/>
        <w:textAlignment w:val="baseline"/>
        <w:rPr>
          <w:rFonts w:ascii="宋体" w:hAnsi="宋体" w:cs="宋体"/>
          <w:sz w:val="21"/>
          <w:szCs w:val="21"/>
        </w:rPr>
      </w:pPr>
      <w:r>
        <w:rPr>
          <w:rFonts w:hint="eastAsia" w:ascii="宋体" w:hAnsi="宋体" w:cs="宋体"/>
          <w:sz w:val="21"/>
          <w:szCs w:val="21"/>
          <w:lang w:eastAsia="zh-CN"/>
        </w:rPr>
        <w:t>按照技术评分标准自行编制施工组织设计。</w:t>
      </w:r>
    </w:p>
    <w:p w14:paraId="28618858">
      <w:pPr>
        <w:snapToGrid w:val="0"/>
        <w:ind w:right="23"/>
        <w:textAlignment w:val="baseline"/>
        <w:rPr>
          <w:rFonts w:ascii="宋体" w:hAnsi="宋体" w:cs="宋体"/>
          <w:sz w:val="20"/>
          <w:szCs w:val="21"/>
        </w:rPr>
      </w:pPr>
    </w:p>
    <w:p w14:paraId="4CE9277E">
      <w:pPr>
        <w:snapToGrid w:val="0"/>
        <w:ind w:right="23"/>
        <w:textAlignment w:val="baseline"/>
        <w:rPr>
          <w:rFonts w:ascii="宋体" w:hAnsi="宋体" w:cs="宋体"/>
          <w:sz w:val="20"/>
          <w:szCs w:val="21"/>
        </w:rPr>
      </w:pPr>
    </w:p>
    <w:p w14:paraId="409CC564">
      <w:pPr>
        <w:snapToGrid w:val="0"/>
        <w:ind w:right="23"/>
        <w:textAlignment w:val="baseline"/>
        <w:rPr>
          <w:rFonts w:ascii="宋体" w:hAnsi="宋体" w:cs="宋体"/>
          <w:sz w:val="20"/>
          <w:szCs w:val="21"/>
        </w:rPr>
      </w:pPr>
    </w:p>
    <w:p w14:paraId="68D31E0C">
      <w:pPr>
        <w:snapToGrid w:val="0"/>
        <w:ind w:right="23"/>
        <w:textAlignment w:val="baseline"/>
        <w:rPr>
          <w:rFonts w:ascii="宋体" w:hAnsi="宋体" w:cs="宋体"/>
          <w:sz w:val="20"/>
          <w:szCs w:val="21"/>
        </w:rPr>
      </w:pPr>
    </w:p>
    <w:p w14:paraId="1E180571">
      <w:pPr>
        <w:snapToGrid w:val="0"/>
        <w:ind w:right="23"/>
        <w:textAlignment w:val="baseline"/>
        <w:rPr>
          <w:rFonts w:ascii="宋体" w:hAnsi="宋体" w:cs="宋体"/>
          <w:sz w:val="20"/>
          <w:szCs w:val="21"/>
        </w:rPr>
      </w:pPr>
    </w:p>
    <w:p w14:paraId="2B3D4F10">
      <w:pPr>
        <w:snapToGrid w:val="0"/>
        <w:ind w:right="23"/>
        <w:textAlignment w:val="baseline"/>
        <w:rPr>
          <w:rFonts w:ascii="宋体" w:hAnsi="宋体" w:cs="宋体"/>
          <w:sz w:val="20"/>
          <w:szCs w:val="21"/>
        </w:rPr>
      </w:pPr>
    </w:p>
    <w:p w14:paraId="30938EE0">
      <w:pPr>
        <w:snapToGrid w:val="0"/>
        <w:ind w:right="23"/>
        <w:textAlignment w:val="baseline"/>
        <w:rPr>
          <w:rFonts w:ascii="宋体" w:hAnsi="宋体" w:cs="宋体"/>
          <w:sz w:val="20"/>
          <w:szCs w:val="21"/>
        </w:rPr>
      </w:pPr>
    </w:p>
    <w:p w14:paraId="0D727AA4">
      <w:pPr>
        <w:snapToGrid w:val="0"/>
        <w:ind w:right="23"/>
        <w:textAlignment w:val="baseline"/>
        <w:rPr>
          <w:rFonts w:ascii="宋体" w:hAnsi="宋体" w:cs="宋体"/>
          <w:sz w:val="20"/>
          <w:szCs w:val="21"/>
        </w:rPr>
      </w:pPr>
    </w:p>
    <w:p w14:paraId="49922EB2">
      <w:pPr>
        <w:snapToGrid w:val="0"/>
        <w:ind w:right="23"/>
        <w:textAlignment w:val="baseline"/>
        <w:rPr>
          <w:rFonts w:ascii="宋体" w:hAnsi="宋体" w:cs="宋体"/>
          <w:sz w:val="20"/>
          <w:szCs w:val="21"/>
        </w:rPr>
      </w:pPr>
    </w:p>
    <w:p w14:paraId="695F5A9F">
      <w:pPr>
        <w:snapToGrid w:val="0"/>
        <w:ind w:right="23"/>
        <w:textAlignment w:val="baseline"/>
        <w:rPr>
          <w:rFonts w:ascii="宋体" w:hAnsi="宋体" w:cs="宋体"/>
          <w:sz w:val="20"/>
          <w:szCs w:val="21"/>
        </w:rPr>
      </w:pPr>
    </w:p>
    <w:p w14:paraId="73DE9C09">
      <w:pPr>
        <w:snapToGrid w:val="0"/>
        <w:ind w:right="23"/>
        <w:textAlignment w:val="baseline"/>
        <w:rPr>
          <w:rFonts w:ascii="宋体" w:hAnsi="宋体" w:cs="宋体"/>
          <w:sz w:val="20"/>
          <w:szCs w:val="21"/>
        </w:rPr>
      </w:pPr>
    </w:p>
    <w:p w14:paraId="42CB2158">
      <w:pPr>
        <w:snapToGrid w:val="0"/>
        <w:ind w:right="23"/>
        <w:textAlignment w:val="baseline"/>
        <w:rPr>
          <w:rFonts w:ascii="宋体" w:hAnsi="宋体" w:cs="宋体"/>
          <w:sz w:val="20"/>
          <w:szCs w:val="21"/>
        </w:rPr>
      </w:pPr>
    </w:p>
    <w:p w14:paraId="4C0DE1CA">
      <w:pPr>
        <w:snapToGrid w:val="0"/>
        <w:ind w:right="23"/>
        <w:textAlignment w:val="baseline"/>
        <w:rPr>
          <w:rFonts w:ascii="宋体" w:hAnsi="宋体" w:cs="宋体"/>
          <w:sz w:val="20"/>
          <w:szCs w:val="21"/>
        </w:rPr>
      </w:pPr>
    </w:p>
    <w:p w14:paraId="498523DA">
      <w:pPr>
        <w:snapToGrid w:val="0"/>
        <w:ind w:right="23"/>
        <w:textAlignment w:val="baseline"/>
        <w:rPr>
          <w:rFonts w:ascii="宋体" w:hAnsi="宋体" w:cs="宋体"/>
          <w:sz w:val="20"/>
          <w:szCs w:val="21"/>
        </w:rPr>
      </w:pPr>
    </w:p>
    <w:p w14:paraId="631DB383">
      <w:pPr>
        <w:snapToGrid w:val="0"/>
        <w:ind w:right="23"/>
        <w:textAlignment w:val="baseline"/>
        <w:rPr>
          <w:rFonts w:ascii="宋体" w:hAnsi="宋体" w:cs="宋体"/>
          <w:sz w:val="20"/>
          <w:szCs w:val="21"/>
        </w:rPr>
      </w:pPr>
    </w:p>
    <w:p w14:paraId="562D406A">
      <w:pPr>
        <w:snapToGrid w:val="0"/>
        <w:ind w:right="23"/>
        <w:textAlignment w:val="baseline"/>
        <w:rPr>
          <w:rFonts w:ascii="宋体" w:hAnsi="宋体" w:cs="宋体"/>
          <w:sz w:val="20"/>
          <w:szCs w:val="21"/>
        </w:rPr>
      </w:pPr>
    </w:p>
    <w:p w14:paraId="02BC5CDB">
      <w:pPr>
        <w:snapToGrid w:val="0"/>
        <w:ind w:right="23"/>
        <w:textAlignment w:val="baseline"/>
        <w:rPr>
          <w:rFonts w:ascii="宋体" w:hAnsi="宋体" w:cs="宋体"/>
          <w:sz w:val="20"/>
          <w:szCs w:val="21"/>
        </w:rPr>
      </w:pPr>
      <w:r>
        <w:rPr>
          <w:rFonts w:hint="eastAsia" w:ascii="宋体" w:hAnsi="宋体" w:cs="宋体"/>
          <w:szCs w:val="21"/>
        </w:rPr>
        <w:br w:type="page"/>
      </w:r>
    </w:p>
    <w:p w14:paraId="3BCB5833">
      <w:pPr>
        <w:snapToGrid w:val="0"/>
        <w:ind w:right="23"/>
        <w:textAlignment w:val="baseline"/>
        <w:outlineLvl w:val="0"/>
        <w:rPr>
          <w:rFonts w:ascii="宋体" w:hAnsi="宋体" w:cs="宋体"/>
          <w:sz w:val="20"/>
          <w:szCs w:val="21"/>
        </w:rPr>
      </w:pPr>
      <w:bookmarkStart w:id="13" w:name="_Toc29320"/>
      <w:r>
        <w:rPr>
          <w:rFonts w:hint="eastAsia" w:ascii="宋体" w:hAnsi="宋体" w:cs="宋体"/>
          <w:sz w:val="24"/>
        </w:rPr>
        <w:t>附件5-1：</w:t>
      </w:r>
      <w:bookmarkEnd w:id="13"/>
    </w:p>
    <w:p w14:paraId="08C215DF">
      <w:pPr>
        <w:spacing w:line="360" w:lineRule="atLeast"/>
        <w:ind w:right="23"/>
        <w:jc w:val="center"/>
        <w:textAlignment w:val="baseline"/>
        <w:rPr>
          <w:rFonts w:ascii="宋体" w:hAnsi="宋体" w:cs="宋体"/>
          <w:sz w:val="28"/>
          <w:szCs w:val="28"/>
        </w:rPr>
      </w:pPr>
      <w:r>
        <w:rPr>
          <w:rFonts w:hint="eastAsia" w:ascii="宋体" w:hAnsi="宋体" w:cs="宋体"/>
          <w:b/>
          <w:sz w:val="28"/>
          <w:szCs w:val="28"/>
        </w:rPr>
        <w:t>主要人员简历表</w:t>
      </w:r>
    </w:p>
    <w:tbl>
      <w:tblPr>
        <w:tblStyle w:val="4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12"/>
        <w:gridCol w:w="330"/>
        <w:gridCol w:w="3330"/>
        <w:gridCol w:w="216"/>
        <w:gridCol w:w="1633"/>
        <w:gridCol w:w="131"/>
        <w:gridCol w:w="2428"/>
      </w:tblGrid>
      <w:tr w14:paraId="314CD9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3" w:hRule="exact"/>
        </w:trPr>
        <w:tc>
          <w:tcPr>
            <w:tcW w:w="2142" w:type="dxa"/>
            <w:gridSpan w:val="2"/>
            <w:noWrap/>
            <w:vAlign w:val="center"/>
          </w:tcPr>
          <w:p w14:paraId="28BAD5E8">
            <w:pPr>
              <w:spacing w:line="360" w:lineRule="atLeast"/>
              <w:ind w:right="23"/>
              <w:jc w:val="center"/>
              <w:textAlignment w:val="baseline"/>
              <w:rPr>
                <w:rFonts w:ascii="宋体" w:hAnsi="宋体" w:cs="宋体"/>
                <w:szCs w:val="21"/>
              </w:rPr>
            </w:pPr>
            <w:r>
              <w:rPr>
                <w:rFonts w:hint="eastAsia" w:ascii="宋体" w:hAnsi="宋体" w:cs="宋体"/>
                <w:szCs w:val="21"/>
              </w:rPr>
              <w:t>姓   名</w:t>
            </w:r>
          </w:p>
        </w:tc>
        <w:tc>
          <w:tcPr>
            <w:tcW w:w="3330" w:type="dxa"/>
            <w:noWrap/>
            <w:vAlign w:val="center"/>
          </w:tcPr>
          <w:p w14:paraId="511BD579">
            <w:pPr>
              <w:spacing w:line="360" w:lineRule="atLeast"/>
              <w:ind w:right="23"/>
              <w:jc w:val="center"/>
              <w:textAlignment w:val="baseline"/>
              <w:rPr>
                <w:rFonts w:ascii="宋体" w:hAnsi="宋体" w:cs="宋体"/>
                <w:szCs w:val="21"/>
              </w:rPr>
            </w:pPr>
          </w:p>
        </w:tc>
        <w:tc>
          <w:tcPr>
            <w:tcW w:w="1980" w:type="dxa"/>
            <w:gridSpan w:val="3"/>
            <w:noWrap/>
            <w:vAlign w:val="center"/>
          </w:tcPr>
          <w:p w14:paraId="6575A137">
            <w:pPr>
              <w:spacing w:line="360" w:lineRule="atLeast"/>
              <w:ind w:right="23"/>
              <w:jc w:val="center"/>
              <w:textAlignment w:val="baseline"/>
              <w:rPr>
                <w:rFonts w:ascii="宋体" w:hAnsi="宋体" w:cs="宋体"/>
                <w:szCs w:val="21"/>
              </w:rPr>
            </w:pPr>
            <w:r>
              <w:rPr>
                <w:rFonts w:hint="eastAsia" w:ascii="宋体" w:hAnsi="宋体" w:cs="宋体"/>
                <w:szCs w:val="21"/>
              </w:rPr>
              <w:t>性  别</w:t>
            </w:r>
          </w:p>
        </w:tc>
        <w:tc>
          <w:tcPr>
            <w:tcW w:w="2428" w:type="dxa"/>
            <w:noWrap/>
            <w:vAlign w:val="center"/>
          </w:tcPr>
          <w:p w14:paraId="77EA65D7">
            <w:pPr>
              <w:spacing w:line="360" w:lineRule="atLeast"/>
              <w:ind w:right="23"/>
              <w:jc w:val="center"/>
              <w:textAlignment w:val="baseline"/>
              <w:rPr>
                <w:rFonts w:ascii="宋体" w:hAnsi="宋体" w:cs="宋体"/>
                <w:szCs w:val="21"/>
              </w:rPr>
            </w:pPr>
          </w:p>
        </w:tc>
      </w:tr>
      <w:tr w14:paraId="47DD8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exact"/>
        </w:trPr>
        <w:tc>
          <w:tcPr>
            <w:tcW w:w="2142" w:type="dxa"/>
            <w:gridSpan w:val="2"/>
            <w:noWrap/>
            <w:vAlign w:val="center"/>
          </w:tcPr>
          <w:p w14:paraId="01B63FB1">
            <w:pPr>
              <w:spacing w:line="360" w:lineRule="atLeast"/>
              <w:ind w:right="23"/>
              <w:jc w:val="center"/>
              <w:textAlignment w:val="baseline"/>
              <w:rPr>
                <w:rFonts w:ascii="宋体" w:hAnsi="宋体" w:cs="宋体"/>
                <w:szCs w:val="21"/>
              </w:rPr>
            </w:pPr>
            <w:r>
              <w:rPr>
                <w:rFonts w:hint="eastAsia" w:ascii="宋体" w:hAnsi="宋体" w:cs="宋体"/>
                <w:szCs w:val="21"/>
              </w:rPr>
              <w:t>职   务</w:t>
            </w:r>
          </w:p>
        </w:tc>
        <w:tc>
          <w:tcPr>
            <w:tcW w:w="3330" w:type="dxa"/>
            <w:noWrap/>
            <w:vAlign w:val="center"/>
          </w:tcPr>
          <w:p w14:paraId="3D56C467">
            <w:pPr>
              <w:spacing w:line="360" w:lineRule="atLeast"/>
              <w:ind w:right="23"/>
              <w:jc w:val="center"/>
              <w:textAlignment w:val="baseline"/>
              <w:rPr>
                <w:rFonts w:ascii="宋体" w:hAnsi="宋体" w:cs="宋体"/>
                <w:szCs w:val="21"/>
              </w:rPr>
            </w:pPr>
          </w:p>
        </w:tc>
        <w:tc>
          <w:tcPr>
            <w:tcW w:w="1980" w:type="dxa"/>
            <w:gridSpan w:val="3"/>
            <w:noWrap/>
            <w:vAlign w:val="center"/>
          </w:tcPr>
          <w:p w14:paraId="35754239">
            <w:pPr>
              <w:spacing w:line="360" w:lineRule="atLeast"/>
              <w:ind w:right="23"/>
              <w:jc w:val="center"/>
              <w:textAlignment w:val="baseline"/>
              <w:rPr>
                <w:rFonts w:ascii="宋体" w:hAnsi="宋体" w:cs="宋体"/>
                <w:szCs w:val="21"/>
              </w:rPr>
            </w:pPr>
            <w:r>
              <w:rPr>
                <w:rFonts w:hint="eastAsia" w:ascii="宋体" w:hAnsi="宋体" w:cs="宋体"/>
                <w:szCs w:val="21"/>
              </w:rPr>
              <w:t>职  称</w:t>
            </w:r>
          </w:p>
        </w:tc>
        <w:tc>
          <w:tcPr>
            <w:tcW w:w="2428" w:type="dxa"/>
            <w:noWrap/>
            <w:vAlign w:val="center"/>
          </w:tcPr>
          <w:p w14:paraId="78D8F1D8">
            <w:pPr>
              <w:spacing w:line="360" w:lineRule="atLeast"/>
              <w:ind w:right="23"/>
              <w:jc w:val="center"/>
              <w:textAlignment w:val="baseline"/>
              <w:rPr>
                <w:rFonts w:ascii="宋体" w:hAnsi="宋体" w:cs="宋体"/>
                <w:szCs w:val="21"/>
              </w:rPr>
            </w:pPr>
          </w:p>
        </w:tc>
      </w:tr>
      <w:tr w14:paraId="21815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exact"/>
        </w:trPr>
        <w:tc>
          <w:tcPr>
            <w:tcW w:w="2142" w:type="dxa"/>
            <w:gridSpan w:val="2"/>
            <w:noWrap/>
            <w:vAlign w:val="center"/>
          </w:tcPr>
          <w:p w14:paraId="695D48D2">
            <w:pPr>
              <w:spacing w:line="360" w:lineRule="atLeast"/>
              <w:ind w:right="23"/>
              <w:jc w:val="center"/>
              <w:textAlignment w:val="baseline"/>
              <w:rPr>
                <w:rFonts w:ascii="宋体" w:hAnsi="宋体" w:cs="宋体"/>
                <w:szCs w:val="21"/>
              </w:rPr>
            </w:pPr>
            <w:r>
              <w:rPr>
                <w:rFonts w:hint="eastAsia" w:ascii="宋体" w:hAnsi="宋体" w:cs="宋体"/>
                <w:szCs w:val="21"/>
              </w:rPr>
              <w:t>毕业学校、专业</w:t>
            </w:r>
          </w:p>
        </w:tc>
        <w:tc>
          <w:tcPr>
            <w:tcW w:w="7738" w:type="dxa"/>
            <w:gridSpan w:val="5"/>
            <w:noWrap/>
            <w:vAlign w:val="center"/>
          </w:tcPr>
          <w:p w14:paraId="2FBA099D">
            <w:pPr>
              <w:spacing w:line="360" w:lineRule="atLeast"/>
              <w:ind w:right="23"/>
              <w:jc w:val="center"/>
              <w:textAlignment w:val="baseline"/>
              <w:rPr>
                <w:rFonts w:ascii="宋体" w:hAnsi="宋体" w:cs="宋体"/>
                <w:szCs w:val="21"/>
              </w:rPr>
            </w:pPr>
          </w:p>
        </w:tc>
      </w:tr>
      <w:tr w14:paraId="53F2F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trPr>
        <w:tc>
          <w:tcPr>
            <w:tcW w:w="2142" w:type="dxa"/>
            <w:gridSpan w:val="2"/>
            <w:noWrap/>
            <w:vAlign w:val="center"/>
          </w:tcPr>
          <w:p w14:paraId="396D35FC">
            <w:pPr>
              <w:spacing w:line="360" w:lineRule="atLeast"/>
              <w:ind w:right="23"/>
              <w:jc w:val="center"/>
              <w:textAlignment w:val="baseline"/>
              <w:rPr>
                <w:rFonts w:ascii="宋体" w:hAnsi="宋体" w:cs="宋体"/>
                <w:szCs w:val="21"/>
              </w:rPr>
            </w:pPr>
            <w:r>
              <w:rPr>
                <w:rFonts w:hint="eastAsia" w:ascii="宋体" w:hAnsi="宋体" w:cs="宋体"/>
                <w:szCs w:val="21"/>
              </w:rPr>
              <w:t>身份证号</w:t>
            </w:r>
          </w:p>
        </w:tc>
        <w:tc>
          <w:tcPr>
            <w:tcW w:w="3330" w:type="dxa"/>
            <w:noWrap/>
            <w:vAlign w:val="center"/>
          </w:tcPr>
          <w:p w14:paraId="311B11CD">
            <w:pPr>
              <w:spacing w:line="360" w:lineRule="atLeast"/>
              <w:ind w:right="23"/>
              <w:jc w:val="center"/>
              <w:textAlignment w:val="baseline"/>
              <w:rPr>
                <w:rFonts w:ascii="宋体" w:hAnsi="宋体" w:cs="宋体"/>
                <w:szCs w:val="21"/>
              </w:rPr>
            </w:pPr>
          </w:p>
        </w:tc>
        <w:tc>
          <w:tcPr>
            <w:tcW w:w="1980" w:type="dxa"/>
            <w:gridSpan w:val="3"/>
            <w:noWrap/>
            <w:vAlign w:val="center"/>
          </w:tcPr>
          <w:p w14:paraId="45E0A3ED">
            <w:pPr>
              <w:spacing w:line="360" w:lineRule="atLeast"/>
              <w:ind w:right="23"/>
              <w:jc w:val="center"/>
              <w:textAlignment w:val="baseline"/>
              <w:rPr>
                <w:rFonts w:ascii="宋体" w:hAnsi="宋体" w:cs="宋体"/>
                <w:szCs w:val="21"/>
              </w:rPr>
            </w:pPr>
            <w:r>
              <w:rPr>
                <w:rFonts w:hint="eastAsia" w:ascii="宋体" w:hAnsi="宋体" w:cs="宋体"/>
                <w:szCs w:val="21"/>
              </w:rPr>
              <w:t>拟在本合同任职</w:t>
            </w:r>
          </w:p>
        </w:tc>
        <w:tc>
          <w:tcPr>
            <w:tcW w:w="2428" w:type="dxa"/>
            <w:noWrap/>
            <w:vAlign w:val="center"/>
          </w:tcPr>
          <w:p w14:paraId="59D6EA75">
            <w:pPr>
              <w:spacing w:line="360" w:lineRule="atLeast"/>
              <w:ind w:right="23"/>
              <w:jc w:val="center"/>
              <w:textAlignment w:val="baseline"/>
              <w:rPr>
                <w:rFonts w:ascii="宋体" w:hAnsi="宋体" w:cs="宋体"/>
                <w:szCs w:val="21"/>
              </w:rPr>
            </w:pPr>
          </w:p>
        </w:tc>
      </w:tr>
      <w:tr w14:paraId="3E4B6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trPr>
        <w:tc>
          <w:tcPr>
            <w:tcW w:w="2142" w:type="dxa"/>
            <w:gridSpan w:val="2"/>
            <w:noWrap/>
            <w:vAlign w:val="center"/>
          </w:tcPr>
          <w:p w14:paraId="229DEADB">
            <w:pPr>
              <w:spacing w:line="360" w:lineRule="atLeast"/>
              <w:ind w:right="23"/>
              <w:jc w:val="center"/>
              <w:textAlignment w:val="baseline"/>
              <w:rPr>
                <w:rFonts w:ascii="宋体" w:hAnsi="宋体" w:cs="宋体"/>
                <w:szCs w:val="21"/>
              </w:rPr>
            </w:pPr>
            <w:r>
              <w:rPr>
                <w:rFonts w:hint="eastAsia" w:ascii="宋体" w:hAnsi="宋体" w:cs="宋体"/>
                <w:szCs w:val="21"/>
              </w:rPr>
              <w:t>执业资格证</w:t>
            </w:r>
          </w:p>
        </w:tc>
        <w:tc>
          <w:tcPr>
            <w:tcW w:w="3330" w:type="dxa"/>
            <w:noWrap/>
            <w:vAlign w:val="center"/>
          </w:tcPr>
          <w:p w14:paraId="5B2C8B82">
            <w:pPr>
              <w:spacing w:line="360" w:lineRule="atLeast"/>
              <w:ind w:right="23"/>
              <w:jc w:val="center"/>
              <w:textAlignment w:val="baseline"/>
              <w:rPr>
                <w:rFonts w:ascii="宋体" w:hAnsi="宋体" w:cs="宋体"/>
                <w:szCs w:val="21"/>
              </w:rPr>
            </w:pPr>
          </w:p>
        </w:tc>
        <w:tc>
          <w:tcPr>
            <w:tcW w:w="1980" w:type="dxa"/>
            <w:gridSpan w:val="3"/>
            <w:noWrap/>
            <w:vAlign w:val="center"/>
          </w:tcPr>
          <w:p w14:paraId="4B470BF8">
            <w:pPr>
              <w:spacing w:line="360" w:lineRule="atLeast"/>
              <w:ind w:right="23"/>
              <w:jc w:val="center"/>
              <w:textAlignment w:val="baseline"/>
              <w:rPr>
                <w:rFonts w:ascii="宋体" w:hAnsi="宋体" w:cs="宋体"/>
                <w:szCs w:val="21"/>
              </w:rPr>
            </w:pPr>
            <w:r>
              <w:rPr>
                <w:rFonts w:hint="eastAsia" w:ascii="宋体" w:hAnsi="宋体" w:cs="宋体"/>
                <w:szCs w:val="21"/>
              </w:rPr>
              <w:t>执业资格证书号</w:t>
            </w:r>
          </w:p>
        </w:tc>
        <w:tc>
          <w:tcPr>
            <w:tcW w:w="2428" w:type="dxa"/>
            <w:noWrap/>
            <w:vAlign w:val="center"/>
          </w:tcPr>
          <w:p w14:paraId="4CEECA7E">
            <w:pPr>
              <w:textAlignment w:val="baseline"/>
              <w:rPr>
                <w:rFonts w:ascii="宋体" w:hAnsi="宋体" w:cs="宋体"/>
                <w:szCs w:val="21"/>
              </w:rPr>
            </w:pPr>
          </w:p>
        </w:tc>
      </w:tr>
      <w:tr w14:paraId="58CBB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1" w:hRule="exact"/>
        </w:trPr>
        <w:tc>
          <w:tcPr>
            <w:tcW w:w="9880" w:type="dxa"/>
            <w:gridSpan w:val="7"/>
            <w:noWrap/>
            <w:vAlign w:val="center"/>
          </w:tcPr>
          <w:p w14:paraId="73D410AE">
            <w:pPr>
              <w:spacing w:line="360" w:lineRule="atLeast"/>
              <w:ind w:right="23"/>
              <w:textAlignment w:val="baseline"/>
              <w:rPr>
                <w:rFonts w:ascii="宋体" w:hAnsi="宋体" w:cs="宋体"/>
                <w:szCs w:val="21"/>
              </w:rPr>
            </w:pPr>
            <w:r>
              <w:rPr>
                <w:rFonts w:hint="eastAsia" w:ascii="宋体" w:hAnsi="宋体" w:cs="宋体"/>
                <w:szCs w:val="21"/>
              </w:rPr>
              <w:t>近三年承担项目情况</w:t>
            </w:r>
          </w:p>
        </w:tc>
      </w:tr>
      <w:tr w14:paraId="4F3AD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279E4986">
            <w:pPr>
              <w:spacing w:line="360" w:lineRule="atLeast"/>
              <w:ind w:right="23"/>
              <w:jc w:val="center"/>
              <w:textAlignment w:val="baseline"/>
              <w:rPr>
                <w:rFonts w:ascii="宋体" w:hAnsi="宋体" w:cs="宋体"/>
                <w:szCs w:val="21"/>
              </w:rPr>
            </w:pPr>
            <w:r>
              <w:rPr>
                <w:rFonts w:hint="eastAsia" w:ascii="宋体" w:hAnsi="宋体" w:cs="宋体"/>
                <w:szCs w:val="21"/>
              </w:rPr>
              <w:t>时间</w:t>
            </w:r>
          </w:p>
        </w:tc>
        <w:tc>
          <w:tcPr>
            <w:tcW w:w="3876" w:type="dxa"/>
            <w:gridSpan w:val="3"/>
            <w:noWrap/>
            <w:vAlign w:val="center"/>
          </w:tcPr>
          <w:p w14:paraId="3011936F">
            <w:pPr>
              <w:spacing w:line="360" w:lineRule="atLeast"/>
              <w:ind w:right="23"/>
              <w:jc w:val="center"/>
              <w:textAlignment w:val="baseline"/>
              <w:rPr>
                <w:rFonts w:ascii="宋体" w:hAnsi="宋体" w:cs="宋体"/>
                <w:szCs w:val="21"/>
              </w:rPr>
            </w:pPr>
            <w:r>
              <w:rPr>
                <w:rFonts w:hint="eastAsia" w:ascii="宋体" w:hAnsi="宋体" w:cs="宋体"/>
                <w:szCs w:val="21"/>
              </w:rPr>
              <w:t>类似项目名称</w:t>
            </w:r>
          </w:p>
        </w:tc>
        <w:tc>
          <w:tcPr>
            <w:tcW w:w="1633" w:type="dxa"/>
            <w:noWrap/>
            <w:vAlign w:val="center"/>
          </w:tcPr>
          <w:p w14:paraId="67751519">
            <w:pPr>
              <w:spacing w:line="360" w:lineRule="atLeast"/>
              <w:ind w:right="23"/>
              <w:jc w:val="center"/>
              <w:textAlignment w:val="baseline"/>
              <w:rPr>
                <w:rFonts w:ascii="宋体" w:hAnsi="宋体" w:cs="宋体"/>
                <w:szCs w:val="21"/>
              </w:rPr>
            </w:pPr>
            <w:r>
              <w:rPr>
                <w:rFonts w:hint="eastAsia" w:ascii="宋体" w:hAnsi="宋体" w:cs="宋体"/>
                <w:szCs w:val="21"/>
              </w:rPr>
              <w:t>担任职务</w:t>
            </w:r>
          </w:p>
        </w:tc>
        <w:tc>
          <w:tcPr>
            <w:tcW w:w="2559" w:type="dxa"/>
            <w:gridSpan w:val="2"/>
            <w:noWrap/>
            <w:vAlign w:val="center"/>
          </w:tcPr>
          <w:p w14:paraId="78267364">
            <w:pPr>
              <w:spacing w:line="360" w:lineRule="atLeast"/>
              <w:ind w:right="23"/>
              <w:jc w:val="center"/>
              <w:textAlignment w:val="baseline"/>
              <w:rPr>
                <w:rFonts w:ascii="宋体" w:hAnsi="宋体" w:cs="宋体"/>
                <w:szCs w:val="21"/>
              </w:rPr>
            </w:pPr>
            <w:r>
              <w:rPr>
                <w:rFonts w:hint="eastAsia" w:ascii="宋体" w:hAnsi="宋体" w:cs="宋体"/>
                <w:szCs w:val="21"/>
              </w:rPr>
              <w:t>项目单位名称及电话</w:t>
            </w:r>
          </w:p>
        </w:tc>
      </w:tr>
      <w:tr w14:paraId="63F49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1D13FA59">
            <w:pPr>
              <w:spacing w:line="360" w:lineRule="atLeast"/>
              <w:ind w:right="23"/>
              <w:jc w:val="center"/>
              <w:textAlignment w:val="baseline"/>
              <w:rPr>
                <w:rFonts w:ascii="宋体" w:hAnsi="宋体" w:cs="宋体"/>
                <w:szCs w:val="21"/>
              </w:rPr>
            </w:pPr>
          </w:p>
        </w:tc>
        <w:tc>
          <w:tcPr>
            <w:tcW w:w="3876" w:type="dxa"/>
            <w:gridSpan w:val="3"/>
            <w:noWrap/>
            <w:vAlign w:val="center"/>
          </w:tcPr>
          <w:p w14:paraId="17736B20">
            <w:pPr>
              <w:spacing w:line="360" w:lineRule="atLeast"/>
              <w:ind w:right="23"/>
              <w:jc w:val="center"/>
              <w:textAlignment w:val="baseline"/>
              <w:rPr>
                <w:rFonts w:ascii="宋体" w:hAnsi="宋体" w:cs="宋体"/>
                <w:szCs w:val="21"/>
              </w:rPr>
            </w:pPr>
          </w:p>
        </w:tc>
        <w:tc>
          <w:tcPr>
            <w:tcW w:w="1633" w:type="dxa"/>
            <w:noWrap/>
            <w:vAlign w:val="center"/>
          </w:tcPr>
          <w:p w14:paraId="5CC30858">
            <w:pPr>
              <w:spacing w:line="360" w:lineRule="atLeast"/>
              <w:ind w:right="23"/>
              <w:jc w:val="center"/>
              <w:textAlignment w:val="baseline"/>
              <w:rPr>
                <w:rFonts w:ascii="宋体" w:hAnsi="宋体" w:cs="宋体"/>
                <w:szCs w:val="21"/>
              </w:rPr>
            </w:pPr>
          </w:p>
        </w:tc>
        <w:tc>
          <w:tcPr>
            <w:tcW w:w="2559" w:type="dxa"/>
            <w:gridSpan w:val="2"/>
            <w:noWrap/>
            <w:vAlign w:val="center"/>
          </w:tcPr>
          <w:p w14:paraId="6FD9A6BE">
            <w:pPr>
              <w:spacing w:line="360" w:lineRule="atLeast"/>
              <w:ind w:right="23"/>
              <w:jc w:val="center"/>
              <w:textAlignment w:val="baseline"/>
              <w:rPr>
                <w:rFonts w:ascii="宋体" w:hAnsi="宋体" w:cs="宋体"/>
                <w:szCs w:val="21"/>
              </w:rPr>
            </w:pPr>
          </w:p>
        </w:tc>
      </w:tr>
      <w:tr w14:paraId="7FAE42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1C258FBF">
            <w:pPr>
              <w:spacing w:line="360" w:lineRule="atLeast"/>
              <w:ind w:right="23"/>
              <w:jc w:val="center"/>
              <w:textAlignment w:val="baseline"/>
              <w:rPr>
                <w:rFonts w:ascii="宋体" w:hAnsi="宋体" w:cs="宋体"/>
                <w:szCs w:val="21"/>
              </w:rPr>
            </w:pPr>
          </w:p>
        </w:tc>
        <w:tc>
          <w:tcPr>
            <w:tcW w:w="3876" w:type="dxa"/>
            <w:gridSpan w:val="3"/>
            <w:noWrap/>
            <w:vAlign w:val="center"/>
          </w:tcPr>
          <w:p w14:paraId="53780AEB">
            <w:pPr>
              <w:spacing w:line="360" w:lineRule="atLeast"/>
              <w:ind w:right="23"/>
              <w:jc w:val="center"/>
              <w:textAlignment w:val="baseline"/>
              <w:rPr>
                <w:rFonts w:ascii="宋体" w:hAnsi="宋体" w:cs="宋体"/>
                <w:szCs w:val="21"/>
              </w:rPr>
            </w:pPr>
          </w:p>
        </w:tc>
        <w:tc>
          <w:tcPr>
            <w:tcW w:w="1633" w:type="dxa"/>
            <w:noWrap/>
            <w:vAlign w:val="center"/>
          </w:tcPr>
          <w:p w14:paraId="10BEDBB2">
            <w:pPr>
              <w:spacing w:line="360" w:lineRule="atLeast"/>
              <w:ind w:right="23"/>
              <w:jc w:val="center"/>
              <w:textAlignment w:val="baseline"/>
              <w:rPr>
                <w:rFonts w:ascii="宋体" w:hAnsi="宋体" w:cs="宋体"/>
                <w:szCs w:val="21"/>
              </w:rPr>
            </w:pPr>
          </w:p>
        </w:tc>
        <w:tc>
          <w:tcPr>
            <w:tcW w:w="2559" w:type="dxa"/>
            <w:gridSpan w:val="2"/>
            <w:noWrap/>
            <w:vAlign w:val="center"/>
          </w:tcPr>
          <w:p w14:paraId="6A9B8525">
            <w:pPr>
              <w:spacing w:line="360" w:lineRule="atLeast"/>
              <w:ind w:right="23"/>
              <w:jc w:val="center"/>
              <w:textAlignment w:val="baseline"/>
              <w:rPr>
                <w:rFonts w:ascii="宋体" w:hAnsi="宋体" w:cs="宋体"/>
                <w:szCs w:val="21"/>
              </w:rPr>
            </w:pPr>
          </w:p>
        </w:tc>
      </w:tr>
      <w:tr w14:paraId="1D8BE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74A11E54">
            <w:pPr>
              <w:spacing w:line="360" w:lineRule="atLeast"/>
              <w:ind w:right="23"/>
              <w:jc w:val="center"/>
              <w:textAlignment w:val="baseline"/>
              <w:rPr>
                <w:rFonts w:ascii="宋体" w:hAnsi="宋体" w:cs="宋体"/>
                <w:szCs w:val="21"/>
              </w:rPr>
            </w:pPr>
          </w:p>
        </w:tc>
        <w:tc>
          <w:tcPr>
            <w:tcW w:w="3876" w:type="dxa"/>
            <w:gridSpan w:val="3"/>
            <w:noWrap/>
            <w:vAlign w:val="center"/>
          </w:tcPr>
          <w:p w14:paraId="3DBA4218">
            <w:pPr>
              <w:spacing w:line="360" w:lineRule="atLeast"/>
              <w:ind w:right="23"/>
              <w:jc w:val="center"/>
              <w:textAlignment w:val="baseline"/>
              <w:rPr>
                <w:rFonts w:ascii="宋体" w:hAnsi="宋体" w:cs="宋体"/>
                <w:szCs w:val="21"/>
              </w:rPr>
            </w:pPr>
          </w:p>
        </w:tc>
        <w:tc>
          <w:tcPr>
            <w:tcW w:w="1633" w:type="dxa"/>
            <w:noWrap/>
            <w:vAlign w:val="center"/>
          </w:tcPr>
          <w:p w14:paraId="48F6B148">
            <w:pPr>
              <w:spacing w:line="360" w:lineRule="atLeast"/>
              <w:ind w:right="23"/>
              <w:jc w:val="center"/>
              <w:textAlignment w:val="baseline"/>
              <w:rPr>
                <w:rFonts w:ascii="宋体" w:hAnsi="宋体" w:cs="宋体"/>
                <w:szCs w:val="21"/>
              </w:rPr>
            </w:pPr>
          </w:p>
        </w:tc>
        <w:tc>
          <w:tcPr>
            <w:tcW w:w="2559" w:type="dxa"/>
            <w:gridSpan w:val="2"/>
            <w:noWrap/>
            <w:vAlign w:val="center"/>
          </w:tcPr>
          <w:p w14:paraId="6F8A516E">
            <w:pPr>
              <w:spacing w:line="360" w:lineRule="atLeast"/>
              <w:ind w:right="23"/>
              <w:jc w:val="center"/>
              <w:textAlignment w:val="baseline"/>
              <w:rPr>
                <w:rFonts w:ascii="宋体" w:hAnsi="宋体" w:cs="宋体"/>
                <w:szCs w:val="21"/>
              </w:rPr>
            </w:pPr>
          </w:p>
        </w:tc>
      </w:tr>
      <w:tr w14:paraId="3BA7D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26D6CF7A">
            <w:pPr>
              <w:spacing w:line="360" w:lineRule="atLeast"/>
              <w:ind w:right="23"/>
              <w:jc w:val="center"/>
              <w:textAlignment w:val="baseline"/>
              <w:rPr>
                <w:rFonts w:ascii="宋体" w:hAnsi="宋体" w:cs="宋体"/>
                <w:szCs w:val="21"/>
              </w:rPr>
            </w:pPr>
          </w:p>
        </w:tc>
        <w:tc>
          <w:tcPr>
            <w:tcW w:w="3876" w:type="dxa"/>
            <w:gridSpan w:val="3"/>
            <w:noWrap/>
            <w:vAlign w:val="center"/>
          </w:tcPr>
          <w:p w14:paraId="13ACA17E">
            <w:pPr>
              <w:spacing w:line="360" w:lineRule="atLeast"/>
              <w:ind w:right="23"/>
              <w:jc w:val="center"/>
              <w:textAlignment w:val="baseline"/>
              <w:rPr>
                <w:rFonts w:ascii="宋体" w:hAnsi="宋体" w:cs="宋体"/>
                <w:szCs w:val="21"/>
              </w:rPr>
            </w:pPr>
          </w:p>
        </w:tc>
        <w:tc>
          <w:tcPr>
            <w:tcW w:w="1633" w:type="dxa"/>
            <w:noWrap/>
            <w:vAlign w:val="center"/>
          </w:tcPr>
          <w:p w14:paraId="26EAF383">
            <w:pPr>
              <w:spacing w:line="360" w:lineRule="atLeast"/>
              <w:ind w:right="23"/>
              <w:jc w:val="center"/>
              <w:textAlignment w:val="baseline"/>
              <w:rPr>
                <w:rFonts w:ascii="宋体" w:hAnsi="宋体" w:cs="宋体"/>
                <w:szCs w:val="21"/>
              </w:rPr>
            </w:pPr>
          </w:p>
        </w:tc>
        <w:tc>
          <w:tcPr>
            <w:tcW w:w="2559" w:type="dxa"/>
            <w:gridSpan w:val="2"/>
            <w:noWrap/>
            <w:vAlign w:val="center"/>
          </w:tcPr>
          <w:p w14:paraId="362DCA02">
            <w:pPr>
              <w:spacing w:line="360" w:lineRule="atLeast"/>
              <w:ind w:right="23"/>
              <w:jc w:val="center"/>
              <w:textAlignment w:val="baseline"/>
              <w:rPr>
                <w:rFonts w:ascii="宋体" w:hAnsi="宋体" w:cs="宋体"/>
                <w:szCs w:val="21"/>
              </w:rPr>
            </w:pPr>
          </w:p>
        </w:tc>
      </w:tr>
      <w:tr w14:paraId="35482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418CF3EA">
            <w:pPr>
              <w:spacing w:line="360" w:lineRule="atLeast"/>
              <w:ind w:right="23"/>
              <w:jc w:val="center"/>
              <w:textAlignment w:val="baseline"/>
              <w:rPr>
                <w:rFonts w:ascii="宋体" w:hAnsi="宋体" w:cs="宋体"/>
                <w:szCs w:val="21"/>
              </w:rPr>
            </w:pPr>
          </w:p>
        </w:tc>
        <w:tc>
          <w:tcPr>
            <w:tcW w:w="3876" w:type="dxa"/>
            <w:gridSpan w:val="3"/>
            <w:noWrap/>
            <w:vAlign w:val="center"/>
          </w:tcPr>
          <w:p w14:paraId="61CE8ADE">
            <w:pPr>
              <w:spacing w:line="360" w:lineRule="atLeast"/>
              <w:ind w:right="23"/>
              <w:jc w:val="center"/>
              <w:textAlignment w:val="baseline"/>
              <w:rPr>
                <w:rFonts w:ascii="宋体" w:hAnsi="宋体" w:cs="宋体"/>
                <w:szCs w:val="21"/>
              </w:rPr>
            </w:pPr>
          </w:p>
        </w:tc>
        <w:tc>
          <w:tcPr>
            <w:tcW w:w="1633" w:type="dxa"/>
            <w:noWrap/>
            <w:vAlign w:val="center"/>
          </w:tcPr>
          <w:p w14:paraId="57A246D4">
            <w:pPr>
              <w:spacing w:line="360" w:lineRule="atLeast"/>
              <w:ind w:right="23"/>
              <w:jc w:val="center"/>
              <w:textAlignment w:val="baseline"/>
              <w:rPr>
                <w:rFonts w:ascii="宋体" w:hAnsi="宋体" w:cs="宋体"/>
                <w:szCs w:val="21"/>
              </w:rPr>
            </w:pPr>
          </w:p>
        </w:tc>
        <w:tc>
          <w:tcPr>
            <w:tcW w:w="2559" w:type="dxa"/>
            <w:gridSpan w:val="2"/>
            <w:noWrap/>
            <w:vAlign w:val="center"/>
          </w:tcPr>
          <w:p w14:paraId="18DDBBF1">
            <w:pPr>
              <w:spacing w:line="360" w:lineRule="atLeast"/>
              <w:ind w:right="23"/>
              <w:jc w:val="center"/>
              <w:textAlignment w:val="baseline"/>
              <w:rPr>
                <w:rFonts w:ascii="宋体" w:hAnsi="宋体" w:cs="宋体"/>
                <w:szCs w:val="21"/>
              </w:rPr>
            </w:pPr>
          </w:p>
        </w:tc>
      </w:tr>
      <w:tr w14:paraId="77976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623A1826">
            <w:pPr>
              <w:spacing w:line="360" w:lineRule="atLeast"/>
              <w:ind w:right="23"/>
              <w:jc w:val="center"/>
              <w:textAlignment w:val="baseline"/>
              <w:rPr>
                <w:rFonts w:ascii="宋体" w:hAnsi="宋体" w:cs="宋体"/>
                <w:szCs w:val="21"/>
              </w:rPr>
            </w:pPr>
          </w:p>
        </w:tc>
        <w:tc>
          <w:tcPr>
            <w:tcW w:w="3876" w:type="dxa"/>
            <w:gridSpan w:val="3"/>
            <w:noWrap/>
            <w:vAlign w:val="center"/>
          </w:tcPr>
          <w:p w14:paraId="2AE64674">
            <w:pPr>
              <w:spacing w:line="360" w:lineRule="atLeast"/>
              <w:ind w:right="23"/>
              <w:jc w:val="center"/>
              <w:textAlignment w:val="baseline"/>
              <w:rPr>
                <w:rFonts w:ascii="宋体" w:hAnsi="宋体" w:cs="宋体"/>
                <w:szCs w:val="21"/>
              </w:rPr>
            </w:pPr>
          </w:p>
        </w:tc>
        <w:tc>
          <w:tcPr>
            <w:tcW w:w="1633" w:type="dxa"/>
            <w:noWrap/>
            <w:vAlign w:val="center"/>
          </w:tcPr>
          <w:p w14:paraId="62CA70E4">
            <w:pPr>
              <w:spacing w:line="360" w:lineRule="atLeast"/>
              <w:ind w:right="23"/>
              <w:jc w:val="center"/>
              <w:textAlignment w:val="baseline"/>
              <w:rPr>
                <w:rFonts w:ascii="宋体" w:hAnsi="宋体" w:cs="宋体"/>
                <w:szCs w:val="21"/>
              </w:rPr>
            </w:pPr>
          </w:p>
        </w:tc>
        <w:tc>
          <w:tcPr>
            <w:tcW w:w="2559" w:type="dxa"/>
            <w:gridSpan w:val="2"/>
            <w:noWrap/>
            <w:vAlign w:val="center"/>
          </w:tcPr>
          <w:p w14:paraId="0BC1E580">
            <w:pPr>
              <w:spacing w:line="360" w:lineRule="atLeast"/>
              <w:ind w:right="23"/>
              <w:jc w:val="center"/>
              <w:textAlignment w:val="baseline"/>
              <w:rPr>
                <w:rFonts w:ascii="宋体" w:hAnsi="宋体" w:cs="宋体"/>
                <w:szCs w:val="21"/>
              </w:rPr>
            </w:pPr>
          </w:p>
        </w:tc>
      </w:tr>
      <w:tr w14:paraId="1915A4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4C7E84F8">
            <w:pPr>
              <w:spacing w:line="360" w:lineRule="atLeast"/>
              <w:ind w:right="23"/>
              <w:jc w:val="center"/>
              <w:textAlignment w:val="baseline"/>
              <w:rPr>
                <w:rFonts w:ascii="宋体" w:hAnsi="宋体" w:cs="宋体"/>
                <w:szCs w:val="21"/>
              </w:rPr>
            </w:pPr>
          </w:p>
        </w:tc>
        <w:tc>
          <w:tcPr>
            <w:tcW w:w="3876" w:type="dxa"/>
            <w:gridSpan w:val="3"/>
            <w:noWrap/>
            <w:vAlign w:val="center"/>
          </w:tcPr>
          <w:p w14:paraId="7AB1DFDE">
            <w:pPr>
              <w:spacing w:line="360" w:lineRule="atLeast"/>
              <w:ind w:right="23"/>
              <w:jc w:val="center"/>
              <w:textAlignment w:val="baseline"/>
              <w:rPr>
                <w:rFonts w:ascii="宋体" w:hAnsi="宋体" w:cs="宋体"/>
                <w:szCs w:val="21"/>
              </w:rPr>
            </w:pPr>
          </w:p>
        </w:tc>
        <w:tc>
          <w:tcPr>
            <w:tcW w:w="1633" w:type="dxa"/>
            <w:noWrap/>
            <w:vAlign w:val="center"/>
          </w:tcPr>
          <w:p w14:paraId="7FC11B3B">
            <w:pPr>
              <w:spacing w:line="360" w:lineRule="atLeast"/>
              <w:ind w:right="23"/>
              <w:jc w:val="center"/>
              <w:textAlignment w:val="baseline"/>
              <w:rPr>
                <w:rFonts w:ascii="宋体" w:hAnsi="宋体" w:cs="宋体"/>
                <w:szCs w:val="21"/>
              </w:rPr>
            </w:pPr>
          </w:p>
        </w:tc>
        <w:tc>
          <w:tcPr>
            <w:tcW w:w="2559" w:type="dxa"/>
            <w:gridSpan w:val="2"/>
            <w:noWrap/>
            <w:vAlign w:val="center"/>
          </w:tcPr>
          <w:p w14:paraId="209E7697">
            <w:pPr>
              <w:spacing w:line="360" w:lineRule="atLeast"/>
              <w:ind w:right="23"/>
              <w:jc w:val="center"/>
              <w:textAlignment w:val="baseline"/>
              <w:rPr>
                <w:rFonts w:ascii="宋体" w:hAnsi="宋体" w:cs="宋体"/>
                <w:szCs w:val="21"/>
              </w:rPr>
            </w:pPr>
          </w:p>
        </w:tc>
      </w:tr>
      <w:tr w14:paraId="2C00D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812" w:type="dxa"/>
            <w:noWrap/>
            <w:vAlign w:val="center"/>
          </w:tcPr>
          <w:p w14:paraId="30B3BED6">
            <w:pPr>
              <w:spacing w:line="360" w:lineRule="atLeast"/>
              <w:ind w:right="23"/>
              <w:jc w:val="center"/>
              <w:textAlignment w:val="baseline"/>
              <w:rPr>
                <w:rFonts w:ascii="宋体" w:hAnsi="宋体" w:cs="宋体"/>
                <w:szCs w:val="21"/>
              </w:rPr>
            </w:pPr>
          </w:p>
        </w:tc>
        <w:tc>
          <w:tcPr>
            <w:tcW w:w="3876" w:type="dxa"/>
            <w:gridSpan w:val="3"/>
            <w:noWrap/>
            <w:vAlign w:val="center"/>
          </w:tcPr>
          <w:p w14:paraId="74C23832">
            <w:pPr>
              <w:spacing w:line="360" w:lineRule="atLeast"/>
              <w:ind w:right="23"/>
              <w:jc w:val="center"/>
              <w:textAlignment w:val="baseline"/>
              <w:rPr>
                <w:rFonts w:ascii="宋体" w:hAnsi="宋体" w:cs="宋体"/>
                <w:szCs w:val="21"/>
              </w:rPr>
            </w:pPr>
          </w:p>
        </w:tc>
        <w:tc>
          <w:tcPr>
            <w:tcW w:w="1633" w:type="dxa"/>
            <w:noWrap/>
            <w:vAlign w:val="center"/>
          </w:tcPr>
          <w:p w14:paraId="373CC1E4">
            <w:pPr>
              <w:spacing w:line="360" w:lineRule="atLeast"/>
              <w:ind w:right="23"/>
              <w:jc w:val="center"/>
              <w:textAlignment w:val="baseline"/>
              <w:rPr>
                <w:rFonts w:ascii="宋体" w:hAnsi="宋体" w:cs="宋体"/>
                <w:szCs w:val="21"/>
              </w:rPr>
            </w:pPr>
          </w:p>
        </w:tc>
        <w:tc>
          <w:tcPr>
            <w:tcW w:w="2559" w:type="dxa"/>
            <w:gridSpan w:val="2"/>
            <w:noWrap/>
            <w:vAlign w:val="center"/>
          </w:tcPr>
          <w:p w14:paraId="4C31C193">
            <w:pPr>
              <w:spacing w:line="360" w:lineRule="atLeast"/>
              <w:ind w:right="23"/>
              <w:jc w:val="center"/>
              <w:textAlignment w:val="baseline"/>
              <w:rPr>
                <w:rFonts w:ascii="宋体" w:hAnsi="宋体" w:cs="宋体"/>
                <w:szCs w:val="21"/>
              </w:rPr>
            </w:pPr>
          </w:p>
        </w:tc>
      </w:tr>
      <w:tr w14:paraId="7B358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1" w:hRule="exact"/>
        </w:trPr>
        <w:tc>
          <w:tcPr>
            <w:tcW w:w="1812" w:type="dxa"/>
            <w:noWrap/>
            <w:vAlign w:val="center"/>
          </w:tcPr>
          <w:p w14:paraId="18F1FD42">
            <w:pPr>
              <w:spacing w:line="360" w:lineRule="atLeast"/>
              <w:ind w:right="23"/>
              <w:jc w:val="center"/>
              <w:textAlignment w:val="baseline"/>
              <w:rPr>
                <w:rFonts w:ascii="宋体" w:hAnsi="宋体" w:cs="宋体"/>
                <w:szCs w:val="21"/>
              </w:rPr>
            </w:pPr>
          </w:p>
        </w:tc>
        <w:tc>
          <w:tcPr>
            <w:tcW w:w="3876" w:type="dxa"/>
            <w:gridSpan w:val="3"/>
            <w:noWrap/>
            <w:vAlign w:val="center"/>
          </w:tcPr>
          <w:p w14:paraId="7B7406C5">
            <w:pPr>
              <w:spacing w:line="360" w:lineRule="atLeast"/>
              <w:ind w:right="23"/>
              <w:jc w:val="center"/>
              <w:textAlignment w:val="baseline"/>
              <w:rPr>
                <w:rFonts w:ascii="宋体" w:hAnsi="宋体" w:cs="宋体"/>
                <w:szCs w:val="21"/>
              </w:rPr>
            </w:pPr>
          </w:p>
        </w:tc>
        <w:tc>
          <w:tcPr>
            <w:tcW w:w="1633" w:type="dxa"/>
            <w:noWrap/>
            <w:vAlign w:val="center"/>
          </w:tcPr>
          <w:p w14:paraId="6E667E1A">
            <w:pPr>
              <w:spacing w:line="360" w:lineRule="atLeast"/>
              <w:ind w:right="23"/>
              <w:jc w:val="center"/>
              <w:textAlignment w:val="baseline"/>
              <w:rPr>
                <w:rFonts w:ascii="宋体" w:hAnsi="宋体" w:cs="宋体"/>
                <w:szCs w:val="21"/>
              </w:rPr>
            </w:pPr>
          </w:p>
        </w:tc>
        <w:tc>
          <w:tcPr>
            <w:tcW w:w="2559" w:type="dxa"/>
            <w:gridSpan w:val="2"/>
            <w:noWrap/>
            <w:vAlign w:val="center"/>
          </w:tcPr>
          <w:p w14:paraId="1690CC2C">
            <w:pPr>
              <w:spacing w:line="360" w:lineRule="atLeast"/>
              <w:ind w:right="23"/>
              <w:jc w:val="center"/>
              <w:textAlignment w:val="baseline"/>
              <w:rPr>
                <w:rFonts w:ascii="宋体" w:hAnsi="宋体" w:cs="宋体"/>
                <w:szCs w:val="21"/>
              </w:rPr>
            </w:pPr>
          </w:p>
        </w:tc>
      </w:tr>
    </w:tbl>
    <w:p w14:paraId="6F22E4A1">
      <w:pPr>
        <w:spacing w:line="360" w:lineRule="atLeast"/>
        <w:ind w:right="23"/>
        <w:textAlignment w:val="baseline"/>
        <w:rPr>
          <w:rFonts w:ascii="宋体" w:hAnsi="宋体" w:cs="宋体"/>
          <w:sz w:val="20"/>
        </w:rPr>
      </w:pPr>
      <w:r>
        <w:rPr>
          <w:rFonts w:hint="eastAsia" w:ascii="宋体" w:hAnsi="宋体" w:cs="宋体"/>
          <w:szCs w:val="21"/>
        </w:rPr>
        <w:t>说明</w:t>
      </w:r>
      <w:r>
        <w:rPr>
          <w:rFonts w:hint="eastAsia" w:ascii="宋体" w:hAnsi="宋体" w:cs="宋体"/>
        </w:rPr>
        <w:t>：</w:t>
      </w:r>
      <w:r>
        <w:rPr>
          <w:rFonts w:hint="eastAsia" w:ascii="宋体" w:hAnsi="宋体" w:cs="宋体"/>
          <w:szCs w:val="21"/>
        </w:rPr>
        <w:t>主要人员证书、</w:t>
      </w:r>
      <w:r>
        <w:rPr>
          <w:rFonts w:hint="eastAsia" w:ascii="宋体" w:hAnsi="宋体" w:cs="宋体"/>
        </w:rPr>
        <w:t>类似项目证明资料等按磋商文件要求提供。</w:t>
      </w:r>
    </w:p>
    <w:p w14:paraId="7E14726B">
      <w:pPr>
        <w:snapToGrid w:val="0"/>
        <w:spacing w:line="360" w:lineRule="auto"/>
        <w:ind w:right="23"/>
        <w:textAlignment w:val="baseline"/>
        <w:rPr>
          <w:rFonts w:ascii="宋体" w:hAnsi="宋体" w:cs="宋体"/>
          <w:sz w:val="20"/>
          <w:szCs w:val="21"/>
        </w:rPr>
      </w:pPr>
    </w:p>
    <w:p w14:paraId="3681F219">
      <w:pPr>
        <w:ind w:right="23"/>
        <w:textAlignment w:val="baseline"/>
        <w:rPr>
          <w:rFonts w:ascii="宋体" w:hAnsi="宋体" w:cs="宋体"/>
          <w:sz w:val="20"/>
          <w:szCs w:val="21"/>
        </w:rPr>
      </w:pPr>
    </w:p>
    <w:p w14:paraId="6A251CD2">
      <w:pPr>
        <w:pStyle w:val="28"/>
        <w:snapToGrid w:val="0"/>
        <w:spacing w:line="360" w:lineRule="auto"/>
        <w:ind w:right="23"/>
        <w:textAlignment w:val="baseline"/>
        <w:rPr>
          <w:rFonts w:ascii="宋体" w:hAnsi="宋体" w:cs="宋体"/>
          <w:bCs/>
          <w:sz w:val="21"/>
          <w:szCs w:val="21"/>
        </w:rPr>
      </w:pPr>
      <w:r>
        <w:rPr>
          <w:rFonts w:hint="eastAsia" w:ascii="宋体" w:hAnsi="宋体" w:cs="宋体"/>
          <w:sz w:val="21"/>
          <w:szCs w:val="21"/>
        </w:rPr>
        <w:t>供应商名称：</w:t>
      </w:r>
    </w:p>
    <w:p w14:paraId="09A3CA2A">
      <w:pPr>
        <w:snapToGrid w:val="0"/>
        <w:spacing w:line="360" w:lineRule="auto"/>
        <w:ind w:right="23"/>
        <w:textAlignment w:val="baseline"/>
        <w:rPr>
          <w:rFonts w:ascii="宋体" w:hAnsi="宋体" w:cs="宋体"/>
          <w:sz w:val="20"/>
          <w:szCs w:val="21"/>
        </w:rPr>
      </w:pPr>
      <w:r>
        <w:rPr>
          <w:rFonts w:hint="eastAsia" w:ascii="宋体" w:hAnsi="宋体" w:cs="宋体"/>
          <w:szCs w:val="21"/>
        </w:rPr>
        <w:t>法定代表人或其委托代理人(签字)：_</w:t>
      </w:r>
    </w:p>
    <w:p w14:paraId="3800A9E9">
      <w:pPr>
        <w:spacing w:line="360" w:lineRule="exact"/>
        <w:ind w:right="23"/>
        <w:textAlignment w:val="baseline"/>
        <w:rPr>
          <w:rFonts w:ascii="宋体" w:hAnsi="宋体" w:cs="宋体"/>
          <w:sz w:val="20"/>
        </w:rPr>
      </w:pPr>
      <w:r>
        <w:rPr>
          <w:rFonts w:hint="eastAsia" w:ascii="宋体" w:hAnsi="宋体" w:cs="宋体"/>
          <w:szCs w:val="21"/>
        </w:rPr>
        <w:t>日期：  年  月  日</w:t>
      </w:r>
    </w:p>
    <w:p w14:paraId="5226A773">
      <w:pPr>
        <w:snapToGrid w:val="0"/>
        <w:ind w:right="23"/>
        <w:textAlignment w:val="baseline"/>
        <w:rPr>
          <w:rFonts w:ascii="宋体" w:hAnsi="宋体" w:cs="宋体"/>
          <w:sz w:val="24"/>
        </w:rPr>
      </w:pPr>
    </w:p>
    <w:p w14:paraId="71D2478D">
      <w:pPr>
        <w:snapToGrid w:val="0"/>
        <w:ind w:right="23"/>
        <w:textAlignment w:val="baseline"/>
        <w:rPr>
          <w:rFonts w:ascii="宋体" w:hAnsi="宋体" w:cs="宋体"/>
          <w:sz w:val="24"/>
        </w:rPr>
      </w:pPr>
    </w:p>
    <w:p w14:paraId="3BCE6F16">
      <w:pPr>
        <w:snapToGrid w:val="0"/>
        <w:spacing w:line="360" w:lineRule="auto"/>
        <w:ind w:right="23"/>
        <w:textAlignment w:val="baseline"/>
        <w:rPr>
          <w:rFonts w:ascii="宋体" w:hAnsi="宋体" w:cs="宋体"/>
          <w:sz w:val="20"/>
          <w:szCs w:val="21"/>
        </w:rPr>
      </w:pPr>
    </w:p>
    <w:p w14:paraId="27EFA2D0">
      <w:pPr>
        <w:snapToGrid w:val="0"/>
        <w:spacing w:line="360" w:lineRule="auto"/>
        <w:ind w:right="23"/>
        <w:jc w:val="center"/>
        <w:textAlignment w:val="baseline"/>
        <w:rPr>
          <w:rFonts w:ascii="宋体" w:hAnsi="宋体" w:cs="宋体"/>
          <w:b/>
          <w:sz w:val="32"/>
          <w:szCs w:val="32"/>
        </w:rPr>
      </w:pPr>
      <w:r>
        <w:rPr>
          <w:rFonts w:hint="eastAsia" w:ascii="宋体" w:hAnsi="宋体" w:cs="宋体"/>
          <w:b/>
          <w:sz w:val="32"/>
          <w:szCs w:val="32"/>
        </w:rPr>
        <w:br w:type="page"/>
      </w:r>
    </w:p>
    <w:p w14:paraId="04755FD1">
      <w:pPr>
        <w:snapToGrid w:val="0"/>
        <w:spacing w:line="360" w:lineRule="auto"/>
        <w:ind w:right="23"/>
        <w:jc w:val="center"/>
        <w:textAlignment w:val="baseline"/>
        <w:rPr>
          <w:rFonts w:ascii="宋体" w:hAnsi="宋体" w:cs="宋体"/>
          <w:b/>
          <w:sz w:val="32"/>
        </w:rPr>
      </w:pPr>
      <w:r>
        <w:rPr>
          <w:rFonts w:hint="eastAsia" w:ascii="宋体" w:hAnsi="宋体" w:cs="宋体"/>
          <w:b/>
          <w:sz w:val="32"/>
          <w:szCs w:val="32"/>
        </w:rPr>
        <w:t>四、技术/商务响应与偏离表</w:t>
      </w:r>
    </w:p>
    <w:p w14:paraId="2CD06B3D">
      <w:pPr>
        <w:snapToGrid w:val="0"/>
        <w:ind w:left="-88" w:leftChars="-42" w:right="23" w:firstLine="300" w:firstLineChars="150"/>
        <w:textAlignment w:val="baseline"/>
        <w:rPr>
          <w:rFonts w:ascii="宋体" w:hAnsi="宋体" w:cs="宋体"/>
          <w:sz w:val="20"/>
          <w:szCs w:val="21"/>
          <w:u w:val="single" w:color="000000"/>
        </w:rPr>
      </w:pPr>
    </w:p>
    <w:tbl>
      <w:tblPr>
        <w:tblStyle w:val="47"/>
        <w:tblW w:w="101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7"/>
        <w:gridCol w:w="1941"/>
        <w:gridCol w:w="2727"/>
        <w:gridCol w:w="1994"/>
        <w:gridCol w:w="1674"/>
        <w:gridCol w:w="1143"/>
      </w:tblGrid>
      <w:tr w14:paraId="68B399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6" w:hRule="atLeast"/>
          <w:jc w:val="center"/>
        </w:trPr>
        <w:tc>
          <w:tcPr>
            <w:tcW w:w="677" w:type="dxa"/>
            <w:noWrap/>
            <w:vAlign w:val="center"/>
          </w:tcPr>
          <w:p w14:paraId="4423DE91">
            <w:pPr>
              <w:snapToGrid w:val="0"/>
              <w:ind w:left="-88" w:leftChars="-42" w:right="23"/>
              <w:jc w:val="center"/>
              <w:textAlignment w:val="baseline"/>
              <w:rPr>
                <w:rFonts w:ascii="宋体" w:hAnsi="宋体" w:cs="宋体"/>
                <w:bCs/>
                <w:szCs w:val="21"/>
              </w:rPr>
            </w:pPr>
            <w:r>
              <w:rPr>
                <w:rFonts w:hint="eastAsia" w:ascii="宋体" w:hAnsi="宋体" w:cs="宋体"/>
                <w:bCs/>
                <w:szCs w:val="21"/>
              </w:rPr>
              <w:t>序号</w:t>
            </w:r>
          </w:p>
        </w:tc>
        <w:tc>
          <w:tcPr>
            <w:tcW w:w="1941" w:type="dxa"/>
            <w:noWrap/>
            <w:vAlign w:val="center"/>
          </w:tcPr>
          <w:p w14:paraId="0B7BAD1E">
            <w:pPr>
              <w:snapToGrid w:val="0"/>
              <w:ind w:left="-88" w:leftChars="-42" w:right="23"/>
              <w:jc w:val="center"/>
              <w:textAlignment w:val="baseline"/>
              <w:rPr>
                <w:rFonts w:ascii="宋体" w:hAnsi="宋体" w:cs="宋体"/>
                <w:szCs w:val="21"/>
              </w:rPr>
            </w:pPr>
            <w:r>
              <w:rPr>
                <w:rFonts w:hint="eastAsia" w:ascii="宋体" w:hAnsi="宋体" w:cs="宋体"/>
                <w:szCs w:val="21"/>
              </w:rPr>
              <w:t>磋商文件条目号</w:t>
            </w:r>
          </w:p>
        </w:tc>
        <w:tc>
          <w:tcPr>
            <w:tcW w:w="2727" w:type="dxa"/>
            <w:noWrap/>
            <w:vAlign w:val="center"/>
          </w:tcPr>
          <w:p w14:paraId="4CA4285B">
            <w:pPr>
              <w:snapToGrid w:val="0"/>
              <w:ind w:left="-88" w:leftChars="-42" w:right="23"/>
              <w:jc w:val="center"/>
              <w:textAlignment w:val="baseline"/>
              <w:rPr>
                <w:rFonts w:ascii="宋体" w:hAnsi="宋体" w:cs="宋体"/>
                <w:szCs w:val="21"/>
              </w:rPr>
            </w:pPr>
            <w:r>
              <w:rPr>
                <w:rFonts w:hint="eastAsia" w:ascii="宋体" w:hAnsi="宋体" w:cs="宋体"/>
                <w:szCs w:val="21"/>
              </w:rPr>
              <w:t>响应内容</w:t>
            </w:r>
          </w:p>
        </w:tc>
        <w:tc>
          <w:tcPr>
            <w:tcW w:w="1994" w:type="dxa"/>
            <w:noWrap/>
            <w:vAlign w:val="center"/>
          </w:tcPr>
          <w:p w14:paraId="4808B379">
            <w:pPr>
              <w:snapToGrid w:val="0"/>
              <w:ind w:left="-88" w:leftChars="-42" w:right="23"/>
              <w:jc w:val="center"/>
              <w:textAlignment w:val="baseline"/>
              <w:rPr>
                <w:rFonts w:ascii="宋体" w:hAnsi="宋体" w:cs="宋体"/>
                <w:szCs w:val="21"/>
              </w:rPr>
            </w:pPr>
            <w:r>
              <w:rPr>
                <w:rFonts w:hint="eastAsia" w:ascii="宋体" w:hAnsi="宋体" w:cs="宋体"/>
                <w:szCs w:val="21"/>
              </w:rPr>
              <w:t>商务条款或技术条款</w:t>
            </w:r>
          </w:p>
        </w:tc>
        <w:tc>
          <w:tcPr>
            <w:tcW w:w="1674" w:type="dxa"/>
            <w:noWrap/>
            <w:vAlign w:val="center"/>
          </w:tcPr>
          <w:p w14:paraId="704C2401">
            <w:pPr>
              <w:snapToGrid w:val="0"/>
              <w:ind w:left="-88" w:leftChars="-42" w:right="23"/>
              <w:jc w:val="center"/>
              <w:textAlignment w:val="baseline"/>
              <w:rPr>
                <w:rFonts w:ascii="宋体" w:hAnsi="宋体" w:cs="宋体"/>
                <w:szCs w:val="21"/>
              </w:rPr>
            </w:pPr>
            <w:r>
              <w:rPr>
                <w:rFonts w:hint="eastAsia" w:ascii="宋体" w:hAnsi="宋体" w:cs="宋体"/>
                <w:szCs w:val="21"/>
              </w:rPr>
              <w:t>响应与偏离</w:t>
            </w:r>
          </w:p>
        </w:tc>
        <w:tc>
          <w:tcPr>
            <w:tcW w:w="1143" w:type="dxa"/>
            <w:noWrap/>
            <w:vAlign w:val="center"/>
          </w:tcPr>
          <w:p w14:paraId="29066788">
            <w:pPr>
              <w:snapToGrid w:val="0"/>
              <w:ind w:left="-88" w:leftChars="-42" w:right="23"/>
              <w:jc w:val="center"/>
              <w:textAlignment w:val="baseline"/>
              <w:rPr>
                <w:rFonts w:ascii="宋体" w:hAnsi="宋体" w:cs="宋体"/>
                <w:szCs w:val="21"/>
              </w:rPr>
            </w:pPr>
            <w:r>
              <w:rPr>
                <w:rFonts w:hint="eastAsia" w:ascii="宋体" w:hAnsi="宋体" w:cs="宋体"/>
                <w:szCs w:val="21"/>
              </w:rPr>
              <w:t>说明</w:t>
            </w:r>
          </w:p>
        </w:tc>
      </w:tr>
      <w:tr w14:paraId="3D017E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3" w:hRule="atLeast"/>
          <w:jc w:val="center"/>
        </w:trPr>
        <w:tc>
          <w:tcPr>
            <w:tcW w:w="677" w:type="dxa"/>
            <w:noWrap/>
          </w:tcPr>
          <w:p w14:paraId="046AD19A">
            <w:pPr>
              <w:snapToGrid w:val="0"/>
              <w:ind w:left="-88" w:leftChars="-42" w:right="23"/>
              <w:jc w:val="center"/>
              <w:textAlignment w:val="baseline"/>
              <w:rPr>
                <w:rFonts w:ascii="宋体" w:hAnsi="宋体" w:cs="宋体"/>
                <w:szCs w:val="21"/>
              </w:rPr>
            </w:pPr>
          </w:p>
        </w:tc>
        <w:tc>
          <w:tcPr>
            <w:tcW w:w="1941" w:type="dxa"/>
            <w:noWrap/>
            <w:vAlign w:val="center"/>
          </w:tcPr>
          <w:p w14:paraId="46427765">
            <w:pPr>
              <w:snapToGrid w:val="0"/>
              <w:ind w:left="-88" w:leftChars="-42" w:right="23"/>
              <w:jc w:val="center"/>
              <w:textAlignment w:val="baseline"/>
              <w:rPr>
                <w:rFonts w:ascii="宋体" w:hAnsi="宋体" w:cs="宋体"/>
                <w:szCs w:val="21"/>
              </w:rPr>
            </w:pPr>
          </w:p>
        </w:tc>
        <w:tc>
          <w:tcPr>
            <w:tcW w:w="2727" w:type="dxa"/>
            <w:noWrap/>
            <w:vAlign w:val="center"/>
          </w:tcPr>
          <w:p w14:paraId="50526435">
            <w:pPr>
              <w:snapToGrid w:val="0"/>
              <w:ind w:left="-88" w:leftChars="-42" w:right="23"/>
              <w:jc w:val="center"/>
              <w:textAlignment w:val="baseline"/>
              <w:rPr>
                <w:rFonts w:ascii="宋体" w:hAnsi="宋体" w:cs="宋体"/>
                <w:szCs w:val="21"/>
              </w:rPr>
            </w:pPr>
          </w:p>
        </w:tc>
        <w:tc>
          <w:tcPr>
            <w:tcW w:w="1994" w:type="dxa"/>
            <w:noWrap/>
            <w:vAlign w:val="center"/>
          </w:tcPr>
          <w:p w14:paraId="1E9B415D">
            <w:pPr>
              <w:snapToGrid w:val="0"/>
              <w:ind w:left="-88" w:leftChars="-42" w:right="23"/>
              <w:jc w:val="center"/>
              <w:textAlignment w:val="baseline"/>
              <w:rPr>
                <w:rFonts w:ascii="宋体" w:hAnsi="宋体" w:cs="宋体"/>
                <w:szCs w:val="21"/>
              </w:rPr>
            </w:pPr>
          </w:p>
        </w:tc>
        <w:tc>
          <w:tcPr>
            <w:tcW w:w="1674" w:type="dxa"/>
            <w:noWrap/>
            <w:vAlign w:val="center"/>
          </w:tcPr>
          <w:p w14:paraId="0C768B45">
            <w:pPr>
              <w:snapToGrid w:val="0"/>
              <w:ind w:left="-88" w:leftChars="-42" w:right="23"/>
              <w:jc w:val="center"/>
              <w:textAlignment w:val="baseline"/>
              <w:rPr>
                <w:rFonts w:ascii="宋体" w:hAnsi="宋体" w:cs="宋体"/>
                <w:szCs w:val="21"/>
              </w:rPr>
            </w:pPr>
          </w:p>
        </w:tc>
        <w:tc>
          <w:tcPr>
            <w:tcW w:w="1143" w:type="dxa"/>
            <w:noWrap/>
            <w:vAlign w:val="center"/>
          </w:tcPr>
          <w:p w14:paraId="12B1F7FE">
            <w:pPr>
              <w:snapToGrid w:val="0"/>
              <w:ind w:left="-88" w:leftChars="-42" w:right="23"/>
              <w:jc w:val="center"/>
              <w:textAlignment w:val="baseline"/>
              <w:rPr>
                <w:rFonts w:ascii="宋体" w:hAnsi="宋体" w:cs="宋体"/>
                <w:szCs w:val="21"/>
              </w:rPr>
            </w:pPr>
          </w:p>
        </w:tc>
      </w:tr>
      <w:tr w14:paraId="4D93D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3" w:hRule="atLeast"/>
          <w:jc w:val="center"/>
        </w:trPr>
        <w:tc>
          <w:tcPr>
            <w:tcW w:w="677" w:type="dxa"/>
            <w:noWrap/>
          </w:tcPr>
          <w:p w14:paraId="7D9BF7EB">
            <w:pPr>
              <w:snapToGrid w:val="0"/>
              <w:ind w:left="-88" w:leftChars="-42" w:right="23"/>
              <w:jc w:val="center"/>
              <w:textAlignment w:val="baseline"/>
              <w:rPr>
                <w:rFonts w:ascii="宋体" w:hAnsi="宋体" w:cs="宋体"/>
                <w:szCs w:val="21"/>
              </w:rPr>
            </w:pPr>
          </w:p>
        </w:tc>
        <w:tc>
          <w:tcPr>
            <w:tcW w:w="1941" w:type="dxa"/>
            <w:noWrap/>
            <w:vAlign w:val="center"/>
          </w:tcPr>
          <w:p w14:paraId="2F7E81D7">
            <w:pPr>
              <w:snapToGrid w:val="0"/>
              <w:ind w:left="-88" w:leftChars="-42" w:right="23"/>
              <w:jc w:val="center"/>
              <w:textAlignment w:val="baseline"/>
              <w:rPr>
                <w:rFonts w:ascii="宋体" w:hAnsi="宋体" w:cs="宋体"/>
                <w:szCs w:val="21"/>
              </w:rPr>
            </w:pPr>
          </w:p>
        </w:tc>
        <w:tc>
          <w:tcPr>
            <w:tcW w:w="2727" w:type="dxa"/>
            <w:noWrap/>
            <w:vAlign w:val="center"/>
          </w:tcPr>
          <w:p w14:paraId="65B42FCC">
            <w:pPr>
              <w:snapToGrid w:val="0"/>
              <w:ind w:left="-88" w:leftChars="-42" w:right="23"/>
              <w:jc w:val="center"/>
              <w:textAlignment w:val="baseline"/>
              <w:rPr>
                <w:rFonts w:ascii="宋体" w:hAnsi="宋体" w:cs="宋体"/>
                <w:szCs w:val="21"/>
              </w:rPr>
            </w:pPr>
          </w:p>
        </w:tc>
        <w:tc>
          <w:tcPr>
            <w:tcW w:w="1994" w:type="dxa"/>
            <w:noWrap/>
            <w:vAlign w:val="center"/>
          </w:tcPr>
          <w:p w14:paraId="576EC304">
            <w:pPr>
              <w:snapToGrid w:val="0"/>
              <w:ind w:left="-88" w:leftChars="-42" w:right="23"/>
              <w:jc w:val="center"/>
              <w:textAlignment w:val="baseline"/>
              <w:rPr>
                <w:rFonts w:ascii="宋体" w:hAnsi="宋体" w:cs="宋体"/>
                <w:szCs w:val="21"/>
              </w:rPr>
            </w:pPr>
          </w:p>
        </w:tc>
        <w:tc>
          <w:tcPr>
            <w:tcW w:w="1674" w:type="dxa"/>
            <w:noWrap/>
            <w:vAlign w:val="center"/>
          </w:tcPr>
          <w:p w14:paraId="17345FD2">
            <w:pPr>
              <w:snapToGrid w:val="0"/>
              <w:ind w:left="-88" w:leftChars="-42" w:right="23"/>
              <w:jc w:val="center"/>
              <w:textAlignment w:val="baseline"/>
              <w:rPr>
                <w:rFonts w:ascii="宋体" w:hAnsi="宋体" w:cs="宋体"/>
                <w:szCs w:val="21"/>
              </w:rPr>
            </w:pPr>
          </w:p>
        </w:tc>
        <w:tc>
          <w:tcPr>
            <w:tcW w:w="1143" w:type="dxa"/>
            <w:noWrap/>
            <w:vAlign w:val="center"/>
          </w:tcPr>
          <w:p w14:paraId="3A069146">
            <w:pPr>
              <w:snapToGrid w:val="0"/>
              <w:ind w:left="-88" w:leftChars="-42" w:right="23"/>
              <w:jc w:val="center"/>
              <w:textAlignment w:val="baseline"/>
              <w:rPr>
                <w:rFonts w:ascii="宋体" w:hAnsi="宋体" w:cs="宋体"/>
                <w:szCs w:val="21"/>
              </w:rPr>
            </w:pPr>
          </w:p>
        </w:tc>
      </w:tr>
      <w:tr w14:paraId="153F83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3" w:hRule="atLeast"/>
          <w:jc w:val="center"/>
        </w:trPr>
        <w:tc>
          <w:tcPr>
            <w:tcW w:w="677" w:type="dxa"/>
            <w:noWrap/>
          </w:tcPr>
          <w:p w14:paraId="68EC4E48">
            <w:pPr>
              <w:snapToGrid w:val="0"/>
              <w:ind w:left="-88" w:leftChars="-42" w:right="23"/>
              <w:jc w:val="center"/>
              <w:textAlignment w:val="baseline"/>
              <w:rPr>
                <w:rFonts w:ascii="宋体" w:hAnsi="宋体" w:cs="宋体"/>
                <w:szCs w:val="21"/>
              </w:rPr>
            </w:pPr>
          </w:p>
        </w:tc>
        <w:tc>
          <w:tcPr>
            <w:tcW w:w="1941" w:type="dxa"/>
            <w:noWrap/>
            <w:vAlign w:val="center"/>
          </w:tcPr>
          <w:p w14:paraId="0CF17EBE">
            <w:pPr>
              <w:snapToGrid w:val="0"/>
              <w:ind w:left="-88" w:leftChars="-42" w:right="23"/>
              <w:jc w:val="center"/>
              <w:textAlignment w:val="baseline"/>
              <w:rPr>
                <w:rFonts w:ascii="宋体" w:hAnsi="宋体" w:cs="宋体"/>
                <w:szCs w:val="21"/>
              </w:rPr>
            </w:pPr>
          </w:p>
        </w:tc>
        <w:tc>
          <w:tcPr>
            <w:tcW w:w="2727" w:type="dxa"/>
            <w:noWrap/>
            <w:vAlign w:val="center"/>
          </w:tcPr>
          <w:p w14:paraId="3FD22C38">
            <w:pPr>
              <w:snapToGrid w:val="0"/>
              <w:ind w:left="-88" w:leftChars="-42" w:right="23"/>
              <w:jc w:val="center"/>
              <w:textAlignment w:val="baseline"/>
              <w:rPr>
                <w:rFonts w:ascii="宋体" w:hAnsi="宋体" w:cs="宋体"/>
                <w:szCs w:val="21"/>
              </w:rPr>
            </w:pPr>
          </w:p>
        </w:tc>
        <w:tc>
          <w:tcPr>
            <w:tcW w:w="1994" w:type="dxa"/>
            <w:noWrap/>
            <w:vAlign w:val="center"/>
          </w:tcPr>
          <w:p w14:paraId="29AE714C">
            <w:pPr>
              <w:snapToGrid w:val="0"/>
              <w:ind w:left="-88" w:leftChars="-42" w:right="23"/>
              <w:jc w:val="center"/>
              <w:textAlignment w:val="baseline"/>
              <w:rPr>
                <w:rFonts w:ascii="宋体" w:hAnsi="宋体" w:cs="宋体"/>
                <w:szCs w:val="21"/>
              </w:rPr>
            </w:pPr>
          </w:p>
        </w:tc>
        <w:tc>
          <w:tcPr>
            <w:tcW w:w="1674" w:type="dxa"/>
            <w:noWrap/>
            <w:vAlign w:val="center"/>
          </w:tcPr>
          <w:p w14:paraId="5D875BD6">
            <w:pPr>
              <w:snapToGrid w:val="0"/>
              <w:ind w:left="-88" w:leftChars="-42" w:right="23"/>
              <w:jc w:val="center"/>
              <w:textAlignment w:val="baseline"/>
              <w:rPr>
                <w:rFonts w:ascii="宋体" w:hAnsi="宋体" w:cs="宋体"/>
                <w:szCs w:val="21"/>
              </w:rPr>
            </w:pPr>
          </w:p>
        </w:tc>
        <w:tc>
          <w:tcPr>
            <w:tcW w:w="1143" w:type="dxa"/>
            <w:noWrap/>
            <w:vAlign w:val="center"/>
          </w:tcPr>
          <w:p w14:paraId="63B1D31D">
            <w:pPr>
              <w:snapToGrid w:val="0"/>
              <w:ind w:left="-88" w:leftChars="-42" w:right="23"/>
              <w:jc w:val="center"/>
              <w:textAlignment w:val="baseline"/>
              <w:rPr>
                <w:rFonts w:ascii="宋体" w:hAnsi="宋体" w:cs="宋体"/>
                <w:szCs w:val="21"/>
              </w:rPr>
            </w:pPr>
          </w:p>
        </w:tc>
      </w:tr>
      <w:tr w14:paraId="62CBBB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3" w:hRule="atLeast"/>
          <w:jc w:val="center"/>
        </w:trPr>
        <w:tc>
          <w:tcPr>
            <w:tcW w:w="677" w:type="dxa"/>
            <w:noWrap/>
          </w:tcPr>
          <w:p w14:paraId="394CD476">
            <w:pPr>
              <w:snapToGrid w:val="0"/>
              <w:ind w:left="-88" w:leftChars="-42" w:right="23"/>
              <w:jc w:val="center"/>
              <w:textAlignment w:val="baseline"/>
              <w:rPr>
                <w:rFonts w:ascii="宋体" w:hAnsi="宋体" w:cs="宋体"/>
                <w:szCs w:val="21"/>
              </w:rPr>
            </w:pPr>
          </w:p>
        </w:tc>
        <w:tc>
          <w:tcPr>
            <w:tcW w:w="1941" w:type="dxa"/>
            <w:noWrap/>
            <w:vAlign w:val="center"/>
          </w:tcPr>
          <w:p w14:paraId="63AD8BAF">
            <w:pPr>
              <w:snapToGrid w:val="0"/>
              <w:ind w:left="-88" w:leftChars="-42" w:right="23"/>
              <w:jc w:val="center"/>
              <w:textAlignment w:val="baseline"/>
              <w:rPr>
                <w:rFonts w:ascii="宋体" w:hAnsi="宋体" w:cs="宋体"/>
                <w:szCs w:val="21"/>
              </w:rPr>
            </w:pPr>
          </w:p>
        </w:tc>
        <w:tc>
          <w:tcPr>
            <w:tcW w:w="2727" w:type="dxa"/>
            <w:noWrap/>
            <w:vAlign w:val="center"/>
          </w:tcPr>
          <w:p w14:paraId="189D1F86">
            <w:pPr>
              <w:snapToGrid w:val="0"/>
              <w:ind w:left="-88" w:leftChars="-42" w:right="23"/>
              <w:jc w:val="center"/>
              <w:textAlignment w:val="baseline"/>
              <w:rPr>
                <w:rFonts w:ascii="宋体" w:hAnsi="宋体" w:cs="宋体"/>
                <w:szCs w:val="21"/>
              </w:rPr>
            </w:pPr>
          </w:p>
        </w:tc>
        <w:tc>
          <w:tcPr>
            <w:tcW w:w="1994" w:type="dxa"/>
            <w:noWrap/>
            <w:vAlign w:val="center"/>
          </w:tcPr>
          <w:p w14:paraId="65149786">
            <w:pPr>
              <w:snapToGrid w:val="0"/>
              <w:ind w:left="-88" w:leftChars="-42" w:right="23"/>
              <w:jc w:val="center"/>
              <w:textAlignment w:val="baseline"/>
              <w:rPr>
                <w:rFonts w:ascii="宋体" w:hAnsi="宋体" w:cs="宋体"/>
                <w:szCs w:val="21"/>
              </w:rPr>
            </w:pPr>
          </w:p>
        </w:tc>
        <w:tc>
          <w:tcPr>
            <w:tcW w:w="1674" w:type="dxa"/>
            <w:noWrap/>
            <w:vAlign w:val="center"/>
          </w:tcPr>
          <w:p w14:paraId="750883B5">
            <w:pPr>
              <w:snapToGrid w:val="0"/>
              <w:ind w:left="-88" w:leftChars="-42" w:right="23"/>
              <w:jc w:val="center"/>
              <w:textAlignment w:val="baseline"/>
              <w:rPr>
                <w:rFonts w:ascii="宋体" w:hAnsi="宋体" w:cs="宋体"/>
                <w:szCs w:val="21"/>
              </w:rPr>
            </w:pPr>
          </w:p>
        </w:tc>
        <w:tc>
          <w:tcPr>
            <w:tcW w:w="1143" w:type="dxa"/>
            <w:noWrap/>
            <w:vAlign w:val="center"/>
          </w:tcPr>
          <w:p w14:paraId="1C70090D">
            <w:pPr>
              <w:snapToGrid w:val="0"/>
              <w:ind w:left="-88" w:leftChars="-42" w:right="23"/>
              <w:jc w:val="center"/>
              <w:textAlignment w:val="baseline"/>
              <w:rPr>
                <w:rFonts w:ascii="宋体" w:hAnsi="宋体" w:cs="宋体"/>
                <w:szCs w:val="21"/>
              </w:rPr>
            </w:pPr>
          </w:p>
        </w:tc>
      </w:tr>
      <w:tr w14:paraId="2B8A66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2" w:hRule="atLeast"/>
          <w:jc w:val="center"/>
        </w:trPr>
        <w:tc>
          <w:tcPr>
            <w:tcW w:w="677" w:type="dxa"/>
            <w:noWrap/>
          </w:tcPr>
          <w:p w14:paraId="3406F438">
            <w:pPr>
              <w:snapToGrid w:val="0"/>
              <w:ind w:left="-88" w:leftChars="-42" w:right="23"/>
              <w:jc w:val="center"/>
              <w:textAlignment w:val="baseline"/>
              <w:rPr>
                <w:rFonts w:ascii="宋体" w:hAnsi="宋体" w:cs="宋体"/>
                <w:szCs w:val="21"/>
              </w:rPr>
            </w:pPr>
          </w:p>
        </w:tc>
        <w:tc>
          <w:tcPr>
            <w:tcW w:w="1941" w:type="dxa"/>
            <w:noWrap/>
            <w:vAlign w:val="center"/>
          </w:tcPr>
          <w:p w14:paraId="48CC75A7">
            <w:pPr>
              <w:snapToGrid w:val="0"/>
              <w:ind w:left="-88" w:leftChars="-42" w:right="23"/>
              <w:jc w:val="center"/>
              <w:textAlignment w:val="baseline"/>
              <w:rPr>
                <w:rFonts w:ascii="宋体" w:hAnsi="宋体" w:cs="宋体"/>
                <w:szCs w:val="21"/>
              </w:rPr>
            </w:pPr>
          </w:p>
        </w:tc>
        <w:tc>
          <w:tcPr>
            <w:tcW w:w="2727" w:type="dxa"/>
            <w:noWrap/>
            <w:vAlign w:val="center"/>
          </w:tcPr>
          <w:p w14:paraId="57C79B0C">
            <w:pPr>
              <w:snapToGrid w:val="0"/>
              <w:ind w:left="-88" w:leftChars="-42" w:right="23"/>
              <w:jc w:val="center"/>
              <w:textAlignment w:val="baseline"/>
              <w:rPr>
                <w:rFonts w:ascii="宋体" w:hAnsi="宋体" w:cs="宋体"/>
                <w:szCs w:val="21"/>
              </w:rPr>
            </w:pPr>
          </w:p>
        </w:tc>
        <w:tc>
          <w:tcPr>
            <w:tcW w:w="1994" w:type="dxa"/>
            <w:noWrap/>
            <w:vAlign w:val="center"/>
          </w:tcPr>
          <w:p w14:paraId="0A9121DD">
            <w:pPr>
              <w:snapToGrid w:val="0"/>
              <w:ind w:left="-88" w:leftChars="-42" w:right="23"/>
              <w:jc w:val="center"/>
              <w:textAlignment w:val="baseline"/>
              <w:rPr>
                <w:rFonts w:ascii="宋体" w:hAnsi="宋体" w:cs="宋体"/>
                <w:szCs w:val="21"/>
              </w:rPr>
            </w:pPr>
          </w:p>
        </w:tc>
        <w:tc>
          <w:tcPr>
            <w:tcW w:w="1674" w:type="dxa"/>
            <w:noWrap/>
            <w:vAlign w:val="center"/>
          </w:tcPr>
          <w:p w14:paraId="1F0EA281">
            <w:pPr>
              <w:snapToGrid w:val="0"/>
              <w:ind w:left="-88" w:leftChars="-42" w:right="23"/>
              <w:jc w:val="center"/>
              <w:textAlignment w:val="baseline"/>
              <w:rPr>
                <w:rFonts w:ascii="宋体" w:hAnsi="宋体" w:cs="宋体"/>
                <w:szCs w:val="21"/>
              </w:rPr>
            </w:pPr>
          </w:p>
        </w:tc>
        <w:tc>
          <w:tcPr>
            <w:tcW w:w="1143" w:type="dxa"/>
            <w:noWrap/>
            <w:vAlign w:val="center"/>
          </w:tcPr>
          <w:p w14:paraId="7E3CDA32">
            <w:pPr>
              <w:snapToGrid w:val="0"/>
              <w:ind w:left="-88" w:leftChars="-42" w:right="23"/>
              <w:jc w:val="center"/>
              <w:textAlignment w:val="baseline"/>
              <w:rPr>
                <w:rFonts w:ascii="宋体" w:hAnsi="宋体" w:cs="宋体"/>
                <w:szCs w:val="21"/>
              </w:rPr>
            </w:pPr>
          </w:p>
        </w:tc>
      </w:tr>
    </w:tbl>
    <w:p w14:paraId="098447C2">
      <w:pPr>
        <w:snapToGrid w:val="0"/>
        <w:spacing w:line="360" w:lineRule="auto"/>
        <w:ind w:left="-88" w:leftChars="-42" w:right="23"/>
        <w:textAlignment w:val="baseline"/>
        <w:rPr>
          <w:rFonts w:ascii="宋体" w:hAnsi="宋体" w:cs="宋体"/>
          <w:sz w:val="20"/>
          <w:szCs w:val="21"/>
        </w:rPr>
      </w:pPr>
      <w:r>
        <w:rPr>
          <w:rFonts w:hint="eastAsia" w:ascii="宋体" w:hAnsi="宋体" w:cs="宋体"/>
          <w:szCs w:val="21"/>
        </w:rPr>
        <w:t>说明：1、“响应与偏离”应注明“响应”或“偏离”。</w:t>
      </w:r>
    </w:p>
    <w:p w14:paraId="6D16FC21">
      <w:pPr>
        <w:snapToGrid w:val="0"/>
        <w:spacing w:line="360" w:lineRule="auto"/>
        <w:ind w:right="23"/>
        <w:textAlignment w:val="baseline"/>
        <w:rPr>
          <w:rFonts w:ascii="宋体" w:hAnsi="宋体" w:cs="宋体"/>
          <w:szCs w:val="21"/>
        </w:rPr>
      </w:pPr>
      <w:r>
        <w:rPr>
          <w:rFonts w:hint="eastAsia" w:ascii="宋体" w:hAnsi="宋体" w:cs="宋体"/>
          <w:szCs w:val="21"/>
        </w:rPr>
        <w:t>2、属磋商文件规定可能变动的内容在“说明”栏中注明。</w:t>
      </w:r>
    </w:p>
    <w:p w14:paraId="4BEDEF92">
      <w:pPr>
        <w:pStyle w:val="28"/>
        <w:snapToGrid w:val="0"/>
        <w:spacing w:line="360" w:lineRule="auto"/>
        <w:ind w:right="23"/>
        <w:textAlignment w:val="baseline"/>
        <w:rPr>
          <w:rFonts w:ascii="宋体" w:hAnsi="宋体" w:cs="宋体"/>
          <w:bCs/>
          <w:sz w:val="21"/>
          <w:szCs w:val="21"/>
        </w:rPr>
      </w:pPr>
      <w:r>
        <w:rPr>
          <w:rFonts w:hint="eastAsia" w:ascii="宋体" w:hAnsi="宋体" w:cs="宋体"/>
          <w:sz w:val="21"/>
          <w:szCs w:val="21"/>
        </w:rPr>
        <w:t>供应商名称：</w:t>
      </w:r>
    </w:p>
    <w:p w14:paraId="66E61FDC">
      <w:pPr>
        <w:snapToGrid w:val="0"/>
        <w:spacing w:line="360" w:lineRule="auto"/>
        <w:ind w:right="23"/>
        <w:textAlignment w:val="baseline"/>
        <w:rPr>
          <w:rFonts w:ascii="宋体" w:hAnsi="宋体" w:cs="宋体"/>
          <w:sz w:val="20"/>
          <w:szCs w:val="21"/>
        </w:rPr>
      </w:pPr>
      <w:r>
        <w:rPr>
          <w:rFonts w:hint="eastAsia" w:ascii="宋体" w:hAnsi="宋体" w:cs="宋体"/>
          <w:szCs w:val="21"/>
        </w:rPr>
        <w:t>法定代表人或其委托代理人(签字)：</w:t>
      </w:r>
    </w:p>
    <w:p w14:paraId="703AE376">
      <w:pPr>
        <w:snapToGrid w:val="0"/>
        <w:spacing w:line="360" w:lineRule="auto"/>
        <w:ind w:right="23"/>
        <w:textAlignment w:val="baseline"/>
        <w:rPr>
          <w:rFonts w:ascii="宋体" w:hAnsi="宋体" w:cs="宋体"/>
          <w:sz w:val="20"/>
          <w:szCs w:val="21"/>
        </w:rPr>
      </w:pPr>
      <w:r>
        <w:rPr>
          <w:rFonts w:hint="eastAsia" w:ascii="宋体" w:hAnsi="宋体" w:cs="宋体"/>
          <w:szCs w:val="21"/>
        </w:rPr>
        <w:t>日          期：  年  月  日</w:t>
      </w:r>
    </w:p>
    <w:p w14:paraId="3A895CD7">
      <w:pPr>
        <w:snapToGrid w:val="0"/>
        <w:spacing w:line="360" w:lineRule="auto"/>
        <w:ind w:right="23"/>
        <w:textAlignment w:val="baseline"/>
        <w:rPr>
          <w:rFonts w:ascii="宋体" w:hAnsi="宋体" w:cs="宋体"/>
          <w:sz w:val="20"/>
          <w:szCs w:val="21"/>
        </w:rPr>
      </w:pPr>
    </w:p>
    <w:p w14:paraId="266328C9">
      <w:pPr>
        <w:tabs>
          <w:tab w:val="left" w:pos="3600"/>
        </w:tabs>
        <w:snapToGrid w:val="0"/>
        <w:ind w:right="23"/>
        <w:jc w:val="center"/>
        <w:textAlignment w:val="baseline"/>
        <w:rPr>
          <w:rFonts w:ascii="宋体" w:hAnsi="宋体" w:cs="宋体"/>
          <w:sz w:val="20"/>
        </w:rPr>
      </w:pPr>
    </w:p>
    <w:p w14:paraId="1DF6C9B7">
      <w:pPr>
        <w:tabs>
          <w:tab w:val="left" w:pos="3600"/>
        </w:tabs>
        <w:snapToGrid w:val="0"/>
        <w:ind w:right="23"/>
        <w:jc w:val="center"/>
        <w:textAlignment w:val="baseline"/>
        <w:rPr>
          <w:rFonts w:ascii="宋体" w:hAnsi="宋体" w:cs="宋体"/>
          <w:sz w:val="20"/>
        </w:rPr>
      </w:pPr>
    </w:p>
    <w:p w14:paraId="71590E1D">
      <w:pPr>
        <w:tabs>
          <w:tab w:val="left" w:pos="3600"/>
        </w:tabs>
        <w:snapToGrid w:val="0"/>
        <w:ind w:right="23"/>
        <w:jc w:val="center"/>
        <w:textAlignment w:val="baseline"/>
        <w:rPr>
          <w:rFonts w:ascii="宋体" w:hAnsi="宋体" w:cs="宋体"/>
          <w:b/>
          <w:sz w:val="32"/>
          <w:szCs w:val="32"/>
        </w:rPr>
      </w:pPr>
    </w:p>
    <w:p w14:paraId="14EDC3B2">
      <w:pPr>
        <w:tabs>
          <w:tab w:val="left" w:pos="3600"/>
        </w:tabs>
        <w:snapToGrid w:val="0"/>
        <w:ind w:right="23"/>
        <w:jc w:val="center"/>
        <w:textAlignment w:val="baseline"/>
        <w:rPr>
          <w:rFonts w:ascii="宋体" w:hAnsi="宋体" w:cs="宋体"/>
          <w:b/>
          <w:sz w:val="32"/>
          <w:szCs w:val="32"/>
        </w:rPr>
      </w:pPr>
    </w:p>
    <w:p w14:paraId="1761437F">
      <w:pPr>
        <w:tabs>
          <w:tab w:val="left" w:pos="3600"/>
        </w:tabs>
        <w:snapToGrid w:val="0"/>
        <w:ind w:right="23"/>
        <w:jc w:val="center"/>
        <w:textAlignment w:val="baseline"/>
        <w:rPr>
          <w:rFonts w:ascii="宋体" w:hAnsi="宋体" w:cs="宋体"/>
          <w:b/>
          <w:sz w:val="32"/>
          <w:szCs w:val="32"/>
        </w:rPr>
      </w:pPr>
    </w:p>
    <w:p w14:paraId="48BEC5BB">
      <w:pPr>
        <w:tabs>
          <w:tab w:val="left" w:pos="3600"/>
        </w:tabs>
        <w:snapToGrid w:val="0"/>
        <w:ind w:right="23"/>
        <w:textAlignment w:val="baseline"/>
        <w:rPr>
          <w:rFonts w:ascii="宋体" w:hAnsi="宋体" w:cs="宋体"/>
          <w:b/>
          <w:sz w:val="32"/>
          <w:szCs w:val="32"/>
        </w:rPr>
      </w:pPr>
    </w:p>
    <w:p w14:paraId="1741A964">
      <w:pPr>
        <w:tabs>
          <w:tab w:val="left" w:pos="3600"/>
        </w:tabs>
        <w:snapToGrid w:val="0"/>
        <w:ind w:right="23"/>
        <w:textAlignment w:val="baseline"/>
        <w:rPr>
          <w:rFonts w:ascii="宋体" w:hAnsi="宋体" w:cs="宋体"/>
          <w:b/>
          <w:sz w:val="32"/>
          <w:szCs w:val="32"/>
        </w:rPr>
      </w:pPr>
    </w:p>
    <w:p w14:paraId="5450843C">
      <w:pPr>
        <w:tabs>
          <w:tab w:val="left" w:pos="3600"/>
        </w:tabs>
        <w:snapToGrid w:val="0"/>
        <w:ind w:right="23"/>
        <w:textAlignment w:val="baseline"/>
        <w:rPr>
          <w:rFonts w:ascii="宋体" w:hAnsi="宋体" w:cs="宋体"/>
          <w:b/>
          <w:sz w:val="32"/>
          <w:szCs w:val="32"/>
        </w:rPr>
      </w:pPr>
    </w:p>
    <w:p w14:paraId="6B481FC2">
      <w:pPr>
        <w:tabs>
          <w:tab w:val="left" w:pos="3600"/>
        </w:tabs>
        <w:snapToGrid w:val="0"/>
        <w:ind w:right="23"/>
        <w:textAlignment w:val="baseline"/>
        <w:rPr>
          <w:rFonts w:ascii="宋体" w:hAnsi="宋体" w:cs="宋体"/>
          <w:b/>
          <w:sz w:val="32"/>
          <w:szCs w:val="32"/>
        </w:rPr>
      </w:pPr>
    </w:p>
    <w:p w14:paraId="3698450C">
      <w:pPr>
        <w:tabs>
          <w:tab w:val="left" w:pos="3600"/>
        </w:tabs>
        <w:snapToGrid w:val="0"/>
        <w:ind w:right="23"/>
        <w:textAlignment w:val="baseline"/>
        <w:rPr>
          <w:rFonts w:ascii="宋体" w:hAnsi="宋体" w:cs="宋体"/>
          <w:b/>
          <w:sz w:val="32"/>
          <w:szCs w:val="32"/>
        </w:rPr>
      </w:pPr>
    </w:p>
    <w:p w14:paraId="4BC7048D">
      <w:pPr>
        <w:tabs>
          <w:tab w:val="left" w:pos="3600"/>
        </w:tabs>
        <w:snapToGrid w:val="0"/>
        <w:ind w:right="23"/>
        <w:textAlignment w:val="baseline"/>
        <w:rPr>
          <w:rFonts w:ascii="宋体" w:hAnsi="宋体" w:cs="宋体"/>
          <w:b/>
          <w:sz w:val="32"/>
          <w:szCs w:val="32"/>
        </w:rPr>
      </w:pPr>
    </w:p>
    <w:p w14:paraId="1EBE0F27">
      <w:pPr>
        <w:tabs>
          <w:tab w:val="left" w:pos="3600"/>
        </w:tabs>
        <w:snapToGrid w:val="0"/>
        <w:ind w:right="23"/>
        <w:textAlignment w:val="baseline"/>
        <w:rPr>
          <w:rFonts w:ascii="宋体" w:hAnsi="宋体" w:cs="宋体"/>
          <w:b/>
          <w:sz w:val="32"/>
          <w:szCs w:val="32"/>
        </w:rPr>
      </w:pPr>
    </w:p>
    <w:p w14:paraId="61A0053D">
      <w:pPr>
        <w:tabs>
          <w:tab w:val="left" w:pos="3600"/>
        </w:tabs>
        <w:snapToGrid w:val="0"/>
        <w:ind w:right="23"/>
        <w:textAlignment w:val="baseline"/>
        <w:rPr>
          <w:rFonts w:ascii="宋体" w:hAnsi="宋体" w:cs="宋体"/>
          <w:b/>
          <w:sz w:val="32"/>
          <w:szCs w:val="32"/>
        </w:rPr>
      </w:pPr>
    </w:p>
    <w:p w14:paraId="2EA19C63">
      <w:pPr>
        <w:tabs>
          <w:tab w:val="left" w:pos="3600"/>
        </w:tabs>
        <w:snapToGrid w:val="0"/>
        <w:ind w:right="23"/>
        <w:textAlignment w:val="baseline"/>
        <w:rPr>
          <w:rFonts w:ascii="宋体" w:hAnsi="宋体" w:cs="宋体"/>
          <w:b/>
          <w:sz w:val="32"/>
          <w:szCs w:val="32"/>
        </w:rPr>
      </w:pPr>
    </w:p>
    <w:p w14:paraId="185943BF">
      <w:pPr>
        <w:snapToGrid w:val="0"/>
        <w:spacing w:line="360" w:lineRule="auto"/>
        <w:ind w:right="23"/>
        <w:jc w:val="center"/>
        <w:textAlignment w:val="baseline"/>
        <w:rPr>
          <w:rFonts w:ascii="黑体" w:hAnsi="宋体" w:eastAsia="黑体"/>
          <w:b/>
          <w:sz w:val="32"/>
          <w:szCs w:val="32"/>
        </w:rPr>
      </w:pPr>
      <w:r>
        <w:rPr>
          <w:rFonts w:hint="eastAsia" w:ascii="宋体" w:hAnsi="宋体" w:cs="宋体"/>
          <w:b/>
          <w:sz w:val="32"/>
          <w:szCs w:val="32"/>
        </w:rPr>
        <w:t>五、提供享受政府采购政策的证明材料</w:t>
      </w:r>
    </w:p>
    <w:p w14:paraId="5219914E">
      <w:pPr>
        <w:pStyle w:val="4"/>
        <w:textAlignment w:val="baseline"/>
        <w:rPr>
          <w:rFonts w:ascii="宋体" w:hAnsi="宋体"/>
          <w:sz w:val="21"/>
          <w:szCs w:val="21"/>
        </w:rPr>
      </w:pPr>
      <w:bookmarkStart w:id="14" w:name="_Toc25491"/>
      <w:bookmarkStart w:id="15" w:name="_Toc22201162"/>
      <w:bookmarkStart w:id="16" w:name="_Toc40166618"/>
      <w:r>
        <w:rPr>
          <w:rFonts w:hint="eastAsia" w:ascii="宋体" w:hAnsi="宋体"/>
          <w:sz w:val="21"/>
          <w:szCs w:val="21"/>
        </w:rPr>
        <w:t>附件</w:t>
      </w:r>
      <w:r>
        <w:rPr>
          <w:rFonts w:hint="eastAsia" w:ascii="宋体" w:hAnsi="宋体"/>
          <w:sz w:val="21"/>
          <w:szCs w:val="21"/>
          <w:lang w:val="en-US" w:eastAsia="zh-CN"/>
        </w:rPr>
        <w:t>6</w:t>
      </w:r>
      <w:r>
        <w:rPr>
          <w:rFonts w:hint="eastAsia" w:ascii="宋体" w:hAnsi="宋体"/>
          <w:sz w:val="21"/>
          <w:szCs w:val="21"/>
        </w:rPr>
        <w:t>小型、微型企业声明函</w:t>
      </w:r>
      <w:bookmarkEnd w:id="14"/>
      <w:bookmarkEnd w:id="15"/>
      <w:bookmarkEnd w:id="16"/>
    </w:p>
    <w:p w14:paraId="030BE9EB">
      <w:pPr>
        <w:widowControl/>
        <w:jc w:val="center"/>
        <w:textAlignment w:val="baseline"/>
        <w:rPr>
          <w:sz w:val="20"/>
        </w:rPr>
      </w:pPr>
      <w:r>
        <w:rPr>
          <w:rFonts w:hint="eastAsia" w:ascii="宋体" w:hAnsi="宋体" w:cs="宋体"/>
          <w:b/>
          <w:kern w:val="0"/>
          <w:sz w:val="36"/>
          <w:szCs w:val="36"/>
        </w:rPr>
        <w:t>中小企业声明函（工程）</w:t>
      </w:r>
    </w:p>
    <w:p w14:paraId="5C19645C">
      <w:pPr>
        <w:widowControl/>
        <w:spacing w:line="360" w:lineRule="auto"/>
        <w:ind w:firstLine="420" w:firstLineChars="200"/>
        <w:jc w:val="left"/>
        <w:textAlignment w:val="baseline"/>
        <w:rPr>
          <w:rFonts w:ascii="宋体" w:hAnsi="宋体" w:cs="宋体"/>
          <w:szCs w:val="21"/>
        </w:rPr>
      </w:pPr>
      <w:r>
        <w:rPr>
          <w:rFonts w:hint="eastAsia" w:ascii="宋体" w:hAnsi="宋体" w:cs="宋体"/>
          <w:kern w:val="0"/>
          <w:szCs w:val="21"/>
        </w:rPr>
        <w:t>本公司郑重声明，根据《政府采购促进中小企业发展管理办法》（财库﹝2020﹞46号）的规定，本公司（联合体）参加</w:t>
      </w:r>
      <w:r>
        <w:rPr>
          <w:rFonts w:hint="eastAsia" w:ascii="宋体" w:hAnsi="宋体" w:cs="宋体"/>
          <w:kern w:val="0"/>
          <w:szCs w:val="21"/>
          <w:u w:val="single"/>
        </w:rPr>
        <w:t>（单位名称）</w:t>
      </w:r>
      <w:r>
        <w:rPr>
          <w:rFonts w:hint="eastAsia" w:ascii="宋体" w:hAnsi="宋体" w:cs="宋体"/>
          <w:kern w:val="0"/>
          <w:szCs w:val="21"/>
        </w:rPr>
        <w:t>的（</w:t>
      </w:r>
      <w:r>
        <w:rPr>
          <w:rFonts w:hint="eastAsia" w:ascii="宋体" w:hAnsi="宋体" w:cs="宋体"/>
          <w:kern w:val="0"/>
          <w:szCs w:val="21"/>
          <w:u w:val="single"/>
        </w:rPr>
        <w:t>项目名称）</w:t>
      </w:r>
      <w:r>
        <w:rPr>
          <w:rFonts w:hint="eastAsia" w:ascii="宋体" w:hAnsi="宋体" w:cs="宋体"/>
          <w:kern w:val="0"/>
          <w:szCs w:val="21"/>
        </w:rPr>
        <w:t>采购活动，工程的施工单位全部为符合政策要求的中小企业（或者：服务全部由符合政策要求的中小企业承接）。相关企业的具体情况如下：</w:t>
      </w:r>
    </w:p>
    <w:p w14:paraId="3FAF1938">
      <w:pPr>
        <w:widowControl/>
        <w:spacing w:line="360" w:lineRule="auto"/>
        <w:ind w:firstLine="420" w:firstLineChars="200"/>
        <w:jc w:val="left"/>
        <w:textAlignment w:val="baseline"/>
        <w:rPr>
          <w:rFonts w:ascii="宋体" w:hAnsi="宋体" w:cs="宋体"/>
          <w:szCs w:val="21"/>
        </w:rPr>
      </w:pPr>
      <w:r>
        <w:rPr>
          <w:rFonts w:hint="eastAsia" w:ascii="宋体" w:hAnsi="宋体" w:cs="宋体"/>
          <w:kern w:val="0"/>
          <w:szCs w:val="21"/>
        </w:rPr>
        <w:t xml:space="preserve">1. </w:t>
      </w:r>
      <w:r>
        <w:rPr>
          <w:rFonts w:hint="eastAsia" w:ascii="宋体" w:hAnsi="宋体" w:cs="宋体"/>
          <w:kern w:val="0"/>
          <w:szCs w:val="21"/>
          <w:u w:val="single"/>
        </w:rPr>
        <w:t xml:space="preserve">（标的名称） </w:t>
      </w:r>
      <w:r>
        <w:rPr>
          <w:rFonts w:hint="eastAsia" w:ascii="宋体" w:hAnsi="宋体" w:cs="宋体"/>
          <w:kern w:val="0"/>
          <w:szCs w:val="21"/>
        </w:rPr>
        <w:t>，属于</w:t>
      </w:r>
      <w:r>
        <w:rPr>
          <w:rFonts w:hint="eastAsia" w:ascii="宋体" w:hAnsi="宋体" w:cs="宋体"/>
          <w:kern w:val="0"/>
          <w:szCs w:val="21"/>
          <w:u w:val="single"/>
        </w:rPr>
        <w:t>（采购文件中明确的所属行业）</w:t>
      </w:r>
      <w:r>
        <w:rPr>
          <w:rFonts w:hint="eastAsia" w:ascii="宋体" w:hAnsi="宋体" w:cs="宋体"/>
          <w:kern w:val="0"/>
          <w:szCs w:val="21"/>
        </w:rPr>
        <w:t>；承建（承接）企业为</w:t>
      </w:r>
      <w:r>
        <w:rPr>
          <w:rFonts w:hint="eastAsia" w:ascii="宋体" w:hAnsi="宋体" w:cs="宋体"/>
          <w:kern w:val="0"/>
          <w:szCs w:val="21"/>
          <w:u w:val="single"/>
        </w:rPr>
        <w:t>（企业名称）</w:t>
      </w:r>
      <w:r>
        <w:rPr>
          <w:rFonts w:hint="eastAsia" w:ascii="宋体" w:hAnsi="宋体" w:cs="宋体"/>
          <w:kern w:val="0"/>
          <w:szCs w:val="21"/>
        </w:rPr>
        <w:t>，从业人员人，营业收入为万元，资产总额为万元，属于</w:t>
      </w:r>
      <w:r>
        <w:rPr>
          <w:rFonts w:hint="eastAsia" w:ascii="宋体" w:hAnsi="宋体" w:cs="宋体"/>
          <w:kern w:val="0"/>
          <w:szCs w:val="21"/>
          <w:u w:val="single"/>
        </w:rPr>
        <w:t>（中型企业、小型企业、微型企业）</w:t>
      </w:r>
      <w:r>
        <w:rPr>
          <w:rFonts w:hint="eastAsia" w:ascii="宋体" w:hAnsi="宋体" w:cs="宋体"/>
          <w:kern w:val="0"/>
          <w:szCs w:val="21"/>
        </w:rPr>
        <w:t xml:space="preserve">； </w:t>
      </w:r>
    </w:p>
    <w:p w14:paraId="02CAA402">
      <w:pPr>
        <w:widowControl/>
        <w:spacing w:line="360" w:lineRule="auto"/>
        <w:ind w:firstLine="420" w:firstLineChars="200"/>
        <w:jc w:val="left"/>
        <w:textAlignment w:val="baseline"/>
        <w:rPr>
          <w:rFonts w:ascii="宋体" w:hAnsi="宋体" w:cs="宋体"/>
          <w:szCs w:val="21"/>
        </w:rPr>
      </w:pPr>
      <w:r>
        <w:rPr>
          <w:rFonts w:hint="eastAsia" w:ascii="宋体" w:hAnsi="宋体" w:cs="宋体"/>
          <w:kern w:val="0"/>
          <w:szCs w:val="21"/>
        </w:rPr>
        <w:t>以上企业，不属于大企业的分支机构，不存在控股股东为大企业的情形，也不存在与大企业的负责人为同一人的情形。</w:t>
      </w:r>
    </w:p>
    <w:p w14:paraId="3D33538A">
      <w:pPr>
        <w:widowControl/>
        <w:spacing w:line="360" w:lineRule="auto"/>
        <w:ind w:firstLine="420" w:firstLineChars="200"/>
        <w:jc w:val="left"/>
        <w:textAlignment w:val="baseline"/>
        <w:rPr>
          <w:rFonts w:ascii="宋体" w:hAnsi="宋体" w:cs="宋体"/>
          <w:szCs w:val="21"/>
        </w:rPr>
      </w:pPr>
      <w:r>
        <w:rPr>
          <w:rFonts w:hint="eastAsia" w:ascii="宋体" w:hAnsi="宋体" w:cs="宋体"/>
          <w:kern w:val="0"/>
          <w:szCs w:val="21"/>
        </w:rPr>
        <w:t xml:space="preserve">本企业对上述声明内容的真实性负责。如有虚假，将依法承担相应责任。 </w:t>
      </w:r>
    </w:p>
    <w:p w14:paraId="1E99A335">
      <w:pPr>
        <w:widowControl/>
        <w:spacing w:line="360" w:lineRule="auto"/>
        <w:jc w:val="left"/>
        <w:textAlignment w:val="baseline"/>
        <w:rPr>
          <w:rFonts w:ascii="宋体" w:hAnsi="宋体" w:cs="宋体"/>
          <w:kern w:val="0"/>
          <w:szCs w:val="21"/>
        </w:rPr>
      </w:pPr>
    </w:p>
    <w:p w14:paraId="02654810">
      <w:pPr>
        <w:widowControl/>
        <w:spacing w:line="360" w:lineRule="auto"/>
        <w:ind w:firstLine="3570" w:firstLineChars="1700"/>
        <w:jc w:val="left"/>
        <w:textAlignment w:val="baseline"/>
        <w:rPr>
          <w:rFonts w:ascii="宋体" w:hAnsi="宋体" w:cs="宋体"/>
          <w:kern w:val="0"/>
          <w:szCs w:val="21"/>
          <w:u w:val="single" w:color="000000"/>
        </w:rPr>
      </w:pPr>
      <w:r>
        <w:rPr>
          <w:rFonts w:hint="eastAsia" w:ascii="宋体" w:hAnsi="宋体" w:cs="宋体"/>
          <w:kern w:val="0"/>
          <w:szCs w:val="21"/>
        </w:rPr>
        <w:t>企业名称（盖章）：</w:t>
      </w:r>
    </w:p>
    <w:p w14:paraId="13C97E5B">
      <w:pPr>
        <w:widowControl/>
        <w:spacing w:line="360" w:lineRule="auto"/>
        <w:ind w:firstLine="3570" w:firstLineChars="1700"/>
        <w:jc w:val="left"/>
        <w:textAlignment w:val="baseline"/>
        <w:rPr>
          <w:rFonts w:ascii="宋体" w:hAnsi="宋体" w:cs="宋体"/>
          <w:sz w:val="20"/>
          <w:u w:val="single" w:color="000000"/>
        </w:rPr>
      </w:pPr>
      <w:r>
        <w:rPr>
          <w:rFonts w:hint="eastAsia" w:ascii="宋体" w:hAnsi="宋体" w:cs="宋体"/>
          <w:kern w:val="0"/>
          <w:szCs w:val="21"/>
        </w:rPr>
        <w:t>日 期：</w:t>
      </w:r>
    </w:p>
    <w:p w14:paraId="73CCC0C1">
      <w:pPr>
        <w:snapToGrid w:val="0"/>
        <w:spacing w:line="360" w:lineRule="auto"/>
        <w:ind w:right="23"/>
        <w:textAlignment w:val="baseline"/>
        <w:rPr>
          <w:rFonts w:ascii="宋体" w:hAnsi="宋体" w:cs="宋体"/>
          <w:bCs/>
          <w:sz w:val="20"/>
          <w:szCs w:val="21"/>
        </w:rPr>
      </w:pPr>
    </w:p>
    <w:p w14:paraId="205212B1">
      <w:pPr>
        <w:snapToGrid w:val="0"/>
        <w:spacing w:line="360" w:lineRule="auto"/>
        <w:ind w:right="23"/>
        <w:textAlignment w:val="baseline"/>
        <w:rPr>
          <w:rFonts w:ascii="宋体" w:hAnsi="宋体" w:cs="宋体"/>
          <w:bCs/>
          <w:sz w:val="20"/>
          <w:szCs w:val="21"/>
        </w:rPr>
      </w:pPr>
    </w:p>
    <w:p w14:paraId="329AA5B5">
      <w:pPr>
        <w:widowControl/>
        <w:snapToGrid w:val="0"/>
        <w:spacing w:line="360" w:lineRule="auto"/>
        <w:ind w:firstLine="360" w:firstLineChars="200"/>
        <w:jc w:val="center"/>
        <w:textAlignment w:val="baseline"/>
        <w:rPr>
          <w:rFonts w:ascii="宋体" w:hAnsi="宋体" w:cs="宋体"/>
          <w:sz w:val="20"/>
          <w:szCs w:val="21"/>
        </w:rPr>
      </w:pPr>
      <w:r>
        <w:rPr>
          <w:rFonts w:hint="eastAsia" w:ascii="宋体" w:hAnsi="宋体" w:cs="宋体"/>
          <w:kern w:val="0"/>
          <w:sz w:val="18"/>
          <w:szCs w:val="18"/>
        </w:rPr>
        <w:t>注：从业人员、营业收入、资产总额填报上一年度数据，无上一年度数据的新成立企业可不填报。</w:t>
      </w:r>
    </w:p>
    <w:p w14:paraId="34EECC07">
      <w:pPr>
        <w:snapToGrid w:val="0"/>
        <w:spacing w:line="360" w:lineRule="auto"/>
        <w:ind w:right="23"/>
        <w:textAlignment w:val="baseline"/>
        <w:rPr>
          <w:rFonts w:ascii="宋体" w:hAnsi="宋体" w:cs="宋体"/>
          <w:b/>
          <w:sz w:val="32"/>
          <w:szCs w:val="32"/>
        </w:rPr>
        <w:sectPr>
          <w:headerReference r:id="rId10" w:type="default"/>
          <w:footerReference r:id="rId11" w:type="default"/>
          <w:pgSz w:w="11906" w:h="16838"/>
          <w:pgMar w:top="1440" w:right="1080" w:bottom="1440" w:left="1080" w:header="851" w:footer="992" w:gutter="0"/>
          <w:pgNumType w:fmt="numberInDash" w:start="1"/>
          <w:cols w:space="720" w:num="1"/>
          <w:docGrid w:type="linesAndChars" w:linePitch="315" w:charSpace="121"/>
        </w:sectPr>
      </w:pPr>
    </w:p>
    <w:p w14:paraId="1ED6A5A4">
      <w:pPr>
        <w:snapToGrid w:val="0"/>
        <w:spacing w:line="360" w:lineRule="auto"/>
        <w:ind w:right="23"/>
        <w:jc w:val="center"/>
        <w:textAlignment w:val="baseline"/>
        <w:rPr>
          <w:rFonts w:ascii="宋体" w:hAnsi="宋体" w:cs="宋体"/>
          <w:b/>
          <w:sz w:val="32"/>
          <w:szCs w:val="32"/>
        </w:rPr>
      </w:pPr>
      <w:r>
        <w:rPr>
          <w:rFonts w:hint="eastAsia" w:ascii="宋体" w:hAnsi="宋体" w:cs="宋体"/>
          <w:b/>
          <w:bCs/>
          <w:sz w:val="32"/>
          <w:szCs w:val="32"/>
        </w:rPr>
        <w:t>六、</w:t>
      </w:r>
      <w:r>
        <w:rPr>
          <w:rFonts w:hint="eastAsia" w:ascii="宋体" w:hAnsi="宋体" w:cs="宋体"/>
          <w:b/>
          <w:sz w:val="32"/>
          <w:szCs w:val="32"/>
        </w:rPr>
        <w:t>报价一览表及报价文件</w:t>
      </w:r>
    </w:p>
    <w:p w14:paraId="640F9EFC">
      <w:pPr>
        <w:ind w:firstLine="480" w:firstLineChars="200"/>
        <w:textAlignment w:val="baseline"/>
        <w:outlineLvl w:val="0"/>
        <w:rPr>
          <w:rFonts w:ascii="宋体" w:hAnsi="宋体" w:cs="宋体"/>
          <w:sz w:val="28"/>
          <w:szCs w:val="28"/>
        </w:rPr>
      </w:pPr>
      <w:bookmarkStart w:id="17" w:name="_Toc17204"/>
      <w:r>
        <w:rPr>
          <w:rFonts w:hint="eastAsia" w:ascii="宋体" w:hAnsi="宋体" w:cs="宋体"/>
          <w:sz w:val="24"/>
        </w:rPr>
        <w:t xml:space="preserve">附件7：    </w:t>
      </w:r>
      <w:r>
        <w:rPr>
          <w:rFonts w:hint="eastAsia" w:ascii="宋体" w:hAnsi="宋体" w:cs="宋体"/>
          <w:bCs/>
          <w:sz w:val="28"/>
          <w:szCs w:val="28"/>
        </w:rPr>
        <w:t>报价一览表</w:t>
      </w:r>
      <w:bookmarkEnd w:id="17"/>
    </w:p>
    <w:tbl>
      <w:tblPr>
        <w:tblStyle w:val="47"/>
        <w:tblpPr w:leftFromText="180" w:rightFromText="180" w:vertAnchor="text" w:horzAnchor="page" w:tblpX="957" w:tblpY="309"/>
        <w:tblOverlap w:val="never"/>
        <w:tblW w:w="100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40"/>
        <w:gridCol w:w="3951"/>
        <w:gridCol w:w="1680"/>
        <w:gridCol w:w="1907"/>
      </w:tblGrid>
      <w:tr w14:paraId="63805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0" w:hRule="atLeast"/>
        </w:trPr>
        <w:tc>
          <w:tcPr>
            <w:tcW w:w="2540" w:type="dxa"/>
            <w:vMerge w:val="restart"/>
            <w:tcBorders>
              <w:bottom w:val="single" w:color="auto" w:sz="6" w:space="0"/>
              <w:right w:val="single" w:color="auto" w:sz="6" w:space="0"/>
            </w:tcBorders>
            <w:noWrap/>
            <w:vAlign w:val="center"/>
          </w:tcPr>
          <w:p w14:paraId="34E0E71D">
            <w:pPr>
              <w:ind w:right="23"/>
              <w:jc w:val="center"/>
              <w:textAlignment w:val="baseline"/>
              <w:rPr>
                <w:rFonts w:ascii="宋体" w:hAnsi="宋体" w:cs="宋体"/>
                <w:szCs w:val="21"/>
              </w:rPr>
            </w:pPr>
            <w:r>
              <w:rPr>
                <w:rFonts w:hint="eastAsia" w:ascii="宋体" w:hAnsi="宋体" w:cs="宋体"/>
                <w:szCs w:val="21"/>
              </w:rPr>
              <w:t>项目名称</w:t>
            </w:r>
          </w:p>
        </w:tc>
        <w:tc>
          <w:tcPr>
            <w:tcW w:w="3951" w:type="dxa"/>
            <w:vMerge w:val="restart"/>
            <w:tcBorders>
              <w:left w:val="single" w:color="auto" w:sz="6" w:space="0"/>
              <w:bottom w:val="single" w:color="auto" w:sz="6" w:space="0"/>
              <w:right w:val="single" w:color="auto" w:sz="6" w:space="0"/>
            </w:tcBorders>
            <w:noWrap/>
            <w:vAlign w:val="center"/>
          </w:tcPr>
          <w:p w14:paraId="4BC784B3">
            <w:pPr>
              <w:ind w:right="23"/>
              <w:jc w:val="center"/>
              <w:textAlignment w:val="baseline"/>
              <w:rPr>
                <w:rFonts w:ascii="宋体" w:hAnsi="宋体" w:cs="宋体"/>
                <w:szCs w:val="21"/>
              </w:rPr>
            </w:pPr>
          </w:p>
        </w:tc>
        <w:tc>
          <w:tcPr>
            <w:tcW w:w="1680" w:type="dxa"/>
            <w:tcBorders>
              <w:left w:val="single" w:color="auto" w:sz="6" w:space="0"/>
              <w:bottom w:val="single" w:color="auto" w:sz="6" w:space="0"/>
              <w:right w:val="single" w:color="auto" w:sz="6" w:space="0"/>
            </w:tcBorders>
            <w:noWrap/>
            <w:vAlign w:val="center"/>
          </w:tcPr>
          <w:p w14:paraId="1FE737E4">
            <w:pPr>
              <w:ind w:right="23"/>
              <w:jc w:val="center"/>
              <w:textAlignment w:val="baseline"/>
              <w:rPr>
                <w:rFonts w:ascii="宋体" w:hAnsi="宋体" w:cs="宋体"/>
                <w:szCs w:val="21"/>
              </w:rPr>
            </w:pPr>
            <w:r>
              <w:rPr>
                <w:rFonts w:hint="eastAsia" w:ascii="宋体" w:hAnsi="宋体" w:cs="宋体"/>
                <w:szCs w:val="21"/>
              </w:rPr>
              <w:t>政府采购编号</w:t>
            </w:r>
          </w:p>
        </w:tc>
        <w:tc>
          <w:tcPr>
            <w:tcW w:w="1907" w:type="dxa"/>
            <w:tcBorders>
              <w:left w:val="single" w:color="auto" w:sz="6" w:space="0"/>
              <w:bottom w:val="single" w:color="auto" w:sz="6" w:space="0"/>
            </w:tcBorders>
            <w:noWrap/>
            <w:vAlign w:val="center"/>
          </w:tcPr>
          <w:p w14:paraId="1EE27352">
            <w:pPr>
              <w:ind w:right="23"/>
              <w:jc w:val="center"/>
              <w:textAlignment w:val="baseline"/>
              <w:rPr>
                <w:rFonts w:ascii="宋体" w:hAnsi="宋体" w:cs="宋体"/>
                <w:szCs w:val="21"/>
              </w:rPr>
            </w:pPr>
          </w:p>
        </w:tc>
      </w:tr>
      <w:tr w14:paraId="613BE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vMerge w:val="continue"/>
            <w:tcBorders>
              <w:top w:val="single" w:color="auto" w:sz="6" w:space="0"/>
              <w:bottom w:val="single" w:color="auto" w:sz="6" w:space="0"/>
              <w:right w:val="single" w:color="auto" w:sz="6" w:space="0"/>
            </w:tcBorders>
            <w:noWrap/>
            <w:vAlign w:val="center"/>
          </w:tcPr>
          <w:p w14:paraId="46356F7F">
            <w:pPr>
              <w:ind w:right="23"/>
              <w:jc w:val="center"/>
              <w:textAlignment w:val="baseline"/>
              <w:rPr>
                <w:rFonts w:ascii="宋体" w:hAnsi="宋体" w:cs="宋体"/>
                <w:szCs w:val="21"/>
              </w:rPr>
            </w:pPr>
          </w:p>
        </w:tc>
        <w:tc>
          <w:tcPr>
            <w:tcW w:w="3951" w:type="dxa"/>
            <w:vMerge w:val="continue"/>
            <w:tcBorders>
              <w:top w:val="single" w:color="auto" w:sz="6" w:space="0"/>
              <w:left w:val="single" w:color="auto" w:sz="6" w:space="0"/>
              <w:bottom w:val="single" w:color="auto" w:sz="6" w:space="0"/>
              <w:right w:val="single" w:color="auto" w:sz="6" w:space="0"/>
            </w:tcBorders>
            <w:noWrap/>
            <w:vAlign w:val="center"/>
          </w:tcPr>
          <w:p w14:paraId="74485835">
            <w:pPr>
              <w:ind w:right="23"/>
              <w:jc w:val="center"/>
              <w:textAlignment w:val="baseline"/>
              <w:rPr>
                <w:rFonts w:ascii="宋体" w:hAnsi="宋体" w:cs="宋体"/>
                <w:szCs w:val="21"/>
              </w:rPr>
            </w:pPr>
          </w:p>
        </w:tc>
        <w:tc>
          <w:tcPr>
            <w:tcW w:w="1680" w:type="dxa"/>
            <w:tcBorders>
              <w:top w:val="single" w:color="auto" w:sz="6" w:space="0"/>
              <w:left w:val="single" w:color="auto" w:sz="6" w:space="0"/>
              <w:bottom w:val="single" w:color="auto" w:sz="6" w:space="0"/>
              <w:right w:val="single" w:color="auto" w:sz="6" w:space="0"/>
            </w:tcBorders>
            <w:noWrap/>
            <w:vAlign w:val="center"/>
          </w:tcPr>
          <w:p w14:paraId="2901E3CE">
            <w:pPr>
              <w:ind w:right="23"/>
              <w:jc w:val="center"/>
              <w:textAlignment w:val="baseline"/>
              <w:rPr>
                <w:rFonts w:ascii="宋体" w:hAnsi="宋体" w:cs="宋体"/>
                <w:szCs w:val="21"/>
              </w:rPr>
            </w:pPr>
            <w:r>
              <w:rPr>
                <w:rFonts w:hint="eastAsia" w:ascii="宋体" w:hAnsi="宋体" w:cs="宋体"/>
                <w:szCs w:val="21"/>
              </w:rPr>
              <w:t>采购代理编号</w:t>
            </w:r>
          </w:p>
        </w:tc>
        <w:tc>
          <w:tcPr>
            <w:tcW w:w="1907" w:type="dxa"/>
            <w:tcBorders>
              <w:top w:val="single" w:color="auto" w:sz="6" w:space="0"/>
              <w:left w:val="single" w:color="auto" w:sz="6" w:space="0"/>
              <w:bottom w:val="single" w:color="auto" w:sz="6" w:space="0"/>
            </w:tcBorders>
            <w:noWrap/>
            <w:vAlign w:val="center"/>
          </w:tcPr>
          <w:p w14:paraId="619842E8">
            <w:pPr>
              <w:ind w:right="23"/>
              <w:jc w:val="center"/>
              <w:textAlignment w:val="baseline"/>
              <w:rPr>
                <w:rFonts w:ascii="宋体" w:hAnsi="宋体" w:cs="宋体"/>
                <w:szCs w:val="21"/>
              </w:rPr>
            </w:pPr>
          </w:p>
        </w:tc>
      </w:tr>
      <w:tr w14:paraId="342F8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tcBorders>
              <w:top w:val="single" w:color="auto" w:sz="6" w:space="0"/>
              <w:bottom w:val="single" w:color="auto" w:sz="6" w:space="0"/>
            </w:tcBorders>
            <w:noWrap/>
            <w:vAlign w:val="center"/>
          </w:tcPr>
          <w:p w14:paraId="4744A296">
            <w:pPr>
              <w:ind w:right="23"/>
              <w:jc w:val="center"/>
              <w:textAlignment w:val="baseline"/>
              <w:rPr>
                <w:rFonts w:ascii="宋体" w:hAnsi="宋体" w:cs="宋体"/>
                <w:szCs w:val="21"/>
              </w:rPr>
            </w:pPr>
            <w:r>
              <w:rPr>
                <w:rFonts w:hint="eastAsia" w:ascii="宋体" w:hAnsi="宋体" w:cs="宋体"/>
                <w:szCs w:val="21"/>
              </w:rPr>
              <w:t>品目代码</w:t>
            </w:r>
          </w:p>
        </w:tc>
        <w:tc>
          <w:tcPr>
            <w:tcW w:w="7538" w:type="dxa"/>
            <w:gridSpan w:val="3"/>
            <w:tcBorders>
              <w:top w:val="single" w:color="auto" w:sz="6" w:space="0"/>
              <w:bottom w:val="single" w:color="auto" w:sz="6" w:space="0"/>
            </w:tcBorders>
            <w:noWrap/>
            <w:vAlign w:val="center"/>
          </w:tcPr>
          <w:p w14:paraId="04F82C31">
            <w:pPr>
              <w:ind w:right="23"/>
              <w:textAlignment w:val="baseline"/>
              <w:rPr>
                <w:rFonts w:ascii="宋体" w:hAnsi="宋体" w:cs="宋体"/>
                <w:szCs w:val="21"/>
              </w:rPr>
            </w:pPr>
          </w:p>
        </w:tc>
      </w:tr>
      <w:tr w14:paraId="1A215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5" w:hRule="atLeast"/>
        </w:trPr>
        <w:tc>
          <w:tcPr>
            <w:tcW w:w="2540" w:type="dxa"/>
            <w:tcBorders>
              <w:top w:val="single" w:color="auto" w:sz="6" w:space="0"/>
              <w:bottom w:val="single" w:color="auto" w:sz="6" w:space="0"/>
            </w:tcBorders>
            <w:noWrap/>
            <w:vAlign w:val="center"/>
          </w:tcPr>
          <w:p w14:paraId="7DDC2E79">
            <w:pPr>
              <w:ind w:right="23"/>
              <w:jc w:val="center"/>
              <w:textAlignment w:val="baseline"/>
              <w:rPr>
                <w:rFonts w:ascii="宋体" w:hAnsi="宋体" w:cs="宋体"/>
                <w:szCs w:val="21"/>
              </w:rPr>
            </w:pPr>
            <w:r>
              <w:rPr>
                <w:rFonts w:hint="eastAsia" w:ascii="宋体" w:hAnsi="宋体" w:cs="宋体"/>
                <w:szCs w:val="21"/>
              </w:rPr>
              <w:t>工程总报价</w:t>
            </w:r>
          </w:p>
        </w:tc>
        <w:tc>
          <w:tcPr>
            <w:tcW w:w="7538" w:type="dxa"/>
            <w:gridSpan w:val="3"/>
            <w:tcBorders>
              <w:top w:val="single" w:color="auto" w:sz="6" w:space="0"/>
              <w:bottom w:val="single" w:color="auto" w:sz="6" w:space="0"/>
            </w:tcBorders>
            <w:noWrap/>
            <w:vAlign w:val="center"/>
          </w:tcPr>
          <w:p w14:paraId="63CE193F">
            <w:pPr>
              <w:ind w:right="23"/>
              <w:textAlignment w:val="baseline"/>
              <w:rPr>
                <w:rFonts w:ascii="宋体" w:hAnsi="宋体" w:cs="宋体"/>
                <w:szCs w:val="21"/>
              </w:rPr>
            </w:pPr>
            <w:r>
              <w:rPr>
                <w:rFonts w:hint="eastAsia" w:ascii="宋体" w:hAnsi="宋体" w:cs="宋体"/>
                <w:szCs w:val="21"/>
              </w:rPr>
              <w:t>大写：元人民币整</w:t>
            </w:r>
          </w:p>
          <w:p w14:paraId="328DE738">
            <w:pPr>
              <w:ind w:right="23"/>
              <w:textAlignment w:val="baseline"/>
              <w:rPr>
                <w:rFonts w:ascii="宋体" w:hAnsi="宋体" w:cs="宋体"/>
                <w:szCs w:val="21"/>
              </w:rPr>
            </w:pPr>
            <w:r>
              <w:rPr>
                <w:rFonts w:hint="eastAsia" w:ascii="宋体" w:hAnsi="宋体" w:cs="宋体"/>
                <w:szCs w:val="21"/>
              </w:rPr>
              <w:t>小写：元人民币整</w:t>
            </w:r>
          </w:p>
        </w:tc>
      </w:tr>
      <w:tr w14:paraId="026A00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tcBorders>
              <w:top w:val="single" w:color="auto" w:sz="6" w:space="0"/>
              <w:bottom w:val="single" w:color="auto" w:sz="6" w:space="0"/>
            </w:tcBorders>
            <w:noWrap/>
            <w:vAlign w:val="center"/>
          </w:tcPr>
          <w:p w14:paraId="7290DE72">
            <w:pPr>
              <w:ind w:right="23"/>
              <w:jc w:val="center"/>
              <w:textAlignment w:val="baseline"/>
              <w:rPr>
                <w:rFonts w:ascii="宋体" w:hAnsi="宋体" w:cs="宋体"/>
                <w:szCs w:val="21"/>
              </w:rPr>
            </w:pPr>
            <w:r>
              <w:rPr>
                <w:rFonts w:hint="eastAsia" w:ascii="宋体" w:hAnsi="宋体" w:cs="宋体"/>
                <w:szCs w:val="21"/>
              </w:rPr>
              <w:t>工期（日历天）</w:t>
            </w:r>
          </w:p>
        </w:tc>
        <w:tc>
          <w:tcPr>
            <w:tcW w:w="7538" w:type="dxa"/>
            <w:gridSpan w:val="3"/>
            <w:tcBorders>
              <w:top w:val="single" w:color="auto" w:sz="6" w:space="0"/>
              <w:bottom w:val="single" w:color="auto" w:sz="6" w:space="0"/>
            </w:tcBorders>
            <w:noWrap/>
            <w:vAlign w:val="center"/>
          </w:tcPr>
          <w:p w14:paraId="438CCFE5">
            <w:pPr>
              <w:ind w:right="23"/>
              <w:jc w:val="center"/>
              <w:textAlignment w:val="baseline"/>
              <w:rPr>
                <w:rFonts w:ascii="宋体" w:hAnsi="宋体" w:cs="宋体"/>
                <w:szCs w:val="21"/>
              </w:rPr>
            </w:pPr>
          </w:p>
        </w:tc>
      </w:tr>
      <w:tr w14:paraId="47F9F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tcBorders>
              <w:top w:val="single" w:color="auto" w:sz="6" w:space="0"/>
              <w:bottom w:val="single" w:color="auto" w:sz="6" w:space="0"/>
            </w:tcBorders>
            <w:noWrap/>
            <w:vAlign w:val="center"/>
          </w:tcPr>
          <w:p w14:paraId="484E01CD">
            <w:pPr>
              <w:ind w:right="23"/>
              <w:jc w:val="center"/>
              <w:textAlignment w:val="baseline"/>
              <w:rPr>
                <w:rFonts w:ascii="宋体" w:hAnsi="宋体" w:cs="宋体"/>
                <w:szCs w:val="21"/>
              </w:rPr>
            </w:pPr>
            <w:r>
              <w:rPr>
                <w:rFonts w:hint="eastAsia" w:ascii="宋体" w:hAnsi="宋体" w:cs="宋体"/>
                <w:szCs w:val="21"/>
              </w:rPr>
              <w:t>质量标准</w:t>
            </w:r>
          </w:p>
        </w:tc>
        <w:tc>
          <w:tcPr>
            <w:tcW w:w="7538" w:type="dxa"/>
            <w:gridSpan w:val="3"/>
            <w:tcBorders>
              <w:top w:val="single" w:color="auto" w:sz="6" w:space="0"/>
              <w:bottom w:val="single" w:color="auto" w:sz="6" w:space="0"/>
            </w:tcBorders>
            <w:noWrap/>
            <w:vAlign w:val="center"/>
          </w:tcPr>
          <w:p w14:paraId="11280B18">
            <w:pPr>
              <w:ind w:right="23"/>
              <w:jc w:val="center"/>
              <w:textAlignment w:val="baseline"/>
              <w:rPr>
                <w:rFonts w:ascii="宋体" w:hAnsi="宋体" w:cs="宋体"/>
                <w:szCs w:val="21"/>
              </w:rPr>
            </w:pPr>
          </w:p>
        </w:tc>
      </w:tr>
      <w:tr w14:paraId="1946D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tcBorders>
              <w:top w:val="single" w:color="auto" w:sz="6" w:space="0"/>
              <w:bottom w:val="single" w:color="auto" w:sz="6" w:space="0"/>
            </w:tcBorders>
            <w:noWrap/>
            <w:vAlign w:val="center"/>
          </w:tcPr>
          <w:p w14:paraId="60A600D5">
            <w:pPr>
              <w:ind w:right="23"/>
              <w:jc w:val="center"/>
              <w:textAlignment w:val="baseline"/>
              <w:rPr>
                <w:rFonts w:ascii="宋体" w:hAnsi="宋体" w:cs="宋体"/>
                <w:szCs w:val="21"/>
              </w:rPr>
            </w:pPr>
            <w:r>
              <w:rPr>
                <w:rFonts w:hint="eastAsia" w:ascii="宋体" w:hAnsi="宋体" w:cs="宋体"/>
                <w:szCs w:val="21"/>
              </w:rPr>
              <w:t>安全目标</w:t>
            </w:r>
          </w:p>
        </w:tc>
        <w:tc>
          <w:tcPr>
            <w:tcW w:w="7538" w:type="dxa"/>
            <w:gridSpan w:val="3"/>
            <w:tcBorders>
              <w:top w:val="single" w:color="auto" w:sz="6" w:space="0"/>
              <w:bottom w:val="single" w:color="auto" w:sz="6" w:space="0"/>
            </w:tcBorders>
            <w:noWrap/>
            <w:vAlign w:val="center"/>
          </w:tcPr>
          <w:p w14:paraId="17B87680">
            <w:pPr>
              <w:ind w:right="23"/>
              <w:jc w:val="center"/>
              <w:textAlignment w:val="baseline"/>
              <w:rPr>
                <w:rFonts w:ascii="宋体" w:hAnsi="宋体" w:cs="宋体"/>
                <w:szCs w:val="21"/>
              </w:rPr>
            </w:pPr>
          </w:p>
        </w:tc>
      </w:tr>
      <w:tr w14:paraId="3A239B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540" w:type="dxa"/>
            <w:tcBorders>
              <w:top w:val="single" w:color="auto" w:sz="6" w:space="0"/>
              <w:bottom w:val="single" w:color="auto" w:sz="6" w:space="0"/>
            </w:tcBorders>
            <w:noWrap/>
            <w:vAlign w:val="center"/>
          </w:tcPr>
          <w:p w14:paraId="07B65372">
            <w:pPr>
              <w:ind w:right="23"/>
              <w:jc w:val="center"/>
              <w:textAlignment w:val="baseline"/>
              <w:rPr>
                <w:rFonts w:ascii="宋体" w:hAnsi="宋体" w:cs="宋体"/>
                <w:szCs w:val="21"/>
              </w:rPr>
            </w:pPr>
            <w:r>
              <w:rPr>
                <w:rFonts w:hint="eastAsia" w:ascii="宋体" w:hAnsi="宋体" w:cs="宋体"/>
                <w:szCs w:val="21"/>
              </w:rPr>
              <w:t>项目负责人</w:t>
            </w:r>
          </w:p>
        </w:tc>
        <w:tc>
          <w:tcPr>
            <w:tcW w:w="7538" w:type="dxa"/>
            <w:gridSpan w:val="3"/>
            <w:tcBorders>
              <w:top w:val="single" w:color="auto" w:sz="6" w:space="0"/>
              <w:bottom w:val="single" w:color="auto" w:sz="6" w:space="0"/>
            </w:tcBorders>
            <w:noWrap/>
            <w:vAlign w:val="center"/>
          </w:tcPr>
          <w:p w14:paraId="36CD3159">
            <w:pPr>
              <w:ind w:right="23"/>
              <w:jc w:val="center"/>
              <w:textAlignment w:val="baseline"/>
              <w:rPr>
                <w:rFonts w:ascii="宋体" w:hAnsi="宋体" w:cs="宋体"/>
                <w:szCs w:val="21"/>
              </w:rPr>
            </w:pPr>
          </w:p>
        </w:tc>
      </w:tr>
      <w:tr w14:paraId="35DF2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8" w:hRule="atLeast"/>
        </w:trPr>
        <w:tc>
          <w:tcPr>
            <w:tcW w:w="2540" w:type="dxa"/>
            <w:tcBorders>
              <w:top w:val="single" w:color="auto" w:sz="6" w:space="0"/>
            </w:tcBorders>
            <w:noWrap/>
            <w:vAlign w:val="center"/>
          </w:tcPr>
          <w:p w14:paraId="6F1C93CE">
            <w:pPr>
              <w:ind w:right="23"/>
              <w:jc w:val="center"/>
              <w:textAlignment w:val="baseline"/>
              <w:rPr>
                <w:rFonts w:ascii="宋体" w:hAnsi="宋体" w:cs="宋体"/>
                <w:szCs w:val="21"/>
              </w:rPr>
            </w:pPr>
            <w:r>
              <w:rPr>
                <w:rFonts w:hint="eastAsia" w:ascii="宋体" w:hAnsi="宋体" w:cs="宋体"/>
                <w:szCs w:val="21"/>
              </w:rPr>
              <w:t>备  注</w:t>
            </w:r>
          </w:p>
        </w:tc>
        <w:tc>
          <w:tcPr>
            <w:tcW w:w="7538" w:type="dxa"/>
            <w:gridSpan w:val="3"/>
            <w:tcBorders>
              <w:top w:val="single" w:color="auto" w:sz="6" w:space="0"/>
            </w:tcBorders>
            <w:noWrap/>
            <w:vAlign w:val="center"/>
          </w:tcPr>
          <w:p w14:paraId="3DD66531">
            <w:pPr>
              <w:ind w:right="23"/>
              <w:jc w:val="center"/>
              <w:textAlignment w:val="baseline"/>
              <w:rPr>
                <w:rFonts w:ascii="宋体" w:hAnsi="宋体" w:cs="宋体"/>
                <w:szCs w:val="21"/>
              </w:rPr>
            </w:pPr>
          </w:p>
        </w:tc>
      </w:tr>
    </w:tbl>
    <w:p w14:paraId="766EA4A6">
      <w:pPr>
        <w:snapToGrid w:val="0"/>
        <w:ind w:right="23"/>
        <w:textAlignment w:val="baseline"/>
        <w:rPr>
          <w:rFonts w:ascii="宋体" w:hAnsi="宋体" w:cs="宋体"/>
          <w:sz w:val="24"/>
        </w:rPr>
      </w:pPr>
    </w:p>
    <w:p w14:paraId="1F9EEB12">
      <w:pPr>
        <w:snapToGrid w:val="0"/>
        <w:ind w:right="23"/>
        <w:jc w:val="right"/>
        <w:textAlignment w:val="baseline"/>
        <w:rPr>
          <w:rFonts w:ascii="宋体" w:hAnsi="宋体" w:cs="宋体"/>
          <w:sz w:val="20"/>
          <w:szCs w:val="21"/>
        </w:rPr>
      </w:pPr>
    </w:p>
    <w:p w14:paraId="7EB4BE17">
      <w:pPr>
        <w:snapToGrid w:val="0"/>
        <w:spacing w:line="360" w:lineRule="auto"/>
        <w:ind w:right="23"/>
        <w:textAlignment w:val="baseline"/>
        <w:rPr>
          <w:rFonts w:ascii="宋体" w:hAnsi="宋体" w:cs="宋体"/>
          <w:sz w:val="20"/>
          <w:szCs w:val="21"/>
        </w:rPr>
      </w:pPr>
      <w:r>
        <w:rPr>
          <w:rFonts w:hint="eastAsia" w:ascii="宋体" w:hAnsi="宋体" w:cs="宋体"/>
          <w:szCs w:val="21"/>
        </w:rPr>
        <w:t>说明：“品目代码”栏按</w:t>
      </w:r>
      <w:r>
        <w:rPr>
          <w:rStyle w:val="50"/>
          <w:rFonts w:hint="eastAsia" w:ascii="宋体" w:hAnsi="宋体" w:cs="宋体"/>
          <w:b w:val="0"/>
        </w:rPr>
        <w:t>《政府采购品目分类目录》规定填写，如</w:t>
      </w:r>
      <w:r>
        <w:rPr>
          <w:rFonts w:hint="eastAsia" w:ascii="宋体" w:hAnsi="宋体" w:cs="宋体"/>
          <w:kern w:val="0"/>
          <w:szCs w:val="21"/>
        </w:rPr>
        <w:t>B0303拆除工程</w:t>
      </w:r>
      <w:r>
        <w:rPr>
          <w:rStyle w:val="50"/>
          <w:rFonts w:hint="eastAsia" w:ascii="宋体" w:hAnsi="宋体" w:cs="宋体"/>
          <w:b w:val="0"/>
        </w:rPr>
        <w:t>；</w:t>
      </w:r>
    </w:p>
    <w:p w14:paraId="511A64E4">
      <w:pPr>
        <w:snapToGrid w:val="0"/>
        <w:spacing w:line="360" w:lineRule="auto"/>
        <w:ind w:right="23"/>
        <w:textAlignment w:val="baseline"/>
        <w:rPr>
          <w:rFonts w:ascii="宋体" w:hAnsi="宋体" w:cs="宋体"/>
          <w:sz w:val="20"/>
        </w:rPr>
      </w:pPr>
    </w:p>
    <w:p w14:paraId="1B26388A">
      <w:pPr>
        <w:snapToGrid w:val="0"/>
        <w:spacing w:line="360" w:lineRule="auto"/>
        <w:ind w:right="23"/>
        <w:textAlignment w:val="baseline"/>
        <w:rPr>
          <w:rFonts w:ascii="宋体" w:hAnsi="宋体" w:cs="宋体"/>
          <w:sz w:val="20"/>
        </w:rPr>
      </w:pPr>
    </w:p>
    <w:p w14:paraId="5594727B">
      <w:pPr>
        <w:snapToGrid w:val="0"/>
        <w:spacing w:line="360" w:lineRule="auto"/>
        <w:ind w:right="23" w:firstLine="420" w:firstLineChars="200"/>
        <w:textAlignment w:val="baseline"/>
        <w:rPr>
          <w:rFonts w:ascii="宋体" w:hAnsi="宋体" w:cs="宋体"/>
          <w:sz w:val="20"/>
          <w:szCs w:val="21"/>
        </w:rPr>
      </w:pPr>
      <w:r>
        <w:rPr>
          <w:rFonts w:hint="eastAsia" w:ascii="宋体" w:hAnsi="宋体" w:cs="宋体"/>
          <w:szCs w:val="21"/>
        </w:rPr>
        <w:t>供应商（盖单位章）：</w:t>
      </w:r>
    </w:p>
    <w:p w14:paraId="69CF502F">
      <w:pPr>
        <w:snapToGrid w:val="0"/>
        <w:spacing w:line="360" w:lineRule="auto"/>
        <w:ind w:right="23" w:firstLine="420" w:firstLineChars="200"/>
        <w:textAlignment w:val="baseline"/>
        <w:rPr>
          <w:rFonts w:ascii="宋体" w:hAnsi="宋体" w:cs="宋体"/>
          <w:sz w:val="20"/>
          <w:szCs w:val="21"/>
        </w:rPr>
      </w:pPr>
      <w:r>
        <w:rPr>
          <w:rFonts w:hint="eastAsia" w:ascii="宋体" w:hAnsi="宋体" w:cs="宋体"/>
          <w:szCs w:val="21"/>
        </w:rPr>
        <w:t>法定代表人或其委托代理人签字：</w:t>
      </w:r>
    </w:p>
    <w:p w14:paraId="1BC037D0">
      <w:pPr>
        <w:snapToGrid w:val="0"/>
        <w:spacing w:line="360" w:lineRule="auto"/>
        <w:ind w:right="23" w:firstLine="420" w:firstLineChars="200"/>
        <w:textAlignment w:val="baseline"/>
        <w:rPr>
          <w:rFonts w:ascii="宋体" w:hAnsi="宋体" w:cs="宋体"/>
          <w:bCs/>
          <w:sz w:val="20"/>
          <w:szCs w:val="21"/>
        </w:rPr>
      </w:pPr>
      <w:r>
        <w:rPr>
          <w:rFonts w:hint="eastAsia" w:ascii="宋体" w:hAnsi="宋体" w:cs="宋体"/>
          <w:szCs w:val="21"/>
        </w:rPr>
        <w:t>日期：年月日</w:t>
      </w:r>
    </w:p>
    <w:p w14:paraId="1F21F280">
      <w:pPr>
        <w:ind w:firstLine="803"/>
        <w:jc w:val="center"/>
        <w:textAlignment w:val="baseline"/>
        <w:rPr>
          <w:rFonts w:ascii="宋体" w:hAnsi="宋体" w:cs="宋体"/>
          <w:bCs/>
          <w:sz w:val="20"/>
          <w:szCs w:val="21"/>
        </w:rPr>
      </w:pPr>
    </w:p>
    <w:p w14:paraId="20DE78C7">
      <w:pPr>
        <w:ind w:firstLine="803"/>
        <w:jc w:val="center"/>
        <w:textAlignment w:val="baseline"/>
        <w:rPr>
          <w:rFonts w:ascii="宋体" w:hAnsi="宋体" w:cs="宋体"/>
          <w:bCs/>
          <w:sz w:val="20"/>
          <w:szCs w:val="21"/>
        </w:rPr>
      </w:pPr>
    </w:p>
    <w:p w14:paraId="37C4D405">
      <w:pPr>
        <w:pStyle w:val="4"/>
        <w:snapToGrid w:val="0"/>
        <w:spacing w:before="157" w:after="0" w:line="360" w:lineRule="auto"/>
        <w:textAlignment w:val="baseline"/>
        <w:rPr>
          <w:rFonts w:ascii="宋体" w:hAnsi="宋体" w:cs="宋体"/>
          <w:sz w:val="21"/>
          <w:szCs w:val="21"/>
        </w:rPr>
      </w:pPr>
      <w:r>
        <w:rPr>
          <w:rFonts w:hint="eastAsia" w:ascii="宋体" w:hAnsi="宋体" w:cs="宋体"/>
          <w:bCs w:val="0"/>
          <w:szCs w:val="21"/>
        </w:rPr>
        <w:br w:type="page"/>
      </w:r>
    </w:p>
    <w:p w14:paraId="49F97F25">
      <w:pPr>
        <w:snapToGrid w:val="0"/>
        <w:spacing w:before="157" w:line="360" w:lineRule="auto"/>
        <w:textAlignment w:val="baseline"/>
        <w:outlineLvl w:val="0"/>
        <w:rPr>
          <w:rFonts w:ascii="宋体" w:hAnsi="宋体" w:cs="宋体"/>
          <w:b/>
        </w:rPr>
      </w:pPr>
      <w:bookmarkStart w:id="18" w:name="_Toc40166612"/>
      <w:bookmarkStart w:id="19" w:name="_Toc29881"/>
      <w:r>
        <w:rPr>
          <w:rFonts w:hint="eastAsia" w:ascii="宋体" w:hAnsi="宋体" w:cs="宋体"/>
          <w:b/>
          <w:szCs w:val="21"/>
        </w:rPr>
        <w:t>附件7-1</w:t>
      </w:r>
      <w:bookmarkEnd w:id="18"/>
      <w:r>
        <w:rPr>
          <w:rFonts w:hint="eastAsia" w:ascii="宋体" w:hAnsi="宋体" w:cs="宋体"/>
          <w:b/>
          <w:szCs w:val="21"/>
        </w:rPr>
        <w:t>分项报价明细表</w:t>
      </w:r>
      <w:bookmarkEnd w:id="19"/>
    </w:p>
    <w:p w14:paraId="731EA657">
      <w:pPr>
        <w:textAlignment w:val="baseline"/>
        <w:rPr>
          <w:sz w:val="20"/>
        </w:rPr>
      </w:pPr>
    </w:p>
    <w:p w14:paraId="6BD8FCEC">
      <w:pPr>
        <w:snapToGrid w:val="0"/>
        <w:spacing w:before="157" w:line="360" w:lineRule="auto"/>
        <w:jc w:val="center"/>
        <w:textAlignment w:val="baseline"/>
        <w:rPr>
          <w:rFonts w:ascii="宋体" w:hAnsi="宋体" w:cs="宋体"/>
          <w:b/>
          <w:bCs/>
          <w:color w:val="FF0000"/>
          <w:sz w:val="28"/>
          <w:szCs w:val="28"/>
        </w:rPr>
      </w:pPr>
      <w:r>
        <w:rPr>
          <w:rFonts w:hint="eastAsia" w:ascii="宋体" w:hAnsi="宋体" w:cs="宋体"/>
          <w:b/>
          <w:bCs/>
          <w:color w:val="FF0000"/>
          <w:sz w:val="28"/>
          <w:szCs w:val="28"/>
        </w:rPr>
        <w:t>分项报价明细表为已标价工程量清单</w:t>
      </w:r>
    </w:p>
    <w:p w14:paraId="72EFF66D">
      <w:pPr>
        <w:pStyle w:val="26"/>
        <w:spacing w:line="400" w:lineRule="exact"/>
        <w:jc w:val="center"/>
        <w:textAlignment w:val="baseline"/>
        <w:rPr>
          <w:rFonts w:hAnsi="宋体" w:cs="宋体"/>
          <w:color w:val="FF0000"/>
          <w:sz w:val="28"/>
          <w:szCs w:val="28"/>
        </w:rPr>
      </w:pPr>
      <w:r>
        <w:rPr>
          <w:rFonts w:hint="eastAsia" w:hAnsi="宋体" w:cs="宋体"/>
          <w:b/>
          <w:bCs/>
          <w:color w:val="FF0000"/>
          <w:sz w:val="28"/>
          <w:szCs w:val="28"/>
        </w:rPr>
        <w:br w:type="page"/>
      </w:r>
    </w:p>
    <w:p w14:paraId="292DC664">
      <w:pPr>
        <w:spacing w:line="400" w:lineRule="exact"/>
        <w:jc w:val="center"/>
        <w:textAlignment w:val="baseline"/>
        <w:rPr>
          <w:rFonts w:hAnsi="宋体" w:cs="宋体"/>
          <w:sz w:val="28"/>
        </w:rPr>
      </w:pPr>
      <w:r>
        <w:rPr>
          <w:rFonts w:hint="eastAsia" w:hAnsi="宋体" w:cs="宋体"/>
          <w:b/>
          <w:sz w:val="32"/>
          <w:szCs w:val="32"/>
        </w:rPr>
        <w:t>八</w:t>
      </w:r>
      <w:r>
        <w:rPr>
          <w:rFonts w:hint="eastAsia" w:hAnsi="宋体" w:cs="宋体"/>
          <w:b/>
          <w:bCs/>
          <w:sz w:val="32"/>
          <w:szCs w:val="32"/>
        </w:rPr>
        <w:t>、供应商认为需要提供的其它资料</w:t>
      </w:r>
    </w:p>
    <w:p w14:paraId="5C3FE499">
      <w:pPr>
        <w:snapToGrid w:val="0"/>
        <w:spacing w:before="157" w:line="360" w:lineRule="auto"/>
        <w:jc w:val="center"/>
        <w:textAlignment w:val="baseline"/>
        <w:rPr>
          <w:rFonts w:ascii="宋体" w:hAnsi="宋体" w:cs="宋体"/>
          <w:b/>
          <w:sz w:val="32"/>
          <w:szCs w:val="32"/>
        </w:rPr>
      </w:pPr>
    </w:p>
    <w:p w14:paraId="3A0DC289">
      <w:pPr>
        <w:snapToGrid w:val="0"/>
        <w:spacing w:before="157" w:line="360" w:lineRule="auto"/>
        <w:jc w:val="center"/>
        <w:textAlignment w:val="baseline"/>
        <w:rPr>
          <w:rFonts w:ascii="宋体" w:hAnsi="宋体" w:cs="宋体"/>
          <w:b/>
          <w:sz w:val="32"/>
          <w:szCs w:val="32"/>
        </w:rPr>
      </w:pPr>
    </w:p>
    <w:p w14:paraId="5B4756FC">
      <w:pPr>
        <w:snapToGrid w:val="0"/>
        <w:spacing w:before="157" w:line="360" w:lineRule="auto"/>
        <w:jc w:val="center"/>
        <w:textAlignment w:val="baseline"/>
        <w:rPr>
          <w:rFonts w:ascii="宋体" w:hAnsi="宋体" w:cs="宋体"/>
          <w:b/>
          <w:sz w:val="32"/>
          <w:szCs w:val="32"/>
        </w:rPr>
      </w:pPr>
    </w:p>
    <w:p w14:paraId="3718AFBE">
      <w:pPr>
        <w:pStyle w:val="46"/>
        <w:ind w:left="421"/>
        <w:textAlignment w:val="baseline"/>
        <w:rPr>
          <w:rFonts w:ascii="宋体" w:hAnsi="宋体" w:cs="宋体"/>
          <w:b/>
          <w:sz w:val="32"/>
          <w:szCs w:val="32"/>
        </w:rPr>
      </w:pPr>
    </w:p>
    <w:p w14:paraId="00E23F1F">
      <w:pPr>
        <w:pStyle w:val="46"/>
        <w:ind w:left="421"/>
        <w:textAlignment w:val="baseline"/>
        <w:rPr>
          <w:rFonts w:ascii="宋体" w:hAnsi="宋体" w:cs="宋体"/>
          <w:b/>
          <w:sz w:val="32"/>
          <w:szCs w:val="32"/>
        </w:rPr>
      </w:pPr>
    </w:p>
    <w:p w14:paraId="771B5A7A">
      <w:pPr>
        <w:pStyle w:val="46"/>
        <w:ind w:left="421"/>
        <w:textAlignment w:val="baseline"/>
        <w:rPr>
          <w:rFonts w:ascii="宋体" w:hAnsi="宋体" w:cs="宋体"/>
          <w:b/>
          <w:sz w:val="32"/>
          <w:szCs w:val="32"/>
        </w:rPr>
      </w:pPr>
    </w:p>
    <w:p w14:paraId="7A3D5DF8">
      <w:pPr>
        <w:snapToGrid w:val="0"/>
        <w:spacing w:before="157" w:line="360" w:lineRule="auto"/>
        <w:jc w:val="center"/>
        <w:textAlignment w:val="baseline"/>
        <w:rPr>
          <w:rFonts w:ascii="宋体" w:hAnsi="宋体" w:cs="宋体"/>
          <w:b/>
          <w:sz w:val="32"/>
          <w:szCs w:val="32"/>
        </w:rPr>
      </w:pPr>
    </w:p>
    <w:p w14:paraId="3C7427D4">
      <w:pPr>
        <w:snapToGrid w:val="0"/>
        <w:spacing w:before="157" w:line="360" w:lineRule="auto"/>
        <w:jc w:val="center"/>
        <w:textAlignment w:val="baseline"/>
        <w:rPr>
          <w:rFonts w:ascii="宋体" w:hAnsi="宋体" w:cs="宋体"/>
          <w:b/>
          <w:sz w:val="32"/>
          <w:szCs w:val="32"/>
        </w:rPr>
      </w:pPr>
    </w:p>
    <w:p w14:paraId="1FAC410E">
      <w:pPr>
        <w:snapToGrid w:val="0"/>
        <w:spacing w:before="157" w:line="360" w:lineRule="auto"/>
        <w:jc w:val="center"/>
        <w:textAlignment w:val="baseline"/>
        <w:rPr>
          <w:rFonts w:ascii="宋体" w:hAnsi="宋体" w:cs="宋体"/>
          <w:b/>
          <w:sz w:val="32"/>
          <w:szCs w:val="32"/>
        </w:rPr>
      </w:pPr>
    </w:p>
    <w:p w14:paraId="1EEB0AA9">
      <w:pPr>
        <w:snapToGrid w:val="0"/>
        <w:spacing w:before="157" w:line="360" w:lineRule="auto"/>
        <w:jc w:val="center"/>
        <w:textAlignment w:val="baseline"/>
        <w:rPr>
          <w:rFonts w:ascii="宋体" w:hAnsi="宋体" w:cs="宋体"/>
          <w:b/>
          <w:sz w:val="32"/>
          <w:szCs w:val="32"/>
        </w:rPr>
      </w:pPr>
    </w:p>
    <w:p w14:paraId="27B329FA">
      <w:pPr>
        <w:snapToGrid w:val="0"/>
        <w:spacing w:before="157" w:line="360" w:lineRule="auto"/>
        <w:jc w:val="center"/>
        <w:textAlignment w:val="baseline"/>
        <w:rPr>
          <w:rFonts w:ascii="宋体" w:hAnsi="宋体" w:cs="宋体"/>
          <w:b/>
          <w:sz w:val="32"/>
          <w:szCs w:val="32"/>
        </w:rPr>
      </w:pPr>
    </w:p>
    <w:p w14:paraId="2925B4BD">
      <w:pPr>
        <w:snapToGrid w:val="0"/>
        <w:spacing w:before="157" w:line="360" w:lineRule="auto"/>
        <w:jc w:val="center"/>
        <w:textAlignment w:val="baseline"/>
        <w:rPr>
          <w:rFonts w:ascii="宋体" w:hAnsi="宋体" w:cs="宋体"/>
          <w:b/>
          <w:sz w:val="32"/>
          <w:szCs w:val="32"/>
        </w:rPr>
      </w:pPr>
    </w:p>
    <w:p w14:paraId="5DE3544A">
      <w:pPr>
        <w:snapToGrid w:val="0"/>
        <w:spacing w:before="157" w:line="360" w:lineRule="auto"/>
        <w:jc w:val="center"/>
        <w:textAlignment w:val="baseline"/>
        <w:rPr>
          <w:rFonts w:ascii="宋体" w:hAnsi="宋体" w:cs="宋体"/>
          <w:b/>
          <w:sz w:val="32"/>
          <w:szCs w:val="32"/>
        </w:rPr>
      </w:pPr>
    </w:p>
    <w:p w14:paraId="69AB0871">
      <w:pPr>
        <w:snapToGrid w:val="0"/>
        <w:spacing w:before="157" w:line="360" w:lineRule="auto"/>
        <w:jc w:val="center"/>
        <w:textAlignment w:val="baseline"/>
        <w:rPr>
          <w:rFonts w:ascii="宋体" w:hAnsi="宋体" w:cs="宋体"/>
          <w:b/>
          <w:sz w:val="32"/>
          <w:szCs w:val="32"/>
        </w:rPr>
      </w:pPr>
    </w:p>
    <w:p w14:paraId="7E1C99B9">
      <w:pPr>
        <w:snapToGrid w:val="0"/>
        <w:spacing w:before="157" w:line="360" w:lineRule="auto"/>
        <w:jc w:val="center"/>
        <w:textAlignment w:val="baseline"/>
        <w:rPr>
          <w:rFonts w:ascii="宋体" w:hAnsi="宋体" w:cs="宋体"/>
          <w:b/>
          <w:sz w:val="32"/>
          <w:szCs w:val="32"/>
        </w:rPr>
      </w:pPr>
    </w:p>
    <w:p w14:paraId="26FE837E">
      <w:pPr>
        <w:snapToGrid w:val="0"/>
        <w:spacing w:before="157" w:line="360" w:lineRule="auto"/>
        <w:jc w:val="center"/>
        <w:textAlignment w:val="baseline"/>
        <w:rPr>
          <w:rFonts w:ascii="宋体" w:hAnsi="宋体" w:cs="宋体"/>
          <w:b/>
          <w:sz w:val="32"/>
          <w:szCs w:val="32"/>
        </w:rPr>
      </w:pPr>
    </w:p>
    <w:p w14:paraId="0551E7AF">
      <w:pPr>
        <w:snapToGrid w:val="0"/>
        <w:spacing w:before="157" w:line="360" w:lineRule="auto"/>
        <w:jc w:val="center"/>
        <w:textAlignment w:val="baseline"/>
        <w:rPr>
          <w:rFonts w:ascii="宋体" w:hAnsi="宋体" w:cs="宋体"/>
          <w:b/>
          <w:sz w:val="32"/>
          <w:szCs w:val="32"/>
        </w:rPr>
      </w:pPr>
    </w:p>
    <w:p w14:paraId="6468F2D3">
      <w:pPr>
        <w:snapToGrid w:val="0"/>
        <w:spacing w:before="157" w:line="360" w:lineRule="auto"/>
        <w:jc w:val="center"/>
        <w:textAlignment w:val="baseline"/>
        <w:rPr>
          <w:rFonts w:ascii="宋体" w:hAnsi="宋体" w:cs="宋体"/>
          <w:b/>
          <w:sz w:val="32"/>
          <w:szCs w:val="32"/>
        </w:rPr>
      </w:pPr>
      <w:r>
        <w:rPr>
          <w:rFonts w:hint="eastAsia" w:ascii="宋体" w:hAnsi="宋体" w:cs="宋体"/>
          <w:b/>
          <w:sz w:val="32"/>
          <w:szCs w:val="32"/>
        </w:rPr>
        <w:t>九、最后报价</w:t>
      </w:r>
    </w:p>
    <w:p w14:paraId="761F1273">
      <w:pPr>
        <w:jc w:val="center"/>
        <w:textAlignment w:val="baseline"/>
        <w:outlineLvl w:val="0"/>
        <w:rPr>
          <w:rFonts w:ascii="宋体" w:hAnsi="宋体" w:cs="宋体"/>
          <w:sz w:val="28"/>
          <w:szCs w:val="28"/>
        </w:rPr>
      </w:pPr>
      <w:r>
        <w:rPr>
          <w:rFonts w:hint="eastAsia" w:ascii="宋体" w:hAnsi="宋体" w:cs="宋体"/>
          <w:bCs/>
          <w:sz w:val="28"/>
          <w:szCs w:val="28"/>
        </w:rPr>
        <w:t>最终报价一览表</w:t>
      </w:r>
    </w:p>
    <w:tbl>
      <w:tblPr>
        <w:tblStyle w:val="47"/>
        <w:tblpPr w:leftFromText="180" w:rightFromText="180" w:vertAnchor="text" w:horzAnchor="page" w:tblpX="957" w:tblpY="309"/>
        <w:tblOverlap w:val="never"/>
        <w:tblW w:w="101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50"/>
        <w:gridCol w:w="3967"/>
        <w:gridCol w:w="1686"/>
        <w:gridCol w:w="1914"/>
      </w:tblGrid>
      <w:tr w14:paraId="793EC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4" w:hRule="atLeast"/>
        </w:trPr>
        <w:tc>
          <w:tcPr>
            <w:tcW w:w="2550" w:type="dxa"/>
            <w:vMerge w:val="restart"/>
            <w:tcBorders>
              <w:bottom w:val="single" w:color="auto" w:sz="6" w:space="0"/>
              <w:right w:val="single" w:color="auto" w:sz="6" w:space="0"/>
            </w:tcBorders>
            <w:noWrap/>
            <w:vAlign w:val="center"/>
          </w:tcPr>
          <w:p w14:paraId="077BE5E5">
            <w:pPr>
              <w:ind w:right="23"/>
              <w:jc w:val="center"/>
              <w:textAlignment w:val="baseline"/>
              <w:rPr>
                <w:rFonts w:ascii="宋体" w:hAnsi="宋体" w:cs="宋体"/>
                <w:szCs w:val="21"/>
              </w:rPr>
            </w:pPr>
            <w:r>
              <w:rPr>
                <w:rFonts w:hint="eastAsia" w:ascii="宋体" w:hAnsi="宋体" w:cs="宋体"/>
                <w:szCs w:val="21"/>
              </w:rPr>
              <w:t>项目名称</w:t>
            </w:r>
          </w:p>
        </w:tc>
        <w:tc>
          <w:tcPr>
            <w:tcW w:w="3967" w:type="dxa"/>
            <w:vMerge w:val="restart"/>
            <w:tcBorders>
              <w:left w:val="single" w:color="auto" w:sz="6" w:space="0"/>
              <w:bottom w:val="single" w:color="auto" w:sz="6" w:space="0"/>
              <w:right w:val="single" w:color="auto" w:sz="6" w:space="0"/>
            </w:tcBorders>
            <w:noWrap/>
            <w:vAlign w:val="center"/>
          </w:tcPr>
          <w:p w14:paraId="1888F24F">
            <w:pPr>
              <w:ind w:right="23"/>
              <w:jc w:val="center"/>
              <w:textAlignment w:val="baseline"/>
              <w:rPr>
                <w:rFonts w:ascii="宋体" w:hAnsi="宋体" w:cs="宋体"/>
                <w:szCs w:val="21"/>
              </w:rPr>
            </w:pPr>
          </w:p>
        </w:tc>
        <w:tc>
          <w:tcPr>
            <w:tcW w:w="1686" w:type="dxa"/>
            <w:tcBorders>
              <w:left w:val="single" w:color="auto" w:sz="6" w:space="0"/>
              <w:bottom w:val="single" w:color="auto" w:sz="6" w:space="0"/>
              <w:right w:val="single" w:color="auto" w:sz="6" w:space="0"/>
            </w:tcBorders>
            <w:noWrap/>
            <w:vAlign w:val="center"/>
          </w:tcPr>
          <w:p w14:paraId="61AF5D14">
            <w:pPr>
              <w:ind w:right="23"/>
              <w:jc w:val="center"/>
              <w:textAlignment w:val="baseline"/>
              <w:rPr>
                <w:rFonts w:ascii="宋体" w:hAnsi="宋体" w:cs="宋体"/>
                <w:szCs w:val="21"/>
              </w:rPr>
            </w:pPr>
            <w:r>
              <w:rPr>
                <w:rFonts w:hint="eastAsia" w:ascii="宋体" w:hAnsi="宋体" w:cs="宋体"/>
                <w:szCs w:val="21"/>
              </w:rPr>
              <w:t>政府采购编号</w:t>
            </w:r>
          </w:p>
        </w:tc>
        <w:tc>
          <w:tcPr>
            <w:tcW w:w="1914" w:type="dxa"/>
            <w:tcBorders>
              <w:left w:val="single" w:color="auto" w:sz="6" w:space="0"/>
              <w:bottom w:val="single" w:color="auto" w:sz="6" w:space="0"/>
            </w:tcBorders>
            <w:noWrap/>
            <w:vAlign w:val="center"/>
          </w:tcPr>
          <w:p w14:paraId="07159149">
            <w:pPr>
              <w:ind w:right="23"/>
              <w:jc w:val="center"/>
              <w:textAlignment w:val="baseline"/>
              <w:rPr>
                <w:rFonts w:ascii="宋体" w:hAnsi="宋体" w:cs="宋体"/>
                <w:szCs w:val="21"/>
              </w:rPr>
            </w:pPr>
          </w:p>
        </w:tc>
      </w:tr>
      <w:tr w14:paraId="7E4CC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vMerge w:val="continue"/>
            <w:tcBorders>
              <w:top w:val="single" w:color="auto" w:sz="6" w:space="0"/>
              <w:bottom w:val="single" w:color="auto" w:sz="6" w:space="0"/>
              <w:right w:val="single" w:color="auto" w:sz="6" w:space="0"/>
            </w:tcBorders>
            <w:noWrap/>
            <w:vAlign w:val="center"/>
          </w:tcPr>
          <w:p w14:paraId="77411021">
            <w:pPr>
              <w:ind w:right="23"/>
              <w:jc w:val="center"/>
              <w:textAlignment w:val="baseline"/>
              <w:rPr>
                <w:rFonts w:ascii="宋体" w:hAnsi="宋体" w:cs="宋体"/>
                <w:szCs w:val="21"/>
              </w:rPr>
            </w:pPr>
          </w:p>
        </w:tc>
        <w:tc>
          <w:tcPr>
            <w:tcW w:w="3967" w:type="dxa"/>
            <w:vMerge w:val="continue"/>
            <w:tcBorders>
              <w:top w:val="single" w:color="auto" w:sz="6" w:space="0"/>
              <w:left w:val="single" w:color="auto" w:sz="6" w:space="0"/>
              <w:bottom w:val="single" w:color="auto" w:sz="6" w:space="0"/>
              <w:right w:val="single" w:color="auto" w:sz="6" w:space="0"/>
            </w:tcBorders>
            <w:noWrap/>
            <w:vAlign w:val="center"/>
          </w:tcPr>
          <w:p w14:paraId="5E6880DD">
            <w:pPr>
              <w:ind w:right="23"/>
              <w:jc w:val="center"/>
              <w:textAlignment w:val="baseline"/>
              <w:rPr>
                <w:rFonts w:ascii="宋体" w:hAnsi="宋体" w:cs="宋体"/>
                <w:szCs w:val="21"/>
              </w:rPr>
            </w:pPr>
          </w:p>
        </w:tc>
        <w:tc>
          <w:tcPr>
            <w:tcW w:w="1686" w:type="dxa"/>
            <w:tcBorders>
              <w:top w:val="single" w:color="auto" w:sz="6" w:space="0"/>
              <w:left w:val="single" w:color="auto" w:sz="6" w:space="0"/>
              <w:bottom w:val="single" w:color="auto" w:sz="6" w:space="0"/>
              <w:right w:val="single" w:color="auto" w:sz="6" w:space="0"/>
            </w:tcBorders>
            <w:noWrap/>
            <w:vAlign w:val="center"/>
          </w:tcPr>
          <w:p w14:paraId="186947AD">
            <w:pPr>
              <w:ind w:right="23"/>
              <w:jc w:val="center"/>
              <w:textAlignment w:val="baseline"/>
              <w:rPr>
                <w:rFonts w:ascii="宋体" w:hAnsi="宋体" w:cs="宋体"/>
                <w:szCs w:val="21"/>
              </w:rPr>
            </w:pPr>
            <w:r>
              <w:rPr>
                <w:rFonts w:hint="eastAsia" w:ascii="宋体" w:hAnsi="宋体" w:cs="宋体"/>
                <w:szCs w:val="21"/>
              </w:rPr>
              <w:t>采购代理编号</w:t>
            </w:r>
          </w:p>
        </w:tc>
        <w:tc>
          <w:tcPr>
            <w:tcW w:w="1914" w:type="dxa"/>
            <w:tcBorders>
              <w:top w:val="single" w:color="auto" w:sz="6" w:space="0"/>
              <w:left w:val="single" w:color="auto" w:sz="6" w:space="0"/>
              <w:bottom w:val="single" w:color="auto" w:sz="6" w:space="0"/>
            </w:tcBorders>
            <w:noWrap/>
            <w:vAlign w:val="center"/>
          </w:tcPr>
          <w:p w14:paraId="3C676415">
            <w:pPr>
              <w:ind w:right="23"/>
              <w:jc w:val="center"/>
              <w:textAlignment w:val="baseline"/>
              <w:rPr>
                <w:rFonts w:ascii="宋体" w:hAnsi="宋体" w:cs="宋体"/>
                <w:szCs w:val="21"/>
              </w:rPr>
            </w:pPr>
          </w:p>
        </w:tc>
      </w:tr>
      <w:tr w14:paraId="2DDD0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tcBorders>
              <w:top w:val="single" w:color="auto" w:sz="6" w:space="0"/>
              <w:bottom w:val="single" w:color="auto" w:sz="6" w:space="0"/>
            </w:tcBorders>
            <w:noWrap/>
            <w:vAlign w:val="center"/>
          </w:tcPr>
          <w:p w14:paraId="15998AC9">
            <w:pPr>
              <w:ind w:right="23"/>
              <w:jc w:val="center"/>
              <w:textAlignment w:val="baseline"/>
              <w:rPr>
                <w:rFonts w:ascii="宋体" w:hAnsi="宋体" w:cs="宋体"/>
                <w:szCs w:val="21"/>
              </w:rPr>
            </w:pPr>
            <w:r>
              <w:rPr>
                <w:rFonts w:hint="eastAsia" w:ascii="宋体" w:hAnsi="宋体" w:cs="宋体"/>
                <w:szCs w:val="21"/>
              </w:rPr>
              <w:t>品目代码</w:t>
            </w:r>
          </w:p>
        </w:tc>
        <w:tc>
          <w:tcPr>
            <w:tcW w:w="7567" w:type="dxa"/>
            <w:gridSpan w:val="3"/>
            <w:tcBorders>
              <w:top w:val="single" w:color="auto" w:sz="6" w:space="0"/>
              <w:bottom w:val="single" w:color="auto" w:sz="6" w:space="0"/>
            </w:tcBorders>
            <w:noWrap/>
            <w:vAlign w:val="center"/>
          </w:tcPr>
          <w:p w14:paraId="735D8D65">
            <w:pPr>
              <w:ind w:right="23"/>
              <w:textAlignment w:val="baseline"/>
              <w:rPr>
                <w:rFonts w:ascii="宋体" w:hAnsi="宋体" w:cs="宋体"/>
                <w:szCs w:val="21"/>
              </w:rPr>
            </w:pPr>
          </w:p>
        </w:tc>
      </w:tr>
      <w:tr w14:paraId="06B14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15" w:hRule="atLeast"/>
        </w:trPr>
        <w:tc>
          <w:tcPr>
            <w:tcW w:w="2550" w:type="dxa"/>
            <w:tcBorders>
              <w:top w:val="single" w:color="auto" w:sz="6" w:space="0"/>
              <w:bottom w:val="single" w:color="auto" w:sz="6" w:space="0"/>
            </w:tcBorders>
            <w:noWrap/>
            <w:vAlign w:val="center"/>
          </w:tcPr>
          <w:p w14:paraId="1E6F811C">
            <w:pPr>
              <w:ind w:right="23"/>
              <w:jc w:val="center"/>
              <w:textAlignment w:val="baseline"/>
              <w:rPr>
                <w:rFonts w:ascii="宋体" w:hAnsi="宋体" w:cs="宋体"/>
                <w:szCs w:val="21"/>
              </w:rPr>
            </w:pPr>
            <w:r>
              <w:rPr>
                <w:rFonts w:hint="eastAsia" w:ascii="宋体" w:hAnsi="宋体" w:cs="宋体"/>
                <w:szCs w:val="21"/>
              </w:rPr>
              <w:t>工程总报价</w:t>
            </w:r>
          </w:p>
        </w:tc>
        <w:tc>
          <w:tcPr>
            <w:tcW w:w="7567" w:type="dxa"/>
            <w:gridSpan w:val="3"/>
            <w:tcBorders>
              <w:top w:val="single" w:color="auto" w:sz="6" w:space="0"/>
              <w:bottom w:val="single" w:color="auto" w:sz="6" w:space="0"/>
            </w:tcBorders>
            <w:noWrap/>
            <w:vAlign w:val="center"/>
          </w:tcPr>
          <w:p w14:paraId="58192791">
            <w:pPr>
              <w:ind w:right="23"/>
              <w:textAlignment w:val="baseline"/>
              <w:rPr>
                <w:rFonts w:ascii="宋体" w:hAnsi="宋体" w:cs="宋体"/>
                <w:szCs w:val="21"/>
              </w:rPr>
            </w:pPr>
            <w:r>
              <w:rPr>
                <w:rFonts w:hint="eastAsia" w:ascii="宋体" w:hAnsi="宋体" w:cs="宋体"/>
                <w:szCs w:val="21"/>
              </w:rPr>
              <w:t>大写：元人民币整</w:t>
            </w:r>
          </w:p>
          <w:p w14:paraId="46607418">
            <w:pPr>
              <w:ind w:right="23"/>
              <w:textAlignment w:val="baseline"/>
              <w:rPr>
                <w:rFonts w:ascii="宋体" w:hAnsi="宋体" w:cs="宋体"/>
                <w:szCs w:val="21"/>
              </w:rPr>
            </w:pPr>
            <w:r>
              <w:rPr>
                <w:rFonts w:hint="eastAsia" w:ascii="宋体" w:hAnsi="宋体" w:cs="宋体"/>
                <w:szCs w:val="21"/>
              </w:rPr>
              <w:t>小写：元人民币整</w:t>
            </w:r>
          </w:p>
        </w:tc>
      </w:tr>
      <w:tr w14:paraId="2205A6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tcBorders>
              <w:top w:val="single" w:color="auto" w:sz="6" w:space="0"/>
              <w:bottom w:val="single" w:color="auto" w:sz="6" w:space="0"/>
            </w:tcBorders>
            <w:noWrap/>
            <w:vAlign w:val="center"/>
          </w:tcPr>
          <w:p w14:paraId="2611DA1F">
            <w:pPr>
              <w:ind w:right="23"/>
              <w:jc w:val="center"/>
              <w:textAlignment w:val="baseline"/>
              <w:rPr>
                <w:rFonts w:ascii="宋体" w:hAnsi="宋体" w:cs="宋体"/>
                <w:szCs w:val="21"/>
              </w:rPr>
            </w:pPr>
            <w:r>
              <w:rPr>
                <w:rFonts w:hint="eastAsia" w:ascii="宋体" w:hAnsi="宋体" w:cs="宋体"/>
                <w:szCs w:val="21"/>
              </w:rPr>
              <w:t>工期（日历天）</w:t>
            </w:r>
          </w:p>
        </w:tc>
        <w:tc>
          <w:tcPr>
            <w:tcW w:w="7567" w:type="dxa"/>
            <w:gridSpan w:val="3"/>
            <w:tcBorders>
              <w:top w:val="single" w:color="auto" w:sz="6" w:space="0"/>
              <w:bottom w:val="single" w:color="auto" w:sz="6" w:space="0"/>
            </w:tcBorders>
            <w:noWrap/>
            <w:vAlign w:val="center"/>
          </w:tcPr>
          <w:p w14:paraId="44BA9377">
            <w:pPr>
              <w:ind w:right="23"/>
              <w:jc w:val="center"/>
              <w:textAlignment w:val="baseline"/>
              <w:rPr>
                <w:rFonts w:ascii="宋体" w:hAnsi="宋体" w:cs="宋体"/>
                <w:szCs w:val="21"/>
              </w:rPr>
            </w:pPr>
          </w:p>
        </w:tc>
      </w:tr>
      <w:tr w14:paraId="11F48D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tcBorders>
              <w:top w:val="single" w:color="auto" w:sz="6" w:space="0"/>
              <w:bottom w:val="single" w:color="auto" w:sz="6" w:space="0"/>
            </w:tcBorders>
            <w:noWrap/>
            <w:vAlign w:val="center"/>
          </w:tcPr>
          <w:p w14:paraId="1D2705EF">
            <w:pPr>
              <w:ind w:right="23"/>
              <w:jc w:val="center"/>
              <w:textAlignment w:val="baseline"/>
              <w:rPr>
                <w:rFonts w:ascii="宋体" w:hAnsi="宋体" w:cs="宋体"/>
                <w:szCs w:val="21"/>
              </w:rPr>
            </w:pPr>
            <w:r>
              <w:rPr>
                <w:rFonts w:hint="eastAsia" w:ascii="宋体" w:hAnsi="宋体" w:cs="宋体"/>
                <w:szCs w:val="21"/>
              </w:rPr>
              <w:t>质量标准</w:t>
            </w:r>
          </w:p>
        </w:tc>
        <w:tc>
          <w:tcPr>
            <w:tcW w:w="7567" w:type="dxa"/>
            <w:gridSpan w:val="3"/>
            <w:tcBorders>
              <w:top w:val="single" w:color="auto" w:sz="6" w:space="0"/>
              <w:bottom w:val="single" w:color="auto" w:sz="6" w:space="0"/>
            </w:tcBorders>
            <w:noWrap/>
            <w:vAlign w:val="center"/>
          </w:tcPr>
          <w:p w14:paraId="3CE4FEBB">
            <w:pPr>
              <w:ind w:right="23"/>
              <w:jc w:val="center"/>
              <w:textAlignment w:val="baseline"/>
              <w:rPr>
                <w:rFonts w:ascii="宋体" w:hAnsi="宋体" w:cs="宋体"/>
                <w:szCs w:val="21"/>
              </w:rPr>
            </w:pPr>
          </w:p>
        </w:tc>
      </w:tr>
      <w:tr w14:paraId="4F9CED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tcBorders>
              <w:top w:val="single" w:color="auto" w:sz="6" w:space="0"/>
              <w:bottom w:val="single" w:color="auto" w:sz="6" w:space="0"/>
            </w:tcBorders>
            <w:noWrap/>
            <w:vAlign w:val="center"/>
          </w:tcPr>
          <w:p w14:paraId="5FE50910">
            <w:pPr>
              <w:ind w:right="23"/>
              <w:jc w:val="center"/>
              <w:textAlignment w:val="baseline"/>
              <w:rPr>
                <w:rFonts w:ascii="宋体" w:hAnsi="宋体" w:cs="宋体"/>
                <w:szCs w:val="21"/>
              </w:rPr>
            </w:pPr>
            <w:r>
              <w:rPr>
                <w:rFonts w:hint="eastAsia" w:ascii="宋体" w:hAnsi="宋体" w:cs="宋体"/>
                <w:szCs w:val="21"/>
              </w:rPr>
              <w:t>安全目标</w:t>
            </w:r>
          </w:p>
        </w:tc>
        <w:tc>
          <w:tcPr>
            <w:tcW w:w="7567" w:type="dxa"/>
            <w:gridSpan w:val="3"/>
            <w:tcBorders>
              <w:top w:val="single" w:color="auto" w:sz="6" w:space="0"/>
              <w:bottom w:val="single" w:color="auto" w:sz="6" w:space="0"/>
            </w:tcBorders>
            <w:noWrap/>
            <w:vAlign w:val="center"/>
          </w:tcPr>
          <w:p w14:paraId="51A2200F">
            <w:pPr>
              <w:ind w:right="23"/>
              <w:jc w:val="center"/>
              <w:textAlignment w:val="baseline"/>
              <w:rPr>
                <w:rFonts w:ascii="宋体" w:hAnsi="宋体" w:cs="宋体"/>
                <w:szCs w:val="21"/>
              </w:rPr>
            </w:pPr>
          </w:p>
        </w:tc>
      </w:tr>
      <w:tr w14:paraId="29614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trPr>
        <w:tc>
          <w:tcPr>
            <w:tcW w:w="2550" w:type="dxa"/>
            <w:tcBorders>
              <w:top w:val="single" w:color="auto" w:sz="6" w:space="0"/>
              <w:bottom w:val="single" w:color="auto" w:sz="6" w:space="0"/>
            </w:tcBorders>
            <w:noWrap/>
            <w:vAlign w:val="center"/>
          </w:tcPr>
          <w:p w14:paraId="34EAAB56">
            <w:pPr>
              <w:ind w:right="23"/>
              <w:jc w:val="center"/>
              <w:textAlignment w:val="baseline"/>
              <w:rPr>
                <w:rFonts w:ascii="宋体" w:hAnsi="宋体" w:cs="宋体"/>
                <w:szCs w:val="21"/>
              </w:rPr>
            </w:pPr>
            <w:r>
              <w:rPr>
                <w:rFonts w:hint="eastAsia" w:ascii="宋体" w:hAnsi="宋体" w:cs="宋体"/>
                <w:szCs w:val="21"/>
              </w:rPr>
              <w:t>项目负责人</w:t>
            </w:r>
          </w:p>
        </w:tc>
        <w:tc>
          <w:tcPr>
            <w:tcW w:w="7567" w:type="dxa"/>
            <w:gridSpan w:val="3"/>
            <w:tcBorders>
              <w:top w:val="single" w:color="auto" w:sz="6" w:space="0"/>
              <w:bottom w:val="single" w:color="auto" w:sz="6" w:space="0"/>
            </w:tcBorders>
            <w:noWrap/>
            <w:vAlign w:val="center"/>
          </w:tcPr>
          <w:p w14:paraId="4AAE2CEE">
            <w:pPr>
              <w:ind w:right="23"/>
              <w:jc w:val="center"/>
              <w:textAlignment w:val="baseline"/>
              <w:rPr>
                <w:rFonts w:ascii="宋体" w:hAnsi="宋体" w:cs="宋体"/>
                <w:szCs w:val="21"/>
              </w:rPr>
            </w:pPr>
          </w:p>
        </w:tc>
      </w:tr>
      <w:tr w14:paraId="777DA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6" w:hRule="atLeast"/>
        </w:trPr>
        <w:tc>
          <w:tcPr>
            <w:tcW w:w="2550" w:type="dxa"/>
            <w:tcBorders>
              <w:top w:val="single" w:color="auto" w:sz="6" w:space="0"/>
            </w:tcBorders>
            <w:noWrap/>
            <w:vAlign w:val="center"/>
          </w:tcPr>
          <w:p w14:paraId="64D0546B">
            <w:pPr>
              <w:ind w:right="23"/>
              <w:jc w:val="center"/>
              <w:textAlignment w:val="baseline"/>
              <w:rPr>
                <w:rFonts w:ascii="宋体" w:hAnsi="宋体" w:cs="宋体"/>
                <w:szCs w:val="21"/>
              </w:rPr>
            </w:pPr>
            <w:r>
              <w:rPr>
                <w:rFonts w:hint="eastAsia" w:ascii="宋体" w:hAnsi="宋体" w:cs="宋体"/>
                <w:szCs w:val="21"/>
              </w:rPr>
              <w:t>备  注</w:t>
            </w:r>
          </w:p>
        </w:tc>
        <w:tc>
          <w:tcPr>
            <w:tcW w:w="7567" w:type="dxa"/>
            <w:gridSpan w:val="3"/>
            <w:tcBorders>
              <w:top w:val="single" w:color="auto" w:sz="6" w:space="0"/>
            </w:tcBorders>
            <w:noWrap/>
            <w:vAlign w:val="center"/>
          </w:tcPr>
          <w:p w14:paraId="0A40762B">
            <w:pPr>
              <w:ind w:right="23"/>
              <w:jc w:val="center"/>
              <w:textAlignment w:val="baseline"/>
              <w:rPr>
                <w:rFonts w:ascii="宋体" w:hAnsi="宋体" w:cs="宋体"/>
                <w:szCs w:val="21"/>
              </w:rPr>
            </w:pPr>
          </w:p>
        </w:tc>
      </w:tr>
    </w:tbl>
    <w:p w14:paraId="5817F829">
      <w:pPr>
        <w:snapToGrid w:val="0"/>
        <w:ind w:right="23"/>
        <w:textAlignment w:val="baseline"/>
        <w:rPr>
          <w:rFonts w:ascii="宋体" w:hAnsi="宋体" w:cs="宋体"/>
          <w:sz w:val="24"/>
        </w:rPr>
      </w:pPr>
    </w:p>
    <w:p w14:paraId="52DAEF91">
      <w:pPr>
        <w:snapToGrid w:val="0"/>
        <w:ind w:right="23"/>
        <w:jc w:val="right"/>
        <w:textAlignment w:val="baseline"/>
        <w:rPr>
          <w:rFonts w:ascii="宋体" w:hAnsi="宋体" w:cs="宋体"/>
          <w:sz w:val="20"/>
          <w:szCs w:val="21"/>
        </w:rPr>
      </w:pPr>
    </w:p>
    <w:p w14:paraId="1CAA2DE8">
      <w:pPr>
        <w:snapToGrid w:val="0"/>
        <w:spacing w:line="360" w:lineRule="auto"/>
        <w:ind w:right="23"/>
        <w:textAlignment w:val="baseline"/>
        <w:rPr>
          <w:rFonts w:ascii="宋体" w:hAnsi="宋体" w:cs="宋体"/>
          <w:sz w:val="20"/>
          <w:szCs w:val="21"/>
        </w:rPr>
      </w:pPr>
      <w:r>
        <w:rPr>
          <w:rFonts w:hint="eastAsia" w:ascii="宋体" w:hAnsi="宋体" w:cs="宋体"/>
          <w:szCs w:val="21"/>
        </w:rPr>
        <w:t>说明：“品目代码”栏按</w:t>
      </w:r>
      <w:r>
        <w:rPr>
          <w:rStyle w:val="50"/>
          <w:rFonts w:hint="eastAsia" w:ascii="宋体" w:hAnsi="宋体" w:cs="宋体"/>
          <w:b w:val="0"/>
        </w:rPr>
        <w:t>《政府采购品目分类目录》规定填写，如</w:t>
      </w:r>
      <w:r>
        <w:rPr>
          <w:rFonts w:hint="eastAsia" w:ascii="宋体" w:hAnsi="宋体" w:cs="宋体"/>
          <w:kern w:val="0"/>
          <w:szCs w:val="21"/>
        </w:rPr>
        <w:t>B0303拆除工程</w:t>
      </w:r>
      <w:r>
        <w:rPr>
          <w:rStyle w:val="50"/>
          <w:rFonts w:hint="eastAsia" w:ascii="宋体" w:hAnsi="宋体" w:cs="宋体"/>
          <w:b w:val="0"/>
        </w:rPr>
        <w:t>；</w:t>
      </w:r>
    </w:p>
    <w:p w14:paraId="410F06CA">
      <w:pPr>
        <w:snapToGrid w:val="0"/>
        <w:spacing w:line="360" w:lineRule="auto"/>
        <w:ind w:right="23"/>
        <w:textAlignment w:val="baseline"/>
        <w:rPr>
          <w:rFonts w:ascii="宋体" w:hAnsi="宋体" w:cs="宋体"/>
          <w:sz w:val="20"/>
        </w:rPr>
      </w:pPr>
    </w:p>
    <w:p w14:paraId="331DDFB0">
      <w:pPr>
        <w:snapToGrid w:val="0"/>
        <w:spacing w:line="360" w:lineRule="auto"/>
        <w:ind w:right="23"/>
        <w:textAlignment w:val="baseline"/>
        <w:rPr>
          <w:rFonts w:ascii="宋体" w:hAnsi="宋体" w:cs="宋体"/>
          <w:sz w:val="20"/>
        </w:rPr>
      </w:pPr>
    </w:p>
    <w:p w14:paraId="6A6255AA">
      <w:pPr>
        <w:snapToGrid w:val="0"/>
        <w:spacing w:line="360" w:lineRule="auto"/>
        <w:ind w:right="23" w:firstLine="420" w:firstLineChars="200"/>
        <w:textAlignment w:val="baseline"/>
        <w:rPr>
          <w:rFonts w:ascii="宋体" w:hAnsi="宋体" w:cs="宋体"/>
          <w:sz w:val="20"/>
          <w:szCs w:val="21"/>
        </w:rPr>
      </w:pPr>
      <w:r>
        <w:rPr>
          <w:rFonts w:hint="eastAsia" w:ascii="宋体" w:hAnsi="宋体" w:cs="宋体"/>
          <w:szCs w:val="21"/>
        </w:rPr>
        <w:t>供应商（盖单位章）：</w:t>
      </w:r>
    </w:p>
    <w:p w14:paraId="2D5D77CC">
      <w:pPr>
        <w:snapToGrid w:val="0"/>
        <w:spacing w:line="360" w:lineRule="auto"/>
        <w:ind w:right="23" w:firstLine="420" w:firstLineChars="200"/>
        <w:textAlignment w:val="baseline"/>
        <w:rPr>
          <w:rFonts w:ascii="宋体" w:hAnsi="宋体" w:cs="宋体"/>
          <w:sz w:val="20"/>
          <w:szCs w:val="21"/>
        </w:rPr>
      </w:pPr>
      <w:r>
        <w:rPr>
          <w:rFonts w:hint="eastAsia" w:ascii="宋体" w:hAnsi="宋体" w:cs="宋体"/>
          <w:szCs w:val="21"/>
        </w:rPr>
        <w:t>法定代表人或其委托代理人签字：</w:t>
      </w:r>
    </w:p>
    <w:p w14:paraId="0D4721A6">
      <w:pPr>
        <w:snapToGrid w:val="0"/>
        <w:spacing w:line="360" w:lineRule="auto"/>
        <w:ind w:right="23" w:firstLine="420" w:firstLineChars="200"/>
        <w:textAlignment w:val="baseline"/>
        <w:rPr>
          <w:rFonts w:ascii="宋体" w:hAnsi="宋体" w:cs="宋体"/>
          <w:bCs/>
          <w:sz w:val="20"/>
          <w:szCs w:val="21"/>
        </w:rPr>
      </w:pPr>
      <w:r>
        <w:rPr>
          <w:rFonts w:hint="eastAsia" w:ascii="宋体" w:hAnsi="宋体" w:cs="宋体"/>
          <w:szCs w:val="21"/>
        </w:rPr>
        <w:t>日期：年月日</w:t>
      </w:r>
    </w:p>
    <w:p w14:paraId="5FAD6FC4">
      <w:pPr>
        <w:ind w:firstLine="803"/>
        <w:jc w:val="center"/>
        <w:textAlignment w:val="baseline"/>
        <w:rPr>
          <w:rFonts w:ascii="宋体" w:hAnsi="宋体" w:cs="宋体"/>
          <w:bCs/>
          <w:sz w:val="20"/>
          <w:szCs w:val="21"/>
        </w:rPr>
      </w:pPr>
    </w:p>
    <w:p w14:paraId="34CB0DC5">
      <w:pPr>
        <w:ind w:firstLine="803"/>
        <w:jc w:val="center"/>
        <w:textAlignment w:val="baseline"/>
        <w:rPr>
          <w:rFonts w:ascii="宋体" w:hAnsi="宋体" w:cs="宋体"/>
          <w:bCs/>
          <w:sz w:val="20"/>
          <w:szCs w:val="21"/>
        </w:rPr>
      </w:pPr>
    </w:p>
    <w:p w14:paraId="53D1C7A5">
      <w:pPr>
        <w:pStyle w:val="4"/>
        <w:snapToGrid w:val="0"/>
        <w:spacing w:before="157" w:after="0" w:line="360" w:lineRule="auto"/>
        <w:textAlignment w:val="baseline"/>
        <w:rPr>
          <w:rFonts w:ascii="宋体" w:hAnsi="宋体" w:cs="宋体"/>
          <w:sz w:val="21"/>
          <w:szCs w:val="21"/>
        </w:rPr>
      </w:pPr>
      <w:r>
        <w:rPr>
          <w:rFonts w:hint="eastAsia" w:ascii="宋体" w:hAnsi="宋体" w:cs="宋体"/>
          <w:bCs w:val="0"/>
          <w:szCs w:val="21"/>
        </w:rPr>
        <w:br w:type="page"/>
      </w:r>
    </w:p>
    <w:p w14:paraId="5F6F611F">
      <w:pPr>
        <w:snapToGrid w:val="0"/>
        <w:spacing w:before="157" w:line="360" w:lineRule="auto"/>
        <w:textAlignment w:val="baseline"/>
        <w:outlineLvl w:val="0"/>
        <w:rPr>
          <w:rFonts w:ascii="宋体" w:hAnsi="宋体" w:cs="宋体"/>
          <w:b/>
        </w:rPr>
      </w:pPr>
      <w:r>
        <w:rPr>
          <w:rFonts w:hint="eastAsia" w:ascii="宋体" w:hAnsi="宋体" w:cs="宋体"/>
          <w:b/>
          <w:szCs w:val="21"/>
        </w:rPr>
        <w:t>附件10-2最后报价明细表</w:t>
      </w:r>
    </w:p>
    <w:p w14:paraId="14547580">
      <w:pPr>
        <w:textAlignment w:val="baseline"/>
        <w:rPr>
          <w:sz w:val="20"/>
        </w:rPr>
      </w:pPr>
    </w:p>
    <w:p w14:paraId="7D905929">
      <w:pPr>
        <w:snapToGrid w:val="0"/>
        <w:spacing w:before="157" w:line="360" w:lineRule="auto"/>
        <w:jc w:val="center"/>
        <w:textAlignment w:val="baseline"/>
        <w:rPr>
          <w:rFonts w:ascii="宋体" w:hAnsi="宋体" w:cs="宋体"/>
          <w:b/>
          <w:bCs/>
          <w:color w:val="FF0000"/>
          <w:sz w:val="28"/>
          <w:szCs w:val="28"/>
        </w:rPr>
      </w:pPr>
      <w:r>
        <w:rPr>
          <w:rFonts w:hint="eastAsia" w:ascii="宋体" w:hAnsi="宋体" w:cs="宋体"/>
          <w:b/>
          <w:bCs/>
          <w:color w:val="FF0000"/>
          <w:sz w:val="28"/>
          <w:szCs w:val="28"/>
        </w:rPr>
        <w:t>最后报价明细表为已标价工程量清单</w:t>
      </w:r>
    </w:p>
    <w:p w14:paraId="43957C1B">
      <w:pPr>
        <w:snapToGrid w:val="0"/>
        <w:ind w:left="-88" w:leftChars="-42"/>
        <w:textAlignment w:val="baseline"/>
        <w:rPr>
          <w:rFonts w:ascii="宋体" w:hAnsi="宋体" w:cs="宋体"/>
          <w:sz w:val="20"/>
          <w:szCs w:val="21"/>
        </w:rPr>
      </w:pPr>
    </w:p>
    <w:p w14:paraId="74AD1A24">
      <w:pPr>
        <w:snapToGrid w:val="0"/>
        <w:ind w:left="-88" w:leftChars="-42"/>
        <w:textAlignment w:val="baseline"/>
        <w:rPr>
          <w:rFonts w:ascii="宋体" w:hAnsi="宋体" w:cs="宋体"/>
          <w:sz w:val="20"/>
          <w:szCs w:val="21"/>
        </w:rPr>
      </w:pPr>
    </w:p>
    <w:p w14:paraId="5E991536">
      <w:pPr>
        <w:snapToGrid w:val="0"/>
        <w:ind w:left="-88" w:leftChars="-42"/>
        <w:textAlignment w:val="baseline"/>
        <w:rPr>
          <w:rFonts w:ascii="宋体" w:hAnsi="宋体" w:cs="宋体"/>
          <w:sz w:val="20"/>
          <w:szCs w:val="21"/>
        </w:rPr>
      </w:pPr>
    </w:p>
    <w:p w14:paraId="442CB165">
      <w:pPr>
        <w:snapToGrid w:val="0"/>
        <w:spacing w:line="360" w:lineRule="auto"/>
        <w:textAlignment w:val="baseline"/>
        <w:rPr>
          <w:rFonts w:ascii="宋体" w:hAnsi="宋体" w:cs="宋体"/>
          <w:color w:val="FF0000"/>
          <w:sz w:val="20"/>
          <w:szCs w:val="21"/>
        </w:rPr>
      </w:pPr>
      <w:r>
        <w:rPr>
          <w:rFonts w:hint="eastAsia" w:ascii="宋体" w:hAnsi="宋体" w:cs="宋体"/>
          <w:color w:val="FF0000"/>
          <w:szCs w:val="21"/>
        </w:rPr>
        <w:t>说明：</w:t>
      </w:r>
    </w:p>
    <w:p w14:paraId="6C2058DB">
      <w:pPr>
        <w:snapToGrid w:val="0"/>
        <w:spacing w:line="360" w:lineRule="auto"/>
        <w:ind w:firstLine="420" w:firstLineChars="200"/>
        <w:textAlignment w:val="baseline"/>
        <w:rPr>
          <w:rFonts w:ascii="宋体" w:hAnsi="宋体" w:cs="宋体"/>
          <w:color w:val="FF0000"/>
          <w:sz w:val="20"/>
          <w:szCs w:val="21"/>
        </w:rPr>
      </w:pPr>
      <w:r>
        <w:rPr>
          <w:rFonts w:hint="eastAsia" w:ascii="宋体" w:hAnsi="宋体" w:cs="宋体"/>
          <w:color w:val="FF0000"/>
          <w:szCs w:val="21"/>
        </w:rPr>
        <w:t>1、最后报价按第二章磋商须知第30条规定提供。</w:t>
      </w:r>
    </w:p>
    <w:p w14:paraId="68473E9C">
      <w:pPr>
        <w:snapToGrid w:val="0"/>
        <w:spacing w:line="360" w:lineRule="auto"/>
        <w:ind w:firstLine="400" w:firstLineChars="200"/>
        <w:textAlignment w:val="baseline"/>
        <w:rPr>
          <w:rFonts w:ascii="宋体" w:hAnsi="宋体" w:cs="宋体"/>
          <w:color w:val="FF0000"/>
          <w:sz w:val="20"/>
          <w:szCs w:val="21"/>
        </w:rPr>
      </w:pPr>
      <w:r>
        <w:rPr>
          <w:rFonts w:hint="eastAsia" w:ascii="宋体" w:hAnsi="宋体" w:cs="宋体"/>
          <w:color w:val="FF0000"/>
          <w:sz w:val="20"/>
          <w:szCs w:val="21"/>
        </w:rPr>
        <w:t>2、最后报价须提供总报价及最后已标价的工程量清单，否则视为未满足磋商文件要求该项分值不计分。</w:t>
      </w:r>
    </w:p>
    <w:p w14:paraId="105BEBE0">
      <w:pPr>
        <w:snapToGrid w:val="0"/>
        <w:spacing w:line="360" w:lineRule="auto"/>
        <w:ind w:firstLine="400" w:firstLineChars="200"/>
        <w:textAlignment w:val="baseline"/>
        <w:rPr>
          <w:rFonts w:ascii="宋体" w:hAnsi="宋体" w:cs="宋体"/>
          <w:sz w:val="20"/>
          <w:szCs w:val="21"/>
        </w:rPr>
      </w:pPr>
    </w:p>
    <w:p w14:paraId="223FC6CE">
      <w:pPr>
        <w:snapToGrid w:val="0"/>
        <w:spacing w:before="157" w:line="360" w:lineRule="auto"/>
        <w:jc w:val="center"/>
        <w:textAlignment w:val="baseline"/>
        <w:rPr>
          <w:rFonts w:ascii="宋体" w:hAnsi="宋体" w:cs="宋体"/>
          <w:b/>
          <w:sz w:val="32"/>
          <w:szCs w:val="32"/>
        </w:rPr>
      </w:pPr>
    </w:p>
    <w:p w14:paraId="641CE3AA">
      <w:pPr>
        <w:textAlignment w:val="baseline"/>
        <w:rPr>
          <w:rFonts w:ascii="宋体" w:hAnsi="宋体" w:cs="宋体"/>
          <w:sz w:val="20"/>
        </w:rPr>
      </w:pPr>
    </w:p>
    <w:p w14:paraId="6A9B3EC8">
      <w:pPr>
        <w:textAlignment w:val="baseline"/>
        <w:rPr>
          <w:rFonts w:ascii="宋体" w:hAnsi="宋体" w:cs="宋体"/>
          <w:sz w:val="20"/>
        </w:rPr>
      </w:pPr>
    </w:p>
    <w:p w14:paraId="1611805B">
      <w:pPr>
        <w:snapToGrid w:val="0"/>
        <w:spacing w:line="360" w:lineRule="auto"/>
        <w:textAlignment w:val="baseline"/>
        <w:rPr>
          <w:rFonts w:ascii="宋体" w:hAnsi="宋体" w:cs="宋体"/>
          <w:color w:val="000000" w:themeColor="text1"/>
          <w:sz w:val="20"/>
          <w:szCs w:val="21"/>
        </w:rPr>
      </w:pPr>
    </w:p>
    <w:p w14:paraId="38DE7C2B">
      <w:pPr>
        <w:snapToGrid w:val="0"/>
        <w:spacing w:line="360" w:lineRule="auto"/>
        <w:textAlignment w:val="baseline"/>
        <w:rPr>
          <w:rFonts w:ascii="宋体" w:hAnsi="宋体" w:cs="宋体"/>
          <w:color w:val="000000" w:themeColor="text1"/>
          <w:sz w:val="20"/>
          <w:szCs w:val="21"/>
        </w:rPr>
      </w:pPr>
    </w:p>
    <w:p w14:paraId="08598B80">
      <w:pPr>
        <w:snapToGrid w:val="0"/>
        <w:spacing w:line="360" w:lineRule="auto"/>
        <w:textAlignment w:val="baseline"/>
        <w:rPr>
          <w:rFonts w:ascii="宋体" w:hAnsi="宋体" w:cs="宋体"/>
          <w:color w:val="000000" w:themeColor="text1"/>
          <w:sz w:val="20"/>
          <w:szCs w:val="21"/>
        </w:rPr>
      </w:pPr>
    </w:p>
    <w:sectPr>
      <w:pgSz w:w="11906" w:h="16838"/>
      <w:pgMar w:top="1440" w:right="1080" w:bottom="1440" w:left="1080" w:header="851" w:footer="992" w:gutter="0"/>
      <w:pgNumType w:fmt="numberInDash"/>
      <w:cols w:space="720" w:num="1"/>
      <w:docGrid w:type="linesAndChars" w:linePitch="315" w:charSpace="1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ail">
    <w:altName w:val="Times New Roman"/>
    <w:panose1 w:val="00000000000000000000"/>
    <w:charset w:val="00"/>
    <w:family w:val="roman"/>
    <w:pitch w:val="default"/>
    <w:sig w:usb0="00000000" w:usb1="00000000" w:usb2="00000000" w:usb3="00000000" w:csb0="00040001" w:csb1="00000000"/>
  </w:font>
  <w:font w:name="长城仿宋">
    <w:altName w:val="黑体"/>
    <w:panose1 w:val="00000000000000000000"/>
    <w:charset w:val="00"/>
    <w:family w:val="moder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Microsoft Sans Serif">
    <w:panose1 w:val="020B0604020202020204"/>
    <w:charset w:val="00"/>
    <w:family w:val="swiss"/>
    <w:pitch w:val="default"/>
    <w:sig w:usb0="E1002AFF" w:usb1="C0000002" w:usb2="00000008" w:usb3="00000000" w:csb0="200101FF" w:csb1="2028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 w:name="SansSerif">
    <w:altName w:val="Segoe Print"/>
    <w:panose1 w:val="000004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20B060602020203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E90F0">
    <w:pPr>
      <w:pStyle w:val="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33D86">
    <w:pPr>
      <w:pStyle w:val="31"/>
      <w:framePr w:wrap="around" w:vAnchor="text" w:hAnchor="margin" w:xAlign="right" w:y="1"/>
      <w:rPr>
        <w:rStyle w:val="51"/>
      </w:rPr>
    </w:pPr>
    <w:r>
      <w:fldChar w:fldCharType="begin"/>
    </w:r>
    <w:r>
      <w:rPr>
        <w:rStyle w:val="51"/>
      </w:rPr>
      <w:instrText xml:space="preserve">PAGE  </w:instrText>
    </w:r>
    <w:r>
      <w:fldChar w:fldCharType="end"/>
    </w:r>
  </w:p>
  <w:p w14:paraId="6A46D866">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23FE5">
    <w:pPr>
      <w:pStyle w:val="31"/>
      <w:tabs>
        <w:tab w:val="clear" w:pos="4153"/>
      </w:tabs>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D1355">
    <w:pPr>
      <w:pStyle w:val="31"/>
      <w:framePr w:wrap="around" w:vAnchor="text" w:hAnchor="margin" w:xAlign="right" w:y="1"/>
      <w:rPr>
        <w:rStyle w:val="51"/>
      </w:rPr>
    </w:pPr>
    <w:r>
      <w:fldChar w:fldCharType="begin"/>
    </w:r>
    <w:r>
      <w:rPr>
        <w:rStyle w:val="51"/>
      </w:rPr>
      <w:instrText xml:space="preserve">PAGE  </w:instrText>
    </w:r>
    <w:r>
      <w:fldChar w:fldCharType="end"/>
    </w:r>
  </w:p>
  <w:p w14:paraId="144C9164">
    <w:pPr>
      <w:pStyle w:val="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7EDF0">
    <w:pPr>
      <w:pStyle w:val="31"/>
      <w:ind w:right="360"/>
      <w:rPr>
        <w:rFonts w:ascii="宋体" w:hAnsi="宋体"/>
        <w:bCs/>
      </w:rP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14:paraId="32B80D7A">
                <w:pPr>
                  <w:pStyle w:val="31"/>
                </w:pPr>
                <w:r>
                  <w:fldChar w:fldCharType="begin"/>
                </w:r>
                <w:r>
                  <w:instrText xml:space="preserve"> PAGE  \* MERGEFORMAT </w:instrText>
                </w:r>
                <w:r>
                  <w:fldChar w:fldCharType="separate"/>
                </w:r>
                <w:r>
                  <w:t>- 8 -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D4D2C">
    <w:pPr>
      <w:pStyle w:val="66"/>
      <w:tabs>
        <w:tab w:val="clear" w:pos="4153"/>
        <w:tab w:val="clear" w:pos="8306"/>
      </w:tabs>
      <w:spacing w:before="120"/>
      <w:jc w:val="left"/>
    </w:pPr>
    <w:r>
      <w:rPr>
        <w:rFonts w:hint="eastAsia"/>
      </w:rPr>
      <w:t xml:space="preserve">衡阳市公安消防支队职工、老人食堂及老人生活照料服务项目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419B0">
    <w:pPr>
      <w:pStyle w:val="3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3DBB3">
    <w:pPr>
      <w:pStyle w:val="33"/>
      <w:jc w:val="both"/>
    </w:pPr>
    <w:r>
      <w:rPr>
        <w:rFonts w:hint="eastAsia"/>
        <w:lang w:eastAsia="zh-CN"/>
      </w:rPr>
      <w:t>汝城县2024年第三批农村公路安防工程</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BDAE9">
    <w:pPr>
      <w:pStyle w:val="33"/>
      <w:jc w:val="left"/>
      <w:rPr>
        <w:rFonts w:hint="eastAsia" w:eastAsia="宋体"/>
        <w:lang w:eastAsia="zh-CN"/>
      </w:rPr>
    </w:pPr>
    <w:r>
      <w:rPr>
        <w:rFonts w:hint="eastAsia"/>
        <w:highlight w:val="yellow"/>
        <w:lang w:eastAsia="zh-CN"/>
      </w:rPr>
      <w:t>汝城县2024年第三批农村公路安防工程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63C1D7"/>
    <w:multiLevelType w:val="singleLevel"/>
    <w:tmpl w:val="CC63C1D7"/>
    <w:lvl w:ilvl="0" w:tentative="0">
      <w:start w:val="1"/>
      <w:numFmt w:val="decimal"/>
      <w:suff w:val="nothing"/>
      <w:lvlText w:val="%1、"/>
      <w:lvlJc w:val="left"/>
    </w:lvl>
  </w:abstractNum>
  <w:abstractNum w:abstractNumId="1">
    <w:nsid w:val="F1190616"/>
    <w:multiLevelType w:val="singleLevel"/>
    <w:tmpl w:val="F1190616"/>
    <w:lvl w:ilvl="0" w:tentative="0">
      <w:start w:val="3"/>
      <w:numFmt w:val="chineseCounting"/>
      <w:suff w:val="space"/>
      <w:lvlText w:val="第%1章"/>
      <w:lvlJc w:val="left"/>
      <w:rPr>
        <w:rFonts w:hint="eastAsia"/>
      </w:rPr>
    </w:lvl>
  </w:abstractNum>
  <w:abstractNum w:abstractNumId="2">
    <w:nsid w:val="F3CB07A1"/>
    <w:multiLevelType w:val="singleLevel"/>
    <w:tmpl w:val="F3CB07A1"/>
    <w:lvl w:ilvl="0" w:tentative="0">
      <w:start w:val="1"/>
      <w:numFmt w:val="decimal"/>
      <w:suff w:val="nothing"/>
      <w:lvlText w:val="%1、"/>
      <w:lvlJc w:val="left"/>
    </w:lvl>
  </w:abstractNum>
  <w:abstractNum w:abstractNumId="3">
    <w:nsid w:val="069E5F4B"/>
    <w:multiLevelType w:val="singleLevel"/>
    <w:tmpl w:val="069E5F4B"/>
    <w:lvl w:ilvl="0" w:tentative="0">
      <w:start w:val="1"/>
      <w:numFmt w:val="chineseCounting"/>
      <w:suff w:val="nothing"/>
      <w:lvlText w:val="%1、"/>
      <w:lvlJc w:val="left"/>
      <w:rPr>
        <w:rFonts w:hint="eastAsia"/>
      </w:rPr>
    </w:lvl>
  </w:abstractNum>
  <w:abstractNum w:abstractNumId="4">
    <w:nsid w:val="16821E28"/>
    <w:multiLevelType w:val="singleLevel"/>
    <w:tmpl w:val="16821E28"/>
    <w:lvl w:ilvl="0" w:tentative="0">
      <w:start w:val="1"/>
      <w:numFmt w:val="decimal"/>
      <w:suff w:val="nothing"/>
      <w:lvlText w:val="（%1）"/>
      <w:lvlJc w:val="left"/>
    </w:lvl>
  </w:abstractNum>
  <w:abstractNum w:abstractNumId="5">
    <w:nsid w:val="23293D69"/>
    <w:multiLevelType w:val="singleLevel"/>
    <w:tmpl w:val="23293D69"/>
    <w:lvl w:ilvl="0" w:tentative="0">
      <w:start w:val="1"/>
      <w:numFmt w:val="decimal"/>
      <w:suff w:val="nothing"/>
      <w:lvlText w:val="%1、"/>
      <w:lvlJc w:val="left"/>
    </w:lvl>
  </w:abstractNum>
  <w:abstractNum w:abstractNumId="6">
    <w:nsid w:val="64E993DE"/>
    <w:multiLevelType w:val="singleLevel"/>
    <w:tmpl w:val="64E993DE"/>
    <w:lvl w:ilvl="0" w:tentative="0">
      <w:start w:val="1"/>
      <w:numFmt w:val="chineseCounting"/>
      <w:suff w:val="nothing"/>
      <w:lvlText w:val="%1、"/>
      <w:lvlJc w:val="left"/>
      <w:rPr>
        <w:rFonts w:hint="eastAsia"/>
      </w:rPr>
    </w:lvl>
  </w:abstractNum>
  <w:num w:numId="1">
    <w:abstractNumId w:val="5"/>
  </w:num>
  <w:num w:numId="2">
    <w:abstractNumId w:val="0"/>
  </w:num>
  <w:num w:numId="3">
    <w:abstractNumId w:val="2"/>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gutterAtTop/>
  <w:doNotTrackMoves/>
  <w:documentProtection w:enforcement="0"/>
  <w:defaultTabStop w:val="420"/>
  <w:drawingGridHorizontalSpacing w:val="105"/>
  <w:drawingGridVerticalSpacing w:val="319"/>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kzZDY2OGUzZjlmOWIyMTI3OGMwMTU0ZGU2ODk1ZjkifQ=="/>
  </w:docVars>
  <w:rsids>
    <w:rsidRoot w:val="00F04767"/>
    <w:rsid w:val="00000B7C"/>
    <w:rsid w:val="00001446"/>
    <w:rsid w:val="00001767"/>
    <w:rsid w:val="00001913"/>
    <w:rsid w:val="00001CF3"/>
    <w:rsid w:val="00002733"/>
    <w:rsid w:val="00002C35"/>
    <w:rsid w:val="00002C7B"/>
    <w:rsid w:val="00002D41"/>
    <w:rsid w:val="000033F7"/>
    <w:rsid w:val="00003408"/>
    <w:rsid w:val="00003BE5"/>
    <w:rsid w:val="00004243"/>
    <w:rsid w:val="00004D04"/>
    <w:rsid w:val="00005051"/>
    <w:rsid w:val="00005396"/>
    <w:rsid w:val="000053AD"/>
    <w:rsid w:val="00005C77"/>
    <w:rsid w:val="00006600"/>
    <w:rsid w:val="00006A46"/>
    <w:rsid w:val="00010A81"/>
    <w:rsid w:val="00010BC8"/>
    <w:rsid w:val="000119F9"/>
    <w:rsid w:val="00011FE9"/>
    <w:rsid w:val="00012572"/>
    <w:rsid w:val="00012C33"/>
    <w:rsid w:val="000133D3"/>
    <w:rsid w:val="00013538"/>
    <w:rsid w:val="00014803"/>
    <w:rsid w:val="000150D8"/>
    <w:rsid w:val="0001593A"/>
    <w:rsid w:val="00015CE8"/>
    <w:rsid w:val="00015EBD"/>
    <w:rsid w:val="00016FB7"/>
    <w:rsid w:val="0001707B"/>
    <w:rsid w:val="00020126"/>
    <w:rsid w:val="00020245"/>
    <w:rsid w:val="0002054F"/>
    <w:rsid w:val="00023609"/>
    <w:rsid w:val="0002392F"/>
    <w:rsid w:val="00024530"/>
    <w:rsid w:val="000258FB"/>
    <w:rsid w:val="00030A8D"/>
    <w:rsid w:val="00030B40"/>
    <w:rsid w:val="0003125D"/>
    <w:rsid w:val="00031998"/>
    <w:rsid w:val="000319E2"/>
    <w:rsid w:val="00032ECF"/>
    <w:rsid w:val="0003410F"/>
    <w:rsid w:val="000342B6"/>
    <w:rsid w:val="00034D71"/>
    <w:rsid w:val="00034FA3"/>
    <w:rsid w:val="000351AB"/>
    <w:rsid w:val="00035EEF"/>
    <w:rsid w:val="00036115"/>
    <w:rsid w:val="00036298"/>
    <w:rsid w:val="00036615"/>
    <w:rsid w:val="00036ADB"/>
    <w:rsid w:val="00037DD0"/>
    <w:rsid w:val="00037E90"/>
    <w:rsid w:val="00040775"/>
    <w:rsid w:val="000416B3"/>
    <w:rsid w:val="00041BB3"/>
    <w:rsid w:val="0004239B"/>
    <w:rsid w:val="0004290E"/>
    <w:rsid w:val="00042DFB"/>
    <w:rsid w:val="00043623"/>
    <w:rsid w:val="00044502"/>
    <w:rsid w:val="00044CFE"/>
    <w:rsid w:val="00045F07"/>
    <w:rsid w:val="00047223"/>
    <w:rsid w:val="00047F7E"/>
    <w:rsid w:val="00051849"/>
    <w:rsid w:val="00052455"/>
    <w:rsid w:val="00052B5E"/>
    <w:rsid w:val="00052FCF"/>
    <w:rsid w:val="00055829"/>
    <w:rsid w:val="00055FF4"/>
    <w:rsid w:val="00056340"/>
    <w:rsid w:val="00057C97"/>
    <w:rsid w:val="00060AE0"/>
    <w:rsid w:val="00060BCC"/>
    <w:rsid w:val="00060E37"/>
    <w:rsid w:val="0006120C"/>
    <w:rsid w:val="0006167C"/>
    <w:rsid w:val="000617F1"/>
    <w:rsid w:val="00061A6C"/>
    <w:rsid w:val="00061F40"/>
    <w:rsid w:val="00062157"/>
    <w:rsid w:val="00062301"/>
    <w:rsid w:val="000626FD"/>
    <w:rsid w:val="00063BE9"/>
    <w:rsid w:val="00065335"/>
    <w:rsid w:val="00065A3D"/>
    <w:rsid w:val="00065BEC"/>
    <w:rsid w:val="000661B7"/>
    <w:rsid w:val="00066244"/>
    <w:rsid w:val="0006660C"/>
    <w:rsid w:val="0006662B"/>
    <w:rsid w:val="00066DBA"/>
    <w:rsid w:val="0006736D"/>
    <w:rsid w:val="0007010C"/>
    <w:rsid w:val="000708F4"/>
    <w:rsid w:val="0007124A"/>
    <w:rsid w:val="00073EF8"/>
    <w:rsid w:val="0007452B"/>
    <w:rsid w:val="00074570"/>
    <w:rsid w:val="00074D65"/>
    <w:rsid w:val="00074E76"/>
    <w:rsid w:val="00075476"/>
    <w:rsid w:val="00075D94"/>
    <w:rsid w:val="00076073"/>
    <w:rsid w:val="000760B9"/>
    <w:rsid w:val="00077BCA"/>
    <w:rsid w:val="00077C4D"/>
    <w:rsid w:val="0008029F"/>
    <w:rsid w:val="00080ADE"/>
    <w:rsid w:val="000811DF"/>
    <w:rsid w:val="00081434"/>
    <w:rsid w:val="00081649"/>
    <w:rsid w:val="00082920"/>
    <w:rsid w:val="00082C83"/>
    <w:rsid w:val="00083747"/>
    <w:rsid w:val="000839CE"/>
    <w:rsid w:val="00083A1C"/>
    <w:rsid w:val="00083D1D"/>
    <w:rsid w:val="000842A6"/>
    <w:rsid w:val="00084D1C"/>
    <w:rsid w:val="0008500D"/>
    <w:rsid w:val="000855DE"/>
    <w:rsid w:val="00085C4A"/>
    <w:rsid w:val="00085C96"/>
    <w:rsid w:val="00085D0E"/>
    <w:rsid w:val="00085F1E"/>
    <w:rsid w:val="00085FDF"/>
    <w:rsid w:val="000860C9"/>
    <w:rsid w:val="00086595"/>
    <w:rsid w:val="00086977"/>
    <w:rsid w:val="00086CB1"/>
    <w:rsid w:val="00086E85"/>
    <w:rsid w:val="000871A2"/>
    <w:rsid w:val="00087C35"/>
    <w:rsid w:val="00087DC5"/>
    <w:rsid w:val="0009052B"/>
    <w:rsid w:val="000907B6"/>
    <w:rsid w:val="000909B2"/>
    <w:rsid w:val="00090A53"/>
    <w:rsid w:val="00090E34"/>
    <w:rsid w:val="00090ED7"/>
    <w:rsid w:val="00090EFA"/>
    <w:rsid w:val="000915F4"/>
    <w:rsid w:val="0009199D"/>
    <w:rsid w:val="00092141"/>
    <w:rsid w:val="00092C9B"/>
    <w:rsid w:val="0009364D"/>
    <w:rsid w:val="000938B7"/>
    <w:rsid w:val="00094620"/>
    <w:rsid w:val="00094B6F"/>
    <w:rsid w:val="00095066"/>
    <w:rsid w:val="000957AE"/>
    <w:rsid w:val="00095E0F"/>
    <w:rsid w:val="00095F99"/>
    <w:rsid w:val="000962CB"/>
    <w:rsid w:val="00096A97"/>
    <w:rsid w:val="00097DBE"/>
    <w:rsid w:val="000A0278"/>
    <w:rsid w:val="000A1494"/>
    <w:rsid w:val="000A1823"/>
    <w:rsid w:val="000A22AC"/>
    <w:rsid w:val="000A24F4"/>
    <w:rsid w:val="000A27CC"/>
    <w:rsid w:val="000A2DDD"/>
    <w:rsid w:val="000A33CA"/>
    <w:rsid w:val="000A3828"/>
    <w:rsid w:val="000A3967"/>
    <w:rsid w:val="000A468B"/>
    <w:rsid w:val="000A4B88"/>
    <w:rsid w:val="000A4EDA"/>
    <w:rsid w:val="000A5283"/>
    <w:rsid w:val="000A570E"/>
    <w:rsid w:val="000A5B50"/>
    <w:rsid w:val="000A6302"/>
    <w:rsid w:val="000A65C7"/>
    <w:rsid w:val="000A66A2"/>
    <w:rsid w:val="000A7450"/>
    <w:rsid w:val="000A77AB"/>
    <w:rsid w:val="000A7F4F"/>
    <w:rsid w:val="000B032B"/>
    <w:rsid w:val="000B0CE7"/>
    <w:rsid w:val="000B0D02"/>
    <w:rsid w:val="000B0FBE"/>
    <w:rsid w:val="000B38F6"/>
    <w:rsid w:val="000B4D6B"/>
    <w:rsid w:val="000B4F5A"/>
    <w:rsid w:val="000B4FE3"/>
    <w:rsid w:val="000B50C3"/>
    <w:rsid w:val="000B6A28"/>
    <w:rsid w:val="000B6A78"/>
    <w:rsid w:val="000B6C8F"/>
    <w:rsid w:val="000B70C1"/>
    <w:rsid w:val="000B754F"/>
    <w:rsid w:val="000C0348"/>
    <w:rsid w:val="000C10D5"/>
    <w:rsid w:val="000C17EF"/>
    <w:rsid w:val="000C3B0D"/>
    <w:rsid w:val="000C4452"/>
    <w:rsid w:val="000C565B"/>
    <w:rsid w:val="000C566A"/>
    <w:rsid w:val="000C5FE2"/>
    <w:rsid w:val="000C6E44"/>
    <w:rsid w:val="000C6F7E"/>
    <w:rsid w:val="000C711A"/>
    <w:rsid w:val="000C7F0A"/>
    <w:rsid w:val="000D0149"/>
    <w:rsid w:val="000D0A82"/>
    <w:rsid w:val="000D159B"/>
    <w:rsid w:val="000D1DCC"/>
    <w:rsid w:val="000D23C0"/>
    <w:rsid w:val="000D2525"/>
    <w:rsid w:val="000D386C"/>
    <w:rsid w:val="000D4503"/>
    <w:rsid w:val="000D593E"/>
    <w:rsid w:val="000D5BC3"/>
    <w:rsid w:val="000D6D4B"/>
    <w:rsid w:val="000D7947"/>
    <w:rsid w:val="000E0C52"/>
    <w:rsid w:val="000E0E0B"/>
    <w:rsid w:val="000E0F58"/>
    <w:rsid w:val="000E0FCA"/>
    <w:rsid w:val="000E17D3"/>
    <w:rsid w:val="000E3AC8"/>
    <w:rsid w:val="000E43D3"/>
    <w:rsid w:val="000E495E"/>
    <w:rsid w:val="000E55D2"/>
    <w:rsid w:val="000E5F5F"/>
    <w:rsid w:val="000E6D06"/>
    <w:rsid w:val="000E6E90"/>
    <w:rsid w:val="000E6FC9"/>
    <w:rsid w:val="000E6FED"/>
    <w:rsid w:val="000F03B3"/>
    <w:rsid w:val="000F0553"/>
    <w:rsid w:val="000F07F3"/>
    <w:rsid w:val="000F188D"/>
    <w:rsid w:val="000F1962"/>
    <w:rsid w:val="000F2860"/>
    <w:rsid w:val="000F2A71"/>
    <w:rsid w:val="000F2F23"/>
    <w:rsid w:val="000F315C"/>
    <w:rsid w:val="000F31DC"/>
    <w:rsid w:val="000F437E"/>
    <w:rsid w:val="000F4BEF"/>
    <w:rsid w:val="000F4D18"/>
    <w:rsid w:val="000F514B"/>
    <w:rsid w:val="000F52BD"/>
    <w:rsid w:val="000F53CC"/>
    <w:rsid w:val="000F5C40"/>
    <w:rsid w:val="000F61F1"/>
    <w:rsid w:val="000F681E"/>
    <w:rsid w:val="000F6A1E"/>
    <w:rsid w:val="000F711B"/>
    <w:rsid w:val="00100184"/>
    <w:rsid w:val="00100821"/>
    <w:rsid w:val="00100B31"/>
    <w:rsid w:val="00100E07"/>
    <w:rsid w:val="00100F6A"/>
    <w:rsid w:val="00101CE6"/>
    <w:rsid w:val="00102407"/>
    <w:rsid w:val="00102C0C"/>
    <w:rsid w:val="00102EE9"/>
    <w:rsid w:val="00102EF5"/>
    <w:rsid w:val="0010307E"/>
    <w:rsid w:val="001036FD"/>
    <w:rsid w:val="001043DB"/>
    <w:rsid w:val="00104575"/>
    <w:rsid w:val="001049A6"/>
    <w:rsid w:val="00104CB6"/>
    <w:rsid w:val="0010526E"/>
    <w:rsid w:val="00105C01"/>
    <w:rsid w:val="00105DAA"/>
    <w:rsid w:val="00106A29"/>
    <w:rsid w:val="00106F12"/>
    <w:rsid w:val="00106FEC"/>
    <w:rsid w:val="00107947"/>
    <w:rsid w:val="00110127"/>
    <w:rsid w:val="001104C2"/>
    <w:rsid w:val="001109F6"/>
    <w:rsid w:val="00110EE1"/>
    <w:rsid w:val="001113EF"/>
    <w:rsid w:val="00111F4D"/>
    <w:rsid w:val="00112366"/>
    <w:rsid w:val="0011309B"/>
    <w:rsid w:val="001130D7"/>
    <w:rsid w:val="00113D16"/>
    <w:rsid w:val="001141F2"/>
    <w:rsid w:val="00114262"/>
    <w:rsid w:val="00114667"/>
    <w:rsid w:val="00114953"/>
    <w:rsid w:val="00115D82"/>
    <w:rsid w:val="001161D4"/>
    <w:rsid w:val="00116A4A"/>
    <w:rsid w:val="001172B1"/>
    <w:rsid w:val="00117356"/>
    <w:rsid w:val="00117FD3"/>
    <w:rsid w:val="00120B1E"/>
    <w:rsid w:val="00120E46"/>
    <w:rsid w:val="00121302"/>
    <w:rsid w:val="001216AE"/>
    <w:rsid w:val="001217DD"/>
    <w:rsid w:val="0012182A"/>
    <w:rsid w:val="0012183F"/>
    <w:rsid w:val="00122E41"/>
    <w:rsid w:val="00122F03"/>
    <w:rsid w:val="00122FB5"/>
    <w:rsid w:val="001230A2"/>
    <w:rsid w:val="00123928"/>
    <w:rsid w:val="00123C71"/>
    <w:rsid w:val="00123FA9"/>
    <w:rsid w:val="00123FF8"/>
    <w:rsid w:val="00125155"/>
    <w:rsid w:val="00126268"/>
    <w:rsid w:val="0012650C"/>
    <w:rsid w:val="001266A4"/>
    <w:rsid w:val="00126B96"/>
    <w:rsid w:val="00126C8D"/>
    <w:rsid w:val="00127EA9"/>
    <w:rsid w:val="0013048B"/>
    <w:rsid w:val="00130EF6"/>
    <w:rsid w:val="001313E5"/>
    <w:rsid w:val="00131569"/>
    <w:rsid w:val="00131F2A"/>
    <w:rsid w:val="0013315F"/>
    <w:rsid w:val="00135135"/>
    <w:rsid w:val="00135AE7"/>
    <w:rsid w:val="00135B11"/>
    <w:rsid w:val="00135DEC"/>
    <w:rsid w:val="00136DD1"/>
    <w:rsid w:val="0013728F"/>
    <w:rsid w:val="00137E1D"/>
    <w:rsid w:val="00140A06"/>
    <w:rsid w:val="00140BEF"/>
    <w:rsid w:val="00141343"/>
    <w:rsid w:val="00141919"/>
    <w:rsid w:val="0014355E"/>
    <w:rsid w:val="001440FA"/>
    <w:rsid w:val="001448F8"/>
    <w:rsid w:val="00144FB1"/>
    <w:rsid w:val="001454C9"/>
    <w:rsid w:val="0014550F"/>
    <w:rsid w:val="001455F3"/>
    <w:rsid w:val="00145692"/>
    <w:rsid w:val="001456BA"/>
    <w:rsid w:val="001458FC"/>
    <w:rsid w:val="00145AC6"/>
    <w:rsid w:val="00146645"/>
    <w:rsid w:val="00146666"/>
    <w:rsid w:val="0014674F"/>
    <w:rsid w:val="00146917"/>
    <w:rsid w:val="00146E0B"/>
    <w:rsid w:val="001474DF"/>
    <w:rsid w:val="00147C03"/>
    <w:rsid w:val="00147C47"/>
    <w:rsid w:val="001502DA"/>
    <w:rsid w:val="00150C9F"/>
    <w:rsid w:val="00151F01"/>
    <w:rsid w:val="0015252E"/>
    <w:rsid w:val="0015262B"/>
    <w:rsid w:val="001529E0"/>
    <w:rsid w:val="00153AC9"/>
    <w:rsid w:val="00153B87"/>
    <w:rsid w:val="001546BB"/>
    <w:rsid w:val="00154CEE"/>
    <w:rsid w:val="0015764D"/>
    <w:rsid w:val="001579CE"/>
    <w:rsid w:val="00157ECE"/>
    <w:rsid w:val="00160CB1"/>
    <w:rsid w:val="00161278"/>
    <w:rsid w:val="00161CA1"/>
    <w:rsid w:val="00161F17"/>
    <w:rsid w:val="001621E4"/>
    <w:rsid w:val="001624F0"/>
    <w:rsid w:val="0016270F"/>
    <w:rsid w:val="0016466E"/>
    <w:rsid w:val="00164826"/>
    <w:rsid w:val="0016482D"/>
    <w:rsid w:val="00164C12"/>
    <w:rsid w:val="001658F4"/>
    <w:rsid w:val="00165949"/>
    <w:rsid w:val="00165F92"/>
    <w:rsid w:val="00165FBC"/>
    <w:rsid w:val="00166668"/>
    <w:rsid w:val="0016722C"/>
    <w:rsid w:val="00167784"/>
    <w:rsid w:val="00167AF1"/>
    <w:rsid w:val="00170207"/>
    <w:rsid w:val="001703CE"/>
    <w:rsid w:val="001709C9"/>
    <w:rsid w:val="00170C1F"/>
    <w:rsid w:val="00171029"/>
    <w:rsid w:val="001721B1"/>
    <w:rsid w:val="00172392"/>
    <w:rsid w:val="00172EA6"/>
    <w:rsid w:val="0017331D"/>
    <w:rsid w:val="00173430"/>
    <w:rsid w:val="001736A7"/>
    <w:rsid w:val="00173A06"/>
    <w:rsid w:val="00173E01"/>
    <w:rsid w:val="0017457D"/>
    <w:rsid w:val="00175030"/>
    <w:rsid w:val="0017523A"/>
    <w:rsid w:val="00175476"/>
    <w:rsid w:val="0017565F"/>
    <w:rsid w:val="001756F5"/>
    <w:rsid w:val="00175B78"/>
    <w:rsid w:val="0017609B"/>
    <w:rsid w:val="001761C5"/>
    <w:rsid w:val="00176294"/>
    <w:rsid w:val="00176450"/>
    <w:rsid w:val="0017645F"/>
    <w:rsid w:val="00176829"/>
    <w:rsid w:val="00176A0E"/>
    <w:rsid w:val="0017739C"/>
    <w:rsid w:val="001776A7"/>
    <w:rsid w:val="001778B1"/>
    <w:rsid w:val="00180553"/>
    <w:rsid w:val="00180CDC"/>
    <w:rsid w:val="00180ECE"/>
    <w:rsid w:val="00181632"/>
    <w:rsid w:val="001818B6"/>
    <w:rsid w:val="0018274C"/>
    <w:rsid w:val="00182DAB"/>
    <w:rsid w:val="00183839"/>
    <w:rsid w:val="0018411C"/>
    <w:rsid w:val="00184FF7"/>
    <w:rsid w:val="00185646"/>
    <w:rsid w:val="00185ACF"/>
    <w:rsid w:val="00186124"/>
    <w:rsid w:val="00186373"/>
    <w:rsid w:val="00186A2A"/>
    <w:rsid w:val="00186AC8"/>
    <w:rsid w:val="0018719A"/>
    <w:rsid w:val="0018740E"/>
    <w:rsid w:val="00187FDD"/>
    <w:rsid w:val="0019013F"/>
    <w:rsid w:val="0019086B"/>
    <w:rsid w:val="00191072"/>
    <w:rsid w:val="00191B09"/>
    <w:rsid w:val="00191B8C"/>
    <w:rsid w:val="00192268"/>
    <w:rsid w:val="00192A34"/>
    <w:rsid w:val="00192E4E"/>
    <w:rsid w:val="00192E9A"/>
    <w:rsid w:val="00193152"/>
    <w:rsid w:val="001933B6"/>
    <w:rsid w:val="00193BFE"/>
    <w:rsid w:val="001943EA"/>
    <w:rsid w:val="001944DF"/>
    <w:rsid w:val="00194ED7"/>
    <w:rsid w:val="0019513F"/>
    <w:rsid w:val="001953E4"/>
    <w:rsid w:val="00195B56"/>
    <w:rsid w:val="0019612D"/>
    <w:rsid w:val="001961A5"/>
    <w:rsid w:val="00196532"/>
    <w:rsid w:val="00196B06"/>
    <w:rsid w:val="00196C21"/>
    <w:rsid w:val="00196E92"/>
    <w:rsid w:val="00196FA4"/>
    <w:rsid w:val="00197135"/>
    <w:rsid w:val="00197336"/>
    <w:rsid w:val="001976F5"/>
    <w:rsid w:val="0019771C"/>
    <w:rsid w:val="001977C0"/>
    <w:rsid w:val="001977CB"/>
    <w:rsid w:val="001A05B5"/>
    <w:rsid w:val="001A05F9"/>
    <w:rsid w:val="001A0C03"/>
    <w:rsid w:val="001A0CA4"/>
    <w:rsid w:val="001A0DE9"/>
    <w:rsid w:val="001A0E6F"/>
    <w:rsid w:val="001A2C36"/>
    <w:rsid w:val="001A3491"/>
    <w:rsid w:val="001A428E"/>
    <w:rsid w:val="001A4716"/>
    <w:rsid w:val="001A4831"/>
    <w:rsid w:val="001A4859"/>
    <w:rsid w:val="001A4B17"/>
    <w:rsid w:val="001A51DE"/>
    <w:rsid w:val="001A58ED"/>
    <w:rsid w:val="001A657D"/>
    <w:rsid w:val="001A6643"/>
    <w:rsid w:val="001A701C"/>
    <w:rsid w:val="001A745F"/>
    <w:rsid w:val="001B0183"/>
    <w:rsid w:val="001B11EF"/>
    <w:rsid w:val="001B1952"/>
    <w:rsid w:val="001B30C9"/>
    <w:rsid w:val="001B3362"/>
    <w:rsid w:val="001B3491"/>
    <w:rsid w:val="001B45B6"/>
    <w:rsid w:val="001B7178"/>
    <w:rsid w:val="001B7BC2"/>
    <w:rsid w:val="001B7F11"/>
    <w:rsid w:val="001C15B4"/>
    <w:rsid w:val="001C28BD"/>
    <w:rsid w:val="001C2A3E"/>
    <w:rsid w:val="001C3D1E"/>
    <w:rsid w:val="001C43B1"/>
    <w:rsid w:val="001C4DDF"/>
    <w:rsid w:val="001C4E84"/>
    <w:rsid w:val="001C4F8A"/>
    <w:rsid w:val="001C5657"/>
    <w:rsid w:val="001C7F3A"/>
    <w:rsid w:val="001D118D"/>
    <w:rsid w:val="001D142A"/>
    <w:rsid w:val="001D17CC"/>
    <w:rsid w:val="001D29E1"/>
    <w:rsid w:val="001D2A2F"/>
    <w:rsid w:val="001D45F1"/>
    <w:rsid w:val="001D4962"/>
    <w:rsid w:val="001D4BB5"/>
    <w:rsid w:val="001D4D06"/>
    <w:rsid w:val="001D5249"/>
    <w:rsid w:val="001D525B"/>
    <w:rsid w:val="001D5761"/>
    <w:rsid w:val="001D58F4"/>
    <w:rsid w:val="001D5A1E"/>
    <w:rsid w:val="001D5B5C"/>
    <w:rsid w:val="001D5EED"/>
    <w:rsid w:val="001D623A"/>
    <w:rsid w:val="001D62C0"/>
    <w:rsid w:val="001D643A"/>
    <w:rsid w:val="001D6EB5"/>
    <w:rsid w:val="001D6F8B"/>
    <w:rsid w:val="001D701A"/>
    <w:rsid w:val="001D793F"/>
    <w:rsid w:val="001D7EAC"/>
    <w:rsid w:val="001E0895"/>
    <w:rsid w:val="001E0EA8"/>
    <w:rsid w:val="001E1085"/>
    <w:rsid w:val="001E15A8"/>
    <w:rsid w:val="001E185A"/>
    <w:rsid w:val="001E1F6F"/>
    <w:rsid w:val="001E2321"/>
    <w:rsid w:val="001E2B62"/>
    <w:rsid w:val="001E2DFB"/>
    <w:rsid w:val="001E4765"/>
    <w:rsid w:val="001E4D60"/>
    <w:rsid w:val="001E509E"/>
    <w:rsid w:val="001E58BE"/>
    <w:rsid w:val="001E5B69"/>
    <w:rsid w:val="001E5F38"/>
    <w:rsid w:val="001E68A9"/>
    <w:rsid w:val="001E6AE2"/>
    <w:rsid w:val="001E6D7B"/>
    <w:rsid w:val="001E7283"/>
    <w:rsid w:val="001E7385"/>
    <w:rsid w:val="001E7844"/>
    <w:rsid w:val="001E7B08"/>
    <w:rsid w:val="001F0FAD"/>
    <w:rsid w:val="001F1219"/>
    <w:rsid w:val="001F1B1E"/>
    <w:rsid w:val="001F1E1D"/>
    <w:rsid w:val="001F1F50"/>
    <w:rsid w:val="001F32C4"/>
    <w:rsid w:val="001F3C6D"/>
    <w:rsid w:val="001F48C3"/>
    <w:rsid w:val="001F4C56"/>
    <w:rsid w:val="001F4C87"/>
    <w:rsid w:val="001F521F"/>
    <w:rsid w:val="001F53AB"/>
    <w:rsid w:val="001F56AD"/>
    <w:rsid w:val="001F56C5"/>
    <w:rsid w:val="001F5CFA"/>
    <w:rsid w:val="001F6A69"/>
    <w:rsid w:val="001F6C5C"/>
    <w:rsid w:val="001F6D95"/>
    <w:rsid w:val="001F708C"/>
    <w:rsid w:val="001F7BBD"/>
    <w:rsid w:val="001F7BE8"/>
    <w:rsid w:val="0020051E"/>
    <w:rsid w:val="00200AC4"/>
    <w:rsid w:val="00201FD9"/>
    <w:rsid w:val="00201FFF"/>
    <w:rsid w:val="0020252F"/>
    <w:rsid w:val="00202D8C"/>
    <w:rsid w:val="00202E97"/>
    <w:rsid w:val="00203118"/>
    <w:rsid w:val="00203D72"/>
    <w:rsid w:val="00203FC3"/>
    <w:rsid w:val="00204668"/>
    <w:rsid w:val="0020512B"/>
    <w:rsid w:val="00205146"/>
    <w:rsid w:val="0020567D"/>
    <w:rsid w:val="00205D16"/>
    <w:rsid w:val="0020670D"/>
    <w:rsid w:val="00207DAE"/>
    <w:rsid w:val="00207FC0"/>
    <w:rsid w:val="00210700"/>
    <w:rsid w:val="0021130F"/>
    <w:rsid w:val="0021227A"/>
    <w:rsid w:val="00212C89"/>
    <w:rsid w:val="00213196"/>
    <w:rsid w:val="002136AC"/>
    <w:rsid w:val="00213D1C"/>
    <w:rsid w:val="00213F7C"/>
    <w:rsid w:val="00214357"/>
    <w:rsid w:val="002150F6"/>
    <w:rsid w:val="00215266"/>
    <w:rsid w:val="002156CC"/>
    <w:rsid w:val="00215EE0"/>
    <w:rsid w:val="00217962"/>
    <w:rsid w:val="00220028"/>
    <w:rsid w:val="0022060B"/>
    <w:rsid w:val="002207FF"/>
    <w:rsid w:val="00220EB7"/>
    <w:rsid w:val="00220F55"/>
    <w:rsid w:val="0022121B"/>
    <w:rsid w:val="00222F8E"/>
    <w:rsid w:val="002234D3"/>
    <w:rsid w:val="002239F9"/>
    <w:rsid w:val="00224E11"/>
    <w:rsid w:val="002250FB"/>
    <w:rsid w:val="00225C09"/>
    <w:rsid w:val="0022611C"/>
    <w:rsid w:val="00226B38"/>
    <w:rsid w:val="00226FA9"/>
    <w:rsid w:val="00226FD9"/>
    <w:rsid w:val="002273E8"/>
    <w:rsid w:val="00227DA5"/>
    <w:rsid w:val="00227F8D"/>
    <w:rsid w:val="002301E8"/>
    <w:rsid w:val="0023021F"/>
    <w:rsid w:val="00230B45"/>
    <w:rsid w:val="00231215"/>
    <w:rsid w:val="00231C73"/>
    <w:rsid w:val="00231E86"/>
    <w:rsid w:val="0023207F"/>
    <w:rsid w:val="00232334"/>
    <w:rsid w:val="0023257D"/>
    <w:rsid w:val="0023342D"/>
    <w:rsid w:val="00233681"/>
    <w:rsid w:val="002339DE"/>
    <w:rsid w:val="00233E1B"/>
    <w:rsid w:val="00234062"/>
    <w:rsid w:val="002342E4"/>
    <w:rsid w:val="0023440B"/>
    <w:rsid w:val="002344D3"/>
    <w:rsid w:val="00234625"/>
    <w:rsid w:val="00235AA3"/>
    <w:rsid w:val="00235D54"/>
    <w:rsid w:val="00236DA0"/>
    <w:rsid w:val="00236DD3"/>
    <w:rsid w:val="002378AA"/>
    <w:rsid w:val="00240284"/>
    <w:rsid w:val="002403D2"/>
    <w:rsid w:val="00240608"/>
    <w:rsid w:val="002418B3"/>
    <w:rsid w:val="002418EC"/>
    <w:rsid w:val="00242288"/>
    <w:rsid w:val="002429C1"/>
    <w:rsid w:val="00242A19"/>
    <w:rsid w:val="00242F83"/>
    <w:rsid w:val="00243B0F"/>
    <w:rsid w:val="00245837"/>
    <w:rsid w:val="00245D01"/>
    <w:rsid w:val="002468E1"/>
    <w:rsid w:val="00246B46"/>
    <w:rsid w:val="00246C7C"/>
    <w:rsid w:val="00247771"/>
    <w:rsid w:val="00247C5A"/>
    <w:rsid w:val="0025184C"/>
    <w:rsid w:val="00251A31"/>
    <w:rsid w:val="00252381"/>
    <w:rsid w:val="002529E7"/>
    <w:rsid w:val="00253041"/>
    <w:rsid w:val="00253120"/>
    <w:rsid w:val="00253999"/>
    <w:rsid w:val="00253ABE"/>
    <w:rsid w:val="00253C7F"/>
    <w:rsid w:val="00255808"/>
    <w:rsid w:val="00255BBD"/>
    <w:rsid w:val="00256BF1"/>
    <w:rsid w:val="00256C73"/>
    <w:rsid w:val="0025708B"/>
    <w:rsid w:val="002575DD"/>
    <w:rsid w:val="00257D01"/>
    <w:rsid w:val="0026034C"/>
    <w:rsid w:val="0026072E"/>
    <w:rsid w:val="00260FDB"/>
    <w:rsid w:val="002610CE"/>
    <w:rsid w:val="002612E2"/>
    <w:rsid w:val="002617B8"/>
    <w:rsid w:val="002617BF"/>
    <w:rsid w:val="00262D4E"/>
    <w:rsid w:val="00262D9F"/>
    <w:rsid w:val="00263B46"/>
    <w:rsid w:val="00263C35"/>
    <w:rsid w:val="00264379"/>
    <w:rsid w:val="00264F82"/>
    <w:rsid w:val="002660D9"/>
    <w:rsid w:val="00266397"/>
    <w:rsid w:val="002671CF"/>
    <w:rsid w:val="002673A9"/>
    <w:rsid w:val="00267A45"/>
    <w:rsid w:val="00270BD1"/>
    <w:rsid w:val="0027159E"/>
    <w:rsid w:val="00271876"/>
    <w:rsid w:val="0027187A"/>
    <w:rsid w:val="00271E30"/>
    <w:rsid w:val="00272232"/>
    <w:rsid w:val="0027237B"/>
    <w:rsid w:val="00272EF9"/>
    <w:rsid w:val="00273813"/>
    <w:rsid w:val="00273C16"/>
    <w:rsid w:val="00273C61"/>
    <w:rsid w:val="00274112"/>
    <w:rsid w:val="00274167"/>
    <w:rsid w:val="00274F5A"/>
    <w:rsid w:val="002750F9"/>
    <w:rsid w:val="00275156"/>
    <w:rsid w:val="0027557C"/>
    <w:rsid w:val="0027563F"/>
    <w:rsid w:val="00275E9A"/>
    <w:rsid w:val="00276167"/>
    <w:rsid w:val="002775A2"/>
    <w:rsid w:val="0027790D"/>
    <w:rsid w:val="00277BDD"/>
    <w:rsid w:val="00277DB5"/>
    <w:rsid w:val="002800BB"/>
    <w:rsid w:val="002802D1"/>
    <w:rsid w:val="00280592"/>
    <w:rsid w:val="00280706"/>
    <w:rsid w:val="0028077F"/>
    <w:rsid w:val="00280A4A"/>
    <w:rsid w:val="0028194D"/>
    <w:rsid w:val="002821DE"/>
    <w:rsid w:val="00282B7E"/>
    <w:rsid w:val="0028321D"/>
    <w:rsid w:val="002832DA"/>
    <w:rsid w:val="00284886"/>
    <w:rsid w:val="00284950"/>
    <w:rsid w:val="002855DC"/>
    <w:rsid w:val="00285B26"/>
    <w:rsid w:val="0028697C"/>
    <w:rsid w:val="00286B30"/>
    <w:rsid w:val="00290ADC"/>
    <w:rsid w:val="00290C0A"/>
    <w:rsid w:val="00291383"/>
    <w:rsid w:val="002914E2"/>
    <w:rsid w:val="0029252B"/>
    <w:rsid w:val="00292708"/>
    <w:rsid w:val="00293054"/>
    <w:rsid w:val="0029312C"/>
    <w:rsid w:val="002938A9"/>
    <w:rsid w:val="002938E1"/>
    <w:rsid w:val="002942FA"/>
    <w:rsid w:val="00294C72"/>
    <w:rsid w:val="00295322"/>
    <w:rsid w:val="002955C9"/>
    <w:rsid w:val="00295E42"/>
    <w:rsid w:val="002962D7"/>
    <w:rsid w:val="002965AC"/>
    <w:rsid w:val="002968BA"/>
    <w:rsid w:val="00297B1A"/>
    <w:rsid w:val="002A0201"/>
    <w:rsid w:val="002A05D9"/>
    <w:rsid w:val="002A0B8C"/>
    <w:rsid w:val="002A1081"/>
    <w:rsid w:val="002A19C1"/>
    <w:rsid w:val="002A2550"/>
    <w:rsid w:val="002A2A9C"/>
    <w:rsid w:val="002A2ACB"/>
    <w:rsid w:val="002A2EBD"/>
    <w:rsid w:val="002A2FEB"/>
    <w:rsid w:val="002A33D0"/>
    <w:rsid w:val="002A33E3"/>
    <w:rsid w:val="002A37DE"/>
    <w:rsid w:val="002A3F0C"/>
    <w:rsid w:val="002A421B"/>
    <w:rsid w:val="002A46B0"/>
    <w:rsid w:val="002A4C53"/>
    <w:rsid w:val="002A4DFC"/>
    <w:rsid w:val="002A7E5D"/>
    <w:rsid w:val="002B09EA"/>
    <w:rsid w:val="002B1503"/>
    <w:rsid w:val="002B26B0"/>
    <w:rsid w:val="002B2A3C"/>
    <w:rsid w:val="002B2DEE"/>
    <w:rsid w:val="002B3791"/>
    <w:rsid w:val="002B3BD5"/>
    <w:rsid w:val="002B3DE0"/>
    <w:rsid w:val="002B3EBE"/>
    <w:rsid w:val="002B4A69"/>
    <w:rsid w:val="002B53FB"/>
    <w:rsid w:val="002B54D3"/>
    <w:rsid w:val="002B67AD"/>
    <w:rsid w:val="002B74A2"/>
    <w:rsid w:val="002B78B0"/>
    <w:rsid w:val="002C05C2"/>
    <w:rsid w:val="002C11AF"/>
    <w:rsid w:val="002C157D"/>
    <w:rsid w:val="002C2C6A"/>
    <w:rsid w:val="002C3246"/>
    <w:rsid w:val="002C3F8F"/>
    <w:rsid w:val="002C4BD1"/>
    <w:rsid w:val="002C4C0A"/>
    <w:rsid w:val="002C50CE"/>
    <w:rsid w:val="002C5182"/>
    <w:rsid w:val="002C5298"/>
    <w:rsid w:val="002C5665"/>
    <w:rsid w:val="002C6FA5"/>
    <w:rsid w:val="002C72C9"/>
    <w:rsid w:val="002C768B"/>
    <w:rsid w:val="002C7E74"/>
    <w:rsid w:val="002D0695"/>
    <w:rsid w:val="002D097D"/>
    <w:rsid w:val="002D1B85"/>
    <w:rsid w:val="002D1CB3"/>
    <w:rsid w:val="002D1E76"/>
    <w:rsid w:val="002D240B"/>
    <w:rsid w:val="002D2C22"/>
    <w:rsid w:val="002D31BA"/>
    <w:rsid w:val="002D3525"/>
    <w:rsid w:val="002D3B2E"/>
    <w:rsid w:val="002D3BC6"/>
    <w:rsid w:val="002D45D8"/>
    <w:rsid w:val="002D5A3C"/>
    <w:rsid w:val="002D6BD5"/>
    <w:rsid w:val="002D7CF0"/>
    <w:rsid w:val="002E0D04"/>
    <w:rsid w:val="002E1D2F"/>
    <w:rsid w:val="002E1EB3"/>
    <w:rsid w:val="002E21EC"/>
    <w:rsid w:val="002E2DD6"/>
    <w:rsid w:val="002E3D97"/>
    <w:rsid w:val="002E3F1C"/>
    <w:rsid w:val="002E3F59"/>
    <w:rsid w:val="002E413C"/>
    <w:rsid w:val="002E5A79"/>
    <w:rsid w:val="002E5C9D"/>
    <w:rsid w:val="002E7437"/>
    <w:rsid w:val="002F0539"/>
    <w:rsid w:val="002F0630"/>
    <w:rsid w:val="002F102D"/>
    <w:rsid w:val="002F1464"/>
    <w:rsid w:val="002F1476"/>
    <w:rsid w:val="002F1D3D"/>
    <w:rsid w:val="002F1D61"/>
    <w:rsid w:val="002F2558"/>
    <w:rsid w:val="002F2992"/>
    <w:rsid w:val="002F2D85"/>
    <w:rsid w:val="002F2F54"/>
    <w:rsid w:val="002F2F84"/>
    <w:rsid w:val="002F3A3F"/>
    <w:rsid w:val="002F3D56"/>
    <w:rsid w:val="002F52FE"/>
    <w:rsid w:val="002F5373"/>
    <w:rsid w:val="002F53FD"/>
    <w:rsid w:val="002F59E0"/>
    <w:rsid w:val="002F6187"/>
    <w:rsid w:val="002F694B"/>
    <w:rsid w:val="002F75DB"/>
    <w:rsid w:val="002F7759"/>
    <w:rsid w:val="002F7F34"/>
    <w:rsid w:val="0030025F"/>
    <w:rsid w:val="00300782"/>
    <w:rsid w:val="00300A17"/>
    <w:rsid w:val="00300CCA"/>
    <w:rsid w:val="00300E8B"/>
    <w:rsid w:val="00301AFD"/>
    <w:rsid w:val="0030269A"/>
    <w:rsid w:val="00302A0D"/>
    <w:rsid w:val="00302C70"/>
    <w:rsid w:val="00302FAE"/>
    <w:rsid w:val="0030327A"/>
    <w:rsid w:val="00303598"/>
    <w:rsid w:val="00304BD8"/>
    <w:rsid w:val="00304F14"/>
    <w:rsid w:val="00305AB2"/>
    <w:rsid w:val="003060FB"/>
    <w:rsid w:val="00306A5A"/>
    <w:rsid w:val="00306A8B"/>
    <w:rsid w:val="003072CA"/>
    <w:rsid w:val="0030789E"/>
    <w:rsid w:val="00307B39"/>
    <w:rsid w:val="0031040E"/>
    <w:rsid w:val="003105F1"/>
    <w:rsid w:val="00310974"/>
    <w:rsid w:val="00310C55"/>
    <w:rsid w:val="003119F6"/>
    <w:rsid w:val="00311A03"/>
    <w:rsid w:val="00312A03"/>
    <w:rsid w:val="00312B62"/>
    <w:rsid w:val="00313771"/>
    <w:rsid w:val="00313DAC"/>
    <w:rsid w:val="00313E22"/>
    <w:rsid w:val="00313FF0"/>
    <w:rsid w:val="0031490C"/>
    <w:rsid w:val="00315CD7"/>
    <w:rsid w:val="00315DB4"/>
    <w:rsid w:val="00316D72"/>
    <w:rsid w:val="003179E6"/>
    <w:rsid w:val="00317D6C"/>
    <w:rsid w:val="00320330"/>
    <w:rsid w:val="00320A32"/>
    <w:rsid w:val="00320B86"/>
    <w:rsid w:val="00322AEE"/>
    <w:rsid w:val="00322E5B"/>
    <w:rsid w:val="00323013"/>
    <w:rsid w:val="00323C92"/>
    <w:rsid w:val="003248B6"/>
    <w:rsid w:val="00325665"/>
    <w:rsid w:val="00325B44"/>
    <w:rsid w:val="0032634A"/>
    <w:rsid w:val="00326491"/>
    <w:rsid w:val="0032652A"/>
    <w:rsid w:val="00326740"/>
    <w:rsid w:val="003270E6"/>
    <w:rsid w:val="0032794D"/>
    <w:rsid w:val="0033010E"/>
    <w:rsid w:val="00330F61"/>
    <w:rsid w:val="00330F9A"/>
    <w:rsid w:val="0033302A"/>
    <w:rsid w:val="003335D5"/>
    <w:rsid w:val="003337BD"/>
    <w:rsid w:val="00333838"/>
    <w:rsid w:val="00333C1D"/>
    <w:rsid w:val="00333DD6"/>
    <w:rsid w:val="00333EED"/>
    <w:rsid w:val="003343D4"/>
    <w:rsid w:val="0033455E"/>
    <w:rsid w:val="003345FC"/>
    <w:rsid w:val="003352B5"/>
    <w:rsid w:val="00336949"/>
    <w:rsid w:val="00336FC4"/>
    <w:rsid w:val="00340351"/>
    <w:rsid w:val="0034040E"/>
    <w:rsid w:val="0034051C"/>
    <w:rsid w:val="003407A1"/>
    <w:rsid w:val="003407B8"/>
    <w:rsid w:val="00341CFD"/>
    <w:rsid w:val="00343EAC"/>
    <w:rsid w:val="00344ACB"/>
    <w:rsid w:val="00344B22"/>
    <w:rsid w:val="00344B76"/>
    <w:rsid w:val="00345308"/>
    <w:rsid w:val="00346E22"/>
    <w:rsid w:val="00347168"/>
    <w:rsid w:val="00347D74"/>
    <w:rsid w:val="003503F3"/>
    <w:rsid w:val="00350485"/>
    <w:rsid w:val="00351FA9"/>
    <w:rsid w:val="00352AAF"/>
    <w:rsid w:val="00353065"/>
    <w:rsid w:val="003549BB"/>
    <w:rsid w:val="00354DAE"/>
    <w:rsid w:val="00355052"/>
    <w:rsid w:val="003560F7"/>
    <w:rsid w:val="003568A7"/>
    <w:rsid w:val="00356931"/>
    <w:rsid w:val="00357573"/>
    <w:rsid w:val="00357613"/>
    <w:rsid w:val="00357799"/>
    <w:rsid w:val="00357D3E"/>
    <w:rsid w:val="00357EF7"/>
    <w:rsid w:val="003603F0"/>
    <w:rsid w:val="00360871"/>
    <w:rsid w:val="003609CD"/>
    <w:rsid w:val="00360B23"/>
    <w:rsid w:val="00361618"/>
    <w:rsid w:val="00361685"/>
    <w:rsid w:val="00362756"/>
    <w:rsid w:val="00362DA4"/>
    <w:rsid w:val="00362DDF"/>
    <w:rsid w:val="00363074"/>
    <w:rsid w:val="00363410"/>
    <w:rsid w:val="0036356F"/>
    <w:rsid w:val="00363856"/>
    <w:rsid w:val="00363B86"/>
    <w:rsid w:val="00364BA3"/>
    <w:rsid w:val="003653C8"/>
    <w:rsid w:val="00365B3C"/>
    <w:rsid w:val="00365B6A"/>
    <w:rsid w:val="003665AA"/>
    <w:rsid w:val="00366A88"/>
    <w:rsid w:val="00366ABF"/>
    <w:rsid w:val="00366B2A"/>
    <w:rsid w:val="00367A20"/>
    <w:rsid w:val="003705EE"/>
    <w:rsid w:val="00370CDD"/>
    <w:rsid w:val="00371038"/>
    <w:rsid w:val="003717FF"/>
    <w:rsid w:val="00371965"/>
    <w:rsid w:val="0037224B"/>
    <w:rsid w:val="00373459"/>
    <w:rsid w:val="00373DAB"/>
    <w:rsid w:val="00374CEF"/>
    <w:rsid w:val="003750ED"/>
    <w:rsid w:val="00377327"/>
    <w:rsid w:val="00377D78"/>
    <w:rsid w:val="00380209"/>
    <w:rsid w:val="003802B9"/>
    <w:rsid w:val="0038031F"/>
    <w:rsid w:val="003806EA"/>
    <w:rsid w:val="00380AB8"/>
    <w:rsid w:val="00380CA1"/>
    <w:rsid w:val="00381340"/>
    <w:rsid w:val="00381856"/>
    <w:rsid w:val="00381AB9"/>
    <w:rsid w:val="00381D05"/>
    <w:rsid w:val="003826EB"/>
    <w:rsid w:val="00382EA3"/>
    <w:rsid w:val="00383D7D"/>
    <w:rsid w:val="00383F4F"/>
    <w:rsid w:val="00383F5B"/>
    <w:rsid w:val="0038473D"/>
    <w:rsid w:val="00384BB1"/>
    <w:rsid w:val="00384FFA"/>
    <w:rsid w:val="00385F8A"/>
    <w:rsid w:val="0038640C"/>
    <w:rsid w:val="00386C5A"/>
    <w:rsid w:val="00387315"/>
    <w:rsid w:val="00390ED7"/>
    <w:rsid w:val="003921BE"/>
    <w:rsid w:val="00392671"/>
    <w:rsid w:val="00392A57"/>
    <w:rsid w:val="00392B84"/>
    <w:rsid w:val="00392D89"/>
    <w:rsid w:val="00392EF6"/>
    <w:rsid w:val="0039399A"/>
    <w:rsid w:val="00393BB9"/>
    <w:rsid w:val="00394372"/>
    <w:rsid w:val="00394781"/>
    <w:rsid w:val="00394E38"/>
    <w:rsid w:val="0039580F"/>
    <w:rsid w:val="00395879"/>
    <w:rsid w:val="00395E2B"/>
    <w:rsid w:val="003960E6"/>
    <w:rsid w:val="00396108"/>
    <w:rsid w:val="003961A8"/>
    <w:rsid w:val="003967CB"/>
    <w:rsid w:val="00396A5F"/>
    <w:rsid w:val="0039782F"/>
    <w:rsid w:val="00397BC8"/>
    <w:rsid w:val="00397F61"/>
    <w:rsid w:val="003A0885"/>
    <w:rsid w:val="003A16CA"/>
    <w:rsid w:val="003A1FC2"/>
    <w:rsid w:val="003A2128"/>
    <w:rsid w:val="003A268E"/>
    <w:rsid w:val="003A2804"/>
    <w:rsid w:val="003A288F"/>
    <w:rsid w:val="003A3006"/>
    <w:rsid w:val="003A3131"/>
    <w:rsid w:val="003A3802"/>
    <w:rsid w:val="003A4268"/>
    <w:rsid w:val="003A4652"/>
    <w:rsid w:val="003A4B5C"/>
    <w:rsid w:val="003A4D95"/>
    <w:rsid w:val="003A57A8"/>
    <w:rsid w:val="003A59A2"/>
    <w:rsid w:val="003A615F"/>
    <w:rsid w:val="003A6BBF"/>
    <w:rsid w:val="003A710B"/>
    <w:rsid w:val="003A7246"/>
    <w:rsid w:val="003B047B"/>
    <w:rsid w:val="003B0A1B"/>
    <w:rsid w:val="003B1102"/>
    <w:rsid w:val="003B1299"/>
    <w:rsid w:val="003B1319"/>
    <w:rsid w:val="003B197F"/>
    <w:rsid w:val="003B24E4"/>
    <w:rsid w:val="003B2C9E"/>
    <w:rsid w:val="003B2DF6"/>
    <w:rsid w:val="003B3148"/>
    <w:rsid w:val="003B3A4F"/>
    <w:rsid w:val="003B3D87"/>
    <w:rsid w:val="003B4A83"/>
    <w:rsid w:val="003B4CF6"/>
    <w:rsid w:val="003B4D08"/>
    <w:rsid w:val="003B63BB"/>
    <w:rsid w:val="003B6E60"/>
    <w:rsid w:val="003B7219"/>
    <w:rsid w:val="003B73EE"/>
    <w:rsid w:val="003C05AC"/>
    <w:rsid w:val="003C0787"/>
    <w:rsid w:val="003C0BF0"/>
    <w:rsid w:val="003C0D17"/>
    <w:rsid w:val="003C0F03"/>
    <w:rsid w:val="003C1288"/>
    <w:rsid w:val="003C1FFD"/>
    <w:rsid w:val="003C2BAB"/>
    <w:rsid w:val="003C2E55"/>
    <w:rsid w:val="003C2E59"/>
    <w:rsid w:val="003C36CD"/>
    <w:rsid w:val="003C3FB7"/>
    <w:rsid w:val="003C3FD4"/>
    <w:rsid w:val="003C47FA"/>
    <w:rsid w:val="003C603C"/>
    <w:rsid w:val="003C68A7"/>
    <w:rsid w:val="003C738B"/>
    <w:rsid w:val="003C7685"/>
    <w:rsid w:val="003C7995"/>
    <w:rsid w:val="003C7B5D"/>
    <w:rsid w:val="003C7D4E"/>
    <w:rsid w:val="003C7DC6"/>
    <w:rsid w:val="003D05D8"/>
    <w:rsid w:val="003D10B8"/>
    <w:rsid w:val="003D1E0B"/>
    <w:rsid w:val="003D2334"/>
    <w:rsid w:val="003D243F"/>
    <w:rsid w:val="003D395C"/>
    <w:rsid w:val="003D3A73"/>
    <w:rsid w:val="003D3F3B"/>
    <w:rsid w:val="003D5549"/>
    <w:rsid w:val="003D55AC"/>
    <w:rsid w:val="003D5E96"/>
    <w:rsid w:val="003D7A94"/>
    <w:rsid w:val="003D7BB1"/>
    <w:rsid w:val="003D7FFB"/>
    <w:rsid w:val="003E0074"/>
    <w:rsid w:val="003E0714"/>
    <w:rsid w:val="003E0C9B"/>
    <w:rsid w:val="003E0DCE"/>
    <w:rsid w:val="003E101E"/>
    <w:rsid w:val="003E1E35"/>
    <w:rsid w:val="003E2025"/>
    <w:rsid w:val="003E20A6"/>
    <w:rsid w:val="003E2258"/>
    <w:rsid w:val="003E4527"/>
    <w:rsid w:val="003E4B45"/>
    <w:rsid w:val="003E5E1B"/>
    <w:rsid w:val="003E7CCC"/>
    <w:rsid w:val="003F0800"/>
    <w:rsid w:val="003F0871"/>
    <w:rsid w:val="003F0A2F"/>
    <w:rsid w:val="003F0EA5"/>
    <w:rsid w:val="003F118E"/>
    <w:rsid w:val="003F1E59"/>
    <w:rsid w:val="003F291D"/>
    <w:rsid w:val="003F2A58"/>
    <w:rsid w:val="003F309F"/>
    <w:rsid w:val="003F32A3"/>
    <w:rsid w:val="003F3CBF"/>
    <w:rsid w:val="003F447E"/>
    <w:rsid w:val="003F454E"/>
    <w:rsid w:val="003F5176"/>
    <w:rsid w:val="003F5943"/>
    <w:rsid w:val="003F5DB0"/>
    <w:rsid w:val="003F616C"/>
    <w:rsid w:val="003F6480"/>
    <w:rsid w:val="003F6886"/>
    <w:rsid w:val="003F72CD"/>
    <w:rsid w:val="003F7493"/>
    <w:rsid w:val="003F78B4"/>
    <w:rsid w:val="0040090F"/>
    <w:rsid w:val="00400ADC"/>
    <w:rsid w:val="00400DC4"/>
    <w:rsid w:val="00401B0E"/>
    <w:rsid w:val="0040277A"/>
    <w:rsid w:val="004027EC"/>
    <w:rsid w:val="004033BD"/>
    <w:rsid w:val="00403462"/>
    <w:rsid w:val="00404085"/>
    <w:rsid w:val="00404502"/>
    <w:rsid w:val="00404C14"/>
    <w:rsid w:val="00405643"/>
    <w:rsid w:val="00405BA0"/>
    <w:rsid w:val="004069B3"/>
    <w:rsid w:val="004071CF"/>
    <w:rsid w:val="004075C6"/>
    <w:rsid w:val="00411667"/>
    <w:rsid w:val="00411A30"/>
    <w:rsid w:val="0041389D"/>
    <w:rsid w:val="00413ADA"/>
    <w:rsid w:val="00413D36"/>
    <w:rsid w:val="004143AC"/>
    <w:rsid w:val="00414DAE"/>
    <w:rsid w:val="00415217"/>
    <w:rsid w:val="00415B67"/>
    <w:rsid w:val="00415F30"/>
    <w:rsid w:val="00416B2B"/>
    <w:rsid w:val="004172FC"/>
    <w:rsid w:val="00417B34"/>
    <w:rsid w:val="00417C0C"/>
    <w:rsid w:val="0042008A"/>
    <w:rsid w:val="00420417"/>
    <w:rsid w:val="004204E1"/>
    <w:rsid w:val="00420C39"/>
    <w:rsid w:val="00421256"/>
    <w:rsid w:val="0042239F"/>
    <w:rsid w:val="00422446"/>
    <w:rsid w:val="00423589"/>
    <w:rsid w:val="0042484C"/>
    <w:rsid w:val="00424E1B"/>
    <w:rsid w:val="00425BFF"/>
    <w:rsid w:val="004277BA"/>
    <w:rsid w:val="00430692"/>
    <w:rsid w:val="00431DE7"/>
    <w:rsid w:val="00431F1B"/>
    <w:rsid w:val="00432D1F"/>
    <w:rsid w:val="004335C2"/>
    <w:rsid w:val="00435558"/>
    <w:rsid w:val="00435C8B"/>
    <w:rsid w:val="004370E7"/>
    <w:rsid w:val="004371AC"/>
    <w:rsid w:val="0043766B"/>
    <w:rsid w:val="0044008F"/>
    <w:rsid w:val="00440C99"/>
    <w:rsid w:val="00441001"/>
    <w:rsid w:val="004418F3"/>
    <w:rsid w:val="00441B4E"/>
    <w:rsid w:val="004439C9"/>
    <w:rsid w:val="00443DBD"/>
    <w:rsid w:val="004447D1"/>
    <w:rsid w:val="00444AEC"/>
    <w:rsid w:val="00444BF9"/>
    <w:rsid w:val="00444D18"/>
    <w:rsid w:val="00444F67"/>
    <w:rsid w:val="0044614C"/>
    <w:rsid w:val="004471F0"/>
    <w:rsid w:val="00450497"/>
    <w:rsid w:val="0045068B"/>
    <w:rsid w:val="00450AAA"/>
    <w:rsid w:val="004511BB"/>
    <w:rsid w:val="00451361"/>
    <w:rsid w:val="00452399"/>
    <w:rsid w:val="0045243A"/>
    <w:rsid w:val="00452660"/>
    <w:rsid w:val="0045330E"/>
    <w:rsid w:val="004537C5"/>
    <w:rsid w:val="00455617"/>
    <w:rsid w:val="00455DAC"/>
    <w:rsid w:val="00456259"/>
    <w:rsid w:val="004568E1"/>
    <w:rsid w:val="00457299"/>
    <w:rsid w:val="004573C3"/>
    <w:rsid w:val="00457772"/>
    <w:rsid w:val="00457B3A"/>
    <w:rsid w:val="00457D41"/>
    <w:rsid w:val="00460E42"/>
    <w:rsid w:val="00461C9E"/>
    <w:rsid w:val="0046256A"/>
    <w:rsid w:val="0046277A"/>
    <w:rsid w:val="00462A0F"/>
    <w:rsid w:val="00462CDB"/>
    <w:rsid w:val="00462DD7"/>
    <w:rsid w:val="00462FD8"/>
    <w:rsid w:val="00463018"/>
    <w:rsid w:val="00464992"/>
    <w:rsid w:val="004653BE"/>
    <w:rsid w:val="00465881"/>
    <w:rsid w:val="00466E2E"/>
    <w:rsid w:val="00467325"/>
    <w:rsid w:val="004674C0"/>
    <w:rsid w:val="00467CAD"/>
    <w:rsid w:val="004706F7"/>
    <w:rsid w:val="004713C3"/>
    <w:rsid w:val="00471ADC"/>
    <w:rsid w:val="00471E94"/>
    <w:rsid w:val="00472602"/>
    <w:rsid w:val="004726A1"/>
    <w:rsid w:val="0047270C"/>
    <w:rsid w:val="00472960"/>
    <w:rsid w:val="00472D3A"/>
    <w:rsid w:val="00474229"/>
    <w:rsid w:val="004742DB"/>
    <w:rsid w:val="00474FBB"/>
    <w:rsid w:val="0047623B"/>
    <w:rsid w:val="00476B7C"/>
    <w:rsid w:val="00476F30"/>
    <w:rsid w:val="0047748E"/>
    <w:rsid w:val="0047795F"/>
    <w:rsid w:val="00480CF5"/>
    <w:rsid w:val="00482C89"/>
    <w:rsid w:val="00482DFA"/>
    <w:rsid w:val="00483718"/>
    <w:rsid w:val="00484601"/>
    <w:rsid w:val="004848F3"/>
    <w:rsid w:val="00484AD7"/>
    <w:rsid w:val="00484C59"/>
    <w:rsid w:val="00484C6D"/>
    <w:rsid w:val="0048560D"/>
    <w:rsid w:val="00485A79"/>
    <w:rsid w:val="00486C72"/>
    <w:rsid w:val="00487019"/>
    <w:rsid w:val="004870BE"/>
    <w:rsid w:val="004872B7"/>
    <w:rsid w:val="0048748D"/>
    <w:rsid w:val="00487B0D"/>
    <w:rsid w:val="00487E4C"/>
    <w:rsid w:val="00487FC1"/>
    <w:rsid w:val="004900C6"/>
    <w:rsid w:val="00490162"/>
    <w:rsid w:val="0049051F"/>
    <w:rsid w:val="00490A7F"/>
    <w:rsid w:val="00490E89"/>
    <w:rsid w:val="00491288"/>
    <w:rsid w:val="00491B94"/>
    <w:rsid w:val="00491FAA"/>
    <w:rsid w:val="00492294"/>
    <w:rsid w:val="00493105"/>
    <w:rsid w:val="004931C7"/>
    <w:rsid w:val="00493A57"/>
    <w:rsid w:val="0049417F"/>
    <w:rsid w:val="004947DF"/>
    <w:rsid w:val="00494B3D"/>
    <w:rsid w:val="00494FC2"/>
    <w:rsid w:val="0049525D"/>
    <w:rsid w:val="00495555"/>
    <w:rsid w:val="00495973"/>
    <w:rsid w:val="004959E1"/>
    <w:rsid w:val="00495A8F"/>
    <w:rsid w:val="004A0663"/>
    <w:rsid w:val="004A0671"/>
    <w:rsid w:val="004A0902"/>
    <w:rsid w:val="004A0B4D"/>
    <w:rsid w:val="004A322D"/>
    <w:rsid w:val="004A3ADC"/>
    <w:rsid w:val="004A4CB0"/>
    <w:rsid w:val="004A4CF7"/>
    <w:rsid w:val="004A4D9D"/>
    <w:rsid w:val="004A5F79"/>
    <w:rsid w:val="004A6B4E"/>
    <w:rsid w:val="004A6E8C"/>
    <w:rsid w:val="004B01CC"/>
    <w:rsid w:val="004B0B63"/>
    <w:rsid w:val="004B24B4"/>
    <w:rsid w:val="004B2E8F"/>
    <w:rsid w:val="004B3291"/>
    <w:rsid w:val="004B37E4"/>
    <w:rsid w:val="004B3882"/>
    <w:rsid w:val="004B393E"/>
    <w:rsid w:val="004B3D3F"/>
    <w:rsid w:val="004B521F"/>
    <w:rsid w:val="004B5418"/>
    <w:rsid w:val="004B5DCA"/>
    <w:rsid w:val="004B62DC"/>
    <w:rsid w:val="004B7CD4"/>
    <w:rsid w:val="004B7D2F"/>
    <w:rsid w:val="004B7EE1"/>
    <w:rsid w:val="004C00D7"/>
    <w:rsid w:val="004C00DB"/>
    <w:rsid w:val="004C0F2A"/>
    <w:rsid w:val="004C130F"/>
    <w:rsid w:val="004C299D"/>
    <w:rsid w:val="004C2B61"/>
    <w:rsid w:val="004C3A28"/>
    <w:rsid w:val="004C3AAF"/>
    <w:rsid w:val="004C3FE7"/>
    <w:rsid w:val="004C4073"/>
    <w:rsid w:val="004C4597"/>
    <w:rsid w:val="004C4F18"/>
    <w:rsid w:val="004C50A2"/>
    <w:rsid w:val="004C5945"/>
    <w:rsid w:val="004C5A1E"/>
    <w:rsid w:val="004C5EDA"/>
    <w:rsid w:val="004C6DDF"/>
    <w:rsid w:val="004C78F1"/>
    <w:rsid w:val="004D02DB"/>
    <w:rsid w:val="004D0923"/>
    <w:rsid w:val="004D09E1"/>
    <w:rsid w:val="004D0B5C"/>
    <w:rsid w:val="004D0F45"/>
    <w:rsid w:val="004D1150"/>
    <w:rsid w:val="004D1232"/>
    <w:rsid w:val="004D1266"/>
    <w:rsid w:val="004D1792"/>
    <w:rsid w:val="004D2AC6"/>
    <w:rsid w:val="004D2E44"/>
    <w:rsid w:val="004D3478"/>
    <w:rsid w:val="004D4030"/>
    <w:rsid w:val="004D4448"/>
    <w:rsid w:val="004D46DA"/>
    <w:rsid w:val="004D4A85"/>
    <w:rsid w:val="004D537E"/>
    <w:rsid w:val="004D6331"/>
    <w:rsid w:val="004D6529"/>
    <w:rsid w:val="004D6611"/>
    <w:rsid w:val="004D6713"/>
    <w:rsid w:val="004D6B1E"/>
    <w:rsid w:val="004D6EED"/>
    <w:rsid w:val="004D7E0F"/>
    <w:rsid w:val="004D7F18"/>
    <w:rsid w:val="004E0B5D"/>
    <w:rsid w:val="004E1449"/>
    <w:rsid w:val="004E1456"/>
    <w:rsid w:val="004E1AFE"/>
    <w:rsid w:val="004E1E8D"/>
    <w:rsid w:val="004E22E5"/>
    <w:rsid w:val="004E23B9"/>
    <w:rsid w:val="004E27E7"/>
    <w:rsid w:val="004E2A62"/>
    <w:rsid w:val="004E2A9F"/>
    <w:rsid w:val="004E2D7F"/>
    <w:rsid w:val="004E3238"/>
    <w:rsid w:val="004E38D0"/>
    <w:rsid w:val="004E3E40"/>
    <w:rsid w:val="004E5B52"/>
    <w:rsid w:val="004E61DD"/>
    <w:rsid w:val="004E62C1"/>
    <w:rsid w:val="004E68B6"/>
    <w:rsid w:val="004E6A71"/>
    <w:rsid w:val="004E79E3"/>
    <w:rsid w:val="004F0641"/>
    <w:rsid w:val="004F0956"/>
    <w:rsid w:val="004F0E81"/>
    <w:rsid w:val="004F1517"/>
    <w:rsid w:val="004F1DE5"/>
    <w:rsid w:val="004F28D1"/>
    <w:rsid w:val="004F2E55"/>
    <w:rsid w:val="004F2F35"/>
    <w:rsid w:val="004F2FD4"/>
    <w:rsid w:val="004F3CE9"/>
    <w:rsid w:val="004F4248"/>
    <w:rsid w:val="004F449D"/>
    <w:rsid w:val="004F4622"/>
    <w:rsid w:val="004F6480"/>
    <w:rsid w:val="004F674C"/>
    <w:rsid w:val="004F7690"/>
    <w:rsid w:val="004F781C"/>
    <w:rsid w:val="004F7A46"/>
    <w:rsid w:val="004F7E88"/>
    <w:rsid w:val="0050011B"/>
    <w:rsid w:val="0050044E"/>
    <w:rsid w:val="00500871"/>
    <w:rsid w:val="00501222"/>
    <w:rsid w:val="005012BF"/>
    <w:rsid w:val="00501892"/>
    <w:rsid w:val="00502315"/>
    <w:rsid w:val="00502680"/>
    <w:rsid w:val="00502883"/>
    <w:rsid w:val="00502D3C"/>
    <w:rsid w:val="005036BF"/>
    <w:rsid w:val="005043F6"/>
    <w:rsid w:val="00504DEC"/>
    <w:rsid w:val="0050511C"/>
    <w:rsid w:val="005063EA"/>
    <w:rsid w:val="00506D8A"/>
    <w:rsid w:val="00507427"/>
    <w:rsid w:val="00507C11"/>
    <w:rsid w:val="0051038B"/>
    <w:rsid w:val="005111ED"/>
    <w:rsid w:val="005112D4"/>
    <w:rsid w:val="0051141E"/>
    <w:rsid w:val="00511F0C"/>
    <w:rsid w:val="005122F2"/>
    <w:rsid w:val="00513631"/>
    <w:rsid w:val="00513732"/>
    <w:rsid w:val="00513809"/>
    <w:rsid w:val="0051381E"/>
    <w:rsid w:val="0051385A"/>
    <w:rsid w:val="00513AD5"/>
    <w:rsid w:val="00513C5D"/>
    <w:rsid w:val="00513F38"/>
    <w:rsid w:val="0051519D"/>
    <w:rsid w:val="005153C4"/>
    <w:rsid w:val="0051542B"/>
    <w:rsid w:val="00516023"/>
    <w:rsid w:val="00520892"/>
    <w:rsid w:val="00521236"/>
    <w:rsid w:val="00521758"/>
    <w:rsid w:val="00522174"/>
    <w:rsid w:val="00522903"/>
    <w:rsid w:val="005237F5"/>
    <w:rsid w:val="0052442C"/>
    <w:rsid w:val="00524B0E"/>
    <w:rsid w:val="00524B14"/>
    <w:rsid w:val="005253FC"/>
    <w:rsid w:val="005262E1"/>
    <w:rsid w:val="005266BA"/>
    <w:rsid w:val="00526DA2"/>
    <w:rsid w:val="0052755C"/>
    <w:rsid w:val="005279DD"/>
    <w:rsid w:val="00530741"/>
    <w:rsid w:val="00531BC8"/>
    <w:rsid w:val="00532064"/>
    <w:rsid w:val="00532892"/>
    <w:rsid w:val="005329AF"/>
    <w:rsid w:val="00532C6A"/>
    <w:rsid w:val="005331AB"/>
    <w:rsid w:val="005337DF"/>
    <w:rsid w:val="00533D07"/>
    <w:rsid w:val="00534502"/>
    <w:rsid w:val="00534916"/>
    <w:rsid w:val="005349B1"/>
    <w:rsid w:val="00534CE1"/>
    <w:rsid w:val="00534F55"/>
    <w:rsid w:val="005353B1"/>
    <w:rsid w:val="00535587"/>
    <w:rsid w:val="005363AB"/>
    <w:rsid w:val="00536C63"/>
    <w:rsid w:val="00537C3B"/>
    <w:rsid w:val="00537DE3"/>
    <w:rsid w:val="00537E91"/>
    <w:rsid w:val="005406BA"/>
    <w:rsid w:val="00540CE1"/>
    <w:rsid w:val="00541CE4"/>
    <w:rsid w:val="00541E5A"/>
    <w:rsid w:val="00542362"/>
    <w:rsid w:val="00542C77"/>
    <w:rsid w:val="00543587"/>
    <w:rsid w:val="00543E87"/>
    <w:rsid w:val="00544765"/>
    <w:rsid w:val="00546656"/>
    <w:rsid w:val="00546BDD"/>
    <w:rsid w:val="005472CB"/>
    <w:rsid w:val="00547A1C"/>
    <w:rsid w:val="00547B18"/>
    <w:rsid w:val="00547E9D"/>
    <w:rsid w:val="005504AE"/>
    <w:rsid w:val="0055095E"/>
    <w:rsid w:val="00551365"/>
    <w:rsid w:val="00551C6C"/>
    <w:rsid w:val="00551D9B"/>
    <w:rsid w:val="00552197"/>
    <w:rsid w:val="005538CE"/>
    <w:rsid w:val="00553A96"/>
    <w:rsid w:val="005555E8"/>
    <w:rsid w:val="00555DA1"/>
    <w:rsid w:val="00556852"/>
    <w:rsid w:val="00556F25"/>
    <w:rsid w:val="00557316"/>
    <w:rsid w:val="00557422"/>
    <w:rsid w:val="00557578"/>
    <w:rsid w:val="005576E1"/>
    <w:rsid w:val="00560398"/>
    <w:rsid w:val="00560B93"/>
    <w:rsid w:val="00560C4C"/>
    <w:rsid w:val="00561157"/>
    <w:rsid w:val="005617D4"/>
    <w:rsid w:val="00562E09"/>
    <w:rsid w:val="0056346B"/>
    <w:rsid w:val="00563B68"/>
    <w:rsid w:val="005643A3"/>
    <w:rsid w:val="00564B93"/>
    <w:rsid w:val="005658C1"/>
    <w:rsid w:val="00565BAE"/>
    <w:rsid w:val="00565EE2"/>
    <w:rsid w:val="00567347"/>
    <w:rsid w:val="00567CE4"/>
    <w:rsid w:val="00567D47"/>
    <w:rsid w:val="0057012B"/>
    <w:rsid w:val="005711B9"/>
    <w:rsid w:val="0057124C"/>
    <w:rsid w:val="00571B57"/>
    <w:rsid w:val="00572382"/>
    <w:rsid w:val="0057262C"/>
    <w:rsid w:val="005735D2"/>
    <w:rsid w:val="00573F2E"/>
    <w:rsid w:val="005745AF"/>
    <w:rsid w:val="005747A8"/>
    <w:rsid w:val="00575AB9"/>
    <w:rsid w:val="00575D41"/>
    <w:rsid w:val="00576016"/>
    <w:rsid w:val="005760E0"/>
    <w:rsid w:val="00577336"/>
    <w:rsid w:val="00577613"/>
    <w:rsid w:val="00577A49"/>
    <w:rsid w:val="00577AA9"/>
    <w:rsid w:val="00577FB0"/>
    <w:rsid w:val="005804DF"/>
    <w:rsid w:val="00580692"/>
    <w:rsid w:val="00580B77"/>
    <w:rsid w:val="00580EC2"/>
    <w:rsid w:val="00581096"/>
    <w:rsid w:val="005819E8"/>
    <w:rsid w:val="00581AC8"/>
    <w:rsid w:val="00583667"/>
    <w:rsid w:val="00583822"/>
    <w:rsid w:val="005841F8"/>
    <w:rsid w:val="005847D2"/>
    <w:rsid w:val="00586256"/>
    <w:rsid w:val="00586518"/>
    <w:rsid w:val="00586796"/>
    <w:rsid w:val="00587379"/>
    <w:rsid w:val="00587D40"/>
    <w:rsid w:val="0059039A"/>
    <w:rsid w:val="0059095C"/>
    <w:rsid w:val="00590BF8"/>
    <w:rsid w:val="00590CC0"/>
    <w:rsid w:val="0059106B"/>
    <w:rsid w:val="005914BE"/>
    <w:rsid w:val="0059156D"/>
    <w:rsid w:val="00591A81"/>
    <w:rsid w:val="00592170"/>
    <w:rsid w:val="0059295F"/>
    <w:rsid w:val="00593012"/>
    <w:rsid w:val="0059363E"/>
    <w:rsid w:val="00593E3D"/>
    <w:rsid w:val="005940E8"/>
    <w:rsid w:val="005942AA"/>
    <w:rsid w:val="00594790"/>
    <w:rsid w:val="00594A6B"/>
    <w:rsid w:val="00594C28"/>
    <w:rsid w:val="0059571B"/>
    <w:rsid w:val="00596262"/>
    <w:rsid w:val="00596309"/>
    <w:rsid w:val="00596E3C"/>
    <w:rsid w:val="0059780C"/>
    <w:rsid w:val="00597AEB"/>
    <w:rsid w:val="00597E13"/>
    <w:rsid w:val="005A00F1"/>
    <w:rsid w:val="005A06BE"/>
    <w:rsid w:val="005A1EB2"/>
    <w:rsid w:val="005A2592"/>
    <w:rsid w:val="005A267F"/>
    <w:rsid w:val="005A26B1"/>
    <w:rsid w:val="005A2ED8"/>
    <w:rsid w:val="005A3586"/>
    <w:rsid w:val="005A3780"/>
    <w:rsid w:val="005A3F66"/>
    <w:rsid w:val="005A3F6C"/>
    <w:rsid w:val="005A5808"/>
    <w:rsid w:val="005A5A95"/>
    <w:rsid w:val="005A5BBA"/>
    <w:rsid w:val="005A5CB5"/>
    <w:rsid w:val="005A61B6"/>
    <w:rsid w:val="005A78A7"/>
    <w:rsid w:val="005A79C6"/>
    <w:rsid w:val="005A7A07"/>
    <w:rsid w:val="005B0031"/>
    <w:rsid w:val="005B0051"/>
    <w:rsid w:val="005B1E3D"/>
    <w:rsid w:val="005B22FC"/>
    <w:rsid w:val="005B2D23"/>
    <w:rsid w:val="005B4130"/>
    <w:rsid w:val="005B44FA"/>
    <w:rsid w:val="005B4990"/>
    <w:rsid w:val="005B52FB"/>
    <w:rsid w:val="005B7F63"/>
    <w:rsid w:val="005C01DE"/>
    <w:rsid w:val="005C052B"/>
    <w:rsid w:val="005C107A"/>
    <w:rsid w:val="005C2186"/>
    <w:rsid w:val="005C2199"/>
    <w:rsid w:val="005C2C6E"/>
    <w:rsid w:val="005C3B44"/>
    <w:rsid w:val="005C3EE4"/>
    <w:rsid w:val="005C446B"/>
    <w:rsid w:val="005C475B"/>
    <w:rsid w:val="005C594D"/>
    <w:rsid w:val="005C5CC3"/>
    <w:rsid w:val="005C610F"/>
    <w:rsid w:val="005C6AD6"/>
    <w:rsid w:val="005C7470"/>
    <w:rsid w:val="005C79BF"/>
    <w:rsid w:val="005C7E62"/>
    <w:rsid w:val="005D067B"/>
    <w:rsid w:val="005D0BF7"/>
    <w:rsid w:val="005D131F"/>
    <w:rsid w:val="005D17F5"/>
    <w:rsid w:val="005D17FD"/>
    <w:rsid w:val="005D1CD0"/>
    <w:rsid w:val="005D2BC6"/>
    <w:rsid w:val="005D2FE1"/>
    <w:rsid w:val="005D35F0"/>
    <w:rsid w:val="005D3BB9"/>
    <w:rsid w:val="005D3DA9"/>
    <w:rsid w:val="005D3DAE"/>
    <w:rsid w:val="005D4163"/>
    <w:rsid w:val="005D4E94"/>
    <w:rsid w:val="005D52FD"/>
    <w:rsid w:val="005D5A56"/>
    <w:rsid w:val="005D61EC"/>
    <w:rsid w:val="005D6850"/>
    <w:rsid w:val="005D6AB3"/>
    <w:rsid w:val="005D75C0"/>
    <w:rsid w:val="005D77B2"/>
    <w:rsid w:val="005D7E8C"/>
    <w:rsid w:val="005D7F87"/>
    <w:rsid w:val="005E027D"/>
    <w:rsid w:val="005E0543"/>
    <w:rsid w:val="005E0807"/>
    <w:rsid w:val="005E1F62"/>
    <w:rsid w:val="005E223A"/>
    <w:rsid w:val="005E2B1A"/>
    <w:rsid w:val="005E2B85"/>
    <w:rsid w:val="005E2E6F"/>
    <w:rsid w:val="005E39C2"/>
    <w:rsid w:val="005E3EA8"/>
    <w:rsid w:val="005E4C8F"/>
    <w:rsid w:val="005E5158"/>
    <w:rsid w:val="005E5454"/>
    <w:rsid w:val="005E57C2"/>
    <w:rsid w:val="005E5C30"/>
    <w:rsid w:val="005E6F8F"/>
    <w:rsid w:val="005E7BC7"/>
    <w:rsid w:val="005F1739"/>
    <w:rsid w:val="005F17DB"/>
    <w:rsid w:val="005F17FB"/>
    <w:rsid w:val="005F196F"/>
    <w:rsid w:val="005F1B52"/>
    <w:rsid w:val="005F241D"/>
    <w:rsid w:val="005F2BFD"/>
    <w:rsid w:val="005F2ED0"/>
    <w:rsid w:val="005F3379"/>
    <w:rsid w:val="005F40C1"/>
    <w:rsid w:val="005F428C"/>
    <w:rsid w:val="005F461C"/>
    <w:rsid w:val="005F4A48"/>
    <w:rsid w:val="005F4CB6"/>
    <w:rsid w:val="005F5F4E"/>
    <w:rsid w:val="005F5FD5"/>
    <w:rsid w:val="005F67CA"/>
    <w:rsid w:val="005F6A0F"/>
    <w:rsid w:val="005F79EE"/>
    <w:rsid w:val="005F7A44"/>
    <w:rsid w:val="006005BB"/>
    <w:rsid w:val="0060064F"/>
    <w:rsid w:val="0060087D"/>
    <w:rsid w:val="00600C03"/>
    <w:rsid w:val="00600C64"/>
    <w:rsid w:val="00601091"/>
    <w:rsid w:val="00601DC3"/>
    <w:rsid w:val="00602598"/>
    <w:rsid w:val="00602AE4"/>
    <w:rsid w:val="00602FD7"/>
    <w:rsid w:val="00603572"/>
    <w:rsid w:val="00603624"/>
    <w:rsid w:val="00603833"/>
    <w:rsid w:val="00603AA2"/>
    <w:rsid w:val="006046AB"/>
    <w:rsid w:val="00604866"/>
    <w:rsid w:val="00605394"/>
    <w:rsid w:val="00605CD9"/>
    <w:rsid w:val="006064E1"/>
    <w:rsid w:val="00606FD4"/>
    <w:rsid w:val="00607202"/>
    <w:rsid w:val="006076B7"/>
    <w:rsid w:val="0061112B"/>
    <w:rsid w:val="006113C7"/>
    <w:rsid w:val="006114CF"/>
    <w:rsid w:val="006123E5"/>
    <w:rsid w:val="006126F1"/>
    <w:rsid w:val="0061451A"/>
    <w:rsid w:val="00614A2B"/>
    <w:rsid w:val="00614AC2"/>
    <w:rsid w:val="006150C2"/>
    <w:rsid w:val="0061555E"/>
    <w:rsid w:val="00615DB2"/>
    <w:rsid w:val="00616825"/>
    <w:rsid w:val="00616D65"/>
    <w:rsid w:val="00616E2E"/>
    <w:rsid w:val="00616F03"/>
    <w:rsid w:val="00616F4A"/>
    <w:rsid w:val="00617414"/>
    <w:rsid w:val="00617C93"/>
    <w:rsid w:val="00620917"/>
    <w:rsid w:val="006215B1"/>
    <w:rsid w:val="00622274"/>
    <w:rsid w:val="00622800"/>
    <w:rsid w:val="00623C70"/>
    <w:rsid w:val="00623D48"/>
    <w:rsid w:val="00623FA4"/>
    <w:rsid w:val="006240F0"/>
    <w:rsid w:val="00625AEC"/>
    <w:rsid w:val="00626608"/>
    <w:rsid w:val="006268FF"/>
    <w:rsid w:val="006274D3"/>
    <w:rsid w:val="006278DF"/>
    <w:rsid w:val="00631381"/>
    <w:rsid w:val="0063138B"/>
    <w:rsid w:val="00631743"/>
    <w:rsid w:val="00632B6A"/>
    <w:rsid w:val="0063305A"/>
    <w:rsid w:val="006333FA"/>
    <w:rsid w:val="0063369A"/>
    <w:rsid w:val="006339A7"/>
    <w:rsid w:val="00633D83"/>
    <w:rsid w:val="00633F1D"/>
    <w:rsid w:val="006342C1"/>
    <w:rsid w:val="00634B4F"/>
    <w:rsid w:val="006357B1"/>
    <w:rsid w:val="00635B60"/>
    <w:rsid w:val="0063679D"/>
    <w:rsid w:val="006375FE"/>
    <w:rsid w:val="00640427"/>
    <w:rsid w:val="00640CD1"/>
    <w:rsid w:val="00641013"/>
    <w:rsid w:val="00641C80"/>
    <w:rsid w:val="00642101"/>
    <w:rsid w:val="006440DC"/>
    <w:rsid w:val="00644428"/>
    <w:rsid w:val="006444BB"/>
    <w:rsid w:val="00644D5C"/>
    <w:rsid w:val="00645706"/>
    <w:rsid w:val="00645857"/>
    <w:rsid w:val="00645CDB"/>
    <w:rsid w:val="00646779"/>
    <w:rsid w:val="00646CBB"/>
    <w:rsid w:val="006470E6"/>
    <w:rsid w:val="006474AA"/>
    <w:rsid w:val="00647925"/>
    <w:rsid w:val="0064796B"/>
    <w:rsid w:val="00647FE4"/>
    <w:rsid w:val="00650A59"/>
    <w:rsid w:val="00651005"/>
    <w:rsid w:val="006510AC"/>
    <w:rsid w:val="00651140"/>
    <w:rsid w:val="00651D6B"/>
    <w:rsid w:val="006520CF"/>
    <w:rsid w:val="006526E0"/>
    <w:rsid w:val="00652ADE"/>
    <w:rsid w:val="00652C98"/>
    <w:rsid w:val="00652F2B"/>
    <w:rsid w:val="00654A98"/>
    <w:rsid w:val="00654FDC"/>
    <w:rsid w:val="0065631C"/>
    <w:rsid w:val="006565C5"/>
    <w:rsid w:val="006565CF"/>
    <w:rsid w:val="0065676C"/>
    <w:rsid w:val="006571E0"/>
    <w:rsid w:val="006575A6"/>
    <w:rsid w:val="00657D40"/>
    <w:rsid w:val="00657E06"/>
    <w:rsid w:val="00657E99"/>
    <w:rsid w:val="00660933"/>
    <w:rsid w:val="00660FE4"/>
    <w:rsid w:val="006610B2"/>
    <w:rsid w:val="0066129E"/>
    <w:rsid w:val="00661BA9"/>
    <w:rsid w:val="00661F36"/>
    <w:rsid w:val="00662276"/>
    <w:rsid w:val="00662F07"/>
    <w:rsid w:val="006630C1"/>
    <w:rsid w:val="006636E6"/>
    <w:rsid w:val="006640D1"/>
    <w:rsid w:val="00664349"/>
    <w:rsid w:val="00664479"/>
    <w:rsid w:val="00665A21"/>
    <w:rsid w:val="006667DF"/>
    <w:rsid w:val="00666851"/>
    <w:rsid w:val="00666F84"/>
    <w:rsid w:val="0066757E"/>
    <w:rsid w:val="00667839"/>
    <w:rsid w:val="006711AF"/>
    <w:rsid w:val="00671828"/>
    <w:rsid w:val="00671873"/>
    <w:rsid w:val="00671F0E"/>
    <w:rsid w:val="00672C78"/>
    <w:rsid w:val="00672FC6"/>
    <w:rsid w:val="006747D2"/>
    <w:rsid w:val="006756A1"/>
    <w:rsid w:val="00675793"/>
    <w:rsid w:val="00676556"/>
    <w:rsid w:val="00676AF6"/>
    <w:rsid w:val="00676CA2"/>
    <w:rsid w:val="00677083"/>
    <w:rsid w:val="006775D7"/>
    <w:rsid w:val="0068011D"/>
    <w:rsid w:val="0068103E"/>
    <w:rsid w:val="006818DB"/>
    <w:rsid w:val="00682557"/>
    <w:rsid w:val="00683706"/>
    <w:rsid w:val="0068374D"/>
    <w:rsid w:val="006838C0"/>
    <w:rsid w:val="00683FBE"/>
    <w:rsid w:val="00684051"/>
    <w:rsid w:val="006843D4"/>
    <w:rsid w:val="00685335"/>
    <w:rsid w:val="00685B26"/>
    <w:rsid w:val="00685F5D"/>
    <w:rsid w:val="006874C9"/>
    <w:rsid w:val="0068797F"/>
    <w:rsid w:val="00690584"/>
    <w:rsid w:val="00691114"/>
    <w:rsid w:val="00691C7F"/>
    <w:rsid w:val="00691E44"/>
    <w:rsid w:val="00692723"/>
    <w:rsid w:val="0069395A"/>
    <w:rsid w:val="00694219"/>
    <w:rsid w:val="00694FB0"/>
    <w:rsid w:val="006956F4"/>
    <w:rsid w:val="00695B09"/>
    <w:rsid w:val="00695D38"/>
    <w:rsid w:val="006963D9"/>
    <w:rsid w:val="006977AA"/>
    <w:rsid w:val="006A09C4"/>
    <w:rsid w:val="006A19D1"/>
    <w:rsid w:val="006A1C56"/>
    <w:rsid w:val="006A1CFE"/>
    <w:rsid w:val="006A2049"/>
    <w:rsid w:val="006A273C"/>
    <w:rsid w:val="006A2DF8"/>
    <w:rsid w:val="006A3102"/>
    <w:rsid w:val="006A3248"/>
    <w:rsid w:val="006A350C"/>
    <w:rsid w:val="006A3832"/>
    <w:rsid w:val="006A38EB"/>
    <w:rsid w:val="006A3DF5"/>
    <w:rsid w:val="006A4B75"/>
    <w:rsid w:val="006A54BC"/>
    <w:rsid w:val="006A5751"/>
    <w:rsid w:val="006A60D1"/>
    <w:rsid w:val="006A6956"/>
    <w:rsid w:val="006A6A03"/>
    <w:rsid w:val="006A6BFC"/>
    <w:rsid w:val="006A7D69"/>
    <w:rsid w:val="006A7DC3"/>
    <w:rsid w:val="006B0203"/>
    <w:rsid w:val="006B2348"/>
    <w:rsid w:val="006B3169"/>
    <w:rsid w:val="006B378F"/>
    <w:rsid w:val="006B4079"/>
    <w:rsid w:val="006B44B8"/>
    <w:rsid w:val="006B45DE"/>
    <w:rsid w:val="006B53E4"/>
    <w:rsid w:val="006B648C"/>
    <w:rsid w:val="006B6B32"/>
    <w:rsid w:val="006C04F6"/>
    <w:rsid w:val="006C0D77"/>
    <w:rsid w:val="006C0E4D"/>
    <w:rsid w:val="006C0F9C"/>
    <w:rsid w:val="006C0FCC"/>
    <w:rsid w:val="006C111D"/>
    <w:rsid w:val="006C2050"/>
    <w:rsid w:val="006C20B7"/>
    <w:rsid w:val="006C2A70"/>
    <w:rsid w:val="006C35A6"/>
    <w:rsid w:val="006C3994"/>
    <w:rsid w:val="006C4745"/>
    <w:rsid w:val="006C4E3E"/>
    <w:rsid w:val="006C4FBA"/>
    <w:rsid w:val="006C507E"/>
    <w:rsid w:val="006C6354"/>
    <w:rsid w:val="006C71C5"/>
    <w:rsid w:val="006C7764"/>
    <w:rsid w:val="006D0B54"/>
    <w:rsid w:val="006D1145"/>
    <w:rsid w:val="006D169A"/>
    <w:rsid w:val="006D1E01"/>
    <w:rsid w:val="006D1E6D"/>
    <w:rsid w:val="006D20FE"/>
    <w:rsid w:val="006D270A"/>
    <w:rsid w:val="006D29EE"/>
    <w:rsid w:val="006D3040"/>
    <w:rsid w:val="006D38DC"/>
    <w:rsid w:val="006D4832"/>
    <w:rsid w:val="006D48FB"/>
    <w:rsid w:val="006D5A9F"/>
    <w:rsid w:val="006D6051"/>
    <w:rsid w:val="006D6221"/>
    <w:rsid w:val="006D6736"/>
    <w:rsid w:val="006D7155"/>
    <w:rsid w:val="006D7A8E"/>
    <w:rsid w:val="006D7BE8"/>
    <w:rsid w:val="006D7DFC"/>
    <w:rsid w:val="006E0A0A"/>
    <w:rsid w:val="006E2E3B"/>
    <w:rsid w:val="006E3560"/>
    <w:rsid w:val="006E3629"/>
    <w:rsid w:val="006E362E"/>
    <w:rsid w:val="006E3948"/>
    <w:rsid w:val="006E3E82"/>
    <w:rsid w:val="006E4278"/>
    <w:rsid w:val="006E4B08"/>
    <w:rsid w:val="006E4B09"/>
    <w:rsid w:val="006E500B"/>
    <w:rsid w:val="006E6373"/>
    <w:rsid w:val="006E6533"/>
    <w:rsid w:val="006E69E1"/>
    <w:rsid w:val="006E711F"/>
    <w:rsid w:val="006E7EBB"/>
    <w:rsid w:val="006F03FC"/>
    <w:rsid w:val="006F07C7"/>
    <w:rsid w:val="006F0A60"/>
    <w:rsid w:val="006F0D94"/>
    <w:rsid w:val="006F1B7D"/>
    <w:rsid w:val="006F1D42"/>
    <w:rsid w:val="006F1DC1"/>
    <w:rsid w:val="006F22DD"/>
    <w:rsid w:val="006F2660"/>
    <w:rsid w:val="006F3283"/>
    <w:rsid w:val="006F3AFD"/>
    <w:rsid w:val="006F3EE4"/>
    <w:rsid w:val="006F4144"/>
    <w:rsid w:val="006F46F2"/>
    <w:rsid w:val="006F4A0B"/>
    <w:rsid w:val="006F6D58"/>
    <w:rsid w:val="006F7305"/>
    <w:rsid w:val="006F7E24"/>
    <w:rsid w:val="00700E0A"/>
    <w:rsid w:val="00701273"/>
    <w:rsid w:val="00703AEF"/>
    <w:rsid w:val="007044ED"/>
    <w:rsid w:val="00704F90"/>
    <w:rsid w:val="0070513D"/>
    <w:rsid w:val="007065CF"/>
    <w:rsid w:val="00707465"/>
    <w:rsid w:val="00707992"/>
    <w:rsid w:val="00707A95"/>
    <w:rsid w:val="00707E24"/>
    <w:rsid w:val="00710872"/>
    <w:rsid w:val="007108E2"/>
    <w:rsid w:val="00710BD4"/>
    <w:rsid w:val="00710DC6"/>
    <w:rsid w:val="0071225A"/>
    <w:rsid w:val="007122BF"/>
    <w:rsid w:val="007138D7"/>
    <w:rsid w:val="00714292"/>
    <w:rsid w:val="00714497"/>
    <w:rsid w:val="00716CDE"/>
    <w:rsid w:val="0071781B"/>
    <w:rsid w:val="007217D0"/>
    <w:rsid w:val="007217E1"/>
    <w:rsid w:val="00722CAA"/>
    <w:rsid w:val="0072333F"/>
    <w:rsid w:val="007239EC"/>
    <w:rsid w:val="00723ADC"/>
    <w:rsid w:val="00723C21"/>
    <w:rsid w:val="00723D7F"/>
    <w:rsid w:val="00724270"/>
    <w:rsid w:val="00724284"/>
    <w:rsid w:val="00724482"/>
    <w:rsid w:val="00724554"/>
    <w:rsid w:val="00724E95"/>
    <w:rsid w:val="00724FD0"/>
    <w:rsid w:val="0072565A"/>
    <w:rsid w:val="007262F0"/>
    <w:rsid w:val="00726B91"/>
    <w:rsid w:val="00726CF2"/>
    <w:rsid w:val="00727070"/>
    <w:rsid w:val="00727615"/>
    <w:rsid w:val="00727EFF"/>
    <w:rsid w:val="007300FC"/>
    <w:rsid w:val="0073057F"/>
    <w:rsid w:val="007306A6"/>
    <w:rsid w:val="007329DF"/>
    <w:rsid w:val="00732A5B"/>
    <w:rsid w:val="00733955"/>
    <w:rsid w:val="007348E5"/>
    <w:rsid w:val="00734949"/>
    <w:rsid w:val="00735166"/>
    <w:rsid w:val="0073546A"/>
    <w:rsid w:val="0073550F"/>
    <w:rsid w:val="0073580C"/>
    <w:rsid w:val="0073619E"/>
    <w:rsid w:val="00736621"/>
    <w:rsid w:val="00736947"/>
    <w:rsid w:val="00736E69"/>
    <w:rsid w:val="00736F05"/>
    <w:rsid w:val="00737ADE"/>
    <w:rsid w:val="00740B44"/>
    <w:rsid w:val="007413C5"/>
    <w:rsid w:val="0074144D"/>
    <w:rsid w:val="0074191B"/>
    <w:rsid w:val="00741EBB"/>
    <w:rsid w:val="007423E5"/>
    <w:rsid w:val="0074289A"/>
    <w:rsid w:val="00742BE2"/>
    <w:rsid w:val="00742D17"/>
    <w:rsid w:val="00742DA9"/>
    <w:rsid w:val="0074365C"/>
    <w:rsid w:val="00743674"/>
    <w:rsid w:val="00743750"/>
    <w:rsid w:val="00743831"/>
    <w:rsid w:val="007439B9"/>
    <w:rsid w:val="00745278"/>
    <w:rsid w:val="0074559A"/>
    <w:rsid w:val="00745AD4"/>
    <w:rsid w:val="007463A6"/>
    <w:rsid w:val="007463DB"/>
    <w:rsid w:val="00746510"/>
    <w:rsid w:val="007469F0"/>
    <w:rsid w:val="00746CF8"/>
    <w:rsid w:val="007479BF"/>
    <w:rsid w:val="00747E92"/>
    <w:rsid w:val="007504D5"/>
    <w:rsid w:val="007514FC"/>
    <w:rsid w:val="00751904"/>
    <w:rsid w:val="00752D69"/>
    <w:rsid w:val="00752FE0"/>
    <w:rsid w:val="00754539"/>
    <w:rsid w:val="00754640"/>
    <w:rsid w:val="00754A9B"/>
    <w:rsid w:val="0075618A"/>
    <w:rsid w:val="0075619F"/>
    <w:rsid w:val="007561E8"/>
    <w:rsid w:val="00756228"/>
    <w:rsid w:val="00757089"/>
    <w:rsid w:val="007570C4"/>
    <w:rsid w:val="00757298"/>
    <w:rsid w:val="00757D2D"/>
    <w:rsid w:val="007612ED"/>
    <w:rsid w:val="00762363"/>
    <w:rsid w:val="00762D66"/>
    <w:rsid w:val="00762F66"/>
    <w:rsid w:val="00763840"/>
    <w:rsid w:val="0076385D"/>
    <w:rsid w:val="00763AF4"/>
    <w:rsid w:val="00763FC3"/>
    <w:rsid w:val="00764451"/>
    <w:rsid w:val="0076474C"/>
    <w:rsid w:val="007647B7"/>
    <w:rsid w:val="00764A2B"/>
    <w:rsid w:val="00764C74"/>
    <w:rsid w:val="00766DA6"/>
    <w:rsid w:val="00766E61"/>
    <w:rsid w:val="00770BD5"/>
    <w:rsid w:val="00770ECC"/>
    <w:rsid w:val="00771772"/>
    <w:rsid w:val="007720CC"/>
    <w:rsid w:val="00772248"/>
    <w:rsid w:val="00773C5A"/>
    <w:rsid w:val="00773C9E"/>
    <w:rsid w:val="00773E11"/>
    <w:rsid w:val="00774786"/>
    <w:rsid w:val="00774977"/>
    <w:rsid w:val="00774C61"/>
    <w:rsid w:val="00774F3B"/>
    <w:rsid w:val="007752FF"/>
    <w:rsid w:val="00775417"/>
    <w:rsid w:val="00775561"/>
    <w:rsid w:val="0077587E"/>
    <w:rsid w:val="00775F40"/>
    <w:rsid w:val="007762D5"/>
    <w:rsid w:val="00777118"/>
    <w:rsid w:val="00777224"/>
    <w:rsid w:val="007777AA"/>
    <w:rsid w:val="007777CC"/>
    <w:rsid w:val="007802F7"/>
    <w:rsid w:val="007813CC"/>
    <w:rsid w:val="00781428"/>
    <w:rsid w:val="00782AEE"/>
    <w:rsid w:val="00782D9D"/>
    <w:rsid w:val="00783CA8"/>
    <w:rsid w:val="00783CF4"/>
    <w:rsid w:val="00783D61"/>
    <w:rsid w:val="0078406D"/>
    <w:rsid w:val="00784A97"/>
    <w:rsid w:val="0078545C"/>
    <w:rsid w:val="00785A74"/>
    <w:rsid w:val="007860EC"/>
    <w:rsid w:val="0078635D"/>
    <w:rsid w:val="0078691E"/>
    <w:rsid w:val="007869A4"/>
    <w:rsid w:val="00786A31"/>
    <w:rsid w:val="00787599"/>
    <w:rsid w:val="00787955"/>
    <w:rsid w:val="00787BA8"/>
    <w:rsid w:val="007904A1"/>
    <w:rsid w:val="00790D56"/>
    <w:rsid w:val="00790F09"/>
    <w:rsid w:val="00791078"/>
    <w:rsid w:val="0079135B"/>
    <w:rsid w:val="0079169A"/>
    <w:rsid w:val="00791B69"/>
    <w:rsid w:val="0079215F"/>
    <w:rsid w:val="00792314"/>
    <w:rsid w:val="0079249F"/>
    <w:rsid w:val="00792FE3"/>
    <w:rsid w:val="0079335F"/>
    <w:rsid w:val="00793401"/>
    <w:rsid w:val="00793B9D"/>
    <w:rsid w:val="00793EE7"/>
    <w:rsid w:val="00794152"/>
    <w:rsid w:val="00795375"/>
    <w:rsid w:val="007957B1"/>
    <w:rsid w:val="00796321"/>
    <w:rsid w:val="00796369"/>
    <w:rsid w:val="0079679A"/>
    <w:rsid w:val="007967DA"/>
    <w:rsid w:val="00796C04"/>
    <w:rsid w:val="00796FA7"/>
    <w:rsid w:val="00797C7E"/>
    <w:rsid w:val="00797DCF"/>
    <w:rsid w:val="007A1236"/>
    <w:rsid w:val="007A15F7"/>
    <w:rsid w:val="007A1901"/>
    <w:rsid w:val="007A216E"/>
    <w:rsid w:val="007A33A5"/>
    <w:rsid w:val="007A346D"/>
    <w:rsid w:val="007A376E"/>
    <w:rsid w:val="007A40BA"/>
    <w:rsid w:val="007A4778"/>
    <w:rsid w:val="007A4A9D"/>
    <w:rsid w:val="007A4B6F"/>
    <w:rsid w:val="007A4FE5"/>
    <w:rsid w:val="007A5CF1"/>
    <w:rsid w:val="007A65A3"/>
    <w:rsid w:val="007A67B5"/>
    <w:rsid w:val="007A69CE"/>
    <w:rsid w:val="007A6ADA"/>
    <w:rsid w:val="007A7B16"/>
    <w:rsid w:val="007A7F12"/>
    <w:rsid w:val="007B0711"/>
    <w:rsid w:val="007B0BA6"/>
    <w:rsid w:val="007B0CEA"/>
    <w:rsid w:val="007B1A3A"/>
    <w:rsid w:val="007B2D07"/>
    <w:rsid w:val="007B3AB3"/>
    <w:rsid w:val="007B496E"/>
    <w:rsid w:val="007B4D89"/>
    <w:rsid w:val="007B52AC"/>
    <w:rsid w:val="007B5BF0"/>
    <w:rsid w:val="007B5E29"/>
    <w:rsid w:val="007B6310"/>
    <w:rsid w:val="007B6482"/>
    <w:rsid w:val="007B6708"/>
    <w:rsid w:val="007B6B92"/>
    <w:rsid w:val="007B785F"/>
    <w:rsid w:val="007C0933"/>
    <w:rsid w:val="007C0F33"/>
    <w:rsid w:val="007C1333"/>
    <w:rsid w:val="007C1920"/>
    <w:rsid w:val="007C1A67"/>
    <w:rsid w:val="007C1ABD"/>
    <w:rsid w:val="007C217E"/>
    <w:rsid w:val="007C21B0"/>
    <w:rsid w:val="007C22EA"/>
    <w:rsid w:val="007C2B54"/>
    <w:rsid w:val="007C2D71"/>
    <w:rsid w:val="007C3428"/>
    <w:rsid w:val="007C4230"/>
    <w:rsid w:val="007C4568"/>
    <w:rsid w:val="007C59C1"/>
    <w:rsid w:val="007C69C5"/>
    <w:rsid w:val="007C764B"/>
    <w:rsid w:val="007C7BB4"/>
    <w:rsid w:val="007C7C8A"/>
    <w:rsid w:val="007C7C96"/>
    <w:rsid w:val="007D00C0"/>
    <w:rsid w:val="007D04B3"/>
    <w:rsid w:val="007D0E08"/>
    <w:rsid w:val="007D168E"/>
    <w:rsid w:val="007D18BA"/>
    <w:rsid w:val="007D1AA7"/>
    <w:rsid w:val="007D1E97"/>
    <w:rsid w:val="007D1F93"/>
    <w:rsid w:val="007D2180"/>
    <w:rsid w:val="007D21BF"/>
    <w:rsid w:val="007D2495"/>
    <w:rsid w:val="007D2CEE"/>
    <w:rsid w:val="007D2ECD"/>
    <w:rsid w:val="007D3D82"/>
    <w:rsid w:val="007D435D"/>
    <w:rsid w:val="007D45A3"/>
    <w:rsid w:val="007D4CF4"/>
    <w:rsid w:val="007D50B6"/>
    <w:rsid w:val="007D5C13"/>
    <w:rsid w:val="007D673A"/>
    <w:rsid w:val="007D7474"/>
    <w:rsid w:val="007D7544"/>
    <w:rsid w:val="007E0703"/>
    <w:rsid w:val="007E0814"/>
    <w:rsid w:val="007E0D55"/>
    <w:rsid w:val="007E0DF5"/>
    <w:rsid w:val="007E2403"/>
    <w:rsid w:val="007E2C5A"/>
    <w:rsid w:val="007E34F6"/>
    <w:rsid w:val="007E35E6"/>
    <w:rsid w:val="007E3967"/>
    <w:rsid w:val="007E3B84"/>
    <w:rsid w:val="007E3D00"/>
    <w:rsid w:val="007E4338"/>
    <w:rsid w:val="007E46C0"/>
    <w:rsid w:val="007E48BA"/>
    <w:rsid w:val="007E4D28"/>
    <w:rsid w:val="007E5B72"/>
    <w:rsid w:val="007E6E3D"/>
    <w:rsid w:val="007E7086"/>
    <w:rsid w:val="007E7167"/>
    <w:rsid w:val="007E7575"/>
    <w:rsid w:val="007E7A11"/>
    <w:rsid w:val="007E7A77"/>
    <w:rsid w:val="007F0ACB"/>
    <w:rsid w:val="007F10E0"/>
    <w:rsid w:val="007F1261"/>
    <w:rsid w:val="007F1939"/>
    <w:rsid w:val="007F1AA6"/>
    <w:rsid w:val="007F1BB1"/>
    <w:rsid w:val="007F2A40"/>
    <w:rsid w:val="007F2A6E"/>
    <w:rsid w:val="007F2BE1"/>
    <w:rsid w:val="007F2D21"/>
    <w:rsid w:val="007F3447"/>
    <w:rsid w:val="007F4643"/>
    <w:rsid w:val="007F47F9"/>
    <w:rsid w:val="007F4B85"/>
    <w:rsid w:val="007F4C86"/>
    <w:rsid w:val="007F5C0D"/>
    <w:rsid w:val="007F67C6"/>
    <w:rsid w:val="007F7BEC"/>
    <w:rsid w:val="00800433"/>
    <w:rsid w:val="00800452"/>
    <w:rsid w:val="008008CA"/>
    <w:rsid w:val="00801898"/>
    <w:rsid w:val="00801CCD"/>
    <w:rsid w:val="008020BA"/>
    <w:rsid w:val="0080216F"/>
    <w:rsid w:val="008034A7"/>
    <w:rsid w:val="00803FFB"/>
    <w:rsid w:val="00805556"/>
    <w:rsid w:val="0080560D"/>
    <w:rsid w:val="0080786F"/>
    <w:rsid w:val="00810396"/>
    <w:rsid w:val="00810892"/>
    <w:rsid w:val="00810F93"/>
    <w:rsid w:val="00810FDA"/>
    <w:rsid w:val="008110EF"/>
    <w:rsid w:val="008112AD"/>
    <w:rsid w:val="0081213C"/>
    <w:rsid w:val="008136A7"/>
    <w:rsid w:val="00814074"/>
    <w:rsid w:val="008143B5"/>
    <w:rsid w:val="00816248"/>
    <w:rsid w:val="0081648E"/>
    <w:rsid w:val="008169EC"/>
    <w:rsid w:val="00816A51"/>
    <w:rsid w:val="00816F05"/>
    <w:rsid w:val="008171A9"/>
    <w:rsid w:val="0081740A"/>
    <w:rsid w:val="00821566"/>
    <w:rsid w:val="00821598"/>
    <w:rsid w:val="008216DB"/>
    <w:rsid w:val="008217CA"/>
    <w:rsid w:val="008221A6"/>
    <w:rsid w:val="00822802"/>
    <w:rsid w:val="008229E3"/>
    <w:rsid w:val="0082392F"/>
    <w:rsid w:val="0082437F"/>
    <w:rsid w:val="0082440C"/>
    <w:rsid w:val="00824724"/>
    <w:rsid w:val="00824902"/>
    <w:rsid w:val="00826043"/>
    <w:rsid w:val="00826552"/>
    <w:rsid w:val="00826BB1"/>
    <w:rsid w:val="0082716A"/>
    <w:rsid w:val="00827365"/>
    <w:rsid w:val="008273A7"/>
    <w:rsid w:val="0082795E"/>
    <w:rsid w:val="008302B1"/>
    <w:rsid w:val="008306E0"/>
    <w:rsid w:val="00831298"/>
    <w:rsid w:val="00831343"/>
    <w:rsid w:val="0083144C"/>
    <w:rsid w:val="00831507"/>
    <w:rsid w:val="008316B4"/>
    <w:rsid w:val="008318AD"/>
    <w:rsid w:val="008328D9"/>
    <w:rsid w:val="00832ABC"/>
    <w:rsid w:val="00832FE3"/>
    <w:rsid w:val="00833371"/>
    <w:rsid w:val="00833862"/>
    <w:rsid w:val="00834292"/>
    <w:rsid w:val="008345B1"/>
    <w:rsid w:val="008352AD"/>
    <w:rsid w:val="0083541A"/>
    <w:rsid w:val="008354BC"/>
    <w:rsid w:val="008357A9"/>
    <w:rsid w:val="008369AD"/>
    <w:rsid w:val="00837465"/>
    <w:rsid w:val="0083786D"/>
    <w:rsid w:val="00837C12"/>
    <w:rsid w:val="008410E2"/>
    <w:rsid w:val="008416FD"/>
    <w:rsid w:val="00842DBE"/>
    <w:rsid w:val="008434E8"/>
    <w:rsid w:val="00843E8E"/>
    <w:rsid w:val="00844121"/>
    <w:rsid w:val="008464AF"/>
    <w:rsid w:val="00846E9D"/>
    <w:rsid w:val="008533A2"/>
    <w:rsid w:val="00853A4F"/>
    <w:rsid w:val="00853F2C"/>
    <w:rsid w:val="008545D5"/>
    <w:rsid w:val="0085488D"/>
    <w:rsid w:val="00855B7D"/>
    <w:rsid w:val="00855CF1"/>
    <w:rsid w:val="008560F0"/>
    <w:rsid w:val="00856363"/>
    <w:rsid w:val="0085762F"/>
    <w:rsid w:val="00857EAA"/>
    <w:rsid w:val="00860153"/>
    <w:rsid w:val="00860447"/>
    <w:rsid w:val="00860B51"/>
    <w:rsid w:val="00860CB0"/>
    <w:rsid w:val="00861781"/>
    <w:rsid w:val="00861A25"/>
    <w:rsid w:val="008621C3"/>
    <w:rsid w:val="00862A1C"/>
    <w:rsid w:val="00863E54"/>
    <w:rsid w:val="00864CFC"/>
    <w:rsid w:val="0086535E"/>
    <w:rsid w:val="00865C58"/>
    <w:rsid w:val="00865EF3"/>
    <w:rsid w:val="008663B0"/>
    <w:rsid w:val="00866D8F"/>
    <w:rsid w:val="00866E27"/>
    <w:rsid w:val="00866EE7"/>
    <w:rsid w:val="008704F9"/>
    <w:rsid w:val="00870B38"/>
    <w:rsid w:val="00871183"/>
    <w:rsid w:val="00871371"/>
    <w:rsid w:val="008719A5"/>
    <w:rsid w:val="00872097"/>
    <w:rsid w:val="00872951"/>
    <w:rsid w:val="00874651"/>
    <w:rsid w:val="008748F6"/>
    <w:rsid w:val="008750F7"/>
    <w:rsid w:val="0087529A"/>
    <w:rsid w:val="00875633"/>
    <w:rsid w:val="008760BA"/>
    <w:rsid w:val="0087626B"/>
    <w:rsid w:val="00876624"/>
    <w:rsid w:val="00876A4C"/>
    <w:rsid w:val="00877240"/>
    <w:rsid w:val="00877474"/>
    <w:rsid w:val="0087752B"/>
    <w:rsid w:val="00880BA1"/>
    <w:rsid w:val="00880E20"/>
    <w:rsid w:val="008813A9"/>
    <w:rsid w:val="00881987"/>
    <w:rsid w:val="00881C00"/>
    <w:rsid w:val="008820A9"/>
    <w:rsid w:val="008826B5"/>
    <w:rsid w:val="00882841"/>
    <w:rsid w:val="00883629"/>
    <w:rsid w:val="0088448F"/>
    <w:rsid w:val="0088524B"/>
    <w:rsid w:val="00885749"/>
    <w:rsid w:val="008902C0"/>
    <w:rsid w:val="00890717"/>
    <w:rsid w:val="00891021"/>
    <w:rsid w:val="008910C5"/>
    <w:rsid w:val="00891C44"/>
    <w:rsid w:val="008923B0"/>
    <w:rsid w:val="008924EF"/>
    <w:rsid w:val="00892519"/>
    <w:rsid w:val="008927D3"/>
    <w:rsid w:val="00892F48"/>
    <w:rsid w:val="008933D2"/>
    <w:rsid w:val="00893FCE"/>
    <w:rsid w:val="00894298"/>
    <w:rsid w:val="00894854"/>
    <w:rsid w:val="008949D3"/>
    <w:rsid w:val="008950D0"/>
    <w:rsid w:val="00895C3B"/>
    <w:rsid w:val="00895EC8"/>
    <w:rsid w:val="008968D7"/>
    <w:rsid w:val="008969D1"/>
    <w:rsid w:val="00896D32"/>
    <w:rsid w:val="008971F2"/>
    <w:rsid w:val="0089740B"/>
    <w:rsid w:val="008A0480"/>
    <w:rsid w:val="008A0529"/>
    <w:rsid w:val="008A0769"/>
    <w:rsid w:val="008A0A1A"/>
    <w:rsid w:val="008A0BCE"/>
    <w:rsid w:val="008A0C32"/>
    <w:rsid w:val="008A0DA6"/>
    <w:rsid w:val="008A2058"/>
    <w:rsid w:val="008A2665"/>
    <w:rsid w:val="008A26E4"/>
    <w:rsid w:val="008A2E90"/>
    <w:rsid w:val="008A3095"/>
    <w:rsid w:val="008A3CAB"/>
    <w:rsid w:val="008A3F60"/>
    <w:rsid w:val="008A4AEC"/>
    <w:rsid w:val="008A4C42"/>
    <w:rsid w:val="008A4FD5"/>
    <w:rsid w:val="008A5242"/>
    <w:rsid w:val="008A5498"/>
    <w:rsid w:val="008A5682"/>
    <w:rsid w:val="008A5F6C"/>
    <w:rsid w:val="008A7147"/>
    <w:rsid w:val="008B01D6"/>
    <w:rsid w:val="008B05F9"/>
    <w:rsid w:val="008B1C50"/>
    <w:rsid w:val="008B1EAF"/>
    <w:rsid w:val="008B267E"/>
    <w:rsid w:val="008B293F"/>
    <w:rsid w:val="008B40A0"/>
    <w:rsid w:val="008B4410"/>
    <w:rsid w:val="008B4B74"/>
    <w:rsid w:val="008B4F2D"/>
    <w:rsid w:val="008B64F2"/>
    <w:rsid w:val="008B6689"/>
    <w:rsid w:val="008B6C03"/>
    <w:rsid w:val="008B6CDB"/>
    <w:rsid w:val="008B714B"/>
    <w:rsid w:val="008B7150"/>
    <w:rsid w:val="008B743F"/>
    <w:rsid w:val="008B7ECA"/>
    <w:rsid w:val="008C0406"/>
    <w:rsid w:val="008C1460"/>
    <w:rsid w:val="008C2648"/>
    <w:rsid w:val="008C27CF"/>
    <w:rsid w:val="008C2AA8"/>
    <w:rsid w:val="008C2C29"/>
    <w:rsid w:val="008C2FF2"/>
    <w:rsid w:val="008C301B"/>
    <w:rsid w:val="008C3FB3"/>
    <w:rsid w:val="008C456D"/>
    <w:rsid w:val="008C4E81"/>
    <w:rsid w:val="008C504F"/>
    <w:rsid w:val="008C5064"/>
    <w:rsid w:val="008C53E1"/>
    <w:rsid w:val="008C5BCB"/>
    <w:rsid w:val="008C65EA"/>
    <w:rsid w:val="008C66A3"/>
    <w:rsid w:val="008C6A03"/>
    <w:rsid w:val="008C6E0E"/>
    <w:rsid w:val="008C7E1E"/>
    <w:rsid w:val="008D02CA"/>
    <w:rsid w:val="008D0E1E"/>
    <w:rsid w:val="008D118C"/>
    <w:rsid w:val="008D19AB"/>
    <w:rsid w:val="008D1F23"/>
    <w:rsid w:val="008D23F8"/>
    <w:rsid w:val="008D2D83"/>
    <w:rsid w:val="008D3146"/>
    <w:rsid w:val="008D319E"/>
    <w:rsid w:val="008D3AEA"/>
    <w:rsid w:val="008D3B84"/>
    <w:rsid w:val="008D3BC8"/>
    <w:rsid w:val="008D43D7"/>
    <w:rsid w:val="008D46DD"/>
    <w:rsid w:val="008D5074"/>
    <w:rsid w:val="008D5515"/>
    <w:rsid w:val="008D6D5D"/>
    <w:rsid w:val="008D6F3C"/>
    <w:rsid w:val="008D75E8"/>
    <w:rsid w:val="008D76DD"/>
    <w:rsid w:val="008D7979"/>
    <w:rsid w:val="008E0108"/>
    <w:rsid w:val="008E199E"/>
    <w:rsid w:val="008E2EF4"/>
    <w:rsid w:val="008E2F82"/>
    <w:rsid w:val="008E302B"/>
    <w:rsid w:val="008E3343"/>
    <w:rsid w:val="008E36D1"/>
    <w:rsid w:val="008E3ABB"/>
    <w:rsid w:val="008E3CE0"/>
    <w:rsid w:val="008E3FD8"/>
    <w:rsid w:val="008E4107"/>
    <w:rsid w:val="008E421D"/>
    <w:rsid w:val="008E4933"/>
    <w:rsid w:val="008E4DC7"/>
    <w:rsid w:val="008E5845"/>
    <w:rsid w:val="008E58CA"/>
    <w:rsid w:val="008E6244"/>
    <w:rsid w:val="008E67F8"/>
    <w:rsid w:val="008E689A"/>
    <w:rsid w:val="008E6C28"/>
    <w:rsid w:val="008E7426"/>
    <w:rsid w:val="008E7CA8"/>
    <w:rsid w:val="008F157A"/>
    <w:rsid w:val="008F1584"/>
    <w:rsid w:val="008F1B1C"/>
    <w:rsid w:val="008F1DDE"/>
    <w:rsid w:val="008F4DFE"/>
    <w:rsid w:val="008F6109"/>
    <w:rsid w:val="008F6436"/>
    <w:rsid w:val="008F6C1B"/>
    <w:rsid w:val="009001A4"/>
    <w:rsid w:val="009012A7"/>
    <w:rsid w:val="009015FE"/>
    <w:rsid w:val="0090171E"/>
    <w:rsid w:val="00901ABF"/>
    <w:rsid w:val="0090245C"/>
    <w:rsid w:val="00902F12"/>
    <w:rsid w:val="00903EF7"/>
    <w:rsid w:val="00904668"/>
    <w:rsid w:val="0090588E"/>
    <w:rsid w:val="00906388"/>
    <w:rsid w:val="0090683B"/>
    <w:rsid w:val="00907B85"/>
    <w:rsid w:val="00907DB1"/>
    <w:rsid w:val="00910AC8"/>
    <w:rsid w:val="00910CF2"/>
    <w:rsid w:val="00911058"/>
    <w:rsid w:val="00911EA7"/>
    <w:rsid w:val="00914048"/>
    <w:rsid w:val="00914160"/>
    <w:rsid w:val="00914E31"/>
    <w:rsid w:val="0091533C"/>
    <w:rsid w:val="0091646A"/>
    <w:rsid w:val="00917158"/>
    <w:rsid w:val="00920F32"/>
    <w:rsid w:val="00920FF1"/>
    <w:rsid w:val="00921151"/>
    <w:rsid w:val="009213EA"/>
    <w:rsid w:val="00922B4F"/>
    <w:rsid w:val="00923767"/>
    <w:rsid w:val="009237FB"/>
    <w:rsid w:val="00925C2E"/>
    <w:rsid w:val="00925C4F"/>
    <w:rsid w:val="00926B4E"/>
    <w:rsid w:val="00926BA7"/>
    <w:rsid w:val="00927085"/>
    <w:rsid w:val="00927202"/>
    <w:rsid w:val="00930666"/>
    <w:rsid w:val="009306C7"/>
    <w:rsid w:val="00931433"/>
    <w:rsid w:val="0093162B"/>
    <w:rsid w:val="00931E84"/>
    <w:rsid w:val="00931ECF"/>
    <w:rsid w:val="00932881"/>
    <w:rsid w:val="00932914"/>
    <w:rsid w:val="00933966"/>
    <w:rsid w:val="00933BF4"/>
    <w:rsid w:val="00934623"/>
    <w:rsid w:val="009346BE"/>
    <w:rsid w:val="00934FCF"/>
    <w:rsid w:val="00935C9B"/>
    <w:rsid w:val="00935DF3"/>
    <w:rsid w:val="009363E8"/>
    <w:rsid w:val="00936886"/>
    <w:rsid w:val="00936CD7"/>
    <w:rsid w:val="00937D8E"/>
    <w:rsid w:val="0094065F"/>
    <w:rsid w:val="00941268"/>
    <w:rsid w:val="00941BBE"/>
    <w:rsid w:val="00941EB3"/>
    <w:rsid w:val="009421D2"/>
    <w:rsid w:val="00942B9B"/>
    <w:rsid w:val="00942E58"/>
    <w:rsid w:val="00943170"/>
    <w:rsid w:val="00943584"/>
    <w:rsid w:val="009441A1"/>
    <w:rsid w:val="00944261"/>
    <w:rsid w:val="0094437F"/>
    <w:rsid w:val="0094462B"/>
    <w:rsid w:val="00944A0A"/>
    <w:rsid w:val="0094595E"/>
    <w:rsid w:val="00946191"/>
    <w:rsid w:val="00946A04"/>
    <w:rsid w:val="0094739D"/>
    <w:rsid w:val="00950F7F"/>
    <w:rsid w:val="00951006"/>
    <w:rsid w:val="0095128D"/>
    <w:rsid w:val="00951432"/>
    <w:rsid w:val="00951753"/>
    <w:rsid w:val="00951C47"/>
    <w:rsid w:val="009525B5"/>
    <w:rsid w:val="009525D6"/>
    <w:rsid w:val="00952B92"/>
    <w:rsid w:val="00953412"/>
    <w:rsid w:val="00955644"/>
    <w:rsid w:val="009561B5"/>
    <w:rsid w:val="00956334"/>
    <w:rsid w:val="0095669A"/>
    <w:rsid w:val="00960408"/>
    <w:rsid w:val="0096042A"/>
    <w:rsid w:val="00960483"/>
    <w:rsid w:val="009610DF"/>
    <w:rsid w:val="00961387"/>
    <w:rsid w:val="0096291C"/>
    <w:rsid w:val="00962FDA"/>
    <w:rsid w:val="009637C5"/>
    <w:rsid w:val="00963C88"/>
    <w:rsid w:val="009649ED"/>
    <w:rsid w:val="00964F25"/>
    <w:rsid w:val="0096532B"/>
    <w:rsid w:val="00965D12"/>
    <w:rsid w:val="009662D8"/>
    <w:rsid w:val="00966641"/>
    <w:rsid w:val="00967866"/>
    <w:rsid w:val="009678F9"/>
    <w:rsid w:val="00967C6D"/>
    <w:rsid w:val="00967D08"/>
    <w:rsid w:val="009709A9"/>
    <w:rsid w:val="00970CA5"/>
    <w:rsid w:val="00971163"/>
    <w:rsid w:val="009714B2"/>
    <w:rsid w:val="00971AA2"/>
    <w:rsid w:val="00971E48"/>
    <w:rsid w:val="00972CD1"/>
    <w:rsid w:val="00973116"/>
    <w:rsid w:val="00975744"/>
    <w:rsid w:val="00975AAA"/>
    <w:rsid w:val="0097620F"/>
    <w:rsid w:val="00976342"/>
    <w:rsid w:val="009763AA"/>
    <w:rsid w:val="00976698"/>
    <w:rsid w:val="00977824"/>
    <w:rsid w:val="00977B2C"/>
    <w:rsid w:val="00977D3C"/>
    <w:rsid w:val="00980339"/>
    <w:rsid w:val="009818BE"/>
    <w:rsid w:val="00983B9C"/>
    <w:rsid w:val="009841C9"/>
    <w:rsid w:val="009842DE"/>
    <w:rsid w:val="00984636"/>
    <w:rsid w:val="00985696"/>
    <w:rsid w:val="0098632F"/>
    <w:rsid w:val="0098647F"/>
    <w:rsid w:val="00986F6A"/>
    <w:rsid w:val="00986F79"/>
    <w:rsid w:val="00987995"/>
    <w:rsid w:val="00987A30"/>
    <w:rsid w:val="00987C25"/>
    <w:rsid w:val="0099098B"/>
    <w:rsid w:val="009909F2"/>
    <w:rsid w:val="00990C64"/>
    <w:rsid w:val="0099152D"/>
    <w:rsid w:val="009916C2"/>
    <w:rsid w:val="00991B6F"/>
    <w:rsid w:val="00991C75"/>
    <w:rsid w:val="00991F9F"/>
    <w:rsid w:val="00992B32"/>
    <w:rsid w:val="00992D8C"/>
    <w:rsid w:val="00992E15"/>
    <w:rsid w:val="00993B50"/>
    <w:rsid w:val="009941B5"/>
    <w:rsid w:val="00994997"/>
    <w:rsid w:val="00995746"/>
    <w:rsid w:val="00995835"/>
    <w:rsid w:val="0099774A"/>
    <w:rsid w:val="00997DBC"/>
    <w:rsid w:val="00997EE0"/>
    <w:rsid w:val="009A1330"/>
    <w:rsid w:val="009A13DE"/>
    <w:rsid w:val="009A2D78"/>
    <w:rsid w:val="009A3248"/>
    <w:rsid w:val="009A3CC5"/>
    <w:rsid w:val="009A429A"/>
    <w:rsid w:val="009A43C0"/>
    <w:rsid w:val="009A4C77"/>
    <w:rsid w:val="009A5A54"/>
    <w:rsid w:val="009A5D4E"/>
    <w:rsid w:val="009A602C"/>
    <w:rsid w:val="009A616D"/>
    <w:rsid w:val="009A64F5"/>
    <w:rsid w:val="009A65F1"/>
    <w:rsid w:val="009A6BFC"/>
    <w:rsid w:val="009A6DD5"/>
    <w:rsid w:val="009A770D"/>
    <w:rsid w:val="009A7860"/>
    <w:rsid w:val="009A7C1D"/>
    <w:rsid w:val="009A7CE1"/>
    <w:rsid w:val="009B06F0"/>
    <w:rsid w:val="009B070D"/>
    <w:rsid w:val="009B09D0"/>
    <w:rsid w:val="009B1FF1"/>
    <w:rsid w:val="009B3252"/>
    <w:rsid w:val="009B3858"/>
    <w:rsid w:val="009B3A45"/>
    <w:rsid w:val="009B3C09"/>
    <w:rsid w:val="009B5077"/>
    <w:rsid w:val="009B53C2"/>
    <w:rsid w:val="009B5E2A"/>
    <w:rsid w:val="009B61E8"/>
    <w:rsid w:val="009B620A"/>
    <w:rsid w:val="009B729D"/>
    <w:rsid w:val="009B7A77"/>
    <w:rsid w:val="009B7F06"/>
    <w:rsid w:val="009C0C03"/>
    <w:rsid w:val="009C0CCC"/>
    <w:rsid w:val="009C1899"/>
    <w:rsid w:val="009C1DF2"/>
    <w:rsid w:val="009C2011"/>
    <w:rsid w:val="009C2207"/>
    <w:rsid w:val="009C24E0"/>
    <w:rsid w:val="009C2CD0"/>
    <w:rsid w:val="009C345D"/>
    <w:rsid w:val="009C43A8"/>
    <w:rsid w:val="009C48CE"/>
    <w:rsid w:val="009C5A1F"/>
    <w:rsid w:val="009C5BDE"/>
    <w:rsid w:val="009C6627"/>
    <w:rsid w:val="009C733C"/>
    <w:rsid w:val="009C73DF"/>
    <w:rsid w:val="009C75FF"/>
    <w:rsid w:val="009D00B9"/>
    <w:rsid w:val="009D0155"/>
    <w:rsid w:val="009D2256"/>
    <w:rsid w:val="009D2935"/>
    <w:rsid w:val="009D2C4A"/>
    <w:rsid w:val="009D2CC1"/>
    <w:rsid w:val="009D35F5"/>
    <w:rsid w:val="009D3681"/>
    <w:rsid w:val="009D55CE"/>
    <w:rsid w:val="009D5737"/>
    <w:rsid w:val="009D5926"/>
    <w:rsid w:val="009D5A42"/>
    <w:rsid w:val="009D6394"/>
    <w:rsid w:val="009D696B"/>
    <w:rsid w:val="009D6CA0"/>
    <w:rsid w:val="009D7307"/>
    <w:rsid w:val="009D7680"/>
    <w:rsid w:val="009D78E5"/>
    <w:rsid w:val="009D7D56"/>
    <w:rsid w:val="009E0292"/>
    <w:rsid w:val="009E0ED4"/>
    <w:rsid w:val="009E15A8"/>
    <w:rsid w:val="009E1D9D"/>
    <w:rsid w:val="009E2EC6"/>
    <w:rsid w:val="009E39A5"/>
    <w:rsid w:val="009E3C81"/>
    <w:rsid w:val="009E51C7"/>
    <w:rsid w:val="009E5954"/>
    <w:rsid w:val="009E5E6B"/>
    <w:rsid w:val="009E60A2"/>
    <w:rsid w:val="009E65D5"/>
    <w:rsid w:val="009E6761"/>
    <w:rsid w:val="009E6ACF"/>
    <w:rsid w:val="009E731A"/>
    <w:rsid w:val="009F0429"/>
    <w:rsid w:val="009F061E"/>
    <w:rsid w:val="009F0FAC"/>
    <w:rsid w:val="009F134E"/>
    <w:rsid w:val="009F1A2B"/>
    <w:rsid w:val="009F1DEE"/>
    <w:rsid w:val="009F2080"/>
    <w:rsid w:val="009F26BC"/>
    <w:rsid w:val="009F34CB"/>
    <w:rsid w:val="009F4541"/>
    <w:rsid w:val="009F615C"/>
    <w:rsid w:val="009F636B"/>
    <w:rsid w:val="009F77F6"/>
    <w:rsid w:val="00A00C09"/>
    <w:rsid w:val="00A01276"/>
    <w:rsid w:val="00A01679"/>
    <w:rsid w:val="00A01811"/>
    <w:rsid w:val="00A01A17"/>
    <w:rsid w:val="00A01DA0"/>
    <w:rsid w:val="00A0217F"/>
    <w:rsid w:val="00A02260"/>
    <w:rsid w:val="00A022BC"/>
    <w:rsid w:val="00A0299D"/>
    <w:rsid w:val="00A02CB1"/>
    <w:rsid w:val="00A03555"/>
    <w:rsid w:val="00A039C4"/>
    <w:rsid w:val="00A03A64"/>
    <w:rsid w:val="00A041EF"/>
    <w:rsid w:val="00A04E76"/>
    <w:rsid w:val="00A061C0"/>
    <w:rsid w:val="00A063DA"/>
    <w:rsid w:val="00A06A48"/>
    <w:rsid w:val="00A06D8C"/>
    <w:rsid w:val="00A07152"/>
    <w:rsid w:val="00A07CD2"/>
    <w:rsid w:val="00A110A8"/>
    <w:rsid w:val="00A1237B"/>
    <w:rsid w:val="00A131E6"/>
    <w:rsid w:val="00A13282"/>
    <w:rsid w:val="00A13283"/>
    <w:rsid w:val="00A1336E"/>
    <w:rsid w:val="00A146FE"/>
    <w:rsid w:val="00A14CEB"/>
    <w:rsid w:val="00A14D36"/>
    <w:rsid w:val="00A15151"/>
    <w:rsid w:val="00A15692"/>
    <w:rsid w:val="00A15B32"/>
    <w:rsid w:val="00A20582"/>
    <w:rsid w:val="00A205E4"/>
    <w:rsid w:val="00A20DEE"/>
    <w:rsid w:val="00A215B0"/>
    <w:rsid w:val="00A22CA1"/>
    <w:rsid w:val="00A22E09"/>
    <w:rsid w:val="00A22F43"/>
    <w:rsid w:val="00A23125"/>
    <w:rsid w:val="00A23699"/>
    <w:rsid w:val="00A23BDB"/>
    <w:rsid w:val="00A2431C"/>
    <w:rsid w:val="00A25494"/>
    <w:rsid w:val="00A258A4"/>
    <w:rsid w:val="00A25B4C"/>
    <w:rsid w:val="00A262DF"/>
    <w:rsid w:val="00A26725"/>
    <w:rsid w:val="00A26ECF"/>
    <w:rsid w:val="00A273C3"/>
    <w:rsid w:val="00A27A86"/>
    <w:rsid w:val="00A27BB7"/>
    <w:rsid w:val="00A27EBE"/>
    <w:rsid w:val="00A316B6"/>
    <w:rsid w:val="00A32767"/>
    <w:rsid w:val="00A33184"/>
    <w:rsid w:val="00A337E8"/>
    <w:rsid w:val="00A338B6"/>
    <w:rsid w:val="00A34380"/>
    <w:rsid w:val="00A34421"/>
    <w:rsid w:val="00A34DE8"/>
    <w:rsid w:val="00A34EFB"/>
    <w:rsid w:val="00A3512F"/>
    <w:rsid w:val="00A35171"/>
    <w:rsid w:val="00A35363"/>
    <w:rsid w:val="00A35DE1"/>
    <w:rsid w:val="00A35E9D"/>
    <w:rsid w:val="00A36443"/>
    <w:rsid w:val="00A36AA1"/>
    <w:rsid w:val="00A36DC6"/>
    <w:rsid w:val="00A36E54"/>
    <w:rsid w:val="00A379D3"/>
    <w:rsid w:val="00A37A49"/>
    <w:rsid w:val="00A37CC1"/>
    <w:rsid w:val="00A408A2"/>
    <w:rsid w:val="00A417B0"/>
    <w:rsid w:val="00A41DEA"/>
    <w:rsid w:val="00A41EE3"/>
    <w:rsid w:val="00A42818"/>
    <w:rsid w:val="00A42875"/>
    <w:rsid w:val="00A42C41"/>
    <w:rsid w:val="00A42D58"/>
    <w:rsid w:val="00A4313C"/>
    <w:rsid w:val="00A43836"/>
    <w:rsid w:val="00A43B0C"/>
    <w:rsid w:val="00A44267"/>
    <w:rsid w:val="00A44EA6"/>
    <w:rsid w:val="00A453B4"/>
    <w:rsid w:val="00A456B9"/>
    <w:rsid w:val="00A501E5"/>
    <w:rsid w:val="00A50799"/>
    <w:rsid w:val="00A507C8"/>
    <w:rsid w:val="00A50A84"/>
    <w:rsid w:val="00A5145E"/>
    <w:rsid w:val="00A51D74"/>
    <w:rsid w:val="00A53080"/>
    <w:rsid w:val="00A5356A"/>
    <w:rsid w:val="00A5387B"/>
    <w:rsid w:val="00A54125"/>
    <w:rsid w:val="00A5471F"/>
    <w:rsid w:val="00A54AA3"/>
    <w:rsid w:val="00A5523F"/>
    <w:rsid w:val="00A555D4"/>
    <w:rsid w:val="00A55C51"/>
    <w:rsid w:val="00A56116"/>
    <w:rsid w:val="00A562DA"/>
    <w:rsid w:val="00A564C4"/>
    <w:rsid w:val="00A56991"/>
    <w:rsid w:val="00A56DDE"/>
    <w:rsid w:val="00A57FB6"/>
    <w:rsid w:val="00A600A9"/>
    <w:rsid w:val="00A605DB"/>
    <w:rsid w:val="00A60E9B"/>
    <w:rsid w:val="00A6178B"/>
    <w:rsid w:val="00A6217E"/>
    <w:rsid w:val="00A622F5"/>
    <w:rsid w:val="00A6294E"/>
    <w:rsid w:val="00A636E6"/>
    <w:rsid w:val="00A6447B"/>
    <w:rsid w:val="00A6464B"/>
    <w:rsid w:val="00A64E90"/>
    <w:rsid w:val="00A65435"/>
    <w:rsid w:val="00A662DB"/>
    <w:rsid w:val="00A6641C"/>
    <w:rsid w:val="00A66EE8"/>
    <w:rsid w:val="00A66F75"/>
    <w:rsid w:val="00A67579"/>
    <w:rsid w:val="00A67B09"/>
    <w:rsid w:val="00A67BF3"/>
    <w:rsid w:val="00A67E90"/>
    <w:rsid w:val="00A70446"/>
    <w:rsid w:val="00A70F9B"/>
    <w:rsid w:val="00A712F9"/>
    <w:rsid w:val="00A71A22"/>
    <w:rsid w:val="00A71A70"/>
    <w:rsid w:val="00A71C37"/>
    <w:rsid w:val="00A71ECF"/>
    <w:rsid w:val="00A72040"/>
    <w:rsid w:val="00A72CF2"/>
    <w:rsid w:val="00A733A5"/>
    <w:rsid w:val="00A7361C"/>
    <w:rsid w:val="00A75044"/>
    <w:rsid w:val="00A75058"/>
    <w:rsid w:val="00A76AEC"/>
    <w:rsid w:val="00A80074"/>
    <w:rsid w:val="00A807A4"/>
    <w:rsid w:val="00A818F5"/>
    <w:rsid w:val="00A829AE"/>
    <w:rsid w:val="00A82A38"/>
    <w:rsid w:val="00A82D2D"/>
    <w:rsid w:val="00A82D40"/>
    <w:rsid w:val="00A82FE2"/>
    <w:rsid w:val="00A83EDD"/>
    <w:rsid w:val="00A83FC7"/>
    <w:rsid w:val="00A8421B"/>
    <w:rsid w:val="00A843D8"/>
    <w:rsid w:val="00A84520"/>
    <w:rsid w:val="00A848B9"/>
    <w:rsid w:val="00A84C91"/>
    <w:rsid w:val="00A85A2F"/>
    <w:rsid w:val="00A85D4A"/>
    <w:rsid w:val="00A86065"/>
    <w:rsid w:val="00A8673D"/>
    <w:rsid w:val="00A86AC9"/>
    <w:rsid w:val="00A87342"/>
    <w:rsid w:val="00A87AA3"/>
    <w:rsid w:val="00A905D1"/>
    <w:rsid w:val="00A90CAD"/>
    <w:rsid w:val="00A911DC"/>
    <w:rsid w:val="00A91C49"/>
    <w:rsid w:val="00A92E9E"/>
    <w:rsid w:val="00A93CBB"/>
    <w:rsid w:val="00A93E11"/>
    <w:rsid w:val="00A941A4"/>
    <w:rsid w:val="00A9484B"/>
    <w:rsid w:val="00A94D48"/>
    <w:rsid w:val="00A95353"/>
    <w:rsid w:val="00A954E0"/>
    <w:rsid w:val="00A9580E"/>
    <w:rsid w:val="00A9590A"/>
    <w:rsid w:val="00A95A01"/>
    <w:rsid w:val="00A95A58"/>
    <w:rsid w:val="00A95D9B"/>
    <w:rsid w:val="00A96556"/>
    <w:rsid w:val="00A96B22"/>
    <w:rsid w:val="00A96E21"/>
    <w:rsid w:val="00A97C60"/>
    <w:rsid w:val="00AA0E83"/>
    <w:rsid w:val="00AA18C1"/>
    <w:rsid w:val="00AA1D6C"/>
    <w:rsid w:val="00AA3E9B"/>
    <w:rsid w:val="00AA4192"/>
    <w:rsid w:val="00AA608A"/>
    <w:rsid w:val="00AA60BD"/>
    <w:rsid w:val="00AA61A5"/>
    <w:rsid w:val="00AA660E"/>
    <w:rsid w:val="00AA7AC4"/>
    <w:rsid w:val="00AA7FB0"/>
    <w:rsid w:val="00AB0688"/>
    <w:rsid w:val="00AB0852"/>
    <w:rsid w:val="00AB0BB1"/>
    <w:rsid w:val="00AB27DF"/>
    <w:rsid w:val="00AB2B12"/>
    <w:rsid w:val="00AB2E33"/>
    <w:rsid w:val="00AB316D"/>
    <w:rsid w:val="00AB3B2F"/>
    <w:rsid w:val="00AB3F41"/>
    <w:rsid w:val="00AB5C78"/>
    <w:rsid w:val="00AB5E0E"/>
    <w:rsid w:val="00AB5E2B"/>
    <w:rsid w:val="00AB681A"/>
    <w:rsid w:val="00AB7A9E"/>
    <w:rsid w:val="00AC05D5"/>
    <w:rsid w:val="00AC11CD"/>
    <w:rsid w:val="00AC2980"/>
    <w:rsid w:val="00AC2CC8"/>
    <w:rsid w:val="00AC39F4"/>
    <w:rsid w:val="00AC414F"/>
    <w:rsid w:val="00AC458F"/>
    <w:rsid w:val="00AC4AFC"/>
    <w:rsid w:val="00AC4C41"/>
    <w:rsid w:val="00AC4C7C"/>
    <w:rsid w:val="00AC4E9A"/>
    <w:rsid w:val="00AC5216"/>
    <w:rsid w:val="00AC6259"/>
    <w:rsid w:val="00AC697E"/>
    <w:rsid w:val="00AC6A42"/>
    <w:rsid w:val="00AC6AC4"/>
    <w:rsid w:val="00AC7860"/>
    <w:rsid w:val="00AC7B28"/>
    <w:rsid w:val="00AC7EBE"/>
    <w:rsid w:val="00AC7F71"/>
    <w:rsid w:val="00AD03DB"/>
    <w:rsid w:val="00AD0901"/>
    <w:rsid w:val="00AD1409"/>
    <w:rsid w:val="00AD1F58"/>
    <w:rsid w:val="00AD2021"/>
    <w:rsid w:val="00AD2549"/>
    <w:rsid w:val="00AD34D5"/>
    <w:rsid w:val="00AD43E1"/>
    <w:rsid w:val="00AD4CCA"/>
    <w:rsid w:val="00AD4D73"/>
    <w:rsid w:val="00AD4E6B"/>
    <w:rsid w:val="00AD5666"/>
    <w:rsid w:val="00AD5B05"/>
    <w:rsid w:val="00AD5E3C"/>
    <w:rsid w:val="00AD652F"/>
    <w:rsid w:val="00AD6F43"/>
    <w:rsid w:val="00AD71D7"/>
    <w:rsid w:val="00AD72FF"/>
    <w:rsid w:val="00AD797D"/>
    <w:rsid w:val="00AD7EE4"/>
    <w:rsid w:val="00AD7F5D"/>
    <w:rsid w:val="00AE03DA"/>
    <w:rsid w:val="00AE0E42"/>
    <w:rsid w:val="00AE1023"/>
    <w:rsid w:val="00AE2539"/>
    <w:rsid w:val="00AE25D7"/>
    <w:rsid w:val="00AE3A50"/>
    <w:rsid w:val="00AE461E"/>
    <w:rsid w:val="00AE4A8A"/>
    <w:rsid w:val="00AE4AAC"/>
    <w:rsid w:val="00AE5C70"/>
    <w:rsid w:val="00AE5EAB"/>
    <w:rsid w:val="00AE63AE"/>
    <w:rsid w:val="00AE6DE8"/>
    <w:rsid w:val="00AE750C"/>
    <w:rsid w:val="00AE7B7B"/>
    <w:rsid w:val="00AE7DA2"/>
    <w:rsid w:val="00AF0062"/>
    <w:rsid w:val="00AF069D"/>
    <w:rsid w:val="00AF0C66"/>
    <w:rsid w:val="00AF2671"/>
    <w:rsid w:val="00AF2D26"/>
    <w:rsid w:val="00AF3B5E"/>
    <w:rsid w:val="00AF44F1"/>
    <w:rsid w:val="00AF459B"/>
    <w:rsid w:val="00AF4BF4"/>
    <w:rsid w:val="00AF4C45"/>
    <w:rsid w:val="00AF5069"/>
    <w:rsid w:val="00AF5154"/>
    <w:rsid w:val="00AF519F"/>
    <w:rsid w:val="00AF5570"/>
    <w:rsid w:val="00AF5742"/>
    <w:rsid w:val="00AF5809"/>
    <w:rsid w:val="00AF58BC"/>
    <w:rsid w:val="00AF59ED"/>
    <w:rsid w:val="00AF5F98"/>
    <w:rsid w:val="00AF60BC"/>
    <w:rsid w:val="00AF63F0"/>
    <w:rsid w:val="00AF67AD"/>
    <w:rsid w:val="00AF7676"/>
    <w:rsid w:val="00AF7BCB"/>
    <w:rsid w:val="00B00209"/>
    <w:rsid w:val="00B00F08"/>
    <w:rsid w:val="00B01790"/>
    <w:rsid w:val="00B01CB4"/>
    <w:rsid w:val="00B01EEC"/>
    <w:rsid w:val="00B0204D"/>
    <w:rsid w:val="00B02C09"/>
    <w:rsid w:val="00B035A3"/>
    <w:rsid w:val="00B038F1"/>
    <w:rsid w:val="00B03968"/>
    <w:rsid w:val="00B03DE7"/>
    <w:rsid w:val="00B043EC"/>
    <w:rsid w:val="00B04878"/>
    <w:rsid w:val="00B04A76"/>
    <w:rsid w:val="00B05977"/>
    <w:rsid w:val="00B05A2C"/>
    <w:rsid w:val="00B06087"/>
    <w:rsid w:val="00B06537"/>
    <w:rsid w:val="00B06EE6"/>
    <w:rsid w:val="00B07598"/>
    <w:rsid w:val="00B07AE5"/>
    <w:rsid w:val="00B1016C"/>
    <w:rsid w:val="00B1060A"/>
    <w:rsid w:val="00B107A2"/>
    <w:rsid w:val="00B10908"/>
    <w:rsid w:val="00B10C5E"/>
    <w:rsid w:val="00B110EC"/>
    <w:rsid w:val="00B116A1"/>
    <w:rsid w:val="00B1188C"/>
    <w:rsid w:val="00B11D88"/>
    <w:rsid w:val="00B1233A"/>
    <w:rsid w:val="00B14330"/>
    <w:rsid w:val="00B15A8E"/>
    <w:rsid w:val="00B15D36"/>
    <w:rsid w:val="00B160DC"/>
    <w:rsid w:val="00B16860"/>
    <w:rsid w:val="00B16D49"/>
    <w:rsid w:val="00B1745C"/>
    <w:rsid w:val="00B17C87"/>
    <w:rsid w:val="00B20E1A"/>
    <w:rsid w:val="00B213E8"/>
    <w:rsid w:val="00B21B5F"/>
    <w:rsid w:val="00B227FD"/>
    <w:rsid w:val="00B22F5E"/>
    <w:rsid w:val="00B234A7"/>
    <w:rsid w:val="00B23B63"/>
    <w:rsid w:val="00B24AAB"/>
    <w:rsid w:val="00B256D3"/>
    <w:rsid w:val="00B25D73"/>
    <w:rsid w:val="00B263FE"/>
    <w:rsid w:val="00B269CB"/>
    <w:rsid w:val="00B27045"/>
    <w:rsid w:val="00B27285"/>
    <w:rsid w:val="00B27773"/>
    <w:rsid w:val="00B27B7E"/>
    <w:rsid w:val="00B27C89"/>
    <w:rsid w:val="00B27FFB"/>
    <w:rsid w:val="00B310D9"/>
    <w:rsid w:val="00B314F4"/>
    <w:rsid w:val="00B31809"/>
    <w:rsid w:val="00B31AFC"/>
    <w:rsid w:val="00B31B81"/>
    <w:rsid w:val="00B32093"/>
    <w:rsid w:val="00B321BB"/>
    <w:rsid w:val="00B3245C"/>
    <w:rsid w:val="00B32778"/>
    <w:rsid w:val="00B32A66"/>
    <w:rsid w:val="00B33681"/>
    <w:rsid w:val="00B342EC"/>
    <w:rsid w:val="00B34D9F"/>
    <w:rsid w:val="00B35AE1"/>
    <w:rsid w:val="00B36280"/>
    <w:rsid w:val="00B36CF0"/>
    <w:rsid w:val="00B3701D"/>
    <w:rsid w:val="00B37A60"/>
    <w:rsid w:val="00B37D8A"/>
    <w:rsid w:val="00B403EE"/>
    <w:rsid w:val="00B40C59"/>
    <w:rsid w:val="00B41ABE"/>
    <w:rsid w:val="00B41E5E"/>
    <w:rsid w:val="00B42487"/>
    <w:rsid w:val="00B429D0"/>
    <w:rsid w:val="00B42ABE"/>
    <w:rsid w:val="00B42C20"/>
    <w:rsid w:val="00B42C37"/>
    <w:rsid w:val="00B42CE9"/>
    <w:rsid w:val="00B44608"/>
    <w:rsid w:val="00B460AC"/>
    <w:rsid w:val="00B463E4"/>
    <w:rsid w:val="00B46430"/>
    <w:rsid w:val="00B4667A"/>
    <w:rsid w:val="00B47053"/>
    <w:rsid w:val="00B5011E"/>
    <w:rsid w:val="00B504FE"/>
    <w:rsid w:val="00B5063F"/>
    <w:rsid w:val="00B50B20"/>
    <w:rsid w:val="00B51A92"/>
    <w:rsid w:val="00B52290"/>
    <w:rsid w:val="00B53237"/>
    <w:rsid w:val="00B54951"/>
    <w:rsid w:val="00B54D55"/>
    <w:rsid w:val="00B55E49"/>
    <w:rsid w:val="00B56C61"/>
    <w:rsid w:val="00B56DE3"/>
    <w:rsid w:val="00B57619"/>
    <w:rsid w:val="00B5772F"/>
    <w:rsid w:val="00B6059C"/>
    <w:rsid w:val="00B606EF"/>
    <w:rsid w:val="00B606F5"/>
    <w:rsid w:val="00B60F86"/>
    <w:rsid w:val="00B61035"/>
    <w:rsid w:val="00B613FC"/>
    <w:rsid w:val="00B62109"/>
    <w:rsid w:val="00B62992"/>
    <w:rsid w:val="00B62F9C"/>
    <w:rsid w:val="00B6489A"/>
    <w:rsid w:val="00B64A36"/>
    <w:rsid w:val="00B653E0"/>
    <w:rsid w:val="00B66289"/>
    <w:rsid w:val="00B6797A"/>
    <w:rsid w:val="00B67D34"/>
    <w:rsid w:val="00B67F93"/>
    <w:rsid w:val="00B70175"/>
    <w:rsid w:val="00B70309"/>
    <w:rsid w:val="00B706A8"/>
    <w:rsid w:val="00B7087F"/>
    <w:rsid w:val="00B7118A"/>
    <w:rsid w:val="00B72BC5"/>
    <w:rsid w:val="00B732F9"/>
    <w:rsid w:val="00B743E4"/>
    <w:rsid w:val="00B74731"/>
    <w:rsid w:val="00B74C96"/>
    <w:rsid w:val="00B74F62"/>
    <w:rsid w:val="00B76E2C"/>
    <w:rsid w:val="00B77515"/>
    <w:rsid w:val="00B77AC8"/>
    <w:rsid w:val="00B77B46"/>
    <w:rsid w:val="00B77C8C"/>
    <w:rsid w:val="00B806C5"/>
    <w:rsid w:val="00B812EE"/>
    <w:rsid w:val="00B818FD"/>
    <w:rsid w:val="00B81EB8"/>
    <w:rsid w:val="00B833D9"/>
    <w:rsid w:val="00B834D5"/>
    <w:rsid w:val="00B83557"/>
    <w:rsid w:val="00B838AB"/>
    <w:rsid w:val="00B83E68"/>
    <w:rsid w:val="00B84067"/>
    <w:rsid w:val="00B84C65"/>
    <w:rsid w:val="00B84F40"/>
    <w:rsid w:val="00B856E6"/>
    <w:rsid w:val="00B859C9"/>
    <w:rsid w:val="00B85E7D"/>
    <w:rsid w:val="00B85EA2"/>
    <w:rsid w:val="00B865EE"/>
    <w:rsid w:val="00B86FDC"/>
    <w:rsid w:val="00B87099"/>
    <w:rsid w:val="00B87CAE"/>
    <w:rsid w:val="00B87DE7"/>
    <w:rsid w:val="00B87E55"/>
    <w:rsid w:val="00B9027F"/>
    <w:rsid w:val="00B904FB"/>
    <w:rsid w:val="00B913AE"/>
    <w:rsid w:val="00B91662"/>
    <w:rsid w:val="00B928F6"/>
    <w:rsid w:val="00B936A8"/>
    <w:rsid w:val="00B93C8B"/>
    <w:rsid w:val="00B94362"/>
    <w:rsid w:val="00B94D24"/>
    <w:rsid w:val="00B96044"/>
    <w:rsid w:val="00B97413"/>
    <w:rsid w:val="00BA1109"/>
    <w:rsid w:val="00BA12DC"/>
    <w:rsid w:val="00BA148F"/>
    <w:rsid w:val="00BA1E03"/>
    <w:rsid w:val="00BA3BC7"/>
    <w:rsid w:val="00BA44FA"/>
    <w:rsid w:val="00BA4632"/>
    <w:rsid w:val="00BA46B0"/>
    <w:rsid w:val="00BA51FE"/>
    <w:rsid w:val="00BA612C"/>
    <w:rsid w:val="00BA65B8"/>
    <w:rsid w:val="00BA68AA"/>
    <w:rsid w:val="00BA69BF"/>
    <w:rsid w:val="00BA7B1C"/>
    <w:rsid w:val="00BA7DDE"/>
    <w:rsid w:val="00BB0B01"/>
    <w:rsid w:val="00BB0BA6"/>
    <w:rsid w:val="00BB0D45"/>
    <w:rsid w:val="00BB10E4"/>
    <w:rsid w:val="00BB1167"/>
    <w:rsid w:val="00BB13F1"/>
    <w:rsid w:val="00BB1B34"/>
    <w:rsid w:val="00BB2425"/>
    <w:rsid w:val="00BB2FDF"/>
    <w:rsid w:val="00BB3695"/>
    <w:rsid w:val="00BB37B3"/>
    <w:rsid w:val="00BB3F7D"/>
    <w:rsid w:val="00BB3FA0"/>
    <w:rsid w:val="00BB400D"/>
    <w:rsid w:val="00BB4469"/>
    <w:rsid w:val="00BB4727"/>
    <w:rsid w:val="00BB47D7"/>
    <w:rsid w:val="00BB53B2"/>
    <w:rsid w:val="00BB5B27"/>
    <w:rsid w:val="00BB67DE"/>
    <w:rsid w:val="00BB6D8B"/>
    <w:rsid w:val="00BB6FC9"/>
    <w:rsid w:val="00BC107A"/>
    <w:rsid w:val="00BC120F"/>
    <w:rsid w:val="00BC274C"/>
    <w:rsid w:val="00BC28CA"/>
    <w:rsid w:val="00BC4D0D"/>
    <w:rsid w:val="00BC4F66"/>
    <w:rsid w:val="00BC51D0"/>
    <w:rsid w:val="00BC52E9"/>
    <w:rsid w:val="00BC566F"/>
    <w:rsid w:val="00BC59D7"/>
    <w:rsid w:val="00BC6017"/>
    <w:rsid w:val="00BC671B"/>
    <w:rsid w:val="00BC77D2"/>
    <w:rsid w:val="00BC77DF"/>
    <w:rsid w:val="00BC795A"/>
    <w:rsid w:val="00BC7EFF"/>
    <w:rsid w:val="00BD0184"/>
    <w:rsid w:val="00BD0E98"/>
    <w:rsid w:val="00BD1810"/>
    <w:rsid w:val="00BD1A5A"/>
    <w:rsid w:val="00BD23C4"/>
    <w:rsid w:val="00BD2B96"/>
    <w:rsid w:val="00BD416A"/>
    <w:rsid w:val="00BD516B"/>
    <w:rsid w:val="00BD6F5A"/>
    <w:rsid w:val="00BD6FA7"/>
    <w:rsid w:val="00BD7211"/>
    <w:rsid w:val="00BD7437"/>
    <w:rsid w:val="00BD7C18"/>
    <w:rsid w:val="00BE1DE0"/>
    <w:rsid w:val="00BE238A"/>
    <w:rsid w:val="00BE2F0B"/>
    <w:rsid w:val="00BE3F4B"/>
    <w:rsid w:val="00BE4039"/>
    <w:rsid w:val="00BE4F97"/>
    <w:rsid w:val="00BE5FAF"/>
    <w:rsid w:val="00BE6729"/>
    <w:rsid w:val="00BE6929"/>
    <w:rsid w:val="00BE703A"/>
    <w:rsid w:val="00BE7E72"/>
    <w:rsid w:val="00BE7F66"/>
    <w:rsid w:val="00BF00FE"/>
    <w:rsid w:val="00BF0236"/>
    <w:rsid w:val="00BF0868"/>
    <w:rsid w:val="00BF09C4"/>
    <w:rsid w:val="00BF0AB4"/>
    <w:rsid w:val="00BF136D"/>
    <w:rsid w:val="00BF192A"/>
    <w:rsid w:val="00BF2A19"/>
    <w:rsid w:val="00BF2F41"/>
    <w:rsid w:val="00BF32A4"/>
    <w:rsid w:val="00BF34C9"/>
    <w:rsid w:val="00BF3B9C"/>
    <w:rsid w:val="00BF42F3"/>
    <w:rsid w:val="00BF4642"/>
    <w:rsid w:val="00BF4ADA"/>
    <w:rsid w:val="00BF4BF5"/>
    <w:rsid w:val="00BF5382"/>
    <w:rsid w:val="00BF585E"/>
    <w:rsid w:val="00BF5B33"/>
    <w:rsid w:val="00BF7449"/>
    <w:rsid w:val="00BF7848"/>
    <w:rsid w:val="00C007D6"/>
    <w:rsid w:val="00C0159D"/>
    <w:rsid w:val="00C025FB"/>
    <w:rsid w:val="00C02D6E"/>
    <w:rsid w:val="00C03556"/>
    <w:rsid w:val="00C03B89"/>
    <w:rsid w:val="00C03BA8"/>
    <w:rsid w:val="00C03D47"/>
    <w:rsid w:val="00C03DE0"/>
    <w:rsid w:val="00C04A10"/>
    <w:rsid w:val="00C050B2"/>
    <w:rsid w:val="00C05DD3"/>
    <w:rsid w:val="00C06DA1"/>
    <w:rsid w:val="00C071CC"/>
    <w:rsid w:val="00C07341"/>
    <w:rsid w:val="00C077A1"/>
    <w:rsid w:val="00C07E18"/>
    <w:rsid w:val="00C100AA"/>
    <w:rsid w:val="00C10305"/>
    <w:rsid w:val="00C1032A"/>
    <w:rsid w:val="00C108E6"/>
    <w:rsid w:val="00C10D1F"/>
    <w:rsid w:val="00C1171B"/>
    <w:rsid w:val="00C120B9"/>
    <w:rsid w:val="00C129D9"/>
    <w:rsid w:val="00C12C3B"/>
    <w:rsid w:val="00C132EB"/>
    <w:rsid w:val="00C14960"/>
    <w:rsid w:val="00C15120"/>
    <w:rsid w:val="00C1539A"/>
    <w:rsid w:val="00C155A1"/>
    <w:rsid w:val="00C156E4"/>
    <w:rsid w:val="00C159C5"/>
    <w:rsid w:val="00C15DE2"/>
    <w:rsid w:val="00C162B2"/>
    <w:rsid w:val="00C16695"/>
    <w:rsid w:val="00C16941"/>
    <w:rsid w:val="00C175A8"/>
    <w:rsid w:val="00C178AA"/>
    <w:rsid w:val="00C200BF"/>
    <w:rsid w:val="00C200E1"/>
    <w:rsid w:val="00C211E5"/>
    <w:rsid w:val="00C2127B"/>
    <w:rsid w:val="00C2147F"/>
    <w:rsid w:val="00C22017"/>
    <w:rsid w:val="00C22765"/>
    <w:rsid w:val="00C22770"/>
    <w:rsid w:val="00C23FE6"/>
    <w:rsid w:val="00C240CB"/>
    <w:rsid w:val="00C247FE"/>
    <w:rsid w:val="00C2480B"/>
    <w:rsid w:val="00C24B7F"/>
    <w:rsid w:val="00C253F9"/>
    <w:rsid w:val="00C256B7"/>
    <w:rsid w:val="00C2576A"/>
    <w:rsid w:val="00C25D79"/>
    <w:rsid w:val="00C25F37"/>
    <w:rsid w:val="00C25FF5"/>
    <w:rsid w:val="00C26822"/>
    <w:rsid w:val="00C26D2B"/>
    <w:rsid w:val="00C3035E"/>
    <w:rsid w:val="00C31355"/>
    <w:rsid w:val="00C31374"/>
    <w:rsid w:val="00C315AD"/>
    <w:rsid w:val="00C315D2"/>
    <w:rsid w:val="00C31718"/>
    <w:rsid w:val="00C32407"/>
    <w:rsid w:val="00C32565"/>
    <w:rsid w:val="00C32A35"/>
    <w:rsid w:val="00C33B10"/>
    <w:rsid w:val="00C33D6E"/>
    <w:rsid w:val="00C33DE5"/>
    <w:rsid w:val="00C34880"/>
    <w:rsid w:val="00C34F97"/>
    <w:rsid w:val="00C3534F"/>
    <w:rsid w:val="00C3535F"/>
    <w:rsid w:val="00C35A2A"/>
    <w:rsid w:val="00C35E90"/>
    <w:rsid w:val="00C36896"/>
    <w:rsid w:val="00C368AB"/>
    <w:rsid w:val="00C373C9"/>
    <w:rsid w:val="00C379A7"/>
    <w:rsid w:val="00C37E5C"/>
    <w:rsid w:val="00C40057"/>
    <w:rsid w:val="00C407C0"/>
    <w:rsid w:val="00C4085A"/>
    <w:rsid w:val="00C40EA5"/>
    <w:rsid w:val="00C411A1"/>
    <w:rsid w:val="00C4182E"/>
    <w:rsid w:val="00C41C6E"/>
    <w:rsid w:val="00C42C75"/>
    <w:rsid w:val="00C42F63"/>
    <w:rsid w:val="00C433EF"/>
    <w:rsid w:val="00C439E0"/>
    <w:rsid w:val="00C44472"/>
    <w:rsid w:val="00C44D54"/>
    <w:rsid w:val="00C44EC2"/>
    <w:rsid w:val="00C44F28"/>
    <w:rsid w:val="00C450E5"/>
    <w:rsid w:val="00C46580"/>
    <w:rsid w:val="00C469CC"/>
    <w:rsid w:val="00C46B8C"/>
    <w:rsid w:val="00C47733"/>
    <w:rsid w:val="00C47BC8"/>
    <w:rsid w:val="00C47C1C"/>
    <w:rsid w:val="00C505C4"/>
    <w:rsid w:val="00C51048"/>
    <w:rsid w:val="00C515CF"/>
    <w:rsid w:val="00C5162D"/>
    <w:rsid w:val="00C518BA"/>
    <w:rsid w:val="00C51B68"/>
    <w:rsid w:val="00C51EDA"/>
    <w:rsid w:val="00C52920"/>
    <w:rsid w:val="00C53F81"/>
    <w:rsid w:val="00C53FD0"/>
    <w:rsid w:val="00C54D02"/>
    <w:rsid w:val="00C54E45"/>
    <w:rsid w:val="00C55F54"/>
    <w:rsid w:val="00C56979"/>
    <w:rsid w:val="00C56A44"/>
    <w:rsid w:val="00C57718"/>
    <w:rsid w:val="00C57FA9"/>
    <w:rsid w:val="00C600D8"/>
    <w:rsid w:val="00C60A8D"/>
    <w:rsid w:val="00C60F6D"/>
    <w:rsid w:val="00C61BC1"/>
    <w:rsid w:val="00C6229A"/>
    <w:rsid w:val="00C63915"/>
    <w:rsid w:val="00C63DB9"/>
    <w:rsid w:val="00C64345"/>
    <w:rsid w:val="00C65D8C"/>
    <w:rsid w:val="00C667AB"/>
    <w:rsid w:val="00C6689C"/>
    <w:rsid w:val="00C66C82"/>
    <w:rsid w:val="00C677A5"/>
    <w:rsid w:val="00C7021F"/>
    <w:rsid w:val="00C70438"/>
    <w:rsid w:val="00C704C2"/>
    <w:rsid w:val="00C7085C"/>
    <w:rsid w:val="00C70E6F"/>
    <w:rsid w:val="00C71037"/>
    <w:rsid w:val="00C721A7"/>
    <w:rsid w:val="00C72D3D"/>
    <w:rsid w:val="00C7386C"/>
    <w:rsid w:val="00C738F5"/>
    <w:rsid w:val="00C73E82"/>
    <w:rsid w:val="00C75491"/>
    <w:rsid w:val="00C758AD"/>
    <w:rsid w:val="00C7612F"/>
    <w:rsid w:val="00C762B9"/>
    <w:rsid w:val="00C76FB3"/>
    <w:rsid w:val="00C77C7F"/>
    <w:rsid w:val="00C80215"/>
    <w:rsid w:val="00C80987"/>
    <w:rsid w:val="00C80C27"/>
    <w:rsid w:val="00C80C4B"/>
    <w:rsid w:val="00C80E84"/>
    <w:rsid w:val="00C8140B"/>
    <w:rsid w:val="00C82871"/>
    <w:rsid w:val="00C8298A"/>
    <w:rsid w:val="00C82FB3"/>
    <w:rsid w:val="00C834CA"/>
    <w:rsid w:val="00C839B1"/>
    <w:rsid w:val="00C85E55"/>
    <w:rsid w:val="00C86F5D"/>
    <w:rsid w:val="00C8720E"/>
    <w:rsid w:val="00C873F5"/>
    <w:rsid w:val="00C878A1"/>
    <w:rsid w:val="00C87BBA"/>
    <w:rsid w:val="00C90919"/>
    <w:rsid w:val="00C90CD0"/>
    <w:rsid w:val="00C90FC7"/>
    <w:rsid w:val="00C9103D"/>
    <w:rsid w:val="00C9160B"/>
    <w:rsid w:val="00C91CDE"/>
    <w:rsid w:val="00C92046"/>
    <w:rsid w:val="00C92286"/>
    <w:rsid w:val="00C92468"/>
    <w:rsid w:val="00C92E3B"/>
    <w:rsid w:val="00C93045"/>
    <w:rsid w:val="00C93376"/>
    <w:rsid w:val="00C93969"/>
    <w:rsid w:val="00C93E09"/>
    <w:rsid w:val="00C93FB7"/>
    <w:rsid w:val="00C94AF5"/>
    <w:rsid w:val="00C951AB"/>
    <w:rsid w:val="00C95570"/>
    <w:rsid w:val="00C95CD5"/>
    <w:rsid w:val="00C95D0C"/>
    <w:rsid w:val="00C9633E"/>
    <w:rsid w:val="00C9635B"/>
    <w:rsid w:val="00C96651"/>
    <w:rsid w:val="00C968C5"/>
    <w:rsid w:val="00C96A56"/>
    <w:rsid w:val="00C97CAF"/>
    <w:rsid w:val="00CA0A43"/>
    <w:rsid w:val="00CA0AB0"/>
    <w:rsid w:val="00CA0C38"/>
    <w:rsid w:val="00CA1759"/>
    <w:rsid w:val="00CA1C1B"/>
    <w:rsid w:val="00CA1DAB"/>
    <w:rsid w:val="00CA2312"/>
    <w:rsid w:val="00CA2D6B"/>
    <w:rsid w:val="00CA3B17"/>
    <w:rsid w:val="00CA3E55"/>
    <w:rsid w:val="00CA3FE9"/>
    <w:rsid w:val="00CA4299"/>
    <w:rsid w:val="00CA5144"/>
    <w:rsid w:val="00CA52AD"/>
    <w:rsid w:val="00CA5452"/>
    <w:rsid w:val="00CA5991"/>
    <w:rsid w:val="00CA760E"/>
    <w:rsid w:val="00CA7B64"/>
    <w:rsid w:val="00CB09B0"/>
    <w:rsid w:val="00CB19CE"/>
    <w:rsid w:val="00CB24B0"/>
    <w:rsid w:val="00CB3135"/>
    <w:rsid w:val="00CB3FCA"/>
    <w:rsid w:val="00CB442E"/>
    <w:rsid w:val="00CB4586"/>
    <w:rsid w:val="00CB4E88"/>
    <w:rsid w:val="00CB53C3"/>
    <w:rsid w:val="00CB547A"/>
    <w:rsid w:val="00CB5609"/>
    <w:rsid w:val="00CB6EE9"/>
    <w:rsid w:val="00CB71FC"/>
    <w:rsid w:val="00CB73C1"/>
    <w:rsid w:val="00CB7AB7"/>
    <w:rsid w:val="00CC019E"/>
    <w:rsid w:val="00CC1133"/>
    <w:rsid w:val="00CC1B08"/>
    <w:rsid w:val="00CC251E"/>
    <w:rsid w:val="00CC26F8"/>
    <w:rsid w:val="00CC3F8D"/>
    <w:rsid w:val="00CC3FD9"/>
    <w:rsid w:val="00CC4253"/>
    <w:rsid w:val="00CC4350"/>
    <w:rsid w:val="00CC43CB"/>
    <w:rsid w:val="00CC46AE"/>
    <w:rsid w:val="00CC4758"/>
    <w:rsid w:val="00CC4B9C"/>
    <w:rsid w:val="00CC5136"/>
    <w:rsid w:val="00CC54B8"/>
    <w:rsid w:val="00CC62EC"/>
    <w:rsid w:val="00CC672A"/>
    <w:rsid w:val="00CC6C56"/>
    <w:rsid w:val="00CC798B"/>
    <w:rsid w:val="00CC7C71"/>
    <w:rsid w:val="00CC7EEA"/>
    <w:rsid w:val="00CD0211"/>
    <w:rsid w:val="00CD0804"/>
    <w:rsid w:val="00CD0863"/>
    <w:rsid w:val="00CD0EB6"/>
    <w:rsid w:val="00CD15A2"/>
    <w:rsid w:val="00CD1761"/>
    <w:rsid w:val="00CD2330"/>
    <w:rsid w:val="00CD2470"/>
    <w:rsid w:val="00CD2667"/>
    <w:rsid w:val="00CD3E8C"/>
    <w:rsid w:val="00CD41C2"/>
    <w:rsid w:val="00CD4689"/>
    <w:rsid w:val="00CD481D"/>
    <w:rsid w:val="00CD48EA"/>
    <w:rsid w:val="00CD49FC"/>
    <w:rsid w:val="00CD58B9"/>
    <w:rsid w:val="00CD5A68"/>
    <w:rsid w:val="00CD5C3C"/>
    <w:rsid w:val="00CD61AC"/>
    <w:rsid w:val="00CD6374"/>
    <w:rsid w:val="00CD674C"/>
    <w:rsid w:val="00CD6B8A"/>
    <w:rsid w:val="00CD6BE7"/>
    <w:rsid w:val="00CD782C"/>
    <w:rsid w:val="00CD78B7"/>
    <w:rsid w:val="00CE041E"/>
    <w:rsid w:val="00CE11B4"/>
    <w:rsid w:val="00CE18B7"/>
    <w:rsid w:val="00CE242D"/>
    <w:rsid w:val="00CE297F"/>
    <w:rsid w:val="00CE372C"/>
    <w:rsid w:val="00CE413E"/>
    <w:rsid w:val="00CE455B"/>
    <w:rsid w:val="00CE4CCF"/>
    <w:rsid w:val="00CE4FE0"/>
    <w:rsid w:val="00CE5049"/>
    <w:rsid w:val="00CE5B61"/>
    <w:rsid w:val="00CE678A"/>
    <w:rsid w:val="00CE6C22"/>
    <w:rsid w:val="00CE70BC"/>
    <w:rsid w:val="00CE72E6"/>
    <w:rsid w:val="00CF1023"/>
    <w:rsid w:val="00CF1F81"/>
    <w:rsid w:val="00CF2334"/>
    <w:rsid w:val="00CF285E"/>
    <w:rsid w:val="00CF2CCF"/>
    <w:rsid w:val="00CF36B4"/>
    <w:rsid w:val="00CF460B"/>
    <w:rsid w:val="00CF4E3C"/>
    <w:rsid w:val="00CF57A1"/>
    <w:rsid w:val="00CF5B61"/>
    <w:rsid w:val="00CF68F4"/>
    <w:rsid w:val="00CF6A43"/>
    <w:rsid w:val="00D00E21"/>
    <w:rsid w:val="00D01298"/>
    <w:rsid w:val="00D01DD0"/>
    <w:rsid w:val="00D025F3"/>
    <w:rsid w:val="00D02F8F"/>
    <w:rsid w:val="00D03261"/>
    <w:rsid w:val="00D03A7E"/>
    <w:rsid w:val="00D03A8D"/>
    <w:rsid w:val="00D03D9A"/>
    <w:rsid w:val="00D04596"/>
    <w:rsid w:val="00D0476C"/>
    <w:rsid w:val="00D04D42"/>
    <w:rsid w:val="00D05307"/>
    <w:rsid w:val="00D055BC"/>
    <w:rsid w:val="00D05CCC"/>
    <w:rsid w:val="00D06C1B"/>
    <w:rsid w:val="00D07132"/>
    <w:rsid w:val="00D0721A"/>
    <w:rsid w:val="00D07BEF"/>
    <w:rsid w:val="00D1011D"/>
    <w:rsid w:val="00D1025F"/>
    <w:rsid w:val="00D10591"/>
    <w:rsid w:val="00D10C85"/>
    <w:rsid w:val="00D1231E"/>
    <w:rsid w:val="00D12D8E"/>
    <w:rsid w:val="00D1374D"/>
    <w:rsid w:val="00D13F68"/>
    <w:rsid w:val="00D14289"/>
    <w:rsid w:val="00D14467"/>
    <w:rsid w:val="00D14CE4"/>
    <w:rsid w:val="00D158A7"/>
    <w:rsid w:val="00D15BE6"/>
    <w:rsid w:val="00D1609A"/>
    <w:rsid w:val="00D165DE"/>
    <w:rsid w:val="00D16EA6"/>
    <w:rsid w:val="00D17986"/>
    <w:rsid w:val="00D2002F"/>
    <w:rsid w:val="00D202CE"/>
    <w:rsid w:val="00D204BF"/>
    <w:rsid w:val="00D20A96"/>
    <w:rsid w:val="00D21EE7"/>
    <w:rsid w:val="00D22A3E"/>
    <w:rsid w:val="00D22E84"/>
    <w:rsid w:val="00D22FE2"/>
    <w:rsid w:val="00D23340"/>
    <w:rsid w:val="00D23822"/>
    <w:rsid w:val="00D24957"/>
    <w:rsid w:val="00D24CD6"/>
    <w:rsid w:val="00D258D6"/>
    <w:rsid w:val="00D2644A"/>
    <w:rsid w:val="00D26A88"/>
    <w:rsid w:val="00D26BF7"/>
    <w:rsid w:val="00D27064"/>
    <w:rsid w:val="00D30B0B"/>
    <w:rsid w:val="00D30F3B"/>
    <w:rsid w:val="00D31D12"/>
    <w:rsid w:val="00D33F3A"/>
    <w:rsid w:val="00D351E5"/>
    <w:rsid w:val="00D3535B"/>
    <w:rsid w:val="00D35669"/>
    <w:rsid w:val="00D36749"/>
    <w:rsid w:val="00D378CD"/>
    <w:rsid w:val="00D40550"/>
    <w:rsid w:val="00D40888"/>
    <w:rsid w:val="00D41193"/>
    <w:rsid w:val="00D412AA"/>
    <w:rsid w:val="00D41CBC"/>
    <w:rsid w:val="00D4262E"/>
    <w:rsid w:val="00D43859"/>
    <w:rsid w:val="00D43FF0"/>
    <w:rsid w:val="00D44058"/>
    <w:rsid w:val="00D45F3B"/>
    <w:rsid w:val="00D46A53"/>
    <w:rsid w:val="00D47185"/>
    <w:rsid w:val="00D47351"/>
    <w:rsid w:val="00D50AA2"/>
    <w:rsid w:val="00D51133"/>
    <w:rsid w:val="00D511C5"/>
    <w:rsid w:val="00D5141B"/>
    <w:rsid w:val="00D51F3B"/>
    <w:rsid w:val="00D521CD"/>
    <w:rsid w:val="00D52562"/>
    <w:rsid w:val="00D52742"/>
    <w:rsid w:val="00D52AEF"/>
    <w:rsid w:val="00D546C5"/>
    <w:rsid w:val="00D55037"/>
    <w:rsid w:val="00D550B1"/>
    <w:rsid w:val="00D552D5"/>
    <w:rsid w:val="00D5601E"/>
    <w:rsid w:val="00D560E0"/>
    <w:rsid w:val="00D56185"/>
    <w:rsid w:val="00D5667A"/>
    <w:rsid w:val="00D566B7"/>
    <w:rsid w:val="00D573B6"/>
    <w:rsid w:val="00D57559"/>
    <w:rsid w:val="00D60097"/>
    <w:rsid w:val="00D60925"/>
    <w:rsid w:val="00D60A61"/>
    <w:rsid w:val="00D60C36"/>
    <w:rsid w:val="00D60F9B"/>
    <w:rsid w:val="00D6124B"/>
    <w:rsid w:val="00D61BA7"/>
    <w:rsid w:val="00D61E24"/>
    <w:rsid w:val="00D621D5"/>
    <w:rsid w:val="00D6341C"/>
    <w:rsid w:val="00D6434F"/>
    <w:rsid w:val="00D64366"/>
    <w:rsid w:val="00D64492"/>
    <w:rsid w:val="00D64E03"/>
    <w:rsid w:val="00D66203"/>
    <w:rsid w:val="00D66302"/>
    <w:rsid w:val="00D67219"/>
    <w:rsid w:val="00D674D3"/>
    <w:rsid w:val="00D674DF"/>
    <w:rsid w:val="00D675D8"/>
    <w:rsid w:val="00D6776C"/>
    <w:rsid w:val="00D6786D"/>
    <w:rsid w:val="00D70077"/>
    <w:rsid w:val="00D706B8"/>
    <w:rsid w:val="00D7077D"/>
    <w:rsid w:val="00D7127D"/>
    <w:rsid w:val="00D716BC"/>
    <w:rsid w:val="00D71DA9"/>
    <w:rsid w:val="00D71E1E"/>
    <w:rsid w:val="00D73281"/>
    <w:rsid w:val="00D73BDD"/>
    <w:rsid w:val="00D7694E"/>
    <w:rsid w:val="00D76F37"/>
    <w:rsid w:val="00D7739F"/>
    <w:rsid w:val="00D7779F"/>
    <w:rsid w:val="00D77D10"/>
    <w:rsid w:val="00D81B09"/>
    <w:rsid w:val="00D82FFD"/>
    <w:rsid w:val="00D83610"/>
    <w:rsid w:val="00D83EB5"/>
    <w:rsid w:val="00D83FCD"/>
    <w:rsid w:val="00D84C68"/>
    <w:rsid w:val="00D8574B"/>
    <w:rsid w:val="00D85A99"/>
    <w:rsid w:val="00D85B86"/>
    <w:rsid w:val="00D86983"/>
    <w:rsid w:val="00D87114"/>
    <w:rsid w:val="00D8715A"/>
    <w:rsid w:val="00D87E14"/>
    <w:rsid w:val="00D9065F"/>
    <w:rsid w:val="00D90722"/>
    <w:rsid w:val="00D90DB2"/>
    <w:rsid w:val="00D916F9"/>
    <w:rsid w:val="00D91DF2"/>
    <w:rsid w:val="00D9276A"/>
    <w:rsid w:val="00D92BCF"/>
    <w:rsid w:val="00D92F66"/>
    <w:rsid w:val="00D94CBD"/>
    <w:rsid w:val="00D95037"/>
    <w:rsid w:val="00D9576B"/>
    <w:rsid w:val="00D95B77"/>
    <w:rsid w:val="00D97639"/>
    <w:rsid w:val="00D97946"/>
    <w:rsid w:val="00D9795C"/>
    <w:rsid w:val="00DA0607"/>
    <w:rsid w:val="00DA168C"/>
    <w:rsid w:val="00DA1B09"/>
    <w:rsid w:val="00DA1BF7"/>
    <w:rsid w:val="00DA1D9E"/>
    <w:rsid w:val="00DA30B0"/>
    <w:rsid w:val="00DA3121"/>
    <w:rsid w:val="00DA3658"/>
    <w:rsid w:val="00DA440D"/>
    <w:rsid w:val="00DA4837"/>
    <w:rsid w:val="00DA4A61"/>
    <w:rsid w:val="00DA5182"/>
    <w:rsid w:val="00DA63C8"/>
    <w:rsid w:val="00DA6CBB"/>
    <w:rsid w:val="00DA7874"/>
    <w:rsid w:val="00DB1489"/>
    <w:rsid w:val="00DB1D99"/>
    <w:rsid w:val="00DB2972"/>
    <w:rsid w:val="00DB2A58"/>
    <w:rsid w:val="00DB2BEB"/>
    <w:rsid w:val="00DB2DBA"/>
    <w:rsid w:val="00DB3243"/>
    <w:rsid w:val="00DB42FD"/>
    <w:rsid w:val="00DB439B"/>
    <w:rsid w:val="00DB516D"/>
    <w:rsid w:val="00DB557C"/>
    <w:rsid w:val="00DB563B"/>
    <w:rsid w:val="00DB5C91"/>
    <w:rsid w:val="00DB5C99"/>
    <w:rsid w:val="00DB6681"/>
    <w:rsid w:val="00DB6ABE"/>
    <w:rsid w:val="00DB71BE"/>
    <w:rsid w:val="00DC07D8"/>
    <w:rsid w:val="00DC0B06"/>
    <w:rsid w:val="00DC0B54"/>
    <w:rsid w:val="00DC180B"/>
    <w:rsid w:val="00DC2170"/>
    <w:rsid w:val="00DC2EC2"/>
    <w:rsid w:val="00DC35A1"/>
    <w:rsid w:val="00DC4140"/>
    <w:rsid w:val="00DC4976"/>
    <w:rsid w:val="00DC4BC2"/>
    <w:rsid w:val="00DC5D52"/>
    <w:rsid w:val="00DC635F"/>
    <w:rsid w:val="00DC63A0"/>
    <w:rsid w:val="00DC69F1"/>
    <w:rsid w:val="00DC71FB"/>
    <w:rsid w:val="00DC76EF"/>
    <w:rsid w:val="00DC7A6F"/>
    <w:rsid w:val="00DD0275"/>
    <w:rsid w:val="00DD0503"/>
    <w:rsid w:val="00DD0D89"/>
    <w:rsid w:val="00DD0E6B"/>
    <w:rsid w:val="00DD0F8E"/>
    <w:rsid w:val="00DD12E7"/>
    <w:rsid w:val="00DD138E"/>
    <w:rsid w:val="00DD158D"/>
    <w:rsid w:val="00DD18C8"/>
    <w:rsid w:val="00DD23F8"/>
    <w:rsid w:val="00DD24D9"/>
    <w:rsid w:val="00DD283A"/>
    <w:rsid w:val="00DD2884"/>
    <w:rsid w:val="00DD2944"/>
    <w:rsid w:val="00DD307F"/>
    <w:rsid w:val="00DD5057"/>
    <w:rsid w:val="00DD5433"/>
    <w:rsid w:val="00DD58FA"/>
    <w:rsid w:val="00DD5A27"/>
    <w:rsid w:val="00DD6532"/>
    <w:rsid w:val="00DD6AA4"/>
    <w:rsid w:val="00DD6EB6"/>
    <w:rsid w:val="00DD76FD"/>
    <w:rsid w:val="00DD7B18"/>
    <w:rsid w:val="00DE1D77"/>
    <w:rsid w:val="00DE20E1"/>
    <w:rsid w:val="00DE2223"/>
    <w:rsid w:val="00DE2E30"/>
    <w:rsid w:val="00DE2FEC"/>
    <w:rsid w:val="00DE3146"/>
    <w:rsid w:val="00DE3BAB"/>
    <w:rsid w:val="00DE3F93"/>
    <w:rsid w:val="00DE4292"/>
    <w:rsid w:val="00DE42ED"/>
    <w:rsid w:val="00DE4539"/>
    <w:rsid w:val="00DE4781"/>
    <w:rsid w:val="00DE4D9F"/>
    <w:rsid w:val="00DE4E7B"/>
    <w:rsid w:val="00DE5436"/>
    <w:rsid w:val="00DE5685"/>
    <w:rsid w:val="00DE584A"/>
    <w:rsid w:val="00DE618F"/>
    <w:rsid w:val="00DE63EC"/>
    <w:rsid w:val="00DE677B"/>
    <w:rsid w:val="00DE6A1C"/>
    <w:rsid w:val="00DE6D79"/>
    <w:rsid w:val="00DE6E27"/>
    <w:rsid w:val="00DF0705"/>
    <w:rsid w:val="00DF0848"/>
    <w:rsid w:val="00DF0EA8"/>
    <w:rsid w:val="00DF12A9"/>
    <w:rsid w:val="00DF1537"/>
    <w:rsid w:val="00DF1BB3"/>
    <w:rsid w:val="00DF1F6C"/>
    <w:rsid w:val="00DF1F71"/>
    <w:rsid w:val="00DF270C"/>
    <w:rsid w:val="00DF30E8"/>
    <w:rsid w:val="00DF3AE6"/>
    <w:rsid w:val="00DF4E1C"/>
    <w:rsid w:val="00DF5D72"/>
    <w:rsid w:val="00DF6525"/>
    <w:rsid w:val="00DF66F2"/>
    <w:rsid w:val="00DF6C39"/>
    <w:rsid w:val="00DF7986"/>
    <w:rsid w:val="00DF7DE4"/>
    <w:rsid w:val="00DF7EEF"/>
    <w:rsid w:val="00DF7FCF"/>
    <w:rsid w:val="00E00473"/>
    <w:rsid w:val="00E00BF4"/>
    <w:rsid w:val="00E01B01"/>
    <w:rsid w:val="00E02185"/>
    <w:rsid w:val="00E0285F"/>
    <w:rsid w:val="00E035BA"/>
    <w:rsid w:val="00E03CBA"/>
    <w:rsid w:val="00E044C7"/>
    <w:rsid w:val="00E044FC"/>
    <w:rsid w:val="00E046AD"/>
    <w:rsid w:val="00E04BA6"/>
    <w:rsid w:val="00E04EC1"/>
    <w:rsid w:val="00E06058"/>
    <w:rsid w:val="00E0623B"/>
    <w:rsid w:val="00E06AF9"/>
    <w:rsid w:val="00E1025F"/>
    <w:rsid w:val="00E1038D"/>
    <w:rsid w:val="00E11CB3"/>
    <w:rsid w:val="00E11F72"/>
    <w:rsid w:val="00E12BA3"/>
    <w:rsid w:val="00E12EEC"/>
    <w:rsid w:val="00E14390"/>
    <w:rsid w:val="00E14401"/>
    <w:rsid w:val="00E144A3"/>
    <w:rsid w:val="00E145A7"/>
    <w:rsid w:val="00E149F4"/>
    <w:rsid w:val="00E157BD"/>
    <w:rsid w:val="00E162D8"/>
    <w:rsid w:val="00E166A3"/>
    <w:rsid w:val="00E16BFB"/>
    <w:rsid w:val="00E170C1"/>
    <w:rsid w:val="00E17978"/>
    <w:rsid w:val="00E17BBE"/>
    <w:rsid w:val="00E17CB2"/>
    <w:rsid w:val="00E2020F"/>
    <w:rsid w:val="00E20931"/>
    <w:rsid w:val="00E21319"/>
    <w:rsid w:val="00E21688"/>
    <w:rsid w:val="00E22992"/>
    <w:rsid w:val="00E23E7E"/>
    <w:rsid w:val="00E23F07"/>
    <w:rsid w:val="00E24383"/>
    <w:rsid w:val="00E24F59"/>
    <w:rsid w:val="00E2596E"/>
    <w:rsid w:val="00E26A77"/>
    <w:rsid w:val="00E26AA0"/>
    <w:rsid w:val="00E2742E"/>
    <w:rsid w:val="00E3007B"/>
    <w:rsid w:val="00E30091"/>
    <w:rsid w:val="00E30C6C"/>
    <w:rsid w:val="00E30F55"/>
    <w:rsid w:val="00E3157A"/>
    <w:rsid w:val="00E31E23"/>
    <w:rsid w:val="00E32162"/>
    <w:rsid w:val="00E32CC1"/>
    <w:rsid w:val="00E3328B"/>
    <w:rsid w:val="00E33BA1"/>
    <w:rsid w:val="00E33CFE"/>
    <w:rsid w:val="00E33D9F"/>
    <w:rsid w:val="00E34126"/>
    <w:rsid w:val="00E34493"/>
    <w:rsid w:val="00E3455A"/>
    <w:rsid w:val="00E35A19"/>
    <w:rsid w:val="00E366C2"/>
    <w:rsid w:val="00E36BFB"/>
    <w:rsid w:val="00E378C3"/>
    <w:rsid w:val="00E37EA0"/>
    <w:rsid w:val="00E4031C"/>
    <w:rsid w:val="00E40751"/>
    <w:rsid w:val="00E407DA"/>
    <w:rsid w:val="00E40F9A"/>
    <w:rsid w:val="00E41065"/>
    <w:rsid w:val="00E41508"/>
    <w:rsid w:val="00E419A8"/>
    <w:rsid w:val="00E42563"/>
    <w:rsid w:val="00E42961"/>
    <w:rsid w:val="00E429F8"/>
    <w:rsid w:val="00E43179"/>
    <w:rsid w:val="00E433FA"/>
    <w:rsid w:val="00E43456"/>
    <w:rsid w:val="00E44F6E"/>
    <w:rsid w:val="00E44FC8"/>
    <w:rsid w:val="00E45158"/>
    <w:rsid w:val="00E45916"/>
    <w:rsid w:val="00E45952"/>
    <w:rsid w:val="00E46011"/>
    <w:rsid w:val="00E461BE"/>
    <w:rsid w:val="00E470C6"/>
    <w:rsid w:val="00E47882"/>
    <w:rsid w:val="00E501B4"/>
    <w:rsid w:val="00E51204"/>
    <w:rsid w:val="00E51A4A"/>
    <w:rsid w:val="00E51C04"/>
    <w:rsid w:val="00E521A4"/>
    <w:rsid w:val="00E52B7B"/>
    <w:rsid w:val="00E52F76"/>
    <w:rsid w:val="00E533B3"/>
    <w:rsid w:val="00E537E2"/>
    <w:rsid w:val="00E53CF1"/>
    <w:rsid w:val="00E53D70"/>
    <w:rsid w:val="00E53DC9"/>
    <w:rsid w:val="00E53F9E"/>
    <w:rsid w:val="00E5406D"/>
    <w:rsid w:val="00E544F3"/>
    <w:rsid w:val="00E54815"/>
    <w:rsid w:val="00E54FED"/>
    <w:rsid w:val="00E557CC"/>
    <w:rsid w:val="00E55B6F"/>
    <w:rsid w:val="00E56335"/>
    <w:rsid w:val="00E57111"/>
    <w:rsid w:val="00E60180"/>
    <w:rsid w:val="00E60547"/>
    <w:rsid w:val="00E60DD4"/>
    <w:rsid w:val="00E61027"/>
    <w:rsid w:val="00E61507"/>
    <w:rsid w:val="00E61748"/>
    <w:rsid w:val="00E619A6"/>
    <w:rsid w:val="00E619CA"/>
    <w:rsid w:val="00E61A08"/>
    <w:rsid w:val="00E6213E"/>
    <w:rsid w:val="00E621A8"/>
    <w:rsid w:val="00E62C6D"/>
    <w:rsid w:val="00E63034"/>
    <w:rsid w:val="00E63110"/>
    <w:rsid w:val="00E63299"/>
    <w:rsid w:val="00E63C09"/>
    <w:rsid w:val="00E64B23"/>
    <w:rsid w:val="00E65811"/>
    <w:rsid w:val="00E65AD5"/>
    <w:rsid w:val="00E65F78"/>
    <w:rsid w:val="00E65F9D"/>
    <w:rsid w:val="00E66A87"/>
    <w:rsid w:val="00E66D7B"/>
    <w:rsid w:val="00E670FA"/>
    <w:rsid w:val="00E6727A"/>
    <w:rsid w:val="00E67468"/>
    <w:rsid w:val="00E70168"/>
    <w:rsid w:val="00E70220"/>
    <w:rsid w:val="00E7047C"/>
    <w:rsid w:val="00E70659"/>
    <w:rsid w:val="00E706A1"/>
    <w:rsid w:val="00E70A46"/>
    <w:rsid w:val="00E71765"/>
    <w:rsid w:val="00E71788"/>
    <w:rsid w:val="00E718F1"/>
    <w:rsid w:val="00E71A73"/>
    <w:rsid w:val="00E71E79"/>
    <w:rsid w:val="00E71FFD"/>
    <w:rsid w:val="00E72CD6"/>
    <w:rsid w:val="00E72E84"/>
    <w:rsid w:val="00E73993"/>
    <w:rsid w:val="00E73FEB"/>
    <w:rsid w:val="00E74AD1"/>
    <w:rsid w:val="00E75003"/>
    <w:rsid w:val="00E75652"/>
    <w:rsid w:val="00E75F92"/>
    <w:rsid w:val="00E766F2"/>
    <w:rsid w:val="00E770BB"/>
    <w:rsid w:val="00E80370"/>
    <w:rsid w:val="00E803FE"/>
    <w:rsid w:val="00E80B5A"/>
    <w:rsid w:val="00E814DB"/>
    <w:rsid w:val="00E82BB5"/>
    <w:rsid w:val="00E82ED8"/>
    <w:rsid w:val="00E83608"/>
    <w:rsid w:val="00E84094"/>
    <w:rsid w:val="00E8488F"/>
    <w:rsid w:val="00E8599F"/>
    <w:rsid w:val="00E86405"/>
    <w:rsid w:val="00E86903"/>
    <w:rsid w:val="00E86CAB"/>
    <w:rsid w:val="00E86E63"/>
    <w:rsid w:val="00E86EF9"/>
    <w:rsid w:val="00E87C44"/>
    <w:rsid w:val="00E90501"/>
    <w:rsid w:val="00E90A37"/>
    <w:rsid w:val="00E9263F"/>
    <w:rsid w:val="00E929BB"/>
    <w:rsid w:val="00E92F94"/>
    <w:rsid w:val="00E932C6"/>
    <w:rsid w:val="00E93893"/>
    <w:rsid w:val="00E93DFC"/>
    <w:rsid w:val="00E94C94"/>
    <w:rsid w:val="00E950ED"/>
    <w:rsid w:val="00E954F5"/>
    <w:rsid w:val="00E95AB9"/>
    <w:rsid w:val="00E9605D"/>
    <w:rsid w:val="00E9629F"/>
    <w:rsid w:val="00E96BDE"/>
    <w:rsid w:val="00E970D2"/>
    <w:rsid w:val="00E9762F"/>
    <w:rsid w:val="00EA05CD"/>
    <w:rsid w:val="00EA069B"/>
    <w:rsid w:val="00EA06AC"/>
    <w:rsid w:val="00EA071A"/>
    <w:rsid w:val="00EA0A1C"/>
    <w:rsid w:val="00EA12F2"/>
    <w:rsid w:val="00EA1FDC"/>
    <w:rsid w:val="00EA22BB"/>
    <w:rsid w:val="00EA29F4"/>
    <w:rsid w:val="00EA3CDD"/>
    <w:rsid w:val="00EA5805"/>
    <w:rsid w:val="00EA60C8"/>
    <w:rsid w:val="00EA6818"/>
    <w:rsid w:val="00EA6B36"/>
    <w:rsid w:val="00EA75D4"/>
    <w:rsid w:val="00EA7E73"/>
    <w:rsid w:val="00EB2106"/>
    <w:rsid w:val="00EB27CA"/>
    <w:rsid w:val="00EB27EC"/>
    <w:rsid w:val="00EB2C5B"/>
    <w:rsid w:val="00EB3279"/>
    <w:rsid w:val="00EB3685"/>
    <w:rsid w:val="00EB3F19"/>
    <w:rsid w:val="00EB428B"/>
    <w:rsid w:val="00EB46F0"/>
    <w:rsid w:val="00EB497C"/>
    <w:rsid w:val="00EB4E6E"/>
    <w:rsid w:val="00EB51B0"/>
    <w:rsid w:val="00EB5433"/>
    <w:rsid w:val="00EB5B40"/>
    <w:rsid w:val="00EB5D13"/>
    <w:rsid w:val="00EB5F3A"/>
    <w:rsid w:val="00EB61A4"/>
    <w:rsid w:val="00EB6218"/>
    <w:rsid w:val="00EB6EF8"/>
    <w:rsid w:val="00EB7033"/>
    <w:rsid w:val="00EC0C07"/>
    <w:rsid w:val="00EC0CE6"/>
    <w:rsid w:val="00EC0EB7"/>
    <w:rsid w:val="00EC11A9"/>
    <w:rsid w:val="00EC11F6"/>
    <w:rsid w:val="00EC1362"/>
    <w:rsid w:val="00EC14F7"/>
    <w:rsid w:val="00EC1DBB"/>
    <w:rsid w:val="00EC2C1C"/>
    <w:rsid w:val="00EC3081"/>
    <w:rsid w:val="00EC3634"/>
    <w:rsid w:val="00EC3DC1"/>
    <w:rsid w:val="00EC4345"/>
    <w:rsid w:val="00EC46D3"/>
    <w:rsid w:val="00EC49CA"/>
    <w:rsid w:val="00EC4A0A"/>
    <w:rsid w:val="00EC4CA2"/>
    <w:rsid w:val="00EC56B9"/>
    <w:rsid w:val="00EC64E5"/>
    <w:rsid w:val="00EC7361"/>
    <w:rsid w:val="00EC7E79"/>
    <w:rsid w:val="00ED034C"/>
    <w:rsid w:val="00ED04E5"/>
    <w:rsid w:val="00ED0565"/>
    <w:rsid w:val="00ED0CF5"/>
    <w:rsid w:val="00ED216C"/>
    <w:rsid w:val="00ED284D"/>
    <w:rsid w:val="00ED289F"/>
    <w:rsid w:val="00ED2C29"/>
    <w:rsid w:val="00ED2F6A"/>
    <w:rsid w:val="00ED3503"/>
    <w:rsid w:val="00ED3760"/>
    <w:rsid w:val="00ED3828"/>
    <w:rsid w:val="00ED384D"/>
    <w:rsid w:val="00ED39DA"/>
    <w:rsid w:val="00ED3BE2"/>
    <w:rsid w:val="00ED3D85"/>
    <w:rsid w:val="00ED3E0C"/>
    <w:rsid w:val="00ED3EAB"/>
    <w:rsid w:val="00ED4403"/>
    <w:rsid w:val="00ED61CD"/>
    <w:rsid w:val="00ED6EEA"/>
    <w:rsid w:val="00ED71F8"/>
    <w:rsid w:val="00ED720D"/>
    <w:rsid w:val="00ED7431"/>
    <w:rsid w:val="00ED75E8"/>
    <w:rsid w:val="00ED77DF"/>
    <w:rsid w:val="00ED7A5D"/>
    <w:rsid w:val="00EE052F"/>
    <w:rsid w:val="00EE0D31"/>
    <w:rsid w:val="00EE10BE"/>
    <w:rsid w:val="00EE1E29"/>
    <w:rsid w:val="00EE1FD7"/>
    <w:rsid w:val="00EE316B"/>
    <w:rsid w:val="00EE341B"/>
    <w:rsid w:val="00EE3B22"/>
    <w:rsid w:val="00EE3CED"/>
    <w:rsid w:val="00EE5136"/>
    <w:rsid w:val="00EE5478"/>
    <w:rsid w:val="00EE6020"/>
    <w:rsid w:val="00EE6380"/>
    <w:rsid w:val="00EE6727"/>
    <w:rsid w:val="00EE6993"/>
    <w:rsid w:val="00EE71D0"/>
    <w:rsid w:val="00EE7568"/>
    <w:rsid w:val="00EF00F2"/>
    <w:rsid w:val="00EF0601"/>
    <w:rsid w:val="00EF082C"/>
    <w:rsid w:val="00EF08AB"/>
    <w:rsid w:val="00EF12FC"/>
    <w:rsid w:val="00EF1665"/>
    <w:rsid w:val="00EF24CB"/>
    <w:rsid w:val="00EF2A03"/>
    <w:rsid w:val="00EF31A8"/>
    <w:rsid w:val="00EF3569"/>
    <w:rsid w:val="00EF35F4"/>
    <w:rsid w:val="00EF3908"/>
    <w:rsid w:val="00EF40F5"/>
    <w:rsid w:val="00EF4CA6"/>
    <w:rsid w:val="00EF4DA8"/>
    <w:rsid w:val="00EF575D"/>
    <w:rsid w:val="00EF5A3F"/>
    <w:rsid w:val="00EF68DD"/>
    <w:rsid w:val="00EF7564"/>
    <w:rsid w:val="00F00209"/>
    <w:rsid w:val="00F00600"/>
    <w:rsid w:val="00F012A4"/>
    <w:rsid w:val="00F01A44"/>
    <w:rsid w:val="00F01F0C"/>
    <w:rsid w:val="00F02C8A"/>
    <w:rsid w:val="00F03017"/>
    <w:rsid w:val="00F0381F"/>
    <w:rsid w:val="00F03826"/>
    <w:rsid w:val="00F03B4C"/>
    <w:rsid w:val="00F0414B"/>
    <w:rsid w:val="00F046AA"/>
    <w:rsid w:val="00F04767"/>
    <w:rsid w:val="00F04916"/>
    <w:rsid w:val="00F04A5D"/>
    <w:rsid w:val="00F04D13"/>
    <w:rsid w:val="00F058B5"/>
    <w:rsid w:val="00F062F6"/>
    <w:rsid w:val="00F10AF1"/>
    <w:rsid w:val="00F10F0D"/>
    <w:rsid w:val="00F12043"/>
    <w:rsid w:val="00F13134"/>
    <w:rsid w:val="00F136B6"/>
    <w:rsid w:val="00F1372E"/>
    <w:rsid w:val="00F13B23"/>
    <w:rsid w:val="00F13EA3"/>
    <w:rsid w:val="00F14820"/>
    <w:rsid w:val="00F1485C"/>
    <w:rsid w:val="00F14A14"/>
    <w:rsid w:val="00F14EE9"/>
    <w:rsid w:val="00F1570E"/>
    <w:rsid w:val="00F15749"/>
    <w:rsid w:val="00F1615C"/>
    <w:rsid w:val="00F16DF4"/>
    <w:rsid w:val="00F176FD"/>
    <w:rsid w:val="00F1787A"/>
    <w:rsid w:val="00F17BB6"/>
    <w:rsid w:val="00F17D26"/>
    <w:rsid w:val="00F200D8"/>
    <w:rsid w:val="00F206FF"/>
    <w:rsid w:val="00F213C4"/>
    <w:rsid w:val="00F21AF8"/>
    <w:rsid w:val="00F21B8A"/>
    <w:rsid w:val="00F2341E"/>
    <w:rsid w:val="00F23921"/>
    <w:rsid w:val="00F23B53"/>
    <w:rsid w:val="00F24667"/>
    <w:rsid w:val="00F247B7"/>
    <w:rsid w:val="00F2494C"/>
    <w:rsid w:val="00F24D7D"/>
    <w:rsid w:val="00F26178"/>
    <w:rsid w:val="00F261C3"/>
    <w:rsid w:val="00F30F70"/>
    <w:rsid w:val="00F30FF7"/>
    <w:rsid w:val="00F310A9"/>
    <w:rsid w:val="00F312D8"/>
    <w:rsid w:val="00F3134D"/>
    <w:rsid w:val="00F31822"/>
    <w:rsid w:val="00F32972"/>
    <w:rsid w:val="00F32A0B"/>
    <w:rsid w:val="00F32A4C"/>
    <w:rsid w:val="00F33A29"/>
    <w:rsid w:val="00F3434F"/>
    <w:rsid w:val="00F34C63"/>
    <w:rsid w:val="00F34EB6"/>
    <w:rsid w:val="00F34EDA"/>
    <w:rsid w:val="00F3515F"/>
    <w:rsid w:val="00F35AF3"/>
    <w:rsid w:val="00F3664A"/>
    <w:rsid w:val="00F36874"/>
    <w:rsid w:val="00F36A0B"/>
    <w:rsid w:val="00F36AA3"/>
    <w:rsid w:val="00F37379"/>
    <w:rsid w:val="00F37489"/>
    <w:rsid w:val="00F37EB9"/>
    <w:rsid w:val="00F402B7"/>
    <w:rsid w:val="00F4058D"/>
    <w:rsid w:val="00F406C7"/>
    <w:rsid w:val="00F40DD6"/>
    <w:rsid w:val="00F412E2"/>
    <w:rsid w:val="00F41A42"/>
    <w:rsid w:val="00F41BA9"/>
    <w:rsid w:val="00F43312"/>
    <w:rsid w:val="00F4349E"/>
    <w:rsid w:val="00F43760"/>
    <w:rsid w:val="00F43764"/>
    <w:rsid w:val="00F43774"/>
    <w:rsid w:val="00F43BBA"/>
    <w:rsid w:val="00F44557"/>
    <w:rsid w:val="00F4575B"/>
    <w:rsid w:val="00F4737A"/>
    <w:rsid w:val="00F477E9"/>
    <w:rsid w:val="00F50036"/>
    <w:rsid w:val="00F5089A"/>
    <w:rsid w:val="00F51FA5"/>
    <w:rsid w:val="00F525DA"/>
    <w:rsid w:val="00F52C80"/>
    <w:rsid w:val="00F52EE5"/>
    <w:rsid w:val="00F533A5"/>
    <w:rsid w:val="00F53A1C"/>
    <w:rsid w:val="00F53C40"/>
    <w:rsid w:val="00F541EA"/>
    <w:rsid w:val="00F5493C"/>
    <w:rsid w:val="00F54A95"/>
    <w:rsid w:val="00F54C38"/>
    <w:rsid w:val="00F55584"/>
    <w:rsid w:val="00F55A21"/>
    <w:rsid w:val="00F5610F"/>
    <w:rsid w:val="00F564AE"/>
    <w:rsid w:val="00F5659A"/>
    <w:rsid w:val="00F56B3B"/>
    <w:rsid w:val="00F56CF8"/>
    <w:rsid w:val="00F570C0"/>
    <w:rsid w:val="00F6115E"/>
    <w:rsid w:val="00F62085"/>
    <w:rsid w:val="00F622F9"/>
    <w:rsid w:val="00F6306E"/>
    <w:rsid w:val="00F63BC3"/>
    <w:rsid w:val="00F6421C"/>
    <w:rsid w:val="00F64254"/>
    <w:rsid w:val="00F64365"/>
    <w:rsid w:val="00F6447E"/>
    <w:rsid w:val="00F64757"/>
    <w:rsid w:val="00F6485A"/>
    <w:rsid w:val="00F64A4B"/>
    <w:rsid w:val="00F655A4"/>
    <w:rsid w:val="00F6584B"/>
    <w:rsid w:val="00F65A48"/>
    <w:rsid w:val="00F669E0"/>
    <w:rsid w:val="00F66A87"/>
    <w:rsid w:val="00F66CA0"/>
    <w:rsid w:val="00F674C0"/>
    <w:rsid w:val="00F6797B"/>
    <w:rsid w:val="00F70399"/>
    <w:rsid w:val="00F70451"/>
    <w:rsid w:val="00F705A3"/>
    <w:rsid w:val="00F70CC7"/>
    <w:rsid w:val="00F70E03"/>
    <w:rsid w:val="00F71B48"/>
    <w:rsid w:val="00F7212E"/>
    <w:rsid w:val="00F72506"/>
    <w:rsid w:val="00F729E2"/>
    <w:rsid w:val="00F734ED"/>
    <w:rsid w:val="00F73618"/>
    <w:rsid w:val="00F73EB8"/>
    <w:rsid w:val="00F73EE3"/>
    <w:rsid w:val="00F742C2"/>
    <w:rsid w:val="00F74956"/>
    <w:rsid w:val="00F74A03"/>
    <w:rsid w:val="00F74C72"/>
    <w:rsid w:val="00F754D9"/>
    <w:rsid w:val="00F75756"/>
    <w:rsid w:val="00F75926"/>
    <w:rsid w:val="00F75EA4"/>
    <w:rsid w:val="00F7600B"/>
    <w:rsid w:val="00F760D7"/>
    <w:rsid w:val="00F763C5"/>
    <w:rsid w:val="00F76439"/>
    <w:rsid w:val="00F7664F"/>
    <w:rsid w:val="00F76A3D"/>
    <w:rsid w:val="00F7742A"/>
    <w:rsid w:val="00F77C25"/>
    <w:rsid w:val="00F77DB1"/>
    <w:rsid w:val="00F813DF"/>
    <w:rsid w:val="00F81F47"/>
    <w:rsid w:val="00F82431"/>
    <w:rsid w:val="00F82CE9"/>
    <w:rsid w:val="00F82D89"/>
    <w:rsid w:val="00F835FB"/>
    <w:rsid w:val="00F83780"/>
    <w:rsid w:val="00F8382C"/>
    <w:rsid w:val="00F84A64"/>
    <w:rsid w:val="00F8508E"/>
    <w:rsid w:val="00F85B16"/>
    <w:rsid w:val="00F87902"/>
    <w:rsid w:val="00F87946"/>
    <w:rsid w:val="00F87A11"/>
    <w:rsid w:val="00F87D6A"/>
    <w:rsid w:val="00F90ED6"/>
    <w:rsid w:val="00F911C4"/>
    <w:rsid w:val="00F92D7E"/>
    <w:rsid w:val="00F92D93"/>
    <w:rsid w:val="00F92F5F"/>
    <w:rsid w:val="00F93380"/>
    <w:rsid w:val="00F93616"/>
    <w:rsid w:val="00F94DDC"/>
    <w:rsid w:val="00F95057"/>
    <w:rsid w:val="00F95A54"/>
    <w:rsid w:val="00F96435"/>
    <w:rsid w:val="00F9697A"/>
    <w:rsid w:val="00F96DA5"/>
    <w:rsid w:val="00F96DC6"/>
    <w:rsid w:val="00F96F43"/>
    <w:rsid w:val="00F97123"/>
    <w:rsid w:val="00F971D4"/>
    <w:rsid w:val="00F97222"/>
    <w:rsid w:val="00F97226"/>
    <w:rsid w:val="00FA0AFB"/>
    <w:rsid w:val="00FA1887"/>
    <w:rsid w:val="00FA2459"/>
    <w:rsid w:val="00FA2CB2"/>
    <w:rsid w:val="00FA2E1C"/>
    <w:rsid w:val="00FA2EC7"/>
    <w:rsid w:val="00FA2F75"/>
    <w:rsid w:val="00FA3C39"/>
    <w:rsid w:val="00FA4039"/>
    <w:rsid w:val="00FA4267"/>
    <w:rsid w:val="00FA7670"/>
    <w:rsid w:val="00FA7ED1"/>
    <w:rsid w:val="00FA7F12"/>
    <w:rsid w:val="00FA7F38"/>
    <w:rsid w:val="00FA7F8F"/>
    <w:rsid w:val="00FB02A7"/>
    <w:rsid w:val="00FB08F8"/>
    <w:rsid w:val="00FB0A52"/>
    <w:rsid w:val="00FB0BF9"/>
    <w:rsid w:val="00FB2BD9"/>
    <w:rsid w:val="00FB4DBE"/>
    <w:rsid w:val="00FB53BE"/>
    <w:rsid w:val="00FB611A"/>
    <w:rsid w:val="00FB704E"/>
    <w:rsid w:val="00FC0DDD"/>
    <w:rsid w:val="00FC188A"/>
    <w:rsid w:val="00FC2219"/>
    <w:rsid w:val="00FC2CFE"/>
    <w:rsid w:val="00FC34C1"/>
    <w:rsid w:val="00FC358B"/>
    <w:rsid w:val="00FC4386"/>
    <w:rsid w:val="00FC45C0"/>
    <w:rsid w:val="00FC46B6"/>
    <w:rsid w:val="00FC4D00"/>
    <w:rsid w:val="00FC526E"/>
    <w:rsid w:val="00FC5569"/>
    <w:rsid w:val="00FC56C0"/>
    <w:rsid w:val="00FC60D2"/>
    <w:rsid w:val="00FC623D"/>
    <w:rsid w:val="00FC6784"/>
    <w:rsid w:val="00FC6807"/>
    <w:rsid w:val="00FC6D80"/>
    <w:rsid w:val="00FC72DD"/>
    <w:rsid w:val="00FD04C7"/>
    <w:rsid w:val="00FD101D"/>
    <w:rsid w:val="00FD1AB7"/>
    <w:rsid w:val="00FD2404"/>
    <w:rsid w:val="00FD2E93"/>
    <w:rsid w:val="00FD33F0"/>
    <w:rsid w:val="00FD36B2"/>
    <w:rsid w:val="00FD41CA"/>
    <w:rsid w:val="00FD461D"/>
    <w:rsid w:val="00FD5038"/>
    <w:rsid w:val="00FD54A6"/>
    <w:rsid w:val="00FD5966"/>
    <w:rsid w:val="00FD6003"/>
    <w:rsid w:val="00FD6293"/>
    <w:rsid w:val="00FD67C9"/>
    <w:rsid w:val="00FD6835"/>
    <w:rsid w:val="00FD7743"/>
    <w:rsid w:val="00FD78FB"/>
    <w:rsid w:val="00FE0252"/>
    <w:rsid w:val="00FE0745"/>
    <w:rsid w:val="00FE0CE4"/>
    <w:rsid w:val="00FE2091"/>
    <w:rsid w:val="00FE2455"/>
    <w:rsid w:val="00FE26C0"/>
    <w:rsid w:val="00FE2E76"/>
    <w:rsid w:val="00FE3849"/>
    <w:rsid w:val="00FE3C0B"/>
    <w:rsid w:val="00FE45AD"/>
    <w:rsid w:val="00FE4C91"/>
    <w:rsid w:val="00FE4F98"/>
    <w:rsid w:val="00FE5790"/>
    <w:rsid w:val="00FE5EF1"/>
    <w:rsid w:val="00FE6660"/>
    <w:rsid w:val="00FE7334"/>
    <w:rsid w:val="00FE7762"/>
    <w:rsid w:val="00FE77D8"/>
    <w:rsid w:val="00FE7CED"/>
    <w:rsid w:val="00FF1A2B"/>
    <w:rsid w:val="00FF2C10"/>
    <w:rsid w:val="00FF2CA2"/>
    <w:rsid w:val="00FF3038"/>
    <w:rsid w:val="00FF5161"/>
    <w:rsid w:val="00FF6B32"/>
    <w:rsid w:val="00FF7065"/>
    <w:rsid w:val="00FF7215"/>
    <w:rsid w:val="00FF7F78"/>
    <w:rsid w:val="01395013"/>
    <w:rsid w:val="01514167"/>
    <w:rsid w:val="01610261"/>
    <w:rsid w:val="017E2A82"/>
    <w:rsid w:val="018949F6"/>
    <w:rsid w:val="018D52C0"/>
    <w:rsid w:val="019C68B2"/>
    <w:rsid w:val="01AB7A23"/>
    <w:rsid w:val="01E536EB"/>
    <w:rsid w:val="01F34211"/>
    <w:rsid w:val="02165151"/>
    <w:rsid w:val="021C1467"/>
    <w:rsid w:val="021F687A"/>
    <w:rsid w:val="025201D2"/>
    <w:rsid w:val="025D2EF8"/>
    <w:rsid w:val="026003DA"/>
    <w:rsid w:val="02691701"/>
    <w:rsid w:val="026C7512"/>
    <w:rsid w:val="0274009E"/>
    <w:rsid w:val="02830AFC"/>
    <w:rsid w:val="0284056C"/>
    <w:rsid w:val="028C11CF"/>
    <w:rsid w:val="028D57F6"/>
    <w:rsid w:val="029077FA"/>
    <w:rsid w:val="029642E4"/>
    <w:rsid w:val="029B69EB"/>
    <w:rsid w:val="02A36C44"/>
    <w:rsid w:val="02BD4127"/>
    <w:rsid w:val="02C46820"/>
    <w:rsid w:val="02D768EE"/>
    <w:rsid w:val="02DB6087"/>
    <w:rsid w:val="02E93486"/>
    <w:rsid w:val="02FD0455"/>
    <w:rsid w:val="02FD6322"/>
    <w:rsid w:val="030349D2"/>
    <w:rsid w:val="03196BF1"/>
    <w:rsid w:val="031E276F"/>
    <w:rsid w:val="03250FEA"/>
    <w:rsid w:val="032F1310"/>
    <w:rsid w:val="03457ACC"/>
    <w:rsid w:val="03557571"/>
    <w:rsid w:val="03697BFD"/>
    <w:rsid w:val="036E75E8"/>
    <w:rsid w:val="03806F86"/>
    <w:rsid w:val="03912BAA"/>
    <w:rsid w:val="039355DB"/>
    <w:rsid w:val="039A54F3"/>
    <w:rsid w:val="03B508A7"/>
    <w:rsid w:val="03BD0DBF"/>
    <w:rsid w:val="03F17270"/>
    <w:rsid w:val="04105FBB"/>
    <w:rsid w:val="04386C8B"/>
    <w:rsid w:val="046C3066"/>
    <w:rsid w:val="046D7674"/>
    <w:rsid w:val="047A79E0"/>
    <w:rsid w:val="04922954"/>
    <w:rsid w:val="04943B9F"/>
    <w:rsid w:val="04C44C81"/>
    <w:rsid w:val="04C6056D"/>
    <w:rsid w:val="04D806FC"/>
    <w:rsid w:val="04D93EE5"/>
    <w:rsid w:val="04EC602B"/>
    <w:rsid w:val="04ED41A7"/>
    <w:rsid w:val="052B7C1F"/>
    <w:rsid w:val="05375758"/>
    <w:rsid w:val="054E5E13"/>
    <w:rsid w:val="05543A21"/>
    <w:rsid w:val="05692E4A"/>
    <w:rsid w:val="057A4956"/>
    <w:rsid w:val="05972365"/>
    <w:rsid w:val="05A74B9A"/>
    <w:rsid w:val="05AF7FFB"/>
    <w:rsid w:val="05B70D8F"/>
    <w:rsid w:val="05DF71F4"/>
    <w:rsid w:val="05E44C7A"/>
    <w:rsid w:val="05F30738"/>
    <w:rsid w:val="05F640F9"/>
    <w:rsid w:val="060519C4"/>
    <w:rsid w:val="060A2F13"/>
    <w:rsid w:val="06110369"/>
    <w:rsid w:val="061340E1"/>
    <w:rsid w:val="06196931"/>
    <w:rsid w:val="063D57B6"/>
    <w:rsid w:val="064509FD"/>
    <w:rsid w:val="06536FB7"/>
    <w:rsid w:val="06540256"/>
    <w:rsid w:val="066C1375"/>
    <w:rsid w:val="06764670"/>
    <w:rsid w:val="068D576C"/>
    <w:rsid w:val="069F34A4"/>
    <w:rsid w:val="069F61B0"/>
    <w:rsid w:val="06A05F4B"/>
    <w:rsid w:val="06B238FA"/>
    <w:rsid w:val="06B708FB"/>
    <w:rsid w:val="06DB78E1"/>
    <w:rsid w:val="06E34232"/>
    <w:rsid w:val="06E4527C"/>
    <w:rsid w:val="070C4371"/>
    <w:rsid w:val="070F46B6"/>
    <w:rsid w:val="072B35D9"/>
    <w:rsid w:val="07331844"/>
    <w:rsid w:val="07520D99"/>
    <w:rsid w:val="07591FC8"/>
    <w:rsid w:val="075C3170"/>
    <w:rsid w:val="07611177"/>
    <w:rsid w:val="0794625A"/>
    <w:rsid w:val="079C3C62"/>
    <w:rsid w:val="07BA7249"/>
    <w:rsid w:val="07D433FC"/>
    <w:rsid w:val="07DE071F"/>
    <w:rsid w:val="080425C6"/>
    <w:rsid w:val="0815271F"/>
    <w:rsid w:val="08266C9B"/>
    <w:rsid w:val="08626C5A"/>
    <w:rsid w:val="08642C7F"/>
    <w:rsid w:val="088849E1"/>
    <w:rsid w:val="08897283"/>
    <w:rsid w:val="088D5F33"/>
    <w:rsid w:val="08964B56"/>
    <w:rsid w:val="089725B9"/>
    <w:rsid w:val="08B2443B"/>
    <w:rsid w:val="08B83BB6"/>
    <w:rsid w:val="08BB45BC"/>
    <w:rsid w:val="08BE2352"/>
    <w:rsid w:val="08C37E8C"/>
    <w:rsid w:val="08CF4122"/>
    <w:rsid w:val="08D833C0"/>
    <w:rsid w:val="08DB29E2"/>
    <w:rsid w:val="08EF7504"/>
    <w:rsid w:val="08F04266"/>
    <w:rsid w:val="09023F99"/>
    <w:rsid w:val="092213C8"/>
    <w:rsid w:val="0923167B"/>
    <w:rsid w:val="09264601"/>
    <w:rsid w:val="09391199"/>
    <w:rsid w:val="093D6E1E"/>
    <w:rsid w:val="094E71DE"/>
    <w:rsid w:val="09565A7D"/>
    <w:rsid w:val="096922E8"/>
    <w:rsid w:val="097D6580"/>
    <w:rsid w:val="09953DF9"/>
    <w:rsid w:val="09CB16BA"/>
    <w:rsid w:val="09D17CCB"/>
    <w:rsid w:val="09D37BC5"/>
    <w:rsid w:val="09E411B0"/>
    <w:rsid w:val="09F46B10"/>
    <w:rsid w:val="09FB55B8"/>
    <w:rsid w:val="0A197798"/>
    <w:rsid w:val="0A334D52"/>
    <w:rsid w:val="0A345E9F"/>
    <w:rsid w:val="0A364F34"/>
    <w:rsid w:val="0A4155D5"/>
    <w:rsid w:val="0A6608B1"/>
    <w:rsid w:val="0A6F4382"/>
    <w:rsid w:val="0A9C5F85"/>
    <w:rsid w:val="0AC0160E"/>
    <w:rsid w:val="0ACF2BDA"/>
    <w:rsid w:val="0AD74E81"/>
    <w:rsid w:val="0AFD78C5"/>
    <w:rsid w:val="0B0B6FF2"/>
    <w:rsid w:val="0B11392B"/>
    <w:rsid w:val="0B224422"/>
    <w:rsid w:val="0B2E6B71"/>
    <w:rsid w:val="0B5F535F"/>
    <w:rsid w:val="0B76744D"/>
    <w:rsid w:val="0B7946EA"/>
    <w:rsid w:val="0BA2027F"/>
    <w:rsid w:val="0BB57497"/>
    <w:rsid w:val="0BCC4FF8"/>
    <w:rsid w:val="0BD51472"/>
    <w:rsid w:val="0BF32884"/>
    <w:rsid w:val="0BFB4241"/>
    <w:rsid w:val="0BFB4DAD"/>
    <w:rsid w:val="0C0B585A"/>
    <w:rsid w:val="0C23581B"/>
    <w:rsid w:val="0C243773"/>
    <w:rsid w:val="0C442823"/>
    <w:rsid w:val="0C5E4FBA"/>
    <w:rsid w:val="0C9D17A6"/>
    <w:rsid w:val="0CA37841"/>
    <w:rsid w:val="0CAF787E"/>
    <w:rsid w:val="0CB16C4A"/>
    <w:rsid w:val="0CFD16EE"/>
    <w:rsid w:val="0D0D178C"/>
    <w:rsid w:val="0D35168E"/>
    <w:rsid w:val="0D4626B6"/>
    <w:rsid w:val="0D467981"/>
    <w:rsid w:val="0D5D4B8B"/>
    <w:rsid w:val="0D5E03AD"/>
    <w:rsid w:val="0D6C19DE"/>
    <w:rsid w:val="0D8B16DB"/>
    <w:rsid w:val="0D9B5910"/>
    <w:rsid w:val="0D9C7160"/>
    <w:rsid w:val="0DA12EA4"/>
    <w:rsid w:val="0DCA0362"/>
    <w:rsid w:val="0DD36CB2"/>
    <w:rsid w:val="0DD51C7C"/>
    <w:rsid w:val="0DD84331"/>
    <w:rsid w:val="0DDA3736"/>
    <w:rsid w:val="0DE95727"/>
    <w:rsid w:val="0DEE181C"/>
    <w:rsid w:val="0DF42FBC"/>
    <w:rsid w:val="0E1A773C"/>
    <w:rsid w:val="0E3F12BC"/>
    <w:rsid w:val="0E546D55"/>
    <w:rsid w:val="0E6331E7"/>
    <w:rsid w:val="0E78293B"/>
    <w:rsid w:val="0E7B5B46"/>
    <w:rsid w:val="0E8518F4"/>
    <w:rsid w:val="0E8A0CB9"/>
    <w:rsid w:val="0E9B2EC6"/>
    <w:rsid w:val="0E9B4C74"/>
    <w:rsid w:val="0EC20D8E"/>
    <w:rsid w:val="0ECC4537"/>
    <w:rsid w:val="0ED87C76"/>
    <w:rsid w:val="0F091AD0"/>
    <w:rsid w:val="0F100F49"/>
    <w:rsid w:val="0F21247C"/>
    <w:rsid w:val="0F230EA9"/>
    <w:rsid w:val="0F473D13"/>
    <w:rsid w:val="0F4A377A"/>
    <w:rsid w:val="0F4A50E1"/>
    <w:rsid w:val="0F4F41D4"/>
    <w:rsid w:val="0F6D69BB"/>
    <w:rsid w:val="0F7D25CB"/>
    <w:rsid w:val="0F8611CB"/>
    <w:rsid w:val="0F9074C5"/>
    <w:rsid w:val="0F954FC1"/>
    <w:rsid w:val="0FAD1102"/>
    <w:rsid w:val="0FB35FED"/>
    <w:rsid w:val="0FC73BFC"/>
    <w:rsid w:val="0FC84F23"/>
    <w:rsid w:val="0FE25190"/>
    <w:rsid w:val="0FEA4D37"/>
    <w:rsid w:val="102A0AFC"/>
    <w:rsid w:val="102A2753"/>
    <w:rsid w:val="10433815"/>
    <w:rsid w:val="10684FA7"/>
    <w:rsid w:val="10685029"/>
    <w:rsid w:val="106A0DA2"/>
    <w:rsid w:val="107860D1"/>
    <w:rsid w:val="10A43CE3"/>
    <w:rsid w:val="10AD0C8E"/>
    <w:rsid w:val="10EF12A7"/>
    <w:rsid w:val="110E5DC0"/>
    <w:rsid w:val="112402E1"/>
    <w:rsid w:val="113A1F83"/>
    <w:rsid w:val="11535CDA"/>
    <w:rsid w:val="115816E2"/>
    <w:rsid w:val="11716160"/>
    <w:rsid w:val="11740888"/>
    <w:rsid w:val="11800151"/>
    <w:rsid w:val="11851C0B"/>
    <w:rsid w:val="118C6B2A"/>
    <w:rsid w:val="119E0903"/>
    <w:rsid w:val="11E91D0D"/>
    <w:rsid w:val="11F82273"/>
    <w:rsid w:val="11F85F3F"/>
    <w:rsid w:val="11FD55AB"/>
    <w:rsid w:val="120E7E53"/>
    <w:rsid w:val="12150170"/>
    <w:rsid w:val="12471690"/>
    <w:rsid w:val="12684DC9"/>
    <w:rsid w:val="127F665A"/>
    <w:rsid w:val="12891287"/>
    <w:rsid w:val="1295044F"/>
    <w:rsid w:val="129F22F8"/>
    <w:rsid w:val="12AE6158"/>
    <w:rsid w:val="12B4109C"/>
    <w:rsid w:val="12CA5B28"/>
    <w:rsid w:val="12DE5B33"/>
    <w:rsid w:val="12E06B49"/>
    <w:rsid w:val="12E34658"/>
    <w:rsid w:val="12E50647"/>
    <w:rsid w:val="12E666D9"/>
    <w:rsid w:val="12EC70DB"/>
    <w:rsid w:val="132D7B77"/>
    <w:rsid w:val="133437F2"/>
    <w:rsid w:val="1356560D"/>
    <w:rsid w:val="136234C0"/>
    <w:rsid w:val="136C24C2"/>
    <w:rsid w:val="139879D4"/>
    <w:rsid w:val="139F4BA8"/>
    <w:rsid w:val="13A021D6"/>
    <w:rsid w:val="13A10F7E"/>
    <w:rsid w:val="13CA16CE"/>
    <w:rsid w:val="13E42C19"/>
    <w:rsid w:val="13E96481"/>
    <w:rsid w:val="140908D1"/>
    <w:rsid w:val="142F2F49"/>
    <w:rsid w:val="144E2788"/>
    <w:rsid w:val="145A737F"/>
    <w:rsid w:val="14681A9C"/>
    <w:rsid w:val="14693A81"/>
    <w:rsid w:val="146E5797"/>
    <w:rsid w:val="148458D3"/>
    <w:rsid w:val="14854F71"/>
    <w:rsid w:val="148937C0"/>
    <w:rsid w:val="14943062"/>
    <w:rsid w:val="14971B67"/>
    <w:rsid w:val="14975EDD"/>
    <w:rsid w:val="14B670F9"/>
    <w:rsid w:val="14D53431"/>
    <w:rsid w:val="14D97015"/>
    <w:rsid w:val="15401554"/>
    <w:rsid w:val="15447562"/>
    <w:rsid w:val="15681628"/>
    <w:rsid w:val="156B66E2"/>
    <w:rsid w:val="156D670B"/>
    <w:rsid w:val="15743EFD"/>
    <w:rsid w:val="15B06C08"/>
    <w:rsid w:val="15C16D69"/>
    <w:rsid w:val="15D232F3"/>
    <w:rsid w:val="162C16CC"/>
    <w:rsid w:val="16367679"/>
    <w:rsid w:val="163B5EF6"/>
    <w:rsid w:val="164A4DD8"/>
    <w:rsid w:val="16797F90"/>
    <w:rsid w:val="167E5436"/>
    <w:rsid w:val="168D4BC2"/>
    <w:rsid w:val="168E4DEE"/>
    <w:rsid w:val="168F1F3B"/>
    <w:rsid w:val="169070D5"/>
    <w:rsid w:val="169739A2"/>
    <w:rsid w:val="16AD3980"/>
    <w:rsid w:val="16BD34A4"/>
    <w:rsid w:val="16BE1E47"/>
    <w:rsid w:val="16C4397D"/>
    <w:rsid w:val="16E66CA8"/>
    <w:rsid w:val="16E8367D"/>
    <w:rsid w:val="16ED1BE3"/>
    <w:rsid w:val="16FD2977"/>
    <w:rsid w:val="1716216E"/>
    <w:rsid w:val="173051DB"/>
    <w:rsid w:val="1751027F"/>
    <w:rsid w:val="1752690C"/>
    <w:rsid w:val="176029E9"/>
    <w:rsid w:val="178722F4"/>
    <w:rsid w:val="17931B52"/>
    <w:rsid w:val="1797673A"/>
    <w:rsid w:val="17AA4282"/>
    <w:rsid w:val="17CC5A3F"/>
    <w:rsid w:val="18257702"/>
    <w:rsid w:val="182877EF"/>
    <w:rsid w:val="182F467F"/>
    <w:rsid w:val="184D468E"/>
    <w:rsid w:val="18534E98"/>
    <w:rsid w:val="185C77E5"/>
    <w:rsid w:val="186C7B87"/>
    <w:rsid w:val="186D7623"/>
    <w:rsid w:val="187F5606"/>
    <w:rsid w:val="18822A00"/>
    <w:rsid w:val="188F6CA8"/>
    <w:rsid w:val="1890511D"/>
    <w:rsid w:val="189A67DE"/>
    <w:rsid w:val="18A618E4"/>
    <w:rsid w:val="18F963BE"/>
    <w:rsid w:val="192E4467"/>
    <w:rsid w:val="194C06F0"/>
    <w:rsid w:val="196C5B8A"/>
    <w:rsid w:val="19726D52"/>
    <w:rsid w:val="197A1C24"/>
    <w:rsid w:val="198D509C"/>
    <w:rsid w:val="19A15A95"/>
    <w:rsid w:val="19AA220F"/>
    <w:rsid w:val="19BC6BD5"/>
    <w:rsid w:val="19CF1C75"/>
    <w:rsid w:val="19D90D46"/>
    <w:rsid w:val="19EC0A79"/>
    <w:rsid w:val="19F53DD2"/>
    <w:rsid w:val="1A1F4B8F"/>
    <w:rsid w:val="1A2A6611"/>
    <w:rsid w:val="1A3C0202"/>
    <w:rsid w:val="1A43731C"/>
    <w:rsid w:val="1A485944"/>
    <w:rsid w:val="1A5F2FF9"/>
    <w:rsid w:val="1A7C6C3D"/>
    <w:rsid w:val="1A815BB9"/>
    <w:rsid w:val="1A851565"/>
    <w:rsid w:val="1A8B7891"/>
    <w:rsid w:val="1ABF618E"/>
    <w:rsid w:val="1ABF7563"/>
    <w:rsid w:val="1AC27F90"/>
    <w:rsid w:val="1ADF2D41"/>
    <w:rsid w:val="1B08403D"/>
    <w:rsid w:val="1B103875"/>
    <w:rsid w:val="1B156A7C"/>
    <w:rsid w:val="1B192F9D"/>
    <w:rsid w:val="1B2A7AAB"/>
    <w:rsid w:val="1B4D40AA"/>
    <w:rsid w:val="1B596B37"/>
    <w:rsid w:val="1B5B5EB7"/>
    <w:rsid w:val="1B6F76EF"/>
    <w:rsid w:val="1B9E083C"/>
    <w:rsid w:val="1BB9333A"/>
    <w:rsid w:val="1BC53494"/>
    <w:rsid w:val="1C0E05C7"/>
    <w:rsid w:val="1C1036BB"/>
    <w:rsid w:val="1C1B0031"/>
    <w:rsid w:val="1C2A080C"/>
    <w:rsid w:val="1C537A2E"/>
    <w:rsid w:val="1C617D5B"/>
    <w:rsid w:val="1C7A41C7"/>
    <w:rsid w:val="1C8C661E"/>
    <w:rsid w:val="1CA67605"/>
    <w:rsid w:val="1CA76EDA"/>
    <w:rsid w:val="1CA77337"/>
    <w:rsid w:val="1CB03FE0"/>
    <w:rsid w:val="1CC6166E"/>
    <w:rsid w:val="1CF368EC"/>
    <w:rsid w:val="1CFC62E8"/>
    <w:rsid w:val="1D0E3F3B"/>
    <w:rsid w:val="1D4574BE"/>
    <w:rsid w:val="1D6A027C"/>
    <w:rsid w:val="1DA03E05"/>
    <w:rsid w:val="1DB26E14"/>
    <w:rsid w:val="1DBD4754"/>
    <w:rsid w:val="1DE56E67"/>
    <w:rsid w:val="1DEA7D31"/>
    <w:rsid w:val="1DF50B04"/>
    <w:rsid w:val="1DF779ED"/>
    <w:rsid w:val="1E0A3C96"/>
    <w:rsid w:val="1E0A7E55"/>
    <w:rsid w:val="1E141CC1"/>
    <w:rsid w:val="1E1B7B7F"/>
    <w:rsid w:val="1E28065B"/>
    <w:rsid w:val="1E292508"/>
    <w:rsid w:val="1E2D75AE"/>
    <w:rsid w:val="1E4979D2"/>
    <w:rsid w:val="1E4A5D6E"/>
    <w:rsid w:val="1E4B0BE8"/>
    <w:rsid w:val="1E4C5F8A"/>
    <w:rsid w:val="1E867014"/>
    <w:rsid w:val="1E93489E"/>
    <w:rsid w:val="1ED07386"/>
    <w:rsid w:val="1EFD5B2B"/>
    <w:rsid w:val="1F1577F6"/>
    <w:rsid w:val="1F356A1F"/>
    <w:rsid w:val="1F38345D"/>
    <w:rsid w:val="1F4753DC"/>
    <w:rsid w:val="1F6C2F5C"/>
    <w:rsid w:val="1F792DAF"/>
    <w:rsid w:val="1F853944"/>
    <w:rsid w:val="1F9538A5"/>
    <w:rsid w:val="1F9E730E"/>
    <w:rsid w:val="1FA55F8B"/>
    <w:rsid w:val="1FBE41A9"/>
    <w:rsid w:val="1FE33DDC"/>
    <w:rsid w:val="1FE81839"/>
    <w:rsid w:val="1FEF6BCD"/>
    <w:rsid w:val="1FF13588"/>
    <w:rsid w:val="20342BB2"/>
    <w:rsid w:val="203D242F"/>
    <w:rsid w:val="20494634"/>
    <w:rsid w:val="2059673D"/>
    <w:rsid w:val="2076109D"/>
    <w:rsid w:val="2080305E"/>
    <w:rsid w:val="20901CE0"/>
    <w:rsid w:val="20AD2BB5"/>
    <w:rsid w:val="20D15CC5"/>
    <w:rsid w:val="20D869EA"/>
    <w:rsid w:val="20E870C3"/>
    <w:rsid w:val="20EA3839"/>
    <w:rsid w:val="20F0754D"/>
    <w:rsid w:val="2108399C"/>
    <w:rsid w:val="212A4919"/>
    <w:rsid w:val="212A6A7B"/>
    <w:rsid w:val="21515666"/>
    <w:rsid w:val="217C5225"/>
    <w:rsid w:val="218A0D46"/>
    <w:rsid w:val="21B52994"/>
    <w:rsid w:val="21BB15CD"/>
    <w:rsid w:val="21D05779"/>
    <w:rsid w:val="21F94C38"/>
    <w:rsid w:val="21FC0478"/>
    <w:rsid w:val="22244B28"/>
    <w:rsid w:val="2227739A"/>
    <w:rsid w:val="22280ABD"/>
    <w:rsid w:val="2228635C"/>
    <w:rsid w:val="222F7A69"/>
    <w:rsid w:val="223E0BCA"/>
    <w:rsid w:val="225B291E"/>
    <w:rsid w:val="225B44A6"/>
    <w:rsid w:val="225F23F4"/>
    <w:rsid w:val="22614D65"/>
    <w:rsid w:val="226C7587"/>
    <w:rsid w:val="228E5D7F"/>
    <w:rsid w:val="22B778F0"/>
    <w:rsid w:val="22BB0092"/>
    <w:rsid w:val="22C32593"/>
    <w:rsid w:val="22ED7B9D"/>
    <w:rsid w:val="22F12428"/>
    <w:rsid w:val="231368C5"/>
    <w:rsid w:val="236B18E2"/>
    <w:rsid w:val="236E0935"/>
    <w:rsid w:val="23971A56"/>
    <w:rsid w:val="23991C2B"/>
    <w:rsid w:val="23C245F9"/>
    <w:rsid w:val="23C40371"/>
    <w:rsid w:val="23D44908"/>
    <w:rsid w:val="240E093D"/>
    <w:rsid w:val="242724C0"/>
    <w:rsid w:val="242A28CA"/>
    <w:rsid w:val="24376D82"/>
    <w:rsid w:val="24415E66"/>
    <w:rsid w:val="244B0162"/>
    <w:rsid w:val="245020B2"/>
    <w:rsid w:val="2463402E"/>
    <w:rsid w:val="24D262B1"/>
    <w:rsid w:val="24E87ACF"/>
    <w:rsid w:val="250273A3"/>
    <w:rsid w:val="25053399"/>
    <w:rsid w:val="2508368A"/>
    <w:rsid w:val="25190865"/>
    <w:rsid w:val="25315EDA"/>
    <w:rsid w:val="253E6047"/>
    <w:rsid w:val="25586F13"/>
    <w:rsid w:val="25665B84"/>
    <w:rsid w:val="25757ED7"/>
    <w:rsid w:val="25783593"/>
    <w:rsid w:val="257A33EF"/>
    <w:rsid w:val="25845FD4"/>
    <w:rsid w:val="25897AC4"/>
    <w:rsid w:val="2593449F"/>
    <w:rsid w:val="25BA7C7E"/>
    <w:rsid w:val="25CC2570"/>
    <w:rsid w:val="25DF7B3D"/>
    <w:rsid w:val="25E06B65"/>
    <w:rsid w:val="25EF3DCB"/>
    <w:rsid w:val="25F60775"/>
    <w:rsid w:val="25FE16FB"/>
    <w:rsid w:val="26176E7E"/>
    <w:rsid w:val="26232D15"/>
    <w:rsid w:val="262F241A"/>
    <w:rsid w:val="26542BEF"/>
    <w:rsid w:val="2666609D"/>
    <w:rsid w:val="267B4F3A"/>
    <w:rsid w:val="26D47687"/>
    <w:rsid w:val="26E7357D"/>
    <w:rsid w:val="27351CB2"/>
    <w:rsid w:val="27420E8D"/>
    <w:rsid w:val="27492AD0"/>
    <w:rsid w:val="2755603D"/>
    <w:rsid w:val="27602AA7"/>
    <w:rsid w:val="27710810"/>
    <w:rsid w:val="277D6A86"/>
    <w:rsid w:val="277F4CDB"/>
    <w:rsid w:val="27A24CAF"/>
    <w:rsid w:val="27B506FD"/>
    <w:rsid w:val="27C22ABF"/>
    <w:rsid w:val="27DC037F"/>
    <w:rsid w:val="28043432"/>
    <w:rsid w:val="28174B38"/>
    <w:rsid w:val="281C4C20"/>
    <w:rsid w:val="28341E96"/>
    <w:rsid w:val="2835025F"/>
    <w:rsid w:val="28421244"/>
    <w:rsid w:val="28657A1F"/>
    <w:rsid w:val="28666E55"/>
    <w:rsid w:val="28A87EBE"/>
    <w:rsid w:val="28A91B29"/>
    <w:rsid w:val="28BA56C4"/>
    <w:rsid w:val="28BC709E"/>
    <w:rsid w:val="28C93942"/>
    <w:rsid w:val="28F63E25"/>
    <w:rsid w:val="290A3EE7"/>
    <w:rsid w:val="29165294"/>
    <w:rsid w:val="291E0523"/>
    <w:rsid w:val="293435B5"/>
    <w:rsid w:val="29363ABF"/>
    <w:rsid w:val="293963C3"/>
    <w:rsid w:val="29534671"/>
    <w:rsid w:val="29563202"/>
    <w:rsid w:val="295959FF"/>
    <w:rsid w:val="29740570"/>
    <w:rsid w:val="297B5E9A"/>
    <w:rsid w:val="297D1B27"/>
    <w:rsid w:val="297E7214"/>
    <w:rsid w:val="298C7B83"/>
    <w:rsid w:val="29AF4F82"/>
    <w:rsid w:val="29CA4207"/>
    <w:rsid w:val="29E03A2B"/>
    <w:rsid w:val="29F23E8A"/>
    <w:rsid w:val="29F86FC6"/>
    <w:rsid w:val="2A043BCC"/>
    <w:rsid w:val="2A06159A"/>
    <w:rsid w:val="2A17569E"/>
    <w:rsid w:val="2A1D3313"/>
    <w:rsid w:val="2A2D204A"/>
    <w:rsid w:val="2A2F5AE4"/>
    <w:rsid w:val="2A30174B"/>
    <w:rsid w:val="2A3C194B"/>
    <w:rsid w:val="2A4D723B"/>
    <w:rsid w:val="2A78072A"/>
    <w:rsid w:val="2A870DDD"/>
    <w:rsid w:val="2A8F1C3E"/>
    <w:rsid w:val="2AA44A58"/>
    <w:rsid w:val="2ACA5CF9"/>
    <w:rsid w:val="2ACD7244"/>
    <w:rsid w:val="2AD674B0"/>
    <w:rsid w:val="2AE412F9"/>
    <w:rsid w:val="2AE65071"/>
    <w:rsid w:val="2AEA2DB3"/>
    <w:rsid w:val="2AEF5223"/>
    <w:rsid w:val="2AF05C62"/>
    <w:rsid w:val="2B0A0673"/>
    <w:rsid w:val="2B185A88"/>
    <w:rsid w:val="2B3854D0"/>
    <w:rsid w:val="2B4E2E20"/>
    <w:rsid w:val="2B82123D"/>
    <w:rsid w:val="2B844556"/>
    <w:rsid w:val="2B98201B"/>
    <w:rsid w:val="2BA52305"/>
    <w:rsid w:val="2BB34AE2"/>
    <w:rsid w:val="2BD9111E"/>
    <w:rsid w:val="2BE45A54"/>
    <w:rsid w:val="2BE76E82"/>
    <w:rsid w:val="2BEC4909"/>
    <w:rsid w:val="2BF808D8"/>
    <w:rsid w:val="2BFE7A06"/>
    <w:rsid w:val="2C2D6EEB"/>
    <w:rsid w:val="2C4E7372"/>
    <w:rsid w:val="2C5D3966"/>
    <w:rsid w:val="2C6B4037"/>
    <w:rsid w:val="2C9805ED"/>
    <w:rsid w:val="2C9C4D09"/>
    <w:rsid w:val="2CBE100D"/>
    <w:rsid w:val="2CEF0391"/>
    <w:rsid w:val="2CF37F79"/>
    <w:rsid w:val="2CFD2153"/>
    <w:rsid w:val="2D0D30D7"/>
    <w:rsid w:val="2D1916DF"/>
    <w:rsid w:val="2D1E73A9"/>
    <w:rsid w:val="2D3C78BC"/>
    <w:rsid w:val="2D461B8D"/>
    <w:rsid w:val="2D6706EB"/>
    <w:rsid w:val="2D746964"/>
    <w:rsid w:val="2DA5298B"/>
    <w:rsid w:val="2DAD3B63"/>
    <w:rsid w:val="2DC752D2"/>
    <w:rsid w:val="2DDD3E0B"/>
    <w:rsid w:val="2DF01EDE"/>
    <w:rsid w:val="2E183793"/>
    <w:rsid w:val="2E2717E0"/>
    <w:rsid w:val="2E377861"/>
    <w:rsid w:val="2E3E04DA"/>
    <w:rsid w:val="2E4B5032"/>
    <w:rsid w:val="2E507EAA"/>
    <w:rsid w:val="2E560207"/>
    <w:rsid w:val="2E6B420B"/>
    <w:rsid w:val="2E825006"/>
    <w:rsid w:val="2EB16BB9"/>
    <w:rsid w:val="2F154F48"/>
    <w:rsid w:val="2F267C7F"/>
    <w:rsid w:val="2F2702E3"/>
    <w:rsid w:val="2F3C1CF4"/>
    <w:rsid w:val="2F6234D3"/>
    <w:rsid w:val="2F8C448E"/>
    <w:rsid w:val="2F8D22B9"/>
    <w:rsid w:val="2FAC4ADB"/>
    <w:rsid w:val="2FB93103"/>
    <w:rsid w:val="2FBD1B8F"/>
    <w:rsid w:val="2FCB2530"/>
    <w:rsid w:val="2FE029D7"/>
    <w:rsid w:val="2FE34275"/>
    <w:rsid w:val="2FEA3D1F"/>
    <w:rsid w:val="2FF2625A"/>
    <w:rsid w:val="300C23F5"/>
    <w:rsid w:val="300C7328"/>
    <w:rsid w:val="302503E9"/>
    <w:rsid w:val="302867A2"/>
    <w:rsid w:val="303B0910"/>
    <w:rsid w:val="30574E1A"/>
    <w:rsid w:val="30590E59"/>
    <w:rsid w:val="307B5D50"/>
    <w:rsid w:val="30A364AF"/>
    <w:rsid w:val="30A71AE3"/>
    <w:rsid w:val="30BD4AC6"/>
    <w:rsid w:val="30C81CB1"/>
    <w:rsid w:val="30CD6C51"/>
    <w:rsid w:val="30E66DA6"/>
    <w:rsid w:val="310F3573"/>
    <w:rsid w:val="311F68C7"/>
    <w:rsid w:val="31331EC5"/>
    <w:rsid w:val="31573EF3"/>
    <w:rsid w:val="31765D38"/>
    <w:rsid w:val="318B6450"/>
    <w:rsid w:val="318D26EA"/>
    <w:rsid w:val="319750F2"/>
    <w:rsid w:val="31A1649A"/>
    <w:rsid w:val="31B9686D"/>
    <w:rsid w:val="31E16592"/>
    <w:rsid w:val="31F15BE6"/>
    <w:rsid w:val="31F84007"/>
    <w:rsid w:val="320342B1"/>
    <w:rsid w:val="32621481"/>
    <w:rsid w:val="327369A8"/>
    <w:rsid w:val="32754BA4"/>
    <w:rsid w:val="3298755C"/>
    <w:rsid w:val="32AE7C54"/>
    <w:rsid w:val="32BB45D8"/>
    <w:rsid w:val="32BD2B5B"/>
    <w:rsid w:val="32D723BA"/>
    <w:rsid w:val="32E57CF7"/>
    <w:rsid w:val="32EA4B17"/>
    <w:rsid w:val="32FC458E"/>
    <w:rsid w:val="330E6BC7"/>
    <w:rsid w:val="3320704A"/>
    <w:rsid w:val="3330748A"/>
    <w:rsid w:val="33526977"/>
    <w:rsid w:val="33634AFA"/>
    <w:rsid w:val="33751688"/>
    <w:rsid w:val="339325E9"/>
    <w:rsid w:val="339B2822"/>
    <w:rsid w:val="33A95FD4"/>
    <w:rsid w:val="33E64E6F"/>
    <w:rsid w:val="33ED121E"/>
    <w:rsid w:val="34391824"/>
    <w:rsid w:val="343A5EE0"/>
    <w:rsid w:val="347113E2"/>
    <w:rsid w:val="347C09B9"/>
    <w:rsid w:val="349A7661"/>
    <w:rsid w:val="34A121A4"/>
    <w:rsid w:val="34A9783B"/>
    <w:rsid w:val="34D6485D"/>
    <w:rsid w:val="34D7791C"/>
    <w:rsid w:val="34E83FCE"/>
    <w:rsid w:val="34EC3BCC"/>
    <w:rsid w:val="35004B3A"/>
    <w:rsid w:val="35040F15"/>
    <w:rsid w:val="350B4EB3"/>
    <w:rsid w:val="35202BEE"/>
    <w:rsid w:val="352A3AB6"/>
    <w:rsid w:val="35343375"/>
    <w:rsid w:val="353C420B"/>
    <w:rsid w:val="35425409"/>
    <w:rsid w:val="35521E85"/>
    <w:rsid w:val="355D6329"/>
    <w:rsid w:val="3583105E"/>
    <w:rsid w:val="35910FD9"/>
    <w:rsid w:val="359C74C6"/>
    <w:rsid w:val="35B44BB6"/>
    <w:rsid w:val="35D11964"/>
    <w:rsid w:val="35D24202"/>
    <w:rsid w:val="35D408E8"/>
    <w:rsid w:val="35F542DC"/>
    <w:rsid w:val="361B7CA9"/>
    <w:rsid w:val="3628478F"/>
    <w:rsid w:val="36443918"/>
    <w:rsid w:val="364F2DAF"/>
    <w:rsid w:val="367148C1"/>
    <w:rsid w:val="36761349"/>
    <w:rsid w:val="3679148F"/>
    <w:rsid w:val="367E0853"/>
    <w:rsid w:val="36AA1648"/>
    <w:rsid w:val="36B64491"/>
    <w:rsid w:val="36C51959"/>
    <w:rsid w:val="36D1077F"/>
    <w:rsid w:val="36D81D72"/>
    <w:rsid w:val="37040D59"/>
    <w:rsid w:val="37133D87"/>
    <w:rsid w:val="37185433"/>
    <w:rsid w:val="371D62BE"/>
    <w:rsid w:val="3733163E"/>
    <w:rsid w:val="37490E61"/>
    <w:rsid w:val="375B2295"/>
    <w:rsid w:val="37677539"/>
    <w:rsid w:val="376C68FE"/>
    <w:rsid w:val="37836B80"/>
    <w:rsid w:val="378F27FE"/>
    <w:rsid w:val="379522F8"/>
    <w:rsid w:val="37AF33BA"/>
    <w:rsid w:val="37B043B0"/>
    <w:rsid w:val="37B27555"/>
    <w:rsid w:val="37BB1430"/>
    <w:rsid w:val="37D80A09"/>
    <w:rsid w:val="37DC0CC4"/>
    <w:rsid w:val="37DD74F5"/>
    <w:rsid w:val="37FE112A"/>
    <w:rsid w:val="380016EA"/>
    <w:rsid w:val="381F37E0"/>
    <w:rsid w:val="3821593A"/>
    <w:rsid w:val="382C43AB"/>
    <w:rsid w:val="382D44C6"/>
    <w:rsid w:val="384A4E91"/>
    <w:rsid w:val="384D1323"/>
    <w:rsid w:val="3854622A"/>
    <w:rsid w:val="38561A88"/>
    <w:rsid w:val="385C0C16"/>
    <w:rsid w:val="386D4F37"/>
    <w:rsid w:val="389A1AFD"/>
    <w:rsid w:val="389B249F"/>
    <w:rsid w:val="389F4BEA"/>
    <w:rsid w:val="38F27D95"/>
    <w:rsid w:val="39021F71"/>
    <w:rsid w:val="39037228"/>
    <w:rsid w:val="39192463"/>
    <w:rsid w:val="393D67A4"/>
    <w:rsid w:val="393F42CA"/>
    <w:rsid w:val="394B7B34"/>
    <w:rsid w:val="39557F91"/>
    <w:rsid w:val="39727C0E"/>
    <w:rsid w:val="39735625"/>
    <w:rsid w:val="398D772B"/>
    <w:rsid w:val="39994BED"/>
    <w:rsid w:val="399E33BD"/>
    <w:rsid w:val="39A81F68"/>
    <w:rsid w:val="39BD1573"/>
    <w:rsid w:val="39C37F4F"/>
    <w:rsid w:val="39CC1581"/>
    <w:rsid w:val="39D215E2"/>
    <w:rsid w:val="39F52527"/>
    <w:rsid w:val="3A0639AF"/>
    <w:rsid w:val="3A102AB9"/>
    <w:rsid w:val="3A157721"/>
    <w:rsid w:val="3A1E0047"/>
    <w:rsid w:val="3A24379A"/>
    <w:rsid w:val="3A325BDD"/>
    <w:rsid w:val="3A485286"/>
    <w:rsid w:val="3A4F536E"/>
    <w:rsid w:val="3A7355CD"/>
    <w:rsid w:val="3A744447"/>
    <w:rsid w:val="3A816B64"/>
    <w:rsid w:val="3A84453E"/>
    <w:rsid w:val="3A940645"/>
    <w:rsid w:val="3AA57CB6"/>
    <w:rsid w:val="3AB17449"/>
    <w:rsid w:val="3AC15B87"/>
    <w:rsid w:val="3AD62A0C"/>
    <w:rsid w:val="3AD95E00"/>
    <w:rsid w:val="3ADF5ED8"/>
    <w:rsid w:val="3B1D2D56"/>
    <w:rsid w:val="3B1E471A"/>
    <w:rsid w:val="3B211535"/>
    <w:rsid w:val="3B2B6BC5"/>
    <w:rsid w:val="3B2D3246"/>
    <w:rsid w:val="3B3F4F1F"/>
    <w:rsid w:val="3B487C7C"/>
    <w:rsid w:val="3B5A188F"/>
    <w:rsid w:val="3B6112A7"/>
    <w:rsid w:val="3B645040"/>
    <w:rsid w:val="3B670CC1"/>
    <w:rsid w:val="3B6C511E"/>
    <w:rsid w:val="3B7010B2"/>
    <w:rsid w:val="3B705397"/>
    <w:rsid w:val="3B7A3CDF"/>
    <w:rsid w:val="3B866B0F"/>
    <w:rsid w:val="3BCB3BFC"/>
    <w:rsid w:val="3BCE5DD9"/>
    <w:rsid w:val="3BE42917"/>
    <w:rsid w:val="3BF24D63"/>
    <w:rsid w:val="3C085BD9"/>
    <w:rsid w:val="3C124460"/>
    <w:rsid w:val="3C1C6B44"/>
    <w:rsid w:val="3C2152D7"/>
    <w:rsid w:val="3C2910DB"/>
    <w:rsid w:val="3C4F6C2D"/>
    <w:rsid w:val="3C6D3471"/>
    <w:rsid w:val="3C6E702F"/>
    <w:rsid w:val="3C7364F1"/>
    <w:rsid w:val="3C771FCD"/>
    <w:rsid w:val="3C776471"/>
    <w:rsid w:val="3C7E1492"/>
    <w:rsid w:val="3C8064A7"/>
    <w:rsid w:val="3C942B7F"/>
    <w:rsid w:val="3CA95E6C"/>
    <w:rsid w:val="3CAF247C"/>
    <w:rsid w:val="3CBE335C"/>
    <w:rsid w:val="3CC133D5"/>
    <w:rsid w:val="3CD0052D"/>
    <w:rsid w:val="3CE34FE4"/>
    <w:rsid w:val="3D012D61"/>
    <w:rsid w:val="3D0F2205"/>
    <w:rsid w:val="3D103806"/>
    <w:rsid w:val="3D115F7D"/>
    <w:rsid w:val="3D263B7E"/>
    <w:rsid w:val="3D2C1009"/>
    <w:rsid w:val="3D396D53"/>
    <w:rsid w:val="3D421674"/>
    <w:rsid w:val="3D4F4F2A"/>
    <w:rsid w:val="3D537624"/>
    <w:rsid w:val="3D54434D"/>
    <w:rsid w:val="3D7F1701"/>
    <w:rsid w:val="3D8640DB"/>
    <w:rsid w:val="3DA94408"/>
    <w:rsid w:val="3DB66B25"/>
    <w:rsid w:val="3DD239C1"/>
    <w:rsid w:val="3DE62FA1"/>
    <w:rsid w:val="3DEA67CE"/>
    <w:rsid w:val="3DF604B3"/>
    <w:rsid w:val="3E1C592D"/>
    <w:rsid w:val="3E1E2ED9"/>
    <w:rsid w:val="3E2834E8"/>
    <w:rsid w:val="3E34765C"/>
    <w:rsid w:val="3E373443"/>
    <w:rsid w:val="3E5500EC"/>
    <w:rsid w:val="3E602049"/>
    <w:rsid w:val="3E824F32"/>
    <w:rsid w:val="3E84217A"/>
    <w:rsid w:val="3E9661DA"/>
    <w:rsid w:val="3E974BA8"/>
    <w:rsid w:val="3ED543B5"/>
    <w:rsid w:val="3ED93797"/>
    <w:rsid w:val="3EEA2F2A"/>
    <w:rsid w:val="3F317589"/>
    <w:rsid w:val="3F3D5750"/>
    <w:rsid w:val="3F3F6F12"/>
    <w:rsid w:val="3F640AC8"/>
    <w:rsid w:val="3F865F46"/>
    <w:rsid w:val="3F8A0BFB"/>
    <w:rsid w:val="3FAA1884"/>
    <w:rsid w:val="3FAF1A7E"/>
    <w:rsid w:val="3FBC2F4A"/>
    <w:rsid w:val="3FC65F57"/>
    <w:rsid w:val="3FD11A1C"/>
    <w:rsid w:val="3FD25355"/>
    <w:rsid w:val="40073765"/>
    <w:rsid w:val="400A45F9"/>
    <w:rsid w:val="40166D37"/>
    <w:rsid w:val="40407FBD"/>
    <w:rsid w:val="4044666A"/>
    <w:rsid w:val="40556AC9"/>
    <w:rsid w:val="40582115"/>
    <w:rsid w:val="406772EB"/>
    <w:rsid w:val="406D5BC1"/>
    <w:rsid w:val="407204B5"/>
    <w:rsid w:val="407842CC"/>
    <w:rsid w:val="407A208B"/>
    <w:rsid w:val="407D1B7C"/>
    <w:rsid w:val="40805871"/>
    <w:rsid w:val="40B01F51"/>
    <w:rsid w:val="40B54DDD"/>
    <w:rsid w:val="40C361B2"/>
    <w:rsid w:val="40D804AB"/>
    <w:rsid w:val="40FC5196"/>
    <w:rsid w:val="41105B1C"/>
    <w:rsid w:val="41214BFD"/>
    <w:rsid w:val="412520DB"/>
    <w:rsid w:val="41285F8B"/>
    <w:rsid w:val="412C72E6"/>
    <w:rsid w:val="4151103E"/>
    <w:rsid w:val="415555D6"/>
    <w:rsid w:val="417567E6"/>
    <w:rsid w:val="4182744A"/>
    <w:rsid w:val="4197175C"/>
    <w:rsid w:val="41AA69A0"/>
    <w:rsid w:val="41AB1B3A"/>
    <w:rsid w:val="41CA7369"/>
    <w:rsid w:val="41CD20F1"/>
    <w:rsid w:val="41EA1493"/>
    <w:rsid w:val="42110E8D"/>
    <w:rsid w:val="4219700D"/>
    <w:rsid w:val="422E2842"/>
    <w:rsid w:val="424566C9"/>
    <w:rsid w:val="427F1BDB"/>
    <w:rsid w:val="428C60A6"/>
    <w:rsid w:val="429107E7"/>
    <w:rsid w:val="42984A4B"/>
    <w:rsid w:val="429A07C3"/>
    <w:rsid w:val="42C10446"/>
    <w:rsid w:val="42D13E5C"/>
    <w:rsid w:val="42D15C6C"/>
    <w:rsid w:val="42D4087E"/>
    <w:rsid w:val="42DA5063"/>
    <w:rsid w:val="42EE53E5"/>
    <w:rsid w:val="42F025B9"/>
    <w:rsid w:val="42F31C20"/>
    <w:rsid w:val="42F810EF"/>
    <w:rsid w:val="42FF4ACA"/>
    <w:rsid w:val="430B16C1"/>
    <w:rsid w:val="43183BF0"/>
    <w:rsid w:val="431C529C"/>
    <w:rsid w:val="431F5C7E"/>
    <w:rsid w:val="432602A9"/>
    <w:rsid w:val="433A4ADA"/>
    <w:rsid w:val="43434FB3"/>
    <w:rsid w:val="43456981"/>
    <w:rsid w:val="43465F6F"/>
    <w:rsid w:val="43532807"/>
    <w:rsid w:val="4361277A"/>
    <w:rsid w:val="436F39FE"/>
    <w:rsid w:val="438374A9"/>
    <w:rsid w:val="43A66D93"/>
    <w:rsid w:val="43C45BD5"/>
    <w:rsid w:val="43D76704"/>
    <w:rsid w:val="43D804C6"/>
    <w:rsid w:val="43FD54AD"/>
    <w:rsid w:val="440525B4"/>
    <w:rsid w:val="440C56F0"/>
    <w:rsid w:val="44195099"/>
    <w:rsid w:val="44230431"/>
    <w:rsid w:val="442411F9"/>
    <w:rsid w:val="44465C74"/>
    <w:rsid w:val="4455528C"/>
    <w:rsid w:val="446B0738"/>
    <w:rsid w:val="446C50C4"/>
    <w:rsid w:val="449E078A"/>
    <w:rsid w:val="44A26055"/>
    <w:rsid w:val="44A36D46"/>
    <w:rsid w:val="44B412EF"/>
    <w:rsid w:val="44B733F9"/>
    <w:rsid w:val="44C14945"/>
    <w:rsid w:val="44C33761"/>
    <w:rsid w:val="44C361AF"/>
    <w:rsid w:val="44E875C0"/>
    <w:rsid w:val="451C1A80"/>
    <w:rsid w:val="452369CF"/>
    <w:rsid w:val="454B2248"/>
    <w:rsid w:val="454D2098"/>
    <w:rsid w:val="45511862"/>
    <w:rsid w:val="4554086A"/>
    <w:rsid w:val="455F55F9"/>
    <w:rsid w:val="45940083"/>
    <w:rsid w:val="45993114"/>
    <w:rsid w:val="45B46264"/>
    <w:rsid w:val="45BB6ABA"/>
    <w:rsid w:val="45BB74C9"/>
    <w:rsid w:val="45D264C6"/>
    <w:rsid w:val="45D43FEC"/>
    <w:rsid w:val="45E01AC8"/>
    <w:rsid w:val="45EF1BC9"/>
    <w:rsid w:val="45F07D1A"/>
    <w:rsid w:val="46107AB9"/>
    <w:rsid w:val="463D5618"/>
    <w:rsid w:val="46530893"/>
    <w:rsid w:val="465B64BB"/>
    <w:rsid w:val="46657E59"/>
    <w:rsid w:val="46715CDF"/>
    <w:rsid w:val="467733DB"/>
    <w:rsid w:val="46780A66"/>
    <w:rsid w:val="46784151"/>
    <w:rsid w:val="468123C6"/>
    <w:rsid w:val="468F6509"/>
    <w:rsid w:val="46907D76"/>
    <w:rsid w:val="46A20B9C"/>
    <w:rsid w:val="46A2306B"/>
    <w:rsid w:val="46AF1292"/>
    <w:rsid w:val="46BC68EE"/>
    <w:rsid w:val="46C91101"/>
    <w:rsid w:val="46F0558D"/>
    <w:rsid w:val="46F51A66"/>
    <w:rsid w:val="473F1D46"/>
    <w:rsid w:val="47415600"/>
    <w:rsid w:val="474F331A"/>
    <w:rsid w:val="47605A92"/>
    <w:rsid w:val="47612B67"/>
    <w:rsid w:val="47650D17"/>
    <w:rsid w:val="47721D0E"/>
    <w:rsid w:val="478557D4"/>
    <w:rsid w:val="479223B1"/>
    <w:rsid w:val="47946129"/>
    <w:rsid w:val="47980482"/>
    <w:rsid w:val="47B17BC9"/>
    <w:rsid w:val="47CB4975"/>
    <w:rsid w:val="47D429C9"/>
    <w:rsid w:val="47E80223"/>
    <w:rsid w:val="47EF384E"/>
    <w:rsid w:val="482E3EC8"/>
    <w:rsid w:val="48345216"/>
    <w:rsid w:val="484021AF"/>
    <w:rsid w:val="484371FE"/>
    <w:rsid w:val="485B6C46"/>
    <w:rsid w:val="48830B4B"/>
    <w:rsid w:val="48936A56"/>
    <w:rsid w:val="48A577C5"/>
    <w:rsid w:val="48BC7A42"/>
    <w:rsid w:val="48C45E34"/>
    <w:rsid w:val="48C93BB0"/>
    <w:rsid w:val="48D84007"/>
    <w:rsid w:val="490017A8"/>
    <w:rsid w:val="49246A8D"/>
    <w:rsid w:val="49270FCB"/>
    <w:rsid w:val="492729E6"/>
    <w:rsid w:val="49307BBF"/>
    <w:rsid w:val="493605A8"/>
    <w:rsid w:val="494F7839"/>
    <w:rsid w:val="49595077"/>
    <w:rsid w:val="497E50E4"/>
    <w:rsid w:val="4988538C"/>
    <w:rsid w:val="49AB577E"/>
    <w:rsid w:val="49E80674"/>
    <w:rsid w:val="49E915C0"/>
    <w:rsid w:val="49F70124"/>
    <w:rsid w:val="4A0A4480"/>
    <w:rsid w:val="4A230BEB"/>
    <w:rsid w:val="4A4A5E2A"/>
    <w:rsid w:val="4A54507D"/>
    <w:rsid w:val="4A7C32A3"/>
    <w:rsid w:val="4A7E27C2"/>
    <w:rsid w:val="4A884059"/>
    <w:rsid w:val="4A9A1C7D"/>
    <w:rsid w:val="4AB13928"/>
    <w:rsid w:val="4AC705F5"/>
    <w:rsid w:val="4AD625B4"/>
    <w:rsid w:val="4ADA20A4"/>
    <w:rsid w:val="4AEF7F29"/>
    <w:rsid w:val="4AFB026D"/>
    <w:rsid w:val="4B052E99"/>
    <w:rsid w:val="4B0969D0"/>
    <w:rsid w:val="4B2B2900"/>
    <w:rsid w:val="4B355944"/>
    <w:rsid w:val="4B50715D"/>
    <w:rsid w:val="4B54781A"/>
    <w:rsid w:val="4B5F0E56"/>
    <w:rsid w:val="4B66001B"/>
    <w:rsid w:val="4B670CE8"/>
    <w:rsid w:val="4B683299"/>
    <w:rsid w:val="4B6D1CA8"/>
    <w:rsid w:val="4B767C5F"/>
    <w:rsid w:val="4B8F7333"/>
    <w:rsid w:val="4BA8665D"/>
    <w:rsid w:val="4BC114B6"/>
    <w:rsid w:val="4BDB118D"/>
    <w:rsid w:val="4C0238AE"/>
    <w:rsid w:val="4C06511B"/>
    <w:rsid w:val="4C3103EA"/>
    <w:rsid w:val="4C400E25"/>
    <w:rsid w:val="4C5264DA"/>
    <w:rsid w:val="4C6E2593"/>
    <w:rsid w:val="4C77007F"/>
    <w:rsid w:val="4C9E71AE"/>
    <w:rsid w:val="4CCF3B2C"/>
    <w:rsid w:val="4CDD40CE"/>
    <w:rsid w:val="4CEC7770"/>
    <w:rsid w:val="4CED34CC"/>
    <w:rsid w:val="4CF66F3E"/>
    <w:rsid w:val="4D1A6C2E"/>
    <w:rsid w:val="4D5A74CD"/>
    <w:rsid w:val="4D695962"/>
    <w:rsid w:val="4D9F4455"/>
    <w:rsid w:val="4DAC0534"/>
    <w:rsid w:val="4DBE1E4C"/>
    <w:rsid w:val="4DC1754C"/>
    <w:rsid w:val="4DD27935"/>
    <w:rsid w:val="4DDA6DAB"/>
    <w:rsid w:val="4DED3482"/>
    <w:rsid w:val="4DF7360B"/>
    <w:rsid w:val="4DF84764"/>
    <w:rsid w:val="4E0F475B"/>
    <w:rsid w:val="4E286A67"/>
    <w:rsid w:val="4E3F4E27"/>
    <w:rsid w:val="4E4A477C"/>
    <w:rsid w:val="4E4B1BD6"/>
    <w:rsid w:val="4E5A04FF"/>
    <w:rsid w:val="4E7D549E"/>
    <w:rsid w:val="4E9F7F47"/>
    <w:rsid w:val="4EB1136E"/>
    <w:rsid w:val="4EFA1258"/>
    <w:rsid w:val="4F61528F"/>
    <w:rsid w:val="4F617740"/>
    <w:rsid w:val="4F635677"/>
    <w:rsid w:val="4F756840"/>
    <w:rsid w:val="4F820F5D"/>
    <w:rsid w:val="4FA1698D"/>
    <w:rsid w:val="4FBE72A2"/>
    <w:rsid w:val="4FC96B8B"/>
    <w:rsid w:val="4FD86DCF"/>
    <w:rsid w:val="4FDE2651"/>
    <w:rsid w:val="50024FBE"/>
    <w:rsid w:val="50027A78"/>
    <w:rsid w:val="500714CE"/>
    <w:rsid w:val="501116FB"/>
    <w:rsid w:val="502320A0"/>
    <w:rsid w:val="502B33A2"/>
    <w:rsid w:val="502B6EFE"/>
    <w:rsid w:val="50377270"/>
    <w:rsid w:val="5041313C"/>
    <w:rsid w:val="504922A7"/>
    <w:rsid w:val="5049569F"/>
    <w:rsid w:val="50751A56"/>
    <w:rsid w:val="507B5903"/>
    <w:rsid w:val="509D011B"/>
    <w:rsid w:val="50A43A3C"/>
    <w:rsid w:val="50A56B51"/>
    <w:rsid w:val="50A867A1"/>
    <w:rsid w:val="50AA076B"/>
    <w:rsid w:val="50AF48DC"/>
    <w:rsid w:val="50B82E88"/>
    <w:rsid w:val="50B923B2"/>
    <w:rsid w:val="50C41AA1"/>
    <w:rsid w:val="50CA22E2"/>
    <w:rsid w:val="50E61077"/>
    <w:rsid w:val="50F73284"/>
    <w:rsid w:val="50FD7438"/>
    <w:rsid w:val="51291C96"/>
    <w:rsid w:val="512E1286"/>
    <w:rsid w:val="5133541F"/>
    <w:rsid w:val="51366528"/>
    <w:rsid w:val="513D77C6"/>
    <w:rsid w:val="514944CD"/>
    <w:rsid w:val="51722A27"/>
    <w:rsid w:val="51776D26"/>
    <w:rsid w:val="517B555A"/>
    <w:rsid w:val="517D19DC"/>
    <w:rsid w:val="518014CC"/>
    <w:rsid w:val="5189040D"/>
    <w:rsid w:val="51915487"/>
    <w:rsid w:val="51967C15"/>
    <w:rsid w:val="51A810C1"/>
    <w:rsid w:val="51C050A0"/>
    <w:rsid w:val="51CC03C9"/>
    <w:rsid w:val="51E26844"/>
    <w:rsid w:val="51F8092B"/>
    <w:rsid w:val="5201085F"/>
    <w:rsid w:val="52067C23"/>
    <w:rsid w:val="520C1188"/>
    <w:rsid w:val="521B6F25"/>
    <w:rsid w:val="5231416E"/>
    <w:rsid w:val="525D6B87"/>
    <w:rsid w:val="5262294A"/>
    <w:rsid w:val="526D37FE"/>
    <w:rsid w:val="52A86F2C"/>
    <w:rsid w:val="52F442A3"/>
    <w:rsid w:val="530F1790"/>
    <w:rsid w:val="532540D9"/>
    <w:rsid w:val="532903CE"/>
    <w:rsid w:val="532A4AD6"/>
    <w:rsid w:val="533B37EB"/>
    <w:rsid w:val="534327B1"/>
    <w:rsid w:val="535D4D9D"/>
    <w:rsid w:val="53670B95"/>
    <w:rsid w:val="536A21C9"/>
    <w:rsid w:val="53874033"/>
    <w:rsid w:val="539B1A34"/>
    <w:rsid w:val="539F6379"/>
    <w:rsid w:val="539F7D8E"/>
    <w:rsid w:val="53B65679"/>
    <w:rsid w:val="53BD7CA9"/>
    <w:rsid w:val="53D3426E"/>
    <w:rsid w:val="53E051BF"/>
    <w:rsid w:val="53E8677E"/>
    <w:rsid w:val="53E933E5"/>
    <w:rsid w:val="53F87A3F"/>
    <w:rsid w:val="541356DB"/>
    <w:rsid w:val="541C54DC"/>
    <w:rsid w:val="54337F0A"/>
    <w:rsid w:val="54362112"/>
    <w:rsid w:val="543E1419"/>
    <w:rsid w:val="54477637"/>
    <w:rsid w:val="544D7D8B"/>
    <w:rsid w:val="548203AA"/>
    <w:rsid w:val="548A5438"/>
    <w:rsid w:val="548F7ABE"/>
    <w:rsid w:val="54A45107"/>
    <w:rsid w:val="54D538DD"/>
    <w:rsid w:val="54FC78AE"/>
    <w:rsid w:val="55143267"/>
    <w:rsid w:val="551C12D3"/>
    <w:rsid w:val="55257D91"/>
    <w:rsid w:val="552F0679"/>
    <w:rsid w:val="554A79C4"/>
    <w:rsid w:val="55520686"/>
    <w:rsid w:val="555D2DAD"/>
    <w:rsid w:val="556346A0"/>
    <w:rsid w:val="55690EEB"/>
    <w:rsid w:val="55717659"/>
    <w:rsid w:val="557430F6"/>
    <w:rsid w:val="557E0DDE"/>
    <w:rsid w:val="55C02AB0"/>
    <w:rsid w:val="55C260DB"/>
    <w:rsid w:val="55C3059D"/>
    <w:rsid w:val="55C65572"/>
    <w:rsid w:val="55DD513F"/>
    <w:rsid w:val="55E77D6B"/>
    <w:rsid w:val="55EE6D06"/>
    <w:rsid w:val="56064E33"/>
    <w:rsid w:val="56130B60"/>
    <w:rsid w:val="56355AFC"/>
    <w:rsid w:val="56370A97"/>
    <w:rsid w:val="565076BF"/>
    <w:rsid w:val="5697353F"/>
    <w:rsid w:val="56A87D9B"/>
    <w:rsid w:val="56BE6D1E"/>
    <w:rsid w:val="56C444F4"/>
    <w:rsid w:val="56CC2928"/>
    <w:rsid w:val="56D638FA"/>
    <w:rsid w:val="56ED3A4D"/>
    <w:rsid w:val="56F307E2"/>
    <w:rsid w:val="57025CBF"/>
    <w:rsid w:val="57190A91"/>
    <w:rsid w:val="57194346"/>
    <w:rsid w:val="572174A8"/>
    <w:rsid w:val="572E516A"/>
    <w:rsid w:val="576B4A3A"/>
    <w:rsid w:val="576B4A6E"/>
    <w:rsid w:val="57825F9E"/>
    <w:rsid w:val="57870D2A"/>
    <w:rsid w:val="57A40912"/>
    <w:rsid w:val="57AA2DFF"/>
    <w:rsid w:val="57F30C49"/>
    <w:rsid w:val="580A0684"/>
    <w:rsid w:val="5816406A"/>
    <w:rsid w:val="581A0722"/>
    <w:rsid w:val="581C77DB"/>
    <w:rsid w:val="58250621"/>
    <w:rsid w:val="583628E4"/>
    <w:rsid w:val="5842451C"/>
    <w:rsid w:val="584465B3"/>
    <w:rsid w:val="584C5771"/>
    <w:rsid w:val="585329D2"/>
    <w:rsid w:val="58630783"/>
    <w:rsid w:val="58A81497"/>
    <w:rsid w:val="58AD5A20"/>
    <w:rsid w:val="58C07068"/>
    <w:rsid w:val="58CF5A85"/>
    <w:rsid w:val="58D639F1"/>
    <w:rsid w:val="58DA28C8"/>
    <w:rsid w:val="58DB0EA6"/>
    <w:rsid w:val="58E41264"/>
    <w:rsid w:val="58ED4416"/>
    <w:rsid w:val="58F015D0"/>
    <w:rsid w:val="59036C6A"/>
    <w:rsid w:val="592752A3"/>
    <w:rsid w:val="592F7A5F"/>
    <w:rsid w:val="59513E7A"/>
    <w:rsid w:val="596A7DE9"/>
    <w:rsid w:val="599572A3"/>
    <w:rsid w:val="59A825B9"/>
    <w:rsid w:val="59BA3D83"/>
    <w:rsid w:val="59F16F49"/>
    <w:rsid w:val="5A1D1FAE"/>
    <w:rsid w:val="5A3B264B"/>
    <w:rsid w:val="5A4043AA"/>
    <w:rsid w:val="5A5A4FB0"/>
    <w:rsid w:val="5A733664"/>
    <w:rsid w:val="5A78088C"/>
    <w:rsid w:val="5A8D7133"/>
    <w:rsid w:val="5A9E6D7E"/>
    <w:rsid w:val="5AA4447D"/>
    <w:rsid w:val="5AC40445"/>
    <w:rsid w:val="5ADC3C17"/>
    <w:rsid w:val="5AE05049"/>
    <w:rsid w:val="5AED7F90"/>
    <w:rsid w:val="5AEE56F8"/>
    <w:rsid w:val="5AFA7F12"/>
    <w:rsid w:val="5B0F0CAD"/>
    <w:rsid w:val="5B296A0B"/>
    <w:rsid w:val="5B353122"/>
    <w:rsid w:val="5B362ED0"/>
    <w:rsid w:val="5B6078C7"/>
    <w:rsid w:val="5B9067AF"/>
    <w:rsid w:val="5BA05391"/>
    <w:rsid w:val="5BB662D5"/>
    <w:rsid w:val="5BBB382C"/>
    <w:rsid w:val="5BC23980"/>
    <w:rsid w:val="5BC91F35"/>
    <w:rsid w:val="5BF412EC"/>
    <w:rsid w:val="5C053504"/>
    <w:rsid w:val="5C17238E"/>
    <w:rsid w:val="5C1D533D"/>
    <w:rsid w:val="5C2A2760"/>
    <w:rsid w:val="5C2D20FE"/>
    <w:rsid w:val="5C381321"/>
    <w:rsid w:val="5C4942E0"/>
    <w:rsid w:val="5C5F1CD1"/>
    <w:rsid w:val="5C652051"/>
    <w:rsid w:val="5C685D35"/>
    <w:rsid w:val="5C6E089F"/>
    <w:rsid w:val="5C74325C"/>
    <w:rsid w:val="5C8E0F41"/>
    <w:rsid w:val="5C9F314E"/>
    <w:rsid w:val="5CB925A2"/>
    <w:rsid w:val="5CC735C0"/>
    <w:rsid w:val="5CD01559"/>
    <w:rsid w:val="5CE424FC"/>
    <w:rsid w:val="5CE70651"/>
    <w:rsid w:val="5CF66F38"/>
    <w:rsid w:val="5D064F7B"/>
    <w:rsid w:val="5D373386"/>
    <w:rsid w:val="5D3D3082"/>
    <w:rsid w:val="5D3F4F5B"/>
    <w:rsid w:val="5D432468"/>
    <w:rsid w:val="5D580F91"/>
    <w:rsid w:val="5D656225"/>
    <w:rsid w:val="5D8626DD"/>
    <w:rsid w:val="5DA804FA"/>
    <w:rsid w:val="5DDB1F64"/>
    <w:rsid w:val="5DED613B"/>
    <w:rsid w:val="5DEF3C61"/>
    <w:rsid w:val="5E0D69B6"/>
    <w:rsid w:val="5E135BA1"/>
    <w:rsid w:val="5E1619BF"/>
    <w:rsid w:val="5E20206C"/>
    <w:rsid w:val="5E381A8A"/>
    <w:rsid w:val="5E543712"/>
    <w:rsid w:val="5E703E05"/>
    <w:rsid w:val="5EA66A16"/>
    <w:rsid w:val="5EAA515C"/>
    <w:rsid w:val="5EBB3B43"/>
    <w:rsid w:val="5EE404C5"/>
    <w:rsid w:val="5F00071B"/>
    <w:rsid w:val="5F004668"/>
    <w:rsid w:val="5F0B4293"/>
    <w:rsid w:val="5F1A2F60"/>
    <w:rsid w:val="5F3319AD"/>
    <w:rsid w:val="5F381638"/>
    <w:rsid w:val="5F3E23E4"/>
    <w:rsid w:val="5F3E6C4E"/>
    <w:rsid w:val="5F4A45AC"/>
    <w:rsid w:val="5F4E2C09"/>
    <w:rsid w:val="5F506981"/>
    <w:rsid w:val="5F526256"/>
    <w:rsid w:val="5F682C8B"/>
    <w:rsid w:val="5F7766F6"/>
    <w:rsid w:val="5F7F3BDC"/>
    <w:rsid w:val="5F847AA6"/>
    <w:rsid w:val="5F9D2097"/>
    <w:rsid w:val="5FA7766B"/>
    <w:rsid w:val="5FD749AD"/>
    <w:rsid w:val="5FD90725"/>
    <w:rsid w:val="5FEC0A1E"/>
    <w:rsid w:val="6021123C"/>
    <w:rsid w:val="604069F6"/>
    <w:rsid w:val="60522285"/>
    <w:rsid w:val="605A4C81"/>
    <w:rsid w:val="60643359"/>
    <w:rsid w:val="60894EB2"/>
    <w:rsid w:val="609C4B83"/>
    <w:rsid w:val="60B304B5"/>
    <w:rsid w:val="60B7783F"/>
    <w:rsid w:val="60C86B28"/>
    <w:rsid w:val="6105039F"/>
    <w:rsid w:val="61306863"/>
    <w:rsid w:val="61555579"/>
    <w:rsid w:val="617F354E"/>
    <w:rsid w:val="61CE51D6"/>
    <w:rsid w:val="61D373F6"/>
    <w:rsid w:val="61D912D4"/>
    <w:rsid w:val="61EF1C19"/>
    <w:rsid w:val="62011C4B"/>
    <w:rsid w:val="620A2FDC"/>
    <w:rsid w:val="62127CE5"/>
    <w:rsid w:val="621E0509"/>
    <w:rsid w:val="623936FD"/>
    <w:rsid w:val="624011C1"/>
    <w:rsid w:val="6240728B"/>
    <w:rsid w:val="62426A55"/>
    <w:rsid w:val="624D387D"/>
    <w:rsid w:val="62546DB1"/>
    <w:rsid w:val="62572F8B"/>
    <w:rsid w:val="627C183B"/>
    <w:rsid w:val="627F0B01"/>
    <w:rsid w:val="62864468"/>
    <w:rsid w:val="62917F24"/>
    <w:rsid w:val="62B81178"/>
    <w:rsid w:val="62BD2580"/>
    <w:rsid w:val="62CD4ACB"/>
    <w:rsid w:val="62D11B87"/>
    <w:rsid w:val="632B4CDA"/>
    <w:rsid w:val="634E6A20"/>
    <w:rsid w:val="6361485E"/>
    <w:rsid w:val="6362133B"/>
    <w:rsid w:val="63747C42"/>
    <w:rsid w:val="63864876"/>
    <w:rsid w:val="63AB2BB6"/>
    <w:rsid w:val="63AC5238"/>
    <w:rsid w:val="63B13EAC"/>
    <w:rsid w:val="63B73974"/>
    <w:rsid w:val="63C17E4E"/>
    <w:rsid w:val="63DD0B1A"/>
    <w:rsid w:val="63EA3782"/>
    <w:rsid w:val="63ED1FB3"/>
    <w:rsid w:val="63FB0FFF"/>
    <w:rsid w:val="64065861"/>
    <w:rsid w:val="64273DC1"/>
    <w:rsid w:val="642D103F"/>
    <w:rsid w:val="644D5668"/>
    <w:rsid w:val="64740889"/>
    <w:rsid w:val="647516C1"/>
    <w:rsid w:val="648A4343"/>
    <w:rsid w:val="64A14850"/>
    <w:rsid w:val="64C01C32"/>
    <w:rsid w:val="64D43A77"/>
    <w:rsid w:val="650334C8"/>
    <w:rsid w:val="65255CC5"/>
    <w:rsid w:val="65387C8E"/>
    <w:rsid w:val="654A5C21"/>
    <w:rsid w:val="65655E46"/>
    <w:rsid w:val="656D3966"/>
    <w:rsid w:val="65715970"/>
    <w:rsid w:val="657B64AF"/>
    <w:rsid w:val="65842EE1"/>
    <w:rsid w:val="65B05B6D"/>
    <w:rsid w:val="65B5145E"/>
    <w:rsid w:val="65BD2897"/>
    <w:rsid w:val="65CE6593"/>
    <w:rsid w:val="65D831E3"/>
    <w:rsid w:val="65F22BB6"/>
    <w:rsid w:val="66403ED9"/>
    <w:rsid w:val="66430FEE"/>
    <w:rsid w:val="664317EA"/>
    <w:rsid w:val="664531F7"/>
    <w:rsid w:val="664D0DC3"/>
    <w:rsid w:val="665A551B"/>
    <w:rsid w:val="6684160D"/>
    <w:rsid w:val="668A4328"/>
    <w:rsid w:val="66B33366"/>
    <w:rsid w:val="66B86E31"/>
    <w:rsid w:val="66C762DA"/>
    <w:rsid w:val="66E80594"/>
    <w:rsid w:val="6712481A"/>
    <w:rsid w:val="67197848"/>
    <w:rsid w:val="671E3EC4"/>
    <w:rsid w:val="67220C03"/>
    <w:rsid w:val="67390E0D"/>
    <w:rsid w:val="67702C82"/>
    <w:rsid w:val="67711CB0"/>
    <w:rsid w:val="67782388"/>
    <w:rsid w:val="6794067F"/>
    <w:rsid w:val="67953B12"/>
    <w:rsid w:val="67AD55C1"/>
    <w:rsid w:val="67C95523"/>
    <w:rsid w:val="67D16707"/>
    <w:rsid w:val="67DF43E3"/>
    <w:rsid w:val="67E61F26"/>
    <w:rsid w:val="67F72E6D"/>
    <w:rsid w:val="680A2754"/>
    <w:rsid w:val="680B5B3B"/>
    <w:rsid w:val="681966AF"/>
    <w:rsid w:val="683F2B36"/>
    <w:rsid w:val="685E115E"/>
    <w:rsid w:val="685F43C3"/>
    <w:rsid w:val="686603F7"/>
    <w:rsid w:val="687B6378"/>
    <w:rsid w:val="68894961"/>
    <w:rsid w:val="68991280"/>
    <w:rsid w:val="68A94856"/>
    <w:rsid w:val="68AF69CB"/>
    <w:rsid w:val="68B57855"/>
    <w:rsid w:val="68B93A77"/>
    <w:rsid w:val="68BA4E6C"/>
    <w:rsid w:val="68C61A62"/>
    <w:rsid w:val="68EF2D67"/>
    <w:rsid w:val="69117181"/>
    <w:rsid w:val="69164798"/>
    <w:rsid w:val="6922138F"/>
    <w:rsid w:val="6924075C"/>
    <w:rsid w:val="692A39CA"/>
    <w:rsid w:val="692D1EC0"/>
    <w:rsid w:val="69372589"/>
    <w:rsid w:val="6940593B"/>
    <w:rsid w:val="69431C9C"/>
    <w:rsid w:val="695A133B"/>
    <w:rsid w:val="69824E0C"/>
    <w:rsid w:val="69A02131"/>
    <w:rsid w:val="69A27DFC"/>
    <w:rsid w:val="69A7598B"/>
    <w:rsid w:val="69CF4947"/>
    <w:rsid w:val="69D76C63"/>
    <w:rsid w:val="69E94846"/>
    <w:rsid w:val="6A024DEB"/>
    <w:rsid w:val="6A063194"/>
    <w:rsid w:val="6A220F1A"/>
    <w:rsid w:val="6A2922A9"/>
    <w:rsid w:val="6A484E25"/>
    <w:rsid w:val="6A4F51A1"/>
    <w:rsid w:val="6A563319"/>
    <w:rsid w:val="6A6B7061"/>
    <w:rsid w:val="6A7B295E"/>
    <w:rsid w:val="6A7C4ACE"/>
    <w:rsid w:val="6A912164"/>
    <w:rsid w:val="6AA55E4B"/>
    <w:rsid w:val="6AAF3B23"/>
    <w:rsid w:val="6AB846BB"/>
    <w:rsid w:val="6ACB15B2"/>
    <w:rsid w:val="6AD10DF9"/>
    <w:rsid w:val="6AD46A66"/>
    <w:rsid w:val="6AF13509"/>
    <w:rsid w:val="6AFB694D"/>
    <w:rsid w:val="6B0A0260"/>
    <w:rsid w:val="6B0C5E52"/>
    <w:rsid w:val="6B182A49"/>
    <w:rsid w:val="6B1E7934"/>
    <w:rsid w:val="6B21251B"/>
    <w:rsid w:val="6B282560"/>
    <w:rsid w:val="6B2D7B77"/>
    <w:rsid w:val="6B2E6569"/>
    <w:rsid w:val="6B31798A"/>
    <w:rsid w:val="6B32518D"/>
    <w:rsid w:val="6B3715F5"/>
    <w:rsid w:val="6B540DDC"/>
    <w:rsid w:val="6B79702B"/>
    <w:rsid w:val="6B7F4BB3"/>
    <w:rsid w:val="6B857ABC"/>
    <w:rsid w:val="6B8D71B2"/>
    <w:rsid w:val="6B910FA4"/>
    <w:rsid w:val="6B951706"/>
    <w:rsid w:val="6BA442DD"/>
    <w:rsid w:val="6BAC13E3"/>
    <w:rsid w:val="6BB107A8"/>
    <w:rsid w:val="6BB36700"/>
    <w:rsid w:val="6BC563AA"/>
    <w:rsid w:val="6BCB7ABB"/>
    <w:rsid w:val="6BD065C9"/>
    <w:rsid w:val="6BD21626"/>
    <w:rsid w:val="6BD92BDB"/>
    <w:rsid w:val="6BE807D8"/>
    <w:rsid w:val="6C123536"/>
    <w:rsid w:val="6C286D21"/>
    <w:rsid w:val="6C315445"/>
    <w:rsid w:val="6C376EFF"/>
    <w:rsid w:val="6C4622BF"/>
    <w:rsid w:val="6C4863AF"/>
    <w:rsid w:val="6C4909E0"/>
    <w:rsid w:val="6C523D39"/>
    <w:rsid w:val="6C547AC2"/>
    <w:rsid w:val="6C5937EA"/>
    <w:rsid w:val="6C6E4693"/>
    <w:rsid w:val="6C792BC7"/>
    <w:rsid w:val="6CA6304E"/>
    <w:rsid w:val="6CD26C28"/>
    <w:rsid w:val="6CEA1EDF"/>
    <w:rsid w:val="6CF24E37"/>
    <w:rsid w:val="6D0A4613"/>
    <w:rsid w:val="6D1520A3"/>
    <w:rsid w:val="6D2D20B0"/>
    <w:rsid w:val="6D2F5E28"/>
    <w:rsid w:val="6D371915"/>
    <w:rsid w:val="6D416038"/>
    <w:rsid w:val="6D571F35"/>
    <w:rsid w:val="6D6E6390"/>
    <w:rsid w:val="6D8D020D"/>
    <w:rsid w:val="6D9070AD"/>
    <w:rsid w:val="6D9263B7"/>
    <w:rsid w:val="6DA71E62"/>
    <w:rsid w:val="6DCA1D25"/>
    <w:rsid w:val="6DD360B9"/>
    <w:rsid w:val="6E062AF0"/>
    <w:rsid w:val="6E0E3953"/>
    <w:rsid w:val="6E115F76"/>
    <w:rsid w:val="6E2A3AB2"/>
    <w:rsid w:val="6E2B2A93"/>
    <w:rsid w:val="6E2E27A1"/>
    <w:rsid w:val="6E51210E"/>
    <w:rsid w:val="6E592CBF"/>
    <w:rsid w:val="6E5E6B13"/>
    <w:rsid w:val="6E621798"/>
    <w:rsid w:val="6E6A0208"/>
    <w:rsid w:val="6E7D0905"/>
    <w:rsid w:val="6EC72E2A"/>
    <w:rsid w:val="6ED84DEE"/>
    <w:rsid w:val="6EFE1F56"/>
    <w:rsid w:val="6F09008D"/>
    <w:rsid w:val="6F1E5F26"/>
    <w:rsid w:val="6F447B1B"/>
    <w:rsid w:val="6F5D13F5"/>
    <w:rsid w:val="6F704ABE"/>
    <w:rsid w:val="6F814935"/>
    <w:rsid w:val="6F8614A2"/>
    <w:rsid w:val="6F873796"/>
    <w:rsid w:val="6F913D15"/>
    <w:rsid w:val="6F9A0192"/>
    <w:rsid w:val="6FEB07BE"/>
    <w:rsid w:val="700C27C9"/>
    <w:rsid w:val="7016507D"/>
    <w:rsid w:val="702C635D"/>
    <w:rsid w:val="7045287B"/>
    <w:rsid w:val="706D73FE"/>
    <w:rsid w:val="708B7819"/>
    <w:rsid w:val="709541D9"/>
    <w:rsid w:val="70A95EF1"/>
    <w:rsid w:val="70AB5A4E"/>
    <w:rsid w:val="70B054D2"/>
    <w:rsid w:val="70BD729D"/>
    <w:rsid w:val="70C66AA3"/>
    <w:rsid w:val="70C90342"/>
    <w:rsid w:val="70EC07D0"/>
    <w:rsid w:val="70F353BF"/>
    <w:rsid w:val="70F65EBA"/>
    <w:rsid w:val="71094F57"/>
    <w:rsid w:val="7110674E"/>
    <w:rsid w:val="71121CE9"/>
    <w:rsid w:val="71220B8A"/>
    <w:rsid w:val="713620B7"/>
    <w:rsid w:val="716C1184"/>
    <w:rsid w:val="71AF22FB"/>
    <w:rsid w:val="71C805F9"/>
    <w:rsid w:val="71F15DA2"/>
    <w:rsid w:val="71F25676"/>
    <w:rsid w:val="720471B7"/>
    <w:rsid w:val="720979F9"/>
    <w:rsid w:val="720D425E"/>
    <w:rsid w:val="722A7035"/>
    <w:rsid w:val="724E4FA2"/>
    <w:rsid w:val="725162FB"/>
    <w:rsid w:val="727A3F67"/>
    <w:rsid w:val="7288543C"/>
    <w:rsid w:val="729B614B"/>
    <w:rsid w:val="72C963D7"/>
    <w:rsid w:val="72E461C5"/>
    <w:rsid w:val="73050BCD"/>
    <w:rsid w:val="73063BC5"/>
    <w:rsid w:val="731955B0"/>
    <w:rsid w:val="733028FA"/>
    <w:rsid w:val="733A72D5"/>
    <w:rsid w:val="7349514A"/>
    <w:rsid w:val="73540DBE"/>
    <w:rsid w:val="73590397"/>
    <w:rsid w:val="73597A55"/>
    <w:rsid w:val="735A34D3"/>
    <w:rsid w:val="736E4143"/>
    <w:rsid w:val="73737922"/>
    <w:rsid w:val="7399049F"/>
    <w:rsid w:val="73AB62E9"/>
    <w:rsid w:val="73B8520A"/>
    <w:rsid w:val="73B928EF"/>
    <w:rsid w:val="73CA5C07"/>
    <w:rsid w:val="73D86B81"/>
    <w:rsid w:val="73E444BF"/>
    <w:rsid w:val="73F11E04"/>
    <w:rsid w:val="73FA4017"/>
    <w:rsid w:val="74151E00"/>
    <w:rsid w:val="7420296E"/>
    <w:rsid w:val="74257F85"/>
    <w:rsid w:val="743B3F87"/>
    <w:rsid w:val="743E6F23"/>
    <w:rsid w:val="744101B6"/>
    <w:rsid w:val="7447096F"/>
    <w:rsid w:val="74545720"/>
    <w:rsid w:val="745E5245"/>
    <w:rsid w:val="746D3AE4"/>
    <w:rsid w:val="74896327"/>
    <w:rsid w:val="748A603A"/>
    <w:rsid w:val="748C3B60"/>
    <w:rsid w:val="74962C31"/>
    <w:rsid w:val="7497603E"/>
    <w:rsid w:val="74AC79BB"/>
    <w:rsid w:val="74AC7D5E"/>
    <w:rsid w:val="74C337C7"/>
    <w:rsid w:val="75173E81"/>
    <w:rsid w:val="752972CF"/>
    <w:rsid w:val="75322959"/>
    <w:rsid w:val="753C190E"/>
    <w:rsid w:val="7541202D"/>
    <w:rsid w:val="75434EDD"/>
    <w:rsid w:val="754624C9"/>
    <w:rsid w:val="75614F77"/>
    <w:rsid w:val="75771591"/>
    <w:rsid w:val="75797145"/>
    <w:rsid w:val="757F5AE7"/>
    <w:rsid w:val="758A7568"/>
    <w:rsid w:val="75955F2A"/>
    <w:rsid w:val="75997132"/>
    <w:rsid w:val="759E3E8C"/>
    <w:rsid w:val="75A5538B"/>
    <w:rsid w:val="75AF05B5"/>
    <w:rsid w:val="75BA2606"/>
    <w:rsid w:val="75C02CF1"/>
    <w:rsid w:val="75C0649F"/>
    <w:rsid w:val="75C56285"/>
    <w:rsid w:val="75D52610"/>
    <w:rsid w:val="75DD2BC4"/>
    <w:rsid w:val="75E6623C"/>
    <w:rsid w:val="75F23E97"/>
    <w:rsid w:val="75F8027F"/>
    <w:rsid w:val="76040F64"/>
    <w:rsid w:val="761B1097"/>
    <w:rsid w:val="762742D9"/>
    <w:rsid w:val="762848AF"/>
    <w:rsid w:val="76300258"/>
    <w:rsid w:val="763B583E"/>
    <w:rsid w:val="764D194C"/>
    <w:rsid w:val="76766CEA"/>
    <w:rsid w:val="76804F78"/>
    <w:rsid w:val="76876CD5"/>
    <w:rsid w:val="76A51663"/>
    <w:rsid w:val="76AF7B46"/>
    <w:rsid w:val="76C62B08"/>
    <w:rsid w:val="76C77978"/>
    <w:rsid w:val="76D730F2"/>
    <w:rsid w:val="76D96CE4"/>
    <w:rsid w:val="76F428ED"/>
    <w:rsid w:val="770579B8"/>
    <w:rsid w:val="77192875"/>
    <w:rsid w:val="77200572"/>
    <w:rsid w:val="77204A34"/>
    <w:rsid w:val="772A0C70"/>
    <w:rsid w:val="774E2BF4"/>
    <w:rsid w:val="777413C3"/>
    <w:rsid w:val="777D6AC4"/>
    <w:rsid w:val="777E5A86"/>
    <w:rsid w:val="778E38DD"/>
    <w:rsid w:val="778E4781"/>
    <w:rsid w:val="77914340"/>
    <w:rsid w:val="77981950"/>
    <w:rsid w:val="779C230C"/>
    <w:rsid w:val="77BF249E"/>
    <w:rsid w:val="77C80239"/>
    <w:rsid w:val="77D543BA"/>
    <w:rsid w:val="77DA4BE2"/>
    <w:rsid w:val="780103C1"/>
    <w:rsid w:val="7802424E"/>
    <w:rsid w:val="784A7FBA"/>
    <w:rsid w:val="785706FD"/>
    <w:rsid w:val="78782D79"/>
    <w:rsid w:val="78794951"/>
    <w:rsid w:val="788A03B6"/>
    <w:rsid w:val="78941235"/>
    <w:rsid w:val="78A131F7"/>
    <w:rsid w:val="78AC59EC"/>
    <w:rsid w:val="78BF256F"/>
    <w:rsid w:val="78CE0BEB"/>
    <w:rsid w:val="78D11712"/>
    <w:rsid w:val="78E421BD"/>
    <w:rsid w:val="78F718E8"/>
    <w:rsid w:val="78FF6FF6"/>
    <w:rsid w:val="791E7065"/>
    <w:rsid w:val="793B356B"/>
    <w:rsid w:val="793D38EC"/>
    <w:rsid w:val="79537342"/>
    <w:rsid w:val="795555C9"/>
    <w:rsid w:val="795B49A5"/>
    <w:rsid w:val="79602E1F"/>
    <w:rsid w:val="79695635"/>
    <w:rsid w:val="797760D6"/>
    <w:rsid w:val="79C95311"/>
    <w:rsid w:val="79D274C6"/>
    <w:rsid w:val="79EA3A8A"/>
    <w:rsid w:val="79EC1206"/>
    <w:rsid w:val="79F5798A"/>
    <w:rsid w:val="7A0225B3"/>
    <w:rsid w:val="7A032087"/>
    <w:rsid w:val="7A1244F9"/>
    <w:rsid w:val="7A1B68CA"/>
    <w:rsid w:val="7A1C1601"/>
    <w:rsid w:val="7A20536A"/>
    <w:rsid w:val="7A44160A"/>
    <w:rsid w:val="7A4D1FE3"/>
    <w:rsid w:val="7A561A1A"/>
    <w:rsid w:val="7A6C3EEC"/>
    <w:rsid w:val="7A7E321E"/>
    <w:rsid w:val="7A8B2FFF"/>
    <w:rsid w:val="7A8C7966"/>
    <w:rsid w:val="7A8D7852"/>
    <w:rsid w:val="7AA741D7"/>
    <w:rsid w:val="7AAE6A84"/>
    <w:rsid w:val="7AAF7E90"/>
    <w:rsid w:val="7AB83901"/>
    <w:rsid w:val="7AD324E9"/>
    <w:rsid w:val="7AD7365B"/>
    <w:rsid w:val="7ADB47E9"/>
    <w:rsid w:val="7B0546E5"/>
    <w:rsid w:val="7B0A6EAD"/>
    <w:rsid w:val="7B0B5589"/>
    <w:rsid w:val="7B0E4B21"/>
    <w:rsid w:val="7B133561"/>
    <w:rsid w:val="7B227E52"/>
    <w:rsid w:val="7B2E771F"/>
    <w:rsid w:val="7B3D316A"/>
    <w:rsid w:val="7B4934FD"/>
    <w:rsid w:val="7B65090B"/>
    <w:rsid w:val="7B661E49"/>
    <w:rsid w:val="7B6F4892"/>
    <w:rsid w:val="7B725215"/>
    <w:rsid w:val="7BA15F11"/>
    <w:rsid w:val="7BA45FFB"/>
    <w:rsid w:val="7BAE22CA"/>
    <w:rsid w:val="7BB73BB8"/>
    <w:rsid w:val="7BD0027A"/>
    <w:rsid w:val="7BDE1D72"/>
    <w:rsid w:val="7BE36FF4"/>
    <w:rsid w:val="7BEA37A1"/>
    <w:rsid w:val="7BEE34DA"/>
    <w:rsid w:val="7BF77979"/>
    <w:rsid w:val="7C2F7BF3"/>
    <w:rsid w:val="7C493AE4"/>
    <w:rsid w:val="7C504DA9"/>
    <w:rsid w:val="7C5108F2"/>
    <w:rsid w:val="7C5533D1"/>
    <w:rsid w:val="7C5D4DF0"/>
    <w:rsid w:val="7C75601E"/>
    <w:rsid w:val="7C887303"/>
    <w:rsid w:val="7C966A46"/>
    <w:rsid w:val="7C995848"/>
    <w:rsid w:val="7CBD4D2B"/>
    <w:rsid w:val="7CCF6CE0"/>
    <w:rsid w:val="7D050953"/>
    <w:rsid w:val="7D0848B4"/>
    <w:rsid w:val="7D2D798A"/>
    <w:rsid w:val="7D462181"/>
    <w:rsid w:val="7D58038F"/>
    <w:rsid w:val="7D5C46C4"/>
    <w:rsid w:val="7D6042B6"/>
    <w:rsid w:val="7D697134"/>
    <w:rsid w:val="7D6F2271"/>
    <w:rsid w:val="7D807FDA"/>
    <w:rsid w:val="7D9E6F13"/>
    <w:rsid w:val="7DAD0190"/>
    <w:rsid w:val="7DC123F6"/>
    <w:rsid w:val="7DD00C43"/>
    <w:rsid w:val="7E071003"/>
    <w:rsid w:val="7E142010"/>
    <w:rsid w:val="7E2B263C"/>
    <w:rsid w:val="7E425FDC"/>
    <w:rsid w:val="7E465D8C"/>
    <w:rsid w:val="7E4B683A"/>
    <w:rsid w:val="7E521976"/>
    <w:rsid w:val="7EB27693"/>
    <w:rsid w:val="7EB32F71"/>
    <w:rsid w:val="7EB97C47"/>
    <w:rsid w:val="7EC52BE0"/>
    <w:rsid w:val="7EF04CF2"/>
    <w:rsid w:val="7EF35D13"/>
    <w:rsid w:val="7F010132"/>
    <w:rsid w:val="7F0E29B0"/>
    <w:rsid w:val="7F2005F2"/>
    <w:rsid w:val="7F4E65DD"/>
    <w:rsid w:val="7F590AE3"/>
    <w:rsid w:val="7F5A70A5"/>
    <w:rsid w:val="7F5C5D4E"/>
    <w:rsid w:val="7F634F41"/>
    <w:rsid w:val="7F817B02"/>
    <w:rsid w:val="7F873D31"/>
    <w:rsid w:val="7F8A5FCB"/>
    <w:rsid w:val="7F9324E9"/>
    <w:rsid w:val="7FA57997"/>
    <w:rsid w:val="7FE2704E"/>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0"/>
    <w:pPr>
      <w:keepNext/>
      <w:jc w:val="center"/>
      <w:outlineLvl w:val="0"/>
    </w:pPr>
    <w:rPr>
      <w:b/>
      <w:bCs/>
      <w:kern w:val="0"/>
      <w:sz w:val="24"/>
      <w:szCs w:val="20"/>
    </w:rPr>
  </w:style>
  <w:style w:type="paragraph" w:styleId="3">
    <w:name w:val="heading 2"/>
    <w:basedOn w:val="1"/>
    <w:next w:val="1"/>
    <w:link w:val="68"/>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link w:val="69"/>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0"/>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71"/>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7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73"/>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7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75"/>
    <w:qFormat/>
    <w:uiPriority w:val="0"/>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link w:val="76"/>
    <w:semiHidden/>
    <w:qFormat/>
    <w:uiPriority w:val="0"/>
    <w:pPr>
      <w:shd w:val="clear" w:color="auto" w:fill="000080"/>
    </w:pPr>
    <w:rPr>
      <w:kern w:val="0"/>
      <w:sz w:val="20"/>
    </w:rPr>
  </w:style>
  <w:style w:type="paragraph" w:styleId="14">
    <w:name w:val="annotation text"/>
    <w:basedOn w:val="1"/>
    <w:link w:val="77"/>
    <w:semiHidden/>
    <w:qFormat/>
    <w:uiPriority w:val="0"/>
    <w:pPr>
      <w:jc w:val="left"/>
    </w:pPr>
    <w:rPr>
      <w:kern w:val="0"/>
      <w:sz w:val="20"/>
    </w:rPr>
  </w:style>
  <w:style w:type="paragraph" w:styleId="15">
    <w:name w:val="Salutation"/>
    <w:basedOn w:val="1"/>
    <w:next w:val="1"/>
    <w:link w:val="78"/>
    <w:qFormat/>
    <w:uiPriority w:val="0"/>
    <w:rPr>
      <w:rFonts w:ascii="仿宋_GB2312" w:eastAsia="仿宋_GB2312"/>
      <w:kern w:val="0"/>
      <w:sz w:val="24"/>
    </w:rPr>
  </w:style>
  <w:style w:type="paragraph" w:styleId="16">
    <w:name w:val="Body Text 3"/>
    <w:basedOn w:val="1"/>
    <w:link w:val="79"/>
    <w:qFormat/>
    <w:uiPriority w:val="0"/>
    <w:pPr>
      <w:autoSpaceDE w:val="0"/>
      <w:autoSpaceDN w:val="0"/>
      <w:adjustRightInd w:val="0"/>
      <w:spacing w:line="410" w:lineRule="atLeast"/>
      <w:jc w:val="left"/>
    </w:pPr>
    <w:rPr>
      <w:rFonts w:ascii="宋体"/>
      <w:color w:val="000000"/>
      <w:kern w:val="0"/>
      <w:sz w:val="24"/>
      <w:szCs w:val="20"/>
    </w:rPr>
  </w:style>
  <w:style w:type="paragraph" w:styleId="17">
    <w:name w:val="Body Text"/>
    <w:basedOn w:val="1"/>
    <w:next w:val="18"/>
    <w:link w:val="80"/>
    <w:qFormat/>
    <w:uiPriority w:val="0"/>
    <w:pPr>
      <w:spacing w:after="120"/>
    </w:pPr>
    <w:rPr>
      <w:kern w:val="0"/>
      <w:sz w:val="20"/>
    </w:rPr>
  </w:style>
  <w:style w:type="paragraph" w:customStyle="1" w:styleId="18">
    <w:name w:val="1"/>
    <w:basedOn w:val="19"/>
    <w:next w:val="20"/>
    <w:qFormat/>
    <w:uiPriority w:val="0"/>
    <w:pPr>
      <w:spacing w:afterLines="50" w:line="360" w:lineRule="auto"/>
    </w:pPr>
    <w:rPr>
      <w:rFonts w:ascii="宋体" w:hAnsi="宋体"/>
      <w:b/>
      <w:sz w:val="30"/>
      <w:szCs w:val="21"/>
    </w:rPr>
  </w:style>
  <w:style w:type="paragraph" w:customStyle="1" w:styleId="19">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0">
    <w:name w:val="Body Text Indent"/>
    <w:basedOn w:val="1"/>
    <w:next w:val="21"/>
    <w:link w:val="81"/>
    <w:qFormat/>
    <w:uiPriority w:val="99"/>
    <w:pPr>
      <w:spacing w:after="120"/>
      <w:ind w:left="420" w:leftChars="200"/>
    </w:pPr>
    <w:rPr>
      <w:kern w:val="0"/>
      <w:sz w:val="20"/>
    </w:rPr>
  </w:style>
  <w:style w:type="paragraph" w:customStyle="1" w:styleId="21">
    <w:name w:val="font5"/>
    <w:basedOn w:val="1"/>
    <w:qFormat/>
    <w:uiPriority w:val="0"/>
    <w:pPr>
      <w:widowControl/>
      <w:spacing w:before="100" w:beforeAutospacing="1" w:after="100" w:afterAutospacing="1"/>
      <w:jc w:val="left"/>
    </w:pPr>
    <w:rPr>
      <w:rFonts w:hint="eastAsia" w:ascii="宋体" w:hAnsi="宋体" w:cs="宋体"/>
      <w:b/>
      <w:bCs/>
      <w:kern w:val="0"/>
      <w:sz w:val="18"/>
      <w:szCs w:val="18"/>
    </w:r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unhideWhenUsed/>
    <w:qFormat/>
    <w:uiPriority w:val="99"/>
    <w:pPr>
      <w:ind w:left="600" w:leftChars="600"/>
    </w:pPr>
  </w:style>
  <w:style w:type="paragraph" w:styleId="24">
    <w:name w:val="toc 5"/>
    <w:basedOn w:val="1"/>
    <w:next w:val="1"/>
    <w:qFormat/>
    <w:uiPriority w:val="0"/>
    <w:pPr>
      <w:ind w:left="1680" w:leftChars="800"/>
    </w:pPr>
    <w:rPr>
      <w:rFonts w:ascii="Calibri" w:hAnsi="Calibri"/>
      <w:szCs w:val="22"/>
    </w:rPr>
  </w:style>
  <w:style w:type="paragraph" w:styleId="25">
    <w:name w:val="toc 3"/>
    <w:basedOn w:val="1"/>
    <w:next w:val="1"/>
    <w:qFormat/>
    <w:uiPriority w:val="0"/>
    <w:pPr>
      <w:ind w:left="840" w:leftChars="400"/>
    </w:pPr>
  </w:style>
  <w:style w:type="paragraph" w:styleId="26">
    <w:name w:val="Plain Text"/>
    <w:basedOn w:val="1"/>
    <w:link w:val="82"/>
    <w:qFormat/>
    <w:uiPriority w:val="0"/>
    <w:rPr>
      <w:rFonts w:ascii="宋体" w:hAnsi="Courier New"/>
      <w:kern w:val="0"/>
      <w:sz w:val="20"/>
      <w:szCs w:val="21"/>
    </w:rPr>
  </w:style>
  <w:style w:type="paragraph" w:styleId="27">
    <w:name w:val="toc 8"/>
    <w:basedOn w:val="1"/>
    <w:next w:val="1"/>
    <w:qFormat/>
    <w:uiPriority w:val="0"/>
    <w:pPr>
      <w:ind w:left="2940" w:leftChars="1400"/>
    </w:pPr>
    <w:rPr>
      <w:rFonts w:ascii="Calibri" w:hAnsi="Calibri"/>
      <w:szCs w:val="22"/>
    </w:rPr>
  </w:style>
  <w:style w:type="paragraph" w:styleId="28">
    <w:name w:val="Date"/>
    <w:basedOn w:val="1"/>
    <w:next w:val="1"/>
    <w:link w:val="83"/>
    <w:qFormat/>
    <w:uiPriority w:val="0"/>
    <w:rPr>
      <w:kern w:val="0"/>
      <w:sz w:val="24"/>
      <w:szCs w:val="20"/>
    </w:rPr>
  </w:style>
  <w:style w:type="paragraph" w:styleId="29">
    <w:name w:val="Body Text Indent 2"/>
    <w:basedOn w:val="1"/>
    <w:link w:val="84"/>
    <w:qFormat/>
    <w:uiPriority w:val="0"/>
    <w:pPr>
      <w:spacing w:after="120" w:line="480" w:lineRule="auto"/>
      <w:ind w:left="420" w:leftChars="200"/>
    </w:pPr>
    <w:rPr>
      <w:kern w:val="0"/>
      <w:sz w:val="20"/>
    </w:rPr>
  </w:style>
  <w:style w:type="paragraph" w:styleId="30">
    <w:name w:val="Balloon Text"/>
    <w:basedOn w:val="1"/>
    <w:link w:val="85"/>
    <w:qFormat/>
    <w:uiPriority w:val="0"/>
    <w:rPr>
      <w:rFonts w:ascii="Calibri" w:hAnsi="Calibri"/>
      <w:kern w:val="0"/>
      <w:sz w:val="18"/>
      <w:szCs w:val="18"/>
    </w:rPr>
  </w:style>
  <w:style w:type="paragraph" w:styleId="31">
    <w:name w:val="footer"/>
    <w:basedOn w:val="1"/>
    <w:link w:val="86"/>
    <w:unhideWhenUsed/>
    <w:qFormat/>
    <w:uiPriority w:val="0"/>
    <w:pPr>
      <w:tabs>
        <w:tab w:val="center" w:pos="4153"/>
        <w:tab w:val="right" w:pos="8306"/>
      </w:tabs>
      <w:snapToGrid w:val="0"/>
      <w:jc w:val="left"/>
    </w:pPr>
    <w:rPr>
      <w:kern w:val="0"/>
      <w:sz w:val="18"/>
      <w:szCs w:val="18"/>
    </w:rPr>
  </w:style>
  <w:style w:type="paragraph" w:styleId="32">
    <w:name w:val="envelope return"/>
    <w:basedOn w:val="1"/>
    <w:qFormat/>
    <w:uiPriority w:val="0"/>
    <w:pPr>
      <w:snapToGrid w:val="0"/>
    </w:pPr>
    <w:rPr>
      <w:rFonts w:ascii="Arial" w:hAnsi="Arial"/>
    </w:rPr>
  </w:style>
  <w:style w:type="paragraph" w:styleId="33">
    <w:name w:val="header"/>
    <w:basedOn w:val="1"/>
    <w:link w:val="8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4">
    <w:name w:val="toc 1"/>
    <w:basedOn w:val="1"/>
    <w:next w:val="1"/>
    <w:qFormat/>
    <w:uiPriority w:val="39"/>
    <w:pPr>
      <w:adjustRightInd w:val="0"/>
      <w:snapToGrid w:val="0"/>
      <w:spacing w:line="360" w:lineRule="auto"/>
    </w:pPr>
    <w:rPr>
      <w:b/>
      <w:sz w:val="28"/>
    </w:rPr>
  </w:style>
  <w:style w:type="paragraph" w:styleId="35">
    <w:name w:val="toc 4"/>
    <w:basedOn w:val="1"/>
    <w:next w:val="1"/>
    <w:qFormat/>
    <w:uiPriority w:val="0"/>
    <w:pPr>
      <w:ind w:left="1260" w:leftChars="600"/>
    </w:pPr>
  </w:style>
  <w:style w:type="paragraph" w:styleId="36">
    <w:name w:val="toc 6"/>
    <w:basedOn w:val="1"/>
    <w:next w:val="1"/>
    <w:qFormat/>
    <w:uiPriority w:val="0"/>
    <w:pPr>
      <w:ind w:left="2100" w:leftChars="1000"/>
    </w:pPr>
    <w:rPr>
      <w:rFonts w:ascii="Calibri" w:hAnsi="Calibri"/>
      <w:szCs w:val="22"/>
    </w:rPr>
  </w:style>
  <w:style w:type="paragraph" w:styleId="37">
    <w:name w:val="Body Text Indent 3"/>
    <w:basedOn w:val="1"/>
    <w:link w:val="88"/>
    <w:qFormat/>
    <w:uiPriority w:val="0"/>
    <w:pPr>
      <w:spacing w:after="120"/>
      <w:ind w:left="420" w:leftChars="200"/>
    </w:pPr>
    <w:rPr>
      <w:kern w:val="0"/>
      <w:sz w:val="16"/>
      <w:szCs w:val="16"/>
    </w:rPr>
  </w:style>
  <w:style w:type="paragraph" w:styleId="38">
    <w:name w:val="toc 2"/>
    <w:basedOn w:val="1"/>
    <w:next w:val="1"/>
    <w:qFormat/>
    <w:uiPriority w:val="0"/>
    <w:pPr>
      <w:ind w:left="420" w:leftChars="200"/>
    </w:pPr>
  </w:style>
  <w:style w:type="paragraph" w:styleId="39">
    <w:name w:val="toc 9"/>
    <w:basedOn w:val="1"/>
    <w:next w:val="1"/>
    <w:qFormat/>
    <w:uiPriority w:val="0"/>
    <w:pPr>
      <w:ind w:left="3360" w:leftChars="1600"/>
    </w:pPr>
    <w:rPr>
      <w:rFonts w:ascii="Calibri" w:hAnsi="Calibri"/>
      <w:szCs w:val="22"/>
    </w:rPr>
  </w:style>
  <w:style w:type="paragraph" w:styleId="40">
    <w:name w:val="Body Text 2"/>
    <w:basedOn w:val="1"/>
    <w:link w:val="89"/>
    <w:qFormat/>
    <w:uiPriority w:val="0"/>
    <w:pPr>
      <w:spacing w:after="120" w:line="480" w:lineRule="auto"/>
    </w:pPr>
    <w:rPr>
      <w:kern w:val="0"/>
      <w:sz w:val="20"/>
    </w:rPr>
  </w:style>
  <w:style w:type="paragraph" w:styleId="41">
    <w:name w:val="HTML Preformatted"/>
    <w:basedOn w:val="1"/>
    <w:link w:val="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eastAsia="仿宋_GB2312"/>
      <w:szCs w:val="20"/>
    </w:rPr>
  </w:style>
  <w:style w:type="paragraph" w:styleId="44">
    <w:name w:val="Title"/>
    <w:basedOn w:val="1"/>
    <w:next w:val="1"/>
    <w:link w:val="91"/>
    <w:qFormat/>
    <w:uiPriority w:val="0"/>
    <w:pPr>
      <w:spacing w:before="240" w:after="60"/>
      <w:jc w:val="center"/>
      <w:outlineLvl w:val="0"/>
    </w:pPr>
    <w:rPr>
      <w:rFonts w:ascii="Cambria" w:hAnsi="Cambria"/>
      <w:b/>
      <w:kern w:val="0"/>
      <w:sz w:val="32"/>
    </w:rPr>
  </w:style>
  <w:style w:type="paragraph" w:styleId="45">
    <w:name w:val="annotation subject"/>
    <w:basedOn w:val="14"/>
    <w:next w:val="1"/>
    <w:link w:val="92"/>
    <w:qFormat/>
    <w:uiPriority w:val="0"/>
    <w:rPr>
      <w:b/>
      <w:bCs/>
    </w:rPr>
  </w:style>
  <w:style w:type="paragraph" w:styleId="46">
    <w:name w:val="Body Text First Indent 2"/>
    <w:basedOn w:val="20"/>
    <w:next w:val="1"/>
    <w:link w:val="93"/>
    <w:qFormat/>
    <w:uiPriority w:val="99"/>
    <w:pPr>
      <w:autoSpaceDE w:val="0"/>
      <w:autoSpaceDN w:val="0"/>
      <w:adjustRightInd w:val="0"/>
      <w:ind w:firstLine="420"/>
      <w:jc w:val="left"/>
    </w:pPr>
    <w:rPr>
      <w:rFonts w:ascii="Calibri" w:hAnsi="Calibri"/>
    </w:r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99"/>
    <w:rPr>
      <w:color w:val="373737"/>
      <w:u w:val="none"/>
    </w:rPr>
  </w:style>
  <w:style w:type="character" w:styleId="53">
    <w:name w:val="Emphasis"/>
    <w:qFormat/>
    <w:uiPriority w:val="0"/>
    <w:rPr>
      <w:rFonts w:ascii="Times New Roman" w:hAnsi="Times New Roman" w:eastAsia="宋体"/>
    </w:rPr>
  </w:style>
  <w:style w:type="character" w:styleId="54">
    <w:name w:val="HTML Definition"/>
    <w:qFormat/>
    <w:uiPriority w:val="0"/>
    <w:rPr>
      <w:rFonts w:ascii="Times New Roman" w:hAnsi="Times New Roman" w:eastAsia="宋体"/>
    </w:rPr>
  </w:style>
  <w:style w:type="character" w:styleId="55">
    <w:name w:val="HTML Typewriter"/>
    <w:unhideWhenUsed/>
    <w:qFormat/>
    <w:uiPriority w:val="99"/>
    <w:rPr>
      <w:rFonts w:ascii="Courier New" w:hAnsi="Courier New"/>
      <w:sz w:val="24"/>
      <w:szCs w:val="24"/>
    </w:rPr>
  </w:style>
  <w:style w:type="character" w:styleId="56">
    <w:name w:val="HTML Acronym"/>
    <w:basedOn w:val="49"/>
    <w:unhideWhenUsed/>
    <w:qFormat/>
    <w:uiPriority w:val="99"/>
  </w:style>
  <w:style w:type="character" w:styleId="57">
    <w:name w:val="HTML Variable"/>
    <w:qFormat/>
    <w:uiPriority w:val="0"/>
    <w:rPr>
      <w:rFonts w:ascii="Times New Roman" w:hAnsi="Times New Roman" w:eastAsia="宋体"/>
    </w:rPr>
  </w:style>
  <w:style w:type="character" w:styleId="58">
    <w:name w:val="Hyperlink"/>
    <w:qFormat/>
    <w:uiPriority w:val="99"/>
    <w:rPr>
      <w:color w:val="136EC2"/>
      <w:u w:val="single"/>
    </w:rPr>
  </w:style>
  <w:style w:type="character" w:styleId="59">
    <w:name w:val="HTML Code"/>
    <w:qFormat/>
    <w:uiPriority w:val="0"/>
    <w:rPr>
      <w:rFonts w:ascii="Courier New" w:hAnsi="Courier New" w:eastAsia="Courier New" w:cs="Courier New"/>
      <w:sz w:val="20"/>
    </w:rPr>
  </w:style>
  <w:style w:type="character" w:styleId="60">
    <w:name w:val="annotation reference"/>
    <w:qFormat/>
    <w:uiPriority w:val="0"/>
    <w:rPr>
      <w:sz w:val="21"/>
      <w:szCs w:val="21"/>
    </w:rPr>
  </w:style>
  <w:style w:type="character" w:styleId="61">
    <w:name w:val="HTML Cite"/>
    <w:qFormat/>
    <w:uiPriority w:val="0"/>
    <w:rPr>
      <w:rFonts w:ascii="Times New Roman" w:hAnsi="Times New Roman" w:eastAsia="宋体"/>
    </w:rPr>
  </w:style>
  <w:style w:type="character" w:styleId="62">
    <w:name w:val="HTML Keyboard"/>
    <w:qFormat/>
    <w:uiPriority w:val="0"/>
    <w:rPr>
      <w:rFonts w:ascii="Courier New" w:hAnsi="Courier New" w:eastAsia="Courier New" w:cs="Courier New"/>
      <w:sz w:val="20"/>
    </w:rPr>
  </w:style>
  <w:style w:type="character" w:styleId="63">
    <w:name w:val="HTML Sample"/>
    <w:qFormat/>
    <w:uiPriority w:val="0"/>
    <w:rPr>
      <w:rFonts w:ascii="Courier New" w:hAnsi="Courier New" w:eastAsia="Courier New" w:cs="Courier New"/>
    </w:rPr>
  </w:style>
  <w:style w:type="paragraph" w:customStyle="1" w:styleId="6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5">
    <w:name w:val="TableOfAuthoring"/>
    <w:basedOn w:val="1"/>
    <w:next w:val="1"/>
    <w:qFormat/>
    <w:uiPriority w:val="0"/>
    <w:pPr>
      <w:ind w:left="420" w:leftChars="200"/>
      <w:textAlignment w:val="baseline"/>
    </w:pPr>
  </w:style>
  <w:style w:type="paragraph" w:customStyle="1" w:styleId="66">
    <w:name w:val="样式2"/>
    <w:basedOn w:val="33"/>
    <w:qFormat/>
    <w:uiPriority w:val="0"/>
    <w:pPr>
      <w:pBdr>
        <w:bottom w:val="thickThinSmallGap" w:color="auto" w:sz="24" w:space="1"/>
      </w:pBdr>
      <w:jc w:val="both"/>
    </w:pPr>
  </w:style>
  <w:style w:type="character" w:customStyle="1" w:styleId="67">
    <w:name w:val="标题 1 Char1"/>
    <w:link w:val="2"/>
    <w:qFormat/>
    <w:uiPriority w:val="0"/>
    <w:rPr>
      <w:rFonts w:ascii="Times New Roman" w:hAnsi="Times New Roman" w:eastAsia="宋体" w:cs="Times New Roman"/>
      <w:b/>
      <w:bCs/>
      <w:sz w:val="24"/>
      <w:szCs w:val="20"/>
    </w:rPr>
  </w:style>
  <w:style w:type="character" w:customStyle="1" w:styleId="68">
    <w:name w:val="标题 2 Char1"/>
    <w:link w:val="3"/>
    <w:qFormat/>
    <w:uiPriority w:val="0"/>
    <w:rPr>
      <w:rFonts w:ascii="Arial" w:hAnsi="Arial" w:eastAsia="宋体" w:cs="Times New Roman"/>
      <w:b/>
      <w:bCs/>
      <w:sz w:val="24"/>
      <w:szCs w:val="32"/>
    </w:rPr>
  </w:style>
  <w:style w:type="character" w:customStyle="1" w:styleId="69">
    <w:name w:val="标题 3 Char1"/>
    <w:link w:val="4"/>
    <w:qFormat/>
    <w:uiPriority w:val="0"/>
    <w:rPr>
      <w:rFonts w:ascii="Times New Roman" w:hAnsi="Times New Roman" w:eastAsia="宋体" w:cs="Times New Roman"/>
      <w:b/>
      <w:bCs/>
      <w:sz w:val="32"/>
      <w:szCs w:val="32"/>
    </w:rPr>
  </w:style>
  <w:style w:type="character" w:customStyle="1" w:styleId="70">
    <w:name w:val="标题 4 Char1"/>
    <w:link w:val="5"/>
    <w:qFormat/>
    <w:uiPriority w:val="0"/>
    <w:rPr>
      <w:rFonts w:ascii="Arial" w:hAnsi="Arial" w:eastAsia="黑体" w:cs="Times New Roman"/>
      <w:b/>
      <w:bCs/>
      <w:sz w:val="28"/>
      <w:szCs w:val="28"/>
    </w:rPr>
  </w:style>
  <w:style w:type="character" w:customStyle="1" w:styleId="71">
    <w:name w:val="标题 5 Char1"/>
    <w:link w:val="6"/>
    <w:qFormat/>
    <w:uiPriority w:val="0"/>
    <w:rPr>
      <w:rFonts w:ascii="Times New Roman" w:hAnsi="Times New Roman" w:eastAsia="宋体" w:cs="Times New Roman"/>
      <w:b/>
      <w:bCs/>
      <w:kern w:val="0"/>
      <w:sz w:val="28"/>
      <w:szCs w:val="28"/>
    </w:rPr>
  </w:style>
  <w:style w:type="character" w:customStyle="1" w:styleId="72">
    <w:name w:val="标题 6 Char1"/>
    <w:link w:val="7"/>
    <w:qFormat/>
    <w:uiPriority w:val="0"/>
    <w:rPr>
      <w:rFonts w:ascii="Arial" w:hAnsi="Arial" w:eastAsia="黑体" w:cs="Times New Roman"/>
      <w:b/>
      <w:bCs/>
      <w:kern w:val="0"/>
      <w:sz w:val="24"/>
      <w:szCs w:val="24"/>
    </w:rPr>
  </w:style>
  <w:style w:type="character" w:customStyle="1" w:styleId="73">
    <w:name w:val="标题 7 Char1"/>
    <w:link w:val="8"/>
    <w:qFormat/>
    <w:uiPriority w:val="0"/>
    <w:rPr>
      <w:rFonts w:ascii="Times New Roman" w:hAnsi="Times New Roman" w:eastAsia="宋体" w:cs="Times New Roman"/>
      <w:b/>
      <w:bCs/>
      <w:kern w:val="0"/>
      <w:sz w:val="24"/>
      <w:szCs w:val="24"/>
    </w:rPr>
  </w:style>
  <w:style w:type="character" w:customStyle="1" w:styleId="74">
    <w:name w:val="标题 8 Char1"/>
    <w:link w:val="9"/>
    <w:qFormat/>
    <w:uiPriority w:val="0"/>
    <w:rPr>
      <w:rFonts w:ascii="Arial" w:hAnsi="Arial" w:eastAsia="黑体" w:cs="Times New Roman"/>
      <w:kern w:val="0"/>
      <w:sz w:val="24"/>
      <w:szCs w:val="24"/>
    </w:rPr>
  </w:style>
  <w:style w:type="character" w:customStyle="1" w:styleId="75">
    <w:name w:val="标题 9 Char1"/>
    <w:link w:val="10"/>
    <w:qFormat/>
    <w:uiPriority w:val="0"/>
    <w:rPr>
      <w:rFonts w:ascii="Arial" w:hAnsi="Arial" w:eastAsia="黑体" w:cs="Times New Roman"/>
      <w:kern w:val="0"/>
      <w:szCs w:val="21"/>
    </w:rPr>
  </w:style>
  <w:style w:type="character" w:customStyle="1" w:styleId="76">
    <w:name w:val="文档结构图 Char"/>
    <w:link w:val="13"/>
    <w:semiHidden/>
    <w:qFormat/>
    <w:uiPriority w:val="0"/>
    <w:rPr>
      <w:rFonts w:ascii="Times New Roman" w:hAnsi="Times New Roman" w:eastAsia="宋体" w:cs="Times New Roman"/>
      <w:szCs w:val="24"/>
      <w:shd w:val="clear" w:color="auto" w:fill="000080"/>
    </w:rPr>
  </w:style>
  <w:style w:type="character" w:customStyle="1" w:styleId="77">
    <w:name w:val="批注文字 Char1"/>
    <w:link w:val="14"/>
    <w:semiHidden/>
    <w:qFormat/>
    <w:uiPriority w:val="0"/>
    <w:rPr>
      <w:rFonts w:ascii="Times New Roman" w:hAnsi="Times New Roman" w:eastAsia="宋体" w:cs="Times New Roman"/>
      <w:szCs w:val="24"/>
    </w:rPr>
  </w:style>
  <w:style w:type="character" w:customStyle="1" w:styleId="78">
    <w:name w:val="称呼 Char"/>
    <w:link w:val="15"/>
    <w:qFormat/>
    <w:uiPriority w:val="0"/>
    <w:rPr>
      <w:rFonts w:ascii="仿宋_GB2312" w:hAnsi="Times New Roman" w:eastAsia="仿宋_GB2312" w:cs="Times New Roman"/>
      <w:sz w:val="24"/>
      <w:szCs w:val="24"/>
    </w:rPr>
  </w:style>
  <w:style w:type="character" w:customStyle="1" w:styleId="79">
    <w:name w:val="正文文本 3 Char"/>
    <w:link w:val="16"/>
    <w:qFormat/>
    <w:uiPriority w:val="0"/>
    <w:rPr>
      <w:rFonts w:ascii="宋体" w:hAnsi="Times New Roman" w:eastAsia="宋体" w:cs="Times New Roman"/>
      <w:color w:val="000000"/>
      <w:kern w:val="0"/>
      <w:sz w:val="24"/>
      <w:szCs w:val="20"/>
    </w:rPr>
  </w:style>
  <w:style w:type="character" w:customStyle="1" w:styleId="80">
    <w:name w:val="正文文本 Char"/>
    <w:link w:val="17"/>
    <w:qFormat/>
    <w:uiPriority w:val="0"/>
    <w:rPr>
      <w:rFonts w:ascii="Times New Roman" w:hAnsi="Times New Roman" w:eastAsia="宋体" w:cs="Times New Roman"/>
      <w:szCs w:val="24"/>
    </w:rPr>
  </w:style>
  <w:style w:type="character" w:customStyle="1" w:styleId="81">
    <w:name w:val="正文文本缩进 Char1"/>
    <w:link w:val="20"/>
    <w:qFormat/>
    <w:uiPriority w:val="99"/>
    <w:rPr>
      <w:rFonts w:ascii="Times New Roman" w:hAnsi="Times New Roman" w:eastAsia="宋体" w:cs="Times New Roman"/>
      <w:szCs w:val="24"/>
    </w:rPr>
  </w:style>
  <w:style w:type="character" w:customStyle="1" w:styleId="82">
    <w:name w:val="纯文本 Char1"/>
    <w:link w:val="26"/>
    <w:qFormat/>
    <w:locked/>
    <w:uiPriority w:val="0"/>
    <w:rPr>
      <w:rFonts w:ascii="宋体" w:hAnsi="Courier New" w:eastAsia="宋体" w:cs="Courier New"/>
      <w:szCs w:val="21"/>
    </w:rPr>
  </w:style>
  <w:style w:type="character" w:customStyle="1" w:styleId="83">
    <w:name w:val="日期 Char1"/>
    <w:link w:val="28"/>
    <w:qFormat/>
    <w:uiPriority w:val="0"/>
    <w:rPr>
      <w:rFonts w:ascii="Times New Roman" w:hAnsi="Times New Roman" w:eastAsia="宋体" w:cs="Times New Roman"/>
      <w:sz w:val="24"/>
      <w:szCs w:val="20"/>
    </w:rPr>
  </w:style>
  <w:style w:type="character" w:customStyle="1" w:styleId="84">
    <w:name w:val="正文文本缩进 2 Char"/>
    <w:link w:val="29"/>
    <w:qFormat/>
    <w:uiPriority w:val="0"/>
    <w:rPr>
      <w:rFonts w:ascii="Times New Roman" w:hAnsi="Times New Roman" w:eastAsia="宋体" w:cs="Times New Roman"/>
      <w:szCs w:val="24"/>
    </w:rPr>
  </w:style>
  <w:style w:type="character" w:customStyle="1" w:styleId="85">
    <w:name w:val="批注框文本 Char1"/>
    <w:link w:val="30"/>
    <w:qFormat/>
    <w:locked/>
    <w:uiPriority w:val="0"/>
    <w:rPr>
      <w:rFonts w:ascii="Calibri" w:hAnsi="Calibri" w:eastAsia="宋体"/>
      <w:sz w:val="18"/>
      <w:szCs w:val="18"/>
    </w:rPr>
  </w:style>
  <w:style w:type="character" w:customStyle="1" w:styleId="86">
    <w:name w:val="页脚 Char"/>
    <w:link w:val="31"/>
    <w:qFormat/>
    <w:uiPriority w:val="0"/>
    <w:rPr>
      <w:sz w:val="18"/>
      <w:szCs w:val="18"/>
    </w:rPr>
  </w:style>
  <w:style w:type="character" w:customStyle="1" w:styleId="87">
    <w:name w:val="页眉 Char"/>
    <w:link w:val="33"/>
    <w:qFormat/>
    <w:uiPriority w:val="0"/>
    <w:rPr>
      <w:sz w:val="18"/>
      <w:szCs w:val="18"/>
    </w:rPr>
  </w:style>
  <w:style w:type="character" w:customStyle="1" w:styleId="88">
    <w:name w:val="正文文本缩进 3 Char1"/>
    <w:link w:val="37"/>
    <w:qFormat/>
    <w:uiPriority w:val="0"/>
    <w:rPr>
      <w:rFonts w:ascii="Times New Roman" w:hAnsi="Times New Roman" w:eastAsia="宋体" w:cs="Times New Roman"/>
      <w:sz w:val="16"/>
      <w:szCs w:val="16"/>
    </w:rPr>
  </w:style>
  <w:style w:type="character" w:customStyle="1" w:styleId="89">
    <w:name w:val="正文文本 2 Char"/>
    <w:link w:val="40"/>
    <w:qFormat/>
    <w:uiPriority w:val="0"/>
    <w:rPr>
      <w:rFonts w:ascii="Times New Roman" w:hAnsi="Times New Roman" w:eastAsia="宋体" w:cs="Times New Roman"/>
      <w:szCs w:val="24"/>
    </w:rPr>
  </w:style>
  <w:style w:type="character" w:customStyle="1" w:styleId="90">
    <w:name w:val="HTML 预设格式 Char"/>
    <w:link w:val="41"/>
    <w:qFormat/>
    <w:uiPriority w:val="0"/>
    <w:rPr>
      <w:rFonts w:ascii="Arial" w:hAnsi="Arial" w:eastAsia="宋体" w:cs="Arial"/>
      <w:kern w:val="0"/>
      <w:sz w:val="24"/>
      <w:szCs w:val="24"/>
    </w:rPr>
  </w:style>
  <w:style w:type="character" w:customStyle="1" w:styleId="91">
    <w:name w:val="标题 Char"/>
    <w:link w:val="44"/>
    <w:qFormat/>
    <w:uiPriority w:val="0"/>
    <w:rPr>
      <w:rFonts w:ascii="Cambria" w:hAnsi="Cambria" w:eastAsia="宋体" w:cs="Times New Roman"/>
      <w:b/>
      <w:sz w:val="32"/>
      <w:szCs w:val="24"/>
    </w:rPr>
  </w:style>
  <w:style w:type="character" w:customStyle="1" w:styleId="92">
    <w:name w:val="批注主题 Char1"/>
    <w:link w:val="45"/>
    <w:qFormat/>
    <w:uiPriority w:val="0"/>
    <w:rPr>
      <w:rFonts w:ascii="Times New Roman" w:hAnsi="Times New Roman" w:eastAsia="宋体" w:cs="Times New Roman"/>
      <w:b/>
      <w:bCs/>
      <w:szCs w:val="24"/>
    </w:rPr>
  </w:style>
  <w:style w:type="character" w:customStyle="1" w:styleId="93">
    <w:name w:val="正文首行缩进 2 Char"/>
    <w:link w:val="46"/>
    <w:qFormat/>
    <w:uiPriority w:val="99"/>
    <w:rPr>
      <w:rFonts w:ascii="Calibri" w:hAnsi="Calibri"/>
      <w:szCs w:val="24"/>
    </w:rPr>
  </w:style>
  <w:style w:type="character" w:customStyle="1" w:styleId="94">
    <w:name w:val="纯文本 Char"/>
    <w:semiHidden/>
    <w:qFormat/>
    <w:uiPriority w:val="0"/>
    <w:rPr>
      <w:rFonts w:ascii="宋体" w:hAnsi="Courier New" w:eastAsia="宋体" w:cs="Courier New"/>
      <w:szCs w:val="21"/>
    </w:rPr>
  </w:style>
  <w:style w:type="character" w:customStyle="1" w:styleId="95">
    <w:name w:val="批注文字 Char Char"/>
    <w:qFormat/>
    <w:uiPriority w:val="0"/>
    <w:rPr>
      <w:kern w:val="2"/>
      <w:sz w:val="21"/>
      <w:szCs w:val="24"/>
      <w:lang w:bidi="ar-SA"/>
    </w:rPr>
  </w:style>
  <w:style w:type="character" w:customStyle="1" w:styleId="96">
    <w:name w:val="页眉 Char1"/>
    <w:qFormat/>
    <w:uiPriority w:val="0"/>
    <w:rPr>
      <w:rFonts w:eastAsia="宋体"/>
      <w:kern w:val="2"/>
      <w:sz w:val="18"/>
      <w:szCs w:val="18"/>
      <w:lang w:val="en-US" w:eastAsia="zh-CN" w:bidi="ar-SA"/>
    </w:rPr>
  </w:style>
  <w:style w:type="character" w:customStyle="1" w:styleId="97">
    <w:name w:val="标题 6 Char"/>
    <w:qFormat/>
    <w:uiPriority w:val="0"/>
    <w:rPr>
      <w:rFonts w:ascii="Cambria" w:hAnsi="Cambria" w:eastAsia="宋体" w:cs="Times New Roman"/>
      <w:b/>
      <w:bCs/>
      <w:sz w:val="24"/>
      <w:szCs w:val="24"/>
    </w:rPr>
  </w:style>
  <w:style w:type="character" w:customStyle="1" w:styleId="98">
    <w:name w:val="标题 7 Char"/>
    <w:qFormat/>
    <w:uiPriority w:val="0"/>
    <w:rPr>
      <w:rFonts w:ascii="Times New Roman" w:hAnsi="Times New Roman" w:eastAsia="宋体" w:cs="Times New Roman"/>
      <w:b/>
      <w:bCs/>
      <w:sz w:val="24"/>
      <w:szCs w:val="24"/>
    </w:rPr>
  </w:style>
  <w:style w:type="character" w:customStyle="1" w:styleId="99">
    <w:name w:val="p0 Char Char"/>
    <w:qFormat/>
    <w:uiPriority w:val="0"/>
    <w:rPr>
      <w:rFonts w:eastAsia="宋体"/>
      <w:kern w:val="2"/>
      <w:sz w:val="21"/>
      <w:szCs w:val="21"/>
      <w:lang w:val="en-US" w:eastAsia="zh-CN" w:bidi="ar-SA"/>
    </w:rPr>
  </w:style>
  <w:style w:type="character" w:customStyle="1" w:styleId="100">
    <w:name w:val="样式1 Char"/>
    <w:link w:val="101"/>
    <w:qFormat/>
    <w:uiPriority w:val="0"/>
    <w:rPr>
      <w:rFonts w:ascii="宋体" w:hAnsi="宋体"/>
      <w:kern w:val="0"/>
      <w:szCs w:val="21"/>
    </w:rPr>
  </w:style>
  <w:style w:type="paragraph" w:customStyle="1" w:styleId="101">
    <w:name w:val="样式1"/>
    <w:basedOn w:val="1"/>
    <w:link w:val="100"/>
    <w:qFormat/>
    <w:uiPriority w:val="0"/>
    <w:pPr>
      <w:tabs>
        <w:tab w:val="left" w:pos="360"/>
      </w:tabs>
      <w:adjustRightInd w:val="0"/>
      <w:ind w:left="360" w:hanging="360"/>
      <w:textAlignment w:val="baseline"/>
    </w:pPr>
    <w:rPr>
      <w:rFonts w:ascii="宋体" w:hAnsi="宋体"/>
      <w:kern w:val="0"/>
      <w:sz w:val="20"/>
      <w:szCs w:val="21"/>
    </w:rPr>
  </w:style>
  <w:style w:type="character" w:customStyle="1" w:styleId="102">
    <w:name w:val="批注框文本 Char"/>
    <w:qFormat/>
    <w:uiPriority w:val="0"/>
    <w:rPr>
      <w:rFonts w:ascii="Times New Roman" w:hAnsi="Times New Roman" w:eastAsia="宋体" w:cs="Times New Roman"/>
      <w:sz w:val="18"/>
      <w:szCs w:val="18"/>
    </w:rPr>
  </w:style>
  <w:style w:type="character" w:customStyle="1" w:styleId="103">
    <w:name w:val="content_3"/>
    <w:qFormat/>
    <w:uiPriority w:val="0"/>
    <w:rPr>
      <w:sz w:val="19"/>
      <w:szCs w:val="19"/>
    </w:rPr>
  </w:style>
  <w:style w:type="character" w:customStyle="1" w:styleId="104">
    <w:name w:val="plus"/>
    <w:qFormat/>
    <w:uiPriority w:val="0"/>
    <w:rPr>
      <w:rFonts w:ascii="Times New Roman" w:hAnsi="Times New Roman" w:eastAsia="宋体"/>
      <w:b/>
      <w:vanish/>
      <w:color w:val="1F8DEF"/>
      <w:sz w:val="24"/>
      <w:szCs w:val="24"/>
    </w:rPr>
  </w:style>
  <w:style w:type="character" w:customStyle="1" w:styleId="105">
    <w:name w:val="批注主题 Char"/>
    <w:qFormat/>
    <w:uiPriority w:val="0"/>
    <w:rPr>
      <w:rFonts w:ascii="Times New Roman" w:hAnsi="Times New Roman" w:eastAsia="宋体" w:cs="Times New Roman"/>
      <w:b/>
      <w:bCs/>
      <w:szCs w:val="24"/>
    </w:rPr>
  </w:style>
  <w:style w:type="character" w:customStyle="1" w:styleId="106">
    <w:name w:val="正文文本缩进 Char"/>
    <w:semiHidden/>
    <w:qFormat/>
    <w:uiPriority w:val="99"/>
    <w:rPr>
      <w:kern w:val="2"/>
      <w:sz w:val="21"/>
      <w:szCs w:val="24"/>
    </w:rPr>
  </w:style>
  <w:style w:type="character" w:customStyle="1" w:styleId="107">
    <w:name w:val="Char Char14"/>
    <w:qFormat/>
    <w:uiPriority w:val="0"/>
    <w:rPr>
      <w:rFonts w:ascii="Arial" w:hAnsi="Arial" w:eastAsia="黑体"/>
      <w:b/>
      <w:bCs/>
      <w:sz w:val="28"/>
      <w:szCs w:val="28"/>
      <w:lang w:val="en-US" w:eastAsia="zh-CN" w:bidi="ar-SA"/>
    </w:rPr>
  </w:style>
  <w:style w:type="character" w:customStyle="1" w:styleId="108">
    <w:name w:val="Font Style94"/>
    <w:unhideWhenUsed/>
    <w:qFormat/>
    <w:uiPriority w:val="0"/>
    <w:rPr>
      <w:rFonts w:hint="eastAsia" w:ascii="Times New Roman" w:hAnsi="Times New Roman" w:eastAsia="Times New Roman"/>
      <w:sz w:val="28"/>
    </w:rPr>
  </w:style>
  <w:style w:type="character" w:customStyle="1" w:styleId="109">
    <w:name w:val="content"/>
    <w:qFormat/>
    <w:uiPriority w:val="0"/>
    <w:rPr>
      <w:sz w:val="19"/>
      <w:szCs w:val="19"/>
    </w:rPr>
  </w:style>
  <w:style w:type="character" w:customStyle="1" w:styleId="110">
    <w:name w:val="Font Style86"/>
    <w:unhideWhenUsed/>
    <w:qFormat/>
    <w:uiPriority w:val="0"/>
    <w:rPr>
      <w:rFonts w:hint="eastAsia" w:ascii="黑体" w:hAnsi="黑体" w:eastAsia="黑体"/>
      <w:spacing w:val="10"/>
      <w:sz w:val="30"/>
    </w:rPr>
  </w:style>
  <w:style w:type="character" w:customStyle="1" w:styleId="111">
    <w:name w:val="批注文字 Char"/>
    <w:qFormat/>
    <w:uiPriority w:val="0"/>
    <w:rPr>
      <w:rFonts w:ascii="Times New Roman" w:hAnsi="Times New Roman" w:eastAsia="宋体" w:cs="Times New Roman"/>
      <w:szCs w:val="24"/>
    </w:rPr>
  </w:style>
  <w:style w:type="character" w:customStyle="1" w:styleId="112">
    <w:name w:val="content_11"/>
    <w:qFormat/>
    <w:uiPriority w:val="0"/>
    <w:rPr>
      <w:sz w:val="19"/>
      <w:szCs w:val="19"/>
    </w:rPr>
  </w:style>
  <w:style w:type="character" w:customStyle="1" w:styleId="113">
    <w:name w:val="Font Style127"/>
    <w:unhideWhenUsed/>
    <w:qFormat/>
    <w:uiPriority w:val="0"/>
    <w:rPr>
      <w:rFonts w:hint="eastAsia" w:ascii="Times New Roman" w:hAnsi="Times New Roman" w:eastAsia="Times New Roman"/>
      <w:sz w:val="20"/>
    </w:rPr>
  </w:style>
  <w:style w:type="character" w:customStyle="1" w:styleId="114">
    <w:name w:val="Font Style105"/>
    <w:unhideWhenUsed/>
    <w:qFormat/>
    <w:uiPriority w:val="0"/>
    <w:rPr>
      <w:rFonts w:hint="eastAsia" w:ascii="Times New Roman" w:hAnsi="Times New Roman" w:eastAsia="Times New Roman"/>
      <w:w w:val="60"/>
      <w:sz w:val="26"/>
    </w:rPr>
  </w:style>
  <w:style w:type="character" w:customStyle="1" w:styleId="115">
    <w:name w:val="纯文本 Char2"/>
    <w:qFormat/>
    <w:uiPriority w:val="0"/>
    <w:rPr>
      <w:rFonts w:ascii="宋体" w:hAnsi="Courier New" w:eastAsia="宋体"/>
      <w:kern w:val="2"/>
      <w:sz w:val="21"/>
      <w:szCs w:val="21"/>
      <w:lang w:val="en-US" w:eastAsia="zh-CN" w:bidi="ar-SA"/>
    </w:rPr>
  </w:style>
  <w:style w:type="character" w:customStyle="1" w:styleId="116">
    <w:name w:val="content_table1"/>
    <w:qFormat/>
    <w:uiPriority w:val="0"/>
    <w:rPr>
      <w:sz w:val="19"/>
      <w:szCs w:val="19"/>
    </w:rPr>
  </w:style>
  <w:style w:type="character" w:customStyle="1" w:styleId="117">
    <w:name w:val="Char Char16"/>
    <w:qFormat/>
    <w:uiPriority w:val="0"/>
    <w:rPr>
      <w:rFonts w:ascii="宋体" w:hAnsi="Times New Roman" w:eastAsia="宋体"/>
      <w:b/>
      <w:sz w:val="24"/>
      <w:lang w:val="en-US" w:eastAsia="zh-CN" w:bidi="ar-SA"/>
    </w:rPr>
  </w:style>
  <w:style w:type="character" w:customStyle="1" w:styleId="118">
    <w:name w:val="title2"/>
    <w:qFormat/>
    <w:uiPriority w:val="0"/>
    <w:rPr>
      <w:b/>
      <w:color w:val="000000"/>
    </w:rPr>
  </w:style>
  <w:style w:type="character" w:customStyle="1" w:styleId="119">
    <w:name w:val="标题 3 Char"/>
    <w:qFormat/>
    <w:uiPriority w:val="0"/>
    <w:rPr>
      <w:rFonts w:ascii="Times New Roman" w:hAnsi="Times New Roman" w:eastAsia="宋体" w:cs="Times New Roman"/>
      <w:b/>
      <w:bCs/>
      <w:sz w:val="32"/>
      <w:szCs w:val="32"/>
    </w:rPr>
  </w:style>
  <w:style w:type="character" w:customStyle="1" w:styleId="120">
    <w:name w:val="sidecatalog-dot"/>
    <w:qFormat/>
    <w:uiPriority w:val="0"/>
    <w:rPr>
      <w:rFonts w:ascii="Times New Roman" w:hAnsi="Times New Roman" w:eastAsia="宋体"/>
    </w:rPr>
  </w:style>
  <w:style w:type="character" w:customStyle="1" w:styleId="121">
    <w:name w:val="标题 1 Char"/>
    <w:qFormat/>
    <w:uiPriority w:val="0"/>
    <w:rPr>
      <w:rFonts w:ascii="Times New Roman" w:hAnsi="Times New Roman" w:eastAsia="宋体" w:cs="Times New Roman"/>
      <w:b/>
      <w:bCs/>
      <w:kern w:val="44"/>
      <w:sz w:val="44"/>
      <w:szCs w:val="44"/>
    </w:rPr>
  </w:style>
  <w:style w:type="character" w:customStyle="1" w:styleId="122">
    <w:name w:val="Font Style121"/>
    <w:unhideWhenUsed/>
    <w:qFormat/>
    <w:uiPriority w:val="0"/>
    <w:rPr>
      <w:rFonts w:hint="eastAsia" w:ascii="宋体" w:hAnsi="宋体" w:eastAsia="宋体"/>
      <w:spacing w:val="-10"/>
      <w:sz w:val="30"/>
    </w:rPr>
  </w:style>
  <w:style w:type="character" w:customStyle="1" w:styleId="123">
    <w:name w:val="p0 Char"/>
    <w:link w:val="124"/>
    <w:qFormat/>
    <w:uiPriority w:val="0"/>
    <w:rPr>
      <w:rFonts w:eastAsia="宋体"/>
      <w:szCs w:val="21"/>
    </w:rPr>
  </w:style>
  <w:style w:type="paragraph" w:customStyle="1" w:styleId="124">
    <w:name w:val="p0"/>
    <w:basedOn w:val="1"/>
    <w:link w:val="123"/>
    <w:qFormat/>
    <w:uiPriority w:val="0"/>
    <w:pPr>
      <w:widowControl/>
    </w:pPr>
    <w:rPr>
      <w:kern w:val="0"/>
      <w:sz w:val="20"/>
      <w:szCs w:val="21"/>
    </w:rPr>
  </w:style>
  <w:style w:type="character" w:customStyle="1" w:styleId="125">
    <w:name w:val="Char Char15"/>
    <w:qFormat/>
    <w:uiPriority w:val="0"/>
    <w:rPr>
      <w:b/>
      <w:bCs/>
      <w:sz w:val="24"/>
      <w:szCs w:val="24"/>
    </w:rPr>
  </w:style>
  <w:style w:type="character" w:customStyle="1" w:styleId="126">
    <w:name w:val="Font Style115"/>
    <w:unhideWhenUsed/>
    <w:qFormat/>
    <w:uiPriority w:val="0"/>
    <w:rPr>
      <w:rFonts w:hint="eastAsia" w:ascii="Times New Roman" w:hAnsi="Times New Roman" w:eastAsia="Times New Roman"/>
      <w:sz w:val="16"/>
    </w:rPr>
  </w:style>
  <w:style w:type="character" w:customStyle="1" w:styleId="127">
    <w:name w:val="polysemyred"/>
    <w:qFormat/>
    <w:uiPriority w:val="0"/>
    <w:rPr>
      <w:rFonts w:ascii="Times New Roman" w:hAnsi="Times New Roman" w:eastAsia="宋体"/>
      <w:color w:val="FF6666"/>
      <w:sz w:val="18"/>
      <w:szCs w:val="18"/>
    </w:rPr>
  </w:style>
  <w:style w:type="character" w:customStyle="1" w:styleId="128">
    <w:name w:val="Font Style119"/>
    <w:unhideWhenUsed/>
    <w:qFormat/>
    <w:uiPriority w:val="0"/>
    <w:rPr>
      <w:rFonts w:hint="eastAsia" w:ascii="宋体" w:hAnsi="宋体" w:eastAsia="宋体"/>
      <w:sz w:val="24"/>
    </w:rPr>
  </w:style>
  <w:style w:type="character" w:customStyle="1" w:styleId="129">
    <w:name w:val="bds_more7"/>
    <w:qFormat/>
    <w:uiPriority w:val="0"/>
    <w:rPr>
      <w:rFonts w:ascii="Times New Roman" w:hAnsi="Times New Roman" w:eastAsia="宋体"/>
    </w:rPr>
  </w:style>
  <w:style w:type="character" w:customStyle="1" w:styleId="130">
    <w:name w:val="标题 5 Char"/>
    <w:qFormat/>
    <w:uiPriority w:val="0"/>
    <w:rPr>
      <w:rFonts w:ascii="Times New Roman" w:hAnsi="Times New Roman" w:eastAsia="宋体" w:cs="Times New Roman"/>
      <w:b/>
      <w:bCs/>
      <w:sz w:val="28"/>
      <w:szCs w:val="28"/>
    </w:rPr>
  </w:style>
  <w:style w:type="character" w:customStyle="1" w:styleId="131">
    <w:name w:val="Char Char17"/>
    <w:qFormat/>
    <w:uiPriority w:val="0"/>
    <w:rPr>
      <w:rFonts w:ascii="宋体" w:hAnsi="Times New Roman" w:eastAsia="宋体"/>
      <w:b/>
      <w:sz w:val="28"/>
      <w:lang w:val="en-US" w:eastAsia="zh-CN" w:bidi="ar-SA"/>
    </w:rPr>
  </w:style>
  <w:style w:type="character" w:customStyle="1" w:styleId="132">
    <w:name w:val="desc"/>
    <w:qFormat/>
    <w:uiPriority w:val="0"/>
    <w:rPr>
      <w:rFonts w:ascii="Times New Roman" w:hAnsi="Times New Roman" w:eastAsia="宋体"/>
      <w:color w:val="000000"/>
      <w:sz w:val="18"/>
      <w:szCs w:val="18"/>
    </w:rPr>
  </w:style>
  <w:style w:type="character" w:customStyle="1" w:styleId="133">
    <w:name w:val="bds_more10"/>
    <w:qFormat/>
    <w:uiPriority w:val="0"/>
    <w:rPr>
      <w:rFonts w:ascii="Times New Roman" w:hAnsi="Times New Roman" w:eastAsia="宋体"/>
    </w:rPr>
  </w:style>
  <w:style w:type="character" w:customStyle="1" w:styleId="134">
    <w:name w:val="样式2 Char Char"/>
    <w:qFormat/>
    <w:uiPriority w:val="0"/>
    <w:rPr>
      <w:rFonts w:eastAsia="宋体"/>
      <w:kern w:val="2"/>
      <w:sz w:val="18"/>
      <w:szCs w:val="18"/>
      <w:lang w:val="en-US" w:eastAsia="zh-CN" w:bidi="ar-SA"/>
    </w:rPr>
  </w:style>
  <w:style w:type="character" w:customStyle="1" w:styleId="135">
    <w:name w:val="Char Char6"/>
    <w:qFormat/>
    <w:uiPriority w:val="0"/>
    <w:rPr>
      <w:rFonts w:ascii="Arial" w:hAnsi="Arial" w:eastAsia="黑体"/>
      <w:sz w:val="24"/>
      <w:szCs w:val="24"/>
      <w:lang w:val="en-US" w:eastAsia="zh-CN" w:bidi="ar-SA"/>
    </w:rPr>
  </w:style>
  <w:style w:type="character" w:customStyle="1" w:styleId="136">
    <w:name w:val="Font Style134"/>
    <w:unhideWhenUsed/>
    <w:qFormat/>
    <w:uiPriority w:val="0"/>
    <w:rPr>
      <w:rFonts w:hint="eastAsia" w:ascii="宋体" w:hAnsi="宋体" w:eastAsia="宋体"/>
      <w:spacing w:val="20"/>
      <w:sz w:val="22"/>
    </w:rPr>
  </w:style>
  <w:style w:type="character" w:customStyle="1" w:styleId="137">
    <w:name w:val="morelink-item"/>
    <w:qFormat/>
    <w:uiPriority w:val="0"/>
    <w:rPr>
      <w:rFonts w:ascii="Times New Roman" w:hAnsi="Times New Roman" w:eastAsia="宋体"/>
    </w:rPr>
  </w:style>
  <w:style w:type="character" w:customStyle="1" w:styleId="138">
    <w:name w:val="content_1"/>
    <w:qFormat/>
    <w:uiPriority w:val="0"/>
    <w:rPr>
      <w:sz w:val="19"/>
      <w:szCs w:val="19"/>
    </w:rPr>
  </w:style>
  <w:style w:type="character" w:customStyle="1" w:styleId="139">
    <w:name w:val="Font Style117"/>
    <w:unhideWhenUsed/>
    <w:qFormat/>
    <w:uiPriority w:val="0"/>
    <w:rPr>
      <w:rFonts w:hint="eastAsia" w:ascii="宋体" w:hAnsi="宋体" w:eastAsia="宋体"/>
      <w:spacing w:val="20"/>
      <w:sz w:val="24"/>
    </w:rPr>
  </w:style>
  <w:style w:type="character" w:customStyle="1" w:styleId="140">
    <w:name w:val="polysemyexp"/>
    <w:qFormat/>
    <w:uiPriority w:val="0"/>
    <w:rPr>
      <w:rFonts w:ascii="Times New Roman" w:hAnsi="Times New Roman" w:eastAsia="宋体"/>
      <w:color w:val="AAAAAA"/>
      <w:sz w:val="18"/>
      <w:szCs w:val="18"/>
    </w:rPr>
  </w:style>
  <w:style w:type="character" w:customStyle="1" w:styleId="141">
    <w:name w:val="正文文本缩进 3 Char"/>
    <w:qFormat/>
    <w:uiPriority w:val="0"/>
    <w:rPr>
      <w:rFonts w:ascii="Times New Roman" w:hAnsi="Times New Roman" w:eastAsia="宋体" w:cs="Times New Roman"/>
      <w:sz w:val="16"/>
      <w:szCs w:val="16"/>
    </w:rPr>
  </w:style>
  <w:style w:type="character" w:customStyle="1" w:styleId="142">
    <w:name w:val="sidecatalog-index1"/>
    <w:qFormat/>
    <w:uiPriority w:val="0"/>
    <w:rPr>
      <w:rFonts w:ascii="Arial" w:hAnsi="Arial" w:eastAsia="宋体" w:cs="Arial"/>
      <w:b/>
      <w:color w:val="999999"/>
      <w:sz w:val="21"/>
      <w:szCs w:val="21"/>
    </w:rPr>
  </w:style>
  <w:style w:type="character" w:customStyle="1" w:styleId="143">
    <w:name w:val="Font Style90"/>
    <w:unhideWhenUsed/>
    <w:qFormat/>
    <w:uiPriority w:val="0"/>
    <w:rPr>
      <w:rFonts w:hint="eastAsia" w:ascii="宋体" w:hAnsi="宋体" w:eastAsia="宋体"/>
      <w:b/>
      <w:spacing w:val="-20"/>
      <w:sz w:val="40"/>
    </w:rPr>
  </w:style>
  <w:style w:type="character" w:customStyle="1" w:styleId="144">
    <w:name w:val="sidecatalog-index2"/>
    <w:qFormat/>
    <w:uiPriority w:val="0"/>
    <w:rPr>
      <w:rFonts w:ascii="Arail" w:hAnsi="Arail" w:eastAsia="Arail" w:cs="Arail"/>
      <w:color w:val="999999"/>
      <w:sz w:val="21"/>
      <w:szCs w:val="21"/>
    </w:rPr>
  </w:style>
  <w:style w:type="character" w:customStyle="1" w:styleId="145">
    <w:name w:val="bds_more9"/>
    <w:qFormat/>
    <w:uiPriority w:val="0"/>
    <w:rPr>
      <w:rFonts w:ascii="Times New Roman" w:hAnsi="Times New Roman" w:eastAsia="宋体"/>
    </w:rPr>
  </w:style>
  <w:style w:type="character" w:customStyle="1" w:styleId="146">
    <w:name w:val="Font Style122"/>
    <w:unhideWhenUsed/>
    <w:qFormat/>
    <w:uiPriority w:val="0"/>
    <w:rPr>
      <w:rFonts w:hint="eastAsia" w:ascii="宋体" w:hAnsi="宋体" w:eastAsia="宋体"/>
      <w:spacing w:val="20"/>
      <w:sz w:val="24"/>
    </w:rPr>
  </w:style>
  <w:style w:type="character" w:customStyle="1" w:styleId="147">
    <w:name w:val="Font Style133"/>
    <w:unhideWhenUsed/>
    <w:qFormat/>
    <w:uiPriority w:val="0"/>
    <w:rPr>
      <w:rFonts w:hint="eastAsia" w:ascii="宋体" w:hAnsi="宋体" w:eastAsia="宋体"/>
      <w:spacing w:val="30"/>
      <w:sz w:val="24"/>
    </w:rPr>
  </w:style>
  <w:style w:type="character" w:customStyle="1" w:styleId="148">
    <w:name w:val="bds_nopic"/>
    <w:qFormat/>
    <w:uiPriority w:val="0"/>
    <w:rPr>
      <w:rFonts w:ascii="Times New Roman" w:hAnsi="Times New Roman" w:eastAsia="宋体"/>
    </w:rPr>
  </w:style>
  <w:style w:type="character" w:customStyle="1" w:styleId="149">
    <w:name w:val="bds_more8"/>
    <w:qFormat/>
    <w:uiPriority w:val="0"/>
    <w:rPr>
      <w:rFonts w:ascii="Times New Roman" w:hAnsi="Times New Roman" w:eastAsia="宋体"/>
    </w:rPr>
  </w:style>
  <w:style w:type="character" w:customStyle="1" w:styleId="150">
    <w:name w:val="标题 8 Char"/>
    <w:qFormat/>
    <w:uiPriority w:val="0"/>
    <w:rPr>
      <w:rFonts w:ascii="Cambria" w:hAnsi="Cambria" w:eastAsia="宋体" w:cs="Times New Roman"/>
      <w:sz w:val="24"/>
      <w:szCs w:val="24"/>
    </w:rPr>
  </w:style>
  <w:style w:type="character" w:customStyle="1" w:styleId="151">
    <w:name w:val="Font Style123"/>
    <w:unhideWhenUsed/>
    <w:qFormat/>
    <w:uiPriority w:val="0"/>
    <w:rPr>
      <w:rFonts w:hint="eastAsia" w:ascii="宋体" w:hAnsi="宋体" w:eastAsia="宋体"/>
      <w:b/>
      <w:sz w:val="32"/>
    </w:rPr>
  </w:style>
  <w:style w:type="character" w:customStyle="1" w:styleId="152">
    <w:name w:val="Font Style131"/>
    <w:unhideWhenUsed/>
    <w:qFormat/>
    <w:uiPriority w:val="0"/>
    <w:rPr>
      <w:rFonts w:hint="eastAsia" w:ascii="Times New Roman" w:hAnsi="Times New Roman" w:eastAsia="Times New Roman"/>
      <w:sz w:val="18"/>
    </w:rPr>
  </w:style>
  <w:style w:type="character" w:customStyle="1" w:styleId="153">
    <w:name w:val="bds_nopic2"/>
    <w:qFormat/>
    <w:uiPriority w:val="0"/>
    <w:rPr>
      <w:rFonts w:ascii="Times New Roman" w:hAnsi="Times New Roman" w:eastAsia="宋体"/>
    </w:rPr>
  </w:style>
  <w:style w:type="character" w:customStyle="1" w:styleId="154">
    <w:name w:val="Font Style128"/>
    <w:unhideWhenUsed/>
    <w:qFormat/>
    <w:uiPriority w:val="0"/>
    <w:rPr>
      <w:rFonts w:hint="eastAsia" w:ascii="Times New Roman" w:hAnsi="Times New Roman" w:eastAsia="Times New Roman"/>
      <w:sz w:val="16"/>
    </w:rPr>
  </w:style>
  <w:style w:type="character" w:customStyle="1" w:styleId="155">
    <w:name w:val="title_1"/>
    <w:qFormat/>
    <w:uiPriority w:val="0"/>
    <w:rPr>
      <w:b/>
      <w:sz w:val="30"/>
      <w:szCs w:val="30"/>
    </w:rPr>
  </w:style>
  <w:style w:type="character" w:customStyle="1" w:styleId="156">
    <w:name w:val="日期 Char"/>
    <w:qFormat/>
    <w:uiPriority w:val="0"/>
    <w:rPr>
      <w:rFonts w:ascii="Times New Roman" w:hAnsi="Times New Roman" w:eastAsia="宋体" w:cs="Times New Roman"/>
      <w:szCs w:val="24"/>
    </w:rPr>
  </w:style>
  <w:style w:type="character" w:customStyle="1" w:styleId="157">
    <w:name w:val="NormalCharacter"/>
    <w:qFormat/>
    <w:uiPriority w:val="0"/>
  </w:style>
  <w:style w:type="character" w:customStyle="1" w:styleId="158">
    <w:name w:val="bds_more6"/>
    <w:qFormat/>
    <w:uiPriority w:val="0"/>
    <w:rPr>
      <w:rFonts w:hint="eastAsia" w:ascii="宋体" w:hAnsi="宋体" w:eastAsia="宋体" w:cs="宋体"/>
    </w:rPr>
  </w:style>
  <w:style w:type="character" w:customStyle="1" w:styleId="159">
    <w:name w:val="Font Style126"/>
    <w:unhideWhenUsed/>
    <w:qFormat/>
    <w:uiPriority w:val="0"/>
    <w:rPr>
      <w:rFonts w:hint="eastAsia" w:ascii="宋体" w:hAnsi="宋体" w:eastAsia="宋体"/>
      <w:b/>
      <w:spacing w:val="-30"/>
      <w:sz w:val="28"/>
    </w:rPr>
  </w:style>
  <w:style w:type="character" w:customStyle="1" w:styleId="160">
    <w:name w:val="title_2"/>
    <w:qFormat/>
    <w:uiPriority w:val="0"/>
    <w:rPr>
      <w:b/>
      <w:sz w:val="19"/>
      <w:szCs w:val="19"/>
    </w:rPr>
  </w:style>
  <w:style w:type="character" w:customStyle="1" w:styleId="161">
    <w:name w:val="Font Style104"/>
    <w:unhideWhenUsed/>
    <w:qFormat/>
    <w:uiPriority w:val="0"/>
    <w:rPr>
      <w:rFonts w:hint="eastAsia" w:ascii="宋体" w:hAnsi="宋体" w:eastAsia="宋体"/>
      <w:spacing w:val="30"/>
      <w:sz w:val="18"/>
    </w:rPr>
  </w:style>
  <w:style w:type="character" w:customStyle="1" w:styleId="162">
    <w:name w:val="标题 2 Char"/>
    <w:qFormat/>
    <w:uiPriority w:val="0"/>
    <w:rPr>
      <w:rFonts w:ascii="Cambria" w:hAnsi="Cambria" w:eastAsia="宋体" w:cs="Times New Roman"/>
      <w:b/>
      <w:bCs/>
      <w:sz w:val="32"/>
      <w:szCs w:val="32"/>
    </w:rPr>
  </w:style>
  <w:style w:type="character" w:customStyle="1" w:styleId="163">
    <w:name w:val="标题 9 Char"/>
    <w:qFormat/>
    <w:uiPriority w:val="0"/>
    <w:rPr>
      <w:rFonts w:ascii="Cambria" w:hAnsi="Cambria" w:eastAsia="宋体" w:cs="Times New Roman"/>
      <w:szCs w:val="21"/>
    </w:rPr>
  </w:style>
  <w:style w:type="character" w:customStyle="1" w:styleId="164">
    <w:name w:val="title22"/>
    <w:qFormat/>
    <w:uiPriority w:val="0"/>
    <w:rPr>
      <w:b/>
      <w:color w:val="000000"/>
    </w:rPr>
  </w:style>
  <w:style w:type="character" w:customStyle="1" w:styleId="165">
    <w:name w:val="sort1"/>
    <w:qFormat/>
    <w:uiPriority w:val="0"/>
    <w:rPr>
      <w:rFonts w:ascii="Times New Roman" w:hAnsi="Times New Roman" w:eastAsia="宋体"/>
    </w:rPr>
  </w:style>
  <w:style w:type="character" w:customStyle="1" w:styleId="166">
    <w:name w:val="Font Style124"/>
    <w:unhideWhenUsed/>
    <w:qFormat/>
    <w:uiPriority w:val="0"/>
    <w:rPr>
      <w:rFonts w:hint="eastAsia" w:ascii="宋体" w:hAnsi="宋体" w:eastAsia="宋体"/>
      <w:spacing w:val="30"/>
      <w:sz w:val="24"/>
    </w:rPr>
  </w:style>
  <w:style w:type="character" w:customStyle="1" w:styleId="167">
    <w:name w:val="title21"/>
    <w:qFormat/>
    <w:uiPriority w:val="0"/>
    <w:rPr>
      <w:b/>
      <w:color w:val="000000"/>
    </w:rPr>
  </w:style>
  <w:style w:type="character" w:customStyle="1" w:styleId="168">
    <w:name w:val="content_2"/>
    <w:qFormat/>
    <w:uiPriority w:val="0"/>
    <w:rPr>
      <w:sz w:val="19"/>
      <w:szCs w:val="19"/>
    </w:rPr>
  </w:style>
  <w:style w:type="character" w:customStyle="1" w:styleId="169">
    <w:name w:val="标题 4 Char Char"/>
    <w:qFormat/>
    <w:uiPriority w:val="0"/>
    <w:rPr>
      <w:rFonts w:ascii="Arial" w:hAnsi="Arial" w:eastAsia="宋体"/>
      <w:b/>
      <w:bCs/>
      <w:kern w:val="2"/>
      <w:sz w:val="21"/>
      <w:szCs w:val="28"/>
      <w:lang w:val="en-US" w:eastAsia="zh-CN" w:bidi="ar-SA"/>
    </w:rPr>
  </w:style>
  <w:style w:type="character" w:customStyle="1" w:styleId="170">
    <w:name w:val="lemmatitleh12"/>
    <w:qFormat/>
    <w:uiPriority w:val="0"/>
    <w:rPr>
      <w:rFonts w:ascii="Times New Roman" w:hAnsi="Times New Roman" w:eastAsia="宋体"/>
    </w:rPr>
  </w:style>
  <w:style w:type="character" w:customStyle="1" w:styleId="171">
    <w:name w:val="sidecatalog-dot1"/>
    <w:qFormat/>
    <w:uiPriority w:val="0"/>
    <w:rPr>
      <w:rFonts w:ascii="Times New Roman" w:hAnsi="Times New Roman" w:eastAsia="宋体"/>
    </w:rPr>
  </w:style>
  <w:style w:type="character" w:customStyle="1" w:styleId="172">
    <w:name w:val="标题 4 Char"/>
    <w:qFormat/>
    <w:uiPriority w:val="0"/>
    <w:rPr>
      <w:rFonts w:ascii="Cambria" w:hAnsi="Cambria" w:eastAsia="宋体" w:cs="Times New Roman"/>
      <w:b/>
      <w:bCs/>
      <w:sz w:val="28"/>
      <w:szCs w:val="28"/>
    </w:rPr>
  </w:style>
  <w:style w:type="character" w:customStyle="1" w:styleId="173">
    <w:name w:val="标题 Char1"/>
    <w:qFormat/>
    <w:uiPriority w:val="0"/>
    <w:rPr>
      <w:rFonts w:ascii="Cambria" w:hAnsi="Cambria" w:eastAsia="宋体" w:cs="Times New Roman"/>
      <w:b/>
      <w:bCs/>
      <w:sz w:val="32"/>
      <w:szCs w:val="32"/>
    </w:rPr>
  </w:style>
  <w:style w:type="character" w:customStyle="1" w:styleId="174">
    <w:name w:val="Font Style125"/>
    <w:unhideWhenUsed/>
    <w:qFormat/>
    <w:uiPriority w:val="0"/>
    <w:rPr>
      <w:rFonts w:hint="eastAsia" w:ascii="宋体" w:hAnsi="宋体" w:eastAsia="宋体"/>
      <w:b/>
      <w:sz w:val="26"/>
    </w:rPr>
  </w:style>
  <w:style w:type="character" w:customStyle="1" w:styleId="175">
    <w:name w:val="页脚 Char1"/>
    <w:qFormat/>
    <w:uiPriority w:val="0"/>
    <w:rPr>
      <w:rFonts w:eastAsia="宋体"/>
      <w:kern w:val="2"/>
      <w:sz w:val="18"/>
      <w:szCs w:val="18"/>
      <w:lang w:val="en-US" w:eastAsia="zh-CN" w:bidi="ar-SA"/>
    </w:rPr>
  </w:style>
  <w:style w:type="character" w:customStyle="1" w:styleId="176">
    <w:name w:val="sort"/>
    <w:qFormat/>
    <w:uiPriority w:val="0"/>
    <w:rPr>
      <w:rFonts w:ascii="Times New Roman" w:hAnsi="Times New Roman" w:eastAsia="宋体"/>
      <w:color w:val="FFFFFF"/>
      <w:bdr w:val="single" w:color="auto" w:sz="24" w:space="0"/>
    </w:rPr>
  </w:style>
  <w:style w:type="character" w:customStyle="1" w:styleId="177">
    <w:name w:val="bds_nopic1"/>
    <w:qFormat/>
    <w:uiPriority w:val="0"/>
    <w:rPr>
      <w:rFonts w:ascii="Times New Roman" w:hAnsi="Times New Roman" w:eastAsia="宋体"/>
    </w:rPr>
  </w:style>
  <w:style w:type="character" w:customStyle="1" w:styleId="178">
    <w:name w:val="title_3"/>
    <w:qFormat/>
    <w:uiPriority w:val="0"/>
    <w:rPr>
      <w:b/>
      <w:sz w:val="15"/>
      <w:szCs w:val="15"/>
    </w:rPr>
  </w:style>
  <w:style w:type="character" w:customStyle="1" w:styleId="179">
    <w:name w:val="Font Style116"/>
    <w:unhideWhenUsed/>
    <w:qFormat/>
    <w:uiPriority w:val="0"/>
    <w:rPr>
      <w:rFonts w:hint="eastAsia" w:ascii="宋体" w:hAnsi="宋体" w:eastAsia="宋体"/>
      <w:spacing w:val="-20"/>
      <w:sz w:val="24"/>
    </w:rPr>
  </w:style>
  <w:style w:type="paragraph" w:customStyle="1" w:styleId="180">
    <w:name w:val="NO3"/>
    <w:basedOn w:val="1"/>
    <w:qFormat/>
    <w:uiPriority w:val="0"/>
    <w:pPr>
      <w:tabs>
        <w:tab w:val="left" w:pos="907"/>
      </w:tabs>
      <w:spacing w:line="360" w:lineRule="auto"/>
    </w:pPr>
    <w:rPr>
      <w:rFonts w:ascii="宋体" w:hAnsi="宋体"/>
      <w:sz w:val="24"/>
    </w:rPr>
  </w:style>
  <w:style w:type="paragraph" w:customStyle="1" w:styleId="181">
    <w:name w:val="xl78"/>
    <w:basedOn w:val="1"/>
    <w:qFormat/>
    <w:uiPriority w:val="0"/>
    <w:pPr>
      <w:widowControl/>
      <w:pBdr>
        <w:top w:val="single" w:color="000000" w:sz="8" w:space="0"/>
      </w:pBdr>
      <w:spacing w:before="100" w:beforeAutospacing="1" w:after="100" w:afterAutospacing="1"/>
      <w:jc w:val="left"/>
    </w:pPr>
    <w:rPr>
      <w:rFonts w:ascii="宋体" w:hAnsi="宋体" w:cs="宋体"/>
      <w:kern w:val="0"/>
      <w:sz w:val="24"/>
    </w:rPr>
  </w:style>
  <w:style w:type="paragraph" w:customStyle="1" w:styleId="182">
    <w:name w:val="Char Char Char"/>
    <w:basedOn w:val="1"/>
    <w:qFormat/>
    <w:uiPriority w:val="0"/>
    <w:rPr>
      <w:rFonts w:ascii="宋体" w:hAnsi="宋体"/>
      <w:b/>
      <w:sz w:val="28"/>
      <w:szCs w:val="28"/>
    </w:rPr>
  </w:style>
  <w:style w:type="paragraph" w:customStyle="1" w:styleId="183">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84">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85">
    <w:name w:val="Style44"/>
    <w:basedOn w:val="1"/>
    <w:unhideWhenUsed/>
    <w:qFormat/>
    <w:uiPriority w:val="0"/>
  </w:style>
  <w:style w:type="paragraph" w:customStyle="1" w:styleId="18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18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188">
    <w:name w:val="表格内容"/>
    <w:basedOn w:val="17"/>
    <w:qFormat/>
    <w:uiPriority w:val="0"/>
    <w:pPr>
      <w:suppressLineNumbers/>
      <w:suppressAutoHyphens/>
      <w:jc w:val="left"/>
    </w:pPr>
    <w:rPr>
      <w:rFonts w:cs="Tahoma"/>
      <w:sz w:val="24"/>
    </w:rPr>
  </w:style>
  <w:style w:type="paragraph" w:customStyle="1" w:styleId="189">
    <w:name w:val="xl79"/>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9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1">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92">
    <w:name w:val="xl8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193">
    <w:name w:val="Style48"/>
    <w:basedOn w:val="1"/>
    <w:unhideWhenUsed/>
    <w:qFormat/>
    <w:uiPriority w:val="0"/>
    <w:pPr>
      <w:spacing w:line="542" w:lineRule="exact"/>
      <w:jc w:val="right"/>
    </w:pPr>
  </w:style>
  <w:style w:type="paragraph" w:customStyle="1" w:styleId="19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95">
    <w:name w:val="_Style 187"/>
    <w:qFormat/>
    <w:uiPriority w:val="0"/>
    <w:rPr>
      <w:rFonts w:ascii="Times New Roman" w:hAnsi="Times New Roman" w:eastAsia="宋体" w:cs="Times New Roman"/>
      <w:kern w:val="2"/>
      <w:sz w:val="21"/>
      <w:szCs w:val="24"/>
      <w:lang w:val="en-US" w:eastAsia="zh-CN" w:bidi="ar-SA"/>
    </w:rPr>
  </w:style>
  <w:style w:type="paragraph" w:customStyle="1" w:styleId="196">
    <w:name w:val="Style24"/>
    <w:basedOn w:val="1"/>
    <w:unhideWhenUsed/>
    <w:qFormat/>
    <w:uiPriority w:val="0"/>
  </w:style>
  <w:style w:type="paragraph" w:customStyle="1" w:styleId="197">
    <w:name w:val="Style13"/>
    <w:basedOn w:val="1"/>
    <w:unhideWhenUsed/>
    <w:qFormat/>
    <w:uiPriority w:val="0"/>
  </w:style>
  <w:style w:type="paragraph" w:customStyle="1" w:styleId="198">
    <w:name w:val="Style74"/>
    <w:basedOn w:val="1"/>
    <w:unhideWhenUsed/>
    <w:qFormat/>
    <w:uiPriority w:val="0"/>
    <w:pPr>
      <w:spacing w:line="437" w:lineRule="exact"/>
    </w:pPr>
  </w:style>
  <w:style w:type="paragraph" w:customStyle="1" w:styleId="199">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200">
    <w:name w:val="9小四表格正文"/>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201">
    <w:name w:val="xl75"/>
    <w:basedOn w:val="1"/>
    <w:qFormat/>
    <w:uiPriority w:val="0"/>
    <w:pPr>
      <w:widowControl/>
      <w:pBdr>
        <w:top w:val="single" w:color="000000" w:sz="8" w:space="0"/>
      </w:pBdr>
      <w:spacing w:before="100" w:beforeAutospacing="1" w:after="100" w:afterAutospacing="1"/>
      <w:jc w:val="left"/>
      <w:textAlignment w:val="center"/>
    </w:pPr>
    <w:rPr>
      <w:rFonts w:ascii="宋体" w:hAnsi="宋体" w:cs="宋体"/>
      <w:kern w:val="0"/>
      <w:sz w:val="24"/>
    </w:rPr>
  </w:style>
  <w:style w:type="paragraph" w:customStyle="1" w:styleId="202">
    <w:name w:val="标题2"/>
    <w:basedOn w:val="44"/>
    <w:qFormat/>
    <w:uiPriority w:val="0"/>
    <w:pPr>
      <w:spacing w:after="240"/>
      <w:jc w:val="left"/>
    </w:pPr>
    <w:rPr>
      <w:sz w:val="30"/>
    </w:rPr>
  </w:style>
  <w:style w:type="paragraph" w:customStyle="1" w:styleId="203">
    <w:name w:val="Style45"/>
    <w:basedOn w:val="1"/>
    <w:unhideWhenUsed/>
    <w:qFormat/>
    <w:uiPriority w:val="0"/>
  </w:style>
  <w:style w:type="paragraph" w:customStyle="1" w:styleId="20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Style71"/>
    <w:basedOn w:val="1"/>
    <w:unhideWhenUsed/>
    <w:qFormat/>
    <w:uiPriority w:val="0"/>
    <w:pPr>
      <w:spacing w:line="538" w:lineRule="exact"/>
      <w:ind w:firstLine="101"/>
    </w:pPr>
  </w:style>
  <w:style w:type="paragraph" w:customStyle="1" w:styleId="206">
    <w:name w:val="Char1 Char Char Char Char Char Char Char Char Char"/>
    <w:basedOn w:val="1"/>
    <w:qFormat/>
    <w:uiPriority w:val="0"/>
    <w:rPr>
      <w:szCs w:val="20"/>
    </w:rPr>
  </w:style>
  <w:style w:type="paragraph" w:customStyle="1" w:styleId="207">
    <w:name w:val="Char1 Char Char Char 字元 Char Char 字元 Char 字元 Char1 Char Char Char"/>
    <w:basedOn w:val="1"/>
    <w:qFormat/>
    <w:uiPriority w:val="0"/>
    <w:rPr>
      <w:szCs w:val="20"/>
    </w:rPr>
  </w:style>
  <w:style w:type="paragraph" w:customStyle="1" w:styleId="208">
    <w:name w:val="Style60"/>
    <w:basedOn w:val="1"/>
    <w:unhideWhenUsed/>
    <w:qFormat/>
    <w:uiPriority w:val="0"/>
    <w:pPr>
      <w:spacing w:line="566" w:lineRule="exact"/>
    </w:pPr>
  </w:style>
  <w:style w:type="paragraph" w:customStyle="1" w:styleId="209">
    <w:name w:val="xl74"/>
    <w:basedOn w:val="1"/>
    <w:qFormat/>
    <w:uiPriority w:val="0"/>
    <w:pPr>
      <w:widowControl/>
      <w:pBdr>
        <w:top w:val="single" w:color="000000" w:sz="8" w:space="0"/>
      </w:pBdr>
      <w:spacing w:before="100" w:beforeAutospacing="1" w:after="100" w:afterAutospacing="1"/>
      <w:jc w:val="center"/>
      <w:textAlignment w:val="center"/>
    </w:pPr>
    <w:rPr>
      <w:rFonts w:ascii="宋体" w:hAnsi="宋体" w:cs="宋体"/>
      <w:kern w:val="0"/>
      <w:sz w:val="24"/>
    </w:rPr>
  </w:style>
  <w:style w:type="paragraph" w:customStyle="1" w:styleId="210">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1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12">
    <w:name w:val="Char Char Char1 Char"/>
    <w:basedOn w:val="1"/>
    <w:qFormat/>
    <w:uiPriority w:val="0"/>
    <w:pPr>
      <w:tabs>
        <w:tab w:val="left" w:pos="360"/>
      </w:tabs>
      <w:snapToGrid w:val="0"/>
      <w:spacing w:line="360" w:lineRule="auto"/>
    </w:pPr>
    <w:rPr>
      <w:rFonts w:eastAsia="仿宋_GB2312" w:cs="宋体"/>
      <w:sz w:val="24"/>
    </w:rPr>
  </w:style>
  <w:style w:type="paragraph" w:styleId="213">
    <w:name w:val="List Paragraph"/>
    <w:basedOn w:val="1"/>
    <w:qFormat/>
    <w:uiPriority w:val="0"/>
    <w:pPr>
      <w:ind w:firstLine="420" w:firstLineChars="200"/>
    </w:pPr>
    <w:rPr>
      <w:rFonts w:ascii="Calibri" w:hAnsi="Calibri"/>
      <w:szCs w:val="22"/>
    </w:rPr>
  </w:style>
  <w:style w:type="paragraph" w:customStyle="1" w:styleId="214">
    <w:name w:val="Style58"/>
    <w:basedOn w:val="1"/>
    <w:unhideWhenUsed/>
    <w:qFormat/>
    <w:uiPriority w:val="0"/>
    <w:pPr>
      <w:spacing w:line="413" w:lineRule="exact"/>
    </w:pPr>
  </w:style>
  <w:style w:type="paragraph" w:customStyle="1" w:styleId="215">
    <w:name w:val="Style41"/>
    <w:basedOn w:val="1"/>
    <w:unhideWhenUsed/>
    <w:qFormat/>
    <w:uiPriority w:val="0"/>
    <w:pPr>
      <w:spacing w:line="542" w:lineRule="exact"/>
      <w:ind w:firstLine="125"/>
    </w:pPr>
  </w:style>
  <w:style w:type="paragraph" w:customStyle="1" w:styleId="216">
    <w:name w:val="Style23"/>
    <w:basedOn w:val="1"/>
    <w:unhideWhenUsed/>
    <w:qFormat/>
    <w:uiPriority w:val="0"/>
  </w:style>
  <w:style w:type="paragraph" w:customStyle="1" w:styleId="217">
    <w:name w:val="Style59"/>
    <w:basedOn w:val="1"/>
    <w:unhideWhenUsed/>
    <w:qFormat/>
    <w:uiPriority w:val="0"/>
  </w:style>
  <w:style w:type="paragraph" w:customStyle="1" w:styleId="218">
    <w:name w:val="Style21"/>
    <w:basedOn w:val="1"/>
    <w:unhideWhenUsed/>
    <w:qFormat/>
    <w:uiPriority w:val="0"/>
    <w:pPr>
      <w:spacing w:line="566" w:lineRule="exact"/>
      <w:ind w:firstLine="682"/>
    </w:pPr>
  </w:style>
  <w:style w:type="paragraph" w:customStyle="1" w:styleId="21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22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21">
    <w:name w:val="Style52"/>
    <w:basedOn w:val="1"/>
    <w:unhideWhenUsed/>
    <w:qFormat/>
    <w:uiPriority w:val="0"/>
    <w:pPr>
      <w:spacing w:line="682" w:lineRule="exact"/>
      <w:ind w:firstLine="557"/>
    </w:pPr>
  </w:style>
  <w:style w:type="paragraph" w:customStyle="1" w:styleId="222">
    <w:name w:val="Style36"/>
    <w:basedOn w:val="1"/>
    <w:unhideWhenUsed/>
    <w:qFormat/>
    <w:uiPriority w:val="0"/>
  </w:style>
  <w:style w:type="paragraph" w:customStyle="1" w:styleId="223">
    <w:name w:val="默认段落字体 Para Char Char Char Char Char Char Char Char Char Char Char Char Char Char Char Char Char Char Char"/>
    <w:basedOn w:val="1"/>
    <w:qFormat/>
    <w:uiPriority w:val="0"/>
  </w:style>
  <w:style w:type="paragraph" w:customStyle="1" w:styleId="224">
    <w:name w:val="1 Char Char Char Char"/>
    <w:basedOn w:val="1"/>
    <w:qFormat/>
    <w:uiPriority w:val="0"/>
  </w:style>
  <w:style w:type="paragraph" w:customStyle="1" w:styleId="225">
    <w:name w:val="Style76"/>
    <w:basedOn w:val="1"/>
    <w:unhideWhenUsed/>
    <w:qFormat/>
    <w:uiPriority w:val="0"/>
  </w:style>
  <w:style w:type="paragraph" w:customStyle="1" w:styleId="226">
    <w:name w:val="Style10"/>
    <w:basedOn w:val="1"/>
    <w:unhideWhenUsed/>
    <w:qFormat/>
    <w:uiPriority w:val="0"/>
    <w:pPr>
      <w:spacing w:line="538" w:lineRule="exact"/>
    </w:pPr>
  </w:style>
  <w:style w:type="paragraph" w:customStyle="1" w:styleId="227">
    <w:name w:val="Style11"/>
    <w:basedOn w:val="1"/>
    <w:unhideWhenUsed/>
    <w:qFormat/>
    <w:uiPriority w:val="0"/>
    <w:pPr>
      <w:spacing w:line="559" w:lineRule="exact"/>
      <w:ind w:firstLine="590"/>
    </w:pPr>
  </w:style>
  <w:style w:type="paragraph" w:customStyle="1" w:styleId="228">
    <w:name w:val="Style78"/>
    <w:basedOn w:val="1"/>
    <w:unhideWhenUsed/>
    <w:qFormat/>
    <w:uiPriority w:val="0"/>
  </w:style>
  <w:style w:type="paragraph" w:customStyle="1" w:styleId="229">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30">
    <w:name w:val="Style16"/>
    <w:basedOn w:val="1"/>
    <w:unhideWhenUsed/>
    <w:qFormat/>
    <w:uiPriority w:val="0"/>
    <w:pPr>
      <w:jc w:val="right"/>
    </w:pPr>
  </w:style>
  <w:style w:type="paragraph" w:customStyle="1" w:styleId="231">
    <w:name w:val="Style80"/>
    <w:basedOn w:val="1"/>
    <w:unhideWhenUsed/>
    <w:qFormat/>
    <w:uiPriority w:val="0"/>
  </w:style>
  <w:style w:type="paragraph" w:customStyle="1" w:styleId="232">
    <w:name w:val="Char Char1 Char Char Char"/>
    <w:basedOn w:val="1"/>
    <w:qFormat/>
    <w:uiPriority w:val="0"/>
    <w:rPr>
      <w:kern w:val="0"/>
      <w:sz w:val="20"/>
      <w:szCs w:val="20"/>
    </w:rPr>
  </w:style>
  <w:style w:type="paragraph" w:customStyle="1" w:styleId="233">
    <w:name w:val="Style8"/>
    <w:basedOn w:val="1"/>
    <w:unhideWhenUsed/>
    <w:qFormat/>
    <w:uiPriority w:val="0"/>
    <w:pPr>
      <w:spacing w:line="566" w:lineRule="exact"/>
      <w:jc w:val="center"/>
    </w:pPr>
  </w:style>
  <w:style w:type="paragraph" w:customStyle="1" w:styleId="234">
    <w:name w:val="Style77"/>
    <w:basedOn w:val="1"/>
    <w:unhideWhenUsed/>
    <w:qFormat/>
    <w:uiPriority w:val="0"/>
  </w:style>
  <w:style w:type="paragraph" w:customStyle="1" w:styleId="235">
    <w:name w:val="Char11"/>
    <w:basedOn w:val="1"/>
    <w:qFormat/>
    <w:uiPriority w:val="0"/>
    <w:pPr>
      <w:tabs>
        <w:tab w:val="left" w:pos="360"/>
      </w:tabs>
      <w:ind w:left="360" w:hanging="360" w:hangingChars="200"/>
    </w:pPr>
    <w:rPr>
      <w:sz w:val="24"/>
    </w:rPr>
  </w:style>
  <w:style w:type="paragraph" w:customStyle="1" w:styleId="236">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7">
    <w:name w:val="Style50"/>
    <w:basedOn w:val="1"/>
    <w:unhideWhenUsed/>
    <w:qFormat/>
    <w:uiPriority w:val="0"/>
  </w:style>
  <w:style w:type="paragraph" w:customStyle="1" w:styleId="238">
    <w:name w:val="Style28"/>
    <w:basedOn w:val="1"/>
    <w:unhideWhenUsed/>
    <w:qFormat/>
    <w:uiPriority w:val="0"/>
    <w:pPr>
      <w:spacing w:line="552" w:lineRule="exact"/>
      <w:ind w:firstLine="547"/>
    </w:pPr>
  </w:style>
  <w:style w:type="paragraph" w:customStyle="1" w:styleId="239">
    <w:name w:val="Style62"/>
    <w:basedOn w:val="1"/>
    <w:unhideWhenUsed/>
    <w:qFormat/>
    <w:uiPriority w:val="0"/>
  </w:style>
  <w:style w:type="paragraph" w:customStyle="1" w:styleId="240">
    <w:name w:val="List Paragraph1"/>
    <w:basedOn w:val="1"/>
    <w:qFormat/>
    <w:uiPriority w:val="0"/>
    <w:pPr>
      <w:ind w:firstLine="420" w:firstLineChars="200"/>
    </w:pPr>
    <w:rPr>
      <w:rFonts w:ascii="Calibri" w:hAnsi="Calibri" w:cs="Calibri"/>
      <w:szCs w:val="21"/>
    </w:rPr>
  </w:style>
  <w:style w:type="paragraph" w:customStyle="1" w:styleId="241">
    <w:name w:val="Style9"/>
    <w:basedOn w:val="1"/>
    <w:unhideWhenUsed/>
    <w:qFormat/>
    <w:uiPriority w:val="0"/>
  </w:style>
  <w:style w:type="paragraph" w:customStyle="1" w:styleId="24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243">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4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4"/>
    </w:rPr>
  </w:style>
  <w:style w:type="paragraph" w:customStyle="1" w:styleId="245">
    <w:name w:val="Style68"/>
    <w:basedOn w:val="1"/>
    <w:unhideWhenUsed/>
    <w:qFormat/>
    <w:uiPriority w:val="0"/>
    <w:pPr>
      <w:spacing w:line="547" w:lineRule="exact"/>
    </w:pPr>
  </w:style>
  <w:style w:type="paragraph" w:customStyle="1" w:styleId="246">
    <w:name w:val="标题 1 +"/>
    <w:basedOn w:val="2"/>
    <w:next w:val="1"/>
    <w:qFormat/>
    <w:uiPriority w:val="0"/>
    <w:pPr>
      <w:keepLines/>
      <w:spacing w:line="600" w:lineRule="auto"/>
    </w:pPr>
    <w:rPr>
      <w:rFonts w:eastAsia="黑体"/>
      <w:sz w:val="32"/>
      <w:szCs w:val="32"/>
    </w:rPr>
  </w:style>
  <w:style w:type="paragraph" w:customStyle="1" w:styleId="247">
    <w:name w:val="Style47"/>
    <w:basedOn w:val="1"/>
    <w:unhideWhenUsed/>
    <w:qFormat/>
    <w:uiPriority w:val="0"/>
  </w:style>
  <w:style w:type="paragraph" w:customStyle="1" w:styleId="248">
    <w:name w:val="Style54"/>
    <w:basedOn w:val="1"/>
    <w:unhideWhenUsed/>
    <w:qFormat/>
    <w:uiPriority w:val="0"/>
  </w:style>
  <w:style w:type="paragraph" w:customStyle="1" w:styleId="249">
    <w:name w:val="Style70"/>
    <w:basedOn w:val="1"/>
    <w:unhideWhenUsed/>
    <w:qFormat/>
    <w:uiPriority w:val="0"/>
    <w:pPr>
      <w:spacing w:line="549" w:lineRule="exact"/>
      <w:ind w:firstLine="686"/>
    </w:pPr>
  </w:style>
  <w:style w:type="paragraph" w:customStyle="1" w:styleId="25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251">
    <w:name w:val="Style34"/>
    <w:basedOn w:val="1"/>
    <w:unhideWhenUsed/>
    <w:qFormat/>
    <w:uiPriority w:val="0"/>
    <w:pPr>
      <w:spacing w:line="375" w:lineRule="exact"/>
    </w:pPr>
  </w:style>
  <w:style w:type="paragraph" w:customStyle="1" w:styleId="252">
    <w:name w:val="xl8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Microsoft Sans Serif" w:hAnsi="Microsoft Sans Serif" w:cs="Microsoft Sans Serif"/>
      <w:kern w:val="0"/>
      <w:sz w:val="24"/>
    </w:rPr>
  </w:style>
  <w:style w:type="paragraph" w:customStyle="1" w:styleId="253">
    <w:name w:val="xl8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254">
    <w:name w:val="Style73"/>
    <w:basedOn w:val="1"/>
    <w:unhideWhenUsed/>
    <w:qFormat/>
    <w:uiPriority w:val="0"/>
    <w:pPr>
      <w:spacing w:line="538" w:lineRule="exact"/>
      <w:ind w:firstLine="533"/>
    </w:pPr>
  </w:style>
  <w:style w:type="paragraph" w:customStyle="1" w:styleId="255">
    <w:name w:val="xl80"/>
    <w:basedOn w:val="1"/>
    <w:qFormat/>
    <w:uiPriority w:val="0"/>
    <w:pPr>
      <w:widowControl/>
      <w:pBdr>
        <w:bottom w:val="single" w:color="000000" w:sz="8" w:space="0"/>
      </w:pBdr>
      <w:spacing w:before="100" w:beforeAutospacing="1" w:after="100" w:afterAutospacing="1"/>
      <w:jc w:val="left"/>
      <w:textAlignment w:val="center"/>
    </w:pPr>
    <w:rPr>
      <w:rFonts w:ascii="宋体" w:hAnsi="宋体" w:cs="宋体"/>
      <w:kern w:val="0"/>
      <w:sz w:val="24"/>
    </w:rPr>
  </w:style>
  <w:style w:type="paragraph" w:customStyle="1" w:styleId="256">
    <w:name w:val="Style29"/>
    <w:basedOn w:val="1"/>
    <w:unhideWhenUsed/>
    <w:qFormat/>
    <w:uiPriority w:val="0"/>
    <w:pPr>
      <w:spacing w:line="547" w:lineRule="exact"/>
      <w:ind w:firstLine="547"/>
    </w:pPr>
  </w:style>
  <w:style w:type="paragraph" w:customStyle="1" w:styleId="257">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kern w:val="0"/>
      <w:sz w:val="24"/>
    </w:rPr>
  </w:style>
  <w:style w:type="paragraph" w:customStyle="1" w:styleId="25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59">
    <w:name w:val="附录标识"/>
    <w:basedOn w:val="191"/>
    <w:qFormat/>
    <w:uiPriority w:val="0"/>
    <w:pPr>
      <w:tabs>
        <w:tab w:val="left" w:pos="6405"/>
        <w:tab w:val="clear" w:pos="360"/>
      </w:tabs>
      <w:spacing w:after="200"/>
    </w:pPr>
    <w:rPr>
      <w:sz w:val="21"/>
    </w:rPr>
  </w:style>
  <w:style w:type="paragraph" w:customStyle="1" w:styleId="260">
    <w:name w:val="Style15"/>
    <w:basedOn w:val="1"/>
    <w:unhideWhenUsed/>
    <w:qFormat/>
    <w:uiPriority w:val="0"/>
    <w:pPr>
      <w:spacing w:line="557" w:lineRule="exact"/>
      <w:ind w:firstLine="672"/>
    </w:pPr>
  </w:style>
  <w:style w:type="paragraph" w:customStyle="1" w:styleId="261">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6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3">
    <w:name w:val="_Style 39"/>
    <w:basedOn w:val="19"/>
    <w:qFormat/>
    <w:uiPriority w:val="0"/>
  </w:style>
  <w:style w:type="paragraph" w:customStyle="1" w:styleId="26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65">
    <w:name w:val="Style63"/>
    <w:basedOn w:val="1"/>
    <w:unhideWhenUsed/>
    <w:qFormat/>
    <w:uiPriority w:val="0"/>
    <w:pPr>
      <w:spacing w:line="564" w:lineRule="exact"/>
      <w:ind w:firstLine="682"/>
    </w:pPr>
  </w:style>
  <w:style w:type="paragraph" w:customStyle="1" w:styleId="266">
    <w:name w:val="标题3"/>
    <w:basedOn w:val="2"/>
    <w:qFormat/>
    <w:uiPriority w:val="0"/>
    <w:pPr>
      <w:spacing w:beforeLines="50" w:afterLines="50" w:line="400" w:lineRule="exact"/>
      <w:jc w:val="both"/>
    </w:pPr>
    <w:rPr>
      <w:rFonts w:ascii="宋体" w:hAnsi="宋体"/>
      <w:kern w:val="32"/>
      <w:szCs w:val="32"/>
    </w:rPr>
  </w:style>
  <w:style w:type="paragraph" w:customStyle="1" w:styleId="267">
    <w:name w:val="Style12"/>
    <w:basedOn w:val="1"/>
    <w:unhideWhenUsed/>
    <w:qFormat/>
    <w:uiPriority w:val="0"/>
    <w:pPr>
      <w:spacing w:line="564" w:lineRule="exact"/>
      <w:ind w:hanging="115"/>
    </w:pPr>
  </w:style>
  <w:style w:type="paragraph" w:customStyle="1" w:styleId="26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9">
    <w:name w:val="xl76"/>
    <w:basedOn w:val="1"/>
    <w:qFormat/>
    <w:uiPriority w:val="0"/>
    <w:pPr>
      <w:widowControl/>
      <w:pBdr>
        <w:top w:val="single" w:color="000000" w:sz="8" w:space="0"/>
      </w:pBdr>
      <w:spacing w:before="100" w:beforeAutospacing="1" w:after="100" w:afterAutospacing="1"/>
      <w:jc w:val="right"/>
      <w:textAlignment w:val="center"/>
    </w:pPr>
    <w:rPr>
      <w:rFonts w:ascii="宋体" w:hAnsi="宋体" w:cs="宋体"/>
      <w:kern w:val="0"/>
      <w:sz w:val="24"/>
    </w:rPr>
  </w:style>
  <w:style w:type="paragraph" w:customStyle="1" w:styleId="270">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71">
    <w:name w:val="Char1 Char Char Char"/>
    <w:basedOn w:val="1"/>
    <w:qFormat/>
    <w:uiPriority w:val="0"/>
    <w:pPr>
      <w:widowControl/>
      <w:spacing w:after="160" w:line="240" w:lineRule="exact"/>
      <w:jc w:val="left"/>
    </w:pPr>
    <w:rPr>
      <w:kern w:val="0"/>
      <w:sz w:val="24"/>
      <w:szCs w:val="20"/>
    </w:rPr>
  </w:style>
  <w:style w:type="paragraph" w:customStyle="1" w:styleId="272">
    <w:name w:val="Style4"/>
    <w:basedOn w:val="1"/>
    <w:unhideWhenUsed/>
    <w:qFormat/>
    <w:uiPriority w:val="0"/>
  </w:style>
  <w:style w:type="paragraph" w:customStyle="1" w:styleId="273">
    <w:name w:val="Style65"/>
    <w:basedOn w:val="1"/>
    <w:unhideWhenUsed/>
    <w:qFormat/>
    <w:uiPriority w:val="0"/>
  </w:style>
  <w:style w:type="paragraph" w:customStyle="1" w:styleId="274">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75">
    <w:name w:val="Style64"/>
    <w:basedOn w:val="1"/>
    <w:unhideWhenUsed/>
    <w:qFormat/>
    <w:uiPriority w:val="0"/>
  </w:style>
  <w:style w:type="paragraph" w:customStyle="1" w:styleId="276">
    <w:name w:val="Char Char1 Char Char Char Char Char Char Char"/>
    <w:basedOn w:val="1"/>
    <w:qFormat/>
    <w:uiPriority w:val="0"/>
    <w:pPr>
      <w:widowControl/>
      <w:spacing w:after="160" w:line="240" w:lineRule="exact"/>
      <w:jc w:val="left"/>
    </w:pPr>
  </w:style>
  <w:style w:type="paragraph" w:customStyle="1" w:styleId="277">
    <w:name w:val="Style53"/>
    <w:basedOn w:val="1"/>
    <w:unhideWhenUsed/>
    <w:qFormat/>
    <w:uiPriority w:val="0"/>
    <w:pPr>
      <w:spacing w:line="533" w:lineRule="exact"/>
      <w:ind w:firstLine="581"/>
    </w:pPr>
  </w:style>
  <w:style w:type="paragraph" w:customStyle="1" w:styleId="278">
    <w:name w:val="Style27"/>
    <w:basedOn w:val="1"/>
    <w:unhideWhenUsed/>
    <w:qFormat/>
    <w:uiPriority w:val="0"/>
  </w:style>
  <w:style w:type="paragraph" w:customStyle="1" w:styleId="279">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sz w:val="21"/>
      <w:szCs w:val="20"/>
    </w:rPr>
  </w:style>
  <w:style w:type="paragraph" w:customStyle="1" w:styleId="280">
    <w:name w:val="Style81"/>
    <w:basedOn w:val="1"/>
    <w:unhideWhenUsed/>
    <w:qFormat/>
    <w:uiPriority w:val="0"/>
    <w:pPr>
      <w:spacing w:line="547" w:lineRule="exact"/>
    </w:pPr>
  </w:style>
  <w:style w:type="paragraph" w:customStyle="1" w:styleId="281">
    <w:name w:val="Style56"/>
    <w:basedOn w:val="1"/>
    <w:unhideWhenUsed/>
    <w:qFormat/>
    <w:uiPriority w:val="0"/>
  </w:style>
  <w:style w:type="paragraph" w:customStyle="1" w:styleId="282">
    <w:name w:val="Style5"/>
    <w:basedOn w:val="1"/>
    <w:unhideWhenUsed/>
    <w:qFormat/>
    <w:uiPriority w:val="0"/>
  </w:style>
  <w:style w:type="paragraph" w:customStyle="1" w:styleId="283">
    <w:name w:val="Style26"/>
    <w:basedOn w:val="1"/>
    <w:unhideWhenUsed/>
    <w:qFormat/>
    <w:uiPriority w:val="0"/>
  </w:style>
  <w:style w:type="paragraph" w:customStyle="1" w:styleId="284">
    <w:name w:val="Style72"/>
    <w:basedOn w:val="1"/>
    <w:unhideWhenUsed/>
    <w:qFormat/>
    <w:uiPriority w:val="0"/>
  </w:style>
  <w:style w:type="paragraph" w:customStyle="1" w:styleId="285">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6">
    <w:name w:val="Style46"/>
    <w:basedOn w:val="1"/>
    <w:unhideWhenUsed/>
    <w:qFormat/>
    <w:uiPriority w:val="0"/>
    <w:pPr>
      <w:spacing w:line="672" w:lineRule="exact"/>
    </w:pPr>
  </w:style>
  <w:style w:type="paragraph" w:customStyle="1" w:styleId="287">
    <w:name w:val="p16"/>
    <w:basedOn w:val="1"/>
    <w:qFormat/>
    <w:uiPriority w:val="0"/>
    <w:pPr>
      <w:widowControl/>
      <w:jc w:val="left"/>
    </w:pPr>
    <w:rPr>
      <w:kern w:val="0"/>
      <w:szCs w:val="21"/>
    </w:rPr>
  </w:style>
  <w:style w:type="paragraph" w:customStyle="1" w:styleId="288">
    <w:name w:val="Style67"/>
    <w:basedOn w:val="1"/>
    <w:unhideWhenUsed/>
    <w:qFormat/>
    <w:uiPriority w:val="0"/>
    <w:pPr>
      <w:spacing w:line="566" w:lineRule="exact"/>
      <w:ind w:firstLine="552"/>
    </w:pPr>
  </w:style>
  <w:style w:type="paragraph" w:customStyle="1" w:styleId="289">
    <w:name w:val="Style69"/>
    <w:basedOn w:val="1"/>
    <w:unhideWhenUsed/>
    <w:qFormat/>
    <w:uiPriority w:val="0"/>
    <w:pPr>
      <w:spacing w:line="557" w:lineRule="exact"/>
      <w:ind w:firstLine="1666"/>
    </w:pPr>
  </w:style>
  <w:style w:type="paragraph" w:customStyle="1" w:styleId="290">
    <w:name w:val="xl88"/>
    <w:basedOn w:val="1"/>
    <w:qFormat/>
    <w:uiPriority w:val="0"/>
    <w:pPr>
      <w:widowControl/>
      <w:spacing w:before="100" w:beforeAutospacing="1" w:after="100" w:afterAutospacing="1"/>
      <w:jc w:val="center"/>
      <w:textAlignment w:val="center"/>
    </w:pPr>
    <w:rPr>
      <w:rFonts w:ascii="Microsoft Sans Serif" w:hAnsi="Microsoft Sans Serif" w:cs="Microsoft Sans Serif"/>
      <w:b/>
      <w:bCs/>
      <w:kern w:val="0"/>
      <w:sz w:val="40"/>
      <w:szCs w:val="40"/>
    </w:rPr>
  </w:style>
  <w:style w:type="paragraph" w:customStyle="1" w:styleId="291">
    <w:name w:val="Style61"/>
    <w:basedOn w:val="1"/>
    <w:unhideWhenUsed/>
    <w:qFormat/>
    <w:uiPriority w:val="0"/>
  </w:style>
  <w:style w:type="paragraph" w:customStyle="1" w:styleId="292">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93">
    <w:name w:val="Char Char1 Char Char Char Char Char1 Char Char Char Char"/>
    <w:basedOn w:val="13"/>
    <w:qFormat/>
    <w:uiPriority w:val="0"/>
    <w:rPr>
      <w:rFonts w:ascii="Tahoma" w:hAnsi="Tahoma"/>
    </w:rPr>
  </w:style>
  <w:style w:type="paragraph" w:customStyle="1" w:styleId="294">
    <w:name w:val="xl81"/>
    <w:basedOn w:val="1"/>
    <w:qFormat/>
    <w:uiPriority w:val="0"/>
    <w:pPr>
      <w:widowControl/>
      <w:pBdr>
        <w:bottom w:val="single" w:color="000000" w:sz="8" w:space="0"/>
      </w:pBdr>
      <w:spacing w:before="100" w:beforeAutospacing="1" w:after="100" w:afterAutospacing="1"/>
      <w:jc w:val="left"/>
    </w:pPr>
    <w:rPr>
      <w:rFonts w:ascii="宋体" w:hAnsi="宋体" w:cs="宋体"/>
      <w:kern w:val="0"/>
      <w:sz w:val="24"/>
    </w:rPr>
  </w:style>
  <w:style w:type="paragraph" w:customStyle="1" w:styleId="295">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296">
    <w:name w:val="Style42"/>
    <w:basedOn w:val="1"/>
    <w:unhideWhenUsed/>
    <w:qFormat/>
    <w:uiPriority w:val="0"/>
    <w:pPr>
      <w:spacing w:line="542" w:lineRule="exact"/>
      <w:ind w:firstLine="547"/>
    </w:pPr>
  </w:style>
  <w:style w:type="character" w:customStyle="1" w:styleId="297">
    <w:name w:val="font01"/>
    <w:basedOn w:val="49"/>
    <w:qFormat/>
    <w:uiPriority w:val="0"/>
    <w:rPr>
      <w:rFonts w:hint="eastAsia" w:ascii="宋体" w:hAnsi="宋体" w:eastAsia="宋体" w:cs="宋体"/>
      <w:color w:val="000000"/>
      <w:sz w:val="19"/>
      <w:szCs w:val="19"/>
      <w:u w:val="none"/>
      <w:vertAlign w:val="superscript"/>
    </w:rPr>
  </w:style>
  <w:style w:type="character" w:customStyle="1" w:styleId="298">
    <w:name w:val="font31"/>
    <w:basedOn w:val="49"/>
    <w:qFormat/>
    <w:uiPriority w:val="0"/>
    <w:rPr>
      <w:rFonts w:hint="eastAsia" w:ascii="宋体" w:hAnsi="宋体" w:eastAsia="宋体" w:cs="宋体"/>
      <w:color w:val="000000"/>
      <w:sz w:val="19"/>
      <w:szCs w:val="19"/>
      <w:u w:val="none"/>
    </w:rPr>
  </w:style>
  <w:style w:type="character" w:customStyle="1" w:styleId="299">
    <w:name w:val="font21"/>
    <w:basedOn w:val="49"/>
    <w:qFormat/>
    <w:uiPriority w:val="0"/>
    <w:rPr>
      <w:rFonts w:hint="eastAsia" w:ascii="宋体" w:hAnsi="宋体" w:eastAsia="宋体" w:cs="宋体"/>
      <w:color w:val="000000"/>
      <w:sz w:val="20"/>
      <w:szCs w:val="20"/>
      <w:u w:val="none"/>
    </w:rPr>
  </w:style>
  <w:style w:type="character" w:customStyle="1" w:styleId="300">
    <w:name w:val="font41"/>
    <w:basedOn w:val="49"/>
    <w:qFormat/>
    <w:uiPriority w:val="0"/>
    <w:rPr>
      <w:rFonts w:hint="default" w:ascii="Times New Roman" w:hAnsi="Times New Roman" w:cs="Times New Roman"/>
      <w:color w:val="000000"/>
      <w:sz w:val="20"/>
      <w:szCs w:val="20"/>
      <w:u w:val="none"/>
    </w:rPr>
  </w:style>
  <w:style w:type="character" w:customStyle="1" w:styleId="301">
    <w:name w:val="font71"/>
    <w:basedOn w:val="49"/>
    <w:qFormat/>
    <w:uiPriority w:val="0"/>
    <w:rPr>
      <w:rFonts w:hint="eastAsia" w:ascii="宋体" w:hAnsi="宋体" w:eastAsia="宋体" w:cs="宋体"/>
      <w:b/>
      <w:color w:val="000000"/>
      <w:sz w:val="20"/>
      <w:szCs w:val="20"/>
      <w:u w:val="none"/>
    </w:rPr>
  </w:style>
  <w:style w:type="character" w:customStyle="1" w:styleId="302">
    <w:name w:val="font51"/>
    <w:basedOn w:val="49"/>
    <w:qFormat/>
    <w:uiPriority w:val="0"/>
    <w:rPr>
      <w:rFonts w:hint="default" w:ascii="Times New Roman" w:hAnsi="Times New Roman" w:cs="Times New Roman"/>
      <w:b/>
      <w:color w:val="000000"/>
      <w:sz w:val="20"/>
      <w:szCs w:val="20"/>
      <w:u w:val="none"/>
      <w:vertAlign w:val="superscript"/>
    </w:rPr>
  </w:style>
  <w:style w:type="character" w:customStyle="1" w:styleId="303">
    <w:name w:val="font61"/>
    <w:basedOn w:val="49"/>
    <w:qFormat/>
    <w:uiPriority w:val="0"/>
    <w:rPr>
      <w:rFonts w:hint="default" w:ascii="Times New Roman" w:hAnsi="Times New Roman" w:cs="Times New Roman"/>
      <w:color w:val="000000"/>
      <w:sz w:val="20"/>
      <w:szCs w:val="20"/>
      <w:u w:val="none"/>
      <w:vertAlign w:val="superscript"/>
    </w:rPr>
  </w:style>
  <w:style w:type="paragraph" w:customStyle="1" w:styleId="304">
    <w:name w:val="Table Paragraph"/>
    <w:basedOn w:val="1"/>
    <w:qFormat/>
    <w:uiPriority w:val="1"/>
    <w:rPr>
      <w:rFonts w:ascii="宋体" w:hAnsi="宋体" w:cs="宋体"/>
      <w:lang w:val="zh-CN" w:bidi="zh-CN"/>
    </w:rPr>
  </w:style>
  <w:style w:type="paragraph" w:customStyle="1" w:styleId="305">
    <w:name w:val="表格文字"/>
    <w:basedOn w:val="1"/>
    <w:qFormat/>
    <w:uiPriority w:val="0"/>
    <w:pPr>
      <w:jc w:val="left"/>
    </w:pPr>
    <w:rPr>
      <w:bCs/>
      <w:spacing w:val="10"/>
      <w:kern w:val="0"/>
      <w:sz w:val="24"/>
    </w:rPr>
  </w:style>
  <w:style w:type="paragraph" w:customStyle="1" w:styleId="306">
    <w:name w:val="WPSOffice手动目录 1"/>
    <w:qFormat/>
    <w:uiPriority w:val="0"/>
    <w:rPr>
      <w:rFonts w:ascii="Times New Roman" w:hAnsi="Times New Roman" w:eastAsia="宋体" w:cs="Times New Roman"/>
      <w:lang w:val="en-US" w:eastAsia="zh-CN" w:bidi="ar-SA"/>
    </w:rPr>
  </w:style>
  <w:style w:type="paragraph" w:customStyle="1" w:styleId="307">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16136</Words>
  <Characters>17437</Characters>
  <Lines>445</Lines>
  <Paragraphs>125</Paragraphs>
  <TotalTime>0</TotalTime>
  <ScaleCrop>false</ScaleCrop>
  <LinksUpToDate>false</LinksUpToDate>
  <CharactersWithSpaces>17652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2020-07-20T09:41:00Z</dcterms:created>
  <dc:creator>Administrator</dc:creator>
  <cp:lastModifiedBy>口口</cp:lastModifiedBy>
  <cp:lastPrinted>2022-04-19T01:32:00Z</cp:lastPrinted>
  <dcterms:modified xsi:type="dcterms:W3CDTF">2024-12-27T08:21:58Z</dcterms:modified>
  <dc:title>政府采购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2A3EF2C933154ADD9A2C759D38E66D61_13</vt:lpwstr>
  </property>
  <property fmtid="{D5CDD505-2E9C-101B-9397-08002B2CF9AE}" pid="4" name="KSOTemplateDocerSaveRecord">
    <vt:lpwstr>eyJoZGlkIjoiMjkzZDY2OGUzZjlmOWIyMTI3OGMwMTU0ZGU2ODk1ZjkiLCJ1c2VySWQiOiIzNTYyNTA1MjcifQ==</vt:lpwstr>
  </property>
</Properties>
</file>