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440101-2025-06835</w:t>
      </w:r>
    </w:p>
    <w:p>
      <w:pPr>
        <w:pStyle w:val="null3"/>
        <w:jc w:val="center"/>
        <w:outlineLvl w:val="3"/>
      </w:pPr>
      <w:r>
        <w:rPr>
          <w:sz w:val="24"/>
          <w:b/>
        </w:rPr>
        <w:t>采购项目编号：</w:t>
      </w:r>
      <w:r>
        <w:rPr>
          <w:sz w:val="24"/>
          <w:b/>
        </w:rPr>
        <w:t>HYGZ25SH01C0588</w:t>
      </w:r>
    </w:p>
    <w:p>
      <w:pPr>
        <w:pStyle w:val="null3"/>
        <w:jc w:val="center"/>
        <w:outlineLvl w:val="3"/>
      </w:pPr>
      <w:r>
        <w:rPr>
          <w:sz w:val="24"/>
          <w:b/>
        </w:rPr>
        <w:t>项目名称：</w:t>
      </w:r>
      <w:r>
        <w:rPr>
          <w:sz w:val="24"/>
          <w:b/>
        </w:rPr>
        <w:t>地表水环境质量自动监测保障项目</w:t>
      </w:r>
    </w:p>
    <w:p>
      <w:pPr>
        <w:pStyle w:val="null3"/>
        <w:jc w:val="center"/>
        <w:outlineLvl w:val="3"/>
      </w:pPr>
      <w:r>
        <w:rPr>
          <w:sz w:val="24"/>
          <w:b/>
        </w:rPr>
        <w:t>采购人：</w:t>
      </w:r>
      <w:r>
        <w:rPr>
          <w:sz w:val="24"/>
          <w:b/>
        </w:rPr>
        <w:t>广东省广州生态环境监测中心站</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广东省广州生态环境监测中心站</w:t>
      </w:r>
      <w:r>
        <w:rPr/>
        <w:t>的委托，采用</w:t>
      </w:r>
      <w:r>
        <w:rPr/>
        <w:t>公开招标</w:t>
      </w:r>
      <w:r>
        <w:rPr/>
        <w:t>方式组织采购</w:t>
      </w:r>
      <w:r>
        <w:rPr/>
        <w:t>地表水环境质量自动监测保障项目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地表水环境质量自动监测保障项目</w:t>
      </w:r>
    </w:p>
    <w:p>
      <w:pPr>
        <w:pStyle w:val="null3"/>
        <w:ind w:firstLine="480"/>
      </w:pPr>
      <w:r>
        <w:rPr/>
        <w:t>采购计划编号：</w:t>
      </w:r>
      <w:r>
        <w:rPr/>
        <w:t>440101-2025-06835</w:t>
      </w:r>
    </w:p>
    <w:p>
      <w:pPr>
        <w:pStyle w:val="null3"/>
        <w:ind w:firstLine="480"/>
      </w:pPr>
      <w:r>
        <w:rPr/>
        <w:t>采购项目编号：</w:t>
      </w:r>
      <w:r>
        <w:rPr/>
        <w:t>HYGZ25SH01C0588</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采购包1(开展增城石滩、白云河口、西江引水（石门）、流溪河太平、街口5个水自动监测站日常运行维护和水站数据采集、监控服务):</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开展增城石滩、白云河口、西江引水（石门）、流溪河太平、街口5个水自动监测站日常运行维护和水站数据采集、监控服务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合同履行期限：2025年6月1日至2026年5月31日，共12个月。</w:t>
      </w:r>
    </w:p>
    <w:p>
      <w:pPr>
        <w:pStyle w:val="null3"/>
      </w:pPr>
      <w:r>
        <w:rPr/>
        <w:t>采购包2(7个水站流量设备运维及率定比对):</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其他专业技术服务</w:t>
            </w:r>
          </w:p>
        </w:tc>
        <w:tc>
          <w:tcPr>
            <w:tcW w:type="dxa" w:w="2136"/>
          </w:tcPr>
          <w:p>
            <w:pPr>
              <w:pStyle w:val="null3"/>
            </w:pPr>
            <w:r>
              <w:rPr/>
              <w:t>7个水站流量设备运维及率定比对</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合同履行期限：2025年6月1日至2026年5月31日，共12个月。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采购包1（开展增城石滩、白云河口、西江引水（石门）、流溪河太平、街口5个水自动监测站日常运行维护和水站数据采集、监控服务）：</w:t>
      </w:r>
      <w:r>
        <w:rPr/>
        <w:t>本采购包属于专门面向小微企业采购的项目，投标人须符合本项目采购标的对应行业（其他未列明行业）政策划分标准的小微企业。监狱企业、残疾人福利单位视同小型、微型企业。 注1：小微企业以投标人填写的《中小企业声明函》（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投标人可登陆https://gdgpo.czt.gd.gov.cn/freecms/site/guangdong/tz/info/2024/15000058.html查阅。</w:t>
      </w:r>
    </w:p>
    <w:p>
      <w:pPr>
        <w:pStyle w:val="null3"/>
        <w:jc w:val="left"/>
      </w:pPr>
      <w:r>
        <w:rPr/>
        <w:t>采购包2（7个水站流量设备运维及率定比对）：</w:t>
      </w:r>
      <w:r>
        <w:rPr/>
        <w:t>本采购包属于专门面向小微企业采购的项目，投标人须符合本项目采购标的对应行业（其他未列明行业）政策划分标准的小微企业。监狱企业、残疾人福利单位视同小型、微型企业。 注1：小微企业以投标人填写的《中小企业声明函》（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投标人可登陆https://gdgpo.czt.gd.gov.cn/freecms/site/guangdong/tz/info/2024/15000058.html查阅。</w:t>
      </w:r>
    </w:p>
    <w:p>
      <w:pPr>
        <w:pStyle w:val="null3"/>
        <w:outlineLvl w:val="3"/>
      </w:pPr>
      <w:r>
        <w:rPr>
          <w:sz w:val="24"/>
          <w:b/>
        </w:rPr>
        <w:t>3.本项目特定的资格要求：</w:t>
      </w:r>
    </w:p>
    <w:p>
      <w:pPr>
        <w:pStyle w:val="null3"/>
      </w:pPr>
      <w:r>
        <w:rPr/>
        <w:t>采购包1（开展增城石滩、白云河口、西江引水（石门）、流溪河太平、街口5个水自动监测站日常运行维护和水站数据采集、监控服务）：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采购包2（7个水站流量设备运维及率定比对）：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广东省广州生态环境监测中心站</w:t>
      </w:r>
    </w:p>
    <w:p>
      <w:pPr>
        <w:pStyle w:val="null3"/>
        <w:ind w:firstLine="480"/>
      </w:pPr>
      <w:r>
        <w:rPr/>
        <w:t xml:space="preserve"> 地址：</w:t>
      </w:r>
      <w:r>
        <w:rPr/>
        <w:t>广州市番禺区大学城中心南大街19号</w:t>
      </w:r>
    </w:p>
    <w:p>
      <w:pPr>
        <w:pStyle w:val="null3"/>
        <w:ind w:firstLine="480"/>
      </w:pPr>
      <w:r>
        <w:rPr/>
        <w:t xml:space="preserve"> 联系方式：</w:t>
      </w:r>
      <w:r>
        <w:rPr/>
        <w:t>020-32662150</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许小姐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本项目总预算为</w:t>
      </w:r>
      <w:r>
        <w:rPr>
          <w:sz w:val="24"/>
        </w:rPr>
        <w:t>160万元，主要用于辅助采购人开展流溪河太平、街口、河口、西江引水（石门）、石滩等5个水质自动监测站运行维护工作，及辅助采购人开展7个水站流量设备运维及率定比对。</w:t>
      </w:r>
    </w:p>
    <w:p>
      <w:pPr>
        <w:pStyle w:val="null3"/>
        <w:jc w:val="left"/>
        <w:outlineLvl w:val="2"/>
      </w:pPr>
      <w:r>
        <w:rPr>
          <w:sz w:val="24"/>
          <w:b/>
          <w:shd w:fill="FFFFFF" w:val="clear"/>
        </w:rPr>
        <w:t>二、项目内容：</w:t>
      </w:r>
    </w:p>
    <w:p>
      <w:pPr>
        <w:pStyle w:val="null3"/>
        <w:ind w:firstLine="420"/>
        <w:jc w:val="both"/>
      </w:pPr>
      <w:r>
        <w:rPr>
          <w:sz w:val="24"/>
        </w:rPr>
        <w:t>采购包</w:t>
      </w:r>
      <w:r>
        <w:rPr>
          <w:sz w:val="24"/>
        </w:rPr>
        <w:t>1（预算金额：120万元）：辅助采购人开展增城石滩、白云河口、西江引水（石门）、流溪河太平、街口5个水自动监测站日常运行维护和水站数据采集、监控服务。</w:t>
      </w:r>
    </w:p>
    <w:p>
      <w:pPr>
        <w:pStyle w:val="null3"/>
        <w:ind w:firstLine="420"/>
        <w:jc w:val="both"/>
      </w:pPr>
      <w:r>
        <w:rPr>
          <w:sz w:val="24"/>
        </w:rPr>
        <w:t>采购包</w:t>
      </w:r>
      <w:r>
        <w:rPr>
          <w:sz w:val="24"/>
        </w:rPr>
        <w:t>2（预算金额：40万元）：辅助采购人开展7个水站流量设备运维及率定比对，保障设备正常稳定运行。</w:t>
      </w:r>
    </w:p>
    <w:p>
      <w:pPr>
        <w:pStyle w:val="null3"/>
      </w:pPr>
      <w:r>
        <w:rPr/>
        <w:t>采购包1（开展增城石滩、白云河口、西江引水（石门）、流溪河太平、街口5个水自动监测站日常运行维护和水站数据采集、监控服务）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2025年6月1日至2026年5月31日，共12个月。</w:t>
            </w:r>
          </w:p>
        </w:tc>
      </w:tr>
      <w:tr>
        <w:tc>
          <w:tcPr>
            <w:tcW w:type="dxa" w:w="4153"/>
          </w:tcPr>
          <w:p>
            <w:pPr>
              <w:pStyle w:val="null3"/>
            </w:pPr>
            <w:r>
              <w:rPr/>
              <w:t>标的提供的地点</w:t>
            </w:r>
          </w:p>
        </w:tc>
        <w:tc>
          <w:tcPr>
            <w:tcW w:type="dxa" w:w="4153"/>
          </w:tcPr>
          <w:p>
            <w:pPr>
              <w:pStyle w:val="null3"/>
            </w:pPr>
            <w:r>
              <w:rPr/>
              <w:t>广州市内采购人指定地点。</w:t>
            </w:r>
          </w:p>
        </w:tc>
      </w:tr>
      <w:tr/>
      <w:tr/>
      <w:tr>
        <w:tc>
          <w:tcPr>
            <w:tcW w:type="dxa" w:w="4153"/>
          </w:tcPr>
          <w:p>
            <w:pPr>
              <w:pStyle w:val="null3"/>
            </w:pPr>
            <w:r>
              <w:rPr/>
              <w:t>付款方式</w:t>
            </w:r>
          </w:p>
        </w:tc>
        <w:tc>
          <w:tcPr>
            <w:tcW w:type="dxa" w:w="4153"/>
          </w:tcPr>
          <w:p>
            <w:pPr>
              <w:pStyle w:val="null3"/>
            </w:pPr>
            <w:r>
              <w:rPr/>
              <w:t>第1期为(预付款)：支付比例50%，合同签定并收到发票后5个工作日内，支付合同总额50%款项。</w:t>
            </w:r>
          </w:p>
          <w:p>
            <w:pPr>
              <w:pStyle w:val="null3"/>
            </w:pPr>
            <w:r>
              <w:rPr/>
              <w:t>第2期为(进度款)：支付比例20%，任务开展至2025年9月，中标供应商按时提交6-8月运维报告，采购人收到发票后，于5个工作日内支付合同总额20%款项。</w:t>
            </w:r>
          </w:p>
          <w:p>
            <w:pPr>
              <w:pStyle w:val="null3"/>
            </w:pPr>
            <w:r>
              <w:rPr/>
              <w:t>第3期为(进度款)：支付比例20%，任务开展至2026年3月，中标供应商按期提交运维报告，且2025年运维工作经采购人认可后，采购人收到发票后，于5个工作日内支付合同总额20%款项。</w:t>
            </w:r>
          </w:p>
          <w:p>
            <w:pPr>
              <w:pStyle w:val="null3"/>
            </w:pPr>
            <w:r>
              <w:rPr/>
              <w:t>第4期为(尾款)：支付比例10%，所有任务完成并通过采购人的技术验收且采购人收到发票后，于15日内支付合同总额10%款项。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及方式：项目实施过程中及完结后开展两次验收。项目开展到中期阶段，由中标供应商向采购人提出验收申请；服务期到期并完成所有任务后，由中标供应商向采购人提出验收申请，由采购人在收到验收申请后7日内分别组织聘请不少于3名专家对项目进行中期及整体验收。验收产生的所有费用由中标供应商承担。 2、验收标准：1）提供月、季、年运行及质控报告。月报12份，季报4份，年报1份。2）监测指标数据有效率不小于90%。3）验收报告1份。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1、保密要求，中标供应商需对所有监测数据及相关信息资料保密，不得以任何方式透露给第三方。</w:t>
            </w:r>
          </w:p>
          <w:p>
            <w:pPr>
              <w:pStyle w:val="null3"/>
            </w:pPr>
            <w:r>
              <w:rPr/>
              <w:t>2、罚则，2.1 中标供应商将数据泄密，采购人有权即时中止合同，处以双倍已支付运行维护费的罚款，并追究相关的法律责任。 2.2 在国家、省、市的检查中，如发现弄虚作假行为，采购人有权即刻中止合同，并处以合同总额的10%罚款。 2.3 除受不可抗力因素外，数据有效率按季度进行考核，中标单位运维达不到要求的，扣减相应的运维费或终止运维合同（仪器故障应及时向采购人报告，待采购人确认后及时进行维修，维修所占用的时间不纳入数据有效率统计）。要求如下： （1）单次考核数据有效率和传输率在80%（不含）-90%（含），扣除当季度运维费10%，并责令整改。 （2）单次考核数据有效率和传输率在70%（含）-80%（含），扣除当季度运维费30%，并责令整改。 （3）单次考核数据有效率和传输率低于70%，扣除当季度运维费。 （4）全年平均数据有效率和传输率低于70%，取消运维合同。</w:t>
            </w:r>
          </w:p>
          <w:p>
            <w:pPr>
              <w:pStyle w:val="null3"/>
            </w:pPr>
            <w:r>
              <w:rPr/>
              <w:t>3、智能化运维要求，（1）鼓励中标供应商通过优化组件、自动维护、智能审核、管理升级等不同技术手段和方式对运维站点进行智能化运维改造，采购人根据实际运行效果和质控结果，允许中标供应商替代相应数量的现场人员、车辆和运维频次等。 （2）鼓励中标供应商结合自身特点和优势，推动数字化、智能化新技术的实践探索与创新应用。</w:t>
            </w:r>
          </w:p>
          <w:p>
            <w:pPr>
              <w:pStyle w:val="null3"/>
            </w:pPr>
            <w:r>
              <w:rPr/>
              <w:t>4、报价要求，本项目报价已包含完成本项目所需的人力成本、设备成本、利润、税金、交通等产生的任何费用。采购人不再支付其他任何费用。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开展增城石滩、白云河口、西江引水（石门）、流溪河太平、街口5个水自动监测站日常运行维护和水站数据采集、监控服务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开展增城石滩、白云河口、西江引水（石门）、流溪河太平、街口5个水自动监测站日常运行维护和水站数据采集、监控服务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（一）服务内容</w:t>
            </w:r>
          </w:p>
          <w:p>
            <w:pPr>
              <w:pStyle w:val="null3"/>
              <w:jc w:val="both"/>
            </w:pPr>
            <w:r>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119"/>
              <w:gridCol w:w="1119"/>
              <w:gridCol w:w="1119"/>
              <w:gridCol w:w="1119"/>
              <w:gridCol w:w="1119"/>
            </w:tblGrid>
            <w:tr>
              <w:tc>
                <w:tcPr>
                  <w:tcW w:type="dxa" w:w="2238"/>
                  <w:gridSpan w:val="2"/>
                </w:tcPr>
                <w:p>
                  <w:pPr>
                    <w:pStyle w:val="null3"/>
                    <w:jc w:val="center"/>
                  </w:pPr>
                  <w:r>
                    <w:rPr>
                      <w:sz w:val="19"/>
                    </w:rPr>
                    <w:t>服务内容</w:t>
                  </w:r>
                </w:p>
              </w:tc>
              <w:tc>
                <w:tcPr>
                  <w:tcW w:type="dxa" w:w="1119"/>
                </w:tcPr>
                <w:p>
                  <w:pPr>
                    <w:pStyle w:val="null3"/>
                    <w:jc w:val="center"/>
                  </w:pPr>
                  <w:r>
                    <w:rPr>
                      <w:sz w:val="19"/>
                    </w:rPr>
                    <w:t>中标供应商承担费用</w:t>
                  </w:r>
                </w:p>
              </w:tc>
              <w:tc>
                <w:tcPr>
                  <w:tcW w:type="dxa" w:w="1119"/>
                </w:tcPr>
                <w:p>
                  <w:pPr>
                    <w:pStyle w:val="null3"/>
                    <w:jc w:val="center"/>
                  </w:pPr>
                  <w:r>
                    <w:rPr>
                      <w:sz w:val="19"/>
                    </w:rPr>
                    <w:t>预算金额</w:t>
                  </w:r>
                </w:p>
              </w:tc>
              <w:tc>
                <w:tcPr>
                  <w:tcW w:type="dxa" w:w="1119"/>
                </w:tcPr>
                <w:p>
                  <w:pPr>
                    <w:pStyle w:val="null3"/>
                    <w:jc w:val="center"/>
                  </w:pPr>
                  <w:r>
                    <w:rPr>
                      <w:sz w:val="19"/>
                    </w:rPr>
                    <w:t>合计预算金额</w:t>
                  </w:r>
                </w:p>
              </w:tc>
            </w:tr>
            <w:tr>
              <w:tc>
                <w:tcPr>
                  <w:tcW w:type="dxa" w:w="1119"/>
                  <w:vMerge w:val="restart"/>
                </w:tcPr>
                <w:p>
                  <w:pPr>
                    <w:pStyle w:val="null3"/>
                    <w:jc w:val="center"/>
                  </w:pPr>
                  <w:r>
                    <w:rPr>
                      <w:sz w:val="19"/>
                    </w:rPr>
                    <w:t>5个水自动监测站日常运行维护和水站数据采集、监控服务</w:t>
                  </w:r>
                </w:p>
              </w:tc>
              <w:tc>
                <w:tcPr>
                  <w:tcW w:type="dxa" w:w="1119"/>
                </w:tcPr>
                <w:p>
                  <w:pPr>
                    <w:pStyle w:val="null3"/>
                    <w:jc w:val="center"/>
                  </w:pPr>
                  <w:r>
                    <w:rPr>
                      <w:sz w:val="19"/>
                    </w:rPr>
                    <w:t>辅助采购人开展增城石滩、白云河口、石门、流溪河从化街口、从化太平5个水自动监测站日常运行维护</w:t>
                  </w:r>
                </w:p>
              </w:tc>
              <w:tc>
                <w:tcPr>
                  <w:tcW w:type="dxa" w:w="1119"/>
                </w:tcPr>
                <w:p>
                  <w:pPr>
                    <w:pStyle w:val="null3"/>
                    <w:jc w:val="center"/>
                  </w:pPr>
                  <w:r>
                    <w:rPr>
                      <w:sz w:val="19"/>
                    </w:rPr>
                    <w:t>中标供应商负责包括耗材费、1万元及以下的零备件费和站房及栈桥维护费、运行水电费（增城石滩、石门电费由采购人负责）、场租费（增城石滩、从化太平水自动监测站场租费）、试剂购置费、网络通讯费(增城石滩、从化街口网络通讯费由采购人负责)、废液处理费等所有费用。</w:t>
                  </w:r>
                </w:p>
              </w:tc>
              <w:tc>
                <w:tcPr>
                  <w:tcW w:type="dxa" w:w="1119"/>
                </w:tcPr>
                <w:p>
                  <w:pPr>
                    <w:pStyle w:val="null3"/>
                    <w:jc w:val="center"/>
                  </w:pPr>
                  <w:r>
                    <w:rPr>
                      <w:sz w:val="19"/>
                    </w:rPr>
                    <w:t>109万元</w:t>
                  </w:r>
                </w:p>
              </w:tc>
              <w:tc>
                <w:tcPr>
                  <w:tcW w:type="dxa" w:w="1119"/>
                  <w:vMerge w:val="restart"/>
                </w:tcPr>
                <w:p>
                  <w:pPr>
                    <w:pStyle w:val="null3"/>
                    <w:jc w:val="center"/>
                  </w:pPr>
                  <w:r>
                    <w:rPr>
                      <w:sz w:val="19"/>
                    </w:rPr>
                    <w:t>120万元</w:t>
                  </w:r>
                </w:p>
              </w:tc>
            </w:tr>
            <w:tr>
              <w:tc>
                <w:tcPr>
                  <w:tcW w:type="dxa" w:w="1119"/>
                  <w:vMerge/>
                </w:tcPr>
                <w:p/>
              </w:tc>
              <w:tc>
                <w:tcPr>
                  <w:tcW w:type="dxa" w:w="1119"/>
                </w:tcPr>
                <w:p>
                  <w:pPr>
                    <w:pStyle w:val="null3"/>
                    <w:jc w:val="center"/>
                  </w:pPr>
                  <w:r>
                    <w:rPr>
                      <w:sz w:val="19"/>
                    </w:rPr>
                    <w:t>辅助采购人对全市水质自动监测站进行数据监控</w:t>
                  </w:r>
                </w:p>
              </w:tc>
              <w:tc>
                <w:tcPr>
                  <w:tcW w:type="dxa" w:w="1119"/>
                </w:tcPr>
                <w:p>
                  <w:pPr>
                    <w:pStyle w:val="null3"/>
                    <w:jc w:val="center"/>
                  </w:pPr>
                  <w:r>
                    <w:rPr>
                      <w:sz w:val="19"/>
                    </w:rPr>
                    <w:t>专人进行数据监控。</w:t>
                  </w:r>
                </w:p>
              </w:tc>
              <w:tc>
                <w:tcPr>
                  <w:tcW w:type="dxa" w:w="1119"/>
                </w:tcPr>
                <w:p>
                  <w:pPr>
                    <w:pStyle w:val="null3"/>
                    <w:jc w:val="center"/>
                  </w:pPr>
                  <w:r>
                    <w:rPr>
                      <w:sz w:val="19"/>
                    </w:rPr>
                    <w:t>8</w:t>
                  </w:r>
                </w:p>
                <w:p>
                  <w:pPr>
                    <w:pStyle w:val="null3"/>
                    <w:jc w:val="center"/>
                  </w:pPr>
                  <w:r>
                    <w:rPr>
                      <w:sz w:val="19"/>
                    </w:rPr>
                    <w:t>万元</w:t>
                  </w:r>
                </w:p>
              </w:tc>
              <w:tc>
                <w:tcPr>
                  <w:tcW w:type="dxa" w:w="1119"/>
                  <w:vMerge/>
                </w:tcPr>
                <w:p/>
              </w:tc>
            </w:tr>
            <w:tr>
              <w:tc>
                <w:tcPr>
                  <w:tcW w:type="dxa" w:w="1119"/>
                  <w:vMerge/>
                </w:tcPr>
                <w:p/>
              </w:tc>
              <w:tc>
                <w:tcPr>
                  <w:tcW w:type="dxa" w:w="1119"/>
                </w:tcPr>
                <w:p>
                  <w:pPr>
                    <w:pStyle w:val="null3"/>
                    <w:jc w:val="center"/>
                  </w:pPr>
                  <w:r>
                    <w:rPr>
                      <w:sz w:val="19"/>
                    </w:rPr>
                    <w:t>平台维护及子站工控机采集技术支持</w:t>
                  </w:r>
                </w:p>
              </w:tc>
              <w:tc>
                <w:tcPr>
                  <w:tcW w:type="dxa" w:w="1119"/>
                </w:tcPr>
                <w:p>
                  <w:pPr>
                    <w:pStyle w:val="null3"/>
                    <w:jc w:val="center"/>
                  </w:pPr>
                  <w:r>
                    <w:rPr>
                      <w:sz w:val="19"/>
                    </w:rPr>
                    <w:t>广州市水质自动监测平台进行维护及水站工控机的数据采集进行技术支持。</w:t>
                  </w:r>
                </w:p>
              </w:tc>
              <w:tc>
                <w:tcPr>
                  <w:tcW w:type="dxa" w:w="1119"/>
                </w:tcPr>
                <w:p>
                  <w:pPr>
                    <w:pStyle w:val="null3"/>
                    <w:jc w:val="center"/>
                  </w:pPr>
                  <w:r>
                    <w:rPr>
                      <w:sz w:val="19"/>
                    </w:rPr>
                    <w:t>3</w:t>
                  </w:r>
                </w:p>
                <w:p>
                  <w:pPr>
                    <w:pStyle w:val="null3"/>
                    <w:jc w:val="center"/>
                  </w:pPr>
                  <w:r>
                    <w:rPr>
                      <w:sz w:val="19"/>
                    </w:rPr>
                    <w:t>万元</w:t>
                  </w:r>
                </w:p>
              </w:tc>
              <w:tc>
                <w:tcPr>
                  <w:tcW w:type="dxa" w:w="1119"/>
                  <w:vMerge/>
                </w:tcPr>
                <w:p/>
              </w:tc>
            </w:tr>
          </w:tbl>
          <w:p/>
        </w:tc>
      </w:tr>
      <w:tr>
        <w:tc>
          <w:tcPr>
            <w:tcW w:type="dxa" w:w="2076"/>
          </w:tcPr>
          <w:p/>
        </w:tc>
        <w:tc>
          <w:tcPr>
            <w:tcW w:type="dxa" w:w="415"/>
          </w:tcPr>
          <w:p>
            <w:pPr>
              <w:pStyle w:val="null3"/>
            </w:pPr>
            <w:r>
              <w:rPr/>
              <w:t>2</w:t>
            </w:r>
          </w:p>
        </w:tc>
        <w:tc>
          <w:tcPr>
            <w:tcW w:type="dxa" w:w="5814"/>
          </w:tcPr>
          <w:p>
            <w:pPr>
              <w:pStyle w:val="null3"/>
              <w:jc w:val="both"/>
            </w:pPr>
            <w:r>
              <w:rPr>
                <w:sz w:val="24"/>
                <w:b/>
              </w:rPr>
              <w:t>（二）服务成果</w:t>
            </w:r>
          </w:p>
          <w:p>
            <w:pPr>
              <w:pStyle w:val="null3"/>
              <w:jc w:val="both"/>
            </w:pPr>
            <w:r>
              <w:rPr>
                <w:sz w:val="24"/>
              </w:rPr>
              <w:t>提交月、季、半年、年数据分析、运行和质控报告，并将其与原始数据、质控数据、专家验收意见等汇成电子版，以</w:t>
            </w:r>
            <w:r>
              <w:rPr>
                <w:sz w:val="24"/>
              </w:rPr>
              <w:t>U盘或移动硬盘形式交予采购人，所涉及费用由中标供应商承担。</w:t>
            </w:r>
          </w:p>
        </w:tc>
      </w:tr>
      <w:tr>
        <w:tc>
          <w:tcPr>
            <w:tcW w:type="dxa" w:w="2076"/>
          </w:tcPr>
          <w:p/>
        </w:tc>
        <w:tc>
          <w:tcPr>
            <w:tcW w:type="dxa" w:w="415"/>
          </w:tcPr>
          <w:p>
            <w:pPr>
              <w:pStyle w:val="null3"/>
            </w:pPr>
            <w:r>
              <w:rPr/>
              <w:t>3</w:t>
            </w:r>
          </w:p>
        </w:tc>
        <w:tc>
          <w:tcPr>
            <w:tcW w:type="dxa" w:w="5814"/>
          </w:tcPr>
          <w:p>
            <w:pPr>
              <w:pStyle w:val="null3"/>
              <w:jc w:val="both"/>
            </w:pPr>
            <w:r>
              <w:rPr>
                <w:sz w:val="24"/>
                <w:b/>
              </w:rPr>
              <w:t>（三）服务技术要求</w:t>
            </w:r>
          </w:p>
          <w:p>
            <w:pPr>
              <w:pStyle w:val="null3"/>
              <w:ind w:firstLine="480"/>
              <w:jc w:val="both"/>
            </w:pPr>
            <w:r>
              <w:rPr>
                <w:sz w:val="24"/>
              </w:rPr>
              <w:t>1.仪器配置</w:t>
            </w:r>
          </w:p>
          <w:p>
            <w:pPr>
              <w:pStyle w:val="null3"/>
              <w:ind w:firstLine="480"/>
              <w:jc w:val="both"/>
            </w:pPr>
            <w:r>
              <w:rPr>
                <w:sz w:val="24"/>
              </w:rPr>
              <w:t>增城石滩、白云河口、石门、流溪河从化街口、从化太平</w:t>
            </w:r>
            <w:r>
              <w:rPr>
                <w:sz w:val="24"/>
              </w:rPr>
              <w:t>5个水自动监测站仪器品牌详见表1。</w:t>
            </w:r>
          </w:p>
          <w:p>
            <w:pPr>
              <w:pStyle w:val="null3"/>
              <w:jc w:val="center"/>
            </w:pPr>
            <w:r>
              <w:rPr>
                <w:sz w:val="24"/>
              </w:rPr>
              <w:t>表</w:t>
            </w:r>
            <w:r>
              <w:rPr>
                <w:sz w:val="24"/>
              </w:rPr>
              <w:t>1  水自动监测站仪器品牌配置</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Pr>
                <w:p>
                  <w:pPr>
                    <w:pStyle w:val="null3"/>
                    <w:jc w:val="center"/>
                  </w:pPr>
                  <w:r>
                    <w:rPr>
                      <w:sz w:val="19"/>
                    </w:rPr>
                    <w:t>序号</w:t>
                  </w:r>
                </w:p>
              </w:tc>
              <w:tc>
                <w:tcPr>
                  <w:tcW w:type="dxa" w:w="800"/>
                </w:tcPr>
                <w:p>
                  <w:pPr>
                    <w:pStyle w:val="null3"/>
                    <w:jc w:val="center"/>
                  </w:pPr>
                  <w:r>
                    <w:rPr>
                      <w:sz w:val="19"/>
                    </w:rPr>
                    <w:t>监测项目</w:t>
                  </w:r>
                </w:p>
              </w:tc>
              <w:tc>
                <w:tcPr>
                  <w:tcW w:type="dxa" w:w="800"/>
                </w:tcPr>
                <w:p>
                  <w:pPr>
                    <w:pStyle w:val="null3"/>
                    <w:jc w:val="center"/>
                  </w:pPr>
                  <w:r>
                    <w:rPr>
                      <w:sz w:val="19"/>
                    </w:rPr>
                    <w:t>白云河口水站</w:t>
                  </w:r>
                </w:p>
              </w:tc>
              <w:tc>
                <w:tcPr>
                  <w:tcW w:type="dxa" w:w="800"/>
                </w:tcPr>
                <w:p>
                  <w:pPr>
                    <w:pStyle w:val="null3"/>
                    <w:jc w:val="center"/>
                  </w:pPr>
                  <w:r>
                    <w:rPr>
                      <w:sz w:val="19"/>
                    </w:rPr>
                    <w:t>增城石滩水站</w:t>
                  </w:r>
                </w:p>
              </w:tc>
              <w:tc>
                <w:tcPr>
                  <w:tcW w:type="dxa" w:w="800"/>
                </w:tcPr>
                <w:p>
                  <w:pPr>
                    <w:pStyle w:val="null3"/>
                    <w:jc w:val="center"/>
                  </w:pPr>
                  <w:r>
                    <w:rPr>
                      <w:sz w:val="19"/>
                    </w:rPr>
                    <w:t>石门水站</w:t>
                  </w:r>
                </w:p>
              </w:tc>
              <w:tc>
                <w:tcPr>
                  <w:tcW w:type="dxa" w:w="800"/>
                </w:tcPr>
                <w:p>
                  <w:pPr>
                    <w:pStyle w:val="null3"/>
                    <w:jc w:val="center"/>
                  </w:pPr>
                  <w:r>
                    <w:rPr>
                      <w:sz w:val="19"/>
                    </w:rPr>
                    <w:t>从化街口水站</w:t>
                  </w:r>
                </w:p>
              </w:tc>
              <w:tc>
                <w:tcPr>
                  <w:tcW w:type="dxa" w:w="800"/>
                </w:tcPr>
                <w:p>
                  <w:pPr>
                    <w:pStyle w:val="null3"/>
                    <w:jc w:val="center"/>
                  </w:pPr>
                  <w:r>
                    <w:rPr>
                      <w:sz w:val="19"/>
                    </w:rPr>
                    <w:t>从化太平水站</w:t>
                  </w:r>
                </w:p>
              </w:tc>
            </w:tr>
            <w:tr>
              <w:tc>
                <w:tcPr>
                  <w:tcW w:type="dxa" w:w="800"/>
                </w:tcPr>
                <w:p>
                  <w:pPr>
                    <w:pStyle w:val="null3"/>
                    <w:jc w:val="center"/>
                  </w:pPr>
                  <w:r>
                    <w:rPr>
                      <w:sz w:val="19"/>
                    </w:rPr>
                    <w:t>1</w:t>
                  </w:r>
                </w:p>
              </w:tc>
              <w:tc>
                <w:tcPr>
                  <w:tcW w:type="dxa" w:w="800"/>
                </w:tcPr>
                <w:p>
                  <w:pPr>
                    <w:pStyle w:val="null3"/>
                    <w:jc w:val="center"/>
                  </w:pPr>
                  <w:r>
                    <w:rPr>
                      <w:sz w:val="19"/>
                    </w:rPr>
                    <w:t>水温</w:t>
                  </w:r>
                </w:p>
              </w:tc>
              <w:tc>
                <w:tcPr>
                  <w:tcW w:type="dxa" w:w="800"/>
                </w:tcPr>
                <w:p>
                  <w:pPr>
                    <w:pStyle w:val="null3"/>
                    <w:jc w:val="center"/>
                  </w:pPr>
                  <w:r>
                    <w:rPr>
                      <w:sz w:val="19"/>
                    </w:rPr>
                    <w:t>WTW</w:t>
                  </w:r>
                </w:p>
              </w:tc>
              <w:tc>
                <w:tcPr>
                  <w:tcW w:type="dxa" w:w="800"/>
                </w:tcPr>
                <w:p>
                  <w:pPr>
                    <w:pStyle w:val="null3"/>
                    <w:jc w:val="center"/>
                  </w:pPr>
                  <w:r>
                    <w:rPr>
                      <w:sz w:val="19"/>
                    </w:rPr>
                    <w:t>美国EUREKA/Manta</w:t>
                  </w:r>
                </w:p>
              </w:tc>
              <w:tc>
                <w:tcPr>
                  <w:tcW w:type="dxa" w:w="800"/>
                </w:tcPr>
                <w:p>
                  <w:pPr>
                    <w:pStyle w:val="null3"/>
                    <w:jc w:val="center"/>
                  </w:pPr>
                  <w:r>
                    <w:rPr>
                      <w:sz w:val="19"/>
                    </w:rPr>
                    <w:t>WTW</w:t>
                  </w:r>
                </w:p>
              </w:tc>
              <w:tc>
                <w:tcPr>
                  <w:tcW w:type="dxa" w:w="800"/>
                </w:tcPr>
                <w:p>
                  <w:pPr>
                    <w:pStyle w:val="null3"/>
                    <w:jc w:val="center"/>
                  </w:pPr>
                  <w:r>
                    <w:rPr>
                      <w:sz w:val="19"/>
                    </w:rPr>
                    <w:t>尚广THK-MP6060</w:t>
                  </w:r>
                </w:p>
              </w:tc>
              <w:tc>
                <w:tcPr>
                  <w:tcW w:type="dxa" w:w="800"/>
                </w:tcPr>
                <w:p>
                  <w:pPr>
                    <w:pStyle w:val="null3"/>
                    <w:jc w:val="center"/>
                  </w:pPr>
                  <w:r>
                    <w:rPr>
                      <w:sz w:val="19"/>
                    </w:rPr>
                    <w:t>赛环、SERES2000</w:t>
                  </w:r>
                </w:p>
              </w:tc>
            </w:tr>
            <w:tr>
              <w:tc>
                <w:tcPr>
                  <w:tcW w:type="dxa" w:w="800"/>
                </w:tcPr>
                <w:p>
                  <w:pPr>
                    <w:pStyle w:val="null3"/>
                    <w:jc w:val="center"/>
                  </w:pPr>
                  <w:r>
                    <w:rPr>
                      <w:sz w:val="19"/>
                    </w:rPr>
                    <w:t>2</w:t>
                  </w:r>
                </w:p>
              </w:tc>
              <w:tc>
                <w:tcPr>
                  <w:tcW w:type="dxa" w:w="800"/>
                </w:tcPr>
                <w:p>
                  <w:pPr>
                    <w:pStyle w:val="null3"/>
                    <w:jc w:val="center"/>
                  </w:pPr>
                  <w:r>
                    <w:rPr>
                      <w:sz w:val="19"/>
                    </w:rPr>
                    <w:t>pH</w:t>
                  </w:r>
                </w:p>
              </w:tc>
              <w:tc>
                <w:tcPr>
                  <w:tcW w:type="dxa" w:w="800"/>
                </w:tcPr>
                <w:p>
                  <w:pPr>
                    <w:pStyle w:val="null3"/>
                    <w:jc w:val="center"/>
                  </w:pPr>
                  <w:r>
                    <w:rPr>
                      <w:sz w:val="19"/>
                    </w:rPr>
                    <w:t>WTW</w:t>
                  </w:r>
                </w:p>
              </w:tc>
              <w:tc>
                <w:tcPr>
                  <w:tcW w:type="dxa" w:w="800"/>
                </w:tcPr>
                <w:p>
                  <w:pPr>
                    <w:pStyle w:val="null3"/>
                    <w:jc w:val="center"/>
                  </w:pPr>
                  <w:r>
                    <w:rPr>
                      <w:sz w:val="19"/>
                    </w:rPr>
                    <w:t>美国EUREKA/Manta</w:t>
                  </w:r>
                </w:p>
              </w:tc>
              <w:tc>
                <w:tcPr>
                  <w:tcW w:type="dxa" w:w="800"/>
                </w:tcPr>
                <w:p>
                  <w:pPr>
                    <w:pStyle w:val="null3"/>
                    <w:jc w:val="center"/>
                  </w:pPr>
                  <w:r>
                    <w:rPr>
                      <w:sz w:val="19"/>
                    </w:rPr>
                    <w:t>WTW</w:t>
                  </w:r>
                </w:p>
              </w:tc>
              <w:tc>
                <w:tcPr>
                  <w:tcW w:type="dxa" w:w="800"/>
                </w:tcPr>
                <w:p>
                  <w:pPr>
                    <w:pStyle w:val="null3"/>
                    <w:jc w:val="center"/>
                  </w:pPr>
                  <w:r>
                    <w:rPr>
                      <w:sz w:val="19"/>
                    </w:rPr>
                    <w:t>尚广THK-MP6060</w:t>
                  </w:r>
                </w:p>
              </w:tc>
              <w:tc>
                <w:tcPr>
                  <w:tcW w:type="dxa" w:w="800"/>
                </w:tcPr>
                <w:p>
                  <w:pPr>
                    <w:pStyle w:val="null3"/>
                    <w:jc w:val="center"/>
                  </w:pPr>
                  <w:r>
                    <w:rPr>
                      <w:sz w:val="19"/>
                    </w:rPr>
                    <w:t>赛环、SERES2000</w:t>
                  </w:r>
                </w:p>
              </w:tc>
            </w:tr>
            <w:tr>
              <w:tc>
                <w:tcPr>
                  <w:tcW w:type="dxa" w:w="800"/>
                </w:tcPr>
                <w:p>
                  <w:pPr>
                    <w:pStyle w:val="null3"/>
                    <w:jc w:val="center"/>
                  </w:pPr>
                  <w:r>
                    <w:rPr>
                      <w:sz w:val="19"/>
                    </w:rPr>
                    <w:t>3</w:t>
                  </w:r>
                </w:p>
              </w:tc>
              <w:tc>
                <w:tcPr>
                  <w:tcW w:type="dxa" w:w="800"/>
                </w:tcPr>
                <w:p>
                  <w:pPr>
                    <w:pStyle w:val="null3"/>
                    <w:jc w:val="center"/>
                  </w:pPr>
                  <w:r>
                    <w:rPr>
                      <w:sz w:val="19"/>
                    </w:rPr>
                    <w:t>溶解氧</w:t>
                  </w:r>
                </w:p>
              </w:tc>
              <w:tc>
                <w:tcPr>
                  <w:tcW w:type="dxa" w:w="800"/>
                </w:tcPr>
                <w:p>
                  <w:pPr>
                    <w:pStyle w:val="null3"/>
                    <w:jc w:val="center"/>
                  </w:pPr>
                  <w:r>
                    <w:rPr>
                      <w:sz w:val="19"/>
                    </w:rPr>
                    <w:t>WTW</w:t>
                  </w:r>
                </w:p>
              </w:tc>
              <w:tc>
                <w:tcPr>
                  <w:tcW w:type="dxa" w:w="800"/>
                </w:tcPr>
                <w:p>
                  <w:pPr>
                    <w:pStyle w:val="null3"/>
                    <w:jc w:val="center"/>
                  </w:pPr>
                  <w:r>
                    <w:rPr>
                      <w:sz w:val="19"/>
                    </w:rPr>
                    <w:t>美国EUREKA/Manta</w:t>
                  </w:r>
                </w:p>
              </w:tc>
              <w:tc>
                <w:tcPr>
                  <w:tcW w:type="dxa" w:w="800"/>
                </w:tcPr>
                <w:p>
                  <w:pPr>
                    <w:pStyle w:val="null3"/>
                    <w:jc w:val="center"/>
                  </w:pPr>
                  <w:r>
                    <w:rPr>
                      <w:sz w:val="19"/>
                    </w:rPr>
                    <w:t>WTW</w:t>
                  </w:r>
                </w:p>
              </w:tc>
              <w:tc>
                <w:tcPr>
                  <w:tcW w:type="dxa" w:w="800"/>
                </w:tcPr>
                <w:p>
                  <w:pPr>
                    <w:pStyle w:val="null3"/>
                    <w:jc w:val="center"/>
                  </w:pPr>
                  <w:r>
                    <w:rPr>
                      <w:sz w:val="19"/>
                    </w:rPr>
                    <w:t>尚广THK-MP6060</w:t>
                  </w:r>
                </w:p>
              </w:tc>
              <w:tc>
                <w:tcPr>
                  <w:tcW w:type="dxa" w:w="800"/>
                </w:tcPr>
                <w:p>
                  <w:pPr>
                    <w:pStyle w:val="null3"/>
                    <w:jc w:val="center"/>
                  </w:pPr>
                  <w:r>
                    <w:rPr>
                      <w:sz w:val="19"/>
                    </w:rPr>
                    <w:t>赛环、SERES2000</w:t>
                  </w:r>
                </w:p>
              </w:tc>
            </w:tr>
            <w:tr>
              <w:tc>
                <w:tcPr>
                  <w:tcW w:type="dxa" w:w="800"/>
                </w:tcPr>
                <w:p>
                  <w:pPr>
                    <w:pStyle w:val="null3"/>
                    <w:jc w:val="center"/>
                  </w:pPr>
                  <w:r>
                    <w:rPr>
                      <w:sz w:val="19"/>
                    </w:rPr>
                    <w:t>4</w:t>
                  </w:r>
                </w:p>
              </w:tc>
              <w:tc>
                <w:tcPr>
                  <w:tcW w:type="dxa" w:w="800"/>
                </w:tcPr>
                <w:p>
                  <w:pPr>
                    <w:pStyle w:val="null3"/>
                    <w:jc w:val="center"/>
                  </w:pPr>
                  <w:r>
                    <w:rPr>
                      <w:sz w:val="19"/>
                    </w:rPr>
                    <w:t>电导率</w:t>
                  </w:r>
                </w:p>
              </w:tc>
              <w:tc>
                <w:tcPr>
                  <w:tcW w:type="dxa" w:w="800"/>
                </w:tcPr>
                <w:p>
                  <w:pPr>
                    <w:pStyle w:val="null3"/>
                    <w:jc w:val="center"/>
                  </w:pPr>
                  <w:r>
                    <w:rPr>
                      <w:sz w:val="19"/>
                    </w:rPr>
                    <w:t>WTW</w:t>
                  </w:r>
                </w:p>
              </w:tc>
              <w:tc>
                <w:tcPr>
                  <w:tcW w:type="dxa" w:w="800"/>
                </w:tcPr>
                <w:p>
                  <w:pPr>
                    <w:pStyle w:val="null3"/>
                    <w:jc w:val="center"/>
                  </w:pPr>
                  <w:r>
                    <w:rPr>
                      <w:sz w:val="19"/>
                    </w:rPr>
                    <w:t>美国EUREKA/Manta</w:t>
                  </w:r>
                </w:p>
              </w:tc>
              <w:tc>
                <w:tcPr>
                  <w:tcW w:type="dxa" w:w="800"/>
                </w:tcPr>
                <w:p>
                  <w:pPr>
                    <w:pStyle w:val="null3"/>
                    <w:jc w:val="center"/>
                  </w:pPr>
                  <w:r>
                    <w:rPr>
                      <w:sz w:val="19"/>
                    </w:rPr>
                    <w:t>WTW</w:t>
                  </w:r>
                </w:p>
              </w:tc>
              <w:tc>
                <w:tcPr>
                  <w:tcW w:type="dxa" w:w="800"/>
                </w:tcPr>
                <w:p>
                  <w:pPr>
                    <w:pStyle w:val="null3"/>
                    <w:jc w:val="center"/>
                  </w:pPr>
                  <w:r>
                    <w:rPr>
                      <w:sz w:val="19"/>
                    </w:rPr>
                    <w:t>尚广THK-MP6060</w:t>
                  </w:r>
                </w:p>
              </w:tc>
              <w:tc>
                <w:tcPr>
                  <w:tcW w:type="dxa" w:w="800"/>
                </w:tcPr>
                <w:p>
                  <w:pPr>
                    <w:pStyle w:val="null3"/>
                    <w:jc w:val="center"/>
                  </w:pPr>
                  <w:r>
                    <w:rPr>
                      <w:sz w:val="19"/>
                    </w:rPr>
                    <w:t>赛环、SERES2000</w:t>
                  </w:r>
                </w:p>
              </w:tc>
            </w:tr>
            <w:tr>
              <w:tc>
                <w:tcPr>
                  <w:tcW w:type="dxa" w:w="800"/>
                </w:tcPr>
                <w:p>
                  <w:pPr>
                    <w:pStyle w:val="null3"/>
                    <w:jc w:val="center"/>
                  </w:pPr>
                  <w:r>
                    <w:rPr>
                      <w:sz w:val="19"/>
                    </w:rPr>
                    <w:t>5</w:t>
                  </w:r>
                </w:p>
              </w:tc>
              <w:tc>
                <w:tcPr>
                  <w:tcW w:type="dxa" w:w="800"/>
                </w:tcPr>
                <w:p>
                  <w:pPr>
                    <w:pStyle w:val="null3"/>
                    <w:jc w:val="center"/>
                  </w:pPr>
                  <w:r>
                    <w:rPr>
                      <w:sz w:val="19"/>
                    </w:rPr>
                    <w:t>浊度</w:t>
                  </w:r>
                </w:p>
              </w:tc>
              <w:tc>
                <w:tcPr>
                  <w:tcW w:type="dxa" w:w="800"/>
                </w:tcPr>
                <w:p>
                  <w:pPr>
                    <w:pStyle w:val="null3"/>
                    <w:jc w:val="center"/>
                  </w:pPr>
                  <w:r>
                    <w:rPr>
                      <w:sz w:val="19"/>
                    </w:rPr>
                    <w:t>WTW</w:t>
                  </w:r>
                </w:p>
              </w:tc>
              <w:tc>
                <w:tcPr>
                  <w:tcW w:type="dxa" w:w="800"/>
                </w:tcPr>
                <w:p>
                  <w:pPr>
                    <w:pStyle w:val="null3"/>
                    <w:jc w:val="center"/>
                  </w:pPr>
                  <w:r>
                    <w:rPr>
                      <w:sz w:val="19"/>
                    </w:rPr>
                    <w:t>美国EUREKA/Manta</w:t>
                  </w:r>
                </w:p>
              </w:tc>
              <w:tc>
                <w:tcPr>
                  <w:tcW w:type="dxa" w:w="800"/>
                </w:tcPr>
                <w:p>
                  <w:pPr>
                    <w:pStyle w:val="null3"/>
                    <w:jc w:val="center"/>
                  </w:pPr>
                  <w:r>
                    <w:rPr>
                      <w:sz w:val="19"/>
                    </w:rPr>
                    <w:t>WTW</w:t>
                  </w:r>
                </w:p>
              </w:tc>
              <w:tc>
                <w:tcPr>
                  <w:tcW w:type="dxa" w:w="800"/>
                </w:tcPr>
                <w:p>
                  <w:pPr>
                    <w:pStyle w:val="null3"/>
                    <w:jc w:val="center"/>
                  </w:pPr>
                  <w:r>
                    <w:rPr>
                      <w:sz w:val="19"/>
                    </w:rPr>
                    <w:t>尚广THK-MP6060</w:t>
                  </w:r>
                </w:p>
              </w:tc>
              <w:tc>
                <w:tcPr>
                  <w:tcW w:type="dxa" w:w="800"/>
                </w:tcPr>
                <w:p>
                  <w:pPr>
                    <w:pStyle w:val="null3"/>
                    <w:jc w:val="center"/>
                  </w:pPr>
                  <w:r>
                    <w:rPr>
                      <w:sz w:val="19"/>
                    </w:rPr>
                    <w:t>赛环、SERES2000</w:t>
                  </w:r>
                </w:p>
              </w:tc>
            </w:tr>
            <w:tr>
              <w:tc>
                <w:tcPr>
                  <w:tcW w:type="dxa" w:w="800"/>
                </w:tcPr>
                <w:p>
                  <w:pPr>
                    <w:pStyle w:val="null3"/>
                    <w:jc w:val="center"/>
                  </w:pPr>
                  <w:r>
                    <w:rPr>
                      <w:sz w:val="19"/>
                    </w:rPr>
                    <w:t>6</w:t>
                  </w:r>
                </w:p>
              </w:tc>
              <w:tc>
                <w:tcPr>
                  <w:tcW w:type="dxa" w:w="800"/>
                </w:tcPr>
                <w:p>
                  <w:pPr>
                    <w:pStyle w:val="null3"/>
                    <w:jc w:val="center"/>
                  </w:pPr>
                  <w:r>
                    <w:rPr>
                      <w:sz w:val="19"/>
                    </w:rPr>
                    <w:t>高锰酸盐指数</w:t>
                  </w:r>
                </w:p>
              </w:tc>
              <w:tc>
                <w:tcPr>
                  <w:tcW w:type="dxa" w:w="800"/>
                </w:tcPr>
                <w:p>
                  <w:pPr>
                    <w:pStyle w:val="null3"/>
                    <w:jc w:val="center"/>
                  </w:pPr>
                  <w:r>
                    <w:rPr>
                      <w:sz w:val="19"/>
                    </w:rPr>
                    <w:t>科泽K301/德国</w:t>
                  </w:r>
                </w:p>
              </w:tc>
              <w:tc>
                <w:tcPr>
                  <w:tcW w:type="dxa" w:w="800"/>
                </w:tcPr>
                <w:p>
                  <w:pPr>
                    <w:pStyle w:val="null3"/>
                    <w:jc w:val="center"/>
                  </w:pPr>
                  <w:r>
                    <w:rPr>
                      <w:sz w:val="19"/>
                    </w:rPr>
                    <w:t>力合LFS-2002(CODmn)</w:t>
                  </w:r>
                </w:p>
              </w:tc>
              <w:tc>
                <w:tcPr>
                  <w:tcW w:type="dxa" w:w="800"/>
                </w:tcPr>
                <w:p>
                  <w:pPr>
                    <w:pStyle w:val="null3"/>
                    <w:jc w:val="center"/>
                  </w:pPr>
                  <w:r>
                    <w:rPr>
                      <w:sz w:val="19"/>
                    </w:rPr>
                    <w:t>科泽K301/德国</w:t>
                  </w:r>
                </w:p>
              </w:tc>
              <w:tc>
                <w:tcPr>
                  <w:tcW w:type="dxa" w:w="800"/>
                </w:tcPr>
                <w:p>
                  <w:pPr>
                    <w:pStyle w:val="null3"/>
                    <w:jc w:val="center"/>
                  </w:pPr>
                  <w:r>
                    <w:rPr>
                      <w:sz w:val="19"/>
                    </w:rPr>
                    <w:t>世绘林SVL-CODMn</w:t>
                  </w:r>
                </w:p>
              </w:tc>
              <w:tc>
                <w:tcPr>
                  <w:tcW w:type="dxa" w:w="800"/>
                </w:tcPr>
                <w:p>
                  <w:pPr>
                    <w:pStyle w:val="null3"/>
                    <w:jc w:val="center"/>
                  </w:pPr>
                  <w:r>
                    <w:rPr>
                      <w:sz w:val="19"/>
                    </w:rPr>
                    <w:t>赛环、SERES2000</w:t>
                  </w:r>
                </w:p>
              </w:tc>
            </w:tr>
            <w:tr>
              <w:tc>
                <w:tcPr>
                  <w:tcW w:type="dxa" w:w="800"/>
                </w:tcPr>
                <w:p>
                  <w:pPr>
                    <w:pStyle w:val="null3"/>
                    <w:jc w:val="center"/>
                  </w:pPr>
                  <w:r>
                    <w:rPr>
                      <w:sz w:val="19"/>
                    </w:rPr>
                    <w:t>7</w:t>
                  </w:r>
                </w:p>
              </w:tc>
              <w:tc>
                <w:tcPr>
                  <w:tcW w:type="dxa" w:w="800"/>
                </w:tcPr>
                <w:p>
                  <w:pPr>
                    <w:pStyle w:val="null3"/>
                    <w:jc w:val="center"/>
                  </w:pPr>
                  <w:r>
                    <w:rPr>
                      <w:sz w:val="19"/>
                    </w:rPr>
                    <w:t>氨氮</w:t>
                  </w:r>
                </w:p>
              </w:tc>
              <w:tc>
                <w:tcPr>
                  <w:tcW w:type="dxa" w:w="800"/>
                </w:tcPr>
                <w:p>
                  <w:pPr>
                    <w:pStyle w:val="null3"/>
                    <w:jc w:val="center"/>
                  </w:pPr>
                  <w:r>
                    <w:rPr>
                      <w:sz w:val="19"/>
                    </w:rPr>
                    <w:t>比利时Applitek/EnviroLyzer Ammonia</w:t>
                  </w:r>
                </w:p>
              </w:tc>
              <w:tc>
                <w:tcPr>
                  <w:tcW w:type="dxa" w:w="800"/>
                </w:tcPr>
                <w:p>
                  <w:pPr>
                    <w:pStyle w:val="null3"/>
                    <w:jc w:val="center"/>
                  </w:pPr>
                  <w:r>
                    <w:rPr>
                      <w:sz w:val="19"/>
                    </w:rPr>
                    <w:t>比利时Applitek/EnviroLyzer Ammonia</w:t>
                  </w:r>
                </w:p>
              </w:tc>
              <w:tc>
                <w:tcPr>
                  <w:tcW w:type="dxa" w:w="800"/>
                </w:tcPr>
                <w:p>
                  <w:pPr>
                    <w:pStyle w:val="null3"/>
                    <w:jc w:val="center"/>
                  </w:pPr>
                  <w:r>
                    <w:rPr>
                      <w:sz w:val="19"/>
                    </w:rPr>
                    <w:t>比利时Applitek</w:t>
                  </w:r>
                </w:p>
              </w:tc>
              <w:tc>
                <w:tcPr>
                  <w:tcW w:type="dxa" w:w="800"/>
                </w:tcPr>
                <w:p>
                  <w:pPr>
                    <w:pStyle w:val="null3"/>
                    <w:jc w:val="center"/>
                  </w:pPr>
                  <w:r>
                    <w:rPr>
                      <w:sz w:val="19"/>
                    </w:rPr>
                    <w:t>世绘林SVL-NH3</w:t>
                  </w:r>
                </w:p>
              </w:tc>
              <w:tc>
                <w:tcPr>
                  <w:tcW w:type="dxa" w:w="800"/>
                </w:tcPr>
                <w:p>
                  <w:pPr>
                    <w:pStyle w:val="null3"/>
                    <w:jc w:val="center"/>
                  </w:pPr>
                  <w:r>
                    <w:rPr>
                      <w:sz w:val="19"/>
                    </w:rPr>
                    <w:t>赛环、SERES2000</w:t>
                  </w:r>
                </w:p>
              </w:tc>
            </w:tr>
            <w:tr>
              <w:tc>
                <w:tcPr>
                  <w:tcW w:type="dxa" w:w="800"/>
                </w:tcPr>
                <w:p>
                  <w:pPr>
                    <w:pStyle w:val="null3"/>
                    <w:jc w:val="center"/>
                  </w:pPr>
                  <w:r>
                    <w:rPr>
                      <w:sz w:val="19"/>
                    </w:rPr>
                    <w:t>8</w:t>
                  </w:r>
                </w:p>
              </w:tc>
              <w:tc>
                <w:tcPr>
                  <w:tcW w:type="dxa" w:w="800"/>
                </w:tcPr>
                <w:p>
                  <w:pPr>
                    <w:pStyle w:val="null3"/>
                    <w:jc w:val="center"/>
                  </w:pPr>
                  <w:r>
                    <w:rPr>
                      <w:sz w:val="19"/>
                    </w:rPr>
                    <w:t>总磷</w:t>
                  </w:r>
                </w:p>
              </w:tc>
              <w:tc>
                <w:tcPr>
                  <w:tcW w:type="dxa" w:w="800"/>
                </w:tcPr>
                <w:p>
                  <w:pPr>
                    <w:pStyle w:val="null3"/>
                    <w:jc w:val="center"/>
                  </w:pPr>
                  <w:r>
                    <w:rPr>
                      <w:sz w:val="19"/>
                    </w:rPr>
                    <w:t>比利时Applitek/EnviroLyzer TOPHO</w:t>
                  </w:r>
                </w:p>
              </w:tc>
              <w:tc>
                <w:tcPr>
                  <w:tcW w:type="dxa" w:w="800"/>
                </w:tcPr>
                <w:p>
                  <w:pPr>
                    <w:pStyle w:val="null3"/>
                    <w:jc w:val="center"/>
                  </w:pPr>
                  <w:r>
                    <w:rPr>
                      <w:sz w:val="19"/>
                    </w:rPr>
                    <w:t>比利时Applitek/EnviroLyzer TOPHO</w:t>
                  </w:r>
                </w:p>
              </w:tc>
              <w:tc>
                <w:tcPr>
                  <w:tcW w:type="dxa" w:w="800"/>
                </w:tcPr>
                <w:p>
                  <w:pPr>
                    <w:pStyle w:val="null3"/>
                    <w:jc w:val="center"/>
                  </w:pPr>
                  <w:r>
                    <w:rPr>
                      <w:sz w:val="19"/>
                    </w:rPr>
                    <w:t>比利时Applitek</w:t>
                  </w:r>
                </w:p>
              </w:tc>
              <w:tc>
                <w:tcPr>
                  <w:tcW w:type="dxa" w:w="800"/>
                </w:tcPr>
                <w:p>
                  <w:pPr>
                    <w:pStyle w:val="null3"/>
                    <w:jc w:val="center"/>
                  </w:pPr>
                  <w:r>
                    <w:rPr>
                      <w:sz w:val="19"/>
                    </w:rPr>
                    <w:t>世绘林SVL-TP</w:t>
                  </w:r>
                </w:p>
              </w:tc>
              <w:tc>
                <w:tcPr>
                  <w:tcW w:type="dxa" w:w="800"/>
                </w:tcPr>
                <w:p>
                  <w:pPr>
                    <w:pStyle w:val="null3"/>
                    <w:jc w:val="center"/>
                  </w:pPr>
                  <w:r>
                    <w:rPr>
                      <w:sz w:val="19"/>
                    </w:rPr>
                    <w:t>力合LFS-20029(TP)</w:t>
                  </w:r>
                </w:p>
              </w:tc>
            </w:tr>
            <w:tr>
              <w:tc>
                <w:tcPr>
                  <w:tcW w:type="dxa" w:w="800"/>
                </w:tcPr>
                <w:p>
                  <w:pPr>
                    <w:pStyle w:val="null3"/>
                    <w:jc w:val="center"/>
                  </w:pPr>
                  <w:r>
                    <w:rPr>
                      <w:sz w:val="19"/>
                    </w:rPr>
                    <w:t>9</w:t>
                  </w:r>
                </w:p>
              </w:tc>
              <w:tc>
                <w:tcPr>
                  <w:tcW w:type="dxa" w:w="800"/>
                </w:tcPr>
                <w:p>
                  <w:pPr>
                    <w:pStyle w:val="null3"/>
                    <w:jc w:val="center"/>
                  </w:pPr>
                  <w:r>
                    <w:rPr>
                      <w:sz w:val="19"/>
                    </w:rPr>
                    <w:t>氰化物</w:t>
                  </w:r>
                </w:p>
              </w:tc>
              <w:tc>
                <w:tcPr>
                  <w:tcW w:type="dxa" w:w="800"/>
                </w:tcPr>
                <w:p>
                  <w:pPr>
                    <w:pStyle w:val="null3"/>
                    <w:jc w:val="center"/>
                  </w:pPr>
                  <w:r>
                    <w:rPr>
                      <w:sz w:val="19"/>
                    </w:rPr>
                    <w:t>力合LFTCN-DW2002</w:t>
                  </w:r>
                </w:p>
              </w:tc>
              <w:tc>
                <w:tcPr>
                  <w:tcW w:type="dxa" w:w="800"/>
                </w:tcPr>
                <w:p>
                  <w:pPr>
                    <w:pStyle w:val="null3"/>
                    <w:jc w:val="center"/>
                  </w:pPr>
                  <w:r>
                    <w:rPr>
                      <w:sz w:val="19"/>
                    </w:rPr>
                    <w:t>比利时Applitek/EnviroLyzer Free Cyanide</w:t>
                  </w:r>
                </w:p>
              </w:tc>
              <w:tc>
                <w:tcPr>
                  <w:tcW w:type="dxa" w:w="800"/>
                </w:tcPr>
                <w:p>
                  <w:pPr>
                    <w:pStyle w:val="null3"/>
                    <w:jc w:val="center"/>
                  </w:pPr>
                  <w:r>
                    <w:rPr>
                      <w:sz w:val="19"/>
                    </w:rPr>
                    <w:t>德国布朗卢比PowerMon</w:t>
                  </w:r>
                </w:p>
              </w:tc>
              <w:tc>
                <w:tcPr>
                  <w:tcW w:type="dxa" w:w="800"/>
                </w:tcPr>
                <w:p>
                  <w:pPr>
                    <w:pStyle w:val="null3"/>
                    <w:jc w:val="center"/>
                  </w:pPr>
                  <w:r>
                    <w:rPr>
                      <w:sz w:val="19"/>
                    </w:rPr>
                    <w:t>世绘林SVL-CN</w:t>
                  </w:r>
                </w:p>
              </w:tc>
              <w:tc>
                <w:tcPr>
                  <w:tcW w:type="dxa" w:w="800"/>
                </w:tcPr>
                <w:p>
                  <w:pPr>
                    <w:pStyle w:val="null3"/>
                    <w:jc w:val="center"/>
                  </w:pPr>
                  <w:r>
                    <w:rPr>
                      <w:sz w:val="19"/>
                    </w:rPr>
                    <w:t>无</w:t>
                  </w:r>
                </w:p>
              </w:tc>
            </w:tr>
            <w:tr>
              <w:tc>
                <w:tcPr>
                  <w:tcW w:type="dxa" w:w="800"/>
                </w:tcPr>
                <w:p>
                  <w:pPr>
                    <w:pStyle w:val="null3"/>
                    <w:jc w:val="center"/>
                  </w:pPr>
                  <w:r>
                    <w:rPr>
                      <w:sz w:val="19"/>
                    </w:rPr>
                    <w:t>10</w:t>
                  </w:r>
                </w:p>
              </w:tc>
              <w:tc>
                <w:tcPr>
                  <w:tcW w:type="dxa" w:w="800"/>
                </w:tcPr>
                <w:p>
                  <w:pPr>
                    <w:pStyle w:val="null3"/>
                    <w:jc w:val="center"/>
                  </w:pPr>
                  <w:r>
                    <w:rPr>
                      <w:sz w:val="19"/>
                    </w:rPr>
                    <w:t>氟化物</w:t>
                  </w:r>
                </w:p>
              </w:tc>
              <w:tc>
                <w:tcPr>
                  <w:tcW w:type="dxa" w:w="800"/>
                </w:tcPr>
                <w:p>
                  <w:pPr>
                    <w:pStyle w:val="null3"/>
                    <w:jc w:val="center"/>
                  </w:pPr>
                  <w:r>
                    <w:rPr>
                      <w:sz w:val="19"/>
                    </w:rPr>
                    <w:t>比利时Applitek/EnviroLyzer Fluoride</w:t>
                  </w:r>
                </w:p>
              </w:tc>
              <w:tc>
                <w:tcPr>
                  <w:tcW w:type="dxa" w:w="800"/>
                </w:tcPr>
                <w:p>
                  <w:pPr>
                    <w:pStyle w:val="null3"/>
                    <w:jc w:val="center"/>
                  </w:pPr>
                  <w:r>
                    <w:rPr>
                      <w:sz w:val="19"/>
                    </w:rPr>
                    <w:t>比利时Applitek/EnviroLyzer Fluoride</w:t>
                  </w:r>
                </w:p>
              </w:tc>
              <w:tc>
                <w:tcPr>
                  <w:tcW w:type="dxa" w:w="800"/>
                </w:tcPr>
                <w:p>
                  <w:pPr>
                    <w:pStyle w:val="null3"/>
                    <w:jc w:val="center"/>
                  </w:pPr>
                  <w:r>
                    <w:rPr>
                      <w:sz w:val="19"/>
                    </w:rPr>
                    <w:t>比利时Applitek</w:t>
                  </w:r>
                </w:p>
              </w:tc>
              <w:tc>
                <w:tcPr>
                  <w:tcW w:type="dxa" w:w="800"/>
                </w:tcPr>
                <w:p>
                  <w:pPr>
                    <w:pStyle w:val="null3"/>
                    <w:jc w:val="center"/>
                  </w:pPr>
                  <w:r>
                    <w:rPr>
                      <w:sz w:val="19"/>
                    </w:rPr>
                    <w:t>美国哈希CA610</w:t>
                  </w:r>
                </w:p>
              </w:tc>
              <w:tc>
                <w:tcPr>
                  <w:tcW w:type="dxa" w:w="800"/>
                </w:tcPr>
                <w:p>
                  <w:pPr>
                    <w:pStyle w:val="null3"/>
                    <w:jc w:val="center"/>
                  </w:pPr>
                  <w:r>
                    <w:rPr>
                      <w:sz w:val="19"/>
                    </w:rPr>
                    <w:t>赛环、SERES2000</w:t>
                  </w:r>
                </w:p>
              </w:tc>
            </w:tr>
            <w:tr>
              <w:tc>
                <w:tcPr>
                  <w:tcW w:type="dxa" w:w="800"/>
                </w:tcPr>
                <w:p>
                  <w:pPr>
                    <w:pStyle w:val="null3"/>
                    <w:jc w:val="center"/>
                  </w:pPr>
                  <w:r>
                    <w:rPr>
                      <w:sz w:val="19"/>
                    </w:rPr>
                    <w:t>12</w:t>
                  </w:r>
                </w:p>
              </w:tc>
              <w:tc>
                <w:tcPr>
                  <w:tcW w:type="dxa" w:w="800"/>
                </w:tcPr>
                <w:p>
                  <w:pPr>
                    <w:pStyle w:val="null3"/>
                    <w:jc w:val="center"/>
                  </w:pPr>
                  <w:r>
                    <w:rPr>
                      <w:sz w:val="19"/>
                    </w:rPr>
                    <w:t>生物毒性仪</w:t>
                  </w:r>
                </w:p>
              </w:tc>
              <w:tc>
                <w:tcPr>
                  <w:tcW w:type="dxa" w:w="800"/>
                </w:tcPr>
                <w:p>
                  <w:pPr>
                    <w:pStyle w:val="null3"/>
                    <w:jc w:val="center"/>
                  </w:pPr>
                  <w:r>
                    <w:rPr>
                      <w:sz w:val="19"/>
                    </w:rPr>
                    <w:t>无</w:t>
                  </w:r>
                </w:p>
              </w:tc>
              <w:tc>
                <w:tcPr>
                  <w:tcW w:type="dxa" w:w="800"/>
                </w:tcPr>
                <w:p>
                  <w:pPr>
                    <w:pStyle w:val="null3"/>
                    <w:jc w:val="center"/>
                  </w:pPr>
                  <w:r>
                    <w:rPr>
                      <w:sz w:val="19"/>
                    </w:rPr>
                    <w:t>北京中科BEMS</w:t>
                  </w:r>
                </w:p>
              </w:tc>
              <w:tc>
                <w:tcPr>
                  <w:tcW w:type="dxa" w:w="800"/>
                </w:tcPr>
                <w:p>
                  <w:pPr>
                    <w:pStyle w:val="null3"/>
                    <w:jc w:val="center"/>
                  </w:pPr>
                  <w:r>
                    <w:rPr>
                      <w:sz w:val="19"/>
                    </w:rPr>
                    <w:t>幕迪WTOX-8000</w:t>
                  </w:r>
                </w:p>
              </w:tc>
              <w:tc>
                <w:tcPr>
                  <w:tcW w:type="dxa" w:w="800"/>
                </w:tcPr>
                <w:p>
                  <w:pPr>
                    <w:pStyle w:val="null3"/>
                    <w:jc w:val="center"/>
                  </w:pPr>
                  <w:r>
                    <w:rPr>
                      <w:sz w:val="19"/>
                    </w:rPr>
                    <w:t>有为 UTOX-1000</w:t>
                  </w:r>
                </w:p>
              </w:tc>
              <w:tc>
                <w:tcPr>
                  <w:tcW w:type="dxa" w:w="800"/>
                </w:tcPr>
                <w:p>
                  <w:pPr>
                    <w:pStyle w:val="null3"/>
                    <w:jc w:val="center"/>
                  </w:pPr>
                  <w:r>
                    <w:rPr>
                      <w:sz w:val="19"/>
                    </w:rPr>
                    <w:t>无</w:t>
                  </w:r>
                </w:p>
              </w:tc>
            </w:tr>
            <w:tr>
              <w:tc>
                <w:tcPr>
                  <w:tcW w:type="dxa" w:w="800"/>
                </w:tcPr>
                <w:p>
                  <w:pPr>
                    <w:pStyle w:val="null3"/>
                    <w:jc w:val="center"/>
                  </w:pPr>
                  <w:r>
                    <w:rPr>
                      <w:sz w:val="19"/>
                    </w:rPr>
                    <w:t>13</w:t>
                  </w:r>
                </w:p>
              </w:tc>
              <w:tc>
                <w:tcPr>
                  <w:tcW w:type="dxa" w:w="800"/>
                </w:tcPr>
                <w:p>
                  <w:pPr>
                    <w:pStyle w:val="null3"/>
                    <w:jc w:val="center"/>
                  </w:pPr>
                  <w:r>
                    <w:rPr>
                      <w:sz w:val="19"/>
                    </w:rPr>
                    <w:t>自动留样器</w:t>
                  </w:r>
                </w:p>
              </w:tc>
              <w:tc>
                <w:tcPr>
                  <w:tcW w:type="dxa" w:w="800"/>
                </w:tcPr>
                <w:p>
                  <w:pPr>
                    <w:pStyle w:val="null3"/>
                    <w:jc w:val="center"/>
                  </w:pPr>
                  <w:r>
                    <w:rPr>
                      <w:sz w:val="19"/>
                    </w:rPr>
                    <w:t>力合LFLY-DW2004</w:t>
                  </w:r>
                </w:p>
              </w:tc>
              <w:tc>
                <w:tcPr>
                  <w:tcW w:type="dxa" w:w="800"/>
                </w:tcPr>
                <w:p>
                  <w:pPr>
                    <w:pStyle w:val="null3"/>
                    <w:jc w:val="center"/>
                  </w:pPr>
                  <w:r>
                    <w:rPr>
                      <w:sz w:val="19"/>
                    </w:rPr>
                    <w:t>青岛/SBC-Ⅱ</w:t>
                  </w:r>
                </w:p>
              </w:tc>
              <w:tc>
                <w:tcPr>
                  <w:tcW w:type="dxa" w:w="800"/>
                </w:tcPr>
                <w:p>
                  <w:pPr>
                    <w:pStyle w:val="null3"/>
                    <w:jc w:val="center"/>
                  </w:pPr>
                  <w:r>
                    <w:rPr>
                      <w:sz w:val="19"/>
                    </w:rPr>
                    <w:t>无</w:t>
                  </w:r>
                </w:p>
              </w:tc>
              <w:tc>
                <w:tcPr>
                  <w:tcW w:type="dxa" w:w="800"/>
                </w:tcPr>
                <w:p>
                  <w:pPr>
                    <w:pStyle w:val="null3"/>
                    <w:jc w:val="center"/>
                  </w:pPr>
                  <w:r>
                    <w:rPr>
                      <w:sz w:val="19"/>
                    </w:rPr>
                    <w:t>格雷斯普 FC2024AB</w:t>
                  </w:r>
                </w:p>
              </w:tc>
              <w:tc>
                <w:tcPr>
                  <w:tcW w:type="dxa" w:w="800"/>
                </w:tcPr>
                <w:p>
                  <w:pPr>
                    <w:pStyle w:val="null3"/>
                    <w:jc w:val="center"/>
                  </w:pPr>
                  <w:r>
                    <w:rPr>
                      <w:sz w:val="19"/>
                    </w:rPr>
                    <w:t>杭州科盛</w:t>
                  </w:r>
                </w:p>
              </w:tc>
            </w:tr>
            <w:tr>
              <w:tc>
                <w:tcPr>
                  <w:tcW w:type="dxa" w:w="800"/>
                </w:tcPr>
                <w:p>
                  <w:pPr>
                    <w:pStyle w:val="null3"/>
                    <w:jc w:val="center"/>
                  </w:pPr>
                  <w:r>
                    <w:rPr>
                      <w:sz w:val="19"/>
                    </w:rPr>
                    <w:t>14</w:t>
                  </w:r>
                </w:p>
              </w:tc>
              <w:tc>
                <w:tcPr>
                  <w:tcW w:type="dxa" w:w="800"/>
                </w:tcPr>
                <w:p>
                  <w:pPr>
                    <w:pStyle w:val="null3"/>
                    <w:jc w:val="center"/>
                  </w:pPr>
                  <w:r>
                    <w:rPr>
                      <w:sz w:val="19"/>
                    </w:rPr>
                    <w:t>总氮</w:t>
                  </w:r>
                </w:p>
              </w:tc>
              <w:tc>
                <w:tcPr>
                  <w:tcW w:type="dxa" w:w="800"/>
                </w:tcPr>
                <w:p>
                  <w:pPr>
                    <w:pStyle w:val="null3"/>
                    <w:jc w:val="center"/>
                  </w:pPr>
                  <w:r>
                    <w:rPr>
                      <w:sz w:val="19"/>
                    </w:rPr>
                    <w:t>无</w:t>
                  </w:r>
                </w:p>
              </w:tc>
              <w:tc>
                <w:tcPr>
                  <w:tcW w:type="dxa" w:w="800"/>
                </w:tcPr>
                <w:p>
                  <w:pPr>
                    <w:pStyle w:val="null3"/>
                    <w:jc w:val="center"/>
                  </w:pPr>
                  <w:r>
                    <w:rPr>
                      <w:sz w:val="19"/>
                    </w:rPr>
                    <w:t>无</w:t>
                  </w:r>
                </w:p>
              </w:tc>
              <w:tc>
                <w:tcPr>
                  <w:tcW w:type="dxa" w:w="800"/>
                </w:tcPr>
                <w:p>
                  <w:pPr>
                    <w:pStyle w:val="null3"/>
                    <w:jc w:val="center"/>
                  </w:pPr>
                  <w:r>
                    <w:rPr>
                      <w:sz w:val="19"/>
                    </w:rPr>
                    <w:t>无</w:t>
                  </w:r>
                </w:p>
              </w:tc>
              <w:tc>
                <w:tcPr>
                  <w:tcW w:type="dxa" w:w="800"/>
                </w:tcPr>
                <w:p>
                  <w:pPr>
                    <w:pStyle w:val="null3"/>
                    <w:jc w:val="center"/>
                  </w:pPr>
                  <w:r>
                    <w:rPr>
                      <w:sz w:val="19"/>
                    </w:rPr>
                    <w:t>世绘林SVL-TN</w:t>
                  </w:r>
                </w:p>
              </w:tc>
              <w:tc>
                <w:tcPr>
                  <w:tcW w:type="dxa" w:w="800"/>
                </w:tcPr>
                <w:p>
                  <w:pPr>
                    <w:pStyle w:val="null3"/>
                    <w:jc w:val="center"/>
                  </w:pPr>
                  <w:r>
                    <w:rPr>
                      <w:sz w:val="19"/>
                    </w:rPr>
                    <w:t>无</w:t>
                  </w:r>
                </w:p>
              </w:tc>
            </w:tr>
            <w:tr>
              <w:tc>
                <w:tcPr>
                  <w:tcW w:type="dxa" w:w="800"/>
                </w:tcPr>
                <w:p>
                  <w:pPr>
                    <w:pStyle w:val="null3"/>
                    <w:jc w:val="center"/>
                  </w:pPr>
                  <w:r>
                    <w:rPr>
                      <w:sz w:val="19"/>
                    </w:rPr>
                    <w:t>15</w:t>
                  </w:r>
                </w:p>
              </w:tc>
              <w:tc>
                <w:tcPr>
                  <w:tcW w:type="dxa" w:w="800"/>
                </w:tcPr>
                <w:p>
                  <w:pPr>
                    <w:pStyle w:val="null3"/>
                    <w:jc w:val="center"/>
                  </w:pPr>
                  <w:r>
                    <w:rPr>
                      <w:sz w:val="19"/>
                    </w:rPr>
                    <w:t>重金属（铜、镉、铅、锌、镍）</w:t>
                  </w:r>
                </w:p>
              </w:tc>
              <w:tc>
                <w:tcPr>
                  <w:tcW w:type="dxa" w:w="800"/>
                </w:tcPr>
                <w:p>
                  <w:pPr>
                    <w:pStyle w:val="null3"/>
                    <w:jc w:val="center"/>
                  </w:pPr>
                  <w:r>
                    <w:rPr>
                      <w:sz w:val="19"/>
                    </w:rPr>
                    <w:t>无</w:t>
                  </w:r>
                </w:p>
              </w:tc>
              <w:tc>
                <w:tcPr>
                  <w:tcW w:type="dxa" w:w="800"/>
                </w:tcPr>
                <w:p>
                  <w:pPr>
                    <w:pStyle w:val="null3"/>
                    <w:jc w:val="center"/>
                  </w:pPr>
                  <w:r>
                    <w:rPr>
                      <w:sz w:val="19"/>
                    </w:rPr>
                    <w:t>无</w:t>
                  </w:r>
                </w:p>
              </w:tc>
              <w:tc>
                <w:tcPr>
                  <w:tcW w:type="dxa" w:w="800"/>
                </w:tcPr>
                <w:p>
                  <w:pPr>
                    <w:pStyle w:val="null3"/>
                    <w:jc w:val="center"/>
                  </w:pPr>
                  <w:r>
                    <w:rPr>
                      <w:sz w:val="19"/>
                    </w:rPr>
                    <w:t>无</w:t>
                  </w:r>
                </w:p>
              </w:tc>
              <w:tc>
                <w:tcPr>
                  <w:tcW w:type="dxa" w:w="800"/>
                </w:tcPr>
                <w:p>
                  <w:pPr>
                    <w:pStyle w:val="null3"/>
                    <w:jc w:val="center"/>
                  </w:pPr>
                  <w:r>
                    <w:rPr>
                      <w:sz w:val="19"/>
                    </w:rPr>
                    <w:t>有为UEM6000</w:t>
                  </w:r>
                </w:p>
              </w:tc>
              <w:tc>
                <w:tcPr>
                  <w:tcW w:type="dxa" w:w="800"/>
                </w:tcPr>
                <w:p>
                  <w:pPr>
                    <w:pStyle w:val="null3"/>
                    <w:jc w:val="center"/>
                  </w:pPr>
                  <w:r>
                    <w:rPr>
                      <w:sz w:val="19"/>
                    </w:rPr>
                    <w:t xml:space="preserve"> </w:t>
                  </w:r>
                </w:p>
              </w:tc>
            </w:tr>
          </w:tbl>
          <w:p>
            <w:pPr>
              <w:pStyle w:val="null3"/>
              <w:ind w:firstLine="480"/>
              <w:jc w:val="left"/>
            </w:pPr>
            <w:r>
              <w:rPr>
                <w:sz w:val="24"/>
              </w:rPr>
              <w:t>注：如采购人更新仪器，则中标供应商按新品牌仪器开展运维。</w:t>
            </w:r>
          </w:p>
          <w:p>
            <w:pPr>
              <w:pStyle w:val="null3"/>
              <w:ind w:firstLine="480"/>
              <w:jc w:val="both"/>
            </w:pPr>
            <w:r>
              <w:rPr>
                <w:sz w:val="24"/>
              </w:rPr>
              <w:t>2.服务基本要求</w:t>
            </w:r>
          </w:p>
          <w:p>
            <w:pPr>
              <w:pStyle w:val="null3"/>
              <w:ind w:firstLine="480"/>
              <w:jc w:val="both"/>
            </w:pPr>
            <w:r>
              <w:rPr>
                <w:sz w:val="24"/>
              </w:rPr>
              <w:t>中标供应商</w:t>
            </w:r>
            <w:r>
              <w:rPr>
                <w:sz w:val="24"/>
              </w:rPr>
              <w:t>需负责增城石滩、白云河口、石门、流溪河从化街口、从化太平水自动监测站正常运行所需的耗材费、</w:t>
            </w:r>
            <w:r>
              <w:rPr>
                <w:sz w:val="24"/>
              </w:rPr>
              <w:t>1万元及以下的零备件费和站房及栈桥维护费、运行水电费（增城石滩、石门电费由</w:t>
            </w:r>
            <w:r>
              <w:rPr>
                <w:sz w:val="24"/>
              </w:rPr>
              <w:t>采购人</w:t>
            </w:r>
            <w:r>
              <w:rPr>
                <w:sz w:val="24"/>
              </w:rPr>
              <w:t>负责）、试剂购置费、网络通讯费</w:t>
            </w:r>
            <w:r>
              <w:rPr>
                <w:sz w:val="24"/>
              </w:rPr>
              <w:t>(增城石滩、从化街口网络通讯费由</w:t>
            </w:r>
            <w:r>
              <w:rPr>
                <w:sz w:val="24"/>
              </w:rPr>
              <w:t>采购人</w:t>
            </w:r>
            <w:r>
              <w:rPr>
                <w:sz w:val="24"/>
              </w:rPr>
              <w:t>负责</w:t>
            </w:r>
            <w:r>
              <w:rPr>
                <w:sz w:val="24"/>
              </w:rPr>
              <w:t>)、废液处理费等。</w:t>
            </w:r>
            <w:r>
              <w:rPr>
                <w:sz w:val="24"/>
              </w:rPr>
              <w:t>中标供应商</w:t>
            </w:r>
            <w:r>
              <w:rPr>
                <w:sz w:val="24"/>
              </w:rPr>
              <w:t>负责石滩</w:t>
            </w:r>
            <w:r>
              <w:rPr>
                <w:sz w:val="24"/>
              </w:rPr>
              <w:t>、</w:t>
            </w:r>
            <w:r>
              <w:rPr>
                <w:sz w:val="24"/>
              </w:rPr>
              <w:t>场租费（石滩约</w:t>
            </w:r>
            <w:r>
              <w:rPr>
                <w:sz w:val="24"/>
              </w:rPr>
              <w:t>3.8万元/年，从化太平约</w:t>
            </w:r>
            <w:r>
              <w:rPr>
                <w:sz w:val="24"/>
              </w:rPr>
              <w:t>0.4</w:t>
            </w:r>
            <w:r>
              <w:rPr>
                <w:sz w:val="24"/>
              </w:rPr>
              <w:t>万元</w:t>
            </w:r>
            <w:r>
              <w:rPr>
                <w:sz w:val="24"/>
              </w:rPr>
              <w:t>/年</w:t>
            </w:r>
            <w:r>
              <w:rPr>
                <w:sz w:val="24"/>
              </w:rPr>
              <w:t>，</w:t>
            </w:r>
            <w:r>
              <w:rPr>
                <w:sz w:val="24"/>
              </w:rPr>
              <w:t>以实际金额为准），并于</w:t>
            </w:r>
            <w:r>
              <w:rPr>
                <w:sz w:val="24"/>
              </w:rPr>
              <w:t>2025年9月前缴清一年租金，向</w:t>
            </w:r>
            <w:r>
              <w:rPr>
                <w:sz w:val="24"/>
              </w:rPr>
              <w:t>采购人</w:t>
            </w:r>
            <w:r>
              <w:rPr>
                <w:sz w:val="24"/>
              </w:rPr>
              <w:t>提交租金缴纳证明。</w:t>
            </w:r>
            <w:r>
              <w:rPr>
                <w:sz w:val="24"/>
              </w:rPr>
              <w:t>中标供应商</w:t>
            </w:r>
            <w:r>
              <w:rPr>
                <w:sz w:val="24"/>
              </w:rPr>
              <w:t>需负责对水自动监测系统进行维护，每天监控系统运行情况，保证系统正常运行。</w:t>
            </w:r>
          </w:p>
          <w:p>
            <w:pPr>
              <w:pStyle w:val="null3"/>
              <w:ind w:firstLine="480"/>
              <w:jc w:val="both"/>
            </w:pPr>
            <w:r>
              <w:rPr>
                <w:sz w:val="24"/>
              </w:rPr>
              <w:t>2.1</w:t>
            </w:r>
            <w:r>
              <w:rPr>
                <w:sz w:val="24"/>
              </w:rPr>
              <w:t>中标供应商</w:t>
            </w:r>
            <w:r>
              <w:rPr>
                <w:sz w:val="24"/>
              </w:rPr>
              <w:t>须指派有责任心并具相关专业知识的技术人员负责水站的日常维护，按照《地表水自动监测技术规范（试行）》（</w:t>
            </w:r>
            <w:r>
              <w:rPr>
                <w:sz w:val="24"/>
              </w:rPr>
              <w:t>HJ 915-2017）、《关于印发&lt;国家地表水水质自动监测站运行维护管理实施细则（试行）&gt;等文件的通知》（总站水字〔2019〕649号）等相关规范文件要求及广东省广州生态环境监测中心站质量体系文件执行；做好维护工作，并接受广东省广州生态环境监测中心站的工作检查及考核。</w:t>
            </w:r>
          </w:p>
          <w:p>
            <w:pPr>
              <w:pStyle w:val="null3"/>
              <w:ind w:firstLine="480"/>
              <w:jc w:val="both"/>
            </w:pPr>
            <w:r>
              <w:rPr>
                <w:sz w:val="24"/>
              </w:rPr>
              <w:t>▲2.2 对水站应实施“日监视、周巡检”的日常运行维护制度。即每天须有专人实时监视</w:t>
            </w:r>
            <w:r>
              <w:rPr>
                <w:sz w:val="24"/>
              </w:rPr>
              <w:t>，</w:t>
            </w:r>
            <w:r>
              <w:rPr>
                <w:sz w:val="24"/>
              </w:rPr>
              <w:t>对于异常值应根据仪器运行状况、近期水质变化趋势及相关参数变化趋势等方面加以分析判断，如有必要需及时采集水样进行人工采样分析加以确认，并及时报告</w:t>
            </w:r>
            <w:r>
              <w:rPr>
                <w:sz w:val="24"/>
              </w:rPr>
              <w:t>采购人</w:t>
            </w:r>
            <w:r>
              <w:rPr>
                <w:sz w:val="24"/>
              </w:rPr>
              <w:t>。当水站所在断面发生水污染事故时，应加大水站采样频率并对自动监测数据进行分析，并及时通知</w:t>
            </w:r>
            <w:r>
              <w:rPr>
                <w:sz w:val="24"/>
              </w:rPr>
              <w:t>采购人</w:t>
            </w:r>
            <w:r>
              <w:rPr>
                <w:sz w:val="24"/>
              </w:rPr>
              <w:t>。每日至少一次采集并存取数据，每周至少一次到现场检查维护，并做好运行维护记录，登记远程监视及维护维修结果备查。现场维护内容及频次要求详见附表</w:t>
            </w:r>
            <w:r>
              <w:rPr>
                <w:sz w:val="24"/>
              </w:rPr>
              <w:t>1。</w:t>
            </w:r>
          </w:p>
          <w:p>
            <w:pPr>
              <w:pStyle w:val="null3"/>
              <w:jc w:val="center"/>
            </w:pPr>
            <w:r>
              <w:rPr>
                <w:sz w:val="24"/>
              </w:rPr>
              <w:t>附表</w:t>
            </w:r>
            <w:r>
              <w:rPr>
                <w:sz w:val="24"/>
              </w:rPr>
              <w:t>1 现场维护内容及频次要求</w:t>
            </w:r>
          </w:p>
          <w:tbl>
            <w:tblPr>
              <w:tblBorders>
                <w:top w:val="none" w:color="000000" w:sz="4"/>
                <w:left w:val="none" w:color="000000" w:sz="4"/>
                <w:bottom w:val="none" w:color="000000" w:sz="4"/>
                <w:right w:val="none" w:color="000000" w:sz="4"/>
                <w:insideH w:val="none"/>
                <w:insideV w:val="none"/>
              </w:tblBorders>
            </w:tblPr>
            <w:tblGrid>
              <w:gridCol w:w="699"/>
              <w:gridCol w:w="699"/>
              <w:gridCol w:w="699"/>
              <w:gridCol w:w="699"/>
              <w:gridCol w:w="699"/>
              <w:gridCol w:w="699"/>
              <w:gridCol w:w="699"/>
              <w:gridCol w:w="699"/>
            </w:tblGrid>
            <w:tr>
              <w:tc>
                <w:tcPr>
                  <w:tcW w:type="dxa" w:w="1398"/>
                  <w:gridSpan w:val="2"/>
                </w:tcPr>
                <w:p>
                  <w:pPr>
                    <w:pStyle w:val="null3"/>
                    <w:jc w:val="center"/>
                  </w:pPr>
                  <w:r>
                    <w:rPr>
                      <w:sz w:val="19"/>
                    </w:rPr>
                    <w:t>工作内容</w:t>
                  </w:r>
                </w:p>
              </w:tc>
              <w:tc>
                <w:tcPr>
                  <w:tcW w:type="dxa" w:w="699"/>
                </w:tcPr>
                <w:p>
                  <w:pPr>
                    <w:pStyle w:val="null3"/>
                    <w:jc w:val="center"/>
                  </w:pPr>
                  <w:r>
                    <w:rPr>
                      <w:sz w:val="19"/>
                    </w:rPr>
                    <w:t>周</w:t>
                  </w:r>
                </w:p>
              </w:tc>
              <w:tc>
                <w:tcPr>
                  <w:tcW w:type="dxa" w:w="699"/>
                </w:tcPr>
                <w:p>
                  <w:pPr>
                    <w:pStyle w:val="null3"/>
                    <w:jc w:val="center"/>
                  </w:pPr>
                  <w:r>
                    <w:rPr>
                      <w:sz w:val="19"/>
                    </w:rPr>
                    <w:t>月</w:t>
                  </w:r>
                </w:p>
              </w:tc>
              <w:tc>
                <w:tcPr>
                  <w:tcW w:type="dxa" w:w="699"/>
                </w:tcPr>
                <w:p>
                  <w:pPr>
                    <w:pStyle w:val="null3"/>
                    <w:jc w:val="center"/>
                  </w:pPr>
                  <w:r>
                    <w:rPr>
                      <w:sz w:val="19"/>
                    </w:rPr>
                    <w:t>季度</w:t>
                  </w:r>
                </w:p>
              </w:tc>
              <w:tc>
                <w:tcPr>
                  <w:tcW w:type="dxa" w:w="699"/>
                </w:tcPr>
                <w:p>
                  <w:pPr>
                    <w:pStyle w:val="null3"/>
                    <w:jc w:val="center"/>
                  </w:pPr>
                  <w:r>
                    <w:rPr>
                      <w:sz w:val="19"/>
                    </w:rPr>
                    <w:t>半年</w:t>
                  </w:r>
                </w:p>
              </w:tc>
              <w:tc>
                <w:tcPr>
                  <w:tcW w:type="dxa" w:w="699"/>
                </w:tcPr>
                <w:p>
                  <w:pPr>
                    <w:pStyle w:val="null3"/>
                    <w:jc w:val="center"/>
                  </w:pPr>
                  <w:r>
                    <w:rPr>
                      <w:sz w:val="19"/>
                    </w:rPr>
                    <w:t>年</w:t>
                  </w:r>
                </w:p>
              </w:tc>
              <w:tc>
                <w:tcPr>
                  <w:tcW w:type="dxa" w:w="699"/>
                </w:tcPr>
                <w:p>
                  <w:pPr>
                    <w:pStyle w:val="null3"/>
                    <w:jc w:val="center"/>
                  </w:pPr>
                  <w:r>
                    <w:rPr>
                      <w:sz w:val="19"/>
                    </w:rPr>
                    <w:t>备注</w:t>
                  </w:r>
                </w:p>
              </w:tc>
            </w:tr>
            <w:tr>
              <w:tc>
                <w:tcPr>
                  <w:tcW w:type="dxa" w:w="699"/>
                  <w:vMerge w:val="restart"/>
                </w:tcPr>
                <w:p>
                  <w:pPr>
                    <w:pStyle w:val="null3"/>
                    <w:jc w:val="center"/>
                  </w:pPr>
                  <w:r>
                    <w:rPr>
                      <w:sz w:val="19"/>
                    </w:rPr>
                    <w:t>站房</w:t>
                  </w:r>
                </w:p>
              </w:tc>
              <w:tc>
                <w:tcPr>
                  <w:tcW w:type="dxa" w:w="699"/>
                </w:tcPr>
                <w:p>
                  <w:pPr>
                    <w:pStyle w:val="null3"/>
                    <w:jc w:val="center"/>
                  </w:pPr>
                  <w:r>
                    <w:rPr>
                      <w:sz w:val="19"/>
                    </w:rPr>
                    <w:t>例行巡检</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消防设施更换</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具体根据设施有效期情况执行</w:t>
                  </w:r>
                </w:p>
              </w:tc>
            </w:tr>
            <w:tr>
              <w:tc>
                <w:tcPr>
                  <w:tcW w:type="dxa" w:w="699"/>
                  <w:vMerge/>
                </w:tcPr>
                <w:p/>
              </w:tc>
              <w:tc>
                <w:tcPr>
                  <w:tcW w:type="dxa" w:w="699"/>
                </w:tcPr>
                <w:p>
                  <w:pPr>
                    <w:pStyle w:val="null3"/>
                    <w:jc w:val="center"/>
                  </w:pPr>
                  <w:r>
                    <w:rPr>
                      <w:sz w:val="19"/>
                    </w:rPr>
                    <w:t>防雷检测</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空调维护</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val="restart"/>
                </w:tcPr>
                <w:p>
                  <w:pPr>
                    <w:pStyle w:val="null3"/>
                    <w:jc w:val="center"/>
                  </w:pPr>
                  <w:r>
                    <w:rPr>
                      <w:sz w:val="19"/>
                    </w:rPr>
                    <w:t>采配水单元</w:t>
                  </w:r>
                </w:p>
              </w:tc>
              <w:tc>
                <w:tcPr>
                  <w:tcW w:type="dxa" w:w="699"/>
                </w:tcPr>
                <w:p>
                  <w:pPr>
                    <w:pStyle w:val="null3"/>
                    <w:jc w:val="center"/>
                  </w:pPr>
                  <w:r>
                    <w:rPr>
                      <w:sz w:val="19"/>
                    </w:rPr>
                    <w:t>例行巡检</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采水头清洗</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具体根据现场情况执行</w:t>
                  </w:r>
                </w:p>
              </w:tc>
            </w:tr>
            <w:tr>
              <w:tc>
                <w:tcPr>
                  <w:tcW w:type="dxa" w:w="699"/>
                  <w:vMerge/>
                </w:tcPr>
                <w:p/>
              </w:tc>
              <w:tc>
                <w:tcPr>
                  <w:tcW w:type="dxa" w:w="699"/>
                </w:tcPr>
                <w:p>
                  <w:pPr>
                    <w:pStyle w:val="null3"/>
                    <w:jc w:val="center"/>
                  </w:pPr>
                  <w:r>
                    <w:rPr>
                      <w:sz w:val="19"/>
                    </w:rPr>
                    <w:t>潜水泵清洗</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采水辅助设施</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五参数检测池清洗</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沉淀池清洗</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过滤器清洗</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水样杯清洗</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val="restart"/>
                </w:tcPr>
                <w:p>
                  <w:pPr>
                    <w:pStyle w:val="null3"/>
                  </w:pPr>
                  <w:r>
                    <w:rPr>
                      <w:sz w:val="19"/>
                    </w:rPr>
                    <w:t xml:space="preserve"> </w:t>
                  </w:r>
                </w:p>
                <w:p>
                  <w:pPr>
                    <w:pStyle w:val="null3"/>
                    <w:jc w:val="center"/>
                  </w:pPr>
                  <w:r>
                    <w:rPr>
                      <w:sz w:val="19"/>
                    </w:rPr>
                    <w:t>分析单元</w:t>
                  </w:r>
                </w:p>
              </w:tc>
              <w:tc>
                <w:tcPr>
                  <w:tcW w:type="dxa" w:w="699"/>
                </w:tcPr>
                <w:p>
                  <w:pPr>
                    <w:pStyle w:val="null3"/>
                    <w:jc w:val="center"/>
                  </w:pPr>
                  <w:r>
                    <w:rPr>
                      <w:sz w:val="19"/>
                    </w:rPr>
                    <w:t>例行巡检</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试剂更换</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具体根据仪器要求执行</w:t>
                  </w:r>
                </w:p>
              </w:tc>
            </w:tr>
            <w:tr>
              <w:tc>
                <w:tcPr>
                  <w:tcW w:type="dxa" w:w="699"/>
                  <w:vMerge/>
                </w:tcPr>
                <w:p/>
              </w:tc>
              <w:tc>
                <w:tcPr>
                  <w:tcW w:type="dxa" w:w="699"/>
                </w:tcPr>
                <w:p>
                  <w:pPr>
                    <w:pStyle w:val="null3"/>
                    <w:jc w:val="center"/>
                  </w:pPr>
                  <w:r>
                    <w:rPr>
                      <w:sz w:val="19"/>
                    </w:rPr>
                    <w:t>发光菌更换</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具体根据仪器运行情况执行</w:t>
                  </w:r>
                </w:p>
              </w:tc>
            </w:tr>
            <w:tr>
              <w:tc>
                <w:tcPr>
                  <w:tcW w:type="dxa" w:w="699"/>
                  <w:vMerge/>
                </w:tcPr>
                <w:p/>
              </w:tc>
              <w:tc>
                <w:tcPr>
                  <w:tcW w:type="dxa" w:w="699"/>
                </w:tcPr>
                <w:p>
                  <w:pPr>
                    <w:pStyle w:val="null3"/>
                    <w:jc w:val="center"/>
                  </w:pPr>
                  <w:r>
                    <w:rPr>
                      <w:sz w:val="19"/>
                    </w:rPr>
                    <w:t>耗材及配件更换</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具体根据仪器运行情况执行</w:t>
                  </w:r>
                </w:p>
              </w:tc>
            </w:tr>
            <w:tr>
              <w:tc>
                <w:tcPr>
                  <w:tcW w:type="dxa" w:w="699"/>
                  <w:vMerge/>
                </w:tcPr>
                <w:p/>
              </w:tc>
              <w:tc>
                <w:tcPr>
                  <w:tcW w:type="dxa" w:w="699"/>
                </w:tcPr>
                <w:p>
                  <w:pPr>
                    <w:pStyle w:val="null3"/>
                    <w:jc w:val="center"/>
                  </w:pPr>
                  <w:r>
                    <w:rPr>
                      <w:sz w:val="19"/>
                    </w:rPr>
                    <w:t>保养检修</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试剂贮存箱温度检查</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val="restart"/>
                </w:tcPr>
                <w:p>
                  <w:pPr>
                    <w:pStyle w:val="null3"/>
                    <w:jc w:val="center"/>
                  </w:pPr>
                  <w:r>
                    <w:rPr>
                      <w:sz w:val="19"/>
                    </w:rPr>
                    <w:t>控制单元及通讯单元</w:t>
                  </w:r>
                </w:p>
              </w:tc>
              <w:tc>
                <w:tcPr>
                  <w:tcW w:type="dxa" w:w="699"/>
                </w:tcPr>
                <w:p>
                  <w:pPr>
                    <w:pStyle w:val="null3"/>
                    <w:jc w:val="center"/>
                  </w:pPr>
                  <w:r>
                    <w:rPr>
                      <w:sz w:val="19"/>
                    </w:rPr>
                    <w:t>例行巡检</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网络通讯设备检查</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工控机检查及维护</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网络安全防护设施检查及维护</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val="restart"/>
                </w:tcPr>
                <w:p>
                  <w:pPr>
                    <w:pStyle w:val="null3"/>
                    <w:jc w:val="center"/>
                  </w:pPr>
                  <w:r>
                    <w:rPr>
                      <w:sz w:val="19"/>
                    </w:rPr>
                    <w:t>辅助设备</w:t>
                  </w:r>
                </w:p>
              </w:tc>
              <w:tc>
                <w:tcPr>
                  <w:tcW w:type="dxa" w:w="699"/>
                </w:tcPr>
                <w:p>
                  <w:pPr>
                    <w:pStyle w:val="null3"/>
                    <w:jc w:val="center"/>
                  </w:pPr>
                  <w:r>
                    <w:rPr>
                      <w:sz w:val="19"/>
                    </w:rPr>
                    <w:t>稳压电源检查</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UPS 检查</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空压机检查</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纯水机滤芯维护</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视频设备检查</w:t>
                  </w:r>
                </w:p>
              </w:tc>
              <w:tc>
                <w:tcPr>
                  <w:tcW w:type="dxa" w:w="699"/>
                </w:tcPr>
                <w:p>
                  <w:pPr>
                    <w:pStyle w:val="null3"/>
                    <w:jc w:val="center"/>
                  </w:pPr>
                  <w:r>
                    <w:rPr>
                      <w:sz w:val="19"/>
                    </w:rPr>
                    <w:t xml:space="preserve"> </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r>
              <w:tc>
                <w:tcPr>
                  <w:tcW w:type="dxa" w:w="699"/>
                  <w:vMerge/>
                </w:tcPr>
                <w:p/>
              </w:tc>
              <w:tc>
                <w:tcPr>
                  <w:tcW w:type="dxa" w:w="699"/>
                </w:tcPr>
                <w:p>
                  <w:pPr>
                    <w:pStyle w:val="null3"/>
                    <w:jc w:val="center"/>
                  </w:pPr>
                  <w:r>
                    <w:rPr>
                      <w:sz w:val="19"/>
                    </w:rPr>
                    <w:t>自动采样器</w:t>
                  </w:r>
                </w:p>
              </w:tc>
              <w:tc>
                <w:tcPr>
                  <w:tcW w:type="dxa" w:w="699"/>
                </w:tcPr>
                <w:p>
                  <w:pPr>
                    <w:pStyle w:val="null3"/>
                    <w:jc w:val="center"/>
                  </w:pPr>
                  <w:r>
                    <w:rPr>
                      <w:sz w:val="19"/>
                    </w:rPr>
                    <w:t>√</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c>
                <w:tcPr>
                  <w:tcW w:type="dxa" w:w="699"/>
                </w:tcPr>
                <w:p>
                  <w:pPr>
                    <w:pStyle w:val="null3"/>
                    <w:jc w:val="center"/>
                  </w:pPr>
                  <w:r>
                    <w:rPr>
                      <w:sz w:val="19"/>
                    </w:rPr>
                    <w:t xml:space="preserve"> </w:t>
                  </w:r>
                </w:p>
              </w:tc>
            </w:tr>
          </w:tbl>
          <w:p>
            <w:pPr>
              <w:pStyle w:val="null3"/>
              <w:ind w:firstLine="480"/>
              <w:jc w:val="both"/>
            </w:pPr>
            <w:r>
              <w:rPr>
                <w:sz w:val="24"/>
              </w:rPr>
              <w:t>2.3 易耗品及零备件要求：定期配制并更换试剂；及时更换易损备件，保证仪器的易耗品不超过最大使用寿命；定期维护采水系统，保证采水系统通畅运行；定期检查配水系统，防止管路堵塞或破裂；保证水站通信线路的畅通。并准备好常用的耗材及备件，如样品及试剂管路、蠕动泵管、鸭嘴阀、电极打磨套件、参比电解液、泵管及试剂管路、发光菌种、管路接头配件、采水管路、水泵、手动球阀、气动球阀、配水管路、搅拌电机、压水气缸密封圈、预处理滤网/滤芯等项目服务过程中可能适用到的耗材及备件。</w:t>
            </w:r>
          </w:p>
          <w:p>
            <w:pPr>
              <w:pStyle w:val="null3"/>
              <w:ind w:firstLine="480"/>
              <w:jc w:val="both"/>
            </w:pPr>
            <w:r>
              <w:rPr>
                <w:sz w:val="24"/>
              </w:rPr>
              <w:t>▲2.4 对水站应实施“周检查、月比对”质量管理制度。即每周一次标准溶液检查测试，每月一次实际水样的实验室比对测试，并上报测试报告，以确保仪器数据的准确性和可靠性；如果遇到重大故障修复或主要零件更换，则需要另进行性能测试。数据有效率不小于90%，质控措施及实施频次、技术要求详见附表2-4。</w:t>
            </w:r>
          </w:p>
          <w:p>
            <w:pPr>
              <w:pStyle w:val="null3"/>
              <w:jc w:val="center"/>
            </w:pPr>
            <w:r>
              <w:rPr>
                <w:sz w:val="24"/>
              </w:rPr>
              <w:t>附表</w:t>
            </w:r>
            <w:r>
              <w:rPr>
                <w:sz w:val="24"/>
              </w:rPr>
              <w:t>2质控措施及实施频次</w:t>
            </w:r>
          </w:p>
          <w:tbl>
            <w:tblPr>
              <w:tblInd w:type="dxa" w:w="135"/>
              <w:tblBorders>
                <w:top w:val="none" w:color="000000" w:sz="4"/>
                <w:left w:val="none" w:color="000000" w:sz="4"/>
                <w:bottom w:val="none" w:color="000000" w:sz="4"/>
                <w:right w:val="none" w:color="000000" w:sz="4"/>
                <w:insideH w:val="none"/>
                <w:insideV w:val="none"/>
              </w:tblBorders>
            </w:tblPr>
            <w:tblGrid>
              <w:gridCol w:w="1119"/>
              <w:gridCol w:w="1119"/>
              <w:gridCol w:w="1119"/>
              <w:gridCol w:w="1119"/>
              <w:gridCol w:w="1119"/>
            </w:tblGrid>
            <w:tr>
              <w:tc>
                <w:tcPr>
                  <w:tcW w:type="dxa" w:w="1119"/>
                  <w:vMerge w:val="restart"/>
                </w:tcPr>
                <w:p>
                  <w:pPr>
                    <w:pStyle w:val="null3"/>
                    <w:jc w:val="center"/>
                  </w:pPr>
                  <w:r>
                    <w:rPr>
                      <w:sz w:val="19"/>
                    </w:rPr>
                    <w:t>质控措施</w:t>
                  </w:r>
                </w:p>
              </w:tc>
              <w:tc>
                <w:tcPr>
                  <w:tcW w:type="dxa" w:w="2238"/>
                  <w:gridSpan w:val="2"/>
                </w:tcPr>
                <w:p>
                  <w:pPr>
                    <w:pStyle w:val="null3"/>
                    <w:jc w:val="center"/>
                  </w:pPr>
                  <w:r>
                    <w:rPr>
                      <w:sz w:val="19"/>
                    </w:rPr>
                    <w:t>水质类别</w:t>
                  </w:r>
                </w:p>
              </w:tc>
              <w:tc>
                <w:tcPr>
                  <w:tcW w:type="dxa" w:w="1119"/>
                  <w:vMerge w:val="restart"/>
                </w:tcPr>
                <w:p>
                  <w:pPr>
                    <w:pStyle w:val="null3"/>
                    <w:jc w:val="center"/>
                  </w:pPr>
                  <w:r>
                    <w:rPr>
                      <w:sz w:val="19"/>
                    </w:rPr>
                    <w:t>质控频次</w:t>
                  </w:r>
                </w:p>
              </w:tc>
              <w:tc>
                <w:tcPr>
                  <w:tcW w:type="dxa" w:w="1119"/>
                  <w:vMerge w:val="restart"/>
                </w:tcPr>
                <w:p>
                  <w:pPr>
                    <w:pStyle w:val="null3"/>
                    <w:jc w:val="center"/>
                  </w:pPr>
                  <w:r>
                    <w:rPr>
                      <w:sz w:val="19"/>
                    </w:rPr>
                    <w:t>实施参数</w:t>
                  </w:r>
                </w:p>
              </w:tc>
            </w:tr>
            <w:tr>
              <w:tc>
                <w:tcPr>
                  <w:tcW w:type="dxa" w:w="1119"/>
                  <w:vMerge/>
                </w:tcPr>
                <w:p/>
              </w:tc>
              <w:tc>
                <w:tcPr>
                  <w:tcW w:type="dxa" w:w="1119"/>
                </w:tcPr>
                <w:p>
                  <w:pPr>
                    <w:pStyle w:val="null3"/>
                    <w:jc w:val="center"/>
                  </w:pPr>
                  <w:r>
                    <w:rPr>
                      <w:sz w:val="19"/>
                    </w:rPr>
                    <w:t>Ⅰ-Ⅱ类水体</w:t>
                  </w:r>
                </w:p>
              </w:tc>
              <w:tc>
                <w:tcPr>
                  <w:tcW w:type="dxa" w:w="1119"/>
                </w:tcPr>
                <w:p>
                  <w:pPr>
                    <w:pStyle w:val="null3"/>
                    <w:jc w:val="center"/>
                  </w:pPr>
                  <w:r>
                    <w:rPr>
                      <w:sz w:val="19"/>
                    </w:rPr>
                    <w:t>Ⅲ-劣Ⅴ类水体</w:t>
                  </w:r>
                </w:p>
              </w:tc>
              <w:tc>
                <w:tcPr>
                  <w:tcW w:type="dxa" w:w="1119"/>
                  <w:vMerge/>
                </w:tcPr>
                <w:p/>
              </w:tc>
              <w:tc>
                <w:tcPr>
                  <w:tcW w:type="dxa" w:w="1119"/>
                  <w:vMerge/>
                </w:tcPr>
                <w:p/>
              </w:tc>
            </w:tr>
            <w:tr>
              <w:tc>
                <w:tcPr>
                  <w:tcW w:type="dxa" w:w="1119"/>
                </w:tcPr>
                <w:p>
                  <w:pPr>
                    <w:pStyle w:val="null3"/>
                    <w:jc w:val="center"/>
                  </w:pPr>
                  <w:r>
                    <w:rPr>
                      <w:sz w:val="19"/>
                    </w:rPr>
                    <w:t>零点核查</w:t>
                  </w:r>
                </w:p>
              </w:tc>
              <w:tc>
                <w:tcPr>
                  <w:tcW w:type="dxa" w:w="1119"/>
                </w:tcPr>
                <w:p>
                  <w:pPr>
                    <w:pStyle w:val="null3"/>
                    <w:jc w:val="center"/>
                  </w:pPr>
                  <w:r>
                    <w:rPr>
                      <w:sz w:val="19"/>
                    </w:rPr>
                    <w:t>√</w:t>
                  </w:r>
                </w:p>
              </w:tc>
              <w:tc>
                <w:tcPr>
                  <w:tcW w:type="dxa" w:w="1119"/>
                </w:tcPr>
                <w:p>
                  <w:pPr>
                    <w:pStyle w:val="null3"/>
                    <w:jc w:val="center"/>
                  </w:pPr>
                  <w:r>
                    <w:rPr>
                      <w:sz w:val="19"/>
                    </w:rPr>
                    <w:t>√</w:t>
                  </w:r>
                </w:p>
              </w:tc>
              <w:tc>
                <w:tcPr>
                  <w:tcW w:type="dxa" w:w="1119"/>
                </w:tcPr>
                <w:p>
                  <w:pPr>
                    <w:pStyle w:val="null3"/>
                    <w:jc w:val="center"/>
                  </w:pPr>
                  <w:r>
                    <w:rPr>
                      <w:sz w:val="19"/>
                    </w:rPr>
                    <w:t>每天</w:t>
                  </w:r>
                </w:p>
              </w:tc>
              <w:tc>
                <w:tcPr>
                  <w:tcW w:type="dxa" w:w="1119"/>
                  <w:vMerge w:val="restart"/>
                </w:tcPr>
                <w:p>
                  <w:pPr>
                    <w:pStyle w:val="null3"/>
                    <w:jc w:val="center"/>
                  </w:pPr>
                  <w:r>
                    <w:rPr>
                      <w:sz w:val="19"/>
                    </w:rPr>
                    <w:t>街口水站氨氮、高锰酸盐指数、总磷、总氮</w:t>
                  </w:r>
                </w:p>
              </w:tc>
            </w:tr>
            <w:tr>
              <w:tc>
                <w:tcPr>
                  <w:tcW w:type="dxa" w:w="1119"/>
                </w:tcPr>
                <w:p>
                  <w:pPr>
                    <w:pStyle w:val="null3"/>
                    <w:jc w:val="center"/>
                  </w:pPr>
                  <w:r>
                    <w:rPr>
                      <w:sz w:val="19"/>
                    </w:rPr>
                    <w:t>24小时零点漂移</w:t>
                  </w:r>
                </w:p>
              </w:tc>
              <w:tc>
                <w:tcPr>
                  <w:tcW w:type="dxa" w:w="1119"/>
                </w:tcPr>
                <w:p>
                  <w:pPr>
                    <w:pStyle w:val="null3"/>
                    <w:jc w:val="center"/>
                  </w:pPr>
                  <w:r>
                    <w:rPr>
                      <w:sz w:val="19"/>
                    </w:rPr>
                    <w:t>√</w:t>
                  </w:r>
                </w:p>
              </w:tc>
              <w:tc>
                <w:tcPr>
                  <w:tcW w:type="dxa" w:w="1119"/>
                </w:tcPr>
                <w:p>
                  <w:pPr>
                    <w:pStyle w:val="null3"/>
                    <w:jc w:val="center"/>
                  </w:pPr>
                  <w:r>
                    <w:rPr>
                      <w:sz w:val="19"/>
                    </w:rPr>
                    <w:t>√</w:t>
                  </w:r>
                </w:p>
              </w:tc>
              <w:tc>
                <w:tcPr>
                  <w:tcW w:type="dxa" w:w="1119"/>
                </w:tcPr>
                <w:p>
                  <w:pPr>
                    <w:pStyle w:val="null3"/>
                    <w:jc w:val="center"/>
                  </w:pPr>
                  <w:r>
                    <w:rPr>
                      <w:sz w:val="19"/>
                    </w:rPr>
                    <w:t>每天</w:t>
                  </w:r>
                </w:p>
              </w:tc>
              <w:tc>
                <w:tcPr>
                  <w:tcW w:type="dxa" w:w="1119"/>
                  <w:vMerge/>
                </w:tcPr>
                <w:p/>
              </w:tc>
            </w:tr>
            <w:tr>
              <w:tc>
                <w:tcPr>
                  <w:tcW w:type="dxa" w:w="1119"/>
                </w:tcPr>
                <w:p>
                  <w:pPr>
                    <w:pStyle w:val="null3"/>
                    <w:jc w:val="center"/>
                  </w:pPr>
                  <w:r>
                    <w:rPr>
                      <w:sz w:val="19"/>
                    </w:rPr>
                    <w:t>跨度核查</w:t>
                  </w:r>
                </w:p>
              </w:tc>
              <w:tc>
                <w:tcPr>
                  <w:tcW w:type="dxa" w:w="1119"/>
                </w:tcPr>
                <w:p>
                  <w:pPr>
                    <w:pStyle w:val="null3"/>
                    <w:jc w:val="center"/>
                  </w:pPr>
                  <w:r>
                    <w:rPr>
                      <w:sz w:val="19"/>
                    </w:rPr>
                    <w:t>√</w:t>
                  </w:r>
                </w:p>
              </w:tc>
              <w:tc>
                <w:tcPr>
                  <w:tcW w:type="dxa" w:w="1119"/>
                </w:tcPr>
                <w:p>
                  <w:pPr>
                    <w:pStyle w:val="null3"/>
                    <w:jc w:val="center"/>
                  </w:pPr>
                  <w:r>
                    <w:rPr>
                      <w:sz w:val="19"/>
                    </w:rPr>
                    <w:t>√</w:t>
                  </w:r>
                </w:p>
              </w:tc>
              <w:tc>
                <w:tcPr>
                  <w:tcW w:type="dxa" w:w="1119"/>
                </w:tcPr>
                <w:p>
                  <w:pPr>
                    <w:pStyle w:val="null3"/>
                    <w:jc w:val="center"/>
                  </w:pPr>
                  <w:r>
                    <w:rPr>
                      <w:sz w:val="19"/>
                    </w:rPr>
                    <w:t>每天</w:t>
                  </w:r>
                </w:p>
              </w:tc>
              <w:tc>
                <w:tcPr>
                  <w:tcW w:type="dxa" w:w="1119"/>
                  <w:vMerge/>
                </w:tcPr>
                <w:p/>
              </w:tc>
            </w:tr>
            <w:tr>
              <w:tc>
                <w:tcPr>
                  <w:tcW w:type="dxa" w:w="1119"/>
                </w:tcPr>
                <w:p>
                  <w:pPr>
                    <w:pStyle w:val="null3"/>
                    <w:jc w:val="center"/>
                  </w:pPr>
                  <w:r>
                    <w:rPr>
                      <w:sz w:val="19"/>
                    </w:rPr>
                    <w:t>24小时跨度漂移</w:t>
                  </w:r>
                </w:p>
              </w:tc>
              <w:tc>
                <w:tcPr>
                  <w:tcW w:type="dxa" w:w="1119"/>
                </w:tcPr>
                <w:p>
                  <w:pPr>
                    <w:pStyle w:val="null3"/>
                    <w:jc w:val="center"/>
                  </w:pPr>
                  <w:r>
                    <w:rPr>
                      <w:sz w:val="19"/>
                    </w:rPr>
                    <w:t>√</w:t>
                  </w:r>
                </w:p>
              </w:tc>
              <w:tc>
                <w:tcPr>
                  <w:tcW w:type="dxa" w:w="1119"/>
                </w:tcPr>
                <w:p>
                  <w:pPr>
                    <w:pStyle w:val="null3"/>
                    <w:jc w:val="center"/>
                  </w:pPr>
                  <w:r>
                    <w:rPr>
                      <w:sz w:val="19"/>
                    </w:rPr>
                    <w:t>√</w:t>
                  </w:r>
                </w:p>
              </w:tc>
              <w:tc>
                <w:tcPr>
                  <w:tcW w:type="dxa" w:w="1119"/>
                </w:tcPr>
                <w:p>
                  <w:pPr>
                    <w:pStyle w:val="null3"/>
                    <w:jc w:val="center"/>
                  </w:pPr>
                  <w:r>
                    <w:rPr>
                      <w:sz w:val="19"/>
                    </w:rPr>
                    <w:t>每天</w:t>
                  </w:r>
                </w:p>
              </w:tc>
              <w:tc>
                <w:tcPr>
                  <w:tcW w:type="dxa" w:w="1119"/>
                  <w:vMerge/>
                </w:tcPr>
                <w:p/>
              </w:tc>
            </w:tr>
            <w:tr>
              <w:tc>
                <w:tcPr>
                  <w:tcW w:type="dxa" w:w="1119"/>
                </w:tcPr>
                <w:p>
                  <w:pPr>
                    <w:pStyle w:val="null3"/>
                    <w:jc w:val="center"/>
                  </w:pPr>
                  <w:r>
                    <w:rPr>
                      <w:sz w:val="19"/>
                    </w:rPr>
                    <w:t>标样核查</w:t>
                  </w:r>
                </w:p>
              </w:tc>
              <w:tc>
                <w:tcPr>
                  <w:tcW w:type="dxa" w:w="1119"/>
                </w:tcPr>
                <w:p>
                  <w:pPr>
                    <w:pStyle w:val="null3"/>
                    <w:jc w:val="center"/>
                  </w:pPr>
                  <w:r>
                    <w:rPr>
                      <w:sz w:val="19"/>
                    </w:rPr>
                    <w:t>√</w:t>
                  </w:r>
                </w:p>
              </w:tc>
              <w:tc>
                <w:tcPr>
                  <w:tcW w:type="dxa" w:w="1119"/>
                </w:tcPr>
                <w:p>
                  <w:pPr>
                    <w:pStyle w:val="null3"/>
                    <w:jc w:val="center"/>
                  </w:pPr>
                  <w:r>
                    <w:rPr>
                      <w:sz w:val="19"/>
                    </w:rPr>
                    <w:t>√</w:t>
                  </w:r>
                </w:p>
              </w:tc>
              <w:tc>
                <w:tcPr>
                  <w:tcW w:type="dxa" w:w="1119"/>
                </w:tcPr>
                <w:p>
                  <w:pPr>
                    <w:pStyle w:val="null3"/>
                    <w:jc w:val="center"/>
                  </w:pPr>
                  <w:r>
                    <w:rPr>
                      <w:sz w:val="19"/>
                    </w:rPr>
                    <w:t>每7天</w:t>
                  </w:r>
                </w:p>
              </w:tc>
              <w:tc>
                <w:tcPr>
                  <w:tcW w:type="dxa" w:w="1119"/>
                </w:tcPr>
                <w:p>
                  <w:pPr>
                    <w:pStyle w:val="null3"/>
                    <w:jc w:val="center"/>
                  </w:pPr>
                  <w:r>
                    <w:rPr>
                      <w:sz w:val="19"/>
                    </w:rPr>
                    <w:t>常规五参数</w:t>
                  </w:r>
                </w:p>
              </w:tc>
            </w:tr>
            <w:tr>
              <w:tc>
                <w:tcPr>
                  <w:tcW w:type="dxa" w:w="1119"/>
                </w:tcPr>
                <w:p>
                  <w:pPr>
                    <w:pStyle w:val="null3"/>
                    <w:jc w:val="center"/>
                  </w:pPr>
                  <w:r>
                    <w:rPr>
                      <w:sz w:val="19"/>
                    </w:rPr>
                    <w:t>多点线性核查</w:t>
                  </w:r>
                </w:p>
              </w:tc>
              <w:tc>
                <w:tcPr>
                  <w:tcW w:type="dxa" w:w="1119"/>
                </w:tcPr>
                <w:p>
                  <w:pPr>
                    <w:pStyle w:val="null3"/>
                    <w:jc w:val="center"/>
                  </w:pPr>
                  <w:r>
                    <w:rPr>
                      <w:sz w:val="19"/>
                    </w:rPr>
                    <w:t>√</w:t>
                  </w:r>
                </w:p>
              </w:tc>
              <w:tc>
                <w:tcPr>
                  <w:tcW w:type="dxa" w:w="1119"/>
                </w:tcPr>
                <w:p>
                  <w:pPr>
                    <w:pStyle w:val="null3"/>
                    <w:jc w:val="center"/>
                  </w:pPr>
                  <w:r>
                    <w:rPr>
                      <w:sz w:val="19"/>
                    </w:rPr>
                    <w:t>√</w:t>
                  </w:r>
                </w:p>
              </w:tc>
              <w:tc>
                <w:tcPr>
                  <w:tcW w:type="dxa" w:w="1119"/>
                </w:tcPr>
                <w:p>
                  <w:pPr>
                    <w:pStyle w:val="null3"/>
                    <w:jc w:val="center"/>
                  </w:pPr>
                  <w:r>
                    <w:rPr>
                      <w:sz w:val="19"/>
                    </w:rPr>
                    <w:t>每月</w:t>
                  </w:r>
                </w:p>
              </w:tc>
              <w:tc>
                <w:tcPr>
                  <w:tcW w:type="dxa" w:w="1119"/>
                </w:tcPr>
                <w:p>
                  <w:pPr>
                    <w:pStyle w:val="null3"/>
                    <w:jc w:val="center"/>
                  </w:pPr>
                  <w:r>
                    <w:rPr>
                      <w:sz w:val="19"/>
                    </w:rPr>
                    <w:t>氨氮、高锰酸盐指数、总磷、总氮</w:t>
                  </w:r>
                </w:p>
              </w:tc>
            </w:tr>
            <w:tr>
              <w:tc>
                <w:tcPr>
                  <w:tcW w:type="dxa" w:w="1119"/>
                </w:tcPr>
                <w:p>
                  <w:pPr>
                    <w:pStyle w:val="null3"/>
                    <w:jc w:val="center"/>
                  </w:pPr>
                  <w:r>
                    <w:rPr>
                      <w:sz w:val="19"/>
                    </w:rPr>
                    <w:t>实际水样比对</w:t>
                  </w:r>
                </w:p>
              </w:tc>
              <w:tc>
                <w:tcPr>
                  <w:tcW w:type="dxa" w:w="1119"/>
                </w:tcPr>
                <w:p>
                  <w:pPr>
                    <w:pStyle w:val="null3"/>
                    <w:jc w:val="center"/>
                  </w:pPr>
                  <w:r>
                    <w:rPr>
                      <w:sz w:val="19"/>
                    </w:rPr>
                    <w:t>√</w:t>
                  </w:r>
                </w:p>
              </w:tc>
              <w:tc>
                <w:tcPr>
                  <w:tcW w:type="dxa" w:w="1119"/>
                </w:tcPr>
                <w:p>
                  <w:pPr>
                    <w:pStyle w:val="null3"/>
                    <w:jc w:val="center"/>
                  </w:pPr>
                  <w:r>
                    <w:rPr>
                      <w:sz w:val="19"/>
                    </w:rPr>
                    <w:t>√</w:t>
                  </w:r>
                </w:p>
              </w:tc>
              <w:tc>
                <w:tcPr>
                  <w:tcW w:type="dxa" w:w="1119"/>
                </w:tcPr>
                <w:p>
                  <w:pPr>
                    <w:pStyle w:val="null3"/>
                    <w:jc w:val="center"/>
                  </w:pPr>
                  <w:r>
                    <w:rPr>
                      <w:sz w:val="19"/>
                    </w:rPr>
                    <w:t>每月</w:t>
                  </w:r>
                </w:p>
              </w:tc>
              <w:tc>
                <w:tcPr>
                  <w:tcW w:type="dxa" w:w="1119"/>
                </w:tcPr>
                <w:p>
                  <w:pPr>
                    <w:pStyle w:val="null3"/>
                    <w:jc w:val="center"/>
                  </w:pPr>
                  <w:r>
                    <w:rPr>
                      <w:sz w:val="19"/>
                    </w:rPr>
                    <w:t>常规九参数</w:t>
                  </w:r>
                </w:p>
              </w:tc>
            </w:tr>
            <w:tr>
              <w:tc>
                <w:tcPr>
                  <w:tcW w:type="dxa" w:w="1119"/>
                </w:tcPr>
                <w:p>
                  <w:pPr>
                    <w:pStyle w:val="null3"/>
                    <w:jc w:val="center"/>
                  </w:pPr>
                  <w:r>
                    <w:rPr>
                      <w:sz w:val="19"/>
                    </w:rPr>
                    <w:t>集成干预检查</w:t>
                  </w:r>
                </w:p>
              </w:tc>
              <w:tc>
                <w:tcPr>
                  <w:tcW w:type="dxa" w:w="1119"/>
                </w:tcPr>
                <w:p>
                  <w:pPr>
                    <w:pStyle w:val="null3"/>
                    <w:jc w:val="center"/>
                  </w:pPr>
                  <w:r>
                    <w:rPr>
                      <w:sz w:val="19"/>
                    </w:rPr>
                    <w:t>/</w:t>
                  </w:r>
                </w:p>
              </w:tc>
              <w:tc>
                <w:tcPr>
                  <w:tcW w:type="dxa" w:w="1119"/>
                </w:tcPr>
                <w:p>
                  <w:pPr>
                    <w:pStyle w:val="null3"/>
                    <w:jc w:val="center"/>
                  </w:pPr>
                  <w:r>
                    <w:rPr>
                      <w:sz w:val="19"/>
                    </w:rPr>
                    <w:t>√</w:t>
                  </w:r>
                </w:p>
              </w:tc>
              <w:tc>
                <w:tcPr>
                  <w:tcW w:type="dxa" w:w="1119"/>
                </w:tcPr>
                <w:p>
                  <w:pPr>
                    <w:pStyle w:val="null3"/>
                    <w:jc w:val="center"/>
                  </w:pPr>
                  <w:r>
                    <w:rPr>
                      <w:sz w:val="19"/>
                    </w:rPr>
                    <w:t>每月</w:t>
                  </w:r>
                </w:p>
              </w:tc>
              <w:tc>
                <w:tcPr>
                  <w:tcW w:type="dxa" w:w="1119"/>
                  <w:vMerge w:val="restart"/>
                </w:tcPr>
                <w:p>
                  <w:pPr>
                    <w:pStyle w:val="null3"/>
                    <w:jc w:val="center"/>
                  </w:pPr>
                  <w:r>
                    <w:rPr>
                      <w:sz w:val="19"/>
                    </w:rPr>
                    <w:t>氨氮、高锰酸盐指数、总磷、总氮</w:t>
                  </w:r>
                </w:p>
              </w:tc>
            </w:tr>
            <w:tr>
              <w:tc>
                <w:tcPr>
                  <w:tcW w:type="dxa" w:w="1119"/>
                </w:tcPr>
                <w:p>
                  <w:pPr>
                    <w:pStyle w:val="null3"/>
                    <w:jc w:val="center"/>
                  </w:pPr>
                  <w:r>
                    <w:rPr>
                      <w:sz w:val="19"/>
                    </w:rPr>
                    <w:t>加标回收率自动测试</w:t>
                  </w:r>
                </w:p>
              </w:tc>
              <w:tc>
                <w:tcPr>
                  <w:tcW w:type="dxa" w:w="1119"/>
                </w:tcPr>
                <w:p>
                  <w:pPr>
                    <w:pStyle w:val="null3"/>
                    <w:jc w:val="center"/>
                  </w:pPr>
                  <w:r>
                    <w:rPr>
                      <w:sz w:val="19"/>
                    </w:rPr>
                    <w:t>/</w:t>
                  </w:r>
                </w:p>
              </w:tc>
              <w:tc>
                <w:tcPr>
                  <w:tcW w:type="dxa" w:w="1119"/>
                </w:tcPr>
                <w:p>
                  <w:pPr>
                    <w:pStyle w:val="null3"/>
                    <w:jc w:val="center"/>
                  </w:pPr>
                  <w:r>
                    <w:rPr>
                      <w:sz w:val="19"/>
                    </w:rPr>
                    <w:t>√</w:t>
                  </w:r>
                </w:p>
              </w:tc>
              <w:tc>
                <w:tcPr>
                  <w:tcW w:type="dxa" w:w="1119"/>
                </w:tcPr>
                <w:p>
                  <w:pPr>
                    <w:pStyle w:val="null3"/>
                    <w:jc w:val="center"/>
                  </w:pPr>
                  <w:r>
                    <w:rPr>
                      <w:sz w:val="19"/>
                    </w:rPr>
                    <w:t>每月</w:t>
                  </w:r>
                </w:p>
              </w:tc>
              <w:tc>
                <w:tcPr>
                  <w:tcW w:type="dxa" w:w="1119"/>
                  <w:vMerge/>
                </w:tcPr>
                <w:p/>
              </w:tc>
            </w:tr>
            <w:tr>
              <w:tc>
                <w:tcPr>
                  <w:tcW w:type="dxa" w:w="5595"/>
                  <w:gridSpan w:val="5"/>
                </w:tcPr>
                <w:p>
                  <w:pPr>
                    <w:pStyle w:val="null3"/>
                    <w:jc w:val="center"/>
                  </w:pPr>
                  <w:r>
                    <w:rPr>
                      <w:sz w:val="19"/>
                    </w:rPr>
                    <w:t>注：①常规五参数是指水温、pH值、溶解氧、电导率、浊度5个监测参数；常规九参数是指高锰酸盐指数、氨氮、总磷、总氮、水温、pH值、溶解氧、电导率、浊度9个监测参数。</w:t>
                  </w:r>
                </w:p>
                <w:p>
                  <w:pPr>
                    <w:pStyle w:val="null3"/>
                    <w:jc w:val="center"/>
                  </w:pPr>
                  <w:r>
                    <w:rPr>
                      <w:sz w:val="19"/>
                    </w:rPr>
                    <w:t>②无自动质控功能的仪器每周开展零点和跨度核查。</w:t>
                  </w:r>
                </w:p>
              </w:tc>
            </w:tr>
          </w:tbl>
          <w:p>
            <w:pPr>
              <w:pStyle w:val="null3"/>
              <w:jc w:val="center"/>
            </w:pPr>
            <w:r>
              <w:rPr>
                <w:sz w:val="24"/>
              </w:rPr>
              <w:t>附表</w:t>
            </w:r>
            <w:r>
              <w:rPr>
                <w:sz w:val="24"/>
              </w:rPr>
              <w:t>3常规五参数质控措施技术要求</w:t>
            </w:r>
          </w:p>
          <w:tbl>
            <w:tblPr>
              <w:tblBorders>
                <w:top w:val="none" w:color="000000" w:sz="4"/>
                <w:left w:val="none" w:color="000000" w:sz="4"/>
                <w:bottom w:val="none" w:color="000000" w:sz="4"/>
                <w:right w:val="none" w:color="000000" w:sz="4"/>
                <w:insideH w:val="none"/>
                <w:insideV w:val="none"/>
              </w:tblBorders>
            </w:tblPr>
            <w:tblGrid>
              <w:gridCol w:w="1119"/>
              <w:gridCol w:w="1119"/>
              <w:gridCol w:w="1119"/>
              <w:gridCol w:w="1119"/>
              <w:gridCol w:w="1119"/>
            </w:tblGrid>
            <w:tr>
              <w:tc>
                <w:tcPr>
                  <w:tcW w:type="dxa" w:w="1119"/>
                  <w:vMerge w:val="restart"/>
                </w:tcPr>
                <w:p>
                  <w:pPr>
                    <w:pStyle w:val="null3"/>
                    <w:jc w:val="center"/>
                  </w:pPr>
                  <w:r>
                    <w:rPr>
                      <w:sz w:val="19"/>
                    </w:rPr>
                    <w:t>监测项目</w:t>
                  </w:r>
                </w:p>
              </w:tc>
              <w:tc>
                <w:tcPr>
                  <w:tcW w:type="dxa" w:w="4476"/>
                  <w:gridSpan w:val="4"/>
                </w:tcPr>
                <w:p>
                  <w:pPr>
                    <w:pStyle w:val="null3"/>
                    <w:jc w:val="center"/>
                  </w:pPr>
                  <w:r>
                    <w:rPr>
                      <w:sz w:val="19"/>
                    </w:rPr>
                    <w:t>技术要求</w:t>
                  </w:r>
                </w:p>
              </w:tc>
            </w:tr>
            <w:tr>
              <w:tc>
                <w:tcPr>
                  <w:tcW w:type="dxa" w:w="1119"/>
                  <w:vMerge/>
                </w:tcPr>
                <w:p/>
              </w:tc>
              <w:tc>
                <w:tcPr>
                  <w:tcW w:type="dxa" w:w="2238"/>
                  <w:gridSpan w:val="2"/>
                </w:tcPr>
                <w:p>
                  <w:pPr>
                    <w:pStyle w:val="null3"/>
                    <w:jc w:val="center"/>
                  </w:pPr>
                  <w:r>
                    <w:rPr>
                      <w:sz w:val="19"/>
                    </w:rPr>
                    <w:t>标样核查</w:t>
                  </w:r>
                </w:p>
              </w:tc>
              <w:tc>
                <w:tcPr>
                  <w:tcW w:type="dxa" w:w="2238"/>
                  <w:gridSpan w:val="2"/>
                </w:tcPr>
                <w:p>
                  <w:pPr>
                    <w:pStyle w:val="null3"/>
                    <w:jc w:val="center"/>
                  </w:pPr>
                  <w:r>
                    <w:rPr>
                      <w:sz w:val="19"/>
                    </w:rPr>
                    <w:t>实际水样比对</w:t>
                  </w:r>
                </w:p>
              </w:tc>
            </w:tr>
            <w:tr>
              <w:tc>
                <w:tcPr>
                  <w:tcW w:type="dxa" w:w="1119"/>
                </w:tcPr>
                <w:p>
                  <w:pPr>
                    <w:pStyle w:val="null3"/>
                    <w:jc w:val="center"/>
                  </w:pPr>
                  <w:r>
                    <w:rPr>
                      <w:sz w:val="19"/>
                    </w:rPr>
                    <w:t>水温</w:t>
                  </w:r>
                </w:p>
              </w:tc>
              <w:tc>
                <w:tcPr>
                  <w:tcW w:type="dxa" w:w="2238"/>
                  <w:gridSpan w:val="2"/>
                </w:tcPr>
                <w:p>
                  <w:pPr>
                    <w:pStyle w:val="null3"/>
                    <w:jc w:val="center"/>
                  </w:pPr>
                  <w:r>
                    <w:rPr>
                      <w:sz w:val="19"/>
                    </w:rPr>
                    <w:t>/</w:t>
                  </w:r>
                </w:p>
              </w:tc>
              <w:tc>
                <w:tcPr>
                  <w:tcW w:type="dxa" w:w="2238"/>
                  <w:gridSpan w:val="2"/>
                </w:tcPr>
                <w:p>
                  <w:pPr>
                    <w:pStyle w:val="null3"/>
                    <w:jc w:val="center"/>
                  </w:pPr>
                  <w:r>
                    <w:rPr>
                      <w:sz w:val="19"/>
                    </w:rPr>
                    <w:t>±0.5℃</w:t>
                  </w:r>
                </w:p>
              </w:tc>
            </w:tr>
            <w:tr>
              <w:tc>
                <w:tcPr>
                  <w:tcW w:type="dxa" w:w="1119"/>
                </w:tcPr>
                <w:p>
                  <w:pPr>
                    <w:pStyle w:val="null3"/>
                    <w:jc w:val="center"/>
                  </w:pPr>
                  <w:r>
                    <w:rPr>
                      <w:sz w:val="19"/>
                    </w:rPr>
                    <w:t>pH值</w:t>
                  </w:r>
                </w:p>
              </w:tc>
              <w:tc>
                <w:tcPr>
                  <w:tcW w:type="dxa" w:w="2238"/>
                  <w:gridSpan w:val="2"/>
                </w:tcPr>
                <w:p>
                  <w:pPr>
                    <w:pStyle w:val="null3"/>
                    <w:jc w:val="center"/>
                  </w:pPr>
                  <w:r>
                    <w:rPr>
                      <w:sz w:val="19"/>
                    </w:rPr>
                    <w:t>±0.15</w:t>
                  </w:r>
                </w:p>
              </w:tc>
              <w:tc>
                <w:tcPr>
                  <w:tcW w:type="dxa" w:w="2238"/>
                  <w:gridSpan w:val="2"/>
                </w:tcPr>
                <w:p>
                  <w:pPr>
                    <w:pStyle w:val="null3"/>
                    <w:jc w:val="center"/>
                  </w:pPr>
                  <w:r>
                    <w:rPr>
                      <w:sz w:val="19"/>
                    </w:rPr>
                    <w:t>±0.5</w:t>
                  </w:r>
                </w:p>
              </w:tc>
            </w:tr>
            <w:tr>
              <w:tc>
                <w:tcPr>
                  <w:tcW w:type="dxa" w:w="1119"/>
                  <w:vMerge w:val="restart"/>
                </w:tcPr>
                <w:p>
                  <w:pPr>
                    <w:pStyle w:val="null3"/>
                    <w:jc w:val="center"/>
                  </w:pPr>
                  <w:r>
                    <w:rPr>
                      <w:sz w:val="19"/>
                    </w:rPr>
                    <w:t>溶解氧</w:t>
                  </w:r>
                </w:p>
              </w:tc>
              <w:tc>
                <w:tcPr>
                  <w:tcW w:type="dxa" w:w="2238"/>
                  <w:gridSpan w:val="2"/>
                  <w:vMerge w:val="restart"/>
                </w:tcPr>
                <w:p>
                  <w:pPr>
                    <w:pStyle w:val="null3"/>
                    <w:jc w:val="center"/>
                  </w:pPr>
                  <w:r>
                    <w:rPr>
                      <w:sz w:val="19"/>
                    </w:rPr>
                    <w:t>±0.3mg/L</w:t>
                  </w:r>
                </w:p>
              </w:tc>
              <w:tc>
                <w:tcPr>
                  <w:tcW w:type="dxa" w:w="2238"/>
                  <w:gridSpan w:val="2"/>
                </w:tcPr>
                <w:p>
                  <w:pPr>
                    <w:pStyle w:val="null3"/>
                    <w:jc w:val="center"/>
                  </w:pPr>
                  <w:r>
                    <w:rPr>
                      <w:sz w:val="19"/>
                    </w:rPr>
                    <w:t>±0.8mg/L</w:t>
                  </w:r>
                </w:p>
              </w:tc>
            </w:tr>
            <w:tr>
              <w:tc>
                <w:tcPr>
                  <w:tcW w:type="dxa" w:w="1119"/>
                  <w:vMerge/>
                </w:tcPr>
                <w:p/>
              </w:tc>
              <w:tc>
                <w:tcPr>
                  <w:tcW w:type="dxa" w:w="2238"/>
                  <w:gridSpan w:val="2"/>
                  <w:vMerge/>
                </w:tcPr>
                <w:p/>
              </w:tc>
              <w:tc>
                <w:tcPr>
                  <w:tcW w:type="dxa" w:w="2238"/>
                  <w:gridSpan w:val="2"/>
                </w:tcPr>
                <w:p>
                  <w:pPr>
                    <w:pStyle w:val="null3"/>
                    <w:jc w:val="center"/>
                  </w:pPr>
                  <w:r>
                    <w:rPr>
                      <w:sz w:val="19"/>
                    </w:rPr>
                    <w:t>溶解氧过饱和时不考核</w:t>
                  </w:r>
                </w:p>
              </w:tc>
            </w:tr>
            <w:tr>
              <w:tc>
                <w:tcPr>
                  <w:tcW w:type="dxa" w:w="1119"/>
                  <w:vMerge w:val="restart"/>
                </w:tcPr>
                <w:p>
                  <w:pPr>
                    <w:pStyle w:val="null3"/>
                    <w:jc w:val="center"/>
                  </w:pPr>
                  <w:r>
                    <w:rPr>
                      <w:sz w:val="19"/>
                    </w:rPr>
                    <w:t>电导率</w:t>
                  </w:r>
                </w:p>
              </w:tc>
              <w:tc>
                <w:tcPr>
                  <w:tcW w:type="dxa" w:w="1119"/>
                </w:tcPr>
                <w:p>
                  <w:pPr>
                    <w:pStyle w:val="null3"/>
                    <w:jc w:val="center"/>
                  </w:pPr>
                  <w:r>
                    <w:rPr>
                      <w:sz w:val="19"/>
                    </w:rPr>
                    <w:t>标准溶液值100μS/cm</w:t>
                  </w:r>
                </w:p>
              </w:tc>
              <w:tc>
                <w:tcPr>
                  <w:tcW w:type="dxa" w:w="1119"/>
                </w:tcPr>
                <w:p>
                  <w:pPr>
                    <w:pStyle w:val="null3"/>
                    <w:jc w:val="center"/>
                  </w:pPr>
                  <w:r>
                    <w:rPr>
                      <w:sz w:val="19"/>
                    </w:rPr>
                    <w:t>±5%</w:t>
                  </w:r>
                </w:p>
              </w:tc>
              <w:tc>
                <w:tcPr>
                  <w:tcW w:type="dxa" w:w="1119"/>
                </w:tcPr>
                <w:p>
                  <w:pPr>
                    <w:pStyle w:val="null3"/>
                    <w:jc w:val="center"/>
                  </w:pPr>
                  <w:r>
                    <w:rPr>
                      <w:sz w:val="19"/>
                    </w:rPr>
                    <w:t>电导率＞100μS/cm</w:t>
                  </w:r>
                </w:p>
              </w:tc>
              <w:tc>
                <w:tcPr>
                  <w:tcW w:type="dxa" w:w="1119"/>
                </w:tcPr>
                <w:p>
                  <w:pPr>
                    <w:pStyle w:val="null3"/>
                    <w:jc w:val="center"/>
                  </w:pPr>
                  <w:r>
                    <w:rPr>
                      <w:sz w:val="19"/>
                    </w:rPr>
                    <w:t>±10%</w:t>
                  </w:r>
                </w:p>
              </w:tc>
            </w:tr>
            <w:tr>
              <w:tc>
                <w:tcPr>
                  <w:tcW w:type="dxa" w:w="1119"/>
                  <w:vMerge/>
                </w:tcPr>
                <w:p/>
              </w:tc>
              <w:tc>
                <w:tcPr>
                  <w:tcW w:type="dxa" w:w="1119"/>
                </w:tcPr>
                <w:p>
                  <w:pPr>
                    <w:pStyle w:val="null3"/>
                    <w:jc w:val="center"/>
                  </w:pPr>
                  <w:r>
                    <w:rPr>
                      <w:sz w:val="19"/>
                    </w:rPr>
                    <w:t>标准溶液值≤100μS/cm</w:t>
                  </w:r>
                </w:p>
              </w:tc>
              <w:tc>
                <w:tcPr>
                  <w:tcW w:type="dxa" w:w="1119"/>
                </w:tcPr>
                <w:p>
                  <w:pPr>
                    <w:pStyle w:val="null3"/>
                    <w:jc w:val="center"/>
                  </w:pPr>
                  <w:r>
                    <w:rPr>
                      <w:sz w:val="19"/>
                    </w:rPr>
                    <w:t>±5μS/cm</w:t>
                  </w:r>
                </w:p>
              </w:tc>
              <w:tc>
                <w:tcPr>
                  <w:tcW w:type="dxa" w:w="1119"/>
                </w:tcPr>
                <w:p>
                  <w:pPr>
                    <w:pStyle w:val="null3"/>
                    <w:jc w:val="center"/>
                  </w:pPr>
                  <w:r>
                    <w:rPr>
                      <w:sz w:val="19"/>
                    </w:rPr>
                    <w:t>电导率≤100μS/cm</w:t>
                  </w:r>
                </w:p>
              </w:tc>
              <w:tc>
                <w:tcPr>
                  <w:tcW w:type="dxa" w:w="1119"/>
                </w:tcPr>
                <w:p>
                  <w:pPr>
                    <w:pStyle w:val="null3"/>
                    <w:jc w:val="center"/>
                  </w:pPr>
                  <w:r>
                    <w:rPr>
                      <w:sz w:val="19"/>
                    </w:rPr>
                    <w:t>±10μS/cm</w:t>
                  </w:r>
                </w:p>
              </w:tc>
            </w:tr>
            <w:tr>
              <w:tc>
                <w:tcPr>
                  <w:tcW w:type="dxa" w:w="1119"/>
                  <w:vMerge w:val="restart"/>
                </w:tcPr>
                <w:p>
                  <w:pPr>
                    <w:pStyle w:val="null3"/>
                    <w:jc w:val="center"/>
                  </w:pPr>
                  <w:r>
                    <w:rPr>
                      <w:sz w:val="19"/>
                    </w:rPr>
                    <w:t>浊度</w:t>
                  </w:r>
                </w:p>
              </w:tc>
              <w:tc>
                <w:tcPr>
                  <w:tcW w:type="dxa" w:w="1119"/>
                </w:tcPr>
                <w:p>
                  <w:pPr>
                    <w:pStyle w:val="null3"/>
                    <w:jc w:val="center"/>
                  </w:pPr>
                  <w:r>
                    <w:rPr>
                      <w:sz w:val="19"/>
                    </w:rPr>
                    <w:t>浊度≤30NTU；</w:t>
                  </w:r>
                </w:p>
                <w:p>
                  <w:pPr>
                    <w:pStyle w:val="null3"/>
                    <w:jc w:val="center"/>
                  </w:pPr>
                  <w:r>
                    <w:rPr>
                      <w:sz w:val="19"/>
                    </w:rPr>
                    <w:t>浊度≥1000NTU</w:t>
                  </w:r>
                </w:p>
              </w:tc>
              <w:tc>
                <w:tcPr>
                  <w:tcW w:type="dxa" w:w="1119"/>
                </w:tcPr>
                <w:p>
                  <w:pPr>
                    <w:pStyle w:val="null3"/>
                    <w:jc w:val="center"/>
                  </w:pPr>
                  <w:r>
                    <w:rPr>
                      <w:sz w:val="19"/>
                    </w:rPr>
                    <w:t>不考核</w:t>
                  </w:r>
                </w:p>
              </w:tc>
              <w:tc>
                <w:tcPr>
                  <w:tcW w:type="dxa" w:w="1119"/>
                </w:tcPr>
                <w:p>
                  <w:pPr>
                    <w:pStyle w:val="null3"/>
                    <w:jc w:val="center"/>
                  </w:pPr>
                  <w:r>
                    <w:rPr>
                      <w:sz w:val="19"/>
                    </w:rPr>
                    <w:t>浊度≤30NTU；</w:t>
                  </w:r>
                </w:p>
                <w:p>
                  <w:pPr>
                    <w:pStyle w:val="null3"/>
                    <w:jc w:val="center"/>
                  </w:pPr>
                  <w:r>
                    <w:rPr>
                      <w:sz w:val="19"/>
                    </w:rPr>
                    <w:t>浊度≥1000NTU</w:t>
                  </w:r>
                </w:p>
              </w:tc>
              <w:tc>
                <w:tcPr>
                  <w:tcW w:type="dxa" w:w="1119"/>
                </w:tcPr>
                <w:p>
                  <w:pPr>
                    <w:pStyle w:val="null3"/>
                    <w:jc w:val="center"/>
                  </w:pPr>
                  <w:r>
                    <w:rPr>
                      <w:sz w:val="19"/>
                    </w:rPr>
                    <w:t>不考核</w:t>
                  </w:r>
                </w:p>
              </w:tc>
            </w:tr>
            <w:tr>
              <w:tc>
                <w:tcPr>
                  <w:tcW w:type="dxa" w:w="1119"/>
                  <w:vMerge/>
                </w:tcPr>
                <w:p/>
              </w:tc>
              <w:tc>
                <w:tcPr>
                  <w:tcW w:type="dxa" w:w="1119"/>
                </w:tcPr>
                <w:p>
                  <w:pPr>
                    <w:pStyle w:val="null3"/>
                    <w:jc w:val="center"/>
                  </w:pPr>
                  <w:r>
                    <w:rPr>
                      <w:sz w:val="19"/>
                    </w:rPr>
                    <w:t>30NTU＜浊度≤50NTU</w:t>
                  </w:r>
                </w:p>
              </w:tc>
              <w:tc>
                <w:tcPr>
                  <w:tcW w:type="dxa" w:w="1119"/>
                </w:tcPr>
                <w:p>
                  <w:pPr>
                    <w:pStyle w:val="null3"/>
                  </w:pPr>
                  <w:r>
                    <w:rPr>
                      <w:sz w:val="19"/>
                    </w:rPr>
                    <w:t>±15%</w:t>
                  </w:r>
                </w:p>
              </w:tc>
              <w:tc>
                <w:tcPr>
                  <w:tcW w:type="dxa" w:w="1119"/>
                </w:tcPr>
                <w:p>
                  <w:pPr>
                    <w:pStyle w:val="null3"/>
                  </w:pPr>
                  <w:r>
                    <w:rPr>
                      <w:sz w:val="19"/>
                    </w:rPr>
                    <w:t>30NTU＜浊度≤50NTU</w:t>
                  </w:r>
                </w:p>
              </w:tc>
              <w:tc>
                <w:tcPr>
                  <w:tcW w:type="dxa" w:w="1119"/>
                </w:tcPr>
                <w:p>
                  <w:pPr>
                    <w:pStyle w:val="null3"/>
                  </w:pPr>
                  <w:r>
                    <w:rPr>
                      <w:sz w:val="19"/>
                    </w:rPr>
                    <w:t>±30%</w:t>
                  </w:r>
                </w:p>
              </w:tc>
            </w:tr>
            <w:tr>
              <w:tc>
                <w:tcPr>
                  <w:tcW w:type="dxa" w:w="1119"/>
                  <w:vMerge/>
                </w:tcPr>
                <w:p/>
              </w:tc>
              <w:tc>
                <w:tcPr>
                  <w:tcW w:type="dxa" w:w="1119"/>
                </w:tcPr>
                <w:p>
                  <w:pPr>
                    <w:pStyle w:val="null3"/>
                  </w:pPr>
                  <w:r>
                    <w:rPr>
                      <w:sz w:val="19"/>
                    </w:rPr>
                    <w:t>50NTU＜浊度＜1000NTU</w:t>
                  </w:r>
                </w:p>
              </w:tc>
              <w:tc>
                <w:tcPr>
                  <w:tcW w:type="dxa" w:w="1119"/>
                </w:tcPr>
                <w:p>
                  <w:pPr>
                    <w:pStyle w:val="null3"/>
                  </w:pPr>
                  <w:r>
                    <w:rPr>
                      <w:sz w:val="19"/>
                    </w:rPr>
                    <w:t>±10%</w:t>
                  </w:r>
                </w:p>
              </w:tc>
              <w:tc>
                <w:tcPr>
                  <w:tcW w:type="dxa" w:w="1119"/>
                </w:tcPr>
                <w:p>
                  <w:pPr>
                    <w:pStyle w:val="null3"/>
                  </w:pPr>
                  <w:r>
                    <w:rPr>
                      <w:sz w:val="19"/>
                    </w:rPr>
                    <w:t>50NTU＜浊度＜1000NTU</w:t>
                  </w:r>
                </w:p>
              </w:tc>
              <w:tc>
                <w:tcPr>
                  <w:tcW w:type="dxa" w:w="1119"/>
                </w:tcPr>
                <w:p>
                  <w:pPr>
                    <w:pStyle w:val="null3"/>
                  </w:pPr>
                  <w:r>
                    <w:rPr>
                      <w:sz w:val="19"/>
                    </w:rPr>
                    <w:t>±20%</w:t>
                  </w:r>
                </w:p>
              </w:tc>
            </w:tr>
          </w:tbl>
          <w:p>
            <w:pPr>
              <w:pStyle w:val="null3"/>
            </w:pPr>
            <w:r>
              <w:rPr/>
              <w:t>附表4 氨氮、高锰酸盐指数、总磷、总氮质控措施技术要求</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1600"/>
                  <w:gridSpan w:val="2"/>
                  <w:vMerge w:val="restart"/>
                </w:tcPr>
                <w:p>
                  <w:pPr>
                    <w:pStyle w:val="null3"/>
                    <w:jc w:val="center"/>
                  </w:pPr>
                  <w:r>
                    <w:rPr>
                      <w:sz w:val="19"/>
                    </w:rPr>
                    <w:t>质控措施</w:t>
                  </w:r>
                </w:p>
              </w:tc>
              <w:tc>
                <w:tcPr>
                  <w:tcW w:type="dxa" w:w="4000"/>
                  <w:gridSpan w:val="5"/>
                </w:tcPr>
                <w:p>
                  <w:pPr>
                    <w:pStyle w:val="null3"/>
                    <w:jc w:val="center"/>
                  </w:pPr>
                  <w:r>
                    <w:rPr>
                      <w:sz w:val="19"/>
                    </w:rPr>
                    <w:t>技术要求</w:t>
                  </w:r>
                </w:p>
              </w:tc>
            </w:tr>
            <w:tr>
              <w:tc>
                <w:tcPr>
                  <w:tcW w:type="dxa" w:w="1600"/>
                  <w:gridSpan w:val="2"/>
                  <w:vMerge/>
                </w:tcPr>
                <w:p/>
              </w:tc>
              <w:tc>
                <w:tcPr>
                  <w:tcW w:type="dxa" w:w="800"/>
                </w:tcPr>
                <w:p>
                  <w:pPr>
                    <w:pStyle w:val="null3"/>
                    <w:jc w:val="center"/>
                  </w:pPr>
                  <w:r>
                    <w:rPr>
                      <w:sz w:val="19"/>
                    </w:rPr>
                    <w:t>高锰酸盐指数</w:t>
                  </w:r>
                </w:p>
              </w:tc>
              <w:tc>
                <w:tcPr>
                  <w:tcW w:type="dxa" w:w="1600"/>
                  <w:gridSpan w:val="2"/>
                </w:tcPr>
                <w:p>
                  <w:pPr>
                    <w:pStyle w:val="null3"/>
                    <w:jc w:val="center"/>
                  </w:pPr>
                  <w:r>
                    <w:rPr>
                      <w:sz w:val="19"/>
                    </w:rPr>
                    <w:t>氨氮</w:t>
                  </w:r>
                </w:p>
              </w:tc>
              <w:tc>
                <w:tcPr>
                  <w:tcW w:type="dxa" w:w="800"/>
                </w:tcPr>
                <w:p>
                  <w:pPr>
                    <w:pStyle w:val="null3"/>
                    <w:jc w:val="center"/>
                  </w:pPr>
                  <w:r>
                    <w:rPr>
                      <w:sz w:val="19"/>
                    </w:rPr>
                    <w:t>总磷</w:t>
                  </w:r>
                </w:p>
              </w:tc>
              <w:tc>
                <w:tcPr>
                  <w:tcW w:type="dxa" w:w="800"/>
                </w:tcPr>
                <w:p>
                  <w:pPr>
                    <w:pStyle w:val="null3"/>
                    <w:jc w:val="center"/>
                  </w:pPr>
                  <w:r>
                    <w:rPr>
                      <w:sz w:val="19"/>
                    </w:rPr>
                    <w:t>总氮</w:t>
                  </w:r>
                </w:p>
              </w:tc>
            </w:tr>
            <w:tr>
              <w:tc>
                <w:tcPr>
                  <w:tcW w:type="dxa" w:w="800"/>
                  <w:vMerge w:val="restart"/>
                </w:tcPr>
                <w:p>
                  <w:pPr>
                    <w:pStyle w:val="null3"/>
                    <w:jc w:val="center"/>
                  </w:pPr>
                  <w:r>
                    <w:rPr>
                      <w:sz w:val="19"/>
                    </w:rPr>
                    <w:t>零点核查</w:t>
                  </w:r>
                </w:p>
              </w:tc>
              <w:tc>
                <w:tcPr>
                  <w:tcW w:type="dxa" w:w="800"/>
                </w:tcPr>
                <w:p>
                  <w:pPr>
                    <w:pStyle w:val="null3"/>
                    <w:jc w:val="center"/>
                  </w:pPr>
                  <w:r>
                    <w:rPr>
                      <w:sz w:val="19"/>
                    </w:rPr>
                    <w:t>Ⅰ-Ⅲ类</w:t>
                  </w:r>
                </w:p>
              </w:tc>
              <w:tc>
                <w:tcPr>
                  <w:tcW w:type="dxa" w:w="800"/>
                </w:tcPr>
                <w:p>
                  <w:pPr>
                    <w:pStyle w:val="null3"/>
                    <w:jc w:val="center"/>
                  </w:pPr>
                  <w:r>
                    <w:rPr>
                      <w:sz w:val="19"/>
                    </w:rPr>
                    <w:t>±1.0mg/L</w:t>
                  </w:r>
                </w:p>
              </w:tc>
              <w:tc>
                <w:tcPr>
                  <w:tcW w:type="dxa" w:w="1600"/>
                  <w:gridSpan w:val="2"/>
                </w:tcPr>
                <w:p>
                  <w:pPr>
                    <w:pStyle w:val="null3"/>
                    <w:jc w:val="center"/>
                  </w:pPr>
                  <w:r>
                    <w:rPr>
                      <w:sz w:val="19"/>
                    </w:rPr>
                    <w:t>±0.2mg/L</w:t>
                  </w:r>
                </w:p>
              </w:tc>
              <w:tc>
                <w:tcPr>
                  <w:tcW w:type="dxa" w:w="800"/>
                </w:tcPr>
                <w:p>
                  <w:pPr>
                    <w:pStyle w:val="null3"/>
                    <w:jc w:val="center"/>
                  </w:pPr>
                  <w:r>
                    <w:rPr>
                      <w:sz w:val="19"/>
                    </w:rPr>
                    <w:t>±0.02mg/L</w:t>
                  </w:r>
                </w:p>
              </w:tc>
              <w:tc>
                <w:tcPr>
                  <w:tcW w:type="dxa" w:w="800"/>
                </w:tcPr>
                <w:p>
                  <w:pPr>
                    <w:pStyle w:val="null3"/>
                    <w:jc w:val="center"/>
                  </w:pPr>
                  <w:r>
                    <w:rPr>
                      <w:sz w:val="19"/>
                    </w:rPr>
                    <w:t>±0.3mg/L</w:t>
                  </w:r>
                </w:p>
              </w:tc>
            </w:tr>
            <w:tr>
              <w:tc>
                <w:tcPr>
                  <w:tcW w:type="dxa" w:w="800"/>
                  <w:vMerge/>
                </w:tcPr>
                <w:p/>
              </w:tc>
              <w:tc>
                <w:tcPr>
                  <w:tcW w:type="dxa" w:w="800"/>
                </w:tcPr>
                <w:p>
                  <w:pPr>
                    <w:pStyle w:val="null3"/>
                    <w:jc w:val="center"/>
                  </w:pPr>
                  <w:r>
                    <w:rPr>
                      <w:sz w:val="19"/>
                    </w:rPr>
                    <w:t>Ⅳ-劣Ⅴ类</w:t>
                  </w:r>
                </w:p>
              </w:tc>
              <w:tc>
                <w:tcPr>
                  <w:tcW w:type="dxa" w:w="4000"/>
                  <w:gridSpan w:val="5"/>
                </w:tcPr>
                <w:p>
                  <w:pPr>
                    <w:pStyle w:val="null3"/>
                    <w:jc w:val="center"/>
                  </w:pPr>
                  <w:r>
                    <w:rPr>
                      <w:sz w:val="19"/>
                    </w:rPr>
                    <w:t>±5%FS</w:t>
                  </w:r>
                </w:p>
              </w:tc>
            </w:tr>
            <w:tr>
              <w:tc>
                <w:tcPr>
                  <w:tcW w:type="dxa" w:w="800"/>
                  <w:vMerge/>
                </w:tcPr>
                <w:p/>
              </w:tc>
              <w:tc>
                <w:tcPr>
                  <w:tcW w:type="dxa" w:w="4800"/>
                  <w:gridSpan w:val="6"/>
                </w:tcPr>
                <w:p>
                  <w:pPr>
                    <w:pStyle w:val="null3"/>
                    <w:jc w:val="center"/>
                  </w:pPr>
                  <w:r>
                    <w:rPr>
                      <w:sz w:val="19"/>
                    </w:rPr>
                    <w:t>注：湖库总磷 Ⅰ-Ⅳ类水体为±0.02mg/L；Ⅴ-劣Ⅴ类水体为±5%FS。</w:t>
                  </w:r>
                </w:p>
              </w:tc>
            </w:tr>
            <w:tr>
              <w:tc>
                <w:tcPr>
                  <w:tcW w:type="dxa" w:w="1600"/>
                  <w:gridSpan w:val="2"/>
                </w:tcPr>
                <w:p>
                  <w:pPr>
                    <w:pStyle w:val="null3"/>
                    <w:jc w:val="center"/>
                  </w:pPr>
                  <w:r>
                    <w:rPr>
                      <w:sz w:val="19"/>
                    </w:rPr>
                    <w:t>24小时零点漂移</w:t>
                  </w:r>
                </w:p>
              </w:tc>
              <w:tc>
                <w:tcPr>
                  <w:tcW w:type="dxa" w:w="800"/>
                </w:tcPr>
                <w:p>
                  <w:pPr>
                    <w:pStyle w:val="null3"/>
                    <w:jc w:val="center"/>
                  </w:pPr>
                  <w:r>
                    <w:rPr>
                      <w:sz w:val="19"/>
                    </w:rPr>
                    <w:t>±10%</w:t>
                  </w:r>
                </w:p>
              </w:tc>
              <w:tc>
                <w:tcPr>
                  <w:tcW w:type="dxa" w:w="3200"/>
                  <w:gridSpan w:val="4"/>
                </w:tcPr>
                <w:p>
                  <w:pPr>
                    <w:pStyle w:val="null3"/>
                    <w:jc w:val="center"/>
                  </w:pPr>
                  <w:r>
                    <w:rPr>
                      <w:sz w:val="19"/>
                    </w:rPr>
                    <w:t>±5%</w:t>
                  </w:r>
                </w:p>
              </w:tc>
            </w:tr>
            <w:tr>
              <w:tc>
                <w:tcPr>
                  <w:tcW w:type="dxa" w:w="1600"/>
                  <w:gridSpan w:val="2"/>
                </w:tcPr>
                <w:p>
                  <w:pPr>
                    <w:pStyle w:val="null3"/>
                    <w:jc w:val="center"/>
                  </w:pPr>
                  <w:r>
                    <w:rPr>
                      <w:sz w:val="19"/>
                    </w:rPr>
                    <w:t>跨度核查</w:t>
                  </w:r>
                </w:p>
              </w:tc>
              <w:tc>
                <w:tcPr>
                  <w:tcW w:type="dxa" w:w="800"/>
                </w:tcPr>
                <w:p>
                  <w:pPr>
                    <w:pStyle w:val="null3"/>
                    <w:jc w:val="center"/>
                  </w:pPr>
                  <w:r>
                    <w:rPr>
                      <w:sz w:val="19"/>
                    </w:rPr>
                    <w:t>±10%</w:t>
                  </w:r>
                </w:p>
              </w:tc>
              <w:tc>
                <w:tcPr>
                  <w:tcW w:type="dxa" w:w="3200"/>
                  <w:gridSpan w:val="4"/>
                </w:tcPr>
                <w:p>
                  <w:pPr>
                    <w:pStyle w:val="null3"/>
                    <w:jc w:val="center"/>
                  </w:pPr>
                  <w:r>
                    <w:rPr>
                      <w:sz w:val="19"/>
                    </w:rPr>
                    <w:t>±10%</w:t>
                  </w:r>
                </w:p>
              </w:tc>
            </w:tr>
            <w:tr>
              <w:tc>
                <w:tcPr>
                  <w:tcW w:type="dxa" w:w="1600"/>
                  <w:gridSpan w:val="2"/>
                </w:tcPr>
                <w:p>
                  <w:pPr>
                    <w:pStyle w:val="null3"/>
                    <w:jc w:val="center"/>
                  </w:pPr>
                  <w:r>
                    <w:rPr>
                      <w:sz w:val="19"/>
                    </w:rPr>
                    <w:t>24小时跨度漂移</w:t>
                  </w:r>
                </w:p>
              </w:tc>
              <w:tc>
                <w:tcPr>
                  <w:tcW w:type="dxa" w:w="800"/>
                </w:tcPr>
                <w:p>
                  <w:pPr>
                    <w:pStyle w:val="null3"/>
                    <w:jc w:val="center"/>
                  </w:pPr>
                  <w:r>
                    <w:rPr>
                      <w:sz w:val="19"/>
                    </w:rPr>
                    <w:t>±10%</w:t>
                  </w:r>
                </w:p>
              </w:tc>
              <w:tc>
                <w:tcPr>
                  <w:tcW w:type="dxa" w:w="3200"/>
                  <w:gridSpan w:val="4"/>
                </w:tcPr>
                <w:p>
                  <w:pPr>
                    <w:pStyle w:val="null3"/>
                    <w:jc w:val="center"/>
                  </w:pPr>
                  <w:r>
                    <w:rPr>
                      <w:sz w:val="19"/>
                    </w:rPr>
                    <w:t>±10%</w:t>
                  </w:r>
                </w:p>
              </w:tc>
            </w:tr>
            <w:tr>
              <w:tc>
                <w:tcPr>
                  <w:tcW w:type="dxa" w:w="1600"/>
                  <w:gridSpan w:val="2"/>
                </w:tcPr>
                <w:p>
                  <w:pPr>
                    <w:pStyle w:val="null3"/>
                    <w:jc w:val="center"/>
                  </w:pPr>
                  <w:r>
                    <w:rPr>
                      <w:sz w:val="19"/>
                    </w:rPr>
                    <w:t>标样核查</w:t>
                  </w:r>
                </w:p>
              </w:tc>
              <w:tc>
                <w:tcPr>
                  <w:tcW w:type="dxa" w:w="4000"/>
                  <w:gridSpan w:val="5"/>
                </w:tcPr>
                <w:p>
                  <w:pPr>
                    <w:pStyle w:val="null3"/>
                    <w:jc w:val="center"/>
                  </w:pPr>
                  <w:r>
                    <w:rPr>
                      <w:sz w:val="19"/>
                    </w:rPr>
                    <w:t>±10%</w:t>
                  </w:r>
                </w:p>
              </w:tc>
            </w:tr>
            <w:tr>
              <w:tc>
                <w:tcPr>
                  <w:tcW w:type="dxa" w:w="800"/>
                  <w:vMerge w:val="restart"/>
                </w:tcPr>
                <w:p>
                  <w:pPr>
                    <w:pStyle w:val="null3"/>
                    <w:jc w:val="center"/>
                  </w:pPr>
                  <w:r>
                    <w:rPr>
                      <w:sz w:val="19"/>
                    </w:rPr>
                    <w:t>多点线性核查</w:t>
                  </w:r>
                </w:p>
              </w:tc>
              <w:tc>
                <w:tcPr>
                  <w:tcW w:type="dxa" w:w="800"/>
                </w:tcPr>
                <w:p>
                  <w:pPr>
                    <w:pStyle w:val="null3"/>
                    <w:jc w:val="center"/>
                  </w:pPr>
                  <w:r>
                    <w:rPr>
                      <w:sz w:val="19"/>
                    </w:rPr>
                    <w:t>相关系数r</w:t>
                  </w:r>
                </w:p>
              </w:tc>
              <w:tc>
                <w:tcPr>
                  <w:tcW w:type="dxa" w:w="4000"/>
                  <w:gridSpan w:val="5"/>
                </w:tcPr>
                <w:p>
                  <w:pPr>
                    <w:pStyle w:val="null3"/>
                    <w:jc w:val="center"/>
                  </w:pPr>
                  <w:r>
                    <w:rPr>
                      <w:sz w:val="19"/>
                    </w:rPr>
                    <w:t>≥0.98</w:t>
                  </w:r>
                </w:p>
              </w:tc>
            </w:tr>
            <w:tr>
              <w:tc>
                <w:tcPr>
                  <w:tcW w:type="dxa" w:w="800"/>
                  <w:vMerge/>
                </w:tcPr>
                <w:p/>
              </w:tc>
              <w:tc>
                <w:tcPr>
                  <w:tcW w:type="dxa" w:w="800"/>
                </w:tcPr>
                <w:p>
                  <w:pPr>
                    <w:pStyle w:val="null3"/>
                    <w:jc w:val="center"/>
                  </w:pPr>
                  <w:r>
                    <w:rPr>
                      <w:sz w:val="19"/>
                    </w:rPr>
                    <w:t>示值误差（浓度＞20%FS）</w:t>
                  </w:r>
                </w:p>
              </w:tc>
              <w:tc>
                <w:tcPr>
                  <w:tcW w:type="dxa" w:w="4000"/>
                  <w:gridSpan w:val="5"/>
                </w:tcPr>
                <w:p>
                  <w:pPr>
                    <w:pStyle w:val="null3"/>
                    <w:jc w:val="center"/>
                  </w:pPr>
                  <w:r>
                    <w:rPr>
                      <w:sz w:val="19"/>
                    </w:rPr>
                    <w:t>±10%</w:t>
                  </w:r>
                </w:p>
              </w:tc>
            </w:tr>
            <w:tr>
              <w:tc>
                <w:tcPr>
                  <w:tcW w:type="dxa" w:w="800"/>
                  <w:vMerge/>
                </w:tcPr>
                <w:p/>
              </w:tc>
              <w:tc>
                <w:tcPr>
                  <w:tcW w:type="dxa" w:w="800"/>
                </w:tcPr>
                <w:p>
                  <w:pPr>
                    <w:pStyle w:val="null3"/>
                    <w:jc w:val="center"/>
                  </w:pPr>
                  <w:r>
                    <w:rPr>
                      <w:sz w:val="19"/>
                    </w:rPr>
                    <w:t>示值误差（浓度≤20% FS）</w:t>
                  </w:r>
                </w:p>
              </w:tc>
              <w:tc>
                <w:tcPr>
                  <w:tcW w:type="dxa" w:w="4000"/>
                  <w:gridSpan w:val="5"/>
                </w:tcPr>
                <w:p>
                  <w:pPr>
                    <w:pStyle w:val="null3"/>
                    <w:jc w:val="center"/>
                  </w:pPr>
                  <w:r>
                    <w:rPr>
                      <w:sz w:val="19"/>
                    </w:rPr>
                    <w:t>参照零点核查要求</w:t>
                  </w:r>
                </w:p>
              </w:tc>
            </w:tr>
            <w:tr>
              <w:tc>
                <w:tcPr>
                  <w:tcW w:type="dxa" w:w="1600"/>
                  <w:gridSpan w:val="2"/>
                  <w:vMerge w:val="restart"/>
                </w:tcPr>
                <w:p>
                  <w:pPr>
                    <w:pStyle w:val="null3"/>
                    <w:jc w:val="center"/>
                  </w:pPr>
                  <w:r>
                    <w:rPr>
                      <w:sz w:val="19"/>
                    </w:rPr>
                    <w:t>实际水样比对</w:t>
                  </w:r>
                </w:p>
              </w:tc>
              <w:tc>
                <w:tcPr>
                  <w:tcW w:type="dxa" w:w="1600"/>
                  <w:gridSpan w:val="2"/>
                </w:tcPr>
                <w:p>
                  <w:pPr>
                    <w:pStyle w:val="null3"/>
                    <w:jc w:val="center"/>
                  </w:pPr>
                  <w:r>
                    <w:rPr>
                      <w:sz w:val="19"/>
                    </w:rPr>
                    <w:t>CX＞BⅣ</w:t>
                  </w:r>
                </w:p>
              </w:tc>
              <w:tc>
                <w:tcPr>
                  <w:tcW w:type="dxa" w:w="2400"/>
                  <w:gridSpan w:val="3"/>
                </w:tcPr>
                <w:p>
                  <w:pPr>
                    <w:pStyle w:val="null3"/>
                    <w:jc w:val="center"/>
                  </w:pPr>
                  <w:r>
                    <w:rPr>
                      <w:sz w:val="19"/>
                    </w:rPr>
                    <w:t>相对误差≤20%</w:t>
                  </w:r>
                </w:p>
              </w:tc>
            </w:tr>
            <w:tr>
              <w:tc>
                <w:tcPr>
                  <w:tcW w:type="dxa" w:w="1600"/>
                  <w:gridSpan w:val="2"/>
                  <w:vMerge/>
                </w:tcPr>
                <w:p/>
              </w:tc>
              <w:tc>
                <w:tcPr>
                  <w:tcW w:type="dxa" w:w="1600"/>
                  <w:gridSpan w:val="2"/>
                </w:tcPr>
                <w:p>
                  <w:pPr>
                    <w:pStyle w:val="null3"/>
                    <w:jc w:val="center"/>
                  </w:pPr>
                  <w:r>
                    <w:rPr>
                      <w:sz w:val="19"/>
                    </w:rPr>
                    <w:t>BⅡ＜CX≤BⅣ</w:t>
                  </w:r>
                </w:p>
              </w:tc>
              <w:tc>
                <w:tcPr>
                  <w:tcW w:type="dxa" w:w="2400"/>
                  <w:gridSpan w:val="3"/>
                </w:tcPr>
                <w:p>
                  <w:pPr>
                    <w:pStyle w:val="null3"/>
                    <w:jc w:val="center"/>
                  </w:pPr>
                  <w:r>
                    <w:rPr>
                      <w:sz w:val="19"/>
                    </w:rPr>
                    <w:t>相对误差≤30%</w:t>
                  </w:r>
                </w:p>
              </w:tc>
            </w:tr>
            <w:tr>
              <w:tc>
                <w:tcPr>
                  <w:tcW w:type="dxa" w:w="1600"/>
                  <w:gridSpan w:val="2"/>
                  <w:vMerge/>
                </w:tcPr>
                <w:p/>
              </w:tc>
              <w:tc>
                <w:tcPr>
                  <w:tcW w:type="dxa" w:w="1600"/>
                  <w:gridSpan w:val="2"/>
                </w:tcPr>
                <w:p>
                  <w:pPr>
                    <w:pStyle w:val="null3"/>
                    <w:jc w:val="center"/>
                  </w:pPr>
                  <w:r>
                    <w:rPr>
                      <w:sz w:val="19"/>
                    </w:rPr>
                    <w:t>CX≤BⅡ</w:t>
                  </w:r>
                </w:p>
              </w:tc>
              <w:tc>
                <w:tcPr>
                  <w:tcW w:type="dxa" w:w="2400"/>
                  <w:gridSpan w:val="3"/>
                </w:tcPr>
                <w:p>
                  <w:pPr>
                    <w:pStyle w:val="null3"/>
                    <w:jc w:val="center"/>
                  </w:pPr>
                  <w:r>
                    <w:rPr>
                      <w:sz w:val="19"/>
                    </w:rPr>
                    <w:t>相对误差≤40%</w:t>
                  </w:r>
                </w:p>
              </w:tc>
            </w:tr>
            <w:tr>
              <w:tc>
                <w:tcPr>
                  <w:tcW w:type="dxa" w:w="1600"/>
                  <w:gridSpan w:val="2"/>
                  <w:vMerge/>
                </w:tcPr>
                <w:p/>
              </w:tc>
              <w:tc>
                <w:tcPr>
                  <w:tcW w:type="dxa" w:w="4000"/>
                  <w:gridSpan w:val="5"/>
                </w:tcPr>
                <w:p>
                  <w:pPr>
                    <w:pStyle w:val="null3"/>
                    <w:jc w:val="center"/>
                  </w:pPr>
                  <w:r>
                    <w:rPr>
                      <w:sz w:val="19"/>
                    </w:rPr>
                    <w:t>除湖库总磷外，当自动监测结果和实验室分析结果均低于BⅡ时，认定比对实验结果合格。</w:t>
                  </w:r>
                </w:p>
                <w:p>
                  <w:pPr>
                    <w:pStyle w:val="null3"/>
                    <w:jc w:val="center"/>
                  </w:pPr>
                  <w:r>
                    <w:rPr>
                      <w:sz w:val="19"/>
                    </w:rPr>
                    <w:t>当湖库总磷自动监测结果和实验室分析结果均低于BⅢ时，认定比对实验结果合格。</w:t>
                  </w:r>
                </w:p>
                <w:p>
                  <w:pPr>
                    <w:pStyle w:val="null3"/>
                    <w:jc w:val="center"/>
                  </w:pPr>
                  <w:r>
                    <w:rPr>
                      <w:sz w:val="19"/>
                    </w:rPr>
                    <w:t>注：①Cx为实验室分析结果；</w:t>
                  </w:r>
                </w:p>
                <w:p>
                  <w:pPr>
                    <w:pStyle w:val="null3"/>
                    <w:jc w:val="center"/>
                  </w:pPr>
                  <w:r>
                    <w:rPr>
                      <w:sz w:val="19"/>
                    </w:rPr>
                    <w:t>②B为《地表水环境质量标准》（GB 3838-2002）规定的水质类别限值；</w:t>
                  </w:r>
                </w:p>
                <w:p>
                  <w:pPr>
                    <w:pStyle w:val="null3"/>
                    <w:jc w:val="center"/>
                  </w:pPr>
                  <w:r>
                    <w:rPr>
                      <w:sz w:val="19"/>
                    </w:rPr>
                    <w:t>③总氮河流无水质类别标准，可参考湖库标准。</w:t>
                  </w:r>
                </w:p>
              </w:tc>
            </w:tr>
            <w:tr>
              <w:tc>
                <w:tcPr>
                  <w:tcW w:type="dxa" w:w="1600"/>
                  <w:gridSpan w:val="2"/>
                </w:tcPr>
                <w:p>
                  <w:pPr>
                    <w:pStyle w:val="null3"/>
                    <w:jc w:val="center"/>
                  </w:pPr>
                  <w:r>
                    <w:rPr>
                      <w:sz w:val="19"/>
                    </w:rPr>
                    <w:t>加标回收率自动测试</w:t>
                  </w:r>
                </w:p>
              </w:tc>
              <w:tc>
                <w:tcPr>
                  <w:tcW w:type="dxa" w:w="4000"/>
                  <w:gridSpan w:val="5"/>
                </w:tcPr>
                <w:p>
                  <w:pPr>
                    <w:pStyle w:val="null3"/>
                    <w:jc w:val="center"/>
                  </w:pPr>
                  <w:r>
                    <w:rPr>
                      <w:sz w:val="19"/>
                    </w:rPr>
                    <w:t>80%-120%</w:t>
                  </w:r>
                </w:p>
              </w:tc>
            </w:tr>
            <w:tr>
              <w:tc>
                <w:tcPr>
                  <w:tcW w:type="dxa" w:w="1600"/>
                  <w:gridSpan w:val="2"/>
                </w:tcPr>
                <w:p>
                  <w:pPr>
                    <w:pStyle w:val="null3"/>
                    <w:jc w:val="center"/>
                  </w:pPr>
                  <w:r>
                    <w:rPr>
                      <w:sz w:val="19"/>
                    </w:rPr>
                    <w:t>集成干预检查</w:t>
                  </w:r>
                </w:p>
              </w:tc>
              <w:tc>
                <w:tcPr>
                  <w:tcW w:type="dxa" w:w="4000"/>
                  <w:gridSpan w:val="5"/>
                </w:tcPr>
                <w:p>
                  <w:pPr>
                    <w:pStyle w:val="null3"/>
                    <w:jc w:val="center"/>
                  </w:pPr>
                  <w:r>
                    <w:rPr>
                      <w:sz w:val="19"/>
                    </w:rPr>
                    <w:t>±10%</w:t>
                  </w:r>
                </w:p>
              </w:tc>
            </w:tr>
          </w:tbl>
          <w:p>
            <w:pPr>
              <w:pStyle w:val="null3"/>
              <w:ind w:firstLine="480"/>
              <w:jc w:val="both"/>
            </w:pPr>
            <w:r>
              <w:rPr>
                <w:sz w:val="24"/>
              </w:rPr>
              <w:t>2.5 水站仪器发生故障且</w:t>
            </w:r>
            <w:r>
              <w:rPr>
                <w:sz w:val="24"/>
              </w:rPr>
              <w:t>中标供应商</w:t>
            </w:r>
            <w:r>
              <w:rPr>
                <w:sz w:val="24"/>
              </w:rPr>
              <w:t>无法解决时须及时向</w:t>
            </w:r>
            <w:r>
              <w:rPr>
                <w:sz w:val="24"/>
              </w:rPr>
              <w:t>采购人</w:t>
            </w:r>
            <w:r>
              <w:rPr>
                <w:sz w:val="24"/>
              </w:rPr>
              <w:t>报告，及时联系仪器商排除故障恢复正常运行。</w:t>
            </w:r>
          </w:p>
          <w:p>
            <w:pPr>
              <w:pStyle w:val="null3"/>
              <w:ind w:firstLine="480"/>
              <w:jc w:val="both"/>
            </w:pPr>
            <w:r>
              <w:rPr>
                <w:sz w:val="24"/>
              </w:rPr>
              <w:t>2.6 对符合停运条件的水站，</w:t>
            </w:r>
            <w:r>
              <w:rPr>
                <w:sz w:val="24"/>
              </w:rPr>
              <w:t>中标供应商</w:t>
            </w:r>
            <w:r>
              <w:rPr>
                <w:sz w:val="24"/>
              </w:rPr>
              <w:t>根据实际情况提交水站停运材料。停运期间，</w:t>
            </w:r>
            <w:r>
              <w:rPr>
                <w:sz w:val="24"/>
              </w:rPr>
              <w:t>中标供应商</w:t>
            </w:r>
            <w:r>
              <w:rPr>
                <w:sz w:val="24"/>
              </w:rPr>
              <w:t>应在保障安全的前提下及时完成人工补测工作，每周监测不得少于</w:t>
            </w:r>
            <w:r>
              <w:rPr>
                <w:sz w:val="24"/>
              </w:rPr>
              <w:t>2次，两次间隔不得小于2天，直至修复为止，同时须做好仪器设备的维护保养，具备运行条件时要及时恢复运行。补测监测结果及CMA检测报告需在一个月内上传至监控平台。</w:t>
            </w:r>
          </w:p>
          <w:p>
            <w:pPr>
              <w:pStyle w:val="null3"/>
              <w:ind w:firstLine="480"/>
              <w:jc w:val="both"/>
            </w:pPr>
            <w:r>
              <w:rPr>
                <w:sz w:val="24"/>
              </w:rPr>
              <w:t xml:space="preserve">▲2.7 </w:t>
            </w:r>
            <w:r>
              <w:rPr>
                <w:sz w:val="24"/>
              </w:rPr>
              <w:t>中标供应商</w:t>
            </w:r>
            <w:r>
              <w:rPr>
                <w:sz w:val="24"/>
              </w:rPr>
              <w:t>需在每月、季、半年、年结束的</w:t>
            </w:r>
            <w:r>
              <w:rPr>
                <w:sz w:val="24"/>
              </w:rPr>
              <w:t>5天内提交月、季、年数据分析、运行和质控报告。每日做好质控记录和运行情况记录，按月汇总上报给广东省广州生态环境监测中心站。</w:t>
            </w:r>
          </w:p>
          <w:p>
            <w:pPr>
              <w:pStyle w:val="null3"/>
              <w:ind w:firstLine="480"/>
              <w:jc w:val="both"/>
            </w:pPr>
            <w:r>
              <w:rPr>
                <w:sz w:val="24"/>
              </w:rPr>
              <w:t>▲2.8 如监控人员或</w:t>
            </w:r>
            <w:r>
              <w:rPr>
                <w:sz w:val="24"/>
              </w:rPr>
              <w:t>采购人</w:t>
            </w:r>
            <w:r>
              <w:rPr>
                <w:sz w:val="24"/>
              </w:rPr>
              <w:t>值班人员发现仪器故障和数据异常</w:t>
            </w:r>
            <w:r>
              <w:rPr>
                <w:sz w:val="24"/>
              </w:rPr>
              <w:t>，</w:t>
            </w:r>
            <w:r>
              <w:rPr>
                <w:sz w:val="24"/>
              </w:rPr>
              <w:t>运维保证应在</w:t>
            </w:r>
            <w:r>
              <w:rPr>
                <w:sz w:val="24"/>
              </w:rPr>
              <w:t>2小时内响应，在</w:t>
            </w:r>
            <w:r>
              <w:rPr>
                <w:sz w:val="24"/>
              </w:rPr>
              <w:t>12</w:t>
            </w:r>
            <w:r>
              <w:rPr>
                <w:sz w:val="24"/>
              </w:rPr>
              <w:t>小时内到达现场检修，如</w:t>
            </w:r>
            <w:r>
              <w:rPr>
                <w:sz w:val="24"/>
              </w:rPr>
              <w:t>24小时内无法排除故障</w:t>
            </w:r>
            <w:r>
              <w:rPr>
                <w:sz w:val="24"/>
              </w:rPr>
              <w:t>，</w:t>
            </w:r>
            <w:r>
              <w:rPr>
                <w:sz w:val="24"/>
              </w:rPr>
              <w:t>常规</w:t>
            </w:r>
            <w:r>
              <w:rPr>
                <w:sz w:val="24"/>
              </w:rPr>
              <w:t>九</w:t>
            </w:r>
            <w:r>
              <w:rPr>
                <w:sz w:val="24"/>
              </w:rPr>
              <w:t>参数（</w:t>
            </w:r>
            <w:r>
              <w:rPr>
                <w:sz w:val="24"/>
              </w:rPr>
              <w:t>pH、DO、水温、电导率、浊度、氨氮、总磷、</w:t>
            </w:r>
            <w:r>
              <w:rPr>
                <w:sz w:val="24"/>
              </w:rPr>
              <w:t>总氮、</w:t>
            </w:r>
            <w:r>
              <w:rPr>
                <w:sz w:val="24"/>
              </w:rPr>
              <w:t>高锰酸盐指数）分析仪器需要由</w:t>
            </w:r>
            <w:r>
              <w:rPr>
                <w:sz w:val="24"/>
              </w:rPr>
              <w:t>中标供应商</w:t>
            </w:r>
            <w:r>
              <w:rPr>
                <w:sz w:val="24"/>
              </w:rPr>
              <w:t>自备备机更换使用，故障监测仪需尽快修复。备机完成接入后</w:t>
            </w:r>
            <w:r>
              <w:rPr>
                <w:sz w:val="24"/>
              </w:rPr>
              <w:t>72 h内按照要求完成仪器性能测试，如测试不合格则接入后的监测数据为无效数据，运维机构需按要求进行手工补测，直至仪器测试合格。</w:t>
            </w:r>
          </w:p>
          <w:p>
            <w:pPr>
              <w:pStyle w:val="null3"/>
              <w:ind w:firstLine="480"/>
              <w:jc w:val="both"/>
            </w:pPr>
            <w:r>
              <w:rPr>
                <w:sz w:val="24"/>
              </w:rPr>
              <w:t>2.</w:t>
            </w:r>
            <w:r>
              <w:rPr>
                <w:sz w:val="24"/>
              </w:rPr>
              <w:t>9</w:t>
            </w:r>
            <w:r>
              <w:rPr>
                <w:sz w:val="21"/>
              </w:rPr>
              <w:t xml:space="preserve"> </w:t>
            </w:r>
            <w:r>
              <w:rPr>
                <w:sz w:val="24"/>
              </w:rPr>
              <w:t>中标供应商</w:t>
            </w:r>
            <w:r>
              <w:rPr>
                <w:sz w:val="24"/>
              </w:rPr>
              <w:t>有责任接受</w:t>
            </w:r>
            <w:r>
              <w:rPr>
                <w:sz w:val="24"/>
              </w:rPr>
              <w:t>采购人</w:t>
            </w:r>
            <w:r>
              <w:rPr>
                <w:sz w:val="24"/>
              </w:rPr>
              <w:t>的定期和不定期考核。</w:t>
            </w:r>
          </w:p>
          <w:p>
            <w:pPr>
              <w:pStyle w:val="null3"/>
              <w:ind w:firstLine="480"/>
              <w:jc w:val="both"/>
            </w:pPr>
            <w:r>
              <w:rPr>
                <w:sz w:val="24"/>
              </w:rPr>
              <w:t>2.1</w:t>
            </w:r>
            <w:r>
              <w:rPr>
                <w:sz w:val="24"/>
              </w:rPr>
              <w:t>0</w:t>
            </w:r>
            <w:r>
              <w:rPr>
                <w:sz w:val="21"/>
              </w:rPr>
              <w:t xml:space="preserve"> </w:t>
            </w:r>
            <w:r>
              <w:rPr>
                <w:sz w:val="24"/>
              </w:rPr>
              <w:t>中标供应商</w:t>
            </w:r>
            <w:r>
              <w:rPr>
                <w:sz w:val="24"/>
              </w:rPr>
              <w:t>参与本项目的维护人员需经过相关培训才可进行相关工作。</w:t>
            </w:r>
          </w:p>
          <w:p>
            <w:pPr>
              <w:pStyle w:val="null3"/>
              <w:ind w:firstLine="480"/>
              <w:jc w:val="both"/>
            </w:pPr>
            <w:r>
              <w:rPr>
                <w:sz w:val="24"/>
              </w:rPr>
              <w:t>2.1</w:t>
            </w:r>
            <w:r>
              <w:rPr>
                <w:sz w:val="24"/>
              </w:rPr>
              <w:t>1</w:t>
            </w:r>
            <w:r>
              <w:rPr>
                <w:sz w:val="21"/>
              </w:rPr>
              <w:t xml:space="preserve"> </w:t>
            </w:r>
            <w:r>
              <w:rPr>
                <w:sz w:val="24"/>
              </w:rPr>
              <w:t>中标供应商</w:t>
            </w:r>
            <w:r>
              <w:rPr>
                <w:sz w:val="24"/>
              </w:rPr>
              <w:t>有责任协助</w:t>
            </w:r>
            <w:r>
              <w:rPr>
                <w:sz w:val="24"/>
              </w:rPr>
              <w:t>采购人</w:t>
            </w:r>
            <w:r>
              <w:rPr>
                <w:sz w:val="24"/>
              </w:rPr>
              <w:t>接受国家、省的考核和检查，有责任协助</w:t>
            </w:r>
            <w:r>
              <w:rPr>
                <w:sz w:val="24"/>
              </w:rPr>
              <w:t>采购人</w:t>
            </w:r>
            <w:r>
              <w:rPr>
                <w:sz w:val="24"/>
              </w:rPr>
              <w:t>接受上级部门及兄弟单位的参观。</w:t>
            </w:r>
          </w:p>
          <w:p>
            <w:pPr>
              <w:pStyle w:val="null3"/>
              <w:ind w:firstLine="480"/>
              <w:jc w:val="both"/>
            </w:pPr>
            <w:r>
              <w:rPr>
                <w:sz w:val="24"/>
              </w:rPr>
              <w:t>2.1</w:t>
            </w:r>
            <w:r>
              <w:rPr>
                <w:sz w:val="24"/>
              </w:rPr>
              <w:t>2</w:t>
            </w:r>
            <w:r>
              <w:rPr>
                <w:sz w:val="24"/>
              </w:rPr>
              <w:t xml:space="preserve"> </w:t>
            </w:r>
            <w:r>
              <w:rPr>
                <w:sz w:val="24"/>
              </w:rPr>
              <w:t>负责水站站房及取水栈桥的安全及维护，保证整洁干净，切实做好防盗、防火以及防止其他人为或自然事故的发生，每个月对站点相关安全情况进行全面的检查并填写安全检查记录，须配合</w:t>
            </w:r>
            <w:r>
              <w:rPr>
                <w:sz w:val="24"/>
              </w:rPr>
              <w:t>采购人</w:t>
            </w:r>
            <w:r>
              <w:rPr>
                <w:sz w:val="24"/>
              </w:rPr>
              <w:t>做好水站固定资产的保管及管理工作。</w:t>
            </w:r>
          </w:p>
          <w:p>
            <w:pPr>
              <w:pStyle w:val="null3"/>
              <w:ind w:firstLine="480"/>
              <w:jc w:val="both"/>
            </w:pPr>
            <w:r>
              <w:rPr>
                <w:sz w:val="24"/>
              </w:rPr>
              <w:t>2.1</w:t>
            </w:r>
            <w:r>
              <w:rPr>
                <w:sz w:val="24"/>
              </w:rPr>
              <w:t>3</w:t>
            </w:r>
            <w:r>
              <w:rPr>
                <w:sz w:val="21"/>
              </w:rPr>
              <w:t xml:space="preserve"> </w:t>
            </w:r>
            <w:r>
              <w:rPr>
                <w:sz w:val="24"/>
              </w:rPr>
              <w:t>中标供应商</w:t>
            </w:r>
            <w:r>
              <w:rPr>
                <w:sz w:val="24"/>
              </w:rPr>
              <w:t>负责</w:t>
            </w:r>
            <w:r>
              <w:rPr>
                <w:sz w:val="24"/>
              </w:rPr>
              <w:t>1万元及以下的零备件费用，1万元以上的零备件更换需要</w:t>
            </w:r>
            <w:r>
              <w:rPr>
                <w:sz w:val="24"/>
              </w:rPr>
              <w:t>采购人</w:t>
            </w:r>
            <w:r>
              <w:rPr>
                <w:sz w:val="24"/>
              </w:rPr>
              <w:t>确认后由</w:t>
            </w:r>
            <w:r>
              <w:rPr>
                <w:sz w:val="24"/>
              </w:rPr>
              <w:t>采购人</w:t>
            </w:r>
            <w:r>
              <w:rPr>
                <w:sz w:val="24"/>
              </w:rPr>
              <w:t>购买。</w:t>
            </w:r>
          </w:p>
          <w:p>
            <w:pPr>
              <w:pStyle w:val="null3"/>
              <w:ind w:firstLine="480"/>
              <w:jc w:val="both"/>
            </w:pPr>
            <w:r>
              <w:rPr>
                <w:sz w:val="24"/>
              </w:rPr>
              <w:t>2.1</w:t>
            </w:r>
            <w:r>
              <w:rPr>
                <w:sz w:val="24"/>
              </w:rPr>
              <w:t>4</w:t>
            </w:r>
            <w:r>
              <w:rPr>
                <w:sz w:val="21"/>
              </w:rPr>
              <w:t xml:space="preserve"> </w:t>
            </w:r>
            <w:r>
              <w:rPr>
                <w:sz w:val="24"/>
              </w:rPr>
              <w:t>中标供应商</w:t>
            </w:r>
            <w:r>
              <w:rPr>
                <w:sz w:val="24"/>
              </w:rPr>
              <w:t>需严格按照</w:t>
            </w:r>
            <w:r>
              <w:rPr>
                <w:sz w:val="24"/>
              </w:rPr>
              <w:t>采购人</w:t>
            </w:r>
            <w:r>
              <w:rPr>
                <w:sz w:val="24"/>
              </w:rPr>
              <w:t>要求落实网络安全防护措施，包括做好系统账号管理、防病毒软件更新等工作，未经允许不得开启影响网络安全的服务（端口）和安装来历不明的插件及第三方远程工具；未经允许不得随意更改站房网络拓扑图，增加或减少网络设备；未经报备不得随意访问境外地址，禁止访问违反相关法律法规的网站或网络地址；站房内所有设备（包括但不限工控机、网络设备等）的账号密码应设置为强密码。</w:t>
            </w:r>
          </w:p>
          <w:p>
            <w:pPr>
              <w:pStyle w:val="null3"/>
              <w:ind w:firstLine="480"/>
              <w:jc w:val="both"/>
            </w:pPr>
            <w:r>
              <w:rPr>
                <w:sz w:val="24"/>
              </w:rPr>
              <w:t>2.1</w:t>
            </w:r>
            <w:r>
              <w:rPr>
                <w:sz w:val="24"/>
              </w:rPr>
              <w:t>5</w:t>
            </w:r>
            <w:r>
              <w:rPr>
                <w:sz w:val="24"/>
              </w:rPr>
              <w:t xml:space="preserve"> </w:t>
            </w:r>
            <w:r>
              <w:rPr>
                <w:sz w:val="24"/>
              </w:rPr>
              <w:t>其他</w:t>
            </w:r>
          </w:p>
          <w:p>
            <w:pPr>
              <w:pStyle w:val="null3"/>
              <w:ind w:firstLine="480"/>
              <w:jc w:val="both"/>
            </w:pPr>
            <w:r>
              <w:rPr>
                <w:sz w:val="24"/>
              </w:rPr>
              <w:t>中标供应商</w:t>
            </w:r>
            <w:r>
              <w:rPr>
                <w:sz w:val="24"/>
              </w:rPr>
              <w:t>根据</w:t>
            </w:r>
            <w:r>
              <w:rPr>
                <w:sz w:val="24"/>
              </w:rPr>
              <w:t>采购人</w:t>
            </w:r>
            <w:r>
              <w:rPr>
                <w:sz w:val="24"/>
              </w:rPr>
              <w:t>要求协助开展</w:t>
            </w:r>
            <w:r>
              <w:rPr>
                <w:sz w:val="24"/>
              </w:rPr>
              <w:t>国控、</w:t>
            </w:r>
            <w:r>
              <w:rPr>
                <w:sz w:val="24"/>
              </w:rPr>
              <w:t>省控、市控、区控水质自动监测点质量抽检，对站点周边环境、站房、仪器设备参数等情况进行检查，检查内容包括但不限于站点周边环境情况、站房防雷用电用水网络情况、仪器参数核查及盲样测试等，服务期内</w:t>
            </w:r>
            <w:r>
              <w:rPr>
                <w:sz w:val="24"/>
              </w:rPr>
              <w:t>11个</w:t>
            </w:r>
            <w:r>
              <w:rPr>
                <w:sz w:val="24"/>
              </w:rPr>
              <w:t>国控站点</w:t>
            </w:r>
            <w:r>
              <w:rPr>
                <w:sz w:val="24"/>
              </w:rPr>
              <w:t>检查</w:t>
            </w:r>
            <w:r>
              <w:rPr>
                <w:sz w:val="24"/>
              </w:rPr>
              <w:t>不少于</w:t>
            </w:r>
            <w:r>
              <w:rPr>
                <w:sz w:val="24"/>
              </w:rPr>
              <w:t>1次</w:t>
            </w:r>
            <w:r>
              <w:rPr>
                <w:sz w:val="24"/>
              </w:rPr>
              <w:t>，</w:t>
            </w:r>
            <w:r>
              <w:rPr>
                <w:sz w:val="24"/>
              </w:rPr>
              <w:t>5个</w:t>
            </w:r>
            <w:r>
              <w:rPr>
                <w:sz w:val="24"/>
              </w:rPr>
              <w:t>省控站点</w:t>
            </w:r>
            <w:r>
              <w:rPr>
                <w:sz w:val="24"/>
              </w:rPr>
              <w:t>检查</w:t>
            </w:r>
            <w:r>
              <w:rPr>
                <w:sz w:val="24"/>
              </w:rPr>
              <w:t>不少于</w:t>
            </w:r>
            <w:r>
              <w:rPr>
                <w:sz w:val="24"/>
              </w:rPr>
              <w:t>4</w:t>
            </w:r>
            <w:r>
              <w:rPr>
                <w:sz w:val="24"/>
              </w:rPr>
              <w:t>次</w:t>
            </w:r>
            <w:r>
              <w:rPr>
                <w:sz w:val="24"/>
              </w:rPr>
              <w:t>，</w:t>
            </w:r>
            <w:r>
              <w:rPr>
                <w:sz w:val="24"/>
              </w:rPr>
              <w:t>13个市、区控站点检查不少于1次</w:t>
            </w:r>
            <w:r>
              <w:rPr>
                <w:sz w:val="24"/>
              </w:rPr>
              <w:t>。</w:t>
            </w:r>
          </w:p>
          <w:p>
            <w:pPr>
              <w:pStyle w:val="null3"/>
              <w:ind w:firstLine="480"/>
              <w:jc w:val="both"/>
            </w:pPr>
            <w:r>
              <w:rPr>
                <w:sz w:val="24"/>
              </w:rPr>
              <w:t>协助开展临时性工作，包括参观培训、临时性检查、突发性加密监测、相关调研、采样等；并协助</w:t>
            </w:r>
            <w:r>
              <w:rPr>
                <w:sz w:val="24"/>
              </w:rPr>
              <w:t>采购人</w:t>
            </w:r>
            <w:r>
              <w:rPr>
                <w:sz w:val="24"/>
              </w:rPr>
              <w:t>提供搬运仪器</w:t>
            </w:r>
            <w:r>
              <w:rPr>
                <w:sz w:val="24"/>
              </w:rPr>
              <w:t>所</w:t>
            </w:r>
            <w:r>
              <w:rPr>
                <w:sz w:val="24"/>
              </w:rPr>
              <w:t>需的人员（每次</w:t>
            </w:r>
            <w:r>
              <w:rPr>
                <w:sz w:val="24"/>
              </w:rPr>
              <w:t>1-2人）以及车辆（每次1-2辆）等，次数不多于</w:t>
            </w:r>
            <w:r>
              <w:rPr>
                <w:sz w:val="24"/>
              </w:rPr>
              <w:t>12</w:t>
            </w:r>
            <w:r>
              <w:rPr>
                <w:sz w:val="24"/>
              </w:rPr>
              <w:t>次。</w:t>
            </w:r>
          </w:p>
          <w:p>
            <w:pPr>
              <w:pStyle w:val="null3"/>
              <w:ind w:firstLine="480"/>
              <w:jc w:val="both"/>
            </w:pPr>
            <w:r>
              <w:rPr>
                <w:sz w:val="24"/>
              </w:rPr>
              <w:t>▲3.数据监控服务</w:t>
            </w:r>
          </w:p>
          <w:p>
            <w:pPr>
              <w:pStyle w:val="null3"/>
              <w:jc w:val="both"/>
            </w:pPr>
            <w:r>
              <w:rPr>
                <w:sz w:val="24"/>
              </w:rPr>
              <w:t>中标供应商</w:t>
            </w:r>
            <w:r>
              <w:rPr>
                <w:sz w:val="24"/>
              </w:rPr>
              <w:t>应有专职人员负责对水质自动站监测数据和仪器问题进行实时监控，并根据</w:t>
            </w:r>
            <w:r>
              <w:rPr>
                <w:sz w:val="24"/>
              </w:rPr>
              <w:t>采购人</w:t>
            </w:r>
            <w:r>
              <w:rPr>
                <w:sz w:val="24"/>
              </w:rPr>
              <w:t>要求不定期到</w:t>
            </w:r>
            <w:r>
              <w:rPr>
                <w:sz w:val="24"/>
              </w:rPr>
              <w:t>采购人</w:t>
            </w:r>
            <w:r>
              <w:rPr>
                <w:sz w:val="24"/>
              </w:rPr>
              <w:t>单位接受监督和考核，如不能满足工作要求，</w:t>
            </w:r>
            <w:r>
              <w:rPr>
                <w:sz w:val="24"/>
              </w:rPr>
              <w:t>采购人</w:t>
            </w:r>
            <w:r>
              <w:rPr>
                <w:sz w:val="24"/>
              </w:rPr>
              <w:t>有权要求更换人员。专人数据监控劳务费用</w:t>
            </w:r>
            <w:r>
              <w:rPr>
                <w:sz w:val="24"/>
              </w:rPr>
              <w:t>8万元由</w:t>
            </w:r>
            <w:r>
              <w:rPr>
                <w:sz w:val="24"/>
              </w:rPr>
              <w:t>中标供应商</w:t>
            </w:r>
            <w:r>
              <w:rPr>
                <w:sz w:val="24"/>
              </w:rPr>
              <w:t>负责。监控过程中如发现超标或异常情况应即刻通知</w:t>
            </w:r>
            <w:r>
              <w:rPr>
                <w:sz w:val="24"/>
              </w:rPr>
              <w:t>采购人</w:t>
            </w:r>
            <w:r>
              <w:rPr>
                <w:sz w:val="24"/>
              </w:rPr>
              <w:t>值班人员，同时通知维护技术人员到现场核实，技术人员还需观测水站周围是否发生污染事故，做好汇报并记录；监控过程中如发现仪器异常或接到</w:t>
            </w:r>
            <w:r>
              <w:rPr>
                <w:sz w:val="24"/>
              </w:rPr>
              <w:t>采购人</w:t>
            </w:r>
            <w:r>
              <w:rPr>
                <w:sz w:val="24"/>
              </w:rPr>
              <w:t>值班人员通知，</w:t>
            </w:r>
            <w:r>
              <w:rPr>
                <w:sz w:val="24"/>
              </w:rPr>
              <w:t>中标供应商</w:t>
            </w:r>
            <w:r>
              <w:rPr>
                <w:sz w:val="24"/>
              </w:rPr>
              <w:t>应在</w:t>
            </w:r>
            <w:r>
              <w:rPr>
                <w:sz w:val="24"/>
              </w:rPr>
              <w:t>2小时内响应，</w:t>
            </w:r>
            <w:r>
              <w:rPr>
                <w:sz w:val="24"/>
              </w:rPr>
              <w:t>12</w:t>
            </w:r>
            <w:r>
              <w:rPr>
                <w:sz w:val="24"/>
              </w:rPr>
              <w:t>小时内到达现场处理，</w:t>
            </w:r>
            <w:r>
              <w:rPr>
                <w:sz w:val="24"/>
              </w:rPr>
              <w:t>24</w:t>
            </w:r>
            <w:r>
              <w:rPr>
                <w:sz w:val="24"/>
              </w:rPr>
              <w:t>小时内解决问题，并做好运行记录，及时向</w:t>
            </w:r>
            <w:r>
              <w:rPr>
                <w:sz w:val="24"/>
              </w:rPr>
              <w:t>采购人</w:t>
            </w:r>
            <w:r>
              <w:rPr>
                <w:sz w:val="24"/>
              </w:rPr>
              <w:t>值班人员汇报，由</w:t>
            </w:r>
            <w:r>
              <w:rPr>
                <w:sz w:val="24"/>
              </w:rPr>
              <w:t>采购人</w:t>
            </w:r>
            <w:r>
              <w:rPr>
                <w:sz w:val="24"/>
              </w:rPr>
              <w:t>值班人员删除无效数据。</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4</w:t>
            </w:r>
          </w:p>
        </w:tc>
        <w:tc>
          <w:tcPr>
            <w:tcW w:type="dxa" w:w="5814"/>
          </w:tcPr>
          <w:p>
            <w:pPr>
              <w:pStyle w:val="null3"/>
              <w:jc w:val="both"/>
            </w:pPr>
            <w:r>
              <w:rPr>
                <w:sz w:val="24"/>
              </w:rPr>
              <w:t>（四）服务人员要求</w:t>
            </w:r>
          </w:p>
          <w:p>
            <w:pPr>
              <w:pStyle w:val="null3"/>
              <w:ind w:firstLine="480"/>
              <w:jc w:val="both"/>
            </w:pPr>
            <w:r>
              <w:rPr>
                <w:sz w:val="24"/>
              </w:rPr>
              <w:t>1.人员配置及资质要求</w:t>
            </w:r>
          </w:p>
          <w:tbl>
            <w:tblPr>
              <w:tblInd w:type="dxa" w:w="120"/>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Pr>
                <w:p>
                  <w:pPr>
                    <w:pStyle w:val="null3"/>
                    <w:jc w:val="center"/>
                  </w:pPr>
                  <w:r>
                    <w:rPr>
                      <w:sz w:val="19"/>
                    </w:rPr>
                    <w:t>序号</w:t>
                  </w:r>
                </w:p>
              </w:tc>
              <w:tc>
                <w:tcPr>
                  <w:tcW w:type="dxa" w:w="1399"/>
                </w:tcPr>
                <w:p>
                  <w:pPr>
                    <w:pStyle w:val="null3"/>
                    <w:jc w:val="center"/>
                  </w:pPr>
                  <w:r>
                    <w:rPr>
                      <w:sz w:val="19"/>
                    </w:rPr>
                    <w:t>岗位</w:t>
                  </w:r>
                </w:p>
              </w:tc>
              <w:tc>
                <w:tcPr>
                  <w:tcW w:type="dxa" w:w="1399"/>
                </w:tcPr>
                <w:p>
                  <w:pPr>
                    <w:pStyle w:val="null3"/>
                    <w:jc w:val="center"/>
                  </w:pPr>
                  <w:r>
                    <w:rPr>
                      <w:sz w:val="19"/>
                    </w:rPr>
                    <w:t>人数</w:t>
                  </w:r>
                </w:p>
              </w:tc>
              <w:tc>
                <w:tcPr>
                  <w:tcW w:type="dxa" w:w="1399"/>
                </w:tcPr>
                <w:p>
                  <w:pPr>
                    <w:pStyle w:val="null3"/>
                    <w:jc w:val="center"/>
                  </w:pPr>
                  <w:r>
                    <w:rPr>
                      <w:sz w:val="19"/>
                    </w:rPr>
                    <w:t>资质要求</w:t>
                  </w:r>
                </w:p>
              </w:tc>
            </w:tr>
            <w:tr>
              <w:tc>
                <w:tcPr>
                  <w:tcW w:type="dxa" w:w="1399"/>
                </w:tcPr>
                <w:p>
                  <w:pPr>
                    <w:pStyle w:val="null3"/>
                    <w:jc w:val="center"/>
                  </w:pPr>
                  <w:r>
                    <w:rPr>
                      <w:sz w:val="19"/>
                    </w:rPr>
                    <w:t>1</w:t>
                  </w:r>
                </w:p>
              </w:tc>
              <w:tc>
                <w:tcPr>
                  <w:tcW w:type="dxa" w:w="1399"/>
                </w:tcPr>
                <w:p>
                  <w:pPr>
                    <w:pStyle w:val="null3"/>
                    <w:jc w:val="center"/>
                  </w:pPr>
                  <w:r>
                    <w:rPr>
                      <w:sz w:val="19"/>
                    </w:rPr>
                    <w:t>项目负责人</w:t>
                  </w:r>
                </w:p>
              </w:tc>
              <w:tc>
                <w:tcPr>
                  <w:tcW w:type="dxa" w:w="1399"/>
                </w:tcPr>
                <w:p>
                  <w:pPr>
                    <w:pStyle w:val="null3"/>
                    <w:jc w:val="center"/>
                  </w:pPr>
                  <w:r>
                    <w:rPr>
                      <w:sz w:val="19"/>
                    </w:rPr>
                    <w:t>1人</w:t>
                  </w:r>
                </w:p>
              </w:tc>
              <w:tc>
                <w:tcPr>
                  <w:tcW w:type="dxa" w:w="1399"/>
                  <w:vMerge w:val="restart"/>
                </w:tcPr>
                <w:p>
                  <w:pPr>
                    <w:pStyle w:val="null3"/>
                    <w:jc w:val="center"/>
                  </w:pPr>
                  <w:r>
                    <w:rPr>
                      <w:sz w:val="19"/>
                    </w:rPr>
                    <w:t>取得生态环境部门或者其授权机构颁发的水质自动监测相关的培训合格证。</w:t>
                  </w:r>
                </w:p>
              </w:tc>
            </w:tr>
            <w:tr>
              <w:tc>
                <w:tcPr>
                  <w:tcW w:type="dxa" w:w="1399"/>
                </w:tcPr>
                <w:p>
                  <w:pPr>
                    <w:pStyle w:val="null3"/>
                    <w:jc w:val="center"/>
                  </w:pPr>
                  <w:r>
                    <w:rPr>
                      <w:sz w:val="19"/>
                    </w:rPr>
                    <w:t>2</w:t>
                  </w:r>
                </w:p>
              </w:tc>
              <w:tc>
                <w:tcPr>
                  <w:tcW w:type="dxa" w:w="1399"/>
                </w:tcPr>
                <w:p>
                  <w:pPr>
                    <w:pStyle w:val="null3"/>
                    <w:jc w:val="center"/>
                  </w:pPr>
                  <w:r>
                    <w:rPr>
                      <w:sz w:val="19"/>
                    </w:rPr>
                    <w:t>运维人员</w:t>
                  </w:r>
                </w:p>
              </w:tc>
              <w:tc>
                <w:tcPr>
                  <w:tcW w:type="dxa" w:w="1399"/>
                </w:tcPr>
                <w:p>
                  <w:pPr>
                    <w:pStyle w:val="null3"/>
                    <w:jc w:val="center"/>
                  </w:pPr>
                  <w:r>
                    <w:rPr>
                      <w:sz w:val="19"/>
                    </w:rPr>
                    <w:t>≥3人</w:t>
                  </w:r>
                </w:p>
              </w:tc>
              <w:tc>
                <w:tcPr>
                  <w:tcW w:type="dxa" w:w="1399"/>
                  <w:vMerge/>
                </w:tcPr>
                <w:p/>
              </w:tc>
            </w:tr>
            <w:tr>
              <w:tc>
                <w:tcPr>
                  <w:tcW w:type="dxa" w:w="1399"/>
                </w:tcPr>
                <w:p>
                  <w:pPr>
                    <w:pStyle w:val="null3"/>
                    <w:jc w:val="center"/>
                  </w:pPr>
                  <w:r>
                    <w:rPr>
                      <w:sz w:val="19"/>
                    </w:rPr>
                    <w:t>3</w:t>
                  </w:r>
                </w:p>
              </w:tc>
              <w:tc>
                <w:tcPr>
                  <w:tcW w:type="dxa" w:w="1399"/>
                </w:tcPr>
                <w:p>
                  <w:pPr>
                    <w:pStyle w:val="null3"/>
                    <w:jc w:val="center"/>
                  </w:pPr>
                  <w:r>
                    <w:rPr>
                      <w:sz w:val="19"/>
                    </w:rPr>
                    <w:t>数据监控人员</w:t>
                  </w:r>
                </w:p>
              </w:tc>
              <w:tc>
                <w:tcPr>
                  <w:tcW w:type="dxa" w:w="1399"/>
                </w:tcPr>
                <w:p>
                  <w:pPr>
                    <w:pStyle w:val="null3"/>
                    <w:jc w:val="center"/>
                  </w:pPr>
                  <w:r>
                    <w:rPr>
                      <w:sz w:val="19"/>
                    </w:rPr>
                    <w:t>≥1人</w:t>
                  </w:r>
                </w:p>
              </w:tc>
              <w:tc>
                <w:tcPr>
                  <w:tcW w:type="dxa" w:w="1399"/>
                </w:tcPr>
                <w:p>
                  <w:pPr>
                    <w:pStyle w:val="null3"/>
                    <w:jc w:val="center"/>
                  </w:pPr>
                  <w:r>
                    <w:rPr>
                      <w:sz w:val="19"/>
                    </w:rPr>
                    <w:t xml:space="preserve"> </w:t>
                  </w:r>
                </w:p>
              </w:tc>
            </w:tr>
          </w:tbl>
          <w:p>
            <w:pPr>
              <w:pStyle w:val="null3"/>
              <w:ind w:firstLine="480"/>
              <w:jc w:val="both"/>
            </w:pPr>
            <w:r>
              <w:rPr>
                <w:sz w:val="24"/>
              </w:rPr>
              <w:t>2.综合能力要求</w:t>
            </w:r>
          </w:p>
          <w:p>
            <w:pPr>
              <w:pStyle w:val="null3"/>
              <w:jc w:val="both"/>
            </w:pPr>
            <w:r>
              <w:rPr>
                <w:sz w:val="24"/>
              </w:rPr>
              <w:t>项目技术负责人须负责过同类项目工作，运维人员须具备熟悉项目各设备操作的能力，可独立完成各台设备的操作。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采购包2（7个水站流量设备运维及率定比对）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2025年6月1日至2026年5月31日，共12个月。</w:t>
            </w:r>
          </w:p>
        </w:tc>
      </w:tr>
      <w:tr>
        <w:tc>
          <w:tcPr>
            <w:tcW w:type="dxa" w:w="4153"/>
          </w:tcPr>
          <w:p>
            <w:pPr>
              <w:pStyle w:val="null3"/>
            </w:pPr>
            <w:r>
              <w:rPr/>
              <w:t>标的提供的地点</w:t>
            </w:r>
          </w:p>
        </w:tc>
        <w:tc>
          <w:tcPr>
            <w:tcW w:type="dxa" w:w="4153"/>
          </w:tcPr>
          <w:p>
            <w:pPr>
              <w:pStyle w:val="null3"/>
            </w:pPr>
            <w:r>
              <w:rPr/>
              <w:t>广州市内采购人指定地点。</w:t>
            </w:r>
          </w:p>
        </w:tc>
      </w:tr>
      <w:tr/>
      <w:tr/>
      <w:tr>
        <w:tc>
          <w:tcPr>
            <w:tcW w:type="dxa" w:w="4153"/>
          </w:tcPr>
          <w:p>
            <w:pPr>
              <w:pStyle w:val="null3"/>
            </w:pPr>
            <w:r>
              <w:rPr/>
              <w:t>付款方式</w:t>
            </w:r>
          </w:p>
        </w:tc>
        <w:tc>
          <w:tcPr>
            <w:tcW w:type="dxa" w:w="4153"/>
          </w:tcPr>
          <w:p>
            <w:pPr>
              <w:pStyle w:val="null3"/>
            </w:pPr>
            <w:r>
              <w:rPr/>
              <w:t>第1期为(预付款)：支付比例50%，合同签定并收到发票后5个工作日内，支付合同总额50%款项。</w:t>
            </w:r>
          </w:p>
          <w:p>
            <w:pPr>
              <w:pStyle w:val="null3"/>
            </w:pPr>
            <w:r>
              <w:rPr/>
              <w:t>第2期为(进度款)：支付比例20%，任务开展至2025年9月，中标供应商按时提交6-8月运维报告，采购人收到发票后，于5个工作日内支付合同总额20%款项。</w:t>
            </w:r>
          </w:p>
          <w:p>
            <w:pPr>
              <w:pStyle w:val="null3"/>
            </w:pPr>
            <w:r>
              <w:rPr/>
              <w:t>第3期为(进度款)：支付比例20%，任务开展至2026年3月，中标供应商按期提交运维报告，且2025年运维工作经采购人认可后，采购人收到发票后，于5个工作日内支付合同总额20%款项。</w:t>
            </w:r>
          </w:p>
          <w:p>
            <w:pPr>
              <w:pStyle w:val="null3"/>
            </w:pPr>
            <w:r>
              <w:rPr/>
              <w:t>第4期为(尾款)：支付比例10%，所有任务完成并通过采购人的技术验收且采购人收到发票后，于15日内支付合同总额10%款项。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及方式：项目实施过程中及完结后开展两次验收。项目开展到中期阶段，由中标供应商向采购人提出验收申请；服务期到期并完成所有任务后，由中标供应商向采购人提出验收申请，由采购人在收到验收申请后7日内分别组织聘请不少于3名专家对项目进行中期及整体验收。验收产生的所有费用由中标供应商承担。 2、验收标准：中标供应商按合同规定的服务期完成运维工作，并达到本需求书要求的服务工作目标，方可申请验收。申请验收需同时提供以下材料： 1）季度运维计划、质量控制方案、断面标椎化服务成果报告、流量计主机与配套基础设施巡检运维报告、比测率定校核成果报告，并将其与原始数据、质控数据及各类报告等汇成电子版，以U盘或移动硬盘形式交予采购人。 2）水位、流速、流量每15min获得一个监测值，可根据环境管理需求适当调整监测频次。水位、流速、流量单站运行周期内监测数据有效率不小于85%；数据有效率以广州市水环境质量自动监测与预警系统统计的结果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1、保密要求，中标供应商需对所有监测数据及相关信息资料保密，不得以任何方式透露给第三方。</w:t>
            </w:r>
          </w:p>
          <w:p>
            <w:pPr>
              <w:pStyle w:val="null3"/>
            </w:pPr>
            <w:r>
              <w:rPr/>
              <w:t>2、罚则，2.1 中标供应商将数据泄密，采购人有权即时中止合同，处以双倍已支付运行维护费的罚款，并追究相关的法律责任。 2.2 在国家、省、市的检查中，如发现弄虚作假行为，采购人有权即刻中止合同，并处以合同总额的10%罚款。 2.3 除受不可抗力因素外，数据有效率按季度进行考核，中标单位运维达不到要求的，扣减相应的运维费或终止运维合同（仪器故障应及时向采购人报告，待采购人确认后及时进行维修，维修所占用的时间不纳入数据有效率统计）。要求如下： （1）单次考核数据有效率和传输率在80%（不含）-85%（含），扣除当季度运维费10%，并责令整改。 （2）单次考核数据有效率和传输率在70%（含）-80%（含），扣除当季度运维费30%，并责令整改。 （3）单次考核数据有效率和传输率低于70%，扣除当季度运维费。 （4）全年平均数据有效率和传输率低于70%，取消运维合同。</w:t>
            </w:r>
          </w:p>
          <w:p>
            <w:pPr>
              <w:pStyle w:val="null3"/>
            </w:pPr>
            <w:r>
              <w:rPr/>
              <w:t>3、智能化运维要求，（1）鼓励中标供应商通过优化组件、自动维护、智能审核、管理升级等不同技术手段和方式对运维站点进行智能化运维改造，采购人根据实际运行效果和质控结果，允许中标供应商替代相应数量的现场人员、车辆和运维频次等。 （2）鼓励中标供应商结合自身特点和优势，推动数字化、智能化新技术的实践探索与创新应用。</w:t>
            </w:r>
          </w:p>
          <w:p>
            <w:pPr>
              <w:pStyle w:val="null3"/>
            </w:pPr>
            <w:r>
              <w:rPr/>
              <w:t>4、报价要求，本项目报价已包含完成本项目所需的人力成本、设备成本、利润、税金、交通等产生的任何费用。采购人不再支付其他任何费用。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7个水站流量设备运维及率定比对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w:t>
            </w:r>
          </w:p>
        </w:tc>
        <w:tc>
          <w:tcPr>
            <w:tcW w:type="dxa" w:w="933"/>
          </w:tcPr>
          <w:p>
            <w:pPr>
              <w:pStyle w:val="null3"/>
              <w:jc w:val="right"/>
            </w:pPr>
            <w:r>
              <w:rPr/>
              <w:t>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7个水站流量设备运维及率定比对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（一）服务内容</w:t>
            </w:r>
          </w:p>
          <w:tbl>
            <w:tblPr>
              <w:tblInd w:type="dxa" w:w="90"/>
              <w:tblBorders>
                <w:top w:val="none" w:color="000000" w:sz="4"/>
                <w:left w:val="none" w:color="000000" w:sz="4"/>
                <w:bottom w:val="none" w:color="000000" w:sz="4"/>
                <w:right w:val="none" w:color="000000" w:sz="4"/>
                <w:insideH w:val="none"/>
                <w:insideV w:val="none"/>
              </w:tblBorders>
            </w:tblPr>
            <w:tblGrid>
              <w:gridCol w:w="2798"/>
              <w:gridCol w:w="2798"/>
            </w:tblGrid>
            <w:tr>
              <w:tc>
                <w:tcPr>
                  <w:tcW w:type="dxa" w:w="2798"/>
                </w:tcPr>
                <w:p>
                  <w:pPr>
                    <w:pStyle w:val="null3"/>
                    <w:jc w:val="center"/>
                  </w:pPr>
                  <w:r>
                    <w:rPr>
                      <w:sz w:val="19"/>
                    </w:rPr>
                    <w:t>服务内容</w:t>
                  </w:r>
                </w:p>
              </w:tc>
              <w:tc>
                <w:tcPr>
                  <w:tcW w:type="dxa" w:w="2798"/>
                </w:tcPr>
                <w:p>
                  <w:pPr>
                    <w:pStyle w:val="null3"/>
                    <w:jc w:val="center"/>
                  </w:pPr>
                  <w:r>
                    <w:rPr>
                      <w:sz w:val="19"/>
                    </w:rPr>
                    <w:t>中标供应商承担费用</w:t>
                  </w:r>
                </w:p>
              </w:tc>
            </w:tr>
            <w:tr>
              <w:tc>
                <w:tcPr>
                  <w:tcW w:type="dxa" w:w="2798"/>
                </w:tcPr>
                <w:p>
                  <w:pPr>
                    <w:pStyle w:val="null3"/>
                    <w:jc w:val="center"/>
                  </w:pPr>
                  <w:r>
                    <w:rPr>
                      <w:sz w:val="19"/>
                    </w:rPr>
                    <w:t>辅助采购人7个水站流量设备运维及率定比对</w:t>
                  </w:r>
                </w:p>
              </w:tc>
              <w:tc>
                <w:tcPr>
                  <w:tcW w:type="dxa" w:w="2798"/>
                </w:tcPr>
                <w:p>
                  <w:pPr>
                    <w:pStyle w:val="null3"/>
                    <w:jc w:val="center"/>
                  </w:pPr>
                  <w:r>
                    <w:rPr>
                      <w:sz w:val="19"/>
                    </w:rPr>
                    <w:t>负责白云河口、增城柯灯山、增城石滩、石门水站、番禺中游、白云李溪坝、花都大坳7个流量设备运维及率定比对。</w:t>
                  </w:r>
                </w:p>
              </w:tc>
            </w:tr>
          </w:tbl>
          <w:p/>
        </w:tc>
      </w:tr>
      <w:tr>
        <w:tc>
          <w:tcPr>
            <w:tcW w:type="dxa" w:w="2076"/>
          </w:tcPr>
          <w:p/>
        </w:tc>
        <w:tc>
          <w:tcPr>
            <w:tcW w:type="dxa" w:w="415"/>
          </w:tcPr>
          <w:p>
            <w:pPr>
              <w:pStyle w:val="null3"/>
            </w:pPr>
            <w:r>
              <w:rPr/>
              <w:t>2</w:t>
            </w:r>
          </w:p>
        </w:tc>
        <w:tc>
          <w:tcPr>
            <w:tcW w:type="dxa" w:w="5814"/>
          </w:tcPr>
          <w:p>
            <w:pPr>
              <w:pStyle w:val="null3"/>
              <w:jc w:val="both"/>
            </w:pPr>
            <w:r>
              <w:rPr>
                <w:sz w:val="24"/>
                <w:b/>
              </w:rPr>
              <w:t>（二）服务成果</w:t>
            </w:r>
          </w:p>
          <w:p>
            <w:pPr>
              <w:pStyle w:val="null3"/>
              <w:jc w:val="both"/>
            </w:pPr>
            <w:r>
              <w:rPr>
                <w:sz w:val="24"/>
              </w:rPr>
              <w:t>提交季度运维计划、质量控制方案、断面标椎化服务成果报告、流量计主机与配套基础设施巡检运维报告、比测率定校核成果报告，并将其与原始数据、质控数据、专家验收意见等汇成电子版，以</w:t>
            </w:r>
            <w:r>
              <w:rPr>
                <w:sz w:val="24"/>
              </w:rPr>
              <w:t>U盘或移动硬盘形式交予采购人，所涉及费用由中标供应商承担。</w:t>
            </w:r>
          </w:p>
        </w:tc>
      </w:tr>
      <w:tr>
        <w:tc>
          <w:tcPr>
            <w:tcW w:type="dxa" w:w="2076"/>
          </w:tcPr>
          <w:p/>
        </w:tc>
        <w:tc>
          <w:tcPr>
            <w:tcW w:type="dxa" w:w="415"/>
          </w:tcPr>
          <w:p>
            <w:pPr>
              <w:pStyle w:val="null3"/>
            </w:pPr>
            <w:r>
              <w:rPr/>
              <w:t>3</w:t>
            </w:r>
          </w:p>
        </w:tc>
        <w:tc>
          <w:tcPr>
            <w:tcW w:type="dxa" w:w="5814"/>
          </w:tcPr>
          <w:p>
            <w:pPr>
              <w:pStyle w:val="null3"/>
              <w:jc w:val="both"/>
            </w:pPr>
            <w:r>
              <w:rPr>
                <w:sz w:val="24"/>
                <w:b/>
              </w:rPr>
              <w:t>（三）服务技术要求</w:t>
            </w:r>
          </w:p>
          <w:p>
            <w:pPr>
              <w:pStyle w:val="null3"/>
              <w:ind w:firstLine="480"/>
              <w:jc w:val="both"/>
            </w:pPr>
            <w:r>
              <w:rPr>
                <w:sz w:val="24"/>
              </w:rPr>
              <w:t>辅助采购人开展白云河口、增城柯灯山、增城石滩、石门水站、番禺中游、白云李溪坝、花都大坳</w:t>
            </w:r>
            <w:r>
              <w:rPr>
                <w:sz w:val="24"/>
              </w:rPr>
              <w:t>7个水站流量设备运维，保障设备正常稳定运行，并在服务期内开展断面标准化建设服务、运行维护、应急维护以及在每季度各做一次比测率定校核。</w:t>
            </w:r>
          </w:p>
          <w:p>
            <w:pPr>
              <w:pStyle w:val="null3"/>
              <w:ind w:firstLine="480"/>
              <w:jc w:val="both"/>
            </w:pPr>
            <w:r>
              <w:rPr>
                <w:sz w:val="24"/>
              </w:rPr>
              <w:t>1.仪器配置</w:t>
            </w:r>
          </w:p>
          <w:p>
            <w:pPr>
              <w:pStyle w:val="null3"/>
              <w:ind w:firstLine="480"/>
              <w:jc w:val="both"/>
            </w:pPr>
            <w:r>
              <w:rPr>
                <w:sz w:val="24"/>
              </w:rPr>
              <w:t>白云河口、增城柯灯山、增城石滩、石门水站、番禺中游、白云李溪坝、花都大坳</w:t>
            </w:r>
            <w:r>
              <w:rPr>
                <w:sz w:val="24"/>
              </w:rPr>
              <w:t>7个水自动监测站流量设备品牌配置详见表1。</w:t>
            </w:r>
          </w:p>
          <w:p>
            <w:pPr>
              <w:pStyle w:val="null3"/>
              <w:jc w:val="center"/>
            </w:pPr>
            <w:r>
              <w:rPr>
                <w:sz w:val="24"/>
              </w:rPr>
              <w:t>表</w:t>
            </w:r>
            <w:r>
              <w:rPr>
                <w:sz w:val="24"/>
              </w:rPr>
              <w:t>1  流量设备品牌配置</w:t>
            </w:r>
          </w:p>
          <w:tbl>
            <w:tblPr>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Pr>
                <w:p>
                  <w:pPr>
                    <w:pStyle w:val="null3"/>
                    <w:jc w:val="center"/>
                  </w:pPr>
                  <w:r>
                    <w:rPr>
                      <w:sz w:val="19"/>
                    </w:rPr>
                    <w:t>序号</w:t>
                  </w:r>
                </w:p>
              </w:tc>
              <w:tc>
                <w:tcPr>
                  <w:tcW w:type="dxa" w:w="1399"/>
                </w:tcPr>
                <w:p>
                  <w:pPr>
                    <w:pStyle w:val="null3"/>
                    <w:jc w:val="center"/>
                  </w:pPr>
                  <w:r>
                    <w:rPr>
                      <w:sz w:val="19"/>
                    </w:rPr>
                    <w:t>监测项目</w:t>
                  </w:r>
                </w:p>
              </w:tc>
              <w:tc>
                <w:tcPr>
                  <w:tcW w:type="dxa" w:w="1399"/>
                </w:tcPr>
                <w:p>
                  <w:pPr>
                    <w:pStyle w:val="null3"/>
                    <w:jc w:val="center"/>
                  </w:pPr>
                  <w:r>
                    <w:rPr>
                      <w:sz w:val="19"/>
                    </w:rPr>
                    <w:t>监测站点</w:t>
                  </w:r>
                </w:p>
              </w:tc>
              <w:tc>
                <w:tcPr>
                  <w:tcW w:type="dxa" w:w="1399"/>
                </w:tcPr>
                <w:p>
                  <w:pPr>
                    <w:pStyle w:val="null3"/>
                    <w:jc w:val="center"/>
                  </w:pPr>
                  <w:r>
                    <w:rPr>
                      <w:sz w:val="19"/>
                    </w:rPr>
                    <w:t>品牌</w:t>
                  </w:r>
                </w:p>
              </w:tc>
            </w:tr>
            <w:tr>
              <w:tc>
                <w:tcPr>
                  <w:tcW w:type="dxa" w:w="1399"/>
                </w:tcPr>
                <w:p>
                  <w:pPr>
                    <w:pStyle w:val="null3"/>
                    <w:jc w:val="center"/>
                  </w:pPr>
                  <w:r>
                    <w:rPr>
                      <w:sz w:val="19"/>
                    </w:rPr>
                    <w:t>1</w:t>
                  </w:r>
                </w:p>
              </w:tc>
              <w:tc>
                <w:tcPr>
                  <w:tcW w:type="dxa" w:w="1399"/>
                </w:tcPr>
                <w:p>
                  <w:pPr>
                    <w:pStyle w:val="null3"/>
                    <w:jc w:val="center"/>
                  </w:pPr>
                  <w:r>
                    <w:rPr>
                      <w:sz w:val="19"/>
                    </w:rPr>
                    <w:t>流量</w:t>
                  </w:r>
                </w:p>
              </w:tc>
              <w:tc>
                <w:tcPr>
                  <w:tcW w:type="dxa" w:w="1399"/>
                </w:tcPr>
                <w:p>
                  <w:pPr>
                    <w:pStyle w:val="null3"/>
                    <w:jc w:val="center"/>
                  </w:pPr>
                  <w:r>
                    <w:rPr>
                      <w:sz w:val="19"/>
                    </w:rPr>
                    <w:t>白云河口</w:t>
                  </w:r>
                </w:p>
              </w:tc>
              <w:tc>
                <w:tcPr>
                  <w:tcW w:type="dxa" w:w="1399"/>
                </w:tcPr>
                <w:p>
                  <w:pPr>
                    <w:pStyle w:val="null3"/>
                    <w:jc w:val="center"/>
                  </w:pPr>
                  <w:r>
                    <w:rPr>
                      <w:sz w:val="19"/>
                    </w:rPr>
                    <w:t>美国YSI</w:t>
                  </w:r>
                </w:p>
              </w:tc>
            </w:tr>
            <w:tr>
              <w:tc>
                <w:tcPr>
                  <w:tcW w:type="dxa" w:w="1399"/>
                </w:tcPr>
                <w:p>
                  <w:pPr>
                    <w:pStyle w:val="null3"/>
                    <w:jc w:val="center"/>
                  </w:pPr>
                  <w:r>
                    <w:rPr>
                      <w:sz w:val="19"/>
                    </w:rPr>
                    <w:t>2</w:t>
                  </w:r>
                </w:p>
              </w:tc>
              <w:tc>
                <w:tcPr>
                  <w:tcW w:type="dxa" w:w="1399"/>
                </w:tcPr>
                <w:p>
                  <w:pPr>
                    <w:pStyle w:val="null3"/>
                    <w:jc w:val="center"/>
                  </w:pPr>
                  <w:r>
                    <w:rPr>
                      <w:sz w:val="19"/>
                    </w:rPr>
                    <w:t>流量</w:t>
                  </w:r>
                </w:p>
              </w:tc>
              <w:tc>
                <w:tcPr>
                  <w:tcW w:type="dxa" w:w="1399"/>
                </w:tcPr>
                <w:p>
                  <w:pPr>
                    <w:pStyle w:val="null3"/>
                    <w:jc w:val="center"/>
                  </w:pPr>
                  <w:r>
                    <w:rPr>
                      <w:sz w:val="19"/>
                    </w:rPr>
                    <w:t>白云李溪坝</w:t>
                  </w:r>
                </w:p>
              </w:tc>
              <w:tc>
                <w:tcPr>
                  <w:tcW w:type="dxa" w:w="1399"/>
                </w:tcPr>
                <w:p>
                  <w:pPr>
                    <w:pStyle w:val="null3"/>
                    <w:jc w:val="center"/>
                  </w:pPr>
                  <w:r>
                    <w:rPr>
                      <w:sz w:val="19"/>
                    </w:rPr>
                    <w:t>美国LinkQuest</w:t>
                  </w:r>
                </w:p>
              </w:tc>
            </w:tr>
            <w:tr>
              <w:tc>
                <w:tcPr>
                  <w:tcW w:type="dxa" w:w="1399"/>
                </w:tcPr>
                <w:p>
                  <w:pPr>
                    <w:pStyle w:val="null3"/>
                    <w:jc w:val="center"/>
                  </w:pPr>
                  <w:r>
                    <w:rPr>
                      <w:sz w:val="19"/>
                    </w:rPr>
                    <w:t>3</w:t>
                  </w:r>
                </w:p>
              </w:tc>
              <w:tc>
                <w:tcPr>
                  <w:tcW w:type="dxa" w:w="1399"/>
                </w:tcPr>
                <w:p>
                  <w:pPr>
                    <w:pStyle w:val="null3"/>
                    <w:jc w:val="center"/>
                  </w:pPr>
                  <w:r>
                    <w:rPr>
                      <w:sz w:val="19"/>
                    </w:rPr>
                    <w:t>流量</w:t>
                  </w:r>
                </w:p>
              </w:tc>
              <w:tc>
                <w:tcPr>
                  <w:tcW w:type="dxa" w:w="1399"/>
                </w:tcPr>
                <w:p>
                  <w:pPr>
                    <w:pStyle w:val="null3"/>
                    <w:jc w:val="center"/>
                  </w:pPr>
                  <w:r>
                    <w:rPr>
                      <w:sz w:val="19"/>
                    </w:rPr>
                    <w:t>白云石门</w:t>
                  </w:r>
                </w:p>
              </w:tc>
              <w:tc>
                <w:tcPr>
                  <w:tcW w:type="dxa" w:w="1399"/>
                </w:tcPr>
                <w:p>
                  <w:pPr>
                    <w:pStyle w:val="null3"/>
                    <w:jc w:val="center"/>
                  </w:pPr>
                  <w:r>
                    <w:rPr>
                      <w:sz w:val="19"/>
                    </w:rPr>
                    <w:t>美国TRDI</w:t>
                  </w:r>
                </w:p>
              </w:tc>
            </w:tr>
            <w:tr>
              <w:tc>
                <w:tcPr>
                  <w:tcW w:type="dxa" w:w="1399"/>
                </w:tcPr>
                <w:p>
                  <w:pPr>
                    <w:pStyle w:val="null3"/>
                    <w:jc w:val="center"/>
                  </w:pPr>
                  <w:r>
                    <w:rPr>
                      <w:sz w:val="19"/>
                    </w:rPr>
                    <w:t>4</w:t>
                  </w:r>
                </w:p>
              </w:tc>
              <w:tc>
                <w:tcPr>
                  <w:tcW w:type="dxa" w:w="1399"/>
                </w:tcPr>
                <w:p>
                  <w:pPr>
                    <w:pStyle w:val="null3"/>
                    <w:jc w:val="center"/>
                  </w:pPr>
                  <w:r>
                    <w:rPr>
                      <w:sz w:val="19"/>
                    </w:rPr>
                    <w:t>流量</w:t>
                  </w:r>
                </w:p>
              </w:tc>
              <w:tc>
                <w:tcPr>
                  <w:tcW w:type="dxa" w:w="1399"/>
                </w:tcPr>
                <w:p>
                  <w:pPr>
                    <w:pStyle w:val="null3"/>
                    <w:jc w:val="center"/>
                  </w:pPr>
                  <w:r>
                    <w:rPr>
                      <w:sz w:val="19"/>
                    </w:rPr>
                    <w:t>花都大坳</w:t>
                  </w:r>
                </w:p>
              </w:tc>
              <w:tc>
                <w:tcPr>
                  <w:tcW w:type="dxa" w:w="1399"/>
                </w:tcPr>
                <w:p>
                  <w:pPr>
                    <w:pStyle w:val="null3"/>
                    <w:jc w:val="center"/>
                  </w:pPr>
                  <w:r>
                    <w:rPr>
                      <w:sz w:val="19"/>
                    </w:rPr>
                    <w:t>美国LinkQuest</w:t>
                  </w:r>
                </w:p>
              </w:tc>
            </w:tr>
            <w:tr>
              <w:tc>
                <w:tcPr>
                  <w:tcW w:type="dxa" w:w="1399"/>
                </w:tcPr>
                <w:p>
                  <w:pPr>
                    <w:pStyle w:val="null3"/>
                    <w:jc w:val="center"/>
                  </w:pPr>
                  <w:r>
                    <w:rPr>
                      <w:sz w:val="19"/>
                    </w:rPr>
                    <w:t>5</w:t>
                  </w:r>
                </w:p>
              </w:tc>
              <w:tc>
                <w:tcPr>
                  <w:tcW w:type="dxa" w:w="1399"/>
                </w:tcPr>
                <w:p>
                  <w:pPr>
                    <w:pStyle w:val="null3"/>
                    <w:jc w:val="center"/>
                  </w:pPr>
                  <w:r>
                    <w:rPr>
                      <w:sz w:val="19"/>
                    </w:rPr>
                    <w:t>流量</w:t>
                  </w:r>
                </w:p>
              </w:tc>
              <w:tc>
                <w:tcPr>
                  <w:tcW w:type="dxa" w:w="1399"/>
                </w:tcPr>
                <w:p>
                  <w:pPr>
                    <w:pStyle w:val="null3"/>
                    <w:jc w:val="center"/>
                  </w:pPr>
                  <w:r>
                    <w:rPr>
                      <w:sz w:val="19"/>
                    </w:rPr>
                    <w:t>番禺中游</w:t>
                  </w:r>
                </w:p>
              </w:tc>
              <w:tc>
                <w:tcPr>
                  <w:tcW w:type="dxa" w:w="1399"/>
                </w:tcPr>
                <w:p>
                  <w:pPr>
                    <w:pStyle w:val="null3"/>
                    <w:jc w:val="center"/>
                  </w:pPr>
                  <w:r>
                    <w:rPr>
                      <w:sz w:val="19"/>
                    </w:rPr>
                    <w:t>美国TRDI</w:t>
                  </w:r>
                </w:p>
              </w:tc>
            </w:tr>
            <w:tr>
              <w:tc>
                <w:tcPr>
                  <w:tcW w:type="dxa" w:w="1399"/>
                </w:tcPr>
                <w:p>
                  <w:pPr>
                    <w:pStyle w:val="null3"/>
                    <w:jc w:val="center"/>
                  </w:pPr>
                  <w:r>
                    <w:rPr>
                      <w:sz w:val="19"/>
                    </w:rPr>
                    <w:t>6</w:t>
                  </w:r>
                </w:p>
              </w:tc>
              <w:tc>
                <w:tcPr>
                  <w:tcW w:type="dxa" w:w="1399"/>
                </w:tcPr>
                <w:p>
                  <w:pPr>
                    <w:pStyle w:val="null3"/>
                    <w:jc w:val="center"/>
                  </w:pPr>
                  <w:r>
                    <w:rPr>
                      <w:sz w:val="19"/>
                    </w:rPr>
                    <w:t>流量</w:t>
                  </w:r>
                </w:p>
              </w:tc>
              <w:tc>
                <w:tcPr>
                  <w:tcW w:type="dxa" w:w="1399"/>
                </w:tcPr>
                <w:p>
                  <w:pPr>
                    <w:pStyle w:val="null3"/>
                    <w:jc w:val="center"/>
                  </w:pPr>
                  <w:r>
                    <w:rPr>
                      <w:sz w:val="19"/>
                    </w:rPr>
                    <w:t>增城石滩</w:t>
                  </w:r>
                </w:p>
              </w:tc>
              <w:tc>
                <w:tcPr>
                  <w:tcW w:type="dxa" w:w="1399"/>
                </w:tcPr>
                <w:p>
                  <w:pPr>
                    <w:pStyle w:val="null3"/>
                    <w:jc w:val="center"/>
                  </w:pPr>
                  <w:r>
                    <w:rPr>
                      <w:sz w:val="19"/>
                    </w:rPr>
                    <w:t>美国TRDI</w:t>
                  </w:r>
                </w:p>
              </w:tc>
            </w:tr>
            <w:tr>
              <w:tc>
                <w:tcPr>
                  <w:tcW w:type="dxa" w:w="1399"/>
                </w:tcPr>
                <w:p>
                  <w:pPr>
                    <w:pStyle w:val="null3"/>
                    <w:jc w:val="center"/>
                  </w:pPr>
                  <w:r>
                    <w:rPr>
                      <w:sz w:val="19"/>
                    </w:rPr>
                    <w:t>7</w:t>
                  </w:r>
                </w:p>
              </w:tc>
              <w:tc>
                <w:tcPr>
                  <w:tcW w:type="dxa" w:w="1399"/>
                </w:tcPr>
                <w:p>
                  <w:pPr>
                    <w:pStyle w:val="null3"/>
                    <w:jc w:val="center"/>
                  </w:pPr>
                  <w:r>
                    <w:rPr>
                      <w:sz w:val="19"/>
                    </w:rPr>
                    <w:t>流量</w:t>
                  </w:r>
                </w:p>
              </w:tc>
              <w:tc>
                <w:tcPr>
                  <w:tcW w:type="dxa" w:w="1399"/>
                </w:tcPr>
                <w:p>
                  <w:pPr>
                    <w:pStyle w:val="null3"/>
                    <w:jc w:val="center"/>
                  </w:pPr>
                  <w:r>
                    <w:rPr>
                      <w:sz w:val="19"/>
                    </w:rPr>
                    <w:t>增城柯灯山</w:t>
                  </w:r>
                </w:p>
              </w:tc>
              <w:tc>
                <w:tcPr>
                  <w:tcW w:type="dxa" w:w="1399"/>
                </w:tcPr>
                <w:p>
                  <w:pPr>
                    <w:pStyle w:val="null3"/>
                    <w:jc w:val="center"/>
                  </w:pPr>
                  <w:r>
                    <w:rPr>
                      <w:sz w:val="19"/>
                    </w:rPr>
                    <w:t>美国YSI</w:t>
                  </w:r>
                </w:p>
              </w:tc>
            </w:tr>
          </w:tbl>
          <w:p>
            <w:pPr>
              <w:pStyle w:val="null3"/>
              <w:ind w:firstLine="480"/>
              <w:jc w:val="both"/>
            </w:pPr>
            <w:r>
              <w:rPr>
                <w:sz w:val="24"/>
              </w:rPr>
              <w:t>注：如采购人更新仪器，则中标供应商按新品牌仪器开展运维。</w:t>
            </w:r>
          </w:p>
          <w:p>
            <w:pPr>
              <w:pStyle w:val="null3"/>
              <w:ind w:firstLine="480"/>
              <w:jc w:val="both"/>
            </w:pPr>
            <w:r>
              <w:rPr>
                <w:sz w:val="24"/>
              </w:rPr>
              <w:t>2.服务基本要求</w:t>
            </w:r>
          </w:p>
          <w:p>
            <w:pPr>
              <w:pStyle w:val="null3"/>
              <w:ind w:firstLine="480"/>
            </w:pPr>
            <w:r>
              <w:rPr>
                <w:sz w:val="24"/>
              </w:rPr>
              <w:t>2.1断面标准化建设服务要求</w:t>
            </w:r>
          </w:p>
          <w:p>
            <w:pPr>
              <w:pStyle w:val="null3"/>
              <w:ind w:firstLine="480"/>
            </w:pPr>
            <w:r>
              <w:rPr>
                <w:sz w:val="24"/>
              </w:rPr>
              <w:t>要求中标供应商自合同签署之日起</w:t>
            </w:r>
            <w:r>
              <w:rPr>
                <w:sz w:val="24"/>
              </w:rPr>
              <w:t>30天内完成7个断面标准化建设服务工作，包括大断面测绘与水准点引测两部分内容，并形成断面标准化服务成果报告，报告内容包括但不限于大断面测绘工作照、大断面测验成果记载表、水准引测结果与工作照、水准点设置现场位置图、水位-大断面面积关系曲线等。经采购人审批同意后10个工作日内并将大断面测验成果与水准引测结果录入广州市水环境质量自动监测与预警系统。具体要求如下：</w:t>
            </w:r>
          </w:p>
          <w:p>
            <w:pPr>
              <w:pStyle w:val="null3"/>
              <w:ind w:firstLine="480"/>
            </w:pPr>
            <w:r>
              <w:rPr>
                <w:sz w:val="24"/>
              </w:rPr>
              <w:t>（</w:t>
            </w:r>
            <w:r>
              <w:rPr>
                <w:sz w:val="24"/>
              </w:rPr>
              <w:t>1）大断面测绘要求</w:t>
            </w:r>
          </w:p>
          <w:p>
            <w:pPr>
              <w:pStyle w:val="null3"/>
              <w:ind w:firstLine="480"/>
            </w:pPr>
            <w:r>
              <w:rPr>
                <w:sz w:val="24"/>
              </w:rPr>
              <w:t>大断面测绘应满足以下要求：</w:t>
            </w:r>
          </w:p>
          <w:p>
            <w:pPr>
              <w:pStyle w:val="null3"/>
              <w:ind w:firstLine="480"/>
            </w:pPr>
            <w:r>
              <w:rPr>
                <w:sz w:val="24"/>
              </w:rPr>
              <w:t>1）大断面测绘的范围。岸上部分应测至历年最高洪水位以上。漫滩较远的河流，可测至最高洪水边界；对于河床不稳定的断面，应在运维期间汛前和汛后各施测一次大断面。</w:t>
            </w:r>
          </w:p>
          <w:p>
            <w:pPr>
              <w:pStyle w:val="null3"/>
              <w:ind w:firstLine="480"/>
            </w:pPr>
            <w:r>
              <w:rPr>
                <w:sz w:val="24"/>
              </w:rPr>
              <w:t>2）大断面测绘包括岸上部分测量和水下部分测量，岸上部分可采用全站仪/水准仪进行测量，水下部分可采用测深仪或者走航ADCP进行测量。</w:t>
            </w:r>
          </w:p>
          <w:p>
            <w:pPr>
              <w:pStyle w:val="null3"/>
              <w:ind w:firstLine="480"/>
            </w:pPr>
            <w:r>
              <w:rPr>
                <w:sz w:val="24"/>
              </w:rPr>
              <w:t>3）大断面岸上部分的高程测量可按三等水准测量精度要求进行，在山区或地形比较复杂时，可按四等水准精度测量。</w:t>
            </w:r>
          </w:p>
          <w:p>
            <w:pPr>
              <w:pStyle w:val="null3"/>
              <w:ind w:firstLine="480"/>
            </w:pPr>
            <w:r>
              <w:rPr>
                <w:sz w:val="24"/>
              </w:rPr>
              <w:t>4）大断面测深垂线的布设应符合下列规定：应在水位平稳时期沿河宽进行水深连续探测。当水面宽度大于25 m时，垂线数目不得小于50条；当水面宽度小于或等于25m时，可按最小间距为0.5 m布设测深垂线。探测的测深垂线数应能满足掌握水道断面形状的要求。</w:t>
            </w:r>
          </w:p>
          <w:p>
            <w:pPr>
              <w:pStyle w:val="null3"/>
              <w:ind w:firstLine="480"/>
            </w:pPr>
            <w:r>
              <w:rPr>
                <w:sz w:val="24"/>
              </w:rPr>
              <w:t>5）测深垂线宜均匀布设，并应能控制河床变化的转折点，使部分河道断面面积无大补大割情况。当河道有明显的边滩时，主槽部分的测深垂线应较滩地密。</w:t>
            </w:r>
          </w:p>
          <w:p>
            <w:pPr>
              <w:pStyle w:val="null3"/>
              <w:ind w:firstLine="480"/>
            </w:pPr>
            <w:r>
              <w:rPr>
                <w:sz w:val="24"/>
              </w:rPr>
              <w:t>（</w:t>
            </w:r>
            <w:r>
              <w:rPr>
                <w:sz w:val="24"/>
              </w:rPr>
              <w:t>2）水准点引测</w:t>
            </w:r>
          </w:p>
          <w:p>
            <w:pPr>
              <w:pStyle w:val="null3"/>
              <w:ind w:firstLine="480"/>
            </w:pPr>
            <w:r>
              <w:rPr>
                <w:sz w:val="24"/>
              </w:rPr>
              <w:t>1）水准点设置要求</w:t>
            </w:r>
          </w:p>
          <w:p>
            <w:pPr>
              <w:pStyle w:val="null3"/>
              <w:ind w:firstLine="480"/>
            </w:pPr>
            <w:r>
              <w:rPr>
                <w:sz w:val="24"/>
              </w:rPr>
              <w:t>① 要求水准点设置在流量设备所在断面附近历年最高水位以上或堤防背河侧。② 当发生地震、滑坡、地面沉降等现象时，应尽快对水准点进行校核和恢复。</w:t>
            </w:r>
          </w:p>
          <w:p>
            <w:pPr>
              <w:pStyle w:val="null3"/>
              <w:ind w:firstLine="480"/>
            </w:pPr>
            <w:r>
              <w:rPr>
                <w:sz w:val="24"/>
              </w:rPr>
              <w:t>2）水准点高程测绘要求</w:t>
            </w:r>
          </w:p>
          <w:p>
            <w:pPr>
              <w:pStyle w:val="null3"/>
              <w:ind w:firstLine="480"/>
            </w:pPr>
            <w:r>
              <w:rPr>
                <w:sz w:val="24"/>
              </w:rPr>
              <w:t>所有流量设备所在断面水准点高程要求统一从</w:t>
            </w:r>
            <w:r>
              <w:rPr>
                <w:sz w:val="24"/>
              </w:rPr>
              <w:t>1985国家高程基准引测，可采用全站仪/水准仪测验高程，后期不得随意更换。</w:t>
            </w:r>
          </w:p>
          <w:p>
            <w:pPr>
              <w:pStyle w:val="null3"/>
              <w:ind w:firstLine="480"/>
            </w:pPr>
            <w:r>
              <w:rPr>
                <w:sz w:val="24"/>
              </w:rPr>
              <w:t>2.2运行维护要求</w:t>
            </w:r>
          </w:p>
          <w:p>
            <w:pPr>
              <w:pStyle w:val="null3"/>
              <w:ind w:firstLine="480"/>
            </w:pPr>
            <w:r>
              <w:rPr>
                <w:sz w:val="24"/>
              </w:rPr>
              <w:t>（</w:t>
            </w:r>
            <w:r>
              <w:rPr>
                <w:sz w:val="24"/>
              </w:rPr>
              <w:t>1）运维计划</w:t>
            </w:r>
          </w:p>
          <w:p>
            <w:pPr>
              <w:pStyle w:val="null3"/>
              <w:ind w:firstLine="480"/>
            </w:pPr>
            <w:r>
              <w:rPr>
                <w:sz w:val="24"/>
              </w:rPr>
              <w:t>中标供应商应制定每个季度及应急运维计划，运维计划包含但不限于运维对象、方式、维护检修频率、内容、时间、车辆、人员及其联系方式等。每个季度对流量计主机及配套基础设施开展巡检和运维工作，如附表</w:t>
            </w:r>
            <w:r>
              <w:rPr>
                <w:sz w:val="24"/>
              </w:rPr>
              <w:t>1所示。</w:t>
            </w:r>
          </w:p>
          <w:p>
            <w:pPr>
              <w:pStyle w:val="null3"/>
              <w:jc w:val="center"/>
            </w:pPr>
            <w:r>
              <w:rPr>
                <w:sz w:val="24"/>
              </w:rPr>
              <w:t>附表</w:t>
            </w:r>
            <w:r>
              <w:rPr>
                <w:sz w:val="24"/>
              </w:rPr>
              <w:t>1 例行巡检与运维工作一览表</w:t>
            </w:r>
          </w:p>
          <w:tbl>
            <w:tblPr>
              <w:tblInd w:type="dxa" w:w="120"/>
              <w:tblBorders>
                <w:top w:val="none" w:color="000000" w:sz="4"/>
                <w:left w:val="none" w:color="000000" w:sz="4"/>
                <w:bottom w:val="none" w:color="000000" w:sz="4"/>
                <w:right w:val="none" w:color="000000" w:sz="4"/>
                <w:insideH w:val="none"/>
                <w:insideV w:val="none"/>
              </w:tblBorders>
            </w:tblPr>
            <w:tblGrid>
              <w:gridCol w:w="1119"/>
              <w:gridCol w:w="1119"/>
              <w:gridCol w:w="1119"/>
              <w:gridCol w:w="1119"/>
              <w:gridCol w:w="1119"/>
            </w:tblGrid>
            <w:tr>
              <w:tc>
                <w:tcPr>
                  <w:tcW w:type="dxa" w:w="1119"/>
                </w:tcPr>
                <w:p>
                  <w:pPr>
                    <w:pStyle w:val="null3"/>
                    <w:jc w:val="center"/>
                  </w:pPr>
                  <w:r>
                    <w:rPr>
                      <w:sz w:val="19"/>
                    </w:rPr>
                    <w:t>序号</w:t>
                  </w:r>
                </w:p>
              </w:tc>
              <w:tc>
                <w:tcPr>
                  <w:tcW w:type="dxa" w:w="1119"/>
                </w:tcPr>
                <w:p>
                  <w:pPr>
                    <w:pStyle w:val="null3"/>
                    <w:jc w:val="center"/>
                  </w:pPr>
                  <w:r>
                    <w:rPr>
                      <w:sz w:val="19"/>
                    </w:rPr>
                    <w:t>设备</w:t>
                  </w:r>
                </w:p>
              </w:tc>
              <w:tc>
                <w:tcPr>
                  <w:tcW w:type="dxa" w:w="1119"/>
                </w:tcPr>
                <w:p>
                  <w:pPr>
                    <w:pStyle w:val="null3"/>
                    <w:jc w:val="center"/>
                  </w:pPr>
                  <w:r>
                    <w:rPr>
                      <w:sz w:val="19"/>
                    </w:rPr>
                    <w:t>工作属性</w:t>
                  </w:r>
                </w:p>
              </w:tc>
              <w:tc>
                <w:tcPr>
                  <w:tcW w:type="dxa" w:w="1119"/>
                </w:tcPr>
                <w:p>
                  <w:pPr>
                    <w:pStyle w:val="null3"/>
                    <w:jc w:val="center"/>
                  </w:pPr>
                  <w:r>
                    <w:rPr>
                      <w:sz w:val="19"/>
                    </w:rPr>
                    <w:t>频次要求</w:t>
                  </w:r>
                </w:p>
              </w:tc>
              <w:tc>
                <w:tcPr>
                  <w:tcW w:type="dxa" w:w="1119"/>
                </w:tcPr>
                <w:p>
                  <w:pPr>
                    <w:pStyle w:val="null3"/>
                    <w:jc w:val="center"/>
                  </w:pPr>
                  <w:r>
                    <w:rPr>
                      <w:sz w:val="19"/>
                    </w:rPr>
                    <w:t>工作内容</w:t>
                  </w:r>
                </w:p>
              </w:tc>
            </w:tr>
            <w:tr>
              <w:tc>
                <w:tcPr>
                  <w:tcW w:type="dxa" w:w="1119"/>
                  <w:vMerge w:val="restart"/>
                </w:tcPr>
                <w:p>
                  <w:pPr>
                    <w:pStyle w:val="null3"/>
                    <w:jc w:val="center"/>
                  </w:pPr>
                  <w:r>
                    <w:rPr>
                      <w:sz w:val="19"/>
                    </w:rPr>
                    <w:t>1</w:t>
                  </w:r>
                </w:p>
              </w:tc>
              <w:tc>
                <w:tcPr>
                  <w:tcW w:type="dxa" w:w="1119"/>
                  <w:vMerge w:val="restart"/>
                </w:tcPr>
                <w:p>
                  <w:pPr>
                    <w:pStyle w:val="null3"/>
                    <w:jc w:val="center"/>
                  </w:pPr>
                  <w:r>
                    <w:rPr>
                      <w:sz w:val="19"/>
                    </w:rPr>
                    <w:t>流量计主机</w:t>
                  </w:r>
                </w:p>
              </w:tc>
              <w:tc>
                <w:tcPr>
                  <w:tcW w:type="dxa" w:w="1119"/>
                  <w:vMerge w:val="restart"/>
                </w:tcPr>
                <w:p>
                  <w:pPr>
                    <w:pStyle w:val="null3"/>
                    <w:jc w:val="center"/>
                  </w:pPr>
                  <w:r>
                    <w:rPr>
                      <w:sz w:val="19"/>
                    </w:rPr>
                    <w:t>季度运维</w:t>
                  </w:r>
                </w:p>
              </w:tc>
              <w:tc>
                <w:tcPr>
                  <w:tcW w:type="dxa" w:w="1119"/>
                  <w:vMerge w:val="restart"/>
                </w:tcPr>
                <w:p>
                  <w:pPr>
                    <w:pStyle w:val="null3"/>
                    <w:jc w:val="center"/>
                  </w:pPr>
                  <w:r>
                    <w:rPr>
                      <w:sz w:val="19"/>
                    </w:rPr>
                    <w:t>每个季度</w:t>
                  </w:r>
                </w:p>
              </w:tc>
              <w:tc>
                <w:tcPr>
                  <w:tcW w:type="dxa" w:w="1119"/>
                </w:tcPr>
                <w:p>
                  <w:pPr>
                    <w:pStyle w:val="null3"/>
                    <w:jc w:val="center"/>
                  </w:pPr>
                  <w:r>
                    <w:rPr>
                      <w:sz w:val="19"/>
                    </w:rPr>
                    <w:t>流量计主机工作状态检测</w:t>
                  </w:r>
                </w:p>
              </w:tc>
            </w:tr>
            <w:tr>
              <w:tc>
                <w:tcPr>
                  <w:tcW w:type="dxa" w:w="1119"/>
                  <w:vMerge/>
                </w:tcPr>
                <w:p/>
              </w:tc>
              <w:tc>
                <w:tcPr>
                  <w:tcW w:type="dxa" w:w="1119"/>
                  <w:vMerge/>
                </w:tcPr>
                <w:p/>
              </w:tc>
              <w:tc>
                <w:tcPr>
                  <w:tcW w:type="dxa" w:w="1119"/>
                  <w:vMerge/>
                </w:tcPr>
                <w:p/>
              </w:tc>
              <w:tc>
                <w:tcPr>
                  <w:tcW w:type="dxa" w:w="1119"/>
                  <w:vMerge/>
                </w:tcPr>
                <w:p/>
              </w:tc>
              <w:tc>
                <w:tcPr>
                  <w:tcW w:type="dxa" w:w="1119"/>
                </w:tcPr>
                <w:p>
                  <w:pPr>
                    <w:pStyle w:val="null3"/>
                    <w:jc w:val="center"/>
                  </w:pPr>
                  <w:r>
                    <w:rPr>
                      <w:sz w:val="19"/>
                    </w:rPr>
                    <w:t>流量计主机现场清洁</w:t>
                  </w:r>
                </w:p>
              </w:tc>
            </w:tr>
            <w:tr>
              <w:tc>
                <w:tcPr>
                  <w:tcW w:type="dxa" w:w="1119"/>
                  <w:vMerge w:val="restart"/>
                </w:tcPr>
                <w:p>
                  <w:pPr>
                    <w:pStyle w:val="null3"/>
                    <w:jc w:val="center"/>
                  </w:pPr>
                  <w:r>
                    <w:rPr>
                      <w:sz w:val="19"/>
                    </w:rPr>
                    <w:t>2</w:t>
                  </w:r>
                </w:p>
              </w:tc>
              <w:tc>
                <w:tcPr>
                  <w:tcW w:type="dxa" w:w="1119"/>
                  <w:vMerge w:val="restart"/>
                </w:tcPr>
                <w:p>
                  <w:pPr>
                    <w:pStyle w:val="null3"/>
                    <w:jc w:val="center"/>
                  </w:pPr>
                  <w:r>
                    <w:rPr>
                      <w:sz w:val="19"/>
                    </w:rPr>
                    <w:t>配套基础设施</w:t>
                  </w:r>
                </w:p>
              </w:tc>
              <w:tc>
                <w:tcPr>
                  <w:tcW w:type="dxa" w:w="1119"/>
                  <w:vMerge w:val="restart"/>
                </w:tcPr>
                <w:p>
                  <w:pPr>
                    <w:pStyle w:val="null3"/>
                    <w:jc w:val="center"/>
                  </w:pPr>
                  <w:r>
                    <w:rPr>
                      <w:sz w:val="19"/>
                    </w:rPr>
                    <w:t>季度运维</w:t>
                  </w:r>
                </w:p>
              </w:tc>
              <w:tc>
                <w:tcPr>
                  <w:tcW w:type="dxa" w:w="1119"/>
                  <w:vMerge w:val="restart"/>
                </w:tcPr>
                <w:p>
                  <w:pPr>
                    <w:pStyle w:val="null3"/>
                    <w:jc w:val="center"/>
                  </w:pPr>
                  <w:r>
                    <w:rPr>
                      <w:sz w:val="19"/>
                    </w:rPr>
                    <w:t>每个季度</w:t>
                  </w:r>
                </w:p>
              </w:tc>
              <w:tc>
                <w:tcPr>
                  <w:tcW w:type="dxa" w:w="1119"/>
                </w:tcPr>
                <w:p>
                  <w:pPr>
                    <w:pStyle w:val="null3"/>
                    <w:jc w:val="center"/>
                  </w:pPr>
                  <w:r>
                    <w:rPr>
                      <w:sz w:val="19"/>
                    </w:rPr>
                    <w:t>安装平台运维</w:t>
                  </w:r>
                </w:p>
              </w:tc>
            </w:tr>
            <w:tr>
              <w:tc>
                <w:tcPr>
                  <w:tcW w:type="dxa" w:w="1119"/>
                  <w:vMerge/>
                </w:tcPr>
                <w:p/>
              </w:tc>
              <w:tc>
                <w:tcPr>
                  <w:tcW w:type="dxa" w:w="1119"/>
                  <w:vMerge/>
                </w:tcPr>
                <w:p/>
              </w:tc>
              <w:tc>
                <w:tcPr>
                  <w:tcW w:type="dxa" w:w="1119"/>
                  <w:vMerge/>
                </w:tcPr>
                <w:p/>
              </w:tc>
              <w:tc>
                <w:tcPr>
                  <w:tcW w:type="dxa" w:w="1119"/>
                  <w:vMerge/>
                </w:tcPr>
                <w:p/>
              </w:tc>
              <w:tc>
                <w:tcPr>
                  <w:tcW w:type="dxa" w:w="1119"/>
                </w:tcPr>
                <w:p>
                  <w:pPr>
                    <w:pStyle w:val="null3"/>
                    <w:jc w:val="center"/>
                  </w:pPr>
                  <w:r>
                    <w:rPr>
                      <w:sz w:val="19"/>
                    </w:rPr>
                    <w:t>数据采集与控制模块运维</w:t>
                  </w:r>
                </w:p>
              </w:tc>
            </w:tr>
            <w:tr>
              <w:tc>
                <w:tcPr>
                  <w:tcW w:type="dxa" w:w="1119"/>
                  <w:vMerge/>
                </w:tcPr>
                <w:p/>
              </w:tc>
              <w:tc>
                <w:tcPr>
                  <w:tcW w:type="dxa" w:w="1119"/>
                  <w:vMerge/>
                </w:tcPr>
                <w:p/>
              </w:tc>
              <w:tc>
                <w:tcPr>
                  <w:tcW w:type="dxa" w:w="1119"/>
                  <w:vMerge/>
                </w:tcPr>
                <w:p/>
              </w:tc>
              <w:tc>
                <w:tcPr>
                  <w:tcW w:type="dxa" w:w="1119"/>
                  <w:vMerge/>
                </w:tcPr>
                <w:p/>
              </w:tc>
              <w:tc>
                <w:tcPr>
                  <w:tcW w:type="dxa" w:w="1119"/>
                </w:tcPr>
                <w:p>
                  <w:pPr>
                    <w:pStyle w:val="null3"/>
                    <w:jc w:val="center"/>
                  </w:pPr>
                  <w:r>
                    <w:rPr>
                      <w:sz w:val="19"/>
                    </w:rPr>
                    <w:t>电源、通讯模块维护运维</w:t>
                  </w:r>
                </w:p>
              </w:tc>
            </w:tr>
            <w:tr>
              <w:tc>
                <w:tcPr>
                  <w:tcW w:type="dxa" w:w="1119"/>
                  <w:vMerge/>
                </w:tcPr>
                <w:p/>
              </w:tc>
              <w:tc>
                <w:tcPr>
                  <w:tcW w:type="dxa" w:w="1119"/>
                  <w:vMerge/>
                </w:tcPr>
                <w:p/>
              </w:tc>
              <w:tc>
                <w:tcPr>
                  <w:tcW w:type="dxa" w:w="1119"/>
                  <w:vMerge/>
                </w:tcPr>
                <w:p/>
              </w:tc>
              <w:tc>
                <w:tcPr>
                  <w:tcW w:type="dxa" w:w="1119"/>
                  <w:vMerge/>
                </w:tcPr>
                <w:p/>
              </w:tc>
              <w:tc>
                <w:tcPr>
                  <w:tcW w:type="dxa" w:w="1119"/>
                </w:tcPr>
                <w:p>
                  <w:pPr>
                    <w:pStyle w:val="null3"/>
                    <w:jc w:val="center"/>
                  </w:pPr>
                  <w:r>
                    <w:rPr>
                      <w:sz w:val="19"/>
                    </w:rPr>
                    <w:t>电缆线及其套管维护运维</w:t>
                  </w:r>
                </w:p>
              </w:tc>
            </w:tr>
            <w:tr>
              <w:tc>
                <w:tcPr>
                  <w:tcW w:type="dxa" w:w="1119"/>
                  <w:vMerge/>
                </w:tcPr>
                <w:p/>
              </w:tc>
              <w:tc>
                <w:tcPr>
                  <w:tcW w:type="dxa" w:w="1119"/>
                  <w:vMerge/>
                </w:tcPr>
                <w:p/>
              </w:tc>
              <w:tc>
                <w:tcPr>
                  <w:tcW w:type="dxa" w:w="1119"/>
                  <w:vMerge/>
                </w:tcPr>
                <w:p/>
              </w:tc>
              <w:tc>
                <w:tcPr>
                  <w:tcW w:type="dxa" w:w="1119"/>
                  <w:vMerge/>
                </w:tcPr>
                <w:p/>
              </w:tc>
              <w:tc>
                <w:tcPr>
                  <w:tcW w:type="dxa" w:w="1119"/>
                </w:tcPr>
                <w:p>
                  <w:pPr>
                    <w:pStyle w:val="null3"/>
                    <w:jc w:val="center"/>
                  </w:pPr>
                  <w:r>
                    <w:rPr>
                      <w:sz w:val="19"/>
                    </w:rPr>
                    <w:t>流量计防雷系统运维</w:t>
                  </w:r>
                </w:p>
              </w:tc>
            </w:tr>
          </w:tbl>
          <w:p>
            <w:pPr>
              <w:pStyle w:val="null3"/>
              <w:ind w:firstLine="480"/>
            </w:pPr>
            <w:r>
              <w:rPr>
                <w:sz w:val="24"/>
              </w:rPr>
              <w:t>（</w:t>
            </w:r>
            <w:r>
              <w:rPr>
                <w:sz w:val="24"/>
              </w:rPr>
              <w:t>2）水文信息采集与后处理运维服务要求</w:t>
            </w:r>
          </w:p>
          <w:p>
            <w:pPr>
              <w:pStyle w:val="null3"/>
              <w:ind w:firstLine="480"/>
            </w:pPr>
            <w:r>
              <w:rPr>
                <w:sz w:val="24"/>
              </w:rPr>
              <w:t>1）数据接入技术支持服务</w:t>
            </w:r>
          </w:p>
          <w:p>
            <w:pPr>
              <w:pStyle w:val="null3"/>
              <w:ind w:firstLine="480"/>
            </w:pPr>
            <w:r>
              <w:rPr>
                <w:sz w:val="24"/>
              </w:rPr>
              <w:t>中标供应商需确保服务期间将经过水文信息采集与后处理的监测数据结果完整准确传输至广州市水环境质量自动监测与预警系统，保证广州市水环境质量自动监测与预警系统数据接收完整率、有效率。采购人基于广州市水环境质量自动监测与预警系统的业务需求要与水文信息采集与后处理流程对接时，中标单位要提供必要技术支持和数据接入协助服务。</w:t>
            </w:r>
          </w:p>
          <w:p>
            <w:pPr>
              <w:pStyle w:val="null3"/>
              <w:ind w:firstLine="480"/>
            </w:pPr>
            <w:r>
              <w:rPr>
                <w:sz w:val="24"/>
              </w:rPr>
              <w:t>2）过程数据管理维护</w:t>
            </w:r>
          </w:p>
          <w:p>
            <w:pPr>
              <w:pStyle w:val="null3"/>
              <w:ind w:firstLine="480"/>
            </w:pPr>
            <w:r>
              <w:rPr>
                <w:sz w:val="24"/>
              </w:rPr>
              <w:t>水文信息采集与后处理管理维护服务须包含流量计原始测验数据（指标流速）与比测率定后处理数据（断面平均流速），比测率定公式、大断面形态与实时水位图，并提供对应截图放进过程数据录入报告。经校验的数据应传到广州市水环境质量自动监测与预警系统。</w:t>
            </w:r>
          </w:p>
          <w:p>
            <w:pPr>
              <w:pStyle w:val="null3"/>
              <w:ind w:firstLine="480"/>
            </w:pPr>
            <w:r>
              <w:rPr>
                <w:sz w:val="24"/>
              </w:rPr>
              <w:t>3）数据后处理安全保障服务</w:t>
            </w:r>
          </w:p>
          <w:p>
            <w:pPr>
              <w:pStyle w:val="null3"/>
              <w:ind w:firstLine="480"/>
            </w:pPr>
            <w:r>
              <w:rPr>
                <w:sz w:val="24"/>
              </w:rPr>
              <w:t>做好水文信息采集与后处理的数据备份恢复和安全管理服务，处理异常情况。维护数据稳定性和安全性。</w:t>
            </w:r>
          </w:p>
          <w:p>
            <w:pPr>
              <w:pStyle w:val="null3"/>
              <w:ind w:firstLine="480"/>
            </w:pPr>
            <w:r>
              <w:rPr>
                <w:sz w:val="24"/>
              </w:rPr>
              <w:t>2.3仪器设备管理要求</w:t>
            </w:r>
          </w:p>
          <w:p>
            <w:pPr>
              <w:pStyle w:val="null3"/>
              <w:ind w:firstLine="480"/>
            </w:pPr>
            <w:r>
              <w:rPr>
                <w:sz w:val="24"/>
              </w:rPr>
              <w:t>（</w:t>
            </w:r>
            <w:r>
              <w:rPr>
                <w:sz w:val="24"/>
              </w:rPr>
              <w:t>1）按照采购人设备管理要求，做好资产清查及保管，遇设备需更换及返厂维修需填报设备维修记录表或更换备机记录表报采购人存档。</w:t>
            </w:r>
          </w:p>
          <w:p>
            <w:pPr>
              <w:pStyle w:val="null3"/>
              <w:ind w:firstLine="480"/>
            </w:pPr>
            <w:r>
              <w:rPr>
                <w:sz w:val="24"/>
              </w:rPr>
              <w:t>（</w:t>
            </w:r>
            <w:r>
              <w:rPr>
                <w:sz w:val="24"/>
              </w:rPr>
              <w:t>2）中标供应商及人员蓄意破坏流量设备固定资产，或私自外借、出租、抵押的，将交由相关机构处理；出现国有资产损失或流失的，相关责任人要按原价赔偿，并追究法律责任。</w:t>
            </w:r>
          </w:p>
          <w:p>
            <w:pPr>
              <w:pStyle w:val="null3"/>
              <w:ind w:firstLine="480"/>
            </w:pPr>
            <w:r>
              <w:rPr>
                <w:sz w:val="24"/>
              </w:rPr>
              <w:t>（</w:t>
            </w:r>
            <w:r>
              <w:rPr>
                <w:sz w:val="24"/>
              </w:rPr>
              <w:t>3）如遇台风、洪水等自然灾害，对站点资产安全造成威胁的，需及时与采购人报备，并负责设备搬离工作并做好设备保管保存，在条件允许时做好站点复运工作，并做好相关文字报告记录。</w:t>
            </w:r>
          </w:p>
          <w:p>
            <w:pPr>
              <w:pStyle w:val="null3"/>
              <w:ind w:firstLine="480"/>
            </w:pPr>
            <w:r>
              <w:rPr>
                <w:sz w:val="24"/>
              </w:rPr>
              <w:t>2.4运维保障要求</w:t>
            </w:r>
          </w:p>
          <w:p>
            <w:pPr>
              <w:pStyle w:val="null3"/>
              <w:ind w:firstLine="560"/>
            </w:pPr>
            <w:r>
              <w:rPr>
                <w:sz w:val="24"/>
              </w:rPr>
              <w:t>中标供应商应按照招标文件要求做好流量设备的日常运行保障工作，承担流量设备实时监测数据和信息的采集、传输、审核，建立异常数据快速响应机制，及时处理数据中断、异常和仪器设备故障等情况，并按规定及时填报仪器故障、停复运等情况。</w:t>
            </w:r>
          </w:p>
          <w:p>
            <w:pPr>
              <w:pStyle w:val="null3"/>
              <w:ind w:firstLine="560"/>
            </w:pPr>
            <w:r>
              <w:rPr>
                <w:sz w:val="24"/>
              </w:rPr>
              <w:t>（</w:t>
            </w:r>
            <w:r>
              <w:rPr>
                <w:sz w:val="24"/>
              </w:rPr>
              <w:t>1）当系统仪器出现故障时，在河流水文条件允许的条件下，运维保证在应在2小时内响应，在12小时内到达现场检修，如24小时内无法排除故障，及时以书面形式报告采购人，可在满足《声学多普勒流量测验规范》（T/CHES 61—2021）有关要求且征得采购人批准后使用备用机替代工作。备机需做好率定校验工作，备机性能不低于原安装仪器。</w:t>
            </w:r>
          </w:p>
          <w:p>
            <w:pPr>
              <w:pStyle w:val="null3"/>
              <w:ind w:firstLine="560"/>
            </w:pPr>
            <w:r>
              <w:rPr>
                <w:sz w:val="24"/>
              </w:rPr>
              <w:t>（</w:t>
            </w:r>
            <w:r>
              <w:rPr>
                <w:sz w:val="24"/>
              </w:rPr>
              <w:t>2）运行维护人处理完设备故障后需及时记录表格并传递相关人员。</w:t>
            </w:r>
          </w:p>
          <w:p>
            <w:pPr>
              <w:pStyle w:val="null3"/>
              <w:ind w:firstLine="560"/>
            </w:pPr>
            <w:r>
              <w:rPr>
                <w:sz w:val="24"/>
              </w:rPr>
              <w:t>（</w:t>
            </w:r>
            <w:r>
              <w:rPr>
                <w:sz w:val="24"/>
              </w:rPr>
              <w:t>3）流量设备停运期间，为保证监测数据的连续性，流量设备停运期间运维机构应根据不同停运情况，在适宜水文测验条件且能保障安全的前提下及时完成人工补测工作，根据《河流流量测验规范》(GB 50179—2015)与断面实际水文特征（河宽、水深、泥沙含量），采用走航式ADCP进行手工补测工作，每周监测不得少于1个有效测次，同时须做好仪器设备的维护保养，具备运行条件时要及时恢复运行。手工补测精度要求每个有效流量测次不得少于2个测回，测回之间相对偏差≤5%，否则视为该测次数据无效。停运流量设备达到复运条件的，应按要求尽快开展相关的质控措施，结果合格后申请复运，经采购人同意后恢复运行。</w:t>
            </w:r>
          </w:p>
          <w:p>
            <w:pPr>
              <w:pStyle w:val="null3"/>
              <w:ind w:firstLine="560"/>
            </w:pPr>
            <w:r>
              <w:rPr>
                <w:sz w:val="24"/>
              </w:rPr>
              <w:t>2.5应急维护要求</w:t>
            </w:r>
          </w:p>
          <w:p>
            <w:pPr>
              <w:pStyle w:val="null3"/>
              <w:ind w:firstLine="560"/>
            </w:pPr>
            <w:r>
              <w:rPr>
                <w:sz w:val="24"/>
              </w:rPr>
              <w:t>中标供应商应制定应急维护预案，应急维护预案包括但不限于对数据异常、突发性水质污染、自然灾害（洪水、台风等）、临时停电、节假日、重大活动、被偷盗破坏等情况的预防和应急处置措施。</w:t>
            </w:r>
          </w:p>
          <w:p>
            <w:pPr>
              <w:pStyle w:val="null3"/>
              <w:ind w:firstLine="560"/>
            </w:pPr>
            <w:r>
              <w:rPr>
                <w:sz w:val="24"/>
              </w:rPr>
              <w:t>2.6比测率定校核要求</w:t>
            </w:r>
          </w:p>
          <w:p>
            <w:pPr>
              <w:pStyle w:val="null3"/>
              <w:ind w:firstLine="560"/>
            </w:pPr>
            <w:r>
              <w:rPr>
                <w:sz w:val="24"/>
              </w:rPr>
              <w:t>要求运维期间应完成对</w:t>
            </w:r>
            <w:r>
              <w:rPr>
                <w:sz w:val="24"/>
              </w:rPr>
              <w:t>7个流量设备比测率定线性校核，每个流量设备每个季度完成至少4组有效比测率定数据。</w:t>
            </w:r>
            <w:r>
              <w:rPr>
                <w:sz w:val="24"/>
                <w:shd w:fill="FFFFFF" w:val="clear"/>
              </w:rPr>
              <w:t>运维期结束后</w:t>
            </w:r>
            <w:r>
              <w:rPr>
                <w:sz w:val="24"/>
                <w:shd w:fill="FFFFFF" w:val="clear"/>
              </w:rPr>
              <w:t>15个工作日内提交年度比测率定成果报告，报告内容应包括但不限于比测率定现场工作图片、比测率定原始软件记录数据、流量测验成果记载表、比测率定关系校核曲线分析</w:t>
            </w:r>
            <w:r>
              <w:rPr>
                <w:sz w:val="24"/>
              </w:rPr>
              <w:t>。经采购人审批同意后</w:t>
            </w:r>
            <w:r>
              <w:rPr>
                <w:sz w:val="24"/>
              </w:rPr>
              <w:t>10个工作日内录入广州市水环境质量自动监测与预警系统，上完成流量数据后处理，支撑平台可展示指标流速（流量计实测流速值）、断面平均流速（经比测率定校核流速值）、流量（经比测率定校核流量值）。具体要求如下：</w:t>
            </w:r>
          </w:p>
          <w:p>
            <w:pPr>
              <w:pStyle w:val="null3"/>
              <w:ind w:firstLine="560"/>
            </w:pPr>
            <w:r>
              <w:rPr>
                <w:sz w:val="24"/>
              </w:rPr>
              <w:t>（</w:t>
            </w:r>
            <w:r>
              <w:rPr>
                <w:sz w:val="24"/>
              </w:rPr>
              <w:t>1）要求在运维期间每个季度分别各开展至少1次比测率定，合计3次比测率定。对部分感潮河段或往复流河段，应适当增加率定次数。</w:t>
            </w:r>
          </w:p>
          <w:p>
            <w:pPr>
              <w:pStyle w:val="null3"/>
              <w:ind w:firstLine="560"/>
            </w:pPr>
            <w:r>
              <w:rPr>
                <w:sz w:val="24"/>
              </w:rPr>
              <w:t>（</w:t>
            </w:r>
            <w:r>
              <w:rPr>
                <w:sz w:val="24"/>
              </w:rPr>
              <w:t>2）每个流量设备每个季度比测率定数据不应少于4组，运维期间合计不少于12组。</w:t>
            </w:r>
          </w:p>
          <w:p>
            <w:pPr>
              <w:pStyle w:val="null3"/>
              <w:ind w:firstLine="560"/>
            </w:pPr>
            <w:r>
              <w:rPr>
                <w:sz w:val="24"/>
              </w:rPr>
              <w:t>（</w:t>
            </w:r>
            <w:r>
              <w:rPr>
                <w:sz w:val="24"/>
              </w:rPr>
              <w:t>3）比测率定关系线的定线精度采用系统误差与随机不确定度参考《声学多普勒流量测验规范》要求：其中系统误差须≤3%，随机不确定度应≤30%，若因特殊原因如仪器性能降低、原流量设备安装位置代表性受限、断流、水利工程截流、河道整治等因素导致无法满足以上定线精度，中标供应商应提供佐证材料并经采购人审批同意后可适当放宽要求。</w:t>
            </w:r>
          </w:p>
          <w:p>
            <w:pPr>
              <w:pStyle w:val="null3"/>
              <w:ind w:firstLine="560"/>
            </w:pPr>
            <w:r>
              <w:rPr>
                <w:sz w:val="24"/>
              </w:rPr>
              <w:t>（</w:t>
            </w:r>
            <w:r>
              <w:rPr>
                <w:sz w:val="24"/>
              </w:rPr>
              <w:t>4）根据《河流流量测验规范》（GB50179-2015）与《声学多普勒流量测验规范》（SL337-2006），比测率定设备应采用走航ADCP法或流速仪精测法，对应设备/器具采用规范推荐的流速仪（如旋浆/旋杯式转子流速仪）或走航式ADCP对流量计进行成果精度评定，采集数据的形式为断面平均流速。</w:t>
            </w:r>
          </w:p>
          <w:p>
            <w:pPr>
              <w:pStyle w:val="null3"/>
              <w:ind w:firstLine="560"/>
            </w:pPr>
            <w:r>
              <w:rPr>
                <w:sz w:val="24"/>
              </w:rPr>
              <w:t>2.7质量控制要求</w:t>
            </w:r>
          </w:p>
          <w:p>
            <w:pPr>
              <w:pStyle w:val="null3"/>
              <w:ind w:firstLine="560"/>
            </w:pPr>
            <w:r>
              <w:rPr>
                <w:sz w:val="24"/>
              </w:rPr>
              <w:t>（</w:t>
            </w:r>
            <w:r>
              <w:rPr>
                <w:sz w:val="24"/>
              </w:rPr>
              <w:t>1）质量管理体系</w:t>
            </w:r>
          </w:p>
          <w:p>
            <w:pPr>
              <w:pStyle w:val="null3"/>
              <w:ind w:firstLine="560"/>
            </w:pPr>
            <w:r>
              <w:rPr>
                <w:sz w:val="24"/>
              </w:rPr>
              <w:t>中标供应商应具有有效的、可持续的流量自动监测运维质量管理体系。质量管理体系应覆盖到所有运维的自动监测场所及运维活动全过程，至少制定包含但不限于如下控制文件：文件、人员、设备、环境场所、采购服务、委托服务、运行维护、运维规程的选择和确认、数据审核、数据信息管理、不符合工作控制与纠正、记录控制、质量控制、报告管理、档案管理等。</w:t>
            </w:r>
          </w:p>
          <w:p>
            <w:pPr>
              <w:pStyle w:val="null3"/>
              <w:ind w:firstLine="560"/>
            </w:pPr>
            <w:r>
              <w:rPr>
                <w:sz w:val="24"/>
              </w:rPr>
              <w:t>（</w:t>
            </w:r>
            <w:r>
              <w:rPr>
                <w:sz w:val="24"/>
              </w:rPr>
              <w:t>2）质量控制与质量保证计划</w:t>
            </w:r>
          </w:p>
          <w:p>
            <w:pPr>
              <w:pStyle w:val="null3"/>
              <w:ind w:firstLine="560"/>
            </w:pPr>
            <w:r>
              <w:rPr>
                <w:sz w:val="24"/>
              </w:rPr>
              <w:t>中标供应商应根据运维管理和运维需求制定本项目质量控制与质量保证计划，质量控制与质量保证计划应明确质量控制内容和方式、人员以及人员培训和管理等。中标供应商应在合同签订之日起</w:t>
            </w:r>
            <w:r>
              <w:rPr>
                <w:sz w:val="24"/>
              </w:rPr>
              <w:t>10个工作日提交第一个季度运维质量控制方案，运维交接后15个工作日内提交当年度运维质量控制方案，之后每个季度开始之日起10个工作日提交本季度运维质量控制方案。</w:t>
            </w:r>
          </w:p>
          <w:p>
            <w:pPr>
              <w:pStyle w:val="null3"/>
              <w:ind w:firstLine="560"/>
            </w:pPr>
            <w:r>
              <w:rPr>
                <w:sz w:val="24"/>
              </w:rPr>
              <w:t>（</w:t>
            </w:r>
            <w:r>
              <w:rPr>
                <w:sz w:val="24"/>
              </w:rPr>
              <w:t>3）数据质量控制要求</w:t>
            </w:r>
          </w:p>
          <w:p>
            <w:pPr>
              <w:pStyle w:val="null3"/>
              <w:ind w:firstLine="560"/>
            </w:pPr>
            <w:r>
              <w:rPr>
                <w:sz w:val="24"/>
              </w:rPr>
              <w:t>中标供应商应按照相关的技术规范、规定开展质控工作，所有质控结果均需报采购人。如果质控不合格，需及时查找原因，整改情况需及时报采购人。</w:t>
            </w:r>
          </w:p>
          <w:p>
            <w:pPr>
              <w:pStyle w:val="null3"/>
              <w:ind w:firstLine="560"/>
            </w:pPr>
            <w:r>
              <w:rPr>
                <w:sz w:val="24"/>
              </w:rPr>
              <w:t>运维机构应根据质量控制与质量保证计划的技术要求和实际需求采取多种质控措施，在规定时间内不少于限定次数（详见附表</w:t>
            </w:r>
            <w:r>
              <w:rPr>
                <w:sz w:val="24"/>
              </w:rPr>
              <w:t>2）。对流量计监测系统采取姿态核查、信号强度核查、断面面积准确度核查、</w:t>
            </w:r>
            <w:r>
              <w:rPr>
                <w:sz w:val="24"/>
                <w:shd w:fill="FFFFFF" w:val="clear"/>
              </w:rPr>
              <w:t>流速准确度核查</w:t>
            </w:r>
            <w:r>
              <w:rPr>
                <w:sz w:val="24"/>
              </w:rPr>
              <w:t>、流量准确度核查（详细技术要求见附表</w:t>
            </w:r>
            <w:r>
              <w:rPr>
                <w:sz w:val="24"/>
              </w:rPr>
              <w:t>3）。</w:t>
            </w:r>
          </w:p>
          <w:p>
            <w:pPr>
              <w:pStyle w:val="null3"/>
              <w:jc w:val="center"/>
            </w:pPr>
            <w:r>
              <w:rPr>
                <w:sz w:val="24"/>
              </w:rPr>
              <w:t>附表</w:t>
            </w:r>
            <w:r>
              <w:rPr>
                <w:sz w:val="24"/>
              </w:rPr>
              <w:t>2 质控措施及实施频次表</w:t>
            </w:r>
          </w:p>
          <w:tbl>
            <w:tblPr>
              <w:tblInd w:type="dxa" w:w="120"/>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Pr>
                <w:p>
                  <w:pPr>
                    <w:pStyle w:val="null3"/>
                    <w:jc w:val="center"/>
                  </w:pPr>
                  <w:r>
                    <w:rPr>
                      <w:sz w:val="19"/>
                    </w:rPr>
                    <w:t>序号</w:t>
                  </w:r>
                </w:p>
              </w:tc>
              <w:tc>
                <w:tcPr>
                  <w:tcW w:type="dxa" w:w="1399"/>
                </w:tcPr>
                <w:p>
                  <w:pPr>
                    <w:pStyle w:val="null3"/>
                    <w:jc w:val="center"/>
                  </w:pPr>
                  <w:r>
                    <w:rPr>
                      <w:sz w:val="19"/>
                    </w:rPr>
                    <w:t>质控措施</w:t>
                  </w:r>
                </w:p>
              </w:tc>
              <w:tc>
                <w:tcPr>
                  <w:tcW w:type="dxa" w:w="1399"/>
                </w:tcPr>
                <w:p>
                  <w:pPr>
                    <w:pStyle w:val="null3"/>
                    <w:jc w:val="center"/>
                  </w:pPr>
                  <w:r>
                    <w:rPr>
                      <w:sz w:val="19"/>
                    </w:rPr>
                    <w:t>质控频次</w:t>
                  </w:r>
                </w:p>
              </w:tc>
              <w:tc>
                <w:tcPr>
                  <w:tcW w:type="dxa" w:w="1399"/>
                </w:tcPr>
                <w:p>
                  <w:pPr>
                    <w:pStyle w:val="null3"/>
                    <w:jc w:val="center"/>
                  </w:pPr>
                  <w:r>
                    <w:rPr>
                      <w:sz w:val="19"/>
                    </w:rPr>
                    <w:t>实施对象</w:t>
                  </w:r>
                </w:p>
              </w:tc>
            </w:tr>
            <w:tr>
              <w:tc>
                <w:tcPr>
                  <w:tcW w:type="dxa" w:w="1399"/>
                </w:tcPr>
                <w:p>
                  <w:pPr>
                    <w:pStyle w:val="null3"/>
                    <w:jc w:val="center"/>
                  </w:pPr>
                  <w:r>
                    <w:rPr>
                      <w:sz w:val="19"/>
                    </w:rPr>
                    <w:t>1</w:t>
                  </w:r>
                </w:p>
              </w:tc>
              <w:tc>
                <w:tcPr>
                  <w:tcW w:type="dxa" w:w="1399"/>
                </w:tcPr>
                <w:p>
                  <w:pPr>
                    <w:pStyle w:val="null3"/>
                    <w:jc w:val="center"/>
                  </w:pPr>
                  <w:r>
                    <w:rPr>
                      <w:sz w:val="19"/>
                    </w:rPr>
                    <w:t>姿态核查</w:t>
                  </w:r>
                </w:p>
              </w:tc>
              <w:tc>
                <w:tcPr>
                  <w:tcW w:type="dxa" w:w="1399"/>
                </w:tcPr>
                <w:p>
                  <w:pPr>
                    <w:pStyle w:val="null3"/>
                    <w:jc w:val="center"/>
                  </w:pPr>
                  <w:r>
                    <w:rPr>
                      <w:sz w:val="19"/>
                    </w:rPr>
                    <w:t>每月</w:t>
                  </w:r>
                </w:p>
              </w:tc>
              <w:tc>
                <w:tcPr>
                  <w:tcW w:type="dxa" w:w="1399"/>
                </w:tcPr>
                <w:p>
                  <w:pPr>
                    <w:pStyle w:val="null3"/>
                    <w:jc w:val="center"/>
                  </w:pPr>
                  <w:r>
                    <w:rPr>
                      <w:sz w:val="19"/>
                    </w:rPr>
                    <w:t>姿态</w:t>
                  </w:r>
                </w:p>
              </w:tc>
            </w:tr>
            <w:tr>
              <w:tc>
                <w:tcPr>
                  <w:tcW w:type="dxa" w:w="1399"/>
                </w:tcPr>
                <w:p>
                  <w:pPr>
                    <w:pStyle w:val="null3"/>
                    <w:jc w:val="center"/>
                  </w:pPr>
                  <w:r>
                    <w:rPr>
                      <w:sz w:val="19"/>
                    </w:rPr>
                    <w:t>2</w:t>
                  </w:r>
                </w:p>
              </w:tc>
              <w:tc>
                <w:tcPr>
                  <w:tcW w:type="dxa" w:w="1399"/>
                </w:tcPr>
                <w:p>
                  <w:pPr>
                    <w:pStyle w:val="null3"/>
                    <w:jc w:val="center"/>
                  </w:pPr>
                  <w:r>
                    <w:rPr>
                      <w:sz w:val="19"/>
                    </w:rPr>
                    <w:t>信号强度核查</w:t>
                  </w:r>
                </w:p>
              </w:tc>
              <w:tc>
                <w:tcPr>
                  <w:tcW w:type="dxa" w:w="1399"/>
                </w:tcPr>
                <w:p>
                  <w:pPr>
                    <w:pStyle w:val="null3"/>
                    <w:jc w:val="center"/>
                  </w:pPr>
                  <w:r>
                    <w:rPr>
                      <w:sz w:val="19"/>
                    </w:rPr>
                    <w:t>每月</w:t>
                  </w:r>
                </w:p>
              </w:tc>
              <w:tc>
                <w:tcPr>
                  <w:tcW w:type="dxa" w:w="1399"/>
                </w:tcPr>
                <w:p>
                  <w:pPr>
                    <w:pStyle w:val="null3"/>
                    <w:jc w:val="center"/>
                  </w:pPr>
                  <w:r>
                    <w:rPr>
                      <w:sz w:val="19"/>
                    </w:rPr>
                    <w:t>信号强度</w:t>
                  </w:r>
                </w:p>
              </w:tc>
            </w:tr>
            <w:tr>
              <w:tc>
                <w:tcPr>
                  <w:tcW w:type="dxa" w:w="1399"/>
                </w:tcPr>
                <w:p>
                  <w:pPr>
                    <w:pStyle w:val="null3"/>
                    <w:jc w:val="center"/>
                  </w:pPr>
                  <w:r>
                    <w:rPr>
                      <w:sz w:val="19"/>
                    </w:rPr>
                    <w:t>3</w:t>
                  </w:r>
                </w:p>
              </w:tc>
              <w:tc>
                <w:tcPr>
                  <w:tcW w:type="dxa" w:w="1399"/>
                </w:tcPr>
                <w:p>
                  <w:pPr>
                    <w:pStyle w:val="null3"/>
                    <w:jc w:val="center"/>
                  </w:pPr>
                  <w:r>
                    <w:rPr>
                      <w:sz w:val="19"/>
                    </w:rPr>
                    <w:t>断面面积准确度</w:t>
                  </w:r>
                </w:p>
              </w:tc>
              <w:tc>
                <w:tcPr>
                  <w:tcW w:type="dxa" w:w="1399"/>
                </w:tcPr>
                <w:p>
                  <w:pPr>
                    <w:pStyle w:val="null3"/>
                    <w:jc w:val="center"/>
                  </w:pPr>
                  <w:r>
                    <w:rPr>
                      <w:sz w:val="19"/>
                    </w:rPr>
                    <w:t>每个季度</w:t>
                  </w:r>
                </w:p>
              </w:tc>
              <w:tc>
                <w:tcPr>
                  <w:tcW w:type="dxa" w:w="1399"/>
                </w:tcPr>
                <w:p>
                  <w:pPr>
                    <w:pStyle w:val="null3"/>
                    <w:jc w:val="center"/>
                  </w:pPr>
                  <w:r>
                    <w:rPr>
                      <w:sz w:val="19"/>
                    </w:rPr>
                    <w:t>断面面积</w:t>
                  </w:r>
                </w:p>
              </w:tc>
            </w:tr>
            <w:tr>
              <w:tc>
                <w:tcPr>
                  <w:tcW w:type="dxa" w:w="1399"/>
                </w:tcPr>
                <w:p>
                  <w:pPr>
                    <w:pStyle w:val="null3"/>
                    <w:jc w:val="center"/>
                  </w:pPr>
                  <w:r>
                    <w:rPr>
                      <w:sz w:val="19"/>
                    </w:rPr>
                    <w:t>4</w:t>
                  </w:r>
                </w:p>
              </w:tc>
              <w:tc>
                <w:tcPr>
                  <w:tcW w:type="dxa" w:w="1399"/>
                </w:tcPr>
                <w:p>
                  <w:pPr>
                    <w:pStyle w:val="null3"/>
                    <w:jc w:val="center"/>
                  </w:pPr>
                  <w:r>
                    <w:rPr>
                      <w:sz w:val="19"/>
                    </w:rPr>
                    <w:t>流速准确度核查</w:t>
                  </w:r>
                </w:p>
              </w:tc>
              <w:tc>
                <w:tcPr>
                  <w:tcW w:type="dxa" w:w="1399"/>
                </w:tcPr>
                <w:p>
                  <w:pPr>
                    <w:pStyle w:val="null3"/>
                    <w:jc w:val="center"/>
                  </w:pPr>
                  <w:r>
                    <w:rPr>
                      <w:sz w:val="19"/>
                    </w:rPr>
                    <w:t>每个季度</w:t>
                  </w:r>
                </w:p>
              </w:tc>
              <w:tc>
                <w:tcPr>
                  <w:tcW w:type="dxa" w:w="1399"/>
                </w:tcPr>
                <w:p>
                  <w:pPr>
                    <w:pStyle w:val="null3"/>
                    <w:jc w:val="center"/>
                  </w:pPr>
                  <w:r>
                    <w:rPr>
                      <w:sz w:val="19"/>
                    </w:rPr>
                    <w:t>流速</w:t>
                  </w:r>
                </w:p>
              </w:tc>
            </w:tr>
            <w:tr>
              <w:tc>
                <w:tcPr>
                  <w:tcW w:type="dxa" w:w="1399"/>
                </w:tcPr>
                <w:p>
                  <w:pPr>
                    <w:pStyle w:val="null3"/>
                    <w:jc w:val="center"/>
                  </w:pPr>
                  <w:r>
                    <w:rPr>
                      <w:sz w:val="19"/>
                    </w:rPr>
                    <w:t>5</w:t>
                  </w:r>
                </w:p>
              </w:tc>
              <w:tc>
                <w:tcPr>
                  <w:tcW w:type="dxa" w:w="1399"/>
                </w:tcPr>
                <w:p>
                  <w:pPr>
                    <w:pStyle w:val="null3"/>
                    <w:jc w:val="center"/>
                  </w:pPr>
                  <w:r>
                    <w:rPr>
                      <w:sz w:val="19"/>
                    </w:rPr>
                    <w:t>流量准确度核查</w:t>
                  </w:r>
                </w:p>
              </w:tc>
              <w:tc>
                <w:tcPr>
                  <w:tcW w:type="dxa" w:w="1399"/>
                </w:tcPr>
                <w:p>
                  <w:pPr>
                    <w:pStyle w:val="null3"/>
                    <w:jc w:val="center"/>
                  </w:pPr>
                  <w:r>
                    <w:rPr>
                      <w:sz w:val="19"/>
                    </w:rPr>
                    <w:t>每个季度</w:t>
                  </w:r>
                </w:p>
              </w:tc>
              <w:tc>
                <w:tcPr>
                  <w:tcW w:type="dxa" w:w="1399"/>
                </w:tcPr>
                <w:p>
                  <w:pPr>
                    <w:pStyle w:val="null3"/>
                    <w:jc w:val="center"/>
                  </w:pPr>
                  <w:r>
                    <w:rPr>
                      <w:sz w:val="19"/>
                    </w:rPr>
                    <w:t>流量</w:t>
                  </w:r>
                </w:p>
              </w:tc>
            </w:tr>
          </w:tbl>
          <w:p>
            <w:pPr>
              <w:pStyle w:val="null3"/>
              <w:jc w:val="center"/>
            </w:pPr>
            <w:r>
              <w:rPr>
                <w:sz w:val="24"/>
              </w:rPr>
              <w:t>附表</w:t>
            </w:r>
            <w:r>
              <w:rPr>
                <w:sz w:val="24"/>
              </w:rPr>
              <w:t>3 质控措施技术要求</w:t>
            </w:r>
          </w:p>
          <w:tbl>
            <w:tblPr>
              <w:tblInd w:type="dxa" w:w="120"/>
              <w:tblBorders>
                <w:top w:val="none" w:color="000000" w:sz="4"/>
                <w:left w:val="none" w:color="000000" w:sz="4"/>
                <w:bottom w:val="none" w:color="000000" w:sz="4"/>
                <w:right w:val="none" w:color="000000" w:sz="4"/>
                <w:insideH w:val="none"/>
                <w:insideV w:val="none"/>
              </w:tblBorders>
            </w:tblPr>
            <w:tblGrid>
              <w:gridCol w:w="1865"/>
              <w:gridCol w:w="1865"/>
              <w:gridCol w:w="1865"/>
            </w:tblGrid>
            <w:tr>
              <w:tc>
                <w:tcPr>
                  <w:tcW w:type="dxa" w:w="1865"/>
                </w:tcPr>
                <w:p>
                  <w:pPr>
                    <w:pStyle w:val="null3"/>
                    <w:jc w:val="center"/>
                  </w:pPr>
                  <w:r>
                    <w:rPr>
                      <w:sz w:val="19"/>
                    </w:rPr>
                    <w:t>序号</w:t>
                  </w:r>
                </w:p>
              </w:tc>
              <w:tc>
                <w:tcPr>
                  <w:tcW w:type="dxa" w:w="1865"/>
                </w:tcPr>
                <w:p>
                  <w:pPr>
                    <w:pStyle w:val="null3"/>
                    <w:jc w:val="center"/>
                  </w:pPr>
                  <w:r>
                    <w:rPr>
                      <w:sz w:val="19"/>
                    </w:rPr>
                    <w:t>质控措施</w:t>
                  </w:r>
                </w:p>
              </w:tc>
              <w:tc>
                <w:tcPr>
                  <w:tcW w:type="dxa" w:w="1865"/>
                </w:tcPr>
                <w:p>
                  <w:pPr>
                    <w:pStyle w:val="null3"/>
                    <w:jc w:val="center"/>
                  </w:pPr>
                  <w:r>
                    <w:rPr>
                      <w:sz w:val="19"/>
                    </w:rPr>
                    <w:t>工作内容</w:t>
                  </w:r>
                </w:p>
              </w:tc>
            </w:tr>
            <w:tr>
              <w:tc>
                <w:tcPr>
                  <w:tcW w:type="dxa" w:w="1865"/>
                </w:tcPr>
                <w:p>
                  <w:pPr>
                    <w:pStyle w:val="null3"/>
                    <w:jc w:val="center"/>
                  </w:pPr>
                  <w:r>
                    <w:rPr>
                      <w:sz w:val="19"/>
                    </w:rPr>
                    <w:t>1</w:t>
                  </w:r>
                </w:p>
              </w:tc>
              <w:tc>
                <w:tcPr>
                  <w:tcW w:type="dxa" w:w="1865"/>
                </w:tcPr>
                <w:p>
                  <w:pPr>
                    <w:pStyle w:val="null3"/>
                    <w:jc w:val="center"/>
                  </w:pPr>
                  <w:r>
                    <w:rPr>
                      <w:sz w:val="19"/>
                    </w:rPr>
                    <w:t>姿态核查</w:t>
                  </w:r>
                </w:p>
              </w:tc>
              <w:tc>
                <w:tcPr>
                  <w:tcW w:type="dxa" w:w="1865"/>
                </w:tcPr>
                <w:p>
                  <w:pPr>
                    <w:pStyle w:val="null3"/>
                    <w:jc w:val="center"/>
                  </w:pPr>
                  <w:r>
                    <w:rPr>
                      <w:sz w:val="19"/>
                    </w:rPr>
                    <w:t>核查与设备起始安装姿态差值≤2°</w:t>
                  </w:r>
                </w:p>
              </w:tc>
            </w:tr>
            <w:tr>
              <w:tc>
                <w:tcPr>
                  <w:tcW w:type="dxa" w:w="1865"/>
                </w:tcPr>
                <w:p>
                  <w:pPr>
                    <w:pStyle w:val="null3"/>
                    <w:jc w:val="center"/>
                  </w:pPr>
                  <w:r>
                    <w:rPr>
                      <w:sz w:val="19"/>
                    </w:rPr>
                    <w:t>2</w:t>
                  </w:r>
                </w:p>
              </w:tc>
              <w:tc>
                <w:tcPr>
                  <w:tcW w:type="dxa" w:w="1865"/>
                </w:tcPr>
                <w:p>
                  <w:pPr>
                    <w:pStyle w:val="null3"/>
                    <w:jc w:val="center"/>
                  </w:pPr>
                  <w:r>
                    <w:rPr>
                      <w:sz w:val="19"/>
                    </w:rPr>
                    <w:t>信号强度核查</w:t>
                  </w:r>
                </w:p>
              </w:tc>
              <w:tc>
                <w:tcPr>
                  <w:tcW w:type="dxa" w:w="1865"/>
                </w:tcPr>
                <w:p>
                  <w:pPr>
                    <w:pStyle w:val="null3"/>
                    <w:jc w:val="center"/>
                  </w:pPr>
                  <w:r>
                    <w:rPr>
                      <w:sz w:val="19"/>
                    </w:rPr>
                    <w:t>信号强度无明显突变值且逐渐降低至平稳状态</w:t>
                  </w:r>
                </w:p>
              </w:tc>
            </w:tr>
            <w:tr>
              <w:tc>
                <w:tcPr>
                  <w:tcW w:type="dxa" w:w="1865"/>
                </w:tcPr>
                <w:p>
                  <w:pPr>
                    <w:pStyle w:val="null3"/>
                    <w:jc w:val="center"/>
                  </w:pPr>
                  <w:r>
                    <w:rPr>
                      <w:sz w:val="19"/>
                    </w:rPr>
                    <w:t>3</w:t>
                  </w:r>
                </w:p>
              </w:tc>
              <w:tc>
                <w:tcPr>
                  <w:tcW w:type="dxa" w:w="1865"/>
                </w:tcPr>
                <w:p>
                  <w:pPr>
                    <w:pStyle w:val="null3"/>
                    <w:jc w:val="center"/>
                  </w:pPr>
                  <w:r>
                    <w:rPr>
                      <w:sz w:val="19"/>
                    </w:rPr>
                    <w:t>断面面积准确度</w:t>
                  </w:r>
                </w:p>
              </w:tc>
              <w:tc>
                <w:tcPr>
                  <w:tcW w:type="dxa" w:w="1865"/>
                </w:tcPr>
                <w:p>
                  <w:pPr>
                    <w:pStyle w:val="null3"/>
                    <w:jc w:val="center"/>
                  </w:pPr>
                  <w:r>
                    <w:rPr>
                      <w:sz w:val="19"/>
                    </w:rPr>
                    <w:t>采用走航式ADCP对断面面积进行核查，若走航式ADCP实测断面面积与在线设备实测断面面积偏差＞20%，应及时分析原因并向采购人汇报，采购人根据仪器性能等实际情况与中标供应商沟通修正</w:t>
                  </w:r>
                </w:p>
              </w:tc>
            </w:tr>
            <w:tr>
              <w:tc>
                <w:tcPr>
                  <w:tcW w:type="dxa" w:w="1865"/>
                </w:tcPr>
                <w:p>
                  <w:pPr>
                    <w:pStyle w:val="null3"/>
                    <w:jc w:val="center"/>
                  </w:pPr>
                  <w:r>
                    <w:rPr>
                      <w:sz w:val="19"/>
                    </w:rPr>
                    <w:t>4</w:t>
                  </w:r>
                </w:p>
              </w:tc>
              <w:tc>
                <w:tcPr>
                  <w:tcW w:type="dxa" w:w="1865"/>
                </w:tcPr>
                <w:p>
                  <w:pPr>
                    <w:pStyle w:val="null3"/>
                    <w:jc w:val="center"/>
                  </w:pPr>
                  <w:r>
                    <w:rPr>
                      <w:sz w:val="19"/>
                    </w:rPr>
                    <w:t>流速准确度核查</w:t>
                  </w:r>
                </w:p>
              </w:tc>
              <w:tc>
                <w:tcPr>
                  <w:tcW w:type="dxa" w:w="1865"/>
                </w:tcPr>
                <w:p>
                  <w:pPr>
                    <w:pStyle w:val="null3"/>
                    <w:jc w:val="center"/>
                  </w:pPr>
                  <w:r>
                    <w:rPr>
                      <w:sz w:val="19"/>
                    </w:rPr>
                    <w:t>采用走航式ADCP对流速进行核查，若走航式ADCP实测流速与在线设备实测流速偏差＞30%，应及时分析原因并向采购人汇报，采购人根据仪器性能等实际情况与中标供应商沟通修正</w:t>
                  </w:r>
                </w:p>
              </w:tc>
            </w:tr>
            <w:tr>
              <w:tc>
                <w:tcPr>
                  <w:tcW w:type="dxa" w:w="1865"/>
                </w:tcPr>
                <w:p>
                  <w:pPr>
                    <w:pStyle w:val="null3"/>
                    <w:jc w:val="center"/>
                  </w:pPr>
                  <w:r>
                    <w:rPr>
                      <w:sz w:val="19"/>
                    </w:rPr>
                    <w:t>5</w:t>
                  </w:r>
                </w:p>
              </w:tc>
              <w:tc>
                <w:tcPr>
                  <w:tcW w:type="dxa" w:w="1865"/>
                </w:tcPr>
                <w:p>
                  <w:pPr>
                    <w:pStyle w:val="null3"/>
                    <w:jc w:val="center"/>
                  </w:pPr>
                  <w:r>
                    <w:rPr>
                      <w:sz w:val="19"/>
                    </w:rPr>
                    <w:t>流量准确度核查</w:t>
                  </w:r>
                </w:p>
              </w:tc>
              <w:tc>
                <w:tcPr>
                  <w:tcW w:type="dxa" w:w="1865"/>
                </w:tcPr>
                <w:p>
                  <w:pPr>
                    <w:pStyle w:val="null3"/>
                    <w:jc w:val="center"/>
                  </w:pPr>
                  <w:r>
                    <w:rPr>
                      <w:sz w:val="19"/>
                    </w:rPr>
                    <w:t>采用走航式ADCP对流量进行核查，若走航式ADCP实测流量与在线设备实测流量偏差＞30%，应及时分析原因并向采购人汇报，采购人根据仪器性能等实际情况与中标供应商沟通修正</w:t>
                  </w:r>
                </w:p>
              </w:tc>
            </w:tr>
          </w:tbl>
          <w:p>
            <w:pPr>
              <w:pStyle w:val="null3"/>
              <w:ind w:firstLine="560"/>
            </w:pPr>
            <w:r>
              <w:rPr>
                <w:sz w:val="24"/>
              </w:rPr>
              <w:t>2.8设备配备</w:t>
            </w:r>
          </w:p>
          <w:p>
            <w:pPr>
              <w:pStyle w:val="null3"/>
              <w:ind w:firstLine="560"/>
            </w:pPr>
            <w:r>
              <w:rPr>
                <w:sz w:val="24"/>
              </w:rPr>
              <w:t>（</w:t>
            </w:r>
            <w:r>
              <w:rPr>
                <w:sz w:val="24"/>
              </w:rPr>
              <w:t>1）中标供应商须配备一定量的走航式ADCP，走航式ADCP数量与流量设备数量比值不低于1/8（不低于1套），提供仪器清单（包括但不限于仪器名称、品牌、型号规格、数量、所有权等）。中标供应商需提供走航式ADCP购置发票、采购合同复印件或租赁协议等证明中标供应商拥有所提供走航式ADCP使用权和维护管理权的材料。</w:t>
            </w:r>
          </w:p>
          <w:p>
            <w:pPr>
              <w:pStyle w:val="null3"/>
              <w:ind w:firstLine="560"/>
            </w:pPr>
            <w:r>
              <w:rPr>
                <w:sz w:val="24"/>
              </w:rPr>
              <w:t>（</w:t>
            </w:r>
            <w:r>
              <w:rPr>
                <w:sz w:val="24"/>
              </w:rPr>
              <w:t>2）中标供应商须配备1套水准引测与大断面测绘的测绘设备（全站仪/水准仪），提供仪器清单（包括但不限于仪器名称、品牌、型号规格、数量、所有权等）。中标供应商需提供测绘设备发票、采购合同复印件或租赁协议等证明中标供应商拥有所提供测绘设备使用权和维护管理权的材料。</w:t>
            </w:r>
          </w:p>
          <w:p>
            <w:pPr>
              <w:pStyle w:val="null3"/>
              <w:ind w:firstLine="560"/>
            </w:pPr>
            <w:r>
              <w:rPr>
                <w:sz w:val="24"/>
              </w:rPr>
              <w:t>（</w:t>
            </w:r>
            <w:r>
              <w:rPr>
                <w:sz w:val="24"/>
              </w:rPr>
              <w:t>3）中标供应商须配备一定量的本项目运维项目涉及的备机（备机包含流量计主机与数据采集与控制模块，设备要求详见附表4），单项目备机数量与本项目单项目总台数比值应不低于1/4（不低于2台），提供备机的型号须通过第三方质量监督机构出具的检定证书。中标供应商须在签订合同后1个月内提供备机配置清单（包括但不限于设备名称、品牌、型号、数量、所有权等），非自有品牌还需提供购置发票、采购合同复印件或租赁协议等证明中标供应商拥有所提供设备使用权和维护管理权的材料。</w:t>
            </w:r>
          </w:p>
          <w:p>
            <w:pPr>
              <w:pStyle w:val="null3"/>
              <w:jc w:val="center"/>
            </w:pPr>
            <w:r>
              <w:rPr>
                <w:sz w:val="24"/>
              </w:rPr>
              <w:t>附表</w:t>
            </w:r>
            <w:r>
              <w:rPr>
                <w:sz w:val="24"/>
              </w:rPr>
              <w:t>4 流量计主机技术规格不低于以下技术要求</w:t>
            </w:r>
          </w:p>
          <w:tbl>
            <w:tblPr>
              <w:tblInd w:type="dxa" w:w="120"/>
              <w:tblBorders>
                <w:top w:val="none" w:color="000000" w:sz="4"/>
                <w:left w:val="none" w:color="000000" w:sz="4"/>
                <w:bottom w:val="none" w:color="000000" w:sz="4"/>
                <w:right w:val="none" w:color="000000" w:sz="4"/>
                <w:insideH w:val="none"/>
                <w:insideV w:val="none"/>
              </w:tblBorders>
            </w:tblPr>
            <w:tblGrid>
              <w:gridCol w:w="1865"/>
              <w:gridCol w:w="1865"/>
              <w:gridCol w:w="1865"/>
            </w:tblGrid>
            <w:tr>
              <w:tc>
                <w:tcPr>
                  <w:tcW w:type="dxa" w:w="1865"/>
                </w:tcPr>
                <w:p>
                  <w:pPr>
                    <w:pStyle w:val="null3"/>
                    <w:jc w:val="center"/>
                  </w:pPr>
                  <w:r>
                    <w:rPr>
                      <w:sz w:val="19"/>
                    </w:rPr>
                    <w:t>序号</w:t>
                  </w:r>
                </w:p>
              </w:tc>
              <w:tc>
                <w:tcPr>
                  <w:tcW w:type="dxa" w:w="1865"/>
                </w:tcPr>
                <w:p>
                  <w:pPr>
                    <w:pStyle w:val="null3"/>
                    <w:jc w:val="center"/>
                  </w:pPr>
                  <w:r>
                    <w:rPr>
                      <w:sz w:val="19"/>
                    </w:rPr>
                    <w:t>技术指标</w:t>
                  </w:r>
                </w:p>
              </w:tc>
              <w:tc>
                <w:tcPr>
                  <w:tcW w:type="dxa" w:w="1865"/>
                </w:tcPr>
                <w:p>
                  <w:pPr>
                    <w:pStyle w:val="null3"/>
                    <w:jc w:val="center"/>
                  </w:pPr>
                  <w:r>
                    <w:rPr>
                      <w:sz w:val="19"/>
                    </w:rPr>
                    <w:t>功能/性能要求</w:t>
                  </w:r>
                </w:p>
              </w:tc>
            </w:tr>
            <w:tr>
              <w:tc>
                <w:tcPr>
                  <w:tcW w:type="dxa" w:w="1865"/>
                </w:tcPr>
                <w:p>
                  <w:pPr>
                    <w:pStyle w:val="null3"/>
                    <w:jc w:val="center"/>
                  </w:pPr>
                  <w:r>
                    <w:rPr>
                      <w:sz w:val="19"/>
                    </w:rPr>
                    <w:t>1</w:t>
                  </w:r>
                </w:p>
              </w:tc>
              <w:tc>
                <w:tcPr>
                  <w:tcW w:type="dxa" w:w="1865"/>
                </w:tcPr>
                <w:p>
                  <w:pPr>
                    <w:pStyle w:val="null3"/>
                    <w:jc w:val="center"/>
                  </w:pPr>
                  <w:r>
                    <w:rPr>
                      <w:sz w:val="19"/>
                    </w:rPr>
                    <w:t>频率</w:t>
                  </w:r>
                </w:p>
              </w:tc>
              <w:tc>
                <w:tcPr>
                  <w:tcW w:type="dxa" w:w="1865"/>
                </w:tcPr>
                <w:p>
                  <w:pPr>
                    <w:pStyle w:val="null3"/>
                    <w:jc w:val="center"/>
                  </w:pPr>
                  <w:r>
                    <w:rPr>
                      <w:sz w:val="19"/>
                    </w:rPr>
                    <w:t>≥300KHz</w:t>
                  </w:r>
                </w:p>
              </w:tc>
            </w:tr>
            <w:tr>
              <w:tc>
                <w:tcPr>
                  <w:tcW w:type="dxa" w:w="1865"/>
                </w:tcPr>
                <w:p>
                  <w:pPr>
                    <w:pStyle w:val="null3"/>
                    <w:jc w:val="center"/>
                  </w:pPr>
                  <w:r>
                    <w:rPr>
                      <w:sz w:val="19"/>
                    </w:rPr>
                    <w:t>2</w:t>
                  </w:r>
                </w:p>
              </w:tc>
              <w:tc>
                <w:tcPr>
                  <w:tcW w:type="dxa" w:w="1865"/>
                </w:tcPr>
                <w:p>
                  <w:pPr>
                    <w:pStyle w:val="null3"/>
                    <w:jc w:val="center"/>
                  </w:pPr>
                  <w:r>
                    <w:rPr>
                      <w:sz w:val="19"/>
                    </w:rPr>
                    <w:t>测量水体截面宽度</w:t>
                  </w:r>
                </w:p>
              </w:tc>
              <w:tc>
                <w:tcPr>
                  <w:tcW w:type="dxa" w:w="1865"/>
                </w:tcPr>
                <w:p>
                  <w:pPr>
                    <w:pStyle w:val="null3"/>
                    <w:jc w:val="center"/>
                  </w:pPr>
                  <w:r>
                    <w:rPr>
                      <w:sz w:val="19"/>
                    </w:rPr>
                    <w:t>≥120m</w:t>
                  </w:r>
                </w:p>
              </w:tc>
            </w:tr>
            <w:tr>
              <w:tc>
                <w:tcPr>
                  <w:tcW w:type="dxa" w:w="1865"/>
                </w:tcPr>
                <w:p>
                  <w:pPr>
                    <w:pStyle w:val="null3"/>
                    <w:jc w:val="center"/>
                  </w:pPr>
                  <w:r>
                    <w:rPr>
                      <w:sz w:val="19"/>
                    </w:rPr>
                    <w:t>3</w:t>
                  </w:r>
                </w:p>
              </w:tc>
              <w:tc>
                <w:tcPr>
                  <w:tcW w:type="dxa" w:w="1865"/>
                </w:tcPr>
                <w:p>
                  <w:pPr>
                    <w:pStyle w:val="null3"/>
                    <w:jc w:val="center"/>
                  </w:pPr>
                  <w:r>
                    <w:rPr>
                      <w:sz w:val="19"/>
                    </w:rPr>
                    <w:t>液位测量深度</w:t>
                  </w:r>
                </w:p>
              </w:tc>
              <w:tc>
                <w:tcPr>
                  <w:tcW w:type="dxa" w:w="1865"/>
                </w:tcPr>
                <w:p>
                  <w:pPr>
                    <w:pStyle w:val="null3"/>
                    <w:jc w:val="center"/>
                  </w:pPr>
                  <w:r>
                    <w:rPr>
                      <w:sz w:val="19"/>
                    </w:rPr>
                    <w:t>≥20m</w:t>
                  </w:r>
                </w:p>
              </w:tc>
            </w:tr>
            <w:tr>
              <w:tc>
                <w:tcPr>
                  <w:tcW w:type="dxa" w:w="1865"/>
                </w:tcPr>
                <w:p>
                  <w:pPr>
                    <w:pStyle w:val="null3"/>
                    <w:jc w:val="center"/>
                  </w:pPr>
                  <w:r>
                    <w:rPr>
                      <w:sz w:val="19"/>
                    </w:rPr>
                    <w:t>4</w:t>
                  </w:r>
                </w:p>
              </w:tc>
              <w:tc>
                <w:tcPr>
                  <w:tcW w:type="dxa" w:w="1865"/>
                </w:tcPr>
                <w:p>
                  <w:pPr>
                    <w:pStyle w:val="null3"/>
                    <w:jc w:val="center"/>
                  </w:pPr>
                  <w:r>
                    <w:rPr>
                      <w:sz w:val="19"/>
                    </w:rPr>
                    <w:t>工作温度</w:t>
                  </w:r>
                </w:p>
              </w:tc>
              <w:tc>
                <w:tcPr>
                  <w:tcW w:type="dxa" w:w="1865"/>
                </w:tcPr>
                <w:p>
                  <w:pPr>
                    <w:pStyle w:val="null3"/>
                    <w:jc w:val="center"/>
                  </w:pPr>
                  <w:r>
                    <w:rPr>
                      <w:sz w:val="19"/>
                    </w:rPr>
                    <w:t>-5°～50℃</w:t>
                  </w:r>
                </w:p>
              </w:tc>
            </w:tr>
            <w:tr>
              <w:tc>
                <w:tcPr>
                  <w:tcW w:type="dxa" w:w="1865"/>
                </w:tcPr>
                <w:p>
                  <w:pPr>
                    <w:pStyle w:val="null3"/>
                    <w:jc w:val="center"/>
                  </w:pPr>
                  <w:r>
                    <w:rPr>
                      <w:sz w:val="19"/>
                    </w:rPr>
                    <w:t>5</w:t>
                  </w:r>
                </w:p>
              </w:tc>
              <w:tc>
                <w:tcPr>
                  <w:tcW w:type="dxa" w:w="1865"/>
                </w:tcPr>
                <w:p>
                  <w:pPr>
                    <w:pStyle w:val="null3"/>
                    <w:jc w:val="center"/>
                  </w:pPr>
                  <w:r>
                    <w:rPr>
                      <w:sz w:val="19"/>
                    </w:rPr>
                    <w:t>流速测量精度</w:t>
                  </w:r>
                </w:p>
              </w:tc>
              <w:tc>
                <w:tcPr>
                  <w:tcW w:type="dxa" w:w="1865"/>
                </w:tcPr>
                <w:p>
                  <w:pPr>
                    <w:pStyle w:val="null3"/>
                    <w:jc w:val="center"/>
                  </w:pPr>
                  <w:r>
                    <w:rPr>
                      <w:sz w:val="19"/>
                    </w:rPr>
                    <w:t>≤±5%；</w:t>
                  </w:r>
                </w:p>
              </w:tc>
            </w:tr>
            <w:tr>
              <w:tc>
                <w:tcPr>
                  <w:tcW w:type="dxa" w:w="1865"/>
                </w:tcPr>
                <w:p>
                  <w:pPr>
                    <w:pStyle w:val="null3"/>
                    <w:jc w:val="center"/>
                  </w:pPr>
                  <w:r>
                    <w:rPr>
                      <w:sz w:val="19"/>
                    </w:rPr>
                    <w:t>6</w:t>
                  </w:r>
                </w:p>
              </w:tc>
              <w:tc>
                <w:tcPr>
                  <w:tcW w:type="dxa" w:w="1865"/>
                </w:tcPr>
                <w:p>
                  <w:pPr>
                    <w:pStyle w:val="null3"/>
                    <w:jc w:val="center"/>
                  </w:pPr>
                  <w:r>
                    <w:rPr>
                      <w:sz w:val="19"/>
                    </w:rPr>
                    <w:t>剖面流速测量单元</w:t>
                  </w:r>
                </w:p>
              </w:tc>
              <w:tc>
                <w:tcPr>
                  <w:tcW w:type="dxa" w:w="1865"/>
                </w:tcPr>
                <w:p>
                  <w:pPr>
                    <w:pStyle w:val="null3"/>
                    <w:jc w:val="center"/>
                  </w:pPr>
                  <w:r>
                    <w:rPr>
                      <w:sz w:val="19"/>
                    </w:rPr>
                    <w:t>0.5～4m</w:t>
                  </w:r>
                </w:p>
              </w:tc>
            </w:tr>
            <w:tr>
              <w:tc>
                <w:tcPr>
                  <w:tcW w:type="dxa" w:w="1865"/>
                </w:tcPr>
                <w:p>
                  <w:pPr>
                    <w:pStyle w:val="null3"/>
                    <w:jc w:val="center"/>
                  </w:pPr>
                  <w:r>
                    <w:rPr>
                      <w:sz w:val="19"/>
                    </w:rPr>
                    <w:t>7</w:t>
                  </w:r>
                </w:p>
              </w:tc>
              <w:tc>
                <w:tcPr>
                  <w:tcW w:type="dxa" w:w="1865"/>
                </w:tcPr>
                <w:p>
                  <w:pPr>
                    <w:pStyle w:val="null3"/>
                    <w:jc w:val="center"/>
                  </w:pPr>
                  <w:r>
                    <w:rPr>
                      <w:sz w:val="19"/>
                    </w:rPr>
                    <w:t>剖面流速单元数量</w:t>
                  </w:r>
                </w:p>
              </w:tc>
              <w:tc>
                <w:tcPr>
                  <w:tcW w:type="dxa" w:w="1865"/>
                </w:tcPr>
                <w:p>
                  <w:pPr>
                    <w:pStyle w:val="null3"/>
                    <w:jc w:val="center"/>
                  </w:pPr>
                  <w:r>
                    <w:rPr>
                      <w:sz w:val="19"/>
                    </w:rPr>
                    <w:t>≥10</w:t>
                  </w:r>
                </w:p>
              </w:tc>
            </w:tr>
            <w:tr>
              <w:tc>
                <w:tcPr>
                  <w:tcW w:type="dxa" w:w="1865"/>
                </w:tcPr>
                <w:p>
                  <w:pPr>
                    <w:pStyle w:val="null3"/>
                    <w:jc w:val="center"/>
                  </w:pPr>
                  <w:r>
                    <w:rPr>
                      <w:sz w:val="19"/>
                    </w:rPr>
                    <w:t>8</w:t>
                  </w:r>
                </w:p>
              </w:tc>
              <w:tc>
                <w:tcPr>
                  <w:tcW w:type="dxa" w:w="1865"/>
                </w:tcPr>
                <w:p>
                  <w:pPr>
                    <w:pStyle w:val="null3"/>
                    <w:jc w:val="center"/>
                  </w:pPr>
                  <w:r>
                    <w:rPr>
                      <w:sz w:val="19"/>
                    </w:rPr>
                    <w:t>声路</w:t>
                  </w:r>
                </w:p>
              </w:tc>
              <w:tc>
                <w:tcPr>
                  <w:tcW w:type="dxa" w:w="1865"/>
                </w:tcPr>
                <w:p>
                  <w:pPr>
                    <w:pStyle w:val="null3"/>
                    <w:jc w:val="center"/>
                  </w:pPr>
                  <w:r>
                    <w:rPr>
                      <w:sz w:val="19"/>
                    </w:rPr>
                    <w:t>双声路</w:t>
                  </w:r>
                </w:p>
              </w:tc>
            </w:tr>
            <w:tr>
              <w:tc>
                <w:tcPr>
                  <w:tcW w:type="dxa" w:w="1865"/>
                </w:tcPr>
                <w:p>
                  <w:pPr>
                    <w:pStyle w:val="null3"/>
                    <w:jc w:val="center"/>
                  </w:pPr>
                  <w:r>
                    <w:rPr>
                      <w:sz w:val="19"/>
                    </w:rPr>
                    <w:t>9</w:t>
                  </w:r>
                </w:p>
              </w:tc>
              <w:tc>
                <w:tcPr>
                  <w:tcW w:type="dxa" w:w="1865"/>
                </w:tcPr>
                <w:p>
                  <w:pPr>
                    <w:pStyle w:val="null3"/>
                    <w:jc w:val="center"/>
                  </w:pPr>
                  <w:r>
                    <w:rPr>
                      <w:sz w:val="19"/>
                    </w:rPr>
                    <w:t>工作模式</w:t>
                  </w:r>
                </w:p>
              </w:tc>
              <w:tc>
                <w:tcPr>
                  <w:tcW w:type="dxa" w:w="1865"/>
                </w:tcPr>
                <w:p>
                  <w:pPr>
                    <w:pStyle w:val="null3"/>
                    <w:jc w:val="center"/>
                  </w:pPr>
                  <w:r>
                    <w:rPr>
                      <w:sz w:val="19"/>
                    </w:rPr>
                    <w:t>具备水平，斜线，垂直三种多点流速测量工作模式</w:t>
                  </w:r>
                </w:p>
              </w:tc>
            </w:tr>
            <w:tr>
              <w:tc>
                <w:tcPr>
                  <w:tcW w:type="dxa" w:w="1865"/>
                </w:tcPr>
                <w:p>
                  <w:pPr>
                    <w:pStyle w:val="null3"/>
                    <w:jc w:val="center"/>
                  </w:pPr>
                  <w:r>
                    <w:rPr>
                      <w:sz w:val="19"/>
                    </w:rPr>
                    <w:t>10</w:t>
                  </w:r>
                </w:p>
              </w:tc>
              <w:tc>
                <w:tcPr>
                  <w:tcW w:type="dxa" w:w="1865"/>
                </w:tcPr>
                <w:p>
                  <w:pPr>
                    <w:pStyle w:val="null3"/>
                    <w:jc w:val="center"/>
                  </w:pPr>
                  <w:r>
                    <w:rPr>
                      <w:sz w:val="19"/>
                    </w:rPr>
                    <w:t>换能器</w:t>
                  </w:r>
                </w:p>
              </w:tc>
              <w:tc>
                <w:tcPr>
                  <w:tcW w:type="dxa" w:w="1865"/>
                </w:tcPr>
                <w:p>
                  <w:pPr>
                    <w:pStyle w:val="null3"/>
                    <w:jc w:val="center"/>
                  </w:pPr>
                  <w:r>
                    <w:rPr>
                      <w:sz w:val="19"/>
                    </w:rPr>
                    <w:t>3波速（2个流速波束，1个水位波束）</w:t>
                  </w:r>
                </w:p>
              </w:tc>
            </w:tr>
            <w:tr>
              <w:tc>
                <w:tcPr>
                  <w:tcW w:type="dxa" w:w="1865"/>
                </w:tcPr>
                <w:p>
                  <w:pPr>
                    <w:pStyle w:val="null3"/>
                    <w:jc w:val="center"/>
                  </w:pPr>
                  <w:r>
                    <w:rPr>
                      <w:sz w:val="19"/>
                    </w:rPr>
                    <w:t>11</w:t>
                  </w:r>
                </w:p>
              </w:tc>
              <w:tc>
                <w:tcPr>
                  <w:tcW w:type="dxa" w:w="1865"/>
                </w:tcPr>
                <w:p>
                  <w:pPr>
                    <w:pStyle w:val="null3"/>
                    <w:jc w:val="center"/>
                  </w:pPr>
                  <w:r>
                    <w:rPr>
                      <w:sz w:val="19"/>
                    </w:rPr>
                    <w:t>倾斜计（横摇纵摇）</w:t>
                  </w:r>
                </w:p>
              </w:tc>
              <w:tc>
                <w:tcPr>
                  <w:tcW w:type="dxa" w:w="1865"/>
                </w:tcPr>
                <w:p>
                  <w:pPr>
                    <w:pStyle w:val="null3"/>
                    <w:jc w:val="center"/>
                  </w:pPr>
                  <w:r>
                    <w:rPr>
                      <w:sz w:val="19"/>
                    </w:rPr>
                    <w:t>倾斜精度：±0.5° 倾斜范围：±15°</w:t>
                  </w:r>
                </w:p>
              </w:tc>
            </w:tr>
            <w:tr>
              <w:tc>
                <w:tcPr>
                  <w:tcW w:type="dxa" w:w="1865"/>
                </w:tcPr>
                <w:p>
                  <w:pPr>
                    <w:pStyle w:val="null3"/>
                    <w:jc w:val="center"/>
                  </w:pPr>
                  <w:r>
                    <w:rPr>
                      <w:sz w:val="19"/>
                    </w:rPr>
                    <w:t>12</w:t>
                  </w:r>
                </w:p>
              </w:tc>
              <w:tc>
                <w:tcPr>
                  <w:tcW w:type="dxa" w:w="1865"/>
                </w:tcPr>
                <w:p>
                  <w:pPr>
                    <w:pStyle w:val="null3"/>
                    <w:jc w:val="center"/>
                  </w:pPr>
                  <w:r>
                    <w:rPr>
                      <w:sz w:val="19"/>
                    </w:rPr>
                    <w:t>流速范围</w:t>
                  </w:r>
                </w:p>
              </w:tc>
              <w:tc>
                <w:tcPr>
                  <w:tcW w:type="dxa" w:w="1865"/>
                </w:tcPr>
                <w:p>
                  <w:pPr>
                    <w:pStyle w:val="null3"/>
                    <w:jc w:val="center"/>
                  </w:pPr>
                  <w:r>
                    <w:rPr>
                      <w:sz w:val="19"/>
                    </w:rPr>
                    <w:t>0～±10.00m/s</w:t>
                  </w:r>
                </w:p>
              </w:tc>
            </w:tr>
            <w:tr>
              <w:tc>
                <w:tcPr>
                  <w:tcW w:type="dxa" w:w="1865"/>
                </w:tcPr>
                <w:p>
                  <w:pPr>
                    <w:pStyle w:val="null3"/>
                    <w:jc w:val="center"/>
                  </w:pPr>
                  <w:r>
                    <w:rPr>
                      <w:sz w:val="19"/>
                    </w:rPr>
                    <w:t>13</w:t>
                  </w:r>
                </w:p>
              </w:tc>
              <w:tc>
                <w:tcPr>
                  <w:tcW w:type="dxa" w:w="1865"/>
                </w:tcPr>
                <w:p>
                  <w:pPr>
                    <w:pStyle w:val="null3"/>
                    <w:jc w:val="center"/>
                  </w:pPr>
                  <w:r>
                    <w:rPr>
                      <w:sz w:val="19"/>
                    </w:rPr>
                    <w:t>数据存贮</w:t>
                  </w:r>
                </w:p>
              </w:tc>
              <w:tc>
                <w:tcPr>
                  <w:tcW w:type="dxa" w:w="1865"/>
                </w:tcPr>
                <w:p>
                  <w:pPr>
                    <w:pStyle w:val="null3"/>
                    <w:jc w:val="center"/>
                  </w:pPr>
                  <w:r>
                    <w:rPr>
                      <w:sz w:val="19"/>
                    </w:rPr>
                    <w:t>不低于4Mb</w:t>
                  </w:r>
                </w:p>
              </w:tc>
            </w:tr>
            <w:tr>
              <w:tc>
                <w:tcPr>
                  <w:tcW w:type="dxa" w:w="1865"/>
                </w:tcPr>
                <w:p>
                  <w:pPr>
                    <w:pStyle w:val="null3"/>
                    <w:jc w:val="center"/>
                  </w:pPr>
                  <w:r>
                    <w:rPr>
                      <w:sz w:val="19"/>
                    </w:rPr>
                    <w:t>14</w:t>
                  </w:r>
                </w:p>
              </w:tc>
              <w:tc>
                <w:tcPr>
                  <w:tcW w:type="dxa" w:w="1865"/>
                </w:tcPr>
                <w:p>
                  <w:pPr>
                    <w:pStyle w:val="null3"/>
                    <w:jc w:val="center"/>
                  </w:pPr>
                  <w:r>
                    <w:rPr>
                      <w:sz w:val="19"/>
                    </w:rPr>
                    <w:t>保护措施</w:t>
                  </w:r>
                </w:p>
              </w:tc>
              <w:tc>
                <w:tcPr>
                  <w:tcW w:type="dxa" w:w="1865"/>
                </w:tcPr>
                <w:p>
                  <w:pPr>
                    <w:pStyle w:val="null3"/>
                    <w:jc w:val="center"/>
                  </w:pPr>
                  <w:r>
                    <w:rPr>
                      <w:sz w:val="19"/>
                    </w:rPr>
                    <w:t>电源、信号防雷保护</w:t>
                  </w:r>
                </w:p>
              </w:tc>
            </w:tr>
            <w:tr>
              <w:tc>
                <w:tcPr>
                  <w:tcW w:type="dxa" w:w="1865"/>
                </w:tcPr>
                <w:p>
                  <w:pPr>
                    <w:pStyle w:val="null3"/>
                    <w:jc w:val="center"/>
                  </w:pPr>
                  <w:r>
                    <w:rPr>
                      <w:sz w:val="19"/>
                    </w:rPr>
                    <w:t>15</w:t>
                  </w:r>
                </w:p>
              </w:tc>
              <w:tc>
                <w:tcPr>
                  <w:tcW w:type="dxa" w:w="1865"/>
                </w:tcPr>
                <w:p>
                  <w:pPr>
                    <w:pStyle w:val="null3"/>
                    <w:jc w:val="center"/>
                  </w:pPr>
                  <w:r>
                    <w:rPr>
                      <w:sz w:val="19"/>
                    </w:rPr>
                    <w:t>波束扩散角</w:t>
                  </w:r>
                </w:p>
              </w:tc>
              <w:tc>
                <w:tcPr>
                  <w:tcW w:type="dxa" w:w="1865"/>
                </w:tcPr>
                <w:p>
                  <w:pPr>
                    <w:pStyle w:val="null3"/>
                    <w:jc w:val="center"/>
                  </w:pPr>
                  <w:r>
                    <w:rPr>
                      <w:sz w:val="19"/>
                    </w:rPr>
                    <w:t>≥1.4°</w:t>
                  </w:r>
                </w:p>
              </w:tc>
            </w:tr>
            <w:tr>
              <w:tc>
                <w:tcPr>
                  <w:tcW w:type="dxa" w:w="1865"/>
                </w:tcPr>
                <w:p>
                  <w:pPr>
                    <w:pStyle w:val="null3"/>
                    <w:jc w:val="center"/>
                  </w:pPr>
                  <w:r>
                    <w:rPr>
                      <w:sz w:val="19"/>
                    </w:rPr>
                    <w:t>16</w:t>
                  </w:r>
                </w:p>
              </w:tc>
              <w:tc>
                <w:tcPr>
                  <w:tcW w:type="dxa" w:w="1865"/>
                </w:tcPr>
                <w:p>
                  <w:pPr>
                    <w:pStyle w:val="null3"/>
                    <w:jc w:val="center"/>
                  </w:pPr>
                  <w:r>
                    <w:rPr>
                      <w:sz w:val="19"/>
                    </w:rPr>
                    <w:t>供电电源</w:t>
                  </w:r>
                </w:p>
              </w:tc>
              <w:tc>
                <w:tcPr>
                  <w:tcW w:type="dxa" w:w="1865"/>
                </w:tcPr>
                <w:p>
                  <w:pPr>
                    <w:pStyle w:val="null3"/>
                    <w:jc w:val="center"/>
                  </w:pPr>
                  <w:r>
                    <w:rPr>
                      <w:sz w:val="19"/>
                    </w:rPr>
                    <w:t>DC12V  100mA</w:t>
                  </w:r>
                </w:p>
              </w:tc>
            </w:tr>
            <w:tr>
              <w:tc>
                <w:tcPr>
                  <w:tcW w:type="dxa" w:w="1865"/>
                </w:tcPr>
                <w:p>
                  <w:pPr>
                    <w:pStyle w:val="null3"/>
                    <w:jc w:val="center"/>
                  </w:pPr>
                  <w:r>
                    <w:rPr>
                      <w:sz w:val="19"/>
                    </w:rPr>
                    <w:t>17</w:t>
                  </w:r>
                </w:p>
              </w:tc>
              <w:tc>
                <w:tcPr>
                  <w:tcW w:type="dxa" w:w="1865"/>
                </w:tcPr>
                <w:p>
                  <w:pPr>
                    <w:pStyle w:val="null3"/>
                    <w:jc w:val="center"/>
                  </w:pPr>
                  <w:r>
                    <w:rPr>
                      <w:sz w:val="19"/>
                    </w:rPr>
                    <w:t>通讯</w:t>
                  </w:r>
                </w:p>
              </w:tc>
              <w:tc>
                <w:tcPr>
                  <w:tcW w:type="dxa" w:w="1865"/>
                </w:tcPr>
                <w:p>
                  <w:pPr>
                    <w:pStyle w:val="null3"/>
                    <w:jc w:val="center"/>
                  </w:pPr>
                  <w:r>
                    <w:rPr>
                      <w:sz w:val="19"/>
                    </w:rPr>
                    <w:t>RS422/RS485/特殊的RS232等通讯方式，有线传输距离大于300米</w:t>
                  </w:r>
                </w:p>
              </w:tc>
            </w:tr>
            <w:tr>
              <w:tc>
                <w:tcPr>
                  <w:tcW w:type="dxa" w:w="1865"/>
                </w:tcPr>
                <w:p>
                  <w:pPr>
                    <w:pStyle w:val="null3"/>
                    <w:jc w:val="center"/>
                  </w:pPr>
                  <w:r>
                    <w:rPr>
                      <w:sz w:val="19"/>
                    </w:rPr>
                    <w:t>18</w:t>
                  </w:r>
                </w:p>
              </w:tc>
              <w:tc>
                <w:tcPr>
                  <w:tcW w:type="dxa" w:w="1865"/>
                </w:tcPr>
                <w:p>
                  <w:pPr>
                    <w:pStyle w:val="null3"/>
                    <w:jc w:val="center"/>
                  </w:pPr>
                  <w:r>
                    <w:rPr>
                      <w:sz w:val="19"/>
                    </w:rPr>
                    <w:t>测量项目</w:t>
                  </w:r>
                </w:p>
              </w:tc>
              <w:tc>
                <w:tcPr>
                  <w:tcW w:type="dxa" w:w="1865"/>
                </w:tcPr>
                <w:p>
                  <w:pPr>
                    <w:pStyle w:val="null3"/>
                    <w:jc w:val="center"/>
                  </w:pPr>
                  <w:r>
                    <w:rPr>
                      <w:sz w:val="19"/>
                    </w:rPr>
                    <w:t>流速、水位、流向</w:t>
                  </w:r>
                </w:p>
              </w:tc>
            </w:tr>
            <w:tr>
              <w:tc>
                <w:tcPr>
                  <w:tcW w:type="dxa" w:w="1865"/>
                </w:tcPr>
                <w:p>
                  <w:pPr>
                    <w:pStyle w:val="null3"/>
                    <w:jc w:val="center"/>
                  </w:pPr>
                  <w:r>
                    <w:rPr>
                      <w:sz w:val="19"/>
                    </w:rPr>
                    <w:t>19</w:t>
                  </w:r>
                </w:p>
              </w:tc>
              <w:tc>
                <w:tcPr>
                  <w:tcW w:type="dxa" w:w="1865"/>
                </w:tcPr>
                <w:p>
                  <w:pPr>
                    <w:pStyle w:val="null3"/>
                    <w:jc w:val="center"/>
                  </w:pPr>
                  <w:r>
                    <w:rPr>
                      <w:sz w:val="19"/>
                    </w:rPr>
                    <w:t>数据显示</w:t>
                  </w:r>
                </w:p>
              </w:tc>
              <w:tc>
                <w:tcPr>
                  <w:tcW w:type="dxa" w:w="1865"/>
                </w:tcPr>
                <w:p>
                  <w:pPr>
                    <w:pStyle w:val="null3"/>
                    <w:jc w:val="center"/>
                  </w:pPr>
                  <w:r>
                    <w:rPr>
                      <w:sz w:val="19"/>
                    </w:rPr>
                    <w:t>具有数据回放和实时显示功能，测量结果能用图表或曲线形式显示</w:t>
                  </w:r>
                </w:p>
              </w:tc>
            </w:tr>
            <w:tr>
              <w:tc>
                <w:tcPr>
                  <w:tcW w:type="dxa" w:w="1865"/>
                </w:tcPr>
                <w:p>
                  <w:pPr>
                    <w:pStyle w:val="null3"/>
                    <w:jc w:val="center"/>
                  </w:pPr>
                  <w:r>
                    <w:rPr>
                      <w:sz w:val="19"/>
                    </w:rPr>
                    <w:t>20</w:t>
                  </w:r>
                </w:p>
              </w:tc>
              <w:tc>
                <w:tcPr>
                  <w:tcW w:type="dxa" w:w="1865"/>
                </w:tcPr>
                <w:p>
                  <w:pPr>
                    <w:pStyle w:val="null3"/>
                    <w:jc w:val="center"/>
                  </w:pPr>
                  <w:r>
                    <w:rPr>
                      <w:sz w:val="19"/>
                    </w:rPr>
                    <w:t>流速最大测量误差</w:t>
                  </w:r>
                </w:p>
              </w:tc>
              <w:tc>
                <w:tcPr>
                  <w:tcW w:type="dxa" w:w="1865"/>
                </w:tcPr>
                <w:p>
                  <w:pPr>
                    <w:pStyle w:val="null3"/>
                    <w:jc w:val="center"/>
                  </w:pPr>
                  <w:r>
                    <w:rPr>
                      <w:sz w:val="19"/>
                    </w:rPr>
                    <w:t>测量值×1%或±0.01m/s</w:t>
                  </w:r>
                </w:p>
              </w:tc>
            </w:tr>
            <w:tr>
              <w:tc>
                <w:tcPr>
                  <w:tcW w:type="dxa" w:w="1865"/>
                </w:tcPr>
                <w:p>
                  <w:pPr>
                    <w:pStyle w:val="null3"/>
                    <w:jc w:val="center"/>
                  </w:pPr>
                  <w:r>
                    <w:rPr>
                      <w:sz w:val="19"/>
                    </w:rPr>
                    <w:t>21</w:t>
                  </w:r>
                </w:p>
              </w:tc>
              <w:tc>
                <w:tcPr>
                  <w:tcW w:type="dxa" w:w="1865"/>
                </w:tcPr>
                <w:p>
                  <w:pPr>
                    <w:pStyle w:val="null3"/>
                    <w:jc w:val="center"/>
                  </w:pPr>
                  <w:r>
                    <w:rPr>
                      <w:sz w:val="19"/>
                    </w:rPr>
                    <w:t>流向测量</w:t>
                  </w:r>
                </w:p>
              </w:tc>
              <w:tc>
                <w:tcPr>
                  <w:tcW w:type="dxa" w:w="1865"/>
                </w:tcPr>
                <w:p>
                  <w:pPr>
                    <w:pStyle w:val="null3"/>
                    <w:jc w:val="center"/>
                  </w:pPr>
                  <w:r>
                    <w:rPr>
                      <w:sz w:val="19"/>
                    </w:rPr>
                    <w:t>能识别＋/-流，即顺流与逆流</w:t>
                  </w:r>
                </w:p>
              </w:tc>
            </w:tr>
            <w:tr>
              <w:tc>
                <w:tcPr>
                  <w:tcW w:type="dxa" w:w="1865"/>
                </w:tcPr>
                <w:p>
                  <w:pPr>
                    <w:pStyle w:val="null3"/>
                    <w:jc w:val="center"/>
                  </w:pPr>
                  <w:r>
                    <w:rPr>
                      <w:sz w:val="19"/>
                    </w:rPr>
                    <w:t>22</w:t>
                  </w:r>
                </w:p>
              </w:tc>
              <w:tc>
                <w:tcPr>
                  <w:tcW w:type="dxa" w:w="1865"/>
                </w:tcPr>
                <w:p>
                  <w:pPr>
                    <w:pStyle w:val="null3"/>
                    <w:jc w:val="center"/>
                  </w:pPr>
                  <w:r>
                    <w:rPr>
                      <w:sz w:val="19"/>
                    </w:rPr>
                    <w:t>流向最大测量误差</w:t>
                  </w:r>
                </w:p>
              </w:tc>
              <w:tc>
                <w:tcPr>
                  <w:tcW w:type="dxa" w:w="1865"/>
                </w:tcPr>
                <w:p>
                  <w:pPr>
                    <w:pStyle w:val="null3"/>
                    <w:jc w:val="center"/>
                  </w:pPr>
                  <w:r>
                    <w:rPr>
                      <w:sz w:val="19"/>
                    </w:rPr>
                    <w:t>±5°</w:t>
                  </w:r>
                </w:p>
              </w:tc>
            </w:tr>
            <w:tr>
              <w:tc>
                <w:tcPr>
                  <w:tcW w:type="dxa" w:w="1865"/>
                </w:tcPr>
                <w:p>
                  <w:pPr>
                    <w:pStyle w:val="null3"/>
                    <w:jc w:val="center"/>
                  </w:pPr>
                  <w:r>
                    <w:rPr>
                      <w:sz w:val="19"/>
                    </w:rPr>
                    <w:t>23</w:t>
                  </w:r>
                </w:p>
              </w:tc>
              <w:tc>
                <w:tcPr>
                  <w:tcW w:type="dxa" w:w="1865"/>
                </w:tcPr>
                <w:p>
                  <w:pPr>
                    <w:pStyle w:val="null3"/>
                    <w:jc w:val="center"/>
                  </w:pPr>
                  <w:r>
                    <w:rPr>
                      <w:sz w:val="19"/>
                    </w:rPr>
                    <w:t>外壳防护等级</w:t>
                  </w:r>
                </w:p>
              </w:tc>
              <w:tc>
                <w:tcPr>
                  <w:tcW w:type="dxa" w:w="1865"/>
                </w:tcPr>
                <w:p>
                  <w:pPr>
                    <w:pStyle w:val="null3"/>
                    <w:jc w:val="center"/>
                  </w:pPr>
                  <w:r>
                    <w:rPr>
                      <w:sz w:val="19"/>
                    </w:rPr>
                    <w:t>IP68（要求提供第三方检测报告）</w:t>
                  </w:r>
                </w:p>
              </w:tc>
            </w:tr>
            <w:tr>
              <w:tc>
                <w:tcPr>
                  <w:tcW w:type="dxa" w:w="1865"/>
                </w:tcPr>
                <w:p>
                  <w:pPr>
                    <w:pStyle w:val="null3"/>
                    <w:jc w:val="center"/>
                  </w:pPr>
                  <w:r>
                    <w:rPr>
                      <w:sz w:val="19"/>
                    </w:rPr>
                    <w:t>24</w:t>
                  </w:r>
                </w:p>
              </w:tc>
              <w:tc>
                <w:tcPr>
                  <w:tcW w:type="dxa" w:w="1865"/>
                </w:tcPr>
                <w:p>
                  <w:pPr>
                    <w:pStyle w:val="null3"/>
                    <w:jc w:val="center"/>
                  </w:pPr>
                  <w:r>
                    <w:rPr>
                      <w:sz w:val="19"/>
                    </w:rPr>
                    <w:t>抗电磁干扰和防雷</w:t>
                  </w:r>
                </w:p>
              </w:tc>
              <w:tc>
                <w:tcPr>
                  <w:tcW w:type="dxa" w:w="1865"/>
                </w:tcPr>
                <w:p>
                  <w:pPr>
                    <w:pStyle w:val="null3"/>
                    <w:jc w:val="center"/>
                  </w:pPr>
                  <w:r>
                    <w:rPr>
                      <w:sz w:val="19"/>
                    </w:rPr>
                    <w:t>具备抗电磁干扰和防雷性能（要求提供第三方检测报告）</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4</w:t>
            </w:r>
          </w:p>
        </w:tc>
        <w:tc>
          <w:tcPr>
            <w:tcW w:type="dxa" w:w="5814"/>
          </w:tcPr>
          <w:p>
            <w:pPr>
              <w:pStyle w:val="null3"/>
              <w:jc w:val="both"/>
            </w:pPr>
            <w:r>
              <w:rPr>
                <w:sz w:val="24"/>
              </w:rPr>
              <w:t>（四）其他要求</w:t>
            </w:r>
          </w:p>
          <w:p>
            <w:pPr>
              <w:pStyle w:val="null3"/>
              <w:ind w:firstLine="480"/>
              <w:jc w:val="both"/>
            </w:pPr>
            <w:r>
              <w:rPr>
                <w:sz w:val="24"/>
              </w:rPr>
              <w:t>1、★投标人需CMA计量认证资质</w:t>
            </w:r>
            <w:r>
              <w:rPr>
                <w:sz w:val="24"/>
              </w:rPr>
              <w:t>或</w:t>
            </w:r>
            <w:r>
              <w:rPr>
                <w:sz w:val="24"/>
              </w:rPr>
              <w:t>和</w:t>
            </w:r>
            <w:r>
              <w:rPr>
                <w:sz w:val="24"/>
              </w:rPr>
              <w:t>第三方具备</w:t>
            </w:r>
            <w:r>
              <w:rPr>
                <w:sz w:val="24"/>
              </w:rPr>
              <w:t>CMA资质的检测机构</w:t>
            </w:r>
            <w:r>
              <w:rPr>
                <w:sz w:val="24"/>
              </w:rPr>
              <w:t>有合作，</w:t>
            </w:r>
            <w:r>
              <w:rPr>
                <w:sz w:val="24"/>
              </w:rPr>
              <w:t>本项目涉及的参数分类如下：流速、水位、流量</w:t>
            </w:r>
            <w:r>
              <w:rPr>
                <w:sz w:val="24"/>
              </w:rPr>
              <w:t>。（需</w:t>
            </w:r>
            <w:r>
              <w:rPr>
                <w:sz w:val="24"/>
              </w:rPr>
              <w:t>提供投标人或委托</w:t>
            </w:r>
            <w:r>
              <w:rPr>
                <w:sz w:val="24"/>
              </w:rPr>
              <w:t>机构</w:t>
            </w:r>
            <w:r>
              <w:rPr>
                <w:sz w:val="24"/>
              </w:rPr>
              <w:t>的</w:t>
            </w:r>
            <w:r>
              <w:rPr>
                <w:sz w:val="24"/>
              </w:rPr>
              <w:t>CMA资质检测机构情况表，并出具有效期内的CMA证书和项目附表清单并加盖投标人公章。 CMA检测机构为投标人分支机构/独资子公司，均视为“投标人自有的CMA检测机构”。自有检测机构的提供相关检测资质证明文件；委托第三方检测机构检测的提供</w:t>
            </w:r>
            <w:r>
              <w:rPr>
                <w:sz w:val="24"/>
              </w:rPr>
              <w:t>合作协议</w:t>
            </w:r>
            <w:r>
              <w:rPr>
                <w:sz w:val="24"/>
              </w:rPr>
              <w:t>及该检测机构的检测资质证明文件</w:t>
            </w:r>
            <w:r>
              <w:rPr>
                <w:sz w:val="24"/>
              </w:rPr>
              <w:t>）。</w:t>
            </w:r>
          </w:p>
          <w:p>
            <w:pPr>
              <w:pStyle w:val="null3"/>
              <w:ind w:firstLine="480"/>
              <w:jc w:val="both"/>
            </w:pPr>
            <w:r>
              <w:rPr>
                <w:sz w:val="24"/>
              </w:rPr>
              <w:t>2、环境场所要求</w:t>
            </w:r>
          </w:p>
          <w:p>
            <w:pPr>
              <w:pStyle w:val="null3"/>
              <w:ind w:firstLine="480"/>
              <w:jc w:val="both"/>
            </w:pPr>
            <w:r>
              <w:rPr>
                <w:sz w:val="24"/>
              </w:rPr>
              <w:t>投标人提供存放备品耗材、配件、备机、文件、记录及档案的场所，存放物品时按类别分开存放，且存放环境配备抽湿机、温湿度器、空调等有利于备品存放的环境。</w:t>
            </w:r>
          </w:p>
          <w:p>
            <w:pPr>
              <w:pStyle w:val="null3"/>
              <w:ind w:firstLine="480"/>
              <w:jc w:val="both"/>
            </w:pPr>
            <w:r>
              <w:rPr>
                <w:sz w:val="24"/>
              </w:rPr>
              <w:t>3、服务人员要求</w:t>
            </w:r>
          </w:p>
          <w:p>
            <w:pPr>
              <w:pStyle w:val="null3"/>
              <w:ind w:firstLine="480"/>
              <w:jc w:val="both"/>
            </w:pPr>
            <w:r>
              <w:rPr>
                <w:sz w:val="24"/>
              </w:rPr>
              <w:t>（</w:t>
            </w:r>
            <w:r>
              <w:rPr>
                <w:sz w:val="24"/>
              </w:rPr>
              <w:t>1）服务团队中的项目负责人（1名）须负责过同类项目工作，并具有</w:t>
            </w:r>
            <w:r>
              <w:rPr>
                <w:sz w:val="24"/>
              </w:rPr>
              <w:t>环境</w:t>
            </w:r>
            <w:r>
              <w:rPr>
                <w:sz w:val="24"/>
              </w:rPr>
              <w:t>类或水文类专业职称；其他团队成员（不少于</w:t>
            </w:r>
            <w:r>
              <w:rPr>
                <w:sz w:val="24"/>
              </w:rPr>
              <w:t>4名）须具备熟悉项目各设备操作的能力，可独立完成服务工作。</w:t>
            </w:r>
          </w:p>
          <w:p>
            <w:pPr>
              <w:pStyle w:val="null3"/>
              <w:ind w:firstLine="480"/>
              <w:jc w:val="both"/>
            </w:pPr>
            <w:r>
              <w:rPr>
                <w:sz w:val="24"/>
              </w:rPr>
              <w:t>（</w:t>
            </w:r>
            <w:r>
              <w:rPr>
                <w:sz w:val="24"/>
              </w:rPr>
              <w:t>2）为保证流量计现场运维与比测率定等水上作业的人身安全，要求投标人至少配备1名取得游泳救生员国家职业资格证书5级（含）以上的安全保障人员。</w:t>
            </w:r>
          </w:p>
          <w:p>
            <w:pPr>
              <w:pStyle w:val="null3"/>
              <w:jc w:val="both"/>
            </w:pPr>
            <w:r>
              <w:rPr>
                <w:sz w:val="24"/>
              </w:rPr>
              <w:t>（</w:t>
            </w:r>
            <w:r>
              <w:rPr>
                <w:sz w:val="24"/>
              </w:rPr>
              <w:t>3）配备至少1名具有至少5年以上水文流量数据管理软件平台维护经验且通过信息安全保障人员认证的后端运维人员。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广东省广州生态环境监测中心站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投标人可参投一个或多个采购包，但最多只能被推荐为1个采购包的第一中标候选人。本项目依照采购包号从小到大顺序进行评审，已推荐为第一中标候选人的，将不再推荐为其他采购包的第一中标候选人。例如：投标人已推荐为采购包1的第一中标候选人，则不再推荐为采购包2的第一中标候选人，采购包2由综合得分排名第二的投标人替补，依次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采购机构代理服务收费标准：采购代理服务费参照广州市工程招标代理行业协会关于印发《广州市招标代理服务费计费规则》的通知（穗招代理协[2017]号）执行，以中标金额为基准按差额定率累进法计算。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标人在本项目发布结果公告后3天内，须提供与递交投标文件电子标书内容一致且每页加盖单位公章的纸质文件1套（1正）及电子版投标文件U盘（或光盘）1份给采购人（邮寄地址：广州市番禺区大学城中心南大街19号，联系人：姚工，020-32662150），邮寄外包裹须注明项目名称、项目编号、包号（如有）、投标人名称等能识别其身份的信息，请合理安排时间并及时将快递单号发送至采购代理机构邮箱（gdonghongye@163.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许小姐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开展增城石滩、白云河口、西江引水（石门）、流溪河太平、街口5个水自动监测站日常运行维护和水站数据采集、监控服务)：综合评分法,是指投标文件满足招标文件全部实质性要求，且按照评审因素的量化指标评审得分最高的投标人为中标候选人的评标方法。（最低报价不是中标的唯一依据。）</w:t>
      </w:r>
    </w:p>
    <w:p>
      <w:pPr>
        <w:pStyle w:val="null3"/>
      </w:pPr>
      <w:r>
        <w:rPr/>
        <w:t>采购包2(7个水站流量设备运维及率定比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采购包1（开展增城石滩、白云河口、西江引水（石门）、流溪河太平、街口5个水自动监测站日常运行维护和水站数据采集、监控服务）：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采购包2（7个水站流量设备运维及率定比对）：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采购包1（开展增城石滩、白云河口、西江引水（石门）、流溪河太平、街口5个水自动监测站日常运行维护和水站数据采集、监控服务）：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本采购包属于专门面向小微企业采购的项目，投标人须符合本项目采购标的对应行业（其他未列明行业）政策划分标准的小微企业。监狱企业、残疾人福利单位视同小型、微型企业。 注1：小微企业以投标人填写的《中小企业声明函》（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投标人可登陆https://gdgpo.czt.gd.gov.cn/freecms/site/guangdong/tz/info/2024/15000058.html查阅。</w:t>
            </w:r>
          </w:p>
        </w:tc>
      </w:tr>
    </w:tbl>
    <w:p>
      <w:pPr>
        <w:pStyle w:val="null3"/>
      </w:pPr>
      <w:r>
        <w:rPr/>
        <w:t>采购包2（7个水站流量设备运维及率定比对）：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本采购包属于专门面向小微企业采购的项目，投标人须符合本项目采购标的对应行业（其他未列明行业）政策划分标准的小微企业。监狱企业、残疾人福利单位视同小型、微型企业。 注1：小微企业以投标人填写的《中小企业声明函》（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投标人可登陆https://gdgpo.czt.gd.gov.cn/freecms/site/guangdong/tz/info/2024/15000058.html查阅。</w:t>
            </w:r>
          </w:p>
        </w:tc>
      </w:tr>
    </w:tbl>
    <w:p>
      <w:pPr>
        <w:pStyle w:val="null3"/>
        <w:ind w:firstLine="480"/>
      </w:pPr>
      <w:r>
        <w:rPr/>
        <w:t>表二符合性审查表：</w:t>
      </w:r>
    </w:p>
    <w:p>
      <w:pPr>
        <w:pStyle w:val="null3"/>
      </w:pPr>
      <w:r>
        <w:rPr/>
        <w:t>采购包1（开展增城石滩、白云河口、西江引水（石门）、流溪河太平、街口5个水自动监测站日常运行维护和水站数据采集、监控服务）：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总金额是固定价且是唯一的，未超过本项目采购预算。如果评标委员会认为投标供应商的报价明显低于其他通过符合性审查投标供应商的报价，有可能影响产品质量或者不能诚信履约的，将要求其在评标现场合理的时间内提供书面说明，必要时提交相关证明材料；投标供应商应能证明其报价合理性的。</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5</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采购包2（7个水站流量设备运维及率定比对）：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总金额是固定价且是唯一的，未超过本项目采购预算。如果评标委员会认为投标供应商的报价明显低于其他通过符合性审查投标供应商的报价，有可能影响产品质量或者不能诚信履约的，将要求其在评标现场合理的时间内提供书面说明，必要时提交相关证明材料；投标供应商应能证明其报价合理性的。</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5</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6</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采购包1(开展增城石滩、白云河口、西江引水（石门）、流溪河太平、街口5个水自动监测站日常运行维护和水站数据采集、监控服务):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(5.0分)</w:t>
            </w:r>
          </w:p>
        </w:tc>
        <w:tc>
          <w:tcPr>
            <w:tcW w:type="dxa" w:w="5076"/>
          </w:tcPr>
          <w:p>
            <w:pPr>
              <w:pStyle w:val="null3"/>
              <w:jc w:val="left"/>
            </w:pPr>
            <w:r>
              <w:rPr/>
              <w:t>根据各投标人对采购需求重要技术参数（带“▲”共5条）响应程度进行评审：满足或优于采购需求的每条得1分，5条全部满足或优于采购需求最高得5分。 【注：采购需求中要求提供相关证明材料的，必须按采购需求要求提供相关证明材料，如未按要求提供相关证明材料的，则视为“不满足”。若采购需求中无明确证明材料的，以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总体服务方案A (3.0分)</w:t>
            </w:r>
          </w:p>
        </w:tc>
        <w:tc>
          <w:tcPr>
            <w:tcW w:type="dxa" w:w="5076"/>
          </w:tcPr>
          <w:p>
            <w:pPr>
              <w:pStyle w:val="null3"/>
              <w:jc w:val="left"/>
            </w:pPr>
            <w:r>
              <w:rPr/>
              <w:t>（1）能提供总体服务方案，得1分，不提供不得分。 （2）总体服务方案能同时包括：①拟采用的服务模式、②项目重点难点的分析、③对项目重点难点的应对方案及解决措施、④项目总体质量保障措施、⑤不可预见因素预案、⑥总体服务方案的优势与亮点阐述，得2分；如未能同时包含上述6项内容，有缺漏项的，不得分。</w:t>
            </w:r>
          </w:p>
        </w:tc>
      </w:tr>
      <w:tr>
        <w:tc>
          <w:tcPr>
            <w:tcW w:type="dxa" w:w="922"/>
            <w:gridSpan w:val="2"/>
            <w:vMerge/>
          </w:tcPr>
          <w:p/>
        </w:tc>
        <w:tc>
          <w:tcPr>
            <w:tcW w:type="dxa" w:w="2307"/>
          </w:tcPr>
          <w:p>
            <w:pPr>
              <w:pStyle w:val="null3"/>
              <w:jc w:val="left"/>
            </w:pPr>
            <w:r>
              <w:rPr/>
              <w:t>总体服务方案B (4.0分)</w:t>
            </w:r>
          </w:p>
        </w:tc>
        <w:tc>
          <w:tcPr>
            <w:tcW w:type="dxa" w:w="5076"/>
          </w:tcPr>
          <w:p>
            <w:pPr>
              <w:pStyle w:val="null3"/>
              <w:jc w:val="left"/>
            </w:pPr>
            <w:r>
              <w:rPr/>
              <w:t>针对总体服务方案能包括：拟采用的服务模式、项目重点难点的分析、对项目重点难点的应对方案及解决措施、质量保障措施、不可预见因素预案、总体服务方案的优势与亮点阐述，能满足或优于采购需求的，得4分；基本满足采购需求的，得2分；不能满足采购需求的，不得分。</w:t>
            </w:r>
          </w:p>
        </w:tc>
      </w:tr>
      <w:tr>
        <w:tc>
          <w:tcPr>
            <w:tcW w:type="dxa" w:w="922"/>
            <w:gridSpan w:val="2"/>
            <w:vMerge/>
          </w:tcPr>
          <w:p/>
        </w:tc>
        <w:tc>
          <w:tcPr>
            <w:tcW w:type="dxa" w:w="2307"/>
          </w:tcPr>
          <w:p>
            <w:pPr>
              <w:pStyle w:val="null3"/>
              <w:jc w:val="left"/>
            </w:pPr>
            <w:r>
              <w:rPr/>
              <w:t>运作流程方案A (3.0分)</w:t>
            </w:r>
          </w:p>
        </w:tc>
        <w:tc>
          <w:tcPr>
            <w:tcW w:type="dxa" w:w="5076"/>
          </w:tcPr>
          <w:p>
            <w:pPr>
              <w:pStyle w:val="null3"/>
              <w:jc w:val="left"/>
            </w:pPr>
            <w:r>
              <w:rPr/>
              <w:t>（1）能提供运作流程方案，得1分，不提供不得分。 （2）运作流程方案能同时包括：①针对本项目拟定实现的目标、②针对本项目的人员岗位设置、③运维工作规范性流程、④针对人员和零备件耗材的管理规章制度、⑤针对运维人员的奖惩考核制度，得2分；如未能同时包含上述5项内容，有缺漏项的，不得分。</w:t>
            </w:r>
          </w:p>
        </w:tc>
      </w:tr>
      <w:tr>
        <w:tc>
          <w:tcPr>
            <w:tcW w:type="dxa" w:w="922"/>
            <w:gridSpan w:val="2"/>
            <w:vMerge/>
          </w:tcPr>
          <w:p/>
        </w:tc>
        <w:tc>
          <w:tcPr>
            <w:tcW w:type="dxa" w:w="2307"/>
          </w:tcPr>
          <w:p>
            <w:pPr>
              <w:pStyle w:val="null3"/>
              <w:jc w:val="left"/>
            </w:pPr>
            <w:r>
              <w:rPr/>
              <w:t>运作流程方案B (4.0分)</w:t>
            </w:r>
          </w:p>
        </w:tc>
        <w:tc>
          <w:tcPr>
            <w:tcW w:type="dxa" w:w="5076"/>
          </w:tcPr>
          <w:p>
            <w:pPr>
              <w:pStyle w:val="null3"/>
              <w:jc w:val="left"/>
            </w:pPr>
            <w:r>
              <w:rPr/>
              <w:t>针对运作流程方案能包括：针对本项目拟定实现的目标、针对本项目的人员岗位设置、运维工作规范性流程、针对人员和零备件耗材的管理规章制度、针对运维人员的奖惩考核制度，能满足或优于采购需求的，得4分；基本满足采购需求的，得2分；不能满足采购需求的，不得分。</w:t>
            </w:r>
          </w:p>
        </w:tc>
      </w:tr>
      <w:tr>
        <w:tc>
          <w:tcPr>
            <w:tcW w:type="dxa" w:w="922"/>
            <w:gridSpan w:val="2"/>
            <w:vMerge/>
          </w:tcPr>
          <w:p/>
        </w:tc>
        <w:tc>
          <w:tcPr>
            <w:tcW w:type="dxa" w:w="2307"/>
          </w:tcPr>
          <w:p>
            <w:pPr>
              <w:pStyle w:val="null3"/>
              <w:jc w:val="left"/>
            </w:pPr>
            <w:r>
              <w:rPr/>
              <w:t>突发应急事件响应方案A (3.0分)</w:t>
            </w:r>
          </w:p>
        </w:tc>
        <w:tc>
          <w:tcPr>
            <w:tcW w:type="dxa" w:w="5076"/>
          </w:tcPr>
          <w:p>
            <w:pPr>
              <w:pStyle w:val="null3"/>
              <w:jc w:val="left"/>
            </w:pPr>
            <w:r>
              <w:rPr/>
              <w:t>（1）能提供突发应急事件响应方案，得1分，不提供不得分。 （2）突发应急事件响应方案能同时包括：①可能发生的各种突发应急事件的情形分析、②突发应急事件响应时间、③可投入应急服务人员数量、④针对各种情形的突发应急事件的应急措施，得2分；如未能同时包含上述4项内容，有缺漏项的，不得分。 （提供突发应急事件响应方案的同时提供应急承诺，并附应急人员的投标截止日前6个月内任意一个月在投标单位缴纳社保证明，否则不得分）</w:t>
            </w:r>
          </w:p>
        </w:tc>
      </w:tr>
      <w:tr>
        <w:tc>
          <w:tcPr>
            <w:tcW w:type="dxa" w:w="922"/>
            <w:gridSpan w:val="2"/>
            <w:vMerge/>
          </w:tcPr>
          <w:p/>
        </w:tc>
        <w:tc>
          <w:tcPr>
            <w:tcW w:type="dxa" w:w="2307"/>
          </w:tcPr>
          <w:p>
            <w:pPr>
              <w:pStyle w:val="null3"/>
              <w:jc w:val="left"/>
            </w:pPr>
            <w:r>
              <w:rPr/>
              <w:t>突发应急事件响应方案B (4.0分)</w:t>
            </w:r>
          </w:p>
        </w:tc>
        <w:tc>
          <w:tcPr>
            <w:tcW w:type="dxa" w:w="5076"/>
          </w:tcPr>
          <w:p>
            <w:pPr>
              <w:pStyle w:val="null3"/>
              <w:jc w:val="left"/>
            </w:pPr>
            <w:r>
              <w:rPr/>
              <w:t>针对突发应急事件响应方案能包括：可能发生的各种突发应急事件的情形分析、突发应急事件响应时间、可投入应急服务人员数量、针对各种情形的突发应急事件的应急措施，能满足或优于采购需求的，得4分；基本满足采购需求的，得2分；不能满足采购需求的，不得分。</w:t>
            </w:r>
          </w:p>
        </w:tc>
      </w:tr>
      <w:tr>
        <w:tc>
          <w:tcPr>
            <w:tcW w:type="dxa" w:w="922"/>
            <w:gridSpan w:val="2"/>
            <w:vMerge/>
          </w:tcPr>
          <w:p/>
        </w:tc>
        <w:tc>
          <w:tcPr>
            <w:tcW w:type="dxa" w:w="2307"/>
          </w:tcPr>
          <w:p>
            <w:pPr>
              <w:pStyle w:val="null3"/>
              <w:jc w:val="left"/>
            </w:pPr>
            <w:r>
              <w:rPr/>
              <w:t>对保证监测结果的准确性提出的有针对性的方案和措施A (3.0分)</w:t>
            </w:r>
          </w:p>
        </w:tc>
        <w:tc>
          <w:tcPr>
            <w:tcW w:type="dxa" w:w="5076"/>
          </w:tcPr>
          <w:p>
            <w:pPr>
              <w:pStyle w:val="null3"/>
              <w:jc w:val="left"/>
            </w:pPr>
            <w:r>
              <w:rPr/>
              <w:t>（1）能提出对保证监测结果的准确性的针对性方案及措施，得1分，不提供不得分。 （2）对保证监测结果的准确性的针对性方案和措施能同时包括：①影响监测结果的因素分析及解决措施、②实施运维工作中的质量保证措施、③针对监测结果的专项质量保证及质量控制工作方案，得2分；如未能同时包含上述3项内容，有缺漏项的，不得分。</w:t>
            </w:r>
          </w:p>
        </w:tc>
      </w:tr>
      <w:tr>
        <w:tc>
          <w:tcPr>
            <w:tcW w:type="dxa" w:w="922"/>
            <w:gridSpan w:val="2"/>
            <w:vMerge/>
          </w:tcPr>
          <w:p/>
        </w:tc>
        <w:tc>
          <w:tcPr>
            <w:tcW w:type="dxa" w:w="2307"/>
          </w:tcPr>
          <w:p>
            <w:pPr>
              <w:pStyle w:val="null3"/>
              <w:jc w:val="left"/>
            </w:pPr>
            <w:r>
              <w:rPr/>
              <w:t>对保证监测结果的准确性提出的有针对性的方案和措施B (5.0分)</w:t>
            </w:r>
          </w:p>
        </w:tc>
        <w:tc>
          <w:tcPr>
            <w:tcW w:type="dxa" w:w="5076"/>
          </w:tcPr>
          <w:p>
            <w:pPr>
              <w:pStyle w:val="null3"/>
              <w:jc w:val="left"/>
            </w:pPr>
            <w:r>
              <w:rPr/>
              <w:t>对保证监测结果的准确性提出的具有针对性的方案及措施能包括：影响监测结果的因素分析及解决措施、实施运维工作中的质量保证措施、针对监测结果的专项质量保证及质量控制工作方案，及针对本项目重金属分析仪的常见故障处理方案，能满足或优于采购需求的，得5分；基本满足采购需求的，得2分；不能满足采购需求的，不得分。</w:t>
            </w:r>
          </w:p>
        </w:tc>
      </w:tr>
      <w:tr>
        <w:tc>
          <w:tcPr>
            <w:tcW w:type="dxa" w:w="922"/>
            <w:gridSpan w:val="2"/>
            <w:vMerge/>
          </w:tcPr>
          <w:p/>
        </w:tc>
        <w:tc>
          <w:tcPr>
            <w:tcW w:type="dxa" w:w="2307"/>
          </w:tcPr>
          <w:p>
            <w:pPr>
              <w:pStyle w:val="null3"/>
              <w:jc w:val="left"/>
            </w:pPr>
            <w:r>
              <w:rPr/>
              <w:t>技术保障 (11.0分)</w:t>
            </w:r>
          </w:p>
        </w:tc>
        <w:tc>
          <w:tcPr>
            <w:tcW w:type="dxa" w:w="5076"/>
          </w:tcPr>
          <w:p>
            <w:pPr>
              <w:pStyle w:val="null3"/>
              <w:jc w:val="left"/>
            </w:pPr>
            <w:r>
              <w:rPr/>
              <w:t>根据投标人为本项目配备的零备件、易耗品及备机进行评审： （1）备机：根据投标人为本项目配备的水质五参数（pH、DO、水温、电导率、浊度）分析仪、氨氮分析仪、总磷分析仪、高锰酸盐指数分析仪备机数量评审，每配备一套（覆盖上述各个指标）备机得3分，最高得6分。 注：须提供上述设备的购置发票或采购合同复印件或租赁协议等证明投标人拥有所提供的设备有使用权和维护管理权并加盖投标人公章。没有提供证明材料或者评委无法认定的不得分。 （2）零备件、易耗品：投标人须承诺中标后按照采购人要求（包括但不限于采购需求中“2.3 易耗品及零备件要求”等）提供本采购包服务内容相关的零备件及易耗品的，确保零备件及易耗品满足采购人使用要求的，得5分。 注：须提供上述内容的承诺函并加盖投标人公章，同时承诺函中须明确：同意将以上承诺列入本项目合同管理中，如未按所承诺的配备方案投入本项目合同履行中的，则视为实质性合同违约，同意按合同条款追究违约责任。没有提供承诺函或者评委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(10.0分)</w:t>
            </w:r>
          </w:p>
        </w:tc>
        <w:tc>
          <w:tcPr>
            <w:tcW w:type="dxa" w:w="5076"/>
          </w:tcPr>
          <w:p>
            <w:pPr>
              <w:pStyle w:val="null3"/>
              <w:jc w:val="left"/>
            </w:pPr>
            <w:r>
              <w:rPr/>
              <w:t>根据2022年1月1日（以合同签订时间为准）以来投标人能够提供同类服务项目业绩合同复印件（同类项目指水质自动监测站运维类项目），每提供一项得2分，最高得10分，不提供不得分。 注：须提供合同关键页扫描件（含签订合同双方的单位名称、合同项目名称、签订合同双方的落款盖章、签订日期的关键页）作为同类业绩证明资料。不提供或资料不全不得分。</w:t>
            </w:r>
          </w:p>
        </w:tc>
      </w:tr>
      <w:tr>
        <w:tc>
          <w:tcPr>
            <w:tcW w:type="dxa" w:w="922"/>
            <w:gridSpan w:val="2"/>
            <w:vMerge/>
          </w:tcPr>
          <w:p/>
        </w:tc>
        <w:tc>
          <w:tcPr>
            <w:tcW w:type="dxa" w:w="2307"/>
          </w:tcPr>
          <w:p>
            <w:pPr>
              <w:pStyle w:val="null3"/>
              <w:jc w:val="left"/>
            </w:pPr>
            <w:r>
              <w:rPr/>
              <w:t>用户服务评价 (5.0分)</w:t>
            </w:r>
          </w:p>
        </w:tc>
        <w:tc>
          <w:tcPr>
            <w:tcW w:type="dxa" w:w="5076"/>
          </w:tcPr>
          <w:p>
            <w:pPr>
              <w:pStyle w:val="null3"/>
              <w:jc w:val="left"/>
            </w:pPr>
            <w:r>
              <w:rPr/>
              <w:t>以上同类服务经验中获得项目用户考核评价为正面评价（优秀、优良、良好、满意或相当于类似评价）的证明文件。每份得1分，最高5分。 注：提供上述业绩经用户盖章确认的服务评价作为证明资料，否则不得分，每个业绩只能附一份用户服务评价证明。</w:t>
            </w:r>
          </w:p>
        </w:tc>
      </w:tr>
      <w:tr>
        <w:tc>
          <w:tcPr>
            <w:tcW w:type="dxa" w:w="922"/>
            <w:gridSpan w:val="2"/>
            <w:vMerge/>
          </w:tcPr>
          <w:p/>
        </w:tc>
        <w:tc>
          <w:tcPr>
            <w:tcW w:type="dxa" w:w="2307"/>
          </w:tcPr>
          <w:p>
            <w:pPr>
              <w:pStyle w:val="null3"/>
              <w:jc w:val="left"/>
            </w:pPr>
            <w:r>
              <w:rPr/>
              <w:t>人员资质 (20.0分)</w:t>
            </w:r>
          </w:p>
        </w:tc>
        <w:tc>
          <w:tcPr>
            <w:tcW w:type="dxa" w:w="5076"/>
          </w:tcPr>
          <w:p>
            <w:pPr>
              <w:pStyle w:val="null3"/>
              <w:jc w:val="left"/>
            </w:pPr>
            <w:r>
              <w:rPr/>
              <w:t>1、拟投入的项目负责人1名： ①具有环境类中级或以上职称的得2分； ②具有注册信息安全管理人员证书，得2分； ③负责过同类项目的（同类项目指水质自动监测站运维类项目）经验，每提供1个项目得2分，最高得6分。 注：（1）提供项目负责人的对应评审内容的相关证书以及投标截止日前6个月内任意一个月在投标单位缴纳社保证明。（2）注册信息安全管理人员证书须是国家人社部或中国信息安全测评中心颁发，提供查询网站截图证明，否则不按持证人员计分。（3）同类项目的经验的证明材料（如服务项目合同（合同中需体现项目负责人的名字，若合同不体现的，投标人需提供其他材料进行补充，如验收证明或供应商盖章确认的项目负责人证明）等能够明确证明其为同类项目的负责人）。提供不全或者评委无法认定的不得分。 2、拟投入本项目数据监控人员1名， 负责过同类项目的（同类项目指水质自动监测站数据监控或水质自动监测站运维类项目）经验，每提供1个项目得1分，本小项最高得2分。 注：同类项目的经验的证明材料（如服务项目合同（合同中需体现项目数据监控人员的名字，若合同不体现的，投标人需提供其他材料进行补充，如验收证明或供应商盖章确认的项目数据监控人员证明）等能够明确证明其为同类项目的数据监控人员）。提供不全或者评委无法认定的不得分。 3、投标人拟投入本项目的运维人员中（含项目负责人、数据运维人员），每具有一名取得生态环境部门或者其授权机构颁发的水质自动监测相关的上岗证或培训合格证且具备至少2年以上水质监测及设备运维经验的人员得2分；每具有一名取得生态环境部门或者其授权机构颁发的水质自动监测相关的上岗证或培训合格证且具备至少1年以上水质监测及设备运维经验的人员得1分；其它不得分，本小项最高8分。同一人持有多证不重复计分。 注：①须提供拟投入本项目运维人员清单，标注是否已取得上岗证或培训合格证。持证人员须提供上岗证或培训合格证复印件加盖单位公章；②须提供运维人员同类项目的经验的证明材料，经验证明材料以合同复印件为准，如合同不能体现人员姓名，须提供用户出具的履历证明书或客户推荐信等证明材料复印件，以及投标截止日前6个月内任意一个月的在本单位缴纳社保证明，不提供或不符合的不得分。</w:t>
            </w:r>
          </w:p>
        </w:tc>
      </w:tr>
      <w:tr>
        <w:tc>
          <w:tcPr>
            <w:tcW w:type="dxa" w:w="922"/>
            <w:gridSpan w:val="2"/>
            <w:vMerge/>
          </w:tcPr>
          <w:p/>
        </w:tc>
        <w:tc>
          <w:tcPr>
            <w:tcW w:type="dxa" w:w="2307"/>
          </w:tcPr>
          <w:p>
            <w:pPr>
              <w:pStyle w:val="null3"/>
              <w:jc w:val="left"/>
            </w:pPr>
            <w:r>
              <w:rPr/>
              <w:t>服务响应承诺 (5.0分)</w:t>
            </w:r>
          </w:p>
        </w:tc>
        <w:tc>
          <w:tcPr>
            <w:tcW w:type="dxa" w:w="5076"/>
          </w:tcPr>
          <w:p>
            <w:pPr>
              <w:pStyle w:val="null3"/>
              <w:jc w:val="left"/>
            </w:pPr>
            <w:r>
              <w:rPr/>
              <w:t>由于项目运维的特殊性，投标人保证相关服务人员到达采购人地址的时间≤2个小时的，得5分；在2小时＜到达采购人地址的时间＜4小时的，得3分；到达采购人地址的时间≥4小时以上的，得1分。 注：提供承诺函，不提供不得分。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采购包2(7个水站流量设备运维及率定比对):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(4.0分)</w:t>
            </w:r>
          </w:p>
        </w:tc>
        <w:tc>
          <w:tcPr>
            <w:tcW w:type="dxa" w:w="5076"/>
          </w:tcPr>
          <w:p>
            <w:pPr>
              <w:pStyle w:val="null3"/>
              <w:jc w:val="left"/>
            </w:pPr>
            <w:r>
              <w:rPr/>
              <w:t>根据各投标人对采购需求附表一“具体技术(参数)要求”序号1到4的技术条款响应程度进行评审（共4大项，除“★”号条款外）：完全满足或优于招标文件要求的每大项得1分，不能全部满足的该大项不得分，本小项最高得4分。 注：采购需求中有明确提供的证明资料，则以采购需求中要求的为准，无或未按要求提供证明材料的不得分；如采购需求中无明确证明材料的，以投标人投标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整体技术方案A (5.0分)</w:t>
            </w:r>
          </w:p>
        </w:tc>
        <w:tc>
          <w:tcPr>
            <w:tcW w:type="dxa" w:w="5076"/>
          </w:tcPr>
          <w:p>
            <w:pPr>
              <w:pStyle w:val="null3"/>
              <w:jc w:val="left"/>
            </w:pPr>
            <w:r>
              <w:rPr/>
              <w:t>1、能提供整体技术方案，得2分，不提供不得分。 2、整体技术方案包括项目管理重点难点的分析、保证监测数据连续性的方案和措施、不可预见因素预案，得3分。如未能同时包含上述内容，有缺漏项的，不得分。</w:t>
            </w:r>
          </w:p>
        </w:tc>
      </w:tr>
      <w:tr>
        <w:tc>
          <w:tcPr>
            <w:tcW w:type="dxa" w:w="922"/>
            <w:gridSpan w:val="2"/>
            <w:vMerge/>
          </w:tcPr>
          <w:p/>
        </w:tc>
        <w:tc>
          <w:tcPr>
            <w:tcW w:type="dxa" w:w="2307"/>
          </w:tcPr>
          <w:p>
            <w:pPr>
              <w:pStyle w:val="null3"/>
              <w:jc w:val="left"/>
            </w:pPr>
            <w:r>
              <w:rPr/>
              <w:t>整体技术方案B (5.0分)</w:t>
            </w:r>
          </w:p>
        </w:tc>
        <w:tc>
          <w:tcPr>
            <w:tcW w:type="dxa" w:w="5076"/>
          </w:tcPr>
          <w:p>
            <w:pPr>
              <w:pStyle w:val="null3"/>
              <w:jc w:val="left"/>
            </w:pPr>
            <w:r>
              <w:rPr/>
              <w:t>针对整体技术方案，整体技术方案包括项目管理重点难点的分析、保证监测数据连续性的方案和措施、不可预见因素预案，能优于采购需求的，得5分；基本满足采购需求的，得2分；不满足采购需求的，无提供不得分。</w:t>
            </w:r>
          </w:p>
        </w:tc>
      </w:tr>
      <w:tr>
        <w:tc>
          <w:tcPr>
            <w:tcW w:type="dxa" w:w="922"/>
            <w:gridSpan w:val="2"/>
            <w:vMerge/>
          </w:tcPr>
          <w:p/>
        </w:tc>
        <w:tc>
          <w:tcPr>
            <w:tcW w:type="dxa" w:w="2307"/>
          </w:tcPr>
          <w:p>
            <w:pPr>
              <w:pStyle w:val="null3"/>
              <w:jc w:val="left"/>
            </w:pPr>
            <w:r>
              <w:rPr/>
              <w:t>突发应急事件响应方案A (5.0分)</w:t>
            </w:r>
          </w:p>
        </w:tc>
        <w:tc>
          <w:tcPr>
            <w:tcW w:type="dxa" w:w="5076"/>
          </w:tcPr>
          <w:p>
            <w:pPr>
              <w:pStyle w:val="null3"/>
              <w:jc w:val="left"/>
            </w:pPr>
            <w:r>
              <w:rPr/>
              <w:t>1、能提供突发应急事件响应方案，得2分，不提供不得分。 2、突发应急事件响应方案能同时包括：①可能发生的各种突发应急事件的情形分析、②突发应急事件响应时间、③可投入应急服务人员数量、④针对各种情形的突发应急事件的应急措施，得3分。如未能同时包含上述内容，有缺漏项的，不得分。（提供突发应急事件响应方案的同时提供应急承诺，并附应急人员的投标截止日前6个月内任意一个月在投标单位缴纳社保证明，否则不得分）</w:t>
            </w:r>
          </w:p>
        </w:tc>
      </w:tr>
      <w:tr>
        <w:tc>
          <w:tcPr>
            <w:tcW w:type="dxa" w:w="922"/>
            <w:gridSpan w:val="2"/>
            <w:vMerge/>
          </w:tcPr>
          <w:p/>
        </w:tc>
        <w:tc>
          <w:tcPr>
            <w:tcW w:type="dxa" w:w="2307"/>
          </w:tcPr>
          <w:p>
            <w:pPr>
              <w:pStyle w:val="null3"/>
              <w:jc w:val="left"/>
            </w:pPr>
            <w:r>
              <w:rPr/>
              <w:t>突发应急事件响应方案B (5.0分)</w:t>
            </w:r>
          </w:p>
        </w:tc>
        <w:tc>
          <w:tcPr>
            <w:tcW w:type="dxa" w:w="5076"/>
          </w:tcPr>
          <w:p>
            <w:pPr>
              <w:pStyle w:val="null3"/>
              <w:jc w:val="left"/>
            </w:pPr>
            <w:r>
              <w:rPr/>
              <w:t>针对突发应急事件响应方案能包括：可能发生的各种突发应急事件的情形分析、突发应急事件响应时间、可投入应急服务人员数量、针对各种情形的突发应急事件的应急措施，优于采购需求的，得5分；基本满足采购需求的，得2分；不能满足采购需求的，不得分。</w:t>
            </w:r>
          </w:p>
        </w:tc>
      </w:tr>
      <w:tr>
        <w:tc>
          <w:tcPr>
            <w:tcW w:type="dxa" w:w="922"/>
            <w:gridSpan w:val="2"/>
            <w:vMerge/>
          </w:tcPr>
          <w:p/>
        </w:tc>
        <w:tc>
          <w:tcPr>
            <w:tcW w:type="dxa" w:w="2307"/>
          </w:tcPr>
          <w:p>
            <w:pPr>
              <w:pStyle w:val="null3"/>
              <w:jc w:val="left"/>
            </w:pPr>
            <w:r>
              <w:rPr/>
              <w:t>运维服务方案A (5.0分)</w:t>
            </w:r>
          </w:p>
        </w:tc>
        <w:tc>
          <w:tcPr>
            <w:tcW w:type="dxa" w:w="5076"/>
          </w:tcPr>
          <w:p>
            <w:pPr>
              <w:pStyle w:val="null3"/>
              <w:jc w:val="left"/>
            </w:pPr>
            <w:r>
              <w:rPr/>
              <w:t>1、能提供运维服务方案，得2分。 2、维护服务方案能包括断面标准化建设服务、运行维护方案、每季度各做一次比测率定校核和质量控制与质量保证计划等，得3分。如未能同时包含上述内容，有缺漏项的，不得分。</w:t>
            </w:r>
          </w:p>
        </w:tc>
      </w:tr>
      <w:tr>
        <w:tc>
          <w:tcPr>
            <w:tcW w:type="dxa" w:w="922"/>
            <w:gridSpan w:val="2"/>
            <w:vMerge/>
          </w:tcPr>
          <w:p/>
        </w:tc>
        <w:tc>
          <w:tcPr>
            <w:tcW w:type="dxa" w:w="2307"/>
          </w:tcPr>
          <w:p>
            <w:pPr>
              <w:pStyle w:val="null3"/>
              <w:jc w:val="left"/>
            </w:pPr>
            <w:r>
              <w:rPr/>
              <w:t>运维服务方案B (5.0分)</w:t>
            </w:r>
          </w:p>
        </w:tc>
        <w:tc>
          <w:tcPr>
            <w:tcW w:type="dxa" w:w="5076"/>
          </w:tcPr>
          <w:p>
            <w:pPr>
              <w:pStyle w:val="null3"/>
              <w:jc w:val="left"/>
            </w:pPr>
            <w:r>
              <w:rPr/>
              <w:t>针对运维服务方案，能包括断面标准化建设服务、运行维护方案、每季度各做一次比测率定校核和质量控制与质量保证计划等，方案内容详细、阐述分析准确，可操作性、针对性强，得5分；方案内容完整、基本满足采购需求的，可行，得2分；缺乏针对性，未提供相关内容，得0分。</w:t>
            </w:r>
          </w:p>
        </w:tc>
      </w:tr>
      <w:tr>
        <w:tc>
          <w:tcPr>
            <w:tcW w:type="dxa" w:w="922"/>
            <w:gridSpan w:val="2"/>
            <w:vMerge/>
          </w:tcPr>
          <w:p/>
        </w:tc>
        <w:tc>
          <w:tcPr>
            <w:tcW w:type="dxa" w:w="2307"/>
          </w:tcPr>
          <w:p>
            <w:pPr>
              <w:pStyle w:val="null3"/>
              <w:jc w:val="left"/>
            </w:pPr>
            <w:r>
              <w:rPr/>
              <w:t>比测率定方案A (3.0分)</w:t>
            </w:r>
          </w:p>
        </w:tc>
        <w:tc>
          <w:tcPr>
            <w:tcW w:type="dxa" w:w="5076"/>
          </w:tcPr>
          <w:p>
            <w:pPr>
              <w:pStyle w:val="null3"/>
              <w:jc w:val="left"/>
            </w:pPr>
            <w:r>
              <w:rPr/>
              <w:t>（1）能提供比测率定方案，得1分，不提供不得分。 （2）比测率定方案能同时包括：①工作步骤、②情况分析、③技术人员及比测率定设备投入情况、④数据处理工作方案，得2分；如未能同时包含上述4项内容，有缺漏项的，不得分。</w:t>
            </w:r>
          </w:p>
        </w:tc>
      </w:tr>
      <w:tr>
        <w:tc>
          <w:tcPr>
            <w:tcW w:type="dxa" w:w="922"/>
            <w:gridSpan w:val="2"/>
            <w:vMerge/>
          </w:tcPr>
          <w:p/>
        </w:tc>
        <w:tc>
          <w:tcPr>
            <w:tcW w:type="dxa" w:w="2307"/>
          </w:tcPr>
          <w:p>
            <w:pPr>
              <w:pStyle w:val="null3"/>
              <w:jc w:val="left"/>
            </w:pPr>
            <w:r>
              <w:rPr/>
              <w:t>比测率定方案B (4.0分)</w:t>
            </w:r>
          </w:p>
        </w:tc>
        <w:tc>
          <w:tcPr>
            <w:tcW w:type="dxa" w:w="5076"/>
          </w:tcPr>
          <w:p>
            <w:pPr>
              <w:pStyle w:val="null3"/>
              <w:jc w:val="left"/>
            </w:pPr>
            <w:r>
              <w:rPr/>
              <w:t>针对比测率定方案能包括：工作步骤、情况分析、技术人员及率定设备投入情况、数据处理工作方案，能满足或优于采购需求的，得4分；基本满足采购需求的，得2分；不能满足采购需求的，不得分。</w:t>
            </w:r>
          </w:p>
        </w:tc>
      </w:tr>
      <w:tr>
        <w:tc>
          <w:tcPr>
            <w:tcW w:type="dxa" w:w="922"/>
            <w:gridSpan w:val="2"/>
            <w:vMerge/>
          </w:tcPr>
          <w:p/>
        </w:tc>
        <w:tc>
          <w:tcPr>
            <w:tcW w:type="dxa" w:w="2307"/>
          </w:tcPr>
          <w:p>
            <w:pPr>
              <w:pStyle w:val="null3"/>
              <w:jc w:val="left"/>
            </w:pPr>
            <w:r>
              <w:rPr/>
              <w:t>技术保障 (4.0分)</w:t>
            </w:r>
          </w:p>
        </w:tc>
        <w:tc>
          <w:tcPr>
            <w:tcW w:type="dxa" w:w="5076"/>
          </w:tcPr>
          <w:p>
            <w:pPr>
              <w:pStyle w:val="null3"/>
              <w:jc w:val="left"/>
            </w:pPr>
            <w:r>
              <w:rPr/>
              <w:t>（1）投标人应根据运维站点数量配置至少1套流量计备机，每套备机得1分，最高得2分； （2）投标人每具有1套走航式ADCP得0.5分，本项最高得1分； （3）投标人每具有1套水准引测与大断面测绘的测绘设备（全站仪/水准仪）得0.5分，本项最高得1分； 注：须提供上述设备的购置发票、采购合同复印件或租赁协议等证明投标人拥有所提供的设备有使用权和维护管理权并加盖投标人公章。没有提供证明材料或者评委无法认定的不得分。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(8.0分)</w:t>
            </w:r>
          </w:p>
        </w:tc>
        <w:tc>
          <w:tcPr>
            <w:tcW w:type="dxa" w:w="5076"/>
          </w:tcPr>
          <w:p>
            <w:pPr>
              <w:pStyle w:val="null3"/>
              <w:jc w:val="left"/>
            </w:pPr>
            <w:r>
              <w:rPr/>
              <w:t>根据2022年1月1日（以合同签订时间为准）以来投标人能够提供同类服务项目业绩合同复印件（同类项目指流量计运维服务项目），每提供一项得2分，最高得8分，不提供不得分。 注：须提供合同关键页扫描件（含签订合同双方的单位名称、合同项目名称、签订合同双方的落款盖章、签订日期的关键页）作为同类业绩证明资料。不提供或资料不全不得分。</w:t>
            </w:r>
          </w:p>
        </w:tc>
      </w:tr>
      <w:tr>
        <w:tc>
          <w:tcPr>
            <w:tcW w:type="dxa" w:w="922"/>
            <w:gridSpan w:val="2"/>
            <w:vMerge/>
          </w:tcPr>
          <w:p/>
        </w:tc>
        <w:tc>
          <w:tcPr>
            <w:tcW w:type="dxa" w:w="2307"/>
          </w:tcPr>
          <w:p>
            <w:pPr>
              <w:pStyle w:val="null3"/>
              <w:jc w:val="left"/>
            </w:pPr>
            <w:r>
              <w:rPr/>
              <w:t>用户服务评价 (3.0分)</w:t>
            </w:r>
          </w:p>
        </w:tc>
        <w:tc>
          <w:tcPr>
            <w:tcW w:type="dxa" w:w="5076"/>
          </w:tcPr>
          <w:p>
            <w:pPr>
              <w:pStyle w:val="null3"/>
              <w:jc w:val="left"/>
            </w:pPr>
            <w:r>
              <w:rPr/>
              <w:t>以上同类服务经验中获得项目用户考核评价为正面评价（优秀、优良、良好、满意或相当于类似评价）的证明文件。每份得1分，最高3分。 注：提供上述业绩经用户盖章确认的服务评价作为证明资料，否则不得分，每个业绩只能附一份用户服务评价证明。</w:t>
            </w:r>
          </w:p>
        </w:tc>
      </w:tr>
      <w:tr>
        <w:tc>
          <w:tcPr>
            <w:tcW w:type="dxa" w:w="922"/>
            <w:gridSpan w:val="2"/>
            <w:vMerge/>
          </w:tcPr>
          <w:p/>
        </w:tc>
        <w:tc>
          <w:tcPr>
            <w:tcW w:type="dxa" w:w="2307"/>
          </w:tcPr>
          <w:p>
            <w:pPr>
              <w:pStyle w:val="null3"/>
              <w:jc w:val="left"/>
            </w:pPr>
            <w:r>
              <w:rPr/>
              <w:t>成果报告 (2.0分)</w:t>
            </w:r>
          </w:p>
        </w:tc>
        <w:tc>
          <w:tcPr>
            <w:tcW w:type="dxa" w:w="5076"/>
          </w:tcPr>
          <w:p>
            <w:pPr>
              <w:pStyle w:val="null3"/>
              <w:jc w:val="left"/>
            </w:pPr>
            <w:r>
              <w:rPr/>
              <w:t>投标人具有水文流量站点比测率定成功案例并出具比测率定成果报告，且对应水文流量站点比测率定成果报告须取得该终端用户主管部门同意使用的批复。每提供一份得1分，最高得2分。 注：投标人同时提供①加盖国内终端用户公章的流量比测率定分析成果报告②该终端用户主管部门出具的批复证明文件。不提供、提供不全或者专家无法认定的不得分】</w:t>
            </w:r>
          </w:p>
        </w:tc>
      </w:tr>
      <w:tr>
        <w:tc>
          <w:tcPr>
            <w:tcW w:type="dxa" w:w="922"/>
            <w:gridSpan w:val="2"/>
            <w:vMerge/>
          </w:tcPr>
          <w:p/>
        </w:tc>
        <w:tc>
          <w:tcPr>
            <w:tcW w:type="dxa" w:w="2307"/>
          </w:tcPr>
          <w:p>
            <w:pPr>
              <w:pStyle w:val="null3"/>
              <w:jc w:val="left"/>
            </w:pPr>
            <w:r>
              <w:rPr/>
              <w:t>投标人拟投入本项目组的人员情况 (16.0分)</w:t>
            </w:r>
          </w:p>
        </w:tc>
        <w:tc>
          <w:tcPr>
            <w:tcW w:type="dxa" w:w="5076"/>
          </w:tcPr>
          <w:p>
            <w:pPr>
              <w:pStyle w:val="null3"/>
              <w:jc w:val="left"/>
            </w:pPr>
            <w:r>
              <w:rPr/>
              <w:t>一、拟投入本项目的项目负责人： 1、具有环境类或水文类高级职称的得4分；具有环境类或水文类中级职称的得2分；其它不得分，以上最高得4分。 2、具有流量计运维项目管理经验的，5年（含）以上得2分；3年（含）至4年的得1分；低于3年（不含）不得分； 3、负责过同类项目的(同类项目指流量计运维项目)，每提供1个项目得1分，最高得2分。 注：须提供项目负责人职称证书、同类项目的经验的证明材料（如服务项目合同（合同中需体现项目负责人的名字，若合同不体现的，投标人需提供其他材料进行补充，如验收证明或供应商盖章确认的项目负责人证明）等能够明确证明其为同类项目的负责人），以及投标截止日前6个月内任意一个月在投标单位缴纳社保证明。提供不全或者评委无法认定的不得分。 二、拟投入本项目的项目团队人员（除负责人以外）： 1、现场运维技术人员：每具有一名环境类或水文类中级（含）以上职称且具备至少2年以上流量计运维经验的人员得1分；每具有一名环境类或水文类初级职称的人员且具备至少1年以上流量计运维经验得0.5分；其它不得分，以上最高4分。同一人持有多证不重复计分。 2、安全保障人员：为保证流量计现场运维与比测率定等水上作业的人身安全，要求投标人至少配备1名取得游泳救生员国家职业资格证书5级（含）以上的安全保障人员，得2分。 3、后端技术服务人员：配备至少1名具有至少5年以上水文流量数据管理软件平台维护经验且通过信息安全保障人员认证的后端运维人员，得2分。 注：（1）项目负责人、现场运维技术服务人员、安全保障人员、后端技术运维人员在本项目中不得兼任。投标人须针对以上要求提供对应职称证书、资质证书；经验证明材料以合同复印件为准，如合同不能体现人员姓名，须提供用户出具的履历证明书或客户推荐信等证明材料复印件；（2）投标截止日前6个月内任意一个月在投标单位缴纳社保证明并加盖投标人公章，不提供或不符合的不得分。</w:t>
            </w:r>
          </w:p>
        </w:tc>
      </w:tr>
      <w:tr>
        <w:tc>
          <w:tcPr>
            <w:tcW w:type="dxa" w:w="922"/>
            <w:gridSpan w:val="2"/>
            <w:vMerge/>
          </w:tcPr>
          <w:p/>
        </w:tc>
        <w:tc>
          <w:tcPr>
            <w:tcW w:type="dxa" w:w="2307"/>
          </w:tcPr>
          <w:p>
            <w:pPr>
              <w:pStyle w:val="null3"/>
              <w:jc w:val="left"/>
            </w:pPr>
            <w:r>
              <w:rPr/>
              <w:t>服务响应承诺 (5.0分)</w:t>
            </w:r>
          </w:p>
        </w:tc>
        <w:tc>
          <w:tcPr>
            <w:tcW w:type="dxa" w:w="5076"/>
          </w:tcPr>
          <w:p>
            <w:pPr>
              <w:pStyle w:val="null3"/>
              <w:jc w:val="left"/>
            </w:pPr>
            <w:r>
              <w:rPr/>
              <w:t>由于项目运维的特殊性，投标人保证相关服务人员到达采购人地址的时间≤2个小时的，得5分；在2小时＜到达采购人地址的时间＜4小时的，得3分；到达采购人地址的时间≥4小时以上的，得1分。 注：提供承诺函，不提供不得分。</w:t>
            </w:r>
          </w:p>
        </w:tc>
      </w:tr>
      <w:tr>
        <w:tc>
          <w:tcPr>
            <w:tcW w:type="dxa" w:w="922"/>
            <w:gridSpan w:val="2"/>
            <w:vMerge/>
          </w:tcPr>
          <w:p/>
        </w:tc>
        <w:tc>
          <w:tcPr>
            <w:tcW w:type="dxa" w:w="2307"/>
          </w:tcPr>
          <w:p>
            <w:pPr>
              <w:pStyle w:val="null3"/>
              <w:jc w:val="left"/>
            </w:pPr>
            <w:r>
              <w:rPr/>
              <w:t>环境场所 (6.0分)</w:t>
            </w:r>
          </w:p>
        </w:tc>
        <w:tc>
          <w:tcPr>
            <w:tcW w:type="dxa" w:w="5076"/>
          </w:tcPr>
          <w:p>
            <w:pPr>
              <w:pStyle w:val="null3"/>
              <w:jc w:val="left"/>
            </w:pPr>
            <w:r>
              <w:rPr/>
              <w:t>投标人具有（或承诺中标后提供）统一存放备品耗材、配件、备机、文件、记录及档案的场所： （1）存放环境配备抽湿机、温湿度器、空调的得3分。 （2）存放环境中相关配套设备按类别分开存放的得3分。 注：1）场地证明部分：提供存放环境场所的产权证明，或租赁合同证明； 2）配备设备部分：提供上述配套设备（抽湿机、温湿度器、空调）自有设备提供购买发票（购买方为投标人）或租赁设备提供租用合同（租用方为投标人）的相关证明材料； 3）按类别分开存放提供现场照片，明确分类。 上述内容未提供或提供不清晰导致评委无法判断的不得分。 4）承诺中标后提供的：投标人承诺如中标后，与采购人签订合同之日起7天内提供上述对应场地（含配套设备及按类别存放方式）（提供《承诺函》，格式自拟）。未提供或提供内容不符合上述要求的不得分。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shd w:fill="FFFFFF" w:val="clear"/>
        </w:rPr>
        <w:t>广东省广州生态环境监测中心站</w:t>
      </w:r>
    </w:p>
    <w:p>
      <w:pPr>
        <w:pStyle w:val="null3"/>
        <w:jc w:val="center"/>
      </w:pPr>
      <w:r>
        <w:rPr>
          <w:sz w:val="48"/>
          <w:shd w:fill="FFFFFF" w:val="clear"/>
        </w:rPr>
        <w:t>招</w:t>
      </w:r>
      <w:r>
        <w:rPr>
          <w:sz w:val="48"/>
          <w:shd w:fill="FFFFFF" w:val="clear"/>
        </w:rPr>
        <w:t>标</w:t>
      </w:r>
      <w:r>
        <w:rPr>
          <w:sz w:val="48"/>
          <w:shd w:fill="FFFFFF" w:val="clear"/>
        </w:rPr>
        <w:t>合</w:t>
      </w:r>
      <w:r>
        <w:rPr>
          <w:sz w:val="48"/>
          <w:shd w:fill="FFFFFF" w:val="clear"/>
        </w:rPr>
        <w:t>同</w:t>
      </w:r>
    </w:p>
    <w:p>
      <w:pPr>
        <w:pStyle w:val="null3"/>
        <w:jc w:val="center"/>
      </w:pPr>
      <w:r>
        <w:rPr>
          <w:sz w:val="28"/>
        </w:rPr>
        <w:t>项目名称：</w:t>
      </w:r>
      <w:r>
        <w:rPr>
          <w:sz w:val="21"/>
          <w:u w:val="single"/>
        </w:rPr>
        <w:t xml:space="preserve">                                    </w:t>
      </w:r>
    </w:p>
    <w:p>
      <w:pPr>
        <w:pStyle w:val="null3"/>
        <w:ind w:firstLine="742"/>
        <w:jc w:val="both"/>
      </w:pPr>
      <w:r>
        <w:rPr>
          <w:sz w:val="28"/>
        </w:rPr>
        <w:t>需方（甲方）：</w:t>
      </w:r>
      <w:r>
        <w:rPr>
          <w:sz w:val="21"/>
          <w:u w:val="single"/>
        </w:rPr>
        <w:t xml:space="preserve">                                 </w:t>
      </w:r>
    </w:p>
    <w:p>
      <w:pPr>
        <w:pStyle w:val="null3"/>
        <w:ind w:firstLine="742"/>
        <w:jc w:val="both"/>
      </w:pPr>
      <w:r>
        <w:rPr>
          <w:sz w:val="28"/>
        </w:rPr>
        <w:t>供方（乙方）：</w:t>
      </w:r>
      <w:r>
        <w:rPr>
          <w:sz w:val="21"/>
          <w:u w:val="single"/>
        </w:rPr>
        <w:t xml:space="preserve">                                 </w:t>
      </w:r>
    </w:p>
    <w:p>
      <w:pPr>
        <w:pStyle w:val="null3"/>
        <w:ind w:firstLine="742"/>
        <w:jc w:val="both"/>
      </w:pPr>
      <w:r>
        <w:rPr>
          <w:sz w:val="28"/>
        </w:rPr>
        <w:t>签订时间：</w:t>
      </w:r>
      <w:r>
        <w:rPr>
          <w:sz w:val="21"/>
          <w:u w:val="single"/>
        </w:rPr>
        <w:t xml:space="preserve">                                     </w:t>
      </w:r>
    </w:p>
    <w:p>
      <w:pPr>
        <w:pStyle w:val="null3"/>
        <w:ind w:firstLine="742"/>
        <w:jc w:val="both"/>
      </w:pPr>
      <w:r>
        <w:rPr>
          <w:sz w:val="28"/>
        </w:rPr>
        <w:t>签订地点：</w:t>
      </w:r>
      <w:r>
        <w:rPr>
          <w:sz w:val="21"/>
          <w:u w:val="single"/>
        </w:rPr>
        <w:t xml:space="preserve">                                     </w:t>
      </w:r>
    </w:p>
    <w:p>
      <w:pPr>
        <w:pStyle w:val="null3"/>
        <w:jc w:val="both"/>
      </w:pPr>
      <w:r>
        <w:rPr>
          <w:sz w:val="21"/>
          <w:b/>
        </w:rPr>
        <w:t>注：本合同仅为合同的参考文本，合同签订双方可根据项目的具体要求进行修订，但不得修改实质性条款。</w:t>
      </w:r>
    </w:p>
    <w:p>
      <w:pPr>
        <w:pStyle w:val="null3"/>
        <w:jc w:val="both"/>
      </w:pPr>
      <w:r>
        <w:rPr/>
        <w:t xml:space="preserve"> </w:t>
      </w:r>
    </w:p>
    <w:p>
      <w:pPr>
        <w:pStyle w:val="null3"/>
        <w:ind w:firstLine="480"/>
        <w:jc w:val="both"/>
      </w:pPr>
      <w:r>
        <w:rPr>
          <w:sz w:val="24"/>
        </w:rPr>
        <w:t>根据《中华人民共和国政府采购法》、《中华人民共和国民法典》以及</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日开标的</w:t>
      </w:r>
      <w:r>
        <w:rPr>
          <w:sz w:val="21"/>
          <w:u w:val="single"/>
        </w:rPr>
        <w:t xml:space="preserve">                        </w:t>
      </w:r>
      <w:r>
        <w:rPr>
          <w:sz w:val="24"/>
        </w:rPr>
        <w:t>项目（招标编号：</w:t>
      </w:r>
      <w:r>
        <w:rPr>
          <w:sz w:val="21"/>
          <w:u w:val="single"/>
        </w:rPr>
        <w:t xml:space="preserve">          </w:t>
      </w:r>
      <w:r>
        <w:rPr>
          <w:sz w:val="24"/>
        </w:rPr>
        <w:t>）的要求，就甲方向乙方采购以下服务，经双方协商一致，签订本合同。</w:t>
      </w:r>
    </w:p>
    <w:p>
      <w:pPr>
        <w:pStyle w:val="null3"/>
        <w:ind w:left="210"/>
        <w:jc w:val="both"/>
      </w:pPr>
      <w:r>
        <w:rPr>
          <w:sz w:val="24"/>
          <w:b/>
        </w:rPr>
        <w:t>一、</w:t>
      </w:r>
      <w:r>
        <w:rPr>
          <w:sz w:val="24"/>
          <w:b/>
        </w:rPr>
        <w:t>服务内容</w:t>
      </w:r>
    </w:p>
    <w:p>
      <w:pPr>
        <w:pStyle w:val="null3"/>
        <w:ind w:left="210" w:firstLine="480"/>
        <w:jc w:val="both"/>
      </w:pPr>
      <w:r>
        <w:rPr>
          <w:sz w:val="24"/>
        </w:rPr>
        <w:t>1、</w:t>
      </w:r>
      <w:r>
        <w:rPr>
          <w:sz w:val="21"/>
          <w:u w:val="single"/>
        </w:rPr>
        <w:t xml:space="preserve">     </w:t>
      </w:r>
      <w:r>
        <w:rPr>
          <w:sz w:val="24"/>
        </w:rPr>
        <w:t>。</w:t>
      </w:r>
    </w:p>
    <w:p>
      <w:pPr>
        <w:pStyle w:val="null3"/>
        <w:ind w:left="210" w:firstLine="480"/>
        <w:jc w:val="both"/>
      </w:pPr>
      <w:r>
        <w:rPr>
          <w:sz w:val="24"/>
        </w:rPr>
        <w:t>2、...</w:t>
      </w:r>
    </w:p>
    <w:p>
      <w:pPr>
        <w:pStyle w:val="null3"/>
        <w:jc w:val="both"/>
      </w:pPr>
      <w:r>
        <w:rPr>
          <w:sz w:val="24"/>
        </w:rPr>
        <w:t>（根据各采购包的具体技术</w:t>
      </w:r>
      <w:r>
        <w:rPr>
          <w:sz w:val="24"/>
        </w:rPr>
        <w:t>(</w:t>
      </w:r>
      <w:r>
        <w:rPr>
          <w:sz w:val="24"/>
        </w:rPr>
        <w:t>参数</w:t>
      </w:r>
      <w:r>
        <w:rPr>
          <w:sz w:val="24"/>
        </w:rPr>
        <w:t>)</w:t>
      </w:r>
      <w:r>
        <w:rPr>
          <w:sz w:val="24"/>
        </w:rPr>
        <w:t>要求中全部内容填写）</w:t>
      </w:r>
    </w:p>
    <w:p>
      <w:pPr>
        <w:pStyle w:val="null3"/>
        <w:ind w:left="210"/>
        <w:jc w:val="both"/>
      </w:pPr>
      <w:r>
        <w:rPr>
          <w:sz w:val="24"/>
          <w:b/>
        </w:rPr>
        <w:t>二、</w:t>
      </w:r>
      <w:r>
        <w:rPr>
          <w:sz w:val="24"/>
          <w:b/>
        </w:rPr>
        <w:t>服务成果</w:t>
      </w:r>
    </w:p>
    <w:p>
      <w:pPr>
        <w:pStyle w:val="null3"/>
        <w:ind w:left="210" w:firstLine="480"/>
        <w:jc w:val="both"/>
      </w:pPr>
      <w:r>
        <w:rPr>
          <w:sz w:val="24"/>
        </w:rPr>
        <w:t>1、</w:t>
      </w:r>
      <w:r>
        <w:rPr>
          <w:sz w:val="21"/>
          <w:u w:val="single"/>
        </w:rPr>
        <w:t xml:space="preserve">     </w:t>
      </w:r>
      <w:r>
        <w:rPr>
          <w:sz w:val="24"/>
        </w:rPr>
        <w:t>。</w:t>
      </w:r>
    </w:p>
    <w:p>
      <w:pPr>
        <w:pStyle w:val="null3"/>
        <w:ind w:left="210" w:firstLine="480"/>
        <w:jc w:val="both"/>
      </w:pPr>
      <w:r>
        <w:rPr>
          <w:sz w:val="24"/>
        </w:rPr>
        <w:t>2、...</w:t>
      </w:r>
    </w:p>
    <w:p>
      <w:pPr>
        <w:pStyle w:val="null3"/>
        <w:jc w:val="both"/>
      </w:pPr>
      <w:r>
        <w:rPr>
          <w:sz w:val="24"/>
        </w:rPr>
        <w:t>（根据各采购包的具体技术</w:t>
      </w:r>
      <w:r>
        <w:rPr>
          <w:sz w:val="24"/>
        </w:rPr>
        <w:t>(</w:t>
      </w:r>
      <w:r>
        <w:rPr>
          <w:sz w:val="24"/>
        </w:rPr>
        <w:t>参数</w:t>
      </w:r>
      <w:r>
        <w:rPr>
          <w:sz w:val="24"/>
        </w:rPr>
        <w:t>)</w:t>
      </w:r>
      <w:r>
        <w:rPr>
          <w:sz w:val="24"/>
        </w:rPr>
        <w:t>要求中全部内容填写）</w:t>
      </w:r>
    </w:p>
    <w:p>
      <w:pPr>
        <w:pStyle w:val="null3"/>
        <w:ind w:left="210"/>
        <w:jc w:val="both"/>
      </w:pPr>
      <w:r>
        <w:rPr>
          <w:sz w:val="24"/>
          <w:b/>
        </w:rPr>
        <w:t>三、</w:t>
      </w:r>
      <w:r>
        <w:rPr>
          <w:sz w:val="24"/>
          <w:b/>
        </w:rPr>
        <w:t>服务技术要求</w:t>
      </w:r>
    </w:p>
    <w:p>
      <w:pPr>
        <w:pStyle w:val="null3"/>
        <w:ind w:left="210" w:firstLine="480"/>
        <w:jc w:val="both"/>
      </w:pPr>
      <w:r>
        <w:rPr>
          <w:sz w:val="24"/>
        </w:rPr>
        <w:t>1、</w:t>
      </w:r>
      <w:r>
        <w:rPr>
          <w:sz w:val="21"/>
          <w:u w:val="single"/>
        </w:rPr>
        <w:t xml:space="preserve">     </w:t>
      </w:r>
      <w:r>
        <w:rPr>
          <w:sz w:val="24"/>
        </w:rPr>
        <w:t>。</w:t>
      </w:r>
    </w:p>
    <w:p>
      <w:pPr>
        <w:pStyle w:val="null3"/>
        <w:ind w:left="210" w:firstLine="480"/>
        <w:jc w:val="both"/>
      </w:pPr>
      <w:r>
        <w:rPr>
          <w:sz w:val="24"/>
        </w:rPr>
        <w:t>2、......</w:t>
      </w:r>
    </w:p>
    <w:p>
      <w:pPr>
        <w:pStyle w:val="null3"/>
        <w:jc w:val="both"/>
      </w:pPr>
      <w:r>
        <w:rPr>
          <w:sz w:val="24"/>
        </w:rPr>
        <w:t>（根据各采购包的具体技术</w:t>
      </w:r>
      <w:r>
        <w:rPr>
          <w:sz w:val="24"/>
        </w:rPr>
        <w:t>(</w:t>
      </w:r>
      <w:r>
        <w:rPr>
          <w:sz w:val="24"/>
        </w:rPr>
        <w:t>参数</w:t>
      </w:r>
      <w:r>
        <w:rPr>
          <w:sz w:val="24"/>
        </w:rPr>
        <w:t>)</w:t>
      </w:r>
      <w:r>
        <w:rPr>
          <w:sz w:val="24"/>
        </w:rPr>
        <w:t>要求中全部内容填写）</w:t>
      </w:r>
    </w:p>
    <w:p>
      <w:pPr>
        <w:pStyle w:val="null3"/>
        <w:ind w:left="210"/>
        <w:jc w:val="both"/>
      </w:pPr>
      <w:r>
        <w:rPr>
          <w:sz w:val="24"/>
          <w:b/>
        </w:rPr>
        <w:t>四、</w:t>
      </w:r>
      <w:r>
        <w:rPr>
          <w:sz w:val="24"/>
          <w:b/>
        </w:rPr>
        <w:t>其他要求</w:t>
      </w:r>
    </w:p>
    <w:p>
      <w:pPr>
        <w:pStyle w:val="null3"/>
        <w:ind w:left="210" w:firstLine="480"/>
        <w:jc w:val="both"/>
      </w:pPr>
      <w:r>
        <w:rPr>
          <w:sz w:val="24"/>
        </w:rPr>
        <w:t>1、</w:t>
      </w:r>
      <w:r>
        <w:rPr>
          <w:sz w:val="21"/>
          <w:u w:val="single"/>
        </w:rPr>
        <w:t xml:space="preserve">     </w:t>
      </w:r>
      <w:r>
        <w:rPr>
          <w:sz w:val="24"/>
        </w:rPr>
        <w:t>。</w:t>
      </w:r>
    </w:p>
    <w:p>
      <w:pPr>
        <w:pStyle w:val="null3"/>
        <w:ind w:left="210" w:firstLine="480"/>
        <w:jc w:val="both"/>
      </w:pPr>
      <w:r>
        <w:rPr>
          <w:sz w:val="24"/>
        </w:rPr>
        <w:t>2、......</w:t>
      </w:r>
    </w:p>
    <w:p>
      <w:pPr>
        <w:pStyle w:val="null3"/>
        <w:jc w:val="both"/>
      </w:pPr>
      <w:r>
        <w:rPr>
          <w:sz w:val="24"/>
        </w:rPr>
        <w:t>（根据采购包</w:t>
      </w:r>
      <w:r>
        <w:rPr>
          <w:sz w:val="24"/>
        </w:rPr>
        <w:t>2</w:t>
      </w:r>
      <w:r>
        <w:rPr>
          <w:sz w:val="24"/>
        </w:rPr>
        <w:t>的具体技术</w:t>
      </w:r>
      <w:r>
        <w:rPr>
          <w:sz w:val="24"/>
        </w:rPr>
        <w:t>(</w:t>
      </w:r>
      <w:r>
        <w:rPr>
          <w:sz w:val="24"/>
        </w:rPr>
        <w:t>参数</w:t>
      </w:r>
      <w:r>
        <w:rPr>
          <w:sz w:val="24"/>
        </w:rPr>
        <w:t>)</w:t>
      </w:r>
      <w:r>
        <w:rPr>
          <w:sz w:val="24"/>
        </w:rPr>
        <w:t>要求中全部内容填写）</w:t>
      </w:r>
    </w:p>
    <w:p>
      <w:pPr>
        <w:pStyle w:val="null3"/>
        <w:ind w:left="210"/>
        <w:jc w:val="both"/>
      </w:pPr>
      <w:r>
        <w:rPr>
          <w:sz w:val="24"/>
          <w:b/>
        </w:rPr>
        <w:t>五、</w:t>
      </w:r>
      <w:r>
        <w:rPr>
          <w:sz w:val="24"/>
          <w:b/>
        </w:rPr>
        <w:t>服务人员要求</w:t>
      </w:r>
    </w:p>
    <w:p>
      <w:pPr>
        <w:pStyle w:val="null3"/>
        <w:ind w:left="210" w:firstLine="480"/>
        <w:jc w:val="both"/>
      </w:pPr>
      <w:r>
        <w:rPr>
          <w:sz w:val="24"/>
        </w:rPr>
        <w:t>1、</w:t>
      </w:r>
      <w:r>
        <w:rPr>
          <w:sz w:val="21"/>
          <w:u w:val="single"/>
        </w:rPr>
        <w:t xml:space="preserve">     </w:t>
      </w:r>
      <w:r>
        <w:rPr>
          <w:sz w:val="24"/>
        </w:rPr>
        <w:t>。</w:t>
      </w:r>
    </w:p>
    <w:p>
      <w:pPr>
        <w:pStyle w:val="null3"/>
        <w:ind w:left="210" w:firstLine="480"/>
        <w:jc w:val="both"/>
      </w:pPr>
      <w:r>
        <w:rPr>
          <w:sz w:val="24"/>
        </w:rPr>
        <w:t>2、......</w:t>
      </w:r>
    </w:p>
    <w:p>
      <w:pPr>
        <w:pStyle w:val="null3"/>
        <w:ind w:left="210"/>
        <w:jc w:val="both"/>
      </w:pPr>
      <w:r>
        <w:rPr>
          <w:sz w:val="24"/>
        </w:rPr>
        <w:t>（根据各采购包的具体技术</w:t>
      </w:r>
      <w:r>
        <w:rPr>
          <w:sz w:val="24"/>
        </w:rPr>
        <w:t>(</w:t>
      </w:r>
      <w:r>
        <w:rPr>
          <w:sz w:val="24"/>
        </w:rPr>
        <w:t>参数</w:t>
      </w:r>
      <w:r>
        <w:rPr>
          <w:sz w:val="24"/>
        </w:rPr>
        <w:t>)</w:t>
      </w:r>
      <w:r>
        <w:rPr>
          <w:sz w:val="24"/>
        </w:rPr>
        <w:t>要求中全部内容填写</w:t>
      </w:r>
      <w:r>
        <w:rPr>
          <w:sz w:val="24"/>
        </w:rPr>
        <w:t>）</w:t>
      </w:r>
    </w:p>
    <w:p>
      <w:pPr>
        <w:pStyle w:val="null3"/>
        <w:ind w:left="210"/>
        <w:jc w:val="both"/>
      </w:pPr>
      <w:r>
        <w:rPr>
          <w:sz w:val="24"/>
          <w:b/>
        </w:rPr>
        <w:t>六、</w:t>
      </w:r>
      <w:r>
        <w:rPr>
          <w:sz w:val="24"/>
          <w:b/>
        </w:rPr>
        <w:t>合同金额及付款方式</w:t>
      </w:r>
    </w:p>
    <w:p>
      <w:pPr>
        <w:pStyle w:val="null3"/>
        <w:ind w:firstLine="480"/>
        <w:jc w:val="both"/>
      </w:pPr>
      <w:r>
        <w:rPr>
          <w:sz w:val="24"/>
        </w:rPr>
        <w:t>1、</w:t>
      </w:r>
      <w:r>
        <w:rPr>
          <w:sz w:val="24"/>
        </w:rPr>
        <w:t>合同金额为（大写）：</w:t>
      </w:r>
      <w:r>
        <w:rPr>
          <w:sz w:val="24"/>
        </w:rPr>
        <w:t>______________元（￥____________元）人民币。</w:t>
      </w:r>
    </w:p>
    <w:p>
      <w:pPr>
        <w:pStyle w:val="null3"/>
        <w:ind w:firstLine="480"/>
        <w:jc w:val="both"/>
      </w:pPr>
      <w:r>
        <w:rPr>
          <w:sz w:val="24"/>
        </w:rPr>
        <w:t>合同金额</w:t>
      </w:r>
      <w:r>
        <w:rPr>
          <w:sz w:val="24"/>
        </w:rPr>
        <w:t>已包含完成本项目所需的人力成本、设备成本、利润、税金、交通等产生的任何费用。</w:t>
      </w:r>
      <w:r>
        <w:rPr>
          <w:sz w:val="24"/>
        </w:rPr>
        <w:t>甲方不再支付其他任何费用。</w:t>
      </w:r>
    </w:p>
    <w:p>
      <w:pPr>
        <w:pStyle w:val="null3"/>
        <w:ind w:firstLine="480"/>
        <w:jc w:val="both"/>
      </w:pPr>
      <w:r>
        <w:rPr>
          <w:sz w:val="24"/>
        </w:rPr>
        <w:t>2、付款方式</w:t>
      </w:r>
    </w:p>
    <w:p>
      <w:pPr>
        <w:pStyle w:val="null3"/>
        <w:ind w:firstLine="480"/>
        <w:jc w:val="both"/>
      </w:pPr>
      <w:r>
        <w:rPr>
          <w:sz w:val="24"/>
        </w:rPr>
        <w:t>1期：支付比例50%，合同签定并收到发票后5个工作日内，支付合同总额50%款项。</w:t>
      </w:r>
    </w:p>
    <w:p>
      <w:pPr>
        <w:pStyle w:val="null3"/>
        <w:ind w:firstLine="480"/>
        <w:jc w:val="both"/>
      </w:pPr>
      <w:r>
        <w:rPr>
          <w:sz w:val="24"/>
        </w:rPr>
        <w:t>2期：支付比例20%，任务开展至2025年9月，乙方按时提交6-8月运维报告，甲方收到发票后，于5个工作日内支付合同总额20%款项。</w:t>
      </w:r>
    </w:p>
    <w:p>
      <w:pPr>
        <w:pStyle w:val="null3"/>
        <w:ind w:firstLine="480"/>
        <w:jc w:val="both"/>
      </w:pPr>
      <w:r>
        <w:rPr>
          <w:sz w:val="24"/>
        </w:rPr>
        <w:t>3期：支付比例20%，任务开展至2026年3月，乙方按期提交运维报告，且2025年运维工作经甲方认可后，甲方收到发票后，于5个工作日内支付合同总额20%款项。</w:t>
      </w:r>
    </w:p>
    <w:p>
      <w:pPr>
        <w:pStyle w:val="null3"/>
        <w:ind w:firstLine="480"/>
        <w:jc w:val="both"/>
      </w:pPr>
      <w:r>
        <w:rPr>
          <w:sz w:val="24"/>
        </w:rPr>
        <w:t>4期：支付比例10%，所有任务完成并通过甲方的技术验收且甲方收到发票后，于15日内支付合同总额10%款项。</w:t>
      </w:r>
    </w:p>
    <w:p>
      <w:pPr>
        <w:pStyle w:val="null3"/>
        <w:ind w:firstLine="480"/>
        <w:jc w:val="both"/>
      </w:pPr>
      <w:r>
        <w:rPr>
          <w:sz w:val="24"/>
        </w:rPr>
        <w:t>3、</w:t>
      </w:r>
      <w:r>
        <w:rPr>
          <w:sz w:val="24"/>
        </w:rPr>
        <w:t>乙方凭以下有效的文件向甲方提出支付申请：</w:t>
      </w:r>
    </w:p>
    <w:p>
      <w:pPr>
        <w:pStyle w:val="null3"/>
        <w:ind w:firstLine="480"/>
        <w:jc w:val="both"/>
      </w:pPr>
      <w:r>
        <w:rPr>
          <w:sz w:val="24"/>
        </w:rPr>
        <w:t>（</w:t>
      </w:r>
      <w:r>
        <w:rPr>
          <w:sz w:val="24"/>
        </w:rPr>
        <w:t>1）项目合同；</w:t>
      </w:r>
    </w:p>
    <w:p>
      <w:pPr>
        <w:pStyle w:val="null3"/>
        <w:ind w:firstLine="480"/>
        <w:jc w:val="both"/>
      </w:pPr>
      <w:r>
        <w:rPr>
          <w:sz w:val="24"/>
        </w:rPr>
        <w:t>（</w:t>
      </w:r>
      <w:r>
        <w:rPr>
          <w:sz w:val="24"/>
        </w:rPr>
        <w:t>2）按法律规定开具相应的发票；</w:t>
      </w:r>
    </w:p>
    <w:p>
      <w:pPr>
        <w:pStyle w:val="null3"/>
        <w:ind w:firstLine="480"/>
        <w:jc w:val="left"/>
      </w:pPr>
      <w:r>
        <w:rPr>
          <w:sz w:val="24"/>
        </w:rPr>
        <w:t>（</w:t>
      </w:r>
      <w:r>
        <w:rPr>
          <w:sz w:val="24"/>
        </w:rPr>
        <w:t>3）项目中标（成交）通知书；</w:t>
      </w:r>
    </w:p>
    <w:p>
      <w:pPr>
        <w:pStyle w:val="null3"/>
        <w:ind w:firstLine="480"/>
        <w:jc w:val="both"/>
      </w:pPr>
      <w:r>
        <w:rPr>
          <w:sz w:val="24"/>
        </w:rPr>
        <w:t>（</w:t>
      </w:r>
      <w:r>
        <w:rPr>
          <w:sz w:val="24"/>
        </w:rPr>
        <w:t>4）服务</w:t>
      </w:r>
      <w:r>
        <w:rPr>
          <w:sz w:val="24"/>
        </w:rPr>
        <w:t>运维报告</w:t>
      </w:r>
      <w:r>
        <w:rPr>
          <w:sz w:val="24"/>
        </w:rPr>
        <w:t>。</w:t>
      </w:r>
    </w:p>
    <w:p>
      <w:pPr>
        <w:pStyle w:val="null3"/>
        <w:ind w:firstLine="480"/>
        <w:jc w:val="both"/>
      </w:pPr>
      <w:r>
        <w:rPr>
          <w:sz w:val="24"/>
        </w:rPr>
        <w:t>4、关于款项支付的其他说明：</w:t>
      </w:r>
    </w:p>
    <w:p>
      <w:pPr>
        <w:pStyle w:val="null3"/>
        <w:ind w:firstLine="480"/>
        <w:jc w:val="both"/>
      </w:pPr>
      <w:r>
        <w:rPr>
          <w:sz w:val="24"/>
        </w:rPr>
        <w:t>（</w:t>
      </w:r>
      <w:r>
        <w:rPr>
          <w:sz w:val="24"/>
        </w:rPr>
        <w:t>1）乙方有义务向甲方提供申请财政付款所需文件材料。除了证明服务进度成果材料之外，乙方还必须向甲方相应的款项发票作为请款凭据。如对申请材料有其他要求的，乙方也应配合及时提供。如乙方未按本合同约定及时提供请款所需材料和发票的，甲方有权延缓申请支付，直至收到乙方提供的材料和发票时止，而不视为甲方违约。</w:t>
      </w:r>
    </w:p>
    <w:p>
      <w:pPr>
        <w:pStyle w:val="null3"/>
        <w:ind w:firstLine="480"/>
        <w:jc w:val="both"/>
      </w:pPr>
      <w:r>
        <w:rPr>
          <w:sz w:val="24"/>
        </w:rPr>
        <w:t>（</w:t>
      </w:r>
      <w:r>
        <w:rPr>
          <w:sz w:val="24"/>
        </w:rPr>
        <w:t>2）由于甲方使用的是财政性资金，甲方向财政部门申请支付即视为履行了付款义务，乙方不得因财政部门审核需要时间、拨款迟延等原因要求甲方承担迟延付款的责任，更不得因此怠于履行合同义务。</w:t>
      </w:r>
    </w:p>
    <w:p>
      <w:pPr>
        <w:pStyle w:val="null3"/>
        <w:ind w:left="210"/>
        <w:jc w:val="both"/>
      </w:pPr>
      <w:r>
        <w:rPr>
          <w:sz w:val="24"/>
          <w:b/>
        </w:rPr>
        <w:t>七、</w:t>
      </w:r>
      <w:r>
        <w:rPr>
          <w:sz w:val="24"/>
          <w:b/>
        </w:rPr>
        <w:t>服务期限</w:t>
      </w:r>
    </w:p>
    <w:p>
      <w:pPr>
        <w:pStyle w:val="null3"/>
        <w:ind w:firstLine="480"/>
        <w:jc w:val="both"/>
      </w:pPr>
      <w:r>
        <w:rPr>
          <w:sz w:val="24"/>
        </w:rPr>
        <w:t>委托服务期自</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结束。</w:t>
      </w:r>
    </w:p>
    <w:p>
      <w:pPr>
        <w:pStyle w:val="null3"/>
        <w:ind w:left="210"/>
        <w:jc w:val="both"/>
      </w:pPr>
      <w:r>
        <w:rPr>
          <w:sz w:val="24"/>
          <w:b/>
        </w:rPr>
        <w:t>八、</w:t>
      </w:r>
      <w:r>
        <w:rPr>
          <w:sz w:val="24"/>
          <w:b/>
        </w:rPr>
        <w:t>验收要求</w:t>
      </w:r>
    </w:p>
    <w:p>
      <w:pPr>
        <w:pStyle w:val="null3"/>
        <w:ind w:firstLine="480"/>
        <w:jc w:val="both"/>
      </w:pPr>
      <w:r>
        <w:rPr>
          <w:sz w:val="24"/>
        </w:rPr>
        <w:t>1、验收时间及方式：项目实施过程中及完结后开展两次验收。项目开展到中期阶段，由乙方向甲方提出验收申请；服务期到期并完成所有任务后，由乙方向甲方提出验收申请，由甲方在收到验收申请后7日内分别组织聘请不少于3名专家对项目进行中期及整体验收。验收产生的所有费用由乙方承担。</w:t>
      </w:r>
    </w:p>
    <w:p>
      <w:pPr>
        <w:pStyle w:val="null3"/>
        <w:ind w:firstLine="480"/>
        <w:jc w:val="both"/>
      </w:pPr>
      <w:r>
        <w:rPr>
          <w:sz w:val="24"/>
        </w:rPr>
        <w:t>2、验收标准：</w:t>
      </w:r>
    </w:p>
    <w:p>
      <w:pPr>
        <w:pStyle w:val="null3"/>
        <w:ind w:firstLine="480"/>
        <w:jc w:val="both"/>
      </w:pPr>
      <w:r>
        <w:rPr>
          <w:sz w:val="24"/>
        </w:rPr>
        <w:t>采购包</w:t>
      </w:r>
      <w:r>
        <w:rPr>
          <w:sz w:val="24"/>
        </w:rPr>
        <w:t>1：1）提供月、季、年运行及质控报告。月报12份，季报4份，年报1份。2）监测指标数据有效率不小于90%。3）验收报告1份。</w:t>
      </w:r>
    </w:p>
    <w:p>
      <w:pPr>
        <w:pStyle w:val="null3"/>
        <w:ind w:firstLine="480"/>
        <w:jc w:val="both"/>
      </w:pPr>
      <w:r>
        <w:rPr>
          <w:sz w:val="24"/>
        </w:rPr>
        <w:t>采购包</w:t>
      </w:r>
      <w:r>
        <w:rPr>
          <w:sz w:val="24"/>
        </w:rPr>
        <w:t>2：乙方按合同规定的服务期完成运维工作，并达到本需求书要求的服务工作目标，方可申请验收。申请验收需同时提供以下材料：</w:t>
      </w:r>
    </w:p>
    <w:p>
      <w:pPr>
        <w:pStyle w:val="null3"/>
        <w:ind w:firstLine="480"/>
        <w:jc w:val="both"/>
      </w:pPr>
      <w:r>
        <w:rPr>
          <w:sz w:val="24"/>
        </w:rPr>
        <w:t>1）季度运维计划、质量控制方案、断面标椎化服务成果报告、流量计主机与配套基础设施巡检运维报告、比测率定校核成果报告，并将其与原始数据、质控数据及各类报告等汇成电子版，以U盘或移动硬盘形式交予甲方。</w:t>
      </w:r>
    </w:p>
    <w:p>
      <w:pPr>
        <w:pStyle w:val="null3"/>
        <w:ind w:firstLine="480"/>
        <w:jc w:val="both"/>
      </w:pPr>
      <w:r>
        <w:rPr>
          <w:sz w:val="24"/>
        </w:rPr>
        <w:t>2）水位、流速、流量每15min获得一个监测值，可根据环境管理需求适当调整监测频次。水位、流速、流量单站运行周期内监测数据有效率不小于85%；数据有效率以广州市水环境质量自动监测与预警系统统计的结果为准。</w:t>
      </w:r>
    </w:p>
    <w:p>
      <w:pPr>
        <w:pStyle w:val="null3"/>
        <w:ind w:firstLine="480"/>
        <w:jc w:val="both"/>
      </w:pPr>
      <w:r>
        <w:rPr>
          <w:sz w:val="24"/>
        </w:rPr>
        <w:t>（根据各采购包的验收标准内容填写）</w:t>
      </w:r>
    </w:p>
    <w:p>
      <w:pPr>
        <w:pStyle w:val="null3"/>
        <w:ind w:left="210"/>
        <w:jc w:val="both"/>
      </w:pPr>
      <w:r>
        <w:rPr>
          <w:sz w:val="24"/>
          <w:b/>
        </w:rPr>
        <w:t>九、</w:t>
      </w:r>
      <w:r>
        <w:rPr>
          <w:sz w:val="24"/>
          <w:b/>
        </w:rPr>
        <w:t>其他要求</w:t>
      </w:r>
    </w:p>
    <w:p>
      <w:pPr>
        <w:pStyle w:val="null3"/>
        <w:ind w:firstLine="480"/>
        <w:jc w:val="both"/>
      </w:pPr>
      <w:r>
        <w:rPr>
          <w:sz w:val="24"/>
        </w:rPr>
        <w:t>1、保密要求：</w:t>
      </w:r>
    </w:p>
    <w:p>
      <w:pPr>
        <w:pStyle w:val="null3"/>
        <w:ind w:firstLine="480"/>
        <w:jc w:val="both"/>
      </w:pPr>
      <w:r>
        <w:rPr>
          <w:sz w:val="24"/>
        </w:rPr>
        <w:t>乙方需对所有监测数据及相关信息资料保密，不得以任何方式透露给第三方。</w:t>
      </w:r>
    </w:p>
    <w:p>
      <w:pPr>
        <w:pStyle w:val="null3"/>
        <w:ind w:firstLine="480"/>
        <w:jc w:val="both"/>
      </w:pPr>
      <w:r>
        <w:rPr>
          <w:sz w:val="24"/>
        </w:rPr>
        <w:t>2、罚则：</w:t>
      </w:r>
    </w:p>
    <w:p>
      <w:pPr>
        <w:pStyle w:val="null3"/>
        <w:ind w:firstLine="480"/>
        <w:jc w:val="both"/>
      </w:pPr>
      <w:r>
        <w:rPr>
          <w:sz w:val="24"/>
        </w:rPr>
        <w:t>2.1 乙方将数据泄密，甲方有权即时中止合同，处以双倍已支付运行维护费的罚款，并追究相关的法律责任。</w:t>
      </w:r>
    </w:p>
    <w:p>
      <w:pPr>
        <w:pStyle w:val="null3"/>
        <w:ind w:firstLine="480"/>
        <w:jc w:val="both"/>
      </w:pPr>
      <w:r>
        <w:rPr>
          <w:sz w:val="24"/>
        </w:rPr>
        <w:t>2.2 在国家、省、市的检查中，如发现弄虚作假行为，甲方有权即刻中止合同，并处以合同总额的10%罚款。</w:t>
      </w:r>
    </w:p>
    <w:p>
      <w:pPr>
        <w:pStyle w:val="null3"/>
        <w:ind w:firstLine="480"/>
        <w:jc w:val="both"/>
      </w:pPr>
      <w:r>
        <w:rPr>
          <w:sz w:val="24"/>
        </w:rPr>
        <w:t>2.3 除受不可抗力因素外，数据有效率按季度进行考核，中标单位运维达不到要求的，扣减相应的运维费或终止运维合同（仪器故障应及时向甲方报告，待甲方确认后及时进行维修，维修所占用的时间不纳入数据有效率统计）。要求如下：</w:t>
      </w:r>
    </w:p>
    <w:p>
      <w:pPr>
        <w:pStyle w:val="null3"/>
        <w:ind w:firstLine="480"/>
        <w:jc w:val="both"/>
      </w:pPr>
      <w:r>
        <w:rPr>
          <w:sz w:val="24"/>
        </w:rPr>
        <w:t>（</w:t>
      </w:r>
      <w:r>
        <w:rPr>
          <w:sz w:val="24"/>
        </w:rPr>
        <w:t>1）单次考核数据有效率和传输率在80%（不含）-85%（含），扣除当季度运维费10%，并责令整改。</w:t>
      </w:r>
    </w:p>
    <w:p>
      <w:pPr>
        <w:pStyle w:val="null3"/>
        <w:ind w:firstLine="480"/>
        <w:jc w:val="both"/>
      </w:pPr>
      <w:r>
        <w:rPr>
          <w:sz w:val="24"/>
        </w:rPr>
        <w:t>（</w:t>
      </w:r>
      <w:r>
        <w:rPr>
          <w:sz w:val="24"/>
        </w:rPr>
        <w:t>2）单次考核数据有效率和传输率在70%（含）-80%（含），扣除当季度运维费30%，并责令整改。</w:t>
      </w:r>
    </w:p>
    <w:p>
      <w:pPr>
        <w:pStyle w:val="null3"/>
        <w:ind w:firstLine="480"/>
        <w:jc w:val="both"/>
      </w:pPr>
      <w:r>
        <w:rPr>
          <w:sz w:val="24"/>
        </w:rPr>
        <w:t>（</w:t>
      </w:r>
      <w:r>
        <w:rPr>
          <w:sz w:val="24"/>
        </w:rPr>
        <w:t>3）单次考核数据有效率和传输率低于70%，扣除当季度运维费。</w:t>
      </w:r>
    </w:p>
    <w:p>
      <w:pPr>
        <w:pStyle w:val="null3"/>
        <w:ind w:firstLine="480"/>
        <w:jc w:val="both"/>
      </w:pPr>
      <w:r>
        <w:rPr>
          <w:sz w:val="24"/>
        </w:rPr>
        <w:t>（</w:t>
      </w:r>
      <w:r>
        <w:rPr>
          <w:sz w:val="24"/>
        </w:rPr>
        <w:t>4）全年平均数据有效率和传输率低于70%，取消运维合同。</w:t>
      </w:r>
    </w:p>
    <w:p>
      <w:pPr>
        <w:pStyle w:val="null3"/>
        <w:ind w:firstLine="480"/>
        <w:jc w:val="both"/>
      </w:pPr>
      <w:r>
        <w:rPr>
          <w:sz w:val="24"/>
        </w:rPr>
        <w:t>3、智能化运维要求</w:t>
      </w:r>
    </w:p>
    <w:p>
      <w:pPr>
        <w:pStyle w:val="null3"/>
        <w:ind w:firstLine="480"/>
        <w:jc w:val="both"/>
      </w:pPr>
      <w:r>
        <w:rPr>
          <w:sz w:val="24"/>
        </w:rPr>
        <w:t>（</w:t>
      </w:r>
      <w:r>
        <w:rPr>
          <w:sz w:val="24"/>
        </w:rPr>
        <w:t>1）鼓励乙方通过优化组件、自动维护、智能审核、管理升级等不同技术手段和方式对运维站点进行智能化运维改造，甲方根据实际运行效果和质控结果，允许乙方替代相应数量的现场人员、车辆和运维频次等。</w:t>
      </w:r>
    </w:p>
    <w:p>
      <w:pPr>
        <w:pStyle w:val="null3"/>
        <w:ind w:firstLine="480"/>
        <w:jc w:val="both"/>
      </w:pPr>
      <w:r>
        <w:rPr>
          <w:sz w:val="24"/>
        </w:rPr>
        <w:t>（</w:t>
      </w:r>
      <w:r>
        <w:rPr>
          <w:sz w:val="24"/>
        </w:rPr>
        <w:t>2）鼓励乙方结合自身特点和优势，推动数字化、智能化新技术的实践探索与创新应用。</w:t>
      </w:r>
    </w:p>
    <w:p>
      <w:pPr>
        <w:pStyle w:val="null3"/>
        <w:ind w:left="210"/>
        <w:jc w:val="both"/>
      </w:pPr>
      <w:r>
        <w:rPr>
          <w:sz w:val="24"/>
          <w:b/>
        </w:rPr>
        <w:t>十、</w:t>
      </w:r>
      <w:r>
        <w:rPr>
          <w:sz w:val="24"/>
          <w:b/>
        </w:rPr>
        <w:t>双方的权利和义务</w:t>
      </w:r>
    </w:p>
    <w:p>
      <w:pPr>
        <w:pStyle w:val="null3"/>
        <w:ind w:firstLine="480"/>
        <w:jc w:val="both"/>
      </w:pPr>
      <w:r>
        <w:rPr>
          <w:sz w:val="24"/>
        </w:rPr>
        <w:t>1、 甲方的权利和义务</w:t>
      </w:r>
    </w:p>
    <w:p>
      <w:pPr>
        <w:pStyle w:val="null3"/>
        <w:ind w:firstLine="480"/>
        <w:jc w:val="both"/>
      </w:pPr>
      <w:r>
        <w:rPr>
          <w:sz w:val="24"/>
        </w:rPr>
        <w:t>（</w:t>
      </w:r>
      <w:r>
        <w:rPr>
          <w:sz w:val="24"/>
        </w:rPr>
        <w:t>1）在合同执行期内，甲方应积极配合乙方做好服务工作。</w:t>
      </w:r>
    </w:p>
    <w:p>
      <w:pPr>
        <w:pStyle w:val="null3"/>
        <w:ind w:firstLine="480"/>
        <w:jc w:val="both"/>
      </w:pPr>
      <w:r>
        <w:rPr>
          <w:sz w:val="24"/>
        </w:rPr>
        <w:t>（</w:t>
      </w:r>
      <w:r>
        <w:rPr>
          <w:sz w:val="24"/>
        </w:rPr>
        <w:t>2）在服务期内，甲方应组织对乙方人员的工作态度、技术水平进行监督，并汇总收集和及时反馈意见，以便改正乙方的不足与缺点。</w:t>
      </w:r>
    </w:p>
    <w:p>
      <w:pPr>
        <w:pStyle w:val="null3"/>
        <w:ind w:firstLine="480"/>
        <w:jc w:val="both"/>
      </w:pPr>
      <w:r>
        <w:rPr>
          <w:sz w:val="24"/>
        </w:rPr>
        <w:t>（</w:t>
      </w:r>
      <w:r>
        <w:rPr>
          <w:sz w:val="24"/>
        </w:rPr>
        <w:t>3）在服务期内，甲方针对乙方服务内容开展相应的监督，如发现工作中存在质量或其他问题的，乙方应及时整改。</w:t>
      </w:r>
    </w:p>
    <w:p>
      <w:pPr>
        <w:pStyle w:val="null3"/>
        <w:ind w:firstLine="480"/>
        <w:jc w:val="both"/>
      </w:pPr>
      <w:r>
        <w:rPr>
          <w:sz w:val="24"/>
        </w:rPr>
        <w:t>2、乙方的权利和义务</w:t>
      </w:r>
    </w:p>
    <w:p>
      <w:pPr>
        <w:pStyle w:val="null3"/>
        <w:ind w:firstLine="480"/>
        <w:jc w:val="both"/>
      </w:pPr>
      <w:r>
        <w:rPr>
          <w:sz w:val="24"/>
        </w:rPr>
        <w:t>（</w:t>
      </w:r>
      <w:r>
        <w:rPr>
          <w:sz w:val="24"/>
        </w:rPr>
        <w:t>1）在合同期内，乙方需按照甲方要求开展服务工作。</w:t>
      </w:r>
    </w:p>
    <w:p>
      <w:pPr>
        <w:pStyle w:val="null3"/>
        <w:ind w:firstLine="480"/>
        <w:jc w:val="both"/>
      </w:pPr>
      <w:r>
        <w:rPr>
          <w:sz w:val="24"/>
        </w:rPr>
        <w:t>（</w:t>
      </w:r>
      <w:r>
        <w:rPr>
          <w:sz w:val="24"/>
        </w:rPr>
        <w:t>2）合同期内，乙方的服务需符合相关要求标准，如果由于不符合导致重新开展工作的，费用由乙方负责。</w:t>
      </w:r>
    </w:p>
    <w:p>
      <w:pPr>
        <w:pStyle w:val="null3"/>
        <w:ind w:firstLine="480"/>
        <w:jc w:val="both"/>
      </w:pPr>
      <w:r>
        <w:rPr>
          <w:sz w:val="24"/>
        </w:rPr>
        <w:t>（</w:t>
      </w:r>
      <w:r>
        <w:rPr>
          <w:sz w:val="24"/>
        </w:rPr>
        <w:t>3）乙方应承担本项目的安全生产责任。乙方在项目实施过程中造成的第三方的人身及财产损失，由乙方独自承担相应的法律和经济责任，与甲方无关；造成甲方经济损失的，由乙方承担，甲方保留追究其法律责任的权利。</w:t>
      </w:r>
    </w:p>
    <w:p>
      <w:pPr>
        <w:pStyle w:val="null3"/>
        <w:ind w:left="210"/>
        <w:jc w:val="both"/>
      </w:pPr>
      <w:r>
        <w:rPr>
          <w:sz w:val="24"/>
          <w:b/>
        </w:rPr>
        <w:t>十一、</w:t>
      </w:r>
      <w:r>
        <w:rPr>
          <w:sz w:val="24"/>
          <w:b/>
        </w:rPr>
        <w:t>保密</w:t>
      </w:r>
    </w:p>
    <w:p>
      <w:pPr>
        <w:pStyle w:val="null3"/>
        <w:ind w:firstLine="480"/>
        <w:jc w:val="both"/>
      </w:pPr>
      <w:r>
        <w:rPr>
          <w:sz w:val="24"/>
        </w:rPr>
        <w:t>1、保密义务：未经甲方许可，乙方及乙方参与本项目的人员均不得对外披露、泄露本项目执行过程中甲方提供的信息、因合同履行而知悉的企业信息或环境信息、本项目执行过程中形成的过程信息、以及最终的成果信息。乙方应采取有效措施，保证其参与本项目的人员遵守本约定，并对乙方人员违反本约定所造成的后果承担连带责任。</w:t>
      </w:r>
    </w:p>
    <w:p>
      <w:pPr>
        <w:pStyle w:val="null3"/>
        <w:ind w:firstLine="480"/>
        <w:jc w:val="both"/>
      </w:pPr>
      <w:r>
        <w:rPr>
          <w:sz w:val="24"/>
        </w:rPr>
        <w:t>2、泄密责任：乙方违反本条规定的，甲方有权视乙方合同履行情况及违约情形，要求乙方支付本合同总价5%的违约金；返还甲方已经支付的费用；赔偿甲方损失（包括但不限于：甲方的经济损失；甲方因此支付的赔偿金、补偿金、罚金；甲方因维权、减少或制止损失所支付的一切费用）等。并且根据相关法律法规追究乙方涉密人员责任。</w:t>
      </w:r>
    </w:p>
    <w:p>
      <w:pPr>
        <w:pStyle w:val="null3"/>
        <w:ind w:firstLine="480"/>
        <w:jc w:val="both"/>
      </w:pPr>
      <w:r>
        <w:rPr>
          <w:sz w:val="24"/>
        </w:rPr>
        <w:t>3、保密内容：技术信息和经济信息。包括乙方在本项目实施过程中从甲方获取的有关本项目的技术文件、相关资料、技术诀窍、技术秘密、商业秘密，以及已由甲方明确列为保密信息的其他信息。</w:t>
      </w:r>
    </w:p>
    <w:p>
      <w:pPr>
        <w:pStyle w:val="null3"/>
        <w:ind w:firstLine="480"/>
        <w:jc w:val="both"/>
      </w:pPr>
      <w:r>
        <w:rPr>
          <w:sz w:val="24"/>
        </w:rPr>
        <w:t>4、保密责任者范围：乙方及乙方参与本项目的所有人员</w:t>
      </w:r>
      <w:r>
        <w:rPr>
          <w:sz w:val="24"/>
        </w:rPr>
        <w:t>。</w:t>
      </w:r>
    </w:p>
    <w:p>
      <w:pPr>
        <w:pStyle w:val="null3"/>
        <w:ind w:left="210"/>
        <w:jc w:val="both"/>
      </w:pPr>
      <w:r>
        <w:rPr>
          <w:sz w:val="24"/>
          <w:b/>
        </w:rPr>
        <w:t>十二、</w:t>
      </w:r>
      <w:r>
        <w:rPr>
          <w:sz w:val="24"/>
          <w:b/>
        </w:rPr>
        <w:t>违约处理</w:t>
      </w:r>
    </w:p>
    <w:p>
      <w:pPr>
        <w:pStyle w:val="null3"/>
        <w:ind w:firstLine="480"/>
        <w:jc w:val="both"/>
      </w:pPr>
      <w:r>
        <w:rPr>
          <w:sz w:val="24"/>
        </w:rPr>
        <w:t>1、乙方提供的服务不符合需求或本合同规定的，甲方有权拒绝接受服务、单方面终止合同，并且乙方须向甲方支付本合同总价5%的违约金。</w:t>
      </w:r>
    </w:p>
    <w:p>
      <w:pPr>
        <w:pStyle w:val="null3"/>
        <w:ind w:firstLine="480"/>
        <w:jc w:val="both"/>
      </w:pPr>
      <w:r>
        <w:rPr>
          <w:sz w:val="24"/>
        </w:rPr>
        <w:t>2、乙方未能按本合同规定的时间提供服务，从逾期之日起每日按本合同总价3‰ 的数额向甲方支付违约金；逾期半个月以上的，甲方有权单方面终止合同，由此造成的甲方经济损失由乙方承担。</w:t>
      </w:r>
    </w:p>
    <w:p>
      <w:pPr>
        <w:pStyle w:val="null3"/>
        <w:ind w:firstLine="480"/>
        <w:jc w:val="both"/>
      </w:pPr>
      <w:r>
        <w:rPr>
          <w:sz w:val="24"/>
        </w:rPr>
        <w:t>3、甲方无正当理由拒绝接受服务，到期拒付服务款项的，甲方向乙方支付本合同总价5%的违约金。</w:t>
      </w:r>
    </w:p>
    <w:p>
      <w:pPr>
        <w:pStyle w:val="null3"/>
        <w:ind w:firstLine="480"/>
        <w:jc w:val="both"/>
      </w:pPr>
      <w:r>
        <w:rPr>
          <w:sz w:val="24"/>
        </w:rPr>
        <w:t>4、甲方无正当理由逾期付款，自甲方收到付款所需的完整文件材料且5个工作日后起，甲方须按每天按合同总金额1‰的金额向乙方偿付违约金。</w:t>
      </w:r>
    </w:p>
    <w:p>
      <w:pPr>
        <w:pStyle w:val="null3"/>
        <w:ind w:firstLine="480"/>
        <w:jc w:val="both"/>
      </w:pPr>
      <w:r>
        <w:rPr>
          <w:sz w:val="24"/>
        </w:rPr>
        <w:t>5、其它违约责任按《中华人民共和国民法典》处理。</w:t>
      </w:r>
    </w:p>
    <w:p>
      <w:pPr>
        <w:pStyle w:val="null3"/>
        <w:ind w:left="210"/>
        <w:jc w:val="both"/>
      </w:pPr>
      <w:r>
        <w:rPr>
          <w:sz w:val="24"/>
          <w:b/>
        </w:rPr>
        <w:t>十三、</w:t>
      </w:r>
      <w:r>
        <w:rPr>
          <w:sz w:val="24"/>
          <w:b/>
        </w:rPr>
        <w:t>合同转让与分包</w:t>
      </w:r>
    </w:p>
    <w:p>
      <w:pPr>
        <w:pStyle w:val="null3"/>
        <w:ind w:firstLine="480"/>
        <w:jc w:val="both"/>
      </w:pPr>
      <w:r>
        <w:rPr>
          <w:sz w:val="24"/>
        </w:rPr>
        <w:t>本合同乙方在任何情况下都不得转让其应履行的合同义务。否则，甲方有权单方面解除合同，并要求乙方承担合同总金额</w:t>
      </w:r>
      <w:r>
        <w:rPr>
          <w:sz w:val="24"/>
        </w:rPr>
        <w:t>20%的违约金。</w:t>
      </w:r>
    </w:p>
    <w:p>
      <w:pPr>
        <w:pStyle w:val="null3"/>
        <w:ind w:left="210"/>
        <w:jc w:val="both"/>
      </w:pPr>
      <w:r>
        <w:rPr>
          <w:sz w:val="24"/>
          <w:b/>
        </w:rPr>
        <w:t>十四、</w:t>
      </w:r>
      <w:r>
        <w:rPr>
          <w:sz w:val="24"/>
          <w:b/>
        </w:rPr>
        <w:t>合同终止</w:t>
      </w:r>
    </w:p>
    <w:p>
      <w:pPr>
        <w:pStyle w:val="null3"/>
        <w:ind w:firstLine="480"/>
        <w:jc w:val="both"/>
      </w:pPr>
      <w:r>
        <w:rPr>
          <w:sz w:val="24"/>
        </w:rPr>
        <w:t>如果一方严重违反合同，并在收到对方违约通知书后在</w:t>
      </w:r>
      <w:r>
        <w:rPr>
          <w:sz w:val="24"/>
        </w:rPr>
        <w:t>30天内仍未能改正违约的，另一方可立即终止本合同。</w:t>
      </w:r>
    </w:p>
    <w:p>
      <w:pPr>
        <w:pStyle w:val="null3"/>
        <w:ind w:left="210"/>
        <w:jc w:val="both"/>
      </w:pPr>
      <w:r>
        <w:rPr>
          <w:sz w:val="24"/>
          <w:b/>
        </w:rPr>
        <w:t>十五、</w:t>
      </w:r>
      <w:r>
        <w:rPr>
          <w:sz w:val="24"/>
          <w:b/>
        </w:rPr>
        <w:t>争端的解决</w:t>
      </w:r>
    </w:p>
    <w:p>
      <w:pPr>
        <w:pStyle w:val="null3"/>
        <w:ind w:firstLine="480"/>
        <w:jc w:val="both"/>
      </w:pPr>
      <w:r>
        <w:rPr>
          <w:sz w:val="24"/>
        </w:rPr>
        <w:t>合同执行过程中发生的任何争议，如双方不能通过友好协商解决，向甲方所在地人民法院提起诉讼。</w:t>
      </w:r>
    </w:p>
    <w:p>
      <w:pPr>
        <w:pStyle w:val="null3"/>
        <w:ind w:left="210"/>
        <w:jc w:val="both"/>
      </w:pPr>
      <w:r>
        <w:rPr>
          <w:sz w:val="24"/>
          <w:b/>
        </w:rPr>
        <w:t>十六、</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rPr>
        <w:t>甲方为广州市财政核拔的事业单位。如因政策调整等不确定因素造成本合同无法履行或需要变更时，甲方有权提早一个月书面通知乙方终止或变更合同，乙方应当理解并不得以此向甲方索赔。</w:t>
      </w:r>
    </w:p>
    <w:p>
      <w:pPr>
        <w:pStyle w:val="null3"/>
        <w:ind w:left="210"/>
        <w:jc w:val="both"/>
      </w:pPr>
      <w:r>
        <w:rPr>
          <w:sz w:val="24"/>
          <w:b/>
        </w:rPr>
        <w:t>十七、</w:t>
      </w:r>
      <w:r>
        <w:rPr>
          <w:sz w:val="24"/>
          <w:b/>
        </w:rPr>
        <w:t>其它</w:t>
      </w:r>
    </w:p>
    <w:p>
      <w:pPr>
        <w:pStyle w:val="null3"/>
        <w:ind w:firstLine="480"/>
        <w:jc w:val="both"/>
      </w:pPr>
      <w:r>
        <w:rPr>
          <w:sz w:val="24"/>
        </w:rPr>
        <w:t>1、本合同所有附件、甲乙双方要约及响应文件均为合同的有效组成部分，与本合同具有同等法律效力。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3、如一方地址、电话、传真号码有变更，应在变更后3个工作日内书面通知对方，否则，应承担相应责任。</w:t>
      </w:r>
    </w:p>
    <w:p>
      <w:pPr>
        <w:pStyle w:val="null3"/>
        <w:ind w:left="210"/>
        <w:jc w:val="both"/>
      </w:pPr>
      <w:r>
        <w:rPr>
          <w:sz w:val="24"/>
          <w:b/>
        </w:rPr>
        <w:t>十八、</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w:t>
      </w:r>
      <w:r>
        <w:rPr>
          <w:sz w:val="24"/>
          <w:u w:val="single"/>
        </w:rPr>
        <w:t xml:space="preserve"> </w:t>
      </w:r>
      <w:r>
        <w:rPr>
          <w:sz w:val="24"/>
          <w:u w:val="single"/>
        </w:rPr>
        <w:t>伍</w:t>
      </w:r>
      <w:r>
        <w:rPr>
          <w:sz w:val="24"/>
        </w:rPr>
        <w:t>份，其中甲方</w:t>
      </w:r>
      <w:r>
        <w:rPr>
          <w:sz w:val="24"/>
          <w:u w:val="single"/>
        </w:rPr>
        <w:t xml:space="preserve"> </w:t>
      </w:r>
      <w:r>
        <w:rPr>
          <w:sz w:val="24"/>
          <w:u w:val="single"/>
        </w:rPr>
        <w:t>贰</w:t>
      </w:r>
      <w:r>
        <w:rPr>
          <w:sz w:val="24"/>
        </w:rPr>
        <w:t>份，乙方</w:t>
      </w:r>
      <w:r>
        <w:rPr>
          <w:sz w:val="24"/>
          <w:u w:val="single"/>
        </w:rPr>
        <w:t xml:space="preserve"> </w:t>
      </w:r>
      <w:r>
        <w:rPr>
          <w:sz w:val="24"/>
          <w:u w:val="single"/>
        </w:rPr>
        <w:t>贰</w:t>
      </w:r>
      <w:r>
        <w:rPr>
          <w:sz w:val="24"/>
        </w:rPr>
        <w:t>份，采购代理机构</w:t>
      </w:r>
      <w:r>
        <w:rPr>
          <w:sz w:val="24"/>
          <w:u w:val="single"/>
        </w:rPr>
        <w:t xml:space="preserve"> </w:t>
      </w:r>
      <w:r>
        <w:rPr>
          <w:sz w:val="24"/>
          <w:u w:val="single"/>
        </w:rPr>
        <w:t>壹</w:t>
      </w:r>
      <w:r>
        <w:rPr>
          <w:sz w:val="24"/>
        </w:rPr>
        <w:t>份。</w:t>
      </w:r>
    </w:p>
    <w:p>
      <w:pPr>
        <w:pStyle w:val="null3"/>
        <w:ind w:firstLine="480"/>
        <w:jc w:val="both"/>
      </w:pPr>
      <w:r>
        <w:rPr>
          <w:sz w:val="24"/>
        </w:rPr>
        <w:t>（以下无正文）</w:t>
      </w:r>
    </w:p>
    <w:p>
      <w:pPr>
        <w:pStyle w:val="null3"/>
        <w:jc w:val="both"/>
      </w:pPr>
      <w:r>
        <w:rPr>
          <w:sz w:val="24"/>
        </w:rPr>
        <w:t>甲</w:t>
      </w:r>
      <w:r>
        <w:rPr>
          <w:sz w:val="24"/>
        </w:rPr>
        <w:t>方：广东省广州生态环境监测中心站（盖章）</w:t>
      </w:r>
    </w:p>
    <w:p>
      <w:pPr>
        <w:pStyle w:val="null3"/>
        <w:jc w:val="both"/>
      </w:pPr>
      <w:r>
        <w:rPr>
          <w:sz w:val="24"/>
        </w:rPr>
        <w:t>法定代表人（负责人）：</w:t>
      </w:r>
    </w:p>
    <w:p>
      <w:pPr>
        <w:pStyle w:val="null3"/>
        <w:jc w:val="both"/>
      </w:pPr>
      <w:r>
        <w:rPr>
          <w:sz w:val="24"/>
        </w:rPr>
        <w:t>授权代表（签字）：</w:t>
      </w:r>
      <w:r>
        <w:rPr>
          <w:sz w:val="24"/>
        </w:rPr>
        <w:t xml:space="preserve">  </w:t>
      </w:r>
    </w:p>
    <w:p>
      <w:pPr>
        <w:pStyle w:val="null3"/>
        <w:jc w:val="both"/>
      </w:pPr>
      <w:r>
        <w:rPr>
          <w:sz w:val="24"/>
        </w:rPr>
        <w:t>项目联系人：</w:t>
      </w:r>
    </w:p>
    <w:p>
      <w:pPr>
        <w:pStyle w:val="null3"/>
        <w:jc w:val="both"/>
      </w:pPr>
      <w:r>
        <w:rPr>
          <w:sz w:val="24"/>
        </w:rPr>
        <w:t>地</w:t>
      </w:r>
      <w:r>
        <w:rPr>
          <w:sz w:val="24"/>
        </w:rPr>
        <w:t>址：广州市番禺区大学城中心南大街</w:t>
      </w:r>
      <w:r>
        <w:rPr>
          <w:sz w:val="24"/>
        </w:rPr>
        <w:t>19号</w:t>
      </w:r>
    </w:p>
    <w:p>
      <w:pPr>
        <w:pStyle w:val="null3"/>
        <w:jc w:val="both"/>
      </w:pPr>
      <w:r>
        <w:rPr>
          <w:sz w:val="24"/>
        </w:rPr>
        <w:t>电</w:t>
      </w:r>
      <w:r>
        <w:rPr>
          <w:sz w:val="24"/>
        </w:rPr>
        <w:t>话：</w:t>
      </w:r>
      <w:r>
        <w:rPr>
          <w:sz w:val="24"/>
        </w:rPr>
        <w:t>020-32662150</w:t>
      </w:r>
    </w:p>
    <w:p>
      <w:pPr>
        <w:pStyle w:val="null3"/>
        <w:jc w:val="both"/>
      </w:pPr>
      <w:r>
        <w:rPr>
          <w:sz w:val="24"/>
        </w:rPr>
        <w:t>纳税人识别号：</w:t>
      </w:r>
    </w:p>
    <w:p>
      <w:pPr>
        <w:pStyle w:val="null3"/>
        <w:jc w:val="both"/>
      </w:pPr>
      <w:r>
        <w:rPr>
          <w:sz w:val="24"/>
        </w:rPr>
        <w:t>签订日期：</w:t>
      </w:r>
      <w:r>
        <w:rPr>
          <w:sz w:val="24"/>
        </w:rPr>
        <w:t>2025年 月 日</w:t>
      </w:r>
    </w:p>
    <w:p>
      <w:pPr>
        <w:pStyle w:val="null3"/>
        <w:ind w:firstLine="480"/>
        <w:jc w:val="both"/>
      </w:pPr>
      <w:r>
        <w:rPr>
          <w:sz w:val="24"/>
        </w:rPr>
        <w:t>乙</w:t>
      </w:r>
      <w:r>
        <w:rPr>
          <w:sz w:val="24"/>
        </w:rPr>
        <w:t>方：</w:t>
      </w:r>
      <w:r>
        <w:rPr>
          <w:sz w:val="24"/>
        </w:rPr>
        <w:t xml:space="preserve">    </w:t>
      </w:r>
    </w:p>
    <w:p>
      <w:pPr>
        <w:pStyle w:val="null3"/>
        <w:jc w:val="both"/>
      </w:pPr>
      <w:r>
        <w:rPr>
          <w:sz w:val="24"/>
        </w:rPr>
        <w:t>法定代表人</w:t>
      </w:r>
      <w:r>
        <w:rPr>
          <w:sz w:val="24"/>
        </w:rPr>
        <w:t>/授权人：</w:t>
      </w:r>
    </w:p>
    <w:p>
      <w:pPr>
        <w:pStyle w:val="null3"/>
        <w:jc w:val="both"/>
      </w:pPr>
      <w:r>
        <w:rPr>
          <w:sz w:val="24"/>
        </w:rPr>
        <w:t>项目联系人：</w:t>
      </w:r>
    </w:p>
    <w:p>
      <w:pPr>
        <w:pStyle w:val="null3"/>
        <w:jc w:val="both"/>
      </w:pPr>
      <w:r>
        <w:rPr>
          <w:sz w:val="24"/>
        </w:rPr>
        <w:t>地</w:t>
      </w:r>
      <w:r>
        <w:rPr>
          <w:sz w:val="24"/>
        </w:rPr>
        <w:t>址：</w:t>
      </w:r>
    </w:p>
    <w:p>
      <w:pPr>
        <w:pStyle w:val="null3"/>
        <w:jc w:val="both"/>
      </w:pPr>
      <w:r>
        <w:rPr>
          <w:sz w:val="24"/>
        </w:rPr>
        <w:t>电</w:t>
      </w:r>
      <w:r>
        <w:rPr>
          <w:sz w:val="24"/>
        </w:rPr>
        <w:t>话：</w:t>
      </w:r>
    </w:p>
    <w:p>
      <w:pPr>
        <w:pStyle w:val="null3"/>
        <w:jc w:val="both"/>
      </w:pPr>
      <w:r>
        <w:rPr>
          <w:sz w:val="24"/>
        </w:rPr>
        <w:t>开户名称：</w:t>
      </w:r>
    </w:p>
    <w:p>
      <w:pPr>
        <w:pStyle w:val="null3"/>
        <w:jc w:val="both"/>
      </w:pPr>
      <w:r>
        <w:rPr>
          <w:sz w:val="24"/>
        </w:rPr>
        <w:t>帐</w:t>
      </w:r>
      <w:r>
        <w:rPr>
          <w:sz w:val="24"/>
        </w:rPr>
        <w:t>号：</w:t>
      </w:r>
    </w:p>
    <w:p>
      <w:pPr>
        <w:pStyle w:val="null3"/>
        <w:jc w:val="both"/>
      </w:pPr>
      <w:r>
        <w:rPr>
          <w:sz w:val="24"/>
        </w:rPr>
        <w:t>开户银行：</w:t>
      </w:r>
    </w:p>
    <w:p>
      <w:pPr>
        <w:pStyle w:val="null3"/>
        <w:jc w:val="both"/>
      </w:pPr>
      <w:r>
        <w:rPr>
          <w:sz w:val="24"/>
        </w:rPr>
        <w:t>签订日期：</w:t>
      </w:r>
      <w:r>
        <w:rPr>
          <w:sz w:val="24"/>
        </w:rPr>
        <w:t>2025年 月 日</w:t>
      </w:r>
    </w:p>
    <w:p>
      <w:pPr>
        <w:pStyle w:val="null3"/>
        <w:jc w:val="both"/>
      </w:pPr>
      <w:r>
        <w:rPr>
          <w:sz w:val="24"/>
        </w:rPr>
        <w:t>合同附件：</w:t>
      </w:r>
    </w:p>
    <w:p>
      <w:pPr>
        <w:pStyle w:val="null3"/>
        <w:jc w:val="both"/>
      </w:pPr>
      <w:r>
        <w:rPr>
          <w:sz w:val="24"/>
        </w:rPr>
        <w:t>1、廉洁自律承诺书</w:t>
      </w:r>
    </w:p>
    <w:p>
      <w:pPr>
        <w:pStyle w:val="null3"/>
        <w:jc w:val="both"/>
      </w:pPr>
      <w:r>
        <w:rPr>
          <w:sz w:val="24"/>
        </w:rPr>
        <w:t>2、中标通知书</w:t>
      </w:r>
    </w:p>
    <w:p>
      <w:pPr>
        <w:pStyle w:val="null3"/>
        <w:jc w:val="both"/>
      </w:pPr>
      <w:r>
        <w:rPr>
          <w:sz w:val="24"/>
        </w:rPr>
        <w:t>3、营业执照</w:t>
      </w:r>
    </w:p>
    <w:p>
      <w:pPr>
        <w:pStyle w:val="null3"/>
        <w:jc w:val="both"/>
      </w:pPr>
      <w:r>
        <w:rPr>
          <w:sz w:val="24"/>
        </w:rPr>
        <w:t>注：乙方需根据投标文件响应情况与甲方签订相应的合同！</w:t>
      </w:r>
    </w:p>
    <w:p>
      <w:pPr>
        <w:pStyle w:val="null3"/>
        <w:jc w:val="both"/>
      </w:pPr>
      <w:r>
        <w:rPr/>
        <w:t xml:space="preserve"> </w:t>
      </w:r>
    </w:p>
    <w:p>
      <w:pPr>
        <w:pStyle w:val="null3"/>
        <w:jc w:val="both"/>
      </w:pPr>
      <w:r>
        <w:rPr>
          <w:sz w:val="24"/>
        </w:rPr>
        <w:t>附件</w:t>
      </w:r>
      <w:r>
        <w:rPr>
          <w:sz w:val="24"/>
        </w:rPr>
        <w:t>1：</w:t>
      </w:r>
    </w:p>
    <w:p>
      <w:pPr>
        <w:pStyle w:val="null3"/>
        <w:jc w:val="center"/>
      </w:pPr>
      <w:r>
        <w:rPr>
          <w:sz w:val="36"/>
          <w:b/>
        </w:rPr>
        <w:t>廉洁自律承诺书</w:t>
      </w:r>
    </w:p>
    <w:p>
      <w:pPr>
        <w:pStyle w:val="null3"/>
        <w:jc w:val="left"/>
      </w:pPr>
      <w:r>
        <w:rPr>
          <w:sz w:val="24"/>
          <w:shd w:fill="FFFFFF" w:val="clear"/>
        </w:rPr>
        <w:t>本公司承诺：</w:t>
      </w:r>
    </w:p>
    <w:p>
      <w:pPr>
        <w:pStyle w:val="null3"/>
        <w:ind w:firstLine="480"/>
        <w:jc w:val="left"/>
      </w:pPr>
      <w:r>
        <w:rPr>
          <w:sz w:val="24"/>
          <w:shd w:fill="FFFFFF" w:val="clear"/>
        </w:rPr>
        <w:t>一、严格遵守国家法律法规及行业规范</w:t>
      </w:r>
      <w:r>
        <w:rPr>
          <w:sz w:val="24"/>
          <w:shd w:fill="FFFFFF" w:val="clear"/>
        </w:rPr>
        <w:t>，</w:t>
      </w:r>
      <w:r>
        <w:rPr>
          <w:sz w:val="24"/>
          <w:shd w:fill="FFFFFF" w:val="clear"/>
        </w:rPr>
        <w:t>依法经营，廉洁从业。</w:t>
      </w:r>
    </w:p>
    <w:p>
      <w:pPr>
        <w:pStyle w:val="null3"/>
        <w:ind w:firstLine="480"/>
        <w:jc w:val="left"/>
      </w:pPr>
      <w:r>
        <w:rPr>
          <w:sz w:val="24"/>
          <w:shd w:fill="FFFFFF" w:val="clear"/>
        </w:rPr>
        <w:t>二、不为谋取不正当利益</w:t>
      </w:r>
      <w:r>
        <w:rPr>
          <w:sz w:val="24"/>
          <w:shd w:fill="FFFFFF" w:val="clear"/>
        </w:rPr>
        <w:t>，</w:t>
      </w:r>
      <w:r>
        <w:rPr>
          <w:sz w:val="24"/>
          <w:shd w:fill="FFFFFF" w:val="clear"/>
        </w:rPr>
        <w:t>给予甲方相关人员红包、礼品礼金、有价证券、回扣、购物券、会员卡等财物</w:t>
      </w:r>
      <w:r>
        <w:rPr>
          <w:sz w:val="24"/>
          <w:shd w:fill="FFFFFF" w:val="clear"/>
        </w:rPr>
        <w:t>，</w:t>
      </w:r>
      <w:r>
        <w:rPr>
          <w:sz w:val="24"/>
          <w:shd w:fill="FFFFFF" w:val="clear"/>
        </w:rPr>
        <w:t>不报销应由其本人及亲属支付的个人费用。</w:t>
      </w:r>
    </w:p>
    <w:p>
      <w:pPr>
        <w:pStyle w:val="null3"/>
        <w:ind w:firstLine="480"/>
        <w:jc w:val="left"/>
      </w:pPr>
      <w:r>
        <w:rPr>
          <w:sz w:val="24"/>
          <w:shd w:fill="FFFFFF" w:val="clear"/>
        </w:rPr>
        <w:t>三、不邀请甲方相关人员及其亲属参加旅游、娱乐、健身、宴请等活动。</w:t>
      </w:r>
    </w:p>
    <w:p>
      <w:pPr>
        <w:pStyle w:val="null3"/>
        <w:ind w:firstLine="480"/>
        <w:jc w:val="left"/>
      </w:pPr>
      <w:r>
        <w:rPr>
          <w:sz w:val="24"/>
          <w:shd w:fill="FFFFFF" w:val="clear"/>
        </w:rPr>
        <w:t>四、不通过不当手段造成可能影响公平竞争的其他情况。</w:t>
      </w:r>
    </w:p>
    <w:p>
      <w:pPr>
        <w:pStyle w:val="null3"/>
        <w:ind w:firstLine="480"/>
        <w:jc w:val="left"/>
      </w:pPr>
      <w:r>
        <w:rPr>
          <w:sz w:val="24"/>
          <w:shd w:fill="FFFFFF" w:val="clear"/>
        </w:rPr>
        <w:t>五、不通过泄露甲方不公开的信息或秘密为公司或者个人谋取利益。</w:t>
      </w:r>
    </w:p>
    <w:p>
      <w:pPr>
        <w:pStyle w:val="null3"/>
        <w:ind w:firstLine="482"/>
        <w:jc w:val="left"/>
      </w:pPr>
      <w:r>
        <w:rPr>
          <w:sz w:val="24"/>
          <w:b/>
          <w:shd w:fill="FFFFFF" w:val="clear"/>
        </w:rPr>
        <w:t>若违反上述承诺，本公司将承担相应的法律后果，并无条件承诺三年内不承接广东省广州生态环境监测中心站的项目。</w:t>
      </w:r>
    </w:p>
    <w:p>
      <w:pPr>
        <w:pStyle w:val="null3"/>
        <w:ind w:firstLine="480"/>
        <w:jc w:val="left"/>
      </w:pPr>
      <w:r>
        <w:rPr>
          <w:sz w:val="24"/>
          <w:shd w:fill="FFFFFF" w:val="clear"/>
        </w:rPr>
        <w:t>公司名称：</w:t>
      </w:r>
      <w:r>
        <w:rPr>
          <w:sz w:val="24"/>
          <w:shd w:fill="FFFFFF" w:val="clear"/>
        </w:rPr>
        <w:t xml:space="preserve">                    </w:t>
      </w:r>
    </w:p>
    <w:p>
      <w:pPr>
        <w:pStyle w:val="null3"/>
        <w:ind w:firstLine="480"/>
        <w:jc w:val="right"/>
      </w:pPr>
      <w:r>
        <w:rPr>
          <w:sz w:val="24"/>
          <w:shd w:fill="FFFFFF" w:val="clear"/>
        </w:rPr>
        <w:t>年</w:t>
      </w:r>
      <w:r>
        <w:rPr>
          <w:sz w:val="24"/>
          <w:shd w:fill="FFFFFF" w:val="clear"/>
        </w:rPr>
        <w:t xml:space="preserve">   </w:t>
      </w:r>
      <w:r>
        <w:rPr>
          <w:sz w:val="24"/>
          <w:shd w:fill="FFFFFF" w:val="clear"/>
        </w:rPr>
        <w:t>月</w:t>
      </w:r>
      <w:r>
        <w:rPr>
          <w:sz w:val="24"/>
          <w:shd w:fill="FFFFFF" w:val="clear"/>
        </w:rPr>
        <w:t xml:space="preserve">   </w:t>
      </w:r>
      <w:r>
        <w:rPr>
          <w:sz w:val="24"/>
          <w:shd w:fill="FFFFFF" w:val="clear"/>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440101-2025-06835</w:t>
      </w:r>
    </w:p>
    <w:p>
      <w:pPr>
        <w:pStyle w:val="null3"/>
        <w:jc w:val="center"/>
        <w:outlineLvl w:val="3"/>
      </w:pPr>
      <w:r>
        <w:rPr>
          <w:sz w:val="24"/>
          <w:b/>
        </w:rPr>
        <w:t>采购项目编号：</w:t>
      </w:r>
      <w:r>
        <w:rPr>
          <w:sz w:val="24"/>
          <w:b/>
        </w:rPr>
        <w:t>HYGZ25SH01C0588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地表水环境质量自动监测保障项目</w:t>
      </w:r>
      <w:r>
        <w:rPr>
          <w:u w:val="single"/>
        </w:rPr>
        <w:t>”</w:t>
      </w:r>
      <w:r>
        <w:rPr/>
        <w:t>项目的招标[采购项目编号为：</w:t>
      </w:r>
      <w:r>
        <w:rPr>
          <w:u w:val="single"/>
        </w:rPr>
        <w:t>HYGZ25SH01C0588</w:t>
      </w:r>
      <w:r>
        <w:rPr/>
        <w:t>]，我方愿参与投标。</w:t>
      </w:r>
    </w:p>
    <w:p>
      <w:pPr>
        <w:pStyle w:val="null3"/>
        <w:ind w:firstLine="480"/>
      </w:pPr>
      <w:r>
        <w:rPr/>
        <w:t>我方确认收到贵方提供的</w:t>
      </w:r>
      <w:r>
        <w:rPr>
          <w:u w:val="single"/>
        </w:rPr>
        <w:t>“</w:t>
      </w:r>
      <w:r>
        <w:rPr>
          <w:u w:val="single"/>
        </w:rPr>
        <w:t>地表水环境质量自动监测保障项目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地表水环境质量自动监测保障项目</w:t>
      </w:r>
      <w:r>
        <w:rPr/>
        <w:t>”项目采购[采购项目编号为</w:t>
      </w:r>
      <w:r>
        <w:rPr/>
        <w:t>HYGZ25SH01C0588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广东省广州生态环境监测中心站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地表水环境质量自动监测保障项目</w:t>
      </w:r>
      <w:r>
        <w:rPr/>
        <w:t>招标中获中标（采购项目编号：</w:t>
      </w:r>
      <w:r>
        <w:rPr/>
        <w:t>HYGZ25SH01C0588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