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4B365">
      <w:pPr>
        <w:jc w:val="center"/>
        <w:rPr>
          <w:b/>
          <w:bCs/>
        </w:rPr>
      </w:pPr>
      <w:r>
        <w:rPr>
          <w:rFonts w:ascii="sans-serif" w:hAnsi="sans-serif" w:eastAsia="sans-serif" w:cs="sans-serif"/>
          <w:b/>
          <w:bCs/>
          <w:sz w:val="40"/>
          <w:szCs w:val="40"/>
        </w:rPr>
        <w:t>具有</w:t>
      </w:r>
      <w:r>
        <w:rPr>
          <w:rFonts w:hint="default" w:ascii="sans-serif" w:hAnsi="sans-serif" w:eastAsia="sans-serif" w:cs="sans-serif"/>
          <w:b/>
          <w:bCs/>
          <w:sz w:val="40"/>
          <w:szCs w:val="40"/>
        </w:rPr>
        <w:t>健全财务会计制度的证明材料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37101282"/>
    <w:rsid w:val="42C3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2024-11-06T07:27:54Z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A5FA5824774E45E88B5755F68CAB3657_12</vt:lpwstr>
  </property>
</Properties>
</file>