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版本号：ZCBN-汉中市-2026-0003820260206001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红庙派出所搬迁装修工程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ZCBN-汉中市-2026-00038</w:t>
      </w:r>
      <w:r>
        <w:br/>
      </w:r>
      <w:r>
        <w:br/>
      </w:r>
      <w:r>
        <w:br/>
      </w:r>
    </w:p>
    <w:p>
      <w:pPr>
        <w:pStyle w:val="null3"/>
        <w:jc w:val="center"/>
        <w:outlineLvl w:val="2"/>
      </w:pPr>
      <w:r>
        <w:rPr>
          <w:rFonts w:ascii="仿宋_GB2312" w:hAnsi="仿宋_GB2312" w:cs="仿宋_GB2312" w:eastAsia="仿宋_GB2312"/>
          <w:sz w:val="28"/>
          <w:b/>
        </w:rPr>
        <w:t>汉中市公安局南郑分局</w:t>
      </w:r>
    </w:p>
    <w:p>
      <w:pPr>
        <w:pStyle w:val="null3"/>
        <w:jc w:val="center"/>
        <w:outlineLvl w:val="2"/>
      </w:pPr>
      <w:r>
        <w:rPr>
          <w:rFonts w:ascii="仿宋_GB2312" w:hAnsi="仿宋_GB2312" w:cs="仿宋_GB2312" w:eastAsia="仿宋_GB2312"/>
          <w:sz w:val="28"/>
          <w:b/>
        </w:rPr>
        <w:t>诚信佳项目管理有限责任公司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诚信佳项目管理有限责任公司</w:t>
      </w:r>
      <w:r>
        <w:rPr>
          <w:rFonts w:ascii="仿宋_GB2312" w:hAnsi="仿宋_GB2312" w:cs="仿宋_GB2312" w:eastAsia="仿宋_GB2312"/>
        </w:rPr>
        <w:t>（以下简称“代理机构”）受</w:t>
      </w:r>
      <w:r>
        <w:rPr>
          <w:rFonts w:ascii="仿宋_GB2312" w:hAnsi="仿宋_GB2312" w:cs="仿宋_GB2312" w:eastAsia="仿宋_GB2312"/>
        </w:rPr>
        <w:t>汉中市公安局南郑分局</w:t>
      </w:r>
      <w:r>
        <w:rPr>
          <w:rFonts w:ascii="仿宋_GB2312" w:hAnsi="仿宋_GB2312" w:cs="仿宋_GB2312" w:eastAsia="仿宋_GB2312"/>
        </w:rPr>
        <w:t>委托，拟对</w:t>
      </w:r>
      <w:r>
        <w:rPr>
          <w:rFonts w:ascii="仿宋_GB2312" w:hAnsi="仿宋_GB2312" w:cs="仿宋_GB2312" w:eastAsia="仿宋_GB2312"/>
        </w:rPr>
        <w:t>红庙派出所搬迁装修工程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ZCBN-汉中市-2026-00038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红庙派出所搬迁装修工程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与原地税局业务楼置换，该房屋不符合公安机关派出所建设要求，需重新装修。主楼3层20间及后院平房4间，主楼设置户籍室、接报案室、关爱室、档案室及枪弹值班室，办案、社区工作、交通管理岗用房。二层装修为民警备勤用房，建设“六小工程”，规划综合指挥室及视频会议室。</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采购包1（汉中市公安局南郑分局红庙派出所搬迁装修工程）：属于专门面向中小企业采购。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1、营业执照：供应商为具有独立承担民事责任能力的企业法人、事业法人、其他组织，提供营业执照复印件（事业单位须事业单位法人证、组织机构代码证等证明文件；其他组织应提供合法证明文件）；</w:t>
      </w:r>
    </w:p>
    <w:p>
      <w:pPr>
        <w:pStyle w:val="null3"/>
      </w:pPr>
      <w:r>
        <w:rPr>
          <w:rFonts w:ascii="仿宋_GB2312" w:hAnsi="仿宋_GB2312" w:cs="仿宋_GB2312" w:eastAsia="仿宋_GB2312"/>
        </w:rPr>
        <w:t>2、法定代表人身份证明或授权书：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质要求：供应商须具备建设行政主管部门核发的建筑工程施工总承包三级及以上资质或建筑装修装饰专业承包二级及以上资质，并具有安全生产许可证且在有效期内；供应商基本信息及项目负责人的基本信息应在“陕西省住房和城乡建设厅”或“全国建筑市场监管公共服务平台（四库一平台）”可查询；</w:t>
      </w:r>
    </w:p>
    <w:p>
      <w:pPr>
        <w:pStyle w:val="null3"/>
      </w:pPr>
      <w:r>
        <w:rPr>
          <w:rFonts w:ascii="仿宋_GB2312" w:hAnsi="仿宋_GB2312" w:cs="仿宋_GB2312" w:eastAsia="仿宋_GB2312"/>
        </w:rPr>
        <w:t>4、拟派项目经理资格要求：拟派项目经理须具备建筑工程专业注册建造师二级（含二级）以上执业资格，具有安全生产考核合格B证，在本单位注册且无在建工程</w:t>
      </w:r>
    </w:p>
    <w:p>
      <w:pPr>
        <w:pStyle w:val="null3"/>
      </w:pPr>
      <w:r>
        <w:rPr>
          <w:rFonts w:ascii="仿宋_GB2312" w:hAnsi="仿宋_GB2312" w:cs="仿宋_GB2312" w:eastAsia="仿宋_GB2312"/>
        </w:rPr>
        <w:t>5、汉中市政府采购供应商资格承诺函：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p>
      <w:pPr>
        <w:pStyle w:val="null3"/>
      </w:pPr>
      <w:r>
        <w:rPr>
          <w:rFonts w:ascii="仿宋_GB2312" w:hAnsi="仿宋_GB2312" w:cs="仿宋_GB2312" w:eastAsia="仿宋_GB2312"/>
        </w:rPr>
        <w:t>6、非联合体声明：本项目不接受联合体磋商（提供非联合体声明）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汉中市公安局南郑分局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汉中市南郑区汉山街道办吉祥路1号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0916-5525296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诚信佳项目管理有限责任公司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陕西省西安市沣东新城水利坊二期18幢1单元1层10101号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18609162678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采购包1：287,010.29元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汉中市公安局南郑分局</w:t>
      </w:r>
      <w:r>
        <w:rPr>
          <w:rFonts w:ascii="仿宋_GB2312" w:hAnsi="仿宋_GB2312" w:cs="仿宋_GB2312" w:eastAsia="仿宋_GB2312"/>
        </w:rPr>
        <w:t>和</w:t>
      </w:r>
      <w:r>
        <w:rPr>
          <w:rFonts w:ascii="仿宋_GB2312" w:hAnsi="仿宋_GB2312" w:cs="仿宋_GB2312" w:eastAsia="仿宋_GB2312"/>
        </w:rPr>
        <w:t>诚信佳项目管理有限责任公司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汉中市公安局南郑分局</w:t>
      </w:r>
      <w:r>
        <w:rPr>
          <w:rFonts w:ascii="仿宋_GB2312" w:hAnsi="仿宋_GB2312" w:cs="仿宋_GB2312" w:eastAsia="仿宋_GB2312"/>
        </w:rPr>
        <w:t>负责解释。除上述磋商文件内容，其他内容由</w:t>
      </w:r>
      <w:r>
        <w:rPr>
          <w:rFonts w:ascii="仿宋_GB2312" w:hAnsi="仿宋_GB2312" w:cs="仿宋_GB2312" w:eastAsia="仿宋_GB2312"/>
        </w:rPr>
        <w:t>诚信佳项目管理有限责任公司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汉中市公安局南郑分局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诚信佳项目管理有限责任公司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满足采购人工作需求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联系人：李涛</w:t>
      </w:r>
    </w:p>
    <w:p>
      <w:pPr>
        <w:pStyle w:val="null3"/>
      </w:pPr>
      <w:r>
        <w:rPr>
          <w:rFonts w:ascii="仿宋_GB2312" w:hAnsi="仿宋_GB2312" w:cs="仿宋_GB2312" w:eastAsia="仿宋_GB2312"/>
        </w:rPr>
        <w:t>联系电话：18609162678</w:t>
      </w:r>
    </w:p>
    <w:p>
      <w:pPr>
        <w:pStyle w:val="null3"/>
      </w:pPr>
      <w:r>
        <w:rPr>
          <w:rFonts w:ascii="仿宋_GB2312" w:hAnsi="仿宋_GB2312" w:cs="仿宋_GB2312" w:eastAsia="仿宋_GB2312"/>
        </w:rPr>
        <w:t>地址：陕西省西安市沣东新城水利坊二期18幢1单元1层10101号</w:t>
      </w:r>
    </w:p>
    <w:p>
      <w:pPr>
        <w:pStyle w:val="null3"/>
      </w:pPr>
      <w:r>
        <w:rPr>
          <w:rFonts w:ascii="仿宋_GB2312" w:hAnsi="仿宋_GB2312" w:cs="仿宋_GB2312" w:eastAsia="仿宋_GB2312"/>
        </w:rPr>
        <w:t>邮编：710086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287,010.29</w:t>
      </w:r>
    </w:p>
    <w:p>
      <w:pPr>
        <w:pStyle w:val="null3"/>
      </w:pPr>
      <w:r>
        <w:rPr>
          <w:rFonts w:ascii="仿宋_GB2312" w:hAnsi="仿宋_GB2312" w:cs="仿宋_GB2312" w:eastAsia="仿宋_GB2312"/>
        </w:rPr>
        <w:t>采购包最高限价（元）: 287,010.29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汉中市公安局南郑分局红庙派出所搬迁装修工程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287,010.29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标的名称：汉中市公安局南郑分局红庙派出所搬迁装修工程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1.工期：合同签订后15日历天</w:t>
            </w:r>
            <w:r>
              <w:br/>
            </w:r>
            <w:r>
              <w:rPr>
                <w:rFonts w:ascii="仿宋_GB2312" w:hAnsi="仿宋_GB2312" w:cs="仿宋_GB2312" w:eastAsia="仿宋_GB2312"/>
              </w:rPr>
              <w:t xml:space="preserve"> 2.质量目标：合格</w:t>
            </w:r>
            <w:r>
              <w:br/>
            </w:r>
            <w:r>
              <w:rPr>
                <w:rFonts w:ascii="仿宋_GB2312" w:hAnsi="仿宋_GB2312" w:cs="仿宋_GB2312" w:eastAsia="仿宋_GB2312"/>
              </w:rPr>
              <w:t xml:space="preserve"> 3.施工范围：工程量清单内所含的全部内容</w:t>
            </w:r>
            <w:r>
              <w:br/>
            </w:r>
            <w:r>
              <w:rPr>
                <w:rFonts w:ascii="仿宋_GB2312" w:hAnsi="仿宋_GB2312" w:cs="仿宋_GB2312" w:eastAsia="仿宋_GB2312"/>
              </w:rPr>
              <w:t xml:space="preserve"> 4.本工程计价采用广联达计价软件GCCP7.0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符合国家相关验收标准及其配套的规范要求，并达到合格标准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供应商须对照本项目《项目评审办法》，逐项响应全部技术及商务指标，附对应支撑材料并按评审顺序标注，确保无遗漏、符合要求、便核查。</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贰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供应商为具有独立承担民事责任能力的企业法人、事业法人、其他组织，提供营业执照复印件（事业单位须事业单位法人证、组织机构代码证等证明文件；其他组织应提供合法证明文件）；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法定代表人身份证明或授权书</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核发的建筑工程施工总承包三级及以上资质或建筑装修装饰专业承包二级及以上资质，并具有安全生产许可证且在有效期内；供应商基本信息及项目负责人的基本信息应在“陕西省住房和城乡建设厅”或“全国建筑市场监管公共服务平台（四库一平台）”可查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拟派项目经理资格要求</w:t>
            </w:r>
          </w:p>
        </w:tc>
        <w:tc>
          <w:tcPr>
            <w:tcW w:type="dxa" w:w="3322"/>
          </w:tcPr>
          <w:p>
            <w:pPr>
              <w:pStyle w:val="null3"/>
            </w:pPr>
            <w:r>
              <w:rPr>
                <w:rFonts w:ascii="仿宋_GB2312" w:hAnsi="仿宋_GB2312" w:cs="仿宋_GB2312" w:eastAsia="仿宋_GB2312"/>
              </w:rPr>
              <w:t>拟派项目经理须具备建筑工程专业注册建造师二级（含二级）以上执业资格，具有安全生产考核合格B证，在本单位注册且无在建工程</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 供应商认为需要说明的其他事宜.docx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技术服务合同条款及其他商务要求应答表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响应文件上法定代表人或其委托代理人的签字齐全并加盖单位公章</w:t>
            </w:r>
          </w:p>
        </w:tc>
        <w:tc>
          <w:tcPr>
            <w:tcW w:type="dxa" w:w="1661"/>
          </w:tcPr>
          <w:p>
            <w:pPr>
              <w:pStyle w:val="null3"/>
            </w:pPr>
            <w:r>
              <w:rPr>
                <w:rFonts w:ascii="仿宋_GB2312" w:hAnsi="仿宋_GB2312" w:cs="仿宋_GB2312" w:eastAsia="仿宋_GB2312"/>
              </w:rPr>
              <w:t>响应文件封面 已标价工程量清单 供应商应提交的相关资格证明材料.docx 中小企业声明函 残疾人福利性单位声明函 报价函 标的清单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一、评审内容：针对本项目编制完善的施工方案，内容包含但不限于：①具体施工内容；② 施工方法（工艺）；③施工次序；④应急方案； ⑤施工准备：技术准备、材料准备、机械准备、机具准备、劳动力准备等； 二、评审标准： 1.完整性：方案必须全面，对评审内容中的各项要求有详细描述； 2.可实施性：切合本项目实际情况，提出步骤清晰、合理的方案； 3.针对性：方案能够紧扣项目实际情况，内容科学合理。 三、赋分标准（满分15分）： ①具体施工内容：每完全满足一个评审标准得1分，满分3分； ②施工方法（工艺）：每完全满足一个评审标准得1分，满分3分；③施工次序：每完全满足一个评审标准得1分，满分3分；④应急方案：每完全满足一个评审标准得1分，满分3分；⑤施工准备：技术准备、材料准备、机械准备、机具准备、劳动力准备等：每完全满足一个评审标准得1分，满分3分； 四、未提供者不得分。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一、评审内容：针对本项目编制完善的施工进度计划，内容包含但不限于：①施工进度计划横道图；②进度计划保证措施 ；③工期保证措施。 二、评审标准： 1.完整性：方案必须全面，对评审内容中的各项要求有详细描述； 2.可实施性： 切合本项目实际情况，提出步骤清晰、合理的方案； 3.针对性：方案能够紧扣项目实际情况，内容科学合理。 三、赋分标准（满分9分）：①施工进度计划横道图：每完全满足一个评审标准得1分，满分3分；②进度计划保证措施 ：每完全满足一个评审标准得1分，满分3分； ③工期保证措施 ：每完全满足一个评审标准得1分，满分3分；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一、评审内容：供应商针对本项目编制完善的质量保证措施，内容包含但不限于：①施工质量的检验制度；②确保质量的技术组织措施；③施工质量控制措施。 二、评审标准： 1.完整性：方案必须全面，对评审内容中的各项要求有详细描述； 2.可实施性：切合本项目实际情况，提出步骤清晰、合理的方案； 3.针对性：方案能够紧扣项目实际情况，内容科学合理。 三、赋分标准 （满分9分）：①施工质量检验制度：每完全满足一个评审标准得1分，满分3分；②确保质量的技术组织措施：每完全满足一个评审标准得1分，满分3分；③施工质量控制措施：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一、评审内容：供应商针对本项目编制完善的资源配置计划，内容包含但不限于：①劳动力资源配置计划；②施工机械设备投入计划；③主要施工材料供应计划。 二、评审标准： 1.完整性：方案必须全面，对评审内容中的各项要求有详细描述； 2.可实施性：切合本项目实际情况 , 提出步骤清晰、合理的方案； 3.针对性：方案能够紧扣项目实际情况，内容科学合理。 三、赋分标准（满分7.5分）：①劳动力资源配置计划：每完全满足一个评审标准得1分，满分3分；②施工机械设备投入计划：每完全满足一个评审标准得1分，满分3分；③主要施工材料供应计划：每完全满足一个评审标准得0.5分，满分1.5分； 四、未提供者不得分。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一、评审内容：供应商针对本项目编制完整的安全施工措施，内容包含但不限于： ①安全生产管理制度； ②安全施工措施； ③安全应急预案； ④安全生产教育。 二、评审标准： 1.完整性：方案必须全面，对评审内容中的各项要求有详细描述； 2.可实施性：切合本项目实际情况，提出步骤清晰、合理的方案； 3.针对性：方案能够紧扣项目实际情况，内容科学合理。 三、赋分标准（满分9分）：①安全生产管理制度：每完全满足一个评审标准得0.5分，满分1.5分；②安全施工措施：每完全满足一个评审标准得1分,满分3分；③安全应急预案：每完全满足一个评审标准得1分，满分3分；④安全生产教育：每完全满足一个评审标准得0.5分，满分1.5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一、评审内容：供应商针对本项目编制完整的文明施工措施，内容包含但不限于： ①文明施工管理目标及技术措施； ②文明施工现场管理：材料管理、防扰民措施。 二、评审标准： 1.完整性：方案必须全面，对评审内容中的各项要求有详细描述； 2.可实施性：切合本项目实际情况，提出步骤清晰、合理的方案； 3.针对性：方案能够紧扣项目实际情况，内容科学合理。 三、赋分标准（满分6分）：①文明施工管理目标及技术措施：每完全满足一个评审标准得1分，满分3分；②文明施工现场管理：每完全满足一个评审标准得1分，满分3分；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一、评审内容：供应商针对本项目编制完善的项目经理部组织机构，内容包含但不限于： ①项目成员配置清单及架构；项目组配备人员的专业素质、人员结构； ②项目成员的主要职责及工作内容。 二、评审标准： 1.完整性：项目组成人员搭配合理、全面，对评审内容中的各项要求有详细描述并提供证书证件； 2.可实施性：切合本项目实际情况，人员分工清晰，职责明确； 3.针对性：方案能够紧扣项目实际情况，内容科学合理。 三、赋分标准（满分6分）①项目成员配置清单及架构；项目组配备人员的专业素质、人员结构：每完全满足一个评审标准得1分，满分3分； ②项目成员的主要职责及工作内容：每完全满足一个评审标准得1分，满分3分；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p>
            <w:pPr>
              <w:pStyle w:val="null3"/>
            </w:pPr>
            <w:r>
              <w:rPr>
                <w:rFonts w:ascii="仿宋_GB2312" w:hAnsi="仿宋_GB2312" w:cs="仿宋_GB2312" w:eastAsia="仿宋_GB2312"/>
              </w:rPr>
              <w:t>拟派项目团队人员配置表.docx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一、评审内容：结合本项目的实际，供应商应依据国家相关规定对工程质量编制保修方案，内容包含但不限于：①维修措施；②保修责任；③保修承诺。 二、评审标准 ： 1.完整性：内容必须全面，对评审内容中的各项要求有详细描述； 2.落实性：切合项目具体情况，提出责任明确、要求具体的方案； 3.针对性：内容能够紧扣项目实际情况，内容科学合理。 三、赋分标准（满分4.5 分）：①维修措施：每完全满足一个评审标准得0.5分，满分1.5分；②保修责任：每完全满足一个评审标准得0.5分，满分1.5分；③保修承诺：每完全满足一个评审标准得0.5分，满分1.5分； 四、未提供者不得分。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供应商提供2023年1月1日至今完成的类似业绩证明，每提供一份得2分，最高得4分； 注：业绩须是供应商完成的类似项目，提供中标通知书和施工合同（协议书）复印件并加盖单位公章，两者缺一不可，否则视为无效业绩</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经资格审查、符合性审查合格的响应文件，其投标报价为有效投标报价。 1.上限为采购预算价，即报价大于上限价视为无效标； 2.以满足本次磋商文件要求的最低报价为评审基准价，其价格为满分； 3.不享有政策优惠条件的投标投标人报价得分=（评审基准价/报价）×30。 4.本项目为专门面向中小企业项目，专门面向中小企业采购的项目，不再执行价格评审优惠的扶持政策。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详见附件：供应商认为需要说明的其他事宜.docx</w:t>
      </w:r>
    </w:p>
    <w:p>
      <w:pPr>
        <w:pStyle w:val="null3"/>
        <w:ind w:firstLine="960"/>
      </w:pPr>
      <w:r>
        <w:rPr>
          <w:rFonts w:ascii="仿宋_GB2312" w:hAnsi="仿宋_GB2312" w:cs="仿宋_GB2312" w:eastAsia="仿宋_GB2312"/>
        </w:rPr>
        <w:t>详见附件：技术部分方案.docx</w:t>
      </w:r>
    </w:p>
    <w:p>
      <w:pPr>
        <w:pStyle w:val="null3"/>
        <w:ind w:firstLine="960"/>
      </w:pPr>
      <w:r>
        <w:rPr>
          <w:rFonts w:ascii="仿宋_GB2312" w:hAnsi="仿宋_GB2312" w:cs="仿宋_GB2312" w:eastAsia="仿宋_GB2312"/>
        </w:rPr>
        <w:t>详见附件：拟派项目团队人员配置表.docx</w:t>
      </w:r>
    </w:p>
    <w:p>
      <w:pPr>
        <w:pStyle w:val="null3"/>
        <w:ind w:firstLine="960"/>
      </w:pPr>
      <w:r>
        <w:rPr>
          <w:rFonts w:ascii="仿宋_GB2312" w:hAnsi="仿宋_GB2312" w:cs="仿宋_GB2312" w:eastAsia="仿宋_GB2312"/>
        </w:rPr>
        <w:t>详见附件：业绩情况表.docx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