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ascii="Times New Roman" w:hAnsi="Times New Roman" w:cs="Times New Roman"/>
          <w:b/>
          <w:bCs/>
          <w:color w:val="000000" w:themeColor="text1"/>
          <w:sz w:val="40"/>
          <w:szCs w:val="40"/>
          <w14:textFill>
            <w14:solidFill>
              <w14:schemeClr w14:val="tx1"/>
            </w14:solidFill>
          </w14:textFill>
        </w:rPr>
      </w:pPr>
    </w:p>
    <w:p>
      <w:pPr>
        <w:pStyle w:val="6"/>
        <w:spacing w:line="360" w:lineRule="auto"/>
        <w:jc w:val="center"/>
        <w:rPr>
          <w:rFonts w:hint="default" w:ascii="Times New Roman" w:hAnsi="Times New Roman" w:cs="Times New Roman"/>
          <w:b/>
          <w:bCs/>
          <w:color w:val="000000" w:themeColor="text1"/>
          <w:sz w:val="40"/>
          <w:szCs w:val="40"/>
          <w14:textFill>
            <w14:solidFill>
              <w14:schemeClr w14:val="tx1"/>
            </w14:solidFill>
          </w14:textFill>
        </w:rPr>
      </w:pPr>
    </w:p>
    <w:p>
      <w:pPr>
        <w:pStyle w:val="6"/>
        <w:spacing w:line="360" w:lineRule="auto"/>
        <w:jc w:val="center"/>
        <w:rPr>
          <w:rFonts w:hint="default" w:ascii="Times New Roman" w:hAnsi="Times New Roman" w:cs="Times New Roman"/>
          <w:b/>
          <w:bCs/>
          <w:color w:val="000000" w:themeColor="text1"/>
          <w:sz w:val="40"/>
          <w:szCs w:val="40"/>
          <w14:textFill>
            <w14:solidFill>
              <w14:schemeClr w14:val="tx1"/>
            </w14:solidFill>
          </w14:textFill>
        </w:rPr>
      </w:pPr>
      <w:bookmarkStart w:id="592" w:name="_GoBack"/>
      <w:r>
        <w:rPr>
          <w:rFonts w:hint="default" w:ascii="Times New Roman" w:hAnsi="Times New Roman" w:cs="Times New Roman"/>
          <w:b/>
          <w:bCs/>
          <w:color w:val="000000" w:themeColor="text1"/>
          <w:sz w:val="40"/>
          <w:szCs w:val="40"/>
          <w14:textFill>
            <w14:solidFill>
              <w14:schemeClr w14:val="tx1"/>
            </w14:solidFill>
          </w14:textFill>
        </w:rPr>
        <w:t>市委党校文体馆及蓉苑防水综合维修项目</w:t>
      </w:r>
      <w:bookmarkEnd w:id="592"/>
    </w:p>
    <w:p>
      <w:pPr>
        <w:pStyle w:val="6"/>
        <w:spacing w:line="360" w:lineRule="auto"/>
        <w:jc w:val="center"/>
        <w:rPr>
          <w:rFonts w:hint="default" w:ascii="Times New Roman" w:hAnsi="Times New Roman" w:cs="Times New Roman"/>
          <w:b/>
          <w:bCs/>
          <w:color w:val="000000" w:themeColor="text1"/>
          <w:sz w:val="40"/>
          <w:szCs w:val="40"/>
          <w14:textFill>
            <w14:solidFill>
              <w14:schemeClr w14:val="tx1"/>
            </w14:solidFill>
          </w14:textFill>
        </w:rPr>
      </w:pPr>
    </w:p>
    <w:p>
      <w:pPr>
        <w:pStyle w:val="6"/>
        <w:spacing w:line="360" w:lineRule="auto"/>
        <w:jc w:val="center"/>
        <w:rPr>
          <w:rFonts w:hint="default" w:ascii="Times New Roman" w:hAnsi="Times New Roman" w:cs="Times New Roman"/>
          <w:b/>
          <w:bCs/>
          <w:color w:val="000000" w:themeColor="text1"/>
          <w:sz w:val="40"/>
          <w:szCs w:val="40"/>
          <w14:textFill>
            <w14:solidFill>
              <w14:schemeClr w14:val="tx1"/>
            </w14:solidFill>
          </w14:textFill>
        </w:rPr>
      </w:pPr>
    </w:p>
    <w:p>
      <w:pPr>
        <w:pStyle w:val="6"/>
        <w:spacing w:line="360" w:lineRule="auto"/>
        <w:jc w:val="center"/>
        <w:rPr>
          <w:rFonts w:hint="default" w:ascii="Times New Roman" w:hAnsi="Times New Roman" w:cs="Times New Roman"/>
          <w:b/>
          <w:bCs/>
          <w:color w:val="000000" w:themeColor="text1"/>
          <w:sz w:val="52"/>
          <w:szCs w:val="52"/>
          <w14:textFill>
            <w14:solidFill>
              <w14:schemeClr w14:val="tx1"/>
            </w14:solidFill>
          </w14:textFill>
        </w:rPr>
      </w:pPr>
      <w:r>
        <w:rPr>
          <w:rFonts w:hint="default" w:ascii="Times New Roman" w:hAnsi="Times New Roman" w:cs="Times New Roman"/>
          <w:b/>
          <w:bCs/>
          <w:color w:val="000000" w:themeColor="text1"/>
          <w:sz w:val="52"/>
          <w:szCs w:val="52"/>
          <w14:textFill>
            <w14:solidFill>
              <w14:schemeClr w14:val="tx1"/>
            </w14:solidFill>
          </w14:textFill>
        </w:rPr>
        <w:t>施工总承包合同</w:t>
      </w: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180"/>
        <w:jc w:val="center"/>
        <w:rPr>
          <w:rFonts w:cs="Times New Roman"/>
          <w:color w:val="000000" w:themeColor="text1"/>
          <w14:textFill>
            <w14:solidFill>
              <w14:schemeClr w14:val="tx1"/>
            </w14:solidFill>
          </w14:textFill>
        </w:rPr>
      </w:pPr>
    </w:p>
    <w:p>
      <w:pPr>
        <w:pStyle w:val="7"/>
        <w:spacing w:line="360" w:lineRule="auto"/>
        <w:ind w:firstLine="220"/>
        <w:jc w:val="center"/>
        <w:rPr>
          <w:rFonts w:cs="Times New Roman"/>
          <w:color w:val="000000" w:themeColor="text1"/>
          <w:sz w:val="22"/>
          <w:szCs w:val="28"/>
          <w14:textFill>
            <w14:solidFill>
              <w14:schemeClr w14:val="tx1"/>
            </w14:solidFill>
          </w14:textFill>
        </w:rPr>
      </w:pPr>
    </w:p>
    <w:p>
      <w:pPr>
        <w:pStyle w:val="7"/>
        <w:spacing w:line="360" w:lineRule="auto"/>
        <w:ind w:firstLine="2409" w:firstLineChars="800"/>
        <w:rPr>
          <w:rFonts w:cs="Times New Roman"/>
          <w:b/>
          <w:bCs/>
          <w:color w:val="000000" w:themeColor="text1"/>
          <w:sz w:val="30"/>
          <w:szCs w:val="30"/>
          <w14:textFill>
            <w14:solidFill>
              <w14:schemeClr w14:val="tx1"/>
            </w14:solidFill>
          </w14:textFill>
        </w:rPr>
      </w:pPr>
      <w:r>
        <w:rPr>
          <w:rFonts w:hint="default" w:cs="Times New Roman"/>
          <w:b/>
          <w:bCs/>
          <w:color w:val="000000" w:themeColor="text1"/>
          <w:sz w:val="30"/>
          <w:szCs w:val="30"/>
          <w14:textFill>
            <w14:solidFill>
              <w14:schemeClr w14:val="tx1"/>
            </w14:solidFill>
          </w14:textFill>
        </w:rPr>
        <w:t>甲  方：</w:t>
      </w:r>
      <w:r>
        <w:rPr>
          <w:rFonts w:hint="default" w:cs="Times New Roman"/>
          <w:b/>
          <w:bCs/>
          <w:color w:val="000000" w:themeColor="text1"/>
          <w:sz w:val="30"/>
          <w:szCs w:val="30"/>
          <w:u w:val="single"/>
          <w14:textFill>
            <w14:solidFill>
              <w14:schemeClr w14:val="tx1"/>
            </w14:solidFill>
          </w14:textFill>
        </w:rPr>
        <w:t>中共成都市委党校</w:t>
      </w:r>
    </w:p>
    <w:p>
      <w:pPr>
        <w:pStyle w:val="7"/>
        <w:spacing w:line="360" w:lineRule="auto"/>
        <w:ind w:firstLine="2409" w:firstLineChars="800"/>
        <w:rPr>
          <w:rFonts w:cs="Times New Roman"/>
          <w:b/>
          <w:bCs/>
          <w:color w:val="000000" w:themeColor="text1"/>
          <w:sz w:val="30"/>
          <w:szCs w:val="30"/>
          <w14:textFill>
            <w14:solidFill>
              <w14:schemeClr w14:val="tx1"/>
            </w14:solidFill>
          </w14:textFill>
        </w:rPr>
      </w:pPr>
      <w:r>
        <w:rPr>
          <w:rFonts w:hint="default" w:cs="Times New Roman"/>
          <w:b/>
          <w:bCs/>
          <w:color w:val="000000" w:themeColor="text1"/>
          <w:sz w:val="30"/>
          <w:szCs w:val="30"/>
          <w14:textFill>
            <w14:solidFill>
              <w14:schemeClr w14:val="tx1"/>
            </w14:solidFill>
          </w14:textFill>
        </w:rPr>
        <w:t>乙  方：</w:t>
      </w:r>
      <w:r>
        <w:rPr>
          <w:rFonts w:hint="default" w:cs="Times New Roman"/>
          <w:b/>
          <w:color w:val="000000" w:themeColor="text1"/>
          <w:sz w:val="30"/>
          <w:szCs w:val="30"/>
          <w:u w:val="single"/>
          <w14:textFill>
            <w14:solidFill>
              <w14:schemeClr w14:val="tx1"/>
            </w14:solidFill>
          </w14:textFill>
        </w:rPr>
        <w:t xml:space="preserve"> </w:t>
      </w:r>
    </w:p>
    <w:p>
      <w:pPr>
        <w:pStyle w:val="7"/>
        <w:spacing w:line="360" w:lineRule="auto"/>
        <w:ind w:firstLine="2409" w:firstLineChars="800"/>
        <w:rPr>
          <w:rFonts w:cs="Times New Roman"/>
          <w:b/>
          <w:bCs/>
          <w:color w:val="000000" w:themeColor="text1"/>
          <w:sz w:val="30"/>
          <w:szCs w:val="30"/>
          <w14:textFill>
            <w14:solidFill>
              <w14:schemeClr w14:val="tx1"/>
            </w14:solidFill>
          </w14:textFill>
        </w:rPr>
      </w:pPr>
      <w:r>
        <w:rPr>
          <w:rFonts w:hint="default" w:cs="Times New Roman"/>
          <w:b/>
          <w:bCs/>
          <w:color w:val="000000" w:themeColor="text1"/>
          <w:sz w:val="30"/>
          <w:szCs w:val="30"/>
          <w14:textFill>
            <w14:solidFill>
              <w14:schemeClr w14:val="tx1"/>
            </w14:solidFill>
          </w14:textFill>
        </w:rPr>
        <w:t>签订时间：2025年  月</w:t>
      </w:r>
    </w:p>
    <w:p>
      <w:pPr>
        <w:spacing w:line="360"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br w:type="page"/>
      </w:r>
      <w:r>
        <w:rPr>
          <w:rFonts w:hint="default" w:ascii="Times New Roman" w:hAnsi="Times New Roman" w:cs="Times New Roman"/>
          <w:color w:val="000000" w:themeColor="text1"/>
          <w14:textFill>
            <w14:solidFill>
              <w14:schemeClr w14:val="tx1"/>
            </w14:solidFill>
          </w14:textFill>
        </w:rPr>
        <w:t xml:space="preserve">  根据《中华人民共和国政府采购法》《中华人民共和国民法典》《中华人民共和国建筑法》及市委党校文体馆及蓉苑防水综合维修项目工程采购的磋商文件、乙方的响应文件及成交通知书，甲、乙双方同意签订本合同。详细技术说明及其他有关合同项目的特定信息由合同附件予以说明，合同附件及本项目的磋商文件、响应文件、评审报告、成交通知书等均为本合同不可分割的部分。</w:t>
      </w: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本项目通用合同条款参照《建设项目工程总承包合同(示范文本)》(</w:t>
      </w:r>
      <w:r>
        <w:rPr>
          <w:rFonts w:ascii="Times New Roman" w:hAnsi="Times New Roman" w:cs="Times New Roman"/>
          <w:color w:val="000000" w:themeColor="text1"/>
          <w14:textFill>
            <w14:solidFill>
              <w14:schemeClr w14:val="tx1"/>
            </w14:solidFill>
          </w14:textFill>
        </w:rPr>
        <w:t>GF-2020-0216</w:t>
      </w:r>
      <w:r>
        <w:rPr>
          <w:rFonts w:hint="default" w:ascii="Times New Roman" w:hAnsi="Times New Roman" w:cs="Times New Roman"/>
          <w:color w:val="000000" w:themeColor="text1"/>
          <w14:textFill>
            <w14:solidFill>
              <w14:schemeClr w14:val="tx1"/>
            </w14:solidFill>
          </w14:textFill>
        </w:rPr>
        <w:t>)通用合同条款执行。</w:t>
      </w: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注：本采购合同中出现的措辞“发包人”与磋商文件中的“采购人”含义相同；</w:t>
      </w: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“投标人”与“供应商”“承包人”含义相同；</w:t>
      </w: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“招标文件”与“采购文件”及“磋商文件”含义相同。</w:t>
      </w: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p>
    <w:p>
      <w:pPr>
        <w:spacing w:line="360" w:lineRule="auto"/>
        <w:ind w:firstLine="640" w:firstLineChars="200"/>
        <w:rPr>
          <w:rFonts w:hint="default" w:ascii="Times New Roman" w:hAnsi="Times New Roman" w:cs="Times New Roman"/>
          <w:color w:val="000000" w:themeColor="text1"/>
          <w14:textFill>
            <w14:solidFill>
              <w14:schemeClr w14:val="tx1"/>
            </w14:solidFill>
          </w14:textFill>
        </w:rPr>
      </w:pPr>
    </w:p>
    <w:p>
      <w:pPr>
        <w:spacing w:line="360" w:lineRule="auto"/>
        <w:ind w:firstLine="642" w:firstLineChars="200"/>
        <w:jc w:val="center"/>
        <w:rPr>
          <w:rFonts w:hint="default" w:ascii="Times New Roman" w:hAnsi="Times New Roman" w:cs="Times New Roman"/>
          <w:b/>
          <w:bCs/>
          <w:color w:val="000000" w:themeColor="text1"/>
          <w14:textFill>
            <w14:solidFill>
              <w14:schemeClr w14:val="tx1"/>
            </w14:solidFill>
          </w14:textFill>
        </w:rPr>
        <w:sectPr>
          <w:headerReference r:id="rId5" w:type="default"/>
          <w:pgSz w:w="11906" w:h="16838"/>
          <w:pgMar w:top="1440" w:right="1080" w:bottom="1440" w:left="1080" w:header="850" w:footer="567" w:gutter="0"/>
          <w:cols w:space="720" w:num="1"/>
          <w:titlePg/>
          <w:docGrid w:type="lines" w:linePitch="326" w:charSpace="0"/>
        </w:sectPr>
      </w:pPr>
    </w:p>
    <w:p>
      <w:pPr>
        <w:spacing w:line="360" w:lineRule="auto"/>
        <w:ind w:firstLine="562" w:firstLineChars="200"/>
        <w:jc w:val="center"/>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b/>
          <w:bCs/>
          <w:color w:val="000000" w:themeColor="text1"/>
          <w:sz w:val="28"/>
          <w:szCs w:val="28"/>
          <w14:textFill>
            <w14:solidFill>
              <w14:schemeClr w14:val="tx1"/>
            </w14:solidFill>
          </w14:textFill>
        </w:rPr>
        <w:t>第一节  合同协议书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发包人（全称）：（甲方）中共成都市委党校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承包人（全称）：（乙方）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0" w:name="_Toc351203481"/>
      <w:r>
        <w:rPr>
          <w:rFonts w:hint="default" w:ascii="Times New Roman" w:hAnsi="Times New Roman" w:eastAsia="仿宋" w:cs="Times New Roman"/>
          <w:color w:val="000000" w:themeColor="text1"/>
          <w:sz w:val="28"/>
          <w:szCs w:val="28"/>
          <w14:textFill>
            <w14:solidFill>
              <w14:schemeClr w14:val="tx1"/>
            </w14:solidFill>
          </w14:textFill>
        </w:rPr>
        <w:t>一、工程概况</w:t>
      </w:r>
      <w:bookmarkEnd w:id="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1.工程名称：市委党校文体馆及蓉苑防水综合维修项目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2.工程地点：成都市龙泉驿区大面街道驿都西路1492号。</w:t>
      </w:r>
    </w:p>
    <w:p>
      <w:pPr>
        <w:spacing w:line="360" w:lineRule="auto"/>
        <w:ind w:firstLine="560" w:firstLineChars="200"/>
        <w:rPr>
          <w:rFonts w:hint="default" w:ascii="Times New Roman" w:hAnsi="Times New Roman" w:eastAsia="仿宋" w:cs="Times New Roman"/>
          <w:color w:val="000000" w:themeColor="text1"/>
          <w:sz w:val="28"/>
          <w:szCs w:val="28"/>
          <w:lang w:val="zh-CN"/>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3.项目编号：</w:t>
      </w:r>
      <w:r>
        <w:rPr>
          <w:rFonts w:hint="default" w:ascii="Times New Roman" w:hAnsi="Times New Roman" w:eastAsia="仿宋" w:cs="Times New Roman"/>
          <w:color w:val="000000" w:themeColor="text1"/>
          <w:sz w:val="28"/>
          <w:szCs w:val="28"/>
          <w:lang w:val="zh-CN"/>
          <w14:textFill>
            <w14:solidFill>
              <w14:schemeClr w14:val="tx1"/>
            </w14:solidFill>
          </w14:textFill>
        </w:rPr>
        <w:t xml:space="preserve"> </w:t>
      </w:r>
    </w:p>
    <w:p>
      <w:pPr>
        <w:pStyle w:val="6"/>
        <w:spacing w:line="360" w:lineRule="auto"/>
        <w:ind w:firstLine="560" w:firstLineChars="200"/>
        <w:rPr>
          <w:rFonts w:hint="default" w:ascii="Times New Roman" w:hAnsi="Times New Roman" w:eastAsia="仿宋" w:cs="Times New Roman"/>
          <w:color w:val="000000" w:themeColor="text1"/>
          <w:sz w:val="28"/>
          <w:szCs w:val="28"/>
          <w:lang w:val="zh-CN"/>
          <w14:textFill>
            <w14:solidFill>
              <w14:schemeClr w14:val="tx1"/>
            </w14:solidFill>
          </w14:textFill>
        </w:rPr>
      </w:pPr>
      <w:r>
        <w:rPr>
          <w:rFonts w:hint="default" w:ascii="Times New Roman" w:hAnsi="Times New Roman" w:eastAsia="仿宋" w:cs="Times New Roman"/>
          <w:color w:val="000000" w:themeColor="text1"/>
          <w:sz w:val="28"/>
          <w:szCs w:val="28"/>
          <w:lang w:val="zh-CN"/>
          <w14:textFill>
            <w14:solidFill>
              <w14:schemeClr w14:val="tx1"/>
            </w14:solidFill>
          </w14:textFill>
        </w:rPr>
        <w:t>4、资金来源：财政资金。</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5.工程内容：详见施工图。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6.工程承包范围：</w:t>
      </w:r>
      <w:r>
        <w:rPr>
          <w:rFonts w:hint="default" w:ascii="Times New Roman" w:hAnsi="Times New Roman" w:eastAsia="仿宋" w:cs="Times New Roman"/>
          <w:color w:val="000000" w:themeColor="text1"/>
          <w:sz w:val="28"/>
          <w:szCs w:val="28"/>
          <w:lang w:val="zh-CN"/>
          <w14:textFill>
            <w14:solidFill>
              <w14:schemeClr w14:val="tx1"/>
            </w14:solidFill>
          </w14:textFill>
        </w:rPr>
        <w:t>为招标</w:t>
      </w:r>
      <w:r>
        <w:rPr>
          <w:rFonts w:hint="default" w:ascii="Times New Roman" w:hAnsi="Times New Roman" w:eastAsia="仿宋" w:cs="Times New Roman"/>
          <w:color w:val="000000" w:themeColor="text1"/>
          <w:sz w:val="28"/>
          <w:szCs w:val="28"/>
          <w14:textFill>
            <w14:solidFill>
              <w14:schemeClr w14:val="tx1"/>
            </w14:solidFill>
          </w14:textFill>
        </w:rPr>
        <w:t>人提供的《工程量统计表》施工图设计范围内的的全部施工内容。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 w:name="_Toc351203482"/>
      <w:r>
        <w:rPr>
          <w:rFonts w:hint="default" w:ascii="Times New Roman" w:hAnsi="Times New Roman" w:eastAsia="仿宋" w:cs="Times New Roman"/>
          <w:color w:val="000000" w:themeColor="text1"/>
          <w:sz w:val="28"/>
          <w:szCs w:val="28"/>
          <w14:textFill>
            <w14:solidFill>
              <w14:schemeClr w14:val="tx1"/>
            </w14:solidFill>
          </w14:textFill>
        </w:rPr>
        <w:t>二、合同工期</w:t>
      </w:r>
      <w:bookmarkEnd w:id="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计划开工日期： 年 月  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计划竣工日期： 年   月   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工期总日历天数：</w:t>
      </w:r>
      <w:r>
        <w:rPr>
          <w:rFonts w:hint="default" w:ascii="Times New Roman" w:hAnsi="Times New Roman" w:eastAsia="仿宋" w:cs="Times New Roman"/>
          <w:sz w:val="28"/>
          <w:szCs w:val="28"/>
          <w:highlight w:val="none"/>
        </w:rPr>
        <w:t xml:space="preserve"> 50  </w:t>
      </w:r>
      <w:r>
        <w:rPr>
          <w:rFonts w:hint="default" w:ascii="Times New Roman" w:hAnsi="Times New Roman" w:eastAsia="仿宋" w:cs="Times New Roman"/>
          <w:sz w:val="28"/>
          <w:szCs w:val="28"/>
        </w:rPr>
        <w:t>天。工</w:t>
      </w:r>
      <w:r>
        <w:rPr>
          <w:rFonts w:hint="default" w:ascii="Times New Roman" w:hAnsi="Times New Roman" w:eastAsia="仿宋" w:cs="Times New Roman"/>
          <w:color w:val="000000" w:themeColor="text1"/>
          <w:sz w:val="28"/>
          <w:szCs w:val="28"/>
          <w14:textFill>
            <w14:solidFill>
              <w14:schemeClr w14:val="tx1"/>
            </w14:solidFill>
          </w14:textFill>
        </w:rPr>
        <w:t>期总日历天数与根据前述计划开竣工日期计算的工期天数不一致的，以工期总日历天数为准。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 w:name="_Toc351203483"/>
      <w:r>
        <w:rPr>
          <w:rFonts w:hint="default" w:ascii="Times New Roman" w:hAnsi="Times New Roman" w:eastAsia="仿宋" w:cs="Times New Roman"/>
          <w:color w:val="000000" w:themeColor="text1"/>
          <w:sz w:val="28"/>
          <w:szCs w:val="28"/>
          <w14:textFill>
            <w14:solidFill>
              <w14:schemeClr w14:val="tx1"/>
            </w14:solidFill>
          </w14:textFill>
        </w:rPr>
        <w:t>三、质量标准</w:t>
      </w:r>
      <w:bookmarkEnd w:id="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工程质量符合现行国家标准及行业规定标准。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 w:name="_Toc351203484"/>
      <w:r>
        <w:rPr>
          <w:rFonts w:hint="default" w:ascii="Times New Roman" w:hAnsi="Times New Roman" w:eastAsia="仿宋" w:cs="Times New Roman"/>
          <w:color w:val="000000" w:themeColor="text1"/>
          <w:sz w:val="28"/>
          <w:szCs w:val="28"/>
          <w14:textFill>
            <w14:solidFill>
              <w14:schemeClr w14:val="tx1"/>
            </w14:solidFill>
          </w14:textFill>
        </w:rPr>
        <w:t>四、签约合同价与合同价格形式</w:t>
      </w:r>
      <w:bookmarkEnd w:id="3"/>
      <w:r>
        <w:rPr>
          <w:rFonts w:hint="default" w:ascii="Times New Roman" w:hAnsi="Times New Roman" w:eastAsia="仿宋" w:cs="Times New Roman"/>
          <w:color w:val="000000" w:themeColor="text1"/>
          <w:sz w:val="28"/>
          <w:szCs w:val="28"/>
          <w14:textFill>
            <w14:solidFill>
              <w14:schemeClr w14:val="tx1"/>
            </w14:solidFill>
          </w14:textFill>
        </w:rPr>
        <w:t>（以下价格是否含税？）</w:t>
      </w:r>
      <w:r>
        <w:rPr>
          <w:rFonts w:hint="default" w:ascii="Times New Roman" w:hAnsi="Times New Roman" w:eastAsia="仿宋" w:cs="Times New Roman"/>
          <w:color w:val="000000" w:themeColor="text1"/>
          <w:sz w:val="28"/>
          <w:szCs w:val="28"/>
          <w14:textFill>
            <w14:solidFill>
              <w14:schemeClr w14:val="tx1"/>
            </w14:solidFill>
          </w14:textFill>
        </w:rPr>
        <w:tab/>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1.签约合同价为：</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元</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人民币（大写）(¥元)：</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其中：</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（1）安全文明施工费</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元</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人民币（大写） (¥元)：</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（2）材料和工程设备暂估价金额：</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元</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人民币（大写） (¥元)：</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（3）专业工程暂估价金额</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元</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人民币（大写） (¥元)：</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（4）暂列金额：</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元</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人民币（大写） (¥元)：</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2.合同价格形式：固定总价合同。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 w:name="_Toc351203485"/>
      <w:r>
        <w:rPr>
          <w:rFonts w:hint="default" w:ascii="Times New Roman" w:hAnsi="Times New Roman" w:eastAsia="仿宋" w:cs="Times New Roman"/>
          <w:color w:val="000000" w:themeColor="text1"/>
          <w:sz w:val="28"/>
          <w:szCs w:val="28"/>
          <w14:textFill>
            <w14:solidFill>
              <w14:schemeClr w14:val="tx1"/>
            </w14:solidFill>
          </w14:textFill>
        </w:rPr>
        <w:t>五、</w:t>
      </w:r>
      <w:bookmarkEnd w:id="4"/>
      <w:r>
        <w:rPr>
          <w:rFonts w:hint="default" w:ascii="Times New Roman" w:hAnsi="Times New Roman" w:eastAsia="仿宋" w:cs="Times New Roman"/>
          <w:color w:val="000000" w:themeColor="text1"/>
          <w:sz w:val="28"/>
          <w:szCs w:val="28"/>
          <w14:textFill>
            <w14:solidFill>
              <w14:schemeClr w14:val="tx1"/>
            </w14:solidFill>
          </w14:textFill>
        </w:rPr>
        <w:t>项目经理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承包人项目经理：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 w:name="_Toc351203486"/>
      <w:r>
        <w:rPr>
          <w:rFonts w:hint="default" w:ascii="Times New Roman" w:hAnsi="Times New Roman" w:eastAsia="仿宋" w:cs="Times New Roman"/>
          <w:color w:val="000000" w:themeColor="text1"/>
          <w:sz w:val="28"/>
          <w:szCs w:val="28"/>
          <w14:textFill>
            <w14:solidFill>
              <w14:schemeClr w14:val="tx1"/>
            </w14:solidFill>
          </w14:textFill>
        </w:rPr>
        <w:t>六、合同文件构成</w:t>
      </w:r>
      <w:bookmarkEnd w:id="5"/>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本协议书与下列文件一起构成合同文件：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（1）成交通知书；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（2）专用合同条款及其附件；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（3）通用合同条款；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（4）磋商文件；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（5）响应文件：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（6）评审报告；</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（7）技术标准和要求；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（8）图纸；</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（9）已标价工程量清单或预算书；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（10）其他合同文件。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在合同订立及履行过程中形成的与合同有关的文件均构成合同文件组成部分。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 w:name="_Toc351203487"/>
      <w:r>
        <w:rPr>
          <w:rFonts w:hint="default" w:ascii="Times New Roman" w:hAnsi="Times New Roman" w:eastAsia="仿宋" w:cs="Times New Roman"/>
          <w:color w:val="000000" w:themeColor="text1"/>
          <w:sz w:val="28"/>
          <w:szCs w:val="28"/>
          <w14:textFill>
            <w14:solidFill>
              <w14:schemeClr w14:val="tx1"/>
            </w14:solidFill>
          </w14:textFill>
        </w:rPr>
        <w:t>七、承诺</w:t>
      </w:r>
      <w:bookmarkEnd w:id="6"/>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1.发包人承诺按照法律规定履行项目审批手续、筹集工程建设资金并按照合同约定的期限和方式支付合同价款。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3.发包人和承包人通过招投标形式签订合同的，双方理解并承诺不再就同一工程另行签订与合同实质性内容相背离的协议。</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7" w:name="_Toc351203488"/>
      <w:r>
        <w:rPr>
          <w:rFonts w:hint="default" w:ascii="Times New Roman" w:hAnsi="Times New Roman" w:eastAsia="仿宋" w:cs="Times New Roman"/>
          <w:color w:val="000000" w:themeColor="text1"/>
          <w:sz w:val="28"/>
          <w:szCs w:val="28"/>
          <w14:textFill>
            <w14:solidFill>
              <w14:schemeClr w14:val="tx1"/>
            </w14:solidFill>
          </w14:textFill>
        </w:rPr>
        <w:t>八、词语含义</w:t>
      </w:r>
      <w:bookmarkEnd w:id="7"/>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本协议书中词语含义与第二部分通用合同条款中赋予的含义相同。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8" w:name="_Toc351203489"/>
      <w:r>
        <w:rPr>
          <w:rFonts w:hint="default" w:ascii="Times New Roman" w:hAnsi="Times New Roman" w:eastAsia="仿宋" w:cs="Times New Roman"/>
          <w:color w:val="000000" w:themeColor="text1"/>
          <w:sz w:val="28"/>
          <w:szCs w:val="28"/>
          <w14:textFill>
            <w14:solidFill>
              <w14:schemeClr w14:val="tx1"/>
            </w14:solidFill>
          </w14:textFill>
        </w:rPr>
        <w:t>九、签订时间</w:t>
      </w:r>
      <w:bookmarkEnd w:id="8"/>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本合同于</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年    月    日</w:t>
      </w:r>
      <w:r>
        <w:rPr>
          <w:rFonts w:hint="default" w:ascii="Times New Roman" w:hAnsi="Times New Roman" w:eastAsia="仿宋" w:cs="Times New Roman"/>
          <w:color w:val="000000" w:themeColor="text1"/>
          <w:sz w:val="28"/>
          <w:szCs w:val="28"/>
          <w14:textFill>
            <w14:solidFill>
              <w14:schemeClr w14:val="tx1"/>
            </w14:solidFill>
          </w14:textFill>
        </w:rPr>
        <w:t>签订。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9" w:name="_Toc351203490"/>
      <w:r>
        <w:rPr>
          <w:rFonts w:hint="default" w:ascii="Times New Roman" w:hAnsi="Times New Roman" w:eastAsia="仿宋" w:cs="Times New Roman"/>
          <w:color w:val="000000" w:themeColor="text1"/>
          <w:sz w:val="28"/>
          <w:szCs w:val="28"/>
          <w14:textFill>
            <w14:solidFill>
              <w14:schemeClr w14:val="tx1"/>
            </w14:solidFill>
          </w14:textFill>
        </w:rPr>
        <w:t>十、签订地点</w:t>
      </w:r>
      <w:bookmarkEnd w:id="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本合同在</w:t>
      </w:r>
      <w:r>
        <w:rPr>
          <w:rFonts w:hint="default" w:ascii="Times New Roman" w:hAnsi="Times New Roman" w:eastAsia="仿宋" w:cs="Times New Roman"/>
          <w:color w:val="000000" w:themeColor="text1"/>
          <w:sz w:val="28"/>
          <w:szCs w:val="28"/>
          <w:u w:val="single"/>
          <w14:textFill>
            <w14:solidFill>
              <w14:schemeClr w14:val="tx1"/>
            </w14:solidFill>
          </w14:textFill>
        </w:rPr>
        <w:t>中共成都市委党校</w:t>
      </w:r>
      <w:r>
        <w:rPr>
          <w:rFonts w:hint="default" w:ascii="Times New Roman" w:hAnsi="Times New Roman" w:eastAsia="仿宋" w:cs="Times New Roman"/>
          <w:color w:val="000000" w:themeColor="text1"/>
          <w:sz w:val="28"/>
          <w:szCs w:val="28"/>
          <w14:textFill>
            <w14:solidFill>
              <w14:schemeClr w14:val="tx1"/>
            </w14:solidFill>
          </w14:textFill>
        </w:rPr>
        <w:t>签订。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0" w:name="_Toc351203491"/>
      <w:r>
        <w:rPr>
          <w:rFonts w:hint="default" w:ascii="Times New Roman" w:hAnsi="Times New Roman" w:eastAsia="仿宋" w:cs="Times New Roman"/>
          <w:color w:val="000000" w:themeColor="text1"/>
          <w:sz w:val="28"/>
          <w:szCs w:val="28"/>
          <w14:textFill>
            <w14:solidFill>
              <w14:schemeClr w14:val="tx1"/>
            </w14:solidFill>
          </w14:textFill>
        </w:rPr>
        <w:t>十一、补充协议</w:t>
      </w:r>
      <w:bookmarkEnd w:id="1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合同未尽事宜，合同当事人另行签订补充协议，补充协议是合同的组成部分。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1" w:name="_Toc351203492"/>
      <w:r>
        <w:rPr>
          <w:rFonts w:hint="default" w:ascii="Times New Roman" w:hAnsi="Times New Roman" w:eastAsia="仿宋" w:cs="Times New Roman"/>
          <w:color w:val="000000" w:themeColor="text1"/>
          <w:sz w:val="28"/>
          <w:szCs w:val="28"/>
          <w14:textFill>
            <w14:solidFill>
              <w14:schemeClr w14:val="tx1"/>
            </w14:solidFill>
          </w14:textFill>
        </w:rPr>
        <w:t>十二、合同生效</w:t>
      </w:r>
      <w:bookmarkEnd w:id="1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本合同自双方签字盖章时生效。</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2" w:name="_Toc351203493"/>
      <w:r>
        <w:rPr>
          <w:rFonts w:hint="default" w:ascii="Times New Roman" w:hAnsi="Times New Roman" w:eastAsia="仿宋" w:cs="Times New Roman"/>
          <w:color w:val="000000" w:themeColor="text1"/>
          <w:sz w:val="28"/>
          <w:szCs w:val="28"/>
          <w14:textFill>
            <w14:solidFill>
              <w14:schemeClr w14:val="tx1"/>
            </w14:solidFill>
          </w14:textFill>
        </w:rPr>
        <w:t>十三、合同份数</w:t>
      </w:r>
      <w:bookmarkEnd w:id="1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本合同一式叁份，每份均具有同等法律效力，发包人执贰份，承包人执壹份。</w:t>
      </w:r>
    </w:p>
    <w:p>
      <w:pPr>
        <w:spacing w:line="360" w:lineRule="auto"/>
        <w:rPr>
          <w:rFonts w:hint="default" w:ascii="Times New Roman" w:hAnsi="Times New Roman" w:eastAsia="仿宋" w:cs="Times New Roman"/>
          <w:color w:val="000000" w:themeColor="text1"/>
          <w:spacing w:val="-6"/>
          <w:sz w:val="28"/>
          <w:szCs w:val="28"/>
          <w14:textFill>
            <w14:solidFill>
              <w14:schemeClr w14:val="tx1"/>
            </w14:solidFill>
          </w14:textFill>
        </w:rPr>
      </w:pPr>
    </w:p>
    <w:p>
      <w:pPr>
        <w:spacing w:line="360" w:lineRule="auto"/>
        <w:ind w:firstLine="536" w:firstLineChars="200"/>
        <w:rPr>
          <w:rFonts w:hint="default" w:ascii="Times New Roman" w:hAnsi="Times New Roman" w:eastAsia="仿宋" w:cs="Times New Roman"/>
          <w:color w:val="000000" w:themeColor="text1"/>
          <w:spacing w:val="-6"/>
          <w:sz w:val="28"/>
          <w:szCs w:val="28"/>
          <w14:textFill>
            <w14:solidFill>
              <w14:schemeClr w14:val="tx1"/>
            </w14:solidFill>
          </w14:textFill>
        </w:rPr>
      </w:pPr>
      <w:r>
        <w:rPr>
          <w:rFonts w:hint="default" w:ascii="Times New Roman" w:hAnsi="Times New Roman" w:eastAsia="仿宋" w:cs="Times New Roman"/>
          <w:color w:val="000000" w:themeColor="text1"/>
          <w:spacing w:val="-6"/>
          <w:sz w:val="28"/>
          <w:szCs w:val="28"/>
          <w14:textFill>
            <w14:solidFill>
              <w14:schemeClr w14:val="tx1"/>
            </w14:solidFill>
          </w14:textFill>
        </w:rPr>
        <w:t>发包人：  (公章)                      承包人：  (公章)</w:t>
      </w:r>
    </w:p>
    <w:p>
      <w:pPr>
        <w:spacing w:line="360" w:lineRule="auto"/>
        <w:rPr>
          <w:rFonts w:hint="default" w:ascii="Times New Roman" w:hAnsi="Times New Roman" w:eastAsia="仿宋" w:cs="Times New Roman"/>
          <w:color w:val="000000" w:themeColor="text1"/>
          <w:spacing w:val="-6"/>
          <w:sz w:val="28"/>
          <w:szCs w:val="28"/>
          <w14:textFill>
            <w14:solidFill>
              <w14:schemeClr w14:val="tx1"/>
            </w14:solidFill>
          </w14:textFill>
        </w:rPr>
      </w:pPr>
    </w:p>
    <w:p>
      <w:pPr>
        <w:spacing w:line="360" w:lineRule="auto"/>
        <w:ind w:firstLine="536" w:firstLineChars="200"/>
        <w:rPr>
          <w:rFonts w:hint="default" w:ascii="Times New Roman" w:hAnsi="Times New Roman" w:eastAsia="仿宋" w:cs="Times New Roman"/>
          <w:color w:val="000000" w:themeColor="text1"/>
          <w:spacing w:val="-6"/>
          <w:sz w:val="28"/>
          <w:szCs w:val="28"/>
          <w14:textFill>
            <w14:solidFill>
              <w14:schemeClr w14:val="tx1"/>
            </w14:solidFill>
          </w14:textFill>
        </w:rPr>
      </w:pPr>
      <w:r>
        <w:rPr>
          <w:rFonts w:hint="default" w:ascii="Times New Roman" w:hAnsi="Times New Roman" w:eastAsia="仿宋" w:cs="Times New Roman"/>
          <w:color w:val="000000" w:themeColor="text1"/>
          <w:spacing w:val="-6"/>
          <w:sz w:val="28"/>
          <w:szCs w:val="28"/>
          <w14:textFill>
            <w14:solidFill>
              <w14:schemeClr w14:val="tx1"/>
            </w14:solidFill>
          </w14:textFill>
        </w:rPr>
        <w:t xml:space="preserve">法定代表人或其委托代理人： </w:t>
      </w:r>
      <w:r>
        <w:rPr>
          <w:rFonts w:hint="default" w:ascii="Times New Roman" w:hAnsi="Times New Roman" w:eastAsia="仿宋" w:cs="Times New Roman"/>
          <w:color w:val="000000" w:themeColor="text1"/>
          <w:spacing w:val="-17"/>
          <w:sz w:val="28"/>
          <w:szCs w:val="28"/>
          <w14:textFill>
            <w14:solidFill>
              <w14:schemeClr w14:val="tx1"/>
            </w14:solidFill>
          </w14:textFill>
        </w:rPr>
        <w:t xml:space="preserve">             </w:t>
      </w:r>
      <w:r>
        <w:rPr>
          <w:rFonts w:hint="default" w:ascii="Times New Roman" w:hAnsi="Times New Roman" w:eastAsia="仿宋" w:cs="Times New Roman"/>
          <w:color w:val="000000" w:themeColor="text1"/>
          <w:spacing w:val="-6"/>
          <w:sz w:val="28"/>
          <w:szCs w:val="28"/>
          <w14:textFill>
            <w14:solidFill>
              <w14:schemeClr w14:val="tx1"/>
            </w14:solidFill>
          </w14:textFill>
        </w:rPr>
        <w:t>法定代表人或其委托代理人：</w:t>
      </w:r>
    </w:p>
    <w:p>
      <w:pPr>
        <w:spacing w:line="360" w:lineRule="auto"/>
        <w:ind w:firstLine="536" w:firstLineChars="200"/>
        <w:rPr>
          <w:rFonts w:hint="default" w:ascii="Times New Roman" w:hAnsi="Times New Roman" w:eastAsia="仿宋" w:cs="Times New Roman"/>
          <w:color w:val="000000" w:themeColor="text1"/>
          <w:spacing w:val="-6"/>
          <w:sz w:val="28"/>
          <w:szCs w:val="28"/>
          <w14:textFill>
            <w14:solidFill>
              <w14:schemeClr w14:val="tx1"/>
            </w14:solidFill>
          </w14:textFill>
        </w:rPr>
      </w:pPr>
      <w:r>
        <w:rPr>
          <w:rFonts w:hint="default" w:ascii="Times New Roman" w:hAnsi="Times New Roman" w:eastAsia="仿宋" w:cs="Times New Roman"/>
          <w:color w:val="000000" w:themeColor="text1"/>
          <w:spacing w:val="-6"/>
          <w:sz w:val="28"/>
          <w:szCs w:val="28"/>
          <w14:textFill>
            <w14:solidFill>
              <w14:schemeClr w14:val="tx1"/>
            </w14:solidFill>
          </w14:textFill>
        </w:rPr>
        <w:t>（签字）                                （签字）</w:t>
      </w:r>
    </w:p>
    <w:p>
      <w:pPr>
        <w:spacing w:line="360" w:lineRule="auto"/>
        <w:ind w:firstLine="492" w:firstLineChars="200"/>
        <w:rPr>
          <w:rFonts w:hint="default" w:ascii="Times New Roman" w:hAnsi="Times New Roman" w:eastAsia="仿宋" w:cs="Times New Roman"/>
          <w:color w:val="000000" w:themeColor="text1"/>
          <w:spacing w:val="-17"/>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组织机构代码：                     组织机构代码：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地址：                             地址：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邮政编码：                         邮政编码：</w:t>
      </w:r>
      <w:r>
        <w:rPr>
          <w:rFonts w:hint="default" w:ascii="Times New Roman" w:hAnsi="Times New Roman" w:eastAsia="仿宋" w:cs="Times New Roman"/>
          <w:color w:val="000000" w:themeColor="text1"/>
          <w:sz w:val="28"/>
          <w:szCs w:val="28"/>
          <w:shd w:val="clear" w:color="auto" w:fill="FFFFFF"/>
          <w14:textFill>
            <w14:solidFill>
              <w14:schemeClr w14:val="tx1"/>
            </w14:solidFill>
          </w14:textFill>
        </w:rPr>
        <w:t xml:space="preserve">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电话：                             电话：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传真：                             传真：\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电子信箱：                         电子信箱：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开户银行：                         开户银行：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账号：                             账号： </w:t>
      </w:r>
    </w:p>
    <w:p>
      <w:pPr>
        <w:pStyle w:val="6"/>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jc w:val="center"/>
        <w:rPr>
          <w:rFonts w:hint="default" w:ascii="Times New Roman" w:hAnsi="Times New Roman" w:eastAsia="仿宋" w:cs="Times New Roman"/>
          <w:b/>
          <w:bCs/>
          <w:color w:val="000000" w:themeColor="text1"/>
          <w:sz w:val="28"/>
          <w:szCs w:val="28"/>
          <w14:textFill>
            <w14:solidFill>
              <w14:schemeClr w14:val="tx1"/>
            </w14:solidFill>
          </w14:textFill>
        </w:rPr>
      </w:pPr>
      <w:bookmarkStart w:id="13" w:name="_Toc351203494"/>
      <w:r>
        <w:rPr>
          <w:rFonts w:hint="default" w:ascii="Times New Roman" w:hAnsi="Times New Roman" w:eastAsia="仿宋" w:cs="Times New Roman"/>
          <w:b/>
          <w:bCs/>
          <w:color w:val="000000" w:themeColor="text1"/>
          <w:sz w:val="28"/>
          <w:szCs w:val="28"/>
          <w14:textFill>
            <w14:solidFill>
              <w14:schemeClr w14:val="tx1"/>
            </w14:solidFill>
          </w14:textFill>
        </w:rPr>
        <w:br w:type="page"/>
      </w:r>
      <w:r>
        <w:rPr>
          <w:rFonts w:hint="default" w:ascii="Times New Roman" w:hAnsi="Times New Roman" w:eastAsia="仿宋" w:cs="Times New Roman"/>
          <w:b/>
          <w:bCs/>
          <w:color w:val="000000" w:themeColor="text1"/>
          <w:sz w:val="28"/>
          <w:szCs w:val="28"/>
          <w14:textFill>
            <w14:solidFill>
              <w14:schemeClr w14:val="tx1"/>
            </w14:solidFill>
          </w14:textFill>
        </w:rPr>
        <w:t>第二节  通用合同条款</w:t>
      </w:r>
      <w:bookmarkEnd w:id="13"/>
      <w:bookmarkStart w:id="14" w:name="_Toc337558727"/>
    </w:p>
    <w:bookmarkEnd w:id="14"/>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5" w:name="_Toc351203632"/>
      <w:r>
        <w:rPr>
          <w:rFonts w:hint="default" w:ascii="Times New Roman" w:hAnsi="Times New Roman" w:eastAsia="仿宋" w:cs="Times New Roman"/>
          <w:color w:val="000000" w:themeColor="text1"/>
          <w:sz w:val="28"/>
          <w:szCs w:val="28"/>
          <w14:textFill>
            <w14:solidFill>
              <w14:schemeClr w14:val="tx1"/>
            </w14:solidFill>
          </w14:textFill>
        </w:rPr>
        <w:t>备注：</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1、本项目通用合同条款参照《建设项目工程总承包合同(示范文本)》(GF-2020-0216)通用合同条款执行。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2、如有最新版本，参照最新版本执行。</w:t>
      </w:r>
    </w:p>
    <w:p>
      <w:pPr>
        <w:spacing w:line="360" w:lineRule="auto"/>
        <w:ind w:firstLine="560" w:firstLineChars="200"/>
        <w:jc w:val="center"/>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br w:type="page"/>
      </w:r>
      <w:r>
        <w:rPr>
          <w:rFonts w:hint="default" w:ascii="Times New Roman" w:hAnsi="Times New Roman" w:eastAsia="仿宋" w:cs="Times New Roman"/>
          <w:b/>
          <w:bCs/>
          <w:color w:val="000000" w:themeColor="text1"/>
          <w:sz w:val="28"/>
          <w:szCs w:val="28"/>
          <w14:textFill>
            <w14:solidFill>
              <w14:schemeClr w14:val="tx1"/>
            </w14:solidFill>
          </w14:textFill>
        </w:rPr>
        <w:t>第三节  专用合同条款</w:t>
      </w:r>
      <w:bookmarkEnd w:id="15"/>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6" w:name="_Toc351203633"/>
      <w:r>
        <w:rPr>
          <w:rFonts w:hint="default" w:ascii="Times New Roman" w:hAnsi="Times New Roman" w:eastAsia="仿宋" w:cs="Times New Roman"/>
          <w:color w:val="000000" w:themeColor="text1"/>
          <w:sz w:val="28"/>
          <w:szCs w:val="28"/>
          <w14:textFill>
            <w14:solidFill>
              <w14:schemeClr w14:val="tx1"/>
            </w14:solidFill>
          </w14:textFill>
        </w:rPr>
        <w:t>1</w:t>
      </w:r>
      <w:bookmarkStart w:id="17" w:name="_Toc296347155"/>
      <w:bookmarkStart w:id="18" w:name="_Toc296346657"/>
      <w:bookmarkStart w:id="19" w:name="_Toc296890984"/>
      <w:bookmarkStart w:id="20" w:name="_Toc296503156"/>
      <w:bookmarkStart w:id="21" w:name="_Toc297120456"/>
      <w:bookmarkStart w:id="22" w:name="_Toc292559361"/>
      <w:bookmarkStart w:id="23" w:name="_Toc296891196"/>
      <w:bookmarkStart w:id="24" w:name="_Toc296944495"/>
      <w:bookmarkStart w:id="25" w:name="_Toc297048342"/>
      <w:bookmarkStart w:id="26" w:name="_Toc292559866"/>
      <w:r>
        <w:rPr>
          <w:rFonts w:hint="default" w:ascii="Times New Roman" w:hAnsi="Times New Roman" w:eastAsia="仿宋" w:cs="Times New Roman"/>
          <w:color w:val="000000" w:themeColor="text1"/>
          <w:sz w:val="28"/>
          <w:szCs w:val="28"/>
          <w14:textFill>
            <w14:solidFill>
              <w14:schemeClr w14:val="tx1"/>
            </w14:solidFill>
          </w14:textFill>
        </w:rPr>
        <w:t>. 一般约定</w:t>
      </w:r>
      <w:bookmarkEnd w:id="16"/>
    </w:p>
    <w:bookmarkEnd w:id="17"/>
    <w:bookmarkEnd w:id="18"/>
    <w:bookmarkEnd w:id="19"/>
    <w:bookmarkEnd w:id="20"/>
    <w:bookmarkEnd w:id="21"/>
    <w:bookmarkEnd w:id="22"/>
    <w:bookmarkEnd w:id="23"/>
    <w:bookmarkEnd w:id="24"/>
    <w:bookmarkEnd w:id="25"/>
    <w:bookmarkEnd w:id="26"/>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7" w:name="_Toc18679"/>
      <w:r>
        <w:rPr>
          <w:rFonts w:hint="default" w:ascii="Times New Roman" w:hAnsi="Times New Roman" w:eastAsia="仿宋" w:cs="Times New Roman"/>
          <w:color w:val="000000" w:themeColor="text1"/>
          <w:sz w:val="28"/>
          <w:szCs w:val="28"/>
          <w14:textFill>
            <w14:solidFill>
              <w14:schemeClr w14:val="tx1"/>
            </w14:solidFill>
          </w14:textFill>
        </w:rPr>
        <w:t>1.1 词语定义</w:t>
      </w:r>
      <w:bookmarkEnd w:id="27"/>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1.1.1合同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1.1.1.1其他合同文件包括：磋商文件；响应文件：评审报告；技术标准和要求；图纸；已标价工程量清单或预算书。</w:t>
      </w:r>
    </w:p>
    <w:p>
      <w:pPr>
        <w:pStyle w:val="6"/>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 合同当事人及其他相关方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1.2.1 监理人：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名称：/；</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资质类别和等级：/；</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联系电话：/；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电子信箱：/；</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通信地址：/。</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1.2.2 设计人：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名称：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资质类别和等级：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联系电话：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电子信箱：/；</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通信地址：/。</w:t>
      </w:r>
    </w:p>
    <w:p>
      <w:pPr>
        <w:pStyle w:val="6"/>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 工程和设备</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1.3.1 作为施工现场组成部分的其他场所包括：/。</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1.3.2 永久占地包括：文体馆及蓉苑防水综合维修所占土地。</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1.3.3 临时占地包括：为修建临时工程所占用的土地。</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1.4法律</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适用于合同的其他规范性文件：本合同适用的法律、法规和规章为《中华人民共和国民法典》、《中华人民共和国建筑法》、《中华人民共和国招标投标法》、《建设工程质量管理条例》（国务院279号令）、《建设工程安全生产管理条例》、《四川省建筑管理条例》及《建筑工程施工质量验收统一标准》等现行有关法律、法规、规范及标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 标准和规范</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1.5.1适用于工程的标准规范包括：《建设工程质量管理条例》（国务院279号令）、《建设工程安全生产管理条例》、《四川省建筑管理条例》及《建筑工程施工质量验收统一标准》。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8" w:name="_Toc28595"/>
      <w:r>
        <w:rPr>
          <w:rFonts w:hint="default" w:ascii="Times New Roman" w:hAnsi="Times New Roman" w:eastAsia="仿宋" w:cs="Times New Roman"/>
          <w:color w:val="000000" w:themeColor="text1"/>
          <w:sz w:val="28"/>
          <w:szCs w:val="28"/>
          <w14:textFill>
            <w14:solidFill>
              <w14:schemeClr w14:val="tx1"/>
            </w14:solidFill>
          </w14:textFill>
        </w:rPr>
        <w:t>1.5.2 发包人提供国外标准、规范的名称：/；</w:t>
      </w:r>
      <w:bookmarkEnd w:id="28"/>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发包人提供国外标准、规范的份数：/；</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发包人提供国外标准、规范的名称：/。</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1.5.3发包人对工程的技术标准和功能要求的特殊要求：满足设计、规范及发包人的要求。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9" w:name="_Toc27797"/>
      <w:r>
        <w:rPr>
          <w:rFonts w:hint="default" w:ascii="Times New Roman" w:hAnsi="Times New Roman" w:eastAsia="仿宋" w:cs="Times New Roman"/>
          <w:color w:val="000000" w:themeColor="text1"/>
          <w:sz w:val="28"/>
          <w:szCs w:val="28"/>
          <w14:textFill>
            <w14:solidFill>
              <w14:schemeClr w14:val="tx1"/>
            </w14:solidFill>
          </w14:textFill>
        </w:rPr>
        <w:t>1.6 合同文件的优先顺序</w:t>
      </w:r>
      <w:bookmarkEnd w:id="2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合同文件组成及优先顺序为：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（1）合同协议书；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（2）成交通知书；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（3）专用合同条款及其附件；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（4）通用合同条款；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（5）磋商文件；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（6）响应文件：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（7）评审报告；</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（8）技术标准和要求；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（9）图纸；</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（10）已标价工程量清单或预算书；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（11）其他合同文件。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0" w:name="_Toc23332"/>
      <w:r>
        <w:rPr>
          <w:rFonts w:hint="default" w:ascii="Times New Roman" w:hAnsi="Times New Roman" w:eastAsia="仿宋" w:cs="Times New Roman"/>
          <w:color w:val="000000" w:themeColor="text1"/>
          <w:sz w:val="28"/>
          <w:szCs w:val="28"/>
          <w14:textFill>
            <w14:solidFill>
              <w14:schemeClr w14:val="tx1"/>
            </w14:solidFill>
          </w14:textFill>
        </w:rPr>
        <w:t>1.7 图纸和承包人文件</w:t>
      </w:r>
      <w:bookmarkEnd w:id="30"/>
      <w:r>
        <w:rPr>
          <w:rFonts w:hint="default" w:ascii="Times New Roman" w:hAnsi="Times New Roman" w:eastAsia="仿宋" w:cs="Times New Roman"/>
          <w:color w:val="000000" w:themeColor="text1"/>
          <w:sz w:val="28"/>
          <w:szCs w:val="28"/>
          <w14:textFill>
            <w14:solidFill>
              <w14:schemeClr w14:val="tx1"/>
            </w14:solidFill>
          </w14:textFill>
        </w:rPr>
        <w:tab/>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1.7.1 图纸的提供</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发包人向承包人提供图纸的期限：工程开工前7日内；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发包人向承包人提供图纸的数量：提供2套施工图；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发包人向承包人提供图纸的内容：施工范围内的施工图。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1.7.2 承包人文件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需要由承包人提供的文件，包括：以发包人要求为准；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承包人提供的文件的期限为：以发包人要求为准；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承包人提供的文件的数量为：以发包人要求为准；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承包人提供的文件的形式为：以发包人要求为准；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发包人审批承包人文件的期限：以发包人要求为准。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1.7.3 现场图纸准备</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关于现场图纸准备的约定：在发出开工通知前提供。</w:t>
      </w:r>
    </w:p>
    <w:p>
      <w:pPr>
        <w:pStyle w:val="15"/>
        <w:numPr>
          <w:ilvl w:val="0"/>
          <w:numId w:val="0"/>
        </w:numPr>
        <w:spacing w:after="163"/>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1.7.4文件错误的通知</w:t>
      </w:r>
    </w:p>
    <w:p>
      <w:pPr>
        <w:pStyle w:val="15"/>
        <w:numPr>
          <w:ilvl w:val="0"/>
          <w:numId w:val="0"/>
        </w:numPr>
        <w:spacing w:after="163"/>
        <w:ind w:firstLine="1120" w:firstLineChars="4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任何一方发现文件中存在明显的错误或疏忽，应及时通知另一方。</w:t>
      </w:r>
    </w:p>
    <w:p>
      <w:pPr>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文件的照管</w:t>
      </w:r>
    </w:p>
    <w:p>
      <w:pPr>
        <w:tabs>
          <w:tab w:val="left" w:pos="851"/>
        </w:tabs>
        <w:spacing w:after="163"/>
        <w:ind w:left="640" w:leftChars="200"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1" w:name="_Toc30340"/>
      <w:r>
        <w:rPr>
          <w:rFonts w:hint="default" w:ascii="Times New Roman" w:hAnsi="Times New Roman" w:eastAsia="仿宋" w:cs="Times New Roman"/>
          <w:color w:val="000000" w:themeColor="text1"/>
          <w:sz w:val="28"/>
          <w:szCs w:val="28"/>
          <w14:textFill>
            <w14:solidFill>
              <w14:schemeClr w14:val="tx1"/>
            </w14:solidFill>
          </w14:textFill>
        </w:rPr>
        <w:t>1.8 联络</w:t>
      </w:r>
      <w:bookmarkEnd w:id="3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1.8.1发包人和承包人应当在7天内将与合同有关的通知、批准、证明、证书、指示、指令、要求、请求、同意、意见、确定和决定等书面函件送达对方当事人。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1.8.2 发包人接收文件的地点：成都市龙泉驿区大面街道驿都西路1492号；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发包人指定的接收人为：/。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承包人接收文件的地点：/；</w:t>
      </w:r>
    </w:p>
    <w:p>
      <w:pPr>
        <w:spacing w:line="360" w:lineRule="auto"/>
        <w:ind w:firstLine="560" w:firstLineChars="200"/>
        <w:rPr>
          <w:rFonts w:hint="default" w:ascii="Times New Roman" w:hAnsi="Times New Roman" w:eastAsia="仿宋" w:cs="Times New Roman"/>
          <w:color w:val="000000" w:themeColor="text1"/>
          <w:sz w:val="28"/>
          <w:szCs w:val="28"/>
          <w:highlight w:val="yellow"/>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承包人指定的接收人为：/。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监理人接收文件的地点：/；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监理人指定的接收人为：/。</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1.8.3严禁贿赂</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承包人不得与工程师或发包人聘请的第三方串通损害发包人利益。未经发包人书面同意，承包人不得为工程师提供合同约定以外的通讯设备、交通工具及其他任何形式的利益，不得向工程师支付报酬。</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1.8.4 化石、文物</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发包人、工程师和承包人应按有关政府行政管理部门要求采取妥善的保护措施，由此增加的费用和（或）延误的工期由发包人承担。</w:t>
      </w:r>
    </w:p>
    <w:p>
      <w:pPr>
        <w:pStyle w:val="6"/>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承包人发现文物后不及时报告或隐瞒不报，致使文物丢失或损坏的，应赔偿损失，并承担相应的法律责任。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2" w:name="_Toc27435"/>
      <w:r>
        <w:rPr>
          <w:rFonts w:hint="default" w:ascii="Times New Roman" w:hAnsi="Times New Roman" w:eastAsia="仿宋" w:cs="Times New Roman"/>
          <w:color w:val="000000" w:themeColor="text1"/>
          <w:sz w:val="28"/>
          <w:szCs w:val="28"/>
          <w14:textFill>
            <w14:solidFill>
              <w14:schemeClr w14:val="tx1"/>
            </w14:solidFill>
          </w14:textFill>
        </w:rPr>
        <w:t>1.9 交通运输</w:t>
      </w:r>
      <w:bookmarkEnd w:id="3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3" w:name="_Toc1302"/>
      <w:r>
        <w:rPr>
          <w:rFonts w:hint="default" w:ascii="Times New Roman" w:hAnsi="Times New Roman" w:eastAsia="仿宋" w:cs="Times New Roman"/>
          <w:color w:val="000000" w:themeColor="text1"/>
          <w:sz w:val="28"/>
          <w:szCs w:val="28"/>
          <w14:textFill>
            <w14:solidFill>
              <w14:schemeClr w14:val="tx1"/>
            </w14:solidFill>
          </w14:textFill>
        </w:rPr>
        <w:t>1</w:t>
      </w:r>
      <w:bookmarkStart w:id="34" w:name="_Toc303539100"/>
      <w:bookmarkStart w:id="35" w:name="_Toc300934943"/>
      <w:bookmarkStart w:id="36" w:name="_Toc318581155"/>
      <w:bookmarkStart w:id="37" w:name="_Toc312677986"/>
      <w:bookmarkStart w:id="38" w:name="_Toc304295521"/>
      <w:r>
        <w:rPr>
          <w:rFonts w:hint="default" w:ascii="Times New Roman" w:hAnsi="Times New Roman" w:eastAsia="仿宋" w:cs="Times New Roman"/>
          <w:color w:val="000000" w:themeColor="text1"/>
          <w:sz w:val="28"/>
          <w:szCs w:val="28"/>
          <w14:textFill>
            <w14:solidFill>
              <w14:schemeClr w14:val="tx1"/>
            </w14:solidFill>
          </w14:textFill>
        </w:rPr>
        <w:t>.9.1 出入现场的权利</w:t>
      </w:r>
      <w:bookmarkEnd w:id="33"/>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出入现场的权利的约定：由承包人按发包人要求负责取得出入施工现场所需的批准手续和全部权利，以及取得因施工所需修建道路以及其他基础设施的权利，并承担相关手续费用和建设费用，服从学校相关管理制度规定。</w:t>
      </w:r>
    </w:p>
    <w:bookmarkEnd w:id="34"/>
    <w:bookmarkEnd w:id="35"/>
    <w:bookmarkEnd w:id="36"/>
    <w:bookmarkEnd w:id="37"/>
    <w:bookmarkEnd w:id="38"/>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9" w:name="_Toc11043"/>
      <w:r>
        <w:rPr>
          <w:rFonts w:hint="default" w:ascii="Times New Roman" w:hAnsi="Times New Roman" w:eastAsia="仿宋" w:cs="Times New Roman"/>
          <w:color w:val="000000" w:themeColor="text1"/>
          <w:sz w:val="28"/>
          <w:szCs w:val="28"/>
          <w14:textFill>
            <w14:solidFill>
              <w14:schemeClr w14:val="tx1"/>
            </w14:solidFill>
          </w14:textFill>
        </w:rPr>
        <w:t>1</w:t>
      </w:r>
      <w:bookmarkStart w:id="40" w:name="_Toc318581156"/>
      <w:bookmarkStart w:id="41" w:name="_Toc304295522"/>
      <w:bookmarkStart w:id="42" w:name="_Toc300934944"/>
      <w:bookmarkStart w:id="43" w:name="_Toc312677987"/>
      <w:bookmarkStart w:id="44" w:name="_Toc303539101"/>
      <w:r>
        <w:rPr>
          <w:rFonts w:hint="default" w:ascii="Times New Roman" w:hAnsi="Times New Roman" w:eastAsia="仿宋" w:cs="Times New Roman"/>
          <w:color w:val="000000" w:themeColor="text1"/>
          <w:sz w:val="28"/>
          <w:szCs w:val="28"/>
          <w14:textFill>
            <w14:solidFill>
              <w14:schemeClr w14:val="tx1"/>
            </w14:solidFill>
          </w14:textFill>
        </w:rPr>
        <w:t>.9.2 场内交通</w:t>
      </w:r>
      <w:bookmarkEnd w:id="3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关于场外交通和场内交通的边界的约定：/。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关于发包人向承包人免费提供满足工程施工需要的场内道路和交通设施的约定：因承包人原因造成上述道路或交通设施损坏的，承包人负责修复并承担由此增加的费用。</w:t>
      </w:r>
      <w:bookmarkEnd w:id="40"/>
      <w:bookmarkEnd w:id="41"/>
      <w:bookmarkEnd w:id="42"/>
      <w:bookmarkEnd w:id="43"/>
      <w:bookmarkEnd w:id="44"/>
      <w:bookmarkStart w:id="45" w:name="_Toc318581157"/>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1.9.3 超大件和超重件的运输</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运输超大件或超重件所需的道路和桥梁临时加固改造费用和其他有关费用由承包人承担。</w:t>
      </w:r>
    </w:p>
    <w:bookmarkEnd w:id="45"/>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6" w:name="_Toc2877"/>
      <w:r>
        <w:rPr>
          <w:rFonts w:hint="default" w:ascii="Times New Roman" w:hAnsi="Times New Roman" w:eastAsia="仿宋" w:cs="Times New Roman"/>
          <w:color w:val="000000" w:themeColor="text1"/>
          <w:sz w:val="28"/>
          <w:szCs w:val="28"/>
          <w14:textFill>
            <w14:solidFill>
              <w14:schemeClr w14:val="tx1"/>
            </w14:solidFill>
          </w14:textFill>
        </w:rPr>
        <w:t>1.10 知识产权</w:t>
      </w:r>
      <w:bookmarkEnd w:id="46"/>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1.10.1关于发包人提供给承包人的图纸、发包人为实施工程自行编制或委托编制的技术规范以及反映发包人关于合同要求或其他类似性质的文件的著作权的归属：执行通用条款。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关于发包人提供的上述文件的使用限制的要求：执行通用条款。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7" w:name="_Toc11038"/>
      <w:r>
        <w:rPr>
          <w:rFonts w:hint="default" w:ascii="Times New Roman" w:hAnsi="Times New Roman" w:eastAsia="仿宋" w:cs="Times New Roman"/>
          <w:color w:val="000000" w:themeColor="text1"/>
          <w:sz w:val="28"/>
          <w:szCs w:val="28"/>
          <w14:textFill>
            <w14:solidFill>
              <w14:schemeClr w14:val="tx1"/>
            </w14:solidFill>
          </w14:textFill>
        </w:rPr>
        <w:t>1.10.2 关于承包人为实施工程所编制文件的著作权的归属：执行通用条款。</w:t>
      </w:r>
      <w:bookmarkEnd w:id="47"/>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关于承包人提供的上述文件的使用限制的要求：执行通用条款。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8" w:name="_Toc9762"/>
      <w:r>
        <w:rPr>
          <w:rFonts w:hint="default" w:ascii="Times New Roman" w:hAnsi="Times New Roman" w:eastAsia="仿宋" w:cs="Times New Roman"/>
          <w:color w:val="000000" w:themeColor="text1"/>
          <w:sz w:val="28"/>
          <w:szCs w:val="28"/>
          <w14:textFill>
            <w14:solidFill>
              <w14:schemeClr w14:val="tx1"/>
            </w14:solidFill>
          </w14:textFill>
        </w:rPr>
        <w:t>1.10.3 承包人在施工过程中所采用的专利、专有技术、技术秘密的使用费的承担方式：执行通用条款。</w:t>
      </w:r>
      <w:bookmarkEnd w:id="48"/>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1.10.4 保密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合同当事人一方对在订立和履行合同过程中知悉的另一方的商业秘密、技术秘密，以及任何一方明确要求保密的其它信息，负有保密责任。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除法律规定或合同另有约定外，未经对方同意，任何一方当事人不得将对方提供的文件、技术秘密以及声明需要保密的资料信息等商业秘密泄露给第三方或者用于本合同以外的目的。</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1.11工程量清单错误的修正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出现工程量清单错误时，是否调整合同价格：执行通用条款。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允许调整合同价格的工程量偏差范围：执行通用条款。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9" w:name="_Toc351203634"/>
      <w:r>
        <w:rPr>
          <w:rFonts w:hint="default" w:ascii="Times New Roman" w:hAnsi="Times New Roman" w:eastAsia="仿宋" w:cs="Times New Roman"/>
          <w:color w:val="000000" w:themeColor="text1"/>
          <w:sz w:val="28"/>
          <w:szCs w:val="28"/>
          <w14:textFill>
            <w14:solidFill>
              <w14:schemeClr w14:val="tx1"/>
            </w14:solidFill>
          </w14:textFill>
        </w:rPr>
        <w:t>2</w:t>
      </w:r>
      <w:bookmarkStart w:id="50" w:name="_Toc297120457"/>
      <w:bookmarkStart w:id="51" w:name="_Toc292559867"/>
      <w:bookmarkStart w:id="52" w:name="_Toc296891197"/>
      <w:bookmarkStart w:id="53" w:name="_Toc292559362"/>
      <w:bookmarkStart w:id="54" w:name="_Toc296890985"/>
      <w:bookmarkStart w:id="55" w:name="_Toc297048343"/>
      <w:bookmarkStart w:id="56" w:name="_Toc296347156"/>
      <w:bookmarkStart w:id="57" w:name="_Toc296944496"/>
      <w:bookmarkStart w:id="58" w:name="_Toc296346658"/>
      <w:bookmarkStart w:id="59" w:name="_Toc296503157"/>
      <w:r>
        <w:rPr>
          <w:rFonts w:hint="default" w:ascii="Times New Roman" w:hAnsi="Times New Roman" w:eastAsia="仿宋" w:cs="Times New Roman"/>
          <w:color w:val="000000" w:themeColor="text1"/>
          <w:sz w:val="28"/>
          <w:szCs w:val="28"/>
          <w14:textFill>
            <w14:solidFill>
              <w14:schemeClr w14:val="tx1"/>
            </w14:solidFill>
          </w14:textFill>
        </w:rPr>
        <w:t>. 发包人</w:t>
      </w:r>
      <w:bookmarkEnd w:id="49"/>
    </w:p>
    <w:bookmarkEnd w:id="50"/>
    <w:bookmarkEnd w:id="51"/>
    <w:bookmarkEnd w:id="52"/>
    <w:bookmarkEnd w:id="53"/>
    <w:bookmarkEnd w:id="54"/>
    <w:bookmarkEnd w:id="55"/>
    <w:bookmarkEnd w:id="56"/>
    <w:bookmarkEnd w:id="57"/>
    <w:bookmarkEnd w:id="58"/>
    <w:bookmarkEnd w:id="59"/>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0" w:name="_Toc5003"/>
      <w:r>
        <w:rPr>
          <w:rFonts w:hint="default" w:ascii="Times New Roman" w:hAnsi="Times New Roman" w:eastAsia="仿宋" w:cs="Times New Roman"/>
          <w:color w:val="000000" w:themeColor="text1"/>
          <w:sz w:val="28"/>
          <w:szCs w:val="28"/>
          <w14:textFill>
            <w14:solidFill>
              <w14:schemeClr w14:val="tx1"/>
            </w14:solidFill>
          </w14:textFill>
        </w:rPr>
        <w:t>2.1 发包人代表</w:t>
      </w:r>
      <w:bookmarkEnd w:id="6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发包人代表：</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姓名：；</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身份证号：；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职务：；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联系电话：；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电子信箱：；</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通信地址：。</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发包人对发包人代表的授权范围如下：（1）、（2）、（3）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1" w:name="_Toc9378"/>
      <w:r>
        <w:rPr>
          <w:rFonts w:hint="default" w:ascii="Times New Roman" w:hAnsi="Times New Roman" w:eastAsia="仿宋" w:cs="Times New Roman"/>
          <w:color w:val="000000" w:themeColor="text1"/>
          <w:sz w:val="28"/>
          <w:szCs w:val="28"/>
          <w14:textFill>
            <w14:solidFill>
              <w14:schemeClr w14:val="tx1"/>
            </w14:solidFill>
          </w14:textFill>
        </w:rPr>
        <w:t>2.2 施工现场、施工条件和基础资料的提供</w:t>
      </w:r>
      <w:bookmarkEnd w:id="6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2.2.1 提供施工现场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关于发包人移交施工现场的期限要求：以发包人通知为准。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2.2.2 提供施工条件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关于发包人应负责提供施工所需要的条件，包括：</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2" w:name="_Toc18269"/>
      <w:r>
        <w:rPr>
          <w:rFonts w:hint="default" w:ascii="Times New Roman" w:hAnsi="Times New Roman" w:eastAsia="仿宋" w:cs="Times New Roman"/>
          <w:color w:val="000000" w:themeColor="text1"/>
          <w:sz w:val="28"/>
          <w:szCs w:val="28"/>
          <w14:textFill>
            <w14:solidFill>
              <w14:schemeClr w14:val="tx1"/>
            </w14:solidFill>
          </w14:textFill>
        </w:rPr>
        <w:t>（1）将施工所需的水、电、通讯线路接至施工场地的时间、地点和供应要求：以发包人通知为准。</w:t>
      </w:r>
      <w:bookmarkEnd w:id="6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3" w:name="_Toc30552"/>
      <w:r>
        <w:rPr>
          <w:rFonts w:hint="default" w:ascii="Times New Roman" w:hAnsi="Times New Roman" w:eastAsia="仿宋" w:cs="Times New Roman"/>
          <w:color w:val="000000" w:themeColor="text1"/>
          <w:sz w:val="28"/>
          <w:szCs w:val="28"/>
          <w14:textFill>
            <w14:solidFill>
              <w14:schemeClr w14:val="tx1"/>
            </w14:solidFill>
          </w14:textFill>
        </w:rPr>
        <w:t>（2）施工场地与公共道路通道开通的时间和要求：以发包人通知为准。</w:t>
      </w:r>
      <w:bookmarkEnd w:id="63"/>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4" w:name="_Toc4175"/>
      <w:r>
        <w:rPr>
          <w:rFonts w:hint="default" w:ascii="Times New Roman" w:hAnsi="Times New Roman" w:eastAsia="仿宋" w:cs="Times New Roman"/>
          <w:color w:val="000000" w:themeColor="text1"/>
          <w:sz w:val="28"/>
          <w:szCs w:val="28"/>
          <w14:textFill>
            <w14:solidFill>
              <w14:schemeClr w14:val="tx1"/>
            </w14:solidFill>
          </w14:textFill>
        </w:rPr>
        <w:t>（3）工程地质和地下管线资料的提供时间：以发包人通知为准。</w:t>
      </w:r>
      <w:bookmarkEnd w:id="64"/>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5" w:name="_Toc13925"/>
      <w:r>
        <w:rPr>
          <w:rFonts w:hint="default" w:ascii="Times New Roman" w:hAnsi="Times New Roman" w:eastAsia="仿宋" w:cs="Times New Roman"/>
          <w:color w:val="000000" w:themeColor="text1"/>
          <w:sz w:val="28"/>
          <w:szCs w:val="28"/>
          <w14:textFill>
            <w14:solidFill>
              <w14:schemeClr w14:val="tx1"/>
            </w14:solidFill>
          </w14:textFill>
        </w:rPr>
        <w:t>（4）由发包人办理的施工所需所证、批件的名称和完成时间：以发包人通知为准。</w:t>
      </w:r>
      <w:bookmarkEnd w:id="65"/>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6" w:name="_Toc28194"/>
      <w:r>
        <w:rPr>
          <w:rFonts w:hint="default" w:ascii="Times New Roman" w:hAnsi="Times New Roman" w:eastAsia="仿宋" w:cs="Times New Roman"/>
          <w:color w:val="000000" w:themeColor="text1"/>
          <w:sz w:val="28"/>
          <w:szCs w:val="28"/>
          <w14:textFill>
            <w14:solidFill>
              <w14:schemeClr w14:val="tx1"/>
            </w14:solidFill>
          </w14:textFill>
        </w:rPr>
        <w:t>（5）水准点与座标控制制点交验要求：以发包人通知为准。</w:t>
      </w:r>
      <w:bookmarkEnd w:id="66"/>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7" w:name="_Toc4634"/>
      <w:r>
        <w:rPr>
          <w:rFonts w:hint="default" w:ascii="Times New Roman" w:hAnsi="Times New Roman" w:eastAsia="仿宋" w:cs="Times New Roman"/>
          <w:color w:val="000000" w:themeColor="text1"/>
          <w:sz w:val="28"/>
          <w:szCs w:val="28"/>
          <w14:textFill>
            <w14:solidFill>
              <w14:schemeClr w14:val="tx1"/>
            </w14:solidFill>
          </w14:textFill>
        </w:rPr>
        <w:t>（6）图纸会审和设计交底时间：</w:t>
      </w:r>
      <w:bookmarkEnd w:id="67"/>
      <w:r>
        <w:rPr>
          <w:rFonts w:hint="default" w:ascii="Times New Roman" w:hAnsi="Times New Roman" w:eastAsia="仿宋" w:cs="Times New Roman"/>
          <w:color w:val="000000" w:themeColor="text1"/>
          <w:sz w:val="28"/>
          <w:szCs w:val="28"/>
          <w14:textFill>
            <w14:solidFill>
              <w14:schemeClr w14:val="tx1"/>
            </w14:solidFill>
          </w14:textFill>
        </w:rPr>
        <w:t>以发包人通知为准。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8" w:name="_Toc10520"/>
      <w:r>
        <w:rPr>
          <w:rFonts w:hint="default" w:ascii="Times New Roman" w:hAnsi="Times New Roman" w:eastAsia="仿宋" w:cs="Times New Roman"/>
          <w:color w:val="000000" w:themeColor="text1"/>
          <w:sz w:val="28"/>
          <w:szCs w:val="28"/>
          <w14:textFill>
            <w14:solidFill>
              <w14:schemeClr w14:val="tx1"/>
            </w14:solidFill>
          </w14:textFill>
        </w:rPr>
        <w:t>（7）协调处理施工场地周围地下管线和邻近建筑物、构筑物（含文物保护建筑）、古树名木的保护工作：承包人负责。</w:t>
      </w:r>
      <w:bookmarkEnd w:id="68"/>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69" w:name="_Toc28192"/>
      <w:r>
        <w:rPr>
          <w:rFonts w:hint="default" w:ascii="Times New Roman" w:hAnsi="Times New Roman" w:eastAsia="仿宋" w:cs="Times New Roman"/>
          <w:color w:val="000000" w:themeColor="text1"/>
          <w:sz w:val="28"/>
          <w:szCs w:val="28"/>
          <w14:textFill>
            <w14:solidFill>
              <w14:schemeClr w14:val="tx1"/>
            </w14:solidFill>
          </w14:textFill>
        </w:rPr>
        <w:t>（8）发包人应做的其他工作：/。</w:t>
      </w:r>
      <w:bookmarkEnd w:id="6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70" w:name="_Toc2292"/>
      <w:r>
        <w:rPr>
          <w:rFonts w:hint="default" w:ascii="Times New Roman" w:hAnsi="Times New Roman" w:eastAsia="仿宋" w:cs="Times New Roman"/>
          <w:color w:val="000000" w:themeColor="text1"/>
          <w:sz w:val="28"/>
          <w:szCs w:val="28"/>
          <w14:textFill>
            <w14:solidFill>
              <w14:schemeClr w14:val="tx1"/>
            </w14:solidFill>
          </w14:textFill>
        </w:rPr>
        <w:t>2.3 资金来源证明及支付担保</w:t>
      </w:r>
      <w:bookmarkEnd w:id="7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发包人提供资金来源证明的期限要求：/。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发包人是否提供支付担保：否。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发包人提供支付担保的形式：/。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2.4 会议</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除专用合同条件另有约定外，发包人应保存每次会议参加人签名的记录，并将会议纪要提供给出席会议的人员。任何根据此类会议以及会议纪要采取的行动应符合本合同的约定。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71" w:name="_Toc351203635"/>
      <w:r>
        <w:rPr>
          <w:rFonts w:hint="default" w:ascii="Times New Roman" w:hAnsi="Times New Roman" w:eastAsia="仿宋" w:cs="Times New Roman"/>
          <w:color w:val="000000" w:themeColor="text1"/>
          <w:sz w:val="28"/>
          <w:szCs w:val="28"/>
          <w14:textFill>
            <w14:solidFill>
              <w14:schemeClr w14:val="tx1"/>
            </w14:solidFill>
          </w14:textFill>
        </w:rPr>
        <w:t>3</w:t>
      </w:r>
      <w:bookmarkStart w:id="72" w:name="_Toc296890986"/>
      <w:bookmarkStart w:id="73" w:name="_Toc296346659"/>
      <w:bookmarkStart w:id="74" w:name="_Toc296503158"/>
      <w:bookmarkStart w:id="75" w:name="_Toc296347157"/>
      <w:bookmarkStart w:id="76" w:name="_Toc297048344"/>
      <w:bookmarkStart w:id="77" w:name="_Toc296891198"/>
      <w:bookmarkStart w:id="78" w:name="_Toc292559363"/>
      <w:bookmarkStart w:id="79" w:name="_Toc296944497"/>
      <w:bookmarkStart w:id="80" w:name="_Toc297120458"/>
      <w:bookmarkStart w:id="81" w:name="_Toc292559868"/>
      <w:r>
        <w:rPr>
          <w:rFonts w:hint="default" w:ascii="Times New Roman" w:hAnsi="Times New Roman" w:eastAsia="仿宋" w:cs="Times New Roman"/>
          <w:color w:val="000000" w:themeColor="text1"/>
          <w:sz w:val="28"/>
          <w:szCs w:val="28"/>
          <w14:textFill>
            <w14:solidFill>
              <w14:schemeClr w14:val="tx1"/>
            </w14:solidFill>
          </w14:textFill>
        </w:rPr>
        <w:t>. 承包人</w:t>
      </w:r>
      <w:bookmarkEnd w:id="71"/>
    </w:p>
    <w:bookmarkEnd w:id="72"/>
    <w:bookmarkEnd w:id="73"/>
    <w:bookmarkEnd w:id="74"/>
    <w:bookmarkEnd w:id="75"/>
    <w:bookmarkEnd w:id="76"/>
    <w:bookmarkEnd w:id="77"/>
    <w:bookmarkEnd w:id="78"/>
    <w:bookmarkEnd w:id="79"/>
    <w:bookmarkEnd w:id="80"/>
    <w:bookmarkEnd w:id="8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3.1 承包人的一般义务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（1）承包人提交的竣工资料的内容：按发包人指定要求在工程竣工后28日内提供所需竣工资料。</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承包人需要提交的竣工资料套数：4套。</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承包人提交的竣工资料的费用承担：由承包人承担。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承包人提交的竣工资料移交时间：工程竣工后28日内提供。</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承包人提交的竣工资料形式要求：4套纸质文件和1份电子文件。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（2）承包人应履行的其他义务：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完成深化设计文件提交时间：开工前7日。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应提供计划、报表的名称及完成时间：开工前7日。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承担施工安全保卫工作及非夜间施工照明的责任和要求：承包人负责。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向发包人提供的办公和生活房屋及设施的要求：无。</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需承包人办理的有关施工场地交通、环卫和施工噪音管理手续：承包人负责。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已完工程成品保护的特殊要求及费用承担：承包人负责。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施工场地周围地下管线和邻近建筑物、构筑物（含文物保护建筑）、古树名木的保护要求及费用承担：承包人负责。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施工场地清洁卫生的要求：承包人负责。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消防相关工程、资料完善并确保通过消防验收。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按合同约定支付竣工结算效益审计费用。</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承包人应按有关法律规定纳税，应缴纳的税金包括在合同价格内。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双方约定承包人应做的其他工作：</w:t>
      </w:r>
      <w:r>
        <w:rPr>
          <w:rFonts w:hint="default" w:ascii="Times New Roman" w:hAnsi="Times New Roman" w:eastAsia="仿宋" w:cs="Times New Roman"/>
          <w:color w:val="000000" w:themeColor="text1"/>
          <w:sz w:val="28"/>
          <w:szCs w:val="28"/>
          <w:lang w:val="en"/>
          <w14:textFill>
            <w14:solidFill>
              <w14:schemeClr w14:val="tx1"/>
            </w14:solidFill>
          </w14:textFill>
        </w:rPr>
        <w:t>/</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3.2 项目经理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3.2.1 项目经理：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姓名：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身份证号：/；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建造师执业资格等级：/；</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建造师注册证书号：/；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建造师执业印章号：/；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安全生产考核合格证书号：/；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联系电话：/；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电子信箱：/；</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通信地址：/；</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承包人对项目经理的授权范围如下：全面负责本项目的管理职责。</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项目经理每月在施工现场的时间要求：项目经理每月带班生产时间不得少于25天。因其他事务需离开施工现场时，应向工程项目的建设单位请假，经批准后方可离开。离开期间应委托项目相关负责人负责其外出时的日常工作。</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承包人未提交劳动合同，以及没有为项目经理缴纳社会保险证明的违约责任：承包人承担全部责任。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本项目实行项目经理、项目主要技术负责人押证施工制度。发包人须在承包人提供响应文件承诺的人员的执业资格证书原件后才能签订合同，至工程竣工验收合格后才能退还。承包人项目经理短期离开施工场地，应事先征得发包人同意，并委派代表代行其职责，项目经理未经批准，擅自离开施工现场的违约责任：发包人有权要求承包人承担1500元/天的违约金，经发包人同意的除外。</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3.2.2 承包人擅自更换项目经理或技术负责人的违约责任：发包人有权要求承包人承担50000元/次的违约金，供应商擅自变更项目经理或技术负责人的，采购人有权单方解除合同。经发包人同意的除外。</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82" w:name="_Toc8931"/>
      <w:r>
        <w:rPr>
          <w:rFonts w:hint="default" w:ascii="Times New Roman" w:hAnsi="Times New Roman" w:eastAsia="仿宋" w:cs="Times New Roman"/>
          <w:color w:val="000000" w:themeColor="text1"/>
          <w:sz w:val="28"/>
          <w:szCs w:val="28"/>
          <w14:textFill>
            <w14:solidFill>
              <w14:schemeClr w14:val="tx1"/>
            </w14:solidFill>
          </w14:textFill>
        </w:rPr>
        <w:t>3.2.3 承包人无正当理由拒绝更换项目经理的违约责任：向发包人支付违约金50000元/次。</w:t>
      </w:r>
      <w:bookmarkEnd w:id="8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3.3 承包人人员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3.3.1 承包人提交项目管理机构及施工现场管理人员安排报告的期限：执行通用条款。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3.3.2 承包人无正当理由拒绝撤换主要施工管理人员的违约责任：向发包人支付违约金5000元/次。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3.3.3 承包人主要施工管理人员离开施工现场的批准要求：执行通用条款。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3.3.4 承包人擅自更换主要施工管理人员的违约责任：向发包人支付违约金 5000元/次。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3.3.5 承包人主要施工管理人员擅自离开施工现场的违约责任：发包人有权要求承包人承担1000元/次的违约金，经发包人同意的除外。</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w:t>
      </w:r>
      <w:bookmarkStart w:id="83" w:name="_Toc297123492"/>
      <w:bookmarkStart w:id="84" w:name="_Toc304295523"/>
      <w:bookmarkStart w:id="85" w:name="_Toc292559869"/>
      <w:bookmarkStart w:id="86" w:name="_Toc296891199"/>
      <w:bookmarkStart w:id="87" w:name="_Toc312677988"/>
      <w:bookmarkStart w:id="88" w:name="_Toc297048345"/>
      <w:bookmarkStart w:id="89" w:name="_Toc297120459"/>
      <w:bookmarkStart w:id="90" w:name="_Toc296346660"/>
      <w:bookmarkStart w:id="91" w:name="_Toc292559364"/>
      <w:bookmarkStart w:id="92" w:name="_Toc297216151"/>
      <w:bookmarkStart w:id="93" w:name="_Toc296890987"/>
      <w:bookmarkStart w:id="94" w:name="_Toc296944498"/>
      <w:bookmarkStart w:id="95" w:name="_Toc300934945"/>
      <w:bookmarkStart w:id="96" w:name="_Toc303539102"/>
      <w:bookmarkStart w:id="97" w:name="_Toc296347158"/>
      <w:bookmarkStart w:id="98" w:name="_Toc296503159"/>
      <w:r>
        <w:rPr>
          <w:rFonts w:hint="default" w:ascii="Times New Roman" w:hAnsi="Times New Roman" w:eastAsia="仿宋" w:cs="Times New Roman"/>
          <w:color w:val="000000" w:themeColor="text1"/>
          <w:sz w:val="28"/>
          <w:szCs w:val="28"/>
          <w14:textFill>
            <w14:solidFill>
              <w14:schemeClr w14:val="tx1"/>
            </w14:solidFill>
          </w14:textFill>
        </w:rPr>
        <w:t>.4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w:t>
      </w:r>
      <w:bookmarkStart w:id="99" w:name="_Toc296346661"/>
      <w:bookmarkStart w:id="100" w:name="_Toc297048346"/>
      <w:bookmarkStart w:id="101" w:name="_Toc292559365"/>
      <w:bookmarkStart w:id="102" w:name="_Toc296503160"/>
      <w:bookmarkStart w:id="103" w:name="_Toc297216152"/>
      <w:bookmarkStart w:id="104" w:name="_Toc300934946"/>
      <w:bookmarkStart w:id="105" w:name="_Toc296890988"/>
      <w:bookmarkStart w:id="106" w:name="_Toc297120460"/>
      <w:bookmarkStart w:id="107" w:name="_Toc296347159"/>
      <w:bookmarkStart w:id="108" w:name="_Toc296891200"/>
      <w:bookmarkStart w:id="109" w:name="_Toc303539103"/>
      <w:bookmarkStart w:id="110" w:name="_Toc297123493"/>
      <w:bookmarkStart w:id="111" w:name="_Toc292559870"/>
      <w:bookmarkStart w:id="112" w:name="_Toc296944499"/>
      <w:bookmarkStart w:id="113" w:name="_Toc304295524"/>
      <w:bookmarkStart w:id="114" w:name="_Toc318581158"/>
      <w:bookmarkStart w:id="115" w:name="_Toc312677989"/>
      <w:r>
        <w:rPr>
          <w:rFonts w:hint="default" w:ascii="Times New Roman" w:hAnsi="Times New Roman" w:eastAsia="仿宋" w:cs="Times New Roman"/>
          <w:color w:val="000000" w:themeColor="text1"/>
          <w:sz w:val="28"/>
          <w:szCs w:val="28"/>
          <w14:textFill>
            <w14:solidFill>
              <w14:schemeClr w14:val="tx1"/>
            </w14:solidFill>
          </w14:textFill>
        </w:rPr>
        <w:t>.4.1 分包的一般约定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禁止分包的工程包括：本工程无分包。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主体结构、关键性工作的范围：/。</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300934947"/>
      <w:bookmarkStart w:id="117" w:name="_Toc303539104"/>
      <w:bookmarkStart w:id="118" w:name="_Toc296891201"/>
      <w:bookmarkStart w:id="119" w:name="_Toc297048347"/>
      <w:bookmarkStart w:id="120" w:name="_Toc296890989"/>
      <w:bookmarkStart w:id="121" w:name="_Toc297123494"/>
      <w:bookmarkStart w:id="122" w:name="_Toc296503161"/>
      <w:bookmarkStart w:id="123" w:name="_Toc304295525"/>
      <w:bookmarkStart w:id="124" w:name="_Toc297120461"/>
      <w:bookmarkStart w:id="125" w:name="_Toc296347160"/>
      <w:bookmarkStart w:id="126" w:name="_Toc296944500"/>
      <w:bookmarkStart w:id="127" w:name="_Toc296346662"/>
      <w:bookmarkStart w:id="128" w:name="_Toc297216153"/>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w:t>
      </w:r>
      <w:bookmarkStart w:id="129" w:name="_Toc312677990"/>
      <w:bookmarkStart w:id="130" w:name="_Toc318581159"/>
      <w:r>
        <w:rPr>
          <w:rFonts w:hint="default" w:ascii="Times New Roman" w:hAnsi="Times New Roman" w:eastAsia="仿宋" w:cs="Times New Roman"/>
          <w:color w:val="000000" w:themeColor="text1"/>
          <w:sz w:val="28"/>
          <w:szCs w:val="28"/>
          <w14:textFill>
            <w14:solidFill>
              <w14:schemeClr w14:val="tx1"/>
            </w14:solidFill>
          </w14:textFill>
        </w:rPr>
        <w:t>.4.2分包的确定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允许分包的专业工程包括：无。</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其他关于分包的约定：/。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3.4.3 分包合同价款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关于分包合同价款支付的约定：/。</w:t>
      </w:r>
    </w:p>
    <w:bookmarkEnd w:id="129"/>
    <w:bookmarkEnd w:id="130"/>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3.5 工程照管与成品、半成品保护</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承包人负责照管工程及工程相关的材料、工程设备的起始时间：执行通用条款。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3.6 履约担保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承包人是否提供履约担保：否。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承包人提供履约担保的形式、金额及期限：/。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31" w:name="_Toc351203636"/>
      <w:r>
        <w:rPr>
          <w:rFonts w:hint="default" w:ascii="Times New Roman" w:hAnsi="Times New Roman" w:eastAsia="仿宋" w:cs="Times New Roman"/>
          <w:color w:val="000000" w:themeColor="text1"/>
          <w:sz w:val="28"/>
          <w:szCs w:val="28"/>
          <w14:textFill>
            <w14:solidFill>
              <w14:schemeClr w14:val="tx1"/>
            </w14:solidFill>
          </w14:textFill>
        </w:rPr>
        <w:t>4</w:t>
      </w:r>
      <w:bookmarkStart w:id="132" w:name="_Toc292559871"/>
      <w:bookmarkStart w:id="133" w:name="_Toc296503162"/>
      <w:bookmarkStart w:id="134" w:name="_Toc292559366"/>
      <w:bookmarkStart w:id="135" w:name="_Toc297120462"/>
      <w:bookmarkStart w:id="136" w:name="_Toc296890990"/>
      <w:bookmarkStart w:id="137" w:name="_Toc267251413"/>
      <w:bookmarkStart w:id="138" w:name="_Toc296347161"/>
      <w:bookmarkStart w:id="139" w:name="_Toc296944501"/>
      <w:bookmarkStart w:id="140" w:name="_Toc297048348"/>
      <w:bookmarkStart w:id="141" w:name="_Toc296891202"/>
      <w:bookmarkStart w:id="142" w:name="_Toc296346663"/>
      <w:r>
        <w:rPr>
          <w:rFonts w:hint="default" w:ascii="Times New Roman" w:hAnsi="Times New Roman" w:eastAsia="仿宋" w:cs="Times New Roman"/>
          <w:color w:val="000000" w:themeColor="text1"/>
          <w:sz w:val="28"/>
          <w:szCs w:val="28"/>
          <w14:textFill>
            <w14:solidFill>
              <w14:schemeClr w14:val="tx1"/>
            </w14:solidFill>
          </w14:textFill>
        </w:rPr>
        <w:t>. 监</w:t>
      </w:r>
      <w:bookmarkEnd w:id="132"/>
      <w:bookmarkEnd w:id="133"/>
      <w:bookmarkEnd w:id="134"/>
      <w:bookmarkEnd w:id="135"/>
      <w:bookmarkEnd w:id="136"/>
      <w:bookmarkEnd w:id="137"/>
      <w:bookmarkEnd w:id="138"/>
      <w:bookmarkEnd w:id="139"/>
      <w:bookmarkEnd w:id="140"/>
      <w:bookmarkEnd w:id="141"/>
      <w:bookmarkEnd w:id="142"/>
      <w:r>
        <w:rPr>
          <w:rFonts w:hint="default" w:ascii="Times New Roman" w:hAnsi="Times New Roman" w:eastAsia="仿宋" w:cs="Times New Roman"/>
          <w:color w:val="000000" w:themeColor="text1"/>
          <w:sz w:val="28"/>
          <w:szCs w:val="28"/>
          <w14:textFill>
            <w14:solidFill>
              <w14:schemeClr w14:val="tx1"/>
            </w14:solidFill>
          </w14:textFill>
        </w:rPr>
        <w:t>理人</w:t>
      </w:r>
      <w:bookmarkEnd w:id="13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4.1监理人的一般规定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关于监理人的监理内容：/。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关于监理人的监理权限：/。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关于监理人在施工现场的办公场所、生活场所的提供和费用承担的约定：/。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4.2 监理人员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总监理工程师：/</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姓名：/；</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职务：/；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监理工程师执业资格证书号：/；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联系电话：/；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电子信箱：/；</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通信地址：/；</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关于监理人的其他约定：/。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4.3 商定或确定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43" w:name="_Toc267251418"/>
      <w:r>
        <w:rPr>
          <w:rFonts w:hint="default" w:ascii="Times New Roman" w:hAnsi="Times New Roman" w:eastAsia="仿宋" w:cs="Times New Roman"/>
          <w:color w:val="000000" w:themeColor="text1"/>
          <w:sz w:val="28"/>
          <w:szCs w:val="28"/>
          <w14:textFill>
            <w14:solidFill>
              <w14:schemeClr w14:val="tx1"/>
            </w14:solidFill>
          </w14:textFill>
        </w:rPr>
        <w:t>在发包人和承包人不能通过协商达成一致意见时，发包人授权监理人对以下事项进行确定：/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44" w:name="_Toc351203637"/>
      <w:r>
        <w:rPr>
          <w:rFonts w:hint="default" w:ascii="Times New Roman" w:hAnsi="Times New Roman" w:eastAsia="仿宋" w:cs="Times New Roman"/>
          <w:color w:val="000000" w:themeColor="text1"/>
          <w:sz w:val="28"/>
          <w:szCs w:val="28"/>
          <w14:textFill>
            <w14:solidFill>
              <w14:schemeClr w14:val="tx1"/>
            </w14:solidFill>
          </w14:textFill>
        </w:rPr>
        <w:t>5</w:t>
      </w:r>
      <w:bookmarkEnd w:id="143"/>
      <w:bookmarkStart w:id="145" w:name="_Toc296891203"/>
      <w:bookmarkStart w:id="146" w:name="_Toc292559872"/>
      <w:bookmarkStart w:id="147" w:name="_Toc297120463"/>
      <w:bookmarkStart w:id="148" w:name="_Toc296347162"/>
      <w:bookmarkStart w:id="149" w:name="_Toc296346664"/>
      <w:bookmarkStart w:id="150" w:name="_Toc296944502"/>
      <w:bookmarkStart w:id="151" w:name="_Toc292559367"/>
      <w:bookmarkStart w:id="152" w:name="_Toc296503163"/>
      <w:bookmarkStart w:id="153" w:name="_Toc296890991"/>
      <w:bookmarkStart w:id="154" w:name="_Toc297048349"/>
      <w:r>
        <w:rPr>
          <w:rFonts w:hint="default" w:ascii="Times New Roman" w:hAnsi="Times New Roman" w:eastAsia="仿宋" w:cs="Times New Roman"/>
          <w:color w:val="000000" w:themeColor="text1"/>
          <w:sz w:val="28"/>
          <w:szCs w:val="28"/>
          <w14:textFill>
            <w14:solidFill>
              <w14:schemeClr w14:val="tx1"/>
            </w14:solidFill>
          </w14:textFill>
        </w:rPr>
        <w:t>. 工程质量</w:t>
      </w:r>
      <w:bookmarkEnd w:id="144"/>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55" w:name="_Toc23876"/>
      <w:r>
        <w:rPr>
          <w:rFonts w:hint="default" w:ascii="Times New Roman" w:hAnsi="Times New Roman" w:eastAsia="仿宋" w:cs="Times New Roman"/>
          <w:color w:val="000000" w:themeColor="text1"/>
          <w:sz w:val="28"/>
          <w:szCs w:val="28"/>
          <w14:textFill>
            <w14:solidFill>
              <w14:schemeClr w14:val="tx1"/>
            </w14:solidFill>
          </w14:textFill>
        </w:rPr>
        <w:t>5.1 质量要求</w:t>
      </w:r>
      <w:bookmarkEnd w:id="155"/>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必须符合现行国家有关工程施工质量验收规范和标准的要求。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w:t>
      </w:r>
      <w:bookmarkStart w:id="156" w:name="_Toc304295527"/>
      <w:bookmarkStart w:id="157" w:name="_Toc300934949"/>
      <w:bookmarkStart w:id="158" w:name="_Toc312677997"/>
      <w:bookmarkStart w:id="159" w:name="_Toc297216155"/>
      <w:bookmarkStart w:id="160" w:name="_Toc297123496"/>
      <w:bookmarkStart w:id="161" w:name="_Toc303539106"/>
      <w:bookmarkStart w:id="162" w:name="_Toc318581164"/>
      <w:r>
        <w:rPr>
          <w:rFonts w:hint="default" w:ascii="Times New Roman" w:hAnsi="Times New Roman" w:eastAsia="仿宋" w:cs="Times New Roman"/>
          <w:color w:val="000000" w:themeColor="text1"/>
          <w:sz w:val="28"/>
          <w:szCs w:val="28"/>
          <w14:textFill>
            <w14:solidFill>
              <w14:schemeClr w14:val="tx1"/>
            </w14:solidFill>
          </w14:textFill>
        </w:rPr>
        <w:t>.1.1 特殊质量标准和要求：验收前需提供具有检测资质单位出具合格的甲醛检测报告。</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关于工程奖项的约定：/。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63" w:name="_Toc32580"/>
      <w:r>
        <w:rPr>
          <w:rFonts w:hint="default" w:ascii="Times New Roman" w:hAnsi="Times New Roman" w:eastAsia="仿宋" w:cs="Times New Roman"/>
          <w:color w:val="000000" w:themeColor="text1"/>
          <w:sz w:val="28"/>
          <w:szCs w:val="28"/>
          <w14:textFill>
            <w14:solidFill>
              <w14:schemeClr w14:val="tx1"/>
            </w14:solidFill>
          </w14:textFill>
        </w:rPr>
        <w:t>5.2 隐蔽工程检查</w:t>
      </w:r>
      <w:bookmarkEnd w:id="163"/>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5.2.1承包人提前通知监理人隐蔽工程检查的期限的约定：执行通用条款。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监理人不能按时进行检查时，应提前24小时提交书面延期要求。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关于延期最长不得超过：48小时。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64" w:name="_Toc351203638"/>
      <w:r>
        <w:rPr>
          <w:rFonts w:hint="default" w:ascii="Times New Roman" w:hAnsi="Times New Roman" w:eastAsia="仿宋" w:cs="Times New Roman"/>
          <w:color w:val="000000" w:themeColor="text1"/>
          <w:sz w:val="28"/>
          <w:szCs w:val="28"/>
          <w14:textFill>
            <w14:solidFill>
              <w14:schemeClr w14:val="tx1"/>
            </w14:solidFill>
          </w14:textFill>
        </w:rPr>
        <w:t>6. 安全文明施工与环境保护</w:t>
      </w:r>
      <w:bookmarkEnd w:id="164"/>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6.1安全文明施工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6.1.1 项目安全生产的达标目标及相应事项的约定：执行通用条款。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6.1.2 关于治安保卫的特别约定：满足学校治安管理要求。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关于编制施工场地治安管理计划的约定：/。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6.1.3 文明施工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合同当事人对文明施工的要求：执行通用条款。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6.1.4 关于安全文明施工费支付比例和支付期限的约定：执行通用条款。</w:t>
      </w:r>
    </w:p>
    <w:bookmarkEnd w:id="156"/>
    <w:bookmarkEnd w:id="157"/>
    <w:bookmarkEnd w:id="158"/>
    <w:bookmarkEnd w:id="159"/>
    <w:bookmarkEnd w:id="160"/>
    <w:bookmarkEnd w:id="161"/>
    <w:bookmarkEnd w:id="16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65" w:name="_Toc351203639"/>
      <w:r>
        <w:rPr>
          <w:rFonts w:hint="default" w:ascii="Times New Roman" w:hAnsi="Times New Roman" w:eastAsia="仿宋" w:cs="Times New Roman"/>
          <w:color w:val="000000" w:themeColor="text1"/>
          <w:sz w:val="28"/>
          <w:szCs w:val="28"/>
          <w14:textFill>
            <w14:solidFill>
              <w14:schemeClr w14:val="tx1"/>
            </w14:solidFill>
          </w14:textFill>
        </w:rPr>
        <w:t>7. 工期和进度</w:t>
      </w:r>
      <w:bookmarkEnd w:id="165"/>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7.1 施工组织设计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7.1.1 合同当事人约定的施工组织设计应包括的其他内容：/。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7.1.2 施工组织设计的提交和修改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承包人提交详细施工组织设计的期限的约定：执行通用条款。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发包人和监理人在收到详细的施工组织设计后确认或提出修改意见的期限：执行通用条款。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w:t>
      </w:r>
      <w:bookmarkStart w:id="166" w:name="_Toc303539123"/>
      <w:bookmarkStart w:id="167" w:name="_Toc304295541"/>
      <w:bookmarkStart w:id="168" w:name="_Toc297123514"/>
      <w:bookmarkStart w:id="169" w:name="_Toc300934966"/>
      <w:bookmarkStart w:id="170" w:name="_Toc312678005"/>
      <w:bookmarkStart w:id="171" w:name="_Toc297216173"/>
      <w:bookmarkStart w:id="172" w:name="_Toc312677479"/>
      <w:r>
        <w:rPr>
          <w:rFonts w:hint="default" w:ascii="Times New Roman" w:hAnsi="Times New Roman" w:eastAsia="仿宋" w:cs="Times New Roman"/>
          <w:color w:val="000000" w:themeColor="text1"/>
          <w:sz w:val="28"/>
          <w:szCs w:val="28"/>
          <w14:textFill>
            <w14:solidFill>
              <w14:schemeClr w14:val="tx1"/>
            </w14:solidFill>
          </w14:textFill>
        </w:rPr>
        <w:t>.2 施工进度计划</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7.2.1 施工进度计划的修订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承包人提供施工组织设计（施工方案）和进度计划的时间：执行通用条款。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事故处理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pPr>
        <w:pStyle w:val="6"/>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安全生产责任</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发包人应负责赔偿以下各种情况造成的损失：</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 工程或工程的任何部分对土地的占用所造成的第三者财产损失；</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 由于发包人原因在施工现场及其毗邻地带、履行合同工作中造成的第三者人身伤亡和财产损失；</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 由于发包人原因对发包人自身、承包人、工程师造成的人身伤害和财产损失。</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承包人应负责赔偿由于承包人原因在施工现场及其毗邻地带、履行合同工作中造成的第三者人身伤亡和财产损失。</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如果上述损失是由于发包人和承包人共同原因导致的，则双方应根据过错情况按比例承担。</w:t>
      </w:r>
    </w:p>
    <w:p>
      <w:pPr>
        <w:pStyle w:val="6"/>
        <w:rPr>
          <w:rFonts w:hint="default" w:ascii="Times New Roman" w:hAnsi="Times New Roman" w:eastAsia="仿宋" w:cs="Times New Roman"/>
          <w:color w:val="000000" w:themeColor="text1"/>
          <w:sz w:val="28"/>
          <w:szCs w:val="28"/>
          <w14:textFill>
            <w14:solidFill>
              <w14:schemeClr w14:val="tx1"/>
            </w14:solidFill>
          </w14:textFill>
        </w:rPr>
      </w:pP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职业健康</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承包人应遵守适用的职业健康的法律和合同约定（包括对雇用、职业健康、安全、福利等方面的规定），负责现场实施过程中其人员的职业健康和保护，包括：</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 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环境保护</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（2）承包人应采取措施，并负责控制和（或）处理现场的粉尘、废气、废水、固体废物和噪声对环境的污染和危害。因此发生的伤害、赔偿、罚款等费用增加，和（或）竣工日期延误，由承包人负责。</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临时性公用设施 </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（1）提供临时用水、用电等和节点铺设</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（2）临时用水、用电等</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因承包人未能按合同约定提交上述资料，造成发包人费用增加和竣工日期延误时，由承包人负责。</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现场安保</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承包人应将其作业限制在现场区域、合同约定的区域或为履行合同所需的区域内。承包人应采取一切必要的预防措施，以保持承包人的设备和人员处于现场区域内，避免其进入邻近地区。</w:t>
      </w:r>
    </w:p>
    <w:p>
      <w:pPr>
        <w:pStyle w:val="6"/>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承包人为履行合同义务而占用的其他场所（如预制加工场所、办公及生活营区） 的安保适用本款前述关于现场安保的规定。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7.3 开工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7.3.1 开工准备</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关于承包人提交工程开工报审表的期限：执行通用条款。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关于发包人应完成的其他开工准备工作及期限：/。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关于承包人应完成的其他开工准备工作及期限：/。</w:t>
      </w:r>
    </w:p>
    <w:bookmarkEnd w:id="166"/>
    <w:bookmarkEnd w:id="167"/>
    <w:bookmarkEnd w:id="168"/>
    <w:bookmarkEnd w:id="169"/>
    <w:bookmarkEnd w:id="170"/>
    <w:bookmarkEnd w:id="171"/>
    <w:bookmarkEnd w:id="17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7.4 测量放线</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7.4.1发包人通过监理人向承包人提供测量基准点、基准线和水准点及其书面资料的期限：以发包人通知为准。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w:t>
      </w:r>
      <w:bookmarkStart w:id="173" w:name="_Toc303539125"/>
      <w:bookmarkStart w:id="174" w:name="_Toc300934968"/>
      <w:bookmarkStart w:id="175" w:name="_Toc297123516"/>
      <w:bookmarkStart w:id="176" w:name="_Toc312677484"/>
      <w:bookmarkStart w:id="177" w:name="_Toc312678010"/>
      <w:bookmarkStart w:id="178" w:name="_Toc304295546"/>
      <w:bookmarkStart w:id="179" w:name="_Toc297216175"/>
      <w:r>
        <w:rPr>
          <w:rFonts w:hint="default" w:ascii="Times New Roman" w:hAnsi="Times New Roman" w:eastAsia="仿宋" w:cs="Times New Roman"/>
          <w:color w:val="000000" w:themeColor="text1"/>
          <w:sz w:val="28"/>
          <w:szCs w:val="28"/>
          <w14:textFill>
            <w14:solidFill>
              <w14:schemeClr w14:val="tx1"/>
            </w14:solidFill>
          </w14:textFill>
        </w:rPr>
        <w:t>.5 工期延误</w:t>
      </w:r>
    </w:p>
    <w:bookmarkEnd w:id="173"/>
    <w:bookmarkEnd w:id="174"/>
    <w:bookmarkEnd w:id="175"/>
    <w:bookmarkEnd w:id="176"/>
    <w:bookmarkEnd w:id="177"/>
    <w:bookmarkEnd w:id="178"/>
    <w:bookmarkEnd w:id="179"/>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7.5.1 因发包人原因导致工期延误</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因发包人原因导致工期延误的其他情形：/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w:t>
      </w:r>
      <w:bookmarkStart w:id="180" w:name="_Toc312678012"/>
      <w:bookmarkStart w:id="181" w:name="_Toc312677486"/>
      <w:bookmarkStart w:id="182" w:name="_Toc318581169"/>
      <w:bookmarkStart w:id="183" w:name="_Toc297216177"/>
      <w:bookmarkStart w:id="184" w:name="_Toc297123518"/>
      <w:bookmarkStart w:id="185" w:name="_Toc300934970"/>
      <w:bookmarkStart w:id="186" w:name="_Toc304295548"/>
      <w:bookmarkStart w:id="187" w:name="_Toc303539127"/>
      <w:r>
        <w:rPr>
          <w:rFonts w:hint="default" w:ascii="Times New Roman" w:hAnsi="Times New Roman" w:eastAsia="仿宋" w:cs="Times New Roman"/>
          <w:color w:val="000000" w:themeColor="text1"/>
          <w:sz w:val="28"/>
          <w:szCs w:val="28"/>
          <w14:textFill>
            <w14:solidFill>
              <w14:schemeClr w14:val="tx1"/>
            </w14:solidFill>
          </w14:textFill>
        </w:rPr>
        <w:t>.5.2 因承包人原因导致工期延误</w:t>
      </w:r>
    </w:p>
    <w:bookmarkEnd w:id="180"/>
    <w:bookmarkEnd w:id="181"/>
    <w:bookmarkEnd w:id="18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因</w:t>
      </w:r>
      <w:bookmarkStart w:id="188" w:name="_Toc312677487"/>
      <w:bookmarkStart w:id="189" w:name="_Toc312678013"/>
      <w:bookmarkStart w:id="190" w:name="_Toc318581170"/>
      <w:r>
        <w:rPr>
          <w:rFonts w:hint="default" w:ascii="Times New Roman" w:hAnsi="Times New Roman" w:eastAsia="仿宋" w:cs="Times New Roman"/>
          <w:color w:val="000000" w:themeColor="text1"/>
          <w:sz w:val="28"/>
          <w:szCs w:val="28"/>
          <w14:textFill>
            <w14:solidFill>
              <w14:schemeClr w14:val="tx1"/>
            </w14:solidFill>
          </w14:textFill>
        </w:rPr>
        <w:t>承包人原因造成工期延误，逾期竣工违约金的计算方法为：每延迟1天，采购人有权在供应商工程款项中扣除10000元，逾期超过15天的，采购人有权无责解除合同，剩余工程款不予支付。合同解除时，本合同约定项目未完工部分，采购人有权委托第三方按图纸和清单要求完成，所涉及全部费用在剩余工程款中扣除，不足部分由成交供应商补足。</w:t>
      </w:r>
    </w:p>
    <w:bookmarkEnd w:id="183"/>
    <w:bookmarkEnd w:id="184"/>
    <w:bookmarkEnd w:id="185"/>
    <w:bookmarkEnd w:id="186"/>
    <w:bookmarkEnd w:id="187"/>
    <w:bookmarkEnd w:id="188"/>
    <w:bookmarkEnd w:id="189"/>
    <w:bookmarkEnd w:id="190"/>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因承包人原因造成工期延误，逾</w:t>
      </w:r>
      <w:bookmarkStart w:id="191" w:name="_Toc312678014"/>
      <w:bookmarkStart w:id="192" w:name="_Toc318581171"/>
      <w:r>
        <w:rPr>
          <w:rFonts w:hint="default" w:ascii="Times New Roman" w:hAnsi="Times New Roman" w:eastAsia="仿宋" w:cs="Times New Roman"/>
          <w:color w:val="000000" w:themeColor="text1"/>
          <w:sz w:val="28"/>
          <w:szCs w:val="28"/>
          <w14:textFill>
            <w14:solidFill>
              <w14:schemeClr w14:val="tx1"/>
            </w14:solidFill>
          </w14:textFill>
        </w:rPr>
        <w:t>期竣工违约金的上限：/</w:t>
      </w:r>
    </w:p>
    <w:bookmarkEnd w:id="191"/>
    <w:bookmarkEnd w:id="19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w:t>
      </w:r>
      <w:bookmarkStart w:id="193" w:name="_Toc304295549"/>
      <w:bookmarkStart w:id="194" w:name="_Toc300934971"/>
      <w:bookmarkStart w:id="195" w:name="_Toc297123519"/>
      <w:bookmarkStart w:id="196" w:name="_Toc303539128"/>
      <w:bookmarkStart w:id="197" w:name="_Toc297216178"/>
      <w:bookmarkStart w:id="198" w:name="_Toc312678015"/>
      <w:r>
        <w:rPr>
          <w:rFonts w:hint="default" w:ascii="Times New Roman" w:hAnsi="Times New Roman" w:eastAsia="仿宋" w:cs="Times New Roman"/>
          <w:color w:val="000000" w:themeColor="text1"/>
          <w:sz w:val="28"/>
          <w:szCs w:val="28"/>
          <w14:textFill>
            <w14:solidFill>
              <w14:schemeClr w14:val="tx1"/>
            </w14:solidFill>
          </w14:textFill>
        </w:rPr>
        <w:t>.6 不</w:t>
      </w:r>
      <w:bookmarkEnd w:id="193"/>
      <w:bookmarkEnd w:id="194"/>
      <w:bookmarkEnd w:id="195"/>
      <w:bookmarkEnd w:id="196"/>
      <w:bookmarkEnd w:id="197"/>
      <w:bookmarkEnd w:id="198"/>
      <w:r>
        <w:rPr>
          <w:rFonts w:hint="default" w:ascii="Times New Roman" w:hAnsi="Times New Roman" w:eastAsia="仿宋" w:cs="Times New Roman"/>
          <w:color w:val="000000" w:themeColor="text1"/>
          <w:sz w:val="28"/>
          <w:szCs w:val="28"/>
          <w14:textFill>
            <w14:solidFill>
              <w14:schemeClr w14:val="tx1"/>
            </w14:solidFill>
          </w14:textFill>
        </w:rPr>
        <w:t>利物质条件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199" w:name="_Toc300934972"/>
      <w:bookmarkStart w:id="200" w:name="_Toc312678016"/>
      <w:bookmarkStart w:id="201" w:name="_Toc304295550"/>
      <w:bookmarkStart w:id="202" w:name="_Toc297216179"/>
      <w:bookmarkStart w:id="203" w:name="_Toc318581172"/>
      <w:bookmarkStart w:id="204" w:name="_Toc297123520"/>
      <w:bookmarkStart w:id="205" w:name="_Toc303539129"/>
      <w:r>
        <w:rPr>
          <w:rFonts w:hint="default" w:ascii="Times New Roman" w:hAnsi="Times New Roman" w:eastAsia="仿宋" w:cs="Times New Roman"/>
          <w:color w:val="000000" w:themeColor="text1"/>
          <w:sz w:val="28"/>
          <w:szCs w:val="28"/>
          <w14:textFill>
            <w14:solidFill>
              <w14:schemeClr w14:val="tx1"/>
            </w14:solidFill>
          </w14:textFill>
        </w:rPr>
        <w:t>不利物质条件的其他情形和有关约定：/。</w:t>
      </w:r>
    </w:p>
    <w:bookmarkEnd w:id="199"/>
    <w:bookmarkEnd w:id="200"/>
    <w:bookmarkEnd w:id="201"/>
    <w:bookmarkEnd w:id="202"/>
    <w:bookmarkEnd w:id="203"/>
    <w:bookmarkEnd w:id="204"/>
    <w:bookmarkEnd w:id="205"/>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w:t>
      </w:r>
      <w:bookmarkStart w:id="206" w:name="_Toc304295551"/>
      <w:bookmarkStart w:id="207" w:name="_Toc303539130"/>
      <w:bookmarkStart w:id="208" w:name="_Toc297216180"/>
      <w:bookmarkStart w:id="209" w:name="_Toc300934973"/>
      <w:bookmarkStart w:id="210" w:name="_Toc312678017"/>
      <w:bookmarkStart w:id="211" w:name="_Toc297123521"/>
      <w:r>
        <w:rPr>
          <w:rFonts w:hint="default" w:ascii="Times New Roman" w:hAnsi="Times New Roman" w:eastAsia="仿宋" w:cs="Times New Roman"/>
          <w:color w:val="000000" w:themeColor="text1"/>
          <w:sz w:val="28"/>
          <w:szCs w:val="28"/>
          <w14:textFill>
            <w14:solidFill>
              <w14:schemeClr w14:val="tx1"/>
            </w14:solidFill>
          </w14:textFill>
        </w:rPr>
        <w:t>.7异常恶劣的气候条件</w:t>
      </w:r>
    </w:p>
    <w:bookmarkEnd w:id="206"/>
    <w:bookmarkEnd w:id="207"/>
    <w:bookmarkEnd w:id="208"/>
    <w:bookmarkEnd w:id="209"/>
    <w:bookmarkEnd w:id="210"/>
    <w:bookmarkEnd w:id="21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发包人和承包人同意以下情形视为异常恶劣的气候条件：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12" w:name="_Toc10442"/>
      <w:r>
        <w:rPr>
          <w:rFonts w:hint="default" w:ascii="Times New Roman" w:hAnsi="Times New Roman" w:eastAsia="仿宋" w:cs="Times New Roman"/>
          <w:color w:val="000000" w:themeColor="text1"/>
          <w:sz w:val="28"/>
          <w:szCs w:val="28"/>
          <w14:textFill>
            <w14:solidFill>
              <w14:schemeClr w14:val="tx1"/>
            </w14:solidFill>
          </w14:textFill>
        </w:rPr>
        <w:t>7.8 提前竣工的奖励</w:t>
      </w:r>
      <w:bookmarkEnd w:id="21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7.8.1提前竣工的奖励：无。</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13" w:name="_Toc351203640"/>
      <w:r>
        <w:rPr>
          <w:rFonts w:hint="default" w:ascii="Times New Roman" w:hAnsi="Times New Roman" w:eastAsia="仿宋" w:cs="Times New Roman"/>
          <w:color w:val="000000" w:themeColor="text1"/>
          <w:sz w:val="28"/>
          <w:szCs w:val="28"/>
          <w14:textFill>
            <w14:solidFill>
              <w14:schemeClr w14:val="tx1"/>
            </w14:solidFill>
          </w14:textFill>
        </w:rPr>
        <w:t>8. 材料与设备</w:t>
      </w:r>
      <w:bookmarkEnd w:id="213"/>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8.1承包人采购材料与工程设备</w:t>
      </w:r>
    </w:p>
    <w:bookmarkEnd w:id="145"/>
    <w:bookmarkEnd w:id="146"/>
    <w:bookmarkEnd w:id="147"/>
    <w:bookmarkEnd w:id="148"/>
    <w:bookmarkEnd w:id="149"/>
    <w:bookmarkEnd w:id="150"/>
    <w:bookmarkEnd w:id="151"/>
    <w:bookmarkEnd w:id="152"/>
    <w:bookmarkEnd w:id="153"/>
    <w:bookmarkEnd w:id="154"/>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w:t>
      </w:r>
      <w:bookmarkStart w:id="214" w:name="_Toc312678019"/>
      <w:bookmarkStart w:id="215" w:name="_Toc297048353"/>
      <w:bookmarkStart w:id="216" w:name="_Toc297216186"/>
      <w:bookmarkStart w:id="217" w:name="_Toc300934979"/>
      <w:bookmarkStart w:id="218" w:name="_Toc296890995"/>
      <w:bookmarkStart w:id="219" w:name="_Toc303539136"/>
      <w:bookmarkStart w:id="220" w:name="_Toc312677493"/>
      <w:bookmarkStart w:id="221" w:name="_Toc297123527"/>
      <w:bookmarkStart w:id="222" w:name="_Toc296891207"/>
      <w:bookmarkStart w:id="223" w:name="_Toc296347166"/>
      <w:bookmarkStart w:id="224" w:name="_Toc296944506"/>
      <w:bookmarkStart w:id="225" w:name="_Toc280868654"/>
      <w:bookmarkStart w:id="226" w:name="_Toc304295556"/>
      <w:bookmarkStart w:id="227" w:name="_Toc292559877"/>
      <w:bookmarkStart w:id="228" w:name="_Toc297120467"/>
      <w:bookmarkStart w:id="229" w:name="_Toc296346668"/>
      <w:bookmarkStart w:id="230" w:name="_Toc296503167"/>
      <w:bookmarkStart w:id="231" w:name="_Toc292559372"/>
      <w:bookmarkStart w:id="232" w:name="_Toc280868655"/>
      <w:bookmarkStart w:id="233" w:name="_Toc280868656"/>
      <w:bookmarkStart w:id="234" w:name="_Toc267251424"/>
      <w:r>
        <w:rPr>
          <w:rFonts w:hint="default" w:ascii="Times New Roman" w:hAnsi="Times New Roman" w:eastAsia="仿宋" w:cs="Times New Roman"/>
          <w:color w:val="000000" w:themeColor="text1"/>
          <w:sz w:val="28"/>
          <w:szCs w:val="28"/>
          <w14:textFill>
            <w14:solidFill>
              <w14:schemeClr w14:val="tx1"/>
            </w14:solidFill>
          </w14:textFill>
        </w:rPr>
        <w:t>.2材料与工程设备的保管与使用</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w:t>
      </w:r>
      <w:bookmarkStart w:id="235" w:name="_Toc292559878"/>
      <w:bookmarkStart w:id="236" w:name="_Toc292559373"/>
      <w:bookmarkStart w:id="237" w:name="_Toc304295557"/>
      <w:bookmarkStart w:id="238" w:name="_Toc296891208"/>
      <w:bookmarkStart w:id="239" w:name="_Toc297120468"/>
      <w:bookmarkStart w:id="240" w:name="_Toc297216187"/>
      <w:bookmarkStart w:id="241" w:name="_Toc303539137"/>
      <w:bookmarkStart w:id="242" w:name="_Toc296346669"/>
      <w:bookmarkStart w:id="243" w:name="_Toc312677494"/>
      <w:bookmarkStart w:id="244" w:name="_Toc318581173"/>
      <w:bookmarkStart w:id="245" w:name="_Toc312678020"/>
      <w:bookmarkStart w:id="246" w:name="_Toc296503168"/>
      <w:bookmarkStart w:id="247" w:name="_Toc296347167"/>
      <w:bookmarkStart w:id="248" w:name="_Toc297048354"/>
      <w:bookmarkStart w:id="249" w:name="_Toc296944507"/>
      <w:bookmarkStart w:id="250" w:name="_Toc296890996"/>
      <w:bookmarkStart w:id="251" w:name="_Toc300934980"/>
      <w:bookmarkStart w:id="252" w:name="_Toc297123528"/>
      <w:r>
        <w:rPr>
          <w:rFonts w:hint="default" w:ascii="Times New Roman" w:hAnsi="Times New Roman" w:eastAsia="仿宋" w:cs="Times New Roman"/>
          <w:color w:val="000000" w:themeColor="text1"/>
          <w:sz w:val="28"/>
          <w:szCs w:val="28"/>
          <w14:textFill>
            <w14:solidFill>
              <w14:schemeClr w14:val="tx1"/>
            </w14:solidFill>
          </w14:textFill>
        </w:rPr>
        <w:t>.2.1发包人供应的材料设备的保管费用的承担：进入施工现场后由承包人承担。</w:t>
      </w:r>
      <w:bookmarkEnd w:id="235"/>
      <w:bookmarkEnd w:id="236"/>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53" w:name="_Toc13530"/>
      <w:r>
        <w:rPr>
          <w:rFonts w:hint="default" w:ascii="Times New Roman" w:hAnsi="Times New Roman" w:eastAsia="仿宋" w:cs="Times New Roman"/>
          <w:color w:val="000000" w:themeColor="text1"/>
          <w:sz w:val="28"/>
          <w:szCs w:val="28"/>
          <w14:textFill>
            <w14:solidFill>
              <w14:schemeClr w14:val="tx1"/>
            </w14:solidFill>
          </w14:textFill>
        </w:rPr>
        <w:t>8.3 样品</w:t>
      </w:r>
      <w:bookmarkEnd w:id="253"/>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8.3.1</w:t>
      </w:r>
      <w:r>
        <w:rPr>
          <w:rFonts w:hint="default" w:ascii="Times New Roman" w:hAnsi="Times New Roman" w:eastAsia="仿宋" w:cs="Times New Roman"/>
          <w:color w:val="000000" w:themeColor="text1"/>
          <w:sz w:val="28"/>
          <w:szCs w:val="28"/>
          <w14:textFill>
            <w14:solidFill>
              <w14:schemeClr w14:val="tx1"/>
            </w14:solidFill>
          </w14:textFill>
        </w:rPr>
        <w:tab/>
      </w:r>
      <w:r>
        <w:rPr>
          <w:rFonts w:hint="default" w:ascii="Times New Roman" w:hAnsi="Times New Roman" w:eastAsia="仿宋" w:cs="Times New Roman"/>
          <w:color w:val="000000" w:themeColor="text1"/>
          <w:sz w:val="28"/>
          <w:szCs w:val="28"/>
          <w14:textFill>
            <w14:solidFill>
              <w14:schemeClr w14:val="tx1"/>
            </w14:solidFill>
          </w14:textFill>
        </w:rPr>
        <w:t>样品的报送与封存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需要承包人报送样品的材料或工程设备，样品的种类、名称、规格、数量要求：/。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54" w:name="_Toc4399"/>
      <w:r>
        <w:rPr>
          <w:rFonts w:hint="default" w:ascii="Times New Roman" w:hAnsi="Times New Roman" w:eastAsia="仿宋" w:cs="Times New Roman"/>
          <w:color w:val="000000" w:themeColor="text1"/>
          <w:sz w:val="28"/>
          <w:szCs w:val="28"/>
          <w14:textFill>
            <w14:solidFill>
              <w14:schemeClr w14:val="tx1"/>
            </w14:solidFill>
          </w14:textFill>
        </w:rPr>
        <w:t>8.4 施工设备和临时设施</w:t>
      </w:r>
      <w:bookmarkEnd w:id="254"/>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8.4.1 承包人提供的施工设备和临时设施</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8.4.2 关于修建临时设施费用承担的约定：由承包人承担。</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55" w:name="_Toc351203641"/>
      <w:r>
        <w:rPr>
          <w:rFonts w:hint="default" w:ascii="Times New Roman" w:hAnsi="Times New Roman" w:eastAsia="仿宋" w:cs="Times New Roman"/>
          <w:color w:val="000000" w:themeColor="text1"/>
          <w:sz w:val="28"/>
          <w:szCs w:val="28"/>
          <w14:textFill>
            <w14:solidFill>
              <w14:schemeClr w14:val="tx1"/>
            </w14:solidFill>
          </w14:textFill>
        </w:rPr>
        <w:t>9</w:t>
      </w:r>
      <w:bookmarkEnd w:id="232"/>
      <w:bookmarkEnd w:id="233"/>
      <w:bookmarkEnd w:id="234"/>
      <w:bookmarkStart w:id="256" w:name="_Toc303539139"/>
      <w:bookmarkStart w:id="257" w:name="_Toc297216192"/>
      <w:bookmarkStart w:id="258" w:name="_Toc300934982"/>
      <w:bookmarkStart w:id="259" w:name="_Toc312678021"/>
      <w:bookmarkStart w:id="260" w:name="_Toc304295559"/>
      <w:bookmarkStart w:id="261" w:name="_Toc297123533"/>
      <w:bookmarkStart w:id="262" w:name="_Toc312677495"/>
      <w:bookmarkStart w:id="263" w:name="_Toc296891213"/>
      <w:bookmarkStart w:id="264" w:name="_Toc297048359"/>
      <w:bookmarkStart w:id="265" w:name="_Toc296503173"/>
      <w:bookmarkStart w:id="266" w:name="_Toc297120473"/>
      <w:bookmarkStart w:id="267" w:name="_Toc292559883"/>
      <w:bookmarkStart w:id="268" w:name="_Toc296944512"/>
      <w:bookmarkStart w:id="269" w:name="_Toc296346674"/>
      <w:bookmarkStart w:id="270" w:name="_Toc296891001"/>
      <w:bookmarkStart w:id="271" w:name="_Toc267251428"/>
      <w:bookmarkStart w:id="272" w:name="_Toc292559378"/>
      <w:bookmarkStart w:id="273" w:name="_Toc296347172"/>
      <w:bookmarkStart w:id="274" w:name="_Toc267251427"/>
      <w:r>
        <w:rPr>
          <w:rFonts w:hint="default" w:ascii="Times New Roman" w:hAnsi="Times New Roman" w:eastAsia="仿宋" w:cs="Times New Roman"/>
          <w:color w:val="000000" w:themeColor="text1"/>
          <w:sz w:val="28"/>
          <w:szCs w:val="28"/>
          <w14:textFill>
            <w14:solidFill>
              <w14:schemeClr w14:val="tx1"/>
            </w14:solidFill>
          </w14:textFill>
        </w:rPr>
        <w:t>. 试验与检验</w:t>
      </w:r>
      <w:bookmarkEnd w:id="255"/>
    </w:p>
    <w:bookmarkEnd w:id="256"/>
    <w:bookmarkEnd w:id="257"/>
    <w:bookmarkEnd w:id="258"/>
    <w:bookmarkEnd w:id="259"/>
    <w:bookmarkEnd w:id="260"/>
    <w:bookmarkEnd w:id="261"/>
    <w:bookmarkEnd w:id="26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9</w:t>
      </w:r>
      <w:bookmarkStart w:id="275" w:name="_Toc303539140"/>
      <w:bookmarkStart w:id="276" w:name="_Toc312678022"/>
      <w:bookmarkStart w:id="277" w:name="_Toc297123534"/>
      <w:bookmarkStart w:id="278" w:name="_Toc300934983"/>
      <w:bookmarkStart w:id="279" w:name="_Toc312677496"/>
      <w:bookmarkStart w:id="280" w:name="_Toc304295560"/>
      <w:bookmarkStart w:id="281" w:name="_Toc297216193"/>
      <w:r>
        <w:rPr>
          <w:rFonts w:hint="default" w:ascii="Times New Roman" w:hAnsi="Times New Roman" w:eastAsia="仿宋" w:cs="Times New Roman"/>
          <w:color w:val="000000" w:themeColor="text1"/>
          <w:sz w:val="28"/>
          <w:szCs w:val="28"/>
          <w14:textFill>
            <w14:solidFill>
              <w14:schemeClr w14:val="tx1"/>
            </w14:solidFill>
          </w14:textFill>
        </w:rPr>
        <w:t>.1试验设备与试验人员</w:t>
      </w:r>
    </w:p>
    <w:bookmarkEnd w:id="275"/>
    <w:bookmarkEnd w:id="276"/>
    <w:bookmarkEnd w:id="277"/>
    <w:bookmarkEnd w:id="278"/>
    <w:bookmarkEnd w:id="279"/>
    <w:bookmarkEnd w:id="280"/>
    <w:bookmarkEnd w:id="28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9</w:t>
      </w:r>
      <w:bookmarkStart w:id="282" w:name="_Toc303539141"/>
      <w:bookmarkStart w:id="283" w:name="_Toc312677497"/>
      <w:bookmarkStart w:id="284" w:name="_Toc312678023"/>
      <w:bookmarkStart w:id="285" w:name="_Toc304295561"/>
      <w:bookmarkStart w:id="286" w:name="_Toc300934984"/>
      <w:bookmarkStart w:id="287" w:name="_Toc297216194"/>
      <w:bookmarkStart w:id="288" w:name="_Toc297123535"/>
      <w:bookmarkStart w:id="289" w:name="_Toc318581174"/>
      <w:r>
        <w:rPr>
          <w:rFonts w:hint="default" w:ascii="Times New Roman" w:hAnsi="Times New Roman" w:eastAsia="仿宋" w:cs="Times New Roman"/>
          <w:color w:val="000000" w:themeColor="text1"/>
          <w:sz w:val="28"/>
          <w:szCs w:val="28"/>
          <w14:textFill>
            <w14:solidFill>
              <w14:schemeClr w14:val="tx1"/>
            </w14:solidFill>
          </w14:textFill>
        </w:rPr>
        <w:t>.1.1 试验设备</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施工现场需要配置的试验场所：</w:t>
      </w:r>
      <w:bookmarkEnd w:id="282"/>
      <w:bookmarkEnd w:id="283"/>
      <w:bookmarkEnd w:id="284"/>
      <w:bookmarkEnd w:id="285"/>
      <w:bookmarkEnd w:id="286"/>
      <w:bookmarkEnd w:id="287"/>
      <w:bookmarkEnd w:id="288"/>
      <w:bookmarkStart w:id="290" w:name="_Toc300934985"/>
      <w:bookmarkStart w:id="291" w:name="_Toc297216195"/>
      <w:bookmarkStart w:id="292" w:name="_Toc312677498"/>
      <w:bookmarkStart w:id="293" w:name="_Toc304295562"/>
      <w:bookmarkStart w:id="294" w:name="_Toc297123536"/>
      <w:bookmarkStart w:id="295" w:name="_Toc312678024"/>
      <w:bookmarkStart w:id="296" w:name="_Toc303539142"/>
      <w:r>
        <w:rPr>
          <w:rFonts w:hint="default" w:ascii="Times New Roman" w:hAnsi="Times New Roman" w:eastAsia="仿宋" w:cs="Times New Roman"/>
          <w:color w:val="000000" w:themeColor="text1"/>
          <w:sz w:val="28"/>
          <w:szCs w:val="28"/>
          <w14:textFill>
            <w14:solidFill>
              <w14:schemeClr w14:val="tx1"/>
            </w14:solidFill>
          </w14:textFill>
        </w:rPr>
        <w:t>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施工现场需要配备的试验设备：执行通用条款。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施工现场需要具备的其他试验条件：/。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97" w:name="_Toc27473"/>
      <w:r>
        <w:rPr>
          <w:rFonts w:hint="default" w:ascii="Times New Roman" w:hAnsi="Times New Roman" w:eastAsia="仿宋" w:cs="Times New Roman"/>
          <w:color w:val="000000" w:themeColor="text1"/>
          <w:sz w:val="28"/>
          <w:szCs w:val="28"/>
          <w14:textFill>
            <w14:solidFill>
              <w14:schemeClr w14:val="tx1"/>
            </w14:solidFill>
          </w14:textFill>
        </w:rPr>
        <w:t>9.2 现场工艺试验</w:t>
      </w:r>
      <w:bookmarkEnd w:id="297"/>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现场工艺试验的有关约定：执行通用条款。</w:t>
      </w:r>
    </w:p>
    <w:bookmarkEnd w:id="289"/>
    <w:bookmarkEnd w:id="290"/>
    <w:bookmarkEnd w:id="291"/>
    <w:bookmarkEnd w:id="292"/>
    <w:bookmarkEnd w:id="293"/>
    <w:bookmarkEnd w:id="294"/>
    <w:bookmarkEnd w:id="295"/>
    <w:bookmarkEnd w:id="296"/>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298" w:name="_Toc351203642"/>
      <w:r>
        <w:rPr>
          <w:rFonts w:hint="default" w:ascii="Times New Roman" w:hAnsi="Times New Roman" w:eastAsia="仿宋" w:cs="Times New Roman"/>
          <w:color w:val="000000" w:themeColor="text1"/>
          <w:sz w:val="28"/>
          <w:szCs w:val="28"/>
          <w14:textFill>
            <w14:solidFill>
              <w14:schemeClr w14:val="tx1"/>
            </w14:solidFill>
          </w14:textFill>
        </w:rPr>
        <w:t>1</w:t>
      </w:r>
      <w:bookmarkEnd w:id="263"/>
      <w:bookmarkEnd w:id="264"/>
      <w:bookmarkEnd w:id="265"/>
      <w:bookmarkEnd w:id="266"/>
      <w:bookmarkEnd w:id="267"/>
      <w:bookmarkEnd w:id="268"/>
      <w:bookmarkEnd w:id="269"/>
      <w:bookmarkEnd w:id="270"/>
      <w:bookmarkEnd w:id="271"/>
      <w:bookmarkEnd w:id="272"/>
      <w:bookmarkEnd w:id="273"/>
      <w:bookmarkEnd w:id="274"/>
      <w:bookmarkStart w:id="299" w:name="_Toc296944532"/>
      <w:bookmarkStart w:id="300" w:name="_Toc296503193"/>
      <w:bookmarkStart w:id="301" w:name="_Toc292559398"/>
      <w:bookmarkStart w:id="302" w:name="_Toc303539146"/>
      <w:bookmarkStart w:id="303" w:name="_Toc292559903"/>
      <w:bookmarkStart w:id="304" w:name="_Toc297048379"/>
      <w:bookmarkStart w:id="305" w:name="_Toc300934989"/>
      <w:bookmarkStart w:id="306" w:name="_Toc296891233"/>
      <w:bookmarkStart w:id="307" w:name="_Toc296891021"/>
      <w:bookmarkStart w:id="308" w:name="_Toc296347192"/>
      <w:bookmarkStart w:id="309" w:name="_Toc297216199"/>
      <w:bookmarkStart w:id="310" w:name="_Toc297123540"/>
      <w:bookmarkStart w:id="311" w:name="_Toc304295566"/>
      <w:bookmarkStart w:id="312" w:name="_Toc297120493"/>
      <w:bookmarkStart w:id="313" w:name="_Toc296346694"/>
      <w:bookmarkStart w:id="314" w:name="_Toc312678025"/>
      <w:bookmarkStart w:id="315" w:name="_Toc312677499"/>
      <w:bookmarkStart w:id="316" w:name="_Toc267251439"/>
      <w:bookmarkStart w:id="317" w:name="_Toc267251440"/>
      <w:bookmarkStart w:id="318" w:name="_Toc267251441"/>
      <w:bookmarkStart w:id="319" w:name="_Toc267251433"/>
      <w:bookmarkStart w:id="320" w:name="_Toc267251435"/>
      <w:bookmarkStart w:id="321" w:name="_Toc267251437"/>
      <w:bookmarkStart w:id="322" w:name="_Toc267251442"/>
      <w:r>
        <w:rPr>
          <w:rFonts w:hint="default" w:ascii="Times New Roman" w:hAnsi="Times New Roman" w:eastAsia="仿宋" w:cs="Times New Roman"/>
          <w:color w:val="000000" w:themeColor="text1"/>
          <w:sz w:val="28"/>
          <w:szCs w:val="28"/>
          <w14:textFill>
            <w14:solidFill>
              <w14:schemeClr w14:val="tx1"/>
            </w14:solidFill>
          </w14:textFill>
        </w:rPr>
        <w:t>0. 变更</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bookmarkEnd w:id="314"/>
    <w:bookmarkEnd w:id="315"/>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w:t>
      </w:r>
      <w:bookmarkStart w:id="323" w:name="_Toc297048380"/>
      <w:bookmarkStart w:id="324" w:name="_Toc312678026"/>
      <w:bookmarkStart w:id="325" w:name="_Toc296944533"/>
      <w:bookmarkStart w:id="326" w:name="_Toc297216200"/>
      <w:bookmarkStart w:id="327" w:name="_Toc292559399"/>
      <w:bookmarkStart w:id="328" w:name="_Toc304295567"/>
      <w:bookmarkStart w:id="329" w:name="_Toc296891022"/>
      <w:bookmarkStart w:id="330" w:name="_Toc297120494"/>
      <w:bookmarkStart w:id="331" w:name="_Toc292559904"/>
      <w:bookmarkStart w:id="332" w:name="_Toc296503194"/>
      <w:bookmarkStart w:id="333" w:name="_Toc296347193"/>
      <w:bookmarkStart w:id="334" w:name="_Toc312677500"/>
      <w:bookmarkStart w:id="335" w:name="_Toc303539147"/>
      <w:bookmarkStart w:id="336" w:name="_Toc300934990"/>
      <w:bookmarkStart w:id="337" w:name="_Toc296346695"/>
      <w:bookmarkStart w:id="338" w:name="_Toc297123541"/>
      <w:bookmarkStart w:id="339" w:name="_Toc296891234"/>
      <w:r>
        <w:rPr>
          <w:rFonts w:hint="default" w:ascii="Times New Roman" w:hAnsi="Times New Roman" w:eastAsia="仿宋" w:cs="Times New Roman"/>
          <w:color w:val="000000" w:themeColor="text1"/>
          <w:sz w:val="28"/>
          <w:szCs w:val="28"/>
          <w14:textFill>
            <w14:solidFill>
              <w14:schemeClr w14:val="tx1"/>
            </w14:solidFill>
          </w14:textFill>
        </w:rPr>
        <w:t>0.1 变更的范围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关于变更的范围的约定：执行通用条款。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40" w:name="_Toc32115"/>
      <w:r>
        <w:rPr>
          <w:rFonts w:hint="default" w:ascii="Times New Roman" w:hAnsi="Times New Roman" w:eastAsia="仿宋" w:cs="Times New Roman"/>
          <w:color w:val="000000" w:themeColor="text1"/>
          <w:sz w:val="28"/>
          <w:szCs w:val="28"/>
          <w14:textFill>
            <w14:solidFill>
              <w14:schemeClr w14:val="tx1"/>
            </w14:solidFill>
          </w14:textFill>
        </w:rPr>
        <w:t>10.2 变更估价</w:t>
      </w:r>
      <w:bookmarkEnd w:id="34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10.2.1 变更估价原则</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关于变更估价的约定:执行通用条款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Start w:id="341" w:name="_Toc296891025"/>
      <w:bookmarkStart w:id="342" w:name="_Toc296944536"/>
      <w:bookmarkStart w:id="343" w:name="_Toc296891237"/>
      <w:bookmarkStart w:id="344" w:name="_Toc303539150"/>
      <w:bookmarkStart w:id="345" w:name="_Toc297123544"/>
      <w:bookmarkStart w:id="346" w:name="_Toc292559402"/>
      <w:bookmarkStart w:id="347" w:name="_Toc297216203"/>
      <w:bookmarkStart w:id="348" w:name="_Toc296503197"/>
      <w:bookmarkStart w:id="349" w:name="_Toc296346698"/>
      <w:bookmarkStart w:id="350" w:name="_Toc296347196"/>
      <w:bookmarkStart w:id="351" w:name="_Toc297048383"/>
      <w:bookmarkStart w:id="352" w:name="_Toc292559907"/>
      <w:bookmarkStart w:id="353" w:name="_Toc297120497"/>
      <w:bookmarkStart w:id="354" w:name="_Toc300934993"/>
      <w:bookmarkStart w:id="355" w:name="_Toc312677503"/>
      <w:bookmarkStart w:id="356" w:name="_Toc312678029"/>
      <w:bookmarkStart w:id="357" w:name="_Toc304295570"/>
      <w:r>
        <w:rPr>
          <w:rFonts w:hint="default" w:ascii="Times New Roman" w:hAnsi="Times New Roman" w:eastAsia="仿宋" w:cs="Times New Roman"/>
          <w:color w:val="000000" w:themeColor="text1"/>
          <w:sz w:val="28"/>
          <w:szCs w:val="28"/>
          <w14:textFill>
            <w14:solidFill>
              <w14:schemeClr w14:val="tx1"/>
            </w14:solidFill>
          </w14:textFill>
        </w:rPr>
        <w:t>0.3 承</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Start w:id="358" w:name="_Toc296347202"/>
      <w:bookmarkStart w:id="359" w:name="_Toc297048389"/>
      <w:bookmarkStart w:id="360" w:name="_Toc292559913"/>
      <w:bookmarkStart w:id="361" w:name="_Toc297216204"/>
      <w:bookmarkStart w:id="362" w:name="_Toc296944542"/>
      <w:bookmarkStart w:id="363" w:name="_Toc296891031"/>
      <w:bookmarkStart w:id="364" w:name="_Toc297120503"/>
      <w:bookmarkStart w:id="365" w:name="_Toc296891243"/>
      <w:bookmarkStart w:id="366" w:name="_Toc296346704"/>
      <w:bookmarkStart w:id="367" w:name="_Toc303539151"/>
      <w:bookmarkStart w:id="368" w:name="_Toc292559408"/>
      <w:bookmarkStart w:id="369" w:name="_Toc297123545"/>
      <w:bookmarkStart w:id="370" w:name="_Toc296503203"/>
      <w:bookmarkStart w:id="371" w:name="_Toc300934994"/>
      <w:r>
        <w:rPr>
          <w:rFonts w:hint="default" w:ascii="Times New Roman" w:hAnsi="Times New Roman" w:eastAsia="仿宋" w:cs="Times New Roman"/>
          <w:color w:val="000000" w:themeColor="text1"/>
          <w:sz w:val="28"/>
          <w:szCs w:val="28"/>
          <w14:textFill>
            <w14:solidFill>
              <w14:schemeClr w14:val="tx1"/>
            </w14:solidFill>
          </w14:textFill>
        </w:rPr>
        <w:t>包人的合理化建议</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监理人审查承包人合理化建议的期限：执行通用条款。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发包人审批承包人合理化建议的期限：执行通用条款。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w:t>
      </w:r>
      <w:bookmarkStart w:id="372" w:name="_Toc297123546"/>
      <w:bookmarkStart w:id="373" w:name="_Toc296891032"/>
      <w:bookmarkStart w:id="374" w:name="_Toc300934995"/>
      <w:bookmarkStart w:id="375" w:name="_Toc297120504"/>
      <w:bookmarkStart w:id="376" w:name="_Toc318581175"/>
      <w:bookmarkStart w:id="377" w:name="_Toc292559409"/>
      <w:bookmarkStart w:id="378" w:name="_Toc312678030"/>
      <w:bookmarkStart w:id="379" w:name="_Toc297216205"/>
      <w:bookmarkStart w:id="380" w:name="_Toc312677504"/>
      <w:bookmarkStart w:id="381" w:name="_Toc296346705"/>
      <w:bookmarkStart w:id="382" w:name="_Toc304295571"/>
      <w:bookmarkStart w:id="383" w:name="_Toc296891244"/>
      <w:bookmarkStart w:id="384" w:name="_Toc303539152"/>
      <w:bookmarkStart w:id="385" w:name="_Toc296347203"/>
      <w:bookmarkStart w:id="386" w:name="_Toc296944543"/>
      <w:bookmarkStart w:id="387" w:name="_Toc297048390"/>
      <w:bookmarkStart w:id="388" w:name="_Toc296503204"/>
      <w:bookmarkStart w:id="389" w:name="_Toc292559914"/>
      <w:r>
        <w:rPr>
          <w:rFonts w:hint="default" w:ascii="Times New Roman" w:hAnsi="Times New Roman" w:eastAsia="仿宋" w:cs="Times New Roman"/>
          <w:color w:val="000000" w:themeColor="text1"/>
          <w:sz w:val="28"/>
          <w:szCs w:val="28"/>
          <w14:textFill>
            <w14:solidFill>
              <w14:schemeClr w14:val="tx1"/>
            </w14:solidFill>
          </w14:textFill>
        </w:rPr>
        <w:t>包人提出的合理化建议降低了合同价格或者提高了工程经济效益的奖励的方法和金额为：/。</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390" w:name="_Toc23463"/>
      <w:r>
        <w:rPr>
          <w:rFonts w:hint="default" w:ascii="Times New Roman" w:hAnsi="Times New Roman" w:eastAsia="仿宋" w:cs="Times New Roman"/>
          <w:color w:val="000000" w:themeColor="text1"/>
          <w:sz w:val="28"/>
          <w:szCs w:val="28"/>
          <w14:textFill>
            <w14:solidFill>
              <w14:schemeClr w14:val="tx1"/>
            </w14:solidFill>
          </w14:textFill>
        </w:rPr>
        <w:t>1</w:t>
      </w:r>
      <w:bookmarkStart w:id="391" w:name="_Toc292559909"/>
      <w:bookmarkStart w:id="392" w:name="_Toc300934997"/>
      <w:bookmarkStart w:id="393" w:name="_Toc312677507"/>
      <w:bookmarkStart w:id="394" w:name="_Toc303539154"/>
      <w:bookmarkStart w:id="395" w:name="_Toc297048385"/>
      <w:bookmarkStart w:id="396" w:name="_Toc292559404"/>
      <w:bookmarkStart w:id="397" w:name="_Toc297120499"/>
      <w:bookmarkStart w:id="398" w:name="_Toc296944538"/>
      <w:bookmarkStart w:id="399" w:name="_Toc296346700"/>
      <w:bookmarkStart w:id="400" w:name="_Toc297216207"/>
      <w:bookmarkStart w:id="401" w:name="_Toc296891027"/>
      <w:bookmarkStart w:id="402" w:name="_Toc304295574"/>
      <w:bookmarkStart w:id="403" w:name="_Toc296503199"/>
      <w:bookmarkStart w:id="404" w:name="_Toc296347198"/>
      <w:bookmarkStart w:id="405" w:name="_Toc296891239"/>
      <w:bookmarkStart w:id="406" w:name="_Toc297123548"/>
      <w:bookmarkStart w:id="407" w:name="_Toc312678033"/>
      <w:r>
        <w:rPr>
          <w:rFonts w:hint="default" w:ascii="Times New Roman" w:hAnsi="Times New Roman" w:eastAsia="仿宋" w:cs="Times New Roman"/>
          <w:color w:val="000000" w:themeColor="text1"/>
          <w:sz w:val="28"/>
          <w:szCs w:val="28"/>
          <w14:textFill>
            <w14:solidFill>
              <w14:schemeClr w14:val="tx1"/>
            </w14:solidFill>
          </w14:textFill>
        </w:rPr>
        <w:t>0.4 暂估价</w:t>
      </w:r>
      <w:bookmarkEnd w:id="390"/>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w:t>
      </w:r>
      <w:bookmarkStart w:id="408" w:name="_Toc312677509"/>
      <w:bookmarkStart w:id="409" w:name="_Toc318581177"/>
      <w:bookmarkStart w:id="410" w:name="_Toc312678035"/>
      <w:r>
        <w:rPr>
          <w:rFonts w:hint="default" w:ascii="Times New Roman" w:hAnsi="Times New Roman" w:eastAsia="仿宋" w:cs="Times New Roman"/>
          <w:color w:val="000000" w:themeColor="text1"/>
          <w:sz w:val="28"/>
          <w:szCs w:val="28"/>
          <w14:textFill>
            <w14:solidFill>
              <w14:schemeClr w14:val="tx1"/>
            </w14:solidFill>
          </w14:textFill>
        </w:rPr>
        <w:t>0.4.1 依法必须招标的暂估价项目</w:t>
      </w:r>
    </w:p>
    <w:bookmarkEnd w:id="408"/>
    <w:bookmarkEnd w:id="409"/>
    <w:bookmarkEnd w:id="410"/>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对于依法必须招标的暂估价项目的确认和批准采取第3种方式确定。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10.4.2 不属于依法必须招标的暂估价项目</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对于不属于依法必须招标的暂估价项目的确认和批准采取第3种方式确定。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第3种方式：承包人直接实施的暂估价项目</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承包人直接实施的暂估价项目的约定：/。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10.5 暂列金额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合同当事人关于暂列金额使用的约定：执行通用条款。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11" w:name="_Toc351203643"/>
      <w:r>
        <w:rPr>
          <w:rFonts w:hint="default" w:ascii="Times New Roman" w:hAnsi="Times New Roman" w:eastAsia="仿宋" w:cs="Times New Roman"/>
          <w:color w:val="000000" w:themeColor="text1"/>
          <w:sz w:val="28"/>
          <w:szCs w:val="28"/>
          <w14:textFill>
            <w14:solidFill>
              <w14:schemeClr w14:val="tx1"/>
            </w14:solidFill>
          </w14:textFill>
        </w:rPr>
        <w:t>11. 价格调整</w:t>
      </w:r>
      <w:bookmarkEnd w:id="41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12" w:name="_Toc297123550"/>
      <w:bookmarkStart w:id="413" w:name="_Toc312678039"/>
      <w:bookmarkStart w:id="414" w:name="_Toc304295577"/>
      <w:bookmarkStart w:id="415" w:name="_Toc303539157"/>
      <w:bookmarkStart w:id="416" w:name="_Toc300935000"/>
      <w:bookmarkStart w:id="417" w:name="_Toc296503201"/>
      <w:bookmarkStart w:id="418" w:name="_Toc296891241"/>
      <w:bookmarkStart w:id="419" w:name="_Toc296347200"/>
      <w:bookmarkStart w:id="420" w:name="_Toc296346702"/>
      <w:bookmarkStart w:id="421" w:name="_Toc296891029"/>
      <w:bookmarkStart w:id="422" w:name="_Toc292559406"/>
      <w:bookmarkStart w:id="423" w:name="_Toc292559911"/>
      <w:bookmarkStart w:id="424" w:name="_Toc297048387"/>
      <w:bookmarkStart w:id="425" w:name="_Toc297120501"/>
      <w:bookmarkStart w:id="426" w:name="_Toc297216209"/>
      <w:bookmarkStart w:id="427" w:name="_Toc296944540"/>
      <w:r>
        <w:rPr>
          <w:rFonts w:hint="default" w:ascii="Times New Roman" w:hAnsi="Times New Roman" w:eastAsia="仿宋" w:cs="Times New Roman"/>
          <w:color w:val="000000" w:themeColor="text1"/>
          <w:sz w:val="28"/>
          <w:szCs w:val="28"/>
          <w14:textFill>
            <w14:solidFill>
              <w14:schemeClr w14:val="tx1"/>
            </w14:solidFill>
          </w14:textFill>
        </w:rPr>
        <w:t>11.1 市场价格波动引起的调整</w:t>
      </w:r>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市场价格波动是否调整合同价格的约定：不调整。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因市场价格波动调整合同价格，采用以下第</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   </w:t>
      </w:r>
      <w:r>
        <w:rPr>
          <w:rFonts w:hint="default" w:ascii="Times New Roman" w:hAnsi="Times New Roman" w:eastAsia="仿宋" w:cs="Times New Roman"/>
          <w:color w:val="000000" w:themeColor="text1"/>
          <w:sz w:val="28"/>
          <w:szCs w:val="28"/>
          <w14:textFill>
            <w14:solidFill>
              <w14:schemeClr w14:val="tx1"/>
            </w14:solidFill>
          </w14:textFill>
        </w:rPr>
        <w:t>种方式对合同价格进行调整：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第1种方式：采用价格指数进行价格调整。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关于各可调因子、定值和变值权重，以及基本价格指数及其来源的约定：；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第2种方式：采用造价信息进行价格调整。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（2）关于基准价格的约定：招标基准日是指投标截止时间前28个日历天的日期。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专用合同条款①承包人在已标价工程量清单或预算书中载明的材料单价低于基准价格的：专用合同条款合同履行期间材料单价涨幅以基准价格为基础超过5%时，或材料单价跌幅以已标价工程量清单或预算书中载明材料单价为基础超过5%时，其超过部分据实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②承包人在已标价工程量清单或预算书中载明的材料单价高于基准价格的：专用合同条款合同履行期间材料单价跌幅以基准价格为基础超过5%时，材料单价涨幅以已标价工程量清单或预算书中载明材料单价为基础超过5%时，其超过部分据实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③承包人在已标价工程量清单或预算书中载明的材料单价等于基准单价的：专用合同条款合同履行期间材料单价涨跌幅以基准单价为基础超过±5%时，其超过部分据实调整。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第3种方式：其他价格调整方式：无。</w:t>
      </w:r>
    </w:p>
    <w:bookmarkEnd w:id="316"/>
    <w:bookmarkEnd w:id="317"/>
    <w:bookmarkEnd w:id="318"/>
    <w:bookmarkEnd w:id="319"/>
    <w:bookmarkEnd w:id="320"/>
    <w:bookmarkEnd w:id="32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28" w:name="_Toc296891033"/>
      <w:bookmarkStart w:id="429" w:name="_Toc297120505"/>
      <w:bookmarkStart w:id="430" w:name="_Toc296503205"/>
      <w:bookmarkStart w:id="431" w:name="_Toc292559915"/>
      <w:bookmarkStart w:id="432" w:name="_Toc292559410"/>
      <w:bookmarkStart w:id="433" w:name="_Toc296891245"/>
      <w:bookmarkStart w:id="434" w:name="_Toc296944544"/>
      <w:bookmarkStart w:id="435" w:name="_Toc296347204"/>
      <w:bookmarkStart w:id="436" w:name="_Toc296346706"/>
      <w:bookmarkStart w:id="437" w:name="_Toc297048391"/>
      <w:bookmarkStart w:id="438" w:name="_Toc351203644"/>
      <w:bookmarkStart w:id="439" w:name="_Toc300935002"/>
      <w:bookmarkStart w:id="440" w:name="_Toc303539159"/>
      <w:bookmarkStart w:id="441" w:name="_Toc297216211"/>
      <w:bookmarkStart w:id="442" w:name="_Toc297123552"/>
      <w:bookmarkStart w:id="443" w:name="_Toc304295579"/>
      <w:bookmarkStart w:id="444" w:name="_Toc312678040"/>
      <w:r>
        <w:rPr>
          <w:rFonts w:hint="default" w:ascii="Times New Roman" w:hAnsi="Times New Roman" w:eastAsia="仿宋" w:cs="Times New Roman"/>
          <w:color w:val="000000" w:themeColor="text1"/>
          <w:sz w:val="28"/>
          <w:szCs w:val="28"/>
          <w14:textFill>
            <w14:solidFill>
              <w14:schemeClr w14:val="tx1"/>
            </w14:solidFill>
          </w14:textFill>
        </w:rPr>
        <w:t xml:space="preserve">12. </w:t>
      </w:r>
      <w:bookmarkEnd w:id="428"/>
      <w:bookmarkEnd w:id="429"/>
      <w:bookmarkEnd w:id="430"/>
      <w:bookmarkEnd w:id="431"/>
      <w:bookmarkEnd w:id="432"/>
      <w:bookmarkEnd w:id="433"/>
      <w:bookmarkEnd w:id="434"/>
      <w:bookmarkEnd w:id="435"/>
      <w:bookmarkEnd w:id="436"/>
      <w:bookmarkEnd w:id="437"/>
      <w:r>
        <w:rPr>
          <w:rFonts w:hint="default" w:ascii="Times New Roman" w:hAnsi="Times New Roman" w:eastAsia="仿宋" w:cs="Times New Roman"/>
          <w:color w:val="000000" w:themeColor="text1"/>
          <w:sz w:val="28"/>
          <w:szCs w:val="28"/>
          <w14:textFill>
            <w14:solidFill>
              <w14:schemeClr w14:val="tx1"/>
            </w14:solidFill>
          </w14:textFill>
        </w:rPr>
        <w:t>合同价格、计量与支付</w:t>
      </w:r>
      <w:bookmarkEnd w:id="438"/>
    </w:p>
    <w:bookmarkEnd w:id="439"/>
    <w:bookmarkEnd w:id="440"/>
    <w:bookmarkEnd w:id="441"/>
    <w:bookmarkEnd w:id="442"/>
    <w:bookmarkEnd w:id="443"/>
    <w:bookmarkEnd w:id="444"/>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45" w:name="_Toc292559916"/>
      <w:bookmarkStart w:id="446" w:name="_Toc267251461"/>
      <w:bookmarkStart w:id="447" w:name="_Toc292559411"/>
      <w:bookmarkStart w:id="448" w:name="_Toc296891034"/>
      <w:bookmarkStart w:id="449" w:name="_Toc297048392"/>
      <w:bookmarkStart w:id="450" w:name="_Toc297120506"/>
      <w:bookmarkStart w:id="451" w:name="_Toc296347205"/>
      <w:bookmarkStart w:id="452" w:name="_Toc296346707"/>
      <w:bookmarkStart w:id="453" w:name="_Toc296503206"/>
      <w:bookmarkStart w:id="454" w:name="_Toc296944545"/>
      <w:bookmarkStart w:id="455" w:name="_Toc296891246"/>
      <w:bookmarkStart w:id="456" w:name="_Toc304295580"/>
      <w:bookmarkStart w:id="457" w:name="_Toc297123553"/>
      <w:bookmarkStart w:id="458" w:name="_Toc303539160"/>
      <w:bookmarkStart w:id="459" w:name="_Toc300935003"/>
      <w:bookmarkStart w:id="460" w:name="_Toc312678041"/>
      <w:bookmarkStart w:id="461" w:name="_Toc297216212"/>
      <w:bookmarkStart w:id="462" w:name="_Toc304295581"/>
      <w:bookmarkStart w:id="463" w:name="_Toc303539161"/>
      <w:bookmarkStart w:id="464" w:name="_Toc297216213"/>
      <w:bookmarkStart w:id="465" w:name="_Toc312678042"/>
      <w:bookmarkStart w:id="466" w:name="_Toc297123554"/>
      <w:bookmarkStart w:id="467" w:name="_Toc300935004"/>
      <w:bookmarkStart w:id="468" w:name="_Toc296891247"/>
      <w:bookmarkStart w:id="469" w:name="_Toc292559917"/>
      <w:bookmarkStart w:id="470" w:name="_Toc297048393"/>
      <w:bookmarkStart w:id="471" w:name="_Toc292559412"/>
      <w:bookmarkStart w:id="472" w:name="_Toc297120507"/>
      <w:bookmarkStart w:id="473" w:name="_Toc296346708"/>
      <w:bookmarkStart w:id="474" w:name="_Toc296503207"/>
      <w:bookmarkStart w:id="475" w:name="_Toc296347206"/>
      <w:bookmarkStart w:id="476" w:name="_Toc296891035"/>
      <w:bookmarkStart w:id="477" w:name="_Toc296944546"/>
      <w:r>
        <w:rPr>
          <w:rFonts w:hint="default" w:ascii="Times New Roman" w:hAnsi="Times New Roman" w:eastAsia="仿宋" w:cs="Times New Roman"/>
          <w:color w:val="000000" w:themeColor="text1"/>
          <w:sz w:val="28"/>
          <w:szCs w:val="28"/>
          <w14:textFill>
            <w14:solidFill>
              <w14:schemeClr w14:val="tx1"/>
            </w14:solidFill>
          </w14:textFill>
        </w:rPr>
        <w:t>12.1 合</w:t>
      </w:r>
      <w:bookmarkEnd w:id="445"/>
      <w:bookmarkEnd w:id="446"/>
      <w:bookmarkEnd w:id="447"/>
      <w:r>
        <w:rPr>
          <w:rFonts w:hint="default" w:ascii="Times New Roman" w:hAnsi="Times New Roman" w:eastAsia="仿宋" w:cs="Times New Roman"/>
          <w:color w:val="000000" w:themeColor="text1"/>
          <w:sz w:val="28"/>
          <w:szCs w:val="28"/>
          <w14:textFill>
            <w14:solidFill>
              <w14:schemeClr w14:val="tx1"/>
            </w14:solidFill>
          </w14:textFill>
        </w:rPr>
        <w:t>同价</w:t>
      </w:r>
      <w:bookmarkEnd w:id="448"/>
      <w:bookmarkEnd w:id="449"/>
      <w:bookmarkEnd w:id="450"/>
      <w:bookmarkEnd w:id="451"/>
      <w:bookmarkEnd w:id="452"/>
      <w:bookmarkEnd w:id="453"/>
      <w:bookmarkEnd w:id="454"/>
      <w:bookmarkEnd w:id="455"/>
      <w:r>
        <w:rPr>
          <w:rFonts w:hint="default" w:ascii="Times New Roman" w:hAnsi="Times New Roman" w:eastAsia="仿宋" w:cs="Times New Roman"/>
          <w:color w:val="000000" w:themeColor="text1"/>
          <w:sz w:val="28"/>
          <w:szCs w:val="28"/>
          <w14:textFill>
            <w14:solidFill>
              <w14:schemeClr w14:val="tx1"/>
            </w14:solidFill>
          </w14:textFill>
        </w:rPr>
        <w:t>格形式</w:t>
      </w:r>
    </w:p>
    <w:bookmarkEnd w:id="456"/>
    <w:bookmarkEnd w:id="457"/>
    <w:bookmarkEnd w:id="458"/>
    <w:bookmarkEnd w:id="459"/>
    <w:bookmarkEnd w:id="460"/>
    <w:bookmarkEnd w:id="46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12.1.1 单价合同。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综合单价包含的风险范围：/。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风险费用的计算方法：    /   。</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风险范围以外合同价格的调整方法：/。</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12.1.2 总价合同。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总价包含的风险范围：/。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风险费用的计算方法：/。</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风险范围以外合同价格的调整方法：/。</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12.1.3 其他价格方式：/。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12.2 预付款</w:t>
      </w:r>
    </w:p>
    <w:bookmarkEnd w:id="462"/>
    <w:bookmarkEnd w:id="463"/>
    <w:bookmarkEnd w:id="464"/>
    <w:bookmarkEnd w:id="465"/>
    <w:bookmarkEnd w:id="466"/>
    <w:bookmarkEnd w:id="467"/>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12.2.1 预付款的支付</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仿宋" w:cs="Times New Roman"/>
          <w:color w:val="000000" w:themeColor="text1"/>
          <w:sz w:val="28"/>
          <w:szCs w:val="28"/>
          <w:highlight w:val="none"/>
          <w14:textFill>
            <w14:solidFill>
              <w14:schemeClr w14:val="tx1"/>
            </w14:solidFill>
          </w14:textFill>
        </w:rPr>
        <w:t>预付款支付比例或金额：本工程合同签订、施工单位进场后发包方向承包人支付合同价款的</w:t>
      </w:r>
      <w:r>
        <w:rPr>
          <w:rFonts w:hint="default" w:ascii="Times New Roman" w:hAnsi="Times New Roman" w:eastAsia="仿宋" w:cs="Times New Roman"/>
          <w:color w:val="000000" w:themeColor="text1"/>
          <w:sz w:val="28"/>
          <w:szCs w:val="28"/>
          <w:highlight w:val="none"/>
          <w:u w:val="single"/>
          <w14:textFill>
            <w14:solidFill>
              <w14:schemeClr w14:val="tx1"/>
            </w14:solidFill>
          </w14:textFill>
        </w:rPr>
        <w:t xml:space="preserve"> 40 </w:t>
      </w:r>
      <w:r>
        <w:rPr>
          <w:rFonts w:hint="default" w:ascii="Times New Roman" w:hAnsi="Times New Roman" w:eastAsia="仿宋" w:cs="Times New Roman"/>
          <w:color w:val="000000" w:themeColor="text1"/>
          <w:sz w:val="28"/>
          <w:szCs w:val="28"/>
          <w:highlight w:val="none"/>
          <w14:textFill>
            <w14:solidFill>
              <w14:schemeClr w14:val="tx1"/>
            </w14:solidFill>
          </w14:textFill>
        </w:rPr>
        <w:t>%作为工程预付款。</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仿宋" w:cs="Times New Roman"/>
          <w:color w:val="000000" w:themeColor="text1"/>
          <w:sz w:val="28"/>
          <w:szCs w:val="28"/>
          <w:highlight w:val="none"/>
          <w14:textFill>
            <w14:solidFill>
              <w14:schemeClr w14:val="tx1"/>
            </w14:solidFill>
          </w14:textFill>
        </w:rPr>
        <w:t>预付款支付期限：合同签订且财政资金拨付到位后，供应商提交相关预付款申请资料及等额增值税发票后10个工作日内支付。</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仿宋" w:cs="Times New Roman"/>
          <w:color w:val="000000" w:themeColor="text1"/>
          <w:sz w:val="28"/>
          <w:szCs w:val="28"/>
          <w:highlight w:val="none"/>
          <w14:textFill>
            <w14:solidFill>
              <w14:schemeClr w14:val="tx1"/>
            </w14:solidFill>
          </w14:textFill>
        </w:rPr>
        <w:t>预付款扣回的方式：预付款在进度付款中同比例扣回。</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12.2.2 预付款担保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承包人提交预付款担保的期限：/。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预付款担保的形式为：/。</w:t>
      </w:r>
    </w:p>
    <w:bookmarkEnd w:id="468"/>
    <w:bookmarkEnd w:id="469"/>
    <w:bookmarkEnd w:id="470"/>
    <w:bookmarkEnd w:id="471"/>
    <w:bookmarkEnd w:id="472"/>
    <w:bookmarkEnd w:id="473"/>
    <w:bookmarkEnd w:id="474"/>
    <w:bookmarkEnd w:id="475"/>
    <w:bookmarkEnd w:id="476"/>
    <w:bookmarkEnd w:id="477"/>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 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12.3.1 计量原则</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工程量计算规则：中华人民共和国国家标准GB50500-2013《建设项目项目量清单计价规范》及配套文件。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12.3.1.1总价措施项目的计量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总价措施项目清单中的项目（除环境保护、安全施工、文明施工、临时设施等以费率计价的项目以外），包干计取，结算不作调整；进度支付时按发包人确认后的工程形象进度比例按月计量。</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仿宋" w:cs="Times New Roman"/>
          <w:color w:val="000000" w:themeColor="text1"/>
          <w:sz w:val="28"/>
          <w:szCs w:val="28"/>
          <w:highlight w:val="none"/>
          <w14:textFill>
            <w14:solidFill>
              <w14:schemeClr w14:val="tx1"/>
            </w14:solidFill>
          </w14:textFill>
        </w:rPr>
        <w:t>安全文明施工费的计量、支付与结算按四川省建设工程安全文明施工费计价管理办法执行。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12.3.1.2规费的计量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按建设行政主管部门核定的承包人规费费率计量和结算。</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12.3.1.3税金</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税金按国家或省级、行业建设主管部门的规定计取。</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12.3.2 计量周期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关于计量周期的约定：。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12.3.3 单价合同的计量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关于单价合同计量的约定：/。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12.3.4 总价合同的计量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关于总价合同计量的约定：/。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12.3.5总价合同采用支付分解表计量支付的，是否适用第12.3.4 项〔总价合同的计量〕约定进行计量：/。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12.3.6 其他价格形式合同的计量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其他价格形式的计量方式和程序：/。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12.4 工程进度款支付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78" w:name="_Toc296346712"/>
      <w:bookmarkStart w:id="479" w:name="_Toc297123556"/>
      <w:bookmarkStart w:id="480" w:name="_Toc296503211"/>
      <w:bookmarkStart w:id="481" w:name="_Toc296891039"/>
      <w:bookmarkStart w:id="482" w:name="_Toc303539163"/>
      <w:bookmarkStart w:id="483" w:name="_Toc300935006"/>
      <w:bookmarkStart w:id="484" w:name="_Toc297048397"/>
      <w:bookmarkStart w:id="485" w:name="_Toc296944550"/>
      <w:bookmarkStart w:id="486" w:name="_Toc292559416"/>
      <w:bookmarkStart w:id="487" w:name="_Toc297120511"/>
      <w:bookmarkStart w:id="488" w:name="_Toc296347210"/>
      <w:bookmarkStart w:id="489" w:name="_Toc292559921"/>
      <w:bookmarkStart w:id="490" w:name="_Toc296891251"/>
      <w:bookmarkStart w:id="491" w:name="_Toc297216215"/>
      <w:r>
        <w:rPr>
          <w:rFonts w:hint="default" w:ascii="Times New Roman" w:hAnsi="Times New Roman" w:eastAsia="仿宋" w:cs="Times New Roman"/>
          <w:color w:val="000000" w:themeColor="text1"/>
          <w:sz w:val="28"/>
          <w:szCs w:val="28"/>
          <w14:textFill>
            <w14:solidFill>
              <w14:schemeClr w14:val="tx1"/>
            </w14:solidFill>
          </w14:textFill>
        </w:rPr>
        <w:t>12.4.1 付款周期</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仿宋" w:cs="Times New Roman"/>
          <w:color w:val="000000" w:themeColor="text1"/>
          <w:sz w:val="28"/>
          <w:szCs w:val="28"/>
          <w:highlight w:val="none"/>
          <w14:textFill>
            <w14:solidFill>
              <w14:schemeClr w14:val="tx1"/>
            </w14:solidFill>
          </w14:textFill>
        </w:rPr>
        <w:t>关于付款周期的约定：</w:t>
      </w:r>
    </w:p>
    <w:p>
      <w:pPr>
        <w:spacing w:line="360" w:lineRule="auto"/>
        <w:ind w:firstLine="560" w:firstLineChars="200"/>
        <w:rPr>
          <w:rFonts w:eastAsia="仿宋"/>
          <w:color w:val="000000" w:themeColor="text1"/>
          <w:sz w:val="28"/>
          <w:szCs w:val="28"/>
          <w:highlight w:val="none"/>
          <w14:textFill>
            <w14:solidFill>
              <w14:schemeClr w14:val="tx1"/>
            </w14:solidFill>
          </w14:textFill>
        </w:rPr>
      </w:pPr>
      <w:r>
        <w:rPr>
          <w:rFonts w:eastAsia="仿宋"/>
          <w:color w:val="000000" w:themeColor="text1"/>
          <w:sz w:val="28"/>
          <w:szCs w:val="28"/>
          <w:highlight w:val="none"/>
          <w14:textFill>
            <w14:solidFill>
              <w14:schemeClr w14:val="tx1"/>
            </w14:solidFill>
          </w14:textFill>
        </w:rPr>
        <w:t>1</w:t>
      </w:r>
      <w:r>
        <w:rPr>
          <w:rFonts w:hint="default" w:eastAsia="仿宋"/>
          <w:color w:val="000000" w:themeColor="text1"/>
          <w:sz w:val="28"/>
          <w:szCs w:val="28"/>
          <w:highlight w:val="none"/>
          <w14:textFill>
            <w14:solidFill>
              <w14:schemeClr w14:val="tx1"/>
            </w14:solidFill>
          </w14:textFill>
        </w:rPr>
        <w:t>、合同签订且财政资金拨付到位后，供应商提交相关预付款申请资料及等额增值税发票后，达到付款条件起</w:t>
      </w:r>
      <w:r>
        <w:rPr>
          <w:rFonts w:eastAsia="仿宋"/>
          <w:color w:val="000000" w:themeColor="text1"/>
          <w:sz w:val="28"/>
          <w:szCs w:val="28"/>
          <w:highlight w:val="none"/>
          <w14:textFill>
            <w14:solidFill>
              <w14:schemeClr w14:val="tx1"/>
            </w14:solidFill>
          </w14:textFill>
        </w:rPr>
        <w:t>10</w:t>
      </w:r>
      <w:r>
        <w:rPr>
          <w:rFonts w:hint="default" w:eastAsia="仿宋"/>
          <w:color w:val="000000" w:themeColor="text1"/>
          <w:sz w:val="28"/>
          <w:szCs w:val="28"/>
          <w:highlight w:val="none"/>
          <w14:textFill>
            <w14:solidFill>
              <w14:schemeClr w14:val="tx1"/>
            </w14:solidFill>
          </w14:textFill>
        </w:rPr>
        <w:t>日内，支付合同金额（不含暂列金）</w:t>
      </w:r>
      <w:r>
        <w:rPr>
          <w:rFonts w:eastAsia="仿宋"/>
          <w:color w:val="000000" w:themeColor="text1"/>
          <w:sz w:val="28"/>
          <w:szCs w:val="28"/>
          <w:highlight w:val="none"/>
          <w14:textFill>
            <w14:solidFill>
              <w14:schemeClr w14:val="tx1"/>
            </w14:solidFill>
          </w14:textFill>
        </w:rPr>
        <w:t>40</w:t>
      </w:r>
      <w:r>
        <w:rPr>
          <w:rFonts w:hint="default" w:eastAsia="仿宋"/>
          <w:color w:val="000000" w:themeColor="text1"/>
          <w:sz w:val="28"/>
          <w:szCs w:val="28"/>
          <w:highlight w:val="none"/>
          <w14:textFill>
            <w14:solidFill>
              <w14:schemeClr w14:val="tx1"/>
            </w14:solidFill>
          </w14:textFill>
        </w:rPr>
        <w:t>％的预付款。</w:t>
      </w:r>
    </w:p>
    <w:p>
      <w:pPr>
        <w:spacing w:line="360" w:lineRule="auto"/>
        <w:ind w:firstLine="560" w:firstLineChars="200"/>
        <w:rPr>
          <w:rFonts w:eastAsia="仿宋"/>
          <w:color w:val="000000" w:themeColor="text1"/>
          <w:sz w:val="28"/>
          <w:szCs w:val="28"/>
          <w:highlight w:val="none"/>
          <w14:textFill>
            <w14:solidFill>
              <w14:schemeClr w14:val="tx1"/>
            </w14:solidFill>
          </w14:textFill>
        </w:rPr>
      </w:pPr>
      <w:r>
        <w:rPr>
          <w:rFonts w:eastAsia="仿宋"/>
          <w:color w:val="000000" w:themeColor="text1"/>
          <w:sz w:val="28"/>
          <w:szCs w:val="28"/>
          <w:highlight w:val="none"/>
          <w14:textFill>
            <w14:solidFill>
              <w14:schemeClr w14:val="tx1"/>
            </w14:solidFill>
          </w14:textFill>
        </w:rPr>
        <w:t>2</w:t>
      </w:r>
      <w:r>
        <w:rPr>
          <w:rFonts w:hint="default" w:eastAsia="仿宋"/>
          <w:color w:val="000000" w:themeColor="text1"/>
          <w:sz w:val="28"/>
          <w:szCs w:val="28"/>
          <w:highlight w:val="none"/>
          <w14:textFill>
            <w14:solidFill>
              <w14:schemeClr w14:val="tx1"/>
            </w14:solidFill>
          </w14:textFill>
        </w:rPr>
        <w:t>、工程进度完成合同价款的</w:t>
      </w:r>
      <w:r>
        <w:rPr>
          <w:rFonts w:eastAsia="仿宋"/>
          <w:color w:val="000000" w:themeColor="text1"/>
          <w:sz w:val="28"/>
          <w:szCs w:val="28"/>
          <w:highlight w:val="none"/>
          <w14:textFill>
            <w14:solidFill>
              <w14:schemeClr w14:val="tx1"/>
            </w14:solidFill>
          </w14:textFill>
        </w:rPr>
        <w:t>50</w:t>
      </w:r>
      <w:r>
        <w:rPr>
          <w:rFonts w:hint="default" w:eastAsia="仿宋"/>
          <w:color w:val="000000" w:themeColor="text1"/>
          <w:sz w:val="28"/>
          <w:szCs w:val="28"/>
          <w:highlight w:val="none"/>
          <w14:textFill>
            <w14:solidFill>
              <w14:schemeClr w14:val="tx1"/>
            </w14:solidFill>
          </w14:textFill>
        </w:rPr>
        <w:t>％，经采购人确认及监理方计量并验收，收到供应商发票且财政资金拨付到位后，达到付款条件起</w:t>
      </w:r>
      <w:r>
        <w:rPr>
          <w:rFonts w:eastAsia="仿宋"/>
          <w:color w:val="000000" w:themeColor="text1"/>
          <w:sz w:val="28"/>
          <w:szCs w:val="28"/>
          <w:highlight w:val="none"/>
          <w14:textFill>
            <w14:solidFill>
              <w14:schemeClr w14:val="tx1"/>
            </w14:solidFill>
          </w14:textFill>
        </w:rPr>
        <w:t>10</w:t>
      </w:r>
      <w:r>
        <w:rPr>
          <w:rFonts w:hint="default" w:eastAsia="仿宋"/>
          <w:color w:val="000000" w:themeColor="text1"/>
          <w:sz w:val="28"/>
          <w:szCs w:val="28"/>
          <w:highlight w:val="none"/>
          <w14:textFill>
            <w14:solidFill>
              <w14:schemeClr w14:val="tx1"/>
            </w14:solidFill>
          </w14:textFill>
        </w:rPr>
        <w:t>日内，支付至合同金额（不含暂列金）的</w:t>
      </w:r>
      <w:r>
        <w:rPr>
          <w:rFonts w:eastAsia="仿宋"/>
          <w:color w:val="000000" w:themeColor="text1"/>
          <w:sz w:val="28"/>
          <w:szCs w:val="28"/>
          <w:highlight w:val="none"/>
          <w14:textFill>
            <w14:solidFill>
              <w14:schemeClr w14:val="tx1"/>
            </w14:solidFill>
          </w14:textFill>
        </w:rPr>
        <w:t>50</w:t>
      </w:r>
      <w:r>
        <w:rPr>
          <w:rFonts w:hint="default" w:eastAsia="仿宋"/>
          <w:color w:val="000000" w:themeColor="text1"/>
          <w:sz w:val="28"/>
          <w:szCs w:val="28"/>
          <w:highlight w:val="none"/>
          <w14:textFill>
            <w14:solidFill>
              <w14:schemeClr w14:val="tx1"/>
            </w14:solidFill>
          </w14:textFill>
        </w:rPr>
        <w:t>％。</w:t>
      </w:r>
    </w:p>
    <w:p>
      <w:pPr>
        <w:spacing w:line="360" w:lineRule="auto"/>
        <w:ind w:firstLine="560" w:firstLineChars="200"/>
        <w:rPr>
          <w:rFonts w:eastAsia="仿宋"/>
          <w:color w:val="000000" w:themeColor="text1"/>
          <w:sz w:val="28"/>
          <w:szCs w:val="28"/>
          <w:highlight w:val="none"/>
          <w14:textFill>
            <w14:solidFill>
              <w14:schemeClr w14:val="tx1"/>
            </w14:solidFill>
          </w14:textFill>
        </w:rPr>
      </w:pPr>
      <w:r>
        <w:rPr>
          <w:rFonts w:eastAsia="仿宋"/>
          <w:color w:val="000000" w:themeColor="text1"/>
          <w:sz w:val="28"/>
          <w:szCs w:val="28"/>
          <w:highlight w:val="none"/>
          <w14:textFill>
            <w14:solidFill>
              <w14:schemeClr w14:val="tx1"/>
            </w14:solidFill>
          </w14:textFill>
        </w:rPr>
        <w:t>3</w:t>
      </w:r>
      <w:r>
        <w:rPr>
          <w:rFonts w:hint="default" w:eastAsia="仿宋"/>
          <w:color w:val="000000" w:themeColor="text1"/>
          <w:sz w:val="28"/>
          <w:szCs w:val="28"/>
          <w:highlight w:val="none"/>
          <w14:textFill>
            <w14:solidFill>
              <w14:schemeClr w14:val="tx1"/>
            </w14:solidFill>
          </w14:textFill>
        </w:rPr>
        <w:t>、工程进度完成合同价款的</w:t>
      </w:r>
      <w:r>
        <w:rPr>
          <w:rFonts w:eastAsia="仿宋"/>
          <w:color w:val="000000" w:themeColor="text1"/>
          <w:sz w:val="28"/>
          <w:szCs w:val="28"/>
          <w:highlight w:val="none"/>
          <w14:textFill>
            <w14:solidFill>
              <w14:schemeClr w14:val="tx1"/>
            </w14:solidFill>
          </w14:textFill>
        </w:rPr>
        <w:t>80</w:t>
      </w:r>
      <w:r>
        <w:rPr>
          <w:rFonts w:hint="default" w:eastAsia="仿宋"/>
          <w:color w:val="000000" w:themeColor="text1"/>
          <w:sz w:val="28"/>
          <w:szCs w:val="28"/>
          <w:highlight w:val="none"/>
          <w14:textFill>
            <w14:solidFill>
              <w14:schemeClr w14:val="tx1"/>
            </w14:solidFill>
          </w14:textFill>
        </w:rPr>
        <w:t>％，经采购人确认及监理方计量并验收，收到供应商发票且财政资金拨付到位后，达到付款条件起</w:t>
      </w:r>
      <w:r>
        <w:rPr>
          <w:rFonts w:eastAsia="仿宋"/>
          <w:color w:val="000000" w:themeColor="text1"/>
          <w:sz w:val="28"/>
          <w:szCs w:val="28"/>
          <w:highlight w:val="none"/>
          <w14:textFill>
            <w14:solidFill>
              <w14:schemeClr w14:val="tx1"/>
            </w14:solidFill>
          </w14:textFill>
        </w:rPr>
        <w:t>10</w:t>
      </w:r>
      <w:r>
        <w:rPr>
          <w:rFonts w:hint="default" w:eastAsia="仿宋"/>
          <w:color w:val="000000" w:themeColor="text1"/>
          <w:sz w:val="28"/>
          <w:szCs w:val="28"/>
          <w:highlight w:val="none"/>
          <w14:textFill>
            <w14:solidFill>
              <w14:schemeClr w14:val="tx1"/>
            </w14:solidFill>
          </w14:textFill>
        </w:rPr>
        <w:t>日内，支付至合同金额（不含暂列金）的</w:t>
      </w:r>
      <w:r>
        <w:rPr>
          <w:rFonts w:eastAsia="仿宋"/>
          <w:color w:val="000000" w:themeColor="text1"/>
          <w:sz w:val="28"/>
          <w:szCs w:val="28"/>
          <w:highlight w:val="none"/>
          <w14:textFill>
            <w14:solidFill>
              <w14:schemeClr w14:val="tx1"/>
            </w14:solidFill>
          </w14:textFill>
        </w:rPr>
        <w:t>80</w:t>
      </w:r>
      <w:r>
        <w:rPr>
          <w:rFonts w:hint="default" w:eastAsia="仿宋"/>
          <w:color w:val="000000" w:themeColor="text1"/>
          <w:sz w:val="28"/>
          <w:szCs w:val="28"/>
          <w:highlight w:val="none"/>
          <w14:textFill>
            <w14:solidFill>
              <w14:schemeClr w14:val="tx1"/>
            </w14:solidFill>
          </w14:textFill>
        </w:rPr>
        <w:t>％。</w:t>
      </w:r>
    </w:p>
    <w:p>
      <w:pPr>
        <w:spacing w:line="360" w:lineRule="auto"/>
        <w:ind w:firstLine="560" w:firstLineChars="200"/>
        <w:rPr>
          <w:rFonts w:eastAsia="仿宋"/>
          <w:color w:val="000000" w:themeColor="text1"/>
          <w:sz w:val="28"/>
          <w:szCs w:val="28"/>
          <w:highlight w:val="none"/>
          <w14:textFill>
            <w14:solidFill>
              <w14:schemeClr w14:val="tx1"/>
            </w14:solidFill>
          </w14:textFill>
        </w:rPr>
      </w:pPr>
      <w:r>
        <w:rPr>
          <w:rFonts w:eastAsia="仿宋"/>
          <w:color w:val="000000" w:themeColor="text1"/>
          <w:sz w:val="28"/>
          <w:szCs w:val="28"/>
          <w:highlight w:val="none"/>
          <w14:textFill>
            <w14:solidFill>
              <w14:schemeClr w14:val="tx1"/>
            </w14:solidFill>
          </w14:textFill>
        </w:rPr>
        <w:t>4</w:t>
      </w:r>
      <w:r>
        <w:rPr>
          <w:rFonts w:hint="default" w:eastAsia="仿宋"/>
          <w:color w:val="000000" w:themeColor="text1"/>
          <w:sz w:val="28"/>
          <w:szCs w:val="28"/>
          <w:highlight w:val="none"/>
          <w14:textFill>
            <w14:solidFill>
              <w14:schemeClr w14:val="tx1"/>
            </w14:solidFill>
          </w14:textFill>
        </w:rPr>
        <w:t>、工程完工后，收到供应商发票且财政资金拨付到位后，达到付款条件起</w:t>
      </w:r>
      <w:r>
        <w:rPr>
          <w:rFonts w:eastAsia="仿宋"/>
          <w:color w:val="000000" w:themeColor="text1"/>
          <w:sz w:val="28"/>
          <w:szCs w:val="28"/>
          <w:highlight w:val="none"/>
          <w14:textFill>
            <w14:solidFill>
              <w14:schemeClr w14:val="tx1"/>
            </w14:solidFill>
          </w14:textFill>
        </w:rPr>
        <w:t>10</w:t>
      </w:r>
      <w:r>
        <w:rPr>
          <w:rFonts w:hint="default" w:eastAsia="仿宋"/>
          <w:color w:val="000000" w:themeColor="text1"/>
          <w:sz w:val="28"/>
          <w:szCs w:val="28"/>
          <w:highlight w:val="none"/>
          <w14:textFill>
            <w14:solidFill>
              <w14:schemeClr w14:val="tx1"/>
            </w14:solidFill>
          </w14:textFill>
        </w:rPr>
        <w:t>日内，支付至合同金额（不含暂列金）的</w:t>
      </w:r>
      <w:r>
        <w:rPr>
          <w:rFonts w:eastAsia="仿宋"/>
          <w:color w:val="000000" w:themeColor="text1"/>
          <w:sz w:val="28"/>
          <w:szCs w:val="28"/>
          <w:highlight w:val="none"/>
          <w14:textFill>
            <w14:solidFill>
              <w14:schemeClr w14:val="tx1"/>
            </w14:solidFill>
          </w14:textFill>
        </w:rPr>
        <w:t>90</w:t>
      </w:r>
      <w:r>
        <w:rPr>
          <w:rFonts w:hint="default" w:eastAsia="仿宋"/>
          <w:color w:val="000000" w:themeColor="text1"/>
          <w:sz w:val="28"/>
          <w:szCs w:val="28"/>
          <w:highlight w:val="none"/>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eastAsia="仿宋"/>
          <w:color w:val="000000" w:themeColor="text1"/>
          <w:sz w:val="28"/>
          <w:szCs w:val="28"/>
          <w:highlight w:val="none"/>
          <w14:textFill>
            <w14:solidFill>
              <w14:schemeClr w14:val="tx1"/>
            </w14:solidFill>
          </w14:textFill>
        </w:rPr>
        <w:t>5</w:t>
      </w:r>
      <w:r>
        <w:rPr>
          <w:rFonts w:hint="default" w:eastAsia="仿宋"/>
          <w:color w:val="000000" w:themeColor="text1"/>
          <w:sz w:val="28"/>
          <w:szCs w:val="28"/>
          <w:highlight w:val="none"/>
          <w14:textFill>
            <w14:solidFill>
              <w14:schemeClr w14:val="tx1"/>
            </w14:solidFill>
          </w14:textFill>
        </w:rPr>
        <w:t>、项目验收合格、竣工结算审核并拿到结算审核报告，开具质保金保函且在财政资金到位后，达到付款条件起</w:t>
      </w:r>
      <w:r>
        <w:rPr>
          <w:rFonts w:eastAsia="仿宋"/>
          <w:color w:val="000000" w:themeColor="text1"/>
          <w:sz w:val="28"/>
          <w:szCs w:val="28"/>
          <w:highlight w:val="none"/>
          <w14:textFill>
            <w14:solidFill>
              <w14:schemeClr w14:val="tx1"/>
            </w14:solidFill>
          </w14:textFill>
        </w:rPr>
        <w:t>10</w:t>
      </w:r>
      <w:r>
        <w:rPr>
          <w:rFonts w:hint="default" w:eastAsia="仿宋"/>
          <w:color w:val="000000" w:themeColor="text1"/>
          <w:sz w:val="28"/>
          <w:szCs w:val="28"/>
          <w:highlight w:val="none"/>
          <w14:textFill>
            <w14:solidFill>
              <w14:schemeClr w14:val="tx1"/>
            </w14:solidFill>
          </w14:textFill>
        </w:rPr>
        <w:t>日内，支付至结算审核金额的</w:t>
      </w:r>
      <w:r>
        <w:rPr>
          <w:rFonts w:eastAsia="仿宋"/>
          <w:color w:val="000000" w:themeColor="text1"/>
          <w:sz w:val="28"/>
          <w:szCs w:val="28"/>
          <w:highlight w:val="none"/>
          <w14:textFill>
            <w14:solidFill>
              <w14:schemeClr w14:val="tx1"/>
            </w14:solidFill>
          </w14:textFill>
        </w:rPr>
        <w:t>100</w:t>
      </w:r>
      <w:r>
        <w:rPr>
          <w:rFonts w:hint="default" w:eastAsia="仿宋"/>
          <w:color w:val="000000" w:themeColor="text1"/>
          <w:sz w:val="28"/>
          <w:szCs w:val="28"/>
          <w:highlight w:val="none"/>
          <w14:textFill>
            <w14:solidFill>
              <w14:schemeClr w14:val="tx1"/>
            </w14:solidFill>
          </w14:textFill>
        </w:rPr>
        <w:t>％。（其中质保金按工程结算价款的</w:t>
      </w:r>
      <w:r>
        <w:rPr>
          <w:rFonts w:eastAsia="仿宋"/>
          <w:color w:val="000000" w:themeColor="text1"/>
          <w:sz w:val="28"/>
          <w:szCs w:val="28"/>
          <w:highlight w:val="none"/>
          <w14:textFill>
            <w14:solidFill>
              <w14:schemeClr w14:val="tx1"/>
            </w14:solidFill>
          </w14:textFill>
        </w:rPr>
        <w:t>3</w:t>
      </w:r>
      <w:r>
        <w:rPr>
          <w:rFonts w:hint="default" w:eastAsia="仿宋"/>
          <w:color w:val="000000" w:themeColor="text1"/>
          <w:sz w:val="28"/>
          <w:szCs w:val="28"/>
          <w:highlight w:val="none"/>
          <w14:textFill>
            <w14:solidFill>
              <w14:schemeClr w14:val="tx1"/>
            </w14:solidFill>
          </w14:textFill>
        </w:rPr>
        <w:t>％向采购人提交经采购人认可的见索即付的银行保函或见索即付的保证保险，采购人收到保函（保险）后向供应商支付其中</w:t>
      </w:r>
      <w:r>
        <w:rPr>
          <w:rFonts w:eastAsia="仿宋"/>
          <w:color w:val="000000" w:themeColor="text1"/>
          <w:sz w:val="28"/>
          <w:szCs w:val="28"/>
          <w:highlight w:val="none"/>
          <w14:textFill>
            <w14:solidFill>
              <w14:schemeClr w14:val="tx1"/>
            </w14:solidFill>
          </w14:textFill>
        </w:rPr>
        <w:t>3</w:t>
      </w:r>
      <w:r>
        <w:rPr>
          <w:rFonts w:hint="default" w:eastAsia="仿宋"/>
          <w:color w:val="000000" w:themeColor="text1"/>
          <w:sz w:val="28"/>
          <w:szCs w:val="28"/>
          <w:highlight w:val="none"/>
          <w14:textFill>
            <w14:solidFill>
              <w14:schemeClr w14:val="tx1"/>
            </w14:solidFill>
          </w14:textFill>
        </w:rPr>
        <w:t>％质保金。）</w:t>
      </w:r>
    </w:p>
    <w:p>
      <w:pPr>
        <w:spacing w:line="360" w:lineRule="auto"/>
        <w:ind w:firstLine="560" w:firstLineChars="200"/>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仿宋" w:cs="Times New Roman"/>
          <w:color w:val="000000" w:themeColor="text1"/>
          <w:sz w:val="28"/>
          <w:szCs w:val="28"/>
          <w:highlight w:val="none"/>
          <w14:textFill>
            <w14:solidFill>
              <w14:schemeClr w14:val="tx1"/>
            </w14:solidFill>
          </w14:textFill>
        </w:rPr>
        <w:t>发包人每次付款前，承包人应向发包人提供合法有效的增值税发票，否则发包人有权拒绝付款且不承担任何违约责任。</w:t>
      </w:r>
      <w:r>
        <w:rPr>
          <w:rFonts w:hint="default" w:eastAsia="仿宋"/>
          <w:color w:val="000000" w:themeColor="text1"/>
          <w:sz w:val="28"/>
          <w:szCs w:val="28"/>
          <w:highlight w:val="none"/>
          <w14:textFill>
            <w14:solidFill>
              <w14:schemeClr w14:val="tx1"/>
            </w14:solidFill>
          </w14:textFill>
        </w:rPr>
        <w:t>若因财政年终决算关账或财政资金未下达等客观原因导致甲方未按合同约定支付相应款项的，不视为甲方违约，甲方不承担任何违约责任。同时，乙方不得以甲方未支付资金为由拒绝或延迟履行合同义务。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12.4.2 进度付款申请单的编制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关于进度付款申请单编制的约定：/。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Pr>
          <w:rFonts w:hint="default" w:ascii="Times New Roman" w:hAnsi="Times New Roman" w:eastAsia="仿宋" w:cs="Times New Roman"/>
          <w:color w:val="000000" w:themeColor="text1"/>
          <w:sz w:val="28"/>
          <w:szCs w:val="28"/>
          <w14:textFill>
            <w14:solidFill>
              <w14:schemeClr w14:val="tx1"/>
            </w14:solidFill>
          </w14:textFill>
        </w:rPr>
        <w:t>2.4.3 进度付款申请单的提交</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（1）单价合同进度付款申请单提交的约定：/。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（2）总价合同进度付款申请单提交的约定：/。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（3）其他价格形式合同进度付款申请单提交的约定：/。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12.4.4 进度款审核和支付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（1）监理人审查并报送发包人的期限：/。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发包人完成审批并签发进度款支付证书的期限：在收到后7天内完成审批并签发进度款支付证书。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（2）发包人支付进度款的期限：在进度款支付证书或临时进度款支付证书签发后14天内完成支付。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发包人逾期支付进度款的违约金的计算方式：/。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12.4.5 支付分解表的编制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（1）总价合同支付分解表的编制与审批：/。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（2）单价合同的总价项目支付分解表的编制与审批：/。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bookmarkEnd w:id="32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492" w:name="_Toc351203645"/>
      <w:bookmarkStart w:id="493" w:name="_Toc296503219"/>
      <w:bookmarkStart w:id="494" w:name="_Toc303539172"/>
      <w:bookmarkStart w:id="495" w:name="_Toc297216223"/>
      <w:bookmarkStart w:id="496" w:name="_Toc296346720"/>
      <w:bookmarkStart w:id="497" w:name="_Toc297123564"/>
      <w:bookmarkStart w:id="498" w:name="_Toc297120519"/>
      <w:bookmarkStart w:id="499" w:name="_Toc296347218"/>
      <w:bookmarkStart w:id="500" w:name="_Toc304295593"/>
      <w:bookmarkStart w:id="501" w:name="_Toc292559929"/>
      <w:bookmarkStart w:id="502" w:name="_Toc296891047"/>
      <w:bookmarkStart w:id="503" w:name="_Toc312678053"/>
      <w:bookmarkStart w:id="504" w:name="_Toc292559424"/>
      <w:bookmarkStart w:id="505" w:name="_Toc297048405"/>
      <w:bookmarkStart w:id="506" w:name="_Toc300935015"/>
      <w:bookmarkStart w:id="507" w:name="_Toc296891259"/>
      <w:bookmarkStart w:id="508" w:name="_Toc296944558"/>
      <w:r>
        <w:rPr>
          <w:rFonts w:hint="default" w:ascii="Times New Roman" w:hAnsi="Times New Roman" w:eastAsia="仿宋" w:cs="Times New Roman"/>
          <w:color w:val="000000" w:themeColor="text1"/>
          <w:sz w:val="28"/>
          <w:szCs w:val="28"/>
          <w14:textFill>
            <w14:solidFill>
              <w14:schemeClr w14:val="tx1"/>
            </w14:solidFill>
          </w14:textFill>
        </w:rPr>
        <w:t>13.验收和工程试车</w:t>
      </w:r>
      <w:bookmarkEnd w:id="492"/>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13.1 分部分项工程验收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13.1.1监理人不能按时进行验收时，应提前24小时提交书面延期要求。</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关于延期最长不得超过：48小时。</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09" w:name="_Toc292559428"/>
      <w:bookmarkStart w:id="510" w:name="_Toc297120523"/>
      <w:bookmarkStart w:id="511" w:name="_Toc312678056"/>
      <w:bookmarkStart w:id="512" w:name="_Toc304295596"/>
      <w:bookmarkStart w:id="513" w:name="_Toc296503223"/>
      <w:bookmarkStart w:id="514" w:name="_Toc303539173"/>
      <w:bookmarkStart w:id="515" w:name="_Toc292559933"/>
      <w:bookmarkStart w:id="516" w:name="_Toc296346724"/>
      <w:bookmarkStart w:id="517" w:name="_Toc296944562"/>
      <w:bookmarkStart w:id="518" w:name="_Toc296891263"/>
      <w:bookmarkStart w:id="519" w:name="_Toc296347222"/>
      <w:bookmarkStart w:id="520" w:name="_Toc297048409"/>
      <w:bookmarkStart w:id="521" w:name="_Toc296891051"/>
      <w:bookmarkStart w:id="522" w:name="_Toc297216224"/>
      <w:bookmarkStart w:id="523" w:name="_Toc297123565"/>
      <w:bookmarkStart w:id="524" w:name="_Toc300935016"/>
      <w:bookmarkStart w:id="525" w:name="_Toc267251470"/>
      <w:bookmarkStart w:id="526" w:name="_Toc267251471"/>
      <w:bookmarkStart w:id="527" w:name="_Toc267251472"/>
      <w:bookmarkStart w:id="528" w:name="_Toc267251474"/>
      <w:bookmarkStart w:id="529" w:name="_Toc267251473"/>
      <w:bookmarkStart w:id="530" w:name="_Toc267251476"/>
      <w:bookmarkStart w:id="531" w:name="_Toc267251475"/>
      <w:r>
        <w:rPr>
          <w:rFonts w:hint="default" w:ascii="Times New Roman" w:hAnsi="Times New Roman" w:eastAsia="仿宋" w:cs="Times New Roman"/>
          <w:color w:val="000000" w:themeColor="text1"/>
          <w:sz w:val="28"/>
          <w:szCs w:val="28"/>
          <w14:textFill>
            <w14:solidFill>
              <w14:schemeClr w14:val="tx1"/>
            </w14:solidFill>
          </w14:textFill>
        </w:rPr>
        <w:t>13.2 竣工验收</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32" w:name="_Toc280868704"/>
      <w:bookmarkStart w:id="533" w:name="_Toc280868705"/>
      <w:bookmarkStart w:id="534" w:name="_Toc280868706"/>
      <w:bookmarkStart w:id="535" w:name="_Toc280868707"/>
      <w:bookmarkStart w:id="536" w:name="_Toc280868708"/>
      <w:bookmarkStart w:id="537" w:name="_Toc280868709"/>
      <w:r>
        <w:rPr>
          <w:rFonts w:hint="default" w:ascii="Times New Roman" w:hAnsi="Times New Roman" w:eastAsia="仿宋" w:cs="Times New Roman"/>
          <w:color w:val="000000" w:themeColor="text1"/>
          <w:sz w:val="28"/>
          <w:szCs w:val="28"/>
          <w14:textFill>
            <w14:solidFill>
              <w14:schemeClr w14:val="tx1"/>
            </w14:solidFill>
          </w14:textFill>
        </w:rPr>
        <w:t>13.2.1 竣工验收程序</w:t>
      </w:r>
    </w:p>
    <w:bookmarkEnd w:id="532"/>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关于竣工验收程序的约定：执行通用条款。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发包人不按照本项约定组织竣工验收、颁发工程接收证书的违约金的计算方法：/。</w:t>
      </w:r>
    </w:p>
    <w:bookmarkEnd w:id="533"/>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13.2.2 移交、接收全部与部分工程</w:t>
      </w:r>
    </w:p>
    <w:bookmarkEnd w:id="534"/>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承包人向发包人移交工程的期限：执行通用条款。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发包人未按本合同约定接收全部或部分工程的，违约金的计算方法为：/。</w:t>
      </w:r>
    </w:p>
    <w:bookmarkEnd w:id="535"/>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承包人未按时竣工移交合格工程的，违约金的计算方法为：每逾期一天应向发包人承担合同总价款万分之三的违约金。</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13.3 工程试车</w:t>
      </w:r>
    </w:p>
    <w:bookmarkEnd w:id="536"/>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13.3.1 试车程序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工程试车内容：/。</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（1）单机无负荷试车费用由承包人承担；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（2）无负荷联动试车费用由承包人承担。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13.3.2 投料试车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关于投料试车相关事项的约定：/。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38" w:name="_Toc24754"/>
      <w:r>
        <w:rPr>
          <w:rFonts w:hint="default" w:ascii="Times New Roman" w:hAnsi="Times New Roman" w:eastAsia="仿宋" w:cs="Times New Roman"/>
          <w:color w:val="000000" w:themeColor="text1"/>
          <w:sz w:val="28"/>
          <w:szCs w:val="28"/>
          <w14:textFill>
            <w14:solidFill>
              <w14:schemeClr w14:val="tx1"/>
            </w14:solidFill>
          </w14:textFill>
        </w:rPr>
        <w:t>13.4 竣工退场</w:t>
      </w:r>
      <w:bookmarkEnd w:id="538"/>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13.4.1 竣工退场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承包人完成竣工退场的期限：移交工程后7日内退场。</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39" w:name="_Toc351203646"/>
      <w:r>
        <w:rPr>
          <w:rFonts w:hint="default" w:ascii="Times New Roman" w:hAnsi="Times New Roman" w:eastAsia="仿宋" w:cs="Times New Roman"/>
          <w:color w:val="000000" w:themeColor="text1"/>
          <w:sz w:val="28"/>
          <w:szCs w:val="28"/>
          <w14:textFill>
            <w14:solidFill>
              <w14:schemeClr w14:val="tx1"/>
            </w14:solidFill>
          </w14:textFill>
        </w:rPr>
        <w:t>14. 竣工结算</w:t>
      </w:r>
      <w:bookmarkEnd w:id="53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14.1 竣工结算申请</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承包人提交竣工结算申请单的期限：执行通用条款。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竣工结算申请单应包括的内容：竣工图、施工资料、竣工结算书等。</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40" w:name="_Toc6733"/>
      <w:r>
        <w:rPr>
          <w:rFonts w:hint="default" w:ascii="Times New Roman" w:hAnsi="Times New Roman" w:eastAsia="仿宋" w:cs="Times New Roman"/>
          <w:color w:val="000000" w:themeColor="text1"/>
          <w:sz w:val="28"/>
          <w:szCs w:val="28"/>
          <w14:textFill>
            <w14:solidFill>
              <w14:schemeClr w14:val="tx1"/>
            </w14:solidFill>
          </w14:textFill>
        </w:rPr>
        <w:t>14.2 竣工结算审核</w:t>
      </w:r>
      <w:bookmarkEnd w:id="54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发包人审批竣工付款申请单的期限：执行通用条款。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发包人完成竣工付款的期限：执行通用条款。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关于竣工付款证书异议部分复核的方式和程序：执行通用条款。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14.3 最终结清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14.3.1 最终结清申请单</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承包人提交最终结清申请单的份数：/份。</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承包人提交最终结算申请单的期限：执行通用条款。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14.3.2 最终结清证书和支付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（1）发包人完成最终结清申请单的审批并颁发最终结清证书的期限：执行通用条款。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（2）发包人完成支付的期限：执行通用条款。</w:t>
      </w:r>
    </w:p>
    <w:bookmarkEnd w:id="525"/>
    <w:bookmarkEnd w:id="526"/>
    <w:bookmarkEnd w:id="527"/>
    <w:bookmarkEnd w:id="528"/>
    <w:bookmarkEnd w:id="529"/>
    <w:bookmarkEnd w:id="530"/>
    <w:bookmarkEnd w:id="531"/>
    <w:bookmarkEnd w:id="537"/>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41" w:name="_Toc351203647"/>
      <w:bookmarkStart w:id="542" w:name="_Toc267251483"/>
      <w:bookmarkStart w:id="543" w:name="_Toc267251484"/>
      <w:bookmarkStart w:id="544" w:name="_Toc267251482"/>
      <w:bookmarkStart w:id="545" w:name="_Toc267251485"/>
      <w:bookmarkStart w:id="546" w:name="_Toc267251490"/>
      <w:bookmarkStart w:id="547" w:name="_Toc267251486"/>
      <w:bookmarkStart w:id="548" w:name="_Toc267251488"/>
      <w:bookmarkStart w:id="549" w:name="_Toc267251489"/>
      <w:bookmarkStart w:id="550" w:name="_Toc267251502"/>
      <w:bookmarkStart w:id="551" w:name="_Toc267251493"/>
      <w:bookmarkStart w:id="552" w:name="_Toc267251492"/>
      <w:bookmarkStart w:id="553" w:name="_Toc267251499"/>
      <w:bookmarkStart w:id="554" w:name="_Toc267251501"/>
      <w:bookmarkStart w:id="555" w:name="_Toc267251503"/>
      <w:bookmarkStart w:id="556" w:name="_Toc267251494"/>
      <w:bookmarkStart w:id="557" w:name="_Toc267251491"/>
      <w:bookmarkStart w:id="558" w:name="_Toc267251496"/>
      <w:bookmarkStart w:id="559" w:name="_Toc267251495"/>
      <w:bookmarkStart w:id="560" w:name="_Toc267251497"/>
      <w:bookmarkStart w:id="561" w:name="_Toc267251498"/>
      <w:bookmarkStart w:id="562" w:name="_Toc267251506"/>
      <w:bookmarkStart w:id="563" w:name="_Toc267251504"/>
      <w:bookmarkStart w:id="564" w:name="_Toc267251507"/>
      <w:bookmarkStart w:id="565" w:name="_Toc267251508"/>
      <w:bookmarkStart w:id="566" w:name="_Toc267251513"/>
      <w:bookmarkStart w:id="567" w:name="_Toc267251511"/>
      <w:bookmarkStart w:id="568" w:name="_Toc267251510"/>
      <w:bookmarkStart w:id="569" w:name="_Toc267251515"/>
      <w:bookmarkStart w:id="570" w:name="_Toc267251514"/>
      <w:bookmarkStart w:id="571" w:name="_Toc267251509"/>
      <w:r>
        <w:rPr>
          <w:rFonts w:hint="default" w:ascii="Times New Roman" w:hAnsi="Times New Roman" w:eastAsia="仿宋" w:cs="Times New Roman"/>
          <w:color w:val="000000" w:themeColor="text1"/>
          <w:sz w:val="28"/>
          <w:szCs w:val="28"/>
          <w14:textFill>
            <w14:solidFill>
              <w14:schemeClr w14:val="tx1"/>
            </w14:solidFill>
          </w14:textFill>
        </w:rPr>
        <w:t>15. 缺陷责任期与保修</w:t>
      </w:r>
      <w:bookmarkEnd w:id="54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15.1 缺陷责任期</w:t>
      </w:r>
      <w:bookmarkEnd w:id="54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缺陷责任期的具体期限：12个月。</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72" w:name="_Toc23605"/>
      <w:r>
        <w:rPr>
          <w:rFonts w:hint="default" w:ascii="Times New Roman" w:hAnsi="Times New Roman" w:eastAsia="仿宋" w:cs="Times New Roman"/>
          <w:color w:val="000000" w:themeColor="text1"/>
          <w:sz w:val="28"/>
          <w:szCs w:val="28"/>
          <w14:textFill>
            <w14:solidFill>
              <w14:schemeClr w14:val="tx1"/>
            </w14:solidFill>
          </w14:textFill>
        </w:rPr>
        <w:t>15.2 质量保证金</w:t>
      </w:r>
      <w:bookmarkEnd w:id="57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关于是否扣留质量保证金的约定：其中质保金按工程结算价款的3%向采购人提交经采购人认可的见索即付的银行保函或见索即付的保证保险。</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73" w:name="_Toc12165"/>
      <w:r>
        <w:rPr>
          <w:rFonts w:hint="default" w:ascii="Times New Roman" w:hAnsi="Times New Roman" w:eastAsia="仿宋" w:cs="Times New Roman"/>
          <w:color w:val="000000" w:themeColor="text1"/>
          <w:sz w:val="28"/>
          <w:szCs w:val="28"/>
          <w14:textFill>
            <w14:solidFill>
              <w14:schemeClr w14:val="tx1"/>
            </w14:solidFill>
          </w14:textFill>
        </w:rPr>
        <w:t>15.2.1 承包人提供质量保证金的方式</w:t>
      </w:r>
      <w:bookmarkEnd w:id="573"/>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质量保证金采用以下第1种方式：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（1）质量保证金保函，保证金额为：</w:t>
      </w:r>
      <w:r>
        <w:rPr>
          <w:rFonts w:hint="default" w:ascii="Times New Roman" w:hAnsi="Times New Roman" w:eastAsia="仿宋" w:cs="Times New Roman"/>
          <w:color w:val="000000" w:themeColor="text1"/>
          <w:sz w:val="28"/>
          <w:szCs w:val="28"/>
          <w:u w:val="single"/>
          <w14:textFill>
            <w14:solidFill>
              <w14:schemeClr w14:val="tx1"/>
            </w14:solidFill>
          </w14:textFill>
        </w:rPr>
        <w:t>工程结算价款的3%</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（2）3%的工程款；</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（3）其他方式:。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74" w:name="_Toc31466"/>
      <w:r>
        <w:rPr>
          <w:rFonts w:hint="default" w:ascii="Times New Roman" w:hAnsi="Times New Roman" w:eastAsia="仿宋" w:cs="Times New Roman"/>
          <w:color w:val="000000" w:themeColor="text1"/>
          <w:sz w:val="28"/>
          <w:szCs w:val="28"/>
          <w14:textFill>
            <w14:solidFill>
              <w14:schemeClr w14:val="tx1"/>
            </w14:solidFill>
          </w14:textFill>
        </w:rPr>
        <w:t>15.2.2 质量保证金的扣留</w:t>
      </w:r>
      <w:bookmarkEnd w:id="574"/>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质量保证金的扣留采取以下第（3）种方式：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（1）在支付工程进度款时逐次扣留，在此情形下，质量保证金的计算基数不包括预付款的支付、扣回以及价格调整的金额；</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75" w:name="_Toc22383"/>
      <w:r>
        <w:rPr>
          <w:rFonts w:hint="default" w:ascii="Times New Roman" w:hAnsi="Times New Roman" w:eastAsia="仿宋" w:cs="Times New Roman"/>
          <w:color w:val="000000" w:themeColor="text1"/>
          <w:sz w:val="28"/>
          <w:szCs w:val="28"/>
          <w14:textFill>
            <w14:solidFill>
              <w14:schemeClr w14:val="tx1"/>
            </w14:solidFill>
          </w14:textFill>
        </w:rPr>
        <w:t>（2）工程竣工结算时一次性扣留质量保证金；</w:t>
      </w:r>
      <w:bookmarkEnd w:id="575"/>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（3）其他扣留方式:。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关于质量保证金的补充约定：/。</w:t>
      </w:r>
    </w:p>
    <w:bookmarkEnd w:id="543"/>
    <w:bookmarkEnd w:id="544"/>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15.3 保修</w:t>
      </w:r>
    </w:p>
    <w:bookmarkEnd w:id="545"/>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15.3.1 保修责任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工程保修期为：1、工程质量保修范围、期限和责任：国家现行规定在正常使用条件下，房屋建筑工程的最低保修期限；若在施工过程中最新规定，以最新规定为准。</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2、地基基础工程和主体结构工程，为设计文件规定的该工程的合理使用年限；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3、屋面防水工程、有防水要求的卫生间、房间和外墙面的防渗漏，为5年；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4、供热与供冷系统，为2个采暖期、供冷期；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5、电气管线、给排水管道、设备安装为2年；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6、装修工程为2年。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7、工程质量保的其他有关规定：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8、国家无相关规定的，保修期为一年。。</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15.3.2 修复通知</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承包人收到保修通知并到达工程现场的合理时间：48小时。若承包人未按时到达工程现场或未进行修复的，发包人有权寻求第三方服务，由此产生的费用由承包人承担并在质保金中扣除。</w:t>
      </w:r>
    </w:p>
    <w:bookmarkEnd w:id="546"/>
    <w:bookmarkEnd w:id="547"/>
    <w:bookmarkEnd w:id="548"/>
    <w:bookmarkEnd w:id="549"/>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76" w:name="_Toc351203648"/>
      <w:bookmarkStart w:id="577" w:name="_Toc280868717"/>
      <w:bookmarkStart w:id="578" w:name="_Toc280868718"/>
      <w:r>
        <w:rPr>
          <w:rFonts w:hint="default" w:ascii="Times New Roman" w:hAnsi="Times New Roman" w:eastAsia="仿宋" w:cs="Times New Roman"/>
          <w:color w:val="000000" w:themeColor="text1"/>
          <w:sz w:val="28"/>
          <w:szCs w:val="28"/>
          <w14:textFill>
            <w14:solidFill>
              <w14:schemeClr w14:val="tx1"/>
            </w14:solidFill>
          </w14:textFill>
        </w:rPr>
        <w:t>16. 违约</w:t>
      </w:r>
      <w:bookmarkEnd w:id="576"/>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79" w:name="_Toc6581"/>
      <w:r>
        <w:rPr>
          <w:rFonts w:hint="default" w:ascii="Times New Roman" w:hAnsi="Times New Roman" w:eastAsia="仿宋" w:cs="Times New Roman"/>
          <w:color w:val="000000" w:themeColor="text1"/>
          <w:sz w:val="28"/>
          <w:szCs w:val="28"/>
          <w14:textFill>
            <w14:solidFill>
              <w14:schemeClr w14:val="tx1"/>
            </w14:solidFill>
          </w14:textFill>
        </w:rPr>
        <w:t>16.1 发包人违约</w:t>
      </w:r>
      <w:bookmarkEnd w:id="57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16.1.1发包人违约的情形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发包人违约的其他情形：/。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16.1.2 发包人违约的责任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发包人违约责任的承担方式和计算方法：</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（1）因发包人原因未能在计划开工日期前7天内下达开工通知的违约责任：/。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（2）因发包人原因未能按合同约定支付合同价款的违约责任：/。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（3）发包人违反第10.1款〔变更的范围〕第（2）项约定，自行实施被取消的工作或转由他人实施的违约责任：/。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（4）发包人提供的材料、工程设备的规格、数量或质量不符合合同约定，或因发包人原因导致交货日期延误或交货地点变更等情况的违约责任：/。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（5）因发包人违反合同约定造成暂停施工的违约责任：/。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（6）发包人无正当理由没有在约定期限内发出复工指示，导致承包人无法复工的违约责任：/。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（7）其他：/。</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16.1.3 因发包人违约解除合同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0" w:name="_Toc20376"/>
      <w:r>
        <w:rPr>
          <w:rFonts w:hint="default" w:ascii="Times New Roman" w:hAnsi="Times New Roman" w:eastAsia="仿宋" w:cs="Times New Roman"/>
          <w:color w:val="000000" w:themeColor="text1"/>
          <w:sz w:val="28"/>
          <w:szCs w:val="28"/>
          <w14:textFill>
            <w14:solidFill>
              <w14:schemeClr w14:val="tx1"/>
            </w14:solidFill>
          </w14:textFill>
        </w:rPr>
        <w:t>16.2 承包人违约</w:t>
      </w:r>
      <w:bookmarkEnd w:id="580"/>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16.2.1 承包人违约的情形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违约的其他情形：发包人有权自行或委托第三方对承包人施工进行监督检查，如发现承包人施工不符合本合同约定的，发包人有权向承包人下达整改通知书。若承包人不按照整改通知书要求完成整改或在本合同期限内发包人下达整改通知次数达2次的（含本数），发包人有权解除本合同，承包人向发包人支付本合同暂定总金额10%的违约金，双方按实际已完成且发包人验收合格的工作量结算费用。</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发包人有权从进度款中直接扣除承包人根据本合同应当向发包人支付的违约金。</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16.2.2承包人违约的责任</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承包人违约责任的承担方式和计算方法：/。</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16.2.3 因承包人违约解除合同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关于承包人违约解除合同的特别约定：承包人违约发包人有权解除合同。</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发包人继续使用承包人在施工现场的材料、设备、临时工程、承包人文件和由承包人或以其名义编制的其他文件的费用承担方式：由承包人自行承担。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第三人造成的违约</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在履行合同过程中，一方当事人因第三人的原因造成违约的，应当向对方当事人承担违约责任。一方当事人和第三人之间的纠纷，依照法律规定或者按照约定解决。</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1" w:name="_Toc351203649"/>
      <w:r>
        <w:rPr>
          <w:rFonts w:hint="default" w:ascii="Times New Roman" w:hAnsi="Times New Roman" w:eastAsia="仿宋" w:cs="Times New Roman"/>
          <w:color w:val="000000" w:themeColor="text1"/>
          <w:sz w:val="28"/>
          <w:szCs w:val="28"/>
          <w14:textFill>
            <w14:solidFill>
              <w14:schemeClr w14:val="tx1"/>
            </w14:solidFill>
          </w14:textFill>
        </w:rPr>
        <w:t>17. 不可抗力</w:t>
      </w:r>
      <w:bookmarkEnd w:id="577"/>
      <w:bookmarkEnd w:id="581"/>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17.1 不可抗力的确认</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除通用合同条款约定的不可抗力事件之外，视为不可抗力的其他情形：/。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2" w:name="_Toc27451"/>
      <w:r>
        <w:rPr>
          <w:rFonts w:hint="default" w:ascii="Times New Roman" w:hAnsi="Times New Roman" w:eastAsia="仿宋" w:cs="Times New Roman"/>
          <w:color w:val="000000" w:themeColor="text1"/>
          <w:sz w:val="28"/>
          <w:szCs w:val="28"/>
          <w14:textFill>
            <w14:solidFill>
              <w14:schemeClr w14:val="tx1"/>
            </w14:solidFill>
          </w14:textFill>
        </w:rPr>
        <w:t>17.2 因不可抗力解除合同</w:t>
      </w:r>
      <w:bookmarkEnd w:id="582"/>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合同解除后，发包人应在商定或确定发包人应支付款项后28天内完成款项的支付。</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3" w:name="_Toc351203650"/>
      <w:r>
        <w:rPr>
          <w:rFonts w:hint="default" w:ascii="Times New Roman" w:hAnsi="Times New Roman" w:eastAsia="仿宋" w:cs="Times New Roman"/>
          <w:color w:val="000000" w:themeColor="text1"/>
          <w:sz w:val="28"/>
          <w:szCs w:val="28"/>
          <w14:textFill>
            <w14:solidFill>
              <w14:schemeClr w14:val="tx1"/>
            </w14:solidFill>
          </w14:textFill>
        </w:rPr>
        <w:t>18. 保险</w:t>
      </w:r>
      <w:bookmarkEnd w:id="583"/>
    </w:p>
    <w:bookmarkEnd w:id="578"/>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18.1 工程保险</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关于工程保险的特别约定：承包人应投保建筑工程一切险或安装工程一切险，工伤和意外伤害保险。</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 发包人应依照法律规定为其在施工现场的雇用人员办理工伤保险，缴纳工伤保险费；并要求工程师及由发包人为履行合同聘请的第三方在施工现场的雇用人员依法办理工伤保险。</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 承包人应依照法律规定为其履行合同雇用的全部人员办理工伤保险，缴纳工伤保险费，并要求分包人及由承包人为履行合同聘请的第三方雇用的全部人员依法办理工伤保险。</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 发包人和承包人可以为其施工现场的全部人员办理意外伤害保险并支付保险费，包括其员工及为履行合同聘请的第三方的人员，具体事项由合同当事人在专用合同条件约定。</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货物保险</w:t>
      </w:r>
    </w:p>
    <w:p>
      <w:pPr>
        <w:pStyle w:val="6"/>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承包人应按照专用合同条件的约定为运抵现场的施工设备、材料、工程设备和临时工程等办理财产保险，保险期限自上述货物运抵现场至其不再为工程所需要为止。</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4" w:name="_Toc1563"/>
      <w:r>
        <w:rPr>
          <w:rFonts w:hint="default" w:ascii="Times New Roman" w:hAnsi="Times New Roman" w:eastAsia="仿宋" w:cs="Times New Roman"/>
          <w:color w:val="000000" w:themeColor="text1"/>
          <w:sz w:val="28"/>
          <w:szCs w:val="28"/>
          <w14:textFill>
            <w14:solidFill>
              <w14:schemeClr w14:val="tx1"/>
            </w14:solidFill>
          </w14:textFill>
        </w:rPr>
        <w:t>18.2 其他保险</w:t>
      </w:r>
      <w:bookmarkEnd w:id="584"/>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关于其他保险的约定：/。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承包人是否应为其施工设备等办理财产保险：应当。</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18.3 通知义务</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关于变更保险合同时的通知义务的约定：应事先征得发包人同意。</w:t>
      </w:r>
    </w:p>
    <w:bookmarkEnd w:id="550"/>
    <w:bookmarkEnd w:id="551"/>
    <w:bookmarkEnd w:id="552"/>
    <w:bookmarkEnd w:id="553"/>
    <w:bookmarkEnd w:id="554"/>
    <w:bookmarkEnd w:id="555"/>
    <w:bookmarkEnd w:id="556"/>
    <w:bookmarkEnd w:id="557"/>
    <w:bookmarkEnd w:id="558"/>
    <w:bookmarkEnd w:id="559"/>
    <w:bookmarkEnd w:id="560"/>
    <w:bookmarkEnd w:id="561"/>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5" w:name="_Toc351203651"/>
      <w:r>
        <w:rPr>
          <w:rFonts w:hint="default" w:ascii="Times New Roman" w:hAnsi="Times New Roman" w:eastAsia="仿宋" w:cs="Times New Roman"/>
          <w:color w:val="000000" w:themeColor="text1"/>
          <w:sz w:val="28"/>
          <w:szCs w:val="28"/>
          <w14:textFill>
            <w14:solidFill>
              <w14:schemeClr w14:val="tx1"/>
            </w14:solidFill>
          </w14:textFill>
        </w:rPr>
        <w:t>19. 争议解决</w:t>
      </w:r>
      <w:bookmarkEnd w:id="585"/>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和解</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合同当事人可以就争议自行和解，自行和解达成协议的经双方签字并盖章后作为合同补充文件，双方均应遵照执行。</w:t>
      </w:r>
    </w:p>
    <w:p>
      <w:pPr>
        <w:pStyle w:val="6"/>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调解 </w:t>
      </w:r>
    </w:p>
    <w:p>
      <w:pPr>
        <w:pStyle w:val="6"/>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合同当事人可以就争议请求建设行政主管部门、行业协会或其他第三方进行调解，调解达成协议的，经双方签字盖章后作为合同补充文件，双方均应遵照执行。</w:t>
      </w:r>
    </w:p>
    <w:bookmarkEnd w:id="562"/>
    <w:bookmarkEnd w:id="563"/>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6" w:name="_Toc15126"/>
      <w:r>
        <w:rPr>
          <w:rFonts w:hint="default" w:ascii="Times New Roman" w:hAnsi="Times New Roman" w:eastAsia="仿宋" w:cs="Times New Roman"/>
          <w:color w:val="000000" w:themeColor="text1"/>
          <w:sz w:val="28"/>
          <w:szCs w:val="28"/>
          <w14:textFill>
            <w14:solidFill>
              <w14:schemeClr w14:val="tx1"/>
            </w14:solidFill>
          </w14:textFill>
        </w:rPr>
        <w:t>19.1 争</w:t>
      </w:r>
      <w:bookmarkEnd w:id="564"/>
      <w:r>
        <w:rPr>
          <w:rFonts w:hint="default" w:ascii="Times New Roman" w:hAnsi="Times New Roman" w:eastAsia="仿宋" w:cs="Times New Roman"/>
          <w:color w:val="000000" w:themeColor="text1"/>
          <w:sz w:val="28"/>
          <w:szCs w:val="28"/>
          <w14:textFill>
            <w14:solidFill>
              <w14:schemeClr w14:val="tx1"/>
            </w14:solidFill>
          </w14:textFill>
        </w:rPr>
        <w:t>议评审</w:t>
      </w:r>
      <w:bookmarkEnd w:id="586"/>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合同当事人是否同意将工程争议提交争议评审小组决定：/。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7" w:name="_Toc24194"/>
      <w:r>
        <w:rPr>
          <w:rFonts w:hint="default" w:ascii="Times New Roman" w:hAnsi="Times New Roman" w:eastAsia="仿宋" w:cs="Times New Roman"/>
          <w:color w:val="000000" w:themeColor="text1"/>
          <w:sz w:val="28"/>
          <w:szCs w:val="28"/>
          <w14:textFill>
            <w14:solidFill>
              <w14:schemeClr w14:val="tx1"/>
            </w14:solidFill>
          </w14:textFill>
        </w:rPr>
        <w:t>19.1.1 争议评审小组的确定</w:t>
      </w:r>
      <w:bookmarkEnd w:id="587"/>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争议评审小组成员的确定：/。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选定争议评审员的期限：/。</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争议评审小组成员的报酬承担方式：/。</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其他事项的约定：/。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8" w:name="_Toc29588"/>
      <w:r>
        <w:rPr>
          <w:rFonts w:hint="default" w:ascii="Times New Roman" w:hAnsi="Times New Roman" w:eastAsia="仿宋" w:cs="Times New Roman"/>
          <w:color w:val="000000" w:themeColor="text1"/>
          <w:sz w:val="28"/>
          <w:szCs w:val="28"/>
          <w14:textFill>
            <w14:solidFill>
              <w14:schemeClr w14:val="tx1"/>
            </w14:solidFill>
          </w14:textFill>
        </w:rPr>
        <w:t>19.1.2 争议评审小组的决定</w:t>
      </w:r>
      <w:bookmarkEnd w:id="588"/>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合同当事人关于本项的约定：/。</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争议的避免</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合同当事人协商一致，可以共同书面请求争议评审小组，就合同履行过程中可能出现争议的情况提供协助或进行非正式讨论，争议评审小组应给出公正的意见或建议。</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此类协助或非正式讨论可在任何会议、施工现场视察或其他场合进行，并且除专用合同条件另有约定外，发包人和承包人均应出席。</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争议评审小组在此类非正式讨论上给出的任何意见或建议，无论是口头还是书面的，对发包人和承包人不具有约束力，争议评审小组在之后的争议评审程序或决定中也不受此类意见或建议的约束。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bookmarkStart w:id="589" w:name="_Toc8979"/>
      <w:r>
        <w:rPr>
          <w:rFonts w:hint="default" w:ascii="Times New Roman" w:hAnsi="Times New Roman" w:eastAsia="仿宋" w:cs="Times New Roman"/>
          <w:color w:val="000000" w:themeColor="text1"/>
          <w:sz w:val="28"/>
          <w:szCs w:val="28"/>
          <w14:textFill>
            <w14:solidFill>
              <w14:schemeClr w14:val="tx1"/>
            </w14:solidFill>
          </w14:textFill>
        </w:rPr>
        <w:t>19.2 仲裁或诉讼</w:t>
      </w:r>
      <w:bookmarkEnd w:id="565"/>
      <w:bookmarkEnd w:id="589"/>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因合同及合同有关事项发生的争议，按下列第种方式解决：（2）</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（1）向仲裁委员会申请仲裁；</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sectPr>
          <w:footerReference r:id="rId7" w:type="first"/>
          <w:footerReference r:id="rId6" w:type="default"/>
          <w:pgSz w:w="11906" w:h="16838"/>
          <w:pgMar w:top="1440" w:right="1080" w:bottom="1440" w:left="1080" w:header="850" w:footer="567" w:gutter="0"/>
          <w:pgNumType w:start="1"/>
          <w:cols w:space="720" w:num="1"/>
          <w:titlePg/>
          <w:docGrid w:type="lines" w:linePitch="326" w:charSpace="0"/>
        </w:sectPr>
      </w:pPr>
      <w:r>
        <w:rPr>
          <w:rFonts w:hint="default" w:ascii="Times New Roman" w:hAnsi="Times New Roman" w:eastAsia="仿宋" w:cs="Times New Roman"/>
          <w:color w:val="000000" w:themeColor="text1"/>
          <w:sz w:val="28"/>
          <w:szCs w:val="28"/>
          <w14:textFill>
            <w14:solidFill>
              <w14:schemeClr w14:val="tx1"/>
            </w14:solidFill>
          </w14:textFill>
        </w:rPr>
        <w:t>（2）向本项目工程所在地人民法院起诉。</w:t>
      </w:r>
      <w:bookmarkEnd w:id="566"/>
      <w:bookmarkEnd w:id="567"/>
      <w:bookmarkEnd w:id="568"/>
      <w:bookmarkEnd w:id="569"/>
      <w:bookmarkEnd w:id="570"/>
      <w:bookmarkEnd w:id="571"/>
    </w:p>
    <w:p>
      <w:pPr>
        <w:pStyle w:val="3"/>
        <w:jc w:val="center"/>
        <w:rPr>
          <w:rFonts w:hint="default" w:ascii="Times New Roman" w:hAnsi="Times New Roman" w:eastAsia="仿宋" w:cs="Times New Roman"/>
          <w:color w:val="000000" w:themeColor="text1"/>
          <w14:textFill>
            <w14:solidFill>
              <w14:schemeClr w14:val="tx1"/>
            </w14:solidFill>
          </w14:textFill>
        </w:rPr>
      </w:pPr>
      <w:r>
        <w:rPr>
          <w:rFonts w:hint="default" w:ascii="Times New Roman" w:hAnsi="Times New Roman" w:eastAsia="仿宋" w:cs="Times New Roman"/>
          <w:color w:val="000000" w:themeColor="text1"/>
          <w14:textFill>
            <w14:solidFill>
              <w14:schemeClr w14:val="tx1"/>
            </w14:solidFill>
          </w14:textFill>
        </w:rPr>
        <w:t>工程质量保修书</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发包人（全称）：</w:t>
      </w:r>
      <w:r>
        <w:rPr>
          <w:rFonts w:hint="default" w:ascii="Times New Roman" w:hAnsi="Times New Roman" w:eastAsia="仿宋" w:cs="Times New Roman"/>
          <w:b/>
          <w:bCs/>
          <w:color w:val="000000" w:themeColor="text1"/>
          <w:sz w:val="28"/>
          <w:szCs w:val="28"/>
          <w:u w:val="single"/>
          <w14:textFill>
            <w14:solidFill>
              <w14:schemeClr w14:val="tx1"/>
            </w14:solidFill>
          </w14:textFill>
        </w:rPr>
        <w:t>中共成都市委党校</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 xml:space="preserve"> </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承包人（全称）：</w:t>
      </w:r>
      <w:r>
        <w:rPr>
          <w:rFonts w:hint="default" w:ascii="Times New Roman" w:hAnsi="Times New Roman" w:eastAsia="仿宋" w:cs="Times New Roman"/>
          <w:b/>
          <w:bCs/>
          <w:color w:val="000000" w:themeColor="text1"/>
          <w:sz w:val="28"/>
          <w:szCs w:val="28"/>
          <w:u w:val="single"/>
          <w14:textFill>
            <w14:solidFill>
              <w14:schemeClr w14:val="tx1"/>
            </w14:solidFill>
          </w14:textFill>
        </w:rPr>
        <w:t xml:space="preserve">                 </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发包人和承包人根据《中华人民共和国建筑法》和《建设工程质量管理条例》，经协商一致就</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（工程全称）签订工程质量保修书。</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一、工程质量保修范围和内容</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承包人在质量保修期内，按照有关法律规定和合同约定，承担工程质量保修责任。</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质量保修范围包括本项目涉及的所有工作内容，以及双方约定的其他项目。具体保修的内容，双方约定如下：</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w:t>
      </w:r>
      <w:r>
        <w:rPr>
          <w:rFonts w:hint="default" w:ascii="Times New Roman" w:hAnsi="Times New Roman" w:eastAsia="仿宋" w:cs="Times New Roman"/>
          <w:color w:val="000000" w:themeColor="text1"/>
          <w:sz w:val="28"/>
          <w:szCs w:val="28"/>
          <w:u w:val="single"/>
          <w14:textFill>
            <w14:solidFill>
              <w14:schemeClr w14:val="tx1"/>
            </w14:solidFill>
          </w14:textFill>
        </w:rPr>
        <w:t>承包人按施工图纸所有建设内容均提供保修义务</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b/>
          <w:color w:val="000000" w:themeColor="text1"/>
          <w:sz w:val="28"/>
          <w:szCs w:val="28"/>
          <w14:textFill>
            <w14:solidFill>
              <w14:schemeClr w14:val="tx1"/>
            </w14:solidFill>
          </w14:textFill>
        </w:rPr>
        <w:t>　　</w:t>
      </w:r>
      <w:r>
        <w:rPr>
          <w:rFonts w:hint="default" w:ascii="Times New Roman" w:hAnsi="Times New Roman" w:eastAsia="仿宋" w:cs="Times New Roman"/>
          <w:color w:val="000000" w:themeColor="text1"/>
          <w:sz w:val="28"/>
          <w:szCs w:val="28"/>
          <w14:textFill>
            <w14:solidFill>
              <w14:schemeClr w14:val="tx1"/>
            </w14:solidFill>
          </w14:textFill>
        </w:rPr>
        <w:t>二、质量保修期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根据《建设工程质量管理条例》及有关规定，工程的质量保修期如下：</w:t>
      </w:r>
    </w:p>
    <w:p>
      <w:pPr>
        <w:spacing w:line="360" w:lineRule="auto"/>
        <w:ind w:left="0" w:leftChars="0"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1.本项目涉及的所有工作内容保修期：装修工程2年、防水工程5年。</w:t>
      </w:r>
    </w:p>
    <w:p>
      <w:pPr>
        <w:spacing w:line="360" w:lineRule="auto"/>
        <w:ind w:left="0" w:leftChars="0"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2．其他项目保修期限约定如下：</w:t>
      </w:r>
      <w:r>
        <w:rPr>
          <w:rFonts w:hint="default" w:ascii="Times New Roman" w:hAnsi="Times New Roman" w:eastAsia="仿宋" w:cs="Times New Roman"/>
          <w:color w:val="000000" w:themeColor="text1"/>
          <w:sz w:val="28"/>
          <w:szCs w:val="28"/>
          <w:u w:val="single"/>
          <w14:textFill>
            <w14:solidFill>
              <w14:schemeClr w14:val="tx1"/>
            </w14:solidFill>
          </w14:textFill>
        </w:rPr>
        <w:t>按国家住建部，省、市建设行政主管部门文件规定</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质量保修期自工程竣工验收合格之日起计算。</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三、缺陷责任期</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工程缺陷责任期为</w:t>
      </w:r>
      <w:r>
        <w:rPr>
          <w:rFonts w:hint="default" w:ascii="Times New Roman" w:hAnsi="Times New Roman" w:eastAsia="仿宋" w:cs="Times New Roman"/>
          <w:color w:val="000000" w:themeColor="text1"/>
          <w:sz w:val="28"/>
          <w:szCs w:val="28"/>
          <w:u w:val="single"/>
          <w14:textFill>
            <w14:solidFill>
              <w14:schemeClr w14:val="tx1"/>
            </w14:solidFill>
          </w14:textFill>
        </w:rPr>
        <w:t>12</w:t>
      </w:r>
      <w:r>
        <w:rPr>
          <w:rFonts w:hint="default" w:ascii="Times New Roman" w:hAnsi="Times New Roman" w:eastAsia="仿宋" w:cs="Times New Roman"/>
          <w:color w:val="000000" w:themeColor="text1"/>
          <w:sz w:val="28"/>
          <w:szCs w:val="28"/>
          <w14:textFill>
            <w14:solidFill>
              <w14:schemeClr w14:val="tx1"/>
            </w14:solidFill>
          </w14:textFill>
        </w:rPr>
        <w:t>个月，缺陷责任期自工程通过竣工验收之日起计算。单位工程先于全部工程进行验收，单位工程缺陷责任期自单位工程验收合格之日起算。</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缺陷责任期终止后，发包人应退还剩余的质量保证金。</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    四、质量保修责任</w:t>
      </w:r>
    </w:p>
    <w:p>
      <w:pPr>
        <w:spacing w:line="360" w:lineRule="auto"/>
        <w:ind w:left="160" w:leftChars="50" w:firstLine="574" w:firstLineChars="205"/>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1．属于保修范围、内容的项目，承包人应当在接到保修通知之日起7天内派人保修。承包人不在约定期限内派人保修的，发包人可以委托他人修理。</w:t>
      </w:r>
    </w:p>
    <w:p>
      <w:pPr>
        <w:spacing w:line="360" w:lineRule="auto"/>
        <w:ind w:left="160" w:leftChars="50" w:firstLine="574" w:firstLineChars="205"/>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2．发生紧急事故需抢修的，承包人在接到事故通知后，应当立即到达事故现场抢修。</w:t>
      </w:r>
    </w:p>
    <w:p>
      <w:pPr>
        <w:spacing w:line="360" w:lineRule="auto"/>
        <w:ind w:left="160" w:leftChars="50" w:firstLine="574" w:firstLineChars="205"/>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640" w:leftChars="200" w:firstLine="140" w:firstLineChars="5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4．质量保修完成后，由发包人组织验收。</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五、保修费用</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保修费用由造成质量缺陷的责任方承担。</w:t>
      </w:r>
    </w:p>
    <w:p>
      <w:pPr>
        <w:spacing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b w:val="0"/>
          <w:bCs/>
          <w:color w:val="000000" w:themeColor="text1"/>
          <w:sz w:val="28"/>
          <w:szCs w:val="28"/>
          <w14:textFill>
            <w14:solidFill>
              <w14:schemeClr w14:val="tx1"/>
            </w14:solidFill>
          </w14:textFill>
        </w:rPr>
        <w:t>六</w:t>
      </w:r>
      <w:r>
        <w:rPr>
          <w:rFonts w:hint="default" w:ascii="Times New Roman" w:hAnsi="Times New Roman" w:eastAsia="仿宋" w:cs="Times New Roman"/>
          <w:color w:val="000000" w:themeColor="text1"/>
          <w:sz w:val="28"/>
          <w:szCs w:val="28"/>
          <w14:textFill>
            <w14:solidFill>
              <w14:schemeClr w14:val="tx1"/>
            </w14:solidFill>
          </w14:textFill>
        </w:rPr>
        <w:t>、双方约定的其他工程质量保修事项：</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    </w:t>
      </w:r>
      <w:r>
        <w:rPr>
          <w:rFonts w:hint="default" w:ascii="Times New Roman" w:hAnsi="Times New Roman" w:eastAsia="仿宋" w:cs="Times New Roman"/>
          <w:color w:val="000000" w:themeColor="text1"/>
          <w:sz w:val="28"/>
          <w:szCs w:val="28"/>
          <w14:textFill>
            <w14:solidFill>
              <w14:schemeClr w14:val="tx1"/>
            </w14:solidFill>
          </w14:textFill>
        </w:rPr>
        <w:t>。</w:t>
      </w:r>
    </w:p>
    <w:p>
      <w:pPr>
        <w:spacing w:line="360" w:lineRule="auto"/>
        <w:ind w:firstLine="532" w:firstLineChars="19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工程质量保修书由发包人、承包人在工程竣工验收前共同签署，作为施工合同附件，其有效期限至保修期满。</w:t>
      </w:r>
    </w:p>
    <w:p>
      <w:pPr>
        <w:spacing w:line="360" w:lineRule="auto"/>
        <w:ind w:firstLine="420"/>
        <w:rPr>
          <w:rFonts w:hint="default" w:ascii="Times New Roman" w:hAnsi="Times New Roman" w:eastAsia="仿宋" w:cs="Times New Roman"/>
          <w:color w:val="000000" w:themeColor="text1"/>
          <w:sz w:val="28"/>
          <w:szCs w:val="28"/>
          <w14:textFill>
            <w14:solidFill>
              <w14:schemeClr w14:val="tx1"/>
            </w14:solidFill>
          </w14:textFill>
        </w:rPr>
      </w:pP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发包人(公章)：</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           </w:t>
      </w:r>
      <w:r>
        <w:rPr>
          <w:rFonts w:hint="default" w:ascii="Times New Roman" w:hAnsi="Times New Roman" w:eastAsia="仿宋" w:cs="Times New Roman"/>
          <w:color w:val="000000" w:themeColor="text1"/>
          <w:sz w:val="28"/>
          <w:szCs w:val="28"/>
          <w14:textFill>
            <w14:solidFill>
              <w14:schemeClr w14:val="tx1"/>
            </w14:solidFill>
          </w14:textFill>
        </w:rPr>
        <w:t xml:space="preserve">       承包人(公章)：</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  </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法定代表人(签字)：</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 xml:space="preserve">       法定代表人(签字)：</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p>
    <w:p>
      <w:pPr>
        <w:spacing w:line="360" w:lineRule="auto"/>
        <w:rPr>
          <w:rFonts w:hint="default" w:ascii="Times New Roman" w:hAnsi="Times New Roman" w:eastAsia="仿宋" w:cs="Times New Roman"/>
          <w:color w:val="000000" w:themeColor="text1"/>
          <w:sz w:val="28"/>
          <w:szCs w:val="28"/>
          <w:u w:val="single"/>
          <w14:textFill>
            <w14:solidFill>
              <w14:schemeClr w14:val="tx1"/>
            </w14:solidFill>
          </w14:textFill>
        </w:rPr>
        <w:sectPr>
          <w:pgSz w:w="11906" w:h="16838"/>
          <w:pgMar w:top="1418" w:right="1134" w:bottom="1418" w:left="1701" w:header="850" w:footer="567" w:gutter="0"/>
          <w:cols w:space="720" w:num="1"/>
          <w:titlePg/>
          <w:docGrid w:type="lines" w:linePitch="326" w:charSpace="0"/>
        </w:sectPr>
      </w:pPr>
      <w:r>
        <w:rPr>
          <w:rFonts w:hint="default" w:ascii="Times New Roman" w:hAnsi="Times New Roman" w:eastAsia="仿宋" w:cs="Times New Roman"/>
          <w:color w:val="000000" w:themeColor="text1"/>
          <w:sz w:val="28"/>
          <w:szCs w:val="28"/>
          <w14:textFill>
            <w14:solidFill>
              <w14:schemeClr w14:val="tx1"/>
            </w14:solidFill>
          </w14:textFill>
        </w:rPr>
        <w:t>委托代理人(签字)：</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 xml:space="preserve">       委托代理人(签字)：</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p>
    <w:p>
      <w:pPr>
        <w:pStyle w:val="3"/>
        <w:jc w:val="center"/>
        <w:rPr>
          <w:rFonts w:hint="default" w:ascii="Times New Roman" w:hAnsi="Times New Roman" w:eastAsia="仿宋" w:cs="Times New Roman"/>
          <w:b w:val="0"/>
          <w:color w:val="000000" w:themeColor="text1"/>
          <w14:textFill>
            <w14:solidFill>
              <w14:schemeClr w14:val="tx1"/>
            </w14:solidFill>
          </w14:textFill>
        </w:rPr>
      </w:pPr>
      <w:bookmarkStart w:id="590" w:name="_Toc879700"/>
      <w:r>
        <w:rPr>
          <w:rFonts w:hint="default" w:ascii="Times New Roman" w:hAnsi="Times New Roman" w:eastAsia="仿宋" w:cs="Times New Roman"/>
          <w:color w:val="000000" w:themeColor="text1"/>
          <w14:textFill>
            <w14:solidFill>
              <w14:schemeClr w14:val="tx1"/>
            </w14:solidFill>
          </w14:textFill>
        </w:rPr>
        <w:t>安全、文明施工责任书</w:t>
      </w:r>
      <w:bookmarkEnd w:id="590"/>
    </w:p>
    <w:p>
      <w:pPr>
        <w:snapToGrid w:val="0"/>
        <w:spacing w:before="48" w:beforeLines="15"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甲方：</w:t>
      </w:r>
      <w:r>
        <w:rPr>
          <w:rFonts w:hint="default" w:ascii="Times New Roman" w:hAnsi="Times New Roman" w:eastAsia="仿宋" w:cs="Times New Roman"/>
          <w:color w:val="000000" w:themeColor="text1"/>
          <w:sz w:val="28"/>
          <w:szCs w:val="28"/>
          <w:u w:val="single"/>
          <w14:textFill>
            <w14:solidFill>
              <w14:schemeClr w14:val="tx1"/>
            </w14:solidFill>
          </w14:textFill>
        </w:rPr>
        <w:t>中共成都市委党校</w:t>
      </w:r>
    </w:p>
    <w:p>
      <w:pPr>
        <w:snapToGrid w:val="0"/>
        <w:spacing w:line="360" w:lineRule="auto"/>
        <w:ind w:firstLine="560" w:firstLineChars="200"/>
        <w:rPr>
          <w:rFonts w:hint="default" w:ascii="Times New Roman" w:hAnsi="Times New Roman" w:eastAsia="仿宋" w:cs="Times New Roman"/>
          <w:color w:val="000000" w:themeColor="text1"/>
          <w:sz w:val="28"/>
          <w:szCs w:val="28"/>
          <w:u w:val="single"/>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乙方：</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为了加强本工程建设项目的安全、文明施工管理，创建文明施工工地，防止人员伤亡、火灾、治安、及重大经济损失事故的发生，经各方协商签订本协议书。</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第一条 甲方和乙方严格按照国家、省、市、区关于安全、文明施工的要求，明确各自的职责，加强对施工现场的管理。</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第二条 甲方委托监理人负责对本工程安全、文明施工进行全过程的监督、检查。乙方应服从管理和监督，做好现场安全、文明施工的各项工作。</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第三条 乙方进场前，必须在甲方监督下购买民工意外伤害保险、工伤保险，并将相关依据报甲方备案。</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第四条  乙方应主动做好以下工作：</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施工现场办公及生活临设、大门和围墙等重要设施须按甲方要求设置，现场布局合理整洁，无杂、积水、异味，并保证安全、美观；安全文明施工标志、标牌应设置在明显位置；各种材料应堆放整齐，施工垃圾须定点堆放，及时清运，严禁在施工现场以外堆放材料、垃圾。</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施工现场布局及工序安排应考虑噪声、照明控制，严格按照成都市有关规定执行，避免扰民；施工现场必须设置专用厕所，并有专人管理，严禁随意大小便；生活、生产废水及施工降水未处理合格，不得排入城市下水管道；不得破坏工地周围树木、绿地；土方外运过程，严格按程序操作，不得在工地外道路上遗洒，同时应严格出场车辆的轮胎清洗，避免尘土带到城市道路上。</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3.外地施工人员必须办理相关证件，禁止非施工单位人员在工地留宿，施工现场禁止聚众打牌、饮酒闹事、传阅淫秽物品；禁止打架斗殴。</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4.施工车辆进出工地时注意工地交通安全，必须缓速行驶；设置明显警示标志。</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施工现场临时用电包括施工用电和生活用电必须符合《施工现场临时用电安全技术规范》，变压器和配电箱应设置围栏并有明显的安全警示标志，严禁非专业人员接拆电线，防止发生触电事故，严禁使用电炉子等妨碍现场安全的用电设备。</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6.现场消火栓及其他消防器材配备安全、位置合理，应有明显的警示标志，严禁挪用，保证消防道路畅通；施工现场严禁吸烟，易燃易爆物品及施工动火必须有专人负责管理。</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7.现场施工人员须统一佩带胸卡，严禁闲杂人员进入施工现场；严禁工人酒后上岗。</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8.各种施工机械的合格证、检测证及安全防护装置齐全，杜绝发生土方坍塌等一切施工安全事故。</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9.工人食堂必须干净整洁，无蝇无鼠，认真执行食品卫生安全的有关规定，严防工人食物中毒；施工人员宿舍要求卫生整洁，严禁随意拉扯电线，冬季取暖可统一安装空调。</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10.施工单位现场应有专门负责安全、文明施工的管理人员，定期检查，发现问题及时整改；同时每天应派安全、文明施工值日佩带明显袖套在工地巡视，对甲方以及安居办、监理部门提出的其他有关安全、文明施工等方面要求必须积极配合，认真履行。</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11.其他国家、省、市、区以及甲方对安全文明施工的要求。</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第五条 安全文明施工措施费的使用按施工合同执行；凡发生事故造成人员伤亡、财产损失，全部费用及法律责任均由乙方自行负责，市、区主管部门针对该项目因文明施工措施不力受到批评和处罚一律均由乙方负责。</w:t>
      </w:r>
    </w:p>
    <w:p>
      <w:pPr>
        <w:snapToGrid w:val="0"/>
        <w:spacing w:line="360" w:lineRule="auto"/>
        <w:ind w:firstLine="48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第六条 本责任书书作为《建设工程施工合同》附件，份数同《建设工程施工合同》，具有同等法律效力。</w:t>
      </w:r>
    </w:p>
    <w:p>
      <w:pPr>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pStyle w:val="6"/>
        <w:spacing w:line="360" w:lineRule="auto"/>
        <w:rPr>
          <w:rFonts w:hint="default" w:ascii="Times New Roman" w:hAnsi="Times New Roman" w:eastAsia="仿宋" w:cs="Times New Roman"/>
          <w:color w:val="000000" w:themeColor="text1"/>
          <w:sz w:val="28"/>
          <w:szCs w:val="28"/>
          <w14:textFill>
            <w14:solidFill>
              <w14:schemeClr w14:val="tx1"/>
            </w14:solidFill>
          </w14:textFill>
        </w:rPr>
      </w:pPr>
    </w:p>
    <w:p>
      <w:pPr>
        <w:pStyle w:val="7"/>
        <w:spacing w:line="360" w:lineRule="auto"/>
        <w:ind w:firstLine="280"/>
        <w:rPr>
          <w:rFonts w:hint="default" w:ascii="Times New Roman" w:hAnsi="Times New Roman" w:eastAsia="仿宋" w:cs="Times New Roman"/>
          <w:color w:val="000000" w:themeColor="text1"/>
          <w:sz w:val="28"/>
          <w:szCs w:val="28"/>
          <w14:textFill>
            <w14:solidFill>
              <w14:schemeClr w14:val="tx1"/>
            </w14:solidFill>
          </w14:textFill>
        </w:rPr>
      </w:pPr>
    </w:p>
    <w:p>
      <w:pPr>
        <w:pStyle w:val="7"/>
        <w:spacing w:line="360" w:lineRule="auto"/>
        <w:ind w:firstLine="280"/>
        <w:rPr>
          <w:rFonts w:hint="default" w:ascii="Times New Roman" w:hAnsi="Times New Roman" w:eastAsia="仿宋" w:cs="Times New Roman"/>
          <w:color w:val="000000" w:themeColor="text1"/>
          <w:sz w:val="28"/>
          <w:szCs w:val="28"/>
          <w14:textFill>
            <w14:solidFill>
              <w14:schemeClr w14:val="tx1"/>
            </w14:solidFill>
          </w14:textFill>
        </w:rPr>
      </w:pPr>
    </w:p>
    <w:p>
      <w:pPr>
        <w:pStyle w:val="4"/>
        <w:snapToGrid w:val="0"/>
        <w:ind w:firstLine="0" w:firstLineChars="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 xml:space="preserve">甲方：（盖章）中共成都市委党校      乙方：（盖章） </w:t>
      </w:r>
    </w:p>
    <w:p>
      <w:pPr>
        <w:pStyle w:val="7"/>
        <w:spacing w:line="360" w:lineRule="auto"/>
        <w:ind w:firstLine="0" w:firstLineChars="0"/>
        <w:rPr>
          <w:rFonts w:hint="default" w:ascii="Times New Roman" w:hAnsi="Times New Roman" w:eastAsia="仿宋" w:cs="Times New Roman"/>
          <w:color w:val="000000" w:themeColor="text1"/>
          <w:sz w:val="28"/>
          <w:szCs w:val="28"/>
          <w14:textFill>
            <w14:solidFill>
              <w14:schemeClr w14:val="tx1"/>
            </w14:solidFill>
          </w14:textFill>
        </w:rPr>
        <w:sectPr>
          <w:pgSz w:w="11906" w:h="16838"/>
          <w:pgMar w:top="1418" w:right="1134" w:bottom="1418" w:left="1701" w:header="850" w:footer="567" w:gutter="0"/>
          <w:cols w:space="720" w:num="1"/>
          <w:titlePg/>
          <w:docGrid w:type="lines" w:linePitch="326" w:charSpace="0"/>
        </w:sectPr>
      </w:pPr>
    </w:p>
    <w:p>
      <w:pPr>
        <w:pStyle w:val="3"/>
        <w:jc w:val="center"/>
        <w:rPr>
          <w:rFonts w:hint="default" w:ascii="Times New Roman" w:hAnsi="Times New Roman" w:eastAsia="仿宋" w:cs="Times New Roman"/>
          <w:color w:val="000000" w:themeColor="text1"/>
          <w14:textFill>
            <w14:solidFill>
              <w14:schemeClr w14:val="tx1"/>
            </w14:solidFill>
          </w14:textFill>
        </w:rPr>
      </w:pPr>
      <w:bookmarkStart w:id="591" w:name="_Toc879694"/>
      <w:r>
        <w:rPr>
          <w:rFonts w:hint="default" w:ascii="Times New Roman" w:hAnsi="Times New Roman" w:eastAsia="仿宋" w:cs="Times New Roman"/>
          <w:color w:val="000000" w:themeColor="text1"/>
          <w14:textFill>
            <w14:solidFill>
              <w14:schemeClr w14:val="tx1"/>
            </w14:solidFill>
          </w14:textFill>
        </w:rPr>
        <w:t>廉政合同</w:t>
      </w:r>
      <w:bookmarkEnd w:id="591"/>
    </w:p>
    <w:p>
      <w:pPr>
        <w:snapToGrid w:val="0"/>
        <w:spacing w:before="46" w:beforeLines="15" w:line="360" w:lineRule="auto"/>
        <w:ind w:firstLine="560" w:firstLineChars="200"/>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甲方：</w:t>
      </w:r>
      <w:r>
        <w:rPr>
          <w:rFonts w:hint="default" w:ascii="Times New Roman" w:hAnsi="Times New Roman" w:eastAsia="仿宋" w:cs="Times New Roman"/>
          <w:color w:val="000000" w:themeColor="text1"/>
          <w:sz w:val="28"/>
          <w:szCs w:val="28"/>
          <w:u w:val="single"/>
          <w14:textFill>
            <w14:solidFill>
              <w14:schemeClr w14:val="tx1"/>
            </w14:solidFill>
          </w14:textFill>
        </w:rPr>
        <w:t>中共成都市委党校</w:t>
      </w:r>
    </w:p>
    <w:p>
      <w:pPr>
        <w:snapToGrid w:val="0"/>
        <w:spacing w:line="360" w:lineRule="auto"/>
        <w:ind w:firstLine="560" w:firstLineChars="200"/>
        <w:rPr>
          <w:rFonts w:hint="default" w:ascii="Times New Roman" w:hAnsi="Times New Roman" w:eastAsia="仿宋" w:cs="Times New Roman"/>
          <w:color w:val="000000" w:themeColor="text1"/>
          <w:sz w:val="28"/>
          <w:szCs w:val="28"/>
          <w:u w:val="single"/>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乙方：</w:t>
      </w:r>
      <w:r>
        <w:rPr>
          <w:rFonts w:hint="default" w:ascii="Times New Roman" w:hAnsi="Times New Roman" w:eastAsia="仿宋" w:cs="Times New Roman"/>
          <w:color w:val="000000" w:themeColor="text1"/>
          <w:sz w:val="28"/>
          <w:szCs w:val="28"/>
          <w:u w:val="single"/>
          <w14:textFill>
            <w14:solidFill>
              <w14:schemeClr w14:val="tx1"/>
            </w14:solidFill>
          </w14:textFill>
        </w:rPr>
        <w:t xml:space="preserve">                </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为了贯彻落实党中央、国务院关于党风廉政建设的要求，加强政府投资项目建设中的党风廉政建设，预防和减少投资建设中的经济违规违法行为，保证工程建设优质、高效、有序地进行，依据《中华人民共和国招标招标法》，甲、乙方自愿签订本廉政合同，作为《工程施工合同》附件。</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一、甲、乙双方约定</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1.甲、乙双方应共同遵守国家和省、市以及行业主管部门关于加强建筑工程设施建设管理和党风廉政建设的各项规定。</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2.甲、乙双方应认真执行双方签订的合同文件，自觉按合同办事。</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3.除法律认定的商业秘密或合同文件另有规定外，甲、乙双方的业务活动均应遵守公开、公平、诚实信用的原则，严禁从事损害国家和集体利益、违反工程建设管理规章制度的不正当交易。</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4.甲、乙双方有对本方人员开展廉政教育和职业道德教育的义务。</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5.甲、乙双方应加强对本方人员廉政监督、建立和健全廉政制度，杜绝本方人员违纪违法行为的发生。</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6.甲、乙双方如发现对方人员业务活动中有不廉行为，有权提醒对方并督促其纠正，或直接向对方法人代表、纪检部门如实反映情况和认真查处本方人员违纪违法行为。</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二、甲方在廉政建设方面的责任</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1.甲方不得以任何形式向乙方索要或收受回扣。</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2.甲方不得接受乙方的礼金、有价证券和贵重物品；不得在乙方报销任何应由甲方或甲方人员支付的费用。</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3.甲方人员及其亲友不能参加可能对公正完成工作有影响的宴请、娱乐和旅游活动。</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4.甲方及其人员不得要求或者接受乙方为其住房装修、婚丧嫁娶、家属子女的工作安排以及出省、出国等提供方便。</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5.甲方及其工作人员不得向乙方介绍其家属或亲友从事与甲方工程有关的材料设备供应、工程转包、劳务等经济活动。</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6.甲方不得以任何理由向乙方强行推荐分包单位；不得强行要求乙方购买合同规定外的任何材料和设备。</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7.甲方人员不得在家里接待乙方有关工程事项的询访。</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8.甲方不得滥用职权影响和干扰工程质量、工程进度和工程安全。</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三、乙方在廉政建设方面的责任</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1.乙方不得以任何理由向甲方人员行贿和馈赠礼品。</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2.乙方不得以任何理由或名义向甲方人员报支需由其个人支付的任何费用。</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3.乙方不得以任何理由邀请甲方人员或其亲友吃、喝、玩、娱乐等活动。</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4.乙方不得为甲方单位或个人购置、提供通讯工具、交通工具、家电和办公用品等。</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5.乙方不得以任何理由（诸如：工程事项等）到甲方人员家里询访。</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四、违约责任</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1.甲方违反本合同第一条第1—5款和第二条的，除按甲方及其上级党政部门党风廉政建设规定和有关建筑工程设施规定处罚外，对当事人给予经济处罚，对构成犯罪的移送司法机关处理。</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2.乙方违反本合同第一条第1—5款第三条的，除按乙方单位及其上级党政部门党风廉政建设和工程建筑基础设施建设有关行业规定处罚外，视情节轻重和造成损失大小，甲方有权按工程款总额的3%至5%收取乙方违约金，并上报省、市有关（建筑）部门，建议给予一年至三年不得进入工程建设市场的处罚，对构成犯罪的移送司法机关处理。</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五、本合同作为《建设工程施工合同》附件，份数同《建设工程施工合同》，并具有同等法律效力。</w:t>
      </w: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p>
    <w:p>
      <w:pPr>
        <w:pStyle w:val="4"/>
        <w:snapToGrid w:val="0"/>
        <w:ind w:firstLine="560"/>
        <w:jc w:val="left"/>
        <w:rPr>
          <w:rFonts w:hint="default" w:ascii="Times New Roman" w:hAnsi="Times New Roman" w:eastAsia="仿宋" w:cs="Times New Roman"/>
          <w:color w:val="000000" w:themeColor="text1"/>
          <w:sz w:val="28"/>
          <w:szCs w:val="28"/>
          <w14:textFill>
            <w14:solidFill>
              <w14:schemeClr w14:val="tx1"/>
            </w14:solidFill>
          </w14:textFill>
        </w:rPr>
      </w:pPr>
    </w:p>
    <w:p>
      <w:pPr>
        <w:rPr>
          <w:rFonts w:hint="default" w:ascii="Times New Roman" w:hAnsi="Times New Roman" w:eastAsia="仿宋" w:cs="Times New Roman"/>
          <w:color w:val="000000" w:themeColor="text1"/>
          <w:sz w:val="28"/>
          <w:szCs w:val="28"/>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甲方：（盖章）中共成都市委党校     乙方：（盖章）</w:t>
      </w:r>
    </w:p>
    <w:sectPr>
      <w:footerReference r:id="rId8" w:type="default"/>
      <w:pgSz w:w="11906" w:h="16838"/>
      <w:pgMar w:top="1417" w:right="1134" w:bottom="1417" w:left="1701"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
    <w:altName w:val="方正仿宋_GBK"/>
    <w:panose1 w:val="00000000000000000000"/>
    <w:charset w:val="00"/>
    <w:family w:val="auto"/>
    <w:pitch w:val="default"/>
    <w:sig w:usb0="00000000" w:usb1="00000000" w:usb2="00000000" w:usb3="00000000" w:csb0="00040001" w:csb1="00000000"/>
  </w:font>
  <w:font w:name="方正黑体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Wingdings 2">
    <w:panose1 w:val="05020102010507070707"/>
    <w:charset w:val="02"/>
    <w:family w:val="decorative"/>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num w:numId="1">
    <w:abstractNumId w:val="0"/>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1843" w:firstLine="0"/>
        </w:pPr>
      </w:lvl>
    </w:lvlOverride>
    <w:lvlOverride w:ilvl="2">
      <w:lvl w:ilvl="2" w:tentative="1">
        <w:start w:val="1"/>
        <w:numFmt w:val="decimal"/>
        <w:pStyle w:val="15"/>
        <w:lvlText w:val="%1.%2.%3"/>
        <w:lvlJc w:val="left"/>
        <w:pPr>
          <w:ind w:left="2126" w:firstLine="0"/>
        </w:pPr>
      </w:lvl>
    </w:lvlOverride>
    <w:lvlOverride w:ilvl="3">
      <w:lvl w:ilvl="3" w:tentative="1">
        <w:start w:val="1"/>
        <w:numFmt w:val="decimal"/>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mNjdmNTgyYTFjMWQ5YTMxYTI4MGY5ZTdlYTZmNjEifQ=="/>
  </w:docVars>
  <w:rsids>
    <w:rsidRoot w:val="527B645E"/>
    <w:rsid w:val="001261C4"/>
    <w:rsid w:val="00204FD0"/>
    <w:rsid w:val="002B61A2"/>
    <w:rsid w:val="00335DD2"/>
    <w:rsid w:val="003B49DE"/>
    <w:rsid w:val="00425EFB"/>
    <w:rsid w:val="004F72B2"/>
    <w:rsid w:val="00561926"/>
    <w:rsid w:val="00602B84"/>
    <w:rsid w:val="00715FD7"/>
    <w:rsid w:val="00796D09"/>
    <w:rsid w:val="007F19A2"/>
    <w:rsid w:val="0081179E"/>
    <w:rsid w:val="00844B2B"/>
    <w:rsid w:val="0092713D"/>
    <w:rsid w:val="009628BA"/>
    <w:rsid w:val="00976A59"/>
    <w:rsid w:val="00A411EC"/>
    <w:rsid w:val="00A570D4"/>
    <w:rsid w:val="00B56299"/>
    <w:rsid w:val="00BC3019"/>
    <w:rsid w:val="00C02E62"/>
    <w:rsid w:val="00C740F3"/>
    <w:rsid w:val="00CF6E0B"/>
    <w:rsid w:val="00E4425F"/>
    <w:rsid w:val="00E66EC1"/>
    <w:rsid w:val="00EA039C"/>
    <w:rsid w:val="00F26A73"/>
    <w:rsid w:val="00FD1993"/>
    <w:rsid w:val="01974368"/>
    <w:rsid w:val="01D628BE"/>
    <w:rsid w:val="01F1001C"/>
    <w:rsid w:val="0224187C"/>
    <w:rsid w:val="022C24DE"/>
    <w:rsid w:val="02B74A8F"/>
    <w:rsid w:val="04926F71"/>
    <w:rsid w:val="04EB6681"/>
    <w:rsid w:val="05355B4E"/>
    <w:rsid w:val="067D155B"/>
    <w:rsid w:val="06E11AE9"/>
    <w:rsid w:val="078608E3"/>
    <w:rsid w:val="07C37441"/>
    <w:rsid w:val="09DC0C8E"/>
    <w:rsid w:val="0A00497C"/>
    <w:rsid w:val="0A7F7F97"/>
    <w:rsid w:val="0B770C6E"/>
    <w:rsid w:val="0BBF22D8"/>
    <w:rsid w:val="0C1A784C"/>
    <w:rsid w:val="0E146C48"/>
    <w:rsid w:val="0E4312DC"/>
    <w:rsid w:val="0F20161D"/>
    <w:rsid w:val="0FC20017"/>
    <w:rsid w:val="101B4674"/>
    <w:rsid w:val="11FC4EDD"/>
    <w:rsid w:val="124F014F"/>
    <w:rsid w:val="125E3F78"/>
    <w:rsid w:val="130628D8"/>
    <w:rsid w:val="131119A8"/>
    <w:rsid w:val="13FA05E7"/>
    <w:rsid w:val="140B464A"/>
    <w:rsid w:val="14C01FB8"/>
    <w:rsid w:val="15C50828"/>
    <w:rsid w:val="15EE7D7F"/>
    <w:rsid w:val="16041350"/>
    <w:rsid w:val="16F861BD"/>
    <w:rsid w:val="174A5489"/>
    <w:rsid w:val="17CD1C16"/>
    <w:rsid w:val="17F673BF"/>
    <w:rsid w:val="18EE0096"/>
    <w:rsid w:val="19461C80"/>
    <w:rsid w:val="19610E9D"/>
    <w:rsid w:val="1A9E3F03"/>
    <w:rsid w:val="1AAB26E2"/>
    <w:rsid w:val="1ABF618E"/>
    <w:rsid w:val="1B495A57"/>
    <w:rsid w:val="1B544B28"/>
    <w:rsid w:val="1CCD4596"/>
    <w:rsid w:val="1CD53A47"/>
    <w:rsid w:val="1DB573D4"/>
    <w:rsid w:val="1DDB32DF"/>
    <w:rsid w:val="1EAFA8BE"/>
    <w:rsid w:val="1EE75CB3"/>
    <w:rsid w:val="1FA45952"/>
    <w:rsid w:val="211A5ECC"/>
    <w:rsid w:val="22171470"/>
    <w:rsid w:val="22372AAE"/>
    <w:rsid w:val="22E03145"/>
    <w:rsid w:val="238C6E29"/>
    <w:rsid w:val="23BA3996"/>
    <w:rsid w:val="245E07C6"/>
    <w:rsid w:val="246833F2"/>
    <w:rsid w:val="257302A1"/>
    <w:rsid w:val="25C428AA"/>
    <w:rsid w:val="25F72C80"/>
    <w:rsid w:val="26435EC5"/>
    <w:rsid w:val="26467763"/>
    <w:rsid w:val="277F4CDB"/>
    <w:rsid w:val="288051AE"/>
    <w:rsid w:val="2964062C"/>
    <w:rsid w:val="29DF4157"/>
    <w:rsid w:val="2A720B27"/>
    <w:rsid w:val="2B3758CC"/>
    <w:rsid w:val="2B8F74B6"/>
    <w:rsid w:val="2BDB094E"/>
    <w:rsid w:val="2C2916B9"/>
    <w:rsid w:val="2C5125C0"/>
    <w:rsid w:val="2C866B0B"/>
    <w:rsid w:val="2C8763E0"/>
    <w:rsid w:val="2CC3566A"/>
    <w:rsid w:val="2D216834"/>
    <w:rsid w:val="2DC53663"/>
    <w:rsid w:val="2E10609E"/>
    <w:rsid w:val="2E44125B"/>
    <w:rsid w:val="2E4C168F"/>
    <w:rsid w:val="2E734E6D"/>
    <w:rsid w:val="2ECD0A22"/>
    <w:rsid w:val="2F6824F8"/>
    <w:rsid w:val="2F7269F2"/>
    <w:rsid w:val="2FC33BD3"/>
    <w:rsid w:val="2FFE4C0B"/>
    <w:rsid w:val="31181CFC"/>
    <w:rsid w:val="311A1F18"/>
    <w:rsid w:val="31321010"/>
    <w:rsid w:val="314C05FA"/>
    <w:rsid w:val="32601BAD"/>
    <w:rsid w:val="33072028"/>
    <w:rsid w:val="34983880"/>
    <w:rsid w:val="35DB05D8"/>
    <w:rsid w:val="360F1920"/>
    <w:rsid w:val="36392E40"/>
    <w:rsid w:val="36C24BE4"/>
    <w:rsid w:val="36D31C2D"/>
    <w:rsid w:val="36F823B4"/>
    <w:rsid w:val="37503F9E"/>
    <w:rsid w:val="37A60062"/>
    <w:rsid w:val="37B24C58"/>
    <w:rsid w:val="3842422E"/>
    <w:rsid w:val="3862042D"/>
    <w:rsid w:val="388E1BF7"/>
    <w:rsid w:val="395D0EDF"/>
    <w:rsid w:val="3A453C39"/>
    <w:rsid w:val="3A4F49E1"/>
    <w:rsid w:val="3A993EAE"/>
    <w:rsid w:val="3B2A2D58"/>
    <w:rsid w:val="3C37397E"/>
    <w:rsid w:val="3C8666B4"/>
    <w:rsid w:val="3CDE204C"/>
    <w:rsid w:val="3E1026D9"/>
    <w:rsid w:val="3E691DE9"/>
    <w:rsid w:val="41232723"/>
    <w:rsid w:val="41870F04"/>
    <w:rsid w:val="418F600A"/>
    <w:rsid w:val="41BC7816"/>
    <w:rsid w:val="423B584A"/>
    <w:rsid w:val="42D55C9F"/>
    <w:rsid w:val="43AA2C88"/>
    <w:rsid w:val="44466E54"/>
    <w:rsid w:val="44C46402"/>
    <w:rsid w:val="44CE0BF8"/>
    <w:rsid w:val="45140D01"/>
    <w:rsid w:val="457E617A"/>
    <w:rsid w:val="45A04342"/>
    <w:rsid w:val="472665E5"/>
    <w:rsid w:val="47574ED5"/>
    <w:rsid w:val="482E1898"/>
    <w:rsid w:val="484A4A39"/>
    <w:rsid w:val="489B34E7"/>
    <w:rsid w:val="49920446"/>
    <w:rsid w:val="4A4831FA"/>
    <w:rsid w:val="4A5B2F2E"/>
    <w:rsid w:val="4AA93C99"/>
    <w:rsid w:val="4B58746D"/>
    <w:rsid w:val="4BC52D55"/>
    <w:rsid w:val="4BF4363A"/>
    <w:rsid w:val="4BF929FE"/>
    <w:rsid w:val="4C516396"/>
    <w:rsid w:val="4C5A6AE9"/>
    <w:rsid w:val="4C5C4D3B"/>
    <w:rsid w:val="4D52686A"/>
    <w:rsid w:val="4E58507B"/>
    <w:rsid w:val="4EF23735"/>
    <w:rsid w:val="4F0022F6"/>
    <w:rsid w:val="4F583EE0"/>
    <w:rsid w:val="4F766EB4"/>
    <w:rsid w:val="50131BB5"/>
    <w:rsid w:val="504B75A0"/>
    <w:rsid w:val="506A5F72"/>
    <w:rsid w:val="509D7A6C"/>
    <w:rsid w:val="51BC0756"/>
    <w:rsid w:val="51DD691E"/>
    <w:rsid w:val="527252B8"/>
    <w:rsid w:val="527B645E"/>
    <w:rsid w:val="52C35B14"/>
    <w:rsid w:val="5349426B"/>
    <w:rsid w:val="53E43F94"/>
    <w:rsid w:val="557F2026"/>
    <w:rsid w:val="564E3947"/>
    <w:rsid w:val="589A2E73"/>
    <w:rsid w:val="5A181CDE"/>
    <w:rsid w:val="5AD07020"/>
    <w:rsid w:val="5BB423E6"/>
    <w:rsid w:val="5BE10DB9"/>
    <w:rsid w:val="5BF684AE"/>
    <w:rsid w:val="5C0A0310"/>
    <w:rsid w:val="5C7E485A"/>
    <w:rsid w:val="5CC74453"/>
    <w:rsid w:val="5CE84AF5"/>
    <w:rsid w:val="5D0F6CD8"/>
    <w:rsid w:val="5D235B2D"/>
    <w:rsid w:val="5E0019CA"/>
    <w:rsid w:val="5EA83586"/>
    <w:rsid w:val="5EEB267A"/>
    <w:rsid w:val="5F97635E"/>
    <w:rsid w:val="61355E2F"/>
    <w:rsid w:val="62C0797A"/>
    <w:rsid w:val="62E0626E"/>
    <w:rsid w:val="633B34A5"/>
    <w:rsid w:val="63894210"/>
    <w:rsid w:val="64116F2D"/>
    <w:rsid w:val="64C33752"/>
    <w:rsid w:val="65E44319"/>
    <w:rsid w:val="68024591"/>
    <w:rsid w:val="680E1188"/>
    <w:rsid w:val="6874548F"/>
    <w:rsid w:val="68D45F2D"/>
    <w:rsid w:val="6908207B"/>
    <w:rsid w:val="69935DE8"/>
    <w:rsid w:val="69990F25"/>
    <w:rsid w:val="6A575068"/>
    <w:rsid w:val="6A5F5CCB"/>
    <w:rsid w:val="6B4A697B"/>
    <w:rsid w:val="6B4B7142"/>
    <w:rsid w:val="6CD504C6"/>
    <w:rsid w:val="6D45564C"/>
    <w:rsid w:val="6DC84111"/>
    <w:rsid w:val="6E8B1784"/>
    <w:rsid w:val="6EF72976"/>
    <w:rsid w:val="6F6873CF"/>
    <w:rsid w:val="6F887A72"/>
    <w:rsid w:val="6FE3DC76"/>
    <w:rsid w:val="7000585A"/>
    <w:rsid w:val="71AA30D4"/>
    <w:rsid w:val="727442DD"/>
    <w:rsid w:val="72A46970"/>
    <w:rsid w:val="72EB38EF"/>
    <w:rsid w:val="737067CE"/>
    <w:rsid w:val="755A3C5E"/>
    <w:rsid w:val="75D05CCE"/>
    <w:rsid w:val="75DB4D9F"/>
    <w:rsid w:val="77505319"/>
    <w:rsid w:val="78911B9C"/>
    <w:rsid w:val="792702FB"/>
    <w:rsid w:val="797D616D"/>
    <w:rsid w:val="7A212F9C"/>
    <w:rsid w:val="7A911ED0"/>
    <w:rsid w:val="7B8732D3"/>
    <w:rsid w:val="7B89704B"/>
    <w:rsid w:val="7BB1522D"/>
    <w:rsid w:val="7E0E3838"/>
    <w:rsid w:val="7FF60A27"/>
    <w:rsid w:val="94E32240"/>
    <w:rsid w:val="ABA44F0B"/>
    <w:rsid w:val="BA7B23C6"/>
    <w:rsid w:val="BDDE047A"/>
    <w:rsid w:val="BDFF5840"/>
    <w:rsid w:val="C8D732A9"/>
    <w:rsid w:val="DFFFB40C"/>
    <w:rsid w:val="F3FC91F4"/>
    <w:rsid w:val="F7FD6FDB"/>
    <w:rsid w:val="FAFCC7C9"/>
    <w:rsid w:val="FF390DA9"/>
    <w:rsid w:val="FFF88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方正仿宋" w:cs="Times New Roman"/>
      <w:kern w:val="2"/>
      <w:sz w:val="32"/>
      <w:szCs w:val="24"/>
      <w:lang w:val="en-US" w:eastAsia="zh-CN" w:bidi="ar-SA"/>
    </w:rPr>
  </w:style>
  <w:style w:type="paragraph" w:styleId="2">
    <w:name w:val="heading 1"/>
    <w:basedOn w:val="1"/>
    <w:next w:val="1"/>
    <w:qFormat/>
    <w:uiPriority w:val="0"/>
    <w:pPr>
      <w:keepNext/>
      <w:keepLines/>
      <w:spacing w:before="340" w:after="330" w:line="576" w:lineRule="auto"/>
      <w:ind w:firstLine="200" w:firstLineChars="200"/>
      <w:outlineLvl w:val="0"/>
    </w:pPr>
    <w:rPr>
      <w:rFonts w:ascii="Calibri" w:hAnsi="Calibri" w:eastAsia="宋体"/>
      <w:b/>
      <w:kern w:val="44"/>
      <w:sz w:val="44"/>
      <w:szCs w:val="22"/>
    </w:rPr>
  </w:style>
  <w:style w:type="paragraph" w:styleId="3">
    <w:name w:val="heading 2"/>
    <w:basedOn w:val="1"/>
    <w:next w:val="1"/>
    <w:qFormat/>
    <w:uiPriority w:val="0"/>
    <w:pPr>
      <w:keepNext/>
      <w:keepLines/>
      <w:tabs>
        <w:tab w:val="left" w:pos="426"/>
        <w:tab w:val="left" w:pos="567"/>
      </w:tabs>
      <w:spacing w:before="260" w:after="260" w:line="360" w:lineRule="auto"/>
      <w:outlineLvl w:val="1"/>
    </w:pPr>
    <w:rPr>
      <w:rFonts w:ascii="宋体" w:hAnsi="宋体"/>
      <w:b/>
      <w:bCs/>
      <w:iCs/>
      <w:color w:val="000000"/>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360" w:lineRule="auto"/>
      <w:ind w:firstLine="420" w:firstLineChars="200"/>
    </w:pPr>
    <w:rPr>
      <w:sz w:val="21"/>
    </w:rPr>
  </w:style>
  <w:style w:type="paragraph" w:styleId="5">
    <w:name w:val="annotation text"/>
    <w:basedOn w:val="1"/>
    <w:qFormat/>
    <w:uiPriority w:val="0"/>
    <w:pPr>
      <w:jc w:val="left"/>
    </w:pPr>
  </w:style>
  <w:style w:type="paragraph" w:styleId="6">
    <w:name w:val="Body Text"/>
    <w:basedOn w:val="1"/>
    <w:next w:val="7"/>
    <w:qFormat/>
    <w:uiPriority w:val="0"/>
    <w:rPr>
      <w:rFonts w:eastAsia="宋体"/>
      <w:sz w:val="18"/>
    </w:rPr>
  </w:style>
  <w:style w:type="paragraph" w:styleId="7">
    <w:name w:val="Body Text First Indent"/>
    <w:basedOn w:val="6"/>
    <w:unhideWhenUsed/>
    <w:qFormat/>
    <w:uiPriority w:val="0"/>
    <w:pPr>
      <w:ind w:firstLine="420" w:firstLineChars="1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2">
    <w:name w:val="annotation reference"/>
    <w:qFormat/>
    <w:uiPriority w:val="0"/>
    <w:rPr>
      <w:sz w:val="21"/>
    </w:rPr>
  </w:style>
  <w:style w:type="paragraph" w:customStyle="1" w:styleId="13">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 w:type="paragraph" w:customStyle="1" w:styleId="14">
    <w:name w:val="修订1"/>
    <w:hidden/>
    <w:unhideWhenUsed/>
    <w:qFormat/>
    <w:uiPriority w:val="99"/>
    <w:pPr>
      <w:spacing w:after="160" w:line="278" w:lineRule="auto"/>
    </w:pPr>
    <w:rPr>
      <w:rFonts w:ascii="Times New Roman" w:hAnsi="Times New Roman" w:eastAsia="方正仿宋" w:cs="Times New Roman"/>
      <w:kern w:val="2"/>
      <w:sz w:val="32"/>
      <w:szCs w:val="24"/>
      <w:lang w:val="en-US" w:eastAsia="zh-CN" w:bidi="ar-SA"/>
    </w:rPr>
  </w:style>
  <w:style w:type="paragraph" w:customStyle="1" w:styleId="15">
    <w:name w:val="通用标题4"/>
    <w:next w:val="1"/>
    <w:qFormat/>
    <w:uiPriority w:val="0"/>
    <w:pPr>
      <w:numPr>
        <w:ilvl w:val="2"/>
        <w:numId w:val="1"/>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16">
    <w:name w:val="Revision"/>
    <w:hidden/>
    <w:unhideWhenUsed/>
    <w:qFormat/>
    <w:uiPriority w:val="99"/>
    <w:pPr>
      <w:spacing w:after="0" w:line="240" w:lineRule="auto"/>
    </w:pPr>
    <w:rPr>
      <w:rFonts w:ascii="Times New Roman" w:hAnsi="Times New Roman" w:eastAsia="方正仿宋"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4167</Words>
  <Characters>23758</Characters>
  <Lines>197</Lines>
  <Paragraphs>55</Paragraphs>
  <TotalTime>15</TotalTime>
  <ScaleCrop>false</ScaleCrop>
  <LinksUpToDate>false</LinksUpToDate>
  <CharactersWithSpaces>27870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2024-10-26T07:30:00Z</dcterms:created>
  <dc:creator>小维</dc:creator>
  <cp:lastModifiedBy>uos</cp:lastModifiedBy>
  <cp:lastPrinted>2024-10-31T10:19:00Z</cp:lastPrinted>
  <dcterms:modified xsi:type="dcterms:W3CDTF">2025-07-07T15:07:52Z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CB1E34299D1348138E4EA8C847470D5F_13</vt:lpwstr>
  </property>
  <property fmtid="{D5CDD505-2E9C-101B-9397-08002B2CF9AE}" pid="4" name="KSOTemplateDocerSaveRecord">
    <vt:lpwstr>eyJoZGlkIjoiYmM0ZTJlZGE0NjA5NTY1N2Y5OWE0NDQ5MjdkZTM4ZjMiLCJ1c2VySWQiOiI3MjQ4NzM4NjkifQ==</vt:lpwstr>
  </property>
</Properties>
</file>