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版本号：N510101202500128720250724001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文体馆及蓉苑防水综合维修项目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N5101012025001287</w:t>
      </w:r>
    </w:p>
    <w:p>
      <w:pPr>
        <w:pStyle w:val="null3"/>
        <w:jc w:val="center"/>
        <w:outlineLvl w:val="2"/>
      </w:pPr>
      <w:r>
        <w:rPr>
          <w:rFonts w:ascii="仿宋_GB2312" w:hAnsi="仿宋_GB2312" w:cs="仿宋_GB2312" w:eastAsia="仿宋_GB2312"/>
          <w:sz w:val="28"/>
          <w:b/>
        </w:rPr>
        <w:t>中共成都市委党校</w:t>
      </w:r>
    </w:p>
    <w:p>
      <w:pPr>
        <w:pStyle w:val="null3"/>
        <w:jc w:val="center"/>
        <w:outlineLvl w:val="2"/>
      </w:pPr>
      <w:r>
        <w:rPr>
          <w:rFonts w:ascii="仿宋_GB2312" w:hAnsi="仿宋_GB2312" w:cs="仿宋_GB2312" w:eastAsia="仿宋_GB2312"/>
          <w:sz w:val="28"/>
          <w:b/>
        </w:rPr>
        <w:t>成都市政府采购中心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成都市政府采购中心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中共成都市委党校</w:t>
      </w:r>
      <w:r>
        <w:rPr>
          <w:rFonts w:ascii="仿宋_GB2312" w:hAnsi="仿宋_GB2312" w:cs="仿宋_GB2312" w:eastAsia="仿宋_GB2312"/>
        </w:rPr>
        <w:t xml:space="preserve"> 委托，拟对 </w:t>
      </w:r>
      <w:r>
        <w:rPr>
          <w:rFonts w:ascii="仿宋_GB2312" w:hAnsi="仿宋_GB2312" w:cs="仿宋_GB2312" w:eastAsia="仿宋_GB2312"/>
        </w:rPr>
        <w:t>文体馆及蓉苑防水综合维修项目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N5101012025001287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文体馆及蓉苑防水综合维修项目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1、资金来源、预算金额及最高限价：财政性资金，政府采购实施计划备案表号：51010025210200040547；预算品目：房屋修缮；预算金额：4379500元，最高限价：3681283.34元。 2、投诉受理单位：本项目同级财政部门，即成都市财政局。 联系电话：028-61882648。 地址：成都市高新区锦城大道366号。 邮编：610041。 3、采购内容：本项目为防水综合维修项目，含两栋建筑物：文体馆及蓉苑。1.文体馆：主要为防水改造，门头上方屋面、楼梯平台防水改造，外立面铝板及玻璃幕墙打结构胶，文体馆屋顶铝板屋面区域重做防水，屋顶彩钢棚翻新；文体馆球场区域改造，室内部分墙面、暖通风管翻新等。蓉苑：蓉苑屋面防水改造。2.具体实施内容以图纸为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在政府采购合同签订后5日内向采购人提交在有效期内的四川省住房和城乡建设厅官网已公开的入川信息网页截图”的承诺或在响应文件中提供有效期内的四川省住房和城乡建设厅官网已公开的入川信息网页截图。（描述：在响应文件中提供“在政府采购合同签订后5日内向采购人提交在有效期内的四川省住房和城乡建设厅官网已公开的入川信息网页截图”的承诺或在响应文件中提供有效期内的四川省住房和城乡建设厅官网已公开的入川信息网页截图。（上述两种方式二选一即可）。供应商需在交易系统中按要求上传相应证明文件并进行电子签章。）</w:t>
      </w:r>
    </w:p>
    <w:p>
      <w:pPr>
        <w:pStyle w:val="null3"/>
        <w:jc w:val="left"/>
      </w:pPr>
      <w:r>
        <w:rPr>
          <w:rFonts w:ascii="仿宋_GB2312" w:hAnsi="仿宋_GB2312" w:cs="仿宋_GB2312" w:eastAsia="仿宋_GB2312"/>
        </w:rPr>
        <w:t>3、其他要求（描述：供应商资质证书载明有效期届满的，应出具住房和城乡建设有关行政部门出具的关于延长有关建设工程企业资质有效期的通告等证明材料。）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中共成都市委党校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成都市龙泉驿区驿都西路1492号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唐嘉琦</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028-65983081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成都市政府采购中心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成都市天府大道北段966号天府国际金融中心7号楼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高文豪</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028-85987027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采购包1：4,379,500.00元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保函/保险</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中共成都市委党校</w:t>
      </w:r>
      <w:r>
        <w:rPr>
          <w:rFonts w:ascii="仿宋_GB2312" w:hAnsi="仿宋_GB2312" w:cs="仿宋_GB2312" w:eastAsia="仿宋_GB2312"/>
        </w:rPr>
        <w:t xml:space="preserve"> 和 </w:t>
      </w:r>
      <w:r>
        <w:rPr>
          <w:rFonts w:ascii="仿宋_GB2312" w:hAnsi="仿宋_GB2312" w:cs="仿宋_GB2312" w:eastAsia="仿宋_GB2312"/>
        </w:rPr>
        <w:t>成都市政府采购中心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中共成都市委党校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成都市政府采购中心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供应商提出经监理单位审核同意后的书面验收申请报告</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具体内容以签订合同条款为准。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采购人严格按照本项目磋商文件要求、成交供应商响应文件应答情况、以及国家行业主管部门规定的标准、方法和内容进行验收。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采购人严格按照本项目磋商文件“商务要求”及成交供应商响应文件进行验收。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严格按照《财政部关于进一步加强政府采购需求和履约验收管理的指导意见》（财库〔2016〕205号）的要求、本项目磋商文件规定的要求和成交供应商响应文件及本项目合同承诺的内容。</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验收结果合格的，成交供应商凭验收报告办理相关手续；验收结果不合格的，将不予支付剩余合同款项。</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中共成都市委党校</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成都市政府采购中心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联系人：唐嘉琦</w:t>
      </w:r>
    </w:p>
    <w:p>
      <w:pPr>
        <w:pStyle w:val="null3"/>
        <w:jc w:val="left"/>
      </w:pPr>
      <w:r>
        <w:rPr>
          <w:rFonts w:ascii="仿宋_GB2312" w:hAnsi="仿宋_GB2312" w:cs="仿宋_GB2312" w:eastAsia="仿宋_GB2312"/>
        </w:rPr>
        <w:t>联系电话：028-65983081</w:t>
      </w:r>
    </w:p>
    <w:p>
      <w:pPr>
        <w:pStyle w:val="null3"/>
        <w:jc w:val="left"/>
      </w:pPr>
      <w:r>
        <w:rPr>
          <w:rFonts w:ascii="仿宋_GB2312" w:hAnsi="仿宋_GB2312" w:cs="仿宋_GB2312" w:eastAsia="仿宋_GB2312"/>
        </w:rPr>
        <w:t>地址：成都市龙泉驿区驿都西路1492号</w:t>
      </w:r>
    </w:p>
    <w:p>
      <w:pPr>
        <w:pStyle w:val="null3"/>
        <w:jc w:val="left"/>
      </w:pPr>
      <w:r>
        <w:rPr>
          <w:rFonts w:ascii="仿宋_GB2312" w:hAnsi="仿宋_GB2312" w:cs="仿宋_GB2312" w:eastAsia="仿宋_GB2312"/>
        </w:rPr>
        <w:t>邮编：610110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联系人：高文豪</w:t>
      </w:r>
    </w:p>
    <w:p>
      <w:pPr>
        <w:pStyle w:val="null3"/>
        <w:jc w:val="left"/>
      </w:pPr>
      <w:r>
        <w:rPr>
          <w:rFonts w:ascii="仿宋_GB2312" w:hAnsi="仿宋_GB2312" w:cs="仿宋_GB2312" w:eastAsia="仿宋_GB2312"/>
        </w:rPr>
        <w:t>联系电话：028-85987027</w:t>
      </w:r>
    </w:p>
    <w:p>
      <w:pPr>
        <w:pStyle w:val="null3"/>
        <w:jc w:val="left"/>
      </w:pPr>
      <w:r>
        <w:rPr>
          <w:rFonts w:ascii="仿宋_GB2312" w:hAnsi="仿宋_GB2312" w:cs="仿宋_GB2312" w:eastAsia="仿宋_GB2312"/>
        </w:rPr>
        <w:t>地址：成都市天府大道北段966号天府国际金融中心7号楼</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4,379,500.00</w:t>
      </w:r>
    </w:p>
    <w:p>
      <w:pPr>
        <w:pStyle w:val="null3"/>
        <w:jc w:val="left"/>
      </w:pPr>
      <w:r>
        <w:rPr>
          <w:rFonts w:ascii="仿宋_GB2312" w:hAnsi="仿宋_GB2312" w:cs="仿宋_GB2312" w:eastAsia="仿宋_GB2312"/>
        </w:rPr>
        <w:t>采购包最高限价（元）: 3,681,283.34</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B08010000 房屋修缮</w:t>
            </w:r>
          </w:p>
        </w:tc>
        <w:tc>
          <w:tcPr>
            <w:tcW w:type="dxa" w:w="821"/>
          </w:tcPr>
          <w:p>
            <w:pPr>
              <w:pStyle w:val="null3"/>
              <w:jc w:val="left"/>
            </w:pPr>
            <w:r>
              <w:rPr>
                <w:rFonts w:ascii="仿宋_GB2312" w:hAnsi="仿宋_GB2312" w:cs="仿宋_GB2312" w:eastAsia="仿宋_GB2312"/>
              </w:rPr>
              <w:t>市委党校文体馆及蓉苑防水综合维修工程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3,681,283.34</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市委党校文体馆及蓉苑防水综合维修工程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3,681,283.34</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市委党校文体馆及蓉苑防水综合维修工程</w:t>
            </w:r>
          </w:p>
        </w:tc>
        <w:tc>
          <w:tcPr>
            <w:tcW w:type="dxa" w:w="2492"/>
          </w:tcPr>
          <w:p>
            <w:pPr>
              <w:pStyle w:val="null3"/>
              <w:jc w:val="left"/>
            </w:pPr>
            <w:r>
              <w:rPr>
                <w:rFonts w:ascii="仿宋_GB2312" w:hAnsi="仿宋_GB2312" w:cs="仿宋_GB2312" w:eastAsia="仿宋_GB2312"/>
              </w:rPr>
              <w:t>1.5厚高分子自粘湿铺防水卷材（品目：A10030903 自粘防水卷材；依据的标准：HJ455 防水卷材）</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市委党校文体馆及蓉苑防水综合维修工程</w:t>
            </w:r>
          </w:p>
        </w:tc>
        <w:tc>
          <w:tcPr>
            <w:tcW w:type="dxa" w:w="2492"/>
          </w:tcPr>
          <w:p>
            <w:pPr>
              <w:pStyle w:val="null3"/>
              <w:jc w:val="left"/>
            </w:pPr>
            <w:r>
              <w:rPr>
                <w:rFonts w:ascii="仿宋_GB2312" w:hAnsi="仿宋_GB2312" w:cs="仿宋_GB2312" w:eastAsia="仿宋_GB2312"/>
              </w:rPr>
              <w:t>阻燃实木面板（品目：A10020399 其他人造板；依据的标准：HJ571 人造板及其制品）</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市委党校文体馆及蓉苑防水综合维修工程</w:t>
            </w:r>
          </w:p>
        </w:tc>
        <w:tc>
          <w:tcPr>
            <w:tcW w:type="dxa" w:w="2492"/>
          </w:tcPr>
          <w:p>
            <w:pPr>
              <w:pStyle w:val="null3"/>
              <w:jc w:val="left"/>
            </w:pPr>
            <w:r>
              <w:rPr>
                <w:rFonts w:ascii="仿宋_GB2312" w:hAnsi="仿宋_GB2312" w:cs="仿宋_GB2312" w:eastAsia="仿宋_GB2312"/>
              </w:rPr>
              <w:t>亚克力板（品目：A180201 塑料制品；依据的标准：HJ/T231 再生塑料制品）</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市委党校文体馆及蓉苑防水综合维修工程</w:t>
            </w:r>
          </w:p>
        </w:tc>
        <w:tc>
          <w:tcPr>
            <w:tcW w:type="dxa" w:w="2492"/>
          </w:tcPr>
          <w:p>
            <w:pPr>
              <w:pStyle w:val="null3"/>
              <w:jc w:val="left"/>
            </w:pPr>
            <w:r>
              <w:rPr>
                <w:rFonts w:ascii="仿宋_GB2312" w:hAnsi="仿宋_GB2312" w:cs="仿宋_GB2312" w:eastAsia="仿宋_GB2312"/>
              </w:rPr>
              <w:t>合成高分子防水涂料Csy（品目：A10060499 其他防水涂料；依据的标准：HJ2537 水性涂料）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市委党校文体馆及蓉苑防水综合维修工程</w:t>
            </w:r>
          </w:p>
        </w:tc>
        <w:tc>
          <w:tcPr>
            <w:tcW w:type="dxa" w:w="2492"/>
          </w:tcPr>
          <w:p>
            <w:pPr>
              <w:pStyle w:val="null3"/>
              <w:jc w:val="left"/>
            </w:pPr>
            <w:r>
              <w:rPr>
                <w:rFonts w:ascii="仿宋_GB2312" w:hAnsi="仿宋_GB2312" w:cs="仿宋_GB2312" w:eastAsia="仿宋_GB2312"/>
              </w:rPr>
              <w:t>SBS改性沥青涂料（品目：A10030901 沥青和改性沥青防水卷材；依据的标准：HJ455 防水卷材）、弹性体(SBS)改性沥青防水卷材 II PY PE（品目：A10030901 沥青和改性沥青防水卷材；依据的标准：HJ455 防水卷材）</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市委党校文体馆及蓉苑防水综合维修工程</w:t>
            </w:r>
          </w:p>
        </w:tc>
        <w:tc>
          <w:tcPr>
            <w:tcW w:type="dxa" w:w="2492"/>
          </w:tcPr>
          <w:p>
            <w:pPr>
              <w:pStyle w:val="null3"/>
              <w:jc w:val="left"/>
            </w:pPr>
            <w:r>
              <w:rPr>
                <w:rFonts w:ascii="仿宋_GB2312" w:hAnsi="仿宋_GB2312" w:cs="仿宋_GB2312" w:eastAsia="仿宋_GB2312"/>
              </w:rPr>
              <w:t>LC5.0轻集料混凝土（品目：A10030301 商品混凝土；依据的标准：HJ/T412 预拌混凝土）、商品细石混凝土（品目：A10030301 商品混凝土；依据的标准：HJ/T412 预拌混凝土）</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市委党校文体馆及蓉苑防水综合维修工程</w:t>
            </w:r>
          </w:p>
        </w:tc>
        <w:tc>
          <w:tcPr>
            <w:tcW w:type="dxa" w:w="2492"/>
          </w:tcPr>
          <w:p>
            <w:pPr>
              <w:pStyle w:val="null3"/>
              <w:jc w:val="left"/>
            </w:pPr>
            <w:r>
              <w:rPr>
                <w:rFonts w:ascii="仿宋_GB2312" w:hAnsi="仿宋_GB2312" w:cs="仿宋_GB2312" w:eastAsia="仿宋_GB2312"/>
              </w:rPr>
              <w:t>毛地板（品目：A10020404 人造板表面装饰板（地板）；依据的标准：HJ571 人造板及其制品/HJ2540 木塑制品）</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市委党校文体馆及蓉苑防水综合维修工程</w:t>
            </w:r>
          </w:p>
        </w:tc>
        <w:tc>
          <w:tcPr>
            <w:tcW w:type="dxa" w:w="2492"/>
          </w:tcPr>
          <w:p>
            <w:pPr>
              <w:pStyle w:val="null3"/>
              <w:jc w:val="left"/>
            </w:pPr>
            <w:r>
              <w:rPr>
                <w:rFonts w:ascii="仿宋_GB2312" w:hAnsi="仿宋_GB2312" w:cs="仿宋_GB2312" w:eastAsia="仿宋_GB2312"/>
              </w:rPr>
              <w:t>胶合阻燃板（品目：A10020301 胶合板；依据的标准：HJ571 人造板及其制品）</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市委党校文体馆及蓉苑防水综合维修工程</w:t>
            </w:r>
          </w:p>
        </w:tc>
        <w:tc>
          <w:tcPr>
            <w:tcW w:type="dxa" w:w="2492"/>
          </w:tcPr>
          <w:p>
            <w:pPr>
              <w:pStyle w:val="null3"/>
              <w:jc w:val="left"/>
            </w:pPr>
            <w:r>
              <w:rPr>
                <w:rFonts w:ascii="仿宋_GB2312" w:hAnsi="仿宋_GB2312" w:cs="仿宋_GB2312" w:eastAsia="仿宋_GB2312"/>
              </w:rPr>
              <w:t>无机涂料面漆（品目：A10060299 其他墙面涂料；依据的标准：HJ2537 水性涂料）、无机涂料底漆（品目：A10060299 其他墙面涂料；依据的标准：HJ2537 水性涂料）、稀释剂（品目：A10060299 其他墙面涂料；依据的标准：HJ2537 水性涂料）、界面剂（品目：A10060299 其他墙面涂料；依据的标准：HJ2537 水性涂料）、酚醛调和漆（品目：A10060299 其他墙面涂料；依据的标准：HJ2537 水性涂料）、醇酸防锈漆（品目：A10060299 其他墙面涂料；依据的标准：HJ2537 水性涂料）、红丹酚醛防锈漆（品目：A10060299 其他墙面涂料；依据的标准：HJ2537 水性涂料）、氟碳漆（品目：A10060299 其他墙面涂料；依据的标准：HJ2537 水性涂料）、油漆溶剂油（品目：A10060299 其他墙面涂料；依据的标准：HJ2537 水性涂料）、丙烯酸涂料（品目：A10060299 其他墙面涂料；依据的标准：HJ2537 水性涂料）</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市委党校文体馆及蓉苑防水综合维修工程</w:t>
            </w:r>
          </w:p>
        </w:tc>
        <w:tc>
          <w:tcPr>
            <w:tcW w:type="dxa" w:w="2492"/>
          </w:tcPr>
          <w:p>
            <w:pPr>
              <w:pStyle w:val="null3"/>
              <w:jc w:val="left"/>
            </w:pPr>
            <w:r>
              <w:rPr>
                <w:rFonts w:ascii="仿宋_GB2312" w:hAnsi="仿宋_GB2312" w:cs="仿宋_GB2312" w:eastAsia="仿宋_GB2312"/>
              </w:rPr>
              <w:t>纸面石膏板（品目：A10030501 石膏板；依据的标准：HJ/T223 轻质墙体板材）</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市委党校文体馆及蓉苑防水综合维修工程</w:t>
            </w:r>
          </w:p>
        </w:tc>
        <w:tc>
          <w:tcPr>
            <w:tcW w:type="dxa" w:w="2492"/>
          </w:tcPr>
          <w:p>
            <w:pPr>
              <w:pStyle w:val="null3"/>
              <w:jc w:val="left"/>
            </w:pPr>
            <w:r>
              <w:rPr>
                <w:rFonts w:ascii="仿宋_GB2312" w:hAnsi="仿宋_GB2312" w:cs="仿宋_GB2312" w:eastAsia="仿宋_GB2312"/>
              </w:rPr>
              <w:t>胶粘剂（品目：A170112 密封用填料及类似品；依据的标准：HJ2541 胶粘剂）、耐候胶（品目：A170112 密封用填料及类似品；依据的标准：HJ2541 胶粘剂）、结构胶（品目：A170112 密封用填料及类似品；依据的标准：HJ2541 胶粘剂）、建筑油膏（品目：A170112 密封用填料及类似品；依据的标准：HJ2541 胶粘剂）、密封胶条（品目：A170112 密封用填料及类似品；依据的标准：HJ2541 胶粘剂）、立得时胶（品目：A170112 密封用填料及类似品；依据的标准：HJ2541 胶粘剂）、沥清油毡（品目：A170112 密封用填料及类似品；依据的标准：HJ2541 胶粘剂）、改性沥青嵌缝油膏（品目：A170112 密封用填料及类似品；依据的标准：HJ2541 胶粘剂）、密封膏（品目：A170112 密封用填料及类似品；依据的标准：HJ2541 胶粘剂）</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市委党校文体馆及蓉苑防水综合维修工程</w:t>
            </w:r>
          </w:p>
        </w:tc>
        <w:tc>
          <w:tcPr>
            <w:tcW w:type="dxa" w:w="2492"/>
          </w:tcPr>
          <w:p>
            <w:pPr>
              <w:pStyle w:val="null3"/>
              <w:jc w:val="left"/>
            </w:pPr>
            <w:r>
              <w:rPr>
                <w:rFonts w:ascii="仿宋_GB2312" w:hAnsi="仿宋_GB2312" w:cs="仿宋_GB2312" w:eastAsia="仿宋_GB2312"/>
              </w:rPr>
              <w:t>粘结剂（品目：A170112 密封用填料及类似品；依据的标准：HJ2541 胶粘剂）、建筑焦油（品目：A170112 密封用填料及类似品；依据的标准：HJ2541 胶粘剂）、橡胶密封条（品目：A170112 密封用填料及类似品；依据的标准：HJ2541 胶粘剂）</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市委党校文体馆及蓉苑防水综合维修工程</w:t>
            </w:r>
          </w:p>
        </w:tc>
        <w:tc>
          <w:tcPr>
            <w:tcW w:type="dxa" w:w="2492"/>
          </w:tcPr>
          <w:p>
            <w:pPr>
              <w:pStyle w:val="null3"/>
              <w:jc w:val="left"/>
            </w:pPr>
            <w:r>
              <w:rPr>
                <w:rFonts w:ascii="仿宋_GB2312" w:hAnsi="仿宋_GB2312" w:cs="仿宋_GB2312" w:eastAsia="仿宋_GB2312"/>
              </w:rPr>
              <w:t>防滑地砖（品目：A10030701 瓷质砖；依据的标准：HJ/T297 陶瓷砖）</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市委党校文体馆及蓉苑防水综合维修工程</w:t>
            </w:r>
          </w:p>
        </w:tc>
        <w:tc>
          <w:tcPr>
            <w:tcW w:type="dxa" w:w="2492"/>
          </w:tcPr>
          <w:p>
            <w:pPr>
              <w:pStyle w:val="null3"/>
              <w:jc w:val="left"/>
            </w:pPr>
            <w:r>
              <w:rPr>
                <w:rFonts w:ascii="仿宋_GB2312" w:hAnsi="仿宋_GB2312" w:cs="仿宋_GB2312" w:eastAsia="仿宋_GB2312"/>
              </w:rPr>
              <w:t>PVC管（品目：A180201 塑料制品；依据的标准：HJ/T226 建筑用塑料管材）、PVC管外接（品目：A180201 塑料制品；依据的标准：HJ/T226 建筑用塑料管材）、PVC管三通（品目：A180201 塑料制品；依据的标准：HJ/T226 建筑用塑料管材）、PVC管弯头（品目：A180201 塑料制品；依据的标准：HJ/T226 建筑用塑料管材）</w:t>
            </w:r>
          </w:p>
        </w:tc>
      </w:tr>
      <w:tr>
        <w:tc>
          <w:tcPr>
            <w:tcW w:type="dxa" w:w="831"/>
          </w:tcPr>
          <w:p>
            <w:pPr>
              <w:pStyle w:val="null3"/>
              <w:jc w:val="left"/>
            </w:pPr>
            <w:r>
              <w:rPr>
                <w:rFonts w:ascii="仿宋_GB2312" w:hAnsi="仿宋_GB2312" w:cs="仿宋_GB2312" w:eastAsia="仿宋_GB2312"/>
              </w:rPr>
              <w:t>15</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市委党校文体馆及蓉苑防水综合维修工程</w:t>
            </w:r>
          </w:p>
        </w:tc>
        <w:tc>
          <w:tcPr>
            <w:tcW w:type="dxa" w:w="2492"/>
          </w:tcPr>
          <w:p>
            <w:pPr>
              <w:pStyle w:val="null3"/>
              <w:jc w:val="left"/>
            </w:pPr>
            <w:r>
              <w:rPr>
                <w:rFonts w:ascii="仿宋_GB2312" w:hAnsi="仿宋_GB2312" w:cs="仿宋_GB2312" w:eastAsia="仿宋_GB2312"/>
              </w:rPr>
              <w:t>水泥（品目：A10030102 水泥；依据的标准：HJ2519 水泥）、白水泥（品目：A10030102 水泥；依据的标准：HJ2519 水泥）</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标的名称：市委党校文体馆及蓉苑防水综合维修工程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现场踏勘</w:t>
            </w:r>
          </w:p>
        </w:tc>
        <w:tc>
          <w:tcPr>
            <w:tcW w:type="dxa" w:w="5814"/>
          </w:tcPr>
          <w:p>
            <w:pPr>
              <w:pStyle w:val="null3"/>
              <w:jc w:val="left"/>
            </w:pPr>
            <w:r>
              <w:rPr>
                <w:rFonts w:ascii="仿宋_GB2312" w:hAnsi="仿宋_GB2312" w:cs="仿宋_GB2312" w:eastAsia="仿宋_GB2312"/>
                <w:sz w:val="21"/>
              </w:rPr>
              <w:t>供应商可自行到项目现场实地踏勘。联系人：唐老师、王老师，联系电话：028-65983081、18728430394；028-65983075、17311264676（需提前联系）。现场踏勘所发生的费用由供应商自己承担，供应商进入现场后，由于自身的行为所造成的人身伤害、财产损失或损坏由供应商自行承担责任，采购人不承担任何责任。</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施工组织设计方案</w:t>
            </w:r>
          </w:p>
        </w:tc>
        <w:tc>
          <w:tcPr>
            <w:tcW w:type="dxa" w:w="5814"/>
          </w:tcPr>
          <w:p>
            <w:pPr>
              <w:pStyle w:val="null3"/>
              <w:jc w:val="both"/>
            </w:pPr>
            <w:r>
              <w:rPr>
                <w:rFonts w:ascii="仿宋_GB2312" w:hAnsi="仿宋_GB2312" w:cs="仿宋_GB2312" w:eastAsia="仿宋_GB2312"/>
                <w:sz w:val="21"/>
              </w:rPr>
              <w:t>供应商提供的施工组织设计方案应包括进度计划、质量保证措施、安全保证措施、资源配置计划、环保文明措施、应急预案、施工工艺的内容，具体要求如下：</w:t>
            </w:r>
          </w:p>
          <w:p>
            <w:pPr>
              <w:pStyle w:val="null3"/>
              <w:jc w:val="both"/>
            </w:pPr>
            <w:r>
              <w:rPr>
                <w:rFonts w:ascii="仿宋_GB2312" w:hAnsi="仿宋_GB2312" w:cs="仿宋_GB2312" w:eastAsia="仿宋_GB2312"/>
                <w:sz w:val="21"/>
              </w:rPr>
              <w:t>（1）施工进度计划：围绕本项展开详细的阐述，至少应包含：①施工进度计划表（图）；②组织机构及保证措施。</w:t>
            </w:r>
          </w:p>
          <w:p>
            <w:pPr>
              <w:pStyle w:val="null3"/>
              <w:jc w:val="both"/>
            </w:pPr>
            <w:r>
              <w:rPr>
                <w:rFonts w:ascii="仿宋_GB2312" w:hAnsi="仿宋_GB2312" w:cs="仿宋_GB2312" w:eastAsia="仿宋_GB2312"/>
                <w:sz w:val="21"/>
              </w:rPr>
              <w:t>（2）质量保证措施：围绕本项展开详细的阐述，至少应包含：①项目质量目标；②项目质量管理的组织机构以及分工、职责和管理制度；③技术保障和资源保障措施；④质量全过程检查制度，以及质量事故的处理规定。</w:t>
            </w:r>
          </w:p>
          <w:p>
            <w:pPr>
              <w:pStyle w:val="null3"/>
              <w:jc w:val="both"/>
            </w:pPr>
            <w:r>
              <w:rPr>
                <w:rFonts w:ascii="仿宋_GB2312" w:hAnsi="仿宋_GB2312" w:cs="仿宋_GB2312" w:eastAsia="仿宋_GB2312"/>
                <w:sz w:val="21"/>
              </w:rPr>
              <w:t>（3）安全保证措施：围绕本项展开详细的阐述，至少应包含：①项目重要危险源分析以及项目安全管理目标；②安全管理组织机构以及分工、职责；③安全生产管理制度和职工安全教育培训制度；④施工安全、消防安全、安保安全的保证措施；⑤现场安全检查制度，以及安全事故的处理规定；⑥外部人员参观的管理措施。</w:t>
            </w:r>
          </w:p>
          <w:p>
            <w:pPr>
              <w:pStyle w:val="null3"/>
              <w:jc w:val="both"/>
            </w:pPr>
            <w:r>
              <w:rPr>
                <w:rFonts w:ascii="仿宋_GB2312" w:hAnsi="仿宋_GB2312" w:cs="仿宋_GB2312" w:eastAsia="仿宋_GB2312"/>
                <w:sz w:val="21"/>
              </w:rPr>
              <w:t>（4）资源配置计划：围绕本项展开详细的阐述，至少应包含：①分部（分项）施工技术交底计划，主要材料检验、进场复检计划；②现场生产临时设施布置计划；③资金使用及保障计划；④施工的用工工种及用工数量，具有技术工人持证上岗和施工人员岗前培训计划；⑤施工所需主要材料的进场时间计划以及所需的施工机具设备的种类、数量、使用部位及进出场时间。</w:t>
            </w:r>
          </w:p>
          <w:p>
            <w:pPr>
              <w:pStyle w:val="null3"/>
              <w:jc w:val="both"/>
            </w:pPr>
            <w:r>
              <w:rPr>
                <w:rFonts w:ascii="仿宋_GB2312" w:hAnsi="仿宋_GB2312" w:cs="仿宋_GB2312" w:eastAsia="仿宋_GB2312"/>
                <w:sz w:val="21"/>
              </w:rPr>
              <w:t>（5）环保文明措施：围绕本项展开详细的阐述，至少应包含：①项目文明施工与环境管理目标；②项目文明施工与环境管理的组织机构，以及分工、职责；③项目文明施工与环境保护方面的资源配置；④项目文明施工与现场环境保护的控制措施；⑤项目文明施工与现场环境检查制度，以及环境事故的处理规定。</w:t>
            </w:r>
          </w:p>
          <w:p>
            <w:pPr>
              <w:pStyle w:val="null3"/>
              <w:jc w:val="both"/>
            </w:pPr>
            <w:r>
              <w:rPr>
                <w:rFonts w:ascii="仿宋_GB2312" w:hAnsi="仿宋_GB2312" w:cs="仿宋_GB2312" w:eastAsia="仿宋_GB2312"/>
                <w:sz w:val="21"/>
              </w:rPr>
              <w:t>（6）应急预案：围绕本项展开详细的阐述，至少应包含：①天气、交通状况、季节、安全、赶工的应急处理方案；②突发事件的应急响应预案、处理措施。</w:t>
            </w:r>
          </w:p>
          <w:p>
            <w:pPr>
              <w:pStyle w:val="null3"/>
              <w:jc w:val="both"/>
            </w:pPr>
            <w:r>
              <w:rPr>
                <w:rFonts w:ascii="仿宋_GB2312" w:hAnsi="仿宋_GB2312" w:cs="仿宋_GB2312" w:eastAsia="仿宋_GB2312"/>
                <w:sz w:val="21"/>
              </w:rPr>
              <w:t>（7）施工工艺：根据工程量清单和施工图纸，供应商应针对分部（分项）工程名称制定有施工工艺或施工方法。</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both"/>
            </w:pPr>
            <w:r>
              <w:rPr>
                <w:rFonts w:ascii="仿宋_GB2312" w:hAnsi="仿宋_GB2312" w:cs="仿宋_GB2312" w:eastAsia="仿宋_GB2312"/>
                <w:sz w:val="21"/>
              </w:rPr>
              <w:t>（1）本项目施工质量必须满足当地建设行政主管部门对工程建设的有关规定，并按经批准的施工组织设计实施，且必须达到国家及行业现行技术规范标准，符合国家及行业验收合格标准。根据设计要求、工程量清单、工程量清单编制说明进行施工。</w:t>
            </w:r>
          </w:p>
          <w:p>
            <w:pPr>
              <w:pStyle w:val="null3"/>
              <w:jc w:val="both"/>
            </w:pPr>
            <w:r>
              <w:rPr>
                <w:rFonts w:ascii="仿宋_GB2312" w:hAnsi="仿宋_GB2312" w:cs="仿宋_GB2312" w:eastAsia="仿宋_GB2312"/>
                <w:sz w:val="21"/>
              </w:rPr>
              <w:t>（2）工程质量：达到国家现行合格标准。</w:t>
            </w:r>
          </w:p>
          <w:p>
            <w:pPr>
              <w:pStyle w:val="null3"/>
              <w:jc w:val="both"/>
            </w:pPr>
            <w:r>
              <w:rPr>
                <w:rFonts w:ascii="仿宋_GB2312" w:hAnsi="仿宋_GB2312" w:cs="仿宋_GB2312" w:eastAsia="仿宋_GB2312"/>
                <w:sz w:val="21"/>
              </w:rPr>
              <w:t>（3）国家或行业主管部门对工程项目的技术标准、质量标准和资格资质条件等有强制性规定的，必须符合其要求。</w:t>
            </w:r>
          </w:p>
          <w:p>
            <w:pPr>
              <w:pStyle w:val="null3"/>
              <w:jc w:val="both"/>
            </w:pPr>
            <w:r>
              <w:rPr>
                <w:rFonts w:ascii="仿宋_GB2312" w:hAnsi="仿宋_GB2312" w:cs="仿宋_GB2312" w:eastAsia="仿宋_GB2312"/>
                <w:sz w:val="21"/>
              </w:rPr>
              <w:t>（4）施工现场施工机械、排污（水）、建筑垃圾清理运输等由供应商自行负责并承担费用。</w:t>
            </w:r>
          </w:p>
          <w:p>
            <w:pPr>
              <w:pStyle w:val="null3"/>
              <w:jc w:val="both"/>
            </w:pPr>
            <w:r>
              <w:rPr>
                <w:rFonts w:ascii="仿宋_GB2312" w:hAnsi="仿宋_GB2312" w:cs="仿宋_GB2312" w:eastAsia="仿宋_GB2312"/>
                <w:sz w:val="21"/>
              </w:rPr>
              <w:t>（说明：供应商在响应文件中响应。）</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材料及技术规范要求</w:t>
            </w:r>
          </w:p>
        </w:tc>
        <w:tc>
          <w:tcPr>
            <w:tcW w:type="dxa" w:w="5814"/>
          </w:tcPr>
          <w:p>
            <w:pPr>
              <w:pStyle w:val="null3"/>
              <w:jc w:val="both"/>
            </w:pPr>
            <w:r>
              <w:rPr>
                <w:rFonts w:ascii="仿宋_GB2312" w:hAnsi="仿宋_GB2312" w:cs="仿宋_GB2312" w:eastAsia="仿宋_GB2312"/>
                <w:sz w:val="21"/>
              </w:rPr>
              <w:t>达到满足设计及相关质量标准的要求，须得到采购人现场负责人及现场监理工程师的认可。本项目严格执行2023年3月1日起实施的国家强制性工程建设规范《建筑与市政工程施工质量控制通用规范》（GB-55032-2022）3.4.1条相关要求，“建设单位应委托具备相应资质的第三方检测机构进行工程质量检测，检测项目和数量应符合抽样检验要求。非建设单位委托的检测机构出具的检测报告不得作为工程质量验收依据。”，在项目施工过程中供应商应遵守《建筑与市政工程施工质量控制通用规范》（GB-55032-2022）要求，无条件配合采购人和监理单位工作。</w:t>
            </w:r>
            <w:r>
              <w:rPr>
                <w:rFonts w:ascii="仿宋_GB2312" w:hAnsi="仿宋_GB2312" w:cs="仿宋_GB2312" w:eastAsia="仿宋_GB2312"/>
                <w:sz w:val="21"/>
              </w:rPr>
              <w:t>（说明：供应商在响应文件中响应。）</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安全文明施工要求</w:t>
            </w:r>
          </w:p>
        </w:tc>
        <w:tc>
          <w:tcPr>
            <w:tcW w:type="dxa" w:w="5814"/>
          </w:tcPr>
          <w:p>
            <w:pPr>
              <w:pStyle w:val="null3"/>
              <w:jc w:val="both"/>
            </w:pPr>
            <w:r>
              <w:rPr>
                <w:rFonts w:ascii="仿宋_GB2312" w:hAnsi="仿宋_GB2312" w:cs="仿宋_GB2312" w:eastAsia="仿宋_GB2312"/>
                <w:sz w:val="21"/>
              </w:rPr>
              <w:t>（1）满足国家及地方省市有关安全文明施工的要求。</w:t>
            </w:r>
          </w:p>
          <w:p>
            <w:pPr>
              <w:pStyle w:val="null3"/>
              <w:jc w:val="both"/>
            </w:pPr>
            <w:r>
              <w:rPr>
                <w:rFonts w:ascii="仿宋_GB2312" w:hAnsi="仿宋_GB2312" w:cs="仿宋_GB2312" w:eastAsia="仿宋_GB2312"/>
                <w:sz w:val="21"/>
              </w:rPr>
              <w:t>（2）由于本项目对文明施工要求较高，供应商应合理安排施工时间，对施工产生的粉尘、噪音采取措施，并承担费用。对施工引起不适和投诉，做好疏导和解决。不得因为投诉和阻工，影响工程进度。供应商在影响文件报价中充分考虑该因素。</w:t>
            </w:r>
          </w:p>
          <w:p>
            <w:pPr>
              <w:pStyle w:val="null3"/>
              <w:jc w:val="both"/>
            </w:pPr>
            <w:r>
              <w:rPr>
                <w:rFonts w:ascii="仿宋_GB2312" w:hAnsi="仿宋_GB2312" w:cs="仿宋_GB2312" w:eastAsia="仿宋_GB2312"/>
                <w:sz w:val="21"/>
              </w:rPr>
              <w:t>（说明：供应商在响应文件中响应。）</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both"/>
            </w:pPr>
            <w:r>
              <w:rPr>
                <w:rFonts w:ascii="仿宋_GB2312" w:hAnsi="仿宋_GB2312" w:cs="仿宋_GB2312" w:eastAsia="仿宋_GB2312"/>
                <w:sz w:val="21"/>
              </w:rPr>
              <w:t>整个工程活动期间，在工程实施地点范围内，所有安全责任均由供应商负责；因供应商施工的工程出现质量问题给采购人或第三人造成人身伤害或财产损失的，供应商应当承担全部赔偿责任；供应商在施工过程中造成的所有财产损失及人身安全事故均由供应商负责。（说明：供应商在响应文件中响应。）</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both"/>
            </w:pPr>
            <w:r>
              <w:rPr>
                <w:rFonts w:ascii="仿宋_GB2312" w:hAnsi="仿宋_GB2312" w:cs="仿宋_GB2312" w:eastAsia="仿宋_GB2312"/>
                <w:sz w:val="21"/>
              </w:rPr>
              <w:t>供应商为本项目配备的技术负责人具备建筑工程类相关专业中级或以上职称。（说明：提供职称证书复印件。）</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竣工资料</w:t>
            </w:r>
          </w:p>
        </w:tc>
        <w:tc>
          <w:tcPr>
            <w:tcW w:type="dxa" w:w="5814"/>
          </w:tcPr>
          <w:p>
            <w:pPr>
              <w:pStyle w:val="null3"/>
              <w:jc w:val="both"/>
            </w:pPr>
            <w:r>
              <w:rPr>
                <w:rFonts w:ascii="仿宋_GB2312" w:hAnsi="仿宋_GB2312" w:cs="仿宋_GB2312" w:eastAsia="仿宋_GB2312"/>
                <w:sz w:val="21"/>
              </w:rPr>
              <w:t>（1）竣工验收后15日内将施工过程中形成的有关完整资料分类整理，供应商提交的竣工资料和竣工图必须满足《建设工程文件归档规范》（GB/T50328-2019）要求。</w:t>
            </w:r>
          </w:p>
          <w:p>
            <w:pPr>
              <w:pStyle w:val="null3"/>
              <w:jc w:val="both"/>
            </w:pPr>
            <w:r>
              <w:rPr>
                <w:rFonts w:ascii="仿宋_GB2312" w:hAnsi="仿宋_GB2312" w:cs="仿宋_GB2312" w:eastAsia="仿宋_GB2312"/>
                <w:sz w:val="21"/>
              </w:rPr>
              <w:t>（2）竣工验收后30日内提交竣工图一式四份。并将施工过程中形成的有关完整资料分类整理装订成册，经监理工程师审核后交采购人3套归档，监理公司留1套存档，供应商提交的竣工资料和竣工图必须达到国家法律法规、行业相关规定、采购人相关要求及备案制要求。</w:t>
            </w:r>
          </w:p>
          <w:p>
            <w:pPr>
              <w:pStyle w:val="null3"/>
              <w:jc w:val="both"/>
            </w:pPr>
            <w:r>
              <w:rPr>
                <w:rFonts w:ascii="仿宋_GB2312" w:hAnsi="仿宋_GB2312" w:cs="仿宋_GB2312" w:eastAsia="仿宋_GB2312"/>
                <w:sz w:val="21"/>
              </w:rPr>
              <w:t>（说明：供应商在响应文件中响应。）</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1"/>
              </w:rPr>
              <w:t>（1）供应商为本项目提供的所有产品、辅材中属于《国家强制性产品认证目录》范围内产品的，均通过国家强制性产品认证并取得认证证书。</w:t>
            </w:r>
          </w:p>
          <w:p>
            <w:pPr>
              <w:pStyle w:val="null3"/>
              <w:jc w:val="both"/>
            </w:pPr>
            <w:r>
              <w:rPr>
                <w:rFonts w:ascii="仿宋_GB2312" w:hAnsi="仿宋_GB2312" w:cs="仿宋_GB2312" w:eastAsia="仿宋_GB2312"/>
                <w:sz w:val="21"/>
              </w:rPr>
              <w:t>（2）供应商为本项目提供的所有产品、辅材等符合现行的强制性国家相关标准、行业标准。</w:t>
            </w:r>
          </w:p>
          <w:p>
            <w:pPr>
              <w:pStyle w:val="null3"/>
              <w:jc w:val="both"/>
            </w:pPr>
            <w:r>
              <w:rPr>
                <w:rFonts w:ascii="仿宋_GB2312" w:hAnsi="仿宋_GB2312" w:cs="仿宋_GB2312" w:eastAsia="仿宋_GB2312"/>
                <w:sz w:val="21"/>
              </w:rPr>
              <w:t>（3）供应商为本工程项目实施涉及的商品包装和快递包装，均符合财政部等三部门联合印发商品包装和快递包装政府采购需求标准（试行）（财办库〔2020〕123号）的要求。</w:t>
            </w:r>
          </w:p>
          <w:p>
            <w:pPr>
              <w:pStyle w:val="null3"/>
              <w:jc w:val="both"/>
            </w:pPr>
            <w:r>
              <w:rPr>
                <w:rFonts w:ascii="仿宋_GB2312" w:hAnsi="仿宋_GB2312" w:cs="仿宋_GB2312" w:eastAsia="仿宋_GB2312"/>
                <w:sz w:val="21"/>
              </w:rPr>
              <w:t>（4）供应商为本项目提供的工程、货物及服务均为本国工程、货物及服务。</w:t>
            </w:r>
          </w:p>
          <w:p>
            <w:pPr>
              <w:pStyle w:val="null3"/>
              <w:jc w:val="both"/>
            </w:pPr>
            <w:r>
              <w:rPr>
                <w:rFonts w:ascii="仿宋_GB2312" w:hAnsi="仿宋_GB2312" w:cs="仿宋_GB2312" w:eastAsia="仿宋_GB2312"/>
                <w:sz w:val="21"/>
              </w:rPr>
              <w:t>（5）供应商在履约过程中应当配合和接受采购人和行政主管部门以及政府有关部门的监督、检查、审核、指导和整改意见。</w:t>
            </w:r>
          </w:p>
          <w:p>
            <w:pPr>
              <w:pStyle w:val="null3"/>
              <w:jc w:val="both"/>
            </w:pPr>
            <w:r>
              <w:rPr>
                <w:rFonts w:ascii="仿宋_GB2312" w:hAnsi="仿宋_GB2312" w:cs="仿宋_GB2312" w:eastAsia="仿宋_GB2312"/>
                <w:sz w:val="21"/>
              </w:rPr>
              <w:t>（说明：供应商在响应文件中响应。）</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sz w:val="21"/>
                <w:color w:val="000000"/>
              </w:rPr>
              <w:t>本项目缺陷责任期为2年，缺陷责任期自工程通过竣工验收之日起计算。（说明：供应商在响应文件中响应。）</w:t>
            </w:r>
          </w:p>
        </w:tc>
      </w:tr>
      <w:tr>
        <w:tc>
          <w:tcPr>
            <w:tcW w:type="dxa" w:w="415"/>
          </w:tcPr>
          <w:p>
            <w:pPr>
              <w:pStyle w:val="null3"/>
              <w:jc w:val="center"/>
            </w:pPr>
            <w:r>
              <w:rPr>
                <w:rFonts w:ascii="仿宋_GB2312" w:hAnsi="仿宋_GB2312" w:cs="仿宋_GB2312" w:eastAsia="仿宋_GB2312"/>
              </w:rPr>
              <w:t>11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保修责任</w:t>
            </w:r>
          </w:p>
        </w:tc>
        <w:tc>
          <w:tcPr>
            <w:tcW w:type="dxa" w:w="5814"/>
          </w:tcPr>
          <w:p>
            <w:pPr>
              <w:pStyle w:val="null3"/>
              <w:spacing w:after="165"/>
              <w:ind w:firstLine="560"/>
              <w:jc w:val="both"/>
            </w:pPr>
            <w:r>
              <w:rPr>
                <w:rFonts w:ascii="仿宋_GB2312" w:hAnsi="仿宋_GB2312" w:cs="仿宋_GB2312" w:eastAsia="仿宋_GB2312"/>
                <w:sz w:val="21"/>
                <w:color w:val="000000"/>
              </w:rPr>
              <w:t>工程保修期为：</w:t>
            </w:r>
          </w:p>
          <w:p>
            <w:pPr>
              <w:pStyle w:val="null3"/>
              <w:spacing w:after="165"/>
              <w:ind w:firstLine="56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、工程质量保修范围、期限和责任：国家现行规定在正常使用条件下，房屋建筑工程的最低保修期限；若在施工过程中有最新规定，以最新规定为准。</w:t>
            </w:r>
          </w:p>
          <w:p>
            <w:pPr>
              <w:pStyle w:val="null3"/>
              <w:spacing w:after="165"/>
              <w:ind w:firstLine="56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、地基基础工程和主体结构工程，为设计文件规定的该工程的合理使用年限。</w:t>
            </w:r>
          </w:p>
          <w:p>
            <w:pPr>
              <w:pStyle w:val="null3"/>
              <w:spacing w:after="165"/>
              <w:ind w:firstLine="56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、屋面防水工程、有防水要求的卫生间、房间和外墙面的防渗漏，为</w:t>
            </w:r>
            <w:r>
              <w:rPr>
                <w:rFonts w:ascii="仿宋_GB2312" w:hAnsi="仿宋_GB2312" w:cs="仿宋_GB2312" w:eastAsia="仿宋_GB2312"/>
                <w:sz w:val="21"/>
                <w:color w:val="000000"/>
              </w:rPr>
              <w:t>5</w:t>
            </w:r>
            <w:r>
              <w:rPr>
                <w:rFonts w:ascii="仿宋_GB2312" w:hAnsi="仿宋_GB2312" w:cs="仿宋_GB2312" w:eastAsia="仿宋_GB2312"/>
                <w:sz w:val="21"/>
                <w:color w:val="000000"/>
              </w:rPr>
              <w:t>年。</w:t>
            </w:r>
          </w:p>
          <w:p>
            <w:pPr>
              <w:pStyle w:val="null3"/>
              <w:spacing w:after="165"/>
              <w:ind w:firstLine="56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、供热与供冷系统，为</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个采暖期、供冷期。</w:t>
            </w:r>
          </w:p>
          <w:p>
            <w:pPr>
              <w:pStyle w:val="null3"/>
              <w:spacing w:after="165"/>
              <w:ind w:firstLine="56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、电气管线、给排水管道、设备安装为</w:t>
            </w:r>
            <w:r>
              <w:rPr>
                <w:rFonts w:ascii="仿宋_GB2312" w:hAnsi="仿宋_GB2312" w:cs="仿宋_GB2312" w:eastAsia="仿宋_GB2312"/>
                <w:sz w:val="21"/>
                <w:color w:val="000000"/>
              </w:rPr>
              <w:t>2</w:t>
            </w:r>
            <w:r>
              <w:rPr>
                <w:rFonts w:ascii="仿宋_GB2312" w:hAnsi="仿宋_GB2312" w:cs="仿宋_GB2312" w:eastAsia="仿宋_GB2312"/>
                <w:sz w:val="21"/>
                <w:color w:val="000000"/>
              </w:rPr>
              <w:t>年。</w:t>
            </w:r>
          </w:p>
          <w:p>
            <w:pPr>
              <w:pStyle w:val="null3"/>
              <w:spacing w:after="165"/>
              <w:ind w:firstLine="56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、装修工程为</w:t>
            </w:r>
            <w:r>
              <w:rPr>
                <w:rFonts w:ascii="仿宋_GB2312" w:hAnsi="仿宋_GB2312" w:cs="仿宋_GB2312" w:eastAsia="仿宋_GB2312"/>
                <w:sz w:val="21"/>
                <w:color w:val="000000"/>
              </w:rPr>
              <w:t>2</w:t>
            </w:r>
            <w:r>
              <w:rPr>
                <w:rFonts w:ascii="仿宋_GB2312" w:hAnsi="仿宋_GB2312" w:cs="仿宋_GB2312" w:eastAsia="仿宋_GB2312"/>
                <w:sz w:val="21"/>
                <w:color w:val="000000"/>
              </w:rPr>
              <w:t>年。</w:t>
            </w:r>
          </w:p>
          <w:p>
            <w:pPr>
              <w:pStyle w:val="null3"/>
              <w:spacing w:after="165"/>
              <w:ind w:firstLine="56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、工程质量保证的其他有关规定。</w:t>
            </w:r>
          </w:p>
          <w:p>
            <w:pPr>
              <w:pStyle w:val="null3"/>
              <w:spacing w:after="165"/>
              <w:ind w:firstLine="56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、国家无相关规定的，保修期为一年。</w:t>
            </w:r>
          </w:p>
          <w:p>
            <w:pPr>
              <w:pStyle w:val="null3"/>
              <w:spacing w:after="165"/>
              <w:ind w:firstLine="560"/>
              <w:jc w:val="both"/>
            </w:pPr>
            <w:r>
              <w:rPr>
                <w:rFonts w:ascii="仿宋_GB2312" w:hAnsi="仿宋_GB2312" w:cs="仿宋_GB2312" w:eastAsia="仿宋_GB2312"/>
                <w:sz w:val="21"/>
              </w:rPr>
              <w:t>（说明：供应商在响应文件中响应。）</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人员配置要求</w:t>
            </w:r>
          </w:p>
        </w:tc>
        <w:tc>
          <w:tcPr>
            <w:tcW w:type="dxa" w:w="5814"/>
          </w:tcPr>
          <w:p>
            <w:pPr>
              <w:pStyle w:val="null3"/>
              <w:jc w:val="left"/>
            </w:pPr>
            <w:r>
              <w:rPr>
                <w:rFonts w:ascii="仿宋_GB2312" w:hAnsi="仿宋_GB2312" w:cs="仿宋_GB2312" w:eastAsia="仿宋_GB2312"/>
                <w:sz w:val="21"/>
              </w:rPr>
              <w:t>一、供应商为本项目配备的技术负责人具有类似项目业绩。</w:t>
            </w:r>
          </w:p>
          <w:p>
            <w:pPr>
              <w:pStyle w:val="null3"/>
              <w:jc w:val="left"/>
            </w:pPr>
            <w:r>
              <w:rPr>
                <w:rFonts w:ascii="仿宋_GB2312" w:hAnsi="仿宋_GB2312" w:cs="仿宋_GB2312" w:eastAsia="仿宋_GB2312"/>
                <w:sz w:val="21"/>
              </w:rPr>
              <w:t>二、除项目经理、技术负责人外，供应商为本项目配备的其他专业技术人员具有建筑工程相关专业中级或以上职称。</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自合同签订之日起50日内。（说明：供应商在响应文件中响应。）</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成都市龙泉驿区驿都西路1492号（中共成都市委党校）。（说明：供应商在响应文件中响应。）</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说明：供应商在响应文件中响应。）合同签订且财政资金拨付到位后，供应商提交相关预付款申请资料及等额增值税发票后，达到付款条件起10日内，据实情况说明为支付合同金额（不含暂列金）40％的预付款</w:t>
            </w:r>
          </w:p>
          <w:p>
            <w:pPr>
              <w:pStyle w:val="null3"/>
              <w:jc w:val="left"/>
            </w:pPr>
            <w:r>
              <w:rPr>
                <w:rFonts w:ascii="仿宋_GB2312" w:hAnsi="仿宋_GB2312" w:cs="仿宋_GB2312" w:eastAsia="仿宋_GB2312"/>
              </w:rPr>
              <w:t>2、进度款，（说明：供应商在响应文件中响应。）工程进度完成工程量的50％，经采购人确认及监理方计量并验收，收到供应商发票且财政资金拨付到位后，达到付款条件起10日内，据实情况说明为支付至合同金额（不含暂列金）的50％</w:t>
            </w:r>
          </w:p>
          <w:p>
            <w:pPr>
              <w:pStyle w:val="null3"/>
              <w:jc w:val="left"/>
            </w:pPr>
            <w:r>
              <w:rPr>
                <w:rFonts w:ascii="仿宋_GB2312" w:hAnsi="仿宋_GB2312" w:cs="仿宋_GB2312" w:eastAsia="仿宋_GB2312"/>
              </w:rPr>
              <w:t>3、进度款，（说明：供应商在响应文件中响应。）工程进度完成工程量的80％，经采购人确认及监理方计量并验收，收到供应商发票且财政资金拨付到位后，达到付款条件起10日内，据实情况说明为支付至合同金额（不含暂列金）的80％</w:t>
            </w:r>
          </w:p>
          <w:p>
            <w:pPr>
              <w:pStyle w:val="null3"/>
              <w:jc w:val="left"/>
            </w:pPr>
            <w:r>
              <w:rPr>
                <w:rFonts w:ascii="仿宋_GB2312" w:hAnsi="仿宋_GB2312" w:cs="仿宋_GB2312" w:eastAsia="仿宋_GB2312"/>
              </w:rPr>
              <w:t>4、进度款，（说明：供应商在响应文件中响应。）工程完工后，收到供应商发票且财政资金拨付到位后，达到付款条件起10日内，据实情况说明为支付至合同金额（不含暂列金）的90％</w:t>
            </w:r>
          </w:p>
          <w:p>
            <w:pPr>
              <w:pStyle w:val="null3"/>
              <w:jc w:val="left"/>
            </w:pPr>
            <w:r>
              <w:rPr>
                <w:rFonts w:ascii="仿宋_GB2312" w:hAnsi="仿宋_GB2312" w:cs="仿宋_GB2312" w:eastAsia="仿宋_GB2312"/>
              </w:rPr>
              <w:t>5、尾款，（说明：供应商在响应文件中响应。）项目验收合格、竣工结算审核并拿到结算审核报告，开具质保金保函且在财政资金到位后，达到付款条件起10日内，据实情况说明为支付至结算审核金额的100％（其中质保金按工程结算价款的3％向采购人提交经采购人认可的见索即付的银行保函或见索即付的保证保险，质保金保函有效期应自竣工验收通过之日起两年。）</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履约验收： （1）履约验收主体：中共成都市委党校。 （2）履约验收时间：供应商提出验收申请之日起30日内组织验收。 （3）验收组织方式：自行验收。 （4）履约验收程序：一次性验收。 （5）技术履约验收内容：采购人严格按照本项目磋商文件要求、成交供应商响应文件应答情况、以及国家行业主管部门规定的标准、方法和内容进行验收。 （6）商务履约验收内容：采购人严格按照本项目磋商文件“商务要求”及成交供应商响应文件进行验收。 （7）履约验收标准：严格按照《财政部关于进一步加强政府采购需求和履约验收管理的指导意见》（财库〔2016〕205号）的要求、本项目磋商文件规定的要求和成交供应商响应文件及本项目合同承诺的内容。 （8）验收结果合格的，成交供应商凭验收报告办理相关手续；验收结果不合格的，将不予支付剩余合同款项。 （说明：供应商在响应文件中响应。）</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工期延误：供应商应按约定工期完成工程，若造成工期延误的，每延迟1天，采购人有权在供应商工程款项中扣除10000元，逾期超过15天的，采购人有权无责解除合同，剩余工程款不予支付。合同解除时，本合同约定项目未完工部分，采购人有权委托第三方按图纸和清单要求完成，所涉及全部费用在剩余工程款中扣除，不足部分由成交供应商补足。 （2）项目经理和技术负责人每月必须在工地上不少于25天，施工员、安全员、质检员、材料员必须常驻现场，否则每少一天，项目经理和技术负责人扣款1500元/天，施工员、安全员、质检员、材料员扣款300元/天，扣款在相应期次或送审资料后应支付工程款中扣除。 （3）合同中涉及采购人扣除供应商工程款项情形的，若工程款已全部被扣除，仍不能实现合同目的的，供应商除继续履行合同义务外，还应承担赔偿责任。 （4）除上述约定外，供应商有其他未能按照合同约定履行的违约行为，采购人有权要求成交供应商限期整改，供应商拒不整改或整改后仍不符合整改要求的，采购人有权按照合同总价3%/次要求成交供应商承担违约责任，并赔偿由此给采购人造成的损失，上述情形发生2次及以上的，采购人有权无责解除合同并按照本条第一款解除合同的方式处理后续事宜。 （5）如采购人依据本合同约定，要求解除合同的，供应商应在采购人解除合同通知送达之日起7日内无条件撤出全部施工人员、机械设备等，并将所有承包范围内的工程清理干净。供应商未按前述要求撤场的，采购人有权要求成交供应商支付每延迟1万元/日的违约金，同时采购人可对工程现场遗留的全部物品自行处理，成交供应商不得有任何异议。 （6）采购人因追究供应商违约或侵权责任而遭受的一切经济损失（包括但不限于律师费、诉讼费、保全费、执行费等）均由成交供应商承担。 （7）供应商在响应文件中所投的项目班子成员变更： ①供应商在响应文件中所报的项目班子主要成员（项目经理、项目技术负责人），必须严格按照合同约定履行相应的义务，若未经采购人同意，擅自更换项目班子主要人员的（相关人员连续15天不在项目上，视为擅自更换），视为违约，采购人有权向供应商主张违约金5万元。供应商擅自变更项目班子主要成员的，采购人有权单方解除合同。 ②项目经理及其他主要负责人无故或请假理由不充分，未取得采购人认可而不参加工地例会，视为违约，每次收取成交供应商违约金5000元/人次。 ③以上违约金从最近一次进度款中扣除。 （8）争议或纠纷处理：本项目合同在履行过程中发生的争议，由双方当事人协商解决，协商不成的，依法向项目所在地人民法院提起诉讼。因一方违约导致守约方向人民法院起诉，违约方应当承担守约方为此支出的一切费用，包括但不限于委托律师的代理费、鉴定费、公告费、公证费、交通费等及所涉案件产生的一起费用。 （说明：供应商在响应文件中响应。）</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采购需求的组成部分，使用暂列金支付；暂列金已使用完毕的，采购人和供应商可以按照《中华人民共和国政府采购法》的规定签订不超过成交金额百分之十的补充合同。（说明：供应商在响应文件中响应。）</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供应商具有类似项目业绩。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本项目第三章“技术、服务及其他要求”中“3.2.技术要求”，“3.3.服务要求”的内容均为可实质性变动的内容。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本项目第七章“拟签订采购合同文本”中内容均为可实质性变动的内容。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建筑工程二级建造师及以上建造师注册证书原件扫描件；</w:t>
              <w:br/>
              <w:t>供应商应当提供项目负责人的行业主管部门颁发的且在有效期内的房屋建筑和市政基础设施工程安全生产考核合格证书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供应商应提交的相关证明材料,项目负责人信息表,企业资质信息表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承接供应商属于本项目列明的采购标的对应中小企业划分标准所属行业的中小企业，供应商结合自身实际，按照采购文件要求和关联格式要求，提供《中小企业声明函》或者《残疾人福利性单位声明函》、《监狱企业证明文件》进行响应。</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供应商应提交的相关证明材料,企业资质信息表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在政府采购合同签订后5日内向采购人提交在有效期内的四川省住房和城乡建设厅官网已公开的入川信息网页截图”的承诺或在响应文件中提供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在响应文件中提供“在政府采购合同签订后5日内向采购人提交在有效期内的四川省住房和城乡建设厅官网已公开的入川信息网页截图”的承诺或在响应文件中提供有效期内的四川省住房和城乡建设厅官网已公开的入川信息网页截图。（上述两种方式二选一即可）。供应商需在交易系统中按要求上传相应证明文件并进行电子签章。</w:t>
            </w:r>
          </w:p>
        </w:tc>
        <w:tc>
          <w:tcPr>
            <w:tcW w:type="dxa" w:w="1910"/>
          </w:tcPr>
          <w:p>
            <w:pPr>
              <w:pStyle w:val="null3"/>
              <w:jc w:val="left"/>
            </w:pPr>
            <w:r>
              <w:rPr>
                <w:rFonts w:ascii="仿宋_GB2312" w:hAnsi="仿宋_GB2312" w:cs="仿宋_GB2312" w:eastAsia="仿宋_GB2312"/>
              </w:rPr>
              <w:t>供应商应提交的相关证明材料</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其他要求</w:t>
            </w:r>
          </w:p>
        </w:tc>
        <w:tc>
          <w:tcPr>
            <w:tcW w:type="dxa" w:w="3322"/>
          </w:tcPr>
          <w:p>
            <w:pPr>
              <w:pStyle w:val="null3"/>
              <w:jc w:val="left"/>
            </w:pPr>
            <w:r>
              <w:rPr>
                <w:rFonts w:ascii="仿宋_GB2312" w:hAnsi="仿宋_GB2312" w:cs="仿宋_GB2312" w:eastAsia="仿宋_GB2312"/>
              </w:rPr>
              <w:t>供应商资质证书载明有效期届满的，应出具住房和城乡建设有关行政部门出具的关于延长有关建设工程企业资质有效期的通告等证明材料。</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符合磋商文件的实质性要求</w:t>
            </w:r>
          </w:p>
        </w:tc>
        <w:tc>
          <w:tcPr>
            <w:tcW w:type="dxa" w:w="3322"/>
          </w:tcPr>
          <w:p>
            <w:pPr>
              <w:pStyle w:val="null3"/>
              <w:jc w:val="left"/>
            </w:pPr>
            <w:r>
              <w:rPr>
                <w:rFonts w:ascii="仿宋_GB2312" w:hAnsi="仿宋_GB2312" w:cs="仿宋_GB2312" w:eastAsia="仿宋_GB2312"/>
              </w:rPr>
              <w:t>供应商响应文件符合磋商文件实质性要求（该项实质性要求不包含第3章中可实质性变动的实质性要求。）</w:t>
            </w:r>
          </w:p>
        </w:tc>
        <w:tc>
          <w:tcPr>
            <w:tcW w:type="dxa" w:w="1910"/>
          </w:tcPr>
          <w:p>
            <w:pPr>
              <w:pStyle w:val="null3"/>
              <w:jc w:val="left"/>
            </w:pPr>
            <w:r>
              <w:rPr>
                <w:rFonts w:ascii="仿宋_GB2312" w:hAnsi="仿宋_GB2312" w:cs="仿宋_GB2312" w:eastAsia="仿宋_GB2312"/>
              </w:rPr>
              <w:t>已标价工程量清单,强制、优先采购产品承诺函,报价表,投标（响应）函,项目负责人信息表,技术、服务、合同条款及其他商务要求应答表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磋商小组认为供应商响应报价明显低于其他通过符合性审查供应商的响应报价，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注：供应商报价低于最高限价85%或者低于其他有效供应商报价算术平均价90%的，磋商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施工组织方案</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详细评审89.20分</w:t>
            </w:r>
          </w:p>
          <w:p>
            <w:pPr>
              <w:pStyle w:val="null3"/>
              <w:jc w:val="left"/>
            </w:pPr>
            <w:r>
              <w:rPr>
                <w:rFonts w:ascii="仿宋_GB2312" w:hAnsi="仿宋_GB2312" w:cs="仿宋_GB2312" w:eastAsia="仿宋_GB2312"/>
              </w:rPr>
              <w:t>报价得分10.80分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施工组织方案</w:t>
            </w:r>
          </w:p>
        </w:tc>
        <w:tc>
          <w:tcPr>
            <w:tcW w:type="dxa" w:w="2575"/>
          </w:tcPr>
          <w:p>
            <w:pPr>
              <w:pStyle w:val="null3"/>
              <w:jc w:val="left"/>
            </w:pPr>
            <w:r>
              <w:rPr>
                <w:rFonts w:ascii="仿宋_GB2312" w:hAnsi="仿宋_GB2312" w:cs="仿宋_GB2312" w:eastAsia="仿宋_GB2312"/>
              </w:rPr>
              <w:t>1、供应商提供的施工进度计划包含①施工进度计划表（图）、②组织机构及保证措施的内容的得8分，每缺少一项内容或有一处内容错误（内容错误指：项目名称、实施地点、涉及的规范、标准与本项目要求不一致、进度计划超期）的，每缺少一项内容扣4分，每有一处内容错误扣2分，扣完为止。 2、供应商提供的质量保证措施包含①项目质量目标、②项目质量管理的组织机构以及分工、职责和管理制度、③技术保障和资源保障措施、④质量全过程检查制度以及质量事故的处理规定的内容的得10分，每缺少一项内容或有一处内容错误（内容错误指：项目名称、实施地点、涉及的规范、标准与本项目要求不一致）的，每缺少一项内容扣2.5分，每有一处内容错误扣1.25分，扣完为止。 3、供应商提供的安全保证措施包含①项目重要危险源分析以及项目安全管理目标、②安全管理组织机构以及分工、职责、③安全生产管理制度和职工安全教育培训制度、④施工安全、消防安全、安保安全的保证措施、⑤现场安全检查制度以及安全事故的处理规定、⑥外部人员参观的管理措施的内容的得12分，每缺少一项内容或有一处内容错误（内容错误指：项目名称、实施地点、涉及的规范、标准与本项目要求不一致）的，每缺少一项内容扣2分，每有一处内容错误扣1分，扣完为止。 4、供应商提供的资源配置计划包含①分部（分项）施工技术交底计划、主要材料检验、进场复检计划。②现场生产临时设施布置计划、③资金使用及保障计划、④施工的用工工种及用工数量以及技术工人持证上岗和施工人员岗前培训计划、⑤施工所需主要材料的进场时间计划以及所需的施工机具设备的种类、数量、使用部位及进出场时间的内容的得10分，每缺少一项内容或有一处内容错误（内容错误指：项目名称、实施地点、涉及的规范、标准与本项目要求不一致）的，每缺少一项内容扣2分，每有一处内容错误扣1分，扣完为止。 5、供应商提供的环保文明措施包含①项目文明施工与环境管理目标、②项目文明施工与环境管理的组织机构以及分工、职责、③项目文明施工与环境保护方面的资源配置、④项目文明施工与现场环境保护的控制措施、⑤项目文明施工与现场环境检查制度以及环境事故的处理规定的内容的得10分，每缺少一项内容或有一处内容错误（内容错误指：项目名称、实施地点、涉及的规范、标准与本项目要求不一致）的，每缺少一项内容扣2分，每有一处内容错误扣1分，扣完为止。 6、供应商提供的应急预案包含①天气、交通状况、季节、安全、赶工的应急处理方案、②突发事件的应急响应预案、处理措施的内容的得8分，每缺少一项内容或有一处内容错误（内容错误指：项目名称、实施地点、涉及的规范、标准与本项目要求不一致）的，每缺少一项内容扣4分，每有一处内容错误扣2分，扣完为止。 7、供应商提供的施工工艺包含①根据工程量清单和施工图纸供应商应针对分部（分项）工程名称制定有施工工艺或施工方法的内容的得5分，每缺少一项内容或有一处内容错误（内容错误指：项目名称、实施地点、涉及的规范、标准与本项目要求不一致）的，每缺少一项内容扣5分，每有一处内容错误扣2.5分，扣完为止。</w:t>
            </w:r>
          </w:p>
        </w:tc>
        <w:tc>
          <w:tcPr>
            <w:tcW w:type="dxa" w:w="831"/>
          </w:tcPr>
          <w:p>
            <w:pPr>
              <w:pStyle w:val="null3"/>
              <w:jc w:val="center"/>
            </w:pPr>
            <w:r>
              <w:rPr>
                <w:rFonts w:ascii="仿宋_GB2312" w:hAnsi="仿宋_GB2312" w:cs="仿宋_GB2312" w:eastAsia="仿宋_GB2312"/>
              </w:rPr>
              <w:t>63.0000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2020年7月1日（含1日）以来具有一个已完成类似项目业绩的得4分，在此基础上每增加1个业绩加4分，最多得12分。（1．提供施工合同复印件和竣工项目验收报告复印件。2．项目业绩时间以竣工验收报告时间为准。3．类似项目是指：建筑物修缮类工程项目或建筑物改造类工程项目。）</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jc w:val="left"/>
            </w:pPr>
            <w:r>
              <w:rPr>
                <w:rFonts w:ascii="仿宋_GB2312" w:hAnsi="仿宋_GB2312" w:cs="仿宋_GB2312" w:eastAsia="仿宋_GB2312"/>
              </w:rPr>
              <w:t>项目人员配置</w:t>
            </w:r>
          </w:p>
        </w:tc>
        <w:tc>
          <w:tcPr>
            <w:tcW w:type="dxa" w:w="2575"/>
          </w:tcPr>
          <w:p>
            <w:pPr>
              <w:pStyle w:val="null3"/>
              <w:jc w:val="left"/>
            </w:pPr>
            <w:r>
              <w:rPr>
                <w:rFonts w:ascii="仿宋_GB2312" w:hAnsi="仿宋_GB2312" w:cs="仿宋_GB2312" w:eastAsia="仿宋_GB2312"/>
              </w:rPr>
              <w:t>1、供应商为本项目配备的技术负责人2020年7月1日（含1日）以来具有一个以技术负责人或项目经理身份完成类似项目业绩的得1分，在此基础上每增加1个业绩加1分，最多得3分。（说明：1.提供施工合同复印件和竣工验收报告复印件。2.类似项目是指：建筑物修缮类工程项目或建筑物改造类工程项目。3.项目业绩时间以竣工验收报告的时间为准。） 2、除项目经理、技术负责人外，供应商为本项目配备的其他专业技术人员中每有1人具有建筑工程相关专业中级或以上职称的得2分，最多得10分。（说明：1.提供职称证书复印件。2.同一人员具有多个证书的，只计一次分，不重复计分。）</w:t>
            </w:r>
          </w:p>
        </w:tc>
        <w:tc>
          <w:tcPr>
            <w:tcW w:type="dxa" w:w="831"/>
          </w:tcPr>
          <w:p>
            <w:pPr>
              <w:pStyle w:val="null3"/>
              <w:jc w:val="center"/>
            </w:pPr>
            <w:r>
              <w:rPr>
                <w:rFonts w:ascii="仿宋_GB2312" w:hAnsi="仿宋_GB2312" w:cs="仿宋_GB2312" w:eastAsia="仿宋_GB2312"/>
              </w:rPr>
              <w:t>13.0000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jc w:val="left"/>
            </w:pPr>
            <w:r>
              <w:rPr>
                <w:rFonts w:ascii="仿宋_GB2312" w:hAnsi="仿宋_GB2312" w:cs="仿宋_GB2312" w:eastAsia="仿宋_GB2312"/>
              </w:rPr>
              <w:t>优先采购环境标志产品</w:t>
            </w:r>
          </w:p>
        </w:tc>
        <w:tc>
          <w:tcPr>
            <w:tcW w:type="dxa" w:w="2575"/>
          </w:tcPr>
          <w:p>
            <w:pPr>
              <w:pStyle w:val="null3"/>
              <w:jc w:val="left"/>
            </w:pPr>
            <w:r>
              <w:rPr>
                <w:rFonts w:ascii="仿宋_GB2312" w:hAnsi="仿宋_GB2312" w:cs="仿宋_GB2312" w:eastAsia="仿宋_GB2312"/>
              </w:rPr>
              <w:t>供应商所响应的产品中每有一项属于环境标志产品政府采购品目清单中优先采购范围的得0.03分，本项最多得1.2分 。（说明：1、可重复计分；2、本项目采购的产品中属于节能产品政府采购品目清单中强制采购范围的，不属于本项评分范围。3、供应商响应产品属于节能产品或环境标志产品政府采购品目清单中优先采购范围的，应当根据第六章强制、优先采购产品承诺函格式要求承诺提供经认证的节能、环境标志产品，否则不予给分。4、本项目采购的属于节能产品或环境标志产品政府采购品目清单中优先采购范围的产品详见第三章。）</w:t>
            </w:r>
          </w:p>
        </w:tc>
        <w:tc>
          <w:tcPr>
            <w:tcW w:type="dxa" w:w="831"/>
          </w:tcPr>
          <w:p>
            <w:pPr>
              <w:pStyle w:val="null3"/>
              <w:jc w:val="center"/>
            </w:pPr>
            <w:r>
              <w:rPr>
                <w:rFonts w:ascii="仿宋_GB2312" w:hAnsi="仿宋_GB2312" w:cs="仿宋_GB2312" w:eastAsia="仿宋_GB2312"/>
              </w:rPr>
              <w:t>1.2000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强制、优先采购产品承诺函</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磋商报价得分=（磋商基准价/最后磋商报价）×10.8</w:t>
            </w:r>
          </w:p>
        </w:tc>
        <w:tc>
          <w:tcPr>
            <w:tcW w:type="dxa" w:w="831"/>
          </w:tcPr>
          <w:p>
            <w:pPr>
              <w:pStyle w:val="null3"/>
              <w:jc w:val="center"/>
            </w:pPr>
            <w:r>
              <w:rPr>
                <w:rFonts w:ascii="仿宋_GB2312" w:hAnsi="仿宋_GB2312" w:cs="仿宋_GB2312" w:eastAsia="仿宋_GB2312"/>
              </w:rPr>
              <w:t>10.8000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一、评审结束后，代理机构在评审结束之日起2个工作日内将磋商报告及有关资料送交采购人。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详见附件：技术、服务、合同条款及其他商务要求应答表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详见附件：市委党校文体馆及蓉苑防水综合维修项目工程采购施工总承包合同(1).docx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