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FFB128">
      <w:pPr>
        <w:pStyle w:val="14"/>
        <w:ind w:firstLine="400"/>
        <w:rPr>
          <w:rFonts w:ascii="宋体" w:hAnsi="宋体" w:cs="宋体"/>
          <w:highlight w:val="none"/>
        </w:rPr>
      </w:pPr>
    </w:p>
    <w:p w14:paraId="2A9C16A4">
      <w:pPr>
        <w:pStyle w:val="14"/>
        <w:ind w:firstLine="400"/>
        <w:rPr>
          <w:rFonts w:ascii="宋体" w:hAnsi="宋体" w:cs="宋体"/>
          <w:highlight w:val="none"/>
        </w:rPr>
      </w:pPr>
    </w:p>
    <w:p w14:paraId="17B22268">
      <w:pPr>
        <w:pStyle w:val="14"/>
        <w:ind w:firstLine="400"/>
        <w:rPr>
          <w:rFonts w:ascii="宋体" w:hAnsi="宋体" w:cs="宋体"/>
          <w:highlight w:val="none"/>
        </w:rPr>
      </w:pPr>
    </w:p>
    <w:p w14:paraId="3A18EACD">
      <w:pPr>
        <w:pStyle w:val="14"/>
        <w:ind w:firstLine="400"/>
        <w:rPr>
          <w:rFonts w:ascii="宋体" w:hAnsi="宋体" w:cs="宋体"/>
          <w:highlight w:val="none"/>
        </w:rPr>
      </w:pPr>
    </w:p>
    <w:p w14:paraId="5C4CE48A">
      <w:pPr>
        <w:widowControl w:val="0"/>
        <w:spacing w:line="360" w:lineRule="auto"/>
        <w:ind w:left="-100" w:leftChars="-50" w:right="-100" w:rightChars="-50"/>
        <w:jc w:val="center"/>
        <w:outlineLvl w:val="0"/>
        <w:rPr>
          <w:rFonts w:hint="eastAsia" w:ascii="宋体" w:hAnsi="宋体" w:eastAsia="宋体" w:cs="宋体"/>
          <w:b/>
          <w:bCs/>
          <w:kern w:val="2"/>
          <w:sz w:val="48"/>
          <w:szCs w:val="48"/>
          <w:highlight w:val="none"/>
          <w:lang w:eastAsia="zh-CN"/>
        </w:rPr>
      </w:pPr>
      <w:bookmarkStart w:id="0" w:name="_Toc8511"/>
      <w:r>
        <w:rPr>
          <w:rFonts w:hint="eastAsia" w:ascii="宋体" w:hAnsi="宋体" w:cs="宋体"/>
          <w:b/>
          <w:bCs/>
          <w:kern w:val="2"/>
          <w:sz w:val="48"/>
          <w:szCs w:val="48"/>
          <w:highlight w:val="none"/>
        </w:rPr>
        <w:t>云南省昆明市中级人民法院</w:t>
      </w:r>
      <w:bookmarkEnd w:id="0"/>
      <w:r>
        <w:rPr>
          <w:rFonts w:hint="eastAsia" w:ascii="宋体" w:hAnsi="宋体" w:cs="宋体"/>
          <w:b/>
          <w:bCs/>
          <w:kern w:val="2"/>
          <w:sz w:val="48"/>
          <w:szCs w:val="48"/>
          <w:highlight w:val="none"/>
          <w:lang w:eastAsia="zh-CN"/>
        </w:rPr>
        <w:t>采购2025年信息系统运维服务</w:t>
      </w:r>
    </w:p>
    <w:p w14:paraId="0F2CCB2B">
      <w:pPr>
        <w:wordWrap w:val="0"/>
        <w:adjustRightInd w:val="0"/>
        <w:snapToGrid w:val="0"/>
        <w:spacing w:line="360" w:lineRule="auto"/>
        <w:jc w:val="center"/>
        <w:rPr>
          <w:rFonts w:ascii="宋体" w:hAnsi="宋体" w:cs="宋体"/>
          <w:b/>
          <w:sz w:val="24"/>
          <w:szCs w:val="22"/>
          <w:highlight w:val="none"/>
        </w:rPr>
      </w:pPr>
    </w:p>
    <w:p w14:paraId="273E416C">
      <w:pPr>
        <w:wordWrap w:val="0"/>
        <w:adjustRightInd w:val="0"/>
        <w:snapToGrid w:val="0"/>
        <w:spacing w:line="360" w:lineRule="auto"/>
        <w:jc w:val="center"/>
        <w:rPr>
          <w:rFonts w:ascii="宋体" w:hAnsi="宋体" w:cs="宋体"/>
          <w:b/>
          <w:sz w:val="24"/>
          <w:szCs w:val="22"/>
          <w:highlight w:val="none"/>
        </w:rPr>
      </w:pPr>
    </w:p>
    <w:p w14:paraId="713E0503">
      <w:pPr>
        <w:pStyle w:val="14"/>
        <w:ind w:firstLine="400"/>
        <w:rPr>
          <w:rFonts w:ascii="宋体" w:hAnsi="宋体" w:cs="宋体"/>
          <w:highlight w:val="none"/>
        </w:rPr>
      </w:pPr>
    </w:p>
    <w:p w14:paraId="10B0B86D">
      <w:pPr>
        <w:pStyle w:val="14"/>
        <w:ind w:firstLine="400"/>
        <w:rPr>
          <w:rFonts w:ascii="宋体" w:hAnsi="宋体" w:cs="宋体"/>
          <w:highlight w:val="none"/>
        </w:rPr>
      </w:pPr>
    </w:p>
    <w:p w14:paraId="4E9507B6">
      <w:pPr>
        <w:pStyle w:val="14"/>
        <w:ind w:firstLine="400"/>
        <w:rPr>
          <w:rFonts w:ascii="宋体" w:hAnsi="宋体" w:cs="宋体"/>
          <w:highlight w:val="none"/>
        </w:rPr>
      </w:pPr>
    </w:p>
    <w:p w14:paraId="676DC795">
      <w:pPr>
        <w:wordWrap w:val="0"/>
        <w:adjustRightInd w:val="0"/>
        <w:snapToGrid w:val="0"/>
        <w:spacing w:line="360" w:lineRule="auto"/>
        <w:jc w:val="center"/>
        <w:rPr>
          <w:rFonts w:ascii="宋体" w:hAnsi="宋体" w:cs="宋体"/>
          <w:b/>
          <w:sz w:val="24"/>
          <w:szCs w:val="22"/>
          <w:highlight w:val="none"/>
        </w:rPr>
      </w:pPr>
    </w:p>
    <w:p w14:paraId="3D249025">
      <w:pPr>
        <w:pStyle w:val="14"/>
        <w:ind w:firstLine="400"/>
        <w:rPr>
          <w:rFonts w:ascii="宋体" w:hAnsi="宋体" w:cs="宋体"/>
          <w:highlight w:val="none"/>
        </w:rPr>
      </w:pPr>
    </w:p>
    <w:p w14:paraId="6F79C605">
      <w:pPr>
        <w:pStyle w:val="14"/>
        <w:ind w:firstLine="400"/>
        <w:rPr>
          <w:rFonts w:ascii="宋体" w:hAnsi="宋体" w:cs="宋体"/>
          <w:highlight w:val="none"/>
        </w:rPr>
      </w:pPr>
    </w:p>
    <w:p w14:paraId="7A8AC9DB">
      <w:pPr>
        <w:wordWrap w:val="0"/>
        <w:adjustRightInd w:val="0"/>
        <w:snapToGrid w:val="0"/>
        <w:spacing w:line="360" w:lineRule="auto"/>
        <w:jc w:val="center"/>
        <w:rPr>
          <w:rFonts w:ascii="宋体" w:hAnsi="宋体" w:cs="宋体"/>
          <w:b/>
          <w:sz w:val="24"/>
          <w:szCs w:val="22"/>
          <w:highlight w:val="none"/>
        </w:rPr>
      </w:pPr>
    </w:p>
    <w:p w14:paraId="71FF8B1C">
      <w:pPr>
        <w:spacing w:line="276" w:lineRule="auto"/>
        <w:jc w:val="center"/>
        <w:rPr>
          <w:rFonts w:ascii="宋体" w:hAnsi="宋体" w:cs="宋体"/>
          <w:b/>
          <w:sz w:val="72"/>
          <w:szCs w:val="72"/>
          <w:highlight w:val="none"/>
        </w:rPr>
      </w:pPr>
      <w:r>
        <w:rPr>
          <w:rFonts w:hint="eastAsia" w:ascii="宋体" w:hAnsi="宋体" w:cs="宋体"/>
          <w:b/>
          <w:sz w:val="72"/>
          <w:szCs w:val="72"/>
          <w:highlight w:val="none"/>
        </w:rPr>
        <w:t>招 标 文 件</w:t>
      </w:r>
    </w:p>
    <w:p w14:paraId="23C850F7">
      <w:pPr>
        <w:spacing w:line="276" w:lineRule="auto"/>
        <w:jc w:val="center"/>
        <w:rPr>
          <w:rFonts w:ascii="宋体" w:hAnsi="宋体" w:cs="宋体"/>
          <w:b/>
          <w:color w:val="FF0000"/>
          <w:sz w:val="28"/>
          <w:szCs w:val="28"/>
          <w:highlight w:val="none"/>
        </w:rPr>
      </w:pPr>
      <w:r>
        <w:rPr>
          <w:rFonts w:hint="eastAsia" w:ascii="宋体" w:hAnsi="宋体" w:cs="宋体"/>
          <w:b/>
          <w:sz w:val="28"/>
          <w:szCs w:val="28"/>
          <w:highlight w:val="none"/>
        </w:rPr>
        <w:t>招标编号：YNZC2025-G3-00755-YNXZ-0004</w:t>
      </w:r>
    </w:p>
    <w:p w14:paraId="09E0E91D">
      <w:pPr>
        <w:tabs>
          <w:tab w:val="left" w:pos="4525"/>
        </w:tabs>
        <w:wordWrap w:val="0"/>
        <w:adjustRightInd w:val="0"/>
        <w:snapToGrid w:val="0"/>
        <w:spacing w:line="360" w:lineRule="auto"/>
        <w:jc w:val="center"/>
        <w:rPr>
          <w:rFonts w:ascii="宋体" w:hAnsi="宋体" w:cs="宋体"/>
          <w:sz w:val="24"/>
          <w:szCs w:val="24"/>
          <w:highlight w:val="none"/>
        </w:rPr>
      </w:pPr>
    </w:p>
    <w:p w14:paraId="60E27CCE">
      <w:pPr>
        <w:pStyle w:val="14"/>
        <w:ind w:firstLine="400"/>
        <w:rPr>
          <w:rFonts w:ascii="宋体" w:hAnsi="宋体" w:cs="宋体"/>
          <w:highlight w:val="none"/>
        </w:rPr>
      </w:pPr>
    </w:p>
    <w:p w14:paraId="3905D1CF">
      <w:pPr>
        <w:pStyle w:val="14"/>
        <w:ind w:firstLine="400"/>
        <w:rPr>
          <w:rFonts w:ascii="宋体" w:hAnsi="宋体" w:cs="宋体"/>
          <w:highlight w:val="none"/>
        </w:rPr>
      </w:pPr>
    </w:p>
    <w:p w14:paraId="30321DDB">
      <w:pPr>
        <w:pStyle w:val="14"/>
        <w:ind w:firstLine="400"/>
        <w:rPr>
          <w:rFonts w:ascii="宋体" w:hAnsi="宋体" w:cs="宋体"/>
          <w:highlight w:val="none"/>
        </w:rPr>
      </w:pPr>
    </w:p>
    <w:p w14:paraId="1FF5D8ED">
      <w:pPr>
        <w:pStyle w:val="14"/>
        <w:ind w:firstLine="400"/>
        <w:rPr>
          <w:rFonts w:ascii="宋体" w:hAnsi="宋体" w:cs="宋体"/>
          <w:highlight w:val="none"/>
        </w:rPr>
      </w:pPr>
    </w:p>
    <w:p w14:paraId="40928ECB">
      <w:pPr>
        <w:pStyle w:val="14"/>
        <w:ind w:firstLine="400"/>
        <w:rPr>
          <w:rFonts w:ascii="宋体" w:hAnsi="宋体" w:cs="宋体"/>
          <w:highlight w:val="none"/>
        </w:rPr>
      </w:pPr>
    </w:p>
    <w:p w14:paraId="08C43C98">
      <w:pPr>
        <w:pStyle w:val="17"/>
        <w:rPr>
          <w:rFonts w:hAnsi="宋体" w:eastAsia="宋体" w:cs="宋体"/>
          <w:sz w:val="24"/>
          <w:szCs w:val="24"/>
          <w:highlight w:val="none"/>
        </w:rPr>
      </w:pPr>
    </w:p>
    <w:p w14:paraId="1FE49D74">
      <w:pPr>
        <w:pStyle w:val="17"/>
        <w:rPr>
          <w:rFonts w:hAnsi="宋体" w:eastAsia="宋体" w:cs="宋体"/>
          <w:sz w:val="24"/>
          <w:szCs w:val="24"/>
          <w:highlight w:val="none"/>
        </w:rPr>
      </w:pPr>
    </w:p>
    <w:p w14:paraId="260B22CF">
      <w:pPr>
        <w:pStyle w:val="17"/>
        <w:rPr>
          <w:rFonts w:hAnsi="宋体" w:eastAsia="宋体" w:cs="宋体"/>
          <w:sz w:val="24"/>
          <w:szCs w:val="24"/>
          <w:highlight w:val="none"/>
        </w:rPr>
      </w:pPr>
    </w:p>
    <w:p w14:paraId="549DD4E9">
      <w:pPr>
        <w:pStyle w:val="17"/>
        <w:rPr>
          <w:rFonts w:hAnsi="宋体" w:eastAsia="宋体" w:cs="宋体"/>
          <w:sz w:val="24"/>
          <w:szCs w:val="24"/>
          <w:highlight w:val="none"/>
        </w:rPr>
      </w:pPr>
    </w:p>
    <w:p w14:paraId="09AF6D62">
      <w:pPr>
        <w:pStyle w:val="17"/>
        <w:rPr>
          <w:rFonts w:hAnsi="宋体" w:eastAsia="宋体" w:cs="宋体"/>
          <w:sz w:val="24"/>
          <w:szCs w:val="24"/>
          <w:highlight w:val="none"/>
        </w:rPr>
      </w:pPr>
    </w:p>
    <w:p w14:paraId="0826E30F">
      <w:pPr>
        <w:pStyle w:val="17"/>
        <w:rPr>
          <w:rFonts w:hAnsi="宋体" w:eastAsia="宋体" w:cs="宋体"/>
          <w:sz w:val="24"/>
          <w:szCs w:val="24"/>
          <w:highlight w:val="none"/>
        </w:rPr>
      </w:pPr>
    </w:p>
    <w:p w14:paraId="00B81050">
      <w:pPr>
        <w:tabs>
          <w:tab w:val="left" w:pos="4525"/>
        </w:tabs>
        <w:wordWrap w:val="0"/>
        <w:adjustRightInd w:val="0"/>
        <w:snapToGrid w:val="0"/>
        <w:spacing w:line="360" w:lineRule="auto"/>
        <w:jc w:val="both"/>
        <w:rPr>
          <w:rFonts w:ascii="宋体" w:hAnsi="宋体" w:cs="宋体"/>
          <w:sz w:val="24"/>
          <w:szCs w:val="24"/>
          <w:highlight w:val="none"/>
        </w:rPr>
      </w:pPr>
    </w:p>
    <w:p w14:paraId="57EFFDBE">
      <w:pPr>
        <w:pStyle w:val="14"/>
        <w:ind w:firstLine="400"/>
        <w:rPr>
          <w:rFonts w:ascii="宋体" w:hAnsi="宋体" w:cs="宋体"/>
          <w:highlight w:val="none"/>
        </w:rPr>
      </w:pPr>
    </w:p>
    <w:p w14:paraId="6B4B198D">
      <w:pPr>
        <w:spacing w:line="360" w:lineRule="auto"/>
        <w:ind w:firstLine="426"/>
        <w:rPr>
          <w:rFonts w:ascii="宋体" w:hAnsi="宋体" w:cs="宋体"/>
          <w:sz w:val="30"/>
          <w:szCs w:val="30"/>
          <w:highlight w:val="none"/>
        </w:rPr>
      </w:pPr>
      <w:r>
        <w:rPr>
          <w:rFonts w:hint="eastAsia" w:ascii="宋体" w:hAnsi="宋体" w:cs="宋体"/>
          <w:sz w:val="30"/>
          <w:szCs w:val="30"/>
          <w:highlight w:val="none"/>
        </w:rPr>
        <w:t>采购人：云南省昆明市中级人民法院</w:t>
      </w:r>
    </w:p>
    <w:p w14:paraId="0065B339">
      <w:pPr>
        <w:spacing w:line="360" w:lineRule="auto"/>
        <w:ind w:firstLine="426"/>
        <w:rPr>
          <w:rFonts w:ascii="宋体" w:hAnsi="宋体" w:cs="宋体"/>
          <w:sz w:val="30"/>
          <w:szCs w:val="30"/>
          <w:highlight w:val="none"/>
        </w:rPr>
      </w:pPr>
      <w:r>
        <w:rPr>
          <w:rFonts w:hint="eastAsia" w:ascii="宋体" w:hAnsi="宋体" w:cs="宋体"/>
          <w:sz w:val="30"/>
          <w:szCs w:val="30"/>
          <w:highlight w:val="none"/>
        </w:rPr>
        <w:t>采购代理机构：云南玺正招标代理有限公司</w:t>
      </w:r>
    </w:p>
    <w:p w14:paraId="47F3E93D">
      <w:pPr>
        <w:spacing w:line="480" w:lineRule="auto"/>
        <w:jc w:val="center"/>
        <w:rPr>
          <w:rFonts w:ascii="宋体" w:hAnsi="宋体" w:cs="宋体"/>
          <w:sz w:val="30"/>
          <w:szCs w:val="30"/>
          <w:highlight w:val="none"/>
        </w:rPr>
      </w:pPr>
      <w:r>
        <w:rPr>
          <w:rFonts w:hint="eastAsia" w:ascii="宋体" w:hAnsi="宋体" w:cs="宋体"/>
          <w:sz w:val="30"/>
          <w:szCs w:val="30"/>
          <w:highlight w:val="none"/>
        </w:rPr>
        <w:t>2025年03月</w:t>
      </w:r>
    </w:p>
    <w:p w14:paraId="36CF3262">
      <w:pPr>
        <w:rPr>
          <w:rFonts w:ascii="宋体" w:hAnsi="宋体" w:cs="宋体"/>
          <w:color w:val="FF0000"/>
          <w:sz w:val="30"/>
          <w:szCs w:val="30"/>
          <w:highlight w:val="none"/>
        </w:rPr>
      </w:pPr>
      <w:r>
        <w:rPr>
          <w:rFonts w:hint="eastAsia" w:ascii="宋体" w:hAnsi="宋体" w:cs="宋体"/>
          <w:color w:val="FF0000"/>
          <w:sz w:val="30"/>
          <w:szCs w:val="30"/>
          <w:highlight w:val="none"/>
        </w:rPr>
        <w:br w:type="page"/>
      </w:r>
    </w:p>
    <w:p w14:paraId="32AEF903">
      <w:pPr>
        <w:pStyle w:val="4"/>
        <w:rPr>
          <w:highlight w:val="none"/>
        </w:rPr>
      </w:pPr>
    </w:p>
    <w:p w14:paraId="791986A2">
      <w:pPr>
        <w:spacing w:line="360" w:lineRule="auto"/>
        <w:jc w:val="center"/>
        <w:outlineLvl w:val="0"/>
        <w:rPr>
          <w:rFonts w:ascii="宋体" w:hAnsi="宋体" w:cs="宋体"/>
          <w:b/>
          <w:kern w:val="11"/>
          <w:sz w:val="32"/>
          <w:szCs w:val="32"/>
          <w:highlight w:val="none"/>
        </w:rPr>
      </w:pPr>
      <w:bookmarkStart w:id="1" w:name="_Toc21133"/>
      <w:r>
        <w:rPr>
          <w:rFonts w:hint="eastAsia" w:ascii="宋体" w:hAnsi="宋体" w:cs="宋体"/>
          <w:b/>
          <w:kern w:val="11"/>
          <w:sz w:val="32"/>
          <w:szCs w:val="32"/>
          <w:highlight w:val="none"/>
        </w:rPr>
        <w:t>目    录</w:t>
      </w:r>
      <w:bookmarkEnd w:id="1"/>
    </w:p>
    <w:p w14:paraId="2E18D440">
      <w:pPr>
        <w:pStyle w:val="34"/>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rFonts w:hint="eastAsia" w:ascii="宋体" w:hAnsi="宋体" w:cs="宋体"/>
          <w:b w:val="0"/>
          <w:bCs w:val="0"/>
          <w:i/>
          <w:caps w:val="0"/>
          <w:smallCaps/>
          <w:sz w:val="21"/>
          <w:szCs w:val="21"/>
          <w:highlight w:val="none"/>
        </w:rPr>
        <w:fldChar w:fldCharType="begin"/>
      </w:r>
      <w:r>
        <w:rPr>
          <w:rFonts w:hint="eastAsia" w:ascii="宋体" w:hAnsi="宋体" w:cs="宋体"/>
          <w:b w:val="0"/>
          <w:bCs w:val="0"/>
          <w:i/>
          <w:caps w:val="0"/>
          <w:smallCaps/>
          <w:sz w:val="21"/>
          <w:szCs w:val="21"/>
          <w:highlight w:val="none"/>
        </w:rPr>
        <w:instrText xml:space="preserve"> TOC \o "1-2" \h \z \u </w:instrText>
      </w:r>
      <w:r>
        <w:rPr>
          <w:rFonts w:hint="eastAsia" w:ascii="宋体" w:hAnsi="宋体" w:cs="宋体"/>
          <w:b w:val="0"/>
          <w:bCs w:val="0"/>
          <w:i/>
          <w:caps w:val="0"/>
          <w:smallCaps/>
          <w:sz w:val="21"/>
          <w:szCs w:val="21"/>
          <w:highlight w:val="none"/>
        </w:rPr>
        <w:fldChar w:fldCharType="separate"/>
      </w:r>
      <w:r>
        <w:rPr>
          <w:highlight w:val="none"/>
        </w:rPr>
        <w:fldChar w:fldCharType="begin"/>
      </w:r>
      <w:r>
        <w:rPr>
          <w:highlight w:val="none"/>
        </w:rPr>
        <w:instrText xml:space="preserve"> HYPERLINK \l "_Toc11633" </w:instrText>
      </w:r>
      <w:r>
        <w:rPr>
          <w:highlight w:val="none"/>
        </w:rPr>
        <w:fldChar w:fldCharType="separate"/>
      </w:r>
      <w:r>
        <w:rPr>
          <w:rFonts w:hint="eastAsia" w:ascii="宋体" w:hAnsi="宋体" w:cs="宋体"/>
          <w:sz w:val="25"/>
          <w:szCs w:val="25"/>
          <w:highlight w:val="none"/>
          <w:lang w:val="zh-CN"/>
        </w:rPr>
        <w:t>第一章 招标公告</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_Toc11633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4</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3CDC7E49">
      <w:pPr>
        <w:pStyle w:val="34"/>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"_Toc24981" </w:instrText>
      </w:r>
      <w:r>
        <w:rPr>
          <w:highlight w:val="none"/>
        </w:rPr>
        <w:fldChar w:fldCharType="separate"/>
      </w:r>
      <w:r>
        <w:rPr>
          <w:rFonts w:hint="eastAsia" w:ascii="宋体" w:hAnsi="宋体" w:cs="宋体"/>
          <w:sz w:val="25"/>
          <w:szCs w:val="25"/>
          <w:highlight w:val="none"/>
          <w:lang w:val="zh-CN"/>
        </w:rPr>
        <w:t>第二章 投标人须知</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_Toc24981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8</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1904C027">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"_Toc219" </w:instrText>
      </w:r>
      <w:r>
        <w:rPr>
          <w:highlight w:val="none"/>
        </w:rPr>
        <w:fldChar w:fldCharType="separate"/>
      </w:r>
      <w:r>
        <w:rPr>
          <w:rFonts w:hint="eastAsia" w:ascii="宋体" w:hAnsi="宋体" w:cs="宋体"/>
          <w:kern w:val="2"/>
          <w:sz w:val="25"/>
          <w:szCs w:val="25"/>
          <w:highlight w:val="none"/>
        </w:rPr>
        <w:t>一、投标人须知前附表</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_Toc219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8</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33127C60">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"_Toc2277" </w:instrText>
      </w:r>
      <w:r>
        <w:rPr>
          <w:highlight w:val="none"/>
        </w:rPr>
        <w:fldChar w:fldCharType="separate"/>
      </w:r>
      <w:r>
        <w:rPr>
          <w:rFonts w:hint="eastAsia" w:ascii="宋体" w:hAnsi="宋体" w:cs="宋体"/>
          <w:kern w:val="2"/>
          <w:sz w:val="25"/>
          <w:szCs w:val="25"/>
          <w:highlight w:val="none"/>
        </w:rPr>
        <w:t>二、投标人须知</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_Toc2277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14</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48FEEE0D">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"_Toc13412" </w:instrText>
      </w:r>
      <w:r>
        <w:rPr>
          <w:highlight w:val="none"/>
        </w:rPr>
        <w:fldChar w:fldCharType="separate"/>
      </w:r>
      <w:r>
        <w:rPr>
          <w:rFonts w:hint="eastAsia" w:ascii="宋体" w:hAnsi="宋体" w:cs="宋体"/>
          <w:sz w:val="25"/>
          <w:szCs w:val="25"/>
          <w:highlight w:val="none"/>
          <w:lang w:val="zh-CN"/>
        </w:rPr>
        <w:t>（一）总  则</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_Toc13412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14</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67F0D492">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"_Toc18304" </w:instrText>
      </w:r>
      <w:r>
        <w:rPr>
          <w:highlight w:val="none"/>
        </w:rPr>
        <w:fldChar w:fldCharType="separate"/>
      </w:r>
      <w:r>
        <w:rPr>
          <w:rFonts w:hint="eastAsia" w:ascii="宋体" w:hAnsi="宋体" w:cs="宋体"/>
          <w:sz w:val="25"/>
          <w:szCs w:val="25"/>
          <w:highlight w:val="none"/>
          <w:lang w:val="zh-CN"/>
        </w:rPr>
        <w:t>（二）招标文件</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_Toc18304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16</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48B63256">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"_Toc27669" </w:instrText>
      </w:r>
      <w:r>
        <w:rPr>
          <w:highlight w:val="none"/>
        </w:rPr>
        <w:fldChar w:fldCharType="separate"/>
      </w:r>
      <w:r>
        <w:rPr>
          <w:rFonts w:hint="eastAsia" w:ascii="宋体" w:hAnsi="宋体" w:cs="宋体"/>
          <w:sz w:val="25"/>
          <w:szCs w:val="25"/>
          <w:highlight w:val="none"/>
          <w:lang w:val="zh-CN"/>
        </w:rPr>
        <w:t>（三）投标文件</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_Toc27669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16</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19BF754A">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"_Toc18572" </w:instrText>
      </w:r>
      <w:r>
        <w:rPr>
          <w:highlight w:val="none"/>
        </w:rPr>
        <w:fldChar w:fldCharType="separate"/>
      </w:r>
      <w:r>
        <w:rPr>
          <w:rFonts w:hint="eastAsia" w:ascii="宋体" w:hAnsi="宋体" w:cs="宋体"/>
          <w:sz w:val="25"/>
          <w:szCs w:val="25"/>
          <w:highlight w:val="none"/>
          <w:lang w:val="zh-CN"/>
        </w:rPr>
        <w:t>（四）投标</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_Toc18572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18</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387A8ACA">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"_Toc26803" </w:instrText>
      </w:r>
      <w:r>
        <w:rPr>
          <w:highlight w:val="none"/>
        </w:rPr>
        <w:fldChar w:fldCharType="separate"/>
      </w:r>
      <w:r>
        <w:rPr>
          <w:rFonts w:hint="eastAsia" w:ascii="宋体" w:hAnsi="宋体" w:cs="宋体"/>
          <w:sz w:val="25"/>
          <w:szCs w:val="25"/>
          <w:highlight w:val="none"/>
          <w:lang w:val="zh-CN"/>
        </w:rPr>
        <w:t>（五）开标</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_Toc26803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19</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494D1C83">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"_Toc27407" </w:instrText>
      </w:r>
      <w:r>
        <w:rPr>
          <w:highlight w:val="none"/>
        </w:rPr>
        <w:fldChar w:fldCharType="separate"/>
      </w:r>
      <w:r>
        <w:rPr>
          <w:rFonts w:hint="eastAsia" w:ascii="宋体" w:hAnsi="宋体" w:cs="宋体"/>
          <w:sz w:val="25"/>
          <w:szCs w:val="25"/>
          <w:highlight w:val="none"/>
          <w:lang w:val="zh-CN"/>
        </w:rPr>
        <w:t>（六）评标</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_Toc27407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20</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7D55860E">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"_Toc28982" </w:instrText>
      </w:r>
      <w:r>
        <w:rPr>
          <w:highlight w:val="none"/>
        </w:rPr>
        <w:fldChar w:fldCharType="separate"/>
      </w:r>
      <w:r>
        <w:rPr>
          <w:rFonts w:hint="eastAsia" w:ascii="宋体" w:hAnsi="宋体" w:cs="宋体"/>
          <w:sz w:val="25"/>
          <w:szCs w:val="25"/>
          <w:highlight w:val="none"/>
          <w:lang w:val="zh-CN"/>
        </w:rPr>
        <w:t>（七）中标及合同</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_Toc28982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21</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136AF6FE">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"_Toc22014" </w:instrText>
      </w:r>
      <w:r>
        <w:rPr>
          <w:highlight w:val="none"/>
        </w:rPr>
        <w:fldChar w:fldCharType="separate"/>
      </w:r>
      <w:r>
        <w:rPr>
          <w:rFonts w:hint="eastAsia" w:ascii="宋体" w:hAnsi="宋体" w:cs="宋体"/>
          <w:sz w:val="25"/>
          <w:szCs w:val="25"/>
          <w:highlight w:val="none"/>
          <w:lang w:val="zh-CN"/>
        </w:rPr>
        <w:t>（八）重新采购</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_Toc22014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21</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661F3930">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"_Toc9498" </w:instrText>
      </w:r>
      <w:r>
        <w:rPr>
          <w:highlight w:val="none"/>
        </w:rPr>
        <w:fldChar w:fldCharType="separate"/>
      </w:r>
      <w:r>
        <w:rPr>
          <w:rFonts w:hint="eastAsia" w:ascii="宋体" w:hAnsi="宋体" w:cs="宋体"/>
          <w:sz w:val="25"/>
          <w:szCs w:val="25"/>
          <w:highlight w:val="none"/>
          <w:lang w:val="zh-CN"/>
        </w:rPr>
        <w:t>（九）纪律和监督</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_Toc9498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21</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43BBDC34">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"_Toc21982" </w:instrText>
      </w:r>
      <w:r>
        <w:rPr>
          <w:highlight w:val="none"/>
        </w:rPr>
        <w:fldChar w:fldCharType="separate"/>
      </w:r>
      <w:r>
        <w:rPr>
          <w:rFonts w:hint="eastAsia" w:ascii="宋体" w:hAnsi="宋体" w:cs="宋体"/>
          <w:sz w:val="25"/>
          <w:szCs w:val="25"/>
          <w:highlight w:val="none"/>
          <w:lang w:val="zh-CN"/>
        </w:rPr>
        <w:t>（十）需要补充的其他内容</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_Toc21982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23</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431AE95D">
      <w:pPr>
        <w:pStyle w:val="34"/>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"_Toc6227" </w:instrText>
      </w:r>
      <w:r>
        <w:rPr>
          <w:highlight w:val="none"/>
        </w:rPr>
        <w:fldChar w:fldCharType="separate"/>
      </w:r>
      <w:r>
        <w:rPr>
          <w:rFonts w:hint="eastAsia" w:ascii="宋体" w:hAnsi="宋体" w:cs="宋体"/>
          <w:sz w:val="25"/>
          <w:szCs w:val="25"/>
          <w:highlight w:val="none"/>
          <w:lang w:val="zh-CN"/>
        </w:rPr>
        <w:t>第三章 资格审查</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_Toc6227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24</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47BCE377">
      <w:pPr>
        <w:pStyle w:val="34"/>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"_Toc15206" </w:instrText>
      </w:r>
      <w:r>
        <w:rPr>
          <w:highlight w:val="none"/>
        </w:rPr>
        <w:fldChar w:fldCharType="separate"/>
      </w:r>
      <w:r>
        <w:rPr>
          <w:rFonts w:hint="eastAsia" w:ascii="宋体" w:hAnsi="宋体" w:cs="宋体"/>
          <w:sz w:val="25"/>
          <w:szCs w:val="25"/>
          <w:highlight w:val="none"/>
          <w:lang w:val="zh-CN"/>
        </w:rPr>
        <w:t>第四章 评标办法（综合评分法）</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_Toc15206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26</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13DFD06C">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"_Toc15703" </w:instrText>
      </w:r>
      <w:r>
        <w:rPr>
          <w:highlight w:val="none"/>
        </w:rPr>
        <w:fldChar w:fldCharType="separate"/>
      </w:r>
      <w:r>
        <w:rPr>
          <w:rFonts w:hint="eastAsia" w:ascii="宋体" w:hAnsi="宋体" w:cs="宋体"/>
          <w:sz w:val="25"/>
          <w:szCs w:val="25"/>
          <w:highlight w:val="none"/>
        </w:rPr>
        <w:t>一、评标办法前附表</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_Toc15703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26</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7B38104E">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"_Toc27063" </w:instrText>
      </w:r>
      <w:r>
        <w:rPr>
          <w:highlight w:val="none"/>
        </w:rPr>
        <w:fldChar w:fldCharType="separate"/>
      </w:r>
      <w:r>
        <w:rPr>
          <w:rFonts w:hint="eastAsia" w:ascii="宋体" w:hAnsi="宋体" w:cs="宋体"/>
          <w:sz w:val="25"/>
          <w:szCs w:val="25"/>
          <w:highlight w:val="none"/>
        </w:rPr>
        <w:t>二、评标方法</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_Toc27063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31</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1FD4AFE4">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"_Toc13035" </w:instrText>
      </w:r>
      <w:r>
        <w:rPr>
          <w:highlight w:val="none"/>
        </w:rPr>
        <w:fldChar w:fldCharType="separate"/>
      </w:r>
      <w:r>
        <w:rPr>
          <w:rFonts w:hint="eastAsia" w:ascii="宋体" w:hAnsi="宋体" w:cs="宋体"/>
          <w:sz w:val="25"/>
          <w:szCs w:val="25"/>
          <w:highlight w:val="none"/>
        </w:rPr>
        <w:t>三、评标程序</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_Toc13035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32</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1A4E5096">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"_Toc32135" </w:instrText>
      </w:r>
      <w:r>
        <w:rPr>
          <w:highlight w:val="none"/>
        </w:rPr>
        <w:fldChar w:fldCharType="separate"/>
      </w:r>
      <w:r>
        <w:rPr>
          <w:rFonts w:hint="eastAsia" w:ascii="宋体" w:hAnsi="宋体" w:cs="宋体"/>
          <w:sz w:val="25"/>
          <w:szCs w:val="25"/>
          <w:highlight w:val="none"/>
        </w:rPr>
        <w:t>四、汇总评标结果</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_Toc32135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34</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120D88C1">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"_Toc14202" </w:instrText>
      </w:r>
      <w:r>
        <w:rPr>
          <w:highlight w:val="none"/>
        </w:rPr>
        <w:fldChar w:fldCharType="separate"/>
      </w:r>
      <w:r>
        <w:rPr>
          <w:rFonts w:hint="eastAsia" w:ascii="宋体" w:hAnsi="宋体" w:cs="宋体"/>
          <w:sz w:val="25"/>
          <w:szCs w:val="25"/>
          <w:highlight w:val="none"/>
        </w:rPr>
        <w:t>五、推荐中标候选人</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_Toc14202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34</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3AD7F38D">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"_Toc22269" </w:instrText>
      </w:r>
      <w:r>
        <w:rPr>
          <w:highlight w:val="none"/>
        </w:rPr>
        <w:fldChar w:fldCharType="separate"/>
      </w:r>
      <w:r>
        <w:rPr>
          <w:rFonts w:hint="eastAsia" w:ascii="宋体" w:hAnsi="宋体" w:cs="宋体"/>
          <w:sz w:val="25"/>
          <w:szCs w:val="25"/>
          <w:highlight w:val="none"/>
        </w:rPr>
        <w:t>六、特殊情况的处置程序</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_Toc22269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34</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0F75CB7F">
      <w:pPr>
        <w:pStyle w:val="34"/>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"_Toc82" </w:instrText>
      </w:r>
      <w:r>
        <w:rPr>
          <w:highlight w:val="none"/>
        </w:rPr>
        <w:fldChar w:fldCharType="separate"/>
      </w:r>
      <w:r>
        <w:rPr>
          <w:rFonts w:hint="eastAsia" w:ascii="宋体" w:hAnsi="宋体" w:cs="宋体"/>
          <w:sz w:val="25"/>
          <w:szCs w:val="25"/>
          <w:highlight w:val="none"/>
          <w:lang w:val="zh-CN"/>
        </w:rPr>
        <w:t>第五章 合同条款及格式</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_Toc82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36</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1518C99E">
      <w:pPr>
        <w:pStyle w:val="34"/>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"_Toc23783" </w:instrText>
      </w:r>
      <w:r>
        <w:rPr>
          <w:highlight w:val="none"/>
        </w:rPr>
        <w:fldChar w:fldCharType="separate"/>
      </w:r>
      <w:r>
        <w:rPr>
          <w:rFonts w:hint="eastAsia" w:ascii="宋体" w:hAnsi="宋体" w:cs="宋体"/>
          <w:sz w:val="25"/>
          <w:szCs w:val="25"/>
          <w:highlight w:val="none"/>
          <w:lang w:val="zh-CN"/>
        </w:rPr>
        <w:t>第六章 采购需求</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_Toc23783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42</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6898A9D7">
      <w:pPr>
        <w:pStyle w:val="34"/>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"_Toc11482" </w:instrText>
      </w:r>
      <w:r>
        <w:rPr>
          <w:highlight w:val="none"/>
        </w:rPr>
        <w:fldChar w:fldCharType="separate"/>
      </w:r>
      <w:r>
        <w:rPr>
          <w:rFonts w:hint="eastAsia" w:ascii="宋体" w:hAnsi="宋体" w:cs="宋体"/>
          <w:sz w:val="25"/>
          <w:szCs w:val="25"/>
          <w:highlight w:val="none"/>
          <w:lang w:val="zh-CN"/>
        </w:rPr>
        <w:t>第七章 投标文件格式</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_Toc11482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46</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2E21EB74">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"_Toc32158" </w:instrText>
      </w:r>
      <w:r>
        <w:rPr>
          <w:highlight w:val="none"/>
        </w:rPr>
        <w:fldChar w:fldCharType="separate"/>
      </w:r>
      <w:r>
        <w:rPr>
          <w:rFonts w:hint="eastAsia" w:ascii="宋体" w:hAnsi="宋体" w:cs="宋体"/>
          <w:sz w:val="25"/>
          <w:szCs w:val="25"/>
          <w:highlight w:val="none"/>
          <w:lang w:val="zh-CN"/>
        </w:rPr>
        <w:t>一、投标文件资格审查部分格式</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_Toc32158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47</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1711DD6E">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"_Toc13415" </w:instrText>
      </w:r>
      <w:r>
        <w:rPr>
          <w:highlight w:val="none"/>
        </w:rPr>
        <w:fldChar w:fldCharType="separate"/>
      </w:r>
      <w:r>
        <w:rPr>
          <w:rFonts w:hint="eastAsia" w:ascii="宋体" w:hAnsi="宋体" w:cs="宋体"/>
          <w:sz w:val="25"/>
          <w:szCs w:val="25"/>
          <w:highlight w:val="none"/>
          <w:lang w:val="zh-CN"/>
        </w:rPr>
        <w:t>二、投标文件投标报价部分格式</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_Toc13415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50</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291AA913">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sz w:val="25"/>
          <w:szCs w:val="25"/>
          <w:highlight w:val="none"/>
        </w:rPr>
      </w:pPr>
      <w:r>
        <w:rPr>
          <w:highlight w:val="none"/>
        </w:rPr>
        <w:fldChar w:fldCharType="begin"/>
      </w:r>
      <w:r>
        <w:rPr>
          <w:highlight w:val="none"/>
        </w:rPr>
        <w:instrText xml:space="preserve"> HYPERLINK \l "_Toc11240" </w:instrText>
      </w:r>
      <w:r>
        <w:rPr>
          <w:highlight w:val="none"/>
        </w:rPr>
        <w:fldChar w:fldCharType="separate"/>
      </w:r>
      <w:r>
        <w:rPr>
          <w:rFonts w:hint="eastAsia" w:ascii="宋体" w:hAnsi="宋体" w:cs="宋体"/>
          <w:sz w:val="25"/>
          <w:szCs w:val="25"/>
          <w:highlight w:val="none"/>
        </w:rPr>
        <w:t>三</w:t>
      </w:r>
      <w:r>
        <w:rPr>
          <w:rFonts w:hint="eastAsia" w:ascii="宋体" w:hAnsi="宋体" w:cs="宋体"/>
          <w:sz w:val="25"/>
          <w:szCs w:val="25"/>
          <w:highlight w:val="none"/>
          <w:lang w:val="zh-CN"/>
        </w:rPr>
        <w:t>、投标文件商务部分格式</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_Toc11240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61</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0CAC0AFF">
      <w:pPr>
        <w:pStyle w:val="41"/>
        <w:keepNext w:val="0"/>
        <w:keepLines w:val="0"/>
        <w:pageBreakBefore w:val="0"/>
        <w:widowControl/>
        <w:tabs>
          <w:tab w:val="right" w:leader="dot" w:pos="9071"/>
        </w:tabs>
        <w:kinsoku/>
        <w:wordWrap/>
        <w:overflowPunct/>
        <w:topLinePunct w:val="0"/>
        <w:autoSpaceDE/>
        <w:autoSpaceDN/>
        <w:bidi w:val="0"/>
        <w:adjustRightInd/>
        <w:spacing w:line="400" w:lineRule="exact"/>
        <w:textAlignment w:val="auto"/>
        <w:rPr>
          <w:rFonts w:ascii="宋体" w:hAnsi="宋体" w:cs="宋体"/>
          <w:i/>
          <w:caps/>
          <w:sz w:val="25"/>
          <w:szCs w:val="25"/>
          <w:highlight w:val="none"/>
        </w:rPr>
      </w:pPr>
      <w:r>
        <w:rPr>
          <w:highlight w:val="none"/>
        </w:rPr>
        <w:fldChar w:fldCharType="begin"/>
      </w:r>
      <w:r>
        <w:rPr>
          <w:highlight w:val="none"/>
        </w:rPr>
        <w:instrText xml:space="preserve"> HYPERLINK \l "_Toc14554" </w:instrText>
      </w:r>
      <w:r>
        <w:rPr>
          <w:highlight w:val="none"/>
        </w:rPr>
        <w:fldChar w:fldCharType="separate"/>
      </w:r>
      <w:r>
        <w:rPr>
          <w:rFonts w:hint="eastAsia" w:ascii="宋体" w:hAnsi="宋体" w:cs="宋体"/>
          <w:sz w:val="25"/>
          <w:szCs w:val="25"/>
          <w:highlight w:val="none"/>
        </w:rPr>
        <w:t>四</w:t>
      </w:r>
      <w:r>
        <w:rPr>
          <w:rFonts w:hint="eastAsia" w:ascii="宋体" w:hAnsi="宋体" w:cs="宋体"/>
          <w:sz w:val="25"/>
          <w:szCs w:val="25"/>
          <w:highlight w:val="none"/>
          <w:lang w:val="zh-CN"/>
        </w:rPr>
        <w:t>、投标文件技术部分格式</w:t>
      </w:r>
      <w:r>
        <w:rPr>
          <w:rFonts w:hint="eastAsia" w:ascii="宋体" w:hAnsi="宋体" w:cs="宋体"/>
          <w:sz w:val="25"/>
          <w:szCs w:val="25"/>
          <w:highlight w:val="none"/>
        </w:rPr>
        <w:tab/>
      </w:r>
      <w:r>
        <w:rPr>
          <w:rFonts w:hint="eastAsia" w:ascii="宋体" w:hAnsi="宋体" w:cs="宋体"/>
          <w:sz w:val="25"/>
          <w:szCs w:val="25"/>
          <w:highlight w:val="none"/>
        </w:rPr>
        <w:fldChar w:fldCharType="begin"/>
      </w:r>
      <w:r>
        <w:rPr>
          <w:rFonts w:hint="eastAsia" w:ascii="宋体" w:hAnsi="宋体" w:cs="宋体"/>
          <w:sz w:val="25"/>
          <w:szCs w:val="25"/>
          <w:highlight w:val="none"/>
        </w:rPr>
        <w:instrText xml:space="preserve"> PAGEREF _Toc14554 \h </w:instrText>
      </w:r>
      <w:r>
        <w:rPr>
          <w:rFonts w:hint="eastAsia" w:ascii="宋体" w:hAnsi="宋体" w:cs="宋体"/>
          <w:sz w:val="25"/>
          <w:szCs w:val="25"/>
          <w:highlight w:val="none"/>
        </w:rPr>
        <w:fldChar w:fldCharType="separate"/>
      </w:r>
      <w:r>
        <w:rPr>
          <w:rFonts w:hint="eastAsia" w:ascii="宋体" w:hAnsi="宋体" w:cs="宋体"/>
          <w:sz w:val="25"/>
          <w:szCs w:val="25"/>
          <w:highlight w:val="none"/>
        </w:rPr>
        <w:t>63</w:t>
      </w:r>
      <w:r>
        <w:rPr>
          <w:rFonts w:hint="eastAsia" w:ascii="宋体" w:hAnsi="宋体" w:cs="宋体"/>
          <w:sz w:val="25"/>
          <w:szCs w:val="25"/>
          <w:highlight w:val="none"/>
        </w:rPr>
        <w:fldChar w:fldCharType="end"/>
      </w:r>
      <w:r>
        <w:rPr>
          <w:rFonts w:hint="eastAsia" w:ascii="宋体" w:hAnsi="宋体" w:cs="宋体"/>
          <w:sz w:val="25"/>
          <w:szCs w:val="25"/>
          <w:highlight w:val="none"/>
        </w:rPr>
        <w:fldChar w:fldCharType="end"/>
      </w:r>
    </w:p>
    <w:p w14:paraId="49280702">
      <w:pPr>
        <w:rPr>
          <w:rFonts w:ascii="宋体" w:hAnsi="宋体" w:cs="宋体"/>
          <w:i/>
          <w:caps/>
          <w:smallCaps/>
          <w:sz w:val="25"/>
          <w:szCs w:val="25"/>
          <w:highlight w:val="none"/>
        </w:rPr>
      </w:pPr>
      <w:r>
        <w:rPr>
          <w:rFonts w:hint="eastAsia" w:ascii="宋体" w:hAnsi="宋体" w:cs="宋体"/>
          <w:i/>
          <w:caps/>
          <w:smallCaps/>
          <w:sz w:val="25"/>
          <w:szCs w:val="25"/>
          <w:highlight w:val="none"/>
        </w:rPr>
        <w:br w:type="page"/>
      </w:r>
    </w:p>
    <w:p w14:paraId="431150A5">
      <w:pPr>
        <w:wordWrap w:val="0"/>
        <w:adjustRightInd w:val="0"/>
        <w:snapToGrid w:val="0"/>
        <w:spacing w:before="120" w:beforeLines="50" w:after="120" w:afterLines="50" w:line="360" w:lineRule="auto"/>
        <w:ind w:firstLine="602" w:firstLineChars="200"/>
        <w:jc w:val="center"/>
        <w:rPr>
          <w:rFonts w:ascii="宋体" w:hAnsi="宋体" w:cs="宋体"/>
          <w:b/>
          <w:bCs/>
          <w:sz w:val="30"/>
          <w:szCs w:val="30"/>
          <w:highlight w:val="none"/>
        </w:rPr>
      </w:pPr>
      <w:r>
        <w:rPr>
          <w:rFonts w:hint="eastAsia" w:ascii="宋体" w:hAnsi="宋体" w:cs="宋体"/>
          <w:b/>
          <w:bCs/>
          <w:sz w:val="30"/>
          <w:szCs w:val="30"/>
          <w:highlight w:val="none"/>
        </w:rPr>
        <w:t>温馨提示</w:t>
      </w:r>
    </w:p>
    <w:p w14:paraId="5B17F0D3">
      <w:pPr>
        <w:wordWrap w:val="0"/>
        <w:adjustRightInd w:val="0"/>
        <w:snapToGrid w:val="0"/>
        <w:spacing w:before="120" w:beforeLines="50" w:after="120" w:afterLines="50" w:line="360" w:lineRule="auto"/>
        <w:ind w:firstLine="600" w:firstLineChars="200"/>
        <w:jc w:val="center"/>
        <w:rPr>
          <w:rFonts w:ascii="宋体" w:hAnsi="宋体" w:cs="宋体"/>
          <w:sz w:val="30"/>
          <w:szCs w:val="30"/>
          <w:highlight w:val="none"/>
        </w:rPr>
      </w:pPr>
    </w:p>
    <w:p w14:paraId="786D2920">
      <w:pPr>
        <w:wordWrap w:val="0"/>
        <w:adjustRightInd w:val="0"/>
        <w:snapToGrid w:val="0"/>
        <w:spacing w:before="120" w:beforeLines="50" w:after="120" w:afterLines="50" w:line="360" w:lineRule="auto"/>
        <w:ind w:firstLine="600" w:firstLineChars="200"/>
        <w:jc w:val="center"/>
        <w:rPr>
          <w:rFonts w:ascii="宋体" w:hAnsi="宋体" w:cs="宋体"/>
          <w:sz w:val="30"/>
          <w:szCs w:val="30"/>
          <w:highlight w:val="none"/>
        </w:rPr>
      </w:pPr>
    </w:p>
    <w:p w14:paraId="421697AC">
      <w:pPr>
        <w:wordWrap w:val="0"/>
        <w:adjustRightInd w:val="0"/>
        <w:snapToGrid w:val="0"/>
        <w:spacing w:before="120" w:beforeLines="50" w:after="120" w:afterLines="50" w:line="360" w:lineRule="auto"/>
        <w:ind w:firstLine="600" w:firstLineChars="200"/>
        <w:rPr>
          <w:rFonts w:ascii="宋体" w:hAnsi="宋体" w:cs="宋体"/>
          <w:sz w:val="30"/>
          <w:szCs w:val="30"/>
          <w:highlight w:val="none"/>
        </w:rPr>
      </w:pPr>
      <w:r>
        <w:rPr>
          <w:rFonts w:hint="eastAsia" w:ascii="宋体" w:hAnsi="宋体" w:cs="宋体"/>
          <w:sz w:val="30"/>
          <w:szCs w:val="30"/>
          <w:highlight w:val="none"/>
        </w:rPr>
        <w:t>1.本项目为全流程电子化的政府采购项目，请各投标人熟悉“政采云"相关投标程序，不到现场参加投标，应提前在自有场地配置可音视频通话·(带摄像头及话筒的计算机)的稳定网络环境，并按“政采云”开标大厅中的提示完成投标活动。</w:t>
      </w:r>
    </w:p>
    <w:p w14:paraId="4288D0A3">
      <w:pPr>
        <w:wordWrap w:val="0"/>
        <w:adjustRightInd w:val="0"/>
        <w:snapToGrid w:val="0"/>
        <w:spacing w:before="120" w:beforeLines="50" w:after="120" w:afterLines="50" w:line="360" w:lineRule="auto"/>
        <w:ind w:firstLine="600" w:firstLineChars="200"/>
        <w:rPr>
          <w:rFonts w:ascii="宋体" w:hAnsi="宋体" w:cs="宋体"/>
          <w:sz w:val="30"/>
          <w:szCs w:val="30"/>
          <w:highlight w:val="none"/>
        </w:rPr>
      </w:pPr>
      <w:r>
        <w:rPr>
          <w:rFonts w:hint="eastAsia" w:ascii="宋体" w:hAnsi="宋体" w:cs="宋体"/>
          <w:sz w:val="30"/>
          <w:szCs w:val="30"/>
          <w:highlight w:val="none"/>
        </w:rPr>
        <w:t>2.请各投标人认真阅读本项目提供的关于“政采云"及“CA"的相关办理及操作流程以免影响投标。</w:t>
      </w:r>
    </w:p>
    <w:p w14:paraId="78A737FD">
      <w:pPr>
        <w:wordWrap w:val="0"/>
        <w:adjustRightInd w:val="0"/>
        <w:snapToGrid w:val="0"/>
        <w:spacing w:before="120" w:beforeLines="50" w:after="120" w:afterLines="50" w:line="360" w:lineRule="auto"/>
        <w:ind w:firstLine="600" w:firstLineChars="200"/>
        <w:rPr>
          <w:rFonts w:ascii="宋体" w:hAnsi="宋体" w:cs="宋体"/>
          <w:sz w:val="30"/>
          <w:szCs w:val="30"/>
          <w:highlight w:val="none"/>
        </w:rPr>
      </w:pPr>
      <w:r>
        <w:rPr>
          <w:rFonts w:hint="eastAsia" w:ascii="宋体" w:hAnsi="宋体" w:cs="宋体"/>
          <w:sz w:val="30"/>
          <w:szCs w:val="30"/>
          <w:highlight w:val="none"/>
        </w:rPr>
        <w:t>3.投标期间，如有技术问题可致电“政采云”进行咨询。</w:t>
      </w:r>
    </w:p>
    <w:p w14:paraId="2C590E0D">
      <w:pPr>
        <w:wordWrap w:val="0"/>
        <w:adjustRightInd w:val="0"/>
        <w:snapToGrid w:val="0"/>
        <w:spacing w:before="120" w:beforeLines="50" w:after="120" w:afterLines="50" w:line="360" w:lineRule="auto"/>
        <w:ind w:firstLine="600" w:firstLineChars="200"/>
        <w:rPr>
          <w:rFonts w:ascii="宋体" w:hAnsi="宋体" w:cs="宋体"/>
          <w:sz w:val="30"/>
          <w:szCs w:val="30"/>
          <w:highlight w:val="none"/>
        </w:rPr>
      </w:pPr>
      <w:r>
        <w:rPr>
          <w:rFonts w:hint="eastAsia" w:ascii="宋体" w:hAnsi="宋体" w:cs="宋体"/>
          <w:sz w:val="30"/>
          <w:szCs w:val="30"/>
          <w:highlight w:val="none"/>
        </w:rPr>
        <w:t>政采云技术支持电话:95763。</w:t>
      </w:r>
    </w:p>
    <w:p w14:paraId="451B1A5F">
      <w:pPr>
        <w:wordWrap w:val="0"/>
        <w:adjustRightInd w:val="0"/>
        <w:snapToGrid w:val="0"/>
        <w:spacing w:before="120" w:beforeLines="50" w:after="120" w:afterLines="50" w:line="360" w:lineRule="auto"/>
        <w:ind w:firstLine="600" w:firstLineChars="200"/>
        <w:rPr>
          <w:rFonts w:ascii="宋体" w:hAnsi="宋体" w:cs="宋体"/>
          <w:sz w:val="30"/>
          <w:szCs w:val="30"/>
          <w:highlight w:val="none"/>
        </w:rPr>
      </w:pPr>
    </w:p>
    <w:p w14:paraId="4B337E6E">
      <w:pPr>
        <w:wordWrap w:val="0"/>
        <w:adjustRightInd w:val="0"/>
        <w:snapToGrid w:val="0"/>
        <w:spacing w:before="120" w:beforeLines="50" w:after="120" w:afterLines="50" w:line="360" w:lineRule="auto"/>
        <w:ind w:firstLine="600" w:firstLineChars="200"/>
        <w:rPr>
          <w:rFonts w:ascii="宋体" w:hAnsi="宋体" w:cs="宋体"/>
          <w:sz w:val="30"/>
          <w:szCs w:val="30"/>
          <w:highlight w:val="none"/>
        </w:rPr>
      </w:pPr>
    </w:p>
    <w:p w14:paraId="31715D9D">
      <w:pPr>
        <w:rPr>
          <w:rFonts w:ascii="宋体" w:hAnsi="宋体" w:cs="宋体"/>
          <w:highlight w:val="none"/>
        </w:rPr>
      </w:pPr>
      <w:r>
        <w:rPr>
          <w:rFonts w:hint="eastAsia" w:ascii="宋体" w:hAnsi="宋体" w:cs="宋体"/>
          <w:highlight w:val="none"/>
        </w:rPr>
        <w:br w:type="page"/>
      </w:r>
    </w:p>
    <w:p w14:paraId="59225B96">
      <w:pPr>
        <w:rPr>
          <w:rFonts w:ascii="宋体" w:hAnsi="宋体" w:cs="宋体"/>
          <w:highlight w:val="none"/>
        </w:rPr>
      </w:pPr>
    </w:p>
    <w:p w14:paraId="410564CF">
      <w:pPr>
        <w:pStyle w:val="2"/>
        <w:spacing w:before="240" w:after="240" w:line="360" w:lineRule="auto"/>
        <w:jc w:val="center"/>
        <w:rPr>
          <w:rFonts w:ascii="宋体" w:hAnsi="宋体" w:cs="宋体"/>
          <w:sz w:val="36"/>
          <w:szCs w:val="36"/>
          <w:highlight w:val="none"/>
          <w:lang w:val="zh-CN"/>
        </w:rPr>
      </w:pPr>
      <w:bookmarkStart w:id="2" w:name="_Toc16629"/>
      <w:r>
        <w:rPr>
          <w:rFonts w:hint="eastAsia" w:ascii="宋体" w:hAnsi="宋体" w:cs="宋体"/>
          <w:bCs w:val="0"/>
          <w:i/>
          <w:caps/>
          <w:smallCaps/>
          <w:szCs w:val="21"/>
          <w:highlight w:val="none"/>
        </w:rPr>
        <w:fldChar w:fldCharType="end"/>
      </w:r>
      <w:bookmarkStart w:id="3" w:name="_Toc19815103"/>
      <w:bookmarkStart w:id="4" w:name="_Toc11633"/>
      <w:bookmarkStart w:id="5" w:name="_Toc229583198"/>
      <w:bookmarkStart w:id="6" w:name="_Toc260907968"/>
      <w:bookmarkStart w:id="7" w:name="_Toc260908184"/>
      <w:r>
        <w:rPr>
          <w:rFonts w:hint="eastAsia" w:ascii="宋体" w:hAnsi="宋体" w:cs="宋体"/>
          <w:sz w:val="36"/>
          <w:szCs w:val="36"/>
          <w:highlight w:val="none"/>
          <w:lang w:val="zh-CN"/>
        </w:rPr>
        <w:t xml:space="preserve">第一章 </w:t>
      </w:r>
      <w:bookmarkEnd w:id="3"/>
      <w:r>
        <w:rPr>
          <w:rFonts w:hint="eastAsia" w:ascii="宋体" w:hAnsi="宋体" w:cs="宋体"/>
          <w:sz w:val="36"/>
          <w:szCs w:val="36"/>
          <w:highlight w:val="none"/>
          <w:lang w:val="zh-CN"/>
        </w:rPr>
        <w:t>招标公告</w:t>
      </w:r>
      <w:bookmarkEnd w:id="2"/>
      <w:bookmarkEnd w:id="4"/>
    </w:p>
    <w:p w14:paraId="77F61A84">
      <w:pPr>
        <w:pBdr>
          <w:top w:val="single" w:color="auto" w:sz="4" w:space="1"/>
          <w:left w:val="single" w:color="auto" w:sz="4" w:space="4"/>
          <w:bottom w:val="single" w:color="auto" w:sz="4" w:space="1"/>
          <w:right w:val="single" w:color="auto" w:sz="4" w:space="4"/>
        </w:pBdr>
        <w:spacing w:before="72" w:beforeLines="30" w:line="360" w:lineRule="auto"/>
        <w:ind w:firstLine="420" w:firstLineChars="200"/>
        <w:rPr>
          <w:rFonts w:ascii="宋体" w:hAnsi="宋体" w:cs="宋体"/>
          <w:sz w:val="21"/>
          <w:szCs w:val="21"/>
          <w:highlight w:val="none"/>
        </w:rPr>
      </w:pPr>
      <w:bookmarkStart w:id="8" w:name="_Hlk15234973"/>
      <w:bookmarkStart w:id="9" w:name="_Toc15230533"/>
      <w:bookmarkStart w:id="10" w:name="_Hlk19817359"/>
      <w:bookmarkStart w:id="11" w:name="_Hlk14882119"/>
      <w:r>
        <w:rPr>
          <w:rFonts w:hint="eastAsia" w:ascii="宋体" w:hAnsi="宋体" w:cs="宋体"/>
          <w:sz w:val="21"/>
          <w:szCs w:val="21"/>
          <w:highlight w:val="none"/>
        </w:rPr>
        <w:t>项目概况</w:t>
      </w:r>
    </w:p>
    <w:p w14:paraId="567A32ED">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u w:val="single"/>
        </w:rPr>
        <w:t xml:space="preserve"> 云南省昆明市中级人民法院</w:t>
      </w:r>
      <w:r>
        <w:rPr>
          <w:rFonts w:hint="eastAsia" w:ascii="宋体" w:hAnsi="宋体" w:cs="宋体"/>
          <w:sz w:val="21"/>
          <w:szCs w:val="21"/>
          <w:highlight w:val="none"/>
          <w:u w:val="single"/>
          <w:lang w:eastAsia="zh-CN"/>
        </w:rPr>
        <w:t>采购2025年信息系统运维服务</w:t>
      </w:r>
      <w:r>
        <w:rPr>
          <w:rFonts w:hint="eastAsia" w:ascii="宋体" w:hAnsi="宋体" w:cs="宋体"/>
          <w:sz w:val="21"/>
          <w:szCs w:val="21"/>
          <w:highlight w:val="none"/>
          <w:u w:val="single"/>
        </w:rPr>
        <w:t xml:space="preserve"> </w:t>
      </w:r>
      <w:r>
        <w:rPr>
          <w:rFonts w:hint="eastAsia" w:ascii="宋体" w:hAnsi="宋体" w:cs="宋体"/>
          <w:sz w:val="21"/>
          <w:szCs w:val="21"/>
          <w:highlight w:val="none"/>
        </w:rPr>
        <w:t>招标项目的潜在投标人应在“政采云”平台（网址：http：//www.zcygov.cn）获取招标文件（具体获取事项详见本公告），并于</w:t>
      </w:r>
      <w:r>
        <w:rPr>
          <w:rFonts w:hint="eastAsia" w:ascii="宋体" w:hAnsi="宋体" w:cs="宋体"/>
          <w:sz w:val="21"/>
          <w:szCs w:val="21"/>
          <w:highlight w:val="none"/>
          <w:u w:val="single"/>
        </w:rPr>
        <w:t>2025年</w:t>
      </w:r>
      <w:r>
        <w:rPr>
          <w:rFonts w:hint="eastAsia" w:ascii="宋体" w:hAnsi="宋体" w:cs="宋体"/>
          <w:sz w:val="21"/>
          <w:szCs w:val="21"/>
          <w:highlight w:val="none"/>
          <w:u w:val="single"/>
          <w:lang w:val="en-US" w:eastAsia="zh-CN"/>
        </w:rPr>
        <w:t>4</w:t>
      </w:r>
      <w:r>
        <w:rPr>
          <w:rFonts w:hint="eastAsia" w:ascii="宋体" w:hAnsi="宋体" w:cs="宋体"/>
          <w:sz w:val="21"/>
          <w:szCs w:val="21"/>
          <w:highlight w:val="none"/>
          <w:u w:val="single"/>
        </w:rPr>
        <w:t>月</w:t>
      </w:r>
      <w:r>
        <w:rPr>
          <w:rFonts w:hint="eastAsia" w:ascii="宋体" w:hAnsi="宋体" w:cs="宋体"/>
          <w:sz w:val="21"/>
          <w:szCs w:val="21"/>
          <w:highlight w:val="none"/>
          <w:u w:val="single"/>
          <w:lang w:val="en-US" w:eastAsia="zh-CN"/>
        </w:rPr>
        <w:t>7</w:t>
      </w:r>
      <w:r>
        <w:rPr>
          <w:rFonts w:hint="eastAsia" w:ascii="宋体" w:hAnsi="宋体" w:cs="宋体"/>
          <w:sz w:val="21"/>
          <w:szCs w:val="21"/>
          <w:highlight w:val="none"/>
          <w:u w:val="single"/>
        </w:rPr>
        <w:t>日</w:t>
      </w:r>
      <w:r>
        <w:rPr>
          <w:rFonts w:hint="eastAsia" w:ascii="宋体" w:hAnsi="宋体" w:cs="宋体"/>
          <w:bCs/>
          <w:sz w:val="21"/>
          <w:szCs w:val="21"/>
          <w:highlight w:val="none"/>
          <w:u w:val="single"/>
        </w:rPr>
        <w:t xml:space="preserve"> 14 点30分</w:t>
      </w:r>
      <w:r>
        <w:rPr>
          <w:rFonts w:hint="eastAsia" w:ascii="宋体" w:hAnsi="宋体" w:cs="宋体"/>
          <w:bCs/>
          <w:sz w:val="21"/>
          <w:szCs w:val="21"/>
          <w:highlight w:val="none"/>
        </w:rPr>
        <w:t>（北京时间）前递交投标文件</w:t>
      </w:r>
      <w:r>
        <w:rPr>
          <w:rFonts w:hint="eastAsia" w:ascii="宋体" w:hAnsi="宋体" w:cs="宋体"/>
          <w:sz w:val="21"/>
          <w:szCs w:val="21"/>
          <w:highlight w:val="none"/>
        </w:rPr>
        <w:t>。</w:t>
      </w:r>
    </w:p>
    <w:p w14:paraId="0F1826A7">
      <w:pPr>
        <w:rPr>
          <w:rFonts w:ascii="宋体" w:hAnsi="宋体" w:cs="宋体"/>
          <w:sz w:val="28"/>
          <w:szCs w:val="28"/>
          <w:highlight w:val="none"/>
        </w:rPr>
      </w:pPr>
    </w:p>
    <w:p w14:paraId="37E9069F">
      <w:pPr>
        <w:pStyle w:val="215"/>
        <w:keepNext w:val="0"/>
        <w:keepLines w:val="0"/>
        <w:spacing w:line="360" w:lineRule="auto"/>
        <w:outlineLvl w:val="1"/>
        <w:rPr>
          <w:rFonts w:ascii="宋体" w:hAnsi="宋体" w:eastAsia="宋体"/>
          <w:b/>
          <w:bCs/>
          <w:highlight w:val="none"/>
          <w:lang w:val="zh-CN"/>
        </w:rPr>
      </w:pPr>
      <w:bookmarkStart w:id="12" w:name="_Toc28359079"/>
      <w:bookmarkStart w:id="13" w:name="_Toc28359002"/>
      <w:bookmarkStart w:id="14" w:name="_Toc10035"/>
      <w:bookmarkStart w:id="15" w:name="_Toc35393790"/>
      <w:bookmarkStart w:id="16" w:name="_Toc35393621"/>
      <w:bookmarkStart w:id="17" w:name="_Hlk24379207"/>
      <w:r>
        <w:rPr>
          <w:rFonts w:hint="eastAsia" w:ascii="宋体" w:hAnsi="宋体" w:eastAsia="宋体"/>
          <w:b/>
          <w:bCs/>
          <w:highlight w:val="none"/>
          <w:lang w:val="zh-CN"/>
        </w:rPr>
        <w:t>一、项目基本情况</w:t>
      </w:r>
      <w:bookmarkEnd w:id="12"/>
      <w:bookmarkEnd w:id="13"/>
      <w:bookmarkEnd w:id="14"/>
      <w:bookmarkEnd w:id="15"/>
      <w:bookmarkEnd w:id="16"/>
    </w:p>
    <w:p w14:paraId="5D4D1EB2">
      <w:pPr>
        <w:spacing w:line="360" w:lineRule="auto"/>
        <w:ind w:firstLine="420" w:firstLineChars="200"/>
        <w:outlineLvl w:val="2"/>
        <w:rPr>
          <w:rFonts w:ascii="宋体" w:hAnsi="宋体" w:cs="宋体"/>
          <w:color w:val="FF0000"/>
          <w:sz w:val="21"/>
          <w:szCs w:val="21"/>
          <w:highlight w:val="none"/>
        </w:rPr>
      </w:pPr>
      <w:bookmarkStart w:id="18" w:name="_Toc30409"/>
      <w:r>
        <w:rPr>
          <w:rFonts w:hint="eastAsia" w:ascii="宋体" w:hAnsi="宋体" w:cs="宋体"/>
          <w:sz w:val="21"/>
          <w:szCs w:val="21"/>
          <w:highlight w:val="none"/>
        </w:rPr>
        <w:t>1、招标编号：</w:t>
      </w:r>
      <w:bookmarkEnd w:id="18"/>
      <w:r>
        <w:rPr>
          <w:rFonts w:hint="eastAsia" w:ascii="宋体" w:hAnsi="宋体" w:cs="宋体"/>
          <w:sz w:val="21"/>
          <w:szCs w:val="21"/>
          <w:highlight w:val="none"/>
        </w:rPr>
        <w:t>YNZC2025-G3-00755-YNXZ-0004</w:t>
      </w:r>
    </w:p>
    <w:p w14:paraId="5D7EEF8C">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cs="宋体"/>
          <w:sz w:val="21"/>
          <w:szCs w:val="21"/>
          <w:highlight w:val="none"/>
        </w:rPr>
        <w:t>2、项目名称：云南省昆明市中级人民法院</w:t>
      </w:r>
      <w:r>
        <w:rPr>
          <w:rFonts w:hint="eastAsia" w:ascii="宋体" w:hAnsi="宋体" w:cs="宋体"/>
          <w:sz w:val="21"/>
          <w:szCs w:val="21"/>
          <w:highlight w:val="none"/>
          <w:lang w:eastAsia="zh-CN"/>
        </w:rPr>
        <w:t>采购2025年信息系统运维服务</w:t>
      </w:r>
    </w:p>
    <w:bookmarkEnd w:id="17"/>
    <w:p w14:paraId="7817E0D5">
      <w:pPr>
        <w:spacing w:line="360" w:lineRule="auto"/>
        <w:ind w:firstLine="420" w:firstLineChars="200"/>
        <w:rPr>
          <w:rFonts w:ascii="宋体" w:hAnsi="宋体" w:cs="宋体"/>
          <w:szCs w:val="21"/>
          <w:highlight w:val="none"/>
        </w:rPr>
      </w:pPr>
      <w:r>
        <w:rPr>
          <w:rFonts w:hint="eastAsia" w:ascii="宋体" w:hAnsi="宋体" w:cs="宋体"/>
          <w:sz w:val="21"/>
          <w:szCs w:val="21"/>
          <w:highlight w:val="none"/>
        </w:rPr>
        <w:t>3、预算金额：小写：￥</w:t>
      </w:r>
      <w:r>
        <w:rPr>
          <w:rFonts w:hint="eastAsia" w:ascii="宋体" w:hAnsi="宋体" w:cs="宋体"/>
          <w:sz w:val="21"/>
          <w:szCs w:val="21"/>
          <w:highlight w:val="none"/>
          <w:lang w:eastAsia="zh-CN"/>
        </w:rPr>
        <w:t>4350000.00</w:t>
      </w:r>
      <w:r>
        <w:rPr>
          <w:rFonts w:hint="eastAsia" w:ascii="宋体" w:hAnsi="宋体" w:cs="宋体"/>
          <w:sz w:val="21"/>
          <w:szCs w:val="21"/>
          <w:highlight w:val="none"/>
        </w:rPr>
        <w:t>元</w:t>
      </w:r>
    </w:p>
    <w:p w14:paraId="3BED3429">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4、最高限价：小写：￥</w:t>
      </w:r>
      <w:r>
        <w:rPr>
          <w:rFonts w:hint="eastAsia" w:ascii="宋体" w:hAnsi="宋体" w:cs="宋体"/>
          <w:sz w:val="21"/>
          <w:szCs w:val="21"/>
          <w:highlight w:val="none"/>
          <w:lang w:eastAsia="zh-CN"/>
        </w:rPr>
        <w:t>4350000.00</w:t>
      </w:r>
      <w:r>
        <w:rPr>
          <w:rFonts w:hint="eastAsia" w:ascii="宋体" w:hAnsi="宋体" w:cs="宋体"/>
          <w:sz w:val="21"/>
          <w:szCs w:val="21"/>
          <w:highlight w:val="none"/>
        </w:rPr>
        <w:t>元</w:t>
      </w:r>
    </w:p>
    <w:p w14:paraId="4349A454">
      <w:pPr>
        <w:spacing w:line="360" w:lineRule="auto"/>
        <w:ind w:right="-284" w:rightChars="-142" w:firstLine="420" w:firstLineChars="200"/>
        <w:rPr>
          <w:rFonts w:ascii="宋体" w:hAnsi="宋体" w:cs="宋体"/>
          <w:sz w:val="21"/>
          <w:szCs w:val="21"/>
          <w:highlight w:val="none"/>
        </w:rPr>
      </w:pPr>
      <w:r>
        <w:rPr>
          <w:rFonts w:hint="eastAsia" w:ascii="宋体" w:hAnsi="宋体" w:cs="宋体"/>
          <w:sz w:val="21"/>
          <w:szCs w:val="21"/>
          <w:highlight w:val="none"/>
        </w:rPr>
        <w:t>5、</w:t>
      </w:r>
      <w:bookmarkStart w:id="19" w:name="_Hlk126764477"/>
      <w:bookmarkStart w:id="20" w:name="_Hlk125896858"/>
      <w:r>
        <w:rPr>
          <w:rFonts w:hint="eastAsia" w:ascii="宋体" w:hAnsi="宋体" w:cs="宋体"/>
          <w:sz w:val="21"/>
          <w:szCs w:val="21"/>
          <w:highlight w:val="none"/>
        </w:rPr>
        <w:t>招标内容：</w:t>
      </w:r>
    </w:p>
    <w:tbl>
      <w:tblPr>
        <w:tblStyle w:val="50"/>
        <w:tblW w:w="5099" w:type="pct"/>
        <w:tblInd w:w="0" w:type="dxa"/>
        <w:shd w:val="clear" w:color="auto" w:fill="FFFFFF"/>
        <w:tblLayout w:type="autofit"/>
        <w:tblCellMar>
          <w:top w:w="0" w:type="dxa"/>
          <w:left w:w="0" w:type="dxa"/>
          <w:bottom w:w="0" w:type="dxa"/>
          <w:right w:w="0" w:type="dxa"/>
        </w:tblCellMar>
      </w:tblPr>
      <w:tblGrid>
        <w:gridCol w:w="531"/>
        <w:gridCol w:w="4608"/>
        <w:gridCol w:w="906"/>
        <w:gridCol w:w="999"/>
        <w:gridCol w:w="2217"/>
      </w:tblGrid>
      <w:tr w14:paraId="0767190C">
        <w:tblPrEx>
          <w:shd w:val="clear" w:color="auto" w:fill="FFFFFF"/>
          <w:tblCellMar>
            <w:top w:w="0" w:type="dxa"/>
            <w:left w:w="0" w:type="dxa"/>
            <w:bottom w:w="0" w:type="dxa"/>
            <w:right w:w="0" w:type="dxa"/>
          </w:tblCellMar>
        </w:tblPrEx>
        <w:trPr>
          <w:trHeight w:val="560" w:hRule="atLeast"/>
        </w:trPr>
        <w:tc>
          <w:tcPr>
            <w:tcW w:w="287" w:type="pct"/>
            <w:tcBorders>
              <w:top w:val="single" w:color="auto" w:sz="4" w:space="0"/>
              <w:left w:val="single" w:color="auto" w:sz="4" w:space="0"/>
              <w:bottom w:val="single" w:color="auto" w:sz="4" w:space="0"/>
              <w:right w:val="single" w:color="auto" w:sz="4" w:space="0"/>
            </w:tcBorders>
            <w:shd w:val="clear" w:color="auto" w:fill="FFFFFF"/>
            <w:vAlign w:val="center"/>
          </w:tcPr>
          <w:p w14:paraId="1F61C238">
            <w:pPr>
              <w:jc w:val="center"/>
              <w:rPr>
                <w:rFonts w:ascii="宋体" w:hAnsi="宋体" w:cs="宋体"/>
                <w:b/>
                <w:bCs/>
                <w:highlight w:val="none"/>
              </w:rPr>
            </w:pPr>
            <w:r>
              <w:rPr>
                <w:rFonts w:hint="eastAsia" w:ascii="宋体" w:hAnsi="宋体" w:cs="宋体"/>
                <w:b/>
                <w:bCs/>
                <w:highlight w:val="none"/>
              </w:rPr>
              <w:t>序号</w:t>
            </w:r>
          </w:p>
        </w:tc>
        <w:tc>
          <w:tcPr>
            <w:tcW w:w="2486" w:type="pct"/>
            <w:tcBorders>
              <w:top w:val="single" w:color="auto" w:sz="4" w:space="0"/>
              <w:left w:val="single" w:color="auto" w:sz="4" w:space="0"/>
              <w:bottom w:val="single" w:color="auto" w:sz="4" w:space="0"/>
              <w:right w:val="single" w:color="auto" w:sz="4" w:space="0"/>
            </w:tcBorders>
            <w:shd w:val="clear" w:color="auto" w:fill="FFFFFF"/>
            <w:vAlign w:val="center"/>
          </w:tcPr>
          <w:p w14:paraId="01A66948">
            <w:pPr>
              <w:jc w:val="center"/>
              <w:rPr>
                <w:rFonts w:ascii="宋体" w:hAnsi="宋体" w:cs="宋体"/>
                <w:b/>
                <w:bCs/>
                <w:highlight w:val="none"/>
              </w:rPr>
            </w:pPr>
            <w:r>
              <w:rPr>
                <w:rFonts w:hint="eastAsia" w:ascii="宋体" w:hAnsi="宋体" w:cs="宋体"/>
                <w:b/>
                <w:bCs/>
                <w:highlight w:val="none"/>
              </w:rPr>
              <w:t>项目名称</w:t>
            </w:r>
          </w:p>
        </w:tc>
        <w:tc>
          <w:tcPr>
            <w:tcW w:w="489" w:type="pct"/>
            <w:tcBorders>
              <w:top w:val="single" w:color="auto" w:sz="4" w:space="0"/>
              <w:left w:val="single" w:color="auto" w:sz="4" w:space="0"/>
              <w:bottom w:val="single" w:color="auto" w:sz="4" w:space="0"/>
              <w:right w:val="single" w:color="auto" w:sz="4" w:space="0"/>
            </w:tcBorders>
            <w:shd w:val="clear" w:color="auto" w:fill="FFFFFF"/>
            <w:vAlign w:val="center"/>
          </w:tcPr>
          <w:p w14:paraId="2267CD61">
            <w:pPr>
              <w:jc w:val="center"/>
              <w:rPr>
                <w:rFonts w:ascii="宋体" w:hAnsi="宋体" w:cs="宋体"/>
                <w:b/>
                <w:bCs/>
                <w:highlight w:val="none"/>
              </w:rPr>
            </w:pPr>
            <w:r>
              <w:rPr>
                <w:rFonts w:hint="eastAsia" w:ascii="宋体" w:hAnsi="宋体" w:cs="宋体"/>
                <w:b/>
                <w:bCs/>
                <w:highlight w:val="none"/>
              </w:rPr>
              <w:t>数量</w:t>
            </w:r>
          </w:p>
        </w:tc>
        <w:tc>
          <w:tcPr>
            <w:tcW w:w="539" w:type="pct"/>
            <w:tcBorders>
              <w:top w:val="single" w:color="auto" w:sz="4" w:space="0"/>
              <w:left w:val="single" w:color="auto" w:sz="4" w:space="0"/>
              <w:bottom w:val="single" w:color="auto" w:sz="4" w:space="0"/>
              <w:right w:val="single" w:color="auto" w:sz="4" w:space="0"/>
            </w:tcBorders>
            <w:shd w:val="clear" w:color="auto" w:fill="FFFFFF"/>
            <w:vAlign w:val="center"/>
          </w:tcPr>
          <w:p w14:paraId="3B7243D5">
            <w:pPr>
              <w:jc w:val="center"/>
              <w:rPr>
                <w:rFonts w:ascii="宋体" w:hAnsi="宋体" w:cs="宋体"/>
                <w:b/>
                <w:bCs/>
                <w:highlight w:val="none"/>
              </w:rPr>
            </w:pPr>
            <w:r>
              <w:rPr>
                <w:rFonts w:hint="eastAsia" w:ascii="宋体" w:hAnsi="宋体" w:cs="宋体"/>
                <w:b/>
                <w:bCs/>
                <w:highlight w:val="none"/>
              </w:rPr>
              <w:t>计量单位</w:t>
            </w:r>
          </w:p>
        </w:tc>
        <w:tc>
          <w:tcPr>
            <w:tcW w:w="1196" w:type="pct"/>
            <w:tcBorders>
              <w:top w:val="single" w:color="auto" w:sz="4" w:space="0"/>
              <w:left w:val="single" w:color="auto" w:sz="4" w:space="0"/>
              <w:bottom w:val="single" w:color="auto" w:sz="4" w:space="0"/>
              <w:right w:val="single" w:color="auto" w:sz="4" w:space="0"/>
            </w:tcBorders>
            <w:shd w:val="clear" w:color="auto" w:fill="FFFFFF"/>
            <w:vAlign w:val="center"/>
          </w:tcPr>
          <w:p w14:paraId="648D53F7">
            <w:pPr>
              <w:jc w:val="center"/>
              <w:rPr>
                <w:rFonts w:ascii="宋体" w:hAnsi="宋体" w:cs="宋体"/>
                <w:b/>
                <w:bCs/>
                <w:highlight w:val="none"/>
              </w:rPr>
            </w:pPr>
            <w:r>
              <w:rPr>
                <w:rFonts w:hint="eastAsia" w:ascii="宋体" w:hAnsi="宋体" w:cs="宋体"/>
                <w:b/>
                <w:bCs/>
                <w:highlight w:val="none"/>
              </w:rPr>
              <w:t>预算单价(元)</w:t>
            </w:r>
          </w:p>
        </w:tc>
      </w:tr>
      <w:tr w14:paraId="7B50230C">
        <w:tblPrEx>
          <w:shd w:val="clear" w:color="auto" w:fill="FFFFFF"/>
          <w:tblCellMar>
            <w:top w:w="0" w:type="dxa"/>
            <w:left w:w="0" w:type="dxa"/>
            <w:bottom w:w="0" w:type="dxa"/>
            <w:right w:w="0" w:type="dxa"/>
          </w:tblCellMar>
        </w:tblPrEx>
        <w:trPr>
          <w:trHeight w:val="875" w:hRule="atLeast"/>
        </w:trPr>
        <w:tc>
          <w:tcPr>
            <w:tcW w:w="287" w:type="pct"/>
            <w:tcBorders>
              <w:top w:val="single" w:color="auto" w:sz="4" w:space="0"/>
              <w:left w:val="single" w:color="auto" w:sz="4" w:space="0"/>
              <w:bottom w:val="single" w:color="auto" w:sz="4" w:space="0"/>
              <w:right w:val="single" w:color="auto" w:sz="4" w:space="0"/>
            </w:tcBorders>
            <w:shd w:val="clear" w:color="auto" w:fill="FFFFFF"/>
            <w:vAlign w:val="center"/>
          </w:tcPr>
          <w:p w14:paraId="786E328F">
            <w:pPr>
              <w:jc w:val="center"/>
              <w:rPr>
                <w:rFonts w:ascii="宋体" w:hAnsi="宋体" w:cs="宋体"/>
                <w:highlight w:val="none"/>
              </w:rPr>
            </w:pPr>
            <w:r>
              <w:rPr>
                <w:rFonts w:hint="eastAsia" w:ascii="宋体" w:hAnsi="宋体" w:cs="宋体"/>
                <w:highlight w:val="none"/>
              </w:rPr>
              <w:t>1</w:t>
            </w:r>
          </w:p>
        </w:tc>
        <w:tc>
          <w:tcPr>
            <w:tcW w:w="2486" w:type="pct"/>
            <w:tcBorders>
              <w:top w:val="single" w:color="auto" w:sz="4" w:space="0"/>
              <w:left w:val="single" w:color="auto" w:sz="4" w:space="0"/>
              <w:bottom w:val="single" w:color="auto" w:sz="4" w:space="0"/>
              <w:right w:val="single" w:color="auto" w:sz="4" w:space="0"/>
            </w:tcBorders>
            <w:shd w:val="clear" w:color="auto" w:fill="FFFFFF"/>
            <w:vAlign w:val="center"/>
          </w:tcPr>
          <w:p w14:paraId="2B44432A">
            <w:pPr>
              <w:jc w:val="center"/>
              <w:rPr>
                <w:rFonts w:hint="eastAsia" w:ascii="宋体" w:hAnsi="宋体" w:eastAsia="宋体" w:cs="宋体"/>
                <w:highlight w:val="none"/>
                <w:lang w:eastAsia="zh-CN"/>
              </w:rPr>
            </w:pPr>
            <w:r>
              <w:rPr>
                <w:rFonts w:hint="eastAsia" w:ascii="宋体" w:hAnsi="宋体" w:cs="宋体"/>
                <w:highlight w:val="none"/>
              </w:rPr>
              <w:t>云南省昆明市中级人民法院</w:t>
            </w:r>
            <w:r>
              <w:rPr>
                <w:rFonts w:hint="eastAsia" w:ascii="宋体" w:hAnsi="宋体" w:cs="宋体"/>
                <w:highlight w:val="none"/>
                <w:lang w:eastAsia="zh-CN"/>
              </w:rPr>
              <w:t>采购2025年信息系统运维服务</w:t>
            </w:r>
          </w:p>
        </w:tc>
        <w:tc>
          <w:tcPr>
            <w:tcW w:w="489" w:type="pct"/>
            <w:tcBorders>
              <w:top w:val="single" w:color="auto" w:sz="4" w:space="0"/>
              <w:left w:val="single" w:color="auto" w:sz="4" w:space="0"/>
              <w:bottom w:val="single" w:color="auto" w:sz="4" w:space="0"/>
              <w:right w:val="single" w:color="auto" w:sz="4" w:space="0"/>
            </w:tcBorders>
            <w:shd w:val="clear" w:color="auto" w:fill="FFFFFF"/>
            <w:vAlign w:val="center"/>
          </w:tcPr>
          <w:p w14:paraId="72D113D6">
            <w:pPr>
              <w:jc w:val="center"/>
              <w:rPr>
                <w:rFonts w:ascii="宋体" w:hAnsi="宋体" w:cs="宋体"/>
                <w:highlight w:val="none"/>
              </w:rPr>
            </w:pPr>
            <w:r>
              <w:rPr>
                <w:rFonts w:hint="eastAsia" w:ascii="宋体" w:hAnsi="宋体" w:cs="宋体"/>
                <w:highlight w:val="none"/>
              </w:rPr>
              <w:t>1</w:t>
            </w:r>
          </w:p>
        </w:tc>
        <w:tc>
          <w:tcPr>
            <w:tcW w:w="539" w:type="pct"/>
            <w:tcBorders>
              <w:top w:val="single" w:color="auto" w:sz="4" w:space="0"/>
              <w:left w:val="single" w:color="auto" w:sz="4" w:space="0"/>
              <w:bottom w:val="single" w:color="auto" w:sz="4" w:space="0"/>
              <w:right w:val="single" w:color="auto" w:sz="4" w:space="0"/>
            </w:tcBorders>
            <w:shd w:val="clear" w:color="auto" w:fill="FFFFFF"/>
            <w:vAlign w:val="center"/>
          </w:tcPr>
          <w:p w14:paraId="0DB54DEB">
            <w:pPr>
              <w:jc w:val="center"/>
              <w:rPr>
                <w:rFonts w:ascii="宋体" w:hAnsi="宋体" w:cs="宋体"/>
                <w:highlight w:val="none"/>
              </w:rPr>
            </w:pPr>
            <w:r>
              <w:rPr>
                <w:rFonts w:hint="eastAsia" w:ascii="宋体" w:hAnsi="宋体" w:cs="宋体"/>
                <w:highlight w:val="none"/>
              </w:rPr>
              <w:t>项</w:t>
            </w:r>
          </w:p>
        </w:tc>
        <w:tc>
          <w:tcPr>
            <w:tcW w:w="1196" w:type="pct"/>
            <w:tcBorders>
              <w:top w:val="single" w:color="auto" w:sz="4" w:space="0"/>
              <w:left w:val="single" w:color="auto" w:sz="4" w:space="0"/>
              <w:bottom w:val="single" w:color="auto" w:sz="4" w:space="0"/>
              <w:right w:val="single" w:color="auto" w:sz="4" w:space="0"/>
            </w:tcBorders>
            <w:shd w:val="clear" w:color="auto" w:fill="FFFFFF"/>
            <w:vAlign w:val="center"/>
          </w:tcPr>
          <w:p w14:paraId="1E06BEDB">
            <w:pPr>
              <w:jc w:val="center"/>
              <w:rPr>
                <w:rFonts w:hint="eastAsia" w:ascii="宋体" w:hAnsi="宋体" w:eastAsia="宋体" w:cs="宋体"/>
                <w:highlight w:val="none"/>
                <w:lang w:eastAsia="zh-CN"/>
              </w:rPr>
            </w:pPr>
            <w:r>
              <w:rPr>
                <w:rFonts w:hint="eastAsia" w:ascii="宋体" w:hAnsi="宋体" w:cs="宋体"/>
                <w:sz w:val="21"/>
                <w:szCs w:val="21"/>
                <w:highlight w:val="none"/>
                <w:lang w:eastAsia="zh-CN"/>
              </w:rPr>
              <w:t>4350000.00</w:t>
            </w:r>
          </w:p>
        </w:tc>
      </w:tr>
    </w:tbl>
    <w:p w14:paraId="7828D2E3">
      <w:pPr>
        <w:spacing w:line="360" w:lineRule="auto"/>
        <w:ind w:right="-284" w:rightChars="-142" w:firstLine="420" w:firstLineChars="200"/>
        <w:rPr>
          <w:rFonts w:ascii="宋体" w:hAnsi="宋体" w:cs="宋体"/>
          <w:sz w:val="21"/>
          <w:szCs w:val="21"/>
          <w:highlight w:val="none"/>
        </w:rPr>
      </w:pPr>
      <w:r>
        <w:rPr>
          <w:rFonts w:hint="eastAsia" w:ascii="宋体" w:hAnsi="宋体" w:cs="宋体"/>
          <w:sz w:val="21"/>
          <w:szCs w:val="21"/>
          <w:highlight w:val="none"/>
        </w:rPr>
        <w:t>注：投标人需对所有项目内容进行整体报价，不得缺项漏项，否则作废标处理。详细要求详见招标文件 “第六章 采购需求”。</w:t>
      </w:r>
    </w:p>
    <w:p w14:paraId="6FA2A4F9">
      <w:pPr>
        <w:spacing w:line="360" w:lineRule="auto"/>
        <w:ind w:right="-284" w:rightChars="-142" w:firstLine="420" w:firstLineChars="200"/>
        <w:rPr>
          <w:rFonts w:ascii="宋体" w:hAnsi="宋体" w:cs="宋体"/>
          <w:sz w:val="21"/>
          <w:szCs w:val="21"/>
          <w:highlight w:val="none"/>
        </w:rPr>
      </w:pPr>
      <w:r>
        <w:rPr>
          <w:rFonts w:hint="eastAsia" w:ascii="宋体" w:hAnsi="宋体" w:cs="宋体"/>
          <w:sz w:val="21"/>
          <w:szCs w:val="21"/>
          <w:highlight w:val="none"/>
        </w:rPr>
        <w:t>6、合同履行期限：</w:t>
      </w:r>
      <w:bookmarkEnd w:id="19"/>
      <w:r>
        <w:rPr>
          <w:rFonts w:hint="eastAsia" w:ascii="宋体" w:hAnsi="宋体" w:cs="宋体"/>
          <w:sz w:val="21"/>
          <w:szCs w:val="21"/>
          <w:highlight w:val="none"/>
        </w:rPr>
        <w:t>合同签订后 12 个月。</w:t>
      </w:r>
    </w:p>
    <w:bookmarkEnd w:id="20"/>
    <w:p w14:paraId="4D935CAF">
      <w:pPr>
        <w:spacing w:line="360" w:lineRule="auto"/>
        <w:ind w:right="-284" w:rightChars="-142" w:firstLine="420" w:firstLineChars="200"/>
        <w:rPr>
          <w:rFonts w:ascii="宋体" w:hAnsi="宋体" w:cs="宋体"/>
          <w:sz w:val="21"/>
          <w:szCs w:val="21"/>
          <w:highlight w:val="none"/>
        </w:rPr>
      </w:pPr>
      <w:r>
        <w:rPr>
          <w:rFonts w:hint="eastAsia" w:ascii="宋体" w:hAnsi="宋体" w:cs="宋体"/>
          <w:sz w:val="21"/>
          <w:szCs w:val="21"/>
          <w:highlight w:val="none"/>
        </w:rPr>
        <w:t>7、项目实施地点：昆明市滇池路485号；</w:t>
      </w:r>
    </w:p>
    <w:p w14:paraId="5321D887">
      <w:pPr>
        <w:spacing w:line="360" w:lineRule="auto"/>
        <w:ind w:right="-284" w:rightChars="-142" w:firstLine="420" w:firstLineChars="200"/>
        <w:rPr>
          <w:rFonts w:hint="eastAsia" w:ascii="宋体" w:hAnsi="宋体" w:eastAsia="宋体" w:cs="宋体"/>
          <w:sz w:val="21"/>
          <w:szCs w:val="21"/>
          <w:highlight w:val="none"/>
          <w:lang w:eastAsia="zh-CN"/>
        </w:rPr>
      </w:pPr>
      <w:r>
        <w:rPr>
          <w:rFonts w:hint="eastAsia" w:ascii="宋体" w:hAnsi="宋体" w:cs="宋体"/>
          <w:sz w:val="21"/>
          <w:szCs w:val="21"/>
          <w:highlight w:val="none"/>
        </w:rPr>
        <w:t>8、服务要求：按照《人民法院信息化五年规划（2021-2025）》要求（指标体系、服务规范、组织架构、运维平台、评估机制），对昆明中院信息化软硬件进行驻场运维服务，保障信息化业务正常运转，满足采购人要求</w:t>
      </w:r>
      <w:r>
        <w:rPr>
          <w:rFonts w:hint="eastAsia" w:ascii="宋体" w:hAnsi="宋体" w:cs="宋体"/>
          <w:sz w:val="21"/>
          <w:szCs w:val="21"/>
          <w:highlight w:val="none"/>
          <w:lang w:eastAsia="zh-CN"/>
        </w:rPr>
        <w:t>。</w:t>
      </w:r>
    </w:p>
    <w:p w14:paraId="5293F357">
      <w:pPr>
        <w:spacing w:line="360" w:lineRule="auto"/>
        <w:ind w:right="-284" w:rightChars="-142" w:firstLine="420" w:firstLineChars="200"/>
        <w:outlineLvl w:val="2"/>
        <w:rPr>
          <w:rFonts w:ascii="宋体" w:hAnsi="宋体" w:cs="宋体"/>
          <w:sz w:val="21"/>
          <w:szCs w:val="21"/>
          <w:highlight w:val="none"/>
        </w:rPr>
      </w:pPr>
      <w:bookmarkStart w:id="21" w:name="_Toc32012"/>
      <w:r>
        <w:rPr>
          <w:rFonts w:hint="eastAsia" w:ascii="宋体" w:hAnsi="宋体" w:cs="宋体"/>
          <w:sz w:val="21"/>
          <w:szCs w:val="21"/>
          <w:highlight w:val="none"/>
        </w:rPr>
        <w:t>9、本项目不接受联合体投标；</w:t>
      </w:r>
      <w:bookmarkEnd w:id="21"/>
    </w:p>
    <w:p w14:paraId="3D56039E">
      <w:pPr>
        <w:pStyle w:val="215"/>
        <w:keepNext w:val="0"/>
        <w:keepLines w:val="0"/>
        <w:spacing w:line="360" w:lineRule="auto"/>
        <w:outlineLvl w:val="1"/>
        <w:rPr>
          <w:rFonts w:ascii="宋体" w:hAnsi="宋体" w:eastAsia="宋体"/>
          <w:b/>
          <w:bCs/>
          <w:highlight w:val="none"/>
          <w:lang w:val="zh-CN"/>
        </w:rPr>
      </w:pPr>
      <w:bookmarkStart w:id="22" w:name="_Toc28359003"/>
      <w:bookmarkStart w:id="23" w:name="_Toc35393791"/>
      <w:bookmarkStart w:id="24" w:name="_Toc22370"/>
      <w:bookmarkStart w:id="25" w:name="_Toc28359080"/>
      <w:bookmarkStart w:id="26" w:name="_Toc35393622"/>
      <w:r>
        <w:rPr>
          <w:rFonts w:hint="eastAsia" w:ascii="宋体" w:hAnsi="宋体" w:eastAsia="宋体"/>
          <w:b/>
          <w:bCs/>
          <w:highlight w:val="none"/>
          <w:lang w:val="zh-CN"/>
        </w:rPr>
        <w:t>二、申请人的资格要求</w:t>
      </w:r>
      <w:bookmarkEnd w:id="22"/>
      <w:bookmarkEnd w:id="23"/>
      <w:bookmarkEnd w:id="24"/>
      <w:bookmarkEnd w:id="25"/>
      <w:bookmarkEnd w:id="26"/>
    </w:p>
    <w:p w14:paraId="2EAD9856">
      <w:pPr>
        <w:spacing w:line="360" w:lineRule="auto"/>
        <w:ind w:firstLine="420" w:firstLineChars="200"/>
        <w:outlineLvl w:val="2"/>
        <w:rPr>
          <w:rFonts w:ascii="宋体" w:hAnsi="宋体" w:cs="宋体"/>
          <w:sz w:val="21"/>
          <w:szCs w:val="21"/>
          <w:highlight w:val="none"/>
        </w:rPr>
      </w:pPr>
      <w:bookmarkStart w:id="27" w:name="_Toc23662"/>
      <w:r>
        <w:rPr>
          <w:rFonts w:hint="eastAsia" w:ascii="宋体" w:hAnsi="宋体" w:cs="宋体"/>
          <w:sz w:val="21"/>
          <w:szCs w:val="21"/>
          <w:highlight w:val="none"/>
        </w:rPr>
        <w:t>1.满足《中华人民共和国政府采购法》第二十二条规定；</w:t>
      </w:r>
      <w:bookmarkEnd w:id="27"/>
    </w:p>
    <w:p w14:paraId="4DC2AF8E">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1.1具有独立承担民事责任的能力：具有独立承担民事责任的能力（法人或者其他组织的营业执照等证明文件，自然人的身份证明），提供有效的营业执照或事业单位法人证书或其他类似的法定证明文件。</w:t>
      </w:r>
    </w:p>
    <w:p w14:paraId="591E16B3">
      <w:pPr>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1.2具有良好的商业信誉和健全的财务会计制度：</w:t>
      </w:r>
    </w:p>
    <w:p w14:paraId="0E9093BB">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1.2.1投标人在本项目投标文件提交截止时间前，在信用中国（网址：https://www.creditchina.gov.cn/）网站“信用信息”查询栏中查询下载的“信用信息报告”或“信用服务”查询模块内查询的信息记录（包括但不限于：失信被执行人查询、严重失信主体名单查询、经营异常名录信息查询、重大税收违法失信主体查询、政府采购严重违法失信行为记录名单查询）未出现不良信用信息记录，且在“中国政府采购网（网址：http://www.ccgp.gov.cn/）”网站“政府采购严重违法失信行为记录名单”内查询无不良信用信息记录，且在“国家企业信用信息公示系统（网址：http://www.gsxt.gov.cn/index.html）”网站未被列入“列入严重违法失信企业名单（黑名单）信息”（</w:t>
      </w:r>
      <w:r>
        <w:rPr>
          <w:rFonts w:hint="eastAsia" w:ascii="宋体" w:hAnsi="宋体" w:cs="宋体"/>
          <w:b/>
          <w:bCs/>
          <w:sz w:val="21"/>
          <w:szCs w:val="21"/>
          <w:highlight w:val="none"/>
        </w:rPr>
        <w:t>注：查询结果以</w:t>
      </w:r>
      <w:r>
        <w:rPr>
          <w:rFonts w:hint="eastAsia" w:ascii="宋体" w:hAnsi="宋体" w:cs="宋体"/>
          <w:b/>
          <w:bCs/>
          <w:sz w:val="21"/>
          <w:szCs w:val="21"/>
          <w:highlight w:val="none"/>
          <w:lang w:val="en-US" w:eastAsia="zh-CN"/>
        </w:rPr>
        <w:t>招标代理</w:t>
      </w:r>
      <w:r>
        <w:rPr>
          <w:rFonts w:hint="eastAsia" w:ascii="宋体" w:hAnsi="宋体" w:cs="宋体"/>
          <w:b/>
          <w:bCs/>
          <w:sz w:val="21"/>
          <w:szCs w:val="21"/>
          <w:highlight w:val="none"/>
        </w:rPr>
        <w:t>查询结果为准</w:t>
      </w:r>
      <w:r>
        <w:rPr>
          <w:rFonts w:hint="eastAsia" w:ascii="宋体" w:hAnsi="宋体" w:cs="宋体"/>
          <w:sz w:val="21"/>
          <w:szCs w:val="21"/>
          <w:highlight w:val="none"/>
        </w:rPr>
        <w:t>）；</w:t>
      </w:r>
    </w:p>
    <w:p w14:paraId="40C47371">
      <w:pPr>
        <w:widowControl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1.2.2投标人具有健全的财务会计制度，须提供2022年或2023年经审计的财务报告（扫描件）或近三个月内基本开户银行出具的资信证明（扫描件）或财政部门认可的政府采购专业担保机构出具的投标担保函（成立时间不足一年的，可提供近三个月内基本开户银行出具的资信证明或自成立至今经的财务报告；如提供投标担保函的，需同时提供专业担保机构经财政部门认可的证明文件）</w:t>
      </w:r>
    </w:p>
    <w:p w14:paraId="1CB35453">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1.3具有履行合同所必需的设备和专业技术能力：投标人须提供具有履行合同所必需的设备和专业技术能力的证明材料或书面声明。</w:t>
      </w:r>
    </w:p>
    <w:p w14:paraId="4A037CFC">
      <w:pPr>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1.4有依法缴纳税收和社会保障资金的良好记录：</w:t>
      </w:r>
    </w:p>
    <w:p w14:paraId="333695CC">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1.4.1投标人须提供缴税所属时间在2024年01月至本项目提交投标文件截止时间前任意3个月的税务局税收通用缴款书或银行电子缴税（费）凭证或税务局出具的纳税情况相关证明材料；依法免税的，应提供依法免税的相关证明材料；</w:t>
      </w:r>
    </w:p>
    <w:p w14:paraId="78E58307">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说明：新成立企业不满3个月的，提供缴税所属时间在企业成立之日起至本项目投标文件提交截止时间前任意1个月的税务局税收通用缴款书或银行电子缴税（费）凭证或税务局出具的纳税情况相关证明材料；依法免税的，应提供依法免税的相关证明材料。</w:t>
      </w:r>
    </w:p>
    <w:p w14:paraId="346EEDD2">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1.4.2投标人须提供缴费所属时间在2024年01月至本项目提交投标文件截止时间前任意3个月的社会保险费缴款书或银行电子缴税（费）凭证或社保管理部门出具的缴款证明；依法免缴的，应提供依法免缴的相关证明材料。</w:t>
      </w:r>
    </w:p>
    <w:p w14:paraId="686C1FA9">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说明：新成立企业不满3个月的，提供缴费所属时间在企业成立之日起至本项目投标文件提交截止时间前任意1个月的社会保险费缴款书或银行电子缴税（费）凭证或社保管理部门出具的缴款证明；依法免缴的，应提供依法免缴的相关证明材料。</w:t>
      </w:r>
    </w:p>
    <w:p w14:paraId="140CA205">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2BB159D2">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1.6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3682C41F">
      <w:pPr>
        <w:spacing w:line="360" w:lineRule="auto"/>
        <w:ind w:firstLine="420" w:firstLineChars="200"/>
        <w:outlineLvl w:val="3"/>
        <w:rPr>
          <w:rFonts w:ascii="宋体" w:hAnsi="宋体" w:cs="宋体"/>
          <w:sz w:val="21"/>
          <w:szCs w:val="21"/>
          <w:highlight w:val="none"/>
        </w:rPr>
      </w:pPr>
      <w:bookmarkStart w:id="28" w:name="_Toc490305678"/>
      <w:bookmarkStart w:id="29" w:name="_Toc86124035"/>
      <w:bookmarkStart w:id="30" w:name="_Toc462330057"/>
      <w:r>
        <w:rPr>
          <w:rFonts w:hint="eastAsia" w:ascii="宋体" w:hAnsi="宋体" w:cs="宋体"/>
          <w:sz w:val="21"/>
          <w:szCs w:val="21"/>
          <w:highlight w:val="none"/>
        </w:rPr>
        <w:t>1.7本项目不接受联合体。</w:t>
      </w:r>
    </w:p>
    <w:bookmarkEnd w:id="28"/>
    <w:bookmarkEnd w:id="29"/>
    <w:bookmarkEnd w:id="30"/>
    <w:p w14:paraId="7F5C377C">
      <w:pPr>
        <w:widowControl w:val="0"/>
        <w:spacing w:line="360" w:lineRule="auto"/>
        <w:ind w:firstLine="420" w:firstLineChars="200"/>
        <w:rPr>
          <w:rFonts w:ascii="宋体" w:hAnsi="宋体" w:cs="宋体"/>
          <w:sz w:val="21"/>
          <w:szCs w:val="21"/>
          <w:highlight w:val="none"/>
        </w:rPr>
      </w:pPr>
      <w:bookmarkStart w:id="31" w:name="_Toc28359081"/>
      <w:bookmarkStart w:id="32" w:name="_Toc28359004"/>
      <w:r>
        <w:rPr>
          <w:rFonts w:hint="eastAsia" w:ascii="宋体" w:hAnsi="宋体" w:cs="宋体"/>
          <w:sz w:val="21"/>
          <w:szCs w:val="21"/>
          <w:highlight w:val="none"/>
        </w:rPr>
        <w:t>2.落实政府采购政策需满足的资格要求：政府采购节能产品、环境标志产品政策，政府采购促进中小企业发展政策，政府采购支持监狱企业发展政策，政府采购促进残疾人就业等。</w:t>
      </w:r>
    </w:p>
    <w:p w14:paraId="48075263">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cs="宋体"/>
          <w:sz w:val="21"/>
          <w:szCs w:val="21"/>
          <w:highlight w:val="none"/>
        </w:rPr>
        <w:t>3.本项目的特定资格要求：</w:t>
      </w:r>
      <w:r>
        <w:rPr>
          <w:rFonts w:hint="eastAsia" w:ascii="宋体" w:hAnsi="宋体" w:cs="宋体"/>
          <w:sz w:val="21"/>
          <w:szCs w:val="21"/>
          <w:highlight w:val="none"/>
          <w:lang w:val="en-US" w:eastAsia="zh-CN"/>
        </w:rPr>
        <w:t>无</w:t>
      </w:r>
    </w:p>
    <w:p w14:paraId="0FE2B5EA">
      <w:pPr>
        <w:pStyle w:val="215"/>
        <w:keepNext w:val="0"/>
        <w:keepLines w:val="0"/>
        <w:spacing w:line="360" w:lineRule="auto"/>
        <w:outlineLvl w:val="1"/>
        <w:rPr>
          <w:rFonts w:ascii="宋体" w:hAnsi="宋体" w:eastAsia="宋体"/>
          <w:b/>
          <w:bCs/>
          <w:highlight w:val="none"/>
          <w:lang w:val="zh-CN"/>
        </w:rPr>
      </w:pPr>
      <w:bookmarkStart w:id="33" w:name="_Toc35393623"/>
      <w:bookmarkStart w:id="34" w:name="_Toc16075"/>
      <w:bookmarkStart w:id="35" w:name="_Toc35393792"/>
      <w:r>
        <w:rPr>
          <w:rFonts w:hint="eastAsia" w:ascii="宋体" w:hAnsi="宋体" w:eastAsia="宋体"/>
          <w:b/>
          <w:bCs/>
          <w:highlight w:val="none"/>
          <w:lang w:val="zh-CN"/>
        </w:rPr>
        <w:t>三、获取招标文件</w:t>
      </w:r>
      <w:bookmarkEnd w:id="31"/>
      <w:bookmarkEnd w:id="32"/>
      <w:bookmarkEnd w:id="33"/>
      <w:bookmarkEnd w:id="34"/>
      <w:bookmarkEnd w:id="35"/>
    </w:p>
    <w:p w14:paraId="30E8C97B">
      <w:pPr>
        <w:spacing w:line="372" w:lineRule="auto"/>
        <w:ind w:firstLine="420" w:firstLineChars="200"/>
        <w:rPr>
          <w:rFonts w:ascii="宋体" w:hAnsi="宋体" w:cs="宋体"/>
          <w:sz w:val="21"/>
          <w:szCs w:val="21"/>
          <w:highlight w:val="none"/>
        </w:rPr>
      </w:pPr>
      <w:r>
        <w:rPr>
          <w:rFonts w:hint="eastAsia" w:ascii="宋体" w:hAnsi="宋体" w:cs="宋体"/>
          <w:sz w:val="21"/>
          <w:szCs w:val="21"/>
          <w:highlight w:val="none"/>
        </w:rPr>
        <w:t>时间：</w:t>
      </w:r>
      <w:r>
        <w:rPr>
          <w:rFonts w:hint="eastAsia" w:ascii="宋体" w:hAnsi="宋体" w:cs="宋体"/>
          <w:sz w:val="21"/>
          <w:szCs w:val="21"/>
          <w:highlight w:val="none"/>
          <w:u w:val="single"/>
        </w:rPr>
        <w:t>2025年</w:t>
      </w:r>
      <w:r>
        <w:rPr>
          <w:rFonts w:hint="eastAsia" w:ascii="宋体" w:hAnsi="宋体" w:cs="宋体"/>
          <w:sz w:val="21"/>
          <w:szCs w:val="21"/>
          <w:highlight w:val="none"/>
          <w:u w:val="single"/>
          <w:lang w:val="en-US" w:eastAsia="zh-CN"/>
        </w:rPr>
        <w:t>3</w:t>
      </w:r>
      <w:r>
        <w:rPr>
          <w:rFonts w:hint="eastAsia" w:ascii="宋体" w:hAnsi="宋体" w:cs="宋体"/>
          <w:sz w:val="21"/>
          <w:szCs w:val="21"/>
          <w:highlight w:val="none"/>
          <w:u w:val="single"/>
        </w:rPr>
        <w:t>月</w:t>
      </w:r>
      <w:r>
        <w:rPr>
          <w:rFonts w:hint="eastAsia" w:ascii="宋体" w:hAnsi="宋体" w:cs="宋体"/>
          <w:sz w:val="21"/>
          <w:szCs w:val="21"/>
          <w:highlight w:val="none"/>
          <w:u w:val="single"/>
          <w:lang w:val="en-US" w:eastAsia="zh-CN"/>
        </w:rPr>
        <w:t>17</w:t>
      </w:r>
      <w:r>
        <w:rPr>
          <w:rFonts w:hint="eastAsia" w:ascii="宋体" w:hAnsi="宋体" w:cs="宋体"/>
          <w:sz w:val="21"/>
          <w:szCs w:val="21"/>
          <w:highlight w:val="none"/>
        </w:rPr>
        <w:t>日</w:t>
      </w:r>
      <w:r>
        <w:rPr>
          <w:rFonts w:hint="eastAsia" w:ascii="宋体" w:hAnsi="宋体" w:cs="宋体"/>
          <w:sz w:val="21"/>
          <w:szCs w:val="21"/>
          <w:highlight w:val="none"/>
          <w:u w:val="single"/>
        </w:rPr>
        <w:t>06</w:t>
      </w:r>
      <w:r>
        <w:rPr>
          <w:rFonts w:hint="eastAsia" w:ascii="宋体" w:hAnsi="宋体" w:cs="宋体"/>
          <w:sz w:val="21"/>
          <w:szCs w:val="21"/>
          <w:highlight w:val="none"/>
        </w:rPr>
        <w:t>时</w:t>
      </w:r>
      <w:r>
        <w:rPr>
          <w:rFonts w:hint="eastAsia" w:ascii="宋体" w:hAnsi="宋体" w:cs="宋体"/>
          <w:sz w:val="21"/>
          <w:szCs w:val="21"/>
          <w:highlight w:val="none"/>
          <w:u w:val="single"/>
        </w:rPr>
        <w:t>00</w:t>
      </w:r>
      <w:r>
        <w:rPr>
          <w:rFonts w:hint="eastAsia" w:ascii="宋体" w:hAnsi="宋体" w:cs="宋体"/>
          <w:sz w:val="21"/>
          <w:szCs w:val="21"/>
          <w:highlight w:val="none"/>
        </w:rPr>
        <w:t>分（北京时间，下同）至</w:t>
      </w:r>
      <w:r>
        <w:rPr>
          <w:rFonts w:hint="eastAsia" w:ascii="宋体" w:hAnsi="宋体" w:cs="宋体"/>
          <w:sz w:val="21"/>
          <w:szCs w:val="21"/>
          <w:highlight w:val="none"/>
          <w:u w:val="single"/>
        </w:rPr>
        <w:t>2025年</w:t>
      </w:r>
      <w:r>
        <w:rPr>
          <w:rFonts w:hint="eastAsia" w:ascii="宋体" w:hAnsi="宋体" w:cs="宋体"/>
          <w:sz w:val="21"/>
          <w:szCs w:val="21"/>
          <w:highlight w:val="none"/>
          <w:u w:val="single"/>
          <w:lang w:val="en-US" w:eastAsia="zh-CN"/>
        </w:rPr>
        <w:t>3</w:t>
      </w:r>
      <w:r>
        <w:rPr>
          <w:rFonts w:hint="eastAsia" w:ascii="宋体" w:hAnsi="宋体" w:cs="宋体"/>
          <w:sz w:val="21"/>
          <w:szCs w:val="21"/>
          <w:highlight w:val="none"/>
          <w:u w:val="single"/>
        </w:rPr>
        <w:t>月</w:t>
      </w:r>
      <w:r>
        <w:rPr>
          <w:rFonts w:hint="eastAsia" w:ascii="宋体" w:hAnsi="宋体" w:cs="宋体"/>
          <w:sz w:val="21"/>
          <w:szCs w:val="21"/>
          <w:highlight w:val="none"/>
          <w:u w:val="single"/>
          <w:lang w:val="en-US" w:eastAsia="zh-CN"/>
        </w:rPr>
        <w:t>24</w:t>
      </w:r>
      <w:r>
        <w:rPr>
          <w:rFonts w:hint="eastAsia" w:ascii="宋体" w:hAnsi="宋体" w:cs="宋体"/>
          <w:sz w:val="21"/>
          <w:szCs w:val="21"/>
          <w:highlight w:val="none"/>
        </w:rPr>
        <w:t>日</w:t>
      </w:r>
      <w:r>
        <w:rPr>
          <w:rFonts w:hint="eastAsia" w:ascii="宋体" w:hAnsi="宋体" w:cs="宋体"/>
          <w:sz w:val="21"/>
          <w:szCs w:val="21"/>
          <w:highlight w:val="none"/>
          <w:u w:val="single"/>
        </w:rPr>
        <w:t>23</w:t>
      </w:r>
      <w:r>
        <w:rPr>
          <w:rFonts w:hint="eastAsia" w:ascii="宋体" w:hAnsi="宋体" w:cs="宋体"/>
          <w:sz w:val="21"/>
          <w:szCs w:val="21"/>
          <w:highlight w:val="none"/>
        </w:rPr>
        <w:t>时</w:t>
      </w:r>
      <w:r>
        <w:rPr>
          <w:rFonts w:hint="eastAsia" w:ascii="宋体" w:hAnsi="宋体" w:cs="宋体"/>
          <w:sz w:val="21"/>
          <w:szCs w:val="21"/>
          <w:highlight w:val="none"/>
          <w:u w:val="single"/>
        </w:rPr>
        <w:t>59</w:t>
      </w:r>
      <w:r>
        <w:rPr>
          <w:rFonts w:hint="eastAsia" w:ascii="宋体" w:hAnsi="宋体" w:cs="宋体"/>
          <w:sz w:val="21"/>
          <w:szCs w:val="21"/>
          <w:highlight w:val="none"/>
        </w:rPr>
        <w:t>分。</w:t>
      </w:r>
    </w:p>
    <w:p w14:paraId="23DFD2B5">
      <w:pPr>
        <w:widowControl w:val="0"/>
        <w:spacing w:line="372" w:lineRule="auto"/>
        <w:ind w:firstLine="420" w:firstLineChars="200"/>
        <w:rPr>
          <w:rFonts w:ascii="宋体" w:hAnsi="宋体" w:cs="宋体"/>
          <w:sz w:val="21"/>
          <w:szCs w:val="21"/>
          <w:highlight w:val="none"/>
          <w:u w:val="single"/>
        </w:rPr>
      </w:pPr>
      <w:r>
        <w:rPr>
          <w:rFonts w:hint="eastAsia" w:ascii="宋体" w:hAnsi="宋体" w:cs="宋体"/>
          <w:sz w:val="21"/>
          <w:szCs w:val="21"/>
          <w:highlight w:val="none"/>
        </w:rPr>
        <w:t>地点（网址）：“政采云”平台（http：//www.zcygov.cn）（操作路径：登录“政采云”平台-项目采购-获取招标文件 -找到本项目-点击“申请获取招标文件”）</w:t>
      </w:r>
    </w:p>
    <w:p w14:paraId="19D49FAA">
      <w:pPr>
        <w:widowControl w:val="0"/>
        <w:spacing w:line="372" w:lineRule="auto"/>
        <w:ind w:firstLine="420" w:firstLineChars="200"/>
        <w:rPr>
          <w:rFonts w:ascii="宋体" w:hAnsi="宋体" w:cs="宋体"/>
          <w:sz w:val="21"/>
          <w:szCs w:val="21"/>
          <w:highlight w:val="none"/>
        </w:rPr>
      </w:pPr>
      <w:r>
        <w:rPr>
          <w:rFonts w:hint="eastAsia" w:ascii="宋体" w:hAnsi="宋体" w:cs="宋体"/>
          <w:sz w:val="21"/>
          <w:szCs w:val="21"/>
          <w:highlight w:val="none"/>
        </w:rPr>
        <w:t>方式：凡有意参加投标者，须在政采云平台办理数字证书（CA)，CA申领链接:http://yzt.ynsmartcert.cn/cms/yztynyz.html，数字证书（CA）办理完成后需在政采云平台绑定数字证书(CA)并在平台获取招标文件及其它采购资料。</w:t>
      </w:r>
    </w:p>
    <w:p w14:paraId="239EA3D0">
      <w:pPr>
        <w:widowControl w:val="0"/>
        <w:spacing w:line="372" w:lineRule="auto"/>
        <w:ind w:firstLine="420" w:firstLineChars="200"/>
        <w:rPr>
          <w:rFonts w:ascii="宋体" w:hAnsi="宋体" w:cs="宋体"/>
          <w:sz w:val="21"/>
          <w:szCs w:val="21"/>
          <w:highlight w:val="none"/>
        </w:rPr>
      </w:pPr>
      <w:r>
        <w:rPr>
          <w:rFonts w:hint="eastAsia" w:ascii="宋体" w:hAnsi="宋体" w:cs="宋体"/>
          <w:sz w:val="21"/>
          <w:szCs w:val="21"/>
          <w:highlight w:val="none"/>
        </w:rPr>
        <w:t>注:按上述要求获取文件的投标人视为合法获取了本项目招标文件，具备本项目的投标资格。各投标人应在开标前确保成为政采云平台投标人，并完成CA数字证书申领。因未注册入库，未办理CA数字证书等原因造成无法投标或投标失败等由投标人自行承担,有意参加投标的投标人，须在政采云平办理数字证书(CA)，CA申领链接: http://yzt.ynsmartcert.cn/cms/yztynyz.html。</w:t>
      </w:r>
    </w:p>
    <w:p w14:paraId="5D7A3DA4">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售价：招标文件每套售价0.00元。</w:t>
      </w:r>
    </w:p>
    <w:p w14:paraId="7E6A9F30">
      <w:pPr>
        <w:pStyle w:val="215"/>
        <w:keepNext w:val="0"/>
        <w:keepLines w:val="0"/>
        <w:spacing w:line="360" w:lineRule="auto"/>
        <w:outlineLvl w:val="1"/>
        <w:rPr>
          <w:rFonts w:ascii="宋体" w:hAnsi="宋体" w:eastAsia="宋体"/>
          <w:b/>
          <w:bCs/>
          <w:highlight w:val="none"/>
          <w:lang w:val="zh-CN"/>
        </w:rPr>
      </w:pPr>
      <w:bookmarkStart w:id="36" w:name="_Toc28359005"/>
      <w:bookmarkStart w:id="37" w:name="_Toc28359082"/>
      <w:bookmarkStart w:id="38" w:name="_Toc35393624"/>
      <w:bookmarkStart w:id="39" w:name="_Toc31266"/>
      <w:bookmarkStart w:id="40" w:name="_Toc35393793"/>
      <w:r>
        <w:rPr>
          <w:rFonts w:hint="eastAsia" w:ascii="宋体" w:hAnsi="宋体" w:eastAsia="宋体"/>
          <w:b/>
          <w:bCs/>
          <w:highlight w:val="none"/>
          <w:lang w:val="zh-CN"/>
        </w:rPr>
        <w:t>四、提交投标文件</w:t>
      </w:r>
      <w:bookmarkEnd w:id="36"/>
      <w:bookmarkEnd w:id="37"/>
      <w:r>
        <w:rPr>
          <w:rFonts w:hint="eastAsia" w:ascii="宋体" w:hAnsi="宋体" w:eastAsia="宋体"/>
          <w:b/>
          <w:bCs/>
          <w:highlight w:val="none"/>
          <w:lang w:val="zh-CN"/>
        </w:rPr>
        <w:t>截止时间、开标时间和地点</w:t>
      </w:r>
      <w:bookmarkEnd w:id="38"/>
      <w:bookmarkEnd w:id="39"/>
      <w:bookmarkEnd w:id="40"/>
    </w:p>
    <w:p w14:paraId="435CB99F">
      <w:pPr>
        <w:widowControl w:val="0"/>
        <w:spacing w:line="360" w:lineRule="auto"/>
        <w:ind w:firstLine="420" w:firstLineChars="200"/>
        <w:rPr>
          <w:rFonts w:ascii="宋体" w:hAnsi="宋体" w:cs="宋体"/>
          <w:bCs/>
          <w:sz w:val="21"/>
          <w:szCs w:val="21"/>
          <w:highlight w:val="none"/>
        </w:rPr>
      </w:pPr>
      <w:r>
        <w:rPr>
          <w:rFonts w:hint="eastAsia" w:ascii="宋体" w:hAnsi="宋体" w:cs="宋体"/>
          <w:bCs/>
          <w:sz w:val="21"/>
          <w:szCs w:val="21"/>
          <w:highlight w:val="none"/>
        </w:rPr>
        <w:t>提交投标文件截止时间：2025年</w:t>
      </w:r>
      <w:r>
        <w:rPr>
          <w:rFonts w:hint="eastAsia" w:ascii="宋体" w:hAnsi="宋体" w:cs="宋体"/>
          <w:bCs/>
          <w:sz w:val="21"/>
          <w:szCs w:val="21"/>
          <w:highlight w:val="none"/>
          <w:lang w:val="en-US" w:eastAsia="zh-CN"/>
        </w:rPr>
        <w:t>4</w:t>
      </w:r>
      <w:r>
        <w:rPr>
          <w:rFonts w:hint="eastAsia" w:ascii="宋体" w:hAnsi="宋体" w:cs="宋体"/>
          <w:bCs/>
          <w:sz w:val="21"/>
          <w:szCs w:val="21"/>
          <w:highlight w:val="none"/>
        </w:rPr>
        <w:t>月</w:t>
      </w:r>
      <w:r>
        <w:rPr>
          <w:rFonts w:hint="eastAsia" w:ascii="宋体" w:hAnsi="宋体" w:cs="宋体"/>
          <w:bCs/>
          <w:sz w:val="21"/>
          <w:szCs w:val="21"/>
          <w:highlight w:val="none"/>
          <w:lang w:val="en-US" w:eastAsia="zh-CN"/>
        </w:rPr>
        <w:t>7</w:t>
      </w:r>
      <w:r>
        <w:rPr>
          <w:rFonts w:hint="eastAsia" w:ascii="宋体" w:hAnsi="宋体" w:cs="宋体"/>
          <w:bCs/>
          <w:sz w:val="21"/>
          <w:szCs w:val="21"/>
          <w:highlight w:val="none"/>
        </w:rPr>
        <w:t>日 14 点30分（北京时间）</w:t>
      </w:r>
    </w:p>
    <w:p w14:paraId="2912C3E9">
      <w:pPr>
        <w:widowControl w:val="0"/>
        <w:spacing w:line="360" w:lineRule="auto"/>
        <w:ind w:firstLine="420" w:firstLineChars="200"/>
        <w:rPr>
          <w:rFonts w:ascii="宋体" w:hAnsi="宋体" w:cs="宋体"/>
          <w:bCs/>
          <w:sz w:val="21"/>
          <w:szCs w:val="21"/>
          <w:highlight w:val="none"/>
        </w:rPr>
      </w:pPr>
      <w:r>
        <w:rPr>
          <w:rFonts w:hint="eastAsia" w:ascii="宋体" w:hAnsi="宋体" w:cs="宋体"/>
          <w:bCs/>
          <w:sz w:val="21"/>
          <w:szCs w:val="21"/>
          <w:highlight w:val="none"/>
        </w:rPr>
        <w:t>开标时间：2025年</w:t>
      </w:r>
      <w:r>
        <w:rPr>
          <w:rFonts w:hint="eastAsia" w:ascii="宋体" w:hAnsi="宋体" w:cs="宋体"/>
          <w:bCs/>
          <w:sz w:val="21"/>
          <w:szCs w:val="21"/>
          <w:highlight w:val="none"/>
          <w:lang w:val="en-US" w:eastAsia="zh-CN"/>
        </w:rPr>
        <w:t>4</w:t>
      </w:r>
      <w:r>
        <w:rPr>
          <w:rFonts w:hint="eastAsia" w:ascii="宋体" w:hAnsi="宋体" w:cs="宋体"/>
          <w:bCs/>
          <w:sz w:val="21"/>
          <w:szCs w:val="21"/>
          <w:highlight w:val="none"/>
        </w:rPr>
        <w:t>月</w:t>
      </w:r>
      <w:r>
        <w:rPr>
          <w:rFonts w:hint="eastAsia" w:ascii="宋体" w:hAnsi="宋体" w:cs="宋体"/>
          <w:bCs/>
          <w:sz w:val="21"/>
          <w:szCs w:val="21"/>
          <w:highlight w:val="none"/>
          <w:lang w:val="en-US" w:eastAsia="zh-CN"/>
        </w:rPr>
        <w:t>7</w:t>
      </w:r>
      <w:r>
        <w:rPr>
          <w:rFonts w:hint="eastAsia" w:ascii="宋体" w:hAnsi="宋体" w:cs="宋体"/>
          <w:bCs/>
          <w:sz w:val="21"/>
          <w:szCs w:val="21"/>
          <w:highlight w:val="none"/>
        </w:rPr>
        <w:t>日 14 点30分（北京时间）</w:t>
      </w:r>
    </w:p>
    <w:p w14:paraId="231A8679">
      <w:pPr>
        <w:widowControl w:val="0"/>
        <w:spacing w:line="360" w:lineRule="auto"/>
        <w:ind w:firstLine="420" w:firstLineChars="200"/>
        <w:rPr>
          <w:rFonts w:ascii="宋体" w:hAnsi="宋体" w:cs="宋体"/>
          <w:bCs/>
          <w:sz w:val="21"/>
          <w:szCs w:val="21"/>
          <w:highlight w:val="none"/>
          <w:u w:val="single"/>
        </w:rPr>
      </w:pPr>
      <w:r>
        <w:rPr>
          <w:rFonts w:hint="eastAsia" w:ascii="宋体" w:hAnsi="宋体" w:cs="宋体"/>
          <w:sz w:val="21"/>
          <w:szCs w:val="21"/>
          <w:highlight w:val="none"/>
        </w:rPr>
        <w:t>开标地点：投标人应按照本项目招标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281D2043">
      <w:pPr>
        <w:pStyle w:val="215"/>
        <w:keepLines w:val="0"/>
        <w:spacing w:line="360" w:lineRule="auto"/>
        <w:outlineLvl w:val="1"/>
        <w:rPr>
          <w:rFonts w:ascii="宋体" w:hAnsi="宋体" w:eastAsia="宋体"/>
          <w:b/>
          <w:bCs/>
          <w:highlight w:val="none"/>
          <w:lang w:val="zh-CN"/>
        </w:rPr>
      </w:pPr>
      <w:bookmarkStart w:id="41" w:name="_Toc35393625"/>
      <w:bookmarkStart w:id="42" w:name="_Toc35393794"/>
      <w:bookmarkStart w:id="43" w:name="_Toc28359084"/>
      <w:bookmarkStart w:id="44" w:name="_Toc28359007"/>
      <w:bookmarkStart w:id="45" w:name="_Toc15366"/>
      <w:r>
        <w:rPr>
          <w:rFonts w:hint="eastAsia" w:ascii="宋体" w:hAnsi="宋体" w:eastAsia="宋体"/>
          <w:b/>
          <w:bCs/>
          <w:highlight w:val="none"/>
          <w:lang w:val="zh-CN"/>
        </w:rPr>
        <w:t>五、公告期限</w:t>
      </w:r>
      <w:bookmarkEnd w:id="41"/>
      <w:bookmarkEnd w:id="42"/>
      <w:bookmarkEnd w:id="43"/>
      <w:bookmarkEnd w:id="44"/>
      <w:bookmarkEnd w:id="45"/>
    </w:p>
    <w:p w14:paraId="2DA382E6">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自本公告发布之日起5个工作日。</w:t>
      </w:r>
    </w:p>
    <w:p w14:paraId="27D44EEF">
      <w:pPr>
        <w:pStyle w:val="215"/>
        <w:widowControl/>
        <w:spacing w:line="360" w:lineRule="auto"/>
        <w:outlineLvl w:val="1"/>
        <w:rPr>
          <w:rFonts w:ascii="宋体" w:hAnsi="宋体" w:eastAsia="宋体"/>
          <w:b/>
          <w:bCs/>
          <w:highlight w:val="none"/>
          <w:lang w:val="zh-CN"/>
        </w:rPr>
      </w:pPr>
      <w:bookmarkStart w:id="46" w:name="_Toc35393795"/>
      <w:bookmarkStart w:id="47" w:name="_Toc35393626"/>
      <w:bookmarkStart w:id="48" w:name="_Toc2318"/>
      <w:r>
        <w:rPr>
          <w:rFonts w:hint="eastAsia" w:ascii="宋体" w:hAnsi="宋体" w:eastAsia="宋体"/>
          <w:b/>
          <w:bCs/>
          <w:highlight w:val="none"/>
          <w:lang w:val="zh-CN"/>
        </w:rPr>
        <w:t>六、其他补充事宜</w:t>
      </w:r>
      <w:bookmarkEnd w:id="46"/>
      <w:bookmarkEnd w:id="47"/>
      <w:bookmarkEnd w:id="48"/>
    </w:p>
    <w:p w14:paraId="5D8C9735">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1、项目服务地点：云南省昆明市中级人民法院。</w:t>
      </w:r>
    </w:p>
    <w:p w14:paraId="329B13A7">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2、开标方式：网上开标</w:t>
      </w:r>
    </w:p>
    <w:p w14:paraId="3CBF28A2">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公告发布媒介：本次公告在“云南省政府采购网（http://www.yngp.com/login.do?method=beginlogin）、中国政府采购网（http://www.ccgp.gov.cn/）、政采云平台”上发布，我公司对其他网站或媒体转载的公告及公告内容不承担任何责任。</w:t>
      </w:r>
    </w:p>
    <w:p w14:paraId="0377DA7A">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1）如有问题可拨打政采云客户服务热线95763进行咨询，数字证书问题可咨询云南壹证通CA：0871-67276028（紧急可拨19988166369）。如因投标人自身原因导致在规定时间内无法正常解密的(如:浏览器故障、未安装相关驱动、网络故障、加密CA与解密CA不一致等），视为投标人自动弃标，代理机构不予处理。</w:t>
      </w:r>
    </w:p>
    <w:p w14:paraId="541BD161">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（2）云南本地投标人如之前已在云南CA在线数字证书办理网进行过注册并办理过企业数字证书（CA），直接绑定即可，无需重复办理（2022年1月1日前办理的云南CA需到云南CA办理处进行升级）。</w:t>
      </w:r>
    </w:p>
    <w:p w14:paraId="68489AA6">
      <w:pPr>
        <w:spacing w:line="360" w:lineRule="auto"/>
        <w:ind w:firstLine="420" w:firstLineChars="200"/>
        <w:rPr>
          <w:rFonts w:hint="eastAsia" w:ascii="宋体" w:hAnsi="宋体" w:cs="宋体"/>
          <w:sz w:val="21"/>
          <w:szCs w:val="21"/>
          <w:highlight w:val="none"/>
        </w:rPr>
      </w:pPr>
    </w:p>
    <w:p w14:paraId="21EABB9C">
      <w:pPr>
        <w:pStyle w:val="215"/>
        <w:keepLines w:val="0"/>
        <w:spacing w:line="360" w:lineRule="auto"/>
        <w:outlineLvl w:val="1"/>
        <w:rPr>
          <w:rFonts w:ascii="宋体" w:hAnsi="宋体" w:eastAsia="宋体"/>
          <w:b/>
          <w:bCs/>
          <w:highlight w:val="none"/>
          <w:lang w:val="zh-CN"/>
        </w:rPr>
      </w:pPr>
      <w:bookmarkStart w:id="49" w:name="_Toc24198"/>
      <w:bookmarkStart w:id="50" w:name="_Toc35393796"/>
      <w:bookmarkStart w:id="51" w:name="_Toc28359085"/>
      <w:bookmarkStart w:id="52" w:name="_Toc28359008"/>
      <w:bookmarkStart w:id="53" w:name="_Toc35393627"/>
      <w:r>
        <w:rPr>
          <w:rFonts w:hint="eastAsia" w:ascii="宋体" w:hAnsi="宋体" w:eastAsia="宋体"/>
          <w:b/>
          <w:bCs/>
          <w:highlight w:val="none"/>
          <w:lang w:val="zh-CN"/>
        </w:rPr>
        <w:t>七、对本次招标提出询问，请按以下方式联系。</w:t>
      </w:r>
      <w:bookmarkEnd w:id="49"/>
      <w:bookmarkEnd w:id="50"/>
      <w:bookmarkEnd w:id="51"/>
      <w:bookmarkEnd w:id="52"/>
      <w:bookmarkEnd w:id="53"/>
    </w:p>
    <w:p w14:paraId="299F83F2">
      <w:pPr>
        <w:spacing w:line="360" w:lineRule="auto"/>
        <w:ind w:firstLine="420" w:firstLineChars="200"/>
        <w:rPr>
          <w:rFonts w:hint="eastAsia" w:ascii="宋体" w:hAnsi="宋体" w:cs="宋体"/>
          <w:sz w:val="21"/>
          <w:szCs w:val="21"/>
          <w:highlight w:val="none"/>
        </w:rPr>
      </w:pPr>
      <w:bookmarkStart w:id="54" w:name="_Toc2656"/>
      <w:r>
        <w:rPr>
          <w:rFonts w:hint="eastAsia" w:ascii="宋体" w:hAnsi="宋体" w:cs="宋体"/>
          <w:sz w:val="21"/>
          <w:szCs w:val="21"/>
          <w:highlight w:val="none"/>
        </w:rPr>
        <w:t>1.采购人信息</w:t>
      </w:r>
      <w:bookmarkEnd w:id="54"/>
    </w:p>
    <w:p w14:paraId="4F8ABB2B">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名    称：云南省昆明市中级人民法院</w:t>
      </w:r>
    </w:p>
    <w:p w14:paraId="2AF2BB61">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地    址：昆明市滇池路485号</w:t>
      </w:r>
      <w:bookmarkStart w:id="55" w:name="_Toc28359009"/>
      <w:bookmarkStart w:id="56" w:name="_Toc28359086"/>
    </w:p>
    <w:p w14:paraId="6ECF0ECA">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联 系 人：</w:t>
      </w:r>
      <w:r>
        <w:rPr>
          <w:rFonts w:hint="eastAsia" w:ascii="宋体" w:hAnsi="宋体" w:cs="宋体"/>
          <w:sz w:val="21"/>
          <w:szCs w:val="21"/>
          <w:highlight w:val="none"/>
          <w:lang w:val="en-US" w:eastAsia="zh-CN"/>
        </w:rPr>
        <w:t>梅</w:t>
      </w:r>
      <w:r>
        <w:rPr>
          <w:rFonts w:hint="eastAsia" w:ascii="宋体" w:hAnsi="宋体" w:cs="宋体"/>
          <w:sz w:val="21"/>
          <w:szCs w:val="21"/>
          <w:highlight w:val="none"/>
        </w:rPr>
        <w:t>老师</w:t>
      </w:r>
    </w:p>
    <w:p w14:paraId="615BB4E9">
      <w:pPr>
        <w:spacing w:line="360" w:lineRule="auto"/>
        <w:ind w:firstLine="420" w:firstLineChars="200"/>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rPr>
        <w:t>电    话：0871-64906</w:t>
      </w:r>
      <w:r>
        <w:rPr>
          <w:rFonts w:hint="eastAsia" w:ascii="宋体" w:hAnsi="宋体" w:cs="宋体"/>
          <w:color w:val="auto"/>
          <w:sz w:val="21"/>
          <w:szCs w:val="21"/>
          <w:highlight w:val="none"/>
          <w:shd w:val="clear" w:color="auto" w:fill="auto"/>
          <w:lang w:val="en-US" w:eastAsia="zh-CN"/>
        </w:rPr>
        <w:t>105</w:t>
      </w:r>
    </w:p>
    <w:p w14:paraId="04B28B7C">
      <w:pPr>
        <w:spacing w:line="360" w:lineRule="auto"/>
        <w:ind w:firstLine="420" w:firstLineChars="200"/>
        <w:rPr>
          <w:rFonts w:hint="eastAsia" w:ascii="宋体" w:hAnsi="宋体" w:cs="宋体"/>
          <w:sz w:val="21"/>
          <w:szCs w:val="21"/>
          <w:highlight w:val="none"/>
          <w:lang w:val="en-US" w:eastAsia="zh-CN"/>
        </w:rPr>
      </w:pPr>
    </w:p>
    <w:p w14:paraId="3065DEBE">
      <w:pPr>
        <w:spacing w:line="360" w:lineRule="auto"/>
        <w:ind w:firstLine="420" w:firstLineChars="200"/>
        <w:rPr>
          <w:rFonts w:hint="eastAsia" w:ascii="宋体" w:hAnsi="宋体" w:cs="宋体"/>
          <w:sz w:val="21"/>
          <w:szCs w:val="21"/>
          <w:highlight w:val="none"/>
        </w:rPr>
      </w:pPr>
      <w:bookmarkStart w:id="57" w:name="_Toc7232"/>
      <w:r>
        <w:rPr>
          <w:rFonts w:hint="eastAsia" w:ascii="宋体" w:hAnsi="宋体" w:cs="宋体"/>
          <w:sz w:val="21"/>
          <w:szCs w:val="21"/>
          <w:highlight w:val="none"/>
        </w:rPr>
        <w:t>2.采购代理机构信息</w:t>
      </w:r>
      <w:bookmarkEnd w:id="55"/>
      <w:bookmarkEnd w:id="56"/>
      <w:bookmarkEnd w:id="57"/>
    </w:p>
    <w:p w14:paraId="69623A46">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名    称：云南玺正招标代理有限公司</w:t>
      </w:r>
    </w:p>
    <w:p w14:paraId="122679C0">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地    址：昆明市五华区科普路503号固地尚诚商务中心B座5楼5-5</w:t>
      </w:r>
    </w:p>
    <w:p w14:paraId="067DA9D5">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联系方式：</w:t>
      </w:r>
      <w:bookmarkStart w:id="58" w:name="_Toc28359010"/>
      <w:bookmarkStart w:id="59" w:name="_Toc28359087"/>
      <w:r>
        <w:rPr>
          <w:rFonts w:hint="eastAsia" w:ascii="宋体" w:hAnsi="宋体" w:cs="宋体"/>
          <w:sz w:val="21"/>
          <w:szCs w:val="21"/>
          <w:highlight w:val="none"/>
        </w:rPr>
        <w:t>魏晓龙（13888827595）</w:t>
      </w:r>
    </w:p>
    <w:p w14:paraId="33860076">
      <w:pPr>
        <w:spacing w:line="360" w:lineRule="auto"/>
        <w:ind w:firstLine="420" w:firstLineChars="200"/>
        <w:rPr>
          <w:rFonts w:hint="eastAsia" w:ascii="宋体" w:hAnsi="宋体" w:cs="宋体"/>
          <w:sz w:val="21"/>
          <w:szCs w:val="21"/>
          <w:highlight w:val="none"/>
        </w:rPr>
      </w:pPr>
    </w:p>
    <w:p w14:paraId="2620698A">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3.监督单位：云南省财政厅</w:t>
      </w:r>
    </w:p>
    <w:p w14:paraId="6676B0C2">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地址：云南省昆明市五华区华山南路130号省财政厅4006办公室</w:t>
      </w:r>
    </w:p>
    <w:p w14:paraId="6DD786B1">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联系人：政府采购管理处</w:t>
      </w:r>
    </w:p>
    <w:p w14:paraId="7F73BB2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联系电话：0871-63956094</w:t>
      </w:r>
    </w:p>
    <w:p w14:paraId="631FD762">
      <w:pPr>
        <w:spacing w:line="360" w:lineRule="auto"/>
        <w:ind w:firstLine="420" w:firstLineChars="200"/>
        <w:rPr>
          <w:rFonts w:hint="default" w:ascii="宋体" w:hAnsi="宋体" w:cs="宋体"/>
          <w:sz w:val="21"/>
          <w:szCs w:val="21"/>
          <w:highlight w:val="none"/>
          <w:lang w:val="en-US" w:eastAsia="zh-CN"/>
        </w:rPr>
      </w:pPr>
    </w:p>
    <w:bookmarkEnd w:id="8"/>
    <w:bookmarkEnd w:id="9"/>
    <w:bookmarkEnd w:id="10"/>
    <w:bookmarkEnd w:id="11"/>
    <w:bookmarkEnd w:id="58"/>
    <w:bookmarkEnd w:id="59"/>
    <w:p w14:paraId="0381D022">
      <w:pPr>
        <w:pStyle w:val="2"/>
        <w:spacing w:before="240" w:after="240" w:line="360" w:lineRule="auto"/>
        <w:jc w:val="center"/>
        <w:rPr>
          <w:rFonts w:ascii="宋体" w:hAnsi="宋体" w:cs="宋体"/>
          <w:sz w:val="36"/>
          <w:szCs w:val="36"/>
          <w:highlight w:val="none"/>
          <w:lang w:val="zh-CN"/>
        </w:rPr>
      </w:pPr>
      <w:r>
        <w:rPr>
          <w:rFonts w:hint="eastAsia" w:ascii="宋体" w:hAnsi="宋体" w:cs="宋体"/>
          <w:sz w:val="36"/>
          <w:szCs w:val="36"/>
          <w:highlight w:val="none"/>
          <w:lang w:val="zh-CN"/>
        </w:rPr>
        <w:br w:type="page"/>
      </w:r>
    </w:p>
    <w:p w14:paraId="2A79A3D5">
      <w:pPr>
        <w:pStyle w:val="2"/>
        <w:spacing w:before="240" w:after="240" w:line="360" w:lineRule="auto"/>
        <w:jc w:val="center"/>
        <w:rPr>
          <w:rFonts w:ascii="宋体" w:hAnsi="宋体" w:cs="宋体"/>
          <w:sz w:val="36"/>
          <w:szCs w:val="36"/>
          <w:highlight w:val="none"/>
          <w:lang w:val="zh-CN"/>
        </w:rPr>
      </w:pPr>
      <w:bookmarkStart w:id="60" w:name="_Toc24981"/>
      <w:bookmarkStart w:id="61" w:name="_Toc6087"/>
      <w:r>
        <w:rPr>
          <w:rFonts w:hint="eastAsia" w:ascii="宋体" w:hAnsi="宋体" w:cs="宋体"/>
          <w:sz w:val="36"/>
          <w:szCs w:val="36"/>
          <w:highlight w:val="none"/>
          <w:lang w:val="zh-CN"/>
        </w:rPr>
        <w:t>第二章 投标人须知</w:t>
      </w:r>
      <w:bookmarkEnd w:id="5"/>
      <w:bookmarkEnd w:id="6"/>
      <w:bookmarkEnd w:id="7"/>
      <w:bookmarkEnd w:id="60"/>
      <w:bookmarkEnd w:id="61"/>
    </w:p>
    <w:p w14:paraId="7D1741CA">
      <w:pPr>
        <w:pStyle w:val="4"/>
        <w:rPr>
          <w:highlight w:val="none"/>
        </w:rPr>
      </w:pPr>
      <w:bookmarkStart w:id="62" w:name="_Toc32108"/>
      <w:bookmarkStart w:id="63" w:name="_Toc19820082"/>
      <w:bookmarkStart w:id="64" w:name="_Toc270090081"/>
      <w:bookmarkStart w:id="65" w:name="_Toc229583199"/>
      <w:bookmarkStart w:id="66" w:name="_Toc23383"/>
      <w:bookmarkStart w:id="67" w:name="_Toc260908185"/>
      <w:bookmarkStart w:id="68" w:name="_Toc219"/>
      <w:bookmarkStart w:id="69" w:name="_Toc260907969"/>
      <w:r>
        <w:rPr>
          <w:rFonts w:hint="eastAsia"/>
          <w:highlight w:val="none"/>
        </w:rPr>
        <w:t>一、投标人须知前附表</w:t>
      </w:r>
      <w:bookmarkEnd w:id="62"/>
      <w:bookmarkEnd w:id="63"/>
      <w:bookmarkEnd w:id="64"/>
      <w:bookmarkEnd w:id="65"/>
      <w:bookmarkEnd w:id="66"/>
      <w:bookmarkEnd w:id="67"/>
      <w:bookmarkEnd w:id="68"/>
      <w:bookmarkEnd w:id="69"/>
    </w:p>
    <w:tbl>
      <w:tblPr>
        <w:tblStyle w:val="50"/>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698"/>
        <w:gridCol w:w="7036"/>
      </w:tblGrid>
      <w:tr w14:paraId="5D760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D74BACF">
            <w:pPr>
              <w:spacing w:line="276" w:lineRule="auto"/>
              <w:jc w:val="center"/>
              <w:rPr>
                <w:rFonts w:ascii="宋体" w:hAnsi="宋体" w:cs="宋体"/>
                <w:b/>
                <w:bCs/>
                <w:sz w:val="21"/>
                <w:szCs w:val="21"/>
                <w:highlight w:val="none"/>
              </w:rPr>
            </w:pPr>
            <w:r>
              <w:rPr>
                <w:rFonts w:hint="eastAsia" w:ascii="宋体" w:hAnsi="宋体" w:cs="宋体"/>
                <w:b/>
                <w:bCs/>
                <w:sz w:val="21"/>
                <w:szCs w:val="21"/>
                <w:highlight w:val="none"/>
              </w:rPr>
              <w:t>条款号</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64BC591E">
            <w:pPr>
              <w:spacing w:line="276" w:lineRule="auto"/>
              <w:jc w:val="center"/>
              <w:rPr>
                <w:rFonts w:ascii="宋体" w:hAnsi="宋体" w:cs="宋体"/>
                <w:b/>
                <w:bCs/>
                <w:sz w:val="21"/>
                <w:szCs w:val="21"/>
                <w:highlight w:val="none"/>
              </w:rPr>
            </w:pPr>
            <w:r>
              <w:rPr>
                <w:rFonts w:hint="eastAsia" w:ascii="宋体" w:hAnsi="宋体" w:cs="宋体"/>
                <w:b/>
                <w:bCs/>
                <w:sz w:val="21"/>
                <w:szCs w:val="21"/>
                <w:highlight w:val="none"/>
              </w:rPr>
              <w:t>条款名称</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1EAF018C">
            <w:pPr>
              <w:spacing w:line="276" w:lineRule="auto"/>
              <w:jc w:val="center"/>
              <w:rPr>
                <w:rFonts w:ascii="宋体" w:hAnsi="宋体" w:cs="宋体"/>
                <w:b/>
                <w:bCs/>
                <w:sz w:val="21"/>
                <w:szCs w:val="21"/>
                <w:highlight w:val="none"/>
              </w:rPr>
            </w:pPr>
            <w:r>
              <w:rPr>
                <w:rFonts w:hint="eastAsia" w:ascii="宋体" w:hAnsi="宋体" w:cs="宋体"/>
                <w:b/>
                <w:bCs/>
                <w:sz w:val="21"/>
                <w:szCs w:val="21"/>
                <w:highlight w:val="none"/>
              </w:rPr>
              <w:t>编 列 内 容</w:t>
            </w:r>
          </w:p>
        </w:tc>
      </w:tr>
      <w:tr w14:paraId="25CCE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4E4AF2CB">
            <w:pPr>
              <w:spacing w:line="276" w:lineRule="auto"/>
              <w:jc w:val="center"/>
              <w:rPr>
                <w:rFonts w:ascii="宋体" w:hAnsi="宋体" w:cs="宋体"/>
                <w:sz w:val="21"/>
                <w:szCs w:val="21"/>
                <w:highlight w:val="none"/>
              </w:rPr>
            </w:pPr>
            <w:r>
              <w:rPr>
                <w:rFonts w:hint="eastAsia" w:ascii="宋体" w:hAnsi="宋体" w:cs="宋体"/>
                <w:sz w:val="21"/>
                <w:szCs w:val="21"/>
                <w:highlight w:val="none"/>
              </w:rPr>
              <w:t>1.1.2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0969BB1">
            <w:pPr>
              <w:spacing w:line="276" w:lineRule="auto"/>
              <w:jc w:val="center"/>
              <w:rPr>
                <w:rFonts w:ascii="宋体" w:hAnsi="宋体" w:cs="宋体"/>
                <w:sz w:val="21"/>
                <w:szCs w:val="21"/>
                <w:highlight w:val="none"/>
              </w:rPr>
            </w:pPr>
            <w:r>
              <w:rPr>
                <w:rFonts w:hint="eastAsia" w:ascii="宋体" w:hAnsi="宋体" w:cs="宋体"/>
                <w:sz w:val="21"/>
                <w:szCs w:val="21"/>
                <w:highlight w:val="none"/>
              </w:rPr>
              <w:t>采购人</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70B646E0">
            <w:pPr>
              <w:spacing w:before="72" w:beforeLines="30" w:line="360" w:lineRule="auto"/>
              <w:rPr>
                <w:rFonts w:ascii="宋体" w:hAnsi="宋体" w:cs="宋体"/>
                <w:sz w:val="21"/>
                <w:szCs w:val="21"/>
                <w:highlight w:val="none"/>
              </w:rPr>
            </w:pPr>
            <w:r>
              <w:rPr>
                <w:rFonts w:hint="eastAsia" w:ascii="宋体" w:hAnsi="宋体" w:cs="宋体"/>
                <w:sz w:val="21"/>
                <w:szCs w:val="21"/>
                <w:highlight w:val="none"/>
              </w:rPr>
              <w:t>采 购 人：云南省昆明市中级人民法院</w:t>
            </w:r>
          </w:p>
          <w:p w14:paraId="1B011100">
            <w:pPr>
              <w:spacing w:line="360" w:lineRule="auto"/>
              <w:rPr>
                <w:rFonts w:ascii="宋体" w:hAnsi="宋体" w:cs="宋体"/>
                <w:sz w:val="21"/>
                <w:szCs w:val="21"/>
                <w:highlight w:val="none"/>
              </w:rPr>
            </w:pPr>
            <w:r>
              <w:rPr>
                <w:rFonts w:hint="eastAsia" w:ascii="宋体" w:hAnsi="宋体" w:cs="宋体"/>
                <w:sz w:val="21"/>
                <w:szCs w:val="21"/>
                <w:highlight w:val="none"/>
              </w:rPr>
              <w:t>地    址：昆明市滇池路485号</w:t>
            </w:r>
          </w:p>
          <w:p w14:paraId="19CA33A7">
            <w:pPr>
              <w:spacing w:line="360" w:lineRule="auto"/>
              <w:rPr>
                <w:rFonts w:ascii="宋体" w:hAnsi="宋体" w:cs="宋体"/>
                <w:sz w:val="21"/>
                <w:szCs w:val="21"/>
                <w:highlight w:val="none"/>
              </w:rPr>
            </w:pPr>
            <w:r>
              <w:rPr>
                <w:rFonts w:hint="eastAsia" w:ascii="宋体" w:hAnsi="宋体" w:cs="宋体"/>
                <w:sz w:val="21"/>
                <w:szCs w:val="21"/>
                <w:highlight w:val="none"/>
              </w:rPr>
              <w:t>联 系 人：</w:t>
            </w:r>
            <w:r>
              <w:rPr>
                <w:rFonts w:hint="eastAsia" w:ascii="宋体" w:hAnsi="宋体" w:cs="宋体"/>
                <w:sz w:val="21"/>
                <w:szCs w:val="22"/>
                <w:highlight w:val="none"/>
                <w:lang w:val="en-US" w:eastAsia="zh-CN"/>
              </w:rPr>
              <w:t>梅</w:t>
            </w:r>
            <w:r>
              <w:rPr>
                <w:rFonts w:hint="eastAsia" w:ascii="宋体" w:hAnsi="宋体" w:cs="宋体"/>
                <w:sz w:val="21"/>
                <w:szCs w:val="22"/>
                <w:highlight w:val="none"/>
              </w:rPr>
              <w:t>老师</w:t>
            </w:r>
          </w:p>
          <w:p w14:paraId="77D812D0">
            <w:pP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rPr>
              <w:t>电    话：0871-64906</w:t>
            </w:r>
            <w:r>
              <w:rPr>
                <w:rFonts w:hint="eastAsia" w:ascii="宋体" w:hAnsi="宋体" w:cs="宋体"/>
                <w:sz w:val="21"/>
                <w:szCs w:val="21"/>
                <w:highlight w:val="none"/>
                <w:lang w:val="en-US" w:eastAsia="zh-CN"/>
              </w:rPr>
              <w:t>105</w:t>
            </w:r>
          </w:p>
        </w:tc>
      </w:tr>
      <w:tr w14:paraId="5B62B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F46E571">
            <w:pPr>
              <w:spacing w:line="276" w:lineRule="auto"/>
              <w:jc w:val="center"/>
              <w:rPr>
                <w:rFonts w:ascii="宋体" w:hAnsi="宋体" w:cs="宋体"/>
                <w:sz w:val="21"/>
                <w:szCs w:val="21"/>
                <w:highlight w:val="none"/>
              </w:rPr>
            </w:pPr>
            <w:r>
              <w:rPr>
                <w:rFonts w:hint="eastAsia" w:ascii="宋体" w:hAnsi="宋体" w:cs="宋体"/>
                <w:sz w:val="21"/>
                <w:szCs w:val="21"/>
                <w:highlight w:val="none"/>
              </w:rPr>
              <w:t>1.1.3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08084750">
            <w:pPr>
              <w:spacing w:line="276" w:lineRule="auto"/>
              <w:jc w:val="center"/>
              <w:rPr>
                <w:rFonts w:ascii="宋体" w:hAnsi="宋体" w:cs="宋体"/>
                <w:sz w:val="21"/>
                <w:szCs w:val="21"/>
                <w:highlight w:val="none"/>
              </w:rPr>
            </w:pPr>
            <w:r>
              <w:rPr>
                <w:rFonts w:hint="eastAsia" w:ascii="宋体" w:hAnsi="宋体" w:cs="宋体"/>
                <w:sz w:val="21"/>
                <w:szCs w:val="21"/>
                <w:highlight w:val="none"/>
              </w:rPr>
              <w:t>采购代理机构</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11B19F5A">
            <w:pPr>
              <w:spacing w:before="72" w:beforeLines="30" w:line="360" w:lineRule="auto"/>
              <w:rPr>
                <w:rFonts w:ascii="宋体" w:hAnsi="宋体" w:cs="宋体"/>
                <w:sz w:val="21"/>
                <w:szCs w:val="21"/>
                <w:highlight w:val="none"/>
              </w:rPr>
            </w:pPr>
            <w:r>
              <w:rPr>
                <w:rFonts w:hint="eastAsia" w:ascii="宋体" w:hAnsi="宋体" w:cs="宋体"/>
                <w:sz w:val="21"/>
                <w:szCs w:val="21"/>
                <w:highlight w:val="none"/>
              </w:rPr>
              <w:t>采购代理机构：云南玺正招标代理有限公司</w:t>
            </w:r>
          </w:p>
          <w:p w14:paraId="325B74DF">
            <w:pPr>
              <w:spacing w:line="360" w:lineRule="auto"/>
              <w:rPr>
                <w:rFonts w:ascii="宋体" w:hAnsi="宋体" w:cs="宋体"/>
                <w:sz w:val="21"/>
                <w:szCs w:val="21"/>
                <w:highlight w:val="none"/>
              </w:rPr>
            </w:pPr>
            <w:r>
              <w:rPr>
                <w:rFonts w:hint="eastAsia" w:ascii="宋体" w:hAnsi="宋体" w:cs="宋体"/>
                <w:sz w:val="21"/>
                <w:szCs w:val="21"/>
                <w:highlight w:val="none"/>
              </w:rPr>
              <w:t>地址：昆明市五华区科普路503号固地尚诚商务中心B座5楼5-5</w:t>
            </w:r>
          </w:p>
          <w:p w14:paraId="6CB41015">
            <w:pPr>
              <w:spacing w:line="360" w:lineRule="auto"/>
              <w:rPr>
                <w:rFonts w:ascii="宋体" w:hAnsi="宋体" w:cs="宋体"/>
                <w:sz w:val="21"/>
                <w:szCs w:val="21"/>
                <w:highlight w:val="none"/>
              </w:rPr>
            </w:pPr>
            <w:r>
              <w:rPr>
                <w:rFonts w:hint="eastAsia" w:ascii="宋体" w:hAnsi="宋体" w:cs="宋体"/>
                <w:sz w:val="21"/>
                <w:szCs w:val="21"/>
                <w:highlight w:val="none"/>
              </w:rPr>
              <w:t>联系人：魏晓龙（13888827595）</w:t>
            </w:r>
          </w:p>
          <w:p w14:paraId="6A25D44F">
            <w:pPr>
              <w:spacing w:line="360" w:lineRule="auto"/>
              <w:rPr>
                <w:rFonts w:ascii="宋体" w:hAnsi="宋体" w:cs="宋体"/>
                <w:sz w:val="21"/>
                <w:szCs w:val="21"/>
                <w:highlight w:val="none"/>
              </w:rPr>
            </w:pPr>
            <w:r>
              <w:rPr>
                <w:rFonts w:hint="eastAsia" w:ascii="宋体" w:hAnsi="宋体" w:cs="宋体"/>
                <w:sz w:val="21"/>
                <w:szCs w:val="21"/>
                <w:highlight w:val="none"/>
              </w:rPr>
              <w:t>开户银行：华夏银行昆明滇池支行</w:t>
            </w:r>
          </w:p>
          <w:p w14:paraId="47241352">
            <w:pPr>
              <w:spacing w:line="360" w:lineRule="auto"/>
              <w:rPr>
                <w:rFonts w:ascii="宋体" w:hAnsi="宋体" w:cs="宋体"/>
                <w:sz w:val="21"/>
                <w:szCs w:val="21"/>
                <w:highlight w:val="none"/>
              </w:rPr>
            </w:pPr>
            <w:r>
              <w:rPr>
                <w:rFonts w:hint="eastAsia" w:ascii="宋体" w:hAnsi="宋体" w:cs="宋体"/>
                <w:sz w:val="21"/>
                <w:szCs w:val="21"/>
                <w:highlight w:val="none"/>
              </w:rPr>
              <w:t>账号：4838200001819100043137</w:t>
            </w:r>
          </w:p>
        </w:tc>
      </w:tr>
      <w:tr w14:paraId="3E4C5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5462D21">
            <w:pPr>
              <w:spacing w:line="276" w:lineRule="auto"/>
              <w:jc w:val="center"/>
              <w:rPr>
                <w:rFonts w:ascii="宋体" w:hAnsi="宋体" w:cs="宋体"/>
                <w:sz w:val="21"/>
                <w:szCs w:val="21"/>
                <w:highlight w:val="none"/>
              </w:rPr>
            </w:pPr>
            <w:r>
              <w:rPr>
                <w:rFonts w:hint="eastAsia" w:ascii="宋体" w:hAnsi="宋体" w:cs="宋体"/>
                <w:sz w:val="21"/>
                <w:szCs w:val="21"/>
                <w:highlight w:val="none"/>
              </w:rPr>
              <w:t>1.1.4</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007CBEA">
            <w:pPr>
              <w:spacing w:line="276" w:lineRule="auto"/>
              <w:jc w:val="center"/>
              <w:rPr>
                <w:rFonts w:ascii="宋体" w:hAnsi="宋体" w:cs="宋体"/>
                <w:sz w:val="21"/>
                <w:szCs w:val="21"/>
                <w:highlight w:val="none"/>
              </w:rPr>
            </w:pPr>
            <w:r>
              <w:rPr>
                <w:rFonts w:hint="eastAsia" w:ascii="宋体" w:hAnsi="宋体" w:cs="宋体"/>
                <w:sz w:val="21"/>
                <w:szCs w:val="21"/>
                <w:highlight w:val="none"/>
              </w:rPr>
              <w:t>项目名称</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2A34B17B">
            <w:pPr>
              <w:spacing w:before="72" w:beforeLines="30" w:line="360" w:lineRule="auto"/>
              <w:jc w:val="both"/>
              <w:rPr>
                <w:rFonts w:hint="eastAsia" w:ascii="宋体" w:hAnsi="宋体" w:eastAsia="宋体" w:cs="宋体"/>
                <w:szCs w:val="21"/>
                <w:highlight w:val="none"/>
                <w:lang w:eastAsia="zh-CN"/>
              </w:rPr>
            </w:pPr>
            <w:r>
              <w:rPr>
                <w:rFonts w:hint="eastAsia" w:ascii="宋体" w:hAnsi="宋体" w:cs="宋体"/>
                <w:sz w:val="21"/>
                <w:szCs w:val="21"/>
                <w:highlight w:val="none"/>
              </w:rPr>
              <w:t>项目名称：云南省昆明市中级人民法院</w:t>
            </w:r>
            <w:r>
              <w:rPr>
                <w:rFonts w:hint="eastAsia" w:ascii="宋体" w:hAnsi="宋体" w:cs="宋体"/>
                <w:sz w:val="21"/>
                <w:szCs w:val="21"/>
                <w:highlight w:val="none"/>
                <w:lang w:eastAsia="zh-CN"/>
              </w:rPr>
              <w:t>采购2025年信息系统运维服务</w:t>
            </w:r>
          </w:p>
        </w:tc>
      </w:tr>
      <w:tr w14:paraId="12FD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574995C">
            <w:pPr>
              <w:spacing w:line="276" w:lineRule="auto"/>
              <w:jc w:val="center"/>
              <w:rPr>
                <w:rFonts w:ascii="宋体" w:hAnsi="宋体" w:cs="宋体"/>
                <w:sz w:val="21"/>
                <w:szCs w:val="21"/>
                <w:highlight w:val="none"/>
              </w:rPr>
            </w:pPr>
            <w:r>
              <w:rPr>
                <w:rFonts w:hint="eastAsia" w:ascii="宋体" w:hAnsi="宋体" w:cs="宋体"/>
                <w:sz w:val="21"/>
                <w:szCs w:val="21"/>
                <w:highlight w:val="none"/>
              </w:rPr>
              <w:t>1.2.1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62F5EFD4">
            <w:pPr>
              <w:spacing w:line="276" w:lineRule="auto"/>
              <w:jc w:val="center"/>
              <w:rPr>
                <w:rFonts w:ascii="宋体" w:hAnsi="宋体" w:cs="宋体"/>
                <w:sz w:val="21"/>
                <w:szCs w:val="21"/>
                <w:highlight w:val="none"/>
              </w:rPr>
            </w:pPr>
            <w:r>
              <w:rPr>
                <w:rFonts w:hint="eastAsia" w:ascii="宋体" w:hAnsi="宋体" w:cs="宋体"/>
                <w:sz w:val="21"/>
                <w:szCs w:val="21"/>
                <w:highlight w:val="none"/>
              </w:rPr>
              <w:t>资金来源</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5BEF300B">
            <w:pPr>
              <w:spacing w:line="276" w:lineRule="auto"/>
              <w:jc w:val="both"/>
              <w:rPr>
                <w:rFonts w:ascii="宋体" w:hAnsi="宋体" w:cs="宋体"/>
                <w:sz w:val="21"/>
                <w:szCs w:val="21"/>
                <w:highlight w:val="none"/>
              </w:rPr>
            </w:pPr>
            <w:r>
              <w:rPr>
                <w:rFonts w:hint="eastAsia" w:ascii="宋体" w:hAnsi="宋体" w:cs="宋体"/>
                <w:sz w:val="21"/>
                <w:szCs w:val="21"/>
                <w:highlight w:val="none"/>
              </w:rPr>
              <w:t>财政资金</w:t>
            </w:r>
          </w:p>
        </w:tc>
      </w:tr>
      <w:tr w14:paraId="42EE3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447DA6CE">
            <w:pPr>
              <w:spacing w:line="276" w:lineRule="auto"/>
              <w:jc w:val="center"/>
              <w:rPr>
                <w:rFonts w:ascii="宋体" w:hAnsi="宋体" w:cs="宋体"/>
                <w:sz w:val="21"/>
                <w:szCs w:val="21"/>
                <w:highlight w:val="none"/>
              </w:rPr>
            </w:pPr>
            <w:r>
              <w:rPr>
                <w:rFonts w:hint="eastAsia" w:ascii="宋体" w:hAnsi="宋体" w:cs="宋体"/>
                <w:sz w:val="21"/>
                <w:szCs w:val="21"/>
                <w:highlight w:val="none"/>
              </w:rPr>
              <w:t>1.2.2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03A2FF0A">
            <w:pPr>
              <w:spacing w:line="276" w:lineRule="auto"/>
              <w:jc w:val="center"/>
              <w:rPr>
                <w:rFonts w:ascii="宋体" w:hAnsi="宋体" w:cs="宋体"/>
                <w:sz w:val="21"/>
                <w:szCs w:val="21"/>
                <w:highlight w:val="none"/>
              </w:rPr>
            </w:pPr>
            <w:r>
              <w:rPr>
                <w:rFonts w:hint="eastAsia" w:ascii="宋体" w:hAnsi="宋体" w:cs="宋体"/>
                <w:sz w:val="21"/>
                <w:szCs w:val="21"/>
                <w:highlight w:val="none"/>
              </w:rPr>
              <w:t>最高限价</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0E060217">
            <w:pPr>
              <w:spacing w:line="276" w:lineRule="auto"/>
              <w:jc w:val="both"/>
              <w:rPr>
                <w:rFonts w:ascii="宋体" w:hAnsi="宋体" w:cs="宋体"/>
                <w:sz w:val="21"/>
                <w:szCs w:val="21"/>
                <w:highlight w:val="none"/>
              </w:rPr>
            </w:pPr>
            <w:r>
              <w:rPr>
                <w:rFonts w:hint="eastAsia" w:ascii="宋体" w:hAnsi="宋体" w:cs="宋体"/>
                <w:sz w:val="21"/>
                <w:szCs w:val="21"/>
                <w:highlight w:val="none"/>
              </w:rPr>
              <w:t>详见 第一章 招标公告 一、项目基本情况 “最高限价”</w:t>
            </w:r>
          </w:p>
        </w:tc>
      </w:tr>
      <w:tr w14:paraId="458E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9D29BA1">
            <w:pPr>
              <w:spacing w:line="276" w:lineRule="auto"/>
              <w:jc w:val="center"/>
              <w:rPr>
                <w:rFonts w:ascii="宋体" w:hAnsi="宋体" w:cs="宋体"/>
                <w:sz w:val="21"/>
                <w:szCs w:val="21"/>
                <w:highlight w:val="none"/>
              </w:rPr>
            </w:pPr>
            <w:r>
              <w:rPr>
                <w:rFonts w:hint="eastAsia" w:ascii="宋体" w:hAnsi="宋体" w:cs="宋体"/>
                <w:sz w:val="21"/>
                <w:szCs w:val="21"/>
                <w:highlight w:val="none"/>
              </w:rPr>
              <w:t>1.2.3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15AC9EFA">
            <w:pPr>
              <w:spacing w:line="276" w:lineRule="auto"/>
              <w:jc w:val="center"/>
              <w:rPr>
                <w:rFonts w:ascii="宋体" w:hAnsi="宋体" w:cs="宋体"/>
                <w:sz w:val="21"/>
                <w:szCs w:val="21"/>
                <w:highlight w:val="none"/>
              </w:rPr>
            </w:pPr>
            <w:r>
              <w:rPr>
                <w:rFonts w:hint="eastAsia" w:ascii="宋体" w:hAnsi="宋体" w:cs="宋体"/>
                <w:sz w:val="21"/>
                <w:szCs w:val="21"/>
                <w:highlight w:val="none"/>
              </w:rPr>
              <w:t>资金落实情况</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1CCD58F4">
            <w:pPr>
              <w:spacing w:line="276" w:lineRule="auto"/>
              <w:jc w:val="both"/>
              <w:rPr>
                <w:rFonts w:ascii="宋体" w:hAnsi="宋体" w:cs="宋体"/>
                <w:sz w:val="21"/>
                <w:szCs w:val="21"/>
                <w:highlight w:val="none"/>
              </w:rPr>
            </w:pPr>
            <w:r>
              <w:rPr>
                <w:rFonts w:hint="eastAsia" w:ascii="宋体" w:hAnsi="宋体" w:cs="宋体"/>
                <w:sz w:val="21"/>
                <w:szCs w:val="21"/>
                <w:highlight w:val="none"/>
              </w:rPr>
              <w:t>已落实</w:t>
            </w:r>
          </w:p>
        </w:tc>
      </w:tr>
      <w:tr w14:paraId="562C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D1383AE">
            <w:pPr>
              <w:spacing w:line="276" w:lineRule="auto"/>
              <w:jc w:val="center"/>
              <w:rPr>
                <w:rFonts w:ascii="宋体" w:hAnsi="宋体" w:cs="宋体"/>
                <w:sz w:val="21"/>
                <w:szCs w:val="21"/>
                <w:highlight w:val="none"/>
              </w:rPr>
            </w:pPr>
            <w:r>
              <w:rPr>
                <w:rFonts w:hint="eastAsia" w:ascii="宋体" w:hAnsi="宋体" w:cs="宋体"/>
                <w:sz w:val="21"/>
                <w:szCs w:val="21"/>
                <w:highlight w:val="none"/>
              </w:rPr>
              <w:t>1.3.1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DABEFAB">
            <w:pPr>
              <w:spacing w:line="276" w:lineRule="auto"/>
              <w:jc w:val="center"/>
              <w:rPr>
                <w:rFonts w:ascii="宋体" w:hAnsi="宋体" w:cs="宋体"/>
                <w:sz w:val="21"/>
                <w:szCs w:val="21"/>
                <w:highlight w:val="none"/>
              </w:rPr>
            </w:pPr>
            <w:r>
              <w:rPr>
                <w:rFonts w:hint="eastAsia" w:ascii="宋体" w:hAnsi="宋体" w:cs="宋体"/>
                <w:sz w:val="21"/>
                <w:szCs w:val="21"/>
                <w:highlight w:val="none"/>
              </w:rPr>
              <w:t>采购需求</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3236CD79">
            <w:pPr>
              <w:spacing w:line="276" w:lineRule="auto"/>
              <w:jc w:val="both"/>
              <w:rPr>
                <w:rFonts w:ascii="宋体" w:hAnsi="宋体" w:cs="宋体"/>
                <w:sz w:val="21"/>
                <w:szCs w:val="21"/>
                <w:highlight w:val="none"/>
              </w:rPr>
            </w:pPr>
            <w:r>
              <w:rPr>
                <w:rFonts w:hint="eastAsia" w:ascii="宋体" w:hAnsi="宋体" w:cs="宋体"/>
                <w:sz w:val="21"/>
                <w:szCs w:val="21"/>
                <w:highlight w:val="none"/>
              </w:rPr>
              <w:t>详见 第一章 招标公告 一、项目基本情况 “采购需求”</w:t>
            </w:r>
          </w:p>
        </w:tc>
      </w:tr>
      <w:tr w14:paraId="144FF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D819FF2">
            <w:pPr>
              <w:spacing w:line="276" w:lineRule="auto"/>
              <w:jc w:val="center"/>
              <w:rPr>
                <w:rFonts w:ascii="宋体" w:hAnsi="宋体" w:cs="宋体"/>
                <w:sz w:val="21"/>
                <w:szCs w:val="21"/>
                <w:highlight w:val="none"/>
              </w:rPr>
            </w:pPr>
            <w:r>
              <w:rPr>
                <w:rFonts w:hint="eastAsia" w:ascii="宋体" w:hAnsi="宋体" w:cs="宋体"/>
                <w:sz w:val="21"/>
                <w:szCs w:val="21"/>
                <w:highlight w:val="none"/>
              </w:rPr>
              <w:t>1.3.2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1F3595D">
            <w:pPr>
              <w:spacing w:line="276" w:lineRule="auto"/>
              <w:jc w:val="center"/>
              <w:rPr>
                <w:rFonts w:ascii="宋体" w:hAnsi="宋体" w:cs="宋体"/>
                <w:sz w:val="21"/>
                <w:szCs w:val="21"/>
                <w:highlight w:val="none"/>
              </w:rPr>
            </w:pPr>
            <w:r>
              <w:rPr>
                <w:rFonts w:hint="eastAsia" w:ascii="宋体" w:hAnsi="宋体" w:cs="宋体"/>
                <w:sz w:val="21"/>
                <w:szCs w:val="21"/>
                <w:highlight w:val="none"/>
              </w:rPr>
              <w:t>合同履行期限</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7CA134AF">
            <w:pPr>
              <w:spacing w:line="276" w:lineRule="auto"/>
              <w:jc w:val="both"/>
              <w:rPr>
                <w:rFonts w:ascii="宋体" w:hAnsi="宋体" w:cs="宋体"/>
                <w:sz w:val="21"/>
                <w:szCs w:val="21"/>
                <w:highlight w:val="none"/>
              </w:rPr>
            </w:pPr>
            <w:r>
              <w:rPr>
                <w:rFonts w:hint="eastAsia" w:ascii="宋体" w:hAnsi="宋体" w:cs="宋体"/>
                <w:sz w:val="21"/>
                <w:szCs w:val="21"/>
                <w:highlight w:val="none"/>
              </w:rPr>
              <w:t>详见 第一章 招标公告 一、项目基本情况 “合同履行期限”</w:t>
            </w:r>
          </w:p>
        </w:tc>
      </w:tr>
      <w:tr w14:paraId="00D15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E911B00">
            <w:pPr>
              <w:spacing w:line="276" w:lineRule="auto"/>
              <w:jc w:val="center"/>
              <w:rPr>
                <w:rFonts w:ascii="宋体" w:hAnsi="宋体" w:cs="宋体"/>
                <w:sz w:val="21"/>
                <w:szCs w:val="21"/>
                <w:highlight w:val="none"/>
              </w:rPr>
            </w:pPr>
            <w:r>
              <w:rPr>
                <w:rFonts w:hint="eastAsia" w:ascii="宋体" w:hAnsi="宋体" w:cs="宋体"/>
                <w:sz w:val="21"/>
                <w:szCs w:val="21"/>
                <w:highlight w:val="none"/>
              </w:rPr>
              <w:t>1.3.3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19CBA729">
            <w:pPr>
              <w:spacing w:line="276" w:lineRule="auto"/>
              <w:jc w:val="center"/>
              <w:rPr>
                <w:rFonts w:ascii="宋体" w:hAnsi="宋体" w:cs="宋体"/>
                <w:sz w:val="21"/>
                <w:szCs w:val="21"/>
                <w:highlight w:val="none"/>
              </w:rPr>
            </w:pPr>
            <w:r>
              <w:rPr>
                <w:rFonts w:hint="eastAsia" w:ascii="宋体" w:hAnsi="宋体" w:cs="宋体"/>
                <w:sz w:val="21"/>
                <w:szCs w:val="21"/>
                <w:highlight w:val="none"/>
              </w:rPr>
              <w:t>服务地点</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60BBAC64">
            <w:pPr>
              <w:pStyle w:val="14"/>
              <w:widowControl w:val="0"/>
              <w:spacing w:before="72" w:beforeLines="30" w:line="348" w:lineRule="auto"/>
              <w:ind w:firstLine="0" w:firstLineChars="0"/>
              <w:rPr>
                <w:rFonts w:ascii="宋体" w:hAnsi="宋体" w:cs="宋体"/>
                <w:color w:val="FF0000"/>
                <w:szCs w:val="21"/>
                <w:highlight w:val="none"/>
              </w:rPr>
            </w:pPr>
            <w:r>
              <w:rPr>
                <w:rFonts w:hint="eastAsia" w:ascii="宋体" w:hAnsi="宋体" w:cs="宋体"/>
                <w:sz w:val="21"/>
                <w:szCs w:val="21"/>
                <w:highlight w:val="none"/>
              </w:rPr>
              <w:t>昆明市滇池路485号</w:t>
            </w:r>
          </w:p>
        </w:tc>
      </w:tr>
      <w:tr w14:paraId="5128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8A20188">
            <w:pPr>
              <w:spacing w:line="276" w:lineRule="auto"/>
              <w:jc w:val="center"/>
              <w:rPr>
                <w:rFonts w:ascii="宋体" w:hAnsi="宋体" w:cs="宋体"/>
                <w:sz w:val="21"/>
                <w:szCs w:val="21"/>
                <w:highlight w:val="none"/>
              </w:rPr>
            </w:pPr>
            <w:r>
              <w:rPr>
                <w:rFonts w:hint="eastAsia" w:ascii="宋体" w:hAnsi="宋体" w:cs="宋体"/>
                <w:sz w:val="21"/>
                <w:szCs w:val="21"/>
                <w:highlight w:val="none"/>
              </w:rPr>
              <w:t>1.3.4</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07C1C0F">
            <w:pPr>
              <w:spacing w:line="276" w:lineRule="auto"/>
              <w:jc w:val="center"/>
              <w:rPr>
                <w:rFonts w:ascii="宋体" w:hAnsi="宋体" w:cs="宋体"/>
                <w:sz w:val="21"/>
                <w:szCs w:val="21"/>
                <w:highlight w:val="none"/>
              </w:rPr>
            </w:pPr>
            <w:r>
              <w:rPr>
                <w:rFonts w:hint="eastAsia" w:ascii="宋体" w:hAnsi="宋体" w:cs="宋体"/>
                <w:sz w:val="21"/>
                <w:szCs w:val="21"/>
                <w:highlight w:val="none"/>
              </w:rPr>
              <w:t>服务要求</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2280CA56">
            <w:pPr>
              <w:pStyle w:val="14"/>
              <w:widowControl w:val="0"/>
              <w:spacing w:before="72" w:beforeLines="30" w:line="348" w:lineRule="auto"/>
              <w:ind w:firstLine="0" w:firstLineChars="0"/>
              <w:rPr>
                <w:rFonts w:ascii="宋体" w:hAnsi="宋体" w:cs="宋体"/>
                <w:color w:val="FF0000"/>
                <w:sz w:val="21"/>
                <w:szCs w:val="22"/>
                <w:highlight w:val="none"/>
              </w:rPr>
            </w:pPr>
            <w:r>
              <w:rPr>
                <w:rFonts w:hint="eastAsia" w:ascii="宋体" w:hAnsi="宋体" w:cs="宋体"/>
                <w:sz w:val="21"/>
                <w:szCs w:val="21"/>
                <w:highlight w:val="none"/>
              </w:rPr>
              <w:t>详见 第一章 招标公告 一、项目基本情况 “服务要求”</w:t>
            </w:r>
          </w:p>
        </w:tc>
      </w:tr>
      <w:tr w14:paraId="5A785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6ECD5E7">
            <w:pPr>
              <w:spacing w:line="276" w:lineRule="auto"/>
              <w:jc w:val="center"/>
              <w:rPr>
                <w:rFonts w:ascii="宋体" w:hAnsi="宋体" w:cs="宋体"/>
                <w:sz w:val="21"/>
                <w:szCs w:val="21"/>
                <w:highlight w:val="none"/>
              </w:rPr>
            </w:pPr>
            <w:r>
              <w:rPr>
                <w:rFonts w:hint="eastAsia" w:ascii="宋体" w:hAnsi="宋体" w:cs="宋体"/>
                <w:sz w:val="21"/>
                <w:szCs w:val="21"/>
                <w:highlight w:val="none"/>
              </w:rPr>
              <w:t>1.3.5</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95A2D56">
            <w:pPr>
              <w:spacing w:line="276" w:lineRule="auto"/>
              <w:jc w:val="center"/>
              <w:rPr>
                <w:rFonts w:ascii="宋体" w:hAnsi="宋体" w:cs="宋体"/>
                <w:sz w:val="21"/>
                <w:szCs w:val="21"/>
                <w:highlight w:val="none"/>
              </w:rPr>
            </w:pPr>
            <w:r>
              <w:rPr>
                <w:rFonts w:hint="eastAsia" w:ascii="宋体" w:hAnsi="宋体" w:cs="宋体"/>
                <w:sz w:val="21"/>
                <w:szCs w:val="21"/>
                <w:highlight w:val="none"/>
              </w:rPr>
              <w:t>标段划分</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3475B9F6">
            <w:pPr>
              <w:spacing w:before="72" w:beforeLines="30" w:line="348" w:lineRule="auto"/>
              <w:jc w:val="both"/>
              <w:rPr>
                <w:rFonts w:ascii="宋体" w:hAnsi="宋体" w:cs="宋体"/>
                <w:sz w:val="21"/>
                <w:szCs w:val="21"/>
                <w:highlight w:val="none"/>
              </w:rPr>
            </w:pPr>
            <w:r>
              <w:rPr>
                <w:rFonts w:hint="eastAsia" w:ascii="宋体" w:hAnsi="宋体" w:cs="宋体"/>
                <w:sz w:val="21"/>
                <w:szCs w:val="21"/>
                <w:highlight w:val="none"/>
              </w:rPr>
              <w:t>本项目划分1个标段。投标人须对本项目所有内容进行整体投标，不得缺项漏项，否则按不实质性响应招标文件处理。本次采购产品的采购需求具体详见本招标文件 第六章 “采购需求”。</w:t>
            </w:r>
          </w:p>
        </w:tc>
      </w:tr>
      <w:tr w14:paraId="5F71D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868BCA3">
            <w:pPr>
              <w:spacing w:line="276" w:lineRule="auto"/>
              <w:jc w:val="center"/>
              <w:rPr>
                <w:rFonts w:ascii="宋体" w:hAnsi="宋体" w:cs="宋体"/>
                <w:sz w:val="21"/>
                <w:szCs w:val="21"/>
                <w:highlight w:val="none"/>
              </w:rPr>
            </w:pPr>
            <w:r>
              <w:rPr>
                <w:rFonts w:hint="eastAsia" w:ascii="宋体" w:hAnsi="宋体" w:cs="宋体"/>
                <w:sz w:val="21"/>
                <w:szCs w:val="21"/>
                <w:highlight w:val="none"/>
              </w:rPr>
              <w:t>1.4.1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1C36FD20">
            <w:pPr>
              <w:spacing w:line="276" w:lineRule="auto"/>
              <w:jc w:val="center"/>
              <w:rPr>
                <w:rFonts w:ascii="宋体" w:hAnsi="宋体" w:cs="宋体"/>
                <w:sz w:val="21"/>
                <w:szCs w:val="21"/>
                <w:highlight w:val="none"/>
              </w:rPr>
            </w:pPr>
            <w:r>
              <w:rPr>
                <w:rFonts w:hint="eastAsia" w:ascii="宋体" w:hAnsi="宋体" w:cs="宋体"/>
                <w:sz w:val="21"/>
                <w:szCs w:val="21"/>
                <w:highlight w:val="none"/>
              </w:rPr>
              <w:t>投标人资格要求</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7DEAD39D">
            <w:pPr>
              <w:spacing w:line="276" w:lineRule="auto"/>
              <w:rPr>
                <w:rFonts w:ascii="宋体" w:hAnsi="宋体" w:cs="宋体"/>
                <w:sz w:val="21"/>
                <w:szCs w:val="21"/>
                <w:highlight w:val="none"/>
              </w:rPr>
            </w:pPr>
            <w:r>
              <w:rPr>
                <w:rFonts w:hint="eastAsia" w:ascii="宋体" w:hAnsi="宋体" w:cs="宋体"/>
                <w:sz w:val="21"/>
                <w:szCs w:val="21"/>
                <w:highlight w:val="none"/>
              </w:rPr>
              <w:t>详见 第一章 招标公告 “二、申请人的资格要求”</w:t>
            </w:r>
          </w:p>
        </w:tc>
      </w:tr>
      <w:tr w14:paraId="3C8B7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238DF91">
            <w:pPr>
              <w:spacing w:line="276" w:lineRule="auto"/>
              <w:jc w:val="center"/>
              <w:rPr>
                <w:rFonts w:ascii="宋体" w:hAnsi="宋体" w:cs="宋体"/>
                <w:sz w:val="21"/>
                <w:szCs w:val="21"/>
                <w:highlight w:val="none"/>
              </w:rPr>
            </w:pPr>
            <w:r>
              <w:rPr>
                <w:rFonts w:hint="eastAsia" w:ascii="宋体" w:hAnsi="宋体" w:cs="宋体"/>
                <w:sz w:val="21"/>
                <w:szCs w:val="21"/>
                <w:highlight w:val="none"/>
              </w:rPr>
              <w:t>1.4.2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870D1C4">
            <w:pPr>
              <w:spacing w:before="72" w:beforeLines="30" w:line="276" w:lineRule="auto"/>
              <w:jc w:val="center"/>
              <w:rPr>
                <w:rFonts w:ascii="宋体" w:hAnsi="宋体" w:cs="宋体"/>
                <w:sz w:val="21"/>
                <w:szCs w:val="21"/>
                <w:highlight w:val="none"/>
              </w:rPr>
            </w:pPr>
            <w:r>
              <w:rPr>
                <w:rFonts w:hint="eastAsia" w:ascii="宋体" w:hAnsi="宋体" w:cs="宋体"/>
                <w:sz w:val="21"/>
                <w:szCs w:val="21"/>
                <w:highlight w:val="none"/>
              </w:rPr>
              <w:t>是否接受联合体投标</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08E97D22">
            <w:pPr>
              <w:spacing w:line="276" w:lineRule="auto"/>
              <w:rPr>
                <w:rFonts w:ascii="宋体" w:hAnsi="宋体" w:cs="宋体"/>
                <w:sz w:val="21"/>
                <w:szCs w:val="21"/>
                <w:highlight w:val="none"/>
              </w:rPr>
            </w:pPr>
            <w:r>
              <w:rPr>
                <w:rFonts w:hint="eastAsia" w:ascii="宋体" w:hAnsi="宋体" w:cs="宋体"/>
                <w:sz w:val="21"/>
                <w:szCs w:val="21"/>
                <w:highlight w:val="none"/>
              </w:rPr>
              <w:t>本次采购不接受联合体。</w:t>
            </w:r>
          </w:p>
        </w:tc>
      </w:tr>
      <w:tr w14:paraId="3CDE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3613ACC">
            <w:pPr>
              <w:spacing w:line="276" w:lineRule="auto"/>
              <w:jc w:val="center"/>
              <w:rPr>
                <w:rFonts w:ascii="宋体" w:hAnsi="宋体" w:cs="宋体"/>
                <w:sz w:val="21"/>
                <w:szCs w:val="21"/>
                <w:highlight w:val="none"/>
              </w:rPr>
            </w:pPr>
            <w:r>
              <w:rPr>
                <w:rFonts w:hint="eastAsia" w:ascii="宋体" w:hAnsi="宋体" w:cs="宋体"/>
                <w:sz w:val="21"/>
                <w:szCs w:val="21"/>
                <w:highlight w:val="none"/>
              </w:rPr>
              <w:t>1.9.1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8E8E63B">
            <w:pPr>
              <w:spacing w:line="276" w:lineRule="auto"/>
              <w:jc w:val="center"/>
              <w:rPr>
                <w:rFonts w:ascii="宋体" w:hAnsi="宋体" w:cs="宋体"/>
                <w:sz w:val="21"/>
                <w:szCs w:val="21"/>
                <w:highlight w:val="none"/>
              </w:rPr>
            </w:pPr>
            <w:r>
              <w:rPr>
                <w:rFonts w:hint="eastAsia" w:ascii="宋体" w:hAnsi="宋体" w:cs="宋体"/>
                <w:sz w:val="21"/>
                <w:szCs w:val="21"/>
                <w:highlight w:val="none"/>
              </w:rPr>
              <w:t>踏勘现场</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5F844292">
            <w:pPr>
              <w:spacing w:line="276" w:lineRule="auto"/>
              <w:rPr>
                <w:rFonts w:ascii="宋体" w:hAnsi="宋体" w:cs="宋体"/>
                <w:sz w:val="21"/>
                <w:szCs w:val="21"/>
                <w:highlight w:val="none"/>
              </w:rPr>
            </w:pPr>
            <w:r>
              <w:rPr>
                <w:rFonts w:hint="eastAsia" w:ascii="宋体" w:hAnsi="宋体" w:cs="宋体"/>
                <w:sz w:val="21"/>
                <w:szCs w:val="21"/>
                <w:highlight w:val="none"/>
              </w:rPr>
              <w:t>不组织。</w:t>
            </w:r>
          </w:p>
        </w:tc>
      </w:tr>
      <w:tr w14:paraId="6F7E6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2E08B7C">
            <w:pPr>
              <w:spacing w:line="276" w:lineRule="auto"/>
              <w:jc w:val="center"/>
              <w:rPr>
                <w:rFonts w:ascii="宋体" w:hAnsi="宋体" w:cs="宋体"/>
                <w:sz w:val="21"/>
                <w:szCs w:val="21"/>
                <w:highlight w:val="none"/>
              </w:rPr>
            </w:pPr>
            <w:r>
              <w:rPr>
                <w:rFonts w:hint="eastAsia" w:ascii="宋体" w:hAnsi="宋体" w:cs="宋体"/>
                <w:sz w:val="21"/>
                <w:szCs w:val="21"/>
                <w:highlight w:val="none"/>
              </w:rPr>
              <w:t>1.10</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D526826">
            <w:pPr>
              <w:spacing w:line="276" w:lineRule="auto"/>
              <w:jc w:val="center"/>
              <w:rPr>
                <w:rFonts w:ascii="宋体" w:hAnsi="宋体" w:cs="宋体"/>
                <w:sz w:val="21"/>
                <w:szCs w:val="21"/>
                <w:highlight w:val="none"/>
              </w:rPr>
            </w:pPr>
            <w:r>
              <w:rPr>
                <w:rFonts w:hint="eastAsia" w:ascii="宋体" w:hAnsi="宋体" w:cs="宋体"/>
                <w:sz w:val="21"/>
                <w:szCs w:val="21"/>
                <w:highlight w:val="none"/>
              </w:rPr>
              <w:t>开标前答疑会</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2150D3D2">
            <w:pPr>
              <w:spacing w:line="276" w:lineRule="auto"/>
              <w:rPr>
                <w:rFonts w:ascii="宋体" w:hAnsi="宋体" w:cs="宋体"/>
                <w:sz w:val="21"/>
                <w:szCs w:val="21"/>
                <w:highlight w:val="none"/>
              </w:rPr>
            </w:pPr>
            <w:r>
              <w:rPr>
                <w:rFonts w:hint="eastAsia" w:ascii="宋体" w:hAnsi="宋体" w:cs="宋体"/>
                <w:sz w:val="21"/>
                <w:szCs w:val="21"/>
                <w:highlight w:val="none"/>
              </w:rPr>
              <w:t>不召开。</w:t>
            </w:r>
          </w:p>
        </w:tc>
      </w:tr>
      <w:tr w14:paraId="1CF9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6C51AAF">
            <w:pPr>
              <w:spacing w:line="276" w:lineRule="auto"/>
              <w:jc w:val="center"/>
              <w:rPr>
                <w:rFonts w:ascii="宋体" w:hAnsi="宋体" w:cs="宋体"/>
                <w:sz w:val="21"/>
                <w:szCs w:val="21"/>
                <w:highlight w:val="none"/>
              </w:rPr>
            </w:pPr>
            <w:r>
              <w:rPr>
                <w:rFonts w:hint="eastAsia" w:ascii="宋体" w:hAnsi="宋体" w:cs="宋体"/>
                <w:sz w:val="21"/>
                <w:szCs w:val="21"/>
                <w:highlight w:val="none"/>
              </w:rPr>
              <w:t>1.11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4ECA759">
            <w:pPr>
              <w:spacing w:line="276" w:lineRule="auto"/>
              <w:jc w:val="center"/>
              <w:rPr>
                <w:rFonts w:ascii="宋体" w:hAnsi="宋体" w:cs="宋体"/>
                <w:sz w:val="21"/>
                <w:szCs w:val="21"/>
                <w:highlight w:val="none"/>
              </w:rPr>
            </w:pPr>
            <w:r>
              <w:rPr>
                <w:rFonts w:hint="eastAsia" w:ascii="宋体" w:hAnsi="宋体" w:cs="宋体"/>
                <w:sz w:val="21"/>
                <w:szCs w:val="21"/>
                <w:highlight w:val="none"/>
              </w:rPr>
              <w:t>分包</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01E85E22">
            <w:pPr>
              <w:spacing w:line="276" w:lineRule="auto"/>
              <w:rPr>
                <w:rFonts w:ascii="宋体" w:hAnsi="宋体" w:cs="宋体"/>
                <w:sz w:val="21"/>
                <w:szCs w:val="21"/>
                <w:highlight w:val="none"/>
              </w:rPr>
            </w:pPr>
            <w:r>
              <w:rPr>
                <w:rFonts w:hint="eastAsia" w:ascii="宋体" w:hAnsi="宋体" w:cs="宋体"/>
                <w:sz w:val="21"/>
                <w:szCs w:val="21"/>
                <w:highlight w:val="none"/>
              </w:rPr>
              <w:t>不允许。</w:t>
            </w:r>
          </w:p>
        </w:tc>
      </w:tr>
      <w:tr w14:paraId="253C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69419CC">
            <w:pPr>
              <w:spacing w:line="276" w:lineRule="auto"/>
              <w:jc w:val="center"/>
              <w:rPr>
                <w:rFonts w:ascii="宋体" w:hAnsi="宋体" w:cs="宋体"/>
                <w:sz w:val="21"/>
                <w:szCs w:val="21"/>
                <w:highlight w:val="none"/>
              </w:rPr>
            </w:pPr>
            <w:r>
              <w:rPr>
                <w:rFonts w:hint="eastAsia" w:ascii="宋体" w:hAnsi="宋体" w:cs="宋体"/>
                <w:sz w:val="21"/>
                <w:szCs w:val="21"/>
                <w:highlight w:val="none"/>
              </w:rPr>
              <w:t>1.12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26490D9">
            <w:pPr>
              <w:spacing w:line="276" w:lineRule="auto"/>
              <w:jc w:val="center"/>
              <w:rPr>
                <w:rFonts w:ascii="宋体" w:hAnsi="宋体" w:cs="宋体"/>
                <w:sz w:val="21"/>
                <w:szCs w:val="21"/>
                <w:highlight w:val="none"/>
              </w:rPr>
            </w:pPr>
            <w:r>
              <w:rPr>
                <w:rFonts w:hint="eastAsia" w:ascii="宋体" w:hAnsi="宋体" w:cs="宋体"/>
                <w:sz w:val="21"/>
                <w:szCs w:val="21"/>
                <w:highlight w:val="none"/>
              </w:rPr>
              <w:t>偏离</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63E9432B">
            <w:pPr>
              <w:spacing w:line="276" w:lineRule="auto"/>
              <w:rPr>
                <w:rFonts w:ascii="宋体" w:hAnsi="宋体" w:cs="宋体"/>
                <w:sz w:val="21"/>
                <w:szCs w:val="21"/>
                <w:highlight w:val="none"/>
              </w:rPr>
            </w:pPr>
            <w:r>
              <w:rPr>
                <w:rFonts w:hint="eastAsia" w:ascii="宋体" w:hAnsi="宋体" w:cs="宋体"/>
                <w:sz w:val="21"/>
                <w:szCs w:val="21"/>
                <w:highlight w:val="none"/>
              </w:rPr>
              <w:t>不允许。</w:t>
            </w:r>
          </w:p>
        </w:tc>
      </w:tr>
      <w:tr w14:paraId="381DC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4552CCC">
            <w:pPr>
              <w:spacing w:line="276" w:lineRule="auto"/>
              <w:jc w:val="center"/>
              <w:rPr>
                <w:rFonts w:ascii="宋体" w:hAnsi="宋体" w:cs="宋体"/>
                <w:sz w:val="21"/>
                <w:szCs w:val="21"/>
                <w:highlight w:val="none"/>
              </w:rPr>
            </w:pPr>
            <w:r>
              <w:rPr>
                <w:rFonts w:hint="eastAsia" w:ascii="宋体" w:hAnsi="宋体" w:cs="宋体"/>
                <w:sz w:val="21"/>
                <w:szCs w:val="21"/>
                <w:highlight w:val="none"/>
              </w:rPr>
              <w:t>2.1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02329751">
            <w:pPr>
              <w:spacing w:before="72" w:beforeLines="30" w:line="276" w:lineRule="auto"/>
              <w:jc w:val="center"/>
              <w:rPr>
                <w:rFonts w:ascii="宋体" w:hAnsi="宋体" w:cs="宋体"/>
                <w:sz w:val="21"/>
                <w:szCs w:val="21"/>
                <w:highlight w:val="none"/>
              </w:rPr>
            </w:pPr>
            <w:r>
              <w:rPr>
                <w:rFonts w:hint="eastAsia" w:ascii="宋体" w:hAnsi="宋体" w:cs="宋体"/>
                <w:sz w:val="21"/>
                <w:szCs w:val="21"/>
                <w:highlight w:val="none"/>
              </w:rPr>
              <w:t>构成招标文件的其他材料</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65D27BD0">
            <w:pPr>
              <w:spacing w:line="276" w:lineRule="auto"/>
              <w:rPr>
                <w:rFonts w:ascii="宋体" w:hAnsi="宋体" w:cs="宋体"/>
                <w:sz w:val="21"/>
                <w:szCs w:val="21"/>
                <w:highlight w:val="none"/>
              </w:rPr>
            </w:pPr>
            <w:r>
              <w:rPr>
                <w:rFonts w:hint="eastAsia" w:ascii="宋体" w:hAnsi="宋体" w:cs="宋体"/>
                <w:sz w:val="21"/>
                <w:szCs w:val="21"/>
                <w:highlight w:val="none"/>
              </w:rPr>
              <w:t>澄清、修改、补充通知等。</w:t>
            </w:r>
          </w:p>
        </w:tc>
      </w:tr>
      <w:tr w14:paraId="56A0D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0809690">
            <w:pPr>
              <w:spacing w:line="276" w:lineRule="auto"/>
              <w:jc w:val="center"/>
              <w:rPr>
                <w:rFonts w:ascii="宋体" w:hAnsi="宋体" w:cs="宋体"/>
                <w:sz w:val="21"/>
                <w:szCs w:val="21"/>
                <w:highlight w:val="none"/>
              </w:rPr>
            </w:pPr>
            <w:r>
              <w:rPr>
                <w:rFonts w:hint="eastAsia" w:ascii="宋体" w:hAnsi="宋体" w:cs="宋体"/>
                <w:sz w:val="21"/>
                <w:szCs w:val="21"/>
                <w:highlight w:val="none"/>
              </w:rPr>
              <w:t>2.3.2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EAE81B3">
            <w:pPr>
              <w:spacing w:line="276" w:lineRule="auto"/>
              <w:jc w:val="center"/>
              <w:rPr>
                <w:rFonts w:ascii="宋体" w:hAnsi="宋体" w:cs="宋体"/>
                <w:sz w:val="21"/>
                <w:szCs w:val="21"/>
                <w:highlight w:val="none"/>
              </w:rPr>
            </w:pPr>
            <w:r>
              <w:rPr>
                <w:rFonts w:hint="eastAsia" w:ascii="宋体" w:hAnsi="宋体" w:cs="宋体"/>
                <w:sz w:val="21"/>
                <w:szCs w:val="21"/>
                <w:highlight w:val="none"/>
              </w:rPr>
              <w:t>招标文件的澄清或修改</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75B5E792">
            <w:pPr>
              <w:widowControl w:val="0"/>
              <w:spacing w:before="72" w:beforeLines="30" w:line="360" w:lineRule="auto"/>
              <w:rPr>
                <w:rFonts w:ascii="宋体" w:hAnsi="宋体" w:cs="宋体"/>
                <w:highlight w:val="none"/>
              </w:rPr>
            </w:pPr>
            <w:r>
              <w:rPr>
                <w:rFonts w:hint="eastAsia" w:ascii="宋体" w:hAnsi="宋体" w:cs="宋体"/>
                <w:sz w:val="21"/>
                <w:szCs w:val="21"/>
                <w:highlight w:val="none"/>
              </w:rPr>
              <w:t>收到问题3个工作日内以书面形式澄清。</w:t>
            </w:r>
          </w:p>
        </w:tc>
      </w:tr>
      <w:tr w14:paraId="53ABA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076441E">
            <w:pPr>
              <w:spacing w:line="276" w:lineRule="auto"/>
              <w:jc w:val="center"/>
              <w:rPr>
                <w:rFonts w:ascii="宋体" w:hAnsi="宋体" w:cs="宋体"/>
                <w:sz w:val="21"/>
                <w:szCs w:val="21"/>
                <w:highlight w:val="none"/>
              </w:rPr>
            </w:pPr>
            <w:r>
              <w:rPr>
                <w:rFonts w:hint="eastAsia" w:ascii="宋体" w:hAnsi="宋体" w:cs="宋体"/>
                <w:sz w:val="21"/>
                <w:szCs w:val="21"/>
                <w:highlight w:val="none"/>
              </w:rPr>
              <w:t>2.3.5</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0566E094">
            <w:pPr>
              <w:spacing w:line="276" w:lineRule="auto"/>
              <w:jc w:val="center"/>
              <w:rPr>
                <w:rFonts w:ascii="宋体" w:hAnsi="宋体" w:cs="宋体"/>
                <w:sz w:val="21"/>
                <w:szCs w:val="21"/>
                <w:highlight w:val="none"/>
              </w:rPr>
            </w:pPr>
            <w:r>
              <w:rPr>
                <w:rFonts w:hint="eastAsia" w:ascii="宋体" w:hAnsi="宋体" w:cs="宋体"/>
                <w:sz w:val="21"/>
                <w:szCs w:val="21"/>
                <w:highlight w:val="none"/>
              </w:rPr>
              <w:t>投标截止时间</w:t>
            </w:r>
          </w:p>
        </w:tc>
        <w:tc>
          <w:tcPr>
            <w:tcW w:w="7036" w:type="dxa"/>
            <w:tcBorders>
              <w:top w:val="single" w:color="auto" w:sz="4" w:space="0"/>
              <w:left w:val="single" w:color="auto" w:sz="4" w:space="0"/>
              <w:bottom w:val="single" w:color="auto" w:sz="4" w:space="0"/>
              <w:right w:val="single" w:color="auto" w:sz="4" w:space="0"/>
            </w:tcBorders>
            <w:vAlign w:val="center"/>
          </w:tcPr>
          <w:p w14:paraId="0E46C1E0">
            <w:pPr>
              <w:spacing w:before="72" w:beforeLines="30" w:line="360" w:lineRule="auto"/>
              <w:rPr>
                <w:rFonts w:ascii="宋体" w:hAnsi="宋体" w:cs="宋体"/>
                <w:sz w:val="21"/>
                <w:szCs w:val="21"/>
                <w:highlight w:val="none"/>
              </w:rPr>
            </w:pPr>
            <w:r>
              <w:rPr>
                <w:rFonts w:hint="eastAsia" w:ascii="宋体" w:hAnsi="宋体" w:cs="宋体"/>
                <w:bCs/>
                <w:sz w:val="21"/>
                <w:szCs w:val="21"/>
                <w:highlight w:val="none"/>
                <w:u w:val="single"/>
              </w:rPr>
              <w:t>2025年</w:t>
            </w:r>
            <w:r>
              <w:rPr>
                <w:rFonts w:hint="eastAsia" w:ascii="宋体" w:hAnsi="宋体" w:cs="宋体"/>
                <w:bCs/>
                <w:sz w:val="21"/>
                <w:szCs w:val="21"/>
                <w:highlight w:val="none"/>
                <w:u w:val="single"/>
                <w:lang w:val="en-US" w:eastAsia="zh-CN"/>
              </w:rPr>
              <w:t>4</w:t>
            </w:r>
            <w:r>
              <w:rPr>
                <w:rFonts w:hint="eastAsia" w:ascii="宋体" w:hAnsi="宋体" w:cs="宋体"/>
                <w:bCs/>
                <w:sz w:val="21"/>
                <w:szCs w:val="21"/>
                <w:highlight w:val="none"/>
                <w:u w:val="single"/>
              </w:rPr>
              <w:t>月</w:t>
            </w:r>
            <w:r>
              <w:rPr>
                <w:rFonts w:hint="eastAsia" w:ascii="宋体" w:hAnsi="宋体" w:cs="宋体"/>
                <w:bCs/>
                <w:sz w:val="21"/>
                <w:szCs w:val="21"/>
                <w:highlight w:val="none"/>
                <w:u w:val="single"/>
                <w:lang w:val="en-US" w:eastAsia="zh-CN"/>
              </w:rPr>
              <w:t>7</w:t>
            </w:r>
            <w:r>
              <w:rPr>
                <w:rFonts w:hint="eastAsia" w:ascii="宋体" w:hAnsi="宋体" w:cs="宋体"/>
                <w:bCs/>
                <w:sz w:val="21"/>
                <w:szCs w:val="21"/>
                <w:highlight w:val="none"/>
                <w:u w:val="single"/>
              </w:rPr>
              <w:t>日14</w:t>
            </w:r>
            <w:r>
              <w:rPr>
                <w:rFonts w:hint="eastAsia" w:ascii="宋体" w:hAnsi="宋体" w:cs="宋体"/>
                <w:bCs/>
                <w:sz w:val="21"/>
                <w:szCs w:val="21"/>
                <w:highlight w:val="none"/>
              </w:rPr>
              <w:t>点</w:t>
            </w:r>
            <w:r>
              <w:rPr>
                <w:rFonts w:hint="eastAsia" w:ascii="宋体" w:hAnsi="宋体" w:cs="宋体"/>
                <w:bCs/>
                <w:sz w:val="21"/>
                <w:szCs w:val="21"/>
                <w:highlight w:val="none"/>
                <w:u w:val="single"/>
                <w:lang w:val="en-US" w:eastAsia="zh-CN"/>
              </w:rPr>
              <w:t>3</w:t>
            </w:r>
            <w:r>
              <w:rPr>
                <w:rFonts w:hint="eastAsia" w:ascii="宋体" w:hAnsi="宋体" w:cs="宋体"/>
                <w:bCs/>
                <w:sz w:val="21"/>
                <w:szCs w:val="21"/>
                <w:highlight w:val="none"/>
                <w:u w:val="single"/>
              </w:rPr>
              <w:t>0</w:t>
            </w:r>
            <w:r>
              <w:rPr>
                <w:rFonts w:hint="eastAsia" w:ascii="宋体" w:hAnsi="宋体" w:cs="宋体"/>
                <w:bCs/>
                <w:sz w:val="21"/>
                <w:szCs w:val="21"/>
                <w:highlight w:val="none"/>
              </w:rPr>
              <w:t>分</w:t>
            </w:r>
            <w:r>
              <w:rPr>
                <w:rFonts w:hint="eastAsia" w:ascii="宋体" w:hAnsi="宋体" w:cs="宋体"/>
                <w:sz w:val="21"/>
                <w:szCs w:val="21"/>
                <w:highlight w:val="none"/>
              </w:rPr>
              <w:t>（北京时间）</w:t>
            </w:r>
          </w:p>
        </w:tc>
      </w:tr>
      <w:tr w14:paraId="3027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C9E49AA">
            <w:pPr>
              <w:spacing w:line="276" w:lineRule="auto"/>
              <w:jc w:val="center"/>
              <w:rPr>
                <w:rFonts w:ascii="宋体" w:hAnsi="宋体" w:cs="宋体"/>
                <w:sz w:val="21"/>
                <w:szCs w:val="21"/>
                <w:highlight w:val="none"/>
              </w:rPr>
            </w:pPr>
            <w:r>
              <w:rPr>
                <w:rFonts w:hint="eastAsia" w:ascii="宋体" w:hAnsi="宋体" w:cs="宋体"/>
                <w:sz w:val="21"/>
                <w:szCs w:val="21"/>
                <w:highlight w:val="none"/>
              </w:rPr>
              <w:t>3.2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15CF568">
            <w:pPr>
              <w:spacing w:line="276" w:lineRule="auto"/>
              <w:jc w:val="center"/>
              <w:rPr>
                <w:rFonts w:ascii="宋体" w:hAnsi="宋体" w:cs="宋体"/>
                <w:sz w:val="21"/>
                <w:szCs w:val="21"/>
                <w:highlight w:val="none"/>
              </w:rPr>
            </w:pPr>
            <w:r>
              <w:rPr>
                <w:rFonts w:hint="eastAsia" w:ascii="宋体" w:hAnsi="宋体" w:cs="宋体"/>
                <w:sz w:val="21"/>
                <w:szCs w:val="21"/>
                <w:highlight w:val="none"/>
              </w:rPr>
              <w:t>投标报价</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0635C99E">
            <w:pPr>
              <w:spacing w:before="72" w:beforeLines="30" w:line="360" w:lineRule="auto"/>
              <w:rPr>
                <w:rFonts w:ascii="宋体" w:hAnsi="宋体" w:cs="宋体"/>
                <w:sz w:val="21"/>
                <w:szCs w:val="21"/>
                <w:highlight w:val="none"/>
              </w:rPr>
            </w:pPr>
            <w:r>
              <w:rPr>
                <w:rFonts w:hint="eastAsia" w:ascii="宋体" w:hAnsi="宋体" w:cs="宋体"/>
                <w:sz w:val="21"/>
                <w:szCs w:val="21"/>
                <w:highlight w:val="none"/>
              </w:rPr>
              <w:t>（1）投标报价为</w:t>
            </w:r>
            <w:r>
              <w:rPr>
                <w:rFonts w:hint="eastAsia" w:ascii="宋体" w:hAnsi="宋体" w:cs="宋体"/>
                <w:b/>
                <w:bCs/>
                <w:sz w:val="21"/>
                <w:szCs w:val="21"/>
                <w:highlight w:val="none"/>
              </w:rPr>
              <w:t>固定总价包干</w:t>
            </w:r>
            <w:r>
              <w:rPr>
                <w:rFonts w:hint="eastAsia" w:ascii="宋体" w:hAnsi="宋体" w:cs="宋体"/>
                <w:sz w:val="21"/>
                <w:szCs w:val="21"/>
                <w:highlight w:val="none"/>
              </w:rPr>
              <w:t>。</w:t>
            </w:r>
          </w:p>
          <w:p w14:paraId="625A3F9C">
            <w:pPr>
              <w:spacing w:line="360" w:lineRule="auto"/>
              <w:rPr>
                <w:rFonts w:ascii="宋体" w:hAnsi="宋体" w:cs="宋体"/>
                <w:sz w:val="21"/>
                <w:szCs w:val="21"/>
                <w:highlight w:val="none"/>
              </w:rPr>
            </w:pPr>
            <w:r>
              <w:rPr>
                <w:rFonts w:hint="eastAsia" w:ascii="宋体" w:hAnsi="宋体" w:cs="宋体"/>
                <w:sz w:val="21"/>
                <w:szCs w:val="21"/>
                <w:highlight w:val="none"/>
              </w:rPr>
              <w:t>（2）投标人的投标报价不得高于本项目的</w:t>
            </w:r>
            <w:r>
              <w:rPr>
                <w:rFonts w:hint="eastAsia" w:ascii="宋体" w:hAnsi="宋体" w:cs="宋体"/>
                <w:b/>
                <w:bCs/>
                <w:sz w:val="21"/>
                <w:szCs w:val="21"/>
                <w:highlight w:val="none"/>
              </w:rPr>
              <w:t>最高限价：￥</w:t>
            </w:r>
            <w:r>
              <w:rPr>
                <w:rFonts w:hint="eastAsia" w:ascii="宋体" w:hAnsi="宋体" w:cs="宋体"/>
                <w:b/>
                <w:bCs/>
                <w:sz w:val="21"/>
                <w:szCs w:val="21"/>
                <w:highlight w:val="none"/>
                <w:lang w:eastAsia="zh-CN"/>
              </w:rPr>
              <w:t>4350000.00</w:t>
            </w:r>
            <w:r>
              <w:rPr>
                <w:rFonts w:hint="eastAsia" w:ascii="宋体" w:hAnsi="宋体" w:cs="宋体"/>
                <w:b/>
                <w:bCs/>
                <w:sz w:val="21"/>
                <w:szCs w:val="21"/>
                <w:highlight w:val="none"/>
              </w:rPr>
              <w:t>元</w:t>
            </w:r>
            <w:r>
              <w:rPr>
                <w:rFonts w:hint="eastAsia" w:ascii="宋体" w:hAnsi="宋体" w:cs="宋体"/>
                <w:sz w:val="21"/>
                <w:szCs w:val="21"/>
                <w:highlight w:val="none"/>
              </w:rPr>
              <w:t>。</w:t>
            </w:r>
          </w:p>
          <w:p w14:paraId="68243DF6">
            <w:pPr>
              <w:spacing w:line="360" w:lineRule="auto"/>
              <w:rPr>
                <w:rFonts w:ascii="宋体" w:hAnsi="宋体" w:cs="宋体"/>
                <w:sz w:val="21"/>
                <w:szCs w:val="21"/>
                <w:highlight w:val="none"/>
              </w:rPr>
            </w:pPr>
            <w:r>
              <w:rPr>
                <w:rFonts w:hint="eastAsia" w:ascii="宋体" w:hAnsi="宋体" w:cs="宋体"/>
                <w:sz w:val="21"/>
                <w:szCs w:val="21"/>
                <w:highlight w:val="none"/>
              </w:rPr>
              <w:t>（3）具体报价要求详见投标人须知正文部分3.2“投标报价”。</w:t>
            </w:r>
          </w:p>
        </w:tc>
      </w:tr>
      <w:tr w14:paraId="59894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5C7B01E">
            <w:pPr>
              <w:spacing w:line="276" w:lineRule="auto"/>
              <w:jc w:val="center"/>
              <w:rPr>
                <w:rFonts w:ascii="宋体" w:hAnsi="宋体" w:cs="宋体"/>
                <w:sz w:val="21"/>
                <w:szCs w:val="21"/>
                <w:highlight w:val="none"/>
              </w:rPr>
            </w:pPr>
            <w:r>
              <w:rPr>
                <w:rFonts w:hint="eastAsia" w:ascii="宋体" w:hAnsi="宋体" w:cs="宋体"/>
                <w:sz w:val="21"/>
                <w:szCs w:val="21"/>
                <w:highlight w:val="none"/>
              </w:rPr>
              <w:t>3.2.2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138328B8">
            <w:pPr>
              <w:spacing w:line="276" w:lineRule="auto"/>
              <w:jc w:val="center"/>
              <w:rPr>
                <w:rFonts w:ascii="宋体" w:hAnsi="宋体" w:cs="宋体"/>
                <w:sz w:val="21"/>
                <w:szCs w:val="21"/>
                <w:highlight w:val="none"/>
              </w:rPr>
            </w:pPr>
            <w:r>
              <w:rPr>
                <w:rFonts w:hint="eastAsia" w:ascii="宋体" w:hAnsi="宋体" w:cs="宋体"/>
                <w:sz w:val="21"/>
                <w:szCs w:val="21"/>
                <w:highlight w:val="none"/>
              </w:rPr>
              <w:t>备品备件</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43150FDA">
            <w:pPr>
              <w:widowControl w:val="0"/>
              <w:topLinePunct/>
              <w:adjustRightInd w:val="0"/>
              <w:snapToGrid w:val="0"/>
              <w:spacing w:before="72" w:beforeLines="30" w:line="360" w:lineRule="auto"/>
              <w:rPr>
                <w:rFonts w:ascii="宋体" w:hAnsi="宋体" w:cs="宋体"/>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AUTOTEXT  input142 \* MERGEFORMAT </w:instrText>
            </w:r>
            <w:r>
              <w:rPr>
                <w:rFonts w:hint="eastAsia" w:ascii="宋体" w:hAnsi="宋体" w:cs="宋体"/>
                <w:b/>
                <w:bCs/>
                <w:sz w:val="21"/>
                <w:szCs w:val="21"/>
                <w:highlight w:val="none"/>
              </w:rPr>
              <w:fldChar w:fldCharType="separate"/>
            </w:r>
            <w:r>
              <w:rPr>
                <w:rFonts w:hint="eastAsia" w:ascii="宋体" w:hAnsi="宋体" w:cs="宋体"/>
                <w:b/>
                <w:bCs/>
                <w:sz w:val="21"/>
                <w:szCs w:val="21"/>
                <w:highlight w:val="none"/>
              </w:rPr>
              <w:t>☑</w:t>
            </w:r>
            <w:r>
              <w:rPr>
                <w:rFonts w:hint="eastAsia" w:ascii="宋体" w:hAnsi="宋体" w:cs="宋体"/>
                <w:b/>
                <w:bCs/>
                <w:sz w:val="21"/>
                <w:szCs w:val="21"/>
                <w:highlight w:val="none"/>
              </w:rPr>
              <w:fldChar w:fldCharType="end"/>
            </w:r>
            <w:r>
              <w:rPr>
                <w:rFonts w:hint="eastAsia" w:ascii="宋体" w:hAnsi="宋体" w:cs="宋体"/>
                <w:b/>
                <w:bCs/>
                <w:sz w:val="21"/>
                <w:szCs w:val="21"/>
                <w:highlight w:val="none"/>
              </w:rPr>
              <w:t>包含在投标报价中</w:t>
            </w:r>
          </w:p>
          <w:p w14:paraId="1FB10013">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AUTOTEXT  input141 \* MERGEFORMAT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w:t>
            </w:r>
            <w:r>
              <w:rPr>
                <w:rFonts w:hint="eastAsia" w:ascii="宋体" w:hAnsi="宋体" w:cs="宋体"/>
                <w:sz w:val="21"/>
                <w:szCs w:val="21"/>
                <w:highlight w:val="none"/>
              </w:rPr>
              <w:fldChar w:fldCharType="end"/>
            </w:r>
            <w:r>
              <w:rPr>
                <w:rFonts w:hint="eastAsia" w:ascii="宋体" w:hAnsi="宋体" w:cs="宋体"/>
                <w:sz w:val="21"/>
                <w:szCs w:val="21"/>
                <w:highlight w:val="none"/>
              </w:rPr>
              <w:t>不包含在投标报价中</w:t>
            </w:r>
          </w:p>
        </w:tc>
      </w:tr>
      <w:tr w14:paraId="6BE3C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D5FBAD1">
            <w:pPr>
              <w:spacing w:line="276" w:lineRule="auto"/>
              <w:jc w:val="center"/>
              <w:rPr>
                <w:rFonts w:ascii="宋体" w:hAnsi="宋体" w:cs="宋体"/>
                <w:sz w:val="21"/>
                <w:szCs w:val="21"/>
                <w:highlight w:val="none"/>
              </w:rPr>
            </w:pPr>
            <w:r>
              <w:rPr>
                <w:rFonts w:hint="eastAsia" w:ascii="宋体" w:hAnsi="宋体" w:cs="宋体"/>
                <w:sz w:val="21"/>
                <w:szCs w:val="21"/>
                <w:highlight w:val="none"/>
              </w:rPr>
              <w:t>3.3.1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D032E9A">
            <w:pPr>
              <w:spacing w:line="276" w:lineRule="auto"/>
              <w:jc w:val="center"/>
              <w:rPr>
                <w:rFonts w:ascii="宋体" w:hAnsi="宋体" w:cs="宋体"/>
                <w:sz w:val="21"/>
                <w:szCs w:val="21"/>
                <w:highlight w:val="none"/>
              </w:rPr>
            </w:pPr>
            <w:r>
              <w:rPr>
                <w:rFonts w:hint="eastAsia" w:ascii="宋体" w:hAnsi="宋体" w:cs="宋体"/>
                <w:sz w:val="21"/>
                <w:szCs w:val="21"/>
                <w:highlight w:val="none"/>
              </w:rPr>
              <w:t>投标有效期</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0A1C33F4">
            <w:pPr>
              <w:spacing w:line="276" w:lineRule="auto"/>
              <w:rPr>
                <w:rFonts w:ascii="宋体" w:hAnsi="宋体" w:cs="宋体"/>
                <w:sz w:val="21"/>
                <w:szCs w:val="21"/>
                <w:highlight w:val="none"/>
              </w:rPr>
            </w:pPr>
            <w:r>
              <w:rPr>
                <w:rFonts w:hint="eastAsia" w:ascii="宋体" w:hAnsi="宋体" w:cs="宋体"/>
                <w:sz w:val="21"/>
                <w:szCs w:val="21"/>
                <w:highlight w:val="none"/>
              </w:rPr>
              <w:t>90日历天，从提交投标文件的截止之日算起。</w:t>
            </w:r>
          </w:p>
        </w:tc>
      </w:tr>
      <w:tr w14:paraId="7C86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B4F92CF">
            <w:pPr>
              <w:spacing w:line="276" w:lineRule="auto"/>
              <w:jc w:val="center"/>
              <w:rPr>
                <w:rFonts w:ascii="宋体" w:hAnsi="宋体" w:cs="宋体"/>
                <w:sz w:val="21"/>
                <w:szCs w:val="21"/>
                <w:highlight w:val="none"/>
              </w:rPr>
            </w:pPr>
            <w:r>
              <w:rPr>
                <w:rFonts w:hint="eastAsia" w:ascii="宋体" w:hAnsi="宋体" w:cs="宋体"/>
                <w:sz w:val="21"/>
                <w:szCs w:val="21"/>
                <w:highlight w:val="none"/>
              </w:rPr>
              <w:t>3.4.1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0745697B">
            <w:pPr>
              <w:spacing w:line="276" w:lineRule="auto"/>
              <w:jc w:val="center"/>
              <w:rPr>
                <w:rFonts w:ascii="宋体" w:hAnsi="宋体" w:cs="宋体"/>
                <w:sz w:val="21"/>
                <w:szCs w:val="21"/>
                <w:highlight w:val="none"/>
              </w:rPr>
            </w:pPr>
            <w:r>
              <w:rPr>
                <w:rFonts w:hint="eastAsia" w:ascii="宋体" w:hAnsi="宋体" w:cs="宋体"/>
                <w:sz w:val="21"/>
                <w:szCs w:val="21"/>
                <w:highlight w:val="none"/>
              </w:rPr>
              <w:t>投标保证金</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5D813E11">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方式：</w:t>
            </w:r>
          </w:p>
          <w:p w14:paraId="11797A37">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支票、汇票、本票、保函、银行转账、保证保险等形式不限</w:t>
            </w:r>
          </w:p>
          <w:p w14:paraId="6148D78A">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提交时间：</w:t>
            </w:r>
          </w:p>
          <w:p w14:paraId="750AD2E8">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保证金到账截止时间为投标截止时间，到账时间以实际到达专用账号时间为准，未按时到账的保证金视为未提交。</w:t>
            </w:r>
          </w:p>
          <w:p w14:paraId="08014F05">
            <w:pPr>
              <w:widowControl w:val="0"/>
              <w:adjustRightInd w:val="0"/>
              <w:snapToGrid w:val="0"/>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rPr>
              <w:t>项目名称：云南省昆明市中级人民法院</w:t>
            </w:r>
            <w:r>
              <w:rPr>
                <w:rFonts w:hint="eastAsia" w:ascii="宋体" w:hAnsi="宋体" w:cs="宋体"/>
                <w:sz w:val="21"/>
                <w:szCs w:val="21"/>
                <w:highlight w:val="none"/>
                <w:lang w:eastAsia="zh-CN"/>
              </w:rPr>
              <w:t>采购2025年信息系统运维服务</w:t>
            </w:r>
          </w:p>
          <w:p w14:paraId="60F7D181">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投标保证金：</w:t>
            </w:r>
          </w:p>
          <w:p w14:paraId="75F25E9E">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1标段：保证金金额：¥40000.00（元）</w:t>
            </w:r>
          </w:p>
          <w:p w14:paraId="1EB80355">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开户名称：云南玺正招标代理有限公司</w:t>
            </w:r>
          </w:p>
          <w:p w14:paraId="2DBA2859">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开户银行：华夏银行昆明滇池支行</w:t>
            </w:r>
          </w:p>
          <w:p w14:paraId="11F265DA">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账号：4838200001819100043137</w:t>
            </w:r>
          </w:p>
          <w:p w14:paraId="633E3EAB">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地址：昆明市西山区日新中路16号旁（滇池路与日新中路交叉口）</w:t>
            </w:r>
          </w:p>
          <w:p w14:paraId="0E66074D">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联系电话：0871-63188779</w:t>
            </w:r>
          </w:p>
          <w:p w14:paraId="5B0C6C09">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注意事项：</w:t>
            </w:r>
          </w:p>
          <w:p w14:paraId="5095F51F">
            <w:pPr>
              <w:pStyle w:val="127"/>
              <w:numPr>
                <w:ilvl w:val="0"/>
                <w:numId w:val="2"/>
              </w:numPr>
              <w:adjustRightInd w:val="0"/>
              <w:snapToGrid w:val="0"/>
              <w:spacing w:line="360" w:lineRule="auto"/>
              <w:ind w:firstLineChars="0"/>
              <w:rPr>
                <w:rFonts w:ascii="宋体" w:hAnsi="宋体" w:cs="宋体"/>
                <w:szCs w:val="21"/>
                <w:highlight w:val="none"/>
              </w:rPr>
            </w:pPr>
            <w:r>
              <w:rPr>
                <w:rFonts w:hint="eastAsia" w:ascii="宋体" w:hAnsi="宋体" w:cs="宋体"/>
                <w:szCs w:val="21"/>
                <w:highlight w:val="none"/>
              </w:rPr>
              <w:t>保证金必须从投标人的基本账户划出；</w:t>
            </w:r>
          </w:p>
          <w:p w14:paraId="2084B753">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②保证金转账仅限电汇、网银方式，其他转账方式视为无效；</w:t>
            </w:r>
          </w:p>
          <w:p w14:paraId="1215DA69">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③到账时间以保证金专用账户实际到账时间为准，未在缴纳保证金截止时间前到账的保证金无效。</w:t>
            </w:r>
          </w:p>
          <w:p w14:paraId="39752694">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采用银行保函：</w:t>
            </w:r>
          </w:p>
          <w:p w14:paraId="72C44603">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保函申请人必须是投标人，受益人必须是采购人，保证人必须是投标人基本账户的开户银行；银行保函必须正确填写受益人和申请人的全称，并与招标文件规定的名称一致，以免造成投标无效，保函有效期为从投标截止日期起90日历天。</w:t>
            </w:r>
          </w:p>
          <w:p w14:paraId="07F4D6EB">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采用保证保险：</w:t>
            </w:r>
          </w:p>
          <w:p w14:paraId="7D4F4376">
            <w:pPr>
              <w:widowControl w:val="0"/>
              <w:adjustRightInd w:val="0"/>
              <w:snapToGrid w:val="0"/>
              <w:spacing w:line="360" w:lineRule="auto"/>
              <w:rPr>
                <w:rFonts w:ascii="宋体" w:hAnsi="宋体" w:cs="宋体"/>
                <w:sz w:val="21"/>
                <w:szCs w:val="21"/>
                <w:highlight w:val="none"/>
              </w:rPr>
            </w:pPr>
            <w:r>
              <w:rPr>
                <w:rFonts w:hint="eastAsia" w:ascii="宋体" w:hAnsi="宋体" w:cs="宋体"/>
                <w:sz w:val="21"/>
                <w:szCs w:val="21"/>
                <w:highlight w:val="none"/>
              </w:rPr>
              <w:t>投标人须按照国家关于保证保险的要求购买保证保险，投标人持保证保险材料参加投标。保险受益人必须是采购人。</w:t>
            </w:r>
          </w:p>
        </w:tc>
      </w:tr>
      <w:tr w14:paraId="1F76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D0E5D27">
            <w:pPr>
              <w:spacing w:line="276" w:lineRule="auto"/>
              <w:jc w:val="center"/>
              <w:rPr>
                <w:rFonts w:ascii="宋体" w:hAnsi="宋体" w:cs="宋体"/>
                <w:sz w:val="21"/>
                <w:szCs w:val="21"/>
                <w:highlight w:val="none"/>
              </w:rPr>
            </w:pPr>
            <w:r>
              <w:rPr>
                <w:rFonts w:hint="eastAsia" w:ascii="宋体" w:hAnsi="宋体" w:cs="宋体"/>
                <w:sz w:val="21"/>
                <w:szCs w:val="21"/>
                <w:highlight w:val="none"/>
              </w:rPr>
              <w:t>3.5.3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38E16C0">
            <w:pPr>
              <w:spacing w:line="276" w:lineRule="auto"/>
              <w:jc w:val="center"/>
              <w:rPr>
                <w:rFonts w:ascii="宋体" w:hAnsi="宋体" w:cs="宋体"/>
                <w:sz w:val="21"/>
                <w:szCs w:val="21"/>
                <w:highlight w:val="none"/>
              </w:rPr>
            </w:pPr>
            <w:r>
              <w:rPr>
                <w:rFonts w:hint="eastAsia" w:ascii="宋体" w:hAnsi="宋体" w:cs="宋体"/>
                <w:sz w:val="21"/>
                <w:szCs w:val="21"/>
                <w:highlight w:val="none"/>
              </w:rPr>
              <w:t>投标文件的签署</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2DCD72D4">
            <w:pPr>
              <w:tabs>
                <w:tab w:val="left" w:pos="6200"/>
              </w:tabs>
              <w:spacing w:before="72" w:beforeLines="30" w:line="360" w:lineRule="auto"/>
              <w:rPr>
                <w:rFonts w:ascii="宋体" w:hAnsi="宋体" w:cs="宋体"/>
                <w:sz w:val="21"/>
                <w:szCs w:val="21"/>
                <w:highlight w:val="none"/>
              </w:rPr>
            </w:pPr>
            <w:r>
              <w:rPr>
                <w:rFonts w:hint="eastAsia" w:ascii="宋体" w:hAnsi="宋体" w:cs="宋体"/>
                <w:sz w:val="21"/>
                <w:szCs w:val="21"/>
                <w:highlight w:val="none"/>
              </w:rPr>
              <w:t>按照投标文件格式，采用单位和个人数字证书电子签章：投标文件（包含投标人电子文档投标文件的全部）需要企业、法定代表人电子签章。</w:t>
            </w:r>
          </w:p>
          <w:p w14:paraId="44C21A72">
            <w:pPr>
              <w:tabs>
                <w:tab w:val="left" w:pos="6200"/>
              </w:tabs>
              <w:spacing w:before="72" w:beforeLines="30" w:line="360" w:lineRule="auto"/>
              <w:rPr>
                <w:rFonts w:ascii="宋体" w:hAnsi="宋体" w:cs="宋体"/>
                <w:sz w:val="21"/>
                <w:szCs w:val="21"/>
                <w:highlight w:val="none"/>
              </w:rPr>
            </w:pPr>
            <w:r>
              <w:rPr>
                <w:rFonts w:hint="eastAsia" w:ascii="宋体" w:hAnsi="宋体" w:cs="宋体"/>
                <w:sz w:val="21"/>
                <w:szCs w:val="21"/>
                <w:highlight w:val="none"/>
              </w:rPr>
              <w:t>注：在需要电子签章的地方进行电子签章，无需逐页电子签章。</w:t>
            </w:r>
          </w:p>
        </w:tc>
      </w:tr>
      <w:tr w14:paraId="4B426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0F096D6">
            <w:pPr>
              <w:spacing w:line="276" w:lineRule="auto"/>
              <w:jc w:val="center"/>
              <w:rPr>
                <w:rFonts w:ascii="宋体" w:hAnsi="宋体" w:cs="宋体"/>
                <w:sz w:val="21"/>
                <w:szCs w:val="21"/>
                <w:highlight w:val="none"/>
              </w:rPr>
            </w:pPr>
            <w:r>
              <w:rPr>
                <w:rFonts w:hint="eastAsia" w:ascii="宋体" w:hAnsi="宋体" w:cs="宋体"/>
                <w:sz w:val="21"/>
                <w:szCs w:val="21"/>
                <w:highlight w:val="none"/>
              </w:rPr>
              <w:t>6.1.2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5EDC78E">
            <w:pPr>
              <w:spacing w:line="276" w:lineRule="auto"/>
              <w:jc w:val="center"/>
              <w:rPr>
                <w:rFonts w:ascii="宋体" w:hAnsi="宋体" w:cs="宋体"/>
                <w:sz w:val="21"/>
                <w:szCs w:val="21"/>
                <w:highlight w:val="none"/>
              </w:rPr>
            </w:pPr>
            <w:r>
              <w:rPr>
                <w:rFonts w:hint="eastAsia" w:ascii="宋体" w:hAnsi="宋体" w:cs="宋体"/>
                <w:sz w:val="21"/>
                <w:szCs w:val="21"/>
                <w:highlight w:val="none"/>
              </w:rPr>
              <w:t>评标委员会的组建</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5489904D">
            <w:pPr>
              <w:widowControl w:val="0"/>
              <w:spacing w:before="72" w:beforeLines="30" w:line="372" w:lineRule="auto"/>
              <w:rPr>
                <w:rFonts w:ascii="宋体" w:hAnsi="宋体" w:cs="宋体"/>
                <w:sz w:val="21"/>
                <w:szCs w:val="21"/>
                <w:highlight w:val="none"/>
              </w:rPr>
            </w:pPr>
            <w:r>
              <w:rPr>
                <w:rFonts w:hint="eastAsia" w:ascii="宋体" w:hAnsi="宋体" w:cs="宋体"/>
                <w:sz w:val="21"/>
                <w:szCs w:val="21"/>
                <w:highlight w:val="none"/>
              </w:rPr>
              <w:t>评标委员会构成：评标委员会由采购人代表和评审专家组成，成员人数应当为5人以上单数，其中评审专家不得少于成员总数的三分之二。</w:t>
            </w:r>
          </w:p>
          <w:p w14:paraId="038AB11F">
            <w:pPr>
              <w:widowControl w:val="0"/>
              <w:spacing w:line="372" w:lineRule="auto"/>
              <w:rPr>
                <w:rFonts w:ascii="宋体" w:hAnsi="宋体" w:cs="宋体"/>
                <w:sz w:val="21"/>
                <w:szCs w:val="21"/>
                <w:highlight w:val="none"/>
              </w:rPr>
            </w:pPr>
            <w:r>
              <w:rPr>
                <w:rFonts w:hint="eastAsia" w:ascii="宋体" w:hAnsi="宋体" w:cs="宋体"/>
                <w:sz w:val="21"/>
                <w:szCs w:val="21"/>
                <w:highlight w:val="none"/>
              </w:rPr>
              <w:t>采购项目符合下列情形之一的,评标委员会成员人数应当为7人以上单数：</w:t>
            </w:r>
          </w:p>
          <w:p w14:paraId="2ABB7D74">
            <w:pPr>
              <w:widowControl w:val="0"/>
              <w:spacing w:line="372" w:lineRule="auto"/>
              <w:rPr>
                <w:rFonts w:ascii="宋体" w:hAnsi="宋体" w:cs="宋体"/>
                <w:sz w:val="21"/>
                <w:szCs w:val="21"/>
                <w:highlight w:val="none"/>
              </w:rPr>
            </w:pPr>
            <w:r>
              <w:rPr>
                <w:rFonts w:hint="eastAsia" w:ascii="宋体" w:hAnsi="宋体" w:cs="宋体"/>
                <w:sz w:val="21"/>
                <w:szCs w:val="21"/>
                <w:highlight w:val="none"/>
              </w:rPr>
              <w:t>1.采购预算金额在1000万元以上；</w:t>
            </w:r>
          </w:p>
          <w:p w14:paraId="1336EA33">
            <w:pPr>
              <w:widowControl w:val="0"/>
              <w:spacing w:line="372" w:lineRule="auto"/>
              <w:rPr>
                <w:rFonts w:ascii="宋体" w:hAnsi="宋体" w:cs="宋体"/>
                <w:sz w:val="21"/>
                <w:szCs w:val="21"/>
                <w:highlight w:val="none"/>
              </w:rPr>
            </w:pPr>
            <w:r>
              <w:rPr>
                <w:rFonts w:hint="eastAsia" w:ascii="宋体" w:hAnsi="宋体" w:cs="宋体"/>
                <w:sz w:val="21"/>
                <w:szCs w:val="21"/>
                <w:highlight w:val="none"/>
              </w:rPr>
              <w:t>2.技术复杂；</w:t>
            </w:r>
          </w:p>
          <w:p w14:paraId="3A8AEAA0">
            <w:pPr>
              <w:widowControl w:val="0"/>
              <w:spacing w:line="372" w:lineRule="auto"/>
              <w:rPr>
                <w:rFonts w:ascii="宋体" w:hAnsi="宋体" w:cs="宋体"/>
                <w:sz w:val="21"/>
                <w:szCs w:val="21"/>
                <w:highlight w:val="none"/>
                <w:u w:val="single"/>
              </w:rPr>
            </w:pPr>
            <w:r>
              <w:rPr>
                <w:rFonts w:hint="eastAsia" w:ascii="宋体" w:hAnsi="宋体" w:cs="宋体"/>
                <w:sz w:val="21"/>
                <w:szCs w:val="21"/>
                <w:highlight w:val="none"/>
              </w:rPr>
              <w:t>3.社会影响较大。</w:t>
            </w:r>
          </w:p>
          <w:p w14:paraId="1B3C8C69">
            <w:pPr>
              <w:widowControl w:val="0"/>
              <w:spacing w:line="372" w:lineRule="auto"/>
              <w:rPr>
                <w:rFonts w:ascii="宋体" w:hAnsi="宋体" w:cs="宋体"/>
                <w:sz w:val="21"/>
                <w:szCs w:val="21"/>
                <w:highlight w:val="none"/>
              </w:rPr>
            </w:pPr>
            <w:r>
              <w:rPr>
                <w:rFonts w:hint="eastAsia" w:ascii="宋体" w:hAnsi="宋体" w:cs="宋体"/>
                <w:sz w:val="21"/>
                <w:szCs w:val="21"/>
                <w:highlight w:val="none"/>
              </w:rPr>
              <w:t>评标专家确定方式：由采购人代表和云南省政府采购专家库中随机抽取的专家组成。</w:t>
            </w:r>
          </w:p>
          <w:p w14:paraId="58F65378">
            <w:pPr>
              <w:widowControl w:val="0"/>
              <w:spacing w:line="372" w:lineRule="auto"/>
              <w:rPr>
                <w:rFonts w:ascii="宋体" w:hAnsi="宋体" w:cs="宋体"/>
                <w:sz w:val="21"/>
                <w:szCs w:val="21"/>
                <w:highlight w:val="none"/>
              </w:rPr>
            </w:pPr>
            <w:r>
              <w:rPr>
                <w:rFonts w:hint="eastAsia" w:ascii="宋体" w:hAnsi="宋体" w:cs="宋体"/>
                <w:sz w:val="21"/>
                <w:szCs w:val="21"/>
                <w:highlight w:val="none"/>
              </w:rPr>
              <w:t>注：特殊情况专家名单经审批后确定。</w:t>
            </w:r>
          </w:p>
        </w:tc>
      </w:tr>
      <w:tr w14:paraId="4D618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07A6201">
            <w:pPr>
              <w:spacing w:line="276" w:lineRule="auto"/>
              <w:jc w:val="center"/>
              <w:rPr>
                <w:rFonts w:ascii="宋体" w:hAnsi="宋体" w:cs="宋体"/>
                <w:sz w:val="21"/>
                <w:szCs w:val="21"/>
                <w:highlight w:val="none"/>
              </w:rPr>
            </w:pPr>
            <w:r>
              <w:rPr>
                <w:rFonts w:hint="eastAsia" w:ascii="宋体" w:hAnsi="宋体" w:cs="宋体"/>
                <w:sz w:val="21"/>
                <w:szCs w:val="21"/>
                <w:highlight w:val="none"/>
              </w:rPr>
              <w:t>6.2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6C9CB80D">
            <w:pPr>
              <w:spacing w:line="276" w:lineRule="auto"/>
              <w:jc w:val="center"/>
              <w:rPr>
                <w:rFonts w:ascii="宋体" w:hAnsi="宋体" w:cs="宋体"/>
                <w:sz w:val="21"/>
                <w:szCs w:val="21"/>
                <w:highlight w:val="none"/>
              </w:rPr>
            </w:pPr>
            <w:r>
              <w:rPr>
                <w:rFonts w:hint="eastAsia" w:ascii="宋体" w:hAnsi="宋体" w:cs="宋体"/>
                <w:spacing w:val="-3"/>
                <w:sz w:val="21"/>
                <w:szCs w:val="21"/>
                <w:highlight w:val="none"/>
              </w:rPr>
              <w:t>评标办法</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4C405B88">
            <w:pPr>
              <w:spacing w:line="276" w:lineRule="auto"/>
              <w:jc w:val="both"/>
              <w:rPr>
                <w:rFonts w:ascii="宋体" w:hAnsi="宋体" w:cs="宋体"/>
                <w:sz w:val="21"/>
                <w:szCs w:val="21"/>
                <w:highlight w:val="none"/>
              </w:rPr>
            </w:pPr>
            <w:r>
              <w:rPr>
                <w:rFonts w:hint="eastAsia" w:ascii="宋体" w:hAnsi="宋体" w:cs="宋体"/>
                <w:spacing w:val="-3"/>
                <w:sz w:val="21"/>
                <w:szCs w:val="21"/>
                <w:highlight w:val="none"/>
              </w:rPr>
              <w:t>综合评分法。</w:t>
            </w:r>
          </w:p>
        </w:tc>
      </w:tr>
      <w:tr w14:paraId="1A09E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D133874">
            <w:pPr>
              <w:spacing w:line="276" w:lineRule="auto"/>
              <w:jc w:val="center"/>
              <w:rPr>
                <w:rFonts w:ascii="宋体" w:hAnsi="宋体" w:cs="宋体"/>
                <w:sz w:val="21"/>
                <w:szCs w:val="21"/>
                <w:highlight w:val="none"/>
              </w:rPr>
            </w:pPr>
            <w:r>
              <w:rPr>
                <w:rFonts w:hint="eastAsia" w:ascii="宋体" w:hAnsi="宋体" w:cs="宋体"/>
                <w:sz w:val="21"/>
                <w:szCs w:val="21"/>
                <w:highlight w:val="none"/>
              </w:rPr>
              <w:t>7.1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060315F4">
            <w:pPr>
              <w:spacing w:line="276" w:lineRule="auto"/>
              <w:jc w:val="center"/>
              <w:rPr>
                <w:rFonts w:ascii="宋体" w:hAnsi="宋体" w:cs="宋体"/>
                <w:sz w:val="21"/>
                <w:szCs w:val="21"/>
                <w:highlight w:val="none"/>
              </w:rPr>
            </w:pPr>
            <w:r>
              <w:rPr>
                <w:rFonts w:hint="eastAsia" w:ascii="宋体" w:hAnsi="宋体" w:cs="宋体"/>
                <w:sz w:val="21"/>
                <w:szCs w:val="21"/>
                <w:highlight w:val="none"/>
              </w:rPr>
              <w:t>中标人的确定</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0F5BD612">
            <w:pPr>
              <w:spacing w:before="72" w:beforeLines="30" w:line="372" w:lineRule="auto"/>
              <w:rPr>
                <w:rFonts w:ascii="宋体" w:hAnsi="宋体" w:cs="宋体"/>
                <w:sz w:val="21"/>
                <w:szCs w:val="21"/>
                <w:highlight w:val="none"/>
              </w:rPr>
            </w:pPr>
            <w:r>
              <w:rPr>
                <w:rFonts w:hint="eastAsia" w:ascii="宋体" w:hAnsi="宋体" w:cs="宋体"/>
                <w:sz w:val="21"/>
                <w:szCs w:val="21"/>
                <w:highlight w:val="none"/>
              </w:rPr>
              <w:t>采购人自收到评标报告之日起５个工作日内，在评标报告确定的中标候选人名单中按顺序确定中标人。</w:t>
            </w:r>
          </w:p>
        </w:tc>
      </w:tr>
      <w:tr w14:paraId="27443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DC2697B">
            <w:pPr>
              <w:spacing w:line="276" w:lineRule="auto"/>
              <w:jc w:val="center"/>
              <w:rPr>
                <w:rFonts w:ascii="宋体" w:hAnsi="宋体" w:cs="宋体"/>
                <w:sz w:val="21"/>
                <w:szCs w:val="21"/>
                <w:highlight w:val="none"/>
              </w:rPr>
            </w:pPr>
            <w:r>
              <w:rPr>
                <w:rFonts w:hint="eastAsia" w:ascii="宋体" w:hAnsi="宋体" w:cs="宋体"/>
                <w:sz w:val="21"/>
                <w:szCs w:val="21"/>
                <w:highlight w:val="none"/>
              </w:rPr>
              <w:t>7.2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1CE11B0">
            <w:pPr>
              <w:spacing w:line="276" w:lineRule="auto"/>
              <w:jc w:val="center"/>
              <w:rPr>
                <w:rFonts w:ascii="宋体" w:hAnsi="宋体" w:cs="宋体"/>
                <w:sz w:val="21"/>
                <w:szCs w:val="21"/>
                <w:highlight w:val="none"/>
              </w:rPr>
            </w:pPr>
            <w:r>
              <w:rPr>
                <w:rFonts w:hint="eastAsia" w:ascii="宋体" w:hAnsi="宋体" w:cs="宋体"/>
                <w:sz w:val="21"/>
                <w:szCs w:val="21"/>
                <w:highlight w:val="none"/>
              </w:rPr>
              <w:t>中标公告媒介及期限</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56C6A738">
            <w:pPr>
              <w:spacing w:before="72" w:beforeLines="30" w:line="372" w:lineRule="auto"/>
              <w:rPr>
                <w:rFonts w:ascii="宋体" w:hAnsi="宋体" w:cs="宋体"/>
                <w:sz w:val="21"/>
                <w:szCs w:val="21"/>
                <w:highlight w:val="none"/>
              </w:rPr>
            </w:pPr>
            <w:r>
              <w:rPr>
                <w:rFonts w:hint="eastAsia" w:ascii="宋体" w:hAnsi="宋体" w:cs="宋体"/>
                <w:sz w:val="21"/>
                <w:szCs w:val="21"/>
                <w:highlight w:val="none"/>
              </w:rPr>
              <w:t>成交投标人确定后2个工作日内，在云南省政府采购网、中国政府采购网、政采云平台上公告成交结果，同时向成交投标人发出中标通知书。</w:t>
            </w:r>
          </w:p>
        </w:tc>
      </w:tr>
      <w:tr w14:paraId="4B8D0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8B02AD4">
            <w:pPr>
              <w:spacing w:line="276" w:lineRule="auto"/>
              <w:jc w:val="center"/>
              <w:rPr>
                <w:rFonts w:ascii="宋体" w:hAnsi="宋体" w:cs="宋体"/>
                <w:sz w:val="21"/>
                <w:szCs w:val="21"/>
                <w:highlight w:val="none"/>
              </w:rPr>
            </w:pPr>
            <w:r>
              <w:rPr>
                <w:rFonts w:hint="eastAsia" w:ascii="宋体" w:hAnsi="宋体" w:cs="宋体"/>
                <w:sz w:val="21"/>
                <w:szCs w:val="21"/>
                <w:highlight w:val="none"/>
              </w:rPr>
              <w:t>7.4.1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BACEDCA">
            <w:pPr>
              <w:spacing w:line="276" w:lineRule="auto"/>
              <w:jc w:val="center"/>
              <w:rPr>
                <w:rFonts w:ascii="宋体" w:hAnsi="宋体" w:cs="宋体"/>
                <w:sz w:val="21"/>
                <w:szCs w:val="21"/>
                <w:highlight w:val="none"/>
              </w:rPr>
            </w:pPr>
            <w:r>
              <w:rPr>
                <w:rFonts w:hint="eastAsia" w:ascii="宋体" w:hAnsi="宋体" w:cs="宋体"/>
                <w:sz w:val="21"/>
                <w:szCs w:val="21"/>
                <w:highlight w:val="none"/>
              </w:rPr>
              <w:t>履约保证金</w:t>
            </w:r>
          </w:p>
        </w:tc>
        <w:tc>
          <w:tcPr>
            <w:tcW w:w="7036" w:type="dxa"/>
            <w:tcBorders>
              <w:top w:val="single" w:color="auto" w:sz="4" w:space="0"/>
              <w:left w:val="single" w:color="auto" w:sz="4" w:space="0"/>
              <w:bottom w:val="single" w:color="auto" w:sz="4" w:space="0"/>
              <w:right w:val="single" w:color="auto" w:sz="4" w:space="0"/>
            </w:tcBorders>
            <w:shd w:val="clear" w:color="auto" w:fill="auto"/>
            <w:vAlign w:val="center"/>
          </w:tcPr>
          <w:p w14:paraId="319DE960">
            <w:pPr>
              <w:widowControl w:val="0"/>
              <w:spacing w:before="72" w:beforeLines="30" w:line="372" w:lineRule="auto"/>
              <w:rPr>
                <w:rFonts w:ascii="宋体" w:hAnsi="宋体" w:cs="宋体"/>
                <w:sz w:val="21"/>
                <w:szCs w:val="21"/>
                <w:highlight w:val="none"/>
              </w:rPr>
            </w:pPr>
            <w:r>
              <w:rPr>
                <w:rFonts w:hint="eastAsia" w:ascii="宋体" w:hAnsi="宋体" w:cs="宋体"/>
                <w:sz w:val="21"/>
                <w:szCs w:val="21"/>
                <w:highlight w:val="none"/>
              </w:rPr>
              <w:t>履约保证金形式：支票、汇票、本票或者金融机构、担保机构出具的保函等非现金形式提交；</w:t>
            </w:r>
          </w:p>
          <w:p w14:paraId="68132D4F">
            <w:pPr>
              <w:widowControl w:val="0"/>
              <w:spacing w:line="372" w:lineRule="auto"/>
              <w:rPr>
                <w:rFonts w:ascii="宋体" w:hAnsi="宋体" w:cs="宋体"/>
                <w:sz w:val="21"/>
                <w:szCs w:val="21"/>
                <w:highlight w:val="none"/>
              </w:rPr>
            </w:pPr>
            <w:r>
              <w:rPr>
                <w:rFonts w:hint="eastAsia" w:ascii="宋体" w:hAnsi="宋体" w:cs="宋体"/>
                <w:sz w:val="21"/>
                <w:szCs w:val="21"/>
                <w:highlight w:val="none"/>
              </w:rPr>
              <w:t>履约担保的金额：合同金额的5%；</w:t>
            </w:r>
          </w:p>
          <w:p w14:paraId="026E4E9A">
            <w:pPr>
              <w:spacing w:line="360" w:lineRule="auto"/>
              <w:rPr>
                <w:rFonts w:ascii="宋体" w:hAnsi="宋体" w:cs="宋体"/>
                <w:sz w:val="21"/>
                <w:szCs w:val="21"/>
                <w:highlight w:val="none"/>
              </w:rPr>
            </w:pPr>
            <w:r>
              <w:rPr>
                <w:rFonts w:hint="eastAsia" w:ascii="宋体" w:hAnsi="宋体" w:cs="宋体"/>
                <w:sz w:val="21"/>
                <w:szCs w:val="21"/>
                <w:highlight w:val="none"/>
              </w:rPr>
              <w:t>履约保证金的提交：中标人在合同签订后7个工作日内提交；合同履行终验完毕1个月无异议后, 招标人自收到中标人付款申请材料20个工作日内一次性无息返还中标人全部履约保证金。</w:t>
            </w:r>
          </w:p>
          <w:p w14:paraId="3B82E4A6">
            <w:pPr>
              <w:widowControl w:val="0"/>
              <w:spacing w:line="372" w:lineRule="auto"/>
              <w:rPr>
                <w:rFonts w:ascii="宋体" w:hAnsi="宋体" w:cs="宋体"/>
                <w:highlight w:val="none"/>
              </w:rPr>
            </w:pPr>
            <w:r>
              <w:rPr>
                <w:rFonts w:hint="eastAsia" w:ascii="宋体" w:hAnsi="宋体" w:cs="宋体"/>
                <w:sz w:val="21"/>
                <w:szCs w:val="21"/>
                <w:highlight w:val="none"/>
              </w:rPr>
              <w:t>退还时间：合同履行完成30天后，若中标人无违约责任，招标人将全款退还。</w:t>
            </w:r>
          </w:p>
        </w:tc>
      </w:tr>
      <w:tr w14:paraId="36650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46FC73F7">
            <w:pPr>
              <w:spacing w:line="276" w:lineRule="auto"/>
              <w:jc w:val="center"/>
              <w:rPr>
                <w:rFonts w:ascii="宋体" w:hAnsi="宋体" w:cs="宋体"/>
                <w:sz w:val="21"/>
                <w:szCs w:val="21"/>
                <w:highlight w:val="none"/>
              </w:rPr>
            </w:pPr>
            <w:r>
              <w:rPr>
                <w:rFonts w:hint="eastAsia" w:ascii="宋体" w:hAnsi="宋体" w:cs="宋体"/>
                <w:sz w:val="21"/>
                <w:szCs w:val="21"/>
                <w:highlight w:val="none"/>
              </w:rPr>
              <w:t>10</w:t>
            </w:r>
          </w:p>
        </w:tc>
        <w:tc>
          <w:tcPr>
            <w:tcW w:w="8734" w:type="dxa"/>
            <w:gridSpan w:val="2"/>
            <w:shd w:val="clear" w:color="auto" w:fill="auto"/>
            <w:vAlign w:val="center"/>
          </w:tcPr>
          <w:p w14:paraId="44BD7663">
            <w:pPr>
              <w:spacing w:line="276" w:lineRule="auto"/>
              <w:jc w:val="center"/>
              <w:rPr>
                <w:rFonts w:ascii="宋体" w:hAnsi="宋体" w:cs="宋体"/>
                <w:sz w:val="21"/>
                <w:szCs w:val="21"/>
                <w:highlight w:val="none"/>
              </w:rPr>
            </w:pPr>
            <w:r>
              <w:rPr>
                <w:rFonts w:hint="eastAsia" w:ascii="宋体" w:hAnsi="宋体" w:cs="宋体"/>
                <w:sz w:val="21"/>
                <w:szCs w:val="21"/>
                <w:highlight w:val="none"/>
              </w:rPr>
              <w:t>需要补充的其他内容</w:t>
            </w:r>
          </w:p>
        </w:tc>
      </w:tr>
      <w:tr w14:paraId="3E917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67996CCE">
            <w:pPr>
              <w:spacing w:line="276" w:lineRule="auto"/>
              <w:jc w:val="center"/>
              <w:rPr>
                <w:rFonts w:ascii="宋体" w:hAnsi="宋体" w:cs="宋体"/>
                <w:sz w:val="21"/>
                <w:szCs w:val="21"/>
                <w:highlight w:val="none"/>
              </w:rPr>
            </w:pPr>
            <w:r>
              <w:rPr>
                <w:rFonts w:hint="eastAsia" w:ascii="宋体" w:hAnsi="宋体" w:cs="宋体"/>
                <w:sz w:val="21"/>
                <w:szCs w:val="21"/>
                <w:highlight w:val="none"/>
              </w:rPr>
              <w:t>10.1</w:t>
            </w:r>
          </w:p>
        </w:tc>
        <w:tc>
          <w:tcPr>
            <w:tcW w:w="1698" w:type="dxa"/>
            <w:shd w:val="clear" w:color="auto" w:fill="auto"/>
            <w:vAlign w:val="center"/>
          </w:tcPr>
          <w:p w14:paraId="555EE63D">
            <w:pPr>
              <w:spacing w:line="276" w:lineRule="auto"/>
              <w:jc w:val="center"/>
              <w:rPr>
                <w:rFonts w:ascii="宋体" w:hAnsi="宋体" w:cs="宋体"/>
                <w:sz w:val="21"/>
                <w:szCs w:val="21"/>
                <w:highlight w:val="none"/>
              </w:rPr>
            </w:pPr>
            <w:r>
              <w:rPr>
                <w:rFonts w:hint="eastAsia" w:ascii="宋体" w:hAnsi="宋体" w:cs="宋体"/>
                <w:sz w:val="21"/>
                <w:szCs w:val="21"/>
                <w:highlight w:val="none"/>
              </w:rPr>
              <w:t>政府采购政策</w:t>
            </w:r>
          </w:p>
        </w:tc>
        <w:tc>
          <w:tcPr>
            <w:tcW w:w="7036" w:type="dxa"/>
            <w:shd w:val="clear" w:color="auto" w:fill="auto"/>
            <w:vAlign w:val="center"/>
          </w:tcPr>
          <w:p w14:paraId="48BD51AF">
            <w:pPr>
              <w:widowControl w:val="0"/>
              <w:spacing w:before="72" w:beforeLines="30" w:line="360" w:lineRule="auto"/>
              <w:ind w:firstLine="25" w:firstLineChars="12"/>
              <w:rPr>
                <w:rFonts w:ascii="宋体" w:hAnsi="宋体" w:cs="宋体"/>
                <w:b/>
                <w:bCs/>
                <w:sz w:val="21"/>
                <w:szCs w:val="21"/>
                <w:highlight w:val="none"/>
              </w:rPr>
            </w:pPr>
            <w:r>
              <w:rPr>
                <w:rFonts w:hint="eastAsia" w:ascii="宋体" w:hAnsi="宋体" w:cs="宋体"/>
                <w:b/>
                <w:bCs/>
                <w:sz w:val="21"/>
                <w:szCs w:val="21"/>
                <w:highlight w:val="none"/>
              </w:rPr>
              <w:t>1、关于中小企业：</w:t>
            </w:r>
          </w:p>
          <w:p w14:paraId="5177316E">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1.1 根据财政部、工业和信息化部印发的《政府采购促进中小企业发展管理办法》（财库【2020】46号文）的规定，在政府采购活动中，投标人提供的货物、工程或者服务符合下列情形的，享受中小企业扶持政策：</w:t>
            </w:r>
          </w:p>
          <w:p w14:paraId="701A12A3">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（一）在货物采购项目中，货物由中小企业制造，即货物由中小企业生产且使用该中小企业商号或者注册商标；</w:t>
            </w:r>
          </w:p>
          <w:p w14:paraId="77F249D2">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（二）在工程采购项目中，工程由中小企业承建，即工程施工单位为中小企业；</w:t>
            </w:r>
          </w:p>
          <w:p w14:paraId="03A2345D">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（三）在服务采购项目中，服务由中小企业承接，即提供服务的人员为中小企业依照《中华人民共和国劳动合同法》订立劳动合同的从业人员。</w:t>
            </w:r>
          </w:p>
          <w:p w14:paraId="51A25FE9">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在货物采购项目中，投标人提供的货物既有中小企业制造货物，也有大型企业制造货物的，不享受本办法规定的中小企业扶持政策。</w:t>
            </w:r>
          </w:p>
          <w:p w14:paraId="6EBB8A4D">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以联合体形式参加政府采购活动，联合体各方均为中小企业的，联合体视同中小企业。其中，联合体各方均为小微企业的，联合体视同小微企业。</w:t>
            </w:r>
          </w:p>
          <w:p w14:paraId="35676A82">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0F7F4D71">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1.3对于经主管预算单位统筹后未预留份额专门面向中小企业采购的采购项目，以及预留份额项目中的非预留部分采购包，对符合规定的小微企业报价给予6%（工程项目为3%）的扣除，用扣除后的价格参加评审。</w:t>
            </w:r>
          </w:p>
          <w:p w14:paraId="09F28BB1">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工程项目为1%）的扣除，用扣除后的价格参加评审。组成联合体或者接受分包的小微企业与联合体内其他企业、分包企业之间存在直接控股、管理关系的，不享受价格扣除优惠政策。</w:t>
            </w:r>
          </w:p>
          <w:p w14:paraId="291567B7">
            <w:pPr>
              <w:widowControl w:val="0"/>
              <w:wordWrap w:val="0"/>
              <w:spacing w:line="360" w:lineRule="auto"/>
              <w:rPr>
                <w:rFonts w:ascii="宋体" w:hAnsi="宋体" w:cs="宋体"/>
                <w:b/>
                <w:bCs/>
                <w:sz w:val="21"/>
                <w:szCs w:val="21"/>
                <w:highlight w:val="none"/>
              </w:rPr>
            </w:pPr>
            <w:r>
              <w:rPr>
                <w:rFonts w:hint="eastAsia" w:ascii="宋体" w:hAnsi="宋体" w:cs="宋体"/>
                <w:b/>
                <w:bCs/>
                <w:sz w:val="21"/>
                <w:szCs w:val="21"/>
                <w:highlight w:val="none"/>
              </w:rPr>
              <w:t>注：根据《关于进一步加大政府采购支持中小企业力度的通知》（财库〔2022〕19号）的要求，本项目对符合规定的小微企业报价给予10%的扣除，用扣除后的价格参加评审。</w:t>
            </w:r>
          </w:p>
          <w:p w14:paraId="53C2EF9B">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1.4中小企业参加政府采购活动，应当出具《中小企业声明函》，否则不得享受相关中小企业扶持政策。</w:t>
            </w:r>
          </w:p>
          <w:p w14:paraId="09B4EE88">
            <w:pPr>
              <w:widowControl w:val="0"/>
              <w:spacing w:line="360" w:lineRule="auto"/>
              <w:ind w:firstLine="25" w:firstLineChars="12"/>
              <w:rPr>
                <w:rFonts w:ascii="宋体" w:hAnsi="宋体" w:cs="宋体"/>
                <w:sz w:val="21"/>
                <w:szCs w:val="21"/>
                <w:highlight w:val="none"/>
              </w:rPr>
            </w:pPr>
            <w:r>
              <w:rPr>
                <w:rFonts w:hint="eastAsia" w:ascii="宋体" w:hAnsi="宋体" w:cs="宋体"/>
                <w:sz w:val="21"/>
                <w:szCs w:val="21"/>
                <w:highlight w:val="none"/>
              </w:rPr>
              <w:t>1.5按规定享受扶持政策获得政府采购合同的，小微企业不得将合同分包给大中型企业，中型企业不得将合同分包给大型企业。</w:t>
            </w:r>
          </w:p>
          <w:p w14:paraId="616B7358">
            <w:pPr>
              <w:pStyle w:val="14"/>
              <w:keepNext/>
              <w:widowControl w:val="0"/>
              <w:spacing w:line="360" w:lineRule="auto"/>
              <w:ind w:firstLine="24" w:firstLineChars="12"/>
              <w:rPr>
                <w:rFonts w:ascii="宋体" w:hAnsi="宋体" w:cs="宋体"/>
                <w:b/>
                <w:bCs/>
                <w:szCs w:val="21"/>
                <w:highlight w:val="none"/>
              </w:rPr>
            </w:pPr>
            <w:r>
              <w:rPr>
                <w:rFonts w:hint="eastAsia" w:ascii="宋体" w:hAnsi="宋体" w:cs="宋体"/>
                <w:b/>
                <w:bCs/>
                <w:szCs w:val="21"/>
                <w:highlight w:val="none"/>
              </w:rPr>
              <w:t>2、关于监狱企业：</w:t>
            </w:r>
          </w:p>
          <w:p w14:paraId="63F621EA">
            <w:pPr>
              <w:pStyle w:val="14"/>
              <w:widowControl w:val="0"/>
              <w:spacing w:line="360" w:lineRule="auto"/>
              <w:ind w:firstLine="24" w:firstLineChars="12"/>
              <w:rPr>
                <w:rFonts w:ascii="宋体" w:hAnsi="宋体" w:cs="宋体"/>
                <w:szCs w:val="21"/>
                <w:highlight w:val="none"/>
              </w:rPr>
            </w:pPr>
            <w:r>
              <w:rPr>
                <w:rFonts w:hint="eastAsia" w:ascii="宋体" w:hAnsi="宋体" w:cs="宋体"/>
                <w:szCs w:val="21"/>
                <w:highlight w:val="none"/>
              </w:rPr>
              <w:t>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EDAE91">
            <w:pPr>
              <w:pStyle w:val="14"/>
              <w:widowControl w:val="0"/>
              <w:spacing w:line="360" w:lineRule="auto"/>
              <w:ind w:firstLine="24" w:firstLineChars="12"/>
              <w:rPr>
                <w:rFonts w:ascii="宋体" w:hAnsi="宋体" w:cs="宋体"/>
                <w:szCs w:val="21"/>
                <w:highlight w:val="none"/>
              </w:rPr>
            </w:pPr>
            <w:r>
              <w:rPr>
                <w:rFonts w:hint="eastAsia" w:ascii="宋体" w:hAnsi="宋体" w:cs="宋体"/>
                <w:szCs w:val="21"/>
                <w:highlight w:val="none"/>
              </w:rPr>
              <w:t>2.2监狱企业参加政府采购活动时，应当提供由省级以上监狱管理局、戒毒管理局（含新疆生产建设兵团）出具的属于监狱企业的证明文件。</w:t>
            </w:r>
          </w:p>
          <w:p w14:paraId="074F0D08">
            <w:pPr>
              <w:pStyle w:val="14"/>
              <w:widowControl w:val="0"/>
              <w:spacing w:line="360" w:lineRule="auto"/>
              <w:ind w:firstLine="24" w:firstLineChars="12"/>
              <w:rPr>
                <w:rFonts w:ascii="宋体" w:hAnsi="宋体" w:cs="宋体"/>
                <w:b/>
                <w:bCs/>
                <w:szCs w:val="21"/>
                <w:highlight w:val="none"/>
              </w:rPr>
            </w:pPr>
            <w:r>
              <w:rPr>
                <w:rFonts w:hint="eastAsia" w:ascii="宋体" w:hAnsi="宋体" w:cs="宋体"/>
                <w:b/>
                <w:bCs/>
                <w:szCs w:val="21"/>
                <w:highlight w:val="none"/>
              </w:rPr>
              <w:t>2.3本项目针对监狱企业给予10%的扣除，用扣除后的价格参与评审。监狱企业属于小型、微型企业的，不重复享受政策。</w:t>
            </w:r>
          </w:p>
          <w:p w14:paraId="507B2D81">
            <w:pPr>
              <w:pStyle w:val="14"/>
              <w:widowControl w:val="0"/>
              <w:spacing w:line="360" w:lineRule="auto"/>
              <w:ind w:firstLine="24" w:firstLineChars="12"/>
              <w:rPr>
                <w:rFonts w:ascii="宋体" w:hAnsi="宋体" w:cs="宋体"/>
                <w:b/>
                <w:bCs/>
                <w:szCs w:val="21"/>
                <w:highlight w:val="none"/>
              </w:rPr>
            </w:pPr>
            <w:r>
              <w:rPr>
                <w:rFonts w:hint="eastAsia" w:ascii="宋体" w:hAnsi="宋体" w:cs="宋体"/>
                <w:b/>
                <w:bCs/>
                <w:szCs w:val="21"/>
                <w:highlight w:val="none"/>
              </w:rPr>
              <w:t>3、关于残疾人福利性单位：</w:t>
            </w:r>
          </w:p>
          <w:p w14:paraId="1B7DCFA6">
            <w:pPr>
              <w:pStyle w:val="14"/>
              <w:widowControl w:val="0"/>
              <w:spacing w:line="360" w:lineRule="auto"/>
              <w:ind w:firstLine="24" w:firstLineChars="12"/>
              <w:rPr>
                <w:rFonts w:ascii="宋体" w:hAnsi="宋体" w:cs="宋体"/>
                <w:szCs w:val="21"/>
                <w:highlight w:val="none"/>
              </w:rPr>
            </w:pPr>
            <w:r>
              <w:rPr>
                <w:rFonts w:hint="eastAsia" w:ascii="宋体" w:hAnsi="宋体" w:cs="宋体"/>
                <w:szCs w:val="21"/>
                <w:highlight w:val="none"/>
              </w:rPr>
              <w:t>3.1根据《关于促进残疾人就业政府采购政策的通知》（财库〔2017〕141号）的规定，享受政府采购支持政策的残疾人福利性单位应当同时满足以下条件：</w:t>
            </w:r>
          </w:p>
          <w:p w14:paraId="5D919CFC">
            <w:pPr>
              <w:pStyle w:val="14"/>
              <w:widowControl w:val="0"/>
              <w:spacing w:line="360" w:lineRule="auto"/>
              <w:ind w:firstLine="24" w:firstLineChars="12"/>
              <w:rPr>
                <w:rFonts w:ascii="宋体" w:hAnsi="宋体" w:cs="宋体"/>
                <w:szCs w:val="21"/>
                <w:highlight w:val="none"/>
              </w:rPr>
            </w:pPr>
            <w:r>
              <w:rPr>
                <w:rFonts w:hint="eastAsia" w:ascii="宋体" w:hAnsi="宋体" w:cs="宋体"/>
                <w:szCs w:val="21"/>
                <w:highlight w:val="none"/>
              </w:rPr>
              <w:t>（一）安置的残疾人占本单位在职职工人数的比例不低于25%（含25%），并且安置的残疾人人数不少于10人（含10人）；</w:t>
            </w:r>
          </w:p>
          <w:p w14:paraId="70B3EEB1">
            <w:pPr>
              <w:pStyle w:val="14"/>
              <w:widowControl w:val="0"/>
              <w:spacing w:line="360" w:lineRule="auto"/>
              <w:ind w:firstLine="24" w:firstLineChars="12"/>
              <w:rPr>
                <w:rFonts w:ascii="宋体" w:hAnsi="宋体" w:cs="宋体"/>
                <w:szCs w:val="21"/>
                <w:highlight w:val="none"/>
              </w:rPr>
            </w:pPr>
            <w:r>
              <w:rPr>
                <w:rFonts w:hint="eastAsia" w:ascii="宋体" w:hAnsi="宋体" w:cs="宋体"/>
                <w:szCs w:val="21"/>
                <w:highlight w:val="none"/>
              </w:rPr>
              <w:t>（二）依法与安置的每位残疾人签订了一年以上（含一年）的劳动合同或服务协议；</w:t>
            </w:r>
          </w:p>
          <w:p w14:paraId="6A1AD11A">
            <w:pPr>
              <w:pStyle w:val="14"/>
              <w:widowControl w:val="0"/>
              <w:spacing w:line="360" w:lineRule="auto"/>
              <w:ind w:firstLine="24" w:firstLineChars="12"/>
              <w:rPr>
                <w:rFonts w:ascii="宋体" w:hAnsi="宋体" w:cs="宋体"/>
                <w:szCs w:val="21"/>
                <w:highlight w:val="none"/>
              </w:rPr>
            </w:pPr>
            <w:r>
              <w:rPr>
                <w:rFonts w:hint="eastAsia" w:ascii="宋体" w:hAnsi="宋体" w:cs="宋体"/>
                <w:szCs w:val="21"/>
                <w:highlight w:val="none"/>
              </w:rPr>
              <w:t>（三）为安置的每位残疾人按月足额缴纳了基本养老保险、基本医疗保险、失业保险、工伤保险和生育保险等社会保险费；</w:t>
            </w:r>
          </w:p>
          <w:p w14:paraId="3314EA82">
            <w:pPr>
              <w:pStyle w:val="14"/>
              <w:widowControl w:val="0"/>
              <w:spacing w:line="360" w:lineRule="auto"/>
              <w:ind w:firstLine="24" w:firstLineChars="12"/>
              <w:rPr>
                <w:rFonts w:ascii="宋体" w:hAnsi="宋体" w:cs="宋体"/>
                <w:szCs w:val="21"/>
                <w:highlight w:val="none"/>
              </w:rPr>
            </w:pPr>
            <w:r>
              <w:rPr>
                <w:rFonts w:hint="eastAsia" w:ascii="宋体" w:hAnsi="宋体" w:cs="宋体"/>
                <w:szCs w:val="21"/>
                <w:highlight w:val="none"/>
              </w:rPr>
              <w:t>（四）通过银行等金融机构向安置的每位残疾人，按月支付了不低于单位所在区县适用的经省级人民政府批准的月最低工资标准的工资；</w:t>
            </w:r>
          </w:p>
          <w:p w14:paraId="7B7CE8FD">
            <w:pPr>
              <w:pStyle w:val="14"/>
              <w:widowControl w:val="0"/>
              <w:spacing w:line="360" w:lineRule="auto"/>
              <w:ind w:firstLine="24" w:firstLineChars="12"/>
              <w:rPr>
                <w:rFonts w:ascii="宋体" w:hAnsi="宋体" w:cs="宋体"/>
                <w:szCs w:val="21"/>
                <w:highlight w:val="none"/>
              </w:rPr>
            </w:pPr>
            <w:r>
              <w:rPr>
                <w:rFonts w:hint="eastAsia" w:ascii="宋体" w:hAnsi="宋体" w:cs="宋体"/>
                <w:szCs w:val="21"/>
                <w:highlight w:val="none"/>
              </w:rPr>
              <w:t>（五）提供本单位制造的货物、承担的工程或者服务（以下简称产品），或者提供其他残疾人福利性单位制造的货物（不包括使用非残疾人福利性单位注册商标的货物）。</w:t>
            </w:r>
          </w:p>
          <w:p w14:paraId="16E69B2F">
            <w:pPr>
              <w:pStyle w:val="14"/>
              <w:widowControl w:val="0"/>
              <w:spacing w:line="348" w:lineRule="auto"/>
              <w:ind w:firstLine="24" w:firstLineChars="12"/>
              <w:rPr>
                <w:rFonts w:ascii="宋体" w:hAnsi="宋体" w:cs="宋体"/>
                <w:szCs w:val="21"/>
                <w:highlight w:val="none"/>
              </w:rPr>
            </w:pPr>
            <w:r>
              <w:rPr>
                <w:rFonts w:hint="eastAsia" w:ascii="宋体" w:hAnsi="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F785997">
            <w:pPr>
              <w:pStyle w:val="14"/>
              <w:widowControl w:val="0"/>
              <w:spacing w:line="348" w:lineRule="auto"/>
              <w:ind w:firstLine="24" w:firstLineChars="12"/>
              <w:rPr>
                <w:rFonts w:ascii="宋体" w:hAnsi="宋体" w:cs="宋体"/>
                <w:szCs w:val="21"/>
                <w:highlight w:val="none"/>
              </w:rPr>
            </w:pPr>
            <w:r>
              <w:rPr>
                <w:rFonts w:hint="eastAsia" w:ascii="宋体" w:hAnsi="宋体" w:cs="宋体"/>
                <w:szCs w:val="21"/>
                <w:highlight w:val="none"/>
              </w:rPr>
              <w:t>3.2符合条件的残疾人福利性单位在参加政府采购活动时，应当按《关于促进残疾人就业政府采购政策的通知》（财库〔2017〕141号）提供规定的《残疾人福利性单位声明函》，并对声明的真实性负责。</w:t>
            </w:r>
          </w:p>
          <w:p w14:paraId="3F648C84">
            <w:pPr>
              <w:pStyle w:val="14"/>
              <w:widowControl w:val="0"/>
              <w:spacing w:line="360" w:lineRule="auto"/>
              <w:ind w:firstLine="24" w:firstLineChars="12"/>
              <w:rPr>
                <w:rFonts w:ascii="宋体" w:hAnsi="宋体" w:cs="宋体"/>
                <w:b/>
                <w:bCs/>
                <w:szCs w:val="21"/>
                <w:highlight w:val="none"/>
              </w:rPr>
            </w:pPr>
            <w:r>
              <w:rPr>
                <w:rFonts w:hint="eastAsia" w:ascii="宋体" w:hAnsi="宋体" w:cs="宋体"/>
                <w:b/>
                <w:bCs/>
                <w:szCs w:val="21"/>
                <w:highlight w:val="none"/>
              </w:rPr>
              <w:t>3.3本项目针对残疾人福利性单位给予10%的扣除，用扣除后的价格参与评审。残疾人福利性单位属于小型、微型企业的，不重复享受政策。</w:t>
            </w:r>
          </w:p>
          <w:p w14:paraId="060C5F43">
            <w:pPr>
              <w:pStyle w:val="14"/>
              <w:widowControl w:val="0"/>
              <w:spacing w:line="360" w:lineRule="auto"/>
              <w:ind w:firstLine="24" w:firstLineChars="12"/>
              <w:rPr>
                <w:rFonts w:ascii="宋体" w:hAnsi="宋体" w:cs="宋体"/>
                <w:szCs w:val="21"/>
                <w:highlight w:val="none"/>
              </w:rPr>
            </w:pPr>
            <w:r>
              <w:rPr>
                <w:rFonts w:hint="eastAsia" w:ascii="宋体" w:hAnsi="宋体" w:cs="宋体"/>
                <w:szCs w:val="21"/>
                <w:highlight w:val="none"/>
              </w:rPr>
              <w:t>4、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同质同价优先就近采购本地或本省产品、服务。</w:t>
            </w:r>
          </w:p>
        </w:tc>
      </w:tr>
      <w:tr w14:paraId="12419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2DF62330">
            <w:pPr>
              <w:spacing w:line="276" w:lineRule="auto"/>
              <w:jc w:val="center"/>
              <w:rPr>
                <w:rFonts w:ascii="宋体" w:hAnsi="宋体" w:cs="宋体"/>
                <w:sz w:val="21"/>
                <w:szCs w:val="21"/>
                <w:highlight w:val="none"/>
              </w:rPr>
            </w:pPr>
            <w:r>
              <w:rPr>
                <w:rFonts w:hint="eastAsia" w:ascii="宋体" w:hAnsi="宋体" w:cs="宋体"/>
                <w:sz w:val="21"/>
                <w:szCs w:val="21"/>
                <w:highlight w:val="none"/>
              </w:rPr>
              <w:t>10.2</w:t>
            </w:r>
          </w:p>
        </w:tc>
        <w:tc>
          <w:tcPr>
            <w:tcW w:w="1698" w:type="dxa"/>
            <w:shd w:val="clear" w:color="auto" w:fill="auto"/>
            <w:vAlign w:val="center"/>
          </w:tcPr>
          <w:p w14:paraId="52E999DC">
            <w:pPr>
              <w:spacing w:line="276" w:lineRule="auto"/>
              <w:jc w:val="center"/>
              <w:rPr>
                <w:rFonts w:ascii="宋体" w:hAnsi="宋体" w:cs="宋体"/>
                <w:sz w:val="21"/>
                <w:szCs w:val="21"/>
                <w:highlight w:val="none"/>
              </w:rPr>
            </w:pPr>
            <w:r>
              <w:rPr>
                <w:rFonts w:hint="eastAsia" w:ascii="宋体" w:hAnsi="宋体" w:cs="宋体"/>
                <w:sz w:val="21"/>
                <w:szCs w:val="21"/>
                <w:highlight w:val="none"/>
              </w:rPr>
              <w:t>采购人补充的其他内容</w:t>
            </w:r>
          </w:p>
        </w:tc>
        <w:tc>
          <w:tcPr>
            <w:tcW w:w="7036" w:type="dxa"/>
            <w:shd w:val="clear" w:color="auto" w:fill="auto"/>
            <w:vAlign w:val="center"/>
          </w:tcPr>
          <w:p w14:paraId="3825CC93">
            <w:pPr>
              <w:widowControl w:val="0"/>
              <w:spacing w:before="72" w:beforeLines="30" w:line="360" w:lineRule="auto"/>
              <w:rPr>
                <w:rFonts w:ascii="宋体" w:hAnsi="宋体" w:cs="宋体"/>
                <w:sz w:val="21"/>
                <w:szCs w:val="21"/>
                <w:highlight w:val="none"/>
              </w:rPr>
            </w:pPr>
            <w:r>
              <w:rPr>
                <w:rFonts w:hint="eastAsia" w:ascii="宋体" w:hAnsi="宋体" w:cs="宋体"/>
                <w:sz w:val="21"/>
                <w:szCs w:val="21"/>
                <w:highlight w:val="none"/>
              </w:rPr>
              <w:t>一、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及其他不符合《中华人民共和国政府采购法》第二十二条规定条件的投标人，拒绝其参与政府采购活动。</w:t>
            </w:r>
          </w:p>
          <w:p w14:paraId="7BD15B25">
            <w:pPr>
              <w:widowControl w:val="0"/>
              <w:spacing w:line="360" w:lineRule="auto"/>
              <w:rPr>
                <w:rFonts w:ascii="宋体" w:hAnsi="宋体" w:cs="宋体"/>
                <w:sz w:val="21"/>
                <w:szCs w:val="21"/>
                <w:highlight w:val="none"/>
              </w:rPr>
            </w:pPr>
            <w:r>
              <w:rPr>
                <w:rFonts w:hint="eastAsia" w:ascii="宋体" w:hAnsi="宋体" w:cs="宋体"/>
                <w:sz w:val="21"/>
                <w:szCs w:val="21"/>
                <w:highlight w:val="none"/>
              </w:rPr>
              <w:t>二、投标人应对所提交的业绩资料、信誉、证书、证件、证明的真实性负责，采购人将对中标候选人资料的真实性进行核实，一旦发现提供虚假材料的，采购人除取消其中标资格、没收投标保证金外，并向相关部门报告其不良行为。投标人将自行承担相关后果及法律责任。</w:t>
            </w:r>
          </w:p>
          <w:p w14:paraId="6D7C535D">
            <w:pPr>
              <w:widowControl w:val="0"/>
              <w:spacing w:line="360" w:lineRule="auto"/>
              <w:rPr>
                <w:rFonts w:ascii="宋体" w:hAnsi="宋体" w:cs="宋体"/>
                <w:sz w:val="21"/>
                <w:szCs w:val="21"/>
                <w:highlight w:val="none"/>
              </w:rPr>
            </w:pPr>
            <w:r>
              <w:rPr>
                <w:rFonts w:hint="eastAsia" w:ascii="宋体" w:hAnsi="宋体" w:cs="宋体"/>
                <w:sz w:val="21"/>
                <w:szCs w:val="21"/>
                <w:highlight w:val="none"/>
              </w:rPr>
              <w:t>三、投标人应对所提交的业绩资料、信誉、证书、证件、证明的真实性负责，采购人将对中标候选人资料的真实性进行核实，一旦发现提供虚假材料的，采购人除取消其中标资格、没收投标保证金外，并向相关部门报告其不良行为。投标人将自行承担相关后果及法律责任。</w:t>
            </w:r>
          </w:p>
          <w:p w14:paraId="741ECA9B">
            <w:pPr>
              <w:widowControl w:val="0"/>
              <w:spacing w:line="360" w:lineRule="auto"/>
              <w:rPr>
                <w:rFonts w:ascii="宋体" w:hAnsi="宋体" w:cs="宋体"/>
                <w:sz w:val="21"/>
                <w:szCs w:val="21"/>
                <w:highlight w:val="none"/>
              </w:rPr>
            </w:pPr>
            <w:r>
              <w:rPr>
                <w:rFonts w:hint="eastAsia" w:ascii="宋体" w:hAnsi="宋体" w:cs="宋体"/>
                <w:sz w:val="21"/>
                <w:szCs w:val="21"/>
                <w:highlight w:val="none"/>
              </w:rPr>
              <w:t>投标人需承担以下费用：</w:t>
            </w:r>
          </w:p>
          <w:p w14:paraId="058064FC">
            <w:pPr>
              <w:widowControl w:val="0"/>
              <w:numPr>
                <w:ilvl w:val="0"/>
                <w:numId w:val="3"/>
              </w:numPr>
              <w:spacing w:line="360" w:lineRule="auto"/>
              <w:rPr>
                <w:rFonts w:ascii="宋体" w:hAnsi="宋体" w:cs="宋体"/>
                <w:sz w:val="21"/>
                <w:szCs w:val="21"/>
                <w:highlight w:val="none"/>
              </w:rPr>
            </w:pPr>
            <w:r>
              <w:rPr>
                <w:rFonts w:hint="eastAsia" w:ascii="宋体" w:hAnsi="宋体" w:cs="宋体"/>
                <w:sz w:val="21"/>
                <w:szCs w:val="21"/>
                <w:highlight w:val="none"/>
              </w:rPr>
              <w:t>招标代理服务费：招标代理服务费按国家计委关于《招标代理服务收费管理暂行办法》（计价格[2002]1980号文）的规定,以中标总金额为计算基数按“服务招标”收取招标代理服务费；招标代理服务费在发放中标通知书前由中标单位一次性缴清给本项目的采购代理机构。招标代理服务费按差额定率累进法计算。</w:t>
            </w:r>
          </w:p>
        </w:tc>
      </w:tr>
    </w:tbl>
    <w:p w14:paraId="39B82AED">
      <w:pPr>
        <w:rPr>
          <w:rFonts w:ascii="宋体" w:hAnsi="宋体" w:cs="宋体"/>
          <w:kern w:val="2"/>
          <w:sz w:val="28"/>
          <w:szCs w:val="28"/>
          <w:highlight w:val="none"/>
        </w:rPr>
      </w:pPr>
      <w:bookmarkStart w:id="70" w:name="_Toc260907970"/>
      <w:bookmarkStart w:id="71" w:name="_Toc19820083"/>
      <w:bookmarkStart w:id="72" w:name="_Toc270090082"/>
      <w:bookmarkStart w:id="73" w:name="_Toc4847"/>
      <w:bookmarkStart w:id="74" w:name="_Toc2277"/>
      <w:bookmarkStart w:id="75" w:name="_Toc260908186"/>
      <w:r>
        <w:rPr>
          <w:rFonts w:hint="eastAsia" w:ascii="宋体" w:hAnsi="宋体" w:cs="宋体"/>
          <w:kern w:val="2"/>
          <w:sz w:val="28"/>
          <w:szCs w:val="28"/>
          <w:highlight w:val="none"/>
        </w:rPr>
        <w:br w:type="page"/>
      </w:r>
    </w:p>
    <w:p w14:paraId="19D1257D">
      <w:pPr>
        <w:pStyle w:val="4"/>
        <w:rPr>
          <w:highlight w:val="none"/>
        </w:rPr>
      </w:pPr>
      <w:bookmarkStart w:id="76" w:name="_Toc16576"/>
      <w:r>
        <w:rPr>
          <w:rFonts w:hint="eastAsia"/>
          <w:highlight w:val="none"/>
        </w:rPr>
        <w:t>二、投标人须知</w:t>
      </w:r>
      <w:bookmarkEnd w:id="70"/>
      <w:bookmarkEnd w:id="71"/>
      <w:bookmarkEnd w:id="72"/>
      <w:bookmarkEnd w:id="73"/>
      <w:bookmarkEnd w:id="74"/>
      <w:bookmarkEnd w:id="75"/>
      <w:bookmarkEnd w:id="76"/>
    </w:p>
    <w:p w14:paraId="7F244BF3">
      <w:pPr>
        <w:pStyle w:val="4"/>
        <w:rPr>
          <w:highlight w:val="none"/>
          <w:lang w:val="zh-CN"/>
        </w:rPr>
      </w:pPr>
      <w:bookmarkStart w:id="77" w:name="_Toc260908187"/>
      <w:bookmarkStart w:id="78" w:name="_Toc260907971"/>
      <w:bookmarkStart w:id="79" w:name="_Toc13412"/>
      <w:bookmarkStart w:id="80" w:name="_Toc25393"/>
      <w:r>
        <w:rPr>
          <w:rFonts w:hint="eastAsia"/>
          <w:highlight w:val="none"/>
          <w:lang w:val="zh-CN"/>
        </w:rPr>
        <w:t>（一）总  则</w:t>
      </w:r>
      <w:bookmarkEnd w:id="77"/>
      <w:bookmarkEnd w:id="78"/>
      <w:bookmarkEnd w:id="79"/>
      <w:bookmarkEnd w:id="80"/>
    </w:p>
    <w:p w14:paraId="590C3C26">
      <w:pPr>
        <w:pStyle w:val="215"/>
        <w:keepLines w:val="0"/>
        <w:widowControl/>
        <w:spacing w:line="360" w:lineRule="auto"/>
        <w:outlineLvl w:val="3"/>
        <w:rPr>
          <w:rFonts w:ascii="宋体" w:hAnsi="宋体" w:eastAsia="宋体"/>
          <w:b/>
          <w:bCs/>
          <w:highlight w:val="none"/>
          <w:lang w:val="zh-CN"/>
        </w:rPr>
      </w:pPr>
      <w:bookmarkStart w:id="81" w:name="_Toc6913"/>
      <w:r>
        <w:rPr>
          <w:rFonts w:hint="eastAsia" w:ascii="宋体" w:hAnsi="宋体" w:eastAsia="宋体"/>
          <w:b/>
          <w:bCs/>
          <w:highlight w:val="none"/>
          <w:lang w:val="zh-CN"/>
        </w:rPr>
        <w:t>1.1 项目概况</w:t>
      </w:r>
      <w:bookmarkEnd w:id="81"/>
    </w:p>
    <w:p w14:paraId="180E11DE">
      <w:pPr>
        <w:keepNext/>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1.1.1根据《中华人民共和国政府采购法》、《中华人民共和国政府采购法实施条例》、《政府采购货物和服务招标投标管理办法》（财政部令87号）等有关法律法规的规定，本招标项目已具备采购条件，现对本项目进行公开招标。</w:t>
      </w:r>
    </w:p>
    <w:p w14:paraId="14BE350D">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1.1.2本项目采购人：见投标人须知前附表。</w:t>
      </w:r>
    </w:p>
    <w:p w14:paraId="184ADBF9">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1.1.3本项目采购代理机构：见投标人须知前附表。</w:t>
      </w:r>
    </w:p>
    <w:p w14:paraId="68B45963">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1.1.4本项目项目名称及招标编号：见投标人须知前附表。</w:t>
      </w:r>
    </w:p>
    <w:p w14:paraId="49F1BC9E">
      <w:pPr>
        <w:pStyle w:val="215"/>
        <w:keepLines w:val="0"/>
        <w:widowControl/>
        <w:spacing w:line="360" w:lineRule="auto"/>
        <w:outlineLvl w:val="3"/>
        <w:rPr>
          <w:rFonts w:ascii="宋体" w:hAnsi="宋体" w:eastAsia="宋体"/>
          <w:b/>
          <w:bCs/>
          <w:highlight w:val="none"/>
          <w:lang w:val="zh-CN"/>
        </w:rPr>
      </w:pPr>
      <w:bookmarkStart w:id="82" w:name="_Toc10452"/>
      <w:r>
        <w:rPr>
          <w:rFonts w:hint="eastAsia" w:ascii="宋体" w:hAnsi="宋体" w:eastAsia="宋体"/>
          <w:b/>
          <w:bCs/>
          <w:highlight w:val="none"/>
          <w:lang w:val="zh-CN"/>
        </w:rPr>
        <w:t>1.2 资金来源、最高限价和资金落实情况</w:t>
      </w:r>
      <w:bookmarkEnd w:id="82"/>
    </w:p>
    <w:p w14:paraId="7C5BD0DE">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1.2.1本项目的资金来源：见投标人须知前附表。</w:t>
      </w:r>
    </w:p>
    <w:p w14:paraId="36CFB204">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1.2.2本项目的最高限价：见投标人须知前附表。</w:t>
      </w:r>
    </w:p>
    <w:p w14:paraId="2C9C8502">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1.2.3本项目的资金落实情况：见投标人须知前附表。</w:t>
      </w:r>
    </w:p>
    <w:p w14:paraId="35B10C59">
      <w:pPr>
        <w:pStyle w:val="215"/>
        <w:keepLines w:val="0"/>
        <w:widowControl/>
        <w:spacing w:line="360" w:lineRule="auto"/>
        <w:outlineLvl w:val="3"/>
        <w:rPr>
          <w:rFonts w:ascii="宋体" w:hAnsi="宋体" w:eastAsia="宋体"/>
          <w:b/>
          <w:bCs/>
          <w:highlight w:val="none"/>
          <w:lang w:val="zh-CN"/>
        </w:rPr>
      </w:pPr>
      <w:bookmarkStart w:id="83" w:name="_Toc26504"/>
      <w:r>
        <w:rPr>
          <w:rFonts w:hint="eastAsia" w:ascii="宋体" w:hAnsi="宋体" w:eastAsia="宋体"/>
          <w:b/>
          <w:bCs/>
          <w:highlight w:val="none"/>
          <w:lang w:val="zh-CN"/>
        </w:rPr>
        <w:t>1.3 采购需求、合同履行期限、服务地点、质量标准及标段划分</w:t>
      </w:r>
      <w:bookmarkEnd w:id="83"/>
    </w:p>
    <w:p w14:paraId="081A5391">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1.3.1本项目的采购需求：见投标人须知前附表。</w:t>
      </w:r>
    </w:p>
    <w:p w14:paraId="403996D6">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1.3.2本项目的合同履行期限：见投标人须知前附表。</w:t>
      </w:r>
    </w:p>
    <w:p w14:paraId="12E72572">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1.3.3本项目的服务地点：见投标人须知前附表。</w:t>
      </w:r>
    </w:p>
    <w:p w14:paraId="068B11D2">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1.3.4本项目的质量标准：见投标人须知前附表。</w:t>
      </w:r>
    </w:p>
    <w:p w14:paraId="02CA113F">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1.3.5本项目的标段划分：见投标人须知前附表。</w:t>
      </w:r>
    </w:p>
    <w:p w14:paraId="59B2C370">
      <w:pPr>
        <w:pStyle w:val="215"/>
        <w:keepLines w:val="0"/>
        <w:widowControl/>
        <w:spacing w:line="360" w:lineRule="auto"/>
        <w:outlineLvl w:val="3"/>
        <w:rPr>
          <w:rFonts w:ascii="宋体" w:hAnsi="宋体" w:eastAsia="宋体"/>
          <w:b/>
          <w:bCs/>
          <w:highlight w:val="none"/>
          <w:lang w:val="zh-CN"/>
        </w:rPr>
      </w:pPr>
      <w:bookmarkStart w:id="84" w:name="_Toc6934"/>
      <w:r>
        <w:rPr>
          <w:rFonts w:hint="eastAsia" w:ascii="宋体" w:hAnsi="宋体" w:eastAsia="宋体"/>
          <w:b/>
          <w:bCs/>
          <w:highlight w:val="none"/>
          <w:lang w:val="zh-CN"/>
        </w:rPr>
        <w:t>1.4 投标人资格要求</w:t>
      </w:r>
      <w:bookmarkEnd w:id="84"/>
    </w:p>
    <w:p w14:paraId="1AAE700A">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1.4.1投标人资格要求：见投标人须知前附表。</w:t>
      </w:r>
    </w:p>
    <w:p w14:paraId="70268565">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1.4.2本项目是否接受联合体投标：见投标人须知前附表。</w:t>
      </w:r>
    </w:p>
    <w:p w14:paraId="47B2D7B4">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1.4.3投标人存在下列情况之一的，投标无效：</w:t>
      </w:r>
    </w:p>
    <w:p w14:paraId="56740AE0">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（1）未按照招标文件的规定提交投标保证金的；</w:t>
      </w:r>
    </w:p>
    <w:p w14:paraId="450390E8">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（2）投标文件未按招标文件要求签署、盖章（或签章）的；</w:t>
      </w:r>
    </w:p>
    <w:p w14:paraId="1F8BCF0B">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（3）不具备招标文件中规定的资格要求的；</w:t>
      </w:r>
    </w:p>
    <w:p w14:paraId="5E3850D6">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（4）报价超过招标文件中规定的预算金额或者最高限价的；</w:t>
      </w:r>
    </w:p>
    <w:p w14:paraId="57B9E340">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（5）投标文件含有采购人不能接受的附加条件的；</w:t>
      </w:r>
    </w:p>
    <w:p w14:paraId="15A54F03">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（6）法律、法规和招标文件规定的其他无效情形。</w:t>
      </w:r>
    </w:p>
    <w:p w14:paraId="38CD0798">
      <w:pPr>
        <w:keepNext/>
        <w:wordWrap w:val="0"/>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1.4.4有下列情形之一的，视为投标人串通投标，其投标无效：</w:t>
      </w:r>
    </w:p>
    <w:p w14:paraId="16941E74">
      <w:pPr>
        <w:keepNext/>
        <w:keepLines/>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（1）不同投标人的投标文件由同一单位或者个人编制；</w:t>
      </w:r>
    </w:p>
    <w:p w14:paraId="517AB3B2">
      <w:pPr>
        <w:keepNext/>
        <w:keepLines/>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（2）不同投标人委托同一单位或者个人办理投标事宜；</w:t>
      </w:r>
    </w:p>
    <w:p w14:paraId="2A168C55">
      <w:pPr>
        <w:keepNext/>
        <w:keepLines/>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（3）不同投标人的投标文件载明的项目管理成员或者联系人员为同一人；</w:t>
      </w:r>
    </w:p>
    <w:p w14:paraId="14B1686B">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（4）不同投标人的投标文件异常一致或者投标报价呈规律性差异；</w:t>
      </w:r>
    </w:p>
    <w:p w14:paraId="286F60E5">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（5）不同投标人的投标文件相互混装；</w:t>
      </w:r>
    </w:p>
    <w:p w14:paraId="60C5C763">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（6）不同投标人的投标保证金从同一单位或者个人的账户转出。</w:t>
      </w:r>
    </w:p>
    <w:p w14:paraId="71085A13">
      <w:pPr>
        <w:pStyle w:val="215"/>
        <w:keepLines w:val="0"/>
        <w:widowControl/>
        <w:spacing w:line="360" w:lineRule="auto"/>
        <w:outlineLvl w:val="3"/>
        <w:rPr>
          <w:rFonts w:ascii="宋体" w:hAnsi="宋体" w:eastAsia="宋体"/>
          <w:b/>
          <w:bCs/>
          <w:highlight w:val="none"/>
          <w:lang w:val="zh-CN"/>
        </w:rPr>
      </w:pPr>
      <w:bookmarkStart w:id="85" w:name="_Toc30939"/>
      <w:bookmarkStart w:id="86" w:name="_Hlk14882148"/>
      <w:r>
        <w:rPr>
          <w:rFonts w:hint="eastAsia" w:ascii="宋体" w:hAnsi="宋体" w:eastAsia="宋体"/>
          <w:b/>
          <w:bCs/>
          <w:highlight w:val="none"/>
          <w:lang w:val="zh-CN"/>
        </w:rPr>
        <w:t>1.5 费用承担</w:t>
      </w:r>
      <w:bookmarkEnd w:id="85"/>
    </w:p>
    <w:p w14:paraId="11621096">
      <w:pPr>
        <w:wordWrap w:val="0"/>
        <w:spacing w:line="360" w:lineRule="auto"/>
        <w:ind w:firstLine="420" w:firstLineChars="200"/>
        <w:outlineLvl w:val="4"/>
        <w:rPr>
          <w:rFonts w:ascii="宋体" w:hAnsi="宋体" w:cs="宋体"/>
          <w:sz w:val="21"/>
          <w:szCs w:val="21"/>
          <w:highlight w:val="none"/>
        </w:rPr>
      </w:pPr>
      <w:bookmarkStart w:id="87" w:name="_Hlk14881168"/>
      <w:bookmarkStart w:id="88" w:name="_Hlk14887853"/>
      <w:r>
        <w:rPr>
          <w:rFonts w:hint="eastAsia" w:ascii="宋体" w:hAnsi="宋体" w:cs="宋体"/>
          <w:sz w:val="21"/>
          <w:szCs w:val="21"/>
          <w:highlight w:val="none"/>
        </w:rPr>
        <w:t>1.5.1投标人准备和参加投标活动发生的费用自理。</w:t>
      </w:r>
    </w:p>
    <w:p w14:paraId="78908552">
      <w:pPr>
        <w:spacing w:before="72" w:beforeLines="30"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1.5.2招标代理服务费按国家计委关于《招标代理服务收费管理暂行办法》（计价格【2002】1980号文）的规定,以中标总金额为计算基数按“服务招标”收取招标代理服务费；招标代理服务费在发放中标通知书前由中标单位一次性缴清给本项目的采购代理机构。</w:t>
      </w:r>
    </w:p>
    <w:bookmarkEnd w:id="86"/>
    <w:bookmarkEnd w:id="87"/>
    <w:bookmarkEnd w:id="88"/>
    <w:p w14:paraId="204F72E1">
      <w:pPr>
        <w:pStyle w:val="215"/>
        <w:keepLines w:val="0"/>
        <w:widowControl/>
        <w:spacing w:line="360" w:lineRule="auto"/>
        <w:outlineLvl w:val="3"/>
        <w:rPr>
          <w:rFonts w:ascii="宋体" w:hAnsi="宋体" w:eastAsia="宋体"/>
          <w:b/>
          <w:bCs/>
          <w:highlight w:val="none"/>
          <w:lang w:val="zh-CN"/>
        </w:rPr>
      </w:pPr>
      <w:bookmarkStart w:id="89" w:name="_Toc24561"/>
      <w:r>
        <w:rPr>
          <w:rFonts w:hint="eastAsia" w:ascii="宋体" w:hAnsi="宋体" w:eastAsia="宋体"/>
          <w:b/>
          <w:bCs/>
          <w:highlight w:val="none"/>
          <w:lang w:val="zh-CN"/>
        </w:rPr>
        <w:t>1.6 保密</w:t>
      </w:r>
      <w:bookmarkEnd w:id="89"/>
    </w:p>
    <w:p w14:paraId="690D0B02">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参与招标投标活动的各方应对招标文件和投标文件中的商业和技术等秘密保密，违者应对由此造成的后果承担法律责任。</w:t>
      </w:r>
    </w:p>
    <w:p w14:paraId="5E21734A">
      <w:pPr>
        <w:pStyle w:val="215"/>
        <w:keepLines w:val="0"/>
        <w:widowControl/>
        <w:spacing w:line="360" w:lineRule="auto"/>
        <w:outlineLvl w:val="3"/>
        <w:rPr>
          <w:rFonts w:ascii="宋体" w:hAnsi="宋体" w:eastAsia="宋体"/>
          <w:b/>
          <w:bCs/>
          <w:highlight w:val="none"/>
          <w:lang w:val="zh-CN"/>
        </w:rPr>
      </w:pPr>
      <w:bookmarkStart w:id="90" w:name="_Toc11377"/>
      <w:r>
        <w:rPr>
          <w:rFonts w:hint="eastAsia" w:ascii="宋体" w:hAnsi="宋体" w:eastAsia="宋体"/>
          <w:b/>
          <w:bCs/>
          <w:highlight w:val="none"/>
          <w:lang w:val="zh-CN"/>
        </w:rPr>
        <w:t>1.7 语言文字</w:t>
      </w:r>
      <w:bookmarkEnd w:id="90"/>
    </w:p>
    <w:p w14:paraId="2D72F59E">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除专用术语外，与招标投标有关的语言均使用中文。必要时专用术语应附中文注释。</w:t>
      </w:r>
    </w:p>
    <w:p w14:paraId="11C123AB">
      <w:pPr>
        <w:pStyle w:val="215"/>
        <w:keepLines w:val="0"/>
        <w:widowControl/>
        <w:spacing w:line="360" w:lineRule="auto"/>
        <w:outlineLvl w:val="3"/>
        <w:rPr>
          <w:rFonts w:ascii="宋体" w:hAnsi="宋体" w:eastAsia="宋体"/>
          <w:b/>
          <w:bCs/>
          <w:highlight w:val="none"/>
          <w:lang w:val="zh-CN"/>
        </w:rPr>
      </w:pPr>
      <w:bookmarkStart w:id="91" w:name="_Toc30933"/>
      <w:r>
        <w:rPr>
          <w:rFonts w:hint="eastAsia" w:ascii="宋体" w:hAnsi="宋体" w:eastAsia="宋体"/>
          <w:b/>
          <w:bCs/>
          <w:highlight w:val="none"/>
          <w:lang w:val="zh-CN"/>
        </w:rPr>
        <w:t>1.8 计量单位</w:t>
      </w:r>
      <w:bookmarkEnd w:id="91"/>
    </w:p>
    <w:p w14:paraId="5D572C74">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所有计量均采用中华人民共和国法定计量单位。</w:t>
      </w:r>
    </w:p>
    <w:p w14:paraId="46F7CF78">
      <w:pPr>
        <w:pStyle w:val="215"/>
        <w:keepLines w:val="0"/>
        <w:widowControl/>
        <w:spacing w:line="360" w:lineRule="auto"/>
        <w:outlineLvl w:val="3"/>
        <w:rPr>
          <w:rFonts w:ascii="宋体" w:hAnsi="宋体" w:eastAsia="宋体"/>
          <w:b/>
          <w:bCs/>
          <w:highlight w:val="none"/>
          <w:lang w:val="zh-CN"/>
        </w:rPr>
      </w:pPr>
      <w:bookmarkStart w:id="92" w:name="_Toc6254"/>
      <w:r>
        <w:rPr>
          <w:rFonts w:hint="eastAsia" w:ascii="宋体" w:hAnsi="宋体" w:eastAsia="宋体"/>
          <w:b/>
          <w:bCs/>
          <w:highlight w:val="none"/>
          <w:lang w:val="zh-CN"/>
        </w:rPr>
        <w:t>1.9 踏勘现场</w:t>
      </w:r>
      <w:bookmarkEnd w:id="92"/>
    </w:p>
    <w:p w14:paraId="18027B0F">
      <w:pPr>
        <w:keepNext/>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1.9.1采购人不组织踏勘现场，投标人需要了解现场情况的，由投标人根据自身情况自行踏勘项目现场。自行组织对项目现场及周围环境进行踏勘，以便投标人获取有关编制投标文件和签署合同所涉及现场的资料。</w:t>
      </w:r>
    </w:p>
    <w:p w14:paraId="74D40EBB">
      <w:pPr>
        <w:keepNext/>
        <w:wordWrap w:val="0"/>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1.9.2投标人踏勘现场发生的费用自理。</w:t>
      </w:r>
    </w:p>
    <w:p w14:paraId="15045CE6">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1.9.3投标人自行负责在踏勘现场中所发生的人员伤亡和财产损失。</w:t>
      </w:r>
    </w:p>
    <w:p w14:paraId="7D86D243">
      <w:pPr>
        <w:pStyle w:val="215"/>
        <w:keepLines w:val="0"/>
        <w:widowControl/>
        <w:spacing w:line="360" w:lineRule="auto"/>
        <w:outlineLvl w:val="3"/>
        <w:rPr>
          <w:rFonts w:ascii="宋体" w:hAnsi="宋体" w:eastAsia="宋体"/>
          <w:b/>
          <w:bCs/>
          <w:highlight w:val="none"/>
          <w:lang w:val="zh-CN"/>
        </w:rPr>
      </w:pPr>
      <w:bookmarkStart w:id="93" w:name="_Toc7173"/>
      <w:r>
        <w:rPr>
          <w:rFonts w:hint="eastAsia" w:ascii="宋体" w:hAnsi="宋体" w:eastAsia="宋体"/>
          <w:b/>
          <w:bCs/>
          <w:highlight w:val="none"/>
          <w:lang w:val="zh-CN"/>
        </w:rPr>
        <w:t>1.10 开标前答疑会</w:t>
      </w:r>
      <w:bookmarkEnd w:id="93"/>
    </w:p>
    <w:p w14:paraId="359BEE73">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见投标人须知前附表。</w:t>
      </w:r>
    </w:p>
    <w:p w14:paraId="6588F4C8">
      <w:pPr>
        <w:pStyle w:val="215"/>
        <w:keepLines w:val="0"/>
        <w:widowControl/>
        <w:spacing w:line="360" w:lineRule="auto"/>
        <w:outlineLvl w:val="3"/>
        <w:rPr>
          <w:rFonts w:ascii="宋体" w:hAnsi="宋体" w:eastAsia="宋体"/>
          <w:b/>
          <w:bCs/>
          <w:highlight w:val="none"/>
          <w:lang w:val="zh-CN"/>
        </w:rPr>
      </w:pPr>
      <w:bookmarkStart w:id="94" w:name="_Toc22537"/>
      <w:r>
        <w:rPr>
          <w:rFonts w:hint="eastAsia" w:ascii="宋体" w:hAnsi="宋体" w:eastAsia="宋体"/>
          <w:b/>
          <w:bCs/>
          <w:highlight w:val="none"/>
          <w:lang w:val="zh-CN"/>
        </w:rPr>
        <w:t>1.12 偏离</w:t>
      </w:r>
      <w:bookmarkEnd w:id="94"/>
    </w:p>
    <w:p w14:paraId="4CDAF7D8">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见投标人须知前附表。</w:t>
      </w:r>
    </w:p>
    <w:p w14:paraId="7341A609">
      <w:pPr>
        <w:pStyle w:val="215"/>
        <w:keepLines w:val="0"/>
        <w:widowControl/>
        <w:spacing w:line="360" w:lineRule="auto"/>
        <w:outlineLvl w:val="3"/>
        <w:rPr>
          <w:rFonts w:ascii="宋体" w:hAnsi="宋体" w:eastAsia="宋体"/>
          <w:b/>
          <w:bCs/>
          <w:highlight w:val="none"/>
          <w:lang w:val="zh-CN"/>
        </w:rPr>
      </w:pPr>
      <w:bookmarkStart w:id="95" w:name="_Toc17877"/>
      <w:bookmarkStart w:id="96" w:name="_Toc260908188"/>
      <w:bookmarkStart w:id="97" w:name="_Toc260907972"/>
      <w:r>
        <w:rPr>
          <w:rFonts w:hint="eastAsia" w:ascii="宋体" w:hAnsi="宋体" w:eastAsia="宋体"/>
          <w:b/>
          <w:bCs/>
          <w:highlight w:val="none"/>
          <w:lang w:val="zh-CN"/>
        </w:rPr>
        <w:t>1.11 分包</w:t>
      </w:r>
      <w:bookmarkEnd w:id="95"/>
    </w:p>
    <w:p w14:paraId="259AC912">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见投标人须知前附表。</w:t>
      </w:r>
    </w:p>
    <w:p w14:paraId="051B0E47">
      <w:pPr>
        <w:pStyle w:val="4"/>
        <w:rPr>
          <w:highlight w:val="none"/>
          <w:lang w:val="zh-CN"/>
        </w:rPr>
      </w:pPr>
      <w:bookmarkStart w:id="98" w:name="_Toc29782"/>
      <w:bookmarkStart w:id="99" w:name="_Toc18304"/>
      <w:r>
        <w:rPr>
          <w:rFonts w:hint="eastAsia"/>
          <w:highlight w:val="none"/>
          <w:lang w:val="zh-CN"/>
        </w:rPr>
        <w:t>（二）招标文件</w:t>
      </w:r>
      <w:bookmarkEnd w:id="96"/>
      <w:bookmarkEnd w:id="97"/>
      <w:bookmarkEnd w:id="98"/>
      <w:bookmarkEnd w:id="99"/>
    </w:p>
    <w:p w14:paraId="5ED7A8F6">
      <w:pPr>
        <w:pStyle w:val="215"/>
        <w:keepLines w:val="0"/>
        <w:widowControl/>
        <w:spacing w:line="360" w:lineRule="auto"/>
        <w:outlineLvl w:val="3"/>
        <w:rPr>
          <w:rFonts w:ascii="宋体" w:hAnsi="宋体" w:eastAsia="宋体"/>
          <w:b/>
          <w:bCs/>
          <w:highlight w:val="none"/>
          <w:lang w:val="zh-CN"/>
        </w:rPr>
      </w:pPr>
      <w:bookmarkStart w:id="100" w:name="_Toc10450"/>
      <w:r>
        <w:rPr>
          <w:rFonts w:hint="eastAsia" w:ascii="宋体" w:hAnsi="宋体" w:eastAsia="宋体"/>
          <w:b/>
          <w:bCs/>
          <w:highlight w:val="none"/>
          <w:lang w:val="zh-CN"/>
        </w:rPr>
        <w:t>2.1 招标文件的组成</w:t>
      </w:r>
      <w:bookmarkEnd w:id="100"/>
    </w:p>
    <w:p w14:paraId="67A98857">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2.1.1招标文件包含招标公告（或投标邀请书）、投标人须知、资格审查、评标办法、合同条款及格式、采购需求、投标文件格式、投标人须知前附表规定的其他材料；</w:t>
      </w:r>
    </w:p>
    <w:p w14:paraId="78D99F43">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2.1.2对招标文件所作的澄清、修改、补充通知等是构成招标文件的组成部分。</w:t>
      </w:r>
    </w:p>
    <w:p w14:paraId="7A382013">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2.1.3投标人同时应认真审阅招标文件中所有的事项、格式、条款和规范要求等，如果投标人的投标文件没有按照招标文件要求递交全部资料或者投标文件没有对招标文件做出实质性响应，其风险由投标人自行承担。实质上不响应招标文件要求的投标文件视为无效标被拒绝。</w:t>
      </w:r>
    </w:p>
    <w:p w14:paraId="38422259">
      <w:pPr>
        <w:pStyle w:val="215"/>
        <w:keepLines w:val="0"/>
        <w:widowControl/>
        <w:spacing w:line="360" w:lineRule="auto"/>
        <w:outlineLvl w:val="3"/>
        <w:rPr>
          <w:rFonts w:ascii="宋体" w:hAnsi="宋体" w:eastAsia="宋体"/>
          <w:b/>
          <w:bCs/>
          <w:highlight w:val="none"/>
          <w:lang w:val="zh-CN"/>
        </w:rPr>
      </w:pPr>
      <w:bookmarkStart w:id="101" w:name="_Toc5206"/>
      <w:r>
        <w:rPr>
          <w:rFonts w:hint="eastAsia" w:ascii="宋体" w:hAnsi="宋体" w:eastAsia="宋体"/>
          <w:b/>
          <w:bCs/>
          <w:highlight w:val="none"/>
          <w:lang w:val="zh-CN"/>
        </w:rPr>
        <w:t>2.2 招标文件的询问</w:t>
      </w:r>
      <w:bookmarkEnd w:id="101"/>
    </w:p>
    <w:p w14:paraId="7B3FD731">
      <w:pPr>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2.2.1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52E21A9D">
      <w:pPr>
        <w:spacing w:line="336"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2.2.2招标文件的询问联系方式：见投标人须知前附表。</w:t>
      </w:r>
    </w:p>
    <w:p w14:paraId="5148CFEA">
      <w:pPr>
        <w:pStyle w:val="215"/>
        <w:keepLines w:val="0"/>
        <w:widowControl/>
        <w:spacing w:line="360" w:lineRule="auto"/>
        <w:outlineLvl w:val="3"/>
        <w:rPr>
          <w:rFonts w:ascii="宋体" w:hAnsi="宋体" w:eastAsia="宋体"/>
          <w:b/>
          <w:bCs/>
          <w:highlight w:val="none"/>
          <w:lang w:val="zh-CN"/>
        </w:rPr>
      </w:pPr>
      <w:bookmarkStart w:id="102" w:name="_Toc7187"/>
      <w:r>
        <w:rPr>
          <w:rFonts w:hint="eastAsia" w:ascii="宋体" w:hAnsi="宋体" w:eastAsia="宋体"/>
          <w:b/>
          <w:bCs/>
          <w:highlight w:val="none"/>
          <w:lang w:val="zh-CN"/>
        </w:rPr>
        <w:t>2.3 招标文件的澄清、修改</w:t>
      </w:r>
      <w:bookmarkEnd w:id="102"/>
    </w:p>
    <w:p w14:paraId="4874D4C4">
      <w:pPr>
        <w:spacing w:line="336" w:lineRule="auto"/>
        <w:ind w:firstLine="420" w:firstLineChars="200"/>
        <w:rPr>
          <w:rFonts w:ascii="宋体" w:hAnsi="宋体" w:cs="宋体"/>
          <w:sz w:val="21"/>
          <w:szCs w:val="21"/>
          <w:highlight w:val="none"/>
        </w:rPr>
      </w:pPr>
      <w:bookmarkStart w:id="103" w:name="_Toc260908189"/>
      <w:bookmarkStart w:id="104" w:name="_Toc229583203"/>
      <w:bookmarkStart w:id="105" w:name="_Toc260907973"/>
      <w:r>
        <w:rPr>
          <w:rFonts w:hint="eastAsia" w:ascii="宋体" w:hAnsi="宋体" w:cs="宋体"/>
          <w:sz w:val="21"/>
          <w:szCs w:val="21"/>
          <w:highlight w:val="none"/>
        </w:rPr>
        <w:t>2.3.1采购人、采购代理机构可以对已发出的招标文件进行必要的澄清或者修改，并在原公告发布媒体上发布澄清公告，澄清或者修改的内容作为招标文件的组成部分。</w:t>
      </w:r>
    </w:p>
    <w:p w14:paraId="006817CB">
      <w:pPr>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2.3.2投标人应仔细阅读和检查磋商文件的全部内容。如有疑问，应在投标人须知前附表规定的时间前以书面形式，要求采购人对磋商文件予以澄清。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p w14:paraId="4F20D70B">
      <w:pPr>
        <w:pStyle w:val="4"/>
        <w:rPr>
          <w:highlight w:val="none"/>
          <w:lang w:val="zh-CN"/>
        </w:rPr>
      </w:pPr>
      <w:bookmarkStart w:id="106" w:name="_Toc27669"/>
      <w:bookmarkStart w:id="107" w:name="_Toc13935"/>
      <w:r>
        <w:rPr>
          <w:rFonts w:hint="eastAsia"/>
          <w:highlight w:val="none"/>
          <w:lang w:val="zh-CN"/>
        </w:rPr>
        <w:t>（三）投标文件</w:t>
      </w:r>
      <w:bookmarkEnd w:id="103"/>
      <w:bookmarkEnd w:id="104"/>
      <w:bookmarkEnd w:id="105"/>
      <w:bookmarkEnd w:id="106"/>
      <w:bookmarkEnd w:id="107"/>
    </w:p>
    <w:p w14:paraId="428854DF">
      <w:pPr>
        <w:pStyle w:val="215"/>
        <w:keepLines w:val="0"/>
        <w:widowControl/>
        <w:spacing w:line="360" w:lineRule="auto"/>
        <w:outlineLvl w:val="3"/>
        <w:rPr>
          <w:rFonts w:ascii="宋体" w:hAnsi="宋体" w:eastAsia="宋体"/>
          <w:b/>
          <w:bCs/>
          <w:highlight w:val="none"/>
          <w:lang w:val="zh-CN"/>
        </w:rPr>
      </w:pPr>
      <w:bookmarkStart w:id="108" w:name="_Toc24913"/>
      <w:r>
        <w:rPr>
          <w:rFonts w:hint="eastAsia" w:ascii="宋体" w:hAnsi="宋体" w:eastAsia="宋体"/>
          <w:b/>
          <w:bCs/>
          <w:highlight w:val="none"/>
          <w:lang w:val="zh-CN"/>
        </w:rPr>
        <w:t>3.1 投标文件的组成</w:t>
      </w:r>
      <w:bookmarkEnd w:id="108"/>
    </w:p>
    <w:p w14:paraId="0B988361">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投标文件全部采用电子文档，由资格审查部分、投标函部分、投标报价部分、技术、商务部分组成。具体内容及格式详见招标文件第七章“投标文件格式”。</w:t>
      </w:r>
    </w:p>
    <w:p w14:paraId="20CE0D04">
      <w:pPr>
        <w:pStyle w:val="215"/>
        <w:keepLines w:val="0"/>
        <w:widowControl/>
        <w:spacing w:line="360" w:lineRule="auto"/>
        <w:outlineLvl w:val="3"/>
        <w:rPr>
          <w:rFonts w:ascii="宋体" w:hAnsi="宋体" w:eastAsia="宋体"/>
          <w:b/>
          <w:bCs/>
          <w:highlight w:val="none"/>
          <w:lang w:val="zh-CN"/>
        </w:rPr>
      </w:pPr>
      <w:bookmarkStart w:id="109" w:name="_Toc1724"/>
      <w:r>
        <w:rPr>
          <w:rFonts w:hint="eastAsia" w:ascii="宋体" w:hAnsi="宋体" w:eastAsia="宋体"/>
          <w:b/>
          <w:bCs/>
          <w:highlight w:val="none"/>
          <w:lang w:val="zh-CN"/>
        </w:rPr>
        <w:t>3.2 投标报价</w:t>
      </w:r>
      <w:bookmarkEnd w:id="109"/>
    </w:p>
    <w:p w14:paraId="330518C4">
      <w:pPr>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3.2.1本项目报价及合同所有款项的支付均以人民币计算。</w:t>
      </w:r>
    </w:p>
    <w:p w14:paraId="70CFC937">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3.2.2本项目计价方式为固定总价包干。投标人结合实际、自身水平及实力和本招标项目规定的工作内容和计划工作量，并依据市场竞争原则自行考虑完成本项目所有工作所需的所有费用，请各投标人自行测算后进行投标报价。</w:t>
      </w:r>
    </w:p>
    <w:p w14:paraId="71CFF3A4">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3.2.3</w:t>
      </w:r>
      <w:bookmarkStart w:id="110" w:name="_Hlk127956947"/>
      <w:r>
        <w:rPr>
          <w:rFonts w:hint="eastAsia" w:ascii="宋体" w:hAnsi="宋体" w:cs="宋体"/>
          <w:sz w:val="21"/>
          <w:szCs w:val="21"/>
          <w:highlight w:val="none"/>
        </w:rPr>
        <w:t>投标报价为人民币含税价（元），投标报价为投标人的含税包干价（说明：合同签订后按采购人要求完成服务，服务地点详见 第二章 投标人须知前附表 “1.3.3 服务地点”。投标人的投标报价应采购人要求，采购人不再单独计取其相关费用）</w:t>
      </w:r>
      <w:bookmarkEnd w:id="110"/>
      <w:r>
        <w:rPr>
          <w:rFonts w:hint="eastAsia" w:ascii="宋体" w:hAnsi="宋体" w:cs="宋体"/>
          <w:sz w:val="21"/>
          <w:szCs w:val="21"/>
          <w:highlight w:val="none"/>
        </w:rPr>
        <w:t>。投标报价包括但不限于：专用工具费、包装费、运输费、搬运费、杂费、管理费、培训费、相关技术指导咨询费、相关技术服务费、保险费、人工费（包含工资、差旅费、食宿费和国家规定的相关福利费）、市场价格的变化、利润、税金、风险费及其他能达到采购人要求的一切费用。该报价应考虑市场风险、政策性风险、汇率风险等因素。该报价应符合国内行情并能保证投标人完成履行合同所需的一切工作。合同一旦签订，此合同价格在合同执行期间将不因工作量及市场价格的变化而调整。</w:t>
      </w:r>
    </w:p>
    <w:p w14:paraId="120BDD9D">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3.2.4因投标人拟派的工作人员工作失职或故意行为或违法犯罪行为造成招标人经济损失的，投标人须承担相应的赔偿责任；因投标人自身原因所引发的一切纠纷，由投标人负完全责任；因投标人自身原因导致纠纷扩大或未能减小招标人相关损失的，由投标人承担相应责任；投标人拟派的工作人员在工作及非工作时间内发生的人身意外或其他纠纷，由投标人负责处理。如中标单位挪用人员工资和其他薪酬、保险费用，除承担由此引发的一切法律责任外，招标人有权终止服务合同。</w:t>
      </w:r>
    </w:p>
    <w:p w14:paraId="39C48C15">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3.2.5本项目风险费已包含在报价中，投标人应充分考虑不确定因素所带来的风险，投标人综合考虑各种风险后进行报价，结算时采购人将不再另行支付。任何有选择的报价将不予接受，只允许有一个报价，一旦成交，无论任何情况，中标价即为合同价，今后不予调整，采购人不再额外支付任何费用。</w:t>
      </w:r>
    </w:p>
    <w:p w14:paraId="7977BC0E">
      <w:pPr>
        <w:wordWrap w:val="0"/>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3.2.6任何有选择的报价将不予接受，只允许有一个报价。</w:t>
      </w:r>
    </w:p>
    <w:p w14:paraId="3DE8DC77">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3.2.7投标人不得哄抬报价，也不应低于成本价(或进价)报价，否则一经查实，其投标将可能被拒绝或被按照无效处理。</w:t>
      </w:r>
    </w:p>
    <w:p w14:paraId="6C885316">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3.2.8投标人应依据招标文件的要求及有关资料，执行国家或行业现行技术经济标准、定额及规范，自行测算出满足采购要求的货物、工程或者服务的投标报价，该报价应符合市场行情并能保证投标人完成履行合同所需的一切工作。合同一旦签订，此价格在合同实施期间将不因市场价格等的变化而调整。无论价格是否填报完全，投标人的投标报价将被视为已经包含了所有价格以及与项目相关的所有货物、工程或者服务费用。由于投标人报价填报不完整、不清楚或存在其它任何失误所导致的任何不利后果均由投标人自行承担。</w:t>
      </w:r>
    </w:p>
    <w:p w14:paraId="40D37866">
      <w:pPr>
        <w:pStyle w:val="215"/>
        <w:keepLines w:val="0"/>
        <w:widowControl/>
        <w:spacing w:line="360" w:lineRule="auto"/>
        <w:outlineLvl w:val="3"/>
        <w:rPr>
          <w:rFonts w:ascii="宋体" w:hAnsi="宋体" w:eastAsia="宋体"/>
          <w:b/>
          <w:bCs/>
          <w:highlight w:val="none"/>
          <w:lang w:val="zh-CN"/>
        </w:rPr>
      </w:pPr>
      <w:bookmarkStart w:id="111" w:name="_Toc10355"/>
      <w:r>
        <w:rPr>
          <w:rFonts w:hint="eastAsia" w:ascii="宋体" w:hAnsi="宋体" w:eastAsia="宋体"/>
          <w:b/>
          <w:bCs/>
          <w:highlight w:val="none"/>
          <w:lang w:val="zh-CN"/>
        </w:rPr>
        <w:t>3.3 投标有效期</w:t>
      </w:r>
      <w:bookmarkEnd w:id="111"/>
    </w:p>
    <w:p w14:paraId="0842F7B8">
      <w:pPr>
        <w:wordWrap w:val="0"/>
        <w:spacing w:line="360" w:lineRule="auto"/>
        <w:ind w:left="200" w:leftChars="100" w:firstLine="403" w:firstLineChars="192"/>
        <w:rPr>
          <w:rFonts w:ascii="宋体" w:hAnsi="宋体" w:cs="宋体"/>
          <w:sz w:val="21"/>
          <w:szCs w:val="21"/>
          <w:highlight w:val="none"/>
        </w:rPr>
      </w:pPr>
      <w:r>
        <w:rPr>
          <w:rFonts w:hint="eastAsia" w:ascii="宋体" w:hAnsi="宋体" w:cs="宋体"/>
          <w:sz w:val="21"/>
          <w:szCs w:val="21"/>
          <w:highlight w:val="none"/>
        </w:rPr>
        <w:t>3.3.1在投标人须知前附表规定的投标有效期内，投标人不得要求撤销或修改其投标文件。投标文件中承诺的投标有效期应当不少于招标文件载明的投标有效期。</w:t>
      </w:r>
    </w:p>
    <w:p w14:paraId="3DD79582">
      <w:pPr>
        <w:wordWrap w:val="0"/>
        <w:spacing w:line="360" w:lineRule="auto"/>
        <w:ind w:left="200" w:leftChars="100" w:firstLine="403" w:firstLineChars="192"/>
        <w:rPr>
          <w:rFonts w:ascii="宋体" w:hAnsi="宋体" w:cs="宋体"/>
          <w:sz w:val="21"/>
          <w:szCs w:val="21"/>
          <w:highlight w:val="none"/>
        </w:rPr>
      </w:pPr>
      <w:r>
        <w:rPr>
          <w:rFonts w:hint="eastAsia" w:ascii="宋体" w:hAnsi="宋体" w:cs="宋体"/>
          <w:sz w:val="21"/>
          <w:szCs w:val="21"/>
          <w:highlight w:val="none"/>
        </w:rPr>
        <w:t>3.3.2在投标有效期内,投标人撤销或修改其投标文件的,应承担招标文件和法律规定的责任.</w:t>
      </w:r>
    </w:p>
    <w:p w14:paraId="652A0446">
      <w:pPr>
        <w:wordWrap w:val="0"/>
        <w:spacing w:line="360" w:lineRule="auto"/>
        <w:ind w:left="200" w:leftChars="100" w:firstLine="403" w:firstLineChars="192"/>
        <w:rPr>
          <w:rFonts w:ascii="宋体" w:hAnsi="宋体" w:cs="宋体"/>
          <w:sz w:val="21"/>
          <w:szCs w:val="21"/>
          <w:highlight w:val="none"/>
        </w:rPr>
      </w:pPr>
      <w:r>
        <w:rPr>
          <w:rFonts w:hint="eastAsia" w:ascii="宋体" w:hAnsi="宋体" w:cs="宋体"/>
          <w:sz w:val="21"/>
          <w:szCs w:val="21"/>
          <w:highlight w:val="none"/>
        </w:rPr>
        <w:t>3.3.3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0A85B33A">
      <w:pPr>
        <w:pStyle w:val="215"/>
        <w:keepLines w:val="0"/>
        <w:spacing w:line="360" w:lineRule="auto"/>
        <w:outlineLvl w:val="3"/>
        <w:rPr>
          <w:rFonts w:ascii="宋体" w:hAnsi="宋体" w:eastAsia="宋体"/>
          <w:b/>
          <w:bCs/>
          <w:highlight w:val="none"/>
          <w:lang w:val="zh-CN"/>
        </w:rPr>
      </w:pPr>
      <w:bookmarkStart w:id="112" w:name="_Toc16604"/>
      <w:r>
        <w:rPr>
          <w:rFonts w:hint="eastAsia" w:ascii="宋体" w:hAnsi="宋体" w:eastAsia="宋体"/>
          <w:b/>
          <w:bCs/>
          <w:highlight w:val="none"/>
          <w:lang w:val="zh-CN"/>
        </w:rPr>
        <w:t>3.4 投标保证金</w:t>
      </w:r>
      <w:bookmarkEnd w:id="112"/>
    </w:p>
    <w:p w14:paraId="359F9912">
      <w:pPr>
        <w:widowControl w:val="0"/>
        <w:wordWrap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3.4.1投标人在递交投标文件之前，应按投标人须知前附表规定的金额、形式递交投标保证金，并作为其投标文件的组成部分。</w:t>
      </w:r>
    </w:p>
    <w:p w14:paraId="7D1ABA76">
      <w:pPr>
        <w:wordWrap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3.4.2投标人不按本章第3.4.1项要求提交保证金的，其投标文件作无效响应处理。</w:t>
      </w:r>
    </w:p>
    <w:p w14:paraId="076D3607">
      <w:pPr>
        <w:wordWrap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3.4.3保证金退还：见投标人须知前附表。</w:t>
      </w:r>
    </w:p>
    <w:p w14:paraId="06B3F565">
      <w:pPr>
        <w:wordWrap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3.4.4有下列情形之一的，保证金将不予退还：</w:t>
      </w:r>
    </w:p>
    <w:p w14:paraId="469C709F">
      <w:pPr>
        <w:wordWrap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（1）投标人在提交投标文件截止时间后撤回投标文件的；</w:t>
      </w:r>
    </w:p>
    <w:p w14:paraId="6FA9FAC4">
      <w:pPr>
        <w:wordWrap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（2）投标人在投标文件中提供虚假材料的；</w:t>
      </w:r>
    </w:p>
    <w:p w14:paraId="0584E21D">
      <w:pPr>
        <w:wordWrap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（3）除因不可抗力或招标文件认可的情形以外，中标人不与采购人签订合同的；</w:t>
      </w:r>
    </w:p>
    <w:p w14:paraId="17C37CA5">
      <w:pPr>
        <w:wordWrap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（4）投标人与采购人、其他投标人或者采购代理机构恶意串通的；</w:t>
      </w:r>
    </w:p>
    <w:p w14:paraId="56AFA815">
      <w:pPr>
        <w:wordWrap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（5）招标文件规定的其他情形。</w:t>
      </w:r>
    </w:p>
    <w:p w14:paraId="0DF021AC">
      <w:pPr>
        <w:pStyle w:val="215"/>
        <w:keepNext w:val="0"/>
        <w:keepLines w:val="0"/>
        <w:spacing w:line="360" w:lineRule="auto"/>
        <w:outlineLvl w:val="3"/>
        <w:rPr>
          <w:rFonts w:ascii="宋体" w:hAnsi="宋体" w:eastAsia="宋体"/>
          <w:b/>
          <w:bCs/>
          <w:highlight w:val="none"/>
          <w:lang w:val="zh-CN"/>
        </w:rPr>
      </w:pPr>
      <w:bookmarkStart w:id="113" w:name="_Toc9383"/>
      <w:r>
        <w:rPr>
          <w:rFonts w:hint="eastAsia" w:ascii="宋体" w:hAnsi="宋体" w:eastAsia="宋体"/>
          <w:b/>
          <w:bCs/>
          <w:highlight w:val="none"/>
          <w:lang w:val="zh-CN"/>
        </w:rPr>
        <w:t>3.5 投标文件的编制</w:t>
      </w:r>
      <w:bookmarkEnd w:id="113"/>
    </w:p>
    <w:p w14:paraId="19EC657B">
      <w:pPr>
        <w:wordWrap w:val="0"/>
        <w:spacing w:line="360" w:lineRule="auto"/>
        <w:ind w:firstLine="420" w:firstLineChars="200"/>
        <w:outlineLvl w:val="4"/>
        <w:rPr>
          <w:rFonts w:ascii="宋体" w:hAnsi="宋体" w:cs="宋体"/>
          <w:sz w:val="21"/>
          <w:szCs w:val="21"/>
          <w:highlight w:val="none"/>
        </w:rPr>
      </w:pPr>
      <w:bookmarkStart w:id="114" w:name="_Toc260907974"/>
      <w:bookmarkStart w:id="115" w:name="_Toc260908190"/>
      <w:bookmarkStart w:id="116" w:name="_Toc229583204"/>
      <w:r>
        <w:rPr>
          <w:rFonts w:hint="eastAsia" w:ascii="宋体" w:hAnsi="宋体" w:cs="宋体"/>
          <w:sz w:val="21"/>
          <w:szCs w:val="21"/>
          <w:highlight w:val="none"/>
        </w:rPr>
        <w:t>3.5.1投标文件编制及格式：见投标人须知前附表。</w:t>
      </w:r>
    </w:p>
    <w:p w14:paraId="004F0F5A">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3.5.2如投标人提交的电子标书不符合3.5.1要求或开标时无法读取导入或解密，其投标文件将不予受理。投标文件应当对招标文件有关合同履行期限、服务地点、质量标准、采购需求、技术标准及要求、招标范围等实质性内容作出响应。</w:t>
      </w:r>
    </w:p>
    <w:p w14:paraId="77DC2516">
      <w:pPr>
        <w:wordWrap w:val="0"/>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3.5.3投标文件的签署：见投标人须知前附表。</w:t>
      </w:r>
    </w:p>
    <w:p w14:paraId="3879F28F">
      <w:pPr>
        <w:pStyle w:val="4"/>
        <w:rPr>
          <w:highlight w:val="none"/>
          <w:lang w:val="zh-CN"/>
        </w:rPr>
      </w:pPr>
      <w:bookmarkStart w:id="117" w:name="_Toc16672"/>
      <w:bookmarkStart w:id="118" w:name="_Toc18572"/>
      <w:r>
        <w:rPr>
          <w:rFonts w:hint="eastAsia"/>
          <w:highlight w:val="none"/>
          <w:lang w:val="zh-CN"/>
        </w:rPr>
        <w:t>（四）投标</w:t>
      </w:r>
      <w:bookmarkEnd w:id="114"/>
      <w:bookmarkEnd w:id="115"/>
      <w:bookmarkEnd w:id="116"/>
      <w:bookmarkEnd w:id="117"/>
      <w:bookmarkEnd w:id="118"/>
    </w:p>
    <w:p w14:paraId="6DA1878D">
      <w:pPr>
        <w:pStyle w:val="6"/>
        <w:wordWrap w:val="0"/>
        <w:spacing w:before="120" w:beforeLines="50" w:after="120" w:afterLines="50"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4.1投标文件的密封和标识</w:t>
      </w:r>
    </w:p>
    <w:p w14:paraId="61A8450D">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4.1.1 投标文件的密封：见投标人须知前附表。</w:t>
      </w:r>
    </w:p>
    <w:p w14:paraId="1C9BACB9">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4.1.2 投标文件的密封袋上应写明的其他内容见投标人须知前附表。</w:t>
      </w:r>
    </w:p>
    <w:p w14:paraId="5B506E7E">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4.1.3 未按要求密封和加写标记的投标文件，采购人不予受理</w:t>
      </w:r>
      <w:r>
        <w:rPr>
          <w:rFonts w:hint="eastAsia" w:ascii="宋体" w:hAnsi="宋体" w:cs="宋体"/>
          <w:sz w:val="21"/>
          <w:highlight w:val="none"/>
        </w:rPr>
        <w:t>。</w:t>
      </w:r>
    </w:p>
    <w:p w14:paraId="6E1AEA23">
      <w:pPr>
        <w:pStyle w:val="6"/>
        <w:wordWrap w:val="0"/>
        <w:spacing w:before="120" w:beforeLines="50" w:after="120" w:afterLines="50"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4.2投标文件的递交</w:t>
      </w:r>
    </w:p>
    <w:p w14:paraId="6880D6C3">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4.2.1 投标人应在投标文件递交截止时间前递交投标文件，逾期送达的或者未送达指定地点的投标文件，采购人不予接收。</w:t>
      </w:r>
    </w:p>
    <w:p w14:paraId="71D35C51">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4.2.2 递交投标文件的地点：见投标人须知前附表。</w:t>
      </w:r>
    </w:p>
    <w:p w14:paraId="23103B0C">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4.2.3 除前附表另有规定外，投标人所递交的投标文件不予退还。</w:t>
      </w:r>
    </w:p>
    <w:p w14:paraId="1A5EEFD5">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4.2.4 磋商会议将于投标文件递交截止的同一时间同一地点进行，投标人的法定代表人或其委托代理人应准时参加磋商会议。</w:t>
      </w:r>
    </w:p>
    <w:p w14:paraId="3F97B027">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4.2.5 逾期送达或者未送达指定地点的投标文件，采购人不予受理。</w:t>
      </w:r>
    </w:p>
    <w:p w14:paraId="79308D7C">
      <w:pPr>
        <w:pStyle w:val="6"/>
        <w:wordWrap w:val="0"/>
        <w:spacing w:before="120" w:beforeLines="50" w:after="120" w:afterLines="50"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4.3投标文件的修改与撤回</w:t>
      </w:r>
    </w:p>
    <w:p w14:paraId="7C433C91">
      <w:pPr>
        <w:wordWrap w:val="0"/>
        <w:spacing w:line="360" w:lineRule="auto"/>
        <w:ind w:firstLine="472" w:firstLineChars="225"/>
        <w:rPr>
          <w:rFonts w:ascii="宋体" w:hAnsi="宋体" w:cs="宋体"/>
          <w:sz w:val="24"/>
          <w:szCs w:val="24"/>
          <w:highlight w:val="none"/>
        </w:rPr>
      </w:pPr>
      <w:r>
        <w:rPr>
          <w:rFonts w:hint="eastAsia" w:ascii="宋体" w:hAnsi="宋体" w:cs="宋体"/>
          <w:sz w:val="21"/>
          <w:szCs w:val="21"/>
          <w:highlight w:val="none"/>
        </w:rPr>
        <w:t>在规定的投标文件递交截止时间前，投标人可以修改或撤回已递交的投标文件，无须以书面形式通知采购人。</w:t>
      </w:r>
    </w:p>
    <w:p w14:paraId="0CD98CEB">
      <w:pPr>
        <w:pStyle w:val="6"/>
        <w:wordWrap w:val="0"/>
        <w:spacing w:before="120" w:beforeLines="50" w:after="120" w:afterLines="50"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4.4磋商时间和地点</w:t>
      </w:r>
    </w:p>
    <w:p w14:paraId="202E26D7">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详见投标人须知前附表。</w:t>
      </w:r>
    </w:p>
    <w:p w14:paraId="0D0B56B3">
      <w:pPr>
        <w:pStyle w:val="6"/>
        <w:wordWrap w:val="0"/>
        <w:spacing w:before="120" w:beforeLines="50" w:after="120" w:afterLines="50"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4.5磋商程序</w:t>
      </w:r>
    </w:p>
    <w:p w14:paraId="52C07C91">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详见投标人须知前附表。</w:t>
      </w:r>
    </w:p>
    <w:p w14:paraId="53CF7589">
      <w:pPr>
        <w:pStyle w:val="6"/>
        <w:wordWrap w:val="0"/>
        <w:spacing w:before="120" w:beforeLines="50" w:after="120" w:afterLines="50"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4.6 投标文件不予受理情形</w:t>
      </w:r>
    </w:p>
    <w:p w14:paraId="408CADD1">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投标文件有下列情形之一的，采购人不予受理：</w:t>
      </w:r>
    </w:p>
    <w:p w14:paraId="5334910E">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（1）在投标文件递交截止时间后送达的；</w:t>
      </w:r>
    </w:p>
    <w:p w14:paraId="2126768D">
      <w:pPr>
        <w:wordWrap w:val="0"/>
        <w:spacing w:line="360" w:lineRule="auto"/>
        <w:ind w:firstLine="472" w:firstLineChars="225"/>
        <w:rPr>
          <w:rFonts w:ascii="宋体" w:hAnsi="宋体" w:cs="宋体"/>
          <w:sz w:val="24"/>
          <w:szCs w:val="24"/>
          <w:highlight w:val="none"/>
        </w:rPr>
      </w:pPr>
      <w:r>
        <w:rPr>
          <w:rFonts w:hint="eastAsia" w:ascii="宋体" w:hAnsi="宋体" w:cs="宋体"/>
          <w:sz w:val="21"/>
          <w:szCs w:val="21"/>
          <w:highlight w:val="none"/>
        </w:rPr>
        <w:t>（2）不符合4.1.1项规定的“投标文件密封”要求的；</w:t>
      </w:r>
    </w:p>
    <w:p w14:paraId="148025A5">
      <w:pPr>
        <w:pStyle w:val="4"/>
        <w:rPr>
          <w:highlight w:val="none"/>
          <w:lang w:val="zh-CN"/>
        </w:rPr>
      </w:pPr>
      <w:bookmarkStart w:id="119" w:name="_Toc26452"/>
      <w:bookmarkStart w:id="120" w:name="_Toc229583205"/>
      <w:bookmarkStart w:id="121" w:name="_Toc260908191"/>
      <w:bookmarkStart w:id="122" w:name="_Toc26803"/>
      <w:bookmarkStart w:id="123" w:name="_Toc260907975"/>
      <w:r>
        <w:rPr>
          <w:rFonts w:hint="eastAsia"/>
          <w:highlight w:val="none"/>
          <w:lang w:val="zh-CN"/>
        </w:rPr>
        <w:t>（五）开标</w:t>
      </w:r>
      <w:bookmarkEnd w:id="119"/>
      <w:bookmarkEnd w:id="120"/>
      <w:bookmarkEnd w:id="121"/>
      <w:bookmarkEnd w:id="122"/>
      <w:bookmarkEnd w:id="123"/>
    </w:p>
    <w:p w14:paraId="20B51130">
      <w:pPr>
        <w:pStyle w:val="215"/>
        <w:keepNext w:val="0"/>
        <w:keepLines w:val="0"/>
        <w:spacing w:line="360" w:lineRule="auto"/>
        <w:outlineLvl w:val="3"/>
        <w:rPr>
          <w:rFonts w:ascii="宋体" w:hAnsi="宋体" w:eastAsia="宋体"/>
          <w:b/>
          <w:bCs/>
          <w:highlight w:val="none"/>
          <w:lang w:val="zh-CN"/>
        </w:rPr>
      </w:pPr>
      <w:bookmarkStart w:id="124" w:name="_Toc18510"/>
      <w:bookmarkStart w:id="125" w:name="_Toc246996946"/>
      <w:bookmarkStart w:id="126" w:name="_Toc378239355"/>
      <w:bookmarkStart w:id="127" w:name="_Toc152042335"/>
      <w:bookmarkStart w:id="128" w:name="_Toc152045559"/>
      <w:bookmarkStart w:id="129" w:name="_Toc144974527"/>
      <w:bookmarkStart w:id="130" w:name="_Toc296602447"/>
      <w:bookmarkStart w:id="131" w:name="_Toc246996203"/>
      <w:bookmarkStart w:id="132" w:name="_Toc401342138"/>
      <w:bookmarkStart w:id="133" w:name="_Toc179632577"/>
      <w:bookmarkStart w:id="134" w:name="_Toc480817647"/>
      <w:bookmarkStart w:id="135" w:name="_Toc29395"/>
      <w:bookmarkStart w:id="136" w:name="_Toc247085717"/>
      <w:bookmarkStart w:id="137" w:name="_Toc378239082"/>
      <w:bookmarkStart w:id="138" w:name="_Toc378239174"/>
      <w:r>
        <w:rPr>
          <w:rFonts w:hint="eastAsia" w:ascii="宋体" w:hAnsi="宋体" w:eastAsia="宋体"/>
          <w:b/>
          <w:bCs/>
          <w:highlight w:val="none"/>
          <w:lang w:val="zh-CN"/>
        </w:rPr>
        <w:t>5.1 开标时间和地点</w:t>
      </w:r>
      <w:bookmarkEnd w:id="124"/>
    </w:p>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14:paraId="43DFBE01">
      <w:pPr>
        <w:widowControl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5.1.1采购人在本章第2.2.5项规定的投标截止时间（开标时间）和投标人须知前附表规定的地点公开开标。</w:t>
      </w:r>
    </w:p>
    <w:p w14:paraId="6D65B71C">
      <w:pPr>
        <w:widowControl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5.1.2开标时，电子文件开标顺序按照交易平台自动提取所有投标人的顺序在开标室进行开标。投标人不足3家的，不得开标。</w:t>
      </w:r>
    </w:p>
    <w:p w14:paraId="1547748E">
      <w:pPr>
        <w:widowControl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5.1.3开标过程由采购人或采购代理机构负责记录，参加开标的各投标人代表和相关工作人员签字确认后随招标文件一并存档。</w:t>
      </w:r>
    </w:p>
    <w:p w14:paraId="4BB9866F">
      <w:pPr>
        <w:widowControl w:val="0"/>
        <w:spacing w:line="360" w:lineRule="auto"/>
        <w:ind w:firstLine="459" w:firstLineChars="225"/>
        <w:rPr>
          <w:rFonts w:ascii="宋体" w:hAnsi="宋体" w:cs="宋体"/>
          <w:sz w:val="21"/>
          <w:szCs w:val="21"/>
          <w:highlight w:val="none"/>
        </w:rPr>
      </w:pPr>
      <w:r>
        <w:rPr>
          <w:rFonts w:hint="eastAsia" w:ascii="宋体" w:hAnsi="宋体" w:cs="宋体"/>
          <w:spacing w:val="-3"/>
          <w:sz w:val="21"/>
          <w:szCs w:val="21"/>
          <w:highlight w:val="none"/>
        </w:rPr>
        <w:t>投标人若对本项目在线开标过程有任何疑义，应在开标结束指令下达前提出。否则，视为投标人对本项目开标过程无任何疑义。开标端发起对本次开标过程是否有疑义询问后，不确认或不及时提出异议，视为对本次开标过程无疑义。投标人未参加本项目远程在线开标的，视同认可开标结果。</w:t>
      </w:r>
    </w:p>
    <w:p w14:paraId="51E4E86D">
      <w:pPr>
        <w:widowControl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5.1.4投标人代表未参加开标的或未对开标过程和开标记录提出疑义，视同认可开标结果，由此产生的后果由投标人自行负责。</w:t>
      </w:r>
    </w:p>
    <w:p w14:paraId="3ABB4397">
      <w:pPr>
        <w:pStyle w:val="215"/>
        <w:keepLines w:val="0"/>
        <w:widowControl/>
        <w:spacing w:line="360" w:lineRule="auto"/>
        <w:outlineLvl w:val="3"/>
        <w:rPr>
          <w:rFonts w:ascii="宋体" w:hAnsi="宋体" w:eastAsia="宋体"/>
          <w:b/>
          <w:bCs/>
          <w:highlight w:val="none"/>
          <w:lang w:val="zh-CN"/>
        </w:rPr>
      </w:pPr>
      <w:bookmarkStart w:id="139" w:name="_Toc5973"/>
      <w:bookmarkStart w:id="140" w:name="_Hlk47173580"/>
      <w:r>
        <w:rPr>
          <w:rFonts w:hint="eastAsia" w:ascii="宋体" w:hAnsi="宋体" w:eastAsia="宋体"/>
          <w:b/>
          <w:bCs/>
          <w:highlight w:val="none"/>
          <w:lang w:val="zh-CN"/>
        </w:rPr>
        <w:t>5.2 开标程序</w:t>
      </w:r>
      <w:bookmarkEnd w:id="139"/>
    </w:p>
    <w:bookmarkEnd w:id="140"/>
    <w:p w14:paraId="3BEAF5DA">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开标会现场由代理机构主持，主持人按下列程序进行开标：</w:t>
      </w:r>
    </w:p>
    <w:p w14:paraId="1C2CA542">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（1）宣布开标纪律；</w:t>
      </w:r>
    </w:p>
    <w:p w14:paraId="07757383">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（2）宣布开标人、唱标人、记录人、行政监督等有关人员姓名；</w:t>
      </w:r>
    </w:p>
    <w:p w14:paraId="5DF9F103">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交易平台提取所有已成功上传的投标文件，由投标人对网上上传已加密的投标文件进行远程解密和开标解密，解密完成后导入有效投标人的电子投标文件。所有有效投标文件导入完成后进行唱标公布投标人名称、项目名称、投标报价、合同履行期限、服务地点、质量标准、投标保证金及其他内容，并记录在案。若投标人提交的投标文件不符合招标文件要求，或因投标人原因造成投标文件开标时无法完成读取、导入或解密的，该投标文件则视为无效投标，将被撤回，不再进入评标阶段；</w:t>
      </w:r>
    </w:p>
    <w:p w14:paraId="0B947A46">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（4）开标结束。</w:t>
      </w:r>
    </w:p>
    <w:p w14:paraId="51B10BB3">
      <w:pPr>
        <w:pStyle w:val="215"/>
        <w:keepLines w:val="0"/>
        <w:widowControl/>
        <w:spacing w:line="360" w:lineRule="auto"/>
        <w:outlineLvl w:val="3"/>
        <w:rPr>
          <w:rFonts w:ascii="宋体" w:hAnsi="宋体" w:eastAsia="宋体"/>
          <w:b/>
          <w:bCs/>
          <w:highlight w:val="none"/>
          <w:lang w:val="zh-CN"/>
        </w:rPr>
      </w:pPr>
      <w:bookmarkStart w:id="141" w:name="_Toc20046"/>
      <w:r>
        <w:rPr>
          <w:rFonts w:hint="eastAsia" w:ascii="宋体" w:hAnsi="宋体" w:eastAsia="宋体"/>
          <w:b/>
          <w:bCs/>
          <w:highlight w:val="none"/>
          <w:lang w:val="zh-CN"/>
        </w:rPr>
        <w:t>5.3 投标报价修正</w:t>
      </w:r>
      <w:bookmarkEnd w:id="141"/>
    </w:p>
    <w:p w14:paraId="675460AC">
      <w:pPr>
        <w:keepNext/>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投标文件报价出现前后不一致的，按照下列规定修正：</w:t>
      </w:r>
    </w:p>
    <w:p w14:paraId="61052426">
      <w:pPr>
        <w:keepNext/>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（一）投标文件中开标一览表（报价表）内容与投标文件中相应内容不一致的，以开标一览表（报价表）为准；</w:t>
      </w:r>
    </w:p>
    <w:p w14:paraId="4D587237">
      <w:pPr>
        <w:keepNext/>
        <w:spacing w:line="360" w:lineRule="auto"/>
        <w:ind w:firstLine="420" w:firstLineChars="200"/>
        <w:outlineLvl w:val="2"/>
        <w:rPr>
          <w:rFonts w:ascii="宋体" w:hAnsi="宋体" w:cs="宋体"/>
          <w:sz w:val="21"/>
          <w:szCs w:val="21"/>
          <w:highlight w:val="none"/>
        </w:rPr>
      </w:pPr>
      <w:bookmarkStart w:id="142" w:name="_Toc3942"/>
      <w:r>
        <w:rPr>
          <w:rFonts w:hint="eastAsia" w:ascii="宋体" w:hAnsi="宋体" w:cs="宋体"/>
          <w:sz w:val="21"/>
          <w:szCs w:val="21"/>
          <w:highlight w:val="none"/>
        </w:rPr>
        <w:t>（二）大写金额和小写金额不一致的，以大写金额为准；</w:t>
      </w:r>
      <w:bookmarkEnd w:id="142"/>
    </w:p>
    <w:p w14:paraId="5BEF17DA">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（三）单价金额小数点或者百分比有明显错位的，以开标一览表的总价为准，并修改单价；</w:t>
      </w:r>
    </w:p>
    <w:p w14:paraId="656E1A0C">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（四）总价金额与按单价汇总金额不一致的，以单价金额计算结果为准。</w:t>
      </w:r>
    </w:p>
    <w:p w14:paraId="27E40FEF">
      <w:pPr>
        <w:spacing w:line="360" w:lineRule="auto"/>
        <w:ind w:firstLine="420" w:firstLineChars="200"/>
        <w:rPr>
          <w:rFonts w:ascii="宋体" w:hAnsi="宋体" w:cs="宋体"/>
          <w:highlight w:val="none"/>
        </w:rPr>
      </w:pPr>
      <w:r>
        <w:rPr>
          <w:rFonts w:hint="eastAsia" w:ascii="宋体" w:hAnsi="宋体" w:cs="宋体"/>
          <w:sz w:val="21"/>
          <w:szCs w:val="21"/>
          <w:highlight w:val="none"/>
        </w:rPr>
        <w:t>同时出现两种以上不一致的，按照前款规定的顺序修正。修正后的报价按照招标文件规定并经投标人确认后产生约束力，投标人不确认的，其投标无效。</w:t>
      </w:r>
    </w:p>
    <w:p w14:paraId="78272645">
      <w:pPr>
        <w:pStyle w:val="4"/>
        <w:rPr>
          <w:highlight w:val="none"/>
          <w:lang w:val="zh-CN"/>
        </w:rPr>
      </w:pPr>
      <w:bookmarkStart w:id="143" w:name="_Toc27407"/>
      <w:bookmarkStart w:id="144" w:name="_Toc25474"/>
      <w:bookmarkStart w:id="145" w:name="_Toc260908192"/>
      <w:bookmarkStart w:id="146" w:name="_Toc229583206"/>
      <w:bookmarkStart w:id="147" w:name="_Toc260907976"/>
      <w:r>
        <w:rPr>
          <w:rFonts w:hint="eastAsia"/>
          <w:highlight w:val="none"/>
          <w:lang w:val="zh-CN"/>
        </w:rPr>
        <w:t>（六）评标</w:t>
      </w:r>
      <w:bookmarkEnd w:id="143"/>
      <w:bookmarkEnd w:id="144"/>
      <w:bookmarkEnd w:id="145"/>
      <w:bookmarkEnd w:id="146"/>
      <w:bookmarkEnd w:id="147"/>
    </w:p>
    <w:p w14:paraId="78B650EA">
      <w:pPr>
        <w:pStyle w:val="215"/>
        <w:keepLines w:val="0"/>
        <w:widowControl/>
        <w:spacing w:line="360" w:lineRule="auto"/>
        <w:outlineLvl w:val="3"/>
        <w:rPr>
          <w:rFonts w:ascii="宋体" w:hAnsi="宋体" w:eastAsia="宋体"/>
          <w:b/>
          <w:bCs/>
          <w:highlight w:val="none"/>
          <w:lang w:val="zh-CN"/>
        </w:rPr>
      </w:pPr>
      <w:bookmarkStart w:id="148" w:name="_Toc1199"/>
      <w:bookmarkStart w:id="149" w:name="_Toc375869236"/>
      <w:r>
        <w:rPr>
          <w:rFonts w:hint="eastAsia" w:ascii="宋体" w:hAnsi="宋体" w:eastAsia="宋体"/>
          <w:b/>
          <w:bCs/>
          <w:highlight w:val="none"/>
          <w:lang w:val="zh-CN"/>
        </w:rPr>
        <w:t>6.1 评标及评标委员会</w:t>
      </w:r>
      <w:bookmarkEnd w:id="148"/>
      <w:bookmarkEnd w:id="149"/>
    </w:p>
    <w:p w14:paraId="5F9573DE">
      <w:pPr>
        <w:wordWrap w:val="0"/>
        <w:spacing w:line="336" w:lineRule="auto"/>
        <w:ind w:firstLine="420" w:firstLineChars="200"/>
        <w:rPr>
          <w:rFonts w:ascii="宋体" w:hAnsi="宋体" w:cs="宋体"/>
          <w:sz w:val="21"/>
          <w:szCs w:val="21"/>
          <w:highlight w:val="none"/>
        </w:rPr>
      </w:pPr>
      <w:bookmarkStart w:id="150" w:name="_Toc378239175"/>
      <w:bookmarkStart w:id="151" w:name="_Toc401342139"/>
      <w:bookmarkStart w:id="152" w:name="_Toc1045"/>
      <w:bookmarkStart w:id="153" w:name="_Toc179632580"/>
      <w:bookmarkStart w:id="154" w:name="_Toc378239356"/>
      <w:bookmarkStart w:id="155" w:name="_Toc296602451"/>
      <w:bookmarkStart w:id="156" w:name="_Toc152042338"/>
      <w:bookmarkStart w:id="157" w:name="_Toc246996949"/>
      <w:bookmarkStart w:id="158" w:name="_Toc246996206"/>
      <w:bookmarkStart w:id="159" w:name="_Toc480817648"/>
      <w:bookmarkStart w:id="160" w:name="_Toc247085720"/>
      <w:bookmarkStart w:id="161" w:name="_Toc144974530"/>
      <w:bookmarkStart w:id="162" w:name="_Toc378239083"/>
      <w:bookmarkStart w:id="163" w:name="_Toc152045562"/>
      <w:bookmarkStart w:id="164" w:name="_Toc260908193"/>
      <w:bookmarkStart w:id="165" w:name="_Toc260907977"/>
      <w:bookmarkStart w:id="166" w:name="_Toc229583207"/>
      <w:r>
        <w:rPr>
          <w:rFonts w:hint="eastAsia" w:ascii="宋体" w:hAnsi="宋体" w:cs="宋体"/>
          <w:sz w:val="21"/>
          <w:szCs w:val="21"/>
          <w:highlight w:val="none"/>
        </w:rPr>
        <w:t>6.1</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Pr>
          <w:rFonts w:hint="eastAsia" w:ascii="宋体" w:hAnsi="宋体" w:cs="宋体"/>
          <w:sz w:val="21"/>
          <w:szCs w:val="21"/>
          <w:highlight w:val="none"/>
        </w:rPr>
        <w:t>.1开</w:t>
      </w:r>
      <w:bookmarkStart w:id="167" w:name="_Toc144974531"/>
      <w:bookmarkStart w:id="168" w:name="_Toc247085721"/>
      <w:bookmarkStart w:id="169" w:name="_Toc152045563"/>
      <w:bookmarkStart w:id="170" w:name="_Toc246996950"/>
      <w:bookmarkStart w:id="171" w:name="_Toc296602452"/>
      <w:bookmarkStart w:id="172" w:name="_Toc246996207"/>
      <w:bookmarkStart w:id="173" w:name="_Toc179632581"/>
      <w:bookmarkStart w:id="174" w:name="_Toc152042339"/>
      <w:r>
        <w:rPr>
          <w:rFonts w:hint="eastAsia" w:ascii="宋体" w:hAnsi="宋体" w:cs="宋体"/>
          <w:sz w:val="21"/>
          <w:szCs w:val="21"/>
          <w:highlight w:val="none"/>
        </w:rPr>
        <w:t>标结束后，采</w:t>
      </w:r>
      <w:bookmarkEnd w:id="167"/>
      <w:bookmarkEnd w:id="168"/>
      <w:bookmarkEnd w:id="169"/>
      <w:bookmarkEnd w:id="170"/>
      <w:bookmarkEnd w:id="171"/>
      <w:bookmarkEnd w:id="172"/>
      <w:bookmarkEnd w:id="173"/>
      <w:bookmarkEnd w:id="174"/>
      <w:r>
        <w:rPr>
          <w:rFonts w:hint="eastAsia" w:ascii="宋体" w:hAnsi="宋体" w:cs="宋体"/>
          <w:sz w:val="21"/>
          <w:szCs w:val="21"/>
          <w:highlight w:val="none"/>
        </w:rPr>
        <w:t>购人或者采购代理机构将根据招标文件规定，依法对投标人的资格进行审查。合格投标人不足3家的，不得评标。</w:t>
      </w:r>
    </w:p>
    <w:p w14:paraId="69BE0AF4">
      <w:pPr>
        <w:wordWrap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6.1.2评标委员会由采购人代表和评审专家组成，成员人数为5人以上单数，其中评审专家不得少于成员总数的三分之二。评标委员会应当推选组长，但采购人代表不得担任组长。</w:t>
      </w:r>
    </w:p>
    <w:p w14:paraId="17304D6A">
      <w:pPr>
        <w:wordWrap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6.1.3采购人委派代表参加评标委员会的，要向采购代理机构出具授权函。除授权代表外，采购人可以委派纪检监察等相关人员进入评审现场，对评审工作实施监督，但不得超过2人。</w:t>
      </w:r>
    </w:p>
    <w:p w14:paraId="09E49811">
      <w:pPr>
        <w:wordWrap w:val="0"/>
        <w:spacing w:line="336"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6.1.4评标活动遵循公平</w:t>
      </w:r>
      <w:bookmarkStart w:id="175" w:name="_Toc246996952"/>
      <w:bookmarkStart w:id="176" w:name="_Toc246996209"/>
      <w:bookmarkStart w:id="177" w:name="_Toc247085723"/>
      <w:bookmarkStart w:id="178" w:name="_Toc296602454"/>
      <w:bookmarkStart w:id="179" w:name="_Toc179632583"/>
      <w:bookmarkStart w:id="180" w:name="_Toc152045565"/>
      <w:bookmarkStart w:id="181" w:name="_Toc144974533"/>
      <w:bookmarkStart w:id="182" w:name="_Toc152042341"/>
      <w:r>
        <w:rPr>
          <w:rFonts w:hint="eastAsia" w:ascii="宋体" w:hAnsi="宋体" w:cs="宋体"/>
          <w:sz w:val="21"/>
          <w:szCs w:val="21"/>
          <w:highlight w:val="none"/>
        </w:rPr>
        <w:t>、公正、科学和择优的原则。</w:t>
      </w:r>
    </w:p>
    <w:p w14:paraId="516913D3">
      <w:pPr>
        <w:wordWrap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6.1.5评标委员会各成员</w:t>
      </w:r>
      <w:bookmarkEnd w:id="175"/>
      <w:bookmarkEnd w:id="176"/>
      <w:bookmarkEnd w:id="177"/>
      <w:bookmarkEnd w:id="178"/>
      <w:bookmarkEnd w:id="179"/>
      <w:bookmarkEnd w:id="180"/>
      <w:bookmarkEnd w:id="181"/>
      <w:bookmarkEnd w:id="182"/>
      <w:r>
        <w:rPr>
          <w:rFonts w:hint="eastAsia" w:ascii="宋体" w:hAnsi="宋体" w:cs="宋体"/>
          <w:sz w:val="21"/>
          <w:szCs w:val="21"/>
          <w:highlight w:val="none"/>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601D5188">
      <w:pPr>
        <w:wordWrap w:val="0"/>
        <w:spacing w:line="336"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6.1.6评标过程的保密：</w:t>
      </w:r>
    </w:p>
    <w:p w14:paraId="555D63C7">
      <w:pPr>
        <w:wordWrap w:val="0"/>
        <w:spacing w:line="336" w:lineRule="auto"/>
        <w:ind w:firstLine="420" w:firstLineChars="200"/>
        <w:rPr>
          <w:rFonts w:ascii="宋体" w:hAnsi="宋体" w:cs="宋体"/>
          <w:sz w:val="21"/>
          <w:szCs w:val="21"/>
          <w:highlight w:val="none"/>
        </w:rPr>
      </w:pPr>
      <w:bookmarkStart w:id="183" w:name="_Toc417913976"/>
      <w:r>
        <w:rPr>
          <w:rFonts w:hint="eastAsia" w:ascii="宋体" w:hAnsi="宋体" w:cs="宋体"/>
          <w:sz w:val="21"/>
          <w:szCs w:val="21"/>
          <w:highlight w:val="none"/>
        </w:rPr>
        <w:t>（1）评标在严格</w:t>
      </w:r>
      <w:bookmarkEnd w:id="183"/>
      <w:r>
        <w:rPr>
          <w:rFonts w:hint="eastAsia" w:ascii="宋体" w:hAnsi="宋体" w:cs="宋体"/>
          <w:sz w:val="21"/>
          <w:szCs w:val="21"/>
          <w:highlight w:val="none"/>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C3C27F4">
      <w:pPr>
        <w:wordWrap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3D4280B6">
      <w:pPr>
        <w:widowControl w:val="0"/>
        <w:wordWrap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6.1.7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0C2EAC2B">
      <w:pPr>
        <w:pStyle w:val="4"/>
        <w:rPr>
          <w:highlight w:val="none"/>
          <w:lang w:val="zh-CN"/>
        </w:rPr>
      </w:pPr>
      <w:bookmarkStart w:id="184" w:name="_Toc28982"/>
      <w:bookmarkStart w:id="185" w:name="_Toc23960"/>
      <w:r>
        <w:rPr>
          <w:rFonts w:hint="eastAsia"/>
          <w:highlight w:val="none"/>
          <w:lang w:val="zh-CN"/>
        </w:rPr>
        <w:t>（七）</w:t>
      </w:r>
      <w:bookmarkEnd w:id="164"/>
      <w:bookmarkEnd w:id="165"/>
      <w:bookmarkEnd w:id="166"/>
      <w:r>
        <w:rPr>
          <w:rFonts w:hint="eastAsia"/>
          <w:highlight w:val="none"/>
          <w:lang w:val="zh-CN"/>
        </w:rPr>
        <w:t>中标及合同</w:t>
      </w:r>
      <w:bookmarkEnd w:id="184"/>
      <w:bookmarkEnd w:id="185"/>
    </w:p>
    <w:p w14:paraId="546FC217">
      <w:pPr>
        <w:pStyle w:val="215"/>
        <w:keepLines w:val="0"/>
        <w:widowControl/>
        <w:spacing w:line="360" w:lineRule="auto"/>
        <w:outlineLvl w:val="3"/>
        <w:rPr>
          <w:rFonts w:ascii="宋体" w:hAnsi="宋体" w:eastAsia="宋体"/>
          <w:b/>
          <w:bCs/>
          <w:highlight w:val="none"/>
          <w:lang w:val="zh-CN"/>
        </w:rPr>
      </w:pPr>
      <w:bookmarkStart w:id="186" w:name="_Toc7872"/>
      <w:r>
        <w:rPr>
          <w:rFonts w:hint="eastAsia" w:ascii="宋体" w:hAnsi="宋体" w:eastAsia="宋体"/>
          <w:b/>
          <w:bCs/>
          <w:highlight w:val="none"/>
          <w:lang w:val="zh-CN"/>
        </w:rPr>
        <w:t>7.1 定标方式</w:t>
      </w:r>
      <w:bookmarkEnd w:id="186"/>
    </w:p>
    <w:p w14:paraId="5BDDB003">
      <w:pPr>
        <w:keepNext/>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按照投标人须知前附表的规定，采购人或采购人授权的评标委员会依法确定中标人。</w:t>
      </w:r>
    </w:p>
    <w:p w14:paraId="0BFE5F14">
      <w:pPr>
        <w:pStyle w:val="215"/>
        <w:keepLines w:val="0"/>
        <w:widowControl/>
        <w:spacing w:line="360" w:lineRule="auto"/>
        <w:outlineLvl w:val="3"/>
        <w:rPr>
          <w:rFonts w:ascii="宋体" w:hAnsi="宋体" w:eastAsia="宋体"/>
          <w:b/>
          <w:bCs/>
          <w:highlight w:val="none"/>
          <w:lang w:val="zh-CN"/>
        </w:rPr>
      </w:pPr>
      <w:bookmarkStart w:id="187" w:name="_Toc13324"/>
      <w:r>
        <w:rPr>
          <w:rFonts w:hint="eastAsia" w:ascii="宋体" w:hAnsi="宋体" w:eastAsia="宋体"/>
          <w:b/>
          <w:bCs/>
          <w:highlight w:val="none"/>
          <w:lang w:val="zh-CN"/>
        </w:rPr>
        <w:t>7.2 中标公告</w:t>
      </w:r>
      <w:bookmarkEnd w:id="187"/>
    </w:p>
    <w:p w14:paraId="7A5B032F">
      <w:pPr>
        <w:keepNext/>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采购人或者采购代理机构应当自中标人确定之日起2个工作日内，按照投标人须知前附表规定的省级以上财政部门指定的媒介和期限公告中标结果，招标文件应当随中标结果同时公告。</w:t>
      </w:r>
    </w:p>
    <w:p w14:paraId="35FB832A">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中标公告媒介及期限：详见投标人须知前附表。</w:t>
      </w:r>
    </w:p>
    <w:p w14:paraId="52E03527">
      <w:pPr>
        <w:pStyle w:val="215"/>
        <w:keepLines w:val="0"/>
        <w:widowControl/>
        <w:spacing w:line="360" w:lineRule="auto"/>
        <w:outlineLvl w:val="3"/>
        <w:rPr>
          <w:rFonts w:ascii="宋体" w:hAnsi="宋体" w:eastAsia="宋体"/>
          <w:b/>
          <w:bCs/>
          <w:highlight w:val="none"/>
          <w:lang w:val="zh-CN"/>
        </w:rPr>
      </w:pPr>
      <w:bookmarkStart w:id="188" w:name="_Toc29839"/>
      <w:r>
        <w:rPr>
          <w:rFonts w:hint="eastAsia" w:ascii="宋体" w:hAnsi="宋体" w:eastAsia="宋体"/>
          <w:b/>
          <w:bCs/>
          <w:highlight w:val="none"/>
          <w:lang w:val="zh-CN"/>
        </w:rPr>
        <w:t>7.3 中标通知</w:t>
      </w:r>
      <w:bookmarkEnd w:id="188"/>
    </w:p>
    <w:p w14:paraId="061F4A26">
      <w:pPr>
        <w:keepNext/>
        <w:keepLines/>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在本章第3.3款规定的投标有效期内，在公告中标结果的同时，采购人或者采购代理机构应当向中标人发出中标通知书；对未通过资格审查的投标人，应当告知其未通过的原因。采用综合评分法评审的，应当告知未中标人本人的评审得分与排序。</w:t>
      </w:r>
    </w:p>
    <w:p w14:paraId="31FD66FE">
      <w:pPr>
        <w:pStyle w:val="215"/>
        <w:keepLines w:val="0"/>
        <w:spacing w:line="360" w:lineRule="auto"/>
        <w:outlineLvl w:val="3"/>
        <w:rPr>
          <w:rFonts w:ascii="宋体" w:hAnsi="宋体" w:eastAsia="宋体"/>
          <w:b/>
          <w:bCs/>
          <w:highlight w:val="none"/>
          <w:lang w:val="zh-CN"/>
        </w:rPr>
      </w:pPr>
      <w:bookmarkStart w:id="189" w:name="_Toc20928"/>
      <w:r>
        <w:rPr>
          <w:rFonts w:hint="eastAsia" w:ascii="宋体" w:hAnsi="宋体" w:eastAsia="宋体"/>
          <w:b/>
          <w:bCs/>
          <w:highlight w:val="none"/>
          <w:lang w:val="zh-CN"/>
        </w:rPr>
        <w:t>7.4 履约保证金</w:t>
      </w:r>
      <w:bookmarkEnd w:id="189"/>
    </w:p>
    <w:p w14:paraId="2B8D3ECE">
      <w:pPr>
        <w:widowControl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7.4.1中标人应按投标人须知前附表规定的形式、金额向采购人提交履约保证金。</w:t>
      </w:r>
    </w:p>
    <w:p w14:paraId="2B57B0BC">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7.4.2中标人不能按本章第7.4.1项要求提交履约保证金的，视为放弃中标，其投标保证金不予退还，给采购人造成的损失超过投标保证金数额的，中标人还应当对超过部分予以赔偿。</w:t>
      </w:r>
    </w:p>
    <w:p w14:paraId="279017FC">
      <w:pPr>
        <w:pStyle w:val="215"/>
        <w:keepLines w:val="0"/>
        <w:widowControl/>
        <w:spacing w:line="360" w:lineRule="auto"/>
        <w:outlineLvl w:val="3"/>
        <w:rPr>
          <w:rFonts w:ascii="宋体" w:hAnsi="宋体" w:eastAsia="宋体"/>
          <w:b/>
          <w:bCs/>
          <w:highlight w:val="none"/>
          <w:lang w:val="zh-CN"/>
        </w:rPr>
      </w:pPr>
      <w:bookmarkStart w:id="190" w:name="_Toc15917"/>
      <w:r>
        <w:rPr>
          <w:rFonts w:hint="eastAsia" w:ascii="宋体" w:hAnsi="宋体" w:eastAsia="宋体"/>
          <w:b/>
          <w:bCs/>
          <w:highlight w:val="none"/>
          <w:lang w:val="zh-CN"/>
        </w:rPr>
        <w:t>7.5 签订合同</w:t>
      </w:r>
      <w:bookmarkEnd w:id="190"/>
    </w:p>
    <w:p w14:paraId="6AA67931">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7.5.1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6BA86525">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7.5.2中标通知书发出后，采购人不得违法改变中标结果，中标人无正当理由不得放弃中标。</w:t>
      </w:r>
    </w:p>
    <w:p w14:paraId="4D28CA41">
      <w:pPr>
        <w:wordWrap w:val="0"/>
        <w:spacing w:line="360" w:lineRule="auto"/>
        <w:ind w:firstLine="472" w:firstLineChars="225"/>
        <w:rPr>
          <w:rFonts w:ascii="宋体" w:hAnsi="宋体" w:cs="宋体"/>
          <w:b/>
          <w:sz w:val="24"/>
          <w:szCs w:val="24"/>
          <w:highlight w:val="none"/>
          <w:u w:val="single"/>
        </w:rPr>
      </w:pPr>
      <w:r>
        <w:rPr>
          <w:rFonts w:hint="eastAsia" w:ascii="宋体" w:hAnsi="宋体" w:cs="宋体"/>
          <w:sz w:val="21"/>
          <w:szCs w:val="21"/>
          <w:highlight w:val="none"/>
        </w:rPr>
        <w:t>7.5.3中标或者成交投标人拒绝与采购人签订合同的，采购人可以按照评审报告推荐的中标或者成交候选人名单排序，确定下一候选人为中标或者成交投标人，也可以重新开展政府采购活动。</w:t>
      </w:r>
    </w:p>
    <w:p w14:paraId="5B37361D">
      <w:pPr>
        <w:pStyle w:val="4"/>
        <w:rPr>
          <w:highlight w:val="none"/>
          <w:lang w:val="zh-CN"/>
        </w:rPr>
      </w:pPr>
      <w:bookmarkStart w:id="191" w:name="_Toc260908194"/>
      <w:bookmarkStart w:id="192" w:name="_Toc260907978"/>
      <w:bookmarkStart w:id="193" w:name="_Toc3156"/>
      <w:bookmarkStart w:id="194" w:name="_Toc22014"/>
      <w:r>
        <w:rPr>
          <w:rFonts w:hint="eastAsia"/>
          <w:highlight w:val="none"/>
          <w:lang w:val="zh-CN"/>
        </w:rPr>
        <w:t>（八）重新</w:t>
      </w:r>
      <w:bookmarkEnd w:id="191"/>
      <w:bookmarkEnd w:id="192"/>
      <w:r>
        <w:rPr>
          <w:rFonts w:hint="eastAsia"/>
          <w:highlight w:val="none"/>
          <w:lang w:val="zh-CN"/>
        </w:rPr>
        <w:t>采购</w:t>
      </w:r>
      <w:bookmarkEnd w:id="193"/>
      <w:bookmarkEnd w:id="194"/>
    </w:p>
    <w:p w14:paraId="4CAEFD03">
      <w:pPr>
        <w:pStyle w:val="215"/>
        <w:keepNext w:val="0"/>
        <w:keepLines w:val="0"/>
        <w:spacing w:line="360" w:lineRule="auto"/>
        <w:outlineLvl w:val="3"/>
        <w:rPr>
          <w:rFonts w:ascii="宋体" w:hAnsi="宋体" w:eastAsia="宋体"/>
          <w:b/>
          <w:bCs/>
          <w:highlight w:val="none"/>
          <w:lang w:val="zh-CN"/>
        </w:rPr>
      </w:pPr>
      <w:bookmarkStart w:id="195" w:name="_Toc18762"/>
      <w:r>
        <w:rPr>
          <w:rFonts w:hint="eastAsia" w:ascii="宋体" w:hAnsi="宋体" w:eastAsia="宋体"/>
          <w:b/>
          <w:bCs/>
          <w:highlight w:val="none"/>
          <w:lang w:val="zh-CN"/>
        </w:rPr>
        <w:t>8.1 重新采购</w:t>
      </w:r>
      <w:bookmarkEnd w:id="195"/>
    </w:p>
    <w:p w14:paraId="46A104EA">
      <w:pPr>
        <w:widowControl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有下列情形之一的，采购人将重新采购：</w:t>
      </w:r>
    </w:p>
    <w:p w14:paraId="5414F3FB">
      <w:pPr>
        <w:widowControl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（1</w:t>
      </w:r>
      <w:r>
        <w:rPr>
          <w:rFonts w:hint="eastAsia" w:ascii="宋体" w:hAnsi="宋体" w:cs="宋体"/>
          <w:szCs w:val="21"/>
          <w:highlight w:val="none"/>
        </w:rPr>
        <w:t>）</w:t>
      </w:r>
      <w:r>
        <w:rPr>
          <w:rFonts w:hint="eastAsia" w:ascii="宋体" w:hAnsi="宋体" w:cs="宋体"/>
          <w:sz w:val="21"/>
          <w:szCs w:val="21"/>
          <w:highlight w:val="none"/>
        </w:rPr>
        <w:t>投标截止后投标人不足3家或者通过资格审查或符合性审查的投标人不足3家的；</w:t>
      </w:r>
    </w:p>
    <w:p w14:paraId="24261558">
      <w:pPr>
        <w:widowControl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（2）出现影响采购公正的违法、违规行为的；</w:t>
      </w:r>
    </w:p>
    <w:p w14:paraId="7C73FE06">
      <w:pPr>
        <w:widowControl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（3）投标人的报价均超过了采购预算（上限价），采购人不能支付的。</w:t>
      </w:r>
    </w:p>
    <w:p w14:paraId="7782AE47">
      <w:pPr>
        <w:pStyle w:val="4"/>
        <w:rPr>
          <w:highlight w:val="none"/>
          <w:lang w:val="zh-CN"/>
        </w:rPr>
      </w:pPr>
      <w:bookmarkStart w:id="196" w:name="_Toc184635079"/>
      <w:bookmarkStart w:id="197" w:name="_Toc260907979"/>
      <w:bookmarkStart w:id="198" w:name="_Toc14105"/>
      <w:bookmarkStart w:id="199" w:name="_Toc9498"/>
      <w:bookmarkStart w:id="200" w:name="_Toc260908195"/>
      <w:r>
        <w:rPr>
          <w:rFonts w:hint="eastAsia"/>
          <w:highlight w:val="none"/>
          <w:lang w:val="zh-CN"/>
        </w:rPr>
        <w:t>（九）纪律和监督</w:t>
      </w:r>
      <w:bookmarkEnd w:id="196"/>
      <w:bookmarkEnd w:id="197"/>
      <w:bookmarkEnd w:id="198"/>
      <w:bookmarkEnd w:id="199"/>
      <w:bookmarkEnd w:id="200"/>
    </w:p>
    <w:p w14:paraId="0C32387F">
      <w:pPr>
        <w:pStyle w:val="215"/>
        <w:keepNext w:val="0"/>
        <w:keepLines w:val="0"/>
        <w:spacing w:line="360" w:lineRule="auto"/>
        <w:outlineLvl w:val="3"/>
        <w:rPr>
          <w:rFonts w:ascii="宋体" w:hAnsi="宋体" w:eastAsia="宋体"/>
          <w:b/>
          <w:bCs/>
          <w:highlight w:val="none"/>
          <w:lang w:val="zh-CN"/>
        </w:rPr>
      </w:pPr>
      <w:bookmarkStart w:id="201" w:name="_Toc28359"/>
      <w:bookmarkStart w:id="202" w:name="_Toc260907981"/>
      <w:bookmarkStart w:id="203" w:name="_Toc184635080"/>
      <w:bookmarkStart w:id="204" w:name="_Toc260908197"/>
      <w:r>
        <w:rPr>
          <w:rFonts w:hint="eastAsia" w:ascii="宋体" w:hAnsi="宋体" w:eastAsia="宋体"/>
          <w:b/>
          <w:bCs/>
          <w:highlight w:val="none"/>
          <w:lang w:val="zh-CN"/>
        </w:rPr>
        <w:t>9.1 对采购人的纪律要求</w:t>
      </w:r>
      <w:bookmarkEnd w:id="201"/>
    </w:p>
    <w:p w14:paraId="44B6F815">
      <w:pPr>
        <w:keepNext/>
        <w:keepLines/>
        <w:spacing w:line="348" w:lineRule="auto"/>
        <w:ind w:firstLine="472" w:firstLineChars="225"/>
        <w:rPr>
          <w:rFonts w:ascii="宋体" w:hAnsi="宋体" w:cs="宋体"/>
          <w:sz w:val="21"/>
          <w:szCs w:val="21"/>
          <w:highlight w:val="none"/>
        </w:rPr>
      </w:pPr>
      <w:r>
        <w:rPr>
          <w:rFonts w:hint="eastAsia" w:ascii="宋体" w:hAnsi="宋体" w:cs="宋体"/>
          <w:sz w:val="21"/>
          <w:szCs w:val="21"/>
          <w:highlight w:val="none"/>
        </w:rPr>
        <w:t>采购人不得泄漏招标投标活动中应当保密的情况和资料，不得与投标人串通损害国有利益、社会公共利益或者他人合法权益。</w:t>
      </w:r>
    </w:p>
    <w:p w14:paraId="20899B74">
      <w:pPr>
        <w:pStyle w:val="215"/>
        <w:keepLines w:val="0"/>
        <w:widowControl/>
        <w:spacing w:line="360" w:lineRule="auto"/>
        <w:outlineLvl w:val="3"/>
        <w:rPr>
          <w:rFonts w:ascii="宋体" w:hAnsi="宋体" w:eastAsia="宋体"/>
          <w:b/>
          <w:bCs/>
          <w:highlight w:val="none"/>
          <w:lang w:val="zh-CN"/>
        </w:rPr>
      </w:pPr>
      <w:bookmarkStart w:id="205" w:name="_Toc14046"/>
      <w:r>
        <w:rPr>
          <w:rFonts w:hint="eastAsia" w:ascii="宋体" w:hAnsi="宋体" w:eastAsia="宋体"/>
          <w:b/>
          <w:bCs/>
          <w:highlight w:val="none"/>
          <w:lang w:val="zh-CN"/>
        </w:rPr>
        <w:t>9.2 对投标人的纪律要求</w:t>
      </w:r>
      <w:bookmarkEnd w:id="205"/>
    </w:p>
    <w:p w14:paraId="442A7744">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0A5EDE80">
      <w:pPr>
        <w:pStyle w:val="215"/>
        <w:keepNext w:val="0"/>
        <w:keepLines w:val="0"/>
        <w:spacing w:line="360" w:lineRule="auto"/>
        <w:outlineLvl w:val="3"/>
        <w:rPr>
          <w:rFonts w:ascii="宋体" w:hAnsi="宋体" w:eastAsia="宋体"/>
          <w:b/>
          <w:bCs/>
          <w:highlight w:val="none"/>
          <w:lang w:val="zh-CN"/>
        </w:rPr>
      </w:pPr>
      <w:bookmarkStart w:id="206" w:name="_Toc31203"/>
      <w:r>
        <w:rPr>
          <w:rFonts w:hint="eastAsia" w:ascii="宋体" w:hAnsi="宋体" w:eastAsia="宋体"/>
          <w:b/>
          <w:bCs/>
          <w:highlight w:val="none"/>
          <w:lang w:val="zh-CN"/>
        </w:rPr>
        <w:t>9.3 对评标委员会成员的纪律要求</w:t>
      </w:r>
      <w:bookmarkEnd w:id="206"/>
    </w:p>
    <w:p w14:paraId="46340383">
      <w:pPr>
        <w:widowControl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14:paraId="5F392326">
      <w:pPr>
        <w:pStyle w:val="215"/>
        <w:keepLines w:val="0"/>
        <w:widowControl/>
        <w:spacing w:line="360" w:lineRule="auto"/>
        <w:outlineLvl w:val="3"/>
        <w:rPr>
          <w:rFonts w:ascii="宋体" w:hAnsi="宋体" w:eastAsia="宋体"/>
          <w:b/>
          <w:bCs/>
          <w:highlight w:val="none"/>
          <w:lang w:val="zh-CN"/>
        </w:rPr>
      </w:pPr>
      <w:bookmarkStart w:id="207" w:name="_Toc25832"/>
      <w:r>
        <w:rPr>
          <w:rFonts w:hint="eastAsia" w:ascii="宋体" w:hAnsi="宋体" w:eastAsia="宋体"/>
          <w:b/>
          <w:bCs/>
          <w:highlight w:val="none"/>
          <w:lang w:val="zh-CN"/>
        </w:rPr>
        <w:t>9.4 对与评标活动有关的工作人员的纪律要求</w:t>
      </w:r>
      <w:bookmarkEnd w:id="207"/>
    </w:p>
    <w:p w14:paraId="6792BF20">
      <w:pPr>
        <w:wordWrap w:val="0"/>
        <w:spacing w:line="360" w:lineRule="auto"/>
        <w:ind w:firstLine="472" w:firstLineChars="225"/>
        <w:rPr>
          <w:rFonts w:ascii="宋体" w:hAnsi="宋体" w:cs="宋体"/>
          <w:sz w:val="21"/>
          <w:szCs w:val="21"/>
          <w:highlight w:val="none"/>
        </w:rPr>
      </w:pPr>
      <w:r>
        <w:rPr>
          <w:rFonts w:hint="eastAsia" w:ascii="宋体" w:hAnsi="宋体" w:cs="宋体"/>
          <w:sz w:val="21"/>
          <w:szCs w:val="21"/>
          <w:highlight w:val="none"/>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14:paraId="3DD38E8A">
      <w:pPr>
        <w:pStyle w:val="215"/>
        <w:keepLines w:val="0"/>
        <w:widowControl/>
        <w:spacing w:line="360" w:lineRule="auto"/>
        <w:outlineLvl w:val="3"/>
        <w:rPr>
          <w:rFonts w:ascii="宋体" w:hAnsi="宋体" w:eastAsia="宋体"/>
          <w:b/>
          <w:bCs/>
          <w:highlight w:val="none"/>
          <w:lang w:val="zh-CN"/>
        </w:rPr>
      </w:pPr>
      <w:bookmarkStart w:id="208" w:name="_Toc13768"/>
      <w:r>
        <w:rPr>
          <w:rFonts w:hint="eastAsia" w:ascii="宋体" w:hAnsi="宋体" w:eastAsia="宋体"/>
          <w:b/>
          <w:bCs/>
          <w:highlight w:val="none"/>
          <w:lang w:val="zh-CN"/>
        </w:rPr>
        <w:t>9.5 质疑和投诉</w:t>
      </w:r>
      <w:bookmarkEnd w:id="208"/>
    </w:p>
    <w:p w14:paraId="7AF36C44">
      <w:pPr>
        <w:wordWrap w:val="0"/>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9.5.1质疑期限</w:t>
      </w:r>
    </w:p>
    <w:p w14:paraId="54015B65">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投标人认为招标文件、招标过程、中标结果使自己的权益受到损害的，可以在知道或者应知其权益受到损害之日起7个工作日内，以书面形式向采购人、采购代理机构提出质疑。</w:t>
      </w:r>
    </w:p>
    <w:p w14:paraId="4187213E">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投标人应在法定质疑期内一次性提出针对同一采购程序环节的质疑。</w:t>
      </w:r>
    </w:p>
    <w:p w14:paraId="1E057AF9">
      <w:pPr>
        <w:wordWrap w:val="0"/>
        <w:spacing w:line="360" w:lineRule="auto"/>
        <w:ind w:firstLine="420" w:firstLineChars="200"/>
        <w:rPr>
          <w:rFonts w:ascii="宋体" w:hAnsi="宋体" w:cs="宋体"/>
          <w:szCs w:val="21"/>
          <w:highlight w:val="none"/>
        </w:rPr>
      </w:pPr>
      <w:r>
        <w:rPr>
          <w:rFonts w:hint="eastAsia" w:ascii="宋体" w:hAnsi="宋体" w:cs="宋体"/>
          <w:sz w:val="21"/>
          <w:szCs w:val="21"/>
          <w:highlight w:val="none"/>
        </w:rPr>
        <w:t>接收质疑函的方式及联系方式如下：</w:t>
      </w:r>
    </w:p>
    <w:p w14:paraId="1251FA4F">
      <w:pPr>
        <w:wordWrap w:val="0"/>
        <w:spacing w:line="360" w:lineRule="auto"/>
        <w:ind w:firstLine="420" w:firstLineChars="200"/>
        <w:rPr>
          <w:rFonts w:ascii="宋体" w:hAnsi="宋体" w:cs="宋体"/>
          <w:szCs w:val="21"/>
          <w:highlight w:val="none"/>
        </w:rPr>
      </w:pPr>
      <w:r>
        <w:rPr>
          <w:rFonts w:hint="eastAsia" w:ascii="宋体" w:hAnsi="宋体" w:cs="宋体"/>
          <w:sz w:val="21"/>
          <w:szCs w:val="21"/>
          <w:highlight w:val="none"/>
        </w:rPr>
        <w:t>接收质疑函的方式：书面形式；</w:t>
      </w:r>
    </w:p>
    <w:p w14:paraId="1FEE57B7">
      <w:pPr>
        <w:wordWrap w:val="0"/>
        <w:spacing w:line="360" w:lineRule="auto"/>
        <w:ind w:firstLine="420" w:firstLineChars="200"/>
        <w:rPr>
          <w:rFonts w:ascii="宋体" w:hAnsi="宋体" w:cs="宋体"/>
          <w:szCs w:val="21"/>
          <w:highlight w:val="none"/>
        </w:rPr>
      </w:pPr>
      <w:r>
        <w:rPr>
          <w:rFonts w:hint="eastAsia" w:ascii="宋体" w:hAnsi="宋体" w:cs="宋体"/>
          <w:sz w:val="21"/>
          <w:szCs w:val="21"/>
          <w:highlight w:val="none"/>
        </w:rPr>
        <w:t>联系电话和通讯地址：详见 第一章 招标公告 “七、对本次招标提出询问，请按以下方式联系”。</w:t>
      </w:r>
    </w:p>
    <w:p w14:paraId="0B5A5391">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潜在投标人已依法获取其可质疑的招标文件的，可以对该文件提出质疑。对招标文件提出质疑的，应当在获取招标文件或者招标文件公告期限届满之日起7个工作日内提出。</w:t>
      </w:r>
    </w:p>
    <w:p w14:paraId="27AF557C">
      <w:pPr>
        <w:wordWrap w:val="0"/>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9.5.2质疑主体</w:t>
      </w:r>
    </w:p>
    <w:p w14:paraId="26035ABD">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提出质疑的投标人应当是参与所质疑项目采购活动的投标人。</w:t>
      </w:r>
    </w:p>
    <w:p w14:paraId="0B3713F0">
      <w:pPr>
        <w:keepNext/>
        <w:wordWrap w:val="0"/>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9.5.3质疑函</w:t>
      </w:r>
    </w:p>
    <w:p w14:paraId="5ECF5F80">
      <w:pPr>
        <w:keepNext/>
        <w:keepLines/>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投标人应在法定质疑期内一次性提出针对同一采购程序环节的质疑。投标人提出质疑应当提交质疑函和必要的证明材料。质疑函应当包括下列内容：</w:t>
      </w:r>
    </w:p>
    <w:p w14:paraId="5DD5DA72">
      <w:pPr>
        <w:keepNext/>
        <w:keepLines/>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（一）投标人的姓名或者名称、地址、邮编、联系人及联系电话；</w:t>
      </w:r>
    </w:p>
    <w:p w14:paraId="00291B7D">
      <w:pPr>
        <w:keepNext/>
        <w:keepLines/>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（二）质疑项目的名称、编号；</w:t>
      </w:r>
    </w:p>
    <w:p w14:paraId="2366CA01">
      <w:pPr>
        <w:keepNext/>
        <w:keepLines/>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（三）具体、明确的质疑事项和与质疑事项相关的请求；</w:t>
      </w:r>
    </w:p>
    <w:p w14:paraId="7BB88ADC">
      <w:pPr>
        <w:keepNext/>
        <w:keepLines/>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（四）事实依据；</w:t>
      </w:r>
    </w:p>
    <w:p w14:paraId="6036481B">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（五）必要的法律依据；</w:t>
      </w:r>
    </w:p>
    <w:p w14:paraId="73EA56F6">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（六）提出质疑的日期。</w:t>
      </w:r>
    </w:p>
    <w:p w14:paraId="7DEC73F7">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投标人为自然人的，应当由本人签字；投标人为法人或者其他组织的，应当由法定代表人、主要负责人，或者其授权代表签字或者盖章，并加盖公章。</w:t>
      </w:r>
    </w:p>
    <w:p w14:paraId="18011E1B">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本招标文件中的公章是指经工商部门和公安部门登记备案的具有法律效力的行政法人公章。不包括“合同专用章”或“投标专用章”等投标人内部使用的业务章，下同。</w:t>
      </w:r>
    </w:p>
    <w:p w14:paraId="6C9AB309">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9CD84C6">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代理人提出质疑和投诉，应当提交投标人签署的授权委托书。</w:t>
      </w:r>
    </w:p>
    <w:p w14:paraId="7C459097">
      <w:pPr>
        <w:wordWrap w:val="0"/>
        <w:spacing w:line="360" w:lineRule="auto"/>
        <w:ind w:firstLine="420" w:firstLineChars="200"/>
        <w:rPr>
          <w:rFonts w:ascii="宋体" w:hAnsi="宋体" w:cs="宋体"/>
          <w:szCs w:val="21"/>
          <w:highlight w:val="none"/>
        </w:rPr>
      </w:pPr>
      <w:r>
        <w:rPr>
          <w:rFonts w:hint="eastAsia" w:ascii="宋体" w:hAnsi="宋体" w:cs="宋体"/>
          <w:sz w:val="21"/>
          <w:szCs w:val="21"/>
          <w:highlight w:val="none"/>
        </w:rPr>
        <w:t>本次采购不接受联合体参与的，若以联合体形式参加的，其投诉应当由组成联合体的所有投标人共同提出。</w:t>
      </w:r>
    </w:p>
    <w:p w14:paraId="3CC8821E">
      <w:pPr>
        <w:keepNext/>
        <w:wordWrap w:val="0"/>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9.5.4质疑函的递交</w:t>
      </w:r>
    </w:p>
    <w:p w14:paraId="44957745">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0686243D">
      <w:pPr>
        <w:wordWrap w:val="0"/>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9.5.5质疑回复</w:t>
      </w:r>
    </w:p>
    <w:p w14:paraId="7388FF3F">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采购人或者采购代理机构应在收到质疑函后7个工作日内作出答复，并以书面形式通知质疑的投标人和其他有关投标人，质疑答复的内容不得涉及商业秘密。</w:t>
      </w:r>
    </w:p>
    <w:p w14:paraId="06BDB951">
      <w:pPr>
        <w:wordWrap w:val="0"/>
        <w:spacing w:line="360" w:lineRule="auto"/>
        <w:ind w:firstLine="420" w:firstLineChars="200"/>
        <w:outlineLvl w:val="4"/>
        <w:rPr>
          <w:rFonts w:ascii="宋体" w:hAnsi="宋体" w:cs="宋体"/>
          <w:sz w:val="21"/>
          <w:szCs w:val="21"/>
          <w:highlight w:val="none"/>
        </w:rPr>
      </w:pPr>
      <w:r>
        <w:rPr>
          <w:rFonts w:hint="eastAsia" w:ascii="宋体" w:hAnsi="宋体" w:cs="宋体"/>
          <w:sz w:val="21"/>
          <w:szCs w:val="21"/>
          <w:highlight w:val="none"/>
        </w:rPr>
        <w:t>9.5.6投诉</w:t>
      </w:r>
    </w:p>
    <w:p w14:paraId="5468CA52">
      <w:pPr>
        <w:widowControl w:val="0"/>
        <w:wordWrap w:val="0"/>
        <w:spacing w:line="348" w:lineRule="auto"/>
        <w:ind w:firstLine="420" w:firstLineChars="200"/>
        <w:rPr>
          <w:rFonts w:ascii="宋体" w:hAnsi="宋体" w:cs="宋体"/>
          <w:sz w:val="21"/>
          <w:szCs w:val="21"/>
          <w:highlight w:val="none"/>
        </w:rPr>
      </w:pPr>
      <w:r>
        <w:rPr>
          <w:rFonts w:hint="eastAsia" w:ascii="宋体" w:hAnsi="宋体" w:cs="宋体"/>
          <w:sz w:val="21"/>
          <w:szCs w:val="21"/>
          <w:highlight w:val="none"/>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14:paraId="6DF62BF6">
      <w:pPr>
        <w:pStyle w:val="4"/>
        <w:rPr>
          <w:highlight w:val="none"/>
          <w:lang w:val="zh-CN"/>
        </w:rPr>
      </w:pPr>
      <w:bookmarkStart w:id="209" w:name="_Toc17102"/>
      <w:bookmarkStart w:id="210" w:name="_Toc21982"/>
      <w:r>
        <w:rPr>
          <w:rFonts w:hint="eastAsia"/>
          <w:highlight w:val="none"/>
          <w:lang w:val="zh-CN"/>
        </w:rPr>
        <w:t>（十）需要补充的其他内容</w:t>
      </w:r>
      <w:bookmarkEnd w:id="202"/>
      <w:bookmarkEnd w:id="203"/>
      <w:bookmarkEnd w:id="204"/>
      <w:bookmarkEnd w:id="209"/>
      <w:bookmarkEnd w:id="210"/>
    </w:p>
    <w:p w14:paraId="11BB0126">
      <w:pPr>
        <w:pStyle w:val="215"/>
        <w:keepLines w:val="0"/>
        <w:widowControl/>
        <w:spacing w:line="360" w:lineRule="auto"/>
        <w:outlineLvl w:val="3"/>
        <w:rPr>
          <w:rFonts w:ascii="宋体" w:hAnsi="宋体" w:eastAsia="宋体"/>
          <w:b/>
          <w:bCs/>
          <w:highlight w:val="none"/>
          <w:lang w:val="zh-CN"/>
        </w:rPr>
      </w:pPr>
      <w:bookmarkStart w:id="211" w:name="_Toc489145737"/>
      <w:bookmarkStart w:id="212" w:name="_Toc489197841"/>
      <w:bookmarkStart w:id="213" w:name="_Toc528186485"/>
      <w:bookmarkStart w:id="214" w:name="_Toc15487"/>
      <w:bookmarkStart w:id="215" w:name="_Toc12244"/>
      <w:r>
        <w:rPr>
          <w:rFonts w:hint="eastAsia" w:ascii="宋体" w:hAnsi="宋体" w:eastAsia="宋体"/>
          <w:b/>
          <w:bCs/>
          <w:highlight w:val="none"/>
          <w:lang w:val="zh-CN"/>
        </w:rPr>
        <w:t>10.1 在招标采购中，出现下列情形之一的，应予废标：</w:t>
      </w:r>
      <w:bookmarkEnd w:id="211"/>
      <w:bookmarkEnd w:id="212"/>
      <w:bookmarkEnd w:id="213"/>
      <w:bookmarkEnd w:id="214"/>
      <w:bookmarkEnd w:id="215"/>
    </w:p>
    <w:p w14:paraId="021B4B20">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（一）符合专业条件的投标人或者对招标文件作实质响应的投标人不足三家的；</w:t>
      </w:r>
    </w:p>
    <w:p w14:paraId="73A4B1C7">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（二）出现影响采购公正的违法、违规行为的；</w:t>
      </w:r>
    </w:p>
    <w:p w14:paraId="21C52C7F">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（三）投标人的报价均超过了采购预算，采购人不能支付的；</w:t>
      </w:r>
    </w:p>
    <w:p w14:paraId="5C570B6F">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（四）因重大变故，采购任务取消的。</w:t>
      </w:r>
    </w:p>
    <w:p w14:paraId="3917B2EB">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废标后，采购人应当将废标理由通知所有投标人。</w:t>
      </w:r>
    </w:p>
    <w:p w14:paraId="4FC304D7">
      <w:pPr>
        <w:pStyle w:val="14"/>
        <w:spacing w:line="360" w:lineRule="auto"/>
        <w:ind w:firstLine="400"/>
        <w:rPr>
          <w:rFonts w:ascii="宋体" w:hAnsi="宋体" w:cs="宋体"/>
          <w:szCs w:val="21"/>
          <w:highlight w:val="none"/>
        </w:rPr>
      </w:pPr>
    </w:p>
    <w:p w14:paraId="2F114712">
      <w:pPr>
        <w:pStyle w:val="215"/>
        <w:keepLines w:val="0"/>
        <w:widowControl/>
        <w:spacing w:line="360" w:lineRule="auto"/>
        <w:outlineLvl w:val="3"/>
        <w:rPr>
          <w:rFonts w:ascii="宋体" w:hAnsi="宋体" w:eastAsia="宋体"/>
          <w:b/>
          <w:bCs/>
          <w:highlight w:val="none"/>
          <w:lang w:val="zh-CN"/>
        </w:rPr>
      </w:pPr>
      <w:bookmarkStart w:id="216" w:name="_Toc19984"/>
      <w:r>
        <w:rPr>
          <w:rFonts w:hint="eastAsia" w:ascii="宋体" w:hAnsi="宋体" w:eastAsia="宋体"/>
          <w:b/>
          <w:bCs/>
          <w:highlight w:val="none"/>
          <w:lang w:val="zh-CN"/>
        </w:rPr>
        <w:t>10.</w:t>
      </w:r>
      <w:r>
        <w:rPr>
          <w:rFonts w:hint="eastAsia" w:ascii="宋体" w:hAnsi="宋体" w:eastAsia="宋体"/>
          <w:b/>
          <w:bCs/>
          <w:highlight w:val="none"/>
        </w:rPr>
        <w:t>2</w:t>
      </w:r>
      <w:r>
        <w:rPr>
          <w:rFonts w:hint="eastAsia" w:ascii="宋体" w:hAnsi="宋体" w:eastAsia="宋体"/>
          <w:b/>
          <w:bCs/>
          <w:highlight w:val="none"/>
          <w:lang w:val="zh-CN"/>
        </w:rPr>
        <w:t xml:space="preserve"> 采购人补充的其他内容</w:t>
      </w:r>
      <w:bookmarkEnd w:id="216"/>
    </w:p>
    <w:p w14:paraId="2403A696">
      <w:pPr>
        <w:pStyle w:val="14"/>
        <w:spacing w:line="336" w:lineRule="auto"/>
        <w:ind w:firstLine="400"/>
        <w:rPr>
          <w:rFonts w:ascii="宋体" w:hAnsi="宋体" w:cs="宋体"/>
          <w:szCs w:val="21"/>
          <w:highlight w:val="none"/>
        </w:rPr>
      </w:pPr>
      <w:r>
        <w:rPr>
          <w:rFonts w:hint="eastAsia" w:ascii="宋体" w:hAnsi="宋体" w:cs="宋体"/>
          <w:szCs w:val="21"/>
          <w:highlight w:val="none"/>
        </w:rPr>
        <w:t>见投标人须知前附表。</w:t>
      </w:r>
    </w:p>
    <w:p w14:paraId="60C2AD3E">
      <w:pPr>
        <w:rPr>
          <w:rFonts w:ascii="宋体" w:hAnsi="宋体" w:cs="宋体"/>
          <w:szCs w:val="21"/>
          <w:highlight w:val="none"/>
        </w:rPr>
      </w:pPr>
      <w:r>
        <w:rPr>
          <w:rFonts w:hint="eastAsia" w:ascii="宋体" w:hAnsi="宋体" w:cs="宋体"/>
          <w:szCs w:val="21"/>
          <w:highlight w:val="none"/>
        </w:rPr>
        <w:br w:type="page"/>
      </w:r>
    </w:p>
    <w:p w14:paraId="7E1B0EF0">
      <w:pPr>
        <w:pStyle w:val="2"/>
        <w:spacing w:before="240" w:after="240" w:line="360" w:lineRule="auto"/>
        <w:jc w:val="center"/>
        <w:rPr>
          <w:rFonts w:ascii="宋体" w:hAnsi="宋体" w:cs="宋体"/>
          <w:sz w:val="36"/>
          <w:szCs w:val="36"/>
          <w:highlight w:val="none"/>
          <w:lang w:val="zh-CN"/>
        </w:rPr>
      </w:pPr>
      <w:bookmarkStart w:id="217" w:name="_Toc6227"/>
      <w:bookmarkStart w:id="218" w:name="_Toc15004"/>
      <w:r>
        <w:rPr>
          <w:rFonts w:hint="eastAsia" w:ascii="宋体" w:hAnsi="宋体" w:cs="宋体"/>
          <w:sz w:val="36"/>
          <w:szCs w:val="36"/>
          <w:highlight w:val="none"/>
          <w:lang w:val="zh-CN"/>
        </w:rPr>
        <w:t>第三章 资格审查</w:t>
      </w:r>
      <w:bookmarkEnd w:id="217"/>
      <w:bookmarkEnd w:id="218"/>
    </w:p>
    <w:p w14:paraId="0ECD610A">
      <w:pPr>
        <w:widowControl w:val="0"/>
        <w:wordWrap w:val="0"/>
        <w:spacing w:line="360" w:lineRule="auto"/>
        <w:ind w:left="-142" w:leftChars="-71" w:right="-142" w:rightChars="-71" w:firstLine="420" w:firstLineChars="200"/>
        <w:rPr>
          <w:rFonts w:ascii="宋体" w:hAnsi="宋体" w:cs="宋体"/>
          <w:sz w:val="21"/>
          <w:szCs w:val="21"/>
          <w:highlight w:val="none"/>
        </w:rPr>
      </w:pPr>
      <w:r>
        <w:rPr>
          <w:rFonts w:hint="eastAsia" w:ascii="宋体" w:hAnsi="宋体" w:cs="宋体"/>
          <w:sz w:val="21"/>
          <w:szCs w:val="21"/>
          <w:highlight w:val="none"/>
        </w:rPr>
        <w:t>公开招标采购项目开标结束后,采购人或采购代理机构依据法律法规和招标文件的规定,对投标人的资格进行审查。合格投标人不足3家的,不得评标。只有通过资格审查的投标文件才能进入评标。</w:t>
      </w:r>
    </w:p>
    <w:tbl>
      <w:tblPr>
        <w:tblStyle w:val="50"/>
        <w:tblW w:w="935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1984"/>
        <w:gridCol w:w="5954"/>
      </w:tblGrid>
      <w:tr w14:paraId="3E07F4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413" w:type="dxa"/>
            <w:tcBorders>
              <w:top w:val="single" w:color="auto" w:sz="4" w:space="0"/>
              <w:bottom w:val="single" w:color="auto" w:sz="6" w:space="0"/>
            </w:tcBorders>
            <w:shd w:val="clear" w:color="auto" w:fill="auto"/>
            <w:vAlign w:val="center"/>
          </w:tcPr>
          <w:p w14:paraId="2089DBAE">
            <w:pPr>
              <w:spacing w:before="120" w:beforeLines="50" w:after="60" w:afterLines="25" w:line="276" w:lineRule="auto"/>
              <w:jc w:val="center"/>
              <w:rPr>
                <w:rFonts w:ascii="宋体" w:hAnsi="宋体" w:cs="宋体"/>
                <w:b/>
                <w:sz w:val="21"/>
                <w:szCs w:val="21"/>
                <w:highlight w:val="none"/>
              </w:rPr>
            </w:pPr>
            <w:bookmarkStart w:id="219" w:name="_Toc260908198"/>
            <w:bookmarkStart w:id="220" w:name="_Toc260907982"/>
            <w:bookmarkStart w:id="221" w:name="_Toc229583208"/>
            <w:bookmarkStart w:id="222" w:name="_Toc224363895"/>
            <w:r>
              <w:rPr>
                <w:rFonts w:hint="eastAsia" w:ascii="宋体" w:hAnsi="宋体" w:cs="宋体"/>
                <w:b/>
                <w:sz w:val="21"/>
                <w:szCs w:val="21"/>
                <w:highlight w:val="none"/>
              </w:rPr>
              <w:t>条款号</w:t>
            </w:r>
          </w:p>
        </w:tc>
        <w:tc>
          <w:tcPr>
            <w:tcW w:w="1984" w:type="dxa"/>
            <w:tcBorders>
              <w:top w:val="single" w:color="auto" w:sz="4" w:space="0"/>
              <w:bottom w:val="single" w:color="auto" w:sz="6" w:space="0"/>
            </w:tcBorders>
            <w:shd w:val="clear" w:color="auto" w:fill="auto"/>
            <w:vAlign w:val="center"/>
          </w:tcPr>
          <w:p w14:paraId="2179FE22">
            <w:pPr>
              <w:spacing w:before="120" w:beforeLines="50" w:after="60" w:afterLines="25" w:line="276" w:lineRule="auto"/>
              <w:jc w:val="center"/>
              <w:rPr>
                <w:rFonts w:ascii="宋体" w:hAnsi="宋体" w:cs="宋体"/>
                <w:b/>
                <w:sz w:val="21"/>
                <w:szCs w:val="21"/>
                <w:highlight w:val="none"/>
              </w:rPr>
            </w:pPr>
            <w:r>
              <w:rPr>
                <w:rFonts w:hint="eastAsia" w:ascii="宋体" w:hAnsi="宋体" w:cs="宋体"/>
                <w:b/>
                <w:sz w:val="21"/>
                <w:szCs w:val="21"/>
                <w:highlight w:val="none"/>
              </w:rPr>
              <w:t>评审因素</w:t>
            </w:r>
          </w:p>
        </w:tc>
        <w:tc>
          <w:tcPr>
            <w:tcW w:w="5954" w:type="dxa"/>
            <w:tcBorders>
              <w:top w:val="single" w:color="auto" w:sz="4" w:space="0"/>
              <w:bottom w:val="single" w:color="auto" w:sz="6" w:space="0"/>
            </w:tcBorders>
            <w:shd w:val="clear" w:color="auto" w:fill="auto"/>
            <w:vAlign w:val="center"/>
          </w:tcPr>
          <w:p w14:paraId="25C54357">
            <w:pPr>
              <w:spacing w:before="120" w:beforeLines="50" w:after="60" w:afterLines="25" w:line="276" w:lineRule="auto"/>
              <w:jc w:val="center"/>
              <w:rPr>
                <w:rFonts w:ascii="宋体" w:hAnsi="宋体" w:cs="宋体"/>
                <w:b/>
                <w:sz w:val="21"/>
                <w:szCs w:val="21"/>
                <w:highlight w:val="none"/>
              </w:rPr>
            </w:pPr>
            <w:r>
              <w:rPr>
                <w:rFonts w:hint="eastAsia" w:ascii="宋体" w:hAnsi="宋体" w:cs="宋体"/>
                <w:b/>
                <w:sz w:val="21"/>
                <w:szCs w:val="21"/>
                <w:highlight w:val="none"/>
              </w:rPr>
              <w:t>评审标准</w:t>
            </w:r>
          </w:p>
        </w:tc>
      </w:tr>
      <w:tr w14:paraId="251EEF2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47" w:hRule="atLeast"/>
          <w:jc w:val="center"/>
        </w:trPr>
        <w:tc>
          <w:tcPr>
            <w:tcW w:w="1413" w:type="dxa"/>
            <w:vMerge w:val="restart"/>
            <w:tcBorders>
              <w:top w:val="single" w:color="auto" w:sz="6" w:space="0"/>
            </w:tcBorders>
            <w:shd w:val="clear" w:color="auto" w:fill="auto"/>
            <w:vAlign w:val="center"/>
          </w:tcPr>
          <w:p w14:paraId="46AA318F">
            <w:pPr>
              <w:spacing w:before="120" w:beforeLines="50" w:after="60" w:afterLines="25" w:line="360" w:lineRule="auto"/>
              <w:jc w:val="center"/>
              <w:rPr>
                <w:rFonts w:ascii="宋体" w:hAnsi="宋体" w:cs="宋体"/>
                <w:sz w:val="21"/>
                <w:szCs w:val="21"/>
                <w:highlight w:val="none"/>
              </w:rPr>
            </w:pPr>
            <w:r>
              <w:rPr>
                <w:rFonts w:hint="eastAsia" w:ascii="宋体" w:hAnsi="宋体" w:cs="宋体"/>
                <w:sz w:val="21"/>
                <w:szCs w:val="21"/>
                <w:highlight w:val="none"/>
              </w:rPr>
              <w:t>资格审查  评审标准</w:t>
            </w:r>
          </w:p>
        </w:tc>
        <w:tc>
          <w:tcPr>
            <w:tcW w:w="1984" w:type="dxa"/>
            <w:vMerge w:val="restart"/>
            <w:tcBorders>
              <w:top w:val="single" w:color="auto" w:sz="6" w:space="0"/>
            </w:tcBorders>
            <w:shd w:val="clear" w:color="auto" w:fill="auto"/>
            <w:vAlign w:val="center"/>
          </w:tcPr>
          <w:p w14:paraId="3AB3BBC0">
            <w:pPr>
              <w:spacing w:before="120" w:beforeLines="50" w:after="60" w:afterLines="25" w:line="360" w:lineRule="auto"/>
              <w:jc w:val="center"/>
              <w:rPr>
                <w:rFonts w:ascii="宋体" w:hAnsi="宋体" w:cs="宋体"/>
                <w:sz w:val="21"/>
                <w:szCs w:val="21"/>
                <w:highlight w:val="none"/>
              </w:rPr>
            </w:pPr>
            <w:r>
              <w:rPr>
                <w:rFonts w:hint="eastAsia" w:ascii="宋体" w:hAnsi="宋体" w:cs="宋体"/>
                <w:sz w:val="21"/>
                <w:szCs w:val="21"/>
                <w:highlight w:val="none"/>
              </w:rPr>
              <w:t>《中华人民共和国政府采购法》“第二十二条”要求</w:t>
            </w:r>
          </w:p>
        </w:tc>
        <w:tc>
          <w:tcPr>
            <w:tcW w:w="5954" w:type="dxa"/>
            <w:tcBorders>
              <w:top w:val="single" w:color="auto" w:sz="6" w:space="0"/>
            </w:tcBorders>
            <w:shd w:val="clear" w:color="auto" w:fill="auto"/>
            <w:vAlign w:val="center"/>
          </w:tcPr>
          <w:p w14:paraId="0555FCBC">
            <w:pPr>
              <w:widowControl w:val="0"/>
              <w:spacing w:line="360" w:lineRule="auto"/>
              <w:rPr>
                <w:rFonts w:ascii="宋体" w:hAnsi="宋体" w:cs="宋体"/>
                <w:sz w:val="21"/>
                <w:szCs w:val="21"/>
                <w:highlight w:val="none"/>
              </w:rPr>
            </w:pPr>
            <w:r>
              <w:rPr>
                <w:rFonts w:hint="eastAsia" w:ascii="宋体" w:hAnsi="宋体" w:cs="宋体"/>
                <w:sz w:val="21"/>
                <w:szCs w:val="21"/>
                <w:highlight w:val="none"/>
              </w:rPr>
              <w:t>具有独立承担民事责任的能力：具有独立承担民事责任的能力（法人或者其他组织的营业执照等证明文件，自然人的身份证明），提供有效的营业执照或事业单位法人证书或其他类似的法定证明文件；</w:t>
            </w:r>
          </w:p>
          <w:p w14:paraId="6F2AA5B3">
            <w:pPr>
              <w:widowControl w:val="0"/>
              <w:spacing w:line="360" w:lineRule="auto"/>
              <w:rPr>
                <w:rFonts w:ascii="宋体" w:hAnsi="宋体" w:cs="宋体"/>
                <w:sz w:val="21"/>
                <w:szCs w:val="21"/>
                <w:highlight w:val="none"/>
              </w:rPr>
            </w:pPr>
            <w:r>
              <w:rPr>
                <w:rFonts w:hint="eastAsia" w:ascii="宋体" w:hAnsi="宋体" w:cs="宋体"/>
                <w:sz w:val="21"/>
                <w:szCs w:val="21"/>
                <w:highlight w:val="none"/>
              </w:rPr>
              <w:t>投标文件中提供上述所需相关证明材料的原件扫描件</w:t>
            </w:r>
            <w:r>
              <w:rPr>
                <w:rFonts w:hint="eastAsia" w:ascii="宋体" w:hAnsi="宋体" w:cs="宋体"/>
                <w:bCs/>
                <w:kern w:val="2"/>
                <w:sz w:val="21"/>
                <w:szCs w:val="21"/>
                <w:highlight w:val="none"/>
              </w:rPr>
              <w:t>。</w:t>
            </w:r>
          </w:p>
        </w:tc>
      </w:tr>
      <w:tr w14:paraId="7E31C4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033" w:hRule="atLeast"/>
          <w:jc w:val="center"/>
        </w:trPr>
        <w:tc>
          <w:tcPr>
            <w:tcW w:w="1413" w:type="dxa"/>
            <w:vMerge w:val="continue"/>
            <w:shd w:val="clear" w:color="auto" w:fill="auto"/>
            <w:vAlign w:val="center"/>
          </w:tcPr>
          <w:p w14:paraId="3B2E821F">
            <w:pPr>
              <w:spacing w:before="120" w:beforeLines="50" w:after="60" w:afterLines="25" w:line="360" w:lineRule="auto"/>
              <w:jc w:val="center"/>
              <w:rPr>
                <w:rFonts w:ascii="宋体" w:hAnsi="宋体" w:cs="宋体"/>
                <w:sz w:val="21"/>
                <w:szCs w:val="21"/>
                <w:highlight w:val="none"/>
              </w:rPr>
            </w:pPr>
          </w:p>
        </w:tc>
        <w:tc>
          <w:tcPr>
            <w:tcW w:w="1984" w:type="dxa"/>
            <w:vMerge w:val="continue"/>
            <w:shd w:val="clear" w:color="auto" w:fill="auto"/>
            <w:vAlign w:val="center"/>
          </w:tcPr>
          <w:p w14:paraId="31480EBC">
            <w:pPr>
              <w:spacing w:before="120" w:beforeLines="50" w:after="60" w:afterLines="25" w:line="360" w:lineRule="auto"/>
              <w:jc w:val="center"/>
              <w:rPr>
                <w:rFonts w:ascii="宋体" w:hAnsi="宋体" w:cs="宋体"/>
                <w:sz w:val="21"/>
                <w:szCs w:val="21"/>
                <w:highlight w:val="none"/>
              </w:rPr>
            </w:pPr>
          </w:p>
        </w:tc>
        <w:tc>
          <w:tcPr>
            <w:tcW w:w="5954" w:type="dxa"/>
            <w:shd w:val="clear" w:color="auto" w:fill="auto"/>
            <w:vAlign w:val="center"/>
          </w:tcPr>
          <w:p w14:paraId="6784BAFA">
            <w:pPr>
              <w:spacing w:line="360" w:lineRule="auto"/>
              <w:rPr>
                <w:rFonts w:ascii="宋体" w:hAnsi="宋体" w:cs="宋体"/>
                <w:sz w:val="21"/>
                <w:szCs w:val="21"/>
                <w:highlight w:val="none"/>
              </w:rPr>
            </w:pPr>
            <w:r>
              <w:rPr>
                <w:rFonts w:hint="eastAsia" w:ascii="宋体" w:hAnsi="宋体" w:cs="宋体"/>
                <w:sz w:val="21"/>
                <w:szCs w:val="21"/>
                <w:highlight w:val="none"/>
              </w:rPr>
              <w:t>具有健全的财务会计制度，须提供2022年或2023年经审计的财务报告（扫描件）或近三个月内基本开户银行出具的资信证明（扫描件）或财政部门认可的政府采购专业担保机构出具的投标担保函（成立时间不足一年的，可提供近三个月内基本开户银行出具的资信证明或自成立至今经的财务报告；如提供投标担保函的，需同时提供专业担保机构经财政部门认可的证明文件）；</w:t>
            </w:r>
          </w:p>
          <w:p w14:paraId="65CBF1E7">
            <w:pPr>
              <w:spacing w:line="360" w:lineRule="auto"/>
              <w:rPr>
                <w:rFonts w:ascii="宋体" w:hAnsi="宋体" w:cs="宋体"/>
                <w:sz w:val="21"/>
                <w:szCs w:val="21"/>
                <w:highlight w:val="none"/>
              </w:rPr>
            </w:pPr>
            <w:r>
              <w:rPr>
                <w:rFonts w:hint="eastAsia" w:ascii="宋体" w:hAnsi="宋体" w:cs="宋体"/>
                <w:sz w:val="21"/>
                <w:szCs w:val="21"/>
                <w:highlight w:val="none"/>
              </w:rPr>
              <w:t>投标文件中提供上述所需相关证明材料的原件扫描件。</w:t>
            </w:r>
          </w:p>
        </w:tc>
      </w:tr>
      <w:tr w14:paraId="328FFC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27" w:hRule="atLeast"/>
          <w:jc w:val="center"/>
        </w:trPr>
        <w:tc>
          <w:tcPr>
            <w:tcW w:w="1413" w:type="dxa"/>
            <w:vMerge w:val="continue"/>
            <w:shd w:val="clear" w:color="auto" w:fill="auto"/>
            <w:vAlign w:val="center"/>
          </w:tcPr>
          <w:p w14:paraId="4E28633E">
            <w:pPr>
              <w:spacing w:before="120" w:beforeLines="50" w:after="60" w:afterLines="25" w:line="360" w:lineRule="auto"/>
              <w:jc w:val="center"/>
              <w:rPr>
                <w:rFonts w:ascii="宋体" w:hAnsi="宋体" w:cs="宋体"/>
                <w:sz w:val="21"/>
                <w:szCs w:val="21"/>
                <w:highlight w:val="none"/>
              </w:rPr>
            </w:pPr>
          </w:p>
        </w:tc>
        <w:tc>
          <w:tcPr>
            <w:tcW w:w="1984" w:type="dxa"/>
            <w:vMerge w:val="continue"/>
            <w:shd w:val="clear" w:color="auto" w:fill="auto"/>
            <w:vAlign w:val="center"/>
          </w:tcPr>
          <w:p w14:paraId="62F110B7">
            <w:pPr>
              <w:spacing w:before="120" w:beforeLines="50" w:after="60" w:afterLines="25" w:line="360" w:lineRule="auto"/>
              <w:jc w:val="center"/>
              <w:rPr>
                <w:rFonts w:ascii="宋体" w:hAnsi="宋体" w:cs="宋体"/>
                <w:sz w:val="21"/>
                <w:szCs w:val="21"/>
                <w:highlight w:val="none"/>
              </w:rPr>
            </w:pPr>
          </w:p>
        </w:tc>
        <w:tc>
          <w:tcPr>
            <w:tcW w:w="5954" w:type="dxa"/>
            <w:shd w:val="clear" w:color="auto" w:fill="auto"/>
            <w:vAlign w:val="center"/>
          </w:tcPr>
          <w:p w14:paraId="57E64444">
            <w:pPr>
              <w:spacing w:line="360" w:lineRule="auto"/>
              <w:rPr>
                <w:rFonts w:ascii="宋体" w:hAnsi="宋体" w:cs="宋体"/>
                <w:sz w:val="21"/>
                <w:szCs w:val="21"/>
                <w:highlight w:val="none"/>
              </w:rPr>
            </w:pPr>
            <w:r>
              <w:rPr>
                <w:rFonts w:hint="eastAsia" w:ascii="宋体" w:hAnsi="宋体" w:cs="宋体"/>
                <w:snapToGrid w:val="0"/>
                <w:sz w:val="21"/>
                <w:szCs w:val="21"/>
                <w:highlight w:val="none"/>
              </w:rPr>
              <w:t>具有履行合同所必需的设备和专业技术能力：投标人须提供具有履行合同所必需的设备和专业技术能力的证明材料或书面声明</w:t>
            </w:r>
            <w:r>
              <w:rPr>
                <w:rFonts w:hint="eastAsia" w:ascii="宋体" w:hAnsi="宋体" w:cs="宋体"/>
                <w:sz w:val="21"/>
                <w:szCs w:val="21"/>
                <w:highlight w:val="none"/>
              </w:rPr>
              <w:t>；</w:t>
            </w:r>
          </w:p>
          <w:p w14:paraId="59859D24">
            <w:pPr>
              <w:widowControl w:val="0"/>
              <w:spacing w:line="360" w:lineRule="auto"/>
              <w:rPr>
                <w:rFonts w:ascii="宋体" w:hAnsi="宋体" w:cs="宋体"/>
                <w:bCs/>
                <w:kern w:val="2"/>
                <w:sz w:val="21"/>
                <w:szCs w:val="21"/>
                <w:highlight w:val="none"/>
              </w:rPr>
            </w:pPr>
            <w:r>
              <w:rPr>
                <w:rFonts w:hint="eastAsia" w:ascii="宋体" w:hAnsi="宋体" w:cs="宋体"/>
                <w:sz w:val="21"/>
                <w:szCs w:val="21"/>
                <w:highlight w:val="none"/>
              </w:rPr>
              <w:t>投标文件中提供上述所需相关证明材料的原件扫描件或书面声明（由投标人自行编写，格式自拟）。</w:t>
            </w:r>
          </w:p>
        </w:tc>
      </w:tr>
      <w:tr w14:paraId="62DEE4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413" w:type="dxa"/>
            <w:vMerge w:val="continue"/>
            <w:shd w:val="clear" w:color="auto" w:fill="auto"/>
            <w:vAlign w:val="center"/>
          </w:tcPr>
          <w:p w14:paraId="14D24DB0">
            <w:pPr>
              <w:spacing w:before="120" w:beforeLines="50" w:after="60" w:afterLines="25" w:line="360" w:lineRule="auto"/>
              <w:jc w:val="center"/>
              <w:rPr>
                <w:rFonts w:ascii="宋体" w:hAnsi="宋体" w:cs="宋体"/>
                <w:sz w:val="21"/>
                <w:szCs w:val="21"/>
                <w:highlight w:val="none"/>
              </w:rPr>
            </w:pPr>
          </w:p>
        </w:tc>
        <w:tc>
          <w:tcPr>
            <w:tcW w:w="1984" w:type="dxa"/>
            <w:vMerge w:val="continue"/>
            <w:shd w:val="clear" w:color="auto" w:fill="auto"/>
            <w:vAlign w:val="center"/>
          </w:tcPr>
          <w:p w14:paraId="4145F872">
            <w:pPr>
              <w:spacing w:before="120" w:beforeLines="50" w:after="60" w:afterLines="25" w:line="360" w:lineRule="auto"/>
              <w:jc w:val="center"/>
              <w:rPr>
                <w:rFonts w:ascii="宋体" w:hAnsi="宋体" w:cs="宋体"/>
                <w:sz w:val="21"/>
                <w:szCs w:val="21"/>
                <w:highlight w:val="none"/>
              </w:rPr>
            </w:pPr>
          </w:p>
        </w:tc>
        <w:tc>
          <w:tcPr>
            <w:tcW w:w="5954" w:type="dxa"/>
            <w:shd w:val="clear" w:color="auto" w:fill="auto"/>
            <w:vAlign w:val="center"/>
          </w:tcPr>
          <w:p w14:paraId="00C2D9B8">
            <w:pPr>
              <w:widowControl w:val="0"/>
              <w:spacing w:line="360" w:lineRule="auto"/>
              <w:rPr>
                <w:rFonts w:ascii="宋体" w:hAnsi="宋体" w:cs="宋体"/>
                <w:snapToGrid w:val="0"/>
                <w:sz w:val="21"/>
                <w:szCs w:val="21"/>
                <w:highlight w:val="none"/>
              </w:rPr>
            </w:pPr>
            <w:r>
              <w:rPr>
                <w:rFonts w:hint="eastAsia" w:ascii="宋体" w:hAnsi="宋体" w:cs="宋体"/>
                <w:snapToGrid w:val="0"/>
                <w:sz w:val="21"/>
                <w:szCs w:val="21"/>
                <w:highlight w:val="none"/>
              </w:rPr>
              <w:t>有依法缴纳税收和社会保障资金的良好记录：</w:t>
            </w:r>
          </w:p>
          <w:p w14:paraId="64ADD183">
            <w:pPr>
              <w:widowControl w:val="0"/>
              <w:spacing w:line="360" w:lineRule="auto"/>
              <w:rPr>
                <w:rFonts w:ascii="宋体" w:hAnsi="宋体" w:cs="宋体"/>
                <w:snapToGrid w:val="0"/>
                <w:sz w:val="21"/>
                <w:szCs w:val="21"/>
                <w:highlight w:val="none"/>
              </w:rPr>
            </w:pPr>
            <w:r>
              <w:rPr>
                <w:rFonts w:hint="eastAsia" w:ascii="宋体" w:hAnsi="宋体" w:cs="宋体"/>
                <w:snapToGrid w:val="0"/>
                <w:sz w:val="21"/>
                <w:szCs w:val="21"/>
                <w:highlight w:val="none"/>
              </w:rPr>
              <w:t>（1）投标人须提供缴税所属时间在2024年01月至本项目提交投标文件截止时间前任意3个月的税务局税收通用缴款书或银行电子缴税（费）凭证或税务局出具的纳税情况相关证明材料；依法免税的，应提供依法免税的相关证明材料；</w:t>
            </w:r>
          </w:p>
          <w:p w14:paraId="7CD9FFFE">
            <w:pPr>
              <w:widowControl w:val="0"/>
              <w:spacing w:line="360" w:lineRule="auto"/>
              <w:rPr>
                <w:rFonts w:ascii="宋体" w:hAnsi="宋体" w:cs="宋体"/>
                <w:snapToGrid w:val="0"/>
                <w:sz w:val="21"/>
                <w:szCs w:val="21"/>
                <w:highlight w:val="none"/>
              </w:rPr>
            </w:pPr>
            <w:r>
              <w:rPr>
                <w:rFonts w:hint="eastAsia" w:ascii="宋体" w:hAnsi="宋体" w:cs="宋体"/>
                <w:snapToGrid w:val="0"/>
                <w:sz w:val="21"/>
                <w:szCs w:val="21"/>
                <w:highlight w:val="none"/>
              </w:rPr>
              <w:t>说明：新成立企业不满3个月的，提供缴税所属时间在企业成立之日起至本项目投标文件提交截止时间前任意1个月的税务局税收通用缴款书或银行电子缴税（费）凭证或税务局出具的纳税情况相关证明材料；依法免税的，应提供依法免税的相关证明材料。</w:t>
            </w:r>
          </w:p>
          <w:p w14:paraId="0272E242">
            <w:pPr>
              <w:widowControl w:val="0"/>
              <w:spacing w:line="360" w:lineRule="auto"/>
              <w:rPr>
                <w:rFonts w:ascii="宋体" w:hAnsi="宋体" w:cs="宋体"/>
                <w:snapToGrid w:val="0"/>
                <w:sz w:val="21"/>
                <w:szCs w:val="21"/>
                <w:highlight w:val="none"/>
              </w:rPr>
            </w:pPr>
            <w:r>
              <w:rPr>
                <w:rFonts w:hint="eastAsia" w:ascii="宋体" w:hAnsi="宋体" w:cs="宋体"/>
                <w:snapToGrid w:val="0"/>
                <w:sz w:val="21"/>
                <w:szCs w:val="21"/>
                <w:highlight w:val="none"/>
              </w:rPr>
              <w:t>（2）投标人须提供缴费所属时间在2024年01月至本项目提交投标文件截止时间前任意3个月的社会保险费缴款书或银行电子缴税（费）凭证或社保管理部门出具的缴款证明；依法免缴的，应提供依法免缴的相关证明材料。</w:t>
            </w:r>
          </w:p>
          <w:p w14:paraId="76BFBBDA">
            <w:pPr>
              <w:widowControl w:val="0"/>
              <w:spacing w:line="360" w:lineRule="auto"/>
              <w:rPr>
                <w:rFonts w:ascii="宋体" w:hAnsi="宋体" w:cs="宋体"/>
                <w:snapToGrid w:val="0"/>
                <w:sz w:val="21"/>
                <w:szCs w:val="21"/>
                <w:highlight w:val="none"/>
              </w:rPr>
            </w:pPr>
            <w:r>
              <w:rPr>
                <w:rFonts w:hint="eastAsia" w:ascii="宋体" w:hAnsi="宋体" w:cs="宋体"/>
                <w:snapToGrid w:val="0"/>
                <w:sz w:val="21"/>
                <w:szCs w:val="21"/>
                <w:highlight w:val="none"/>
              </w:rPr>
              <w:t>说明：新成立企业不满3个月的，提供缴费所属时间在企业成立之日起至本项目投标文件提交截止时间前任意1个月的社会保险费缴款书或银行电子缴税（费）凭证或社保管理部门出具的缴款证明；依法免缴的，应提供依法免缴的相关证明材料。</w:t>
            </w:r>
          </w:p>
          <w:p w14:paraId="57D71F9F">
            <w:pPr>
              <w:widowControl w:val="0"/>
              <w:spacing w:line="360" w:lineRule="auto"/>
              <w:rPr>
                <w:rFonts w:ascii="宋体" w:hAnsi="宋体" w:cs="宋体"/>
                <w:snapToGrid w:val="0"/>
                <w:sz w:val="21"/>
                <w:szCs w:val="21"/>
                <w:highlight w:val="none"/>
              </w:rPr>
            </w:pPr>
            <w:r>
              <w:rPr>
                <w:rFonts w:hint="eastAsia" w:ascii="宋体" w:hAnsi="宋体" w:cs="宋体"/>
                <w:snapToGrid w:val="0"/>
                <w:sz w:val="21"/>
                <w:szCs w:val="21"/>
                <w:highlight w:val="none"/>
              </w:rPr>
              <w:t>投标文件中提供上述所需相关证明材料的原件扫描件。</w:t>
            </w:r>
          </w:p>
        </w:tc>
      </w:tr>
      <w:tr w14:paraId="7B38AD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413" w:type="dxa"/>
            <w:vMerge w:val="continue"/>
            <w:shd w:val="clear" w:color="auto" w:fill="auto"/>
            <w:vAlign w:val="center"/>
          </w:tcPr>
          <w:p w14:paraId="3C851EC6">
            <w:pPr>
              <w:spacing w:before="120" w:beforeLines="50" w:after="60" w:afterLines="25" w:line="360" w:lineRule="auto"/>
              <w:jc w:val="center"/>
              <w:rPr>
                <w:rFonts w:ascii="宋体" w:hAnsi="宋体" w:cs="宋体"/>
                <w:sz w:val="21"/>
                <w:szCs w:val="21"/>
                <w:highlight w:val="none"/>
              </w:rPr>
            </w:pPr>
          </w:p>
        </w:tc>
        <w:tc>
          <w:tcPr>
            <w:tcW w:w="1984" w:type="dxa"/>
            <w:vMerge w:val="continue"/>
            <w:tcBorders>
              <w:bottom w:val="single" w:color="auto" w:sz="4" w:space="0"/>
            </w:tcBorders>
            <w:shd w:val="clear" w:color="auto" w:fill="auto"/>
            <w:vAlign w:val="center"/>
          </w:tcPr>
          <w:p w14:paraId="139DB723">
            <w:pPr>
              <w:spacing w:before="120" w:beforeLines="50" w:after="60" w:afterLines="25" w:line="360" w:lineRule="auto"/>
              <w:jc w:val="center"/>
              <w:rPr>
                <w:rFonts w:ascii="宋体" w:hAnsi="宋体" w:cs="宋体"/>
                <w:sz w:val="21"/>
                <w:szCs w:val="21"/>
                <w:highlight w:val="none"/>
              </w:rPr>
            </w:pPr>
          </w:p>
        </w:tc>
        <w:tc>
          <w:tcPr>
            <w:tcW w:w="5954" w:type="dxa"/>
            <w:tcBorders>
              <w:bottom w:val="single" w:color="auto" w:sz="4" w:space="0"/>
            </w:tcBorders>
            <w:shd w:val="clear" w:color="auto" w:fill="auto"/>
            <w:vAlign w:val="center"/>
          </w:tcPr>
          <w:p w14:paraId="5F0E6FF4">
            <w:pPr>
              <w:spacing w:line="360" w:lineRule="auto"/>
              <w:rPr>
                <w:rFonts w:ascii="宋体" w:hAnsi="宋体" w:cs="宋体"/>
                <w:sz w:val="21"/>
                <w:szCs w:val="21"/>
                <w:highlight w:val="none"/>
              </w:rPr>
            </w:pPr>
            <w:r>
              <w:rPr>
                <w:rFonts w:hint="eastAsia" w:ascii="宋体" w:hAnsi="宋体" w:cs="宋体"/>
                <w:snapToGrid w:val="0"/>
                <w:sz w:val="21"/>
                <w:szCs w:val="21"/>
                <w:highlight w:val="none"/>
              </w:rPr>
              <w:t>参加政府采购活动前三年内，在经营活动中没有重大违法记录：投标人须提供参加政府采购活动前三年内，在经营活动中没有重大违法记录（重大违法记录是指：</w:t>
            </w:r>
            <w:r>
              <w:rPr>
                <w:rFonts w:hint="eastAsia" w:ascii="宋体" w:hAnsi="宋体" w:cs="宋体"/>
                <w:sz w:val="21"/>
                <w:szCs w:val="21"/>
                <w:highlight w:val="none"/>
              </w:rPr>
              <w:t>投标人</w:t>
            </w:r>
            <w:r>
              <w:rPr>
                <w:rFonts w:hint="eastAsia" w:ascii="宋体" w:hAnsi="宋体" w:cs="宋体"/>
                <w:snapToGrid w:val="0"/>
                <w:sz w:val="21"/>
                <w:szCs w:val="21"/>
                <w:highlight w:val="none"/>
              </w:rPr>
              <w:t>因违法经营受到刑事处罚或者责令停产停业、吊销许可证或者执照、较大数额罚款等行政处罚）的书面声明</w:t>
            </w:r>
            <w:r>
              <w:rPr>
                <w:rFonts w:hint="eastAsia" w:ascii="宋体" w:hAnsi="宋体" w:cs="宋体"/>
                <w:sz w:val="21"/>
                <w:szCs w:val="21"/>
                <w:highlight w:val="none"/>
              </w:rPr>
              <w:t>。</w:t>
            </w:r>
          </w:p>
          <w:p w14:paraId="3B1812B5">
            <w:pPr>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rPr>
              <w:t>投标文件中提供</w:t>
            </w:r>
            <w:r>
              <w:rPr>
                <w:rFonts w:hint="eastAsia" w:ascii="宋体" w:hAnsi="宋体" w:cs="宋体"/>
                <w:snapToGrid w:val="0"/>
                <w:sz w:val="21"/>
                <w:szCs w:val="21"/>
                <w:highlight w:val="none"/>
              </w:rPr>
              <w:t>参加政府采购活动前三年内,在经营活动中没有重大违法记录的书面声明</w:t>
            </w:r>
            <w:r>
              <w:rPr>
                <w:rFonts w:hint="eastAsia" w:ascii="宋体" w:hAnsi="宋体" w:cs="宋体"/>
                <w:sz w:val="21"/>
                <w:szCs w:val="21"/>
                <w:highlight w:val="none"/>
              </w:rPr>
              <w:t>（由投标人自行编写,格式自拟）</w:t>
            </w:r>
            <w:r>
              <w:rPr>
                <w:rFonts w:hint="eastAsia" w:ascii="宋体" w:hAnsi="宋体" w:cs="宋体"/>
                <w:sz w:val="21"/>
                <w:szCs w:val="21"/>
                <w:highlight w:val="none"/>
                <w:lang w:eastAsia="zh-CN"/>
              </w:rPr>
              <w:t>。</w:t>
            </w:r>
          </w:p>
          <w:p w14:paraId="6AD24A85">
            <w:pPr>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rPr>
              <w:t>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由投标人自行编写,格式自拟）。</w:t>
            </w:r>
          </w:p>
        </w:tc>
      </w:tr>
      <w:tr w14:paraId="4D42B3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413" w:type="dxa"/>
            <w:vMerge w:val="continue"/>
            <w:shd w:val="clear" w:color="auto" w:fill="auto"/>
            <w:vAlign w:val="center"/>
          </w:tcPr>
          <w:p w14:paraId="63050390">
            <w:pPr>
              <w:spacing w:before="120" w:beforeLines="50" w:after="60" w:afterLines="25" w:line="360" w:lineRule="auto"/>
              <w:jc w:val="center"/>
              <w:rPr>
                <w:rFonts w:ascii="宋体" w:hAnsi="宋体" w:cs="宋体"/>
                <w:sz w:val="21"/>
                <w:szCs w:val="21"/>
                <w:highlight w:val="none"/>
              </w:rPr>
            </w:pPr>
          </w:p>
        </w:tc>
        <w:tc>
          <w:tcPr>
            <w:tcW w:w="1984" w:type="dxa"/>
            <w:tcBorders>
              <w:bottom w:val="single" w:color="auto" w:sz="4" w:space="0"/>
            </w:tcBorders>
            <w:shd w:val="clear" w:color="auto" w:fill="auto"/>
            <w:vAlign w:val="center"/>
          </w:tcPr>
          <w:p w14:paraId="20A12BCB">
            <w:pPr>
              <w:spacing w:before="120" w:beforeLines="50" w:after="60" w:afterLines="25" w:line="360" w:lineRule="auto"/>
              <w:jc w:val="center"/>
              <w:rPr>
                <w:rFonts w:ascii="宋体" w:hAnsi="宋体" w:cs="宋体"/>
                <w:sz w:val="21"/>
                <w:szCs w:val="21"/>
                <w:highlight w:val="none"/>
              </w:rPr>
            </w:pPr>
            <w:r>
              <w:rPr>
                <w:rFonts w:hint="eastAsia" w:ascii="宋体" w:hAnsi="宋体" w:cs="宋体"/>
                <w:sz w:val="21"/>
                <w:szCs w:val="21"/>
                <w:highlight w:val="none"/>
              </w:rPr>
              <w:t>信誉及其他要求</w:t>
            </w:r>
          </w:p>
        </w:tc>
        <w:tc>
          <w:tcPr>
            <w:tcW w:w="5954" w:type="dxa"/>
            <w:tcBorders>
              <w:bottom w:val="single" w:color="auto" w:sz="4" w:space="0"/>
            </w:tcBorders>
            <w:shd w:val="clear" w:color="auto" w:fill="auto"/>
            <w:vAlign w:val="center"/>
          </w:tcPr>
          <w:p w14:paraId="736D690D">
            <w:pPr>
              <w:spacing w:line="360" w:lineRule="auto"/>
              <w:rPr>
                <w:rFonts w:ascii="宋体" w:hAnsi="宋体" w:cs="宋体"/>
                <w:sz w:val="21"/>
                <w:szCs w:val="21"/>
                <w:highlight w:val="none"/>
              </w:rPr>
            </w:pPr>
            <w:r>
              <w:rPr>
                <w:rFonts w:hint="eastAsia" w:ascii="宋体" w:hAnsi="宋体" w:cs="宋体"/>
                <w:snapToGrid w:val="0"/>
                <w:sz w:val="21"/>
                <w:szCs w:val="21"/>
                <w:highlight w:val="none"/>
              </w:rPr>
              <w:t>（1）投标人在本项目投标文件提交截止时间前，在信用中国（网址：https://www.creditchina.gov.cn/）网站“信用信息”查询栏中查询下载的“信用信息报告”或“信用服务”查询模块内查询的信息记录（包括但不限于：失信被执行人查询、严重失信主体名单查询、经营异常名录信息查询、重大税收违法失信主体查询、政府采购严重违法失信行为记录名单查询）未出现不良信用信息记录，且在“中国政府采购网（网址：http://www.ccgp.gov.cn/）”网站“政府采购严重违法失信行为记录名单”内查询无不良信用信息记录，且在“国家企业信用信息公示系统（网址：http://www.gsxt.gov.cn/index.html）”网站未被列入“列入严重违法失信企业名单（黑名单）信息”（注：期限届满或被移出的除外；</w:t>
            </w:r>
            <w:r>
              <w:rPr>
                <w:rFonts w:hint="eastAsia" w:ascii="宋体" w:hAnsi="宋体" w:cs="宋体"/>
                <w:b/>
                <w:bCs/>
                <w:snapToGrid w:val="0"/>
                <w:sz w:val="21"/>
                <w:szCs w:val="21"/>
                <w:highlight w:val="none"/>
              </w:rPr>
              <w:t>查询结果以</w:t>
            </w:r>
            <w:r>
              <w:rPr>
                <w:rFonts w:hint="eastAsia" w:ascii="宋体" w:hAnsi="宋体" w:cs="宋体"/>
                <w:b/>
                <w:bCs/>
                <w:snapToGrid w:val="0"/>
                <w:sz w:val="21"/>
                <w:szCs w:val="21"/>
                <w:highlight w:val="none"/>
                <w:lang w:val="en-US" w:eastAsia="zh-CN"/>
              </w:rPr>
              <w:t>招标代理</w:t>
            </w:r>
            <w:r>
              <w:rPr>
                <w:rFonts w:hint="eastAsia" w:ascii="宋体" w:hAnsi="宋体" w:cs="宋体"/>
                <w:b/>
                <w:bCs/>
                <w:snapToGrid w:val="0"/>
                <w:sz w:val="21"/>
                <w:szCs w:val="21"/>
                <w:highlight w:val="none"/>
              </w:rPr>
              <w:t>查询结果为准</w:t>
            </w:r>
            <w:r>
              <w:rPr>
                <w:rFonts w:hint="eastAsia" w:ascii="宋体" w:hAnsi="宋体" w:cs="宋体"/>
                <w:snapToGrid w:val="0"/>
                <w:sz w:val="21"/>
                <w:szCs w:val="21"/>
                <w:highlight w:val="none"/>
              </w:rPr>
              <w:t>）</w:t>
            </w:r>
            <w:r>
              <w:rPr>
                <w:rFonts w:hint="eastAsia" w:ascii="宋体" w:hAnsi="宋体" w:cs="宋体"/>
                <w:sz w:val="21"/>
                <w:szCs w:val="21"/>
                <w:highlight w:val="none"/>
              </w:rPr>
              <w:t>；</w:t>
            </w:r>
          </w:p>
          <w:p w14:paraId="5006BA76">
            <w:pPr>
              <w:widowControl w:val="0"/>
              <w:spacing w:line="360" w:lineRule="auto"/>
              <w:rPr>
                <w:rFonts w:ascii="宋体" w:hAnsi="宋体" w:cs="宋体"/>
                <w:b/>
                <w:bCs/>
                <w:sz w:val="21"/>
                <w:szCs w:val="21"/>
                <w:highlight w:val="none"/>
              </w:rPr>
            </w:pPr>
            <w:r>
              <w:rPr>
                <w:rFonts w:hint="eastAsia" w:ascii="宋体" w:hAnsi="宋体" w:cs="宋体"/>
                <w:sz w:val="21"/>
                <w:szCs w:val="21"/>
                <w:highlight w:val="none"/>
              </w:rPr>
              <w:t>（2）</w:t>
            </w:r>
            <w:r>
              <w:rPr>
                <w:rFonts w:hint="eastAsia" w:ascii="宋体" w:hAnsi="宋体" w:cs="宋体"/>
                <w:snapToGrid w:val="0"/>
                <w:sz w:val="21"/>
                <w:szCs w:val="21"/>
                <w:highlight w:val="none"/>
              </w:rPr>
              <w:t>本项目不接受联合体。</w:t>
            </w:r>
          </w:p>
        </w:tc>
      </w:tr>
    </w:tbl>
    <w:p w14:paraId="43D310FB">
      <w:pPr>
        <w:pStyle w:val="2"/>
        <w:spacing w:before="240" w:after="240" w:line="360" w:lineRule="auto"/>
        <w:jc w:val="center"/>
        <w:rPr>
          <w:rFonts w:ascii="宋体" w:hAnsi="宋体" w:cs="宋体"/>
          <w:sz w:val="36"/>
          <w:szCs w:val="36"/>
          <w:highlight w:val="none"/>
          <w:lang w:val="zh-CN"/>
        </w:rPr>
      </w:pPr>
      <w:r>
        <w:rPr>
          <w:rFonts w:hint="eastAsia" w:ascii="宋体" w:hAnsi="宋体" w:cs="宋体"/>
          <w:sz w:val="36"/>
          <w:szCs w:val="36"/>
          <w:highlight w:val="none"/>
          <w:lang w:val="zh-CN"/>
        </w:rPr>
        <w:br w:type="page"/>
      </w:r>
    </w:p>
    <w:p w14:paraId="781CE479">
      <w:pPr>
        <w:pStyle w:val="2"/>
        <w:spacing w:before="240" w:after="240" w:line="360" w:lineRule="auto"/>
        <w:jc w:val="center"/>
        <w:rPr>
          <w:rFonts w:ascii="宋体" w:hAnsi="宋体" w:cs="宋体"/>
          <w:sz w:val="36"/>
          <w:szCs w:val="36"/>
          <w:highlight w:val="none"/>
          <w:lang w:val="zh-CN"/>
        </w:rPr>
      </w:pPr>
      <w:bookmarkStart w:id="223" w:name="_Toc15206"/>
      <w:bookmarkStart w:id="224" w:name="_Toc31147"/>
      <w:r>
        <w:rPr>
          <w:rFonts w:hint="eastAsia" w:ascii="宋体" w:hAnsi="宋体" w:cs="宋体"/>
          <w:sz w:val="36"/>
          <w:szCs w:val="36"/>
          <w:highlight w:val="none"/>
          <w:lang w:val="zh-CN"/>
        </w:rPr>
        <w:t>第四章 评标办法</w:t>
      </w:r>
      <w:bookmarkEnd w:id="219"/>
      <w:bookmarkEnd w:id="220"/>
      <w:bookmarkEnd w:id="221"/>
      <w:bookmarkEnd w:id="222"/>
      <w:r>
        <w:rPr>
          <w:rFonts w:hint="eastAsia" w:ascii="宋体" w:hAnsi="宋体" w:cs="宋体"/>
          <w:sz w:val="36"/>
          <w:szCs w:val="36"/>
          <w:highlight w:val="none"/>
          <w:lang w:val="zh-CN"/>
        </w:rPr>
        <w:t>（综合评分法）</w:t>
      </w:r>
      <w:bookmarkEnd w:id="223"/>
      <w:bookmarkEnd w:id="224"/>
    </w:p>
    <w:p w14:paraId="0A15E249">
      <w:pPr>
        <w:pStyle w:val="4"/>
        <w:rPr>
          <w:highlight w:val="none"/>
        </w:rPr>
      </w:pPr>
      <w:bookmarkStart w:id="225" w:name="_Toc270090084"/>
      <w:bookmarkStart w:id="226" w:name="_Toc260908199"/>
      <w:bookmarkStart w:id="227" w:name="_Toc13593"/>
      <w:bookmarkStart w:id="228" w:name="_Toc259188727"/>
      <w:bookmarkStart w:id="229" w:name="_Toc31667"/>
      <w:bookmarkStart w:id="230" w:name="_Toc260907983"/>
      <w:bookmarkStart w:id="231" w:name="_Toc481712045"/>
      <w:bookmarkStart w:id="232" w:name="_Toc520104003"/>
      <w:bookmarkStart w:id="233" w:name="_Toc15703"/>
      <w:bookmarkStart w:id="234" w:name="_Toc19820086"/>
      <w:r>
        <w:rPr>
          <w:rFonts w:hint="eastAsia"/>
          <w:highlight w:val="none"/>
        </w:rPr>
        <w:t>一、评标办法前附表</w:t>
      </w:r>
      <w:bookmarkEnd w:id="225"/>
      <w:bookmarkEnd w:id="226"/>
      <w:bookmarkEnd w:id="227"/>
      <w:bookmarkEnd w:id="228"/>
      <w:bookmarkEnd w:id="229"/>
      <w:bookmarkEnd w:id="230"/>
      <w:bookmarkEnd w:id="231"/>
      <w:bookmarkEnd w:id="232"/>
      <w:bookmarkEnd w:id="233"/>
      <w:bookmarkEnd w:id="234"/>
    </w:p>
    <w:tbl>
      <w:tblPr>
        <w:tblStyle w:val="50"/>
        <w:tblW w:w="977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62"/>
        <w:gridCol w:w="697"/>
        <w:gridCol w:w="1416"/>
        <w:gridCol w:w="6801"/>
      </w:tblGrid>
      <w:tr w14:paraId="0673E6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Align w:val="center"/>
          </w:tcPr>
          <w:p w14:paraId="3A568460">
            <w:pPr>
              <w:spacing w:line="360" w:lineRule="auto"/>
              <w:jc w:val="center"/>
              <w:rPr>
                <w:sz w:val="21"/>
                <w:szCs w:val="21"/>
                <w:highlight w:val="none"/>
              </w:rPr>
            </w:pPr>
            <w:bookmarkStart w:id="406" w:name="_GoBack"/>
            <w:r>
              <w:rPr>
                <w:rFonts w:hint="eastAsia"/>
                <w:sz w:val="21"/>
                <w:szCs w:val="21"/>
                <w:highlight w:val="none"/>
              </w:rPr>
              <w:t>条款号</w:t>
            </w:r>
          </w:p>
        </w:tc>
        <w:tc>
          <w:tcPr>
            <w:tcW w:w="2113" w:type="dxa"/>
            <w:gridSpan w:val="2"/>
            <w:vAlign w:val="center"/>
          </w:tcPr>
          <w:p w14:paraId="691E536A">
            <w:pPr>
              <w:spacing w:line="360" w:lineRule="auto"/>
              <w:jc w:val="both"/>
              <w:rPr>
                <w:sz w:val="21"/>
                <w:szCs w:val="21"/>
                <w:highlight w:val="none"/>
              </w:rPr>
            </w:pPr>
            <w:r>
              <w:rPr>
                <w:rFonts w:hint="eastAsia"/>
                <w:sz w:val="21"/>
                <w:szCs w:val="21"/>
                <w:highlight w:val="none"/>
              </w:rPr>
              <w:t>评审因素</w:t>
            </w:r>
          </w:p>
        </w:tc>
        <w:tc>
          <w:tcPr>
            <w:tcW w:w="6801" w:type="dxa"/>
            <w:vAlign w:val="center"/>
          </w:tcPr>
          <w:p w14:paraId="04E5F0BF">
            <w:pPr>
              <w:spacing w:line="360" w:lineRule="auto"/>
              <w:jc w:val="center"/>
              <w:rPr>
                <w:sz w:val="21"/>
                <w:szCs w:val="21"/>
                <w:highlight w:val="none"/>
              </w:rPr>
            </w:pPr>
            <w:r>
              <w:rPr>
                <w:rFonts w:hint="eastAsia"/>
                <w:sz w:val="21"/>
                <w:szCs w:val="21"/>
                <w:highlight w:val="none"/>
              </w:rPr>
              <w:t>评审标准</w:t>
            </w:r>
          </w:p>
        </w:tc>
      </w:tr>
      <w:tr w14:paraId="50BB0F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restart"/>
            <w:vAlign w:val="center"/>
          </w:tcPr>
          <w:p w14:paraId="4DB98D20">
            <w:pPr>
              <w:spacing w:line="360" w:lineRule="auto"/>
              <w:jc w:val="center"/>
              <w:rPr>
                <w:sz w:val="21"/>
                <w:szCs w:val="21"/>
                <w:highlight w:val="none"/>
              </w:rPr>
            </w:pPr>
            <w:r>
              <w:rPr>
                <w:rFonts w:hint="eastAsia"/>
                <w:sz w:val="21"/>
                <w:szCs w:val="21"/>
                <w:highlight w:val="none"/>
              </w:rPr>
              <w:t>符合性评审</w:t>
            </w:r>
          </w:p>
        </w:tc>
        <w:tc>
          <w:tcPr>
            <w:tcW w:w="2113" w:type="dxa"/>
            <w:gridSpan w:val="2"/>
            <w:vAlign w:val="center"/>
          </w:tcPr>
          <w:p w14:paraId="60F05298">
            <w:pPr>
              <w:spacing w:line="360" w:lineRule="auto"/>
              <w:jc w:val="center"/>
              <w:rPr>
                <w:sz w:val="21"/>
                <w:szCs w:val="21"/>
                <w:highlight w:val="none"/>
              </w:rPr>
            </w:pPr>
            <w:r>
              <w:rPr>
                <w:rFonts w:hint="eastAsia"/>
                <w:sz w:val="21"/>
                <w:szCs w:val="21"/>
                <w:highlight w:val="none"/>
              </w:rPr>
              <w:t>投标文件格式</w:t>
            </w:r>
          </w:p>
        </w:tc>
        <w:tc>
          <w:tcPr>
            <w:tcW w:w="6801" w:type="dxa"/>
            <w:vAlign w:val="center"/>
          </w:tcPr>
          <w:p w14:paraId="1925AF84">
            <w:pPr>
              <w:spacing w:line="360" w:lineRule="auto"/>
              <w:rPr>
                <w:sz w:val="21"/>
                <w:szCs w:val="21"/>
                <w:highlight w:val="none"/>
              </w:rPr>
            </w:pPr>
            <w:r>
              <w:rPr>
                <w:rFonts w:hint="eastAsia"/>
                <w:sz w:val="21"/>
                <w:szCs w:val="21"/>
                <w:highlight w:val="none"/>
              </w:rPr>
              <w:t>符合 第二章 投标人须知“3.5投标文件的编制”要求和招标文件 第七章 投标文件格式要求。</w:t>
            </w:r>
          </w:p>
        </w:tc>
      </w:tr>
      <w:tr w14:paraId="1E134D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3F11CFD6">
            <w:pPr>
              <w:spacing w:line="360" w:lineRule="auto"/>
              <w:jc w:val="center"/>
              <w:rPr>
                <w:sz w:val="21"/>
                <w:szCs w:val="21"/>
                <w:highlight w:val="none"/>
              </w:rPr>
            </w:pPr>
          </w:p>
        </w:tc>
        <w:tc>
          <w:tcPr>
            <w:tcW w:w="2113" w:type="dxa"/>
            <w:gridSpan w:val="2"/>
            <w:vAlign w:val="center"/>
          </w:tcPr>
          <w:p w14:paraId="53D0384D">
            <w:pPr>
              <w:spacing w:line="360" w:lineRule="auto"/>
              <w:jc w:val="center"/>
              <w:rPr>
                <w:sz w:val="21"/>
                <w:szCs w:val="21"/>
                <w:highlight w:val="none"/>
              </w:rPr>
            </w:pPr>
            <w:r>
              <w:rPr>
                <w:rFonts w:hint="eastAsia"/>
                <w:sz w:val="21"/>
                <w:szCs w:val="21"/>
                <w:highlight w:val="none"/>
              </w:rPr>
              <w:t>投标文件的签署</w:t>
            </w:r>
          </w:p>
        </w:tc>
        <w:tc>
          <w:tcPr>
            <w:tcW w:w="6801" w:type="dxa"/>
            <w:vAlign w:val="center"/>
          </w:tcPr>
          <w:p w14:paraId="3EC42F3B">
            <w:pPr>
              <w:spacing w:line="360" w:lineRule="auto"/>
              <w:rPr>
                <w:sz w:val="21"/>
                <w:szCs w:val="21"/>
                <w:highlight w:val="none"/>
              </w:rPr>
            </w:pPr>
            <w:r>
              <w:rPr>
                <w:rFonts w:hint="eastAsia"/>
                <w:sz w:val="21"/>
                <w:szCs w:val="21"/>
                <w:highlight w:val="none"/>
              </w:rPr>
              <w:t>符合 第二章 投标人须知前附表“第3.5.3项”、第七章“投标文件格式”签字盖章的要求。</w:t>
            </w:r>
          </w:p>
        </w:tc>
      </w:tr>
      <w:tr w14:paraId="7D53E0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5B52DC5E">
            <w:pPr>
              <w:spacing w:line="360" w:lineRule="auto"/>
              <w:jc w:val="center"/>
              <w:rPr>
                <w:sz w:val="21"/>
                <w:szCs w:val="21"/>
                <w:highlight w:val="none"/>
              </w:rPr>
            </w:pPr>
          </w:p>
        </w:tc>
        <w:tc>
          <w:tcPr>
            <w:tcW w:w="2113" w:type="dxa"/>
            <w:gridSpan w:val="2"/>
            <w:vAlign w:val="center"/>
          </w:tcPr>
          <w:p w14:paraId="67B7D95C">
            <w:pPr>
              <w:spacing w:line="360" w:lineRule="auto"/>
              <w:jc w:val="center"/>
              <w:rPr>
                <w:sz w:val="21"/>
                <w:szCs w:val="21"/>
                <w:highlight w:val="none"/>
              </w:rPr>
            </w:pPr>
            <w:r>
              <w:rPr>
                <w:rFonts w:hint="eastAsia"/>
                <w:sz w:val="21"/>
                <w:szCs w:val="21"/>
                <w:highlight w:val="none"/>
              </w:rPr>
              <w:t>投标报价</w:t>
            </w:r>
          </w:p>
        </w:tc>
        <w:tc>
          <w:tcPr>
            <w:tcW w:w="6801" w:type="dxa"/>
            <w:vAlign w:val="center"/>
          </w:tcPr>
          <w:p w14:paraId="1830D8C5">
            <w:pPr>
              <w:spacing w:line="360" w:lineRule="auto"/>
              <w:rPr>
                <w:sz w:val="21"/>
                <w:szCs w:val="21"/>
                <w:highlight w:val="none"/>
              </w:rPr>
            </w:pPr>
            <w:r>
              <w:rPr>
                <w:rFonts w:hint="eastAsia"/>
                <w:sz w:val="21"/>
                <w:szCs w:val="21"/>
                <w:highlight w:val="none"/>
              </w:rPr>
              <w:t>报价唯一，且符合本项目投标报价要求，且投标报价未超过最高限价。</w:t>
            </w:r>
          </w:p>
        </w:tc>
      </w:tr>
      <w:tr w14:paraId="43B17B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0E79E471">
            <w:pPr>
              <w:spacing w:line="360" w:lineRule="auto"/>
              <w:jc w:val="center"/>
              <w:rPr>
                <w:sz w:val="21"/>
                <w:szCs w:val="21"/>
                <w:highlight w:val="none"/>
              </w:rPr>
            </w:pPr>
          </w:p>
        </w:tc>
        <w:tc>
          <w:tcPr>
            <w:tcW w:w="2113" w:type="dxa"/>
            <w:gridSpan w:val="2"/>
            <w:vAlign w:val="center"/>
          </w:tcPr>
          <w:p w14:paraId="73F3B75F">
            <w:pPr>
              <w:spacing w:line="360" w:lineRule="auto"/>
              <w:jc w:val="center"/>
              <w:rPr>
                <w:sz w:val="21"/>
                <w:szCs w:val="21"/>
                <w:highlight w:val="none"/>
              </w:rPr>
            </w:pPr>
            <w:r>
              <w:rPr>
                <w:rFonts w:hint="eastAsia"/>
                <w:sz w:val="21"/>
                <w:szCs w:val="21"/>
                <w:highlight w:val="none"/>
              </w:rPr>
              <w:t>合同履行期限</w:t>
            </w:r>
          </w:p>
        </w:tc>
        <w:tc>
          <w:tcPr>
            <w:tcW w:w="6801" w:type="dxa"/>
            <w:vAlign w:val="center"/>
          </w:tcPr>
          <w:p w14:paraId="35ADCE1F">
            <w:pPr>
              <w:spacing w:line="360" w:lineRule="auto"/>
              <w:rPr>
                <w:sz w:val="21"/>
                <w:szCs w:val="21"/>
                <w:highlight w:val="none"/>
              </w:rPr>
            </w:pPr>
            <w:r>
              <w:rPr>
                <w:rFonts w:hint="eastAsia"/>
                <w:sz w:val="21"/>
                <w:szCs w:val="21"/>
                <w:highlight w:val="none"/>
              </w:rPr>
              <w:t>符合 第二章 投标人须知前附表 “第1.3.2项”规定。</w:t>
            </w:r>
          </w:p>
        </w:tc>
      </w:tr>
      <w:tr w14:paraId="2750FA0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69864545">
            <w:pPr>
              <w:spacing w:line="360" w:lineRule="auto"/>
              <w:jc w:val="center"/>
              <w:rPr>
                <w:sz w:val="21"/>
                <w:szCs w:val="21"/>
                <w:highlight w:val="none"/>
              </w:rPr>
            </w:pPr>
          </w:p>
        </w:tc>
        <w:tc>
          <w:tcPr>
            <w:tcW w:w="2113" w:type="dxa"/>
            <w:gridSpan w:val="2"/>
            <w:vAlign w:val="center"/>
          </w:tcPr>
          <w:p w14:paraId="6F9641CD">
            <w:pPr>
              <w:spacing w:line="360" w:lineRule="auto"/>
              <w:jc w:val="center"/>
              <w:rPr>
                <w:sz w:val="21"/>
                <w:szCs w:val="21"/>
                <w:highlight w:val="none"/>
              </w:rPr>
            </w:pPr>
            <w:r>
              <w:rPr>
                <w:rFonts w:hint="eastAsia"/>
                <w:sz w:val="21"/>
                <w:szCs w:val="21"/>
                <w:highlight w:val="none"/>
              </w:rPr>
              <w:t>服务地点</w:t>
            </w:r>
          </w:p>
        </w:tc>
        <w:tc>
          <w:tcPr>
            <w:tcW w:w="6801" w:type="dxa"/>
            <w:vAlign w:val="center"/>
          </w:tcPr>
          <w:p w14:paraId="776EC51C">
            <w:pPr>
              <w:spacing w:line="360" w:lineRule="auto"/>
              <w:rPr>
                <w:sz w:val="21"/>
                <w:szCs w:val="21"/>
                <w:highlight w:val="none"/>
              </w:rPr>
            </w:pPr>
            <w:r>
              <w:rPr>
                <w:rFonts w:hint="eastAsia"/>
                <w:sz w:val="21"/>
                <w:szCs w:val="21"/>
                <w:highlight w:val="none"/>
              </w:rPr>
              <w:t>符合 第二章 投标人须知前附表 “第1.3.3项”规定。</w:t>
            </w:r>
          </w:p>
        </w:tc>
      </w:tr>
      <w:tr w14:paraId="723B4A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6B206BAA">
            <w:pPr>
              <w:spacing w:line="360" w:lineRule="auto"/>
              <w:jc w:val="center"/>
              <w:rPr>
                <w:sz w:val="21"/>
                <w:szCs w:val="21"/>
                <w:highlight w:val="none"/>
              </w:rPr>
            </w:pPr>
          </w:p>
        </w:tc>
        <w:tc>
          <w:tcPr>
            <w:tcW w:w="2113" w:type="dxa"/>
            <w:gridSpan w:val="2"/>
            <w:vAlign w:val="center"/>
          </w:tcPr>
          <w:p w14:paraId="6AEE237D">
            <w:pPr>
              <w:spacing w:line="360" w:lineRule="auto"/>
              <w:jc w:val="center"/>
              <w:rPr>
                <w:sz w:val="21"/>
                <w:szCs w:val="21"/>
                <w:highlight w:val="none"/>
              </w:rPr>
            </w:pPr>
            <w:r>
              <w:rPr>
                <w:rFonts w:hint="eastAsia"/>
                <w:sz w:val="21"/>
                <w:szCs w:val="21"/>
                <w:highlight w:val="none"/>
              </w:rPr>
              <w:t>服务要求</w:t>
            </w:r>
          </w:p>
        </w:tc>
        <w:tc>
          <w:tcPr>
            <w:tcW w:w="6801" w:type="dxa"/>
            <w:vAlign w:val="center"/>
          </w:tcPr>
          <w:p w14:paraId="58097F60">
            <w:pPr>
              <w:spacing w:line="360" w:lineRule="auto"/>
              <w:rPr>
                <w:sz w:val="21"/>
                <w:szCs w:val="21"/>
                <w:highlight w:val="none"/>
              </w:rPr>
            </w:pPr>
            <w:r>
              <w:rPr>
                <w:rFonts w:hint="eastAsia"/>
                <w:sz w:val="21"/>
                <w:szCs w:val="21"/>
                <w:highlight w:val="none"/>
              </w:rPr>
              <w:t>符合 第二章 投标人须知前附表 “第1.3.4项”规定。</w:t>
            </w:r>
          </w:p>
        </w:tc>
      </w:tr>
      <w:tr w14:paraId="6D2565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350A0488">
            <w:pPr>
              <w:spacing w:line="360" w:lineRule="auto"/>
              <w:jc w:val="center"/>
              <w:rPr>
                <w:sz w:val="21"/>
                <w:szCs w:val="21"/>
                <w:highlight w:val="none"/>
              </w:rPr>
            </w:pPr>
          </w:p>
        </w:tc>
        <w:tc>
          <w:tcPr>
            <w:tcW w:w="2113" w:type="dxa"/>
            <w:gridSpan w:val="2"/>
            <w:vAlign w:val="center"/>
          </w:tcPr>
          <w:p w14:paraId="4AED4D29">
            <w:pPr>
              <w:spacing w:line="360" w:lineRule="auto"/>
              <w:jc w:val="center"/>
              <w:rPr>
                <w:sz w:val="21"/>
                <w:szCs w:val="21"/>
                <w:highlight w:val="none"/>
              </w:rPr>
            </w:pPr>
            <w:r>
              <w:rPr>
                <w:rFonts w:hint="eastAsia"/>
                <w:sz w:val="21"/>
                <w:szCs w:val="21"/>
                <w:highlight w:val="none"/>
              </w:rPr>
              <w:t>投标有效期</w:t>
            </w:r>
          </w:p>
        </w:tc>
        <w:tc>
          <w:tcPr>
            <w:tcW w:w="6801" w:type="dxa"/>
            <w:vAlign w:val="center"/>
          </w:tcPr>
          <w:p w14:paraId="3BD6AC5C">
            <w:pPr>
              <w:spacing w:line="360" w:lineRule="auto"/>
              <w:rPr>
                <w:sz w:val="21"/>
                <w:szCs w:val="21"/>
                <w:highlight w:val="none"/>
              </w:rPr>
            </w:pPr>
            <w:r>
              <w:rPr>
                <w:rFonts w:hint="eastAsia"/>
                <w:sz w:val="21"/>
                <w:szCs w:val="21"/>
                <w:highlight w:val="none"/>
              </w:rPr>
              <w:t>符合 第二章 投标人须知前附表 “第3.3.1项”规定。</w:t>
            </w:r>
          </w:p>
        </w:tc>
      </w:tr>
      <w:tr w14:paraId="5CC1DF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302D0298">
            <w:pPr>
              <w:spacing w:line="360" w:lineRule="auto"/>
              <w:jc w:val="center"/>
              <w:rPr>
                <w:sz w:val="21"/>
                <w:szCs w:val="21"/>
                <w:highlight w:val="none"/>
              </w:rPr>
            </w:pPr>
          </w:p>
        </w:tc>
        <w:tc>
          <w:tcPr>
            <w:tcW w:w="2113" w:type="dxa"/>
            <w:gridSpan w:val="2"/>
            <w:vAlign w:val="center"/>
          </w:tcPr>
          <w:p w14:paraId="3FF4BB80">
            <w:pPr>
              <w:spacing w:line="360" w:lineRule="auto"/>
              <w:jc w:val="center"/>
              <w:rPr>
                <w:kern w:val="2"/>
                <w:sz w:val="21"/>
                <w:szCs w:val="21"/>
                <w:highlight w:val="none"/>
              </w:rPr>
            </w:pPr>
            <w:r>
              <w:rPr>
                <w:rFonts w:hint="eastAsia"/>
                <w:sz w:val="21"/>
                <w:szCs w:val="21"/>
                <w:highlight w:val="none"/>
              </w:rPr>
              <w:t>投标保证金</w:t>
            </w:r>
          </w:p>
        </w:tc>
        <w:tc>
          <w:tcPr>
            <w:tcW w:w="6801" w:type="dxa"/>
            <w:vAlign w:val="center"/>
          </w:tcPr>
          <w:p w14:paraId="67275087">
            <w:pPr>
              <w:spacing w:line="360" w:lineRule="auto"/>
              <w:rPr>
                <w:kern w:val="2"/>
                <w:sz w:val="21"/>
                <w:szCs w:val="21"/>
                <w:highlight w:val="none"/>
              </w:rPr>
            </w:pPr>
            <w:r>
              <w:rPr>
                <w:rFonts w:hint="eastAsia"/>
                <w:sz w:val="21"/>
                <w:szCs w:val="21"/>
                <w:highlight w:val="none"/>
              </w:rPr>
              <w:t>按招标文件要求提交投标保证金,投标文件中须提供缴纳凭证.</w:t>
            </w:r>
          </w:p>
        </w:tc>
      </w:tr>
      <w:tr w14:paraId="3B6BB8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17A393E4">
            <w:pPr>
              <w:spacing w:line="360" w:lineRule="auto"/>
              <w:jc w:val="center"/>
              <w:rPr>
                <w:sz w:val="21"/>
                <w:szCs w:val="21"/>
                <w:highlight w:val="none"/>
              </w:rPr>
            </w:pPr>
          </w:p>
        </w:tc>
        <w:tc>
          <w:tcPr>
            <w:tcW w:w="2113" w:type="dxa"/>
            <w:gridSpan w:val="2"/>
            <w:vAlign w:val="center"/>
          </w:tcPr>
          <w:p w14:paraId="2A9ECE10">
            <w:pPr>
              <w:spacing w:line="360" w:lineRule="auto"/>
              <w:jc w:val="center"/>
              <w:rPr>
                <w:sz w:val="21"/>
                <w:szCs w:val="21"/>
                <w:highlight w:val="none"/>
              </w:rPr>
            </w:pPr>
            <w:r>
              <w:rPr>
                <w:rFonts w:hint="eastAsia"/>
                <w:sz w:val="21"/>
                <w:szCs w:val="21"/>
                <w:highlight w:val="none"/>
              </w:rPr>
              <w:t>投标人承诺书</w:t>
            </w:r>
          </w:p>
        </w:tc>
        <w:tc>
          <w:tcPr>
            <w:tcW w:w="6801" w:type="dxa"/>
            <w:vAlign w:val="center"/>
          </w:tcPr>
          <w:p w14:paraId="634E2615">
            <w:pPr>
              <w:spacing w:line="360" w:lineRule="auto"/>
              <w:rPr>
                <w:sz w:val="21"/>
                <w:szCs w:val="21"/>
                <w:highlight w:val="none"/>
              </w:rPr>
            </w:pPr>
            <w:r>
              <w:rPr>
                <w:rFonts w:hint="eastAsia"/>
                <w:sz w:val="21"/>
                <w:szCs w:val="21"/>
                <w:highlight w:val="none"/>
              </w:rPr>
              <w:t>按本招标文件给定的投标文件格式要求填写。</w:t>
            </w:r>
          </w:p>
        </w:tc>
      </w:tr>
      <w:tr w14:paraId="0202F28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2A50904F">
            <w:pPr>
              <w:spacing w:line="360" w:lineRule="auto"/>
              <w:jc w:val="center"/>
              <w:rPr>
                <w:sz w:val="21"/>
                <w:szCs w:val="21"/>
                <w:highlight w:val="none"/>
              </w:rPr>
            </w:pPr>
          </w:p>
        </w:tc>
        <w:tc>
          <w:tcPr>
            <w:tcW w:w="2113" w:type="dxa"/>
            <w:gridSpan w:val="2"/>
            <w:vAlign w:val="center"/>
          </w:tcPr>
          <w:p w14:paraId="5644D379">
            <w:pPr>
              <w:pStyle w:val="45"/>
              <w:spacing w:before="72" w:line="360" w:lineRule="auto"/>
              <w:jc w:val="center"/>
              <w:rPr>
                <w:sz w:val="21"/>
                <w:szCs w:val="21"/>
                <w:highlight w:val="none"/>
              </w:rPr>
            </w:pPr>
            <w:r>
              <w:rPr>
                <w:rFonts w:hint="eastAsia"/>
                <w:sz w:val="21"/>
                <w:szCs w:val="21"/>
                <w:highlight w:val="none"/>
              </w:rPr>
              <w:t>法定代表人身份证明书</w:t>
            </w:r>
          </w:p>
        </w:tc>
        <w:tc>
          <w:tcPr>
            <w:tcW w:w="6801" w:type="dxa"/>
            <w:vAlign w:val="center"/>
          </w:tcPr>
          <w:p w14:paraId="1E7E9CE9">
            <w:pPr>
              <w:spacing w:line="360" w:lineRule="auto"/>
              <w:rPr>
                <w:sz w:val="21"/>
                <w:szCs w:val="21"/>
                <w:highlight w:val="none"/>
              </w:rPr>
            </w:pPr>
            <w:r>
              <w:rPr>
                <w:rFonts w:hint="eastAsia"/>
                <w:sz w:val="21"/>
                <w:szCs w:val="21"/>
                <w:highlight w:val="none"/>
              </w:rPr>
              <w:t>按本招标文件给定的投标文件格式要求填写。</w:t>
            </w:r>
          </w:p>
        </w:tc>
      </w:tr>
      <w:tr w14:paraId="4C6E40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423" w:hRule="atLeast"/>
          <w:jc w:val="center"/>
        </w:trPr>
        <w:tc>
          <w:tcPr>
            <w:tcW w:w="862" w:type="dxa"/>
            <w:vMerge w:val="continue"/>
            <w:vAlign w:val="center"/>
          </w:tcPr>
          <w:p w14:paraId="3ABE8D8E">
            <w:pPr>
              <w:spacing w:line="360" w:lineRule="auto"/>
              <w:jc w:val="center"/>
              <w:rPr>
                <w:sz w:val="21"/>
                <w:szCs w:val="21"/>
                <w:highlight w:val="none"/>
              </w:rPr>
            </w:pPr>
          </w:p>
        </w:tc>
        <w:tc>
          <w:tcPr>
            <w:tcW w:w="2113" w:type="dxa"/>
            <w:gridSpan w:val="2"/>
            <w:vAlign w:val="center"/>
          </w:tcPr>
          <w:p w14:paraId="2BE16E83">
            <w:pPr>
              <w:pStyle w:val="45"/>
              <w:spacing w:before="72" w:line="360" w:lineRule="auto"/>
              <w:jc w:val="center"/>
              <w:rPr>
                <w:sz w:val="21"/>
                <w:szCs w:val="21"/>
                <w:highlight w:val="none"/>
              </w:rPr>
            </w:pPr>
            <w:r>
              <w:rPr>
                <w:rFonts w:hint="eastAsia"/>
                <w:sz w:val="21"/>
                <w:szCs w:val="21"/>
                <w:highlight w:val="none"/>
              </w:rPr>
              <w:t>若法定代表人不亲自投标的，应提供经有法定代表人身份证明书的授权委托书</w:t>
            </w:r>
          </w:p>
        </w:tc>
        <w:tc>
          <w:tcPr>
            <w:tcW w:w="6801" w:type="dxa"/>
            <w:vAlign w:val="center"/>
          </w:tcPr>
          <w:p w14:paraId="2D0A6F3A">
            <w:pPr>
              <w:spacing w:line="360" w:lineRule="auto"/>
              <w:rPr>
                <w:sz w:val="21"/>
                <w:szCs w:val="21"/>
                <w:highlight w:val="none"/>
              </w:rPr>
            </w:pPr>
            <w:r>
              <w:rPr>
                <w:rFonts w:hint="eastAsia"/>
                <w:sz w:val="21"/>
                <w:szCs w:val="21"/>
                <w:highlight w:val="none"/>
              </w:rPr>
              <w:t>按本招标文件给定的投标文件格式要求填写。</w:t>
            </w:r>
          </w:p>
        </w:tc>
      </w:tr>
      <w:tr w14:paraId="6F3A0A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39" w:hRule="atLeast"/>
          <w:jc w:val="center"/>
        </w:trPr>
        <w:tc>
          <w:tcPr>
            <w:tcW w:w="862" w:type="dxa"/>
            <w:vMerge w:val="continue"/>
            <w:vAlign w:val="center"/>
          </w:tcPr>
          <w:p w14:paraId="5399DFE9">
            <w:pPr>
              <w:spacing w:line="360" w:lineRule="auto"/>
              <w:jc w:val="center"/>
              <w:rPr>
                <w:sz w:val="21"/>
                <w:szCs w:val="21"/>
                <w:highlight w:val="none"/>
              </w:rPr>
            </w:pPr>
          </w:p>
        </w:tc>
        <w:tc>
          <w:tcPr>
            <w:tcW w:w="2113" w:type="dxa"/>
            <w:gridSpan w:val="2"/>
          </w:tcPr>
          <w:p w14:paraId="51C268C7">
            <w:pPr>
              <w:pStyle w:val="45"/>
              <w:spacing w:before="72" w:line="360" w:lineRule="auto"/>
              <w:jc w:val="center"/>
              <w:rPr>
                <w:kern w:val="2"/>
                <w:sz w:val="21"/>
                <w:szCs w:val="21"/>
                <w:highlight w:val="none"/>
              </w:rPr>
            </w:pPr>
            <w:r>
              <w:rPr>
                <w:rFonts w:hint="eastAsia"/>
                <w:sz w:val="21"/>
                <w:szCs w:val="21"/>
                <w:highlight w:val="none"/>
              </w:rPr>
              <w:t>投标文件提交人（法定代表人或授权代理人）居民身份证</w:t>
            </w:r>
          </w:p>
        </w:tc>
        <w:tc>
          <w:tcPr>
            <w:tcW w:w="6801" w:type="dxa"/>
            <w:vAlign w:val="center"/>
          </w:tcPr>
          <w:p w14:paraId="20DA015A">
            <w:pPr>
              <w:spacing w:line="360" w:lineRule="auto"/>
              <w:rPr>
                <w:sz w:val="21"/>
                <w:szCs w:val="21"/>
                <w:highlight w:val="none"/>
              </w:rPr>
            </w:pPr>
            <w:r>
              <w:rPr>
                <w:rFonts w:hint="eastAsia"/>
                <w:sz w:val="21"/>
                <w:szCs w:val="21"/>
                <w:highlight w:val="none"/>
              </w:rPr>
              <w:t>具备有效证件。</w:t>
            </w:r>
          </w:p>
        </w:tc>
      </w:tr>
      <w:tr w14:paraId="6CDB25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2A7E3C06">
            <w:pPr>
              <w:spacing w:line="360" w:lineRule="auto"/>
              <w:jc w:val="center"/>
              <w:rPr>
                <w:sz w:val="21"/>
                <w:szCs w:val="21"/>
                <w:highlight w:val="none"/>
              </w:rPr>
            </w:pPr>
          </w:p>
        </w:tc>
        <w:tc>
          <w:tcPr>
            <w:tcW w:w="2113" w:type="dxa"/>
            <w:gridSpan w:val="2"/>
            <w:vAlign w:val="center"/>
          </w:tcPr>
          <w:p w14:paraId="5FF47713">
            <w:pPr>
              <w:spacing w:line="360" w:lineRule="auto"/>
              <w:jc w:val="center"/>
              <w:rPr>
                <w:sz w:val="21"/>
                <w:szCs w:val="21"/>
                <w:highlight w:val="none"/>
              </w:rPr>
            </w:pPr>
            <w:r>
              <w:rPr>
                <w:rFonts w:hint="eastAsia"/>
                <w:sz w:val="21"/>
                <w:szCs w:val="21"/>
                <w:highlight w:val="none"/>
              </w:rPr>
              <w:t>其他投标无效情形</w:t>
            </w:r>
          </w:p>
        </w:tc>
        <w:tc>
          <w:tcPr>
            <w:tcW w:w="6801" w:type="dxa"/>
            <w:vAlign w:val="center"/>
          </w:tcPr>
          <w:p w14:paraId="673A1A67">
            <w:pPr>
              <w:spacing w:line="360" w:lineRule="auto"/>
              <w:rPr>
                <w:sz w:val="21"/>
                <w:szCs w:val="21"/>
                <w:highlight w:val="none"/>
              </w:rPr>
            </w:pPr>
            <w:r>
              <w:rPr>
                <w:rFonts w:hint="eastAsia"/>
                <w:sz w:val="21"/>
                <w:szCs w:val="21"/>
                <w:highlight w:val="none"/>
              </w:rPr>
              <w:t>投标人存在本章“其他投标无效情形”中任意情形之一的，投标无效。</w:t>
            </w:r>
          </w:p>
        </w:tc>
      </w:tr>
      <w:tr w14:paraId="35FEB6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Align w:val="center"/>
          </w:tcPr>
          <w:p w14:paraId="1FBFA7FB">
            <w:pPr>
              <w:spacing w:line="360" w:lineRule="auto"/>
              <w:jc w:val="center"/>
              <w:rPr>
                <w:sz w:val="21"/>
                <w:szCs w:val="21"/>
                <w:highlight w:val="none"/>
              </w:rPr>
            </w:pPr>
            <w:r>
              <w:rPr>
                <w:rFonts w:hint="eastAsia"/>
                <w:sz w:val="21"/>
                <w:szCs w:val="21"/>
                <w:highlight w:val="none"/>
              </w:rPr>
              <w:t>条款号</w:t>
            </w:r>
          </w:p>
        </w:tc>
        <w:tc>
          <w:tcPr>
            <w:tcW w:w="2113" w:type="dxa"/>
            <w:gridSpan w:val="2"/>
            <w:vAlign w:val="center"/>
          </w:tcPr>
          <w:p w14:paraId="6F533BC9">
            <w:pPr>
              <w:spacing w:line="360" w:lineRule="auto"/>
              <w:jc w:val="center"/>
              <w:rPr>
                <w:sz w:val="21"/>
                <w:szCs w:val="21"/>
                <w:highlight w:val="none"/>
              </w:rPr>
            </w:pPr>
            <w:r>
              <w:rPr>
                <w:rFonts w:hint="eastAsia"/>
                <w:sz w:val="21"/>
                <w:szCs w:val="21"/>
                <w:highlight w:val="none"/>
              </w:rPr>
              <w:t>条款内容</w:t>
            </w:r>
          </w:p>
        </w:tc>
        <w:tc>
          <w:tcPr>
            <w:tcW w:w="6801" w:type="dxa"/>
            <w:vAlign w:val="center"/>
          </w:tcPr>
          <w:p w14:paraId="6E2CD845">
            <w:pPr>
              <w:spacing w:line="360" w:lineRule="auto"/>
              <w:jc w:val="center"/>
              <w:rPr>
                <w:sz w:val="21"/>
                <w:szCs w:val="21"/>
                <w:highlight w:val="none"/>
              </w:rPr>
            </w:pPr>
            <w:r>
              <w:rPr>
                <w:rFonts w:hint="eastAsia"/>
                <w:sz w:val="21"/>
                <w:szCs w:val="21"/>
                <w:highlight w:val="none"/>
              </w:rPr>
              <w:t>编列内容</w:t>
            </w:r>
          </w:p>
        </w:tc>
      </w:tr>
      <w:tr w14:paraId="44C575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restart"/>
            <w:vAlign w:val="center"/>
          </w:tcPr>
          <w:p w14:paraId="4ABBBB43">
            <w:pPr>
              <w:spacing w:line="360" w:lineRule="auto"/>
              <w:jc w:val="center"/>
              <w:rPr>
                <w:sz w:val="21"/>
                <w:szCs w:val="21"/>
                <w:highlight w:val="none"/>
              </w:rPr>
            </w:pPr>
            <w:r>
              <w:rPr>
                <w:rFonts w:hint="eastAsia"/>
                <w:sz w:val="21"/>
                <w:szCs w:val="21"/>
                <w:highlight w:val="none"/>
              </w:rPr>
              <w:t>详细评审</w:t>
            </w:r>
          </w:p>
          <w:p w14:paraId="7D4F37CB">
            <w:pPr>
              <w:spacing w:line="360" w:lineRule="auto"/>
              <w:rPr>
                <w:sz w:val="21"/>
                <w:szCs w:val="21"/>
                <w:highlight w:val="none"/>
              </w:rPr>
            </w:pPr>
            <w:r>
              <w:rPr>
                <w:rFonts w:hint="eastAsia"/>
                <w:sz w:val="21"/>
                <w:szCs w:val="21"/>
                <w:highlight w:val="none"/>
              </w:rPr>
              <w:t>（综合评分法）</w:t>
            </w:r>
          </w:p>
        </w:tc>
        <w:tc>
          <w:tcPr>
            <w:tcW w:w="697" w:type="dxa"/>
            <w:vAlign w:val="center"/>
          </w:tcPr>
          <w:p w14:paraId="27D2E4AB">
            <w:pPr>
              <w:spacing w:line="360" w:lineRule="auto"/>
              <w:jc w:val="center"/>
              <w:rPr>
                <w:sz w:val="21"/>
                <w:szCs w:val="21"/>
                <w:highlight w:val="none"/>
              </w:rPr>
            </w:pPr>
            <w:r>
              <w:rPr>
                <w:rFonts w:hint="eastAsia"/>
                <w:sz w:val="21"/>
                <w:szCs w:val="21"/>
                <w:highlight w:val="none"/>
              </w:rPr>
              <w:t>2.1</w:t>
            </w:r>
          </w:p>
        </w:tc>
        <w:tc>
          <w:tcPr>
            <w:tcW w:w="1416" w:type="dxa"/>
            <w:vAlign w:val="center"/>
          </w:tcPr>
          <w:p w14:paraId="55C3FD6A">
            <w:pPr>
              <w:spacing w:line="360" w:lineRule="auto"/>
              <w:rPr>
                <w:sz w:val="21"/>
                <w:szCs w:val="21"/>
                <w:highlight w:val="none"/>
              </w:rPr>
            </w:pPr>
            <w:r>
              <w:rPr>
                <w:rFonts w:hint="eastAsia"/>
                <w:sz w:val="21"/>
                <w:szCs w:val="21"/>
                <w:highlight w:val="none"/>
              </w:rPr>
              <w:t>评标总得分</w:t>
            </w:r>
          </w:p>
        </w:tc>
        <w:tc>
          <w:tcPr>
            <w:tcW w:w="6801" w:type="dxa"/>
            <w:vAlign w:val="center"/>
          </w:tcPr>
          <w:p w14:paraId="18895350">
            <w:pPr>
              <w:spacing w:line="360" w:lineRule="auto"/>
              <w:rPr>
                <w:sz w:val="21"/>
                <w:szCs w:val="21"/>
                <w:highlight w:val="none"/>
              </w:rPr>
            </w:pPr>
            <w:r>
              <w:rPr>
                <w:rFonts w:hint="eastAsia"/>
                <w:sz w:val="21"/>
                <w:szCs w:val="21"/>
                <w:highlight w:val="none"/>
              </w:rPr>
              <w:t>评标总得分＝F1×A1＋F2×A2＋ … ＋Fn×An，其中：</w:t>
            </w:r>
          </w:p>
          <w:p w14:paraId="6AFB0BA4">
            <w:pPr>
              <w:spacing w:line="360" w:lineRule="auto"/>
              <w:rPr>
                <w:sz w:val="21"/>
                <w:szCs w:val="21"/>
                <w:highlight w:val="none"/>
              </w:rPr>
            </w:pPr>
            <w:r>
              <w:rPr>
                <w:rFonts w:hint="eastAsia"/>
                <w:sz w:val="21"/>
                <w:szCs w:val="21"/>
                <w:highlight w:val="none"/>
              </w:rPr>
              <w:t>F1、F2、…、Fn分别为各项评审因素的得分；</w:t>
            </w:r>
          </w:p>
          <w:p w14:paraId="5C0369FD">
            <w:pPr>
              <w:spacing w:line="360" w:lineRule="auto"/>
              <w:rPr>
                <w:sz w:val="21"/>
                <w:szCs w:val="21"/>
                <w:highlight w:val="none"/>
              </w:rPr>
            </w:pPr>
            <w:r>
              <w:rPr>
                <w:rFonts w:hint="eastAsia"/>
                <w:sz w:val="21"/>
                <w:szCs w:val="21"/>
                <w:highlight w:val="none"/>
              </w:rPr>
              <w:t>A1、A2、…、An分别为各项评审因素所占的权重（A1＋A2＋…＋An＝1）。</w:t>
            </w:r>
          </w:p>
        </w:tc>
      </w:tr>
      <w:tr w14:paraId="3F8B5D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5803B501">
            <w:pPr>
              <w:spacing w:line="360" w:lineRule="auto"/>
              <w:rPr>
                <w:sz w:val="21"/>
                <w:szCs w:val="21"/>
                <w:highlight w:val="none"/>
              </w:rPr>
            </w:pPr>
          </w:p>
        </w:tc>
        <w:tc>
          <w:tcPr>
            <w:tcW w:w="697" w:type="dxa"/>
            <w:vAlign w:val="center"/>
          </w:tcPr>
          <w:p w14:paraId="4AF6EAF7">
            <w:pPr>
              <w:spacing w:line="360" w:lineRule="auto"/>
              <w:jc w:val="center"/>
              <w:rPr>
                <w:sz w:val="21"/>
                <w:szCs w:val="21"/>
                <w:highlight w:val="none"/>
              </w:rPr>
            </w:pPr>
            <w:r>
              <w:rPr>
                <w:rFonts w:hint="eastAsia"/>
                <w:sz w:val="21"/>
                <w:szCs w:val="21"/>
                <w:highlight w:val="none"/>
              </w:rPr>
              <w:t>2.2</w:t>
            </w:r>
          </w:p>
        </w:tc>
        <w:tc>
          <w:tcPr>
            <w:tcW w:w="1416" w:type="dxa"/>
            <w:vAlign w:val="center"/>
          </w:tcPr>
          <w:p w14:paraId="3216B858">
            <w:pPr>
              <w:spacing w:line="360" w:lineRule="auto"/>
              <w:rPr>
                <w:sz w:val="21"/>
                <w:szCs w:val="21"/>
                <w:highlight w:val="none"/>
              </w:rPr>
            </w:pPr>
            <w:r>
              <w:rPr>
                <w:rFonts w:hint="eastAsia"/>
                <w:sz w:val="21"/>
                <w:szCs w:val="21"/>
                <w:highlight w:val="none"/>
              </w:rPr>
              <w:t>评分因素分值及权重</w:t>
            </w:r>
          </w:p>
        </w:tc>
        <w:tc>
          <w:tcPr>
            <w:tcW w:w="6801" w:type="dxa"/>
            <w:vAlign w:val="center"/>
          </w:tcPr>
          <w:p w14:paraId="1AF46B3A">
            <w:pPr>
              <w:spacing w:line="360" w:lineRule="auto"/>
              <w:rPr>
                <w:sz w:val="21"/>
                <w:szCs w:val="21"/>
                <w:highlight w:val="none"/>
              </w:rPr>
            </w:pPr>
            <w:r>
              <w:rPr>
                <w:rFonts w:hint="eastAsia"/>
                <w:sz w:val="21"/>
                <w:szCs w:val="21"/>
                <w:highlight w:val="none"/>
              </w:rPr>
              <w:t>报价部分F1：满分10分；</w:t>
            </w:r>
          </w:p>
          <w:p w14:paraId="66745349">
            <w:pPr>
              <w:spacing w:line="360" w:lineRule="auto"/>
              <w:rPr>
                <w:sz w:val="21"/>
                <w:szCs w:val="21"/>
                <w:highlight w:val="none"/>
              </w:rPr>
            </w:pPr>
            <w:r>
              <w:rPr>
                <w:rFonts w:hint="eastAsia"/>
                <w:sz w:val="21"/>
                <w:szCs w:val="21"/>
                <w:highlight w:val="none"/>
              </w:rPr>
              <w:t>技术部分F2：满分</w:t>
            </w:r>
            <w:r>
              <w:rPr>
                <w:sz w:val="21"/>
                <w:szCs w:val="21"/>
                <w:highlight w:val="none"/>
              </w:rPr>
              <w:t>7</w:t>
            </w:r>
            <w:r>
              <w:rPr>
                <w:rFonts w:hint="eastAsia"/>
                <w:sz w:val="21"/>
                <w:szCs w:val="21"/>
                <w:highlight w:val="none"/>
              </w:rPr>
              <w:t>0分；</w:t>
            </w:r>
          </w:p>
          <w:p w14:paraId="6AEE40B4">
            <w:pPr>
              <w:spacing w:line="360" w:lineRule="auto"/>
              <w:rPr>
                <w:sz w:val="21"/>
                <w:szCs w:val="21"/>
                <w:highlight w:val="none"/>
              </w:rPr>
            </w:pPr>
            <w:r>
              <w:rPr>
                <w:rFonts w:hint="eastAsia"/>
                <w:sz w:val="21"/>
                <w:szCs w:val="21"/>
                <w:highlight w:val="none"/>
              </w:rPr>
              <w:t>商务部分F3：满分</w:t>
            </w:r>
            <w:r>
              <w:rPr>
                <w:sz w:val="21"/>
                <w:szCs w:val="21"/>
                <w:highlight w:val="none"/>
              </w:rPr>
              <w:t>2</w:t>
            </w:r>
            <w:r>
              <w:rPr>
                <w:rFonts w:hint="eastAsia"/>
                <w:sz w:val="21"/>
                <w:szCs w:val="21"/>
                <w:highlight w:val="none"/>
              </w:rPr>
              <w:t>0分。</w:t>
            </w:r>
          </w:p>
        </w:tc>
      </w:tr>
      <w:tr w14:paraId="643016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4F1501BA">
            <w:pPr>
              <w:spacing w:line="360" w:lineRule="auto"/>
              <w:rPr>
                <w:sz w:val="21"/>
                <w:szCs w:val="21"/>
                <w:highlight w:val="none"/>
              </w:rPr>
            </w:pPr>
          </w:p>
        </w:tc>
        <w:tc>
          <w:tcPr>
            <w:tcW w:w="8914" w:type="dxa"/>
            <w:gridSpan w:val="3"/>
            <w:vAlign w:val="center"/>
          </w:tcPr>
          <w:p w14:paraId="446E18AD">
            <w:pPr>
              <w:spacing w:line="360" w:lineRule="auto"/>
              <w:jc w:val="center"/>
              <w:rPr>
                <w:sz w:val="21"/>
                <w:szCs w:val="21"/>
                <w:highlight w:val="none"/>
              </w:rPr>
            </w:pPr>
            <w:r>
              <w:rPr>
                <w:rFonts w:hint="eastAsia"/>
                <w:sz w:val="21"/>
                <w:szCs w:val="21"/>
                <w:highlight w:val="none"/>
              </w:rPr>
              <w:t>投标报价部分评审</w:t>
            </w:r>
          </w:p>
        </w:tc>
      </w:tr>
      <w:tr w14:paraId="09188F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26903B35">
            <w:pPr>
              <w:spacing w:line="360" w:lineRule="auto"/>
              <w:rPr>
                <w:sz w:val="21"/>
                <w:szCs w:val="21"/>
                <w:highlight w:val="none"/>
              </w:rPr>
            </w:pPr>
          </w:p>
        </w:tc>
        <w:tc>
          <w:tcPr>
            <w:tcW w:w="697" w:type="dxa"/>
            <w:vAlign w:val="center"/>
          </w:tcPr>
          <w:p w14:paraId="52F2902D">
            <w:pPr>
              <w:spacing w:line="360" w:lineRule="auto"/>
              <w:jc w:val="center"/>
              <w:rPr>
                <w:sz w:val="21"/>
                <w:szCs w:val="21"/>
                <w:highlight w:val="none"/>
              </w:rPr>
            </w:pPr>
            <w:r>
              <w:rPr>
                <w:rFonts w:hint="eastAsia"/>
                <w:sz w:val="21"/>
                <w:szCs w:val="21"/>
                <w:highlight w:val="none"/>
              </w:rPr>
              <w:t>2.3</w:t>
            </w:r>
          </w:p>
        </w:tc>
        <w:tc>
          <w:tcPr>
            <w:tcW w:w="1416" w:type="dxa"/>
            <w:vAlign w:val="center"/>
          </w:tcPr>
          <w:p w14:paraId="60937415">
            <w:pPr>
              <w:spacing w:line="360" w:lineRule="auto"/>
              <w:jc w:val="center"/>
              <w:rPr>
                <w:kern w:val="2"/>
                <w:sz w:val="21"/>
                <w:szCs w:val="21"/>
                <w:highlight w:val="none"/>
              </w:rPr>
            </w:pPr>
            <w:r>
              <w:rPr>
                <w:rFonts w:hint="eastAsia"/>
                <w:sz w:val="21"/>
                <w:szCs w:val="21"/>
                <w:highlight w:val="none"/>
              </w:rPr>
              <w:t>投标报价部分评审</w:t>
            </w:r>
          </w:p>
        </w:tc>
        <w:tc>
          <w:tcPr>
            <w:tcW w:w="6801" w:type="dxa"/>
            <w:vAlign w:val="center"/>
          </w:tcPr>
          <w:p w14:paraId="59F6C536">
            <w:pPr>
              <w:spacing w:line="360" w:lineRule="auto"/>
              <w:jc w:val="center"/>
              <w:rPr>
                <w:kern w:val="2"/>
                <w:sz w:val="21"/>
                <w:szCs w:val="21"/>
                <w:highlight w:val="none"/>
              </w:rPr>
            </w:pPr>
            <w:r>
              <w:rPr>
                <w:rFonts w:hint="eastAsia"/>
                <w:sz w:val="21"/>
                <w:szCs w:val="21"/>
                <w:highlight w:val="none"/>
              </w:rPr>
              <w:t>F1＝10分</w:t>
            </w:r>
          </w:p>
        </w:tc>
      </w:tr>
      <w:tr w14:paraId="63E49E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1FD2AD86">
            <w:pPr>
              <w:spacing w:line="360" w:lineRule="auto"/>
              <w:rPr>
                <w:sz w:val="21"/>
                <w:szCs w:val="21"/>
                <w:highlight w:val="none"/>
              </w:rPr>
            </w:pPr>
          </w:p>
        </w:tc>
        <w:tc>
          <w:tcPr>
            <w:tcW w:w="2113" w:type="dxa"/>
            <w:gridSpan w:val="2"/>
            <w:vAlign w:val="center"/>
          </w:tcPr>
          <w:p w14:paraId="14B0E0AA">
            <w:pPr>
              <w:spacing w:line="360" w:lineRule="auto"/>
              <w:jc w:val="center"/>
              <w:rPr>
                <w:sz w:val="21"/>
                <w:szCs w:val="21"/>
                <w:highlight w:val="none"/>
              </w:rPr>
            </w:pPr>
            <w:r>
              <w:rPr>
                <w:rFonts w:hint="eastAsia"/>
                <w:sz w:val="21"/>
                <w:szCs w:val="21"/>
                <w:highlight w:val="none"/>
              </w:rPr>
              <w:t>投标报价评分</w:t>
            </w:r>
          </w:p>
          <w:p w14:paraId="2C01C66D">
            <w:pPr>
              <w:spacing w:line="360" w:lineRule="auto"/>
              <w:jc w:val="center"/>
              <w:rPr>
                <w:sz w:val="21"/>
                <w:szCs w:val="21"/>
                <w:highlight w:val="none"/>
              </w:rPr>
            </w:pPr>
            <w:r>
              <w:rPr>
                <w:rFonts w:hint="eastAsia"/>
                <w:sz w:val="21"/>
                <w:szCs w:val="21"/>
                <w:highlight w:val="none"/>
              </w:rPr>
              <w:t>（10分）</w:t>
            </w:r>
          </w:p>
        </w:tc>
        <w:tc>
          <w:tcPr>
            <w:tcW w:w="6801" w:type="dxa"/>
            <w:vAlign w:val="center"/>
          </w:tcPr>
          <w:p w14:paraId="236A4E7E">
            <w:pPr>
              <w:spacing w:line="360" w:lineRule="auto"/>
              <w:rPr>
                <w:sz w:val="21"/>
                <w:szCs w:val="21"/>
                <w:highlight w:val="none"/>
              </w:rPr>
            </w:pPr>
            <w:r>
              <w:rPr>
                <w:rFonts w:hint="eastAsia"/>
                <w:sz w:val="21"/>
                <w:szCs w:val="21"/>
                <w:highlight w:val="none"/>
              </w:rPr>
              <w:t>价格分采用低价优先法计算，即满足招标文件要求（即通过资格审查和符合性评审）且投标价格最低的投标总报价为评标基准价。其他投标人的价格分统一按照下列公示计算：</w:t>
            </w:r>
          </w:p>
          <w:p w14:paraId="0841E11F">
            <w:pPr>
              <w:pStyle w:val="14"/>
              <w:spacing w:line="360" w:lineRule="auto"/>
              <w:rPr>
                <w:sz w:val="21"/>
                <w:szCs w:val="21"/>
                <w:highlight w:val="none"/>
              </w:rPr>
            </w:pPr>
            <w:r>
              <w:rPr>
                <w:rFonts w:hint="eastAsia"/>
                <w:sz w:val="21"/>
                <w:szCs w:val="21"/>
                <w:highlight w:val="none"/>
              </w:rPr>
              <w:t>投标报价得分=（评标基准价/投标总报价）×10</w:t>
            </w:r>
          </w:p>
          <w:p w14:paraId="216CAB42">
            <w:pPr>
              <w:spacing w:line="360" w:lineRule="auto"/>
              <w:rPr>
                <w:sz w:val="21"/>
                <w:szCs w:val="21"/>
                <w:highlight w:val="none"/>
              </w:rPr>
            </w:pPr>
            <w:r>
              <w:rPr>
                <w:rFonts w:hint="eastAsia"/>
                <w:sz w:val="21"/>
                <w:szCs w:val="21"/>
                <w:highlight w:val="none"/>
              </w:rPr>
              <w:t>注：</w:t>
            </w:r>
          </w:p>
          <w:p w14:paraId="349D48D9">
            <w:pPr>
              <w:spacing w:line="360" w:lineRule="auto"/>
              <w:rPr>
                <w:sz w:val="21"/>
                <w:szCs w:val="21"/>
                <w:highlight w:val="none"/>
              </w:rPr>
            </w:pPr>
            <w:r>
              <w:rPr>
                <w:rFonts w:hint="eastAsia"/>
                <w:sz w:val="21"/>
                <w:szCs w:val="21"/>
                <w:highlight w:val="none"/>
              </w:rPr>
              <w:t>（1）本项目以“</w:t>
            </w:r>
            <w:r>
              <w:rPr>
                <w:rFonts w:hint="eastAsia"/>
                <w:kern w:val="2"/>
                <w:sz w:val="21"/>
                <w:szCs w:val="21"/>
                <w:highlight w:val="none"/>
              </w:rPr>
              <w:t>开标一览表</w:t>
            </w:r>
            <w:r>
              <w:rPr>
                <w:rFonts w:hint="eastAsia"/>
                <w:sz w:val="21"/>
                <w:szCs w:val="21"/>
                <w:highlight w:val="none"/>
              </w:rPr>
              <w:t>”报价为投标总报价的评审基数；</w:t>
            </w:r>
          </w:p>
          <w:p w14:paraId="5741B67C">
            <w:pPr>
              <w:spacing w:line="360" w:lineRule="auto"/>
              <w:rPr>
                <w:sz w:val="21"/>
                <w:szCs w:val="21"/>
                <w:highlight w:val="none"/>
              </w:rPr>
            </w:pPr>
            <w:r>
              <w:rPr>
                <w:rFonts w:hint="eastAsia"/>
                <w:sz w:val="21"/>
                <w:szCs w:val="21"/>
                <w:highlight w:val="none"/>
              </w:rPr>
              <w:t>（2）本项目针对小型企业或微型企业或残疾人福利性单位或监狱企业的价格给予</w:t>
            </w:r>
            <w:r>
              <w:rPr>
                <w:rFonts w:hint="eastAsia"/>
                <w:b/>
                <w:bCs/>
                <w:sz w:val="21"/>
                <w:szCs w:val="21"/>
                <w:highlight w:val="none"/>
              </w:rPr>
              <w:t>10%</w:t>
            </w:r>
            <w:r>
              <w:rPr>
                <w:rFonts w:hint="eastAsia"/>
                <w:sz w:val="21"/>
                <w:szCs w:val="21"/>
                <w:highlight w:val="none"/>
              </w:rPr>
              <w:t>扣除，用扣除后的价格参与评审；监狱企业、残疾人福利性单位属于小型、微型企业的，不重复享受政策；政府采购政策详见 第二章 投标人须知 “第10.4项”的规定。</w:t>
            </w:r>
          </w:p>
          <w:p w14:paraId="5C1C1DE2">
            <w:pPr>
              <w:spacing w:line="360" w:lineRule="auto"/>
              <w:rPr>
                <w:sz w:val="21"/>
                <w:szCs w:val="21"/>
                <w:highlight w:val="none"/>
              </w:rPr>
            </w:pPr>
            <w:r>
              <w:rPr>
                <w:rFonts w:hint="eastAsia"/>
                <w:sz w:val="21"/>
                <w:szCs w:val="21"/>
                <w:highlight w:val="none"/>
              </w:rPr>
              <w:t>（3）因落实政府采购政策进行价格调整的，以调整后的价格计算评标基准价和投标总报价。</w:t>
            </w:r>
          </w:p>
        </w:tc>
      </w:tr>
      <w:tr w14:paraId="59A321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723B7BCD">
            <w:pPr>
              <w:spacing w:line="360" w:lineRule="auto"/>
              <w:rPr>
                <w:sz w:val="21"/>
                <w:szCs w:val="21"/>
                <w:highlight w:val="none"/>
              </w:rPr>
            </w:pPr>
          </w:p>
        </w:tc>
        <w:tc>
          <w:tcPr>
            <w:tcW w:w="8914" w:type="dxa"/>
            <w:gridSpan w:val="3"/>
            <w:vAlign w:val="center"/>
          </w:tcPr>
          <w:p w14:paraId="54CB601C">
            <w:pPr>
              <w:spacing w:line="360" w:lineRule="auto"/>
              <w:jc w:val="center"/>
              <w:rPr>
                <w:sz w:val="21"/>
                <w:szCs w:val="21"/>
                <w:highlight w:val="none"/>
              </w:rPr>
            </w:pPr>
            <w:r>
              <w:rPr>
                <w:rFonts w:hint="eastAsia"/>
                <w:sz w:val="21"/>
                <w:szCs w:val="21"/>
                <w:highlight w:val="none"/>
              </w:rPr>
              <w:t>技术部分评审</w:t>
            </w:r>
          </w:p>
        </w:tc>
      </w:tr>
      <w:tr w14:paraId="08B1C1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06AAA014">
            <w:pPr>
              <w:spacing w:line="360" w:lineRule="auto"/>
              <w:rPr>
                <w:sz w:val="21"/>
                <w:szCs w:val="21"/>
                <w:highlight w:val="none"/>
              </w:rPr>
            </w:pPr>
          </w:p>
        </w:tc>
        <w:tc>
          <w:tcPr>
            <w:tcW w:w="697" w:type="dxa"/>
            <w:vAlign w:val="center"/>
          </w:tcPr>
          <w:p w14:paraId="57C2BDE9">
            <w:pPr>
              <w:spacing w:line="360" w:lineRule="auto"/>
              <w:jc w:val="center"/>
              <w:rPr>
                <w:sz w:val="21"/>
                <w:szCs w:val="21"/>
                <w:highlight w:val="none"/>
              </w:rPr>
            </w:pPr>
            <w:r>
              <w:rPr>
                <w:rFonts w:hint="eastAsia"/>
                <w:sz w:val="21"/>
                <w:szCs w:val="21"/>
                <w:highlight w:val="none"/>
              </w:rPr>
              <w:t>2.4</w:t>
            </w:r>
          </w:p>
        </w:tc>
        <w:tc>
          <w:tcPr>
            <w:tcW w:w="1416" w:type="dxa"/>
            <w:vAlign w:val="center"/>
          </w:tcPr>
          <w:p w14:paraId="28201871">
            <w:pPr>
              <w:spacing w:line="360" w:lineRule="auto"/>
              <w:jc w:val="center"/>
              <w:rPr>
                <w:sz w:val="21"/>
                <w:szCs w:val="21"/>
                <w:highlight w:val="none"/>
              </w:rPr>
            </w:pPr>
            <w:r>
              <w:rPr>
                <w:rFonts w:hint="eastAsia"/>
                <w:sz w:val="21"/>
                <w:szCs w:val="21"/>
                <w:highlight w:val="none"/>
              </w:rPr>
              <w:t>技术部分</w:t>
            </w:r>
          </w:p>
          <w:p w14:paraId="2E6BD09C">
            <w:pPr>
              <w:spacing w:line="360" w:lineRule="auto"/>
              <w:jc w:val="center"/>
              <w:rPr>
                <w:sz w:val="21"/>
                <w:szCs w:val="21"/>
                <w:highlight w:val="none"/>
              </w:rPr>
            </w:pPr>
            <w:r>
              <w:rPr>
                <w:rFonts w:hint="eastAsia"/>
                <w:sz w:val="21"/>
                <w:szCs w:val="21"/>
                <w:highlight w:val="none"/>
              </w:rPr>
              <w:t>评审</w:t>
            </w:r>
          </w:p>
        </w:tc>
        <w:tc>
          <w:tcPr>
            <w:tcW w:w="6801" w:type="dxa"/>
            <w:vAlign w:val="center"/>
          </w:tcPr>
          <w:p w14:paraId="26437FA6">
            <w:pPr>
              <w:spacing w:line="360" w:lineRule="auto"/>
              <w:jc w:val="center"/>
              <w:rPr>
                <w:kern w:val="2"/>
                <w:sz w:val="21"/>
                <w:szCs w:val="21"/>
                <w:highlight w:val="none"/>
              </w:rPr>
            </w:pPr>
            <w:r>
              <w:rPr>
                <w:rFonts w:hint="eastAsia"/>
                <w:sz w:val="21"/>
                <w:szCs w:val="21"/>
                <w:highlight w:val="none"/>
              </w:rPr>
              <w:t>F2＝</w:t>
            </w:r>
            <w:r>
              <w:rPr>
                <w:sz w:val="21"/>
                <w:szCs w:val="21"/>
                <w:highlight w:val="none"/>
              </w:rPr>
              <w:t>7</w:t>
            </w:r>
            <w:r>
              <w:rPr>
                <w:rFonts w:hint="eastAsia"/>
                <w:sz w:val="21"/>
                <w:szCs w:val="21"/>
                <w:highlight w:val="none"/>
              </w:rPr>
              <w:t>0分</w:t>
            </w:r>
          </w:p>
        </w:tc>
      </w:tr>
      <w:tr w14:paraId="10FCE4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5983ADA6">
            <w:pPr>
              <w:spacing w:line="360" w:lineRule="auto"/>
              <w:rPr>
                <w:sz w:val="21"/>
                <w:szCs w:val="21"/>
                <w:highlight w:val="none"/>
              </w:rPr>
            </w:pPr>
          </w:p>
        </w:tc>
        <w:tc>
          <w:tcPr>
            <w:tcW w:w="2113" w:type="dxa"/>
            <w:gridSpan w:val="2"/>
            <w:tcBorders>
              <w:bottom w:val="single" w:color="auto" w:sz="4" w:space="0"/>
            </w:tcBorders>
            <w:vAlign w:val="center"/>
          </w:tcPr>
          <w:p w14:paraId="2BB43592">
            <w:pPr>
              <w:spacing w:line="360" w:lineRule="auto"/>
              <w:jc w:val="center"/>
              <w:rPr>
                <w:sz w:val="21"/>
                <w:szCs w:val="21"/>
                <w:highlight w:val="none"/>
              </w:rPr>
            </w:pPr>
            <w:r>
              <w:rPr>
                <w:rFonts w:hint="eastAsia"/>
                <w:sz w:val="21"/>
                <w:szCs w:val="21"/>
                <w:highlight w:val="none"/>
              </w:rPr>
              <w:t>运维需求分析评审</w:t>
            </w:r>
          </w:p>
          <w:p w14:paraId="3B6E2F97">
            <w:pPr>
              <w:spacing w:line="360" w:lineRule="auto"/>
              <w:jc w:val="center"/>
              <w:rPr>
                <w:sz w:val="21"/>
                <w:szCs w:val="21"/>
                <w:highlight w:val="none"/>
              </w:rPr>
            </w:pPr>
            <w:r>
              <w:rPr>
                <w:rFonts w:hint="eastAsia"/>
                <w:sz w:val="21"/>
                <w:szCs w:val="21"/>
                <w:highlight w:val="none"/>
              </w:rPr>
              <w:t>（满分</w:t>
            </w:r>
            <w:r>
              <w:rPr>
                <w:rFonts w:hint="eastAsia"/>
                <w:sz w:val="21"/>
                <w:szCs w:val="21"/>
                <w:highlight w:val="none"/>
                <w:lang w:val="en-US" w:eastAsia="zh-CN"/>
              </w:rPr>
              <w:t>2</w:t>
            </w:r>
            <w:r>
              <w:rPr>
                <w:sz w:val="21"/>
                <w:szCs w:val="21"/>
                <w:highlight w:val="none"/>
              </w:rPr>
              <w:t>0</w:t>
            </w:r>
            <w:r>
              <w:rPr>
                <w:rFonts w:hint="eastAsia"/>
                <w:sz w:val="21"/>
                <w:szCs w:val="21"/>
                <w:highlight w:val="none"/>
              </w:rPr>
              <w:t>分</w:t>
            </w:r>
            <w:r>
              <w:rPr>
                <w:rFonts w:hint="eastAsia"/>
                <w:bCs/>
                <w:sz w:val="21"/>
                <w:szCs w:val="21"/>
                <w:highlight w:val="none"/>
                <w:lang w:bidi="ar"/>
              </w:rPr>
              <w:t>）</w:t>
            </w:r>
          </w:p>
        </w:tc>
        <w:tc>
          <w:tcPr>
            <w:tcW w:w="6801" w:type="dxa"/>
            <w:tcBorders>
              <w:bottom w:val="single" w:color="auto" w:sz="4" w:space="0"/>
            </w:tcBorders>
            <w:vAlign w:val="center"/>
          </w:tcPr>
          <w:p w14:paraId="4298FF43">
            <w:pPr>
              <w:spacing w:line="360" w:lineRule="auto"/>
              <w:jc w:val="both"/>
              <w:rPr>
                <w:sz w:val="21"/>
                <w:szCs w:val="21"/>
                <w:highlight w:val="none"/>
                <w:lang w:bidi="ar"/>
              </w:rPr>
            </w:pPr>
            <w:r>
              <w:rPr>
                <w:rFonts w:hint="eastAsia"/>
                <w:sz w:val="21"/>
                <w:szCs w:val="21"/>
                <w:highlight w:val="none"/>
                <w:lang w:bidi="ar"/>
              </w:rPr>
              <w:t>根据《人民法院信息化五年规划（2021-2025）》要求，结合昆明中院实际情况，对本项目采购需求分析评审。</w:t>
            </w:r>
          </w:p>
          <w:p w14:paraId="2F27CCAB">
            <w:pPr>
              <w:spacing w:line="360" w:lineRule="auto"/>
              <w:jc w:val="both"/>
              <w:rPr>
                <w:sz w:val="21"/>
                <w:szCs w:val="21"/>
                <w:highlight w:val="none"/>
                <w:lang w:bidi="ar"/>
              </w:rPr>
            </w:pPr>
            <w:r>
              <w:rPr>
                <w:rFonts w:hint="eastAsia"/>
                <w:sz w:val="21"/>
                <w:szCs w:val="21"/>
                <w:highlight w:val="none"/>
                <w:lang w:bidi="ar"/>
              </w:rPr>
              <w:t>第一个档次（</w:t>
            </w:r>
            <w:r>
              <w:rPr>
                <w:rFonts w:hint="eastAsia"/>
                <w:sz w:val="21"/>
                <w:szCs w:val="21"/>
                <w:highlight w:val="none"/>
                <w:lang w:val="en-US" w:eastAsia="zh-CN" w:bidi="ar"/>
              </w:rPr>
              <w:t>2</w:t>
            </w:r>
            <w:r>
              <w:rPr>
                <w:sz w:val="21"/>
                <w:szCs w:val="21"/>
                <w:highlight w:val="none"/>
                <w:lang w:bidi="ar"/>
              </w:rPr>
              <w:t>0</w:t>
            </w:r>
            <w:r>
              <w:rPr>
                <w:rFonts w:hint="eastAsia"/>
                <w:sz w:val="21"/>
                <w:szCs w:val="21"/>
                <w:highlight w:val="none"/>
                <w:lang w:bidi="ar"/>
              </w:rPr>
              <w:t>分）：投标人对本项目现状描述完整、运维软硬件覆盖全面、运维需求切合人民法院信息化五年规划（2021-2025）运维部分；</w:t>
            </w:r>
          </w:p>
          <w:p w14:paraId="039C64C0">
            <w:pPr>
              <w:spacing w:line="360" w:lineRule="auto"/>
              <w:jc w:val="both"/>
              <w:rPr>
                <w:sz w:val="21"/>
                <w:szCs w:val="21"/>
                <w:highlight w:val="none"/>
                <w:lang w:bidi="ar"/>
              </w:rPr>
            </w:pPr>
            <w:r>
              <w:rPr>
                <w:rFonts w:hint="eastAsia"/>
                <w:sz w:val="21"/>
                <w:szCs w:val="21"/>
                <w:highlight w:val="none"/>
                <w:lang w:bidi="ar"/>
              </w:rPr>
              <w:t>第二个档次（</w:t>
            </w:r>
            <w:r>
              <w:rPr>
                <w:rFonts w:hint="eastAsia"/>
                <w:sz w:val="21"/>
                <w:szCs w:val="21"/>
                <w:highlight w:val="none"/>
                <w:lang w:val="en-US" w:eastAsia="zh-CN" w:bidi="ar"/>
              </w:rPr>
              <w:t>14</w:t>
            </w:r>
            <w:r>
              <w:rPr>
                <w:rFonts w:hint="eastAsia"/>
                <w:sz w:val="21"/>
                <w:szCs w:val="21"/>
                <w:highlight w:val="none"/>
                <w:lang w:bidi="ar"/>
              </w:rPr>
              <w:t>分）：投标人对本项目现状描述基本完整、运维软硬件覆盖基本全面、运维需求与人民法院信息化五年规划（2021-2025）运维部分基本一致；</w:t>
            </w:r>
          </w:p>
          <w:p w14:paraId="3B3CC791">
            <w:pPr>
              <w:spacing w:line="360" w:lineRule="auto"/>
              <w:jc w:val="both"/>
              <w:rPr>
                <w:sz w:val="21"/>
                <w:szCs w:val="21"/>
                <w:highlight w:val="none"/>
                <w:lang w:bidi="ar"/>
              </w:rPr>
            </w:pPr>
            <w:r>
              <w:rPr>
                <w:rFonts w:hint="eastAsia"/>
                <w:sz w:val="21"/>
                <w:szCs w:val="21"/>
                <w:highlight w:val="none"/>
                <w:lang w:bidi="ar"/>
              </w:rPr>
              <w:t>第三个档次（</w:t>
            </w:r>
            <w:r>
              <w:rPr>
                <w:rFonts w:hint="eastAsia"/>
                <w:sz w:val="21"/>
                <w:szCs w:val="21"/>
                <w:highlight w:val="none"/>
                <w:lang w:val="en-US" w:eastAsia="zh-CN" w:bidi="ar"/>
              </w:rPr>
              <w:t>7</w:t>
            </w:r>
            <w:r>
              <w:rPr>
                <w:rFonts w:hint="eastAsia"/>
                <w:sz w:val="21"/>
                <w:szCs w:val="21"/>
                <w:highlight w:val="none"/>
                <w:lang w:bidi="ar"/>
              </w:rPr>
              <w:t>分）：投标人对本项目现状描述不完整、运维软硬件覆盖部分有缺失、运维需求与人民法院信息化五年规划（2021-2025）存在一定偏差；</w:t>
            </w:r>
          </w:p>
          <w:p w14:paraId="1E79DEB4">
            <w:pPr>
              <w:spacing w:line="360" w:lineRule="auto"/>
              <w:jc w:val="both"/>
              <w:rPr>
                <w:sz w:val="21"/>
                <w:szCs w:val="21"/>
                <w:highlight w:val="none"/>
              </w:rPr>
            </w:pPr>
            <w:r>
              <w:rPr>
                <w:rFonts w:hint="eastAsia"/>
                <w:sz w:val="21"/>
                <w:szCs w:val="21"/>
                <w:highlight w:val="none"/>
                <w:lang w:bidi="ar"/>
              </w:rPr>
              <w:t>第四个档次（0 分）：投标人对本项目现状描述比较片面、运维软硬件覆盖较差、运维需求与人民法院信息化五年规划（2021-2025）偏差很大，不得分。</w:t>
            </w:r>
          </w:p>
        </w:tc>
      </w:tr>
      <w:tr w14:paraId="17FABD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38583A76">
            <w:pPr>
              <w:spacing w:line="360" w:lineRule="auto"/>
              <w:rPr>
                <w:sz w:val="21"/>
                <w:szCs w:val="21"/>
                <w:highlight w:val="none"/>
              </w:rPr>
            </w:pPr>
          </w:p>
        </w:tc>
        <w:tc>
          <w:tcPr>
            <w:tcW w:w="2113" w:type="dxa"/>
            <w:gridSpan w:val="2"/>
            <w:tcBorders>
              <w:left w:val="single" w:color="auto" w:sz="4" w:space="0"/>
              <w:right w:val="single" w:color="auto" w:sz="4" w:space="0"/>
            </w:tcBorders>
            <w:shd w:val="clear" w:color="auto" w:fill="auto"/>
            <w:vAlign w:val="center"/>
          </w:tcPr>
          <w:p w14:paraId="0D83AFD6">
            <w:pPr>
              <w:spacing w:line="360" w:lineRule="auto"/>
              <w:jc w:val="center"/>
              <w:rPr>
                <w:sz w:val="21"/>
                <w:szCs w:val="21"/>
                <w:highlight w:val="none"/>
              </w:rPr>
            </w:pPr>
            <w:r>
              <w:rPr>
                <w:rFonts w:hint="eastAsia"/>
                <w:sz w:val="21"/>
                <w:szCs w:val="21"/>
                <w:highlight w:val="none"/>
              </w:rPr>
              <w:t>运维方案评审</w:t>
            </w:r>
          </w:p>
          <w:p w14:paraId="4177BD67">
            <w:pPr>
              <w:spacing w:line="360" w:lineRule="auto"/>
              <w:jc w:val="center"/>
              <w:rPr>
                <w:sz w:val="21"/>
                <w:szCs w:val="21"/>
                <w:highlight w:val="none"/>
              </w:rPr>
            </w:pPr>
            <w:r>
              <w:rPr>
                <w:rFonts w:hint="eastAsia"/>
                <w:sz w:val="21"/>
                <w:szCs w:val="21"/>
                <w:highlight w:val="none"/>
              </w:rPr>
              <w:t>（满分</w:t>
            </w:r>
            <w:r>
              <w:rPr>
                <w:rFonts w:hint="eastAsia"/>
                <w:sz w:val="21"/>
                <w:szCs w:val="21"/>
                <w:highlight w:val="none"/>
                <w:lang w:val="en-US" w:eastAsia="zh-CN"/>
              </w:rPr>
              <w:t>15</w:t>
            </w:r>
            <w:r>
              <w:rPr>
                <w:rFonts w:hint="eastAsia"/>
                <w:sz w:val="21"/>
                <w:szCs w:val="21"/>
                <w:highlight w:val="none"/>
              </w:rPr>
              <w:t>分</w:t>
            </w:r>
            <w:r>
              <w:rPr>
                <w:rFonts w:hint="eastAsia"/>
                <w:bCs/>
                <w:sz w:val="21"/>
                <w:szCs w:val="21"/>
                <w:highlight w:val="none"/>
                <w:lang w:bidi="ar"/>
              </w:rPr>
              <w:t>）</w:t>
            </w:r>
          </w:p>
        </w:tc>
        <w:tc>
          <w:tcPr>
            <w:tcW w:w="6801" w:type="dxa"/>
            <w:tcBorders>
              <w:top w:val="single" w:color="auto" w:sz="4" w:space="0"/>
              <w:left w:val="single" w:color="auto" w:sz="4" w:space="0"/>
              <w:right w:val="single" w:color="auto" w:sz="4" w:space="0"/>
            </w:tcBorders>
            <w:shd w:val="clear" w:color="auto" w:fill="auto"/>
            <w:vAlign w:val="center"/>
          </w:tcPr>
          <w:p w14:paraId="2901D23A">
            <w:pPr>
              <w:spacing w:line="360" w:lineRule="auto"/>
              <w:jc w:val="both"/>
              <w:rPr>
                <w:sz w:val="21"/>
                <w:szCs w:val="21"/>
                <w:highlight w:val="none"/>
                <w:lang w:bidi="ar"/>
              </w:rPr>
            </w:pPr>
            <w:r>
              <w:rPr>
                <w:rFonts w:hint="eastAsia"/>
                <w:sz w:val="21"/>
                <w:szCs w:val="21"/>
                <w:highlight w:val="none"/>
                <w:lang w:bidi="ar"/>
              </w:rPr>
              <w:t>横向比较各投标人提供的技术方案，对方案中的运维管理服务、软件运维服务、硬件运维服务及备品备件管理的可行性、科学性、合理性、完整性进行综合评分。</w:t>
            </w:r>
          </w:p>
          <w:p w14:paraId="794BA34F">
            <w:pPr>
              <w:spacing w:line="360" w:lineRule="auto"/>
              <w:jc w:val="both"/>
              <w:rPr>
                <w:sz w:val="21"/>
                <w:szCs w:val="21"/>
                <w:highlight w:val="none"/>
                <w:lang w:bidi="ar"/>
              </w:rPr>
            </w:pPr>
            <w:r>
              <w:rPr>
                <w:rFonts w:hint="eastAsia"/>
                <w:sz w:val="21"/>
                <w:szCs w:val="21"/>
                <w:highlight w:val="none"/>
                <w:lang w:bidi="ar"/>
              </w:rPr>
              <w:t>第一个档次（1</w:t>
            </w:r>
            <w:r>
              <w:rPr>
                <w:rFonts w:hint="eastAsia"/>
                <w:sz w:val="21"/>
                <w:szCs w:val="21"/>
                <w:highlight w:val="none"/>
                <w:lang w:val="en-US" w:eastAsia="zh-CN" w:bidi="ar"/>
              </w:rPr>
              <w:t>5</w:t>
            </w:r>
            <w:r>
              <w:rPr>
                <w:rFonts w:hint="eastAsia"/>
                <w:sz w:val="21"/>
                <w:szCs w:val="21"/>
                <w:highlight w:val="none"/>
                <w:lang w:bidi="ar"/>
              </w:rPr>
              <w:t>分）：运维方案完全满足招标技术要求并有相关合理化建议；</w:t>
            </w:r>
            <w:bookmarkStart w:id="235" w:name="OLE_LINK4"/>
            <w:bookmarkStart w:id="236" w:name="OLE_LINK3"/>
            <w:r>
              <w:rPr>
                <w:rFonts w:hint="eastAsia"/>
                <w:sz w:val="21"/>
                <w:szCs w:val="21"/>
                <w:highlight w:val="none"/>
                <w:lang w:bidi="ar"/>
              </w:rPr>
              <w:t>运维服务方案设计架构清晰、可执行性强</w:t>
            </w:r>
            <w:bookmarkEnd w:id="235"/>
            <w:bookmarkEnd w:id="236"/>
            <w:r>
              <w:rPr>
                <w:rFonts w:hint="eastAsia"/>
                <w:sz w:val="21"/>
                <w:szCs w:val="21"/>
                <w:highlight w:val="none"/>
                <w:lang w:bidi="ar"/>
              </w:rPr>
              <w:t>；备品备件管理方案科学合理且符合昆明中院实际情况；</w:t>
            </w:r>
          </w:p>
          <w:p w14:paraId="593D2FD5">
            <w:pPr>
              <w:spacing w:line="360" w:lineRule="auto"/>
              <w:jc w:val="both"/>
              <w:rPr>
                <w:sz w:val="21"/>
                <w:szCs w:val="21"/>
                <w:highlight w:val="none"/>
                <w:lang w:bidi="ar"/>
              </w:rPr>
            </w:pPr>
            <w:r>
              <w:rPr>
                <w:rFonts w:hint="eastAsia"/>
                <w:sz w:val="21"/>
                <w:szCs w:val="21"/>
                <w:highlight w:val="none"/>
                <w:lang w:bidi="ar"/>
              </w:rPr>
              <w:t>第二个档次（</w:t>
            </w:r>
            <w:r>
              <w:rPr>
                <w:rFonts w:hint="eastAsia"/>
                <w:sz w:val="21"/>
                <w:szCs w:val="21"/>
                <w:highlight w:val="none"/>
                <w:lang w:val="en-US" w:eastAsia="zh-CN" w:bidi="ar"/>
              </w:rPr>
              <w:t>10</w:t>
            </w:r>
            <w:r>
              <w:rPr>
                <w:rFonts w:hint="eastAsia"/>
                <w:sz w:val="21"/>
                <w:szCs w:val="21"/>
                <w:highlight w:val="none"/>
                <w:lang w:bidi="ar"/>
              </w:rPr>
              <w:t>分）：运维方案满足招标技术要求；运维服务方案设计架构一般、可执行性一般；备品备件管理方案可执行性一般；</w:t>
            </w:r>
          </w:p>
          <w:p w14:paraId="7D01FCF9">
            <w:pPr>
              <w:spacing w:line="360" w:lineRule="auto"/>
              <w:jc w:val="both"/>
              <w:rPr>
                <w:sz w:val="21"/>
                <w:szCs w:val="21"/>
                <w:highlight w:val="none"/>
                <w:lang w:bidi="ar"/>
              </w:rPr>
            </w:pPr>
            <w:r>
              <w:rPr>
                <w:rFonts w:hint="eastAsia"/>
                <w:sz w:val="21"/>
                <w:szCs w:val="21"/>
                <w:highlight w:val="none"/>
                <w:lang w:bidi="ar"/>
              </w:rPr>
              <w:t>第三个档次（</w:t>
            </w:r>
            <w:r>
              <w:rPr>
                <w:rFonts w:hint="eastAsia"/>
                <w:sz w:val="21"/>
                <w:szCs w:val="21"/>
                <w:highlight w:val="none"/>
                <w:lang w:val="en-US" w:eastAsia="zh-CN" w:bidi="ar"/>
              </w:rPr>
              <w:t>5</w:t>
            </w:r>
            <w:r>
              <w:rPr>
                <w:rFonts w:hint="eastAsia"/>
                <w:sz w:val="21"/>
                <w:szCs w:val="21"/>
                <w:highlight w:val="none"/>
                <w:lang w:bidi="ar"/>
              </w:rPr>
              <w:t>分）：运维方案基本满足招标技术要求；运维服务方案设计架构空洞、可执行性差；备品备件管理方案可执行性差；</w:t>
            </w:r>
          </w:p>
          <w:p w14:paraId="62887B3A">
            <w:pPr>
              <w:spacing w:line="360" w:lineRule="auto"/>
              <w:jc w:val="both"/>
              <w:rPr>
                <w:sz w:val="21"/>
                <w:szCs w:val="21"/>
                <w:highlight w:val="none"/>
                <w:lang w:bidi="ar"/>
              </w:rPr>
            </w:pPr>
            <w:r>
              <w:rPr>
                <w:rFonts w:hint="eastAsia"/>
                <w:sz w:val="21"/>
                <w:szCs w:val="21"/>
                <w:highlight w:val="none"/>
                <w:lang w:bidi="ar"/>
              </w:rPr>
              <w:t>第四个档次（0 分）：运维方案不满足招标技术要求；运维服务方案设计架构差、没有可执行性；备品备件管理方案不具备可行性；</w:t>
            </w:r>
          </w:p>
        </w:tc>
      </w:tr>
      <w:tr w14:paraId="267B2E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57BC9D88">
            <w:pPr>
              <w:spacing w:line="360" w:lineRule="auto"/>
              <w:rPr>
                <w:sz w:val="21"/>
                <w:szCs w:val="21"/>
                <w:highlight w:val="none"/>
              </w:rPr>
            </w:pPr>
          </w:p>
        </w:tc>
        <w:tc>
          <w:tcPr>
            <w:tcW w:w="2113" w:type="dxa"/>
            <w:gridSpan w:val="2"/>
            <w:tcBorders>
              <w:left w:val="single" w:color="auto" w:sz="4" w:space="0"/>
              <w:right w:val="single" w:color="auto" w:sz="4" w:space="0"/>
            </w:tcBorders>
            <w:shd w:val="clear" w:color="auto" w:fill="auto"/>
            <w:vAlign w:val="center"/>
          </w:tcPr>
          <w:p w14:paraId="401F1601">
            <w:pPr>
              <w:spacing w:line="360" w:lineRule="auto"/>
              <w:jc w:val="center"/>
              <w:rPr>
                <w:sz w:val="21"/>
                <w:szCs w:val="21"/>
                <w:highlight w:val="none"/>
              </w:rPr>
            </w:pPr>
            <w:r>
              <w:rPr>
                <w:rFonts w:hint="eastAsia"/>
                <w:sz w:val="21"/>
                <w:szCs w:val="21"/>
                <w:highlight w:val="none"/>
              </w:rPr>
              <w:t>运维实施能力评审</w:t>
            </w:r>
          </w:p>
          <w:p w14:paraId="0DDBE78D">
            <w:pPr>
              <w:spacing w:line="360" w:lineRule="auto"/>
              <w:jc w:val="center"/>
              <w:rPr>
                <w:sz w:val="21"/>
                <w:szCs w:val="21"/>
                <w:highlight w:val="none"/>
              </w:rPr>
            </w:pPr>
            <w:r>
              <w:rPr>
                <w:rFonts w:hint="eastAsia"/>
                <w:sz w:val="21"/>
                <w:szCs w:val="21"/>
                <w:highlight w:val="none"/>
              </w:rPr>
              <w:t>（满分1</w:t>
            </w:r>
            <w:r>
              <w:rPr>
                <w:sz w:val="21"/>
                <w:szCs w:val="21"/>
                <w:highlight w:val="none"/>
              </w:rPr>
              <w:t>0</w:t>
            </w:r>
            <w:r>
              <w:rPr>
                <w:rFonts w:hint="eastAsia"/>
                <w:sz w:val="21"/>
                <w:szCs w:val="21"/>
                <w:highlight w:val="none"/>
              </w:rPr>
              <w:t>分）</w:t>
            </w:r>
          </w:p>
        </w:tc>
        <w:tc>
          <w:tcPr>
            <w:tcW w:w="6801" w:type="dxa"/>
            <w:tcBorders>
              <w:top w:val="single" w:color="auto" w:sz="4" w:space="0"/>
              <w:left w:val="single" w:color="auto" w:sz="4" w:space="0"/>
              <w:right w:val="single" w:color="auto" w:sz="4" w:space="0"/>
            </w:tcBorders>
            <w:shd w:val="clear" w:color="auto" w:fill="auto"/>
            <w:vAlign w:val="center"/>
          </w:tcPr>
          <w:p w14:paraId="01E0CAA0">
            <w:pPr>
              <w:spacing w:line="360" w:lineRule="auto"/>
              <w:jc w:val="both"/>
              <w:rPr>
                <w:sz w:val="21"/>
                <w:szCs w:val="21"/>
                <w:highlight w:val="none"/>
                <w:lang w:bidi="ar"/>
              </w:rPr>
            </w:pPr>
            <w:r>
              <w:rPr>
                <w:rFonts w:hint="eastAsia"/>
                <w:sz w:val="21"/>
                <w:szCs w:val="21"/>
                <w:highlight w:val="none"/>
                <w:lang w:bidi="ar"/>
              </w:rPr>
              <w:t>投标人能够提供相应的运维质效监控系统且能够依托运维工具出具运维质效分析报告。</w:t>
            </w:r>
          </w:p>
          <w:p w14:paraId="6E6BEC7E">
            <w:pPr>
              <w:spacing w:line="360" w:lineRule="auto"/>
              <w:jc w:val="both"/>
              <w:rPr>
                <w:sz w:val="21"/>
                <w:szCs w:val="21"/>
                <w:highlight w:val="none"/>
                <w:lang w:bidi="ar"/>
              </w:rPr>
            </w:pPr>
            <w:r>
              <w:rPr>
                <w:rFonts w:hint="eastAsia"/>
                <w:sz w:val="21"/>
                <w:szCs w:val="21"/>
                <w:highlight w:val="none"/>
                <w:lang w:bidi="ar"/>
              </w:rPr>
              <w:t>第一个档次（1</w:t>
            </w:r>
            <w:r>
              <w:rPr>
                <w:sz w:val="21"/>
                <w:szCs w:val="21"/>
                <w:highlight w:val="none"/>
                <w:lang w:bidi="ar"/>
              </w:rPr>
              <w:t>0</w:t>
            </w:r>
            <w:r>
              <w:rPr>
                <w:rFonts w:hint="eastAsia"/>
                <w:sz w:val="21"/>
                <w:szCs w:val="21"/>
                <w:highlight w:val="none"/>
                <w:lang w:bidi="ar"/>
              </w:rPr>
              <w:t>分）：运维质效监控系统能够对基础设施、应用系统、资产动态的管理全面；运维质效监控系统符合法院实际运维工作；报告模版分析全面且符合法院运维实际情况；</w:t>
            </w:r>
          </w:p>
          <w:p w14:paraId="0872D64B">
            <w:pPr>
              <w:spacing w:line="360" w:lineRule="auto"/>
              <w:jc w:val="both"/>
              <w:rPr>
                <w:sz w:val="21"/>
                <w:szCs w:val="21"/>
                <w:highlight w:val="none"/>
                <w:lang w:bidi="ar"/>
              </w:rPr>
            </w:pPr>
            <w:r>
              <w:rPr>
                <w:rFonts w:hint="eastAsia"/>
                <w:sz w:val="21"/>
                <w:szCs w:val="21"/>
                <w:highlight w:val="none"/>
                <w:lang w:bidi="ar"/>
              </w:rPr>
              <w:t>第二个档次（7分）：运维质效监控系统基本能够对基础设施、应用系统、资产动态进行管理；运维质效监控系统基本符合法院运维工作；报告模版分析基本符合法院运维实际情况；</w:t>
            </w:r>
          </w:p>
          <w:p w14:paraId="73A91BE2">
            <w:pPr>
              <w:spacing w:line="360" w:lineRule="auto"/>
              <w:jc w:val="both"/>
              <w:rPr>
                <w:sz w:val="21"/>
                <w:szCs w:val="21"/>
                <w:highlight w:val="none"/>
                <w:lang w:bidi="ar"/>
              </w:rPr>
            </w:pPr>
            <w:r>
              <w:rPr>
                <w:rFonts w:hint="eastAsia"/>
                <w:sz w:val="21"/>
                <w:szCs w:val="21"/>
                <w:highlight w:val="none"/>
                <w:lang w:bidi="ar"/>
              </w:rPr>
              <w:t>第三个档次（</w:t>
            </w:r>
            <w:r>
              <w:rPr>
                <w:sz w:val="21"/>
                <w:szCs w:val="21"/>
                <w:highlight w:val="none"/>
                <w:lang w:bidi="ar"/>
              </w:rPr>
              <w:t>3</w:t>
            </w:r>
            <w:r>
              <w:rPr>
                <w:rFonts w:hint="eastAsia"/>
                <w:sz w:val="21"/>
                <w:szCs w:val="21"/>
                <w:highlight w:val="none"/>
                <w:lang w:bidi="ar"/>
              </w:rPr>
              <w:t>分）：运维质效监控系统部分能够对基础设施、应用系统、资产动态的进行管理；运维质效监控系统较差；报告模版分析片面，部分不符合法院运维实际情况</w:t>
            </w:r>
          </w:p>
          <w:p w14:paraId="727B88A1">
            <w:pPr>
              <w:spacing w:line="360" w:lineRule="auto"/>
              <w:jc w:val="both"/>
              <w:rPr>
                <w:sz w:val="21"/>
                <w:szCs w:val="21"/>
                <w:highlight w:val="none"/>
                <w:lang w:bidi="ar"/>
              </w:rPr>
            </w:pPr>
            <w:r>
              <w:rPr>
                <w:rFonts w:hint="eastAsia"/>
                <w:sz w:val="21"/>
                <w:szCs w:val="21"/>
                <w:highlight w:val="none"/>
                <w:lang w:bidi="ar"/>
              </w:rPr>
              <w:t>第四个档次（0 分）：未提供运维质效监控系统及报告模板。</w:t>
            </w:r>
          </w:p>
        </w:tc>
      </w:tr>
      <w:tr w14:paraId="25EBF4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443C8B21">
            <w:pPr>
              <w:spacing w:line="360" w:lineRule="auto"/>
              <w:rPr>
                <w:sz w:val="21"/>
                <w:szCs w:val="21"/>
                <w:highlight w:val="none"/>
              </w:rPr>
            </w:pPr>
          </w:p>
        </w:tc>
        <w:tc>
          <w:tcPr>
            <w:tcW w:w="2113" w:type="dxa"/>
            <w:gridSpan w:val="2"/>
            <w:tcBorders>
              <w:left w:val="single" w:color="auto" w:sz="4" w:space="0"/>
              <w:right w:val="single" w:color="auto" w:sz="4" w:space="0"/>
            </w:tcBorders>
            <w:shd w:val="clear" w:color="auto" w:fill="auto"/>
            <w:vAlign w:val="center"/>
          </w:tcPr>
          <w:p w14:paraId="706ADC8B">
            <w:pPr>
              <w:spacing w:line="360" w:lineRule="auto"/>
              <w:jc w:val="center"/>
              <w:rPr>
                <w:sz w:val="21"/>
                <w:szCs w:val="21"/>
                <w:highlight w:val="none"/>
              </w:rPr>
            </w:pPr>
            <w:r>
              <w:rPr>
                <w:rFonts w:hint="eastAsia"/>
                <w:sz w:val="21"/>
                <w:szCs w:val="21"/>
                <w:highlight w:val="none"/>
              </w:rPr>
              <w:t>服务质量和服务标准</w:t>
            </w:r>
          </w:p>
          <w:p w14:paraId="568110D5">
            <w:pPr>
              <w:spacing w:line="360" w:lineRule="auto"/>
              <w:jc w:val="center"/>
              <w:rPr>
                <w:sz w:val="21"/>
                <w:szCs w:val="21"/>
                <w:highlight w:val="none"/>
              </w:rPr>
            </w:pPr>
            <w:r>
              <w:rPr>
                <w:rFonts w:hint="eastAsia"/>
                <w:sz w:val="21"/>
                <w:szCs w:val="21"/>
                <w:highlight w:val="none"/>
              </w:rPr>
              <w:t>（满分10分）</w:t>
            </w:r>
          </w:p>
        </w:tc>
        <w:tc>
          <w:tcPr>
            <w:tcW w:w="6801" w:type="dxa"/>
            <w:tcBorders>
              <w:top w:val="single" w:color="auto" w:sz="4" w:space="0"/>
              <w:left w:val="single" w:color="auto" w:sz="4" w:space="0"/>
              <w:right w:val="single" w:color="auto" w:sz="4" w:space="0"/>
            </w:tcBorders>
            <w:shd w:val="clear" w:color="auto" w:fill="auto"/>
            <w:vAlign w:val="center"/>
          </w:tcPr>
          <w:p w14:paraId="4A81F83F">
            <w:pPr>
              <w:spacing w:line="360" w:lineRule="auto"/>
              <w:jc w:val="both"/>
              <w:rPr>
                <w:sz w:val="21"/>
                <w:szCs w:val="21"/>
                <w:highlight w:val="none"/>
                <w:lang w:bidi="ar"/>
              </w:rPr>
            </w:pPr>
            <w:r>
              <w:rPr>
                <w:rFonts w:hint="eastAsia"/>
                <w:sz w:val="21"/>
                <w:szCs w:val="21"/>
                <w:highlight w:val="none"/>
                <w:lang w:bidi="ar"/>
              </w:rPr>
              <w:t>根据投标人提供的服务质量保证方案及服务标准进行横向对比评审</w:t>
            </w:r>
          </w:p>
          <w:p w14:paraId="5EF477F6">
            <w:pPr>
              <w:spacing w:line="360" w:lineRule="auto"/>
              <w:jc w:val="both"/>
              <w:rPr>
                <w:sz w:val="21"/>
                <w:szCs w:val="21"/>
                <w:highlight w:val="none"/>
                <w:lang w:bidi="ar"/>
              </w:rPr>
            </w:pPr>
            <w:r>
              <w:rPr>
                <w:rFonts w:hint="eastAsia"/>
                <w:sz w:val="21"/>
                <w:szCs w:val="21"/>
                <w:highlight w:val="none"/>
                <w:lang w:bidi="ar"/>
              </w:rPr>
              <w:t>第一个档次（10分）：服务质量保证方案内容完整、详细，质量保证措施完善、针对性强，完全满足采购人实际需求；制定的服务标准包含服务级别协议和法院行业标准质效型运维服务规范，内容完整、思路清晰合理、有针对性，质效型运维服务规范完整；</w:t>
            </w:r>
          </w:p>
          <w:p w14:paraId="06EECBE2">
            <w:pPr>
              <w:spacing w:line="360" w:lineRule="auto"/>
              <w:jc w:val="both"/>
              <w:rPr>
                <w:sz w:val="21"/>
                <w:szCs w:val="21"/>
                <w:highlight w:val="none"/>
                <w:lang w:bidi="ar"/>
              </w:rPr>
            </w:pPr>
            <w:r>
              <w:rPr>
                <w:rFonts w:hint="eastAsia"/>
                <w:sz w:val="21"/>
                <w:szCs w:val="21"/>
                <w:highlight w:val="none"/>
                <w:lang w:bidi="ar"/>
              </w:rPr>
              <w:t>第二个档次（7分）：服务质量保证方案内容完善，质量保证措施较完善、有一定针对性，可以满足采购人实际需求；制定的服务标准包含服务级别协议和法院行业标准质效型运维服务规范，内容比较完整、思路合理、比较符合客户需求，质效型运维服务规范比较完整；</w:t>
            </w:r>
          </w:p>
          <w:p w14:paraId="578A7D0D">
            <w:pPr>
              <w:spacing w:line="360" w:lineRule="auto"/>
              <w:jc w:val="both"/>
              <w:rPr>
                <w:sz w:val="21"/>
                <w:szCs w:val="21"/>
                <w:highlight w:val="none"/>
                <w:lang w:bidi="ar"/>
              </w:rPr>
            </w:pPr>
            <w:r>
              <w:rPr>
                <w:rFonts w:hint="eastAsia"/>
                <w:sz w:val="21"/>
                <w:szCs w:val="21"/>
                <w:highlight w:val="none"/>
                <w:lang w:bidi="ar"/>
              </w:rPr>
              <w:t>第三个档次（</w:t>
            </w:r>
            <w:r>
              <w:rPr>
                <w:rFonts w:hint="eastAsia"/>
                <w:sz w:val="21"/>
                <w:szCs w:val="21"/>
                <w:highlight w:val="none"/>
                <w:lang w:val="en-US" w:eastAsia="zh-CN" w:bidi="ar"/>
              </w:rPr>
              <w:t>3</w:t>
            </w:r>
            <w:r>
              <w:rPr>
                <w:rFonts w:hint="eastAsia"/>
                <w:sz w:val="21"/>
                <w:szCs w:val="21"/>
                <w:highlight w:val="none"/>
                <w:lang w:bidi="ar"/>
              </w:rPr>
              <w:t>分）：服务质量保证方案内容基本完整，质量保证措施一般，基本满足采购人实际需求；制定的服务标准包含服务级别协议和法院行业标准质效型运维服务规范，内容基本满足客户需求，质效型运维服务规范缺失。</w:t>
            </w:r>
          </w:p>
          <w:p w14:paraId="57C886CB">
            <w:pPr>
              <w:spacing w:line="360" w:lineRule="auto"/>
              <w:jc w:val="both"/>
              <w:rPr>
                <w:sz w:val="21"/>
                <w:szCs w:val="21"/>
                <w:highlight w:val="none"/>
                <w:lang w:bidi="ar"/>
              </w:rPr>
            </w:pPr>
            <w:r>
              <w:rPr>
                <w:rFonts w:hint="eastAsia"/>
                <w:sz w:val="21"/>
                <w:szCs w:val="21"/>
                <w:highlight w:val="none"/>
                <w:lang w:bidi="ar"/>
              </w:rPr>
              <w:t>第四个档次（0分）：未编制质量保证方案或者服务标准。</w:t>
            </w:r>
          </w:p>
        </w:tc>
      </w:tr>
      <w:tr w14:paraId="7594E0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49213FBD">
            <w:pPr>
              <w:spacing w:line="360" w:lineRule="auto"/>
              <w:rPr>
                <w:sz w:val="21"/>
                <w:szCs w:val="21"/>
                <w:highlight w:val="none"/>
              </w:rPr>
            </w:pPr>
          </w:p>
        </w:tc>
        <w:tc>
          <w:tcPr>
            <w:tcW w:w="2113" w:type="dxa"/>
            <w:gridSpan w:val="2"/>
            <w:tcBorders>
              <w:left w:val="single" w:color="auto" w:sz="4" w:space="0"/>
              <w:right w:val="single" w:color="auto" w:sz="4" w:space="0"/>
            </w:tcBorders>
            <w:shd w:val="clear" w:color="auto" w:fill="auto"/>
            <w:vAlign w:val="center"/>
          </w:tcPr>
          <w:p w14:paraId="5F77CCE0">
            <w:pPr>
              <w:spacing w:line="360" w:lineRule="auto"/>
              <w:jc w:val="center"/>
              <w:rPr>
                <w:sz w:val="21"/>
                <w:szCs w:val="21"/>
                <w:highlight w:val="none"/>
              </w:rPr>
            </w:pPr>
            <w:r>
              <w:rPr>
                <w:rFonts w:hint="eastAsia"/>
                <w:sz w:val="21"/>
                <w:szCs w:val="21"/>
                <w:highlight w:val="none"/>
              </w:rPr>
              <w:t>人员配备情况</w:t>
            </w:r>
          </w:p>
          <w:p w14:paraId="35308E56">
            <w:pPr>
              <w:spacing w:line="360" w:lineRule="auto"/>
              <w:jc w:val="center"/>
              <w:rPr>
                <w:sz w:val="21"/>
                <w:szCs w:val="21"/>
                <w:highlight w:val="none"/>
              </w:rPr>
            </w:pPr>
            <w:r>
              <w:rPr>
                <w:rFonts w:hint="eastAsia"/>
                <w:sz w:val="21"/>
                <w:szCs w:val="21"/>
                <w:highlight w:val="none"/>
              </w:rPr>
              <w:t>（满分</w:t>
            </w:r>
            <w:r>
              <w:rPr>
                <w:rFonts w:hint="eastAsia"/>
                <w:sz w:val="21"/>
                <w:szCs w:val="21"/>
                <w:highlight w:val="none"/>
                <w:lang w:val="en-US" w:eastAsia="zh-CN"/>
              </w:rPr>
              <w:t>5</w:t>
            </w:r>
            <w:r>
              <w:rPr>
                <w:rFonts w:hint="eastAsia"/>
                <w:sz w:val="21"/>
                <w:szCs w:val="21"/>
                <w:highlight w:val="none"/>
              </w:rPr>
              <w:t>分）</w:t>
            </w:r>
          </w:p>
        </w:tc>
        <w:tc>
          <w:tcPr>
            <w:tcW w:w="6801" w:type="dxa"/>
            <w:tcBorders>
              <w:top w:val="single" w:color="auto" w:sz="4" w:space="0"/>
              <w:left w:val="single" w:color="auto" w:sz="4" w:space="0"/>
              <w:right w:val="single" w:color="auto" w:sz="4" w:space="0"/>
            </w:tcBorders>
            <w:shd w:val="clear" w:color="auto" w:fill="auto"/>
            <w:vAlign w:val="center"/>
          </w:tcPr>
          <w:p w14:paraId="58D8E25F">
            <w:pPr>
              <w:spacing w:line="360" w:lineRule="auto"/>
              <w:jc w:val="both"/>
              <w:rPr>
                <w:sz w:val="21"/>
                <w:szCs w:val="21"/>
                <w:highlight w:val="none"/>
                <w:lang w:bidi="ar"/>
              </w:rPr>
            </w:pPr>
            <w:r>
              <w:rPr>
                <w:rFonts w:hint="eastAsia"/>
                <w:sz w:val="21"/>
                <w:szCs w:val="21"/>
                <w:highlight w:val="none"/>
                <w:lang w:bidi="ar"/>
              </w:rPr>
              <w:t>（1）项目经理（</w:t>
            </w:r>
            <w:r>
              <w:rPr>
                <w:rFonts w:hint="eastAsia"/>
                <w:sz w:val="21"/>
                <w:szCs w:val="21"/>
                <w:highlight w:val="none"/>
                <w:lang w:val="en-US" w:eastAsia="zh-CN" w:bidi="ar"/>
              </w:rPr>
              <w:t>2</w:t>
            </w:r>
            <w:r>
              <w:rPr>
                <w:rFonts w:hint="eastAsia"/>
                <w:sz w:val="21"/>
                <w:szCs w:val="21"/>
                <w:highlight w:val="none"/>
                <w:lang w:bidi="ar"/>
              </w:rPr>
              <w:t>分）：投标人拟派的1名项目经理具有人力资源和社会保障厅颁发的高级工程师职称（电子信息）证书、人力资源和社会保障部颁发的高级信息系统项目管理师、中国电子技术标准化研究院颁发的IT服务项目经理证书、中国电子技术标准化研究院颁发的信息技术应用创新服务经理证书，每具备一个证书</w:t>
            </w:r>
            <w:r>
              <w:rPr>
                <w:rFonts w:hint="eastAsia"/>
                <w:sz w:val="21"/>
                <w:szCs w:val="21"/>
                <w:highlight w:val="none"/>
                <w:lang w:val="en-US" w:eastAsia="zh-CN" w:bidi="ar"/>
              </w:rPr>
              <w:t>的</w:t>
            </w:r>
            <w:r>
              <w:rPr>
                <w:rFonts w:hint="eastAsia"/>
                <w:sz w:val="21"/>
                <w:szCs w:val="21"/>
                <w:highlight w:val="none"/>
                <w:lang w:bidi="ar"/>
              </w:rPr>
              <w:t>得</w:t>
            </w:r>
            <w:r>
              <w:rPr>
                <w:rFonts w:hint="eastAsia"/>
                <w:sz w:val="21"/>
                <w:szCs w:val="21"/>
                <w:highlight w:val="none"/>
                <w:lang w:val="en-US" w:eastAsia="zh-CN" w:bidi="ar"/>
              </w:rPr>
              <w:t>1</w:t>
            </w:r>
            <w:r>
              <w:rPr>
                <w:rFonts w:hint="eastAsia"/>
                <w:sz w:val="21"/>
                <w:szCs w:val="21"/>
                <w:highlight w:val="none"/>
                <w:lang w:bidi="ar"/>
              </w:rPr>
              <w:t>分，最多得</w:t>
            </w:r>
            <w:r>
              <w:rPr>
                <w:rFonts w:hint="eastAsia"/>
                <w:sz w:val="21"/>
                <w:szCs w:val="21"/>
                <w:highlight w:val="none"/>
                <w:lang w:val="en-US" w:eastAsia="zh-CN" w:bidi="ar"/>
              </w:rPr>
              <w:t>2</w:t>
            </w:r>
            <w:r>
              <w:rPr>
                <w:rFonts w:hint="eastAsia"/>
                <w:sz w:val="21"/>
                <w:szCs w:val="21"/>
                <w:highlight w:val="none"/>
                <w:lang w:bidi="ar"/>
              </w:rPr>
              <w:t>分。</w:t>
            </w:r>
          </w:p>
          <w:p w14:paraId="3B81314E">
            <w:pPr>
              <w:spacing w:line="360" w:lineRule="auto"/>
              <w:jc w:val="both"/>
              <w:rPr>
                <w:sz w:val="21"/>
                <w:szCs w:val="21"/>
                <w:highlight w:val="none"/>
                <w:lang w:bidi="ar"/>
              </w:rPr>
            </w:pPr>
            <w:r>
              <w:rPr>
                <w:rFonts w:hint="eastAsia"/>
                <w:sz w:val="21"/>
                <w:szCs w:val="21"/>
                <w:highlight w:val="none"/>
                <w:lang w:bidi="ar"/>
              </w:rPr>
              <w:t>注：投标文件中需提供项目经理资料，包括身份证、毕业证、社保缴纳证明（提供缴费所属时间在项目投标文件提交截止时间前3个月任意1个月的社会保险费缴款书或银行电子缴税（费）凭证或社保管理部门出具的有效的缴款证明，社保缴纳证明中缴费单位须为投标人本单位）。无人员资料或未按要求提供人员资料或人员资料不明确，无法体现对应内容的不得分。</w:t>
            </w:r>
          </w:p>
          <w:p w14:paraId="497CD72E">
            <w:pPr>
              <w:spacing w:line="360" w:lineRule="auto"/>
              <w:jc w:val="both"/>
              <w:rPr>
                <w:sz w:val="21"/>
                <w:szCs w:val="21"/>
                <w:highlight w:val="none"/>
                <w:lang w:bidi="ar"/>
              </w:rPr>
            </w:pPr>
            <w:r>
              <w:rPr>
                <w:rFonts w:hint="eastAsia"/>
                <w:sz w:val="21"/>
                <w:szCs w:val="21"/>
                <w:highlight w:val="none"/>
                <w:lang w:bidi="ar"/>
              </w:rPr>
              <w:t>（2）驻场人员数量（</w:t>
            </w:r>
            <w:r>
              <w:rPr>
                <w:rFonts w:hint="eastAsia"/>
                <w:sz w:val="21"/>
                <w:szCs w:val="21"/>
                <w:highlight w:val="none"/>
                <w:lang w:val="en-US" w:eastAsia="zh-CN" w:bidi="ar"/>
              </w:rPr>
              <w:t>3</w:t>
            </w:r>
            <w:r>
              <w:rPr>
                <w:rFonts w:hint="eastAsia"/>
                <w:sz w:val="21"/>
                <w:szCs w:val="21"/>
                <w:highlight w:val="none"/>
                <w:lang w:bidi="ar"/>
              </w:rPr>
              <w:t>分）：驻场人员数量完全满足采购需求中要求的得</w:t>
            </w:r>
            <w:r>
              <w:rPr>
                <w:rFonts w:hint="eastAsia"/>
                <w:sz w:val="21"/>
                <w:szCs w:val="21"/>
                <w:highlight w:val="none"/>
                <w:lang w:val="en-US" w:eastAsia="zh-CN" w:bidi="ar"/>
              </w:rPr>
              <w:t>3</w:t>
            </w:r>
            <w:r>
              <w:rPr>
                <w:rFonts w:hint="eastAsia"/>
                <w:sz w:val="21"/>
                <w:szCs w:val="21"/>
                <w:highlight w:val="none"/>
                <w:lang w:bidi="ar"/>
              </w:rPr>
              <w:t>分，不满足不得分。</w:t>
            </w:r>
          </w:p>
          <w:p w14:paraId="17C64CDD">
            <w:pPr>
              <w:spacing w:line="360" w:lineRule="auto"/>
              <w:jc w:val="both"/>
              <w:rPr>
                <w:sz w:val="21"/>
                <w:szCs w:val="21"/>
                <w:highlight w:val="none"/>
              </w:rPr>
            </w:pPr>
            <w:r>
              <w:rPr>
                <w:rFonts w:hint="eastAsia"/>
                <w:sz w:val="21"/>
                <w:szCs w:val="21"/>
                <w:highlight w:val="none"/>
                <w:lang w:bidi="ar"/>
              </w:rPr>
              <w:t xml:space="preserve">注：投标文件中需提供技术人员清单。人员包含但不限于软件原厂运维人员、硬件原厂运维人员等。 </w:t>
            </w:r>
          </w:p>
        </w:tc>
      </w:tr>
      <w:tr w14:paraId="58885E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1773BC35">
            <w:pPr>
              <w:spacing w:line="360" w:lineRule="auto"/>
              <w:rPr>
                <w:sz w:val="21"/>
                <w:szCs w:val="21"/>
                <w:highlight w:val="none"/>
              </w:rPr>
            </w:pPr>
          </w:p>
        </w:tc>
        <w:tc>
          <w:tcPr>
            <w:tcW w:w="2113" w:type="dxa"/>
            <w:gridSpan w:val="2"/>
            <w:tcBorders>
              <w:left w:val="single" w:color="auto" w:sz="4" w:space="0"/>
              <w:right w:val="single" w:color="auto" w:sz="4" w:space="0"/>
            </w:tcBorders>
            <w:shd w:val="clear" w:color="auto" w:fill="auto"/>
            <w:vAlign w:val="center"/>
          </w:tcPr>
          <w:p w14:paraId="4BE2D60F">
            <w:pPr>
              <w:spacing w:line="360" w:lineRule="auto"/>
              <w:jc w:val="center"/>
              <w:rPr>
                <w:sz w:val="21"/>
                <w:szCs w:val="21"/>
                <w:highlight w:val="none"/>
              </w:rPr>
            </w:pPr>
            <w:r>
              <w:rPr>
                <w:rFonts w:hint="eastAsia"/>
                <w:sz w:val="21"/>
                <w:szCs w:val="21"/>
                <w:highlight w:val="none"/>
              </w:rPr>
              <w:t>应急服务方案评审</w:t>
            </w:r>
          </w:p>
          <w:p w14:paraId="2BD660C3">
            <w:pPr>
              <w:spacing w:line="360" w:lineRule="auto"/>
              <w:jc w:val="center"/>
              <w:rPr>
                <w:sz w:val="21"/>
                <w:szCs w:val="21"/>
                <w:highlight w:val="none"/>
              </w:rPr>
            </w:pPr>
            <w:r>
              <w:rPr>
                <w:rFonts w:hint="eastAsia"/>
                <w:sz w:val="21"/>
                <w:szCs w:val="21"/>
                <w:highlight w:val="none"/>
              </w:rPr>
              <w:t>（满分</w:t>
            </w:r>
            <w:r>
              <w:rPr>
                <w:rFonts w:hint="eastAsia"/>
                <w:sz w:val="21"/>
                <w:szCs w:val="21"/>
                <w:highlight w:val="none"/>
                <w:lang w:val="en-US" w:eastAsia="zh-CN"/>
              </w:rPr>
              <w:t>5</w:t>
            </w:r>
            <w:r>
              <w:rPr>
                <w:rFonts w:hint="eastAsia"/>
                <w:sz w:val="21"/>
                <w:szCs w:val="21"/>
                <w:highlight w:val="none"/>
              </w:rPr>
              <w:t xml:space="preserve"> 分）</w:t>
            </w:r>
          </w:p>
        </w:tc>
        <w:tc>
          <w:tcPr>
            <w:tcW w:w="6801" w:type="dxa"/>
            <w:tcBorders>
              <w:top w:val="single" w:color="auto" w:sz="4" w:space="0"/>
              <w:left w:val="single" w:color="auto" w:sz="4" w:space="0"/>
              <w:right w:val="single" w:color="auto" w:sz="4" w:space="0"/>
            </w:tcBorders>
            <w:shd w:val="clear" w:color="auto" w:fill="auto"/>
            <w:vAlign w:val="center"/>
          </w:tcPr>
          <w:p w14:paraId="314A5BFB">
            <w:pPr>
              <w:spacing w:line="360" w:lineRule="auto"/>
              <w:jc w:val="both"/>
              <w:rPr>
                <w:sz w:val="21"/>
                <w:szCs w:val="21"/>
                <w:highlight w:val="none"/>
                <w:lang w:bidi="ar"/>
              </w:rPr>
            </w:pPr>
            <w:r>
              <w:rPr>
                <w:rFonts w:hint="eastAsia"/>
                <w:sz w:val="21"/>
                <w:szCs w:val="21"/>
                <w:highlight w:val="none"/>
                <w:lang w:bidi="ar"/>
              </w:rPr>
              <w:t>第一个档次（</w:t>
            </w:r>
            <w:r>
              <w:rPr>
                <w:rFonts w:hint="eastAsia"/>
                <w:sz w:val="21"/>
                <w:szCs w:val="21"/>
                <w:highlight w:val="none"/>
                <w:lang w:val="en-US" w:eastAsia="zh-CN" w:bidi="ar"/>
              </w:rPr>
              <w:t>5</w:t>
            </w:r>
            <w:r>
              <w:rPr>
                <w:rFonts w:hint="eastAsia"/>
                <w:sz w:val="21"/>
                <w:szCs w:val="21"/>
                <w:highlight w:val="none"/>
                <w:lang w:bidi="ar"/>
              </w:rPr>
              <w:t>分）：投标人针对本项目合同履约期内可能会发生的特殊（紧急）情况制定的应急预案编制完整且合理，可行性、可实施性强，完全满足采购人需求；</w:t>
            </w:r>
          </w:p>
          <w:p w14:paraId="0058C295">
            <w:pPr>
              <w:spacing w:line="360" w:lineRule="auto"/>
              <w:jc w:val="both"/>
              <w:rPr>
                <w:sz w:val="21"/>
                <w:szCs w:val="21"/>
                <w:highlight w:val="none"/>
                <w:lang w:bidi="ar"/>
              </w:rPr>
            </w:pPr>
            <w:r>
              <w:rPr>
                <w:rFonts w:hint="eastAsia"/>
                <w:sz w:val="21"/>
                <w:szCs w:val="21"/>
                <w:highlight w:val="none"/>
                <w:lang w:bidi="ar"/>
              </w:rPr>
              <w:t>第二个档次（</w:t>
            </w:r>
            <w:r>
              <w:rPr>
                <w:rFonts w:hint="eastAsia"/>
                <w:sz w:val="21"/>
                <w:szCs w:val="21"/>
                <w:highlight w:val="none"/>
                <w:lang w:val="en-US" w:eastAsia="zh-CN" w:bidi="ar"/>
              </w:rPr>
              <w:t>3</w:t>
            </w:r>
            <w:r>
              <w:rPr>
                <w:rFonts w:hint="eastAsia"/>
                <w:sz w:val="21"/>
                <w:szCs w:val="21"/>
                <w:highlight w:val="none"/>
                <w:lang w:bidi="ar"/>
              </w:rPr>
              <w:t>分）：投标人针对本项目合同履约期内可能会发生的特殊（紧急）情况制定的应急预案编制基本完整且较合理，针对性、可行性一般，基本满足采购人需求；</w:t>
            </w:r>
          </w:p>
          <w:p w14:paraId="47B7CDF2">
            <w:pPr>
              <w:spacing w:line="360" w:lineRule="auto"/>
              <w:jc w:val="both"/>
              <w:rPr>
                <w:sz w:val="21"/>
                <w:szCs w:val="21"/>
                <w:highlight w:val="none"/>
                <w:lang w:bidi="ar"/>
              </w:rPr>
            </w:pPr>
            <w:r>
              <w:rPr>
                <w:rFonts w:hint="eastAsia"/>
                <w:sz w:val="21"/>
                <w:szCs w:val="21"/>
                <w:highlight w:val="none"/>
                <w:lang w:bidi="ar"/>
              </w:rPr>
              <w:t>第三个档次（</w:t>
            </w:r>
            <w:r>
              <w:rPr>
                <w:rFonts w:hint="eastAsia"/>
                <w:sz w:val="21"/>
                <w:szCs w:val="21"/>
                <w:highlight w:val="none"/>
                <w:lang w:val="en-US" w:eastAsia="zh-CN" w:bidi="ar"/>
              </w:rPr>
              <w:t>1</w:t>
            </w:r>
            <w:r>
              <w:rPr>
                <w:rFonts w:hint="eastAsia"/>
                <w:sz w:val="21"/>
                <w:szCs w:val="21"/>
                <w:highlight w:val="none"/>
                <w:lang w:bidi="ar"/>
              </w:rPr>
              <w:t>分）：投标人针对本项目合同履约期内可能会发生的特殊（紧急）情况制定的应急预案编制不完整、不合理或有缺陷，针对性差或可行性差。</w:t>
            </w:r>
          </w:p>
          <w:p w14:paraId="10F1BA13">
            <w:pPr>
              <w:spacing w:line="360" w:lineRule="auto"/>
              <w:jc w:val="both"/>
              <w:rPr>
                <w:sz w:val="21"/>
                <w:szCs w:val="21"/>
                <w:highlight w:val="none"/>
                <w:lang w:bidi="ar"/>
              </w:rPr>
            </w:pPr>
            <w:r>
              <w:rPr>
                <w:rFonts w:hint="eastAsia"/>
                <w:sz w:val="21"/>
                <w:szCs w:val="21"/>
                <w:highlight w:val="none"/>
                <w:lang w:bidi="ar"/>
              </w:rPr>
              <w:t>第四个档次（0 分）：预案不能满足采购人实际需求或未编制</w:t>
            </w:r>
            <w:r>
              <w:rPr>
                <w:rFonts w:hint="eastAsia"/>
                <w:sz w:val="21"/>
                <w:szCs w:val="21"/>
                <w:highlight w:val="none"/>
              </w:rPr>
              <w:t>应急服务方案的</w:t>
            </w:r>
            <w:r>
              <w:rPr>
                <w:rFonts w:hint="eastAsia"/>
                <w:sz w:val="21"/>
                <w:szCs w:val="21"/>
                <w:highlight w:val="none"/>
                <w:lang w:bidi="ar"/>
              </w:rPr>
              <w:t>。</w:t>
            </w:r>
          </w:p>
        </w:tc>
      </w:tr>
      <w:tr w14:paraId="5C9890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00349F4D">
            <w:pPr>
              <w:spacing w:line="360" w:lineRule="auto"/>
              <w:rPr>
                <w:sz w:val="21"/>
                <w:szCs w:val="21"/>
                <w:highlight w:val="none"/>
              </w:rPr>
            </w:pPr>
          </w:p>
        </w:tc>
        <w:tc>
          <w:tcPr>
            <w:tcW w:w="2113" w:type="dxa"/>
            <w:gridSpan w:val="2"/>
            <w:tcBorders>
              <w:left w:val="single" w:color="auto" w:sz="4" w:space="0"/>
              <w:right w:val="single" w:color="auto" w:sz="4" w:space="0"/>
            </w:tcBorders>
            <w:shd w:val="clear" w:color="auto" w:fill="auto"/>
            <w:vAlign w:val="center"/>
          </w:tcPr>
          <w:p w14:paraId="41680EC2">
            <w:pPr>
              <w:spacing w:line="360" w:lineRule="auto"/>
              <w:jc w:val="center"/>
              <w:rPr>
                <w:sz w:val="21"/>
                <w:szCs w:val="21"/>
                <w:highlight w:val="none"/>
              </w:rPr>
            </w:pPr>
            <w:r>
              <w:rPr>
                <w:rFonts w:hint="eastAsia"/>
                <w:sz w:val="21"/>
                <w:szCs w:val="21"/>
                <w:highlight w:val="none"/>
              </w:rPr>
              <w:t>运维售后服务评审</w:t>
            </w:r>
          </w:p>
          <w:p w14:paraId="21369C92">
            <w:pPr>
              <w:spacing w:line="360" w:lineRule="auto"/>
              <w:jc w:val="center"/>
              <w:rPr>
                <w:sz w:val="21"/>
                <w:szCs w:val="21"/>
                <w:highlight w:val="none"/>
              </w:rPr>
            </w:pPr>
            <w:r>
              <w:rPr>
                <w:rFonts w:hint="eastAsia"/>
                <w:sz w:val="21"/>
                <w:szCs w:val="21"/>
                <w:highlight w:val="none"/>
              </w:rPr>
              <w:t>（满分</w:t>
            </w:r>
            <w:r>
              <w:rPr>
                <w:rFonts w:hint="eastAsia"/>
                <w:sz w:val="21"/>
                <w:szCs w:val="21"/>
                <w:highlight w:val="none"/>
                <w:lang w:val="en-US" w:eastAsia="zh-CN"/>
              </w:rPr>
              <w:t>5</w:t>
            </w:r>
            <w:r>
              <w:rPr>
                <w:rFonts w:hint="eastAsia"/>
                <w:sz w:val="21"/>
                <w:szCs w:val="21"/>
                <w:highlight w:val="none"/>
              </w:rPr>
              <w:t xml:space="preserve"> 分）</w:t>
            </w:r>
          </w:p>
        </w:tc>
        <w:tc>
          <w:tcPr>
            <w:tcW w:w="6801" w:type="dxa"/>
            <w:tcBorders>
              <w:top w:val="single" w:color="auto" w:sz="4" w:space="0"/>
              <w:left w:val="single" w:color="auto" w:sz="4" w:space="0"/>
              <w:right w:val="single" w:color="auto" w:sz="4" w:space="0"/>
            </w:tcBorders>
            <w:shd w:val="clear" w:color="auto" w:fill="auto"/>
            <w:vAlign w:val="center"/>
          </w:tcPr>
          <w:p w14:paraId="2EAD8791">
            <w:pPr>
              <w:spacing w:line="360" w:lineRule="auto"/>
              <w:jc w:val="both"/>
              <w:rPr>
                <w:sz w:val="21"/>
                <w:szCs w:val="21"/>
                <w:highlight w:val="none"/>
                <w:lang w:bidi="ar"/>
              </w:rPr>
            </w:pPr>
            <w:r>
              <w:rPr>
                <w:rFonts w:hint="eastAsia"/>
                <w:sz w:val="21"/>
                <w:szCs w:val="21"/>
                <w:highlight w:val="none"/>
                <w:lang w:bidi="ar"/>
              </w:rPr>
              <w:t>第一个档次（</w:t>
            </w:r>
            <w:r>
              <w:rPr>
                <w:rFonts w:hint="eastAsia"/>
                <w:sz w:val="21"/>
                <w:szCs w:val="21"/>
                <w:highlight w:val="none"/>
                <w:lang w:val="en-US" w:eastAsia="zh-CN" w:bidi="ar"/>
              </w:rPr>
              <w:t>5</w:t>
            </w:r>
            <w:r>
              <w:rPr>
                <w:rFonts w:hint="eastAsia"/>
                <w:sz w:val="21"/>
                <w:szCs w:val="21"/>
                <w:highlight w:val="none"/>
                <w:lang w:bidi="ar"/>
              </w:rPr>
              <w:t>分）：所提供的售后服务方案、承诺完善具体，针对性强，保障措施有力、切实可行，故障响应及处理时间短，有具体的服务质量违约责任承诺；</w:t>
            </w:r>
          </w:p>
          <w:p w14:paraId="2CFAF6E7">
            <w:pPr>
              <w:spacing w:line="360" w:lineRule="auto"/>
              <w:jc w:val="both"/>
              <w:rPr>
                <w:sz w:val="21"/>
                <w:szCs w:val="21"/>
                <w:highlight w:val="none"/>
                <w:lang w:bidi="ar"/>
              </w:rPr>
            </w:pPr>
            <w:r>
              <w:rPr>
                <w:rFonts w:hint="eastAsia"/>
                <w:sz w:val="21"/>
                <w:szCs w:val="21"/>
                <w:highlight w:val="none"/>
                <w:lang w:bidi="ar"/>
              </w:rPr>
              <w:t>第二个档次（</w:t>
            </w:r>
            <w:r>
              <w:rPr>
                <w:rFonts w:hint="eastAsia"/>
                <w:sz w:val="21"/>
                <w:szCs w:val="21"/>
                <w:highlight w:val="none"/>
                <w:lang w:val="en-US" w:eastAsia="zh-CN" w:bidi="ar"/>
              </w:rPr>
              <w:t>3</w:t>
            </w:r>
            <w:r>
              <w:rPr>
                <w:rFonts w:hint="eastAsia"/>
                <w:sz w:val="21"/>
                <w:szCs w:val="21"/>
                <w:highlight w:val="none"/>
                <w:lang w:bidi="ar"/>
              </w:rPr>
              <w:t>分）：所提供的售后服务方案、承诺完善，针对性一般，保障措施基本合理，故障响应及处理时间一般，有服务质量违约责任承诺但不具体；</w:t>
            </w:r>
          </w:p>
          <w:p w14:paraId="2ECF3D15">
            <w:pPr>
              <w:spacing w:line="360" w:lineRule="auto"/>
              <w:jc w:val="both"/>
              <w:rPr>
                <w:sz w:val="21"/>
                <w:szCs w:val="21"/>
                <w:highlight w:val="none"/>
                <w:lang w:bidi="ar"/>
              </w:rPr>
            </w:pPr>
            <w:r>
              <w:rPr>
                <w:rFonts w:hint="eastAsia"/>
                <w:sz w:val="21"/>
                <w:szCs w:val="21"/>
                <w:highlight w:val="none"/>
                <w:lang w:bidi="ar"/>
              </w:rPr>
              <w:t>第三个档次（</w:t>
            </w:r>
            <w:r>
              <w:rPr>
                <w:rFonts w:hint="eastAsia"/>
                <w:sz w:val="21"/>
                <w:szCs w:val="21"/>
                <w:highlight w:val="none"/>
                <w:lang w:val="en-US" w:eastAsia="zh-CN" w:bidi="ar"/>
              </w:rPr>
              <w:t>1</w:t>
            </w:r>
            <w:r>
              <w:rPr>
                <w:rFonts w:hint="eastAsia"/>
                <w:sz w:val="21"/>
                <w:szCs w:val="21"/>
                <w:highlight w:val="none"/>
                <w:lang w:bidi="ar"/>
              </w:rPr>
              <w:t>分）：所提供的售后服务方案、承诺针对性较差，保障措施缺失，故障响应及处理时间较长，服务质量违约责任承诺片面；</w:t>
            </w:r>
          </w:p>
          <w:p w14:paraId="1BDEE0F1">
            <w:pPr>
              <w:spacing w:line="360" w:lineRule="auto"/>
              <w:jc w:val="both"/>
              <w:rPr>
                <w:sz w:val="21"/>
                <w:szCs w:val="21"/>
                <w:highlight w:val="none"/>
                <w:lang w:bidi="ar"/>
              </w:rPr>
            </w:pPr>
            <w:r>
              <w:rPr>
                <w:rFonts w:hint="eastAsia"/>
                <w:sz w:val="21"/>
                <w:szCs w:val="21"/>
                <w:highlight w:val="none"/>
                <w:lang w:bidi="ar"/>
              </w:rPr>
              <w:t>第四个档次（0 分）：所提供的售后服务方案、承诺可行性较差，针对性较差，无保障措施，故障响应及处理时间很长，无服务质量违约责任承诺。</w:t>
            </w:r>
          </w:p>
        </w:tc>
      </w:tr>
      <w:tr w14:paraId="68CD7F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06B8E45F">
            <w:pPr>
              <w:spacing w:line="360" w:lineRule="auto"/>
              <w:rPr>
                <w:sz w:val="21"/>
                <w:szCs w:val="21"/>
                <w:highlight w:val="none"/>
              </w:rPr>
            </w:pPr>
          </w:p>
        </w:tc>
        <w:tc>
          <w:tcPr>
            <w:tcW w:w="8914" w:type="dxa"/>
            <w:gridSpan w:val="3"/>
            <w:vAlign w:val="center"/>
          </w:tcPr>
          <w:p w14:paraId="55CEC580">
            <w:pPr>
              <w:spacing w:line="360" w:lineRule="auto"/>
              <w:ind w:firstLine="3780" w:firstLineChars="1800"/>
              <w:jc w:val="both"/>
              <w:rPr>
                <w:sz w:val="21"/>
                <w:szCs w:val="21"/>
                <w:highlight w:val="none"/>
                <w:lang w:bidi="ar"/>
              </w:rPr>
            </w:pPr>
            <w:r>
              <w:rPr>
                <w:rFonts w:hint="eastAsia"/>
                <w:sz w:val="21"/>
                <w:szCs w:val="21"/>
                <w:highlight w:val="none"/>
              </w:rPr>
              <w:t>商务部分评审</w:t>
            </w:r>
          </w:p>
        </w:tc>
      </w:tr>
      <w:tr w14:paraId="5FB69F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99" w:hRule="atLeast"/>
          <w:jc w:val="center"/>
        </w:trPr>
        <w:tc>
          <w:tcPr>
            <w:tcW w:w="862" w:type="dxa"/>
            <w:vMerge w:val="continue"/>
            <w:vAlign w:val="center"/>
          </w:tcPr>
          <w:p w14:paraId="77A06D3C">
            <w:pPr>
              <w:spacing w:line="360" w:lineRule="auto"/>
              <w:rPr>
                <w:sz w:val="21"/>
                <w:szCs w:val="21"/>
                <w:highlight w:val="none"/>
              </w:rPr>
            </w:pPr>
          </w:p>
        </w:tc>
        <w:tc>
          <w:tcPr>
            <w:tcW w:w="2113" w:type="dxa"/>
            <w:gridSpan w:val="2"/>
            <w:vAlign w:val="center"/>
          </w:tcPr>
          <w:p w14:paraId="18B2E763">
            <w:pPr>
              <w:spacing w:line="360" w:lineRule="auto"/>
              <w:jc w:val="center"/>
              <w:rPr>
                <w:sz w:val="21"/>
                <w:szCs w:val="21"/>
                <w:highlight w:val="none"/>
              </w:rPr>
            </w:pPr>
            <w:r>
              <w:rPr>
                <w:rFonts w:hint="eastAsia"/>
                <w:sz w:val="21"/>
                <w:szCs w:val="21"/>
                <w:highlight w:val="none"/>
              </w:rPr>
              <w:t>2.5商务部分评审</w:t>
            </w:r>
          </w:p>
        </w:tc>
        <w:tc>
          <w:tcPr>
            <w:tcW w:w="6801" w:type="dxa"/>
            <w:vAlign w:val="center"/>
          </w:tcPr>
          <w:p w14:paraId="4326D307">
            <w:pPr>
              <w:spacing w:line="360" w:lineRule="auto"/>
              <w:ind w:firstLine="2310" w:firstLineChars="1100"/>
              <w:rPr>
                <w:sz w:val="21"/>
                <w:szCs w:val="21"/>
                <w:highlight w:val="none"/>
              </w:rPr>
            </w:pPr>
            <w:r>
              <w:rPr>
                <w:rFonts w:hint="eastAsia"/>
                <w:sz w:val="21"/>
                <w:szCs w:val="21"/>
                <w:highlight w:val="none"/>
              </w:rPr>
              <w:t>F3＝</w:t>
            </w:r>
            <w:r>
              <w:rPr>
                <w:sz w:val="21"/>
                <w:szCs w:val="21"/>
                <w:highlight w:val="none"/>
              </w:rPr>
              <w:t>20</w:t>
            </w:r>
            <w:r>
              <w:rPr>
                <w:rFonts w:hint="eastAsia"/>
                <w:sz w:val="21"/>
                <w:szCs w:val="21"/>
                <w:highlight w:val="none"/>
              </w:rPr>
              <w:t>分</w:t>
            </w:r>
          </w:p>
        </w:tc>
      </w:tr>
      <w:tr w14:paraId="6ADFE7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1E232877">
            <w:pPr>
              <w:spacing w:line="360" w:lineRule="auto"/>
              <w:rPr>
                <w:sz w:val="21"/>
                <w:szCs w:val="21"/>
                <w:highlight w:val="none"/>
              </w:rPr>
            </w:pPr>
          </w:p>
        </w:tc>
        <w:tc>
          <w:tcPr>
            <w:tcW w:w="2113" w:type="dxa"/>
            <w:gridSpan w:val="2"/>
            <w:vAlign w:val="center"/>
          </w:tcPr>
          <w:p w14:paraId="5D35D7CD">
            <w:pPr>
              <w:spacing w:line="360" w:lineRule="auto"/>
              <w:jc w:val="center"/>
              <w:rPr>
                <w:sz w:val="21"/>
                <w:szCs w:val="21"/>
                <w:highlight w:val="none"/>
              </w:rPr>
            </w:pPr>
            <w:r>
              <w:rPr>
                <w:rFonts w:hint="eastAsia"/>
                <w:sz w:val="21"/>
                <w:szCs w:val="21"/>
                <w:highlight w:val="none"/>
              </w:rPr>
              <w:t>培训方案评审</w:t>
            </w:r>
          </w:p>
          <w:p w14:paraId="552BC54C">
            <w:pPr>
              <w:spacing w:line="360" w:lineRule="auto"/>
              <w:jc w:val="center"/>
              <w:rPr>
                <w:sz w:val="21"/>
                <w:szCs w:val="21"/>
                <w:highlight w:val="none"/>
              </w:rPr>
            </w:pPr>
            <w:r>
              <w:rPr>
                <w:rFonts w:hint="eastAsia"/>
                <w:sz w:val="21"/>
                <w:szCs w:val="21"/>
                <w:highlight w:val="none"/>
              </w:rPr>
              <w:t>（满分 5 分）</w:t>
            </w:r>
          </w:p>
        </w:tc>
        <w:tc>
          <w:tcPr>
            <w:tcW w:w="6801" w:type="dxa"/>
            <w:vAlign w:val="center"/>
          </w:tcPr>
          <w:p w14:paraId="7ACADC52">
            <w:pPr>
              <w:spacing w:line="360" w:lineRule="auto"/>
              <w:jc w:val="both"/>
              <w:rPr>
                <w:sz w:val="21"/>
                <w:szCs w:val="21"/>
                <w:highlight w:val="none"/>
                <w:lang w:bidi="ar"/>
              </w:rPr>
            </w:pPr>
            <w:r>
              <w:rPr>
                <w:rFonts w:hint="eastAsia"/>
                <w:sz w:val="21"/>
                <w:szCs w:val="21"/>
                <w:highlight w:val="none"/>
                <w:lang w:bidi="ar"/>
              </w:rPr>
              <w:t>第一个档次(5分)：培训方案内容详细、完整，培训计划及培训内容安排合理且符合法院业务情况；</w:t>
            </w:r>
          </w:p>
          <w:p w14:paraId="56C5713D">
            <w:pPr>
              <w:spacing w:line="360" w:lineRule="auto"/>
              <w:jc w:val="both"/>
              <w:rPr>
                <w:sz w:val="21"/>
                <w:szCs w:val="21"/>
                <w:highlight w:val="none"/>
                <w:lang w:bidi="ar"/>
              </w:rPr>
            </w:pPr>
            <w:r>
              <w:rPr>
                <w:rFonts w:hint="eastAsia"/>
                <w:sz w:val="21"/>
                <w:szCs w:val="21"/>
                <w:highlight w:val="none"/>
                <w:lang w:bidi="ar"/>
              </w:rPr>
              <w:t>第二个档次(3)：培训方案内容基本完整，培训计划及培训内容安排可行，基本满足工作需求；</w:t>
            </w:r>
          </w:p>
          <w:p w14:paraId="333B2BE7">
            <w:pPr>
              <w:spacing w:line="360" w:lineRule="auto"/>
              <w:jc w:val="both"/>
              <w:rPr>
                <w:sz w:val="21"/>
                <w:szCs w:val="21"/>
                <w:highlight w:val="none"/>
                <w:lang w:bidi="ar"/>
              </w:rPr>
            </w:pPr>
            <w:r>
              <w:rPr>
                <w:rFonts w:hint="eastAsia"/>
                <w:sz w:val="21"/>
                <w:szCs w:val="21"/>
                <w:highlight w:val="none"/>
                <w:lang w:bidi="ar"/>
              </w:rPr>
              <w:t>第三个档次(1分)：培训方案内容不完整，培训计划及培训内容安排不合理，难以满足工作需求；</w:t>
            </w:r>
          </w:p>
          <w:p w14:paraId="1CA3D5B7">
            <w:pPr>
              <w:spacing w:line="360" w:lineRule="auto"/>
              <w:jc w:val="both"/>
              <w:rPr>
                <w:sz w:val="21"/>
                <w:szCs w:val="21"/>
                <w:highlight w:val="none"/>
                <w:lang w:bidi="ar"/>
              </w:rPr>
            </w:pPr>
            <w:r>
              <w:rPr>
                <w:rFonts w:hint="eastAsia"/>
                <w:sz w:val="21"/>
                <w:szCs w:val="21"/>
                <w:highlight w:val="none"/>
                <w:lang w:bidi="ar"/>
              </w:rPr>
              <w:t>第四个档次(0分)：培训方案内容与项目不符，无计划安排；</w:t>
            </w:r>
          </w:p>
        </w:tc>
      </w:tr>
      <w:tr w14:paraId="4513D5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62" w:type="dxa"/>
            <w:vMerge w:val="continue"/>
            <w:vAlign w:val="center"/>
          </w:tcPr>
          <w:p w14:paraId="01992319">
            <w:pPr>
              <w:spacing w:line="360" w:lineRule="auto"/>
              <w:rPr>
                <w:sz w:val="21"/>
                <w:szCs w:val="21"/>
                <w:highlight w:val="none"/>
              </w:rPr>
            </w:pPr>
          </w:p>
        </w:tc>
        <w:tc>
          <w:tcPr>
            <w:tcW w:w="2113" w:type="dxa"/>
            <w:gridSpan w:val="2"/>
            <w:vAlign w:val="center"/>
          </w:tcPr>
          <w:p w14:paraId="0C507ABC">
            <w:pPr>
              <w:spacing w:line="360" w:lineRule="auto"/>
              <w:jc w:val="center"/>
              <w:rPr>
                <w:sz w:val="21"/>
                <w:szCs w:val="21"/>
                <w:highlight w:val="none"/>
                <w:lang w:bidi="ar"/>
              </w:rPr>
            </w:pPr>
            <w:r>
              <w:rPr>
                <w:rFonts w:hint="eastAsia"/>
                <w:sz w:val="21"/>
                <w:szCs w:val="21"/>
                <w:highlight w:val="none"/>
                <w:lang w:bidi="ar"/>
              </w:rPr>
              <w:t>信息化运维服务绩效考核制度评审</w:t>
            </w:r>
          </w:p>
          <w:p w14:paraId="0EE8268B">
            <w:pPr>
              <w:spacing w:line="360" w:lineRule="auto"/>
              <w:jc w:val="center"/>
              <w:rPr>
                <w:sz w:val="21"/>
                <w:szCs w:val="21"/>
                <w:highlight w:val="none"/>
              </w:rPr>
            </w:pPr>
            <w:r>
              <w:rPr>
                <w:rFonts w:hint="eastAsia"/>
                <w:sz w:val="21"/>
                <w:szCs w:val="21"/>
                <w:highlight w:val="none"/>
                <w:lang w:bidi="ar"/>
              </w:rPr>
              <w:t>（满分5分）</w:t>
            </w:r>
          </w:p>
        </w:tc>
        <w:tc>
          <w:tcPr>
            <w:tcW w:w="6801" w:type="dxa"/>
            <w:vAlign w:val="center"/>
          </w:tcPr>
          <w:p w14:paraId="2AD09DFF">
            <w:pPr>
              <w:spacing w:line="360" w:lineRule="auto"/>
              <w:jc w:val="both"/>
              <w:rPr>
                <w:sz w:val="21"/>
                <w:szCs w:val="21"/>
                <w:highlight w:val="none"/>
                <w:lang w:bidi="ar"/>
              </w:rPr>
            </w:pPr>
            <w:r>
              <w:rPr>
                <w:rFonts w:hint="eastAsia"/>
                <w:sz w:val="21"/>
                <w:szCs w:val="21"/>
                <w:highlight w:val="none"/>
                <w:lang w:bidi="ar"/>
              </w:rPr>
              <w:t>横向比较各投标人制定的信息化运维服务绩效考核制度，对制度中的考核原则、考核流程、考核内容、奖惩办法等内容的可行性、针对性、合理性、完整性进行综合评分。</w:t>
            </w:r>
          </w:p>
          <w:p w14:paraId="5D04FD4D">
            <w:pPr>
              <w:spacing w:line="360" w:lineRule="auto"/>
              <w:jc w:val="both"/>
              <w:rPr>
                <w:sz w:val="21"/>
                <w:szCs w:val="21"/>
                <w:highlight w:val="none"/>
                <w:lang w:bidi="ar"/>
              </w:rPr>
            </w:pPr>
            <w:r>
              <w:rPr>
                <w:rFonts w:hint="eastAsia"/>
                <w:sz w:val="21"/>
                <w:szCs w:val="21"/>
                <w:highlight w:val="none"/>
                <w:lang w:bidi="ar"/>
              </w:rPr>
              <w:t>第一个档次（5分）：信息化运维服务绩效考核制度完整、有针对性，有科学严谨的考核流程，考核内容完整，奖惩办法科学合理的；</w:t>
            </w:r>
          </w:p>
          <w:p w14:paraId="1C4C1C40">
            <w:pPr>
              <w:spacing w:line="360" w:lineRule="auto"/>
              <w:jc w:val="both"/>
              <w:rPr>
                <w:sz w:val="21"/>
                <w:szCs w:val="21"/>
                <w:highlight w:val="none"/>
                <w:lang w:bidi="ar"/>
              </w:rPr>
            </w:pPr>
            <w:r>
              <w:rPr>
                <w:rFonts w:hint="eastAsia"/>
                <w:sz w:val="21"/>
                <w:szCs w:val="21"/>
                <w:highlight w:val="none"/>
                <w:lang w:bidi="ar"/>
              </w:rPr>
              <w:t>第二个档次（3分）：信息化运维服务绩效考核制度基本完整，考核流程基本合理，考核内容满足需要，具有奖惩办法的；</w:t>
            </w:r>
          </w:p>
          <w:p w14:paraId="60840A32">
            <w:pPr>
              <w:spacing w:line="360" w:lineRule="auto"/>
              <w:jc w:val="both"/>
              <w:rPr>
                <w:sz w:val="21"/>
                <w:szCs w:val="21"/>
                <w:highlight w:val="none"/>
                <w:lang w:bidi="ar"/>
              </w:rPr>
            </w:pPr>
            <w:r>
              <w:rPr>
                <w:rFonts w:hint="eastAsia"/>
                <w:sz w:val="21"/>
                <w:szCs w:val="21"/>
                <w:highlight w:val="none"/>
                <w:lang w:bidi="ar"/>
              </w:rPr>
              <w:t>第三个档次（1分）：信息化运维服务绩效考核制度不完整，考核流程有错误，对考核内容和奖惩办法有有一定描述的；</w:t>
            </w:r>
          </w:p>
          <w:p w14:paraId="07C6130E">
            <w:pPr>
              <w:spacing w:line="360" w:lineRule="auto"/>
              <w:jc w:val="both"/>
              <w:rPr>
                <w:sz w:val="21"/>
                <w:szCs w:val="21"/>
                <w:highlight w:val="none"/>
                <w:lang w:bidi="ar"/>
              </w:rPr>
            </w:pPr>
            <w:r>
              <w:rPr>
                <w:rFonts w:hint="eastAsia"/>
                <w:sz w:val="21"/>
                <w:szCs w:val="21"/>
                <w:highlight w:val="none"/>
                <w:lang w:bidi="ar"/>
              </w:rPr>
              <w:t>第四个档次(0分)：信息化运维服务绩效考核制度与不满足项目需要或未提供信息化运维服务绩效考核制度的得0分；</w:t>
            </w:r>
          </w:p>
        </w:tc>
      </w:tr>
      <w:tr w14:paraId="3D0089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620" w:hRule="atLeast"/>
          <w:jc w:val="center"/>
        </w:trPr>
        <w:tc>
          <w:tcPr>
            <w:tcW w:w="862" w:type="dxa"/>
            <w:vMerge w:val="continue"/>
            <w:vAlign w:val="center"/>
          </w:tcPr>
          <w:p w14:paraId="6D7FA028">
            <w:pPr>
              <w:spacing w:line="360" w:lineRule="auto"/>
              <w:rPr>
                <w:sz w:val="21"/>
                <w:szCs w:val="21"/>
                <w:highlight w:val="none"/>
              </w:rPr>
            </w:pPr>
          </w:p>
        </w:tc>
        <w:tc>
          <w:tcPr>
            <w:tcW w:w="2113" w:type="dxa"/>
            <w:gridSpan w:val="2"/>
            <w:vAlign w:val="center"/>
          </w:tcPr>
          <w:p w14:paraId="168F030C">
            <w:pPr>
              <w:spacing w:line="360" w:lineRule="auto"/>
              <w:jc w:val="center"/>
              <w:rPr>
                <w:rFonts w:hint="eastAsia"/>
                <w:sz w:val="21"/>
                <w:szCs w:val="21"/>
                <w:highlight w:val="none"/>
                <w:lang w:bidi="ar"/>
              </w:rPr>
            </w:pPr>
            <w:r>
              <w:rPr>
                <w:rFonts w:hint="eastAsia"/>
                <w:sz w:val="21"/>
                <w:szCs w:val="21"/>
                <w:highlight w:val="none"/>
                <w:lang w:bidi="ar"/>
              </w:rPr>
              <w:t>业绩评审评分</w:t>
            </w:r>
          </w:p>
          <w:p w14:paraId="6A21F24E">
            <w:pPr>
              <w:spacing w:line="360" w:lineRule="auto"/>
              <w:jc w:val="center"/>
              <w:rPr>
                <w:rFonts w:hint="eastAsia"/>
                <w:sz w:val="21"/>
                <w:szCs w:val="21"/>
                <w:highlight w:val="none"/>
                <w:lang w:bidi="ar"/>
              </w:rPr>
            </w:pPr>
            <w:r>
              <w:rPr>
                <w:rFonts w:hint="eastAsia"/>
                <w:sz w:val="21"/>
                <w:szCs w:val="21"/>
                <w:highlight w:val="none"/>
                <w:lang w:bidi="ar"/>
              </w:rPr>
              <w:t>（</w:t>
            </w:r>
            <w:r>
              <w:rPr>
                <w:rFonts w:hint="eastAsia"/>
                <w:sz w:val="21"/>
                <w:szCs w:val="21"/>
                <w:highlight w:val="none"/>
                <w:lang w:bidi="ar"/>
              </w:rPr>
              <w:t>满分</w:t>
            </w:r>
            <w:r>
              <w:rPr>
                <w:rFonts w:hint="eastAsia"/>
                <w:sz w:val="21"/>
                <w:szCs w:val="21"/>
                <w:highlight w:val="none"/>
                <w:lang w:val="en-US" w:eastAsia="zh-CN" w:bidi="ar"/>
              </w:rPr>
              <w:t>10</w:t>
            </w:r>
            <w:r>
              <w:rPr>
                <w:rFonts w:hint="eastAsia"/>
                <w:sz w:val="21"/>
                <w:szCs w:val="21"/>
                <w:highlight w:val="none"/>
                <w:lang w:bidi="ar"/>
              </w:rPr>
              <w:t>分）</w:t>
            </w:r>
          </w:p>
        </w:tc>
        <w:tc>
          <w:tcPr>
            <w:tcW w:w="6801" w:type="dxa"/>
            <w:vAlign w:val="center"/>
          </w:tcPr>
          <w:p w14:paraId="7998FCFD">
            <w:pPr>
              <w:spacing w:line="360" w:lineRule="auto"/>
              <w:jc w:val="left"/>
              <w:rPr>
                <w:rFonts w:hint="eastAsia"/>
                <w:sz w:val="21"/>
                <w:szCs w:val="21"/>
                <w:highlight w:val="none"/>
                <w:lang w:bidi="ar"/>
              </w:rPr>
            </w:pPr>
            <w:r>
              <w:rPr>
                <w:rFonts w:hint="eastAsia"/>
                <w:sz w:val="21"/>
                <w:szCs w:val="21"/>
                <w:highlight w:val="none"/>
                <w:lang w:bidi="ar"/>
              </w:rPr>
              <w:t>投标人每提供一个类似项目业绩的得1分，满分</w:t>
            </w:r>
            <w:r>
              <w:rPr>
                <w:rFonts w:hint="eastAsia"/>
                <w:sz w:val="21"/>
                <w:szCs w:val="21"/>
                <w:highlight w:val="none"/>
                <w:lang w:val="en-US" w:eastAsia="zh-CN" w:bidi="ar"/>
              </w:rPr>
              <w:t>10</w:t>
            </w:r>
            <w:r>
              <w:rPr>
                <w:rFonts w:hint="eastAsia"/>
                <w:sz w:val="21"/>
                <w:szCs w:val="21"/>
                <w:highlight w:val="none"/>
                <w:lang w:bidi="ar"/>
              </w:rPr>
              <w:t>分；</w:t>
            </w:r>
          </w:p>
          <w:p w14:paraId="04BA60C6">
            <w:pPr>
              <w:spacing w:line="360" w:lineRule="auto"/>
              <w:jc w:val="left"/>
              <w:rPr>
                <w:rFonts w:hint="eastAsia"/>
                <w:sz w:val="21"/>
                <w:szCs w:val="21"/>
                <w:highlight w:val="none"/>
                <w:lang w:bidi="ar"/>
              </w:rPr>
            </w:pPr>
            <w:r>
              <w:rPr>
                <w:rFonts w:hint="eastAsia"/>
                <w:sz w:val="21"/>
                <w:szCs w:val="21"/>
                <w:highlight w:val="none"/>
                <w:lang w:bidi="ar"/>
              </w:rPr>
              <w:t>注：（1）类似业绩指：信息系统运维服务类项目。（2）业绩证明材料为投标人与用户单位签订的合同（合同应包括：合同首页、标的及金额所在页及合同签字盖章页）</w:t>
            </w:r>
          </w:p>
        </w:tc>
      </w:tr>
      <w:bookmarkEnd w:id="406"/>
    </w:tbl>
    <w:p w14:paraId="5A1250AB">
      <w:pPr>
        <w:rPr>
          <w:highlight w:val="none"/>
        </w:rPr>
      </w:pPr>
    </w:p>
    <w:p w14:paraId="73693DDD">
      <w:pPr>
        <w:pStyle w:val="4"/>
        <w:rPr>
          <w:highlight w:val="none"/>
        </w:rPr>
      </w:pPr>
      <w:bookmarkStart w:id="237" w:name="_Toc481712046"/>
      <w:bookmarkStart w:id="238" w:name="_Toc260908200"/>
      <w:bookmarkStart w:id="239" w:name="_Toc19310"/>
      <w:bookmarkStart w:id="240" w:name="_Toc17647"/>
      <w:bookmarkStart w:id="241" w:name="_Toc270090085"/>
      <w:bookmarkStart w:id="242" w:name="_Toc260907984"/>
      <w:bookmarkStart w:id="243" w:name="_Toc19820087"/>
      <w:bookmarkStart w:id="244" w:name="_Toc27063"/>
      <w:bookmarkStart w:id="245" w:name="_Toc259188728"/>
      <w:r>
        <w:rPr>
          <w:rFonts w:hint="eastAsia"/>
          <w:highlight w:val="none"/>
        </w:rPr>
        <w:t>二、评标方法</w:t>
      </w:r>
      <w:bookmarkEnd w:id="237"/>
      <w:bookmarkEnd w:id="238"/>
      <w:bookmarkEnd w:id="239"/>
      <w:bookmarkEnd w:id="240"/>
      <w:bookmarkEnd w:id="241"/>
      <w:bookmarkEnd w:id="242"/>
      <w:bookmarkEnd w:id="243"/>
      <w:bookmarkEnd w:id="244"/>
      <w:bookmarkEnd w:id="245"/>
    </w:p>
    <w:p w14:paraId="5175D4C6">
      <w:pPr>
        <w:pStyle w:val="215"/>
        <w:spacing w:line="360" w:lineRule="auto"/>
        <w:rPr>
          <w:rFonts w:ascii="宋体" w:hAnsi="宋体" w:eastAsia="宋体"/>
          <w:b/>
          <w:bCs/>
          <w:highlight w:val="none"/>
          <w:lang w:val="zh-CN"/>
        </w:rPr>
      </w:pPr>
      <w:bookmarkStart w:id="246" w:name="_Toc2875"/>
      <w:bookmarkStart w:id="247" w:name="_Toc248767825"/>
      <w:r>
        <w:rPr>
          <w:rFonts w:hint="eastAsia" w:ascii="宋体" w:hAnsi="宋体" w:eastAsia="宋体"/>
          <w:b/>
          <w:bCs/>
          <w:highlight w:val="none"/>
          <w:lang w:val="zh-CN"/>
        </w:rPr>
        <w:t>2.1评标依据</w:t>
      </w:r>
      <w:bookmarkEnd w:id="246"/>
    </w:p>
    <w:p w14:paraId="76777D88">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根据《中华人民共和国政府采购法》、《中华人民共和国政府采购法实施条例》、《政府采购货物和服务招标投标管理办法》（财政部令87号）等法律、法规。</w:t>
      </w:r>
    </w:p>
    <w:p w14:paraId="5CA8AD5D">
      <w:pPr>
        <w:pStyle w:val="215"/>
        <w:spacing w:line="360" w:lineRule="auto"/>
        <w:rPr>
          <w:rFonts w:ascii="宋体" w:hAnsi="宋体" w:eastAsia="宋体"/>
          <w:b/>
          <w:bCs/>
          <w:highlight w:val="none"/>
          <w:lang w:val="zh-CN"/>
        </w:rPr>
      </w:pPr>
      <w:bookmarkStart w:id="248" w:name="_Toc25187"/>
      <w:r>
        <w:rPr>
          <w:rFonts w:hint="eastAsia" w:ascii="宋体" w:hAnsi="宋体" w:eastAsia="宋体"/>
          <w:b/>
          <w:bCs/>
          <w:highlight w:val="none"/>
          <w:lang w:val="zh-CN"/>
        </w:rPr>
        <w:t>2.2采购人或者采购代理机构职责</w:t>
      </w:r>
      <w:bookmarkEnd w:id="248"/>
      <w:r>
        <w:rPr>
          <w:rFonts w:hint="eastAsia" w:ascii="宋体" w:hAnsi="宋体" w:eastAsia="宋体"/>
          <w:b/>
          <w:bCs/>
          <w:highlight w:val="none"/>
          <w:lang w:val="zh-CN"/>
        </w:rPr>
        <w:t xml:space="preserve"> </w:t>
      </w:r>
    </w:p>
    <w:p w14:paraId="26718826">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采购人或者采购代理机构负责组织评标工作，并履行下列职责：</w:t>
      </w:r>
    </w:p>
    <w:p w14:paraId="4E1EC771">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（一）核对评审专家身份和采购人代表授权函，对评审专家在政府采购活动中的职责履行情况予以记录，并及时将有关违法违规行为向财政部门报告；</w:t>
      </w:r>
    </w:p>
    <w:p w14:paraId="4E2CAC17">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（二）宣布评标纪律；</w:t>
      </w:r>
    </w:p>
    <w:p w14:paraId="6136B199">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（三）公布投标人名单，告知评审专家应当回避的情形；</w:t>
      </w:r>
    </w:p>
    <w:p w14:paraId="0682E835">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（四）组织评标委员会推选评标组长，采购人代表不得担任组长；</w:t>
      </w:r>
    </w:p>
    <w:p w14:paraId="013B25D9">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（五）在评标期间采取必要的通讯管理措施，保证评标活动不受外界干扰；</w:t>
      </w:r>
    </w:p>
    <w:p w14:paraId="2F14213D">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（六）根据评标委员会的要求介绍政府采购相关政策法规、招标文件；</w:t>
      </w:r>
    </w:p>
    <w:p w14:paraId="0E6356FF">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（七）维护评标秩序，监督评标委员会依照招标文件规定的评标程序、方法和标准进行独立评审，及时制止和纠正采购人代表、评审专家的倾向性言论或者违法违规行为；</w:t>
      </w:r>
    </w:p>
    <w:p w14:paraId="0DD55A6A">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（八）核对评标结果，有《政府采购货物和服务招标投标管理办法》（财政部令87号）第六十四条规定情形的，要求评标委员会复核或者书面说明理由，评标委员会拒绝的，应予记录并向本级财政部门报告；</w:t>
      </w:r>
    </w:p>
    <w:p w14:paraId="2B3B4BDA">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（九）评审工作完成后，按照规定向评审专家支付劳务报酬和异地评审差旅费，不得向评审专家以外的其他人员支付评审劳务报酬；</w:t>
      </w:r>
    </w:p>
    <w:p w14:paraId="0BD0B0E8">
      <w:pPr>
        <w:widowControl w:val="0"/>
        <w:wordWrap w:val="0"/>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（十）处理与评标有关的其他事项。</w:t>
      </w:r>
    </w:p>
    <w:p w14:paraId="6D351757">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采购人可以在评标前说明项目背景和采购需求，说明内容不得含有歧视性、倾向性意见，不得超出招标文件所述范围。说明应当提交书面材料，并随招标文件一并存档。</w:t>
      </w:r>
    </w:p>
    <w:p w14:paraId="62A4BAED">
      <w:pPr>
        <w:pStyle w:val="215"/>
        <w:spacing w:line="360" w:lineRule="auto"/>
        <w:rPr>
          <w:rFonts w:ascii="宋体" w:hAnsi="宋体" w:eastAsia="宋体"/>
          <w:b/>
          <w:bCs/>
          <w:highlight w:val="none"/>
          <w:lang w:val="zh-CN"/>
        </w:rPr>
      </w:pPr>
      <w:bookmarkStart w:id="249" w:name="_Toc31863"/>
      <w:r>
        <w:rPr>
          <w:rFonts w:hint="eastAsia" w:ascii="宋体" w:hAnsi="宋体" w:eastAsia="宋体"/>
          <w:b/>
          <w:bCs/>
          <w:highlight w:val="none"/>
          <w:lang w:val="zh-CN"/>
        </w:rPr>
        <w:t>2.3评标委员会职责</w:t>
      </w:r>
      <w:bookmarkEnd w:id="249"/>
      <w:r>
        <w:rPr>
          <w:rFonts w:hint="eastAsia" w:ascii="宋体" w:hAnsi="宋体" w:eastAsia="宋体"/>
          <w:b/>
          <w:bCs/>
          <w:highlight w:val="none"/>
          <w:lang w:val="zh-CN"/>
        </w:rPr>
        <w:t xml:space="preserve"> </w:t>
      </w:r>
    </w:p>
    <w:p w14:paraId="25327EFB">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评标委员会负责具体评标事务，并独立履行下列职责：</w:t>
      </w:r>
    </w:p>
    <w:p w14:paraId="4088690A">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（一）审查、评价投标文件是否符合招标文件的商务、技术等实质性要求；</w:t>
      </w:r>
    </w:p>
    <w:p w14:paraId="75943EFE">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（二）要求投标人对投标文件有关事项作出澄清或者说明；</w:t>
      </w:r>
    </w:p>
    <w:p w14:paraId="1A0934A4">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（三）对投标文件进行比较和评价；</w:t>
      </w:r>
    </w:p>
    <w:p w14:paraId="6C0A60E3">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（四）确定中标候选人名单，以及根据采购人委托直接确定中标人；</w:t>
      </w:r>
    </w:p>
    <w:p w14:paraId="00EEE3C9">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（五）向采购人、采购代理机构或者有关部门报告评标中发现的违法行为。</w:t>
      </w:r>
    </w:p>
    <w:p w14:paraId="1C4B225A">
      <w:pPr>
        <w:pStyle w:val="215"/>
        <w:keepNext w:val="0"/>
        <w:keepLines w:val="0"/>
        <w:spacing w:line="360" w:lineRule="auto"/>
        <w:rPr>
          <w:rFonts w:ascii="宋体" w:hAnsi="宋体" w:eastAsia="宋体"/>
          <w:b/>
          <w:bCs/>
          <w:highlight w:val="none"/>
          <w:lang w:val="zh-CN"/>
        </w:rPr>
      </w:pPr>
      <w:bookmarkStart w:id="250" w:name="_Toc13955"/>
      <w:r>
        <w:rPr>
          <w:rFonts w:hint="eastAsia" w:ascii="宋体" w:hAnsi="宋体" w:eastAsia="宋体"/>
          <w:b/>
          <w:bCs/>
          <w:highlight w:val="none"/>
          <w:lang w:val="zh-CN"/>
        </w:rPr>
        <w:t>2.4评标纪律</w:t>
      </w:r>
      <w:bookmarkEnd w:id="250"/>
    </w:p>
    <w:p w14:paraId="17A69224">
      <w:pPr>
        <w:widowControl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（1）对评标内容和评标过程要严格保密，不得向投标人或与该过程无关的其它人员泄露。</w:t>
      </w:r>
    </w:p>
    <w:p w14:paraId="3E7B0254">
      <w:pPr>
        <w:widowControl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（2）评标期间的一切资料，包括评标意见、评标记录和评标结论，一律不得外传和泄露。</w:t>
      </w:r>
    </w:p>
    <w:p w14:paraId="09F2C4B0">
      <w:pPr>
        <w:widowControl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（3）任何属于投标文件审查、澄清、评价和比较的资料，不得向投标人或与该过程无关的其它人员泄露。</w:t>
      </w:r>
    </w:p>
    <w:p w14:paraId="46B7A1DC">
      <w:pPr>
        <w:widowControl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（4）所有资料（包括招标文件、投标文件、评标表格及各种文字记录）在评标结束后均应分别整理、存档备查，任何人不得复制和保留。</w:t>
      </w:r>
    </w:p>
    <w:p w14:paraId="3710F58C">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（5）评标期间，未经允许评标委员会以外的任何单位或部门不得参加评标和采访评标工作。</w:t>
      </w:r>
    </w:p>
    <w:p w14:paraId="14B62AAD">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（6）评标期间，评标人员不得外出，确需外出时应事先请假。</w:t>
      </w:r>
    </w:p>
    <w:p w14:paraId="3CFD06F3">
      <w:pPr>
        <w:widowControl w:val="0"/>
        <w:wordWrap w:val="0"/>
        <w:spacing w:line="336" w:lineRule="auto"/>
        <w:ind w:firstLine="420" w:firstLineChars="200"/>
        <w:rPr>
          <w:rFonts w:ascii="宋体" w:hAnsi="宋体" w:cs="宋体"/>
          <w:sz w:val="21"/>
          <w:szCs w:val="21"/>
          <w:highlight w:val="none"/>
        </w:rPr>
      </w:pPr>
      <w:r>
        <w:rPr>
          <w:rFonts w:hint="eastAsia" w:ascii="宋体" w:hAnsi="宋体" w:cs="宋体"/>
          <w:sz w:val="21"/>
          <w:szCs w:val="21"/>
          <w:highlight w:val="none"/>
        </w:rPr>
        <w:t>（7）评标期间，所有与会人员均不得私自以任何方式和投标人进行联系，需询问、澄清的问题由评委会统一组织办理。</w:t>
      </w:r>
    </w:p>
    <w:p w14:paraId="67A345F0">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（8）评标结束后，与会人员不得向外界透露评标人员的评标意见，如因此造成的后果由责任者承担。</w:t>
      </w:r>
    </w:p>
    <w:p w14:paraId="1D431AA3">
      <w:pPr>
        <w:pStyle w:val="215"/>
        <w:spacing w:line="360" w:lineRule="auto"/>
        <w:rPr>
          <w:rFonts w:ascii="宋体" w:hAnsi="宋体" w:eastAsia="宋体"/>
          <w:b/>
          <w:bCs/>
          <w:highlight w:val="none"/>
          <w:lang w:val="zh-CN"/>
        </w:rPr>
      </w:pPr>
      <w:bookmarkStart w:id="251" w:name="_Toc31413"/>
      <w:bookmarkStart w:id="252" w:name="_Toc481712047"/>
      <w:bookmarkStart w:id="253" w:name="_Toc260907985"/>
      <w:bookmarkStart w:id="254" w:name="_Toc19820088"/>
      <w:bookmarkStart w:id="255" w:name="_Toc21067"/>
      <w:bookmarkStart w:id="256" w:name="_Toc503259470"/>
      <w:bookmarkStart w:id="257" w:name="_Toc260908201"/>
      <w:bookmarkStart w:id="258" w:name="_Toc259188729"/>
      <w:bookmarkStart w:id="259" w:name="_Toc270090086"/>
      <w:r>
        <w:rPr>
          <w:rFonts w:hint="eastAsia" w:ascii="宋体" w:hAnsi="宋体" w:eastAsia="宋体"/>
          <w:b/>
          <w:bCs/>
          <w:highlight w:val="none"/>
          <w:lang w:val="zh-CN"/>
        </w:rPr>
        <w:t>2.5评标原则</w:t>
      </w:r>
      <w:bookmarkEnd w:id="251"/>
    </w:p>
    <w:p w14:paraId="6FBBC284">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评标将遵循下列原则：</w:t>
      </w:r>
    </w:p>
    <w:p w14:paraId="3859B2A5">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（1）坚持公平、公正、科学、择优的原则，本着实事求是的精神，不带有任何主观意愿和偏见，认真负责地做好评标工作，公平、公正地对待每一个投标人。</w:t>
      </w:r>
    </w:p>
    <w:p w14:paraId="57A28A6C">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（2）全面分析，综合评审。</w:t>
      </w:r>
    </w:p>
    <w:p w14:paraId="11E42604">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（3）评标只对投标人的投标文件进行评审,投标文件以外的资料、信息不应作为评标的依据。</w:t>
      </w:r>
    </w:p>
    <w:p w14:paraId="01E5F70D">
      <w:pPr>
        <w:pStyle w:val="4"/>
        <w:rPr>
          <w:highlight w:val="none"/>
        </w:rPr>
      </w:pPr>
      <w:bookmarkStart w:id="260" w:name="_Toc13035"/>
      <w:bookmarkStart w:id="261" w:name="_Toc30095"/>
      <w:r>
        <w:rPr>
          <w:rFonts w:hint="eastAsia"/>
          <w:highlight w:val="none"/>
        </w:rPr>
        <w:t>三、评标程序</w:t>
      </w:r>
      <w:bookmarkEnd w:id="247"/>
      <w:bookmarkEnd w:id="252"/>
      <w:bookmarkEnd w:id="253"/>
      <w:bookmarkEnd w:id="254"/>
      <w:bookmarkEnd w:id="255"/>
      <w:bookmarkEnd w:id="256"/>
      <w:bookmarkEnd w:id="257"/>
      <w:bookmarkEnd w:id="258"/>
      <w:bookmarkEnd w:id="259"/>
      <w:bookmarkEnd w:id="260"/>
      <w:bookmarkEnd w:id="261"/>
    </w:p>
    <w:p w14:paraId="5855D186">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本次招标所采用的评标方法根据《政府采购货物和服务招标投标管理办法》（财政部令87号）第五十五条规定的“综合评分法”，即：投标文件满足招标文件全部实质性要求，且按照评审因素的量化指标评审得分最高的投标人为中标候选人的评标方法。评标只对通过资格审查的投标文件进行评审。评标按：符合性审查→投标报价部分评审→技术部分评审→商务部分评审→得分汇总→评标报告编写的程序进行。</w:t>
      </w:r>
    </w:p>
    <w:p w14:paraId="6C270C5B">
      <w:pPr>
        <w:pStyle w:val="215"/>
        <w:spacing w:line="360" w:lineRule="auto"/>
        <w:rPr>
          <w:rFonts w:ascii="宋体" w:hAnsi="宋体" w:eastAsia="宋体"/>
          <w:b/>
          <w:bCs/>
          <w:highlight w:val="none"/>
          <w:lang w:val="zh-CN"/>
        </w:rPr>
      </w:pPr>
      <w:bookmarkStart w:id="262" w:name="_Toc4957"/>
      <w:r>
        <w:rPr>
          <w:rFonts w:hint="eastAsia" w:ascii="宋体" w:hAnsi="宋体" w:eastAsia="宋体"/>
          <w:b/>
          <w:bCs/>
          <w:highlight w:val="none"/>
          <w:lang w:val="zh-CN"/>
        </w:rPr>
        <w:t>3.1符合性审查</w:t>
      </w:r>
      <w:bookmarkEnd w:id="262"/>
    </w:p>
    <w:p w14:paraId="06DE448A">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依据招标文件规定，评标委员会对符合资格审查的投标人的投标文件从有效性、完整性及对招标文件实质性响应等方面进行审查，详见“评标办法前附表”。</w:t>
      </w:r>
    </w:p>
    <w:p w14:paraId="0D3B11CA">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符合性评审中“其他投标无效情形”如下：</w:t>
      </w:r>
    </w:p>
    <w:p w14:paraId="234460C5">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1、未按照招标文件的规定提交投标保证金的。</w:t>
      </w:r>
    </w:p>
    <w:p w14:paraId="222F39E7">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2、投标文件未按招标文件要求签署、盖章（或签章）的。</w:t>
      </w:r>
    </w:p>
    <w:p w14:paraId="10924A89">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3、不具备招标文件中规定的资格要求的。</w:t>
      </w:r>
    </w:p>
    <w:p w14:paraId="695BE0F4">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4、报价超过招标文件中规定的预算金额或者最高限价的。</w:t>
      </w:r>
    </w:p>
    <w:p w14:paraId="1F645DC5">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5、投标文件含有采购人不能接受的附加条件的。</w:t>
      </w:r>
    </w:p>
    <w:p w14:paraId="661F5621">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6、法律、法规和招标文件规定的其他无效情形。</w:t>
      </w:r>
    </w:p>
    <w:p w14:paraId="04EF3D5B">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7、有弄虚作假或有其他违法行为的。</w:t>
      </w:r>
    </w:p>
    <w:p w14:paraId="4E767A01">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8、不按评标委员会要求澄清、说明或补正的。</w:t>
      </w:r>
    </w:p>
    <w:p w14:paraId="24EB006B">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9、按招标文件要求提交投标保证金但有瑕疵的。</w:t>
      </w:r>
    </w:p>
    <w:p w14:paraId="6202088F">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10、未按招标文件规定格式填写，内容不全或者关键内容字迹模糊，无法辨认的。</w:t>
      </w:r>
    </w:p>
    <w:p w14:paraId="51F12C65">
      <w:pPr>
        <w:widowControl w:val="0"/>
        <w:wordWrap w:val="0"/>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11、投标人名称或组织结构与资格审查不一致的。</w:t>
      </w:r>
    </w:p>
    <w:p w14:paraId="2A1FCD84">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12、投标人提交的投标文件格式不符合第二章 投标人须知前附表 “第3.5.1项”规定的。</w:t>
      </w:r>
    </w:p>
    <w:p w14:paraId="54D04DCD">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13、投标人在投标文件上签名的人员与其他投标人在投标文件上的签名人员为同一人的。</w:t>
      </w:r>
    </w:p>
    <w:p w14:paraId="13186CF4">
      <w:pPr>
        <w:widowControl w:val="0"/>
        <w:wordWrap w:val="0"/>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14、符合本章节3.2中“报价过低情形澄清”情况的。</w:t>
      </w:r>
    </w:p>
    <w:p w14:paraId="6B4A08BF">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15、联合体各方再以自己名义单独或参加其他联合体在同一标段中投标的。</w:t>
      </w:r>
    </w:p>
    <w:p w14:paraId="7AED2EDC">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16、投标人存在第二章投标人须知前附表1.4.3“投标人不得存在的其他情形”中所述情况的。</w:t>
      </w:r>
    </w:p>
    <w:p w14:paraId="1A9E0E23">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17、有下列情形之一的，经评标委员会集体表决后认定，视为投标人串通投标，其投标无效，并提请有关监管部门依法予以处罚：</w:t>
      </w:r>
    </w:p>
    <w:p w14:paraId="77C36C9A">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（1）不同投标人的投标文件由同一单位或者个人编制；</w:t>
      </w:r>
    </w:p>
    <w:p w14:paraId="6E046E78">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（2）不同投标人委托同一单位或者个人办理投标事宜；</w:t>
      </w:r>
    </w:p>
    <w:p w14:paraId="77441BB8">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（3）不同投标人的投标文件载明的项目管理成员或者联系人员为同一人；</w:t>
      </w:r>
    </w:p>
    <w:p w14:paraId="7D2C066F">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（4）不同投标人的投标文件异常一致或者投标报价呈规律性差异；</w:t>
      </w:r>
    </w:p>
    <w:p w14:paraId="0E2ECC6A">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（5）不同投标人的投标文件相互混装；</w:t>
      </w:r>
    </w:p>
    <w:p w14:paraId="2034D7D3">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（6）不同投标人的投标保证金从同一单位或者个人的账户转出；</w:t>
      </w:r>
    </w:p>
    <w:p w14:paraId="56D94144">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（7）不同投标人的投标文件由同一台电脑编制的；</w:t>
      </w:r>
    </w:p>
    <w:p w14:paraId="2F0B1CAB">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（8）不同投标人委托同一人投标的；</w:t>
      </w:r>
    </w:p>
    <w:p w14:paraId="15B2039B">
      <w:pPr>
        <w:widowControl w:val="0"/>
        <w:wordWrap w:val="0"/>
        <w:spacing w:line="360" w:lineRule="auto"/>
        <w:ind w:firstLine="420" w:firstLineChars="200"/>
        <w:rPr>
          <w:rFonts w:ascii="宋体" w:hAnsi="宋体" w:cs="宋体"/>
          <w:sz w:val="21"/>
          <w:szCs w:val="21"/>
          <w:highlight w:val="none"/>
        </w:rPr>
      </w:pPr>
      <w:bookmarkStart w:id="263" w:name="_Hlk15230321"/>
      <w:r>
        <w:rPr>
          <w:rFonts w:hint="eastAsia" w:ascii="宋体" w:hAnsi="宋体" w:cs="宋体"/>
          <w:sz w:val="21"/>
          <w:szCs w:val="21"/>
          <w:highlight w:val="none"/>
        </w:rPr>
        <w:t>（9）评标委员会认定的其他串通投标情形。</w:t>
      </w:r>
      <w:bookmarkEnd w:id="263"/>
    </w:p>
    <w:p w14:paraId="23E13691">
      <w:pPr>
        <w:pStyle w:val="215"/>
        <w:spacing w:line="360" w:lineRule="auto"/>
        <w:rPr>
          <w:rFonts w:ascii="宋体" w:hAnsi="宋体" w:eastAsia="宋体"/>
          <w:b/>
          <w:bCs/>
          <w:highlight w:val="none"/>
          <w:lang w:val="zh-CN"/>
        </w:rPr>
      </w:pPr>
      <w:bookmarkStart w:id="264" w:name="_Toc8401"/>
      <w:r>
        <w:rPr>
          <w:rFonts w:hint="eastAsia" w:ascii="宋体" w:hAnsi="宋体" w:eastAsia="宋体"/>
          <w:b/>
          <w:bCs/>
          <w:highlight w:val="none"/>
          <w:lang w:val="zh-CN"/>
        </w:rPr>
        <w:t>3.2投标报价部分评审</w:t>
      </w:r>
      <w:bookmarkEnd w:id="264"/>
    </w:p>
    <w:p w14:paraId="4A74D1D7">
      <w:pPr>
        <w:widowControl w:val="0"/>
        <w:wordWrap w:val="0"/>
        <w:spacing w:line="360" w:lineRule="auto"/>
        <w:ind w:firstLine="420" w:firstLineChars="200"/>
        <w:rPr>
          <w:rFonts w:ascii="宋体" w:hAnsi="宋体" w:cs="宋体"/>
          <w:sz w:val="21"/>
          <w:szCs w:val="21"/>
          <w:highlight w:val="none"/>
        </w:rPr>
      </w:pPr>
      <w:bookmarkStart w:id="265" w:name="_Toc229583209"/>
      <w:bookmarkStart w:id="266" w:name="_Toc260908205"/>
      <w:bookmarkStart w:id="267" w:name="_Toc260907989"/>
      <w:r>
        <w:rPr>
          <w:rFonts w:hint="eastAsia" w:ascii="宋体" w:hAnsi="宋体" w:cs="宋体"/>
          <w:sz w:val="21"/>
          <w:szCs w:val="21"/>
          <w:highlight w:val="none"/>
        </w:rPr>
        <w:t>详见“评标办法前附表”。</w:t>
      </w:r>
    </w:p>
    <w:p w14:paraId="2181DA3D">
      <w:pPr>
        <w:widowControl w:val="0"/>
        <w:wordWrap w:val="0"/>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1.投标文件内容澄清</w:t>
      </w:r>
    </w:p>
    <w:p w14:paraId="5D0DB011">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 </w:t>
      </w:r>
    </w:p>
    <w:p w14:paraId="6CFAFB62">
      <w:pPr>
        <w:keepNext/>
        <w:widowControl w:val="0"/>
        <w:wordWrap w:val="0"/>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2.报价不一致情形澄清</w:t>
      </w:r>
    </w:p>
    <w:p w14:paraId="201B9C61">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 xml:space="preserve">投标文件报价出现前后不一致的，除招标文件另有规定外，按照下列规定修正： </w:t>
      </w:r>
    </w:p>
    <w:p w14:paraId="5655676E">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（1）投标文件中开标一览表（报价表）内容与投标文件中相应内容不一致的，以开标一览表（报价表）为准；</w:t>
      </w:r>
    </w:p>
    <w:p w14:paraId="3819A862">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（2）大写金额和小写金额不一致的，以大写金额为准；</w:t>
      </w:r>
    </w:p>
    <w:p w14:paraId="5B57EE21">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（3）单价金额小数点或者百分比有明显错位的，以开标一览表的总价为准，并修改单价；</w:t>
      </w:r>
    </w:p>
    <w:p w14:paraId="6FE34031">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（4）总价金额与按单价汇总金额不一致的，以单价金额计算结果为准。</w:t>
      </w:r>
    </w:p>
    <w:p w14:paraId="1C404D92">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同时出现两种以上不一致的，按照前款规定的顺序修正。修正后的报价按照招标文件规定并经投标人确认后产生约束力，投标人不确认的，其投标无效。</w:t>
      </w:r>
    </w:p>
    <w:p w14:paraId="30B51543">
      <w:pPr>
        <w:keepNext/>
        <w:widowControl w:val="0"/>
        <w:wordWrap w:val="0"/>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3.报价过低情形澄清</w:t>
      </w:r>
    </w:p>
    <w:p w14:paraId="4611AEF1">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2F049295">
      <w:pPr>
        <w:pStyle w:val="215"/>
        <w:spacing w:line="360" w:lineRule="auto"/>
        <w:rPr>
          <w:rFonts w:ascii="宋体" w:hAnsi="宋体" w:eastAsia="宋体"/>
          <w:b/>
          <w:bCs/>
          <w:highlight w:val="none"/>
          <w:lang w:val="zh-CN"/>
        </w:rPr>
      </w:pPr>
      <w:bookmarkStart w:id="268" w:name="_Toc19982"/>
      <w:r>
        <w:rPr>
          <w:rFonts w:hint="eastAsia" w:ascii="宋体" w:hAnsi="宋体" w:eastAsia="宋体"/>
          <w:b/>
          <w:bCs/>
          <w:highlight w:val="none"/>
          <w:lang w:val="zh-CN"/>
        </w:rPr>
        <w:t>3.3技术及商务部分评审</w:t>
      </w:r>
      <w:bookmarkEnd w:id="268"/>
    </w:p>
    <w:p w14:paraId="5A0C5D9B">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详见“评标办法前附表”。</w:t>
      </w:r>
    </w:p>
    <w:p w14:paraId="1556EBA5">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（1）评标委员会按照客观、公正、审慎的原则，根据招标文件规定的评审程序、评审方法和评审标准进行独立评审；评标委员会评委应首先对各投标人投标文件进行评审，并按招标文件规定分值评分。</w:t>
      </w:r>
    </w:p>
    <w:p w14:paraId="1E5D42F8">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（2）统计分数原则：计算算术平均分值为投标人的技术部分得分（保留小数点后两位）。</w:t>
      </w:r>
    </w:p>
    <w:p w14:paraId="2D0F02D5">
      <w:pPr>
        <w:pStyle w:val="4"/>
        <w:rPr>
          <w:highlight w:val="none"/>
        </w:rPr>
      </w:pPr>
      <w:bookmarkStart w:id="269" w:name="_Toc270090087"/>
      <w:bookmarkStart w:id="270" w:name="_Toc481712048"/>
      <w:bookmarkStart w:id="271" w:name="_Toc260907986"/>
      <w:bookmarkStart w:id="272" w:name="_Toc260908202"/>
      <w:bookmarkStart w:id="273" w:name="_Toc248767826"/>
      <w:bookmarkStart w:id="274" w:name="_Toc259188730"/>
      <w:bookmarkStart w:id="275" w:name="_Toc315"/>
      <w:bookmarkStart w:id="276" w:name="_Toc13407769"/>
      <w:bookmarkStart w:id="277" w:name="_Toc26361"/>
      <w:bookmarkStart w:id="278" w:name="_Toc32135"/>
      <w:r>
        <w:rPr>
          <w:rFonts w:hint="eastAsia"/>
          <w:highlight w:val="none"/>
        </w:rPr>
        <w:t>四、</w:t>
      </w:r>
      <w:bookmarkEnd w:id="269"/>
      <w:bookmarkEnd w:id="270"/>
      <w:bookmarkEnd w:id="271"/>
      <w:bookmarkEnd w:id="272"/>
      <w:bookmarkEnd w:id="273"/>
      <w:bookmarkEnd w:id="274"/>
      <w:r>
        <w:rPr>
          <w:rFonts w:hint="eastAsia"/>
          <w:highlight w:val="none"/>
        </w:rPr>
        <w:t>汇总评标结果</w:t>
      </w:r>
      <w:bookmarkEnd w:id="275"/>
      <w:bookmarkEnd w:id="276"/>
      <w:bookmarkEnd w:id="277"/>
      <w:bookmarkEnd w:id="278"/>
    </w:p>
    <w:p w14:paraId="05206AC9">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1.各项评分因素得分乘以相对应的权重系数后的总和即为投标人最后得分。</w:t>
      </w:r>
    </w:p>
    <w:p w14:paraId="5AA81638">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2.经评标委员会认定评分畸高、畸低的，评标委员会应当当场修改评标结果，并在评标报告中记载。</w:t>
      </w:r>
    </w:p>
    <w:p w14:paraId="1583B08E">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1DBF8C9">
      <w:pPr>
        <w:pStyle w:val="4"/>
        <w:rPr>
          <w:highlight w:val="none"/>
        </w:rPr>
      </w:pPr>
      <w:bookmarkStart w:id="279" w:name="_Toc5632"/>
      <w:bookmarkStart w:id="280" w:name="_Toc30917"/>
      <w:bookmarkStart w:id="281" w:name="_Toc14202"/>
      <w:bookmarkStart w:id="282" w:name="_Toc13407770"/>
      <w:r>
        <w:rPr>
          <w:rFonts w:hint="eastAsia"/>
          <w:highlight w:val="none"/>
        </w:rPr>
        <w:t>五、推荐中标候选人</w:t>
      </w:r>
      <w:bookmarkEnd w:id="279"/>
      <w:bookmarkEnd w:id="280"/>
      <w:bookmarkEnd w:id="281"/>
      <w:bookmarkEnd w:id="282"/>
    </w:p>
    <w:p w14:paraId="0A7D0CF5">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评标委员会按评标办法的公式计算出各投标人的总得分，评标结果按评审后总得分由高到低顺序排列。得分相同的，按投标报价由低到高顺序排列。投标文件满足招标文件全部实质性要求，且按照评审因素的量化指标评审得分最高的投标人为排名第一的中标候选人。</w:t>
      </w:r>
    </w:p>
    <w:p w14:paraId="40028C9F">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在得分和报价均相同时，按下列顺序进行推荐：</w:t>
      </w:r>
    </w:p>
    <w:p w14:paraId="7C2ED365">
      <w:pPr>
        <w:widowControl w:val="0"/>
        <w:numPr>
          <w:ilvl w:val="0"/>
          <w:numId w:val="4"/>
        </w:numPr>
        <w:wordWrap w:val="0"/>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若存在节能环保产品参与投标，根据《中华人民共和国政府采购法》、《中华人民共和国政府采购法实施条例》、《政府采购货物和服务招标投标管理办法》（财政部令87号）的规定，优先采购节能环保产品。</w:t>
      </w:r>
    </w:p>
    <w:p w14:paraId="3985E2B0">
      <w:pPr>
        <w:widowControl w:val="0"/>
        <w:numPr>
          <w:ilvl w:val="0"/>
          <w:numId w:val="0"/>
        </w:numPr>
        <w:wordWrap w:val="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    2.按技术得分由高到低排序，若技术得分相同时按商务得分由高到低排序。</w:t>
      </w:r>
    </w:p>
    <w:p w14:paraId="4EB86983">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cs="宋体"/>
          <w:sz w:val="21"/>
          <w:szCs w:val="21"/>
          <w:highlight w:val="none"/>
        </w:rPr>
        <w:t>.评标委员会根据全体评标成员签字的原始评标记录和评标结果编写评标报告。</w:t>
      </w:r>
    </w:p>
    <w:p w14:paraId="67E7D3EA">
      <w:pPr>
        <w:pStyle w:val="4"/>
        <w:rPr>
          <w:highlight w:val="none"/>
        </w:rPr>
      </w:pPr>
      <w:bookmarkStart w:id="283" w:name="_Toc13407771"/>
      <w:bookmarkStart w:id="284" w:name="_Toc22598"/>
      <w:bookmarkStart w:id="285" w:name="_Toc22269"/>
      <w:bookmarkStart w:id="286" w:name="_Toc18567"/>
      <w:r>
        <w:rPr>
          <w:rFonts w:hint="eastAsia"/>
          <w:highlight w:val="none"/>
        </w:rPr>
        <w:t>六、特殊情况的处置程序</w:t>
      </w:r>
      <w:bookmarkEnd w:id="283"/>
      <w:bookmarkEnd w:id="284"/>
      <w:bookmarkEnd w:id="285"/>
      <w:bookmarkEnd w:id="286"/>
    </w:p>
    <w:p w14:paraId="2B140F5B">
      <w:pPr>
        <w:widowControl w:val="0"/>
        <w:wordWrap w:val="0"/>
        <w:spacing w:line="360" w:lineRule="auto"/>
        <w:ind w:firstLine="420" w:firstLineChars="200"/>
        <w:outlineLvl w:val="2"/>
        <w:rPr>
          <w:rFonts w:ascii="宋体" w:hAnsi="宋体" w:cs="宋体"/>
          <w:sz w:val="21"/>
          <w:szCs w:val="21"/>
          <w:highlight w:val="none"/>
        </w:rPr>
      </w:pPr>
      <w:bookmarkStart w:id="287" w:name="_Toc11085"/>
      <w:r>
        <w:rPr>
          <w:rFonts w:hint="eastAsia" w:ascii="宋体" w:hAnsi="宋体" w:cs="宋体"/>
          <w:sz w:val="21"/>
          <w:szCs w:val="21"/>
          <w:highlight w:val="none"/>
        </w:rPr>
        <w:t>6.1关于评标活动暂停</w:t>
      </w:r>
      <w:bookmarkEnd w:id="287"/>
    </w:p>
    <w:p w14:paraId="669FCC20">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评标委员会应当执行连续评标的原则，按评标办法中规定的程序、内容、方法、标准完成全部评标工作。只有发生不可抗力导致评标工作无法继续时，评标活动方可暂停。</w:t>
      </w:r>
    </w:p>
    <w:p w14:paraId="7AB7CCB1">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发生评标暂停情况时，评标委员会应当封存全部投标文件和评标记录，待不可抗力的影响结束且具备继续评标的条件时，由原评标委员会继续评标。</w:t>
      </w:r>
    </w:p>
    <w:p w14:paraId="15CBE1CF">
      <w:pPr>
        <w:widowControl w:val="0"/>
        <w:wordWrap w:val="0"/>
        <w:spacing w:line="360" w:lineRule="auto"/>
        <w:ind w:firstLine="420" w:firstLineChars="200"/>
        <w:outlineLvl w:val="2"/>
        <w:rPr>
          <w:rFonts w:ascii="宋体" w:hAnsi="宋体" w:cs="宋体"/>
          <w:sz w:val="21"/>
          <w:szCs w:val="21"/>
          <w:highlight w:val="none"/>
        </w:rPr>
      </w:pPr>
      <w:bookmarkStart w:id="288" w:name="_Toc10331"/>
      <w:r>
        <w:rPr>
          <w:rFonts w:hint="eastAsia" w:ascii="宋体" w:hAnsi="宋体" w:cs="宋体"/>
          <w:sz w:val="21"/>
          <w:szCs w:val="21"/>
          <w:highlight w:val="none"/>
        </w:rPr>
        <w:t>6.2关于评标中途更换评委</w:t>
      </w:r>
      <w:bookmarkEnd w:id="288"/>
    </w:p>
    <w:p w14:paraId="4902599D">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除非发生下列情况之一，评标委员会成员不得在评标中途更换：</w:t>
      </w:r>
    </w:p>
    <w:p w14:paraId="40CD2F33">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（1）因不可抗拒的客观原因，不能到场或需在评标中途退出评标活动。</w:t>
      </w:r>
    </w:p>
    <w:p w14:paraId="2B53ED0E">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（2）根据法律法规规定，某个或某几个评标委员会成员需要回避。</w:t>
      </w:r>
    </w:p>
    <w:p w14:paraId="42E6404F">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退出评标的评标委员会成员，其已完成的评标行为无效。由采购人根据本招标文件规定的评标委员会成员生产方式另行确定替代者进行评标。</w:t>
      </w:r>
    </w:p>
    <w:p w14:paraId="622464D1">
      <w:pPr>
        <w:keepNext/>
        <w:widowControl w:val="0"/>
        <w:wordWrap w:val="0"/>
        <w:spacing w:line="360" w:lineRule="auto"/>
        <w:ind w:firstLine="420" w:firstLineChars="200"/>
        <w:outlineLvl w:val="2"/>
        <w:rPr>
          <w:rFonts w:ascii="宋体" w:hAnsi="宋体" w:cs="宋体"/>
          <w:sz w:val="21"/>
          <w:szCs w:val="21"/>
          <w:highlight w:val="none"/>
        </w:rPr>
      </w:pPr>
      <w:bookmarkStart w:id="289" w:name="_Toc17341"/>
      <w:r>
        <w:rPr>
          <w:rFonts w:hint="eastAsia" w:ascii="宋体" w:hAnsi="宋体" w:cs="宋体"/>
          <w:sz w:val="21"/>
          <w:szCs w:val="21"/>
          <w:highlight w:val="none"/>
        </w:rPr>
        <w:t>6.3记名投票</w:t>
      </w:r>
      <w:bookmarkEnd w:id="289"/>
    </w:p>
    <w:p w14:paraId="2508B834">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在任何评标环节中，需评标委员会就某项定性的评审结论做出表决的，由评标委员会全体成员按照少数服从多数的原则，以记名投票方式表决。</w:t>
      </w:r>
    </w:p>
    <w:p w14:paraId="7A1EBAA4">
      <w:pPr>
        <w:widowControl w:val="0"/>
        <w:wordWrap w:val="0"/>
        <w:spacing w:line="360" w:lineRule="auto"/>
        <w:ind w:firstLine="420" w:firstLineChars="200"/>
        <w:outlineLvl w:val="2"/>
        <w:rPr>
          <w:rFonts w:ascii="宋体" w:hAnsi="宋体" w:cs="宋体"/>
          <w:sz w:val="21"/>
          <w:szCs w:val="21"/>
          <w:highlight w:val="none"/>
        </w:rPr>
      </w:pPr>
      <w:bookmarkStart w:id="290" w:name="_Toc29152"/>
      <w:r>
        <w:rPr>
          <w:rFonts w:hint="eastAsia" w:ascii="宋体" w:hAnsi="宋体" w:cs="宋体"/>
          <w:sz w:val="21"/>
          <w:szCs w:val="21"/>
          <w:highlight w:val="none"/>
        </w:rPr>
        <w:t>6.4补充条款</w:t>
      </w:r>
      <w:bookmarkEnd w:id="290"/>
    </w:p>
    <w:p w14:paraId="74B71CED">
      <w:pPr>
        <w:widowControl w:val="0"/>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评标中若遇特殊问题，由评标委员会根据有关法律、法规、规定研究决定。</w:t>
      </w:r>
    </w:p>
    <w:p w14:paraId="099283F1">
      <w:pPr>
        <w:pStyle w:val="2"/>
        <w:spacing w:before="240" w:after="240" w:line="360" w:lineRule="auto"/>
        <w:jc w:val="center"/>
        <w:rPr>
          <w:rFonts w:ascii="宋体" w:hAnsi="宋体" w:cs="宋体"/>
          <w:sz w:val="36"/>
          <w:szCs w:val="36"/>
          <w:highlight w:val="none"/>
          <w:lang w:val="zh-CN"/>
        </w:rPr>
      </w:pPr>
      <w:r>
        <w:rPr>
          <w:rFonts w:hint="eastAsia" w:ascii="宋体" w:hAnsi="宋体" w:cs="宋体"/>
          <w:sz w:val="36"/>
          <w:szCs w:val="36"/>
          <w:highlight w:val="none"/>
          <w:lang w:val="zh-CN"/>
        </w:rPr>
        <w:br w:type="page"/>
      </w:r>
    </w:p>
    <w:p w14:paraId="2ABED12C">
      <w:pPr>
        <w:pStyle w:val="2"/>
        <w:numPr>
          <w:ilvl w:val="0"/>
          <w:numId w:val="5"/>
        </w:numPr>
        <w:spacing w:before="240" w:after="240" w:line="360" w:lineRule="auto"/>
        <w:jc w:val="center"/>
        <w:rPr>
          <w:rFonts w:ascii="宋体" w:hAnsi="宋体" w:cs="宋体"/>
          <w:sz w:val="36"/>
          <w:szCs w:val="36"/>
          <w:highlight w:val="none"/>
          <w:lang w:val="zh-CN"/>
        </w:rPr>
      </w:pPr>
      <w:bookmarkStart w:id="291" w:name="_Toc32464"/>
      <w:bookmarkStart w:id="292" w:name="_Toc82"/>
      <w:r>
        <w:rPr>
          <w:rFonts w:hint="eastAsia" w:ascii="宋体" w:hAnsi="宋体" w:cs="宋体"/>
          <w:sz w:val="36"/>
          <w:szCs w:val="36"/>
          <w:highlight w:val="none"/>
          <w:lang w:val="zh-CN"/>
        </w:rPr>
        <w:t>合同</w:t>
      </w:r>
      <w:bookmarkEnd w:id="265"/>
      <w:r>
        <w:rPr>
          <w:rFonts w:hint="eastAsia" w:ascii="宋体" w:hAnsi="宋体" w:cs="宋体"/>
          <w:sz w:val="36"/>
          <w:szCs w:val="36"/>
          <w:highlight w:val="none"/>
          <w:lang w:val="zh-CN"/>
        </w:rPr>
        <w:t>条款及格式</w:t>
      </w:r>
      <w:bookmarkEnd w:id="266"/>
      <w:bookmarkEnd w:id="267"/>
      <w:bookmarkEnd w:id="291"/>
      <w:bookmarkEnd w:id="292"/>
    </w:p>
    <w:p w14:paraId="461BBB00">
      <w:pPr>
        <w:jc w:val="center"/>
        <w:rPr>
          <w:rFonts w:ascii="宋体" w:hAnsi="宋体" w:cs="宋体"/>
          <w:highlight w:val="none"/>
          <w:lang w:val="zh-CN"/>
        </w:rPr>
      </w:pPr>
      <w:bookmarkStart w:id="293" w:name="_Toc15772"/>
      <w:bookmarkStart w:id="294" w:name="_Toc489145748"/>
      <w:bookmarkStart w:id="295" w:name="_Toc489197852"/>
      <w:bookmarkStart w:id="296" w:name="_Toc488633613"/>
      <w:bookmarkStart w:id="297" w:name="_Toc213141091"/>
      <w:bookmarkStart w:id="298" w:name="_Toc481694842"/>
      <w:bookmarkStart w:id="299" w:name="_Toc11744833"/>
      <w:bookmarkStart w:id="300" w:name="_Toc129004026"/>
      <w:bookmarkStart w:id="301" w:name="_Toc9269345"/>
      <w:r>
        <w:rPr>
          <w:rFonts w:hint="eastAsia" w:ascii="宋体" w:hAnsi="宋体" w:cs="宋体"/>
          <w:sz w:val="30"/>
          <w:szCs w:val="30"/>
          <w:highlight w:val="none"/>
        </w:rPr>
        <w:t>合同条款前附表</w:t>
      </w:r>
      <w:bookmarkEnd w:id="293"/>
      <w:bookmarkEnd w:id="294"/>
      <w:bookmarkEnd w:id="295"/>
      <w:bookmarkEnd w:id="296"/>
      <w:bookmarkEnd w:id="297"/>
      <w:bookmarkEnd w:id="298"/>
      <w:bookmarkEnd w:id="299"/>
      <w:bookmarkEnd w:id="300"/>
      <w:bookmarkEnd w:id="301"/>
    </w:p>
    <w:tbl>
      <w:tblPr>
        <w:tblStyle w:val="50"/>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843"/>
        <w:gridCol w:w="6946"/>
      </w:tblGrid>
      <w:tr w14:paraId="1268C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18F01B0">
            <w:pPr>
              <w:pStyle w:val="26"/>
              <w:spacing w:line="276" w:lineRule="auto"/>
              <w:jc w:val="center"/>
              <w:rPr>
                <w:rFonts w:hAnsi="宋体" w:cs="宋体"/>
                <w:b/>
                <w:bCs/>
                <w:highlight w:val="none"/>
              </w:rPr>
            </w:pPr>
            <w:bookmarkStart w:id="302" w:name="_Toc15242784"/>
            <w:bookmarkStart w:id="303" w:name="_Toc260908253"/>
            <w:bookmarkStart w:id="304" w:name="_Toc229583225"/>
            <w:bookmarkStart w:id="305" w:name="_Toc224363907"/>
            <w:bookmarkStart w:id="306" w:name="_Toc260908037"/>
            <w:r>
              <w:rPr>
                <w:rFonts w:hint="eastAsia" w:hAnsi="宋体" w:cs="宋体"/>
                <w:b/>
                <w:bCs/>
                <w:highlight w:val="none"/>
              </w:rPr>
              <w:t>序号</w:t>
            </w:r>
          </w:p>
        </w:tc>
        <w:tc>
          <w:tcPr>
            <w:tcW w:w="1843" w:type="dxa"/>
            <w:tcBorders>
              <w:top w:val="single" w:color="auto" w:sz="4" w:space="0"/>
              <w:left w:val="single" w:color="auto" w:sz="4" w:space="0"/>
              <w:bottom w:val="single" w:color="auto" w:sz="4" w:space="0"/>
              <w:right w:val="single" w:color="auto" w:sz="4" w:space="0"/>
            </w:tcBorders>
            <w:vAlign w:val="center"/>
          </w:tcPr>
          <w:p w14:paraId="79643A89">
            <w:pPr>
              <w:pStyle w:val="26"/>
              <w:spacing w:line="276" w:lineRule="auto"/>
              <w:jc w:val="center"/>
              <w:rPr>
                <w:rFonts w:hAnsi="宋体" w:cs="宋体"/>
                <w:b/>
                <w:bCs/>
                <w:highlight w:val="none"/>
              </w:rPr>
            </w:pPr>
            <w:r>
              <w:rPr>
                <w:rFonts w:hint="eastAsia" w:hAnsi="宋体" w:cs="宋体"/>
                <w:b/>
                <w:bCs/>
                <w:highlight w:val="none"/>
              </w:rPr>
              <w:t>内      容</w:t>
            </w:r>
          </w:p>
        </w:tc>
        <w:tc>
          <w:tcPr>
            <w:tcW w:w="6946" w:type="dxa"/>
            <w:tcBorders>
              <w:top w:val="single" w:color="auto" w:sz="4" w:space="0"/>
              <w:left w:val="single" w:color="auto" w:sz="4" w:space="0"/>
              <w:bottom w:val="single" w:color="auto" w:sz="4" w:space="0"/>
              <w:right w:val="single" w:color="auto" w:sz="4" w:space="0"/>
            </w:tcBorders>
            <w:vAlign w:val="center"/>
          </w:tcPr>
          <w:p w14:paraId="47B740E7">
            <w:pPr>
              <w:pStyle w:val="26"/>
              <w:spacing w:line="276" w:lineRule="auto"/>
              <w:jc w:val="center"/>
              <w:rPr>
                <w:rFonts w:hAnsi="宋体" w:cs="宋体"/>
                <w:b/>
                <w:bCs/>
                <w:highlight w:val="none"/>
              </w:rPr>
            </w:pPr>
            <w:r>
              <w:rPr>
                <w:rFonts w:hint="eastAsia" w:hAnsi="宋体" w:cs="宋体"/>
                <w:b/>
                <w:bCs/>
                <w:highlight w:val="none"/>
              </w:rPr>
              <w:t>要   求</w:t>
            </w:r>
          </w:p>
        </w:tc>
      </w:tr>
      <w:tr w14:paraId="424AB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CE40100">
            <w:pPr>
              <w:pStyle w:val="26"/>
              <w:spacing w:line="276" w:lineRule="auto"/>
              <w:jc w:val="center"/>
              <w:rPr>
                <w:rFonts w:hAnsi="宋体" w:cs="宋体"/>
                <w:highlight w:val="none"/>
              </w:rPr>
            </w:pPr>
            <w:r>
              <w:rPr>
                <w:rFonts w:hint="eastAsia" w:hAnsi="宋体" w:cs="宋体"/>
                <w:highlight w:val="none"/>
              </w:rPr>
              <w:t>1</w:t>
            </w:r>
          </w:p>
        </w:tc>
        <w:tc>
          <w:tcPr>
            <w:tcW w:w="1843" w:type="dxa"/>
            <w:tcBorders>
              <w:top w:val="single" w:color="auto" w:sz="4" w:space="0"/>
              <w:left w:val="single" w:color="auto" w:sz="4" w:space="0"/>
              <w:bottom w:val="single" w:color="auto" w:sz="4" w:space="0"/>
              <w:right w:val="single" w:color="auto" w:sz="4" w:space="0"/>
            </w:tcBorders>
            <w:vAlign w:val="center"/>
          </w:tcPr>
          <w:p w14:paraId="3896F1AD">
            <w:pPr>
              <w:pStyle w:val="26"/>
              <w:spacing w:line="276" w:lineRule="auto"/>
              <w:jc w:val="center"/>
              <w:rPr>
                <w:rFonts w:hAnsi="宋体" w:cs="宋体"/>
                <w:highlight w:val="none"/>
              </w:rPr>
            </w:pPr>
            <w:r>
              <w:rPr>
                <w:rFonts w:hint="eastAsia" w:hAnsi="宋体" w:cs="宋体"/>
                <w:highlight w:val="none"/>
              </w:rPr>
              <w:t>合同履行期限</w:t>
            </w:r>
          </w:p>
        </w:tc>
        <w:tc>
          <w:tcPr>
            <w:tcW w:w="6946" w:type="dxa"/>
            <w:tcBorders>
              <w:top w:val="single" w:color="auto" w:sz="4" w:space="0"/>
              <w:left w:val="single" w:color="auto" w:sz="4" w:space="0"/>
              <w:bottom w:val="single" w:color="auto" w:sz="4" w:space="0"/>
              <w:right w:val="single" w:color="auto" w:sz="4" w:space="0"/>
            </w:tcBorders>
            <w:vAlign w:val="center"/>
          </w:tcPr>
          <w:p w14:paraId="4815BFFC">
            <w:pPr>
              <w:widowControl w:val="0"/>
              <w:spacing w:line="372" w:lineRule="auto"/>
              <w:rPr>
                <w:rFonts w:ascii="宋体" w:hAnsi="宋体" w:cs="宋体"/>
                <w:sz w:val="21"/>
                <w:szCs w:val="21"/>
                <w:highlight w:val="none"/>
              </w:rPr>
            </w:pPr>
            <w:r>
              <w:rPr>
                <w:rFonts w:hint="eastAsia" w:ascii="宋体" w:hAnsi="宋体" w:cs="宋体"/>
                <w:sz w:val="21"/>
                <w:szCs w:val="21"/>
                <w:highlight w:val="none"/>
              </w:rPr>
              <w:t>合同签订后 12 个月</w:t>
            </w:r>
          </w:p>
        </w:tc>
      </w:tr>
      <w:tr w14:paraId="58D2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6B652DE9">
            <w:pPr>
              <w:pStyle w:val="26"/>
              <w:spacing w:line="276" w:lineRule="auto"/>
              <w:jc w:val="center"/>
              <w:rPr>
                <w:rFonts w:hAnsi="宋体" w:cs="宋体"/>
                <w:highlight w:val="none"/>
              </w:rPr>
            </w:pPr>
            <w:r>
              <w:rPr>
                <w:rFonts w:hint="eastAsia" w:hAnsi="宋体" w:cs="宋体"/>
                <w:highlight w:val="none"/>
              </w:rPr>
              <w:t>2</w:t>
            </w:r>
          </w:p>
        </w:tc>
        <w:tc>
          <w:tcPr>
            <w:tcW w:w="1843" w:type="dxa"/>
            <w:tcBorders>
              <w:top w:val="single" w:color="auto" w:sz="4" w:space="0"/>
              <w:left w:val="single" w:color="auto" w:sz="4" w:space="0"/>
              <w:bottom w:val="single" w:color="auto" w:sz="4" w:space="0"/>
              <w:right w:val="single" w:color="auto" w:sz="4" w:space="0"/>
            </w:tcBorders>
            <w:vAlign w:val="center"/>
          </w:tcPr>
          <w:p w14:paraId="3CD5F1EC">
            <w:pPr>
              <w:pStyle w:val="26"/>
              <w:spacing w:line="276" w:lineRule="auto"/>
              <w:jc w:val="center"/>
              <w:rPr>
                <w:rFonts w:hAnsi="宋体" w:cs="宋体"/>
                <w:highlight w:val="none"/>
              </w:rPr>
            </w:pPr>
            <w:r>
              <w:rPr>
                <w:rFonts w:hint="eastAsia" w:hAnsi="宋体" w:cs="宋体"/>
                <w:highlight w:val="none"/>
              </w:rPr>
              <w:t>服务地点</w:t>
            </w:r>
          </w:p>
        </w:tc>
        <w:tc>
          <w:tcPr>
            <w:tcW w:w="6946" w:type="dxa"/>
            <w:tcBorders>
              <w:top w:val="single" w:color="auto" w:sz="4" w:space="0"/>
              <w:left w:val="single" w:color="auto" w:sz="4" w:space="0"/>
              <w:bottom w:val="single" w:color="auto" w:sz="4" w:space="0"/>
              <w:right w:val="single" w:color="auto" w:sz="4" w:space="0"/>
            </w:tcBorders>
            <w:vAlign w:val="center"/>
          </w:tcPr>
          <w:p w14:paraId="4EC442B9">
            <w:pPr>
              <w:widowControl w:val="0"/>
              <w:spacing w:line="372" w:lineRule="auto"/>
              <w:rPr>
                <w:rFonts w:ascii="宋体" w:hAnsi="宋体" w:cs="宋体"/>
                <w:sz w:val="21"/>
                <w:szCs w:val="21"/>
                <w:highlight w:val="none"/>
              </w:rPr>
            </w:pPr>
            <w:r>
              <w:rPr>
                <w:rFonts w:hint="eastAsia" w:ascii="宋体" w:hAnsi="宋体" w:cs="宋体"/>
                <w:sz w:val="21"/>
                <w:szCs w:val="21"/>
                <w:highlight w:val="none"/>
              </w:rPr>
              <w:t>昆明市滇池路485号</w:t>
            </w:r>
          </w:p>
        </w:tc>
      </w:tr>
      <w:tr w14:paraId="1735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6BCD9C51">
            <w:pPr>
              <w:pStyle w:val="26"/>
              <w:spacing w:line="276" w:lineRule="auto"/>
              <w:jc w:val="center"/>
              <w:rPr>
                <w:rFonts w:hAnsi="宋体" w:cs="宋体"/>
                <w:highlight w:val="none"/>
              </w:rPr>
            </w:pPr>
            <w:r>
              <w:rPr>
                <w:rFonts w:hint="eastAsia" w:hAnsi="宋体" w:cs="宋体"/>
                <w:highlight w:val="none"/>
              </w:rPr>
              <w:t>3</w:t>
            </w:r>
          </w:p>
        </w:tc>
        <w:tc>
          <w:tcPr>
            <w:tcW w:w="1843" w:type="dxa"/>
            <w:tcBorders>
              <w:top w:val="single" w:color="auto" w:sz="4" w:space="0"/>
              <w:left w:val="single" w:color="auto" w:sz="4" w:space="0"/>
              <w:bottom w:val="single" w:color="auto" w:sz="4" w:space="0"/>
              <w:right w:val="single" w:color="auto" w:sz="4" w:space="0"/>
            </w:tcBorders>
            <w:vAlign w:val="center"/>
          </w:tcPr>
          <w:p w14:paraId="1BE04F17">
            <w:pPr>
              <w:pStyle w:val="26"/>
              <w:spacing w:line="276" w:lineRule="auto"/>
              <w:jc w:val="center"/>
              <w:rPr>
                <w:rFonts w:hAnsi="宋体" w:cs="宋体"/>
                <w:highlight w:val="none"/>
              </w:rPr>
            </w:pPr>
            <w:r>
              <w:rPr>
                <w:rFonts w:hint="eastAsia" w:hAnsi="宋体" w:cs="宋体"/>
                <w:highlight w:val="none"/>
              </w:rPr>
              <w:t>服务要求</w:t>
            </w:r>
          </w:p>
        </w:tc>
        <w:tc>
          <w:tcPr>
            <w:tcW w:w="6946" w:type="dxa"/>
            <w:tcBorders>
              <w:top w:val="single" w:color="auto" w:sz="4" w:space="0"/>
              <w:left w:val="single" w:color="auto" w:sz="4" w:space="0"/>
              <w:bottom w:val="single" w:color="auto" w:sz="4" w:space="0"/>
              <w:right w:val="single" w:color="auto" w:sz="4" w:space="0"/>
            </w:tcBorders>
            <w:vAlign w:val="center"/>
          </w:tcPr>
          <w:p w14:paraId="3C724728">
            <w:pPr>
              <w:widowControl w:val="0"/>
              <w:spacing w:line="372" w:lineRule="auto"/>
              <w:rPr>
                <w:rFonts w:ascii="宋体" w:hAnsi="宋体" w:cs="宋体"/>
                <w:sz w:val="21"/>
                <w:szCs w:val="21"/>
                <w:highlight w:val="none"/>
              </w:rPr>
            </w:pPr>
            <w:r>
              <w:rPr>
                <w:rFonts w:hint="eastAsia" w:ascii="宋体" w:hAnsi="宋体" w:cs="宋体"/>
                <w:sz w:val="21"/>
                <w:szCs w:val="21"/>
                <w:highlight w:val="none"/>
              </w:rPr>
              <w:t>按照《人民法院信息化五年规划（2021-2025）》要求（指标体系、服务规范、组织架构、运维平台、评估机制），对昆明中院信息化软硬件进行驻场运维服务，保障信息化业务正常运转，满足采购人要求；</w:t>
            </w:r>
          </w:p>
        </w:tc>
      </w:tr>
      <w:tr w14:paraId="150B0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9B104A5">
            <w:pPr>
              <w:pStyle w:val="26"/>
              <w:spacing w:line="276" w:lineRule="auto"/>
              <w:jc w:val="center"/>
              <w:rPr>
                <w:rFonts w:hAnsi="宋体" w:cs="宋体"/>
                <w:highlight w:val="none"/>
              </w:rPr>
            </w:pPr>
            <w:r>
              <w:rPr>
                <w:rFonts w:hint="eastAsia" w:hAnsi="宋体" w:cs="宋体"/>
                <w:highlight w:val="none"/>
              </w:rPr>
              <w:t>4</w:t>
            </w:r>
          </w:p>
        </w:tc>
        <w:tc>
          <w:tcPr>
            <w:tcW w:w="1843" w:type="dxa"/>
            <w:tcBorders>
              <w:top w:val="single" w:color="auto" w:sz="4" w:space="0"/>
              <w:left w:val="single" w:color="auto" w:sz="4" w:space="0"/>
              <w:bottom w:val="single" w:color="auto" w:sz="4" w:space="0"/>
              <w:right w:val="single" w:color="auto" w:sz="4" w:space="0"/>
            </w:tcBorders>
            <w:vAlign w:val="center"/>
          </w:tcPr>
          <w:p w14:paraId="2D84A142">
            <w:pPr>
              <w:pStyle w:val="26"/>
              <w:spacing w:line="276" w:lineRule="auto"/>
              <w:jc w:val="center"/>
              <w:rPr>
                <w:rFonts w:hAnsi="宋体" w:cs="宋体"/>
                <w:highlight w:val="none"/>
              </w:rPr>
            </w:pPr>
            <w:r>
              <w:rPr>
                <w:rFonts w:hint="eastAsia" w:hAnsi="宋体" w:cs="宋体"/>
                <w:highlight w:val="none"/>
              </w:rPr>
              <w:t>履约保证金金额</w:t>
            </w:r>
          </w:p>
        </w:tc>
        <w:tc>
          <w:tcPr>
            <w:tcW w:w="6946" w:type="dxa"/>
            <w:tcBorders>
              <w:top w:val="single" w:color="auto" w:sz="4" w:space="0"/>
              <w:left w:val="single" w:color="auto" w:sz="4" w:space="0"/>
              <w:bottom w:val="single" w:color="auto" w:sz="4" w:space="0"/>
              <w:right w:val="single" w:color="auto" w:sz="4" w:space="0"/>
            </w:tcBorders>
            <w:vAlign w:val="center"/>
          </w:tcPr>
          <w:p w14:paraId="44BEB83F">
            <w:pPr>
              <w:widowControl w:val="0"/>
              <w:spacing w:line="372" w:lineRule="auto"/>
              <w:rPr>
                <w:rFonts w:ascii="宋体" w:hAnsi="宋体" w:cs="宋体"/>
                <w:sz w:val="21"/>
                <w:szCs w:val="21"/>
                <w:highlight w:val="none"/>
              </w:rPr>
            </w:pPr>
            <w:r>
              <w:rPr>
                <w:rFonts w:hint="eastAsia" w:ascii="宋体" w:hAnsi="宋体" w:cs="宋体"/>
                <w:sz w:val="21"/>
                <w:szCs w:val="21"/>
                <w:highlight w:val="none"/>
              </w:rPr>
              <w:t>履约保证金形式：支票、汇票、本票或者金融机构、担保机构出具的保函等非现金形式提交；</w:t>
            </w:r>
          </w:p>
          <w:p w14:paraId="0D58CB76">
            <w:pPr>
              <w:widowControl w:val="0"/>
              <w:spacing w:line="372" w:lineRule="auto"/>
              <w:rPr>
                <w:rFonts w:ascii="宋体" w:hAnsi="宋体" w:cs="宋体"/>
                <w:sz w:val="21"/>
                <w:szCs w:val="21"/>
                <w:highlight w:val="none"/>
              </w:rPr>
            </w:pPr>
            <w:r>
              <w:rPr>
                <w:rFonts w:hint="eastAsia" w:ascii="宋体" w:hAnsi="宋体" w:cs="宋体"/>
                <w:sz w:val="21"/>
                <w:szCs w:val="21"/>
                <w:highlight w:val="none"/>
              </w:rPr>
              <w:t>履约担保的金额：合同金额的5%；</w:t>
            </w:r>
          </w:p>
          <w:p w14:paraId="7141D107">
            <w:pPr>
              <w:widowControl w:val="0"/>
              <w:spacing w:line="372" w:lineRule="auto"/>
              <w:rPr>
                <w:rFonts w:ascii="宋体" w:hAnsi="宋体" w:cs="宋体"/>
                <w:sz w:val="21"/>
                <w:szCs w:val="21"/>
                <w:highlight w:val="none"/>
              </w:rPr>
            </w:pPr>
            <w:r>
              <w:rPr>
                <w:rFonts w:hint="eastAsia" w:ascii="宋体" w:hAnsi="宋体" w:cs="宋体"/>
                <w:sz w:val="21"/>
                <w:szCs w:val="21"/>
                <w:highlight w:val="none"/>
              </w:rPr>
              <w:t>履约保证金的提交：中标人在合同签订后7个工作日内提交；合同履行终验完毕1个月无异议后, 招标人自收到中标人付款申请材料20个工作日内一次性无息返还中标人全部履约保证金。</w:t>
            </w:r>
          </w:p>
          <w:p w14:paraId="0D0A0B80">
            <w:pPr>
              <w:widowControl w:val="0"/>
              <w:spacing w:line="372" w:lineRule="auto"/>
              <w:rPr>
                <w:rFonts w:ascii="宋体" w:hAnsi="宋体" w:cs="宋体"/>
                <w:sz w:val="21"/>
                <w:szCs w:val="21"/>
                <w:highlight w:val="none"/>
              </w:rPr>
            </w:pPr>
            <w:r>
              <w:rPr>
                <w:rFonts w:hint="eastAsia" w:ascii="宋体" w:hAnsi="宋体" w:cs="宋体"/>
                <w:sz w:val="21"/>
                <w:szCs w:val="21"/>
                <w:highlight w:val="none"/>
              </w:rPr>
              <w:t>退还时间：合同履行完成30天后，若中标人无违约责任，招标人将全款退还。</w:t>
            </w:r>
          </w:p>
        </w:tc>
      </w:tr>
    </w:tbl>
    <w:p w14:paraId="5089AF78">
      <w:pPr>
        <w:rPr>
          <w:rFonts w:ascii="宋体" w:hAnsi="宋体" w:cs="宋体"/>
          <w:highlight w:val="none"/>
        </w:rPr>
      </w:pPr>
      <w:r>
        <w:rPr>
          <w:rFonts w:hint="eastAsia" w:ascii="宋体" w:hAnsi="宋体" w:cs="宋体"/>
          <w:highlight w:val="none"/>
        </w:rPr>
        <w:br w:type="page"/>
      </w:r>
    </w:p>
    <w:p w14:paraId="2941F3DB">
      <w:pPr>
        <w:pStyle w:val="4"/>
        <w:rPr>
          <w:highlight w:val="none"/>
        </w:rPr>
      </w:pPr>
    </w:p>
    <w:tbl>
      <w:tblPr>
        <w:tblStyle w:val="50"/>
        <w:tblW w:w="9750" w:type="dxa"/>
        <w:jc w:val="center"/>
        <w:tblLayout w:type="fixed"/>
        <w:tblCellMar>
          <w:top w:w="0" w:type="dxa"/>
          <w:left w:w="0" w:type="dxa"/>
          <w:bottom w:w="0" w:type="dxa"/>
          <w:right w:w="0" w:type="dxa"/>
        </w:tblCellMar>
      </w:tblPr>
      <w:tblGrid>
        <w:gridCol w:w="9750"/>
      </w:tblGrid>
      <w:tr w14:paraId="459898EE">
        <w:tblPrEx>
          <w:tblCellMar>
            <w:top w:w="0" w:type="dxa"/>
            <w:left w:w="0" w:type="dxa"/>
            <w:bottom w:w="0" w:type="dxa"/>
            <w:right w:w="0" w:type="dxa"/>
          </w:tblCellMar>
        </w:tblPrEx>
        <w:trPr>
          <w:jc w:val="center"/>
        </w:trPr>
        <w:tc>
          <w:tcPr>
            <w:tcW w:w="9750" w:type="dxa"/>
            <w:vAlign w:val="center"/>
          </w:tcPr>
          <w:p w14:paraId="6BF58D57">
            <w:pPr>
              <w:pStyle w:val="26"/>
              <w:autoSpaceDE w:val="0"/>
              <w:autoSpaceDN w:val="0"/>
              <w:adjustRightInd w:val="0"/>
              <w:spacing w:line="360" w:lineRule="auto"/>
              <w:ind w:firstLine="630" w:firstLineChars="300"/>
              <w:jc w:val="left"/>
              <w:rPr>
                <w:rFonts w:hAnsi="宋体" w:cs="宋体"/>
                <w:highlight w:val="none"/>
              </w:rPr>
            </w:pPr>
            <w:r>
              <w:rPr>
                <w:rFonts w:hint="eastAsia" w:hAnsi="宋体" w:cs="宋体"/>
                <w:highlight w:val="none"/>
              </w:rPr>
              <w:t>合同编号：                         合同自编号：</w:t>
            </w:r>
            <w:r>
              <w:rPr>
                <w:rFonts w:hint="eastAsia" w:hAnsi="宋体" w:cs="宋体"/>
                <w:highlight w:val="none"/>
              </w:rPr>
              <w:tab/>
            </w:r>
            <w:r>
              <w:rPr>
                <w:rFonts w:hint="eastAsia" w:hAnsi="宋体" w:cs="宋体"/>
                <w:highlight w:val="none"/>
              </w:rPr>
              <w:t xml:space="preserve">                 </w:t>
            </w:r>
          </w:p>
        </w:tc>
      </w:tr>
    </w:tbl>
    <w:p w14:paraId="4A3A164E">
      <w:pPr>
        <w:spacing w:after="240"/>
        <w:jc w:val="center"/>
        <w:rPr>
          <w:rFonts w:ascii="宋体" w:hAnsi="宋体" w:cs="宋体"/>
          <w:highlight w:val="none"/>
        </w:rPr>
      </w:pPr>
    </w:p>
    <w:p w14:paraId="4AE25429">
      <w:pPr>
        <w:spacing w:after="240"/>
        <w:rPr>
          <w:rFonts w:ascii="宋体" w:hAnsi="宋体" w:cs="宋体"/>
          <w:highlight w:val="none"/>
        </w:rPr>
      </w:pPr>
      <w:r>
        <w:rPr>
          <w:rFonts w:hint="eastAsia" w:ascii="宋体" w:hAnsi="宋体" w:cs="宋体"/>
          <w:highlight w:val="none"/>
        </w:rPr>
        <w:t>●本合同须加盖甲乙双方骑缝章有效</w:t>
      </w:r>
    </w:p>
    <w:p w14:paraId="3883ADB4">
      <w:pPr>
        <w:spacing w:after="240"/>
        <w:rPr>
          <w:rFonts w:ascii="宋体" w:hAnsi="宋体" w:cs="宋体"/>
          <w:sz w:val="18"/>
          <w:szCs w:val="18"/>
          <w:highlight w:val="none"/>
        </w:rPr>
      </w:pPr>
    </w:p>
    <w:p w14:paraId="1BD122DA">
      <w:pPr>
        <w:spacing w:after="240"/>
        <w:jc w:val="center"/>
        <w:rPr>
          <w:rFonts w:ascii="宋体" w:hAnsi="宋体" w:cs="宋体"/>
          <w:sz w:val="18"/>
          <w:szCs w:val="18"/>
          <w:highlight w:val="none"/>
        </w:rPr>
      </w:pPr>
    </w:p>
    <w:p w14:paraId="08BE5C02">
      <w:pPr>
        <w:pStyle w:val="4"/>
        <w:rPr>
          <w:highlight w:val="none"/>
        </w:rPr>
      </w:pPr>
    </w:p>
    <w:p w14:paraId="33694416">
      <w:pPr>
        <w:pStyle w:val="4"/>
        <w:rPr>
          <w:highlight w:val="none"/>
        </w:rPr>
      </w:pPr>
    </w:p>
    <w:p w14:paraId="7EF3ECF8">
      <w:pPr>
        <w:spacing w:after="240"/>
        <w:jc w:val="center"/>
        <w:rPr>
          <w:rFonts w:ascii="宋体" w:hAnsi="宋体" w:cs="宋体"/>
          <w:sz w:val="18"/>
          <w:szCs w:val="18"/>
          <w:highlight w:val="none"/>
        </w:rPr>
      </w:pPr>
      <w:r>
        <w:rPr>
          <w:rFonts w:hint="eastAsia" w:ascii="宋体" w:hAnsi="宋体" w:cs="宋体"/>
          <w:sz w:val="63"/>
          <w:szCs w:val="63"/>
          <w:highlight w:val="none"/>
        </w:rPr>
        <w:t>合</w:t>
      </w:r>
      <w:r>
        <w:rPr>
          <w:rFonts w:hint="eastAsia" w:ascii="宋体" w:hAnsi="宋体" w:cs="宋体"/>
          <w:sz w:val="18"/>
          <w:szCs w:val="18"/>
          <w:highlight w:val="none"/>
        </w:rPr>
        <w:t xml:space="preserve"> </w:t>
      </w:r>
    </w:p>
    <w:p w14:paraId="2F7C2842">
      <w:pPr>
        <w:spacing w:after="240"/>
        <w:jc w:val="center"/>
        <w:rPr>
          <w:rFonts w:ascii="宋体" w:hAnsi="宋体" w:cs="宋体"/>
          <w:sz w:val="18"/>
          <w:szCs w:val="18"/>
          <w:highlight w:val="none"/>
        </w:rPr>
      </w:pPr>
      <w:r>
        <w:rPr>
          <w:rFonts w:hint="eastAsia" w:ascii="宋体" w:hAnsi="宋体" w:cs="宋体"/>
          <w:sz w:val="63"/>
          <w:szCs w:val="63"/>
          <w:highlight w:val="none"/>
        </w:rPr>
        <w:t>同</w:t>
      </w:r>
    </w:p>
    <w:p w14:paraId="7EC1E98E">
      <w:pPr>
        <w:spacing w:after="240"/>
        <w:jc w:val="center"/>
        <w:rPr>
          <w:rFonts w:ascii="宋体" w:hAnsi="宋体" w:cs="宋体"/>
          <w:sz w:val="18"/>
          <w:szCs w:val="18"/>
          <w:highlight w:val="none"/>
        </w:rPr>
      </w:pPr>
      <w:r>
        <w:rPr>
          <w:rFonts w:hint="eastAsia" w:ascii="宋体" w:hAnsi="宋体" w:cs="宋体"/>
          <w:sz w:val="63"/>
          <w:szCs w:val="63"/>
          <w:highlight w:val="none"/>
        </w:rPr>
        <w:t>书</w:t>
      </w:r>
      <w:r>
        <w:rPr>
          <w:rFonts w:hint="eastAsia" w:ascii="宋体" w:hAnsi="宋体" w:cs="宋体"/>
          <w:sz w:val="18"/>
          <w:szCs w:val="18"/>
          <w:highlight w:val="none"/>
        </w:rPr>
        <w:t xml:space="preserve"> </w:t>
      </w:r>
    </w:p>
    <w:p w14:paraId="086ADE26">
      <w:pPr>
        <w:pStyle w:val="4"/>
        <w:rPr>
          <w:highlight w:val="none"/>
        </w:rPr>
      </w:pPr>
    </w:p>
    <w:p w14:paraId="0CB9837C">
      <w:pPr>
        <w:spacing w:after="240"/>
        <w:jc w:val="center"/>
        <w:rPr>
          <w:rFonts w:ascii="宋体" w:hAnsi="宋体" w:cs="宋体"/>
          <w:sz w:val="18"/>
          <w:szCs w:val="18"/>
          <w:highlight w:val="none"/>
        </w:rPr>
      </w:pPr>
    </w:p>
    <w:p w14:paraId="699D8A4D">
      <w:pPr>
        <w:pStyle w:val="14"/>
        <w:ind w:firstLine="400"/>
        <w:rPr>
          <w:rFonts w:ascii="宋体" w:hAnsi="宋体" w:cs="宋体"/>
          <w:highlight w:val="none"/>
        </w:rPr>
      </w:pPr>
    </w:p>
    <w:p w14:paraId="5E35024C">
      <w:pPr>
        <w:pStyle w:val="14"/>
        <w:ind w:firstLine="400"/>
        <w:rPr>
          <w:rFonts w:ascii="宋体" w:hAnsi="宋体" w:cs="宋体"/>
          <w:highlight w:val="none"/>
        </w:rPr>
      </w:pPr>
    </w:p>
    <w:p w14:paraId="3C07C566">
      <w:pPr>
        <w:pStyle w:val="14"/>
        <w:ind w:firstLine="400"/>
        <w:rPr>
          <w:rFonts w:ascii="宋体" w:hAnsi="宋体" w:cs="宋体"/>
          <w:highlight w:val="none"/>
        </w:rPr>
      </w:pPr>
    </w:p>
    <w:p w14:paraId="23B4ED10">
      <w:pPr>
        <w:pStyle w:val="14"/>
        <w:ind w:firstLine="400"/>
        <w:rPr>
          <w:rFonts w:ascii="宋体" w:hAnsi="宋体" w:cs="宋体"/>
          <w:highlight w:val="none"/>
        </w:rPr>
      </w:pPr>
    </w:p>
    <w:p w14:paraId="137FFD2E">
      <w:pPr>
        <w:spacing w:after="240"/>
        <w:jc w:val="center"/>
        <w:rPr>
          <w:rFonts w:ascii="宋体" w:hAnsi="宋体" w:cs="宋体"/>
          <w:sz w:val="16"/>
          <w:szCs w:val="18"/>
          <w:highlight w:val="none"/>
        </w:rPr>
      </w:pPr>
      <w:r>
        <w:rPr>
          <w:rFonts w:hint="eastAsia" w:ascii="宋体" w:hAnsi="宋体" w:cs="宋体"/>
          <w:b/>
          <w:bCs/>
          <w:sz w:val="24"/>
          <w:szCs w:val="27"/>
          <w:highlight w:val="none"/>
        </w:rPr>
        <w:t>签订地点：云南省昆明市</w:t>
      </w:r>
      <w:r>
        <w:rPr>
          <w:rFonts w:hint="eastAsia" w:ascii="宋体" w:hAnsi="宋体" w:cs="宋体"/>
          <w:sz w:val="16"/>
          <w:szCs w:val="18"/>
          <w:highlight w:val="none"/>
        </w:rPr>
        <w:t xml:space="preserve"> </w:t>
      </w:r>
    </w:p>
    <w:p w14:paraId="17FD1905">
      <w:pPr>
        <w:pStyle w:val="4"/>
        <w:rPr>
          <w:highlight w:val="none"/>
        </w:rPr>
      </w:pPr>
    </w:p>
    <w:p w14:paraId="7B897961">
      <w:pPr>
        <w:spacing w:after="240"/>
        <w:jc w:val="center"/>
        <w:rPr>
          <w:rFonts w:ascii="宋体" w:hAnsi="宋体" w:cs="宋体"/>
          <w:b/>
          <w:bCs/>
          <w:sz w:val="27"/>
          <w:szCs w:val="27"/>
          <w:highlight w:val="none"/>
        </w:rPr>
      </w:pPr>
      <w:r>
        <w:rPr>
          <w:rFonts w:hint="eastAsia" w:ascii="宋体" w:hAnsi="宋体" w:cs="宋体"/>
          <w:b/>
          <w:bCs/>
          <w:sz w:val="24"/>
          <w:szCs w:val="27"/>
          <w:highlight w:val="none"/>
        </w:rPr>
        <w:t>签订日期： 年 月 日</w:t>
      </w:r>
      <w:r>
        <w:rPr>
          <w:rFonts w:hint="eastAsia" w:ascii="宋体" w:hAnsi="宋体" w:cs="宋体"/>
          <w:b/>
          <w:bCs/>
          <w:sz w:val="27"/>
          <w:szCs w:val="27"/>
          <w:highlight w:val="none"/>
        </w:rPr>
        <w:t xml:space="preserve"> </w:t>
      </w:r>
    </w:p>
    <w:p w14:paraId="22674EB2">
      <w:pPr>
        <w:pStyle w:val="4"/>
        <w:rPr>
          <w:highlight w:val="none"/>
        </w:rPr>
      </w:pPr>
    </w:p>
    <w:p w14:paraId="20589C4E">
      <w:pPr>
        <w:pStyle w:val="14"/>
        <w:ind w:firstLine="360"/>
        <w:rPr>
          <w:rFonts w:ascii="宋体" w:hAnsi="宋体" w:cs="宋体"/>
          <w:sz w:val="18"/>
          <w:szCs w:val="18"/>
          <w:highlight w:val="none"/>
        </w:rPr>
      </w:pPr>
    </w:p>
    <w:p w14:paraId="75EBF911">
      <w:pPr>
        <w:rPr>
          <w:rFonts w:ascii="宋体" w:hAnsi="宋体" w:cs="宋体"/>
          <w:highlight w:val="none"/>
        </w:rPr>
      </w:pPr>
      <w:r>
        <w:rPr>
          <w:rFonts w:hint="eastAsia" w:ascii="宋体" w:hAnsi="宋体" w:cs="宋体"/>
          <w:highlight w:val="none"/>
        </w:rPr>
        <w:br w:type="page"/>
      </w:r>
    </w:p>
    <w:p w14:paraId="6CA9463F">
      <w:pPr>
        <w:pStyle w:val="14"/>
        <w:ind w:firstLine="400"/>
        <w:rPr>
          <w:rFonts w:ascii="宋体" w:hAnsi="宋体" w:cs="宋体"/>
          <w:highlight w:val="none"/>
        </w:rPr>
      </w:pPr>
    </w:p>
    <w:p w14:paraId="46D81592">
      <w:pPr>
        <w:spacing w:line="360" w:lineRule="auto"/>
        <w:rPr>
          <w:rFonts w:ascii="宋体" w:hAnsi="宋体" w:cs="宋体"/>
          <w:sz w:val="24"/>
          <w:highlight w:val="none"/>
        </w:rPr>
      </w:pPr>
      <w:r>
        <w:rPr>
          <w:rFonts w:hint="eastAsia" w:ascii="宋体" w:hAnsi="宋体" w:cs="宋体"/>
          <w:sz w:val="24"/>
          <w:highlight w:val="none"/>
        </w:rPr>
        <w:t>甲方（采购人公章）名 称：</w:t>
      </w:r>
    </w:p>
    <w:p w14:paraId="408F9663">
      <w:pPr>
        <w:spacing w:line="360" w:lineRule="auto"/>
        <w:rPr>
          <w:rFonts w:ascii="宋体" w:hAnsi="宋体" w:cs="宋体"/>
          <w:sz w:val="24"/>
          <w:highlight w:val="none"/>
        </w:rPr>
      </w:pPr>
      <w:r>
        <w:rPr>
          <w:rFonts w:hint="eastAsia" w:ascii="宋体" w:hAnsi="宋体" w:cs="宋体"/>
          <w:sz w:val="24"/>
          <w:highlight w:val="none"/>
        </w:rPr>
        <w:t>地  址：</w:t>
      </w:r>
    </w:p>
    <w:p w14:paraId="5A7A7502">
      <w:pPr>
        <w:spacing w:line="360" w:lineRule="auto"/>
        <w:rPr>
          <w:rFonts w:ascii="宋体" w:hAnsi="宋体" w:cs="宋体"/>
          <w:sz w:val="24"/>
          <w:highlight w:val="none"/>
        </w:rPr>
      </w:pPr>
      <w:r>
        <w:rPr>
          <w:rFonts w:hint="eastAsia" w:ascii="宋体" w:hAnsi="宋体" w:cs="宋体"/>
          <w:sz w:val="24"/>
          <w:highlight w:val="none"/>
        </w:rPr>
        <w:t>邮  编：</w:t>
      </w:r>
    </w:p>
    <w:p w14:paraId="5B4E7D25">
      <w:pPr>
        <w:spacing w:line="360" w:lineRule="auto"/>
        <w:rPr>
          <w:rFonts w:ascii="宋体" w:hAnsi="宋体" w:cs="宋体"/>
          <w:sz w:val="24"/>
          <w:highlight w:val="none"/>
        </w:rPr>
      </w:pPr>
      <w:r>
        <w:rPr>
          <w:rFonts w:hint="eastAsia" w:ascii="宋体" w:hAnsi="宋体" w:cs="宋体"/>
          <w:sz w:val="24"/>
          <w:highlight w:val="none"/>
        </w:rPr>
        <w:t>法定代表人或委托代理人：</w:t>
      </w:r>
    </w:p>
    <w:p w14:paraId="7FB9AF2D">
      <w:pPr>
        <w:spacing w:line="360" w:lineRule="auto"/>
        <w:rPr>
          <w:rFonts w:ascii="宋体" w:hAnsi="宋体" w:cs="宋体"/>
          <w:sz w:val="24"/>
          <w:highlight w:val="none"/>
        </w:rPr>
      </w:pPr>
      <w:r>
        <w:rPr>
          <w:rFonts w:hint="eastAsia" w:ascii="宋体" w:hAnsi="宋体" w:cs="宋体"/>
          <w:sz w:val="24"/>
          <w:highlight w:val="none"/>
        </w:rPr>
        <w:t>项目（技术）负责人：</w:t>
      </w:r>
    </w:p>
    <w:p w14:paraId="2479465E">
      <w:pPr>
        <w:spacing w:line="360" w:lineRule="auto"/>
        <w:rPr>
          <w:rFonts w:ascii="宋体" w:hAnsi="宋体" w:cs="宋体"/>
          <w:sz w:val="24"/>
          <w:highlight w:val="none"/>
        </w:rPr>
      </w:pPr>
      <w:r>
        <w:rPr>
          <w:rFonts w:hint="eastAsia" w:ascii="宋体" w:hAnsi="宋体" w:cs="宋体"/>
          <w:sz w:val="24"/>
          <w:highlight w:val="none"/>
        </w:rPr>
        <w:t>电  话：</w:t>
      </w:r>
    </w:p>
    <w:p w14:paraId="4923E6FF">
      <w:pPr>
        <w:spacing w:line="360" w:lineRule="auto"/>
        <w:rPr>
          <w:rFonts w:ascii="宋体" w:hAnsi="宋体" w:cs="宋体"/>
          <w:sz w:val="24"/>
          <w:highlight w:val="none"/>
        </w:rPr>
      </w:pPr>
      <w:r>
        <w:rPr>
          <w:rFonts w:hint="eastAsia" w:ascii="宋体" w:hAnsi="宋体" w:cs="宋体"/>
          <w:sz w:val="24"/>
          <w:highlight w:val="none"/>
        </w:rPr>
        <w:t>开 户 银行：</w:t>
      </w:r>
    </w:p>
    <w:p w14:paraId="6111A09B">
      <w:pPr>
        <w:spacing w:line="400" w:lineRule="exact"/>
        <w:rPr>
          <w:rFonts w:ascii="宋体" w:hAnsi="宋体" w:cs="宋体"/>
          <w:sz w:val="24"/>
          <w:highlight w:val="none"/>
        </w:rPr>
      </w:pPr>
      <w:r>
        <w:rPr>
          <w:rFonts w:hint="eastAsia" w:ascii="宋体" w:hAnsi="宋体" w:cs="宋体"/>
          <w:sz w:val="24"/>
          <w:highlight w:val="none"/>
        </w:rPr>
        <w:t>账  号：</w:t>
      </w:r>
    </w:p>
    <w:p w14:paraId="6B2F499A">
      <w:pPr>
        <w:spacing w:line="360" w:lineRule="auto"/>
        <w:ind w:left="2100" w:leftChars="1050"/>
        <w:rPr>
          <w:rFonts w:ascii="宋体" w:hAnsi="宋体" w:cs="宋体"/>
          <w:sz w:val="24"/>
          <w:highlight w:val="none"/>
        </w:rPr>
      </w:pPr>
    </w:p>
    <w:p w14:paraId="7A86A817">
      <w:pPr>
        <w:spacing w:line="360" w:lineRule="auto"/>
        <w:rPr>
          <w:rFonts w:ascii="宋体" w:hAnsi="宋体" w:cs="宋体"/>
          <w:sz w:val="24"/>
          <w:highlight w:val="none"/>
        </w:rPr>
      </w:pPr>
      <w:r>
        <w:rPr>
          <w:rFonts w:hint="eastAsia" w:ascii="宋体" w:hAnsi="宋体" w:cs="宋体"/>
          <w:sz w:val="24"/>
          <w:highlight w:val="none"/>
        </w:rPr>
        <w:t xml:space="preserve">乙方（投标人公章）名 称： </w:t>
      </w:r>
    </w:p>
    <w:p w14:paraId="6DD411EA">
      <w:pPr>
        <w:spacing w:line="360" w:lineRule="auto"/>
        <w:rPr>
          <w:rFonts w:ascii="宋体" w:hAnsi="宋体" w:cs="宋体"/>
          <w:sz w:val="24"/>
          <w:highlight w:val="none"/>
        </w:rPr>
      </w:pPr>
      <w:r>
        <w:rPr>
          <w:rFonts w:hint="eastAsia" w:ascii="宋体" w:hAnsi="宋体" w:cs="宋体"/>
          <w:sz w:val="24"/>
          <w:highlight w:val="none"/>
        </w:rPr>
        <w:t xml:space="preserve">地  址： </w:t>
      </w:r>
    </w:p>
    <w:p w14:paraId="301B2058">
      <w:pPr>
        <w:spacing w:line="360" w:lineRule="auto"/>
        <w:rPr>
          <w:rFonts w:ascii="宋体" w:hAnsi="宋体" w:cs="宋体"/>
          <w:sz w:val="24"/>
          <w:highlight w:val="none"/>
        </w:rPr>
      </w:pPr>
      <w:r>
        <w:rPr>
          <w:rFonts w:hint="eastAsia" w:ascii="宋体" w:hAnsi="宋体" w:cs="宋体"/>
          <w:sz w:val="24"/>
          <w:highlight w:val="none"/>
        </w:rPr>
        <w:t>邮  编：</w:t>
      </w:r>
    </w:p>
    <w:p w14:paraId="2D606F91">
      <w:pPr>
        <w:spacing w:line="360" w:lineRule="auto"/>
        <w:rPr>
          <w:rFonts w:ascii="宋体" w:hAnsi="宋体" w:cs="宋体"/>
          <w:sz w:val="24"/>
          <w:highlight w:val="none"/>
        </w:rPr>
      </w:pPr>
      <w:r>
        <w:rPr>
          <w:rFonts w:hint="eastAsia" w:ascii="宋体" w:hAnsi="宋体" w:cs="宋体"/>
          <w:sz w:val="24"/>
          <w:highlight w:val="none"/>
        </w:rPr>
        <w:t xml:space="preserve">法定代表人： </w:t>
      </w:r>
    </w:p>
    <w:p w14:paraId="26FDF442">
      <w:pPr>
        <w:spacing w:line="360" w:lineRule="auto"/>
        <w:rPr>
          <w:rFonts w:ascii="宋体" w:hAnsi="宋体" w:cs="宋体"/>
          <w:sz w:val="24"/>
          <w:highlight w:val="none"/>
        </w:rPr>
      </w:pPr>
      <w:r>
        <w:rPr>
          <w:rFonts w:hint="eastAsia" w:ascii="宋体" w:hAnsi="宋体" w:cs="宋体"/>
          <w:sz w:val="24"/>
          <w:highlight w:val="none"/>
        </w:rPr>
        <w:t xml:space="preserve">委托代理人： </w:t>
      </w:r>
    </w:p>
    <w:p w14:paraId="724FF99E">
      <w:pPr>
        <w:spacing w:line="360" w:lineRule="auto"/>
        <w:rPr>
          <w:rFonts w:ascii="宋体" w:hAnsi="宋体" w:cs="宋体"/>
          <w:sz w:val="24"/>
          <w:highlight w:val="none"/>
        </w:rPr>
      </w:pPr>
      <w:r>
        <w:rPr>
          <w:rFonts w:hint="eastAsia" w:ascii="宋体" w:hAnsi="宋体" w:cs="宋体"/>
          <w:sz w:val="24"/>
          <w:highlight w:val="none"/>
        </w:rPr>
        <w:t>电 话：</w:t>
      </w:r>
    </w:p>
    <w:p w14:paraId="54D08CEA">
      <w:pPr>
        <w:spacing w:line="360" w:lineRule="auto"/>
        <w:rPr>
          <w:rFonts w:ascii="宋体" w:hAnsi="宋体" w:cs="宋体"/>
          <w:sz w:val="24"/>
          <w:highlight w:val="none"/>
        </w:rPr>
      </w:pPr>
      <w:r>
        <w:rPr>
          <w:rFonts w:hint="eastAsia" w:ascii="宋体" w:hAnsi="宋体" w:cs="宋体"/>
          <w:sz w:val="24"/>
          <w:highlight w:val="none"/>
        </w:rPr>
        <w:t xml:space="preserve">开 户 银行： </w:t>
      </w:r>
    </w:p>
    <w:p w14:paraId="5B987380">
      <w:pPr>
        <w:spacing w:line="360" w:lineRule="auto"/>
        <w:rPr>
          <w:rFonts w:ascii="宋体" w:hAnsi="宋体" w:cs="宋体"/>
          <w:sz w:val="24"/>
          <w:highlight w:val="none"/>
        </w:rPr>
      </w:pPr>
      <w:r>
        <w:rPr>
          <w:rFonts w:hint="eastAsia" w:ascii="宋体" w:hAnsi="宋体" w:cs="宋体"/>
          <w:sz w:val="24"/>
          <w:highlight w:val="none"/>
        </w:rPr>
        <w:t>账 号：</w:t>
      </w:r>
    </w:p>
    <w:p w14:paraId="205D9106">
      <w:pPr>
        <w:pStyle w:val="14"/>
        <w:ind w:firstLine="400"/>
        <w:rPr>
          <w:rFonts w:ascii="宋体" w:hAnsi="宋体" w:cs="宋体"/>
          <w:highlight w:val="none"/>
        </w:rPr>
      </w:pPr>
    </w:p>
    <w:p w14:paraId="0512D455">
      <w:pPr>
        <w:spacing w:line="360" w:lineRule="auto"/>
        <w:rPr>
          <w:rFonts w:ascii="宋体" w:hAnsi="宋体" w:cs="宋体"/>
          <w:sz w:val="24"/>
          <w:highlight w:val="none"/>
        </w:rPr>
      </w:pPr>
      <w:r>
        <w:rPr>
          <w:rFonts w:hint="eastAsia" w:ascii="宋体" w:hAnsi="宋体" w:cs="宋体"/>
          <w:sz w:val="24"/>
          <w:highlight w:val="none"/>
        </w:rPr>
        <w:t xml:space="preserve">丙方（鉴证方公章）名 称： </w:t>
      </w:r>
    </w:p>
    <w:p w14:paraId="67E8BB66">
      <w:pPr>
        <w:spacing w:line="360" w:lineRule="auto"/>
        <w:rPr>
          <w:rFonts w:ascii="宋体" w:hAnsi="宋体" w:cs="宋体"/>
          <w:sz w:val="24"/>
          <w:highlight w:val="none"/>
        </w:rPr>
      </w:pPr>
      <w:r>
        <w:rPr>
          <w:rFonts w:hint="eastAsia" w:ascii="宋体" w:hAnsi="宋体" w:cs="宋体"/>
          <w:sz w:val="24"/>
          <w:highlight w:val="none"/>
        </w:rPr>
        <w:t xml:space="preserve">地 址： </w:t>
      </w:r>
    </w:p>
    <w:p w14:paraId="7CAA0BAC">
      <w:pPr>
        <w:spacing w:line="360" w:lineRule="auto"/>
        <w:rPr>
          <w:rFonts w:ascii="宋体" w:hAnsi="宋体" w:cs="宋体"/>
          <w:sz w:val="24"/>
          <w:highlight w:val="none"/>
        </w:rPr>
      </w:pPr>
      <w:r>
        <w:rPr>
          <w:rFonts w:hint="eastAsia" w:ascii="宋体" w:hAnsi="宋体" w:cs="宋体"/>
          <w:sz w:val="24"/>
          <w:highlight w:val="none"/>
        </w:rPr>
        <w:t xml:space="preserve">邮 编： </w:t>
      </w:r>
    </w:p>
    <w:p w14:paraId="74BE4285">
      <w:pPr>
        <w:spacing w:line="360" w:lineRule="auto"/>
        <w:rPr>
          <w:rFonts w:ascii="宋体" w:hAnsi="宋体" w:cs="宋体"/>
          <w:sz w:val="24"/>
          <w:highlight w:val="none"/>
        </w:rPr>
      </w:pPr>
      <w:r>
        <w:rPr>
          <w:rFonts w:hint="eastAsia" w:ascii="宋体" w:hAnsi="宋体" w:cs="宋体"/>
          <w:sz w:val="24"/>
          <w:highlight w:val="none"/>
        </w:rPr>
        <w:t xml:space="preserve">法定代表人或委托代理人： </w:t>
      </w:r>
    </w:p>
    <w:p w14:paraId="56AE1526">
      <w:pPr>
        <w:spacing w:line="360" w:lineRule="auto"/>
        <w:rPr>
          <w:rFonts w:ascii="宋体" w:hAnsi="宋体" w:cs="宋体"/>
          <w:sz w:val="24"/>
          <w:highlight w:val="none"/>
        </w:rPr>
      </w:pPr>
      <w:r>
        <w:rPr>
          <w:rFonts w:hint="eastAsia" w:ascii="宋体" w:hAnsi="宋体" w:cs="宋体"/>
          <w:sz w:val="24"/>
          <w:highlight w:val="none"/>
        </w:rPr>
        <w:t xml:space="preserve">经办人： </w:t>
      </w:r>
    </w:p>
    <w:p w14:paraId="2C5F0067">
      <w:pPr>
        <w:spacing w:line="360" w:lineRule="auto"/>
        <w:rPr>
          <w:rFonts w:ascii="宋体" w:hAnsi="宋体" w:cs="宋体"/>
          <w:sz w:val="24"/>
          <w:highlight w:val="none"/>
        </w:rPr>
      </w:pPr>
      <w:r>
        <w:rPr>
          <w:rFonts w:hint="eastAsia" w:ascii="宋体" w:hAnsi="宋体" w:cs="宋体"/>
          <w:sz w:val="24"/>
          <w:highlight w:val="none"/>
        </w:rPr>
        <w:t xml:space="preserve">电 话： </w:t>
      </w:r>
    </w:p>
    <w:p w14:paraId="4E07AE27">
      <w:pPr>
        <w:pStyle w:val="14"/>
        <w:ind w:firstLine="400"/>
        <w:rPr>
          <w:rFonts w:ascii="宋体" w:hAnsi="宋体" w:cs="宋体"/>
          <w:highlight w:val="none"/>
        </w:rPr>
      </w:pPr>
    </w:p>
    <w:p w14:paraId="2A3CA064">
      <w:pPr>
        <w:pStyle w:val="14"/>
        <w:ind w:firstLine="400"/>
        <w:rPr>
          <w:rFonts w:ascii="宋体" w:hAnsi="宋体" w:cs="宋体"/>
          <w:highlight w:val="none"/>
        </w:rPr>
      </w:pPr>
    </w:p>
    <w:p w14:paraId="2CCA02E0">
      <w:pPr>
        <w:pStyle w:val="14"/>
        <w:ind w:firstLine="400"/>
        <w:rPr>
          <w:rFonts w:ascii="宋体" w:hAnsi="宋体" w:cs="宋体"/>
          <w:highlight w:val="none"/>
        </w:rPr>
      </w:pPr>
    </w:p>
    <w:p w14:paraId="49D260D6">
      <w:pPr>
        <w:pStyle w:val="14"/>
        <w:ind w:firstLine="400"/>
        <w:rPr>
          <w:rFonts w:ascii="宋体" w:hAnsi="宋体" w:cs="宋体"/>
          <w:highlight w:val="none"/>
        </w:rPr>
      </w:pPr>
    </w:p>
    <w:p w14:paraId="6E513B9C">
      <w:pPr>
        <w:pStyle w:val="14"/>
        <w:ind w:firstLine="400"/>
        <w:rPr>
          <w:rFonts w:ascii="宋体" w:hAnsi="宋体" w:cs="宋体"/>
          <w:highlight w:val="none"/>
        </w:rPr>
      </w:pPr>
    </w:p>
    <w:p w14:paraId="353B1EC5">
      <w:pPr>
        <w:pStyle w:val="14"/>
        <w:ind w:firstLine="400"/>
        <w:rPr>
          <w:rFonts w:ascii="宋体" w:hAnsi="宋体" w:cs="宋体"/>
          <w:highlight w:val="none"/>
        </w:rPr>
      </w:pPr>
    </w:p>
    <w:p w14:paraId="79E8BD28">
      <w:pPr>
        <w:pStyle w:val="14"/>
        <w:ind w:firstLine="400"/>
        <w:rPr>
          <w:rFonts w:ascii="宋体" w:hAnsi="宋体" w:cs="宋体"/>
          <w:highlight w:val="none"/>
        </w:rPr>
      </w:pPr>
    </w:p>
    <w:p w14:paraId="22811E6A">
      <w:pPr>
        <w:spacing w:line="360" w:lineRule="auto"/>
        <w:ind w:left="-142" w:leftChars="-71" w:right="-142" w:rightChars="-71"/>
        <w:jc w:val="center"/>
        <w:rPr>
          <w:rFonts w:ascii="宋体" w:hAnsi="宋体" w:cs="宋体"/>
          <w:b/>
          <w:sz w:val="21"/>
          <w:szCs w:val="21"/>
          <w:highlight w:val="none"/>
        </w:rPr>
      </w:pPr>
      <w:r>
        <w:rPr>
          <w:rFonts w:hint="eastAsia" w:ascii="宋体" w:hAnsi="宋体" w:cs="宋体"/>
          <w:b/>
          <w:sz w:val="21"/>
          <w:szCs w:val="21"/>
          <w:highlight w:val="none"/>
        </w:rPr>
        <w:t>（本章合同条款及格式仅作为参考，招标人保留最终修订合同的权利，最终本合同以实际签订为准）</w:t>
      </w:r>
    </w:p>
    <w:p w14:paraId="5849B9CC">
      <w:pPr>
        <w:rPr>
          <w:rFonts w:ascii="宋体" w:hAnsi="宋体" w:cs="宋体"/>
          <w:b/>
          <w:sz w:val="21"/>
          <w:szCs w:val="21"/>
          <w:highlight w:val="none"/>
        </w:rPr>
      </w:pPr>
      <w:r>
        <w:rPr>
          <w:rFonts w:hint="eastAsia" w:ascii="宋体" w:hAnsi="宋体" w:cs="宋体"/>
          <w:b/>
          <w:sz w:val="21"/>
          <w:szCs w:val="21"/>
          <w:highlight w:val="none"/>
        </w:rPr>
        <w:br w:type="page"/>
      </w:r>
    </w:p>
    <w:p w14:paraId="2B6141B7">
      <w:pPr>
        <w:pStyle w:val="14"/>
        <w:ind w:firstLine="400"/>
        <w:rPr>
          <w:rFonts w:ascii="宋体" w:hAnsi="宋体" w:cs="宋体"/>
          <w:highlight w:val="none"/>
        </w:rPr>
      </w:pPr>
    </w:p>
    <w:p w14:paraId="3C047484">
      <w:pPr>
        <w:pStyle w:val="14"/>
        <w:ind w:firstLine="400"/>
        <w:rPr>
          <w:rFonts w:ascii="宋体" w:hAnsi="宋体" w:cs="宋体"/>
          <w:highlight w:val="none"/>
        </w:rPr>
      </w:pPr>
    </w:p>
    <w:p w14:paraId="3AB1BB56">
      <w:pPr>
        <w:spacing w:line="360" w:lineRule="auto"/>
        <w:ind w:firstLine="422"/>
        <w:rPr>
          <w:rFonts w:ascii="宋体" w:hAnsi="宋体" w:cs="宋体"/>
          <w:b/>
          <w:sz w:val="21"/>
          <w:szCs w:val="21"/>
          <w:highlight w:val="none"/>
        </w:rPr>
      </w:pPr>
      <w:r>
        <w:rPr>
          <w:rFonts w:hint="eastAsia" w:ascii="宋体" w:hAnsi="宋体" w:cs="宋体"/>
          <w:b/>
          <w:sz w:val="21"/>
          <w:szCs w:val="21"/>
          <w:highlight w:val="none"/>
        </w:rPr>
        <w:t>甲方：</w:t>
      </w:r>
    </w:p>
    <w:p w14:paraId="53CB2E94">
      <w:pPr>
        <w:spacing w:line="360" w:lineRule="auto"/>
        <w:ind w:firstLine="422"/>
        <w:rPr>
          <w:rFonts w:ascii="宋体" w:hAnsi="宋体" w:cs="宋体"/>
          <w:b/>
          <w:sz w:val="21"/>
          <w:szCs w:val="21"/>
          <w:highlight w:val="none"/>
          <w:u w:val="single"/>
        </w:rPr>
      </w:pPr>
      <w:r>
        <w:rPr>
          <w:rFonts w:hint="eastAsia" w:ascii="宋体" w:hAnsi="宋体" w:cs="宋体"/>
          <w:b/>
          <w:sz w:val="21"/>
          <w:szCs w:val="21"/>
          <w:highlight w:val="none"/>
        </w:rPr>
        <w:t>乙方：</w:t>
      </w:r>
    </w:p>
    <w:p w14:paraId="4CD68BC1">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根据</w:t>
      </w:r>
      <w:r>
        <w:rPr>
          <w:rFonts w:hint="eastAsia" w:ascii="宋体" w:hAnsi="宋体" w:cs="宋体"/>
          <w:sz w:val="21"/>
          <w:szCs w:val="21"/>
          <w:highlight w:val="none"/>
          <w:u w:val="single"/>
        </w:rPr>
        <w:t>云南省昆明市中级人民法院</w:t>
      </w:r>
      <w:r>
        <w:rPr>
          <w:rFonts w:hint="eastAsia" w:ascii="宋体" w:hAnsi="宋体" w:cs="宋体"/>
          <w:sz w:val="21"/>
          <w:szCs w:val="21"/>
          <w:highlight w:val="none"/>
          <w:u w:val="single"/>
          <w:lang w:eastAsia="zh-CN"/>
        </w:rPr>
        <w:t>采购2025年信息系统运维服务</w:t>
      </w:r>
      <w:r>
        <w:rPr>
          <w:rFonts w:hint="eastAsia" w:ascii="宋体" w:hAnsi="宋体" w:cs="宋体"/>
          <w:sz w:val="21"/>
          <w:szCs w:val="21"/>
          <w:highlight w:val="none"/>
          <w:u w:val="single"/>
        </w:rPr>
        <w:t>（</w:t>
      </w:r>
      <w:r>
        <w:rPr>
          <w:rFonts w:hint="eastAsia" w:ascii="宋体" w:hAnsi="宋体" w:cs="宋体"/>
          <w:sz w:val="21"/>
          <w:szCs w:val="21"/>
          <w:highlight w:val="none"/>
        </w:rPr>
        <w:t>项目编号：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公开招标的结果，按照《中华人民共和国政府采购法》、《中华人民共和国民法典》、《云南省政府采购条例》等法律法规和相关文件的规定，甲、乙双方在自愿、平等、协商一致的基础上，签订以下合同条款。</w:t>
      </w:r>
    </w:p>
    <w:p w14:paraId="786EC3CB">
      <w:pPr>
        <w:spacing w:line="360" w:lineRule="auto"/>
        <w:ind w:firstLine="422" w:firstLineChars="200"/>
        <w:outlineLvl w:val="1"/>
        <w:rPr>
          <w:rFonts w:ascii="宋体" w:hAnsi="宋体" w:cs="宋体"/>
          <w:sz w:val="21"/>
          <w:szCs w:val="21"/>
          <w:highlight w:val="none"/>
        </w:rPr>
      </w:pPr>
      <w:bookmarkStart w:id="307" w:name="_Toc2410"/>
      <w:r>
        <w:rPr>
          <w:rFonts w:hint="eastAsia" w:ascii="宋体" w:hAnsi="宋体" w:cs="宋体"/>
          <w:b/>
          <w:sz w:val="21"/>
          <w:szCs w:val="21"/>
          <w:highlight w:val="none"/>
        </w:rPr>
        <w:t>一、项目内容：</w:t>
      </w:r>
      <w:bookmarkEnd w:id="307"/>
      <w:r>
        <w:rPr>
          <w:rFonts w:hint="eastAsia" w:ascii="宋体" w:hAnsi="宋体" w:cs="宋体"/>
          <w:b/>
          <w:bCs/>
          <w:color w:val="000000"/>
          <w:sz w:val="21"/>
          <w:szCs w:val="21"/>
          <w:highlight w:val="none"/>
          <w:lang w:bidi="ar"/>
        </w:rPr>
        <w:t xml:space="preserve"> </w:t>
      </w:r>
    </w:p>
    <w:p w14:paraId="330072FA">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1.服务内容：</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p>
    <w:p w14:paraId="340B90D4">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2.服务地点：</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p>
    <w:p w14:paraId="0B3AD37B">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3.服务期限：</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p>
    <w:p w14:paraId="30F4924B">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4.服务要求：</w:t>
      </w:r>
      <w:r>
        <w:rPr>
          <w:rFonts w:hint="eastAsia" w:ascii="宋体" w:hAnsi="宋体" w:cs="宋体"/>
          <w:sz w:val="21"/>
          <w:szCs w:val="21"/>
          <w:highlight w:val="none"/>
          <w:u w:val="single"/>
        </w:rPr>
        <w:t xml:space="preserve">                    </w:t>
      </w:r>
      <w:r>
        <w:rPr>
          <w:rFonts w:hint="eastAsia" w:ascii="宋体" w:hAnsi="宋体" w:cs="宋体"/>
          <w:sz w:val="21"/>
          <w:szCs w:val="21"/>
          <w:highlight w:val="none"/>
        </w:rPr>
        <w:t>。</w:t>
      </w:r>
    </w:p>
    <w:p w14:paraId="37D0D837">
      <w:pPr>
        <w:spacing w:line="360" w:lineRule="auto"/>
        <w:ind w:firstLine="422"/>
        <w:outlineLvl w:val="1"/>
        <w:rPr>
          <w:rFonts w:ascii="宋体" w:hAnsi="宋体" w:cs="宋体"/>
          <w:b/>
          <w:sz w:val="21"/>
          <w:szCs w:val="21"/>
          <w:highlight w:val="none"/>
        </w:rPr>
      </w:pPr>
      <w:bookmarkStart w:id="308" w:name="_Toc12043"/>
      <w:r>
        <w:rPr>
          <w:rFonts w:hint="eastAsia" w:ascii="宋体" w:hAnsi="宋体" w:cs="宋体"/>
          <w:b/>
          <w:sz w:val="21"/>
          <w:szCs w:val="21"/>
          <w:highlight w:val="none"/>
        </w:rPr>
        <w:t>二、合同总价</w:t>
      </w:r>
      <w:bookmarkEnd w:id="308"/>
    </w:p>
    <w:p w14:paraId="261EB7FC">
      <w:pPr>
        <w:autoSpaceDE w:val="0"/>
        <w:autoSpaceDN w:val="0"/>
        <w:adjustRightInd w:val="0"/>
        <w:spacing w:line="360" w:lineRule="auto"/>
        <w:ind w:firstLine="420" w:firstLineChars="200"/>
        <w:rPr>
          <w:rFonts w:ascii="宋体" w:hAnsi="宋体" w:cs="宋体"/>
          <w:bCs/>
          <w:sz w:val="21"/>
          <w:szCs w:val="21"/>
          <w:highlight w:val="none"/>
        </w:rPr>
      </w:pPr>
      <w:r>
        <w:rPr>
          <w:rFonts w:hint="eastAsia" w:ascii="宋体" w:hAnsi="宋体" w:cs="宋体"/>
          <w:bCs/>
          <w:sz w:val="21"/>
          <w:szCs w:val="21"/>
          <w:highlight w:val="none"/>
        </w:rPr>
        <w:t xml:space="preserve">合同总价：人民币大写：_________________,小写：____________元。 </w:t>
      </w:r>
    </w:p>
    <w:p w14:paraId="089243E6">
      <w:pPr>
        <w:autoSpaceDE w:val="0"/>
        <w:autoSpaceDN w:val="0"/>
        <w:adjustRightInd w:val="0"/>
        <w:spacing w:line="360" w:lineRule="auto"/>
        <w:rPr>
          <w:rFonts w:ascii="宋体" w:hAnsi="宋体" w:cs="宋体"/>
          <w:bCs/>
          <w:sz w:val="21"/>
          <w:szCs w:val="21"/>
          <w:highlight w:val="none"/>
        </w:rPr>
      </w:pPr>
      <w:r>
        <w:rPr>
          <w:rFonts w:hint="eastAsia" w:ascii="宋体" w:hAnsi="宋体" w:cs="宋体"/>
          <w:bCs/>
          <w:sz w:val="21"/>
          <w:szCs w:val="21"/>
          <w:highlight w:val="none"/>
        </w:rPr>
        <w:t>以上价格乙方为采购人信息系统场运维服务，包括但不限于：工资、社保费、福利费、保险费、服装费、装备费、管理费、培训费、税费、中标服务费以及所有乙方为达到甲方要求的上岗条件所支出的所有费用的总和</w:t>
      </w:r>
    </w:p>
    <w:p w14:paraId="4E9CB62C">
      <w:pPr>
        <w:spacing w:line="360" w:lineRule="auto"/>
        <w:ind w:firstLine="422"/>
        <w:outlineLvl w:val="1"/>
        <w:rPr>
          <w:rFonts w:ascii="宋体" w:hAnsi="宋体" w:cs="宋体"/>
          <w:b/>
          <w:sz w:val="21"/>
          <w:szCs w:val="21"/>
          <w:highlight w:val="none"/>
        </w:rPr>
      </w:pPr>
      <w:bookmarkStart w:id="309" w:name="_Toc8392"/>
      <w:r>
        <w:rPr>
          <w:rFonts w:hint="eastAsia" w:ascii="宋体" w:hAnsi="宋体" w:cs="宋体"/>
          <w:b/>
          <w:sz w:val="21"/>
          <w:szCs w:val="21"/>
          <w:highlight w:val="none"/>
        </w:rPr>
        <w:t>三、甲乙双方的权利和义务</w:t>
      </w:r>
      <w:bookmarkEnd w:id="309"/>
    </w:p>
    <w:p w14:paraId="7982F743">
      <w:pPr>
        <w:autoSpaceDE w:val="0"/>
        <w:autoSpaceDN w:val="0"/>
        <w:adjustRightInd w:val="0"/>
        <w:spacing w:line="360" w:lineRule="auto"/>
        <w:ind w:firstLine="420" w:firstLineChars="200"/>
        <w:rPr>
          <w:rFonts w:ascii="宋体" w:hAnsi="宋体" w:cs="宋体"/>
          <w:bCs/>
          <w:sz w:val="21"/>
          <w:szCs w:val="21"/>
          <w:highlight w:val="none"/>
        </w:rPr>
      </w:pPr>
      <w:r>
        <w:rPr>
          <w:rFonts w:hint="eastAsia" w:ascii="宋体" w:hAnsi="宋体" w:cs="宋体"/>
          <w:bCs/>
          <w:sz w:val="21"/>
          <w:szCs w:val="21"/>
          <w:highlight w:val="none"/>
        </w:rPr>
        <w:t xml:space="preserve">1.负责合同签订后项目实施的组织管理等工作（如与乙方的具体联系和衔接，项目实施过程中配备人员进行监管控制等）。 </w:t>
      </w:r>
    </w:p>
    <w:p w14:paraId="794DA374">
      <w:pPr>
        <w:autoSpaceDE w:val="0"/>
        <w:autoSpaceDN w:val="0"/>
        <w:adjustRightInd w:val="0"/>
        <w:spacing w:line="360" w:lineRule="auto"/>
        <w:rPr>
          <w:rFonts w:ascii="宋体" w:hAnsi="宋体" w:cs="宋体"/>
          <w:bCs/>
          <w:sz w:val="21"/>
          <w:szCs w:val="21"/>
          <w:highlight w:val="none"/>
          <w:u w:val="single"/>
        </w:rPr>
      </w:pPr>
      <w:r>
        <w:rPr>
          <w:rFonts w:hint="eastAsia" w:ascii="宋体" w:hAnsi="宋体" w:cs="宋体"/>
          <w:bCs/>
          <w:sz w:val="21"/>
          <w:szCs w:val="21"/>
          <w:highlight w:val="none"/>
        </w:rPr>
        <w:t>甲方联系人：</w:t>
      </w:r>
      <w:r>
        <w:rPr>
          <w:rFonts w:hint="eastAsia" w:ascii="宋体" w:hAnsi="宋体" w:cs="宋体"/>
          <w:bCs/>
          <w:sz w:val="21"/>
          <w:szCs w:val="21"/>
          <w:highlight w:val="none"/>
          <w:u w:val="single"/>
        </w:rPr>
        <w:t xml:space="preserve">      </w:t>
      </w:r>
      <w:r>
        <w:rPr>
          <w:rFonts w:hint="eastAsia" w:ascii="宋体" w:hAnsi="宋体" w:cs="宋体"/>
          <w:bCs/>
          <w:sz w:val="21"/>
          <w:szCs w:val="21"/>
          <w:highlight w:val="none"/>
        </w:rPr>
        <w:t>，联系电话：</w:t>
      </w:r>
      <w:r>
        <w:rPr>
          <w:rFonts w:hint="eastAsia" w:ascii="宋体" w:hAnsi="宋体" w:cs="宋体"/>
          <w:bCs/>
          <w:sz w:val="21"/>
          <w:szCs w:val="21"/>
          <w:highlight w:val="none"/>
          <w:u w:val="single"/>
        </w:rPr>
        <w:t xml:space="preserve">                  </w:t>
      </w:r>
      <w:r>
        <w:rPr>
          <w:rFonts w:hint="eastAsia" w:ascii="宋体" w:hAnsi="宋体" w:cs="宋体"/>
          <w:bCs/>
          <w:sz w:val="21"/>
          <w:szCs w:val="21"/>
          <w:highlight w:val="none"/>
        </w:rPr>
        <w:t xml:space="preserve"> 。</w:t>
      </w:r>
    </w:p>
    <w:p w14:paraId="03DD820D">
      <w:pPr>
        <w:autoSpaceDE w:val="0"/>
        <w:autoSpaceDN w:val="0"/>
        <w:adjustRightInd w:val="0"/>
        <w:spacing w:line="360" w:lineRule="auto"/>
        <w:ind w:firstLine="420" w:firstLineChars="200"/>
        <w:rPr>
          <w:rFonts w:ascii="宋体" w:hAnsi="宋体" w:cs="宋体"/>
          <w:bCs/>
          <w:sz w:val="21"/>
          <w:szCs w:val="21"/>
          <w:highlight w:val="none"/>
        </w:rPr>
      </w:pPr>
      <w:r>
        <w:rPr>
          <w:rFonts w:hint="eastAsia" w:ascii="宋体" w:hAnsi="宋体" w:cs="宋体"/>
          <w:bCs/>
          <w:sz w:val="21"/>
          <w:szCs w:val="21"/>
          <w:highlight w:val="none"/>
        </w:rPr>
        <w:t xml:space="preserve">2.负责提供项目实施所必须的场地和环境。 </w:t>
      </w:r>
    </w:p>
    <w:p w14:paraId="3207FDBB">
      <w:pPr>
        <w:autoSpaceDE w:val="0"/>
        <w:autoSpaceDN w:val="0"/>
        <w:adjustRightInd w:val="0"/>
        <w:spacing w:line="360" w:lineRule="auto"/>
        <w:ind w:firstLine="420" w:firstLineChars="200"/>
        <w:rPr>
          <w:rFonts w:ascii="宋体" w:hAnsi="宋体" w:cs="宋体"/>
          <w:bCs/>
          <w:sz w:val="21"/>
          <w:szCs w:val="21"/>
          <w:highlight w:val="none"/>
        </w:rPr>
      </w:pPr>
      <w:r>
        <w:rPr>
          <w:rFonts w:hint="eastAsia" w:ascii="宋体" w:hAnsi="宋体" w:cs="宋体"/>
          <w:bCs/>
          <w:sz w:val="21"/>
          <w:szCs w:val="21"/>
          <w:highlight w:val="none"/>
        </w:rPr>
        <w:t xml:space="preserve">3.负责组织成立验收组对项目进行验收并签署验收报告。 </w:t>
      </w:r>
    </w:p>
    <w:p w14:paraId="26A945C4">
      <w:pPr>
        <w:autoSpaceDE w:val="0"/>
        <w:autoSpaceDN w:val="0"/>
        <w:adjustRightInd w:val="0"/>
        <w:spacing w:line="360" w:lineRule="auto"/>
        <w:ind w:firstLine="420" w:firstLineChars="200"/>
        <w:rPr>
          <w:rFonts w:ascii="宋体" w:hAnsi="宋体" w:cs="宋体"/>
          <w:bCs/>
          <w:sz w:val="21"/>
          <w:szCs w:val="21"/>
          <w:highlight w:val="none"/>
        </w:rPr>
      </w:pPr>
      <w:r>
        <w:rPr>
          <w:rFonts w:hint="eastAsia" w:ascii="宋体" w:hAnsi="宋体" w:cs="宋体"/>
          <w:bCs/>
          <w:sz w:val="21"/>
          <w:szCs w:val="21"/>
          <w:highlight w:val="none"/>
        </w:rPr>
        <w:t xml:space="preserve">4.按合同规定及国家相关法律法规规定，享有乙方应提供的产品或服务。 </w:t>
      </w:r>
    </w:p>
    <w:p w14:paraId="676EB71B">
      <w:pPr>
        <w:autoSpaceDE w:val="0"/>
        <w:autoSpaceDN w:val="0"/>
        <w:adjustRightInd w:val="0"/>
        <w:spacing w:line="360" w:lineRule="auto"/>
        <w:ind w:firstLine="420" w:firstLineChars="200"/>
        <w:rPr>
          <w:rFonts w:ascii="宋体" w:hAnsi="宋体" w:cs="宋体"/>
          <w:bCs/>
          <w:sz w:val="21"/>
          <w:szCs w:val="21"/>
          <w:highlight w:val="none"/>
        </w:rPr>
      </w:pPr>
      <w:r>
        <w:rPr>
          <w:rFonts w:hint="eastAsia" w:ascii="宋体" w:hAnsi="宋体" w:cs="宋体"/>
          <w:bCs/>
          <w:sz w:val="21"/>
          <w:szCs w:val="21"/>
          <w:highlight w:val="none"/>
        </w:rPr>
        <w:t xml:space="preserve">5.按政府采购规范落实采购资金并按照合同约定时间及金额向乙方支付合同价款。 </w:t>
      </w:r>
    </w:p>
    <w:p w14:paraId="3743C06A">
      <w:pPr>
        <w:autoSpaceDE w:val="0"/>
        <w:autoSpaceDN w:val="0"/>
        <w:adjustRightInd w:val="0"/>
        <w:spacing w:line="360" w:lineRule="auto"/>
        <w:ind w:firstLine="420" w:firstLineChars="200"/>
        <w:outlineLvl w:val="2"/>
        <w:rPr>
          <w:rFonts w:ascii="宋体" w:hAnsi="宋体" w:cs="宋体"/>
          <w:bCs/>
          <w:sz w:val="21"/>
          <w:szCs w:val="21"/>
          <w:highlight w:val="none"/>
        </w:rPr>
      </w:pPr>
      <w:bookmarkStart w:id="310" w:name="_Toc19170"/>
      <w:r>
        <w:rPr>
          <w:rFonts w:hint="eastAsia" w:ascii="宋体" w:hAnsi="宋体" w:cs="宋体"/>
          <w:bCs/>
          <w:sz w:val="21"/>
          <w:szCs w:val="21"/>
          <w:highlight w:val="none"/>
        </w:rPr>
        <w:t>6.享有采购人应当享有的其它权利。</w:t>
      </w:r>
      <w:bookmarkEnd w:id="310"/>
      <w:r>
        <w:rPr>
          <w:rFonts w:hint="eastAsia" w:ascii="宋体" w:hAnsi="宋体" w:cs="宋体"/>
          <w:bCs/>
          <w:sz w:val="21"/>
          <w:szCs w:val="21"/>
          <w:highlight w:val="none"/>
        </w:rPr>
        <w:t xml:space="preserve"> </w:t>
      </w:r>
    </w:p>
    <w:p w14:paraId="28538539">
      <w:pPr>
        <w:autoSpaceDE w:val="0"/>
        <w:autoSpaceDN w:val="0"/>
        <w:adjustRightInd w:val="0"/>
        <w:spacing w:line="360" w:lineRule="auto"/>
        <w:ind w:firstLine="420" w:firstLineChars="200"/>
        <w:rPr>
          <w:rFonts w:ascii="宋体" w:hAnsi="宋体" w:cs="宋体"/>
          <w:bCs/>
          <w:sz w:val="21"/>
          <w:szCs w:val="21"/>
          <w:highlight w:val="none"/>
        </w:rPr>
      </w:pPr>
      <w:r>
        <w:rPr>
          <w:rFonts w:hint="eastAsia" w:ascii="宋体" w:hAnsi="宋体" w:cs="宋体"/>
          <w:bCs/>
          <w:sz w:val="21"/>
          <w:szCs w:val="21"/>
          <w:highlight w:val="none"/>
        </w:rPr>
        <w:t>7.甲方及其有关当事人要遵守廉洁自律有关规定，不得有“吃拿卡要”等违纪违规行为，不得收受或变相接受乙方的回扣、礼金、礼品、宴请、娱乐等任何形式的贿赂，不得接受乙方请托或违反规定为乙方谋取好处，不得在履约验收过程中暗箱操作、降低标准。</w:t>
      </w:r>
    </w:p>
    <w:p w14:paraId="3C275BC3">
      <w:pPr>
        <w:autoSpaceDE w:val="0"/>
        <w:autoSpaceDN w:val="0"/>
        <w:adjustRightInd w:val="0"/>
        <w:spacing w:line="360" w:lineRule="auto"/>
        <w:ind w:firstLine="210" w:firstLineChars="100"/>
        <w:outlineLvl w:val="3"/>
        <w:rPr>
          <w:rFonts w:ascii="宋体" w:hAnsi="宋体" w:cs="宋体"/>
          <w:bCs/>
          <w:sz w:val="21"/>
          <w:szCs w:val="21"/>
          <w:highlight w:val="none"/>
        </w:rPr>
      </w:pPr>
      <w:r>
        <w:rPr>
          <w:rFonts w:hint="eastAsia" w:ascii="宋体" w:hAnsi="宋体" w:cs="宋体"/>
          <w:bCs/>
          <w:sz w:val="21"/>
          <w:szCs w:val="21"/>
          <w:highlight w:val="none"/>
        </w:rPr>
        <w:t>（二）乙方的权利和义务</w:t>
      </w:r>
    </w:p>
    <w:p w14:paraId="635802CF">
      <w:pPr>
        <w:pStyle w:val="26"/>
        <w:spacing w:line="360" w:lineRule="auto"/>
        <w:ind w:firstLine="420" w:firstLineChars="200"/>
        <w:jc w:val="left"/>
        <w:rPr>
          <w:rFonts w:hAnsi="宋体" w:cs="宋体"/>
          <w:highlight w:val="none"/>
        </w:rPr>
      </w:pPr>
      <w:r>
        <w:rPr>
          <w:rFonts w:hint="eastAsia" w:hAnsi="宋体" w:cs="宋体"/>
          <w:highlight w:val="none"/>
        </w:rPr>
        <w:t xml:space="preserve">1.严格按照合同约定完成甲方项目，根据甲方的实际情况，为甲方提供合理可行的解决方案，组织乙方相关专业人员进行实施，提供符合合同规定的服务。 </w:t>
      </w:r>
    </w:p>
    <w:p w14:paraId="791A82D0">
      <w:pPr>
        <w:pStyle w:val="26"/>
        <w:spacing w:line="360" w:lineRule="auto"/>
        <w:ind w:firstLine="420" w:firstLineChars="200"/>
        <w:jc w:val="left"/>
        <w:rPr>
          <w:rFonts w:hAnsi="宋体" w:cs="宋体"/>
          <w:highlight w:val="none"/>
        </w:rPr>
      </w:pPr>
      <w:r>
        <w:rPr>
          <w:rFonts w:hint="eastAsia" w:hAnsi="宋体" w:cs="宋体"/>
          <w:highlight w:val="none"/>
        </w:rPr>
        <w:t xml:space="preserve">2.乙方保证所提供的服务质量达到有关国家标准、行业标准、业务规范以及合同约定的服务要求。 </w:t>
      </w:r>
    </w:p>
    <w:p w14:paraId="201EBF10">
      <w:pPr>
        <w:pStyle w:val="26"/>
        <w:spacing w:line="360" w:lineRule="auto"/>
        <w:ind w:firstLine="420" w:firstLineChars="200"/>
        <w:jc w:val="left"/>
        <w:rPr>
          <w:rFonts w:hAnsi="宋体" w:cs="宋体"/>
          <w:highlight w:val="none"/>
        </w:rPr>
      </w:pPr>
      <w:r>
        <w:rPr>
          <w:rFonts w:hint="eastAsia" w:hAnsi="宋体" w:cs="宋体"/>
          <w:highlight w:val="none"/>
        </w:rPr>
        <w:t>3.严格遵守谈判、技术澄清、商务谈判、成交所承诺的一切规定和条款。</w:t>
      </w:r>
    </w:p>
    <w:p w14:paraId="03CBDDBC">
      <w:pPr>
        <w:pStyle w:val="26"/>
        <w:spacing w:line="360" w:lineRule="auto"/>
        <w:ind w:firstLine="420" w:firstLineChars="200"/>
        <w:jc w:val="left"/>
        <w:outlineLvl w:val="2"/>
        <w:rPr>
          <w:rFonts w:hAnsi="宋体" w:cs="宋体"/>
          <w:highlight w:val="none"/>
        </w:rPr>
      </w:pPr>
      <w:bookmarkStart w:id="311" w:name="_Toc6419"/>
      <w:r>
        <w:rPr>
          <w:rFonts w:hint="eastAsia" w:hAnsi="宋体" w:cs="宋体"/>
          <w:highlight w:val="none"/>
        </w:rPr>
        <w:t>4.遵守甲方的各项规章制度，接受甲方的监督、检查和考核。</w:t>
      </w:r>
      <w:bookmarkEnd w:id="311"/>
      <w:r>
        <w:rPr>
          <w:rFonts w:hint="eastAsia" w:hAnsi="宋体" w:cs="宋体"/>
          <w:highlight w:val="none"/>
        </w:rPr>
        <w:t xml:space="preserve"> </w:t>
      </w:r>
    </w:p>
    <w:p w14:paraId="487CDFE7">
      <w:pPr>
        <w:pStyle w:val="26"/>
        <w:spacing w:line="360" w:lineRule="auto"/>
        <w:ind w:firstLine="420" w:firstLineChars="200"/>
        <w:jc w:val="left"/>
        <w:rPr>
          <w:rFonts w:hAnsi="宋体" w:cs="宋体"/>
          <w:highlight w:val="none"/>
        </w:rPr>
      </w:pPr>
      <w:r>
        <w:rPr>
          <w:rFonts w:hint="eastAsia" w:hAnsi="宋体" w:cs="宋体"/>
          <w:highlight w:val="none"/>
        </w:rPr>
        <w:t xml:space="preserve">5.乙方应加强对项目有关人员的安全教育和安全管理。若发生安全事故，由乙方承担全部负责。 </w:t>
      </w:r>
    </w:p>
    <w:p w14:paraId="7C384979">
      <w:pPr>
        <w:pStyle w:val="26"/>
        <w:spacing w:line="360" w:lineRule="auto"/>
        <w:ind w:firstLine="420" w:firstLineChars="200"/>
        <w:jc w:val="left"/>
        <w:rPr>
          <w:rFonts w:hAnsi="宋体" w:cs="宋体"/>
          <w:highlight w:val="none"/>
        </w:rPr>
      </w:pPr>
      <w:r>
        <w:rPr>
          <w:rFonts w:hint="eastAsia" w:hAnsi="宋体" w:cs="宋体"/>
          <w:highlight w:val="none"/>
        </w:rPr>
        <w:t xml:space="preserve">6.乙方应自行处理好与服务人员之间的劳动关系，自行处理各种劳动纠纷并承担因此产生的经济责任、法律责任。 </w:t>
      </w:r>
    </w:p>
    <w:p w14:paraId="7FF5EF09">
      <w:pPr>
        <w:pStyle w:val="26"/>
        <w:spacing w:line="360" w:lineRule="auto"/>
        <w:ind w:firstLine="420" w:firstLineChars="200"/>
        <w:jc w:val="left"/>
        <w:outlineLvl w:val="2"/>
        <w:rPr>
          <w:rFonts w:hAnsi="宋体" w:cs="宋体"/>
          <w:highlight w:val="none"/>
        </w:rPr>
      </w:pPr>
      <w:bookmarkStart w:id="312" w:name="_Toc10671"/>
      <w:r>
        <w:rPr>
          <w:rFonts w:hint="eastAsia" w:hAnsi="宋体" w:cs="宋体"/>
          <w:highlight w:val="none"/>
        </w:rPr>
        <w:t>7.配合甲方共同进行项目验收，按合同规定收取合同款项。</w:t>
      </w:r>
      <w:bookmarkEnd w:id="312"/>
      <w:r>
        <w:rPr>
          <w:rFonts w:hint="eastAsia" w:hAnsi="宋体" w:cs="宋体"/>
          <w:highlight w:val="none"/>
        </w:rPr>
        <w:t xml:space="preserve"> </w:t>
      </w:r>
    </w:p>
    <w:p w14:paraId="7D0C88B5">
      <w:pPr>
        <w:pStyle w:val="26"/>
        <w:spacing w:line="360" w:lineRule="auto"/>
        <w:ind w:firstLine="420" w:firstLineChars="200"/>
        <w:jc w:val="left"/>
        <w:rPr>
          <w:rFonts w:hAnsi="宋体" w:cs="宋体"/>
          <w:highlight w:val="none"/>
        </w:rPr>
      </w:pPr>
      <w:r>
        <w:rPr>
          <w:rFonts w:hint="eastAsia" w:hAnsi="宋体" w:cs="宋体"/>
          <w:highlight w:val="none"/>
        </w:rPr>
        <w:t>8.乙方不得贿赂或变相贿赂甲方及其有关当事人，不得向甲方当事人赠送礼金、礼品、礼券、礼卡、回扣等，不得宴请甲方当事人，不得邀请甲方当事人参加各种娱乐活动，不得请托甲方当事人谋取好处，不得通过“找关系”干扰甲方执行合同。如遇甲方当事人提出“吃拿卡要”等要求，及时向甲方纪检部门反映。</w:t>
      </w:r>
    </w:p>
    <w:p w14:paraId="398EB873">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四、以上内容与甲方确认采购和乙方成交承诺情况一致并不得改变和放弃。</w:t>
      </w:r>
    </w:p>
    <w:p w14:paraId="1A1E2748">
      <w:pPr>
        <w:autoSpaceDE w:val="0"/>
        <w:autoSpaceDN w:val="0"/>
        <w:adjustRightInd w:val="0"/>
        <w:spacing w:line="360" w:lineRule="auto"/>
        <w:ind w:firstLine="422"/>
        <w:outlineLvl w:val="1"/>
        <w:rPr>
          <w:rFonts w:ascii="宋体" w:hAnsi="宋体" w:cs="宋体"/>
          <w:b/>
          <w:sz w:val="21"/>
          <w:szCs w:val="21"/>
          <w:highlight w:val="none"/>
        </w:rPr>
      </w:pPr>
      <w:bookmarkStart w:id="313" w:name="_Toc9281"/>
      <w:bookmarkStart w:id="314" w:name="_Toc86202601"/>
      <w:r>
        <w:rPr>
          <w:rFonts w:hint="eastAsia" w:ascii="宋体" w:hAnsi="宋体" w:cs="宋体"/>
          <w:b/>
          <w:sz w:val="21"/>
          <w:szCs w:val="21"/>
          <w:highlight w:val="none"/>
        </w:rPr>
        <w:t>五、验收及验收标准</w:t>
      </w:r>
      <w:bookmarkEnd w:id="313"/>
      <w:r>
        <w:rPr>
          <w:rFonts w:hint="eastAsia" w:ascii="宋体" w:hAnsi="宋体" w:cs="宋体"/>
          <w:b/>
          <w:sz w:val="21"/>
          <w:szCs w:val="21"/>
          <w:highlight w:val="none"/>
        </w:rPr>
        <w:t xml:space="preserve"> </w:t>
      </w:r>
    </w:p>
    <w:p w14:paraId="6FA07A99">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 xml:space="preserve">本项目履约验收采取平时考核与定期考核相结合的方式进行。考核工作由甲方指定管理部门负责实施。对乙方的考核标准按照本合同约定的服务要求及其行业相关规范执行，考核结果与合同价款结算挂钩。 </w:t>
      </w:r>
    </w:p>
    <w:bookmarkEnd w:id="314"/>
    <w:p w14:paraId="6C3AC95F">
      <w:pPr>
        <w:autoSpaceDE w:val="0"/>
        <w:autoSpaceDN w:val="0"/>
        <w:adjustRightInd w:val="0"/>
        <w:spacing w:line="360" w:lineRule="auto"/>
        <w:ind w:firstLine="422"/>
        <w:outlineLvl w:val="1"/>
        <w:rPr>
          <w:rFonts w:ascii="宋体" w:hAnsi="宋体" w:cs="宋体"/>
          <w:b/>
          <w:sz w:val="21"/>
          <w:szCs w:val="21"/>
          <w:highlight w:val="none"/>
        </w:rPr>
      </w:pPr>
      <w:bookmarkStart w:id="315" w:name="_Toc5520"/>
      <w:r>
        <w:rPr>
          <w:rFonts w:hint="eastAsia" w:ascii="宋体" w:hAnsi="宋体" w:cs="宋体"/>
          <w:b/>
          <w:sz w:val="21"/>
          <w:szCs w:val="21"/>
          <w:highlight w:val="none"/>
        </w:rPr>
        <w:t>六、合同价款结算</w:t>
      </w:r>
      <w:bookmarkEnd w:id="315"/>
    </w:p>
    <w:p w14:paraId="799AF8DA">
      <w:pPr>
        <w:autoSpaceDE w:val="0"/>
        <w:autoSpaceDN w:val="0"/>
        <w:adjustRightInd w:val="0"/>
        <w:spacing w:line="360" w:lineRule="auto"/>
        <w:ind w:firstLine="420" w:firstLineChars="200"/>
        <w:outlineLvl w:val="2"/>
        <w:rPr>
          <w:rFonts w:ascii="宋体" w:hAnsi="宋体" w:cs="宋体"/>
          <w:sz w:val="21"/>
          <w:szCs w:val="21"/>
          <w:highlight w:val="none"/>
        </w:rPr>
      </w:pPr>
      <w:bookmarkStart w:id="316" w:name="_Toc11269"/>
      <w:r>
        <w:rPr>
          <w:rFonts w:hint="eastAsia" w:ascii="宋体" w:hAnsi="宋体" w:cs="宋体"/>
          <w:sz w:val="21"/>
          <w:szCs w:val="21"/>
          <w:highlight w:val="none"/>
        </w:rPr>
        <w:t>（一）履约保证</w:t>
      </w:r>
      <w:bookmarkEnd w:id="316"/>
    </w:p>
    <w:p w14:paraId="1CE7F835">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1.乙方应根据招标文件或谈判文件要求向甲方交付履约保证金（按签约中标金额的5%计算），交付履约保证金后才能签订合同。</w:t>
      </w:r>
    </w:p>
    <w:p w14:paraId="0937D9A2">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2.自乙方提供的服务期限届满后，乙方无任何履约问题，履约保证金无息退还乙方。</w:t>
      </w:r>
    </w:p>
    <w:p w14:paraId="4C9997C3">
      <w:pPr>
        <w:autoSpaceDE w:val="0"/>
        <w:autoSpaceDN w:val="0"/>
        <w:adjustRightInd w:val="0"/>
        <w:spacing w:line="360" w:lineRule="auto"/>
        <w:ind w:firstLine="420" w:firstLineChars="200"/>
        <w:outlineLvl w:val="2"/>
        <w:rPr>
          <w:rFonts w:ascii="宋体" w:hAnsi="宋体" w:cs="宋体"/>
          <w:sz w:val="21"/>
          <w:szCs w:val="21"/>
          <w:highlight w:val="none"/>
        </w:rPr>
      </w:pPr>
      <w:bookmarkStart w:id="317" w:name="_Toc16687"/>
      <w:r>
        <w:rPr>
          <w:rFonts w:hint="eastAsia" w:ascii="宋体" w:hAnsi="宋体" w:cs="宋体"/>
          <w:sz w:val="21"/>
          <w:szCs w:val="21"/>
          <w:highlight w:val="none"/>
        </w:rPr>
        <w:t>（二）本合同价款的支付办法</w:t>
      </w:r>
      <w:bookmarkEnd w:id="317"/>
    </w:p>
    <w:p w14:paraId="3D284C75">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甲方收到履约保证金回执及乙方开具的全额发票后，7个工作日内向乙方支付合同总额的100%。</w:t>
      </w:r>
    </w:p>
    <w:p w14:paraId="56D31638">
      <w:pPr>
        <w:autoSpaceDE w:val="0"/>
        <w:autoSpaceDN w:val="0"/>
        <w:adjustRightInd w:val="0"/>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3.甲方财务部门按合同约定的付款方式支付合同款。</w:t>
      </w:r>
    </w:p>
    <w:p w14:paraId="3078A15A">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4.若乙方存在违约行为，按本合同约定应向甲方支付违约金的，则扣除乙方应付违约金后的金额作为合同货款最终结算金额，并据此核定运维服务费。</w:t>
      </w:r>
    </w:p>
    <w:p w14:paraId="68B5DC2E">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七、合同的变更必须经甲、乙双方协商一致，并按照相关的变更程序加以书面确认后方可进行。</w:t>
      </w:r>
    </w:p>
    <w:p w14:paraId="511EF745">
      <w:pPr>
        <w:autoSpaceDE w:val="0"/>
        <w:autoSpaceDN w:val="0"/>
        <w:adjustRightInd w:val="0"/>
        <w:spacing w:line="360" w:lineRule="auto"/>
        <w:ind w:firstLine="422"/>
        <w:outlineLvl w:val="1"/>
        <w:rPr>
          <w:rFonts w:ascii="宋体" w:hAnsi="宋体" w:cs="宋体"/>
          <w:b/>
          <w:sz w:val="21"/>
          <w:szCs w:val="21"/>
          <w:highlight w:val="none"/>
        </w:rPr>
      </w:pPr>
      <w:bookmarkStart w:id="318" w:name="_Toc28933"/>
      <w:r>
        <w:rPr>
          <w:rFonts w:hint="eastAsia" w:ascii="宋体" w:hAnsi="宋体" w:cs="宋体"/>
          <w:b/>
          <w:sz w:val="21"/>
          <w:szCs w:val="21"/>
          <w:highlight w:val="none"/>
        </w:rPr>
        <w:t>八、违约责任</w:t>
      </w:r>
      <w:bookmarkEnd w:id="318"/>
    </w:p>
    <w:p w14:paraId="41110766">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 xml:space="preserve">1.乙方所提供的服务等与合同标准不相符合的，甲方有权拒收或拒绝验收，乙方无权请求返还履约保证金；逾期交付将向甲方每日偿付合同总额千分之一的违约金。因乙方不能按期提供服务及所提供服务与合同标准不符，使甲方造成经济损失的应依法赔偿。 </w:t>
      </w:r>
    </w:p>
    <w:p w14:paraId="5965B364">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 xml:space="preserve">2.甲方无正当理由拒收产品、服务或拒绝验收的，甲方向乙方偿付合同款总价百分之五的违约金；由于甲方原因逾期支付合同款将向乙方每日偿付欠款总额千分之一的违约金。 </w:t>
      </w:r>
    </w:p>
    <w:p w14:paraId="0FAA23ED">
      <w:pPr>
        <w:autoSpaceDE w:val="0"/>
        <w:autoSpaceDN w:val="0"/>
        <w:adjustRightInd w:val="0"/>
        <w:spacing w:line="360" w:lineRule="auto"/>
        <w:rPr>
          <w:rFonts w:ascii="宋体" w:hAnsi="宋体" w:cs="宋体"/>
          <w:sz w:val="21"/>
          <w:szCs w:val="21"/>
          <w:highlight w:val="none"/>
        </w:rPr>
      </w:pPr>
      <w:r>
        <w:rPr>
          <w:rFonts w:hint="eastAsia" w:ascii="宋体" w:hAnsi="宋体" w:cs="宋体"/>
          <w:sz w:val="21"/>
          <w:szCs w:val="21"/>
          <w:highlight w:val="none"/>
        </w:rPr>
        <w:t>以上各项交付的违约金、赔偿金并不当然地减少或免除违约方的合同义务。</w:t>
      </w:r>
    </w:p>
    <w:p w14:paraId="673E148D">
      <w:pPr>
        <w:autoSpaceDE w:val="0"/>
        <w:autoSpaceDN w:val="0"/>
        <w:adjustRightInd w:val="0"/>
        <w:spacing w:line="360" w:lineRule="auto"/>
        <w:ind w:firstLine="422"/>
        <w:outlineLvl w:val="1"/>
        <w:rPr>
          <w:rFonts w:ascii="宋体" w:hAnsi="宋体" w:cs="宋体"/>
          <w:b/>
          <w:sz w:val="21"/>
          <w:szCs w:val="21"/>
          <w:highlight w:val="none"/>
        </w:rPr>
      </w:pPr>
      <w:bookmarkStart w:id="319" w:name="_Toc26808"/>
      <w:r>
        <w:rPr>
          <w:rFonts w:hint="eastAsia" w:ascii="宋体" w:hAnsi="宋体" w:cs="宋体"/>
          <w:b/>
          <w:sz w:val="21"/>
          <w:szCs w:val="21"/>
          <w:highlight w:val="none"/>
        </w:rPr>
        <w:t>九、廉政条款</w:t>
      </w:r>
      <w:bookmarkEnd w:id="319"/>
    </w:p>
    <w:p w14:paraId="1001B3CF">
      <w:pPr>
        <w:autoSpaceDE w:val="0"/>
        <w:autoSpaceDN w:val="0"/>
        <w:adjustRightInd w:val="0"/>
        <w:spacing w:line="360" w:lineRule="auto"/>
        <w:ind w:firstLine="210" w:firstLineChars="100"/>
        <w:outlineLvl w:val="2"/>
        <w:rPr>
          <w:rFonts w:ascii="宋体" w:hAnsi="宋体" w:cs="宋体"/>
          <w:sz w:val="21"/>
          <w:szCs w:val="21"/>
          <w:highlight w:val="none"/>
        </w:rPr>
      </w:pPr>
      <w:bookmarkStart w:id="320" w:name="_Toc11375"/>
      <w:r>
        <w:rPr>
          <w:rFonts w:hint="eastAsia" w:ascii="宋体" w:hAnsi="宋体" w:cs="宋体"/>
          <w:sz w:val="21"/>
          <w:szCs w:val="21"/>
          <w:highlight w:val="none"/>
        </w:rPr>
        <w:t>（一）甲方的责任</w:t>
      </w:r>
      <w:bookmarkEnd w:id="320"/>
      <w:r>
        <w:rPr>
          <w:rFonts w:hint="eastAsia" w:ascii="宋体" w:hAnsi="宋体" w:cs="宋体"/>
          <w:sz w:val="21"/>
          <w:szCs w:val="21"/>
          <w:highlight w:val="none"/>
        </w:rPr>
        <w:t xml:space="preserve"> </w:t>
      </w:r>
    </w:p>
    <w:p w14:paraId="147432D5">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甲方不准向乙方和相关单位索要或接受回扣、礼金、有价证券贵重物品和好处费、感谢费等； 不准要求、暗示和接受乙方和相关单位为个人装修住房、婚丧嫁娶、配偶子女的工作安排以及出国(境)、旅游等提供方便；不准参加乙方和相关单位的宴请和健身、娱乐等活动；不准向乙方介绍或为配偶、子女、亲属参与有关的经济活动；不得以任何理由向乙方和相关单位推荐合同规定以外的物资。</w:t>
      </w:r>
    </w:p>
    <w:p w14:paraId="48B66919">
      <w:pPr>
        <w:autoSpaceDE w:val="0"/>
        <w:autoSpaceDN w:val="0"/>
        <w:adjustRightInd w:val="0"/>
        <w:spacing w:line="360" w:lineRule="auto"/>
        <w:ind w:firstLine="210" w:firstLineChars="100"/>
        <w:outlineLvl w:val="2"/>
        <w:rPr>
          <w:rFonts w:ascii="宋体" w:hAnsi="宋体" w:cs="宋体"/>
          <w:sz w:val="21"/>
          <w:szCs w:val="21"/>
          <w:highlight w:val="none"/>
        </w:rPr>
      </w:pPr>
      <w:bookmarkStart w:id="321" w:name="_Toc24456"/>
      <w:r>
        <w:rPr>
          <w:rFonts w:hint="eastAsia" w:ascii="宋体" w:hAnsi="宋体" w:cs="宋体"/>
          <w:sz w:val="21"/>
          <w:szCs w:val="21"/>
          <w:highlight w:val="none"/>
        </w:rPr>
        <w:t>（二）乙方的责任</w:t>
      </w:r>
      <w:bookmarkEnd w:id="321"/>
      <w:r>
        <w:rPr>
          <w:rFonts w:hint="eastAsia" w:ascii="宋体" w:hAnsi="宋体" w:cs="宋体"/>
          <w:sz w:val="21"/>
          <w:szCs w:val="21"/>
          <w:highlight w:val="none"/>
        </w:rPr>
        <w:t xml:space="preserve"> </w:t>
      </w:r>
    </w:p>
    <w:p w14:paraId="486450BA">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乙方不准以任何理由向甲方、相关单位及其工作人员赠送礼金、有价证券、贵重物品和回扣、好处费、感谢费等；不准以任何理由为甲方和相关单位报销应由对方或个人支付的费用；不准为甲方、相关单位或个人装修住房、婚丧嫁娶、配偶子女的工作安排以及出国(境)、旅游等提供方便； 不准以任何理由为甲方、相关单位或个人组织有可能影响公正执行公务的宴请、健身、娱乐等活动。</w:t>
      </w:r>
    </w:p>
    <w:p w14:paraId="00BBF317">
      <w:pPr>
        <w:autoSpaceDE w:val="0"/>
        <w:autoSpaceDN w:val="0"/>
        <w:adjustRightInd w:val="0"/>
        <w:spacing w:line="360" w:lineRule="auto"/>
        <w:ind w:firstLine="210" w:firstLineChars="100"/>
        <w:outlineLvl w:val="2"/>
        <w:rPr>
          <w:rFonts w:ascii="宋体" w:hAnsi="宋体" w:cs="宋体"/>
          <w:sz w:val="21"/>
          <w:szCs w:val="21"/>
          <w:highlight w:val="none"/>
        </w:rPr>
      </w:pPr>
      <w:bookmarkStart w:id="322" w:name="_Toc3948"/>
      <w:r>
        <w:rPr>
          <w:rFonts w:hint="eastAsia" w:ascii="宋体" w:hAnsi="宋体" w:cs="宋体"/>
          <w:sz w:val="21"/>
          <w:szCs w:val="21"/>
          <w:highlight w:val="none"/>
        </w:rPr>
        <w:t>（三）违规行为后果</w:t>
      </w:r>
      <w:bookmarkEnd w:id="322"/>
      <w:r>
        <w:rPr>
          <w:rFonts w:hint="eastAsia" w:ascii="宋体" w:hAnsi="宋体" w:cs="宋体"/>
          <w:sz w:val="21"/>
          <w:szCs w:val="21"/>
          <w:highlight w:val="none"/>
        </w:rPr>
        <w:t xml:space="preserve"> </w:t>
      </w:r>
    </w:p>
    <w:p w14:paraId="2F227215">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甲、乙双方工作人员有违反本责任行为，甲方单位将立即终止合同履行，所造成的损失由乙方自行承担。</w:t>
      </w:r>
    </w:p>
    <w:p w14:paraId="53748DC0">
      <w:pPr>
        <w:autoSpaceDE w:val="0"/>
        <w:autoSpaceDN w:val="0"/>
        <w:adjustRightInd w:val="0"/>
        <w:spacing w:line="360" w:lineRule="auto"/>
        <w:rPr>
          <w:rFonts w:ascii="宋体" w:hAnsi="宋体" w:cs="宋体"/>
          <w:sz w:val="21"/>
          <w:szCs w:val="21"/>
          <w:highlight w:val="none"/>
        </w:rPr>
      </w:pPr>
      <w:r>
        <w:rPr>
          <w:rFonts w:hint="eastAsia" w:ascii="宋体" w:hAnsi="宋体" w:cs="宋体"/>
          <w:sz w:val="21"/>
          <w:szCs w:val="21"/>
          <w:highlight w:val="none"/>
        </w:rPr>
        <w:t>在业务活动中如双方发现有违规、违纪、违法行为的,应及时按相关廉政规定及法律严肃处理。</w:t>
      </w:r>
    </w:p>
    <w:p w14:paraId="280F824C">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十、甲方有权拒付合同价以外的任何费用；乙方有权拒绝合同整体范围以外的不合理条件。</w:t>
      </w:r>
    </w:p>
    <w:p w14:paraId="090953BE">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十一、除《政府采购法》第49条、第50条第二款规定的情形外，本合同一经签订，甲、乙双方不得擅自变更、中止或终止合同。乙方不得擅自部分或全部转让其应履行的合同义务。</w:t>
      </w:r>
    </w:p>
    <w:p w14:paraId="3574373C">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十二、经甲、乙双方协商一致，可以就本合同中的相关事宜签订补充协议，但不得违反相关法律法规规定。</w:t>
      </w:r>
    </w:p>
    <w:p w14:paraId="22FFF245">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十三、甲、乙双方在履行合同过程中发生纠纷，应及时向有关监督管理部门投诉，以便相关部门进行协调或处理；如果协商不能解决争议，则向甲方所在地有管辖权的人民法院提起诉讼。</w:t>
      </w:r>
    </w:p>
    <w:p w14:paraId="38FF0C3E">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十四、本合同其他未尽事宜，按国家《民法典》有关规定处理。</w:t>
      </w:r>
    </w:p>
    <w:p w14:paraId="2532BD92">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十五、本合同一式</w:t>
      </w:r>
      <w:r>
        <w:rPr>
          <w:rFonts w:hint="eastAsia" w:ascii="宋体" w:hAnsi="宋体" w:cs="宋体"/>
          <w:b/>
          <w:sz w:val="21"/>
          <w:szCs w:val="21"/>
          <w:highlight w:val="none"/>
          <w:u w:val="single"/>
        </w:rPr>
        <w:t xml:space="preserve">    </w:t>
      </w:r>
      <w:r>
        <w:rPr>
          <w:rFonts w:hint="eastAsia" w:ascii="宋体" w:hAnsi="宋体" w:cs="宋体"/>
          <w:b/>
          <w:sz w:val="21"/>
          <w:szCs w:val="21"/>
          <w:highlight w:val="none"/>
        </w:rPr>
        <w:t>份，甲方</w:t>
      </w:r>
      <w:r>
        <w:rPr>
          <w:rFonts w:hint="eastAsia" w:ascii="宋体" w:hAnsi="宋体" w:cs="宋体"/>
          <w:b/>
          <w:sz w:val="21"/>
          <w:szCs w:val="21"/>
          <w:highlight w:val="none"/>
          <w:u w:val="single"/>
        </w:rPr>
        <w:t xml:space="preserve">    </w:t>
      </w:r>
      <w:r>
        <w:rPr>
          <w:rFonts w:hint="eastAsia" w:ascii="宋体" w:hAnsi="宋体" w:cs="宋体"/>
          <w:b/>
          <w:sz w:val="21"/>
          <w:szCs w:val="21"/>
          <w:highlight w:val="none"/>
        </w:rPr>
        <w:t>份 ，乙方</w:t>
      </w:r>
      <w:r>
        <w:rPr>
          <w:rFonts w:hint="eastAsia" w:ascii="宋体" w:hAnsi="宋体" w:cs="宋体"/>
          <w:b/>
          <w:sz w:val="21"/>
          <w:szCs w:val="21"/>
          <w:highlight w:val="none"/>
          <w:u w:val="single"/>
        </w:rPr>
        <w:t xml:space="preserve">   </w:t>
      </w:r>
      <w:r>
        <w:rPr>
          <w:rFonts w:hint="eastAsia" w:ascii="宋体" w:hAnsi="宋体" w:cs="宋体"/>
          <w:b/>
          <w:sz w:val="21"/>
          <w:szCs w:val="21"/>
          <w:highlight w:val="none"/>
        </w:rPr>
        <w:t>份。</w:t>
      </w:r>
    </w:p>
    <w:p w14:paraId="4E1F84CB">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十六、本合同自签订之日起生效。</w:t>
      </w:r>
    </w:p>
    <w:p w14:paraId="5EF17B41">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十七、本合同不可分割之部分及解释顺序：</w:t>
      </w:r>
    </w:p>
    <w:p w14:paraId="55D57AA2">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1.合同及附件。</w:t>
      </w:r>
    </w:p>
    <w:p w14:paraId="0120C345">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2.服务承诺。</w:t>
      </w:r>
    </w:p>
    <w:p w14:paraId="25ED3576">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3.中标通知书。</w:t>
      </w:r>
    </w:p>
    <w:p w14:paraId="45931188">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4.投标文件及澄清或谈判文件。</w:t>
      </w:r>
    </w:p>
    <w:p w14:paraId="6F7443E8">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5.招标文件。</w:t>
      </w:r>
    </w:p>
    <w:p w14:paraId="0003D44E">
      <w:pPr>
        <w:autoSpaceDE w:val="0"/>
        <w:autoSpaceDN w:val="0"/>
        <w:adjustRightIn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6.甲、乙双方商定的其他文件。</w:t>
      </w:r>
    </w:p>
    <w:p w14:paraId="523F8062">
      <w:pPr>
        <w:autoSpaceDE w:val="0"/>
        <w:autoSpaceDN w:val="0"/>
        <w:adjustRightInd w:val="0"/>
        <w:spacing w:line="360" w:lineRule="auto"/>
        <w:ind w:firstLine="422"/>
        <w:rPr>
          <w:rFonts w:ascii="宋体" w:hAnsi="宋体" w:cs="宋体"/>
          <w:b/>
          <w:sz w:val="21"/>
          <w:szCs w:val="21"/>
          <w:highlight w:val="none"/>
        </w:rPr>
      </w:pPr>
      <w:r>
        <w:rPr>
          <w:rFonts w:hint="eastAsia" w:ascii="宋体" w:hAnsi="宋体" w:cs="宋体"/>
          <w:b/>
          <w:sz w:val="21"/>
          <w:szCs w:val="21"/>
          <w:highlight w:val="none"/>
        </w:rPr>
        <w:t>二十、合同签订地点：</w:t>
      </w:r>
      <w:r>
        <w:rPr>
          <w:rFonts w:hint="eastAsia" w:ascii="宋体" w:hAnsi="宋体" w:cs="宋体"/>
          <w:b/>
          <w:sz w:val="21"/>
          <w:szCs w:val="21"/>
          <w:highlight w:val="none"/>
          <w:u w:val="single"/>
        </w:rPr>
        <w:t xml:space="preserve">                           </w:t>
      </w:r>
      <w:r>
        <w:rPr>
          <w:rFonts w:hint="eastAsia" w:ascii="宋体" w:hAnsi="宋体" w:cs="宋体"/>
          <w:b/>
          <w:sz w:val="21"/>
          <w:szCs w:val="21"/>
          <w:highlight w:val="none"/>
        </w:rPr>
        <w:t>。</w:t>
      </w:r>
    </w:p>
    <w:p w14:paraId="7768DC85">
      <w:pPr>
        <w:autoSpaceDE w:val="0"/>
        <w:autoSpaceDN w:val="0"/>
        <w:adjustRightInd w:val="0"/>
        <w:spacing w:line="360" w:lineRule="auto"/>
        <w:ind w:firstLine="422"/>
        <w:outlineLvl w:val="1"/>
        <w:rPr>
          <w:rFonts w:ascii="宋体" w:hAnsi="宋体" w:cs="宋体"/>
          <w:b/>
          <w:sz w:val="21"/>
          <w:szCs w:val="21"/>
          <w:highlight w:val="none"/>
        </w:rPr>
      </w:pPr>
      <w:bookmarkStart w:id="323" w:name="_Toc6242"/>
      <w:r>
        <w:rPr>
          <w:rFonts w:hint="eastAsia" w:ascii="宋体" w:hAnsi="宋体" w:cs="宋体"/>
          <w:b/>
          <w:sz w:val="21"/>
          <w:szCs w:val="21"/>
          <w:highlight w:val="none"/>
        </w:rPr>
        <w:t>二十一、附件（有）</w:t>
      </w:r>
      <w:bookmarkEnd w:id="323"/>
    </w:p>
    <w:p w14:paraId="3B740BDC">
      <w:pPr>
        <w:autoSpaceDE w:val="0"/>
        <w:autoSpaceDN w:val="0"/>
        <w:adjustRightInd w:val="0"/>
        <w:spacing w:line="360" w:lineRule="auto"/>
        <w:outlineLvl w:val="0"/>
        <w:rPr>
          <w:rFonts w:ascii="宋体" w:hAnsi="宋体" w:cs="宋体"/>
          <w:sz w:val="21"/>
          <w:szCs w:val="21"/>
          <w:highlight w:val="none"/>
        </w:rPr>
      </w:pPr>
      <w:bookmarkStart w:id="324" w:name="_Toc5899"/>
      <w:r>
        <w:rPr>
          <w:rFonts w:hint="eastAsia" w:ascii="宋体" w:hAnsi="宋体" w:cs="宋体"/>
          <w:sz w:val="21"/>
          <w:szCs w:val="21"/>
          <w:highlight w:val="none"/>
        </w:rPr>
        <w:t>附件1.驻场运维人员名单及通讯方式</w:t>
      </w:r>
      <w:bookmarkEnd w:id="324"/>
    </w:p>
    <w:p w14:paraId="77612598">
      <w:pPr>
        <w:pStyle w:val="14"/>
        <w:ind w:firstLine="400"/>
        <w:rPr>
          <w:rFonts w:ascii="宋体" w:hAnsi="宋体" w:cs="宋体"/>
          <w:highlight w:val="none"/>
        </w:rPr>
      </w:pPr>
    </w:p>
    <w:p w14:paraId="4748FE47">
      <w:pPr>
        <w:rPr>
          <w:rFonts w:ascii="宋体" w:hAnsi="宋体" w:cs="宋体"/>
          <w:sz w:val="24"/>
          <w:szCs w:val="24"/>
          <w:highlight w:val="none"/>
        </w:rPr>
      </w:pPr>
      <w:r>
        <w:rPr>
          <w:rFonts w:hint="eastAsia" w:ascii="宋体" w:hAnsi="宋体" w:cs="宋体"/>
          <w:sz w:val="24"/>
          <w:szCs w:val="24"/>
          <w:highlight w:val="none"/>
        </w:rPr>
        <w:br w:type="page"/>
      </w:r>
    </w:p>
    <w:p w14:paraId="0ED81D63">
      <w:pPr>
        <w:pStyle w:val="14"/>
        <w:ind w:firstLine="0" w:firstLineChars="0"/>
        <w:rPr>
          <w:rFonts w:ascii="宋体" w:hAnsi="宋体" w:cs="宋体"/>
          <w:sz w:val="24"/>
          <w:szCs w:val="24"/>
          <w:highlight w:val="none"/>
        </w:rPr>
        <w:sectPr>
          <w:footerReference r:id="rId3" w:type="default"/>
          <w:pgSz w:w="11907" w:h="16840"/>
          <w:pgMar w:top="1134" w:right="1418" w:bottom="1134" w:left="1418" w:header="850" w:footer="992" w:gutter="0"/>
          <w:pgBorders>
            <w:top w:val="none" w:sz="0" w:space="0"/>
            <w:left w:val="none" w:sz="0" w:space="0"/>
            <w:bottom w:val="none" w:sz="0" w:space="0"/>
            <w:right w:val="none" w:sz="0" w:space="0"/>
          </w:pgBorders>
          <w:cols w:space="720" w:num="1"/>
          <w:docGrid w:linePitch="286" w:charSpace="0"/>
        </w:sectPr>
      </w:pPr>
    </w:p>
    <w:p w14:paraId="3EDE31F1">
      <w:pPr>
        <w:pStyle w:val="2"/>
        <w:numPr>
          <w:ilvl w:val="0"/>
          <w:numId w:val="5"/>
        </w:numPr>
        <w:spacing w:before="240" w:after="240" w:line="360" w:lineRule="auto"/>
        <w:jc w:val="center"/>
        <w:rPr>
          <w:rFonts w:ascii="宋体" w:hAnsi="宋体" w:cs="宋体"/>
          <w:sz w:val="36"/>
          <w:szCs w:val="36"/>
          <w:highlight w:val="none"/>
          <w:lang w:val="zh-CN"/>
        </w:rPr>
      </w:pPr>
      <w:bookmarkStart w:id="325" w:name="_Toc23783"/>
      <w:bookmarkStart w:id="326" w:name="_Toc25635"/>
      <w:r>
        <w:rPr>
          <w:rFonts w:hint="eastAsia" w:ascii="宋体" w:hAnsi="宋体" w:cs="宋体"/>
          <w:sz w:val="36"/>
          <w:szCs w:val="36"/>
          <w:highlight w:val="none"/>
          <w:lang w:val="zh-CN"/>
        </w:rPr>
        <w:t>采购需求</w:t>
      </w:r>
      <w:bookmarkEnd w:id="302"/>
      <w:bookmarkEnd w:id="325"/>
      <w:bookmarkEnd w:id="326"/>
    </w:p>
    <w:p w14:paraId="0A564C02">
      <w:pPr>
        <w:spacing w:line="520" w:lineRule="exact"/>
        <w:ind w:firstLine="560" w:firstLineChars="200"/>
        <w:rPr>
          <w:rFonts w:ascii="宋体" w:hAnsi="宋体" w:cs="宋体"/>
          <w:sz w:val="28"/>
          <w:szCs w:val="28"/>
          <w:highlight w:val="none"/>
        </w:rPr>
      </w:pPr>
      <w:r>
        <w:rPr>
          <w:rFonts w:hint="eastAsia" w:ascii="宋体" w:hAnsi="宋体" w:cs="宋体"/>
          <w:sz w:val="28"/>
          <w:szCs w:val="28"/>
          <w:highlight w:val="none"/>
        </w:rPr>
        <w:t>为保障我院审判业务管理系统、电子政务、办公自动化、审委会系统、科技法庭、智能语音系统、园区监控及门禁系统、信息化支撑平台、通信线路、智能车辆调度、审判管理质效平台、网络安全等信息系统和办案办公所需计算机、打印机、复印机、扫描仪、多媒体会议系统等软硬件的正常运行，需要采购昆明中院2025年运维系统服务，服务时间为2025年4月至2026年3月。针对运维信息系统要素分为 运维管理服务、软件运维服务、硬件运维服务、备品备件管理四个部分，所需驻场运维人员25人（含1名项目经理）。</w:t>
      </w:r>
    </w:p>
    <w:p w14:paraId="22A16FD5">
      <w:pPr>
        <w:spacing w:line="520" w:lineRule="exact"/>
        <w:ind w:firstLine="560" w:firstLineChars="200"/>
        <w:rPr>
          <w:rFonts w:ascii="宋体" w:hAnsi="宋体" w:cs="宋体"/>
          <w:sz w:val="28"/>
          <w:szCs w:val="28"/>
          <w:highlight w:val="none"/>
        </w:rPr>
      </w:pPr>
      <w:r>
        <w:rPr>
          <w:rFonts w:hint="eastAsia" w:ascii="宋体" w:hAnsi="宋体" w:cs="宋体"/>
          <w:sz w:val="28"/>
          <w:szCs w:val="28"/>
          <w:highlight w:val="none"/>
        </w:rPr>
        <w:t>项目详细清单详见下表：</w:t>
      </w:r>
    </w:p>
    <w:tbl>
      <w:tblPr>
        <w:tblStyle w:val="50"/>
        <w:tblW w:w="14683"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65"/>
        <w:gridCol w:w="2680"/>
        <w:gridCol w:w="8725"/>
        <w:gridCol w:w="1275"/>
        <w:gridCol w:w="1338"/>
      </w:tblGrid>
      <w:tr w14:paraId="45383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665" w:type="dxa"/>
            <w:tcBorders>
              <w:tl2br w:val="nil"/>
              <w:tr2bl w:val="nil"/>
            </w:tcBorders>
            <w:shd w:val="clear" w:color="auto" w:fill="auto"/>
            <w:vAlign w:val="center"/>
          </w:tcPr>
          <w:p w14:paraId="7089FE6B">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sz w:val="24"/>
                <w:szCs w:val="24"/>
                <w:highlight w:val="none"/>
              </w:rPr>
            </w:pPr>
            <w:r>
              <w:rPr>
                <w:rFonts w:hint="eastAsia" w:ascii="宋体" w:hAnsi="宋体" w:eastAsia="宋体" w:cs="宋体"/>
                <w:b/>
                <w:bCs w:val="0"/>
                <w:i w:val="0"/>
                <w:color w:val="000000"/>
                <w:kern w:val="0"/>
                <w:sz w:val="24"/>
                <w:szCs w:val="24"/>
                <w:highlight w:val="none"/>
                <w:lang w:val="en-US" w:eastAsia="zh-CN" w:bidi="ar"/>
              </w:rPr>
              <w:t>序号</w:t>
            </w:r>
          </w:p>
        </w:tc>
        <w:tc>
          <w:tcPr>
            <w:tcW w:w="2680" w:type="dxa"/>
            <w:tcBorders>
              <w:tl2br w:val="nil"/>
              <w:tr2bl w:val="nil"/>
            </w:tcBorders>
            <w:shd w:val="clear" w:color="auto" w:fill="auto"/>
            <w:vAlign w:val="center"/>
          </w:tcPr>
          <w:p w14:paraId="122D018D">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sz w:val="24"/>
                <w:szCs w:val="24"/>
                <w:highlight w:val="none"/>
              </w:rPr>
            </w:pPr>
            <w:r>
              <w:rPr>
                <w:rFonts w:hint="eastAsia" w:ascii="宋体" w:hAnsi="宋体" w:eastAsia="宋体" w:cs="宋体"/>
                <w:b/>
                <w:bCs w:val="0"/>
                <w:i w:val="0"/>
                <w:color w:val="000000"/>
                <w:kern w:val="0"/>
                <w:sz w:val="24"/>
                <w:szCs w:val="24"/>
                <w:highlight w:val="none"/>
                <w:lang w:val="en-US" w:eastAsia="zh-CN" w:bidi="ar"/>
              </w:rPr>
              <w:t>项目名称</w:t>
            </w:r>
          </w:p>
        </w:tc>
        <w:tc>
          <w:tcPr>
            <w:tcW w:w="8725" w:type="dxa"/>
            <w:tcBorders>
              <w:tl2br w:val="nil"/>
              <w:tr2bl w:val="nil"/>
            </w:tcBorders>
            <w:shd w:val="clear" w:color="auto" w:fill="auto"/>
            <w:vAlign w:val="center"/>
          </w:tcPr>
          <w:p w14:paraId="372BB98F">
            <w:pPr>
              <w:keepNext w:val="0"/>
              <w:keepLines w:val="0"/>
              <w:widowControl/>
              <w:suppressLineNumbers w:val="0"/>
              <w:autoSpaceDE w:val="0"/>
              <w:autoSpaceDN/>
              <w:spacing w:before="0" w:beforeAutospacing="1" w:after="0" w:afterAutospacing="1" w:line="400" w:lineRule="exact"/>
              <w:ind w:left="0" w:right="0"/>
              <w:jc w:val="center"/>
              <w:textAlignment w:val="top"/>
              <w:rPr>
                <w:rFonts w:hint="eastAsia" w:ascii="宋体" w:hAnsi="宋体" w:eastAsia="宋体" w:cs="宋体"/>
                <w:sz w:val="24"/>
                <w:szCs w:val="24"/>
                <w:highlight w:val="none"/>
              </w:rPr>
            </w:pPr>
            <w:r>
              <w:rPr>
                <w:rFonts w:hint="eastAsia" w:ascii="宋体" w:hAnsi="宋体" w:eastAsia="宋体" w:cs="宋体"/>
                <w:b/>
                <w:bCs w:val="0"/>
                <w:i w:val="0"/>
                <w:color w:val="000000"/>
                <w:kern w:val="0"/>
                <w:sz w:val="24"/>
                <w:szCs w:val="24"/>
                <w:highlight w:val="none"/>
                <w:lang w:val="en-US" w:eastAsia="zh-CN" w:bidi="ar"/>
              </w:rPr>
              <w:t>详细内容</w:t>
            </w:r>
          </w:p>
        </w:tc>
        <w:tc>
          <w:tcPr>
            <w:tcW w:w="1275" w:type="dxa"/>
            <w:tcBorders>
              <w:tl2br w:val="nil"/>
              <w:tr2bl w:val="nil"/>
            </w:tcBorders>
            <w:shd w:val="clear" w:color="auto" w:fill="auto"/>
            <w:vAlign w:val="center"/>
          </w:tcPr>
          <w:p w14:paraId="77757CD2">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sz w:val="24"/>
                <w:szCs w:val="24"/>
                <w:highlight w:val="none"/>
              </w:rPr>
            </w:pPr>
            <w:r>
              <w:rPr>
                <w:rFonts w:hint="eastAsia" w:ascii="宋体" w:hAnsi="宋体" w:eastAsia="宋体" w:cs="宋体"/>
                <w:b/>
                <w:bCs w:val="0"/>
                <w:i w:val="0"/>
                <w:color w:val="000000"/>
                <w:kern w:val="0"/>
                <w:sz w:val="24"/>
                <w:szCs w:val="24"/>
                <w:highlight w:val="none"/>
                <w:lang w:val="en-US" w:eastAsia="zh-CN" w:bidi="ar"/>
              </w:rPr>
              <w:t>预算金额（元）</w:t>
            </w:r>
          </w:p>
        </w:tc>
        <w:tc>
          <w:tcPr>
            <w:tcW w:w="1338" w:type="dxa"/>
            <w:tcBorders>
              <w:tl2br w:val="nil"/>
              <w:tr2bl w:val="nil"/>
            </w:tcBorders>
            <w:shd w:val="clear" w:color="auto" w:fill="auto"/>
            <w:vAlign w:val="center"/>
          </w:tcPr>
          <w:p w14:paraId="69931283">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sz w:val="24"/>
                <w:szCs w:val="24"/>
                <w:highlight w:val="none"/>
              </w:rPr>
            </w:pPr>
            <w:r>
              <w:rPr>
                <w:rFonts w:hint="eastAsia" w:ascii="宋体" w:hAnsi="宋体" w:eastAsia="宋体" w:cs="宋体"/>
                <w:b/>
                <w:bCs w:val="0"/>
                <w:i w:val="0"/>
                <w:color w:val="000000"/>
                <w:kern w:val="0"/>
                <w:sz w:val="24"/>
                <w:szCs w:val="24"/>
                <w:highlight w:val="none"/>
                <w:lang w:val="en-US" w:eastAsia="zh-CN" w:bidi="ar"/>
              </w:rPr>
              <w:t>说明</w:t>
            </w:r>
          </w:p>
        </w:tc>
      </w:tr>
      <w:tr w14:paraId="1BFA7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0" w:type="auto"/>
            <w:tcBorders>
              <w:tl2br w:val="nil"/>
              <w:tr2bl w:val="nil"/>
            </w:tcBorders>
            <w:shd w:val="clear" w:color="auto" w:fill="auto"/>
            <w:noWrap/>
            <w:vAlign w:val="center"/>
          </w:tcPr>
          <w:p w14:paraId="32E719DE">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w:t>
            </w:r>
          </w:p>
        </w:tc>
        <w:tc>
          <w:tcPr>
            <w:tcW w:w="2680" w:type="dxa"/>
            <w:tcBorders>
              <w:tl2br w:val="nil"/>
              <w:tr2bl w:val="nil"/>
            </w:tcBorders>
            <w:shd w:val="clear" w:color="auto" w:fill="auto"/>
            <w:vAlign w:val="center"/>
          </w:tcPr>
          <w:p w14:paraId="569DDEAE">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全国法院“一张网运维服务”</w:t>
            </w:r>
          </w:p>
        </w:tc>
        <w:tc>
          <w:tcPr>
            <w:tcW w:w="8725" w:type="dxa"/>
            <w:tcBorders>
              <w:tl2br w:val="nil"/>
              <w:tr2bl w:val="nil"/>
            </w:tcBorders>
            <w:shd w:val="clear" w:color="auto" w:fill="auto"/>
            <w:vAlign w:val="top"/>
          </w:tcPr>
          <w:p w14:paraId="032D970D">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针对全国法院“一张网”中包含的审判、执行、办文办会、政法协同、信访、移动办案执行、消息简报、司法研究、司法技术、人事管理等系统模块提供运维服务，及时响应并处理昆明中院及辖区内14家基层法院通过工单系统、电话、CoCall、报修系统等渠道提交的所有服务请求，提供现场操作指导和培训等服务；保障审判业务管理系统相关业务正常运行。</w:t>
            </w:r>
          </w:p>
        </w:tc>
        <w:tc>
          <w:tcPr>
            <w:tcW w:w="1275" w:type="dxa"/>
            <w:tcBorders>
              <w:tl2br w:val="nil"/>
              <w:tr2bl w:val="nil"/>
            </w:tcBorders>
            <w:shd w:val="clear" w:color="auto" w:fill="auto"/>
            <w:vAlign w:val="center"/>
          </w:tcPr>
          <w:p w14:paraId="48F45023">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 850000.00 </w:t>
            </w:r>
          </w:p>
        </w:tc>
        <w:tc>
          <w:tcPr>
            <w:tcW w:w="1338" w:type="dxa"/>
            <w:tcBorders>
              <w:tl2br w:val="nil"/>
              <w:tr2bl w:val="nil"/>
            </w:tcBorders>
            <w:shd w:val="clear" w:color="auto" w:fill="auto"/>
            <w:vAlign w:val="center"/>
          </w:tcPr>
          <w:p w14:paraId="7D368B1F">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6人</w:t>
            </w:r>
          </w:p>
        </w:tc>
      </w:tr>
      <w:tr w14:paraId="3BD9F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0" w:type="auto"/>
            <w:tcBorders>
              <w:tl2br w:val="nil"/>
              <w:tr2bl w:val="nil"/>
            </w:tcBorders>
            <w:shd w:val="clear" w:color="auto" w:fill="auto"/>
            <w:noWrap/>
            <w:vAlign w:val="center"/>
          </w:tcPr>
          <w:p w14:paraId="359C4E3B">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2</w:t>
            </w:r>
          </w:p>
        </w:tc>
        <w:tc>
          <w:tcPr>
            <w:tcW w:w="2680" w:type="dxa"/>
            <w:tcBorders>
              <w:tl2br w:val="nil"/>
              <w:tr2bl w:val="nil"/>
            </w:tcBorders>
            <w:shd w:val="clear" w:color="auto" w:fill="auto"/>
            <w:vAlign w:val="center"/>
          </w:tcPr>
          <w:p w14:paraId="7EA85A8B">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第二办公区软硬件、会议、数字法庭等系统运维服务</w:t>
            </w:r>
          </w:p>
        </w:tc>
        <w:tc>
          <w:tcPr>
            <w:tcW w:w="8725" w:type="dxa"/>
            <w:tcBorders>
              <w:tl2br w:val="nil"/>
              <w:tr2bl w:val="nil"/>
            </w:tcBorders>
            <w:shd w:val="clear" w:color="auto" w:fill="auto"/>
            <w:vAlign w:val="center"/>
          </w:tcPr>
          <w:p w14:paraId="5934FC5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负责第二办公区软硬件系统、会议室多媒体系统、数字法庭运维。</w:t>
            </w:r>
          </w:p>
        </w:tc>
        <w:tc>
          <w:tcPr>
            <w:tcW w:w="1275" w:type="dxa"/>
            <w:tcBorders>
              <w:tl2br w:val="nil"/>
              <w:tr2bl w:val="nil"/>
            </w:tcBorders>
            <w:shd w:val="clear" w:color="auto" w:fill="auto"/>
            <w:vAlign w:val="center"/>
          </w:tcPr>
          <w:p w14:paraId="3CF145F3">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150000.00</w:t>
            </w:r>
          </w:p>
        </w:tc>
        <w:tc>
          <w:tcPr>
            <w:tcW w:w="1338" w:type="dxa"/>
            <w:tcBorders>
              <w:tl2br w:val="nil"/>
              <w:tr2bl w:val="nil"/>
            </w:tcBorders>
            <w:shd w:val="clear" w:color="auto" w:fill="auto"/>
            <w:vAlign w:val="center"/>
          </w:tcPr>
          <w:p w14:paraId="69429929">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1人</w:t>
            </w:r>
          </w:p>
        </w:tc>
      </w:tr>
      <w:tr w14:paraId="09711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0" w:type="auto"/>
            <w:tcBorders>
              <w:tl2br w:val="nil"/>
              <w:tr2bl w:val="nil"/>
            </w:tcBorders>
            <w:shd w:val="clear" w:color="auto" w:fill="auto"/>
            <w:noWrap/>
            <w:vAlign w:val="center"/>
          </w:tcPr>
          <w:p w14:paraId="53776424">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3</w:t>
            </w:r>
          </w:p>
        </w:tc>
        <w:tc>
          <w:tcPr>
            <w:tcW w:w="2680" w:type="dxa"/>
            <w:tcBorders>
              <w:tl2br w:val="nil"/>
              <w:tr2bl w:val="nil"/>
            </w:tcBorders>
            <w:shd w:val="clear" w:color="auto" w:fill="auto"/>
            <w:vAlign w:val="center"/>
          </w:tcPr>
          <w:p w14:paraId="0806FEFB">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智能语音转写系统运维服务</w:t>
            </w:r>
          </w:p>
        </w:tc>
        <w:tc>
          <w:tcPr>
            <w:tcW w:w="8725" w:type="dxa"/>
            <w:tcBorders>
              <w:tl2br w:val="nil"/>
              <w:tr2bl w:val="nil"/>
            </w:tcBorders>
            <w:shd w:val="clear" w:color="auto" w:fill="auto"/>
            <w:vAlign w:val="top"/>
          </w:tcPr>
          <w:p w14:paraId="2E1E970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提供对昆明市中级人民法院已建成的讯飞语音庭审系统、法官语音助手（员额法官办公电脑）、全景语音会议系统（审委会办公室、四楼会议室）提供前后端日常维护。需详细描述日常使用帮助、用户培训、系统日常维护、系统调优升级、系统完善修改、维护服务台账、系统对接等工作内容；</w:t>
            </w:r>
          </w:p>
        </w:tc>
        <w:tc>
          <w:tcPr>
            <w:tcW w:w="1275" w:type="dxa"/>
            <w:tcBorders>
              <w:tl2br w:val="nil"/>
              <w:tr2bl w:val="nil"/>
            </w:tcBorders>
            <w:shd w:val="clear" w:color="auto" w:fill="auto"/>
            <w:vAlign w:val="center"/>
          </w:tcPr>
          <w:p w14:paraId="134C05C3">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150,000.00 </w:t>
            </w:r>
          </w:p>
        </w:tc>
        <w:tc>
          <w:tcPr>
            <w:tcW w:w="1338" w:type="dxa"/>
            <w:tcBorders>
              <w:tl2br w:val="nil"/>
              <w:tr2bl w:val="nil"/>
            </w:tcBorders>
            <w:shd w:val="clear" w:color="auto" w:fill="auto"/>
            <w:vAlign w:val="center"/>
          </w:tcPr>
          <w:p w14:paraId="2765C625">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1人</w:t>
            </w:r>
          </w:p>
        </w:tc>
      </w:tr>
      <w:tr w14:paraId="64A65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5" w:hRule="atLeast"/>
        </w:trPr>
        <w:tc>
          <w:tcPr>
            <w:tcW w:w="0" w:type="auto"/>
            <w:tcBorders>
              <w:tl2br w:val="nil"/>
              <w:tr2bl w:val="nil"/>
            </w:tcBorders>
            <w:shd w:val="clear" w:color="auto" w:fill="auto"/>
            <w:noWrap/>
            <w:vAlign w:val="center"/>
          </w:tcPr>
          <w:p w14:paraId="0E92BBF8">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4</w:t>
            </w:r>
          </w:p>
        </w:tc>
        <w:tc>
          <w:tcPr>
            <w:tcW w:w="2680" w:type="dxa"/>
            <w:tcBorders>
              <w:tl2br w:val="nil"/>
              <w:tr2bl w:val="nil"/>
            </w:tcBorders>
            <w:shd w:val="clear" w:color="auto" w:fill="auto"/>
            <w:vAlign w:val="center"/>
          </w:tcPr>
          <w:p w14:paraId="42515989">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园区监控及门禁系统运维服务</w:t>
            </w:r>
          </w:p>
        </w:tc>
        <w:tc>
          <w:tcPr>
            <w:tcW w:w="8725" w:type="dxa"/>
            <w:tcBorders>
              <w:tl2br w:val="nil"/>
              <w:tr2bl w:val="nil"/>
            </w:tcBorders>
            <w:shd w:val="clear" w:color="auto" w:fill="auto"/>
            <w:vAlign w:val="top"/>
          </w:tcPr>
          <w:p w14:paraId="3AC75300">
            <w:pPr>
              <w:keepNext w:val="0"/>
              <w:keepLines w:val="0"/>
              <w:pageBreakBefore w:val="0"/>
              <w:widowControl/>
              <w:numPr>
                <w:ilvl w:val="0"/>
                <w:numId w:val="6"/>
              </w:numPr>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i w:val="0"/>
                <w:color w:val="000000"/>
                <w:kern w:val="0"/>
                <w:sz w:val="20"/>
                <w:szCs w:val="20"/>
                <w:highlight w:val="none"/>
                <w:lang w:val="en-US" w:eastAsia="zh-CN" w:bidi="ar"/>
              </w:rPr>
            </w:pPr>
            <w:r>
              <w:rPr>
                <w:rFonts w:hint="eastAsia" w:ascii="宋体" w:hAnsi="宋体" w:eastAsia="宋体" w:cs="宋体"/>
                <w:i w:val="0"/>
                <w:color w:val="000000"/>
                <w:kern w:val="0"/>
                <w:sz w:val="20"/>
                <w:szCs w:val="20"/>
                <w:highlight w:val="none"/>
                <w:lang w:val="en-US" w:eastAsia="zh-CN" w:bidi="ar"/>
              </w:rPr>
              <w:t>提供对昆明市中级人民法院园区及“六专四室”监控（前端图像设备333台、集中存储6台、NVR9台、服务器3台）、门禁系统和设备的运维服务，包括日常巡检、故障修复和技术支持等，维护实施地点包括院本部和广福路第二办公区。对昆明市中级人民法院在建的后勤服务平台、昆法报修平台、党组会管理平台的功能开发及优化服务，保证系统顺利上线使用；提供昆明市中级人民法院已建的考勤会议系统、食堂消费系统、中院党组会、访客预约系统的日常巡检、数据备份、服务器维护、人员及权限管理、系统故障排除、会议保障，保证系统的正常稳定运行。</w:t>
            </w:r>
          </w:p>
          <w:p w14:paraId="00DD70BD">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240" w:lineRule="auto"/>
              <w:ind w:right="0" w:rightChars="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2.对园区及“六专四室”监控、门禁系统设施设备维护的规章制度，进行前置设备的日常巡检，配合院方对园区及“六专四室”监控、门禁、会议培训系统设施设备系统的业务升级等。</w:t>
            </w:r>
          </w:p>
        </w:tc>
        <w:tc>
          <w:tcPr>
            <w:tcW w:w="1275" w:type="dxa"/>
            <w:tcBorders>
              <w:tl2br w:val="nil"/>
              <w:tr2bl w:val="nil"/>
            </w:tcBorders>
            <w:shd w:val="clear" w:color="auto" w:fill="auto"/>
            <w:vAlign w:val="center"/>
          </w:tcPr>
          <w:p w14:paraId="342E0721">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350,000.00 </w:t>
            </w:r>
          </w:p>
        </w:tc>
        <w:tc>
          <w:tcPr>
            <w:tcW w:w="1338" w:type="dxa"/>
            <w:tcBorders>
              <w:tl2br w:val="nil"/>
              <w:tr2bl w:val="nil"/>
            </w:tcBorders>
            <w:shd w:val="clear" w:color="auto" w:fill="auto"/>
            <w:vAlign w:val="center"/>
          </w:tcPr>
          <w:p w14:paraId="4A200F8A">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2人,</w:t>
            </w:r>
          </w:p>
        </w:tc>
      </w:tr>
      <w:tr w14:paraId="1367A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40" w:hRule="atLeast"/>
        </w:trPr>
        <w:tc>
          <w:tcPr>
            <w:tcW w:w="0" w:type="auto"/>
            <w:tcBorders>
              <w:tl2br w:val="nil"/>
              <w:tr2bl w:val="nil"/>
            </w:tcBorders>
            <w:shd w:val="clear" w:color="auto" w:fill="auto"/>
            <w:noWrap/>
            <w:vAlign w:val="center"/>
          </w:tcPr>
          <w:p w14:paraId="3E9F9A9F">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5</w:t>
            </w:r>
          </w:p>
        </w:tc>
        <w:tc>
          <w:tcPr>
            <w:tcW w:w="2680" w:type="dxa"/>
            <w:tcBorders>
              <w:tl2br w:val="nil"/>
              <w:tr2bl w:val="nil"/>
            </w:tcBorders>
            <w:shd w:val="clear" w:color="auto" w:fill="auto"/>
            <w:vAlign w:val="center"/>
          </w:tcPr>
          <w:p w14:paraId="6116499E">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会议室多媒体系统运维服务</w:t>
            </w:r>
          </w:p>
        </w:tc>
        <w:tc>
          <w:tcPr>
            <w:tcW w:w="8725" w:type="dxa"/>
            <w:tcBorders>
              <w:tl2br w:val="nil"/>
              <w:tr2bl w:val="nil"/>
            </w:tcBorders>
            <w:shd w:val="clear" w:color="auto" w:fill="auto"/>
            <w:vAlign w:val="top"/>
          </w:tcPr>
          <w:p w14:paraId="7C235306">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针对昆明中院所有多媒体会议室及审委会会议室、党组会会议室、诉服中心、远程提讯室、看守所、法官活动室等多媒体系统提供运维服务及全程会议保障；</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针对服务范围内的所有设备，提供相应的运维服务；配备运维测试设备，用于测试、维保加工、机械加工。</w:t>
            </w:r>
          </w:p>
        </w:tc>
        <w:tc>
          <w:tcPr>
            <w:tcW w:w="1275" w:type="dxa"/>
            <w:tcBorders>
              <w:tl2br w:val="nil"/>
              <w:tr2bl w:val="nil"/>
            </w:tcBorders>
            <w:shd w:val="clear" w:color="auto" w:fill="auto"/>
            <w:vAlign w:val="center"/>
          </w:tcPr>
          <w:p w14:paraId="7A5CFDA4">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425000.00 </w:t>
            </w:r>
          </w:p>
        </w:tc>
        <w:tc>
          <w:tcPr>
            <w:tcW w:w="1338" w:type="dxa"/>
            <w:tcBorders>
              <w:tl2br w:val="nil"/>
              <w:tr2bl w:val="nil"/>
            </w:tcBorders>
            <w:shd w:val="clear" w:color="auto" w:fill="auto"/>
            <w:vAlign w:val="center"/>
          </w:tcPr>
          <w:p w14:paraId="6D8403AB">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3人</w:t>
            </w:r>
          </w:p>
        </w:tc>
      </w:tr>
      <w:tr w14:paraId="24CAF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5" w:hRule="atLeast"/>
        </w:trPr>
        <w:tc>
          <w:tcPr>
            <w:tcW w:w="665" w:type="dxa"/>
            <w:vMerge w:val="restart"/>
            <w:tcBorders>
              <w:tl2br w:val="nil"/>
              <w:tr2bl w:val="nil"/>
            </w:tcBorders>
            <w:shd w:val="clear" w:color="auto" w:fill="auto"/>
            <w:noWrap/>
            <w:vAlign w:val="center"/>
          </w:tcPr>
          <w:p w14:paraId="3B38230C">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6</w:t>
            </w:r>
          </w:p>
        </w:tc>
        <w:tc>
          <w:tcPr>
            <w:tcW w:w="2680" w:type="dxa"/>
            <w:vMerge w:val="restart"/>
            <w:tcBorders>
              <w:tl2br w:val="nil"/>
              <w:tr2bl w:val="nil"/>
            </w:tcBorders>
            <w:shd w:val="clear" w:color="auto" w:fill="auto"/>
            <w:vAlign w:val="center"/>
          </w:tcPr>
          <w:p w14:paraId="2F385AE7">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办公自动化运维服务</w:t>
            </w:r>
          </w:p>
        </w:tc>
        <w:tc>
          <w:tcPr>
            <w:tcW w:w="8725" w:type="dxa"/>
            <w:tcBorders>
              <w:tl2br w:val="nil"/>
              <w:tr2bl w:val="nil"/>
            </w:tcBorders>
            <w:shd w:val="clear" w:color="auto" w:fill="auto"/>
            <w:vAlign w:val="top"/>
          </w:tcPr>
          <w:p w14:paraId="44126E9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1.台式机、笔记本设备运维服务服务</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服务内容：针对全院所有台式机、笔记本、平板电脑以及即将新增的国产电脑等办公自动化设备的硬件及软件维护，包括桌面用户支持、桌面系统维护和硬件更换等。</w:t>
            </w:r>
          </w:p>
        </w:tc>
        <w:tc>
          <w:tcPr>
            <w:tcW w:w="1275" w:type="dxa"/>
            <w:vMerge w:val="restart"/>
            <w:tcBorders>
              <w:tl2br w:val="nil"/>
              <w:tr2bl w:val="nil"/>
            </w:tcBorders>
            <w:shd w:val="clear" w:color="auto" w:fill="auto"/>
            <w:vAlign w:val="center"/>
          </w:tcPr>
          <w:p w14:paraId="10BFE299">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850,000.00</w:t>
            </w:r>
          </w:p>
        </w:tc>
        <w:tc>
          <w:tcPr>
            <w:tcW w:w="1338" w:type="dxa"/>
            <w:vMerge w:val="restart"/>
            <w:tcBorders>
              <w:tl2br w:val="nil"/>
              <w:tr2bl w:val="nil"/>
            </w:tcBorders>
            <w:shd w:val="clear" w:color="auto" w:fill="auto"/>
            <w:vAlign w:val="center"/>
          </w:tcPr>
          <w:p w14:paraId="7DDE2B24">
            <w:pPr>
              <w:keepNext w:val="0"/>
              <w:keepLines w:val="0"/>
              <w:widowControl/>
              <w:suppressLineNumbers w:val="0"/>
              <w:autoSpaceDE w:val="0"/>
              <w:autoSpaceDN/>
              <w:spacing w:before="0" w:beforeAutospacing="1" w:after="0" w:afterAutospacing="1" w:line="400" w:lineRule="exact"/>
              <w:ind w:left="0" w:right="0"/>
              <w:jc w:val="center"/>
              <w:rPr>
                <w:rFonts w:hint="eastAsia" w:ascii="宋体" w:hAnsi="宋体" w:eastAsia="宋体" w:cs="宋体"/>
                <w:highlight w:val="none"/>
              </w:rPr>
            </w:pPr>
            <w:r>
              <w:rPr>
                <w:rFonts w:hint="eastAsia" w:ascii="宋体" w:hAnsi="宋体" w:eastAsia="宋体" w:cs="宋体"/>
                <w:i w:val="0"/>
                <w:color w:val="000000"/>
                <w:kern w:val="2"/>
                <w:sz w:val="20"/>
                <w:szCs w:val="20"/>
                <w:highlight w:val="none"/>
                <w:lang w:val="en-US" w:eastAsia="zh-CN" w:bidi="ar"/>
              </w:rPr>
              <w:t>5人，新增人民陪审员智慧管理服务、昆明中院官方网站维护，</w:t>
            </w:r>
            <w:r>
              <w:rPr>
                <w:rFonts w:hint="eastAsia" w:ascii="宋体" w:hAnsi="宋体" w:eastAsia="宋体" w:cs="宋体"/>
                <w:i w:val="0"/>
                <w:color w:val="000000"/>
                <w:kern w:val="0"/>
                <w:sz w:val="20"/>
                <w:szCs w:val="20"/>
                <w:highlight w:val="none"/>
                <w:lang w:val="en-US" w:eastAsia="zh-CN" w:bidi="ar"/>
              </w:rPr>
              <w:t>昆法联络站和档案查阅预约小程序维护</w:t>
            </w:r>
          </w:p>
        </w:tc>
      </w:tr>
      <w:tr w14:paraId="65252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0" w:hRule="atLeast"/>
        </w:trPr>
        <w:tc>
          <w:tcPr>
            <w:tcW w:w="665" w:type="dxa"/>
            <w:vMerge w:val="continue"/>
            <w:tcBorders>
              <w:tl2br w:val="nil"/>
              <w:tr2bl w:val="nil"/>
            </w:tcBorders>
            <w:shd w:val="clear" w:color="auto" w:fill="auto"/>
            <w:noWrap/>
            <w:vAlign w:val="center"/>
          </w:tcPr>
          <w:p w14:paraId="24EF702D">
            <w:pPr>
              <w:rPr>
                <w:rFonts w:hint="eastAsia" w:ascii="宋体" w:hAnsi="宋体" w:eastAsia="宋体" w:cs="宋体"/>
                <w:sz w:val="24"/>
                <w:szCs w:val="24"/>
                <w:highlight w:val="none"/>
              </w:rPr>
            </w:pPr>
          </w:p>
        </w:tc>
        <w:tc>
          <w:tcPr>
            <w:tcW w:w="2680" w:type="dxa"/>
            <w:vMerge w:val="continue"/>
            <w:tcBorders>
              <w:tl2br w:val="nil"/>
              <w:tr2bl w:val="nil"/>
            </w:tcBorders>
            <w:shd w:val="clear" w:color="auto" w:fill="auto"/>
            <w:vAlign w:val="center"/>
          </w:tcPr>
          <w:p w14:paraId="1248361F">
            <w:pPr>
              <w:rPr>
                <w:rFonts w:hint="eastAsia" w:ascii="宋体" w:hAnsi="宋体" w:eastAsia="宋体" w:cs="宋体"/>
                <w:sz w:val="24"/>
                <w:szCs w:val="24"/>
                <w:highlight w:val="none"/>
              </w:rPr>
            </w:pPr>
          </w:p>
        </w:tc>
        <w:tc>
          <w:tcPr>
            <w:tcW w:w="8725" w:type="dxa"/>
            <w:tcBorders>
              <w:tl2br w:val="nil"/>
              <w:tr2bl w:val="nil"/>
            </w:tcBorders>
            <w:shd w:val="clear" w:color="auto" w:fill="auto"/>
            <w:vAlign w:val="top"/>
          </w:tcPr>
          <w:p w14:paraId="0AD637F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2.办公室及法庭区域打印设备运维服务</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（1）服务范围：复印机、扫描仪、传真一体机、光盘刻录机、碎纸机；</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2）服务内容：了解用户故障情况，进行详细的表单记录；提供定期巡检服务，包括设备连接情况、线缆接头连接情况、检查设备积尘情况并进行除尘，现场解答用户设备使用过程中的疑问，以期排除潜在问题，保证设备持续的正常运行。</w:t>
            </w:r>
          </w:p>
        </w:tc>
        <w:tc>
          <w:tcPr>
            <w:tcW w:w="1275" w:type="dxa"/>
            <w:vMerge w:val="continue"/>
            <w:tcBorders>
              <w:tl2br w:val="nil"/>
              <w:tr2bl w:val="nil"/>
            </w:tcBorders>
            <w:shd w:val="clear" w:color="auto" w:fill="auto"/>
            <w:vAlign w:val="center"/>
          </w:tcPr>
          <w:p w14:paraId="4113D37B">
            <w:pPr>
              <w:rPr>
                <w:rFonts w:hint="eastAsia" w:ascii="宋体" w:hAnsi="宋体" w:eastAsia="宋体" w:cs="宋体"/>
                <w:sz w:val="24"/>
                <w:szCs w:val="24"/>
                <w:highlight w:val="none"/>
              </w:rPr>
            </w:pPr>
          </w:p>
        </w:tc>
        <w:tc>
          <w:tcPr>
            <w:tcW w:w="1338" w:type="dxa"/>
            <w:vMerge w:val="continue"/>
            <w:tcBorders>
              <w:tl2br w:val="nil"/>
              <w:tr2bl w:val="nil"/>
            </w:tcBorders>
            <w:shd w:val="clear" w:color="auto" w:fill="auto"/>
            <w:vAlign w:val="center"/>
          </w:tcPr>
          <w:p w14:paraId="10CDCA8F">
            <w:pPr>
              <w:rPr>
                <w:rFonts w:hint="eastAsia" w:ascii="宋体" w:hAnsi="宋体" w:eastAsia="宋体" w:cs="宋体"/>
                <w:sz w:val="24"/>
                <w:szCs w:val="24"/>
                <w:highlight w:val="none"/>
              </w:rPr>
            </w:pPr>
          </w:p>
        </w:tc>
      </w:tr>
      <w:tr w14:paraId="1D45E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598" w:hRule="atLeast"/>
        </w:trPr>
        <w:tc>
          <w:tcPr>
            <w:tcW w:w="665" w:type="dxa"/>
            <w:vMerge w:val="continue"/>
            <w:tcBorders>
              <w:tl2br w:val="nil"/>
              <w:tr2bl w:val="nil"/>
            </w:tcBorders>
            <w:shd w:val="clear" w:color="auto" w:fill="auto"/>
            <w:noWrap/>
            <w:vAlign w:val="center"/>
          </w:tcPr>
          <w:p w14:paraId="767AEBCD">
            <w:pPr>
              <w:rPr>
                <w:rFonts w:hint="eastAsia" w:ascii="宋体" w:hAnsi="宋体" w:eastAsia="宋体" w:cs="宋体"/>
                <w:sz w:val="24"/>
                <w:szCs w:val="24"/>
                <w:highlight w:val="none"/>
              </w:rPr>
            </w:pPr>
          </w:p>
        </w:tc>
        <w:tc>
          <w:tcPr>
            <w:tcW w:w="2680" w:type="dxa"/>
            <w:vMerge w:val="continue"/>
            <w:tcBorders>
              <w:tl2br w:val="nil"/>
              <w:tr2bl w:val="nil"/>
            </w:tcBorders>
            <w:shd w:val="clear" w:color="auto" w:fill="auto"/>
            <w:vAlign w:val="center"/>
          </w:tcPr>
          <w:p w14:paraId="445D9B82">
            <w:pPr>
              <w:rPr>
                <w:rFonts w:hint="eastAsia" w:ascii="宋体" w:hAnsi="宋体" w:eastAsia="宋体" w:cs="宋体"/>
                <w:sz w:val="24"/>
                <w:szCs w:val="24"/>
                <w:highlight w:val="none"/>
              </w:rPr>
            </w:pPr>
          </w:p>
        </w:tc>
        <w:tc>
          <w:tcPr>
            <w:tcW w:w="8725" w:type="dxa"/>
            <w:tcBorders>
              <w:tl2br w:val="nil"/>
              <w:tr2bl w:val="nil"/>
            </w:tcBorders>
            <w:shd w:val="clear" w:color="auto" w:fill="auto"/>
            <w:vAlign w:val="top"/>
          </w:tcPr>
          <w:p w14:paraId="60062EB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3.法庭区域以外打印设备运维服务</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提供检修专用仪器；提供常用配件，包含但不限于：感光鼓、载体、刮板、搓纸轮、电机、离合器、传感器、定影组件、转印组件、成像组件、电源板、主板、高压板等；现场无法排除故障，应向用户说明情况，尽快提出解决方案，并根据和用户协商的解决方案快速处理问题，排除故障。</w:t>
            </w:r>
          </w:p>
        </w:tc>
        <w:tc>
          <w:tcPr>
            <w:tcW w:w="1275" w:type="dxa"/>
            <w:vMerge w:val="continue"/>
            <w:tcBorders>
              <w:tl2br w:val="nil"/>
              <w:tr2bl w:val="nil"/>
            </w:tcBorders>
            <w:shd w:val="clear" w:color="auto" w:fill="auto"/>
            <w:vAlign w:val="center"/>
          </w:tcPr>
          <w:p w14:paraId="0D3E8350">
            <w:pPr>
              <w:rPr>
                <w:rFonts w:hint="eastAsia" w:ascii="宋体" w:hAnsi="宋体" w:eastAsia="宋体" w:cs="宋体"/>
                <w:sz w:val="24"/>
                <w:szCs w:val="24"/>
                <w:highlight w:val="none"/>
              </w:rPr>
            </w:pPr>
          </w:p>
        </w:tc>
        <w:tc>
          <w:tcPr>
            <w:tcW w:w="1338" w:type="dxa"/>
            <w:vMerge w:val="continue"/>
            <w:tcBorders>
              <w:tl2br w:val="nil"/>
              <w:tr2bl w:val="nil"/>
            </w:tcBorders>
            <w:shd w:val="clear" w:color="auto" w:fill="auto"/>
            <w:vAlign w:val="center"/>
          </w:tcPr>
          <w:p w14:paraId="551AA0D5">
            <w:pPr>
              <w:rPr>
                <w:rFonts w:hint="eastAsia" w:ascii="宋体" w:hAnsi="宋体" w:eastAsia="宋体" w:cs="宋体"/>
                <w:sz w:val="24"/>
                <w:szCs w:val="24"/>
                <w:highlight w:val="none"/>
              </w:rPr>
            </w:pPr>
          </w:p>
        </w:tc>
      </w:tr>
      <w:tr w14:paraId="3EF28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65" w:hRule="atLeast"/>
        </w:trPr>
        <w:tc>
          <w:tcPr>
            <w:tcW w:w="0" w:type="auto"/>
            <w:tcBorders>
              <w:tl2br w:val="nil"/>
              <w:tr2bl w:val="nil"/>
            </w:tcBorders>
            <w:shd w:val="clear" w:color="auto" w:fill="auto"/>
            <w:noWrap/>
            <w:vAlign w:val="center"/>
          </w:tcPr>
          <w:p w14:paraId="1B429FB3">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7</w:t>
            </w:r>
          </w:p>
        </w:tc>
        <w:tc>
          <w:tcPr>
            <w:tcW w:w="2680" w:type="dxa"/>
            <w:tcBorders>
              <w:tl2br w:val="nil"/>
              <w:tr2bl w:val="nil"/>
            </w:tcBorders>
            <w:shd w:val="clear" w:color="auto" w:fill="auto"/>
            <w:vAlign w:val="center"/>
          </w:tcPr>
          <w:p w14:paraId="68BDD5A6">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机房信息系统运维服务</w:t>
            </w:r>
          </w:p>
        </w:tc>
        <w:tc>
          <w:tcPr>
            <w:tcW w:w="8725" w:type="dxa"/>
            <w:tcBorders>
              <w:tl2br w:val="nil"/>
              <w:tr2bl w:val="nil"/>
            </w:tcBorders>
            <w:shd w:val="clear" w:color="auto" w:fill="auto"/>
            <w:vAlign w:val="top"/>
          </w:tcPr>
          <w:p w14:paraId="5417980B">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1.机房信息系统运维服务</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服务内容：针对院本部和广福路第二办公区的网络系统（包括法院专网、电子政务网和互联网）运行维护，包含路由交换设备的维护、维修、备件更换、相关技术支撑；提供机房网络安全设备、网络及存储设备、虚拟化设备、超融合平台系统、机房内主机系统等运维服务；</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2.UPS、精密空调、消防、动环系统运维服务</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（1）服务范围：中心机房内UPS、精密空调、消防、动环系统；</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（2）服务内容：提供7*24小时技术支持及维护服务，根据现场处理级别提供不同的处理方式；每个季度提供1次巡检服务。</w:t>
            </w:r>
          </w:p>
        </w:tc>
        <w:tc>
          <w:tcPr>
            <w:tcW w:w="1275" w:type="dxa"/>
            <w:tcBorders>
              <w:tl2br w:val="nil"/>
              <w:tr2bl w:val="nil"/>
            </w:tcBorders>
            <w:shd w:val="clear" w:color="auto" w:fill="auto"/>
            <w:vAlign w:val="center"/>
          </w:tcPr>
          <w:p w14:paraId="23CA8FBF">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220,000.00 </w:t>
            </w:r>
          </w:p>
        </w:tc>
        <w:tc>
          <w:tcPr>
            <w:tcW w:w="1338" w:type="dxa"/>
            <w:tcBorders>
              <w:tl2br w:val="nil"/>
              <w:tr2bl w:val="nil"/>
            </w:tcBorders>
            <w:shd w:val="clear" w:color="auto" w:fill="auto"/>
            <w:vAlign w:val="center"/>
          </w:tcPr>
          <w:p w14:paraId="33D37B54">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1人</w:t>
            </w:r>
          </w:p>
          <w:p w14:paraId="36FD7C42">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加中远通服务</w:t>
            </w:r>
          </w:p>
        </w:tc>
      </w:tr>
      <w:tr w14:paraId="62EEA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680" w:hRule="atLeast"/>
        </w:trPr>
        <w:tc>
          <w:tcPr>
            <w:tcW w:w="0" w:type="auto"/>
            <w:tcBorders>
              <w:tl2br w:val="nil"/>
              <w:tr2bl w:val="nil"/>
            </w:tcBorders>
            <w:shd w:val="clear" w:color="auto" w:fill="auto"/>
            <w:noWrap/>
            <w:vAlign w:val="center"/>
          </w:tcPr>
          <w:p w14:paraId="7D73479C">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8</w:t>
            </w:r>
          </w:p>
        </w:tc>
        <w:tc>
          <w:tcPr>
            <w:tcW w:w="2680" w:type="dxa"/>
            <w:tcBorders>
              <w:tl2br w:val="nil"/>
              <w:tr2bl w:val="nil"/>
            </w:tcBorders>
            <w:shd w:val="clear" w:color="auto" w:fill="auto"/>
            <w:vAlign w:val="center"/>
          </w:tcPr>
          <w:p w14:paraId="5984F889">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网络安全运维服务</w:t>
            </w:r>
          </w:p>
        </w:tc>
        <w:tc>
          <w:tcPr>
            <w:tcW w:w="8725" w:type="dxa"/>
            <w:tcBorders>
              <w:tl2br w:val="nil"/>
              <w:tr2bl w:val="nil"/>
            </w:tcBorders>
            <w:shd w:val="clear" w:color="auto" w:fill="auto"/>
            <w:vAlign w:val="top"/>
          </w:tcPr>
          <w:p w14:paraId="01B0F3D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针对昆明中院已建成的防火墙、Web安全防护系统、入侵防御系统、漏洞扫描、日志审计、堡垒机、上网行为管理等网络安全系统，提供网络安全系统基础运维服务及网络安全防护演练及重大活动期间的安全值守服务。包含：进行定期安全设备巡检，出具安全设备运维情况报告；根据业务需求配合进行安全设备策略变更和配置调整；负责日常安全设备的故障发现、一般故障的排除，及重大系统故障的发现和报告工作；负责安装杀毒软件、监控违规外联事件、病毒木马处理、安全攻击事件处理。定期开展渗透测试、漏洞扫描、弱口令检查，指导修复安全漏洞；负责对安全设备进行安装、卸载、上架、下架、移机等操作；进行安全事件监控、安全事件分析，提供安全预警及告警等；</w:t>
            </w:r>
          </w:p>
        </w:tc>
        <w:tc>
          <w:tcPr>
            <w:tcW w:w="1275" w:type="dxa"/>
            <w:tcBorders>
              <w:tl2br w:val="nil"/>
              <w:tr2bl w:val="nil"/>
            </w:tcBorders>
            <w:shd w:val="clear" w:color="auto" w:fill="auto"/>
            <w:vAlign w:val="center"/>
          </w:tcPr>
          <w:p w14:paraId="56ABADE9">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150,000.00 </w:t>
            </w:r>
          </w:p>
        </w:tc>
        <w:tc>
          <w:tcPr>
            <w:tcW w:w="1338" w:type="dxa"/>
            <w:tcBorders>
              <w:tl2br w:val="nil"/>
              <w:tr2bl w:val="nil"/>
            </w:tcBorders>
            <w:shd w:val="clear" w:color="auto" w:fill="auto"/>
            <w:vAlign w:val="center"/>
          </w:tcPr>
          <w:p w14:paraId="073994C3">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1人</w:t>
            </w:r>
          </w:p>
        </w:tc>
      </w:tr>
      <w:tr w14:paraId="63F69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75" w:hRule="atLeast"/>
        </w:trPr>
        <w:tc>
          <w:tcPr>
            <w:tcW w:w="0" w:type="auto"/>
            <w:tcBorders>
              <w:tl2br w:val="nil"/>
              <w:tr2bl w:val="nil"/>
            </w:tcBorders>
            <w:shd w:val="clear" w:color="auto" w:fill="auto"/>
            <w:noWrap/>
            <w:vAlign w:val="center"/>
          </w:tcPr>
          <w:p w14:paraId="5DEA5D32">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9</w:t>
            </w:r>
          </w:p>
        </w:tc>
        <w:tc>
          <w:tcPr>
            <w:tcW w:w="2680" w:type="dxa"/>
            <w:tcBorders>
              <w:tl2br w:val="nil"/>
              <w:tr2bl w:val="nil"/>
            </w:tcBorders>
            <w:shd w:val="clear" w:color="auto" w:fill="auto"/>
            <w:vAlign w:val="center"/>
          </w:tcPr>
          <w:p w14:paraId="6D35AD07">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数字法庭运维服务</w:t>
            </w:r>
          </w:p>
        </w:tc>
        <w:tc>
          <w:tcPr>
            <w:tcW w:w="8725" w:type="dxa"/>
            <w:tcBorders>
              <w:tl2br w:val="nil"/>
              <w:tr2bl w:val="nil"/>
            </w:tcBorders>
            <w:shd w:val="clear" w:color="auto" w:fill="auto"/>
            <w:vAlign w:val="top"/>
          </w:tcPr>
          <w:p w14:paraId="3B5A9D59">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针对昆明中院已经建成所有法庭的庭审设备及系统提供驻场运维服务，法庭现场建设部分为硬件系统运维，包括各类电脑、证据展示、书记员笔录、音视频管理、法庭现场显示、发言麦克风、音响、现场摄像系统、媒体集中控制、同声传媒。法庭信息化应用部分为软件系统运维，包括远程审判、异地作证、远程质证、庭审案件点播、庭审远程观摩、案件信息管理等。</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提供运维服务期内1次/月的例行现场检查和保养服务：每月1次对系统作全面的检查、调校，并提供服务报告给用户方；在运维服务期内，将针对各节点的实际情况，为用户提供每年1次的免费现场培训服务；</w:t>
            </w:r>
          </w:p>
        </w:tc>
        <w:tc>
          <w:tcPr>
            <w:tcW w:w="1275" w:type="dxa"/>
            <w:tcBorders>
              <w:tl2br w:val="nil"/>
              <w:tr2bl w:val="nil"/>
            </w:tcBorders>
            <w:shd w:val="clear" w:color="auto" w:fill="auto"/>
            <w:vAlign w:val="center"/>
          </w:tcPr>
          <w:p w14:paraId="36F35C8C">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300,000.00 </w:t>
            </w:r>
          </w:p>
        </w:tc>
        <w:tc>
          <w:tcPr>
            <w:tcW w:w="1338" w:type="dxa"/>
            <w:tcBorders>
              <w:tl2br w:val="nil"/>
              <w:tr2bl w:val="nil"/>
            </w:tcBorders>
            <w:shd w:val="clear" w:color="auto" w:fill="auto"/>
            <w:vAlign w:val="center"/>
          </w:tcPr>
          <w:p w14:paraId="6194C05C">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2人，新增1人，原建设项目中保内运维人员服务到期</w:t>
            </w:r>
          </w:p>
        </w:tc>
      </w:tr>
      <w:tr w14:paraId="4D7FC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0" w:type="auto"/>
            <w:tcBorders>
              <w:tl2br w:val="nil"/>
              <w:tr2bl w:val="nil"/>
            </w:tcBorders>
            <w:shd w:val="clear" w:color="auto" w:fill="auto"/>
            <w:noWrap/>
            <w:vAlign w:val="center"/>
          </w:tcPr>
          <w:p w14:paraId="043EDA36">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10</w:t>
            </w:r>
          </w:p>
        </w:tc>
        <w:tc>
          <w:tcPr>
            <w:tcW w:w="2680" w:type="dxa"/>
            <w:tcBorders>
              <w:tl2br w:val="nil"/>
              <w:tr2bl w:val="nil"/>
            </w:tcBorders>
            <w:shd w:val="clear" w:color="auto" w:fill="auto"/>
            <w:vAlign w:val="center"/>
          </w:tcPr>
          <w:p w14:paraId="061BFBDC">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通讯线路保障运维服务</w:t>
            </w:r>
          </w:p>
        </w:tc>
        <w:tc>
          <w:tcPr>
            <w:tcW w:w="8725" w:type="dxa"/>
            <w:tcBorders>
              <w:tl2br w:val="nil"/>
              <w:tr2bl w:val="nil"/>
            </w:tcBorders>
            <w:shd w:val="clear" w:color="auto" w:fill="auto"/>
            <w:vAlign w:val="top"/>
          </w:tcPr>
          <w:p w14:paraId="0355D50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保障昆明中院通讯设备7*24小时安全可靠运行；</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服务内容：针对院本部及广福路办公区各楼层分线箱到每个办公房间电话线路的维护保障及室内电话线路的维护保障，合计：1257个电话号码（内线1200个，外线57个）2000个通讯线路点位的维护保障，全院通讯光缆维护等；</w:t>
            </w:r>
          </w:p>
        </w:tc>
        <w:tc>
          <w:tcPr>
            <w:tcW w:w="1275" w:type="dxa"/>
            <w:tcBorders>
              <w:tl2br w:val="nil"/>
              <w:tr2bl w:val="nil"/>
            </w:tcBorders>
            <w:shd w:val="clear" w:color="auto" w:fill="auto"/>
            <w:vAlign w:val="center"/>
          </w:tcPr>
          <w:p w14:paraId="1C161632">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100,000.00 </w:t>
            </w:r>
          </w:p>
        </w:tc>
        <w:tc>
          <w:tcPr>
            <w:tcW w:w="1338" w:type="dxa"/>
            <w:tcBorders>
              <w:tl2br w:val="nil"/>
              <w:tr2bl w:val="nil"/>
            </w:tcBorders>
            <w:shd w:val="clear" w:color="auto" w:fill="auto"/>
            <w:vAlign w:val="center"/>
          </w:tcPr>
          <w:p w14:paraId="711F5C89">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1人</w:t>
            </w:r>
          </w:p>
        </w:tc>
      </w:tr>
      <w:tr w14:paraId="0A009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trPr>
        <w:tc>
          <w:tcPr>
            <w:tcW w:w="0" w:type="auto"/>
            <w:tcBorders>
              <w:tl2br w:val="nil"/>
              <w:tr2bl w:val="nil"/>
            </w:tcBorders>
            <w:shd w:val="clear" w:color="auto" w:fill="auto"/>
            <w:noWrap/>
            <w:vAlign w:val="center"/>
          </w:tcPr>
          <w:p w14:paraId="0954A8EC">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11</w:t>
            </w:r>
          </w:p>
        </w:tc>
        <w:tc>
          <w:tcPr>
            <w:tcW w:w="2680" w:type="dxa"/>
            <w:tcBorders>
              <w:tl2br w:val="nil"/>
              <w:tr2bl w:val="nil"/>
            </w:tcBorders>
            <w:shd w:val="clear" w:color="auto" w:fill="auto"/>
            <w:vAlign w:val="center"/>
          </w:tcPr>
          <w:p w14:paraId="6A67A150">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设备维修（含零星配件）</w:t>
            </w:r>
          </w:p>
        </w:tc>
        <w:tc>
          <w:tcPr>
            <w:tcW w:w="8725" w:type="dxa"/>
            <w:tcBorders>
              <w:tl2br w:val="nil"/>
              <w:tr2bl w:val="nil"/>
            </w:tcBorders>
            <w:shd w:val="clear" w:color="auto" w:fill="auto"/>
            <w:vAlign w:val="top"/>
          </w:tcPr>
          <w:p w14:paraId="4EF48D6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1.服务方式：根据昆明中院信息系统运维实际情况提供设备维修服务及购买零星配件。</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2.服务内容：建立备品备件库：在昆明中院设立项目专属备件库，包括监控摄像头、人脸门禁机、装订机配件、常用线材、交换机、电视机、音视频转接头、拾音器、零星施工、电磁锁等常用备品备件，做好日常出入库管理，并定期汇报库存情况，全面满足本项目运维服务需求。</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3.专用工具清单：提供满足设备正常运转所需专用工具清单。</w:t>
            </w:r>
          </w:p>
        </w:tc>
        <w:tc>
          <w:tcPr>
            <w:tcW w:w="1275" w:type="dxa"/>
            <w:tcBorders>
              <w:tl2br w:val="nil"/>
              <w:tr2bl w:val="nil"/>
            </w:tcBorders>
            <w:shd w:val="clear" w:color="auto" w:fill="auto"/>
            <w:vAlign w:val="center"/>
          </w:tcPr>
          <w:p w14:paraId="40259A43">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150,000.00 </w:t>
            </w:r>
          </w:p>
        </w:tc>
        <w:tc>
          <w:tcPr>
            <w:tcW w:w="1338" w:type="dxa"/>
            <w:tcBorders>
              <w:tl2br w:val="nil"/>
              <w:tr2bl w:val="nil"/>
            </w:tcBorders>
            <w:shd w:val="clear" w:color="auto" w:fill="auto"/>
            <w:vAlign w:val="center"/>
          </w:tcPr>
          <w:p w14:paraId="16AD0C99">
            <w:pPr>
              <w:keepNext w:val="0"/>
              <w:keepLines w:val="0"/>
              <w:widowControl/>
              <w:suppressLineNumbers w:val="0"/>
              <w:autoSpaceDE w:val="0"/>
              <w:autoSpaceDN/>
              <w:spacing w:before="0" w:beforeAutospacing="1" w:after="0" w:afterAutospacing="1" w:line="400" w:lineRule="exact"/>
              <w:ind w:left="0" w:right="0"/>
              <w:jc w:val="center"/>
              <w:rPr>
                <w:rFonts w:hint="eastAsia" w:ascii="宋体" w:hAnsi="宋体" w:eastAsia="宋体" w:cs="宋体"/>
                <w:highlight w:val="none"/>
              </w:rPr>
            </w:pPr>
            <w:r>
              <w:rPr>
                <w:rFonts w:hint="eastAsia" w:ascii="宋体" w:hAnsi="宋体" w:eastAsia="宋体" w:cs="宋体"/>
                <w:i w:val="0"/>
                <w:color w:val="000000"/>
                <w:kern w:val="2"/>
                <w:sz w:val="20"/>
                <w:szCs w:val="20"/>
                <w:highlight w:val="none"/>
                <w:lang w:val="en-US" w:eastAsia="zh-CN" w:bidi="ar"/>
              </w:rPr>
              <w:t> </w:t>
            </w:r>
          </w:p>
        </w:tc>
      </w:tr>
      <w:tr w14:paraId="56D01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 w:hRule="atLeast"/>
        </w:trPr>
        <w:tc>
          <w:tcPr>
            <w:tcW w:w="0" w:type="auto"/>
            <w:tcBorders>
              <w:tl2br w:val="nil"/>
              <w:tr2bl w:val="nil"/>
            </w:tcBorders>
            <w:shd w:val="clear" w:color="auto" w:fill="auto"/>
            <w:noWrap/>
            <w:vAlign w:val="center"/>
          </w:tcPr>
          <w:p w14:paraId="0A0F65A8">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12</w:t>
            </w:r>
          </w:p>
        </w:tc>
        <w:tc>
          <w:tcPr>
            <w:tcW w:w="2680" w:type="dxa"/>
            <w:tcBorders>
              <w:tl2br w:val="nil"/>
              <w:tr2bl w:val="nil"/>
            </w:tcBorders>
            <w:shd w:val="clear" w:color="auto" w:fill="auto"/>
            <w:vAlign w:val="center"/>
          </w:tcPr>
          <w:p w14:paraId="425705DA">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运维管理及综合平台维护服务</w:t>
            </w:r>
          </w:p>
        </w:tc>
        <w:tc>
          <w:tcPr>
            <w:tcW w:w="8725" w:type="dxa"/>
            <w:tcBorders>
              <w:tl2br w:val="nil"/>
              <w:tr2bl w:val="nil"/>
            </w:tcBorders>
            <w:shd w:val="clear" w:color="auto" w:fill="auto"/>
            <w:vAlign w:val="top"/>
          </w:tcPr>
          <w:p w14:paraId="0B9081AD">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项目经理工作职责：主要负责对现场运维团队的整体管理，对日常运维工作的安排、调度；对现场人员的日常管理、考核，制定运维服务规范、制度和流程，并监督执行；负责与技术处的沟通、协调，按时交付质效运维月报等报告。</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2.专职运维管理人员工作职责：负责服务台管理流程的制定和完善、服务台工作质量的监督和完善、服务台专员工作指导和绩效评定、监督服务流程的执行和效果、负责接收客户需求，并组织调度、指导服务台专员的技术服务能力提升；负责全面协调沟通软件运维厂家、硬件运维厂家，管理全院运维人员的考勤、工作安排，同时依据运维合同出具相应的运维月度、季度、年度报告，完成运维项目的初验、终验、审计等流程；全面负责院内各个信息化系统的综合协调、全院的会议保障、全院的信息化接待讲解，配合院方完成院内属于信息化项目建设的工作。</w:t>
            </w:r>
          </w:p>
        </w:tc>
        <w:tc>
          <w:tcPr>
            <w:tcW w:w="1275" w:type="dxa"/>
            <w:tcBorders>
              <w:tl2br w:val="nil"/>
              <w:tr2bl w:val="nil"/>
            </w:tcBorders>
            <w:shd w:val="clear" w:color="auto" w:fill="auto"/>
            <w:vAlign w:val="center"/>
          </w:tcPr>
          <w:p w14:paraId="6886AD75">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400,000.00 </w:t>
            </w:r>
          </w:p>
        </w:tc>
        <w:tc>
          <w:tcPr>
            <w:tcW w:w="1338" w:type="dxa"/>
            <w:tcBorders>
              <w:tl2br w:val="nil"/>
              <w:tr2bl w:val="nil"/>
            </w:tcBorders>
            <w:shd w:val="clear" w:color="auto" w:fill="auto"/>
            <w:vAlign w:val="center"/>
          </w:tcPr>
          <w:p w14:paraId="2ACFE4A5">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2人</w:t>
            </w:r>
          </w:p>
        </w:tc>
      </w:tr>
      <w:tr w14:paraId="48EB7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0" w:type="auto"/>
            <w:tcBorders>
              <w:tl2br w:val="nil"/>
              <w:tr2bl w:val="nil"/>
            </w:tcBorders>
            <w:shd w:val="clear" w:color="auto" w:fill="auto"/>
            <w:noWrap/>
            <w:vAlign w:val="center"/>
          </w:tcPr>
          <w:p w14:paraId="222004CA">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13</w:t>
            </w:r>
          </w:p>
        </w:tc>
        <w:tc>
          <w:tcPr>
            <w:tcW w:w="2680" w:type="dxa"/>
            <w:tcBorders>
              <w:tl2br w:val="nil"/>
              <w:tr2bl w:val="nil"/>
            </w:tcBorders>
            <w:shd w:val="clear" w:color="auto" w:fill="auto"/>
            <w:vAlign w:val="center"/>
          </w:tcPr>
          <w:p w14:paraId="04B31123">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智能车辆调度系统运维服务</w:t>
            </w:r>
          </w:p>
        </w:tc>
        <w:tc>
          <w:tcPr>
            <w:tcW w:w="8725" w:type="dxa"/>
            <w:tcBorders>
              <w:tl2br w:val="nil"/>
              <w:tr2bl w:val="nil"/>
            </w:tcBorders>
            <w:shd w:val="clear" w:color="auto" w:fill="auto"/>
            <w:vAlign w:val="top"/>
          </w:tcPr>
          <w:p w14:paraId="726C1C1D">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1.服务范围：智能车辆调度系统、钥匙柜；</w:t>
            </w:r>
            <w:r>
              <w:rPr>
                <w:rFonts w:hint="eastAsia" w:ascii="宋体" w:hAnsi="宋体" w:eastAsia="宋体" w:cs="宋体"/>
                <w:kern w:val="0"/>
                <w:sz w:val="24"/>
                <w:szCs w:val="24"/>
                <w:highlight w:val="none"/>
                <w:lang w:val="en-US" w:eastAsia="zh-CN" w:bidi="ar"/>
              </w:rPr>
              <w:br w:type="textWrapping"/>
            </w:r>
            <w:r>
              <w:rPr>
                <w:rFonts w:hint="eastAsia" w:ascii="宋体" w:hAnsi="宋体" w:eastAsia="宋体" w:cs="宋体"/>
                <w:i w:val="0"/>
                <w:color w:val="000000"/>
                <w:kern w:val="0"/>
                <w:sz w:val="20"/>
                <w:szCs w:val="20"/>
                <w:highlight w:val="none"/>
                <w:lang w:val="en-US" w:eastAsia="zh-CN" w:bidi="ar"/>
              </w:rPr>
              <w:t>2.服务内容：提供7*24小时技术支持及维护服务，根据现场处理级别提供不同的处理方式；每个季度提供1次巡检服务，保证系统的正常稳定运行。</w:t>
            </w:r>
          </w:p>
        </w:tc>
        <w:tc>
          <w:tcPr>
            <w:tcW w:w="1275" w:type="dxa"/>
            <w:tcBorders>
              <w:tl2br w:val="nil"/>
              <w:tr2bl w:val="nil"/>
            </w:tcBorders>
            <w:shd w:val="clear" w:color="auto" w:fill="auto"/>
            <w:vAlign w:val="center"/>
          </w:tcPr>
          <w:p w14:paraId="0976E106">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5,000.00 </w:t>
            </w:r>
          </w:p>
        </w:tc>
        <w:tc>
          <w:tcPr>
            <w:tcW w:w="1338" w:type="dxa"/>
            <w:tcBorders>
              <w:tl2br w:val="nil"/>
              <w:tr2bl w:val="nil"/>
            </w:tcBorders>
            <w:shd w:val="clear" w:color="auto" w:fill="auto"/>
            <w:vAlign w:val="center"/>
          </w:tcPr>
          <w:p w14:paraId="116F0A16">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中科美络</w:t>
            </w:r>
          </w:p>
        </w:tc>
      </w:tr>
      <w:tr w14:paraId="70E72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trPr>
        <w:tc>
          <w:tcPr>
            <w:tcW w:w="0" w:type="auto"/>
            <w:tcBorders>
              <w:tl2br w:val="nil"/>
              <w:tr2bl w:val="nil"/>
            </w:tcBorders>
            <w:shd w:val="clear" w:color="auto" w:fill="auto"/>
            <w:noWrap/>
            <w:vAlign w:val="center"/>
          </w:tcPr>
          <w:p w14:paraId="05949BA3">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14</w:t>
            </w:r>
          </w:p>
        </w:tc>
        <w:tc>
          <w:tcPr>
            <w:tcW w:w="2680" w:type="dxa"/>
            <w:tcBorders>
              <w:tl2br w:val="nil"/>
              <w:tr2bl w:val="nil"/>
            </w:tcBorders>
            <w:shd w:val="clear" w:color="auto" w:fill="auto"/>
            <w:vAlign w:val="center"/>
          </w:tcPr>
          <w:p w14:paraId="640CA516">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审判管理质效平台运维服务</w:t>
            </w:r>
          </w:p>
        </w:tc>
        <w:tc>
          <w:tcPr>
            <w:tcW w:w="8725" w:type="dxa"/>
            <w:tcBorders>
              <w:tl2br w:val="nil"/>
              <w:tr2bl w:val="nil"/>
            </w:tcBorders>
            <w:shd w:val="clear" w:color="auto" w:fill="auto"/>
            <w:vAlign w:val="center"/>
          </w:tcPr>
          <w:p w14:paraId="5167A51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服务内容：负责昆明中院审判管理办公室数据提取、审判法官个人绩效数据查询等定制化服务；</w:t>
            </w:r>
          </w:p>
        </w:tc>
        <w:tc>
          <w:tcPr>
            <w:tcW w:w="1275" w:type="dxa"/>
            <w:tcBorders>
              <w:tl2br w:val="nil"/>
              <w:tr2bl w:val="nil"/>
            </w:tcBorders>
            <w:shd w:val="clear" w:color="auto" w:fill="auto"/>
            <w:vAlign w:val="center"/>
          </w:tcPr>
          <w:p w14:paraId="52E50A49">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 xml:space="preserve">100,000.00 </w:t>
            </w:r>
          </w:p>
        </w:tc>
        <w:tc>
          <w:tcPr>
            <w:tcW w:w="1338" w:type="dxa"/>
            <w:tcBorders>
              <w:tl2br w:val="nil"/>
              <w:tr2bl w:val="nil"/>
            </w:tcBorders>
            <w:shd w:val="clear" w:color="auto" w:fill="auto"/>
            <w:vAlign w:val="center"/>
          </w:tcPr>
          <w:p w14:paraId="0F16ADA8">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2"/>
                <w:sz w:val="20"/>
                <w:szCs w:val="20"/>
                <w:highlight w:val="none"/>
                <w:lang w:val="en-US" w:eastAsia="zh-CN" w:bidi="ar"/>
              </w:rPr>
              <w:t> </w:t>
            </w:r>
          </w:p>
        </w:tc>
      </w:tr>
      <w:tr w14:paraId="4D4CE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trPr>
        <w:tc>
          <w:tcPr>
            <w:tcW w:w="0" w:type="auto"/>
            <w:tcBorders>
              <w:tl2br w:val="nil"/>
              <w:tr2bl w:val="nil"/>
            </w:tcBorders>
            <w:shd w:val="clear" w:color="auto" w:fill="auto"/>
            <w:noWrap/>
            <w:vAlign w:val="center"/>
          </w:tcPr>
          <w:p w14:paraId="50621AB2">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15</w:t>
            </w:r>
          </w:p>
        </w:tc>
        <w:tc>
          <w:tcPr>
            <w:tcW w:w="2680" w:type="dxa"/>
            <w:tcBorders>
              <w:tl2br w:val="nil"/>
              <w:tr2bl w:val="nil"/>
            </w:tcBorders>
            <w:shd w:val="clear" w:color="auto" w:fill="auto"/>
            <w:vAlign w:val="center"/>
          </w:tcPr>
          <w:p w14:paraId="1793A312">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部分法庭弱电线路更换</w:t>
            </w:r>
          </w:p>
        </w:tc>
        <w:tc>
          <w:tcPr>
            <w:tcW w:w="8725" w:type="dxa"/>
            <w:tcBorders>
              <w:tl2br w:val="nil"/>
              <w:tr2bl w:val="nil"/>
            </w:tcBorders>
            <w:shd w:val="clear" w:color="auto" w:fill="auto"/>
            <w:vAlign w:val="center"/>
          </w:tcPr>
          <w:p w14:paraId="2C88CD3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top"/>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对第3、4、7、8、11至32法庭等26个法庭电源线、HDMI高清数据线、网络线路、电话线路、话筒线路、音响线路等进行更换。</w:t>
            </w:r>
          </w:p>
        </w:tc>
        <w:tc>
          <w:tcPr>
            <w:tcW w:w="1275" w:type="dxa"/>
            <w:tcBorders>
              <w:tl2br w:val="nil"/>
              <w:tr2bl w:val="nil"/>
            </w:tcBorders>
            <w:shd w:val="clear" w:color="auto" w:fill="auto"/>
            <w:vAlign w:val="center"/>
          </w:tcPr>
          <w:p w14:paraId="56ED1E41">
            <w:pPr>
              <w:keepNext w:val="0"/>
              <w:keepLines w:val="0"/>
              <w:widowControl/>
              <w:suppressLineNumbers w:val="0"/>
              <w:autoSpaceDE w:val="0"/>
              <w:autoSpaceDN/>
              <w:spacing w:before="0" w:beforeAutospacing="1" w:after="0" w:afterAutospacing="1" w:line="400" w:lineRule="exact"/>
              <w:ind w:left="0" w:right="0"/>
              <w:jc w:val="both"/>
              <w:textAlignment w:val="center"/>
              <w:rPr>
                <w:rFonts w:hint="eastAsia" w:ascii="宋体" w:hAnsi="宋体" w:eastAsia="宋体" w:cs="宋体"/>
                <w:highlight w:val="none"/>
              </w:rPr>
            </w:pPr>
            <w:r>
              <w:rPr>
                <w:rFonts w:hint="eastAsia" w:ascii="宋体" w:hAnsi="宋体" w:eastAsia="宋体" w:cs="宋体"/>
                <w:i w:val="0"/>
                <w:color w:val="000000"/>
                <w:kern w:val="0"/>
                <w:sz w:val="20"/>
                <w:szCs w:val="20"/>
                <w:highlight w:val="none"/>
                <w:lang w:val="en-US" w:eastAsia="zh-CN" w:bidi="ar"/>
              </w:rPr>
              <w:t>150000.00</w:t>
            </w:r>
          </w:p>
        </w:tc>
        <w:tc>
          <w:tcPr>
            <w:tcW w:w="1338" w:type="dxa"/>
            <w:tcBorders>
              <w:tl2br w:val="nil"/>
              <w:tr2bl w:val="nil"/>
            </w:tcBorders>
            <w:shd w:val="clear" w:color="auto" w:fill="auto"/>
            <w:vAlign w:val="center"/>
          </w:tcPr>
          <w:p w14:paraId="7D3A40C8">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highlight w:val="none"/>
              </w:rPr>
            </w:pPr>
            <w:r>
              <w:rPr>
                <w:rFonts w:hint="eastAsia" w:ascii="宋体" w:hAnsi="宋体" w:eastAsia="宋体" w:cs="宋体"/>
                <w:i w:val="0"/>
                <w:color w:val="000000"/>
                <w:kern w:val="2"/>
                <w:sz w:val="20"/>
                <w:szCs w:val="20"/>
                <w:highlight w:val="none"/>
                <w:lang w:val="en-US" w:eastAsia="zh-CN" w:bidi="ar"/>
              </w:rPr>
              <w:t> </w:t>
            </w:r>
          </w:p>
        </w:tc>
      </w:tr>
      <w:tr w14:paraId="29FE5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trPr>
        <w:tc>
          <w:tcPr>
            <w:tcW w:w="12070" w:type="dxa"/>
            <w:gridSpan w:val="3"/>
            <w:tcBorders>
              <w:tl2br w:val="nil"/>
              <w:tr2bl w:val="nil"/>
            </w:tcBorders>
            <w:shd w:val="clear" w:color="auto" w:fill="auto"/>
            <w:noWrap/>
            <w:vAlign w:val="center"/>
          </w:tcPr>
          <w:p w14:paraId="40639D80">
            <w:pPr>
              <w:keepNext w:val="0"/>
              <w:keepLines w:val="0"/>
              <w:widowControl/>
              <w:suppressLineNumbers w:val="0"/>
              <w:autoSpaceDE w:val="0"/>
              <w:autoSpaceDN/>
              <w:spacing w:before="0" w:beforeAutospacing="1" w:after="0" w:afterAutospacing="1" w:line="400" w:lineRule="exact"/>
              <w:ind w:left="0" w:leftChars="0" w:right="0" w:rightChars="0"/>
              <w:jc w:val="center"/>
              <w:textAlignment w:val="top"/>
              <w:rPr>
                <w:rFonts w:hint="eastAsia" w:ascii="宋体" w:hAnsi="宋体" w:eastAsia="宋体" w:cs="宋体"/>
                <w:i w:val="0"/>
                <w:color w:val="000000"/>
                <w:kern w:val="0"/>
                <w:sz w:val="20"/>
                <w:szCs w:val="20"/>
                <w:highlight w:val="none"/>
                <w:lang w:val="en-US" w:eastAsia="zh-CN" w:bidi="ar"/>
              </w:rPr>
            </w:pPr>
            <w:r>
              <w:rPr>
                <w:rFonts w:hint="eastAsia" w:ascii="微软雅黑" w:hAnsi="微软雅黑" w:eastAsia="微软雅黑" w:cs="微软雅黑"/>
                <w:i w:val="0"/>
                <w:color w:val="000000"/>
                <w:kern w:val="0"/>
                <w:sz w:val="20"/>
                <w:szCs w:val="20"/>
                <w:highlight w:val="none"/>
                <w:lang w:val="en-US" w:eastAsia="zh-CN" w:bidi="ar"/>
              </w:rPr>
              <w:t>合计</w:t>
            </w:r>
          </w:p>
        </w:tc>
        <w:tc>
          <w:tcPr>
            <w:tcW w:w="1275" w:type="dxa"/>
            <w:tcBorders>
              <w:tl2br w:val="nil"/>
              <w:tr2bl w:val="nil"/>
            </w:tcBorders>
            <w:shd w:val="clear" w:color="auto" w:fill="auto"/>
            <w:vAlign w:val="center"/>
          </w:tcPr>
          <w:p w14:paraId="4284343B">
            <w:pPr>
              <w:keepNext w:val="0"/>
              <w:keepLines w:val="0"/>
              <w:widowControl/>
              <w:suppressLineNumbers w:val="0"/>
              <w:autoSpaceDE w:val="0"/>
              <w:autoSpaceDN/>
              <w:spacing w:before="0" w:beforeAutospacing="1" w:after="0" w:afterAutospacing="1" w:line="400" w:lineRule="exact"/>
              <w:ind w:left="0" w:leftChars="0" w:right="0" w:rightChars="0"/>
              <w:jc w:val="right"/>
              <w:textAlignment w:val="center"/>
              <w:rPr>
                <w:rFonts w:hint="eastAsia" w:ascii="宋体" w:hAnsi="宋体" w:eastAsia="宋体" w:cs="宋体"/>
                <w:i w:val="0"/>
                <w:color w:val="000000"/>
                <w:kern w:val="0"/>
                <w:sz w:val="20"/>
                <w:szCs w:val="20"/>
                <w:highlight w:val="none"/>
                <w:lang w:val="en-US" w:eastAsia="zh-CN" w:bidi="ar"/>
              </w:rPr>
            </w:pPr>
            <w:r>
              <w:rPr>
                <w:rFonts w:hint="default" w:ascii="Times New Roman" w:hAnsi="Times New Roman" w:eastAsia="微软雅黑" w:cs="Times New Roman"/>
                <w:i w:val="0"/>
                <w:color w:val="000000"/>
                <w:kern w:val="0"/>
                <w:sz w:val="20"/>
                <w:szCs w:val="20"/>
                <w:highlight w:val="none"/>
                <w:lang w:val="en-US" w:eastAsia="zh-CN" w:bidi="ar"/>
              </w:rPr>
              <w:t>4,350,000.00</w:t>
            </w:r>
          </w:p>
        </w:tc>
        <w:tc>
          <w:tcPr>
            <w:tcW w:w="1338" w:type="dxa"/>
            <w:tcBorders>
              <w:tl2br w:val="nil"/>
              <w:tr2bl w:val="nil"/>
            </w:tcBorders>
            <w:shd w:val="clear" w:color="auto" w:fill="auto"/>
            <w:vAlign w:val="center"/>
          </w:tcPr>
          <w:p w14:paraId="484AD1FD">
            <w:pPr>
              <w:keepNext w:val="0"/>
              <w:keepLines w:val="0"/>
              <w:widowControl/>
              <w:suppressLineNumbers w:val="0"/>
              <w:autoSpaceDE w:val="0"/>
              <w:autoSpaceDN/>
              <w:spacing w:before="0" w:beforeAutospacing="1" w:after="0" w:afterAutospacing="1" w:line="400" w:lineRule="exact"/>
              <w:ind w:left="0" w:right="0"/>
              <w:jc w:val="center"/>
              <w:textAlignment w:val="center"/>
              <w:rPr>
                <w:rFonts w:hint="eastAsia" w:ascii="宋体" w:hAnsi="宋体" w:eastAsia="宋体" w:cs="宋体"/>
                <w:i w:val="0"/>
                <w:color w:val="000000"/>
                <w:kern w:val="2"/>
                <w:sz w:val="20"/>
                <w:szCs w:val="20"/>
                <w:highlight w:val="none"/>
                <w:lang w:val="en-US" w:eastAsia="zh-CN" w:bidi="ar"/>
              </w:rPr>
            </w:pPr>
          </w:p>
        </w:tc>
      </w:tr>
    </w:tbl>
    <w:p w14:paraId="235A176D">
      <w:pPr>
        <w:spacing w:line="520" w:lineRule="exact"/>
        <w:rPr>
          <w:rFonts w:ascii="宋体" w:hAnsi="宋体" w:cs="宋体"/>
          <w:sz w:val="28"/>
          <w:szCs w:val="28"/>
          <w:highlight w:val="none"/>
        </w:rPr>
      </w:pPr>
    </w:p>
    <w:p w14:paraId="42876134">
      <w:pPr>
        <w:jc w:val="center"/>
        <w:rPr>
          <w:rFonts w:ascii="宋体" w:hAnsi="宋体" w:cs="宋体"/>
          <w:b/>
          <w:sz w:val="44"/>
          <w:szCs w:val="44"/>
          <w:highlight w:val="none"/>
        </w:rPr>
      </w:pPr>
      <w:bookmarkStart w:id="327" w:name="_Toc13407774"/>
    </w:p>
    <w:p w14:paraId="7A378A58">
      <w:pPr>
        <w:jc w:val="center"/>
        <w:rPr>
          <w:rFonts w:ascii="宋体" w:hAnsi="宋体" w:cs="宋体"/>
          <w:b/>
          <w:sz w:val="44"/>
          <w:szCs w:val="44"/>
          <w:highlight w:val="none"/>
        </w:rPr>
        <w:sectPr>
          <w:footerReference r:id="rId6" w:type="first"/>
          <w:footerReference r:id="rId4" w:type="default"/>
          <w:footerReference r:id="rId5" w:type="even"/>
          <w:pgSz w:w="16838" w:h="11905" w:orient="landscape"/>
          <w:pgMar w:top="1134" w:right="1134" w:bottom="1134" w:left="1134" w:header="850" w:footer="992" w:gutter="0"/>
          <w:pgBorders>
            <w:top w:val="none" w:sz="0" w:space="0"/>
            <w:left w:val="none" w:sz="0" w:space="0"/>
            <w:bottom w:val="none" w:sz="0" w:space="0"/>
            <w:right w:val="none" w:sz="0" w:space="0"/>
          </w:pgBorders>
          <w:cols w:space="0" w:num="1"/>
          <w:titlePg/>
          <w:docGrid w:type="lines" w:linePitch="319" w:charSpace="0"/>
        </w:sectPr>
      </w:pPr>
    </w:p>
    <w:p w14:paraId="643AB16E">
      <w:pPr>
        <w:rPr>
          <w:rFonts w:ascii="宋体" w:hAnsi="宋体" w:cs="宋体"/>
          <w:highlight w:val="none"/>
        </w:rPr>
      </w:pPr>
    </w:p>
    <w:bookmarkEnd w:id="327"/>
    <w:p w14:paraId="27E3BF65">
      <w:pPr>
        <w:pStyle w:val="2"/>
        <w:spacing w:before="240" w:after="240" w:line="360" w:lineRule="auto"/>
        <w:jc w:val="center"/>
        <w:rPr>
          <w:rFonts w:ascii="宋体" w:hAnsi="宋体" w:cs="宋体"/>
          <w:sz w:val="36"/>
          <w:szCs w:val="36"/>
          <w:highlight w:val="none"/>
          <w:lang w:val="zh-CN"/>
        </w:rPr>
      </w:pPr>
      <w:bookmarkStart w:id="328" w:name="_Toc18264"/>
      <w:bookmarkStart w:id="329" w:name="_Toc11482"/>
      <w:r>
        <w:rPr>
          <w:rFonts w:hint="eastAsia" w:ascii="宋体" w:hAnsi="宋体" w:cs="宋体"/>
          <w:sz w:val="36"/>
          <w:szCs w:val="36"/>
          <w:highlight w:val="none"/>
          <w:lang w:val="zh-CN"/>
        </w:rPr>
        <w:t>第七章 投标文件格式</w:t>
      </w:r>
      <w:bookmarkEnd w:id="303"/>
      <w:bookmarkEnd w:id="304"/>
      <w:bookmarkEnd w:id="305"/>
      <w:bookmarkEnd w:id="306"/>
      <w:bookmarkEnd w:id="328"/>
      <w:bookmarkEnd w:id="329"/>
    </w:p>
    <w:p w14:paraId="23BA9F14">
      <w:pPr>
        <w:adjustRightInd w:val="0"/>
        <w:snapToGrid w:val="0"/>
        <w:spacing w:line="360" w:lineRule="auto"/>
        <w:jc w:val="center"/>
        <w:rPr>
          <w:rFonts w:ascii="宋体" w:hAnsi="宋体" w:cs="宋体"/>
          <w:bCs/>
          <w:sz w:val="24"/>
          <w:szCs w:val="24"/>
          <w:highlight w:val="none"/>
        </w:rPr>
      </w:pPr>
      <w:bookmarkStart w:id="330" w:name="_Hlk19542342"/>
    </w:p>
    <w:p w14:paraId="72646CF7">
      <w:pPr>
        <w:widowControl w:val="0"/>
        <w:spacing w:line="360" w:lineRule="auto"/>
        <w:ind w:right="-1"/>
        <w:jc w:val="center"/>
        <w:outlineLvl w:val="1"/>
        <w:rPr>
          <w:rFonts w:hint="eastAsia" w:ascii="宋体" w:hAnsi="宋体" w:eastAsia="宋体" w:cs="宋体"/>
          <w:b/>
          <w:bCs/>
          <w:kern w:val="2"/>
          <w:sz w:val="48"/>
          <w:szCs w:val="48"/>
          <w:highlight w:val="none"/>
          <w:lang w:eastAsia="zh-CN"/>
        </w:rPr>
      </w:pPr>
      <w:bookmarkStart w:id="331" w:name="_Toc21350"/>
      <w:r>
        <w:rPr>
          <w:rFonts w:hint="eastAsia" w:ascii="宋体" w:hAnsi="宋体" w:cs="宋体"/>
          <w:b/>
          <w:bCs/>
          <w:kern w:val="2"/>
          <w:sz w:val="48"/>
          <w:szCs w:val="48"/>
          <w:highlight w:val="none"/>
        </w:rPr>
        <w:t>云南省昆明市中级人民法院</w:t>
      </w:r>
      <w:bookmarkEnd w:id="331"/>
      <w:r>
        <w:rPr>
          <w:rFonts w:hint="eastAsia" w:ascii="宋体" w:hAnsi="宋体" w:cs="宋体"/>
          <w:b/>
          <w:bCs/>
          <w:kern w:val="2"/>
          <w:sz w:val="48"/>
          <w:szCs w:val="48"/>
          <w:highlight w:val="none"/>
          <w:lang w:eastAsia="zh-CN"/>
        </w:rPr>
        <w:t>采购2025年信息系统运维服务</w:t>
      </w:r>
    </w:p>
    <w:p w14:paraId="11A6EC24">
      <w:pPr>
        <w:wordWrap w:val="0"/>
        <w:adjustRightInd w:val="0"/>
        <w:snapToGrid w:val="0"/>
        <w:spacing w:line="360" w:lineRule="auto"/>
        <w:jc w:val="center"/>
        <w:rPr>
          <w:rFonts w:ascii="宋体" w:hAnsi="宋体" w:cs="宋体"/>
          <w:b/>
          <w:sz w:val="24"/>
          <w:szCs w:val="22"/>
          <w:highlight w:val="none"/>
        </w:rPr>
      </w:pPr>
    </w:p>
    <w:p w14:paraId="40228CE2">
      <w:pPr>
        <w:wordWrap w:val="0"/>
        <w:adjustRightInd w:val="0"/>
        <w:snapToGrid w:val="0"/>
        <w:spacing w:line="360" w:lineRule="auto"/>
        <w:jc w:val="center"/>
        <w:rPr>
          <w:rFonts w:ascii="宋体" w:hAnsi="宋体" w:cs="宋体"/>
          <w:b/>
          <w:sz w:val="24"/>
          <w:szCs w:val="22"/>
          <w:highlight w:val="none"/>
        </w:rPr>
      </w:pPr>
    </w:p>
    <w:p w14:paraId="7B5C718C">
      <w:pPr>
        <w:wordWrap w:val="0"/>
        <w:adjustRightInd w:val="0"/>
        <w:snapToGrid w:val="0"/>
        <w:spacing w:line="360" w:lineRule="auto"/>
        <w:jc w:val="center"/>
        <w:rPr>
          <w:rFonts w:ascii="宋体" w:hAnsi="宋体" w:cs="宋体"/>
          <w:b/>
          <w:sz w:val="24"/>
          <w:szCs w:val="22"/>
          <w:highlight w:val="none"/>
        </w:rPr>
      </w:pPr>
    </w:p>
    <w:p w14:paraId="43D207CD">
      <w:pPr>
        <w:spacing w:line="360" w:lineRule="auto"/>
        <w:jc w:val="center"/>
        <w:rPr>
          <w:rFonts w:ascii="宋体" w:hAnsi="宋体" w:cs="宋体"/>
          <w:b/>
          <w:sz w:val="72"/>
          <w:szCs w:val="72"/>
          <w:highlight w:val="none"/>
        </w:rPr>
      </w:pPr>
      <w:r>
        <w:rPr>
          <w:rFonts w:hint="eastAsia" w:ascii="宋体" w:hAnsi="宋体" w:cs="宋体"/>
          <w:b/>
          <w:sz w:val="72"/>
          <w:szCs w:val="72"/>
          <w:highlight w:val="none"/>
        </w:rPr>
        <w:t>投 标 文 件</w:t>
      </w:r>
    </w:p>
    <w:p w14:paraId="5ED729F1">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招标编号：YNZC2025-G3-00755-YNXZ-0004</w:t>
      </w:r>
    </w:p>
    <w:p w14:paraId="25A221C0">
      <w:pPr>
        <w:tabs>
          <w:tab w:val="left" w:pos="4525"/>
        </w:tabs>
        <w:wordWrap w:val="0"/>
        <w:adjustRightInd w:val="0"/>
        <w:snapToGrid w:val="0"/>
        <w:spacing w:line="360" w:lineRule="auto"/>
        <w:jc w:val="center"/>
        <w:rPr>
          <w:rFonts w:ascii="宋体" w:hAnsi="宋体" w:cs="宋体"/>
          <w:sz w:val="24"/>
          <w:szCs w:val="24"/>
          <w:highlight w:val="none"/>
        </w:rPr>
      </w:pPr>
    </w:p>
    <w:p w14:paraId="1445CFD0">
      <w:pPr>
        <w:tabs>
          <w:tab w:val="left" w:pos="4525"/>
        </w:tabs>
        <w:wordWrap w:val="0"/>
        <w:adjustRightInd w:val="0"/>
        <w:snapToGrid w:val="0"/>
        <w:spacing w:line="360" w:lineRule="auto"/>
        <w:jc w:val="center"/>
        <w:rPr>
          <w:rFonts w:ascii="宋体" w:hAnsi="宋体" w:cs="宋体"/>
          <w:sz w:val="24"/>
          <w:szCs w:val="24"/>
          <w:highlight w:val="none"/>
        </w:rPr>
      </w:pPr>
    </w:p>
    <w:p w14:paraId="36CA4284">
      <w:pPr>
        <w:pStyle w:val="14"/>
        <w:ind w:firstLine="400"/>
        <w:rPr>
          <w:rFonts w:ascii="宋体" w:hAnsi="宋体" w:cs="宋体"/>
          <w:highlight w:val="none"/>
        </w:rPr>
      </w:pPr>
    </w:p>
    <w:p w14:paraId="6A0F51A7">
      <w:pPr>
        <w:pStyle w:val="14"/>
        <w:ind w:firstLine="400"/>
        <w:rPr>
          <w:rFonts w:ascii="宋体" w:hAnsi="宋体" w:cs="宋体"/>
          <w:highlight w:val="none"/>
        </w:rPr>
      </w:pPr>
    </w:p>
    <w:p w14:paraId="4F7B1488">
      <w:pPr>
        <w:pStyle w:val="14"/>
        <w:ind w:firstLine="400"/>
        <w:rPr>
          <w:rFonts w:ascii="宋体" w:hAnsi="宋体" w:cs="宋体"/>
          <w:highlight w:val="none"/>
        </w:rPr>
      </w:pPr>
    </w:p>
    <w:p w14:paraId="13662A11">
      <w:pPr>
        <w:pStyle w:val="14"/>
        <w:ind w:firstLine="400"/>
        <w:rPr>
          <w:rFonts w:ascii="宋体" w:hAnsi="宋体" w:cs="宋体"/>
          <w:highlight w:val="none"/>
        </w:rPr>
      </w:pPr>
    </w:p>
    <w:p w14:paraId="5AEA18F0">
      <w:pPr>
        <w:tabs>
          <w:tab w:val="left" w:pos="4525"/>
        </w:tabs>
        <w:wordWrap w:val="0"/>
        <w:adjustRightInd w:val="0"/>
        <w:snapToGrid w:val="0"/>
        <w:spacing w:line="360" w:lineRule="auto"/>
        <w:jc w:val="center"/>
        <w:rPr>
          <w:rFonts w:ascii="宋体" w:hAnsi="宋体" w:cs="宋体"/>
          <w:sz w:val="24"/>
          <w:szCs w:val="24"/>
          <w:highlight w:val="none"/>
        </w:rPr>
      </w:pPr>
    </w:p>
    <w:p w14:paraId="04780C22">
      <w:pPr>
        <w:tabs>
          <w:tab w:val="left" w:pos="4525"/>
        </w:tabs>
        <w:wordWrap w:val="0"/>
        <w:adjustRightInd w:val="0"/>
        <w:snapToGrid w:val="0"/>
        <w:spacing w:line="360" w:lineRule="auto"/>
        <w:jc w:val="center"/>
        <w:rPr>
          <w:rFonts w:ascii="宋体" w:hAnsi="宋体" w:cs="宋体"/>
          <w:sz w:val="24"/>
          <w:szCs w:val="24"/>
          <w:highlight w:val="none"/>
        </w:rPr>
      </w:pPr>
    </w:p>
    <w:p w14:paraId="138E8D1F">
      <w:pPr>
        <w:tabs>
          <w:tab w:val="left" w:pos="4525"/>
        </w:tabs>
        <w:wordWrap w:val="0"/>
        <w:adjustRightInd w:val="0"/>
        <w:snapToGrid w:val="0"/>
        <w:spacing w:line="360" w:lineRule="auto"/>
        <w:jc w:val="center"/>
        <w:rPr>
          <w:rFonts w:ascii="宋体" w:hAnsi="宋体" w:cs="宋体"/>
          <w:sz w:val="24"/>
          <w:szCs w:val="24"/>
          <w:highlight w:val="none"/>
        </w:rPr>
      </w:pPr>
    </w:p>
    <w:p w14:paraId="5BE89A24">
      <w:pPr>
        <w:pStyle w:val="14"/>
        <w:ind w:firstLine="400"/>
        <w:rPr>
          <w:rFonts w:ascii="宋体" w:hAnsi="宋体" w:cs="宋体"/>
          <w:highlight w:val="none"/>
        </w:rPr>
      </w:pPr>
    </w:p>
    <w:p w14:paraId="1F8364F4">
      <w:pPr>
        <w:tabs>
          <w:tab w:val="left" w:pos="4525"/>
        </w:tabs>
        <w:wordWrap w:val="0"/>
        <w:adjustRightInd w:val="0"/>
        <w:snapToGrid w:val="0"/>
        <w:spacing w:line="360" w:lineRule="auto"/>
        <w:jc w:val="center"/>
        <w:rPr>
          <w:rFonts w:ascii="宋体" w:hAnsi="宋体" w:cs="宋体"/>
          <w:sz w:val="24"/>
          <w:szCs w:val="24"/>
          <w:highlight w:val="none"/>
        </w:rPr>
      </w:pPr>
    </w:p>
    <w:p w14:paraId="5D434B13">
      <w:pPr>
        <w:spacing w:line="360" w:lineRule="auto"/>
        <w:rPr>
          <w:rFonts w:ascii="宋体" w:hAnsi="宋体" w:cs="宋体"/>
          <w:sz w:val="30"/>
          <w:szCs w:val="30"/>
          <w:highlight w:val="none"/>
        </w:rPr>
      </w:pPr>
      <w:r>
        <w:rPr>
          <w:rFonts w:hint="eastAsia" w:ascii="宋体" w:hAnsi="宋体" w:cs="宋体"/>
          <w:sz w:val="30"/>
          <w:szCs w:val="30"/>
          <w:highlight w:val="none"/>
        </w:rPr>
        <w:t>投标人（电子签章）：_________________________</w:t>
      </w:r>
    </w:p>
    <w:p w14:paraId="284664C0">
      <w:pPr>
        <w:spacing w:line="360" w:lineRule="auto"/>
        <w:rPr>
          <w:rFonts w:ascii="宋体" w:hAnsi="宋体" w:cs="宋体"/>
          <w:sz w:val="30"/>
          <w:szCs w:val="30"/>
          <w:highlight w:val="none"/>
        </w:rPr>
      </w:pPr>
      <w:r>
        <w:rPr>
          <w:rFonts w:hint="eastAsia" w:ascii="宋体" w:hAnsi="宋体" w:cs="宋体"/>
          <w:sz w:val="30"/>
          <w:szCs w:val="30"/>
          <w:highlight w:val="none"/>
        </w:rPr>
        <w:t>法定代表人（电子签章）：_______________</w:t>
      </w:r>
    </w:p>
    <w:p w14:paraId="629AD9D6">
      <w:pPr>
        <w:spacing w:line="360" w:lineRule="auto"/>
        <w:rPr>
          <w:rFonts w:ascii="宋体" w:hAnsi="宋体" w:cs="宋体"/>
          <w:highlight w:val="none"/>
        </w:rPr>
      </w:pPr>
      <w:r>
        <w:rPr>
          <w:rFonts w:hint="eastAsia" w:ascii="宋体" w:hAnsi="宋体" w:cs="宋体"/>
          <w:sz w:val="30"/>
          <w:szCs w:val="30"/>
          <w:highlight w:val="none"/>
        </w:rPr>
        <w:t>日期：_____年_____月_____日</w:t>
      </w:r>
      <w:bookmarkEnd w:id="330"/>
    </w:p>
    <w:p w14:paraId="4485ED28">
      <w:pPr>
        <w:pStyle w:val="4"/>
        <w:rPr>
          <w:highlight w:val="none"/>
          <w:lang w:val="zh-CN"/>
        </w:rPr>
      </w:pPr>
      <w:bookmarkStart w:id="332" w:name="_Toc259016844"/>
      <w:bookmarkStart w:id="333" w:name="_Toc259189154"/>
      <w:bookmarkStart w:id="334" w:name="_Toc260908060"/>
      <w:bookmarkStart w:id="335" w:name="_Toc260908276"/>
      <w:bookmarkStart w:id="336" w:name="_Toc32158"/>
      <w:bookmarkStart w:id="337" w:name="_Toc23836"/>
      <w:bookmarkStart w:id="338" w:name="_Toc26206"/>
      <w:bookmarkStart w:id="339" w:name="_Toc19820100"/>
      <w:bookmarkStart w:id="340" w:name="_Toc229583227"/>
      <w:bookmarkStart w:id="341" w:name="_Toc260908038"/>
      <w:bookmarkStart w:id="342" w:name="_Toc270090096"/>
      <w:bookmarkStart w:id="343" w:name="_Toc260908254"/>
      <w:r>
        <w:rPr>
          <w:rFonts w:hint="eastAsia"/>
          <w:highlight w:val="none"/>
          <w:lang w:val="zh-CN"/>
        </w:rPr>
        <w:t>一、投标文件资格审查部分</w:t>
      </w:r>
      <w:bookmarkEnd w:id="332"/>
      <w:bookmarkEnd w:id="333"/>
      <w:bookmarkEnd w:id="334"/>
      <w:bookmarkEnd w:id="335"/>
      <w:r>
        <w:rPr>
          <w:rFonts w:hint="eastAsia"/>
          <w:highlight w:val="none"/>
          <w:lang w:val="zh-CN"/>
        </w:rPr>
        <w:t>格式</w:t>
      </w:r>
      <w:bookmarkEnd w:id="336"/>
      <w:bookmarkEnd w:id="337"/>
      <w:bookmarkEnd w:id="338"/>
      <w:bookmarkEnd w:id="339"/>
    </w:p>
    <w:p w14:paraId="0267DFD9">
      <w:pPr>
        <w:pStyle w:val="5"/>
        <w:tabs>
          <w:tab w:val="left" w:pos="432"/>
          <w:tab w:val="left" w:pos="720"/>
        </w:tabs>
        <w:spacing w:before="240" w:after="240" w:line="360" w:lineRule="auto"/>
        <w:jc w:val="center"/>
        <w:rPr>
          <w:rFonts w:ascii="宋体" w:hAnsi="宋体" w:cs="宋体"/>
          <w:b w:val="0"/>
          <w:sz w:val="30"/>
          <w:szCs w:val="30"/>
          <w:highlight w:val="none"/>
        </w:rPr>
      </w:pPr>
      <w:bookmarkStart w:id="344" w:name="_Toc13874"/>
      <w:r>
        <w:rPr>
          <w:rFonts w:hint="eastAsia" w:ascii="宋体" w:hAnsi="宋体" w:cs="宋体"/>
          <w:b w:val="0"/>
          <w:sz w:val="30"/>
          <w:szCs w:val="30"/>
          <w:highlight w:val="none"/>
        </w:rPr>
        <w:t>（一）投标人基本情况表</w:t>
      </w:r>
      <w:bookmarkEnd w:id="344"/>
    </w:p>
    <w:tbl>
      <w:tblPr>
        <w:tblStyle w:val="5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3856"/>
        <w:gridCol w:w="4735"/>
      </w:tblGrid>
      <w:tr w14:paraId="08E9C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519A06E3">
            <w:pPr>
              <w:wordWrap w:val="0"/>
              <w:jc w:val="center"/>
              <w:rPr>
                <w:rFonts w:ascii="宋体" w:hAnsi="宋体" w:cs="宋体"/>
                <w:sz w:val="21"/>
                <w:szCs w:val="21"/>
                <w:highlight w:val="none"/>
              </w:rPr>
            </w:pPr>
            <w:r>
              <w:rPr>
                <w:rFonts w:hint="eastAsia" w:ascii="宋体" w:hAnsi="宋体" w:cs="宋体"/>
                <w:sz w:val="21"/>
                <w:szCs w:val="21"/>
                <w:highlight w:val="none"/>
              </w:rPr>
              <w:t>1</w:t>
            </w:r>
          </w:p>
        </w:tc>
        <w:tc>
          <w:tcPr>
            <w:tcW w:w="8591" w:type="dxa"/>
            <w:gridSpan w:val="2"/>
            <w:vAlign w:val="center"/>
          </w:tcPr>
          <w:p w14:paraId="7D63A072">
            <w:pPr>
              <w:wordWrap w:val="0"/>
              <w:ind w:firstLine="100"/>
              <w:rPr>
                <w:rFonts w:ascii="宋体" w:hAnsi="宋体" w:cs="宋体"/>
                <w:sz w:val="21"/>
                <w:szCs w:val="21"/>
                <w:highlight w:val="none"/>
              </w:rPr>
            </w:pPr>
            <w:r>
              <w:rPr>
                <w:rFonts w:hint="eastAsia" w:ascii="宋体" w:hAnsi="宋体" w:cs="宋体"/>
                <w:sz w:val="21"/>
                <w:szCs w:val="21"/>
                <w:highlight w:val="none"/>
              </w:rPr>
              <w:t>企业名称：</w:t>
            </w:r>
          </w:p>
        </w:tc>
      </w:tr>
      <w:tr w14:paraId="36F0A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6BAEF870">
            <w:pPr>
              <w:wordWrap w:val="0"/>
              <w:jc w:val="center"/>
              <w:rPr>
                <w:rFonts w:ascii="宋体" w:hAnsi="宋体" w:cs="宋体"/>
                <w:sz w:val="21"/>
                <w:szCs w:val="21"/>
                <w:highlight w:val="none"/>
              </w:rPr>
            </w:pPr>
            <w:r>
              <w:rPr>
                <w:rFonts w:hint="eastAsia" w:ascii="宋体" w:hAnsi="宋体" w:cs="宋体"/>
                <w:sz w:val="21"/>
                <w:szCs w:val="21"/>
                <w:highlight w:val="none"/>
              </w:rPr>
              <w:t>2</w:t>
            </w:r>
          </w:p>
        </w:tc>
        <w:tc>
          <w:tcPr>
            <w:tcW w:w="8591" w:type="dxa"/>
            <w:gridSpan w:val="2"/>
            <w:vAlign w:val="center"/>
          </w:tcPr>
          <w:p w14:paraId="0B904972">
            <w:pPr>
              <w:wordWrap w:val="0"/>
              <w:ind w:firstLine="100"/>
              <w:rPr>
                <w:rFonts w:ascii="宋体" w:hAnsi="宋体" w:cs="宋体"/>
                <w:sz w:val="21"/>
                <w:szCs w:val="21"/>
                <w:highlight w:val="none"/>
              </w:rPr>
            </w:pPr>
            <w:r>
              <w:rPr>
                <w:rFonts w:hint="eastAsia" w:ascii="宋体" w:hAnsi="宋体" w:cs="宋体"/>
                <w:sz w:val="21"/>
                <w:szCs w:val="21"/>
                <w:highlight w:val="none"/>
              </w:rPr>
              <w:t>总部地址：</w:t>
            </w:r>
          </w:p>
        </w:tc>
      </w:tr>
      <w:tr w14:paraId="7F621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4B0853A">
            <w:pPr>
              <w:wordWrap w:val="0"/>
              <w:jc w:val="center"/>
              <w:rPr>
                <w:rFonts w:ascii="宋体" w:hAnsi="宋体" w:cs="宋体"/>
                <w:sz w:val="21"/>
                <w:szCs w:val="21"/>
                <w:highlight w:val="none"/>
              </w:rPr>
            </w:pPr>
            <w:r>
              <w:rPr>
                <w:rFonts w:hint="eastAsia" w:ascii="宋体" w:hAnsi="宋体" w:cs="宋体"/>
                <w:sz w:val="21"/>
                <w:szCs w:val="21"/>
                <w:highlight w:val="none"/>
              </w:rPr>
              <w:t>3</w:t>
            </w:r>
          </w:p>
        </w:tc>
        <w:tc>
          <w:tcPr>
            <w:tcW w:w="8591" w:type="dxa"/>
            <w:gridSpan w:val="2"/>
            <w:vAlign w:val="center"/>
          </w:tcPr>
          <w:p w14:paraId="2CCA9205">
            <w:pPr>
              <w:wordWrap w:val="0"/>
              <w:ind w:firstLine="100"/>
              <w:rPr>
                <w:rFonts w:ascii="宋体" w:hAnsi="宋体" w:cs="宋体"/>
                <w:sz w:val="21"/>
                <w:szCs w:val="21"/>
                <w:highlight w:val="none"/>
              </w:rPr>
            </w:pPr>
            <w:r>
              <w:rPr>
                <w:rFonts w:hint="eastAsia" w:ascii="宋体" w:hAnsi="宋体" w:cs="宋体"/>
                <w:sz w:val="21"/>
                <w:szCs w:val="21"/>
                <w:highlight w:val="none"/>
              </w:rPr>
              <w:t>当地代表处地址（如有）：</w:t>
            </w:r>
          </w:p>
        </w:tc>
      </w:tr>
      <w:tr w14:paraId="703E6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E29A3EB">
            <w:pPr>
              <w:wordWrap w:val="0"/>
              <w:jc w:val="center"/>
              <w:rPr>
                <w:rFonts w:ascii="宋体" w:hAnsi="宋体" w:cs="宋体"/>
                <w:sz w:val="21"/>
                <w:szCs w:val="21"/>
                <w:highlight w:val="none"/>
              </w:rPr>
            </w:pPr>
            <w:r>
              <w:rPr>
                <w:rFonts w:hint="eastAsia" w:ascii="宋体" w:hAnsi="宋体" w:cs="宋体"/>
                <w:sz w:val="21"/>
                <w:szCs w:val="21"/>
                <w:highlight w:val="none"/>
              </w:rPr>
              <w:t>4</w:t>
            </w:r>
          </w:p>
        </w:tc>
        <w:tc>
          <w:tcPr>
            <w:tcW w:w="3856" w:type="dxa"/>
            <w:vAlign w:val="center"/>
          </w:tcPr>
          <w:p w14:paraId="6D5CEA84">
            <w:pPr>
              <w:wordWrap w:val="0"/>
              <w:ind w:firstLine="100"/>
              <w:rPr>
                <w:rFonts w:ascii="宋体" w:hAnsi="宋体" w:cs="宋体"/>
                <w:sz w:val="21"/>
                <w:szCs w:val="21"/>
                <w:highlight w:val="none"/>
              </w:rPr>
            </w:pPr>
            <w:r>
              <w:rPr>
                <w:rFonts w:hint="eastAsia" w:ascii="宋体" w:hAnsi="宋体" w:cs="宋体"/>
                <w:sz w:val="21"/>
                <w:szCs w:val="21"/>
                <w:highlight w:val="none"/>
              </w:rPr>
              <w:t>电话：</w:t>
            </w:r>
          </w:p>
        </w:tc>
        <w:tc>
          <w:tcPr>
            <w:tcW w:w="4735" w:type="dxa"/>
            <w:vAlign w:val="center"/>
          </w:tcPr>
          <w:p w14:paraId="52E3C06E">
            <w:pPr>
              <w:wordWrap w:val="0"/>
              <w:ind w:firstLine="100"/>
              <w:rPr>
                <w:rFonts w:ascii="宋体" w:hAnsi="宋体" w:cs="宋体"/>
                <w:sz w:val="21"/>
                <w:szCs w:val="21"/>
                <w:highlight w:val="none"/>
              </w:rPr>
            </w:pPr>
            <w:r>
              <w:rPr>
                <w:rFonts w:hint="eastAsia" w:ascii="宋体" w:hAnsi="宋体" w:cs="宋体"/>
                <w:sz w:val="21"/>
                <w:szCs w:val="21"/>
                <w:highlight w:val="none"/>
              </w:rPr>
              <w:t>联系人：</w:t>
            </w:r>
          </w:p>
        </w:tc>
      </w:tr>
      <w:tr w14:paraId="6875C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5C74D6BE">
            <w:pPr>
              <w:wordWrap w:val="0"/>
              <w:jc w:val="center"/>
              <w:rPr>
                <w:rFonts w:ascii="宋体" w:hAnsi="宋体" w:cs="宋体"/>
                <w:sz w:val="21"/>
                <w:szCs w:val="21"/>
                <w:highlight w:val="none"/>
              </w:rPr>
            </w:pPr>
            <w:r>
              <w:rPr>
                <w:rFonts w:hint="eastAsia" w:ascii="宋体" w:hAnsi="宋体" w:cs="宋体"/>
                <w:sz w:val="21"/>
                <w:szCs w:val="21"/>
                <w:highlight w:val="none"/>
              </w:rPr>
              <w:t>5</w:t>
            </w:r>
          </w:p>
        </w:tc>
        <w:tc>
          <w:tcPr>
            <w:tcW w:w="3856" w:type="dxa"/>
            <w:vAlign w:val="center"/>
          </w:tcPr>
          <w:p w14:paraId="70B0D94B">
            <w:pPr>
              <w:wordWrap w:val="0"/>
              <w:ind w:firstLine="100"/>
              <w:rPr>
                <w:rFonts w:ascii="宋体" w:hAnsi="宋体" w:cs="宋体"/>
                <w:sz w:val="21"/>
                <w:szCs w:val="21"/>
                <w:highlight w:val="none"/>
              </w:rPr>
            </w:pPr>
            <w:r>
              <w:rPr>
                <w:rFonts w:hint="eastAsia" w:ascii="宋体" w:hAnsi="宋体" w:cs="宋体"/>
                <w:sz w:val="21"/>
                <w:szCs w:val="21"/>
                <w:highlight w:val="none"/>
              </w:rPr>
              <w:t>传真：</w:t>
            </w:r>
          </w:p>
        </w:tc>
        <w:tc>
          <w:tcPr>
            <w:tcW w:w="4735" w:type="dxa"/>
            <w:vAlign w:val="center"/>
          </w:tcPr>
          <w:p w14:paraId="78C0F36C">
            <w:pPr>
              <w:wordWrap w:val="0"/>
              <w:ind w:firstLine="100"/>
              <w:rPr>
                <w:rFonts w:ascii="宋体" w:hAnsi="宋体" w:cs="宋体"/>
                <w:sz w:val="21"/>
                <w:szCs w:val="21"/>
                <w:highlight w:val="none"/>
              </w:rPr>
            </w:pPr>
            <w:r>
              <w:rPr>
                <w:rFonts w:hint="eastAsia" w:ascii="宋体" w:hAnsi="宋体" w:cs="宋体"/>
                <w:sz w:val="21"/>
                <w:szCs w:val="21"/>
                <w:highlight w:val="none"/>
              </w:rPr>
              <w:t>电子邮箱：</w:t>
            </w:r>
          </w:p>
        </w:tc>
      </w:tr>
      <w:tr w14:paraId="56087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77DB8FC7">
            <w:pPr>
              <w:wordWrap w:val="0"/>
              <w:jc w:val="center"/>
              <w:rPr>
                <w:rFonts w:ascii="宋体" w:hAnsi="宋体" w:cs="宋体"/>
                <w:sz w:val="21"/>
                <w:szCs w:val="21"/>
                <w:highlight w:val="none"/>
              </w:rPr>
            </w:pPr>
            <w:r>
              <w:rPr>
                <w:rFonts w:hint="eastAsia" w:ascii="宋体" w:hAnsi="宋体" w:cs="宋体"/>
                <w:sz w:val="21"/>
                <w:szCs w:val="21"/>
                <w:highlight w:val="none"/>
              </w:rPr>
              <w:t>6</w:t>
            </w:r>
          </w:p>
        </w:tc>
        <w:tc>
          <w:tcPr>
            <w:tcW w:w="3856" w:type="dxa"/>
            <w:vAlign w:val="center"/>
          </w:tcPr>
          <w:p w14:paraId="7D332A3C">
            <w:pPr>
              <w:wordWrap w:val="0"/>
              <w:ind w:firstLine="100"/>
              <w:rPr>
                <w:rFonts w:ascii="宋体" w:hAnsi="宋体" w:cs="宋体"/>
                <w:sz w:val="21"/>
                <w:szCs w:val="21"/>
                <w:highlight w:val="none"/>
              </w:rPr>
            </w:pPr>
            <w:r>
              <w:rPr>
                <w:rFonts w:hint="eastAsia" w:ascii="宋体" w:hAnsi="宋体" w:cs="宋体"/>
                <w:sz w:val="21"/>
                <w:szCs w:val="21"/>
                <w:highlight w:val="none"/>
              </w:rPr>
              <w:t>注册地：</w:t>
            </w:r>
          </w:p>
        </w:tc>
        <w:tc>
          <w:tcPr>
            <w:tcW w:w="4735" w:type="dxa"/>
            <w:vAlign w:val="center"/>
          </w:tcPr>
          <w:p w14:paraId="2B3E8A3C">
            <w:pPr>
              <w:wordWrap w:val="0"/>
              <w:ind w:firstLine="100"/>
              <w:rPr>
                <w:rFonts w:ascii="宋体" w:hAnsi="宋体" w:cs="宋体"/>
                <w:sz w:val="21"/>
                <w:szCs w:val="21"/>
                <w:highlight w:val="none"/>
              </w:rPr>
            </w:pPr>
            <w:r>
              <w:rPr>
                <w:rFonts w:hint="eastAsia" w:ascii="宋体" w:hAnsi="宋体" w:cs="宋体"/>
                <w:sz w:val="21"/>
                <w:szCs w:val="21"/>
                <w:highlight w:val="none"/>
              </w:rPr>
              <w:t>注册年份：</w:t>
            </w:r>
          </w:p>
        </w:tc>
      </w:tr>
      <w:tr w14:paraId="21698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52BDA5EB">
            <w:pPr>
              <w:wordWrap w:val="0"/>
              <w:jc w:val="center"/>
              <w:rPr>
                <w:rFonts w:ascii="宋体" w:hAnsi="宋体" w:cs="宋体"/>
                <w:sz w:val="21"/>
                <w:szCs w:val="21"/>
                <w:highlight w:val="none"/>
              </w:rPr>
            </w:pPr>
            <w:r>
              <w:rPr>
                <w:rFonts w:hint="eastAsia" w:ascii="宋体" w:hAnsi="宋体" w:cs="宋体"/>
                <w:sz w:val="21"/>
                <w:szCs w:val="21"/>
                <w:highlight w:val="none"/>
              </w:rPr>
              <w:t>7</w:t>
            </w:r>
          </w:p>
        </w:tc>
        <w:tc>
          <w:tcPr>
            <w:tcW w:w="8591" w:type="dxa"/>
            <w:gridSpan w:val="2"/>
            <w:vAlign w:val="center"/>
          </w:tcPr>
          <w:p w14:paraId="59BEEAB7">
            <w:pPr>
              <w:wordWrap w:val="0"/>
              <w:ind w:firstLine="100"/>
              <w:jc w:val="both"/>
              <w:rPr>
                <w:rFonts w:ascii="宋体" w:hAnsi="宋体" w:cs="宋体"/>
                <w:sz w:val="21"/>
                <w:szCs w:val="21"/>
                <w:highlight w:val="none"/>
              </w:rPr>
            </w:pPr>
            <w:r>
              <w:rPr>
                <w:rFonts w:hint="eastAsia" w:ascii="宋体" w:hAnsi="宋体" w:cs="宋体"/>
                <w:sz w:val="21"/>
                <w:szCs w:val="21"/>
                <w:highlight w:val="none"/>
              </w:rPr>
              <w:t xml:space="preserve">公司所具备资质及证书编号（如有）： </w:t>
            </w:r>
          </w:p>
        </w:tc>
      </w:tr>
      <w:tr w14:paraId="112B8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16" w:hRule="atLeast"/>
          <w:jc w:val="center"/>
        </w:trPr>
        <w:tc>
          <w:tcPr>
            <w:tcW w:w="628" w:type="dxa"/>
            <w:vAlign w:val="center"/>
          </w:tcPr>
          <w:p w14:paraId="60985815">
            <w:pPr>
              <w:wordWrap w:val="0"/>
              <w:jc w:val="center"/>
              <w:rPr>
                <w:rFonts w:ascii="宋体" w:hAnsi="宋体" w:cs="宋体"/>
                <w:sz w:val="21"/>
                <w:szCs w:val="21"/>
                <w:highlight w:val="none"/>
              </w:rPr>
            </w:pPr>
            <w:r>
              <w:rPr>
                <w:rFonts w:hint="eastAsia" w:ascii="宋体" w:hAnsi="宋体" w:cs="宋体"/>
                <w:sz w:val="21"/>
                <w:szCs w:val="21"/>
                <w:highlight w:val="none"/>
              </w:rPr>
              <w:t>8</w:t>
            </w:r>
          </w:p>
        </w:tc>
        <w:tc>
          <w:tcPr>
            <w:tcW w:w="8591" w:type="dxa"/>
            <w:gridSpan w:val="2"/>
            <w:vAlign w:val="center"/>
          </w:tcPr>
          <w:p w14:paraId="7B3DB612">
            <w:pPr>
              <w:wordWrap w:val="0"/>
              <w:ind w:left="72" w:firstLine="28"/>
              <w:rPr>
                <w:rFonts w:ascii="宋体" w:hAnsi="宋体" w:cs="宋体"/>
                <w:sz w:val="21"/>
                <w:szCs w:val="21"/>
                <w:highlight w:val="none"/>
              </w:rPr>
            </w:pPr>
            <w:r>
              <w:rPr>
                <w:rFonts w:hint="eastAsia" w:ascii="宋体" w:hAnsi="宋体" w:cs="宋体"/>
                <w:sz w:val="21"/>
                <w:szCs w:val="21"/>
                <w:highlight w:val="none"/>
              </w:rPr>
              <w:t>公司所具备认证证书（如有）：</w:t>
            </w:r>
          </w:p>
        </w:tc>
      </w:tr>
      <w:tr w14:paraId="795A2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628" w:type="dxa"/>
            <w:vAlign w:val="center"/>
          </w:tcPr>
          <w:p w14:paraId="090E5CCA">
            <w:pPr>
              <w:wordWrap w:val="0"/>
              <w:spacing w:line="360" w:lineRule="auto"/>
              <w:jc w:val="center"/>
              <w:rPr>
                <w:rFonts w:ascii="宋体" w:hAnsi="宋体" w:cs="宋体"/>
                <w:sz w:val="21"/>
                <w:szCs w:val="21"/>
                <w:highlight w:val="none"/>
              </w:rPr>
            </w:pPr>
            <w:r>
              <w:rPr>
                <w:rFonts w:hint="eastAsia" w:ascii="宋体" w:hAnsi="宋体" w:cs="宋体"/>
                <w:sz w:val="21"/>
                <w:szCs w:val="21"/>
                <w:highlight w:val="none"/>
              </w:rPr>
              <w:t>9</w:t>
            </w:r>
          </w:p>
        </w:tc>
        <w:tc>
          <w:tcPr>
            <w:tcW w:w="8591" w:type="dxa"/>
            <w:gridSpan w:val="2"/>
            <w:vAlign w:val="center"/>
          </w:tcPr>
          <w:p w14:paraId="5A91FB24">
            <w:pPr>
              <w:wordWrap w:val="0"/>
              <w:spacing w:line="360" w:lineRule="auto"/>
              <w:ind w:firstLine="100"/>
              <w:rPr>
                <w:rFonts w:ascii="宋体" w:hAnsi="宋体" w:cs="宋体"/>
                <w:sz w:val="21"/>
                <w:szCs w:val="21"/>
                <w:highlight w:val="none"/>
              </w:rPr>
            </w:pPr>
            <w:r>
              <w:rPr>
                <w:rFonts w:hint="eastAsia" w:ascii="宋体" w:hAnsi="宋体" w:cs="宋体"/>
                <w:sz w:val="21"/>
                <w:szCs w:val="21"/>
                <w:highlight w:val="none"/>
              </w:rPr>
              <w:t>主营范围</w:t>
            </w:r>
          </w:p>
          <w:p w14:paraId="3BCE6C2C">
            <w:pPr>
              <w:wordWrap w:val="0"/>
              <w:spacing w:line="360" w:lineRule="auto"/>
              <w:ind w:firstLine="100"/>
              <w:rPr>
                <w:rFonts w:ascii="宋体" w:hAnsi="宋体" w:cs="宋体"/>
                <w:sz w:val="21"/>
                <w:szCs w:val="21"/>
                <w:highlight w:val="none"/>
                <w:u w:val="single"/>
              </w:rPr>
            </w:pPr>
            <w:r>
              <w:rPr>
                <w:rFonts w:hint="eastAsia" w:ascii="宋体" w:hAnsi="宋体" w:cs="宋体"/>
                <w:sz w:val="21"/>
                <w:szCs w:val="21"/>
                <w:highlight w:val="none"/>
              </w:rPr>
              <w:t>1、</w:t>
            </w:r>
            <w:r>
              <w:rPr>
                <w:rFonts w:hint="eastAsia" w:ascii="宋体" w:hAnsi="宋体" w:cs="宋体"/>
                <w:sz w:val="21"/>
                <w:szCs w:val="21"/>
                <w:highlight w:val="none"/>
                <w:u w:val="single"/>
              </w:rPr>
              <w:t xml:space="preserve">                                                                </w:t>
            </w:r>
          </w:p>
          <w:p w14:paraId="164822A9">
            <w:pPr>
              <w:wordWrap w:val="0"/>
              <w:spacing w:line="360" w:lineRule="auto"/>
              <w:ind w:firstLine="100"/>
              <w:rPr>
                <w:rFonts w:ascii="宋体" w:hAnsi="宋体" w:cs="宋体"/>
                <w:sz w:val="21"/>
                <w:szCs w:val="21"/>
                <w:highlight w:val="none"/>
              </w:rPr>
            </w:pPr>
            <w:r>
              <w:rPr>
                <w:rFonts w:hint="eastAsia" w:ascii="宋体" w:hAnsi="宋体" w:cs="宋体"/>
                <w:sz w:val="21"/>
                <w:szCs w:val="21"/>
                <w:highlight w:val="none"/>
              </w:rPr>
              <w:t>2、</w:t>
            </w:r>
            <w:r>
              <w:rPr>
                <w:rFonts w:hint="eastAsia" w:ascii="宋体" w:hAnsi="宋体" w:cs="宋体"/>
                <w:sz w:val="21"/>
                <w:szCs w:val="21"/>
                <w:highlight w:val="none"/>
                <w:u w:val="single"/>
              </w:rPr>
              <w:t xml:space="preserve">                                                                </w:t>
            </w:r>
          </w:p>
          <w:p w14:paraId="20CD35BD">
            <w:pPr>
              <w:wordWrap w:val="0"/>
              <w:spacing w:line="360" w:lineRule="auto"/>
              <w:ind w:firstLine="100"/>
              <w:rPr>
                <w:rFonts w:ascii="宋体" w:hAnsi="宋体" w:cs="宋体"/>
                <w:sz w:val="21"/>
                <w:szCs w:val="21"/>
                <w:highlight w:val="none"/>
              </w:rPr>
            </w:pPr>
            <w:r>
              <w:rPr>
                <w:rFonts w:hint="eastAsia" w:ascii="宋体" w:hAnsi="宋体" w:cs="宋体"/>
                <w:sz w:val="21"/>
                <w:szCs w:val="21"/>
                <w:highlight w:val="none"/>
              </w:rPr>
              <w:t>3、</w:t>
            </w:r>
            <w:r>
              <w:rPr>
                <w:rFonts w:hint="eastAsia" w:ascii="宋体" w:hAnsi="宋体" w:cs="宋体"/>
                <w:sz w:val="21"/>
                <w:szCs w:val="21"/>
                <w:highlight w:val="none"/>
                <w:u w:val="single"/>
              </w:rPr>
              <w:t xml:space="preserve">                                                                </w:t>
            </w:r>
          </w:p>
          <w:p w14:paraId="24C21750">
            <w:pPr>
              <w:wordWrap w:val="0"/>
              <w:spacing w:line="360" w:lineRule="auto"/>
              <w:ind w:firstLine="100"/>
              <w:rPr>
                <w:rFonts w:ascii="宋体" w:hAnsi="宋体" w:cs="宋体"/>
                <w:sz w:val="21"/>
                <w:szCs w:val="21"/>
                <w:highlight w:val="none"/>
              </w:rPr>
            </w:pPr>
            <w:r>
              <w:rPr>
                <w:rFonts w:hint="eastAsia" w:ascii="宋体" w:hAnsi="宋体" w:cs="宋体"/>
                <w:sz w:val="21"/>
                <w:szCs w:val="21"/>
                <w:highlight w:val="none"/>
              </w:rPr>
              <w:t>4、</w:t>
            </w:r>
            <w:r>
              <w:rPr>
                <w:rFonts w:hint="eastAsia" w:ascii="宋体" w:hAnsi="宋体" w:cs="宋体"/>
                <w:sz w:val="21"/>
                <w:szCs w:val="21"/>
                <w:highlight w:val="none"/>
                <w:u w:val="single"/>
              </w:rPr>
              <w:t xml:space="preserve">                                                                </w:t>
            </w:r>
          </w:p>
          <w:p w14:paraId="46EBD6C1">
            <w:pPr>
              <w:wordWrap w:val="0"/>
              <w:spacing w:line="360" w:lineRule="auto"/>
              <w:ind w:firstLine="100"/>
              <w:rPr>
                <w:rFonts w:ascii="宋体" w:hAnsi="宋体" w:cs="宋体"/>
                <w:sz w:val="21"/>
                <w:szCs w:val="21"/>
                <w:highlight w:val="none"/>
              </w:rPr>
            </w:pPr>
            <w:r>
              <w:rPr>
                <w:rFonts w:hint="eastAsia" w:ascii="宋体" w:hAnsi="宋体" w:cs="宋体"/>
                <w:sz w:val="21"/>
                <w:szCs w:val="21"/>
                <w:highlight w:val="none"/>
              </w:rPr>
              <w:t>…</w:t>
            </w:r>
          </w:p>
          <w:p w14:paraId="4294680F">
            <w:pPr>
              <w:wordWrap w:val="0"/>
              <w:spacing w:line="360" w:lineRule="auto"/>
              <w:ind w:firstLine="100"/>
              <w:rPr>
                <w:rFonts w:ascii="宋体" w:hAnsi="宋体" w:cs="宋体"/>
                <w:sz w:val="21"/>
                <w:szCs w:val="21"/>
                <w:highlight w:val="none"/>
              </w:rPr>
            </w:pPr>
            <w:r>
              <w:rPr>
                <w:rFonts w:hint="eastAsia" w:ascii="宋体" w:hAnsi="宋体" w:cs="宋体"/>
                <w:sz w:val="21"/>
                <w:szCs w:val="21"/>
                <w:highlight w:val="none"/>
              </w:rPr>
              <w:t>…</w:t>
            </w:r>
          </w:p>
        </w:tc>
      </w:tr>
      <w:tr w14:paraId="60001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2" w:hRule="atLeast"/>
          <w:jc w:val="center"/>
        </w:trPr>
        <w:tc>
          <w:tcPr>
            <w:tcW w:w="628" w:type="dxa"/>
            <w:vAlign w:val="center"/>
          </w:tcPr>
          <w:p w14:paraId="17052586">
            <w:pPr>
              <w:wordWrap w:val="0"/>
              <w:jc w:val="center"/>
              <w:rPr>
                <w:rFonts w:ascii="宋体" w:hAnsi="宋体" w:cs="宋体"/>
                <w:sz w:val="21"/>
                <w:szCs w:val="21"/>
                <w:highlight w:val="none"/>
              </w:rPr>
            </w:pPr>
            <w:r>
              <w:rPr>
                <w:rFonts w:hint="eastAsia" w:ascii="宋体" w:hAnsi="宋体" w:cs="宋体"/>
                <w:sz w:val="21"/>
                <w:szCs w:val="21"/>
                <w:highlight w:val="none"/>
              </w:rPr>
              <w:t>10</w:t>
            </w:r>
          </w:p>
        </w:tc>
        <w:tc>
          <w:tcPr>
            <w:tcW w:w="8591" w:type="dxa"/>
            <w:gridSpan w:val="2"/>
            <w:vAlign w:val="center"/>
          </w:tcPr>
          <w:p w14:paraId="65B6BA35">
            <w:pPr>
              <w:wordWrap w:val="0"/>
              <w:spacing w:line="360" w:lineRule="auto"/>
              <w:ind w:firstLine="100"/>
              <w:rPr>
                <w:rFonts w:ascii="宋体" w:hAnsi="宋体" w:cs="宋体"/>
                <w:sz w:val="21"/>
                <w:szCs w:val="21"/>
                <w:highlight w:val="none"/>
              </w:rPr>
            </w:pPr>
            <w:r>
              <w:rPr>
                <w:rFonts w:hint="eastAsia" w:ascii="宋体" w:hAnsi="宋体" w:cs="宋体"/>
                <w:sz w:val="21"/>
                <w:szCs w:val="21"/>
                <w:highlight w:val="none"/>
              </w:rPr>
              <w:t>其他需要说明的情况</w:t>
            </w:r>
          </w:p>
        </w:tc>
      </w:tr>
    </w:tbl>
    <w:p w14:paraId="26135380">
      <w:pPr>
        <w:rPr>
          <w:rFonts w:ascii="宋体" w:hAnsi="宋体" w:cs="宋体"/>
          <w:highlight w:val="none"/>
        </w:rPr>
      </w:pPr>
    </w:p>
    <w:p w14:paraId="46F8AEA6">
      <w:pPr>
        <w:pStyle w:val="14"/>
        <w:ind w:firstLine="400"/>
        <w:rPr>
          <w:rFonts w:ascii="宋体" w:hAnsi="宋体" w:cs="宋体"/>
          <w:highlight w:val="none"/>
        </w:rPr>
      </w:pPr>
    </w:p>
    <w:p w14:paraId="3385C3E5">
      <w:pPr>
        <w:pStyle w:val="14"/>
        <w:ind w:firstLine="400"/>
        <w:rPr>
          <w:rFonts w:ascii="宋体" w:hAnsi="宋体" w:cs="宋体"/>
          <w:highlight w:val="none"/>
        </w:rPr>
      </w:pPr>
    </w:p>
    <w:p w14:paraId="7A4263FB">
      <w:pPr>
        <w:pStyle w:val="14"/>
        <w:ind w:firstLine="400"/>
        <w:rPr>
          <w:rFonts w:ascii="宋体" w:hAnsi="宋体" w:cs="宋体"/>
          <w:highlight w:val="none"/>
        </w:rPr>
      </w:pPr>
    </w:p>
    <w:p w14:paraId="6629D30C">
      <w:pPr>
        <w:pStyle w:val="14"/>
        <w:ind w:firstLine="400"/>
        <w:rPr>
          <w:rFonts w:ascii="宋体" w:hAnsi="宋体" w:cs="宋体"/>
          <w:highlight w:val="none"/>
        </w:rPr>
      </w:pPr>
    </w:p>
    <w:p w14:paraId="689A1735">
      <w:pPr>
        <w:rPr>
          <w:rFonts w:ascii="宋体" w:hAnsi="宋体" w:cs="宋体"/>
          <w:highlight w:val="none"/>
        </w:rPr>
      </w:pPr>
      <w:r>
        <w:rPr>
          <w:rFonts w:hint="eastAsia" w:ascii="宋体" w:hAnsi="宋体" w:cs="宋体"/>
          <w:highlight w:val="none"/>
        </w:rPr>
        <w:br w:type="page"/>
      </w:r>
    </w:p>
    <w:p w14:paraId="1AE86430">
      <w:pPr>
        <w:pStyle w:val="5"/>
        <w:tabs>
          <w:tab w:val="left" w:pos="0"/>
        </w:tabs>
        <w:spacing w:before="240" w:after="240" w:line="360" w:lineRule="auto"/>
        <w:jc w:val="center"/>
        <w:rPr>
          <w:rFonts w:ascii="宋体" w:hAnsi="宋体" w:cs="宋体"/>
          <w:b w:val="0"/>
          <w:sz w:val="30"/>
          <w:szCs w:val="30"/>
          <w:highlight w:val="none"/>
        </w:rPr>
      </w:pPr>
      <w:bookmarkStart w:id="345" w:name="_Toc9970"/>
      <w:r>
        <w:rPr>
          <w:rFonts w:hint="eastAsia" w:ascii="宋体" w:hAnsi="宋体" w:cs="宋体"/>
          <w:b w:val="0"/>
          <w:sz w:val="30"/>
          <w:szCs w:val="30"/>
          <w:highlight w:val="none"/>
        </w:rPr>
        <w:t>（二）资格证明文件</w:t>
      </w:r>
      <w:bookmarkEnd w:id="345"/>
    </w:p>
    <w:p w14:paraId="3ED0798E">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（1）具有独立承担民事责任的能力：具有独立承担民事责任的能力（法人或者其他组织的营业执照等证明文件，自然人的身份证明），提供有效的营业执照或事业单位法人证书或其他类似的法定证明文件；</w:t>
      </w:r>
    </w:p>
    <w:p w14:paraId="0C1D8C51">
      <w:pPr>
        <w:widowControl w:val="0"/>
        <w:spacing w:line="360" w:lineRule="auto"/>
        <w:jc w:val="center"/>
        <w:outlineLvl w:val="3"/>
        <w:rPr>
          <w:rFonts w:ascii="宋体" w:hAnsi="宋体" w:cs="宋体"/>
          <w:b/>
          <w:bCs/>
          <w:kern w:val="2"/>
          <w:sz w:val="21"/>
          <w:szCs w:val="21"/>
          <w:highlight w:val="none"/>
          <w:u w:val="single"/>
        </w:rPr>
      </w:pPr>
      <w:r>
        <w:rPr>
          <w:rFonts w:hint="eastAsia" w:ascii="宋体" w:hAnsi="宋体" w:cs="宋体"/>
          <w:b/>
          <w:bCs/>
          <w:sz w:val="21"/>
          <w:szCs w:val="21"/>
          <w:highlight w:val="none"/>
        </w:rPr>
        <w:t>投标文件中提供上述所需相关证明材料的原件扫描件</w:t>
      </w:r>
    </w:p>
    <w:p w14:paraId="5705034A">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具有健全的财务会计制度，须提供2022年或2023年经审计的财务报告（扫描件）或近三个月内基本开户银行出具的资信证明（扫描件）或财政部门认可的政府采购专业担保机构出具的投标担保函（成立时间不足一年的，可提供近三个月内基本开户银行出具的资信证明或自成立至今经的财务报告；如提供投标担保函的，需同时提供专业担保机构经财政部门认可的证明文件）；</w:t>
      </w:r>
    </w:p>
    <w:p w14:paraId="428DD671">
      <w:pPr>
        <w:widowControl w:val="0"/>
        <w:spacing w:line="360" w:lineRule="auto"/>
        <w:jc w:val="center"/>
        <w:rPr>
          <w:rFonts w:ascii="宋体" w:hAnsi="宋体" w:cs="宋体"/>
          <w:b/>
          <w:bCs/>
          <w:sz w:val="21"/>
          <w:szCs w:val="21"/>
          <w:highlight w:val="none"/>
        </w:rPr>
      </w:pPr>
      <w:r>
        <w:rPr>
          <w:rFonts w:hint="eastAsia" w:ascii="宋体" w:hAnsi="宋体" w:cs="宋体"/>
          <w:b/>
          <w:bCs/>
          <w:sz w:val="21"/>
          <w:szCs w:val="21"/>
          <w:highlight w:val="none"/>
        </w:rPr>
        <w:t>投标文件中提供上述所需相关证明材料的原件扫描件</w:t>
      </w:r>
    </w:p>
    <w:p w14:paraId="1CCCC88D">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（3）具有履行合同所必需的设备和专业技术能力：投标人须提供具有履行合同所必需的设备和专业技术能力的证明材料或书面声明；</w:t>
      </w:r>
    </w:p>
    <w:p w14:paraId="1338B4BF">
      <w:pPr>
        <w:widowControl w:val="0"/>
        <w:spacing w:line="360" w:lineRule="auto"/>
        <w:jc w:val="center"/>
        <w:rPr>
          <w:rFonts w:ascii="宋体" w:hAnsi="宋体" w:cs="宋体"/>
          <w:b/>
          <w:bCs/>
          <w:sz w:val="21"/>
          <w:szCs w:val="21"/>
          <w:highlight w:val="none"/>
        </w:rPr>
      </w:pPr>
      <w:r>
        <w:rPr>
          <w:rFonts w:hint="eastAsia" w:ascii="宋体" w:hAnsi="宋体" w:cs="宋体"/>
          <w:b/>
          <w:bCs/>
          <w:sz w:val="21"/>
          <w:szCs w:val="21"/>
          <w:highlight w:val="none"/>
        </w:rPr>
        <w:t>投标文件中提供上述所需相关证明材料的原件扫描件或书面声明（由投标人自行编写，格式自拟）</w:t>
      </w:r>
    </w:p>
    <w:p w14:paraId="47C001DE">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（4）有依法缴纳税收和社会保障资金的良好记录：</w:t>
      </w:r>
    </w:p>
    <w:p w14:paraId="21A27CA1">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a.投标人须提供缴税所属时间在2024年01月至本项目提交投标文件截止时间前任意3个月的税务局税收通用缴款书或银行电子缴税（费）凭证或税务局出具的纳税情况相关证明材料；依法免税的，应提供依法免税的相关证明材料；</w:t>
      </w:r>
    </w:p>
    <w:p w14:paraId="0E60E47F">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说明：新成立企业不满3个月的，提供缴税所属时间在企业成立之日起至本项目投标文件提交截止时间前任意1个月的税务局税收通用缴款书或银行电子缴税（费）凭证或税务局出具的纳税情况相关证明材料；依法免税的，应提供依法免税的相关证明材料。</w:t>
      </w:r>
    </w:p>
    <w:p w14:paraId="0B7D46BD">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b.投标人须提供缴费所属时间在2024年01月至本项目提交投标文件截止时间前任意3个月的社会保险费缴款书或银行电子缴税（费）凭证或社保管理部门出具的缴款证明；依法免缴的，应提供依法免缴的相关证明材料。</w:t>
      </w:r>
    </w:p>
    <w:p w14:paraId="3524BF2B">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说明：新成立企业不满3个月的，提供缴费所属时间在企业成立之日起至本项目投标文件提交截止时间前任意1个月的社会保险费缴款书或银行电子缴税（费）凭证或社保管理部门出具的缴款证明；依法免缴的，应提供依法免缴的相关证明材料。</w:t>
      </w:r>
    </w:p>
    <w:p w14:paraId="36A48D7D">
      <w:pPr>
        <w:widowControl w:val="0"/>
        <w:spacing w:line="360" w:lineRule="auto"/>
        <w:jc w:val="center"/>
        <w:rPr>
          <w:rFonts w:ascii="宋体" w:hAnsi="宋体" w:cs="宋体"/>
          <w:bCs/>
          <w:sz w:val="21"/>
          <w:szCs w:val="21"/>
          <w:highlight w:val="none"/>
        </w:rPr>
      </w:pPr>
      <w:r>
        <w:rPr>
          <w:rFonts w:hint="eastAsia" w:ascii="宋体" w:hAnsi="宋体" w:cs="宋体"/>
          <w:b/>
          <w:bCs/>
          <w:sz w:val="21"/>
          <w:szCs w:val="21"/>
          <w:highlight w:val="none"/>
        </w:rPr>
        <w:t>投标文件中提供上述所需相关证明材料的原件扫描件</w:t>
      </w:r>
    </w:p>
    <w:p w14:paraId="471A48BE">
      <w:pPr>
        <w:widowControl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2F3257C6">
      <w:pPr>
        <w:widowControl w:val="0"/>
        <w:spacing w:line="360" w:lineRule="auto"/>
        <w:jc w:val="center"/>
        <w:rPr>
          <w:rFonts w:ascii="宋体" w:hAnsi="宋体" w:cs="宋体"/>
          <w:b/>
          <w:bCs/>
          <w:sz w:val="21"/>
          <w:szCs w:val="21"/>
          <w:highlight w:val="none"/>
        </w:rPr>
      </w:pPr>
      <w:r>
        <w:rPr>
          <w:rFonts w:hint="eastAsia" w:ascii="宋体" w:hAnsi="宋体" w:cs="宋体"/>
          <w:b/>
          <w:bCs/>
          <w:sz w:val="21"/>
          <w:szCs w:val="21"/>
          <w:highlight w:val="none"/>
        </w:rPr>
        <w:t>投标文件中提供参加政府采购活动前三年内，在经营活动中没有重大违法记录的书面声明</w:t>
      </w:r>
    </w:p>
    <w:p w14:paraId="4FB0D191">
      <w:pPr>
        <w:widowControl w:val="0"/>
        <w:spacing w:line="360" w:lineRule="auto"/>
        <w:jc w:val="center"/>
        <w:rPr>
          <w:rFonts w:ascii="宋体" w:hAnsi="宋体" w:cs="宋体"/>
          <w:b/>
          <w:bCs/>
          <w:sz w:val="21"/>
          <w:szCs w:val="21"/>
          <w:highlight w:val="none"/>
        </w:rPr>
      </w:pPr>
      <w:r>
        <w:rPr>
          <w:rFonts w:hint="eastAsia" w:ascii="宋体" w:hAnsi="宋体" w:cs="宋体"/>
          <w:b/>
          <w:bCs/>
          <w:sz w:val="21"/>
          <w:szCs w:val="21"/>
          <w:highlight w:val="none"/>
        </w:rPr>
        <w:t>（由投标人自行编写，格式自拟）</w:t>
      </w:r>
    </w:p>
    <w:p w14:paraId="54E97F12">
      <w:pPr>
        <w:pStyle w:val="14"/>
        <w:ind w:firstLine="400"/>
        <w:rPr>
          <w:rFonts w:ascii="宋体" w:hAnsi="宋体" w:cs="宋体"/>
          <w:highlight w:val="none"/>
        </w:rPr>
      </w:pPr>
    </w:p>
    <w:p w14:paraId="1DFCA928">
      <w:pPr>
        <w:rPr>
          <w:rFonts w:ascii="宋体" w:hAnsi="宋体" w:cs="宋体"/>
          <w:highlight w:val="none"/>
        </w:rPr>
      </w:pPr>
    </w:p>
    <w:p w14:paraId="30935747">
      <w:pPr>
        <w:spacing w:line="360" w:lineRule="auto"/>
        <w:rPr>
          <w:rFonts w:ascii="宋体" w:hAnsi="宋体" w:cs="宋体"/>
          <w:highlight w:val="none"/>
        </w:rPr>
      </w:pPr>
      <w:r>
        <w:rPr>
          <w:rFonts w:hint="eastAsia" w:ascii="宋体" w:hAnsi="宋体" w:cs="宋体"/>
          <w:highlight w:val="none"/>
        </w:rPr>
        <w:t>（6）</w:t>
      </w:r>
      <w:r>
        <w:rPr>
          <w:rFonts w:hint="eastAsia" w:ascii="宋体" w:hAnsi="宋体" w:cs="宋体"/>
          <w:sz w:val="21"/>
          <w:szCs w:val="21"/>
          <w:highlight w:val="none"/>
        </w:rPr>
        <w:t>单位负责人为同一人或者存在直接控股、管理关系的不同投标人，不得参加同一项目的政府采购活动的承诺书（自行承诺）。</w:t>
      </w:r>
    </w:p>
    <w:p w14:paraId="60384668">
      <w:pPr>
        <w:pStyle w:val="14"/>
        <w:ind w:firstLine="400"/>
        <w:rPr>
          <w:rFonts w:ascii="宋体" w:hAnsi="宋体" w:cs="宋体"/>
          <w:highlight w:val="none"/>
        </w:rPr>
      </w:pPr>
    </w:p>
    <w:p w14:paraId="783B386D">
      <w:pPr>
        <w:pStyle w:val="14"/>
        <w:ind w:firstLine="400"/>
        <w:rPr>
          <w:rFonts w:ascii="宋体" w:hAnsi="宋体" w:cs="宋体"/>
          <w:highlight w:val="none"/>
        </w:rPr>
      </w:pPr>
    </w:p>
    <w:p w14:paraId="72B55AA1">
      <w:pPr>
        <w:pStyle w:val="14"/>
        <w:spacing w:line="480" w:lineRule="auto"/>
        <w:ind w:firstLine="400"/>
        <w:rPr>
          <w:rFonts w:ascii="宋体" w:hAnsi="宋体" w:cs="宋体"/>
          <w:szCs w:val="21"/>
          <w:highlight w:val="none"/>
        </w:rPr>
      </w:pPr>
    </w:p>
    <w:p w14:paraId="2181BC51">
      <w:pPr>
        <w:pStyle w:val="5"/>
        <w:tabs>
          <w:tab w:val="left" w:pos="432"/>
          <w:tab w:val="left" w:pos="720"/>
        </w:tabs>
        <w:spacing w:before="240" w:after="240" w:line="360" w:lineRule="auto"/>
        <w:jc w:val="center"/>
        <w:rPr>
          <w:rFonts w:ascii="宋体" w:hAnsi="宋体" w:cs="宋体"/>
          <w:b w:val="0"/>
          <w:sz w:val="30"/>
          <w:szCs w:val="30"/>
          <w:highlight w:val="none"/>
        </w:rPr>
      </w:pPr>
      <w:bookmarkStart w:id="346" w:name="_Toc1197"/>
      <w:bookmarkStart w:id="347" w:name="_Hlk14881428"/>
      <w:r>
        <w:rPr>
          <w:rFonts w:hint="eastAsia" w:ascii="宋体" w:hAnsi="宋体" w:cs="宋体"/>
          <w:b w:val="0"/>
          <w:sz w:val="30"/>
          <w:szCs w:val="30"/>
          <w:highlight w:val="none"/>
        </w:rPr>
        <w:t>（三）招标文件要求或投标人认为有必要提交的其他资料</w:t>
      </w:r>
      <w:bookmarkEnd w:id="346"/>
    </w:p>
    <w:p w14:paraId="64402AC4">
      <w:pPr>
        <w:widowControl w:val="0"/>
        <w:spacing w:line="360" w:lineRule="auto"/>
        <w:jc w:val="center"/>
        <w:rPr>
          <w:rFonts w:ascii="宋体" w:hAnsi="宋体" w:cs="宋体"/>
          <w:highlight w:val="none"/>
        </w:rPr>
      </w:pPr>
      <w:r>
        <w:rPr>
          <w:rFonts w:hint="eastAsia" w:ascii="宋体" w:hAnsi="宋体" w:cs="宋体"/>
          <w:sz w:val="21"/>
          <w:szCs w:val="21"/>
          <w:highlight w:val="none"/>
        </w:rPr>
        <w:t>如招标文件的资格审查有要求的，但“投标文件格式”中未给出对应格式的，由投标人在此提供（格式自拟）</w:t>
      </w:r>
      <w:bookmarkEnd w:id="347"/>
    </w:p>
    <w:p w14:paraId="0532FFCF">
      <w:pPr>
        <w:pStyle w:val="4"/>
        <w:rPr>
          <w:highlight w:val="none"/>
          <w:lang w:val="zh-CN"/>
        </w:rPr>
      </w:pPr>
      <w:bookmarkStart w:id="348" w:name="_Toc19820101"/>
      <w:bookmarkStart w:id="349" w:name="_Toc5314"/>
      <w:r>
        <w:rPr>
          <w:rFonts w:hint="eastAsia"/>
          <w:highlight w:val="none"/>
          <w:lang w:val="zh-CN"/>
        </w:rPr>
        <w:br w:type="page"/>
      </w:r>
    </w:p>
    <w:p w14:paraId="1C9D7776">
      <w:pPr>
        <w:pStyle w:val="4"/>
        <w:rPr>
          <w:highlight w:val="none"/>
          <w:lang w:val="zh-CN"/>
        </w:rPr>
      </w:pPr>
      <w:bookmarkStart w:id="350" w:name="_Toc13415"/>
      <w:bookmarkStart w:id="351" w:name="_Toc10619"/>
      <w:r>
        <w:rPr>
          <w:rFonts w:hint="eastAsia"/>
          <w:highlight w:val="none"/>
          <w:lang w:val="zh-CN"/>
        </w:rPr>
        <w:t>二、</w:t>
      </w:r>
      <w:bookmarkEnd w:id="340"/>
      <w:bookmarkEnd w:id="341"/>
      <w:bookmarkEnd w:id="342"/>
      <w:bookmarkEnd w:id="343"/>
      <w:bookmarkEnd w:id="348"/>
      <w:bookmarkEnd w:id="349"/>
      <w:bookmarkEnd w:id="350"/>
      <w:bookmarkEnd w:id="351"/>
      <w:r>
        <w:rPr>
          <w:rFonts w:hint="eastAsia"/>
          <w:highlight w:val="none"/>
          <w:lang w:val="zh-CN"/>
        </w:rPr>
        <w:t>投标文件投标报价部分格式</w:t>
      </w:r>
    </w:p>
    <w:p w14:paraId="5297EF2B">
      <w:pPr>
        <w:pStyle w:val="5"/>
        <w:tabs>
          <w:tab w:val="left" w:pos="432"/>
          <w:tab w:val="left" w:pos="720"/>
        </w:tabs>
        <w:spacing w:before="240" w:after="240" w:line="360" w:lineRule="auto"/>
        <w:jc w:val="center"/>
        <w:rPr>
          <w:rFonts w:ascii="宋体" w:hAnsi="宋体" w:cs="宋体"/>
          <w:b w:val="0"/>
          <w:sz w:val="30"/>
          <w:szCs w:val="30"/>
          <w:highlight w:val="none"/>
        </w:rPr>
      </w:pPr>
      <w:bookmarkStart w:id="352" w:name="_Toc229583228"/>
      <w:bookmarkStart w:id="353" w:name="_Toc22336"/>
      <w:r>
        <w:rPr>
          <w:rFonts w:hint="eastAsia" w:ascii="宋体" w:hAnsi="宋体" w:cs="宋体"/>
          <w:b w:val="0"/>
          <w:sz w:val="30"/>
          <w:szCs w:val="30"/>
          <w:highlight w:val="none"/>
        </w:rPr>
        <w:t>（一）法定代表人身份证明书</w:t>
      </w:r>
      <w:bookmarkEnd w:id="352"/>
      <w:bookmarkEnd w:id="353"/>
    </w:p>
    <w:p w14:paraId="1B5139E0">
      <w:pPr>
        <w:spacing w:line="480" w:lineRule="auto"/>
        <w:ind w:firstLine="539" w:firstLineChars="257"/>
        <w:rPr>
          <w:rFonts w:ascii="宋体" w:hAnsi="宋体" w:cs="宋体"/>
          <w:sz w:val="21"/>
          <w:szCs w:val="21"/>
          <w:highlight w:val="none"/>
        </w:rPr>
      </w:pPr>
      <w:r>
        <w:rPr>
          <w:rFonts w:hint="eastAsia" w:ascii="宋体" w:hAnsi="宋体" w:cs="宋体"/>
          <w:sz w:val="21"/>
          <w:szCs w:val="21"/>
          <w:highlight w:val="none"/>
        </w:rPr>
        <w:t>单位名称：</w:t>
      </w:r>
      <w:r>
        <w:rPr>
          <w:rFonts w:hint="eastAsia" w:ascii="宋体" w:hAnsi="宋体" w:cs="宋体"/>
          <w:sz w:val="21"/>
          <w:szCs w:val="21"/>
          <w:highlight w:val="none"/>
          <w:u w:val="single"/>
        </w:rPr>
        <w:t xml:space="preserve">                                                       </w:t>
      </w:r>
    </w:p>
    <w:p w14:paraId="4B0B54C0">
      <w:pPr>
        <w:spacing w:line="480" w:lineRule="auto"/>
        <w:ind w:firstLine="539" w:firstLineChars="257"/>
        <w:rPr>
          <w:rFonts w:ascii="宋体" w:hAnsi="宋体" w:cs="宋体"/>
          <w:sz w:val="21"/>
          <w:szCs w:val="21"/>
          <w:highlight w:val="none"/>
          <w:u w:val="single"/>
        </w:rPr>
      </w:pPr>
      <w:r>
        <w:rPr>
          <w:rFonts w:hint="eastAsia" w:ascii="宋体" w:hAnsi="宋体" w:cs="宋体"/>
          <w:sz w:val="21"/>
          <w:szCs w:val="21"/>
          <w:highlight w:val="none"/>
        </w:rPr>
        <w:t>单位性质：</w:t>
      </w:r>
      <w:r>
        <w:rPr>
          <w:rFonts w:hint="eastAsia" w:ascii="宋体" w:hAnsi="宋体" w:cs="宋体"/>
          <w:sz w:val="21"/>
          <w:szCs w:val="21"/>
          <w:highlight w:val="none"/>
          <w:u w:val="single"/>
        </w:rPr>
        <w:t xml:space="preserve">                                                       </w:t>
      </w:r>
    </w:p>
    <w:p w14:paraId="3C8784A2">
      <w:pPr>
        <w:spacing w:line="480" w:lineRule="auto"/>
        <w:ind w:firstLine="539" w:firstLineChars="257"/>
        <w:rPr>
          <w:rFonts w:ascii="宋体" w:hAnsi="宋体" w:cs="宋体"/>
          <w:sz w:val="21"/>
          <w:szCs w:val="21"/>
          <w:highlight w:val="none"/>
        </w:rPr>
      </w:pPr>
      <w:r>
        <w:rPr>
          <w:rFonts w:hint="eastAsia" w:ascii="宋体" w:hAnsi="宋体" w:cs="宋体"/>
          <w:sz w:val="21"/>
          <w:szCs w:val="21"/>
          <w:highlight w:val="none"/>
        </w:rPr>
        <w:t>地    址：</w:t>
      </w:r>
      <w:r>
        <w:rPr>
          <w:rFonts w:hint="eastAsia" w:ascii="宋体" w:hAnsi="宋体" w:cs="宋体"/>
          <w:sz w:val="21"/>
          <w:szCs w:val="21"/>
          <w:highlight w:val="none"/>
          <w:u w:val="single"/>
        </w:rPr>
        <w:t xml:space="preserve">                                                       </w:t>
      </w:r>
    </w:p>
    <w:p w14:paraId="365CFCB1">
      <w:pPr>
        <w:spacing w:line="480" w:lineRule="auto"/>
        <w:ind w:firstLine="539" w:firstLineChars="257"/>
        <w:rPr>
          <w:rFonts w:ascii="宋体" w:hAnsi="宋体" w:cs="宋体"/>
          <w:sz w:val="21"/>
          <w:szCs w:val="21"/>
          <w:highlight w:val="none"/>
        </w:rPr>
      </w:pPr>
      <w:r>
        <w:rPr>
          <w:rFonts w:hint="eastAsia" w:ascii="宋体" w:hAnsi="宋体" w:cs="宋体"/>
          <w:sz w:val="21"/>
          <w:szCs w:val="21"/>
          <w:highlight w:val="none"/>
        </w:rPr>
        <w:t>成立时间：</w:t>
      </w:r>
      <w:r>
        <w:rPr>
          <w:rFonts w:hint="eastAsia" w:ascii="宋体" w:hAnsi="宋体" w:cs="宋体"/>
          <w:sz w:val="21"/>
          <w:szCs w:val="21"/>
          <w:highlight w:val="none"/>
          <w:u w:val="single"/>
        </w:rPr>
        <w:t xml:space="preserve">          </w:t>
      </w:r>
      <w:r>
        <w:rPr>
          <w:rFonts w:hint="eastAsia" w:ascii="宋体" w:hAnsi="宋体" w:cs="宋体"/>
          <w:sz w:val="21"/>
          <w:szCs w:val="21"/>
          <w:highlight w:val="none"/>
        </w:rPr>
        <w:t>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日</w:t>
      </w:r>
    </w:p>
    <w:p w14:paraId="0FF3EE57">
      <w:pPr>
        <w:spacing w:line="480" w:lineRule="auto"/>
        <w:ind w:firstLine="539" w:firstLineChars="257"/>
        <w:rPr>
          <w:rFonts w:ascii="宋体" w:hAnsi="宋体" w:cs="宋体"/>
          <w:sz w:val="21"/>
          <w:szCs w:val="21"/>
          <w:highlight w:val="none"/>
        </w:rPr>
      </w:pPr>
      <w:r>
        <w:rPr>
          <w:rFonts w:hint="eastAsia" w:ascii="宋体" w:hAnsi="宋体" w:cs="宋体"/>
          <w:sz w:val="21"/>
          <w:szCs w:val="21"/>
          <w:highlight w:val="none"/>
        </w:rPr>
        <w:t>经营期限：</w:t>
      </w:r>
      <w:r>
        <w:rPr>
          <w:rFonts w:hint="eastAsia" w:ascii="宋体" w:hAnsi="宋体" w:cs="宋体"/>
          <w:sz w:val="21"/>
          <w:szCs w:val="21"/>
          <w:highlight w:val="none"/>
          <w:u w:val="single"/>
        </w:rPr>
        <w:t xml:space="preserve">                                                       </w:t>
      </w:r>
    </w:p>
    <w:p w14:paraId="5C1B28BA">
      <w:pPr>
        <w:spacing w:line="480" w:lineRule="auto"/>
        <w:ind w:firstLine="539" w:firstLineChars="257"/>
        <w:rPr>
          <w:rFonts w:ascii="宋体" w:hAnsi="宋体" w:cs="宋体"/>
          <w:sz w:val="21"/>
          <w:szCs w:val="21"/>
          <w:highlight w:val="none"/>
        </w:rPr>
      </w:pPr>
      <w:r>
        <w:rPr>
          <w:rFonts w:hint="eastAsia" w:ascii="宋体" w:hAnsi="宋体" w:cs="宋体"/>
          <w:sz w:val="21"/>
          <w:szCs w:val="21"/>
          <w:highlight w:val="none"/>
        </w:rPr>
        <w:t>姓    名：</w:t>
      </w:r>
      <w:r>
        <w:rPr>
          <w:rFonts w:hint="eastAsia" w:ascii="宋体" w:hAnsi="宋体" w:cs="宋体"/>
          <w:sz w:val="21"/>
          <w:szCs w:val="21"/>
          <w:highlight w:val="none"/>
          <w:u w:val="single"/>
        </w:rPr>
        <w:t xml:space="preserve">             </w:t>
      </w:r>
      <w:r>
        <w:rPr>
          <w:rFonts w:hint="eastAsia" w:ascii="宋体" w:hAnsi="宋体" w:cs="宋体"/>
          <w:sz w:val="21"/>
          <w:szCs w:val="21"/>
          <w:highlight w:val="none"/>
        </w:rPr>
        <w:t>性    别：</w:t>
      </w:r>
      <w:r>
        <w:rPr>
          <w:rFonts w:hint="eastAsia" w:ascii="宋体" w:hAnsi="宋体" w:cs="宋体"/>
          <w:sz w:val="21"/>
          <w:szCs w:val="21"/>
          <w:highlight w:val="none"/>
          <w:u w:val="single"/>
        </w:rPr>
        <w:t xml:space="preserve">               </w:t>
      </w:r>
    </w:p>
    <w:p w14:paraId="62AC5C18">
      <w:pPr>
        <w:spacing w:line="480" w:lineRule="auto"/>
        <w:ind w:firstLine="539" w:firstLineChars="257"/>
        <w:rPr>
          <w:rFonts w:ascii="宋体" w:hAnsi="宋体" w:cs="宋体"/>
          <w:sz w:val="21"/>
          <w:szCs w:val="21"/>
          <w:highlight w:val="none"/>
          <w:u w:val="single"/>
        </w:rPr>
      </w:pPr>
      <w:r>
        <w:rPr>
          <w:rFonts w:hint="eastAsia" w:ascii="宋体" w:hAnsi="宋体" w:cs="宋体"/>
          <w:sz w:val="21"/>
          <w:szCs w:val="21"/>
          <w:highlight w:val="none"/>
        </w:rPr>
        <w:t>年    龄：</w:t>
      </w:r>
      <w:r>
        <w:rPr>
          <w:rFonts w:hint="eastAsia" w:ascii="宋体" w:hAnsi="宋体" w:cs="宋体"/>
          <w:sz w:val="21"/>
          <w:szCs w:val="21"/>
          <w:highlight w:val="none"/>
          <w:u w:val="single"/>
        </w:rPr>
        <w:t xml:space="preserve">             </w:t>
      </w:r>
      <w:r>
        <w:rPr>
          <w:rFonts w:hint="eastAsia" w:ascii="宋体" w:hAnsi="宋体" w:cs="宋体"/>
          <w:sz w:val="21"/>
          <w:szCs w:val="21"/>
          <w:highlight w:val="none"/>
        </w:rPr>
        <w:t>职    务：</w:t>
      </w:r>
      <w:r>
        <w:rPr>
          <w:rFonts w:hint="eastAsia" w:ascii="宋体" w:hAnsi="宋体" w:cs="宋体"/>
          <w:sz w:val="21"/>
          <w:szCs w:val="21"/>
          <w:highlight w:val="none"/>
          <w:u w:val="single"/>
        </w:rPr>
        <w:t xml:space="preserve">               </w:t>
      </w:r>
    </w:p>
    <w:p w14:paraId="0B3DAFED">
      <w:pPr>
        <w:spacing w:line="480" w:lineRule="auto"/>
        <w:ind w:firstLine="539" w:firstLineChars="257"/>
        <w:rPr>
          <w:rFonts w:ascii="宋体" w:hAnsi="宋体" w:cs="宋体"/>
          <w:sz w:val="21"/>
          <w:szCs w:val="21"/>
          <w:highlight w:val="none"/>
        </w:rPr>
      </w:pPr>
      <w:r>
        <w:rPr>
          <w:rFonts w:hint="eastAsia" w:ascii="宋体" w:hAnsi="宋体" w:cs="宋体"/>
          <w:sz w:val="21"/>
          <w:szCs w:val="21"/>
          <w:highlight w:val="none"/>
        </w:rPr>
        <w:t>身份证号码：</w:t>
      </w:r>
      <w:r>
        <w:rPr>
          <w:rFonts w:hint="eastAsia" w:ascii="宋体" w:hAnsi="宋体" w:cs="宋体"/>
          <w:sz w:val="21"/>
          <w:szCs w:val="21"/>
          <w:highlight w:val="none"/>
          <w:u w:val="single"/>
        </w:rPr>
        <w:t xml:space="preserve">                                    </w:t>
      </w:r>
    </w:p>
    <w:p w14:paraId="6062AF65">
      <w:pPr>
        <w:spacing w:line="480" w:lineRule="auto"/>
        <w:ind w:firstLine="539" w:firstLineChars="257"/>
        <w:rPr>
          <w:rFonts w:ascii="宋体" w:hAnsi="宋体" w:cs="宋体"/>
          <w:sz w:val="21"/>
          <w:szCs w:val="21"/>
          <w:highlight w:val="none"/>
        </w:rPr>
      </w:pPr>
      <w:r>
        <w:rPr>
          <w:rFonts w:hint="eastAsia" w:ascii="宋体" w:hAnsi="宋体" w:cs="宋体"/>
          <w:sz w:val="21"/>
          <w:szCs w:val="21"/>
          <w:highlight w:val="none"/>
        </w:rPr>
        <w:t>系</w:t>
      </w:r>
      <w:r>
        <w:rPr>
          <w:rFonts w:hint="eastAsia" w:ascii="宋体" w:hAnsi="宋体" w:cs="宋体"/>
          <w:sz w:val="21"/>
          <w:szCs w:val="21"/>
          <w:highlight w:val="none"/>
          <w:u w:val="single"/>
        </w:rPr>
        <w:t xml:space="preserve">                                </w:t>
      </w:r>
      <w:r>
        <w:rPr>
          <w:rFonts w:hint="eastAsia" w:ascii="宋体" w:hAnsi="宋体" w:cs="宋体"/>
          <w:sz w:val="21"/>
          <w:szCs w:val="21"/>
          <w:highlight w:val="none"/>
        </w:rPr>
        <w:t>（投标人单位名称）的法定代表人。</w:t>
      </w:r>
    </w:p>
    <w:p w14:paraId="269D0139">
      <w:pPr>
        <w:spacing w:line="480" w:lineRule="auto"/>
        <w:ind w:firstLine="539" w:firstLineChars="257"/>
        <w:rPr>
          <w:rFonts w:ascii="宋体" w:hAnsi="宋体" w:cs="宋体"/>
          <w:sz w:val="21"/>
          <w:szCs w:val="21"/>
          <w:highlight w:val="none"/>
        </w:rPr>
      </w:pPr>
      <w:r>
        <w:rPr>
          <w:rFonts w:hint="eastAsia" w:ascii="宋体" w:hAnsi="宋体" w:cs="宋体"/>
          <w:sz w:val="21"/>
          <w:szCs w:val="21"/>
          <w:highlight w:val="none"/>
        </w:rPr>
        <w:t>特此证明。</w:t>
      </w:r>
    </w:p>
    <w:p w14:paraId="3F2981CD">
      <w:pPr>
        <w:spacing w:line="480" w:lineRule="auto"/>
        <w:ind w:firstLine="539" w:firstLineChars="257"/>
        <w:rPr>
          <w:rFonts w:ascii="宋体" w:hAnsi="宋体" w:cs="宋体"/>
          <w:sz w:val="21"/>
          <w:szCs w:val="21"/>
          <w:highlight w:val="none"/>
        </w:rPr>
      </w:pPr>
    </w:p>
    <w:p w14:paraId="715E7CB1">
      <w:pPr>
        <w:spacing w:line="480" w:lineRule="auto"/>
        <w:ind w:firstLine="413" w:firstLineChars="196"/>
        <w:outlineLvl w:val="3"/>
        <w:rPr>
          <w:rFonts w:ascii="宋体" w:hAnsi="宋体" w:cs="宋体"/>
          <w:sz w:val="21"/>
          <w:szCs w:val="21"/>
          <w:highlight w:val="none"/>
        </w:rPr>
      </w:pPr>
      <w:r>
        <w:rPr>
          <w:rFonts w:hint="eastAsia" w:ascii="宋体" w:hAnsi="宋体" w:cs="宋体"/>
          <w:b/>
          <w:sz w:val="21"/>
          <w:szCs w:val="21"/>
          <w:highlight w:val="none"/>
        </w:rPr>
        <w:t>附：法定代表人身份证正反面原件扫描件</w:t>
      </w:r>
    </w:p>
    <w:p w14:paraId="07E7F6DA">
      <w:pPr>
        <w:spacing w:line="480" w:lineRule="auto"/>
        <w:ind w:firstLine="539" w:firstLineChars="257"/>
        <w:rPr>
          <w:rFonts w:ascii="宋体" w:hAnsi="宋体" w:cs="宋体"/>
          <w:sz w:val="21"/>
          <w:szCs w:val="21"/>
          <w:highlight w:val="none"/>
        </w:rPr>
      </w:pPr>
    </w:p>
    <w:p w14:paraId="4557F85D">
      <w:pPr>
        <w:spacing w:line="480" w:lineRule="auto"/>
        <w:ind w:firstLine="539" w:firstLineChars="257"/>
        <w:rPr>
          <w:rFonts w:ascii="宋体" w:hAnsi="宋体" w:cs="宋体"/>
          <w:sz w:val="21"/>
          <w:szCs w:val="21"/>
          <w:highlight w:val="none"/>
        </w:rPr>
      </w:pPr>
    </w:p>
    <w:p w14:paraId="28138F24">
      <w:pPr>
        <w:wordWrap w:val="0"/>
        <w:spacing w:line="600" w:lineRule="auto"/>
        <w:ind w:right="-86" w:firstLine="4830" w:firstLineChars="2300"/>
        <w:rPr>
          <w:rFonts w:ascii="宋体" w:hAnsi="宋体" w:cs="宋体"/>
          <w:sz w:val="21"/>
          <w:szCs w:val="21"/>
          <w:highlight w:val="none"/>
          <w:u w:val="single"/>
        </w:rPr>
      </w:pPr>
      <w:r>
        <w:rPr>
          <w:rFonts w:hint="eastAsia" w:ascii="宋体" w:hAnsi="宋体" w:cs="宋体"/>
          <w:sz w:val="21"/>
          <w:szCs w:val="21"/>
          <w:highlight w:val="none"/>
        </w:rPr>
        <w:t>投标人（电子签章）：</w:t>
      </w:r>
      <w:r>
        <w:rPr>
          <w:rFonts w:hint="eastAsia" w:ascii="宋体" w:hAnsi="宋体" w:cs="宋体"/>
          <w:sz w:val="21"/>
          <w:szCs w:val="21"/>
          <w:highlight w:val="none"/>
          <w:u w:val="single"/>
        </w:rPr>
        <w:t xml:space="preserve">                    </w:t>
      </w:r>
    </w:p>
    <w:p w14:paraId="49140A2B">
      <w:pPr>
        <w:jc w:val="right"/>
        <w:rPr>
          <w:rFonts w:ascii="宋体" w:hAnsi="宋体" w:cs="宋体"/>
          <w:sz w:val="21"/>
          <w:szCs w:val="21"/>
          <w:highlight w:val="none"/>
        </w:rPr>
      </w:pPr>
      <w:r>
        <w:rPr>
          <w:rFonts w:hint="eastAsia" w:ascii="宋体" w:hAnsi="宋体" w:cs="宋体"/>
          <w:sz w:val="21"/>
          <w:szCs w:val="21"/>
          <w:highlight w:val="none"/>
          <w:u w:val="single"/>
        </w:rPr>
        <w:t xml:space="preserve">        </w:t>
      </w:r>
      <w:r>
        <w:rPr>
          <w:rFonts w:hint="eastAsia" w:ascii="宋体" w:hAnsi="宋体" w:cs="宋体"/>
          <w:sz w:val="21"/>
          <w:szCs w:val="21"/>
          <w:highlight w:val="none"/>
        </w:rPr>
        <w:t>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日</w:t>
      </w:r>
    </w:p>
    <w:p w14:paraId="750DA799">
      <w:pPr>
        <w:wordWrap w:val="0"/>
        <w:spacing w:line="360" w:lineRule="auto"/>
        <w:ind w:firstLine="2125" w:firstLineChars="1012"/>
        <w:rPr>
          <w:rFonts w:ascii="宋体" w:hAnsi="宋体" w:cs="宋体"/>
          <w:sz w:val="21"/>
          <w:szCs w:val="21"/>
          <w:highlight w:val="none"/>
        </w:rPr>
      </w:pPr>
    </w:p>
    <w:p w14:paraId="0E50A006">
      <w:pPr>
        <w:pStyle w:val="14"/>
        <w:ind w:firstLine="400"/>
        <w:rPr>
          <w:rFonts w:ascii="宋体" w:hAnsi="宋体" w:cs="宋体"/>
          <w:highlight w:val="none"/>
        </w:rPr>
      </w:pPr>
    </w:p>
    <w:p w14:paraId="19C3CA03">
      <w:pPr>
        <w:pStyle w:val="14"/>
        <w:ind w:firstLine="400"/>
        <w:rPr>
          <w:rFonts w:ascii="宋体" w:hAnsi="宋体" w:cs="宋体"/>
          <w:highlight w:val="none"/>
        </w:rPr>
      </w:pPr>
    </w:p>
    <w:p w14:paraId="1CD10AA6">
      <w:pPr>
        <w:pStyle w:val="14"/>
        <w:ind w:firstLine="400"/>
        <w:rPr>
          <w:rFonts w:ascii="宋体" w:hAnsi="宋体" w:cs="宋体"/>
          <w:highlight w:val="none"/>
        </w:rPr>
      </w:pPr>
    </w:p>
    <w:p w14:paraId="0B988399">
      <w:pPr>
        <w:pStyle w:val="14"/>
        <w:ind w:firstLine="400"/>
        <w:rPr>
          <w:rFonts w:ascii="宋体" w:hAnsi="宋体" w:cs="宋体"/>
          <w:highlight w:val="none"/>
        </w:rPr>
      </w:pPr>
    </w:p>
    <w:p w14:paraId="268888AD">
      <w:pPr>
        <w:pStyle w:val="14"/>
        <w:ind w:firstLine="400"/>
        <w:rPr>
          <w:rFonts w:ascii="宋体" w:hAnsi="宋体" w:cs="宋体"/>
          <w:highlight w:val="none"/>
        </w:rPr>
      </w:pPr>
    </w:p>
    <w:p w14:paraId="74D62871">
      <w:pPr>
        <w:pStyle w:val="14"/>
        <w:ind w:firstLine="400"/>
        <w:rPr>
          <w:rFonts w:ascii="宋体" w:hAnsi="宋体" w:cs="宋体"/>
          <w:highlight w:val="none"/>
        </w:rPr>
      </w:pPr>
    </w:p>
    <w:p w14:paraId="54A48AB6">
      <w:pPr>
        <w:pStyle w:val="5"/>
        <w:tabs>
          <w:tab w:val="left" w:pos="432"/>
          <w:tab w:val="left" w:pos="720"/>
        </w:tabs>
        <w:spacing w:before="240" w:after="240" w:line="360" w:lineRule="auto"/>
        <w:jc w:val="center"/>
        <w:rPr>
          <w:rFonts w:ascii="宋体" w:hAnsi="宋体" w:cs="宋体"/>
          <w:b w:val="0"/>
          <w:sz w:val="30"/>
          <w:szCs w:val="30"/>
          <w:highlight w:val="none"/>
        </w:rPr>
      </w:pPr>
      <w:bookmarkStart w:id="354" w:name="_Toc14033"/>
      <w:bookmarkStart w:id="355" w:name="_Toc229583229"/>
      <w:r>
        <w:rPr>
          <w:rFonts w:hint="eastAsia" w:ascii="宋体" w:hAnsi="宋体" w:cs="宋体"/>
          <w:b w:val="0"/>
          <w:sz w:val="30"/>
          <w:szCs w:val="30"/>
          <w:highlight w:val="none"/>
        </w:rPr>
        <w:t>（二）授权委托书</w:t>
      </w:r>
      <w:bookmarkEnd w:id="354"/>
      <w:bookmarkEnd w:id="355"/>
    </w:p>
    <w:p w14:paraId="087E9FCC">
      <w:pPr>
        <w:wordWrap w:val="0"/>
        <w:spacing w:line="480" w:lineRule="auto"/>
        <w:ind w:firstLine="472" w:firstLineChars="225"/>
        <w:rPr>
          <w:rFonts w:ascii="宋体" w:hAnsi="宋体" w:cs="宋体"/>
          <w:sz w:val="21"/>
          <w:szCs w:val="21"/>
          <w:highlight w:val="none"/>
        </w:rPr>
      </w:pPr>
      <w:r>
        <w:rPr>
          <w:rFonts w:hint="eastAsia" w:ascii="宋体" w:hAnsi="宋体" w:cs="宋体"/>
          <w:sz w:val="21"/>
          <w:szCs w:val="21"/>
          <w:highlight w:val="none"/>
        </w:rPr>
        <w:t>本授权委托书声明：本人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（姓名）系</w:t>
      </w:r>
      <w:r>
        <w:rPr>
          <w:rFonts w:hint="eastAsia" w:ascii="宋体" w:hAnsi="宋体" w:cs="宋体"/>
          <w:sz w:val="21"/>
          <w:szCs w:val="21"/>
          <w:highlight w:val="none"/>
          <w:u w:val="single"/>
        </w:rPr>
        <w:t xml:space="preserve">     （投标人名称）     </w:t>
      </w:r>
      <w:r>
        <w:rPr>
          <w:rFonts w:hint="eastAsia" w:ascii="宋体" w:hAnsi="宋体" w:cs="宋体"/>
          <w:sz w:val="21"/>
          <w:szCs w:val="21"/>
          <w:highlight w:val="none"/>
        </w:rPr>
        <w:t>的法定代表人，现授权委托</w:t>
      </w:r>
      <w:r>
        <w:rPr>
          <w:rFonts w:hint="eastAsia" w:ascii="宋体" w:hAnsi="宋体" w:cs="宋体"/>
          <w:sz w:val="21"/>
          <w:szCs w:val="21"/>
          <w:highlight w:val="none"/>
          <w:u w:val="single"/>
        </w:rPr>
        <w:t xml:space="preserve">      （投标人名称）     </w:t>
      </w:r>
      <w:r>
        <w:rPr>
          <w:rFonts w:hint="eastAsia" w:ascii="宋体" w:hAnsi="宋体" w:cs="宋体"/>
          <w:sz w:val="21"/>
          <w:szCs w:val="21"/>
          <w:highlight w:val="none"/>
        </w:rPr>
        <w:t>的</w:t>
      </w:r>
      <w:r>
        <w:rPr>
          <w:rFonts w:hint="eastAsia" w:ascii="宋体" w:hAnsi="宋体" w:cs="宋体"/>
          <w:sz w:val="21"/>
          <w:szCs w:val="21"/>
          <w:highlight w:val="none"/>
          <w:u w:val="single"/>
        </w:rPr>
        <w:t xml:space="preserve">    （姓名）    </w:t>
      </w:r>
      <w:r>
        <w:rPr>
          <w:rFonts w:hint="eastAsia" w:ascii="宋体" w:hAnsi="宋体" w:cs="宋体"/>
          <w:sz w:val="21"/>
          <w:szCs w:val="21"/>
          <w:highlight w:val="none"/>
        </w:rPr>
        <w:t>为我方代理人。代理人根据授权，以我方名义签署、澄清、说明、补正、递交、撤回、修改</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（项目名称）的投标文件、签订合同和处理有关事宜，其法律后果由我方承担。</w:t>
      </w:r>
    </w:p>
    <w:p w14:paraId="6BD106B8">
      <w:pPr>
        <w:spacing w:line="480" w:lineRule="auto"/>
        <w:ind w:firstLine="420" w:firstLineChars="200"/>
        <w:rPr>
          <w:rFonts w:ascii="宋体" w:hAnsi="宋体" w:cs="宋体"/>
          <w:sz w:val="21"/>
          <w:szCs w:val="21"/>
          <w:highlight w:val="none"/>
          <w:u w:val="single"/>
        </w:rPr>
      </w:pPr>
      <w:r>
        <w:rPr>
          <w:rFonts w:hint="eastAsia" w:ascii="宋体" w:hAnsi="宋体" w:cs="宋体"/>
          <w:sz w:val="21"/>
          <w:szCs w:val="21"/>
          <w:highlight w:val="none"/>
        </w:rPr>
        <w:t>委托期限：</w:t>
      </w:r>
      <w:r>
        <w:rPr>
          <w:rFonts w:hint="eastAsia" w:ascii="宋体" w:hAnsi="宋体" w:cs="宋体"/>
          <w:sz w:val="21"/>
          <w:szCs w:val="21"/>
          <w:highlight w:val="none"/>
          <w:u w:val="single"/>
        </w:rPr>
        <w:t xml:space="preserve">                                    </w:t>
      </w:r>
    </w:p>
    <w:p w14:paraId="65FB925B">
      <w:pPr>
        <w:wordWrap w:val="0"/>
        <w:spacing w:line="480" w:lineRule="auto"/>
        <w:rPr>
          <w:rFonts w:ascii="宋体" w:hAnsi="宋体" w:cs="宋体"/>
          <w:sz w:val="21"/>
          <w:szCs w:val="21"/>
          <w:highlight w:val="none"/>
        </w:rPr>
      </w:pPr>
    </w:p>
    <w:p w14:paraId="57415660">
      <w:pPr>
        <w:wordWrap w:val="0"/>
        <w:spacing w:line="480" w:lineRule="auto"/>
        <w:ind w:firstLine="472" w:firstLineChars="225"/>
        <w:rPr>
          <w:rFonts w:ascii="宋体" w:hAnsi="宋体" w:cs="宋体"/>
          <w:sz w:val="21"/>
          <w:szCs w:val="21"/>
          <w:highlight w:val="none"/>
        </w:rPr>
      </w:pPr>
      <w:r>
        <w:rPr>
          <w:rFonts w:hint="eastAsia" w:ascii="宋体" w:hAnsi="宋体" w:cs="宋体"/>
          <w:sz w:val="21"/>
          <w:szCs w:val="21"/>
          <w:highlight w:val="none"/>
        </w:rPr>
        <w:t>代理人无转委托权，特此委托。</w:t>
      </w:r>
    </w:p>
    <w:p w14:paraId="3427E789">
      <w:pPr>
        <w:wordWrap w:val="0"/>
        <w:spacing w:line="480" w:lineRule="auto"/>
        <w:rPr>
          <w:rFonts w:ascii="宋体" w:hAnsi="宋体" w:cs="宋体"/>
          <w:sz w:val="21"/>
          <w:szCs w:val="21"/>
          <w:highlight w:val="none"/>
        </w:rPr>
      </w:pPr>
    </w:p>
    <w:p w14:paraId="377431B5">
      <w:pPr>
        <w:spacing w:line="480" w:lineRule="auto"/>
        <w:ind w:right="105" w:firstLine="420" w:firstLineChars="200"/>
        <w:rPr>
          <w:rFonts w:ascii="宋体" w:hAnsi="宋体" w:cs="宋体"/>
          <w:sz w:val="21"/>
          <w:szCs w:val="21"/>
          <w:highlight w:val="none"/>
        </w:rPr>
      </w:pPr>
      <w:r>
        <w:rPr>
          <w:rFonts w:hint="eastAsia" w:ascii="宋体" w:hAnsi="宋体" w:cs="宋体"/>
          <w:sz w:val="21"/>
          <w:szCs w:val="21"/>
          <w:highlight w:val="none"/>
        </w:rPr>
        <w:t>投标人（电子签章）：</w:t>
      </w:r>
      <w:r>
        <w:rPr>
          <w:rFonts w:hint="eastAsia" w:ascii="宋体" w:hAnsi="宋体" w:cs="宋体"/>
          <w:sz w:val="21"/>
          <w:szCs w:val="21"/>
          <w:highlight w:val="none"/>
          <w:u w:val="single"/>
        </w:rPr>
        <w:t xml:space="preserve">                              </w:t>
      </w:r>
    </w:p>
    <w:p w14:paraId="6CF2CC62">
      <w:pPr>
        <w:spacing w:line="480" w:lineRule="auto"/>
        <w:ind w:right="113" w:firstLine="420" w:firstLineChars="200"/>
        <w:rPr>
          <w:rFonts w:ascii="宋体" w:hAnsi="宋体" w:cs="宋体"/>
          <w:sz w:val="21"/>
          <w:szCs w:val="21"/>
          <w:highlight w:val="none"/>
          <w:u w:val="single"/>
        </w:rPr>
      </w:pPr>
      <w:r>
        <w:rPr>
          <w:rFonts w:hint="eastAsia" w:ascii="宋体" w:hAnsi="宋体" w:cs="宋体"/>
          <w:sz w:val="21"/>
          <w:szCs w:val="21"/>
          <w:highlight w:val="none"/>
        </w:rPr>
        <w:t>法定代表人（电子签章）：</w:t>
      </w:r>
      <w:r>
        <w:rPr>
          <w:rFonts w:hint="eastAsia" w:ascii="宋体" w:hAnsi="宋体" w:cs="宋体"/>
          <w:sz w:val="21"/>
          <w:szCs w:val="21"/>
          <w:highlight w:val="none"/>
          <w:u w:val="single"/>
        </w:rPr>
        <w:t xml:space="preserve">                        </w:t>
      </w:r>
    </w:p>
    <w:p w14:paraId="18FC8C38">
      <w:pPr>
        <w:wordWrap w:val="0"/>
        <w:spacing w:line="480" w:lineRule="auto"/>
        <w:ind w:right="149" w:firstLine="420" w:firstLineChars="200"/>
        <w:rPr>
          <w:rFonts w:ascii="宋体" w:hAnsi="宋体" w:cs="宋体"/>
          <w:sz w:val="21"/>
          <w:szCs w:val="21"/>
          <w:highlight w:val="none"/>
        </w:rPr>
      </w:pPr>
      <w:r>
        <w:rPr>
          <w:rFonts w:hint="eastAsia" w:ascii="宋体" w:hAnsi="宋体" w:cs="宋体"/>
          <w:sz w:val="21"/>
          <w:szCs w:val="21"/>
          <w:highlight w:val="none"/>
        </w:rPr>
        <w:t>身份证号码：</w:t>
      </w:r>
      <w:r>
        <w:rPr>
          <w:rFonts w:hint="eastAsia" w:ascii="宋体" w:hAnsi="宋体" w:cs="宋体"/>
          <w:sz w:val="21"/>
          <w:szCs w:val="21"/>
          <w:highlight w:val="none"/>
          <w:u w:val="single"/>
        </w:rPr>
        <w:t xml:space="preserve">                                      </w:t>
      </w:r>
    </w:p>
    <w:p w14:paraId="5AA9EBFA">
      <w:pPr>
        <w:spacing w:line="480" w:lineRule="auto"/>
        <w:ind w:right="-29" w:firstLine="420" w:firstLineChars="200"/>
        <w:rPr>
          <w:rFonts w:ascii="宋体" w:hAnsi="宋体" w:cs="宋体"/>
          <w:sz w:val="21"/>
          <w:szCs w:val="21"/>
          <w:highlight w:val="none"/>
        </w:rPr>
      </w:pPr>
      <w:r>
        <w:rPr>
          <w:rFonts w:hint="eastAsia" w:ascii="宋体" w:hAnsi="宋体" w:cs="宋体"/>
          <w:sz w:val="21"/>
          <w:szCs w:val="21"/>
          <w:highlight w:val="none"/>
        </w:rPr>
        <w:t>委托代理人</w:t>
      </w:r>
      <w:r>
        <w:rPr>
          <w:rFonts w:hint="eastAsia" w:ascii="宋体" w:hAnsi="宋体" w:cs="宋体"/>
          <w:b/>
          <w:bCs/>
          <w:sz w:val="21"/>
          <w:szCs w:val="21"/>
          <w:highlight w:val="none"/>
        </w:rPr>
        <w:t>（签字或盖章或电子签章）</w:t>
      </w:r>
      <w:r>
        <w:rPr>
          <w:rFonts w:hint="eastAsia" w:ascii="宋体" w:hAnsi="宋体" w:cs="宋体"/>
          <w:sz w:val="21"/>
          <w:szCs w:val="21"/>
          <w:highlight w:val="none"/>
        </w:rPr>
        <w:t>：</w:t>
      </w:r>
      <w:r>
        <w:rPr>
          <w:rFonts w:hint="eastAsia" w:ascii="宋体" w:hAnsi="宋体" w:cs="宋体"/>
          <w:sz w:val="21"/>
          <w:szCs w:val="21"/>
          <w:highlight w:val="none"/>
          <w:u w:val="single"/>
        </w:rPr>
        <w:t xml:space="preserve">                        </w:t>
      </w:r>
    </w:p>
    <w:p w14:paraId="73A752EE">
      <w:pPr>
        <w:tabs>
          <w:tab w:val="left" w:pos="8460"/>
        </w:tabs>
        <w:wordWrap w:val="0"/>
        <w:spacing w:line="480" w:lineRule="auto"/>
        <w:ind w:right="149" w:firstLine="420" w:firstLineChars="200"/>
        <w:rPr>
          <w:rFonts w:ascii="宋体" w:hAnsi="宋体" w:cs="宋体"/>
          <w:sz w:val="21"/>
          <w:szCs w:val="21"/>
          <w:highlight w:val="none"/>
          <w:u w:val="single"/>
        </w:rPr>
      </w:pPr>
      <w:r>
        <w:rPr>
          <w:rFonts w:hint="eastAsia" w:ascii="宋体" w:hAnsi="宋体" w:cs="宋体"/>
          <w:sz w:val="21"/>
          <w:szCs w:val="21"/>
          <w:highlight w:val="none"/>
        </w:rPr>
        <w:t>身份证号码：</w:t>
      </w:r>
      <w:r>
        <w:rPr>
          <w:rFonts w:hint="eastAsia" w:ascii="宋体" w:hAnsi="宋体" w:cs="宋体"/>
          <w:sz w:val="21"/>
          <w:szCs w:val="21"/>
          <w:highlight w:val="none"/>
          <w:u w:val="single"/>
        </w:rPr>
        <w:t xml:space="preserve">                                      </w:t>
      </w:r>
    </w:p>
    <w:p w14:paraId="06DA4917">
      <w:pPr>
        <w:spacing w:line="480" w:lineRule="auto"/>
        <w:ind w:right="420" w:firstLine="420" w:firstLineChars="200"/>
        <w:rPr>
          <w:rFonts w:ascii="宋体" w:hAnsi="宋体" w:cs="宋体"/>
          <w:sz w:val="21"/>
          <w:szCs w:val="21"/>
          <w:highlight w:val="none"/>
        </w:rPr>
      </w:pPr>
      <w:r>
        <w:rPr>
          <w:rFonts w:hint="eastAsia" w:ascii="宋体" w:hAnsi="宋体" w:cs="宋体"/>
          <w:sz w:val="21"/>
          <w:szCs w:val="21"/>
          <w:highlight w:val="none"/>
          <w:u w:val="single"/>
        </w:rPr>
        <w:t xml:space="preserve">         </w:t>
      </w:r>
      <w:r>
        <w:rPr>
          <w:rFonts w:hint="eastAsia" w:ascii="宋体" w:hAnsi="宋体" w:cs="宋体"/>
          <w:sz w:val="21"/>
          <w:szCs w:val="21"/>
          <w:highlight w:val="none"/>
        </w:rPr>
        <w:t>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日</w:t>
      </w:r>
    </w:p>
    <w:p w14:paraId="62D8410E">
      <w:pPr>
        <w:wordWrap w:val="0"/>
        <w:spacing w:line="360" w:lineRule="auto"/>
        <w:rPr>
          <w:rFonts w:ascii="宋体" w:hAnsi="宋体" w:cs="宋体"/>
          <w:sz w:val="21"/>
          <w:szCs w:val="21"/>
          <w:highlight w:val="none"/>
        </w:rPr>
      </w:pPr>
    </w:p>
    <w:p w14:paraId="7C6E7887">
      <w:pPr>
        <w:wordWrap w:val="0"/>
        <w:spacing w:line="360" w:lineRule="auto"/>
        <w:rPr>
          <w:rFonts w:ascii="宋体" w:hAnsi="宋体" w:cs="宋体"/>
          <w:sz w:val="21"/>
          <w:szCs w:val="21"/>
          <w:highlight w:val="none"/>
        </w:rPr>
      </w:pPr>
    </w:p>
    <w:p w14:paraId="32206985">
      <w:pPr>
        <w:wordWrap w:val="0"/>
        <w:spacing w:line="360" w:lineRule="auto"/>
        <w:ind w:firstLine="472" w:firstLineChars="224"/>
        <w:rPr>
          <w:rFonts w:ascii="宋体" w:hAnsi="宋体" w:cs="宋体"/>
          <w:b/>
          <w:sz w:val="21"/>
          <w:szCs w:val="21"/>
          <w:highlight w:val="none"/>
        </w:rPr>
      </w:pPr>
      <w:r>
        <w:rPr>
          <w:rFonts w:hint="eastAsia" w:ascii="宋体" w:hAnsi="宋体" w:cs="宋体"/>
          <w:b/>
          <w:sz w:val="21"/>
          <w:szCs w:val="21"/>
          <w:highlight w:val="none"/>
        </w:rPr>
        <w:t>注：1.附被授权代理人身份证正反面原件扫描件；</w:t>
      </w:r>
    </w:p>
    <w:p w14:paraId="3B4E66E2">
      <w:pPr>
        <w:wordWrap w:val="0"/>
        <w:spacing w:line="360" w:lineRule="auto"/>
        <w:ind w:left="1055" w:leftChars="422" w:hanging="211" w:hangingChars="100"/>
        <w:rPr>
          <w:rFonts w:ascii="宋体" w:hAnsi="宋体" w:cs="宋体"/>
          <w:b/>
          <w:sz w:val="21"/>
          <w:szCs w:val="21"/>
          <w:highlight w:val="none"/>
        </w:rPr>
      </w:pPr>
      <w:r>
        <w:rPr>
          <w:rFonts w:hint="eastAsia" w:ascii="宋体" w:hAnsi="宋体" w:cs="宋体"/>
          <w:b/>
          <w:sz w:val="21"/>
          <w:szCs w:val="21"/>
          <w:highlight w:val="none"/>
        </w:rPr>
        <w:t>2.如投标人由法定代表人亲自签署投标文件并参与相关活动，则不需要办理授权。如由被授权的代理人签署上述文件，则必须按本格式规定填报并提交授权书，否则被授权的代理人将不被认可。</w:t>
      </w:r>
    </w:p>
    <w:p w14:paraId="600BAF3C">
      <w:pPr>
        <w:spacing w:line="360" w:lineRule="auto"/>
        <w:ind w:right="420" w:firstLine="843" w:firstLineChars="400"/>
        <w:outlineLvl w:val="3"/>
        <w:rPr>
          <w:rFonts w:ascii="宋体" w:hAnsi="宋体" w:cs="宋体"/>
          <w:b/>
          <w:sz w:val="21"/>
          <w:szCs w:val="21"/>
          <w:highlight w:val="none"/>
        </w:rPr>
      </w:pPr>
      <w:r>
        <w:rPr>
          <w:rFonts w:hint="eastAsia" w:ascii="宋体" w:hAnsi="宋体" w:cs="宋体"/>
          <w:b/>
          <w:sz w:val="21"/>
          <w:szCs w:val="21"/>
          <w:highlight w:val="none"/>
        </w:rPr>
        <w:t>3.本授权委托书配合法定代表人身份证明书使用方可生效。</w:t>
      </w:r>
    </w:p>
    <w:p w14:paraId="61A35E23">
      <w:pPr>
        <w:pStyle w:val="14"/>
        <w:ind w:firstLine="400"/>
        <w:rPr>
          <w:rFonts w:ascii="宋体" w:hAnsi="宋体" w:cs="宋体"/>
          <w:highlight w:val="none"/>
        </w:rPr>
      </w:pPr>
    </w:p>
    <w:p w14:paraId="58F5FA29">
      <w:pPr>
        <w:pStyle w:val="14"/>
        <w:ind w:firstLine="400"/>
        <w:rPr>
          <w:rFonts w:ascii="宋体" w:hAnsi="宋体" w:cs="宋体"/>
          <w:highlight w:val="none"/>
        </w:rPr>
      </w:pPr>
    </w:p>
    <w:p w14:paraId="61A37F35">
      <w:pPr>
        <w:rPr>
          <w:rFonts w:ascii="宋体" w:hAnsi="宋体" w:cs="宋体"/>
          <w:highlight w:val="none"/>
        </w:rPr>
      </w:pPr>
      <w:r>
        <w:rPr>
          <w:rFonts w:hint="eastAsia" w:ascii="宋体" w:hAnsi="宋体" w:cs="宋体"/>
          <w:highlight w:val="none"/>
        </w:rPr>
        <w:br w:type="page"/>
      </w:r>
    </w:p>
    <w:p w14:paraId="4361089D">
      <w:pPr>
        <w:rPr>
          <w:rFonts w:ascii="宋体" w:hAnsi="宋体" w:cs="宋体"/>
          <w:highlight w:val="none"/>
        </w:rPr>
      </w:pPr>
    </w:p>
    <w:p w14:paraId="0E4A8A0A">
      <w:pPr>
        <w:pStyle w:val="5"/>
        <w:tabs>
          <w:tab w:val="left" w:pos="432"/>
          <w:tab w:val="left" w:pos="720"/>
        </w:tabs>
        <w:spacing w:before="240" w:after="240" w:line="360" w:lineRule="auto"/>
        <w:jc w:val="center"/>
        <w:rPr>
          <w:rFonts w:ascii="宋体" w:hAnsi="宋体" w:cs="宋体"/>
          <w:b w:val="0"/>
          <w:sz w:val="30"/>
          <w:szCs w:val="30"/>
          <w:highlight w:val="none"/>
        </w:rPr>
      </w:pPr>
      <w:bookmarkStart w:id="356" w:name="_Toc229583230"/>
      <w:bookmarkStart w:id="357" w:name="_Toc25907"/>
      <w:r>
        <w:rPr>
          <w:rFonts w:hint="eastAsia" w:ascii="宋体" w:hAnsi="宋体" w:cs="宋体"/>
          <w:b w:val="0"/>
          <w:sz w:val="30"/>
          <w:szCs w:val="30"/>
          <w:highlight w:val="none"/>
        </w:rPr>
        <w:t>（三）投标函</w:t>
      </w:r>
      <w:bookmarkEnd w:id="356"/>
      <w:bookmarkEnd w:id="357"/>
    </w:p>
    <w:p w14:paraId="40ACF137">
      <w:pPr>
        <w:wordWrap w:val="0"/>
        <w:spacing w:line="360" w:lineRule="auto"/>
        <w:rPr>
          <w:rFonts w:ascii="宋体" w:hAnsi="宋体" w:cs="宋体"/>
          <w:sz w:val="21"/>
          <w:szCs w:val="21"/>
          <w:highlight w:val="none"/>
        </w:rPr>
      </w:pPr>
    </w:p>
    <w:p w14:paraId="1D25B4F3">
      <w:pPr>
        <w:wordWrap w:val="0"/>
        <w:spacing w:line="360" w:lineRule="auto"/>
        <w:rPr>
          <w:rFonts w:ascii="宋体" w:hAnsi="宋体" w:cs="宋体"/>
          <w:sz w:val="21"/>
          <w:szCs w:val="21"/>
          <w:highlight w:val="none"/>
          <w:u w:val="single"/>
        </w:rPr>
      </w:pPr>
      <w:r>
        <w:rPr>
          <w:rFonts w:hint="eastAsia" w:ascii="宋体" w:hAnsi="宋体" w:cs="宋体"/>
          <w:sz w:val="21"/>
          <w:szCs w:val="21"/>
          <w:highlight w:val="none"/>
        </w:rPr>
        <w:t>致：</w:t>
      </w:r>
      <w:r>
        <w:rPr>
          <w:rFonts w:hint="eastAsia" w:ascii="宋体" w:hAnsi="宋体" w:cs="宋体"/>
          <w:sz w:val="21"/>
          <w:szCs w:val="21"/>
          <w:highlight w:val="none"/>
          <w:u w:val="single"/>
        </w:rPr>
        <w:t xml:space="preserve">   （采购人名称）   </w:t>
      </w:r>
    </w:p>
    <w:p w14:paraId="4FF0C7A7">
      <w:pPr>
        <w:wordWrap w:val="0"/>
        <w:spacing w:line="360" w:lineRule="auto"/>
        <w:ind w:firstLine="420" w:firstLineChars="200"/>
        <w:rPr>
          <w:rFonts w:ascii="宋体" w:hAnsi="宋体" w:cs="宋体"/>
          <w:sz w:val="21"/>
          <w:szCs w:val="21"/>
          <w:highlight w:val="none"/>
          <w:u w:val="single"/>
        </w:rPr>
      </w:pPr>
      <w:r>
        <w:rPr>
          <w:rFonts w:hint="eastAsia" w:ascii="宋体" w:hAnsi="宋体" w:cs="宋体"/>
          <w:sz w:val="21"/>
          <w:szCs w:val="21"/>
          <w:highlight w:val="none"/>
        </w:rPr>
        <w:t>1.我方仔细研究了</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（项目名称）（招标编号：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）的招标文件，按招标文件要求，我方愿以《开标一览表》及《分项报价表》中的报价作为我方的投标报价，并按合同履行期限、服务地点、合同约定、质量标准等规定完成本项目，并承担相关任何缺陷责任。</w:t>
      </w:r>
    </w:p>
    <w:p w14:paraId="3EC747E1">
      <w:pPr>
        <w:wordWrap w:val="0"/>
        <w:spacing w:line="360" w:lineRule="auto"/>
        <w:ind w:firstLine="420" w:firstLineChars="200"/>
        <w:outlineLvl w:val="3"/>
        <w:rPr>
          <w:rFonts w:ascii="宋体" w:hAnsi="宋体" w:cs="宋体"/>
          <w:sz w:val="21"/>
          <w:szCs w:val="21"/>
          <w:highlight w:val="none"/>
          <w:u w:val="single"/>
        </w:rPr>
      </w:pPr>
      <w:r>
        <w:rPr>
          <w:rFonts w:hint="eastAsia" w:ascii="宋体" w:hAnsi="宋体" w:cs="宋体"/>
          <w:sz w:val="21"/>
          <w:szCs w:val="21"/>
          <w:highlight w:val="none"/>
        </w:rPr>
        <w:t>2.我方承诺我们的投标报价不低于我们自身的成本。</w:t>
      </w:r>
    </w:p>
    <w:p w14:paraId="6ED2F932">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3.我方已详细审核全部招标文件，包括修改文件（如有时）及有关附件。</w:t>
      </w:r>
    </w:p>
    <w:p w14:paraId="5311E40C">
      <w:pPr>
        <w:wordWrap w:val="0"/>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4.我方同意投标人须知中关于没收投标保证金的规定。</w:t>
      </w:r>
    </w:p>
    <w:p w14:paraId="14D0A616">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5.一旦我方中标，我方保证按合同协议书的规定以及采购人要求完成本项目。</w:t>
      </w:r>
    </w:p>
    <w:p w14:paraId="1C7C7E2C">
      <w:pPr>
        <w:wordWrap w:val="0"/>
        <w:spacing w:line="360" w:lineRule="auto"/>
        <w:ind w:firstLine="420" w:firstLineChars="200"/>
        <w:outlineLvl w:val="3"/>
        <w:rPr>
          <w:rFonts w:ascii="宋体" w:hAnsi="宋体" w:cs="宋体"/>
          <w:sz w:val="21"/>
          <w:szCs w:val="21"/>
          <w:highlight w:val="none"/>
        </w:rPr>
      </w:pPr>
      <w:r>
        <w:rPr>
          <w:rFonts w:hint="eastAsia" w:ascii="宋体" w:hAnsi="宋体" w:cs="宋体"/>
          <w:sz w:val="21"/>
          <w:szCs w:val="21"/>
          <w:highlight w:val="none"/>
        </w:rPr>
        <w:t>6.我方承遵守招标文件规定投标有效期：___________</w:t>
      </w:r>
    </w:p>
    <w:p w14:paraId="05F3590D">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7.我方同意所提交的投标文件在招标文件投标人须知中第3.3.1条规定的投标有效期内有效，在此期间内如果中标，我方将受此约束。</w:t>
      </w:r>
    </w:p>
    <w:p w14:paraId="64BA618D">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8.我方在此声明，所递交的投标文件及有关资料内容完整、合法、真实、有效和准确，若有违反，我方愿意承担一切后果。</w:t>
      </w:r>
    </w:p>
    <w:p w14:paraId="3BA963AA">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9.在合同协议书正式签署生效之前，本投标函连同你方的中标通知书将构成我们双方之间共同遵守的文件，对双方具有约束力。</w:t>
      </w:r>
    </w:p>
    <w:p w14:paraId="5334BF98">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10.除非另外达成协议并生效，你方的中标通知书和本投标文件将成为约束双方的合同文件的组成部分。</w:t>
      </w:r>
    </w:p>
    <w:p w14:paraId="26C56CC0">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11.我方完全理解贵方不一定要接受最低报价的投标人为中标人的行为。</w:t>
      </w:r>
    </w:p>
    <w:p w14:paraId="3C4D9D84">
      <w:pPr>
        <w:wordWrap w:val="0"/>
        <w:spacing w:line="360" w:lineRule="auto"/>
        <w:ind w:firstLine="420" w:firstLineChars="200"/>
        <w:outlineLvl w:val="3"/>
        <w:rPr>
          <w:rFonts w:ascii="宋体" w:hAnsi="宋体" w:cs="宋体"/>
          <w:sz w:val="21"/>
          <w:szCs w:val="21"/>
          <w:highlight w:val="none"/>
          <w:u w:val="single"/>
        </w:rPr>
      </w:pPr>
      <w:r>
        <w:rPr>
          <w:rFonts w:hint="eastAsia" w:ascii="宋体" w:hAnsi="宋体" w:cs="宋体"/>
          <w:sz w:val="21"/>
          <w:szCs w:val="21"/>
          <w:highlight w:val="none"/>
        </w:rPr>
        <w:t>12.其他：</w:t>
      </w:r>
      <w:r>
        <w:rPr>
          <w:rFonts w:hint="eastAsia" w:ascii="宋体" w:hAnsi="宋体" w:cs="宋体"/>
          <w:sz w:val="21"/>
          <w:szCs w:val="21"/>
          <w:highlight w:val="none"/>
          <w:u w:val="single"/>
        </w:rPr>
        <w:t xml:space="preserve">                  </w:t>
      </w:r>
    </w:p>
    <w:p w14:paraId="07361DD4">
      <w:pPr>
        <w:wordWrap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 xml:space="preserve"> </w:t>
      </w:r>
    </w:p>
    <w:p w14:paraId="1445DBA5">
      <w:pPr>
        <w:wordWrap w:val="0"/>
        <w:ind w:firstLine="420" w:firstLineChars="200"/>
        <w:rPr>
          <w:rFonts w:ascii="宋体" w:hAnsi="宋体" w:cs="宋体"/>
          <w:sz w:val="21"/>
          <w:szCs w:val="21"/>
          <w:highlight w:val="none"/>
          <w:u w:val="single"/>
        </w:rPr>
      </w:pPr>
      <w:r>
        <w:rPr>
          <w:rFonts w:hint="eastAsia" w:ascii="宋体" w:hAnsi="宋体" w:cs="宋体"/>
          <w:sz w:val="21"/>
          <w:szCs w:val="21"/>
          <w:highlight w:val="none"/>
        </w:rPr>
        <w:t>投标人（电子签章）：</w:t>
      </w:r>
      <w:r>
        <w:rPr>
          <w:rFonts w:hint="eastAsia" w:ascii="宋体" w:hAnsi="宋体" w:cs="宋体"/>
          <w:sz w:val="21"/>
          <w:szCs w:val="21"/>
          <w:highlight w:val="none"/>
          <w:u w:val="single"/>
        </w:rPr>
        <w:t xml:space="preserve">                  </w:t>
      </w:r>
    </w:p>
    <w:p w14:paraId="17C42BCF">
      <w:pPr>
        <w:wordWrap w:val="0"/>
        <w:ind w:firstLine="420" w:firstLineChars="200"/>
        <w:rPr>
          <w:rFonts w:ascii="宋体" w:hAnsi="宋体" w:cs="宋体"/>
          <w:sz w:val="21"/>
          <w:szCs w:val="21"/>
          <w:highlight w:val="none"/>
          <w:u w:val="single"/>
        </w:rPr>
      </w:pPr>
      <w:r>
        <w:rPr>
          <w:rFonts w:hint="eastAsia" w:ascii="宋体" w:hAnsi="宋体" w:cs="宋体"/>
          <w:sz w:val="21"/>
          <w:szCs w:val="21"/>
          <w:highlight w:val="none"/>
        </w:rPr>
        <w:t>单位地址：</w:t>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p>
    <w:p w14:paraId="2EA7E7B5">
      <w:pPr>
        <w:wordWrap w:val="0"/>
        <w:ind w:firstLine="420" w:firstLineChars="200"/>
        <w:rPr>
          <w:rFonts w:ascii="宋体" w:hAnsi="宋体" w:cs="宋体"/>
          <w:sz w:val="21"/>
          <w:szCs w:val="21"/>
          <w:highlight w:val="none"/>
          <w:u w:val="single"/>
        </w:rPr>
      </w:pPr>
      <w:r>
        <w:rPr>
          <w:rFonts w:hint="eastAsia" w:ascii="宋体" w:hAnsi="宋体" w:cs="宋体"/>
          <w:sz w:val="21"/>
          <w:szCs w:val="21"/>
          <w:highlight w:val="none"/>
        </w:rPr>
        <w:t>法定代表人（电子签章）：</w:t>
      </w:r>
      <w:r>
        <w:rPr>
          <w:rFonts w:hint="eastAsia" w:ascii="宋体" w:hAnsi="宋体" w:cs="宋体"/>
          <w:sz w:val="21"/>
          <w:szCs w:val="21"/>
          <w:highlight w:val="none"/>
          <w:u w:val="single"/>
        </w:rPr>
        <w:t xml:space="preserve">              </w:t>
      </w:r>
    </w:p>
    <w:p w14:paraId="6F90042E">
      <w:pPr>
        <w:wordWrap w:val="0"/>
        <w:ind w:firstLine="420" w:firstLineChars="200"/>
        <w:rPr>
          <w:rFonts w:ascii="宋体" w:hAnsi="宋体" w:cs="宋体"/>
          <w:sz w:val="21"/>
          <w:szCs w:val="21"/>
          <w:highlight w:val="none"/>
        </w:rPr>
      </w:pPr>
      <w:r>
        <w:rPr>
          <w:rFonts w:hint="eastAsia" w:ascii="宋体" w:hAnsi="宋体" w:cs="宋体"/>
          <w:sz w:val="21"/>
          <w:szCs w:val="21"/>
          <w:highlight w:val="none"/>
        </w:rPr>
        <w:t>电话：</w:t>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rPr>
        <w:t xml:space="preserve"> 传真：</w:t>
      </w:r>
      <w:r>
        <w:rPr>
          <w:rFonts w:hint="eastAsia" w:ascii="宋体" w:hAnsi="宋体" w:cs="宋体"/>
          <w:sz w:val="21"/>
          <w:szCs w:val="21"/>
          <w:highlight w:val="none"/>
          <w:u w:val="single"/>
        </w:rPr>
        <w:tab/>
      </w:r>
      <w:r>
        <w:rPr>
          <w:rFonts w:hint="eastAsia" w:ascii="宋体" w:hAnsi="宋体" w:cs="宋体"/>
          <w:sz w:val="21"/>
          <w:szCs w:val="21"/>
          <w:highlight w:val="none"/>
          <w:u w:val="single"/>
        </w:rPr>
        <w:tab/>
      </w:r>
    </w:p>
    <w:p w14:paraId="5488870E">
      <w:pPr>
        <w:wordWrap w:val="0"/>
        <w:ind w:firstLine="420" w:firstLineChars="200"/>
        <w:rPr>
          <w:rFonts w:ascii="宋体" w:hAnsi="宋体" w:cs="宋体"/>
          <w:sz w:val="21"/>
          <w:szCs w:val="21"/>
          <w:highlight w:val="none"/>
        </w:rPr>
      </w:pPr>
      <w:r>
        <w:rPr>
          <w:rFonts w:hint="eastAsia" w:ascii="宋体" w:hAnsi="宋体" w:cs="宋体"/>
          <w:sz w:val="21"/>
          <w:szCs w:val="21"/>
          <w:highlight w:val="none"/>
        </w:rPr>
        <w:t>开户银行名称：</w:t>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p>
    <w:p w14:paraId="701E159E">
      <w:pPr>
        <w:wordWrap w:val="0"/>
        <w:ind w:firstLine="420" w:firstLineChars="200"/>
        <w:rPr>
          <w:rFonts w:ascii="宋体" w:hAnsi="宋体" w:cs="宋体"/>
          <w:sz w:val="21"/>
          <w:szCs w:val="21"/>
          <w:highlight w:val="none"/>
        </w:rPr>
      </w:pPr>
      <w:r>
        <w:rPr>
          <w:rFonts w:hint="eastAsia" w:ascii="宋体" w:hAnsi="宋体" w:cs="宋体"/>
          <w:sz w:val="21"/>
          <w:szCs w:val="21"/>
          <w:highlight w:val="none"/>
        </w:rPr>
        <w:t>开户银行账号：</w:t>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p>
    <w:p w14:paraId="779E575E">
      <w:pPr>
        <w:wordWrap w:val="0"/>
        <w:ind w:firstLine="420" w:firstLineChars="200"/>
        <w:rPr>
          <w:rFonts w:ascii="宋体" w:hAnsi="宋体" w:cs="宋体"/>
          <w:sz w:val="21"/>
          <w:szCs w:val="21"/>
          <w:highlight w:val="none"/>
        </w:rPr>
      </w:pPr>
      <w:r>
        <w:rPr>
          <w:rFonts w:hint="eastAsia" w:ascii="宋体" w:hAnsi="宋体" w:cs="宋体"/>
          <w:sz w:val="21"/>
          <w:szCs w:val="21"/>
          <w:highlight w:val="none"/>
        </w:rPr>
        <w:t>开户银行地址：</w:t>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u w:val="single"/>
        </w:rPr>
        <w:tab/>
      </w:r>
    </w:p>
    <w:p w14:paraId="705D159E">
      <w:pPr>
        <w:wordWrap w:val="0"/>
        <w:ind w:firstLine="420" w:firstLineChars="200"/>
        <w:rPr>
          <w:rFonts w:ascii="宋体" w:hAnsi="宋体" w:cs="宋体"/>
          <w:sz w:val="21"/>
          <w:szCs w:val="21"/>
          <w:highlight w:val="none"/>
        </w:rPr>
      </w:pPr>
      <w:r>
        <w:rPr>
          <w:rFonts w:hint="eastAsia" w:ascii="宋体" w:hAnsi="宋体" w:cs="宋体"/>
          <w:sz w:val="21"/>
          <w:szCs w:val="21"/>
          <w:highlight w:val="none"/>
        </w:rPr>
        <w:t>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日</w:t>
      </w:r>
    </w:p>
    <w:p w14:paraId="49BCE220">
      <w:pPr>
        <w:pStyle w:val="14"/>
        <w:ind w:firstLine="400"/>
        <w:rPr>
          <w:rFonts w:ascii="宋体" w:hAnsi="宋体" w:cs="宋体"/>
          <w:highlight w:val="none"/>
        </w:rPr>
      </w:pPr>
    </w:p>
    <w:p w14:paraId="51753871">
      <w:pPr>
        <w:pStyle w:val="5"/>
        <w:tabs>
          <w:tab w:val="left" w:pos="432"/>
          <w:tab w:val="left" w:pos="720"/>
        </w:tabs>
        <w:spacing w:before="240" w:after="240" w:line="360" w:lineRule="auto"/>
        <w:jc w:val="center"/>
        <w:rPr>
          <w:rFonts w:ascii="宋体" w:hAnsi="宋体" w:cs="宋体"/>
          <w:b w:val="0"/>
          <w:sz w:val="30"/>
          <w:szCs w:val="30"/>
          <w:highlight w:val="none"/>
        </w:rPr>
      </w:pPr>
      <w:bookmarkStart w:id="358" w:name="_Toc229583232"/>
      <w:bookmarkStart w:id="359" w:name="_Toc224363914"/>
      <w:bookmarkStart w:id="360" w:name="_Toc7099"/>
      <w:r>
        <w:rPr>
          <w:rFonts w:hint="eastAsia" w:ascii="宋体" w:hAnsi="宋体" w:cs="宋体"/>
          <w:b w:val="0"/>
          <w:sz w:val="30"/>
          <w:szCs w:val="30"/>
          <w:highlight w:val="none"/>
        </w:rPr>
        <w:t>（四）</w:t>
      </w:r>
      <w:bookmarkEnd w:id="358"/>
      <w:bookmarkEnd w:id="359"/>
      <w:r>
        <w:rPr>
          <w:rFonts w:hint="eastAsia" w:ascii="宋体" w:hAnsi="宋体" w:cs="宋体"/>
          <w:b w:val="0"/>
          <w:sz w:val="30"/>
          <w:szCs w:val="30"/>
          <w:highlight w:val="none"/>
        </w:rPr>
        <w:t>投标保证金</w:t>
      </w:r>
      <w:r>
        <w:rPr>
          <w:rFonts w:hint="eastAsia" w:ascii="宋体" w:hAnsi="宋体" w:cs="宋体"/>
          <w:b w:val="0"/>
          <w:sz w:val="30"/>
          <w:szCs w:val="30"/>
          <w:highlight w:val="none"/>
          <w:lang w:val="en-US" w:eastAsia="zh-CN"/>
        </w:rPr>
        <w:t>缴纳</w:t>
      </w:r>
      <w:r>
        <w:rPr>
          <w:rFonts w:hint="eastAsia" w:ascii="宋体" w:hAnsi="宋体" w:cs="宋体"/>
          <w:b w:val="0"/>
          <w:sz w:val="30"/>
          <w:szCs w:val="30"/>
          <w:highlight w:val="none"/>
        </w:rPr>
        <w:t>证明</w:t>
      </w:r>
      <w:bookmarkEnd w:id="360"/>
    </w:p>
    <w:p w14:paraId="3A4ECFB4">
      <w:pPr>
        <w:spacing w:line="600" w:lineRule="auto"/>
        <w:rPr>
          <w:rFonts w:ascii="宋体" w:hAnsi="宋体" w:cs="宋体"/>
          <w:sz w:val="21"/>
          <w:szCs w:val="21"/>
          <w:highlight w:val="none"/>
        </w:rPr>
      </w:pPr>
      <w:r>
        <w:rPr>
          <w:rFonts w:hint="eastAsia" w:ascii="宋体" w:hAnsi="宋体" w:cs="宋体"/>
          <w:sz w:val="21"/>
          <w:szCs w:val="21"/>
          <w:highlight w:val="none"/>
        </w:rPr>
        <w:t>___________________________（采购人名称）：</w:t>
      </w:r>
    </w:p>
    <w:p w14:paraId="3DDC6672">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本投标人自愿参加</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（项目名称）的投标，并按招标文件要求缴纳投标保证金，金额为人民币（大写：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元，小写：¥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w:t>
      </w:r>
    </w:p>
    <w:p w14:paraId="5A97C016">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本投标人承诺所缴纳投标保证金是从本公司且是以本公司的名义开具的账户缴纳的，若有虚假，由此引起的一切责任均由我公司承担。</w:t>
      </w:r>
    </w:p>
    <w:p w14:paraId="32ED0D70">
      <w:pPr>
        <w:spacing w:line="600" w:lineRule="auto"/>
        <w:ind w:firstLine="422" w:firstLineChars="200"/>
        <w:rPr>
          <w:rFonts w:ascii="宋体" w:hAnsi="宋体" w:cs="宋体"/>
          <w:b/>
          <w:bCs/>
          <w:sz w:val="21"/>
          <w:szCs w:val="21"/>
          <w:highlight w:val="none"/>
        </w:rPr>
      </w:pPr>
      <w:r>
        <w:rPr>
          <w:rFonts w:hint="eastAsia" w:ascii="宋体" w:hAnsi="宋体" w:cs="宋体"/>
          <w:b/>
          <w:bCs/>
          <w:sz w:val="21"/>
          <w:szCs w:val="21"/>
          <w:highlight w:val="none"/>
        </w:rPr>
        <w:t>附投标保证金缴纳凭证原件扫描件。</w:t>
      </w:r>
    </w:p>
    <w:p w14:paraId="1CA97080">
      <w:pPr>
        <w:spacing w:line="600" w:lineRule="auto"/>
        <w:ind w:firstLine="420" w:firstLineChars="200"/>
        <w:jc w:val="right"/>
        <w:rPr>
          <w:rFonts w:ascii="宋体" w:hAnsi="宋体" w:cs="宋体"/>
          <w:sz w:val="21"/>
          <w:szCs w:val="21"/>
          <w:highlight w:val="none"/>
        </w:rPr>
      </w:pPr>
    </w:p>
    <w:p w14:paraId="7BE6D79B">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投标人（电子签章）：</w:t>
      </w:r>
      <w:r>
        <w:rPr>
          <w:rFonts w:hint="eastAsia" w:ascii="宋体" w:hAnsi="宋体" w:cs="宋体"/>
          <w:sz w:val="21"/>
          <w:szCs w:val="21"/>
          <w:highlight w:val="none"/>
          <w:u w:val="single"/>
        </w:rPr>
        <w:t xml:space="preserve">            </w:t>
      </w:r>
    </w:p>
    <w:p w14:paraId="402D70E9">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法定代表人（电子签章）：</w:t>
      </w:r>
      <w:r>
        <w:rPr>
          <w:rFonts w:hint="eastAsia" w:ascii="宋体" w:hAnsi="宋体" w:cs="宋体"/>
          <w:sz w:val="21"/>
          <w:szCs w:val="21"/>
          <w:highlight w:val="none"/>
          <w:u w:val="single"/>
        </w:rPr>
        <w:t xml:space="preserve">            </w:t>
      </w:r>
    </w:p>
    <w:p w14:paraId="7F96968F">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________年_____月______日</w:t>
      </w:r>
    </w:p>
    <w:p w14:paraId="1DB8E0E2">
      <w:pPr>
        <w:wordWrap w:val="0"/>
        <w:spacing w:line="360" w:lineRule="auto"/>
        <w:rPr>
          <w:rFonts w:ascii="宋体" w:hAnsi="宋体" w:cs="宋体"/>
          <w:sz w:val="21"/>
          <w:szCs w:val="21"/>
          <w:highlight w:val="none"/>
        </w:rPr>
      </w:pPr>
    </w:p>
    <w:p w14:paraId="4149C770">
      <w:pPr>
        <w:pStyle w:val="14"/>
        <w:ind w:firstLine="400"/>
        <w:rPr>
          <w:rFonts w:ascii="宋体" w:hAnsi="宋体" w:cs="宋体"/>
          <w:highlight w:val="none"/>
        </w:rPr>
      </w:pPr>
    </w:p>
    <w:p w14:paraId="4BA0A6D4">
      <w:pPr>
        <w:pStyle w:val="14"/>
        <w:ind w:firstLine="400"/>
        <w:rPr>
          <w:rFonts w:ascii="宋体" w:hAnsi="宋体" w:cs="宋体"/>
          <w:highlight w:val="none"/>
        </w:rPr>
      </w:pPr>
    </w:p>
    <w:p w14:paraId="7A30EC67">
      <w:pPr>
        <w:pStyle w:val="14"/>
        <w:ind w:firstLine="400"/>
        <w:rPr>
          <w:rFonts w:ascii="宋体" w:hAnsi="宋体" w:cs="宋体"/>
          <w:highlight w:val="none"/>
        </w:rPr>
      </w:pPr>
    </w:p>
    <w:p w14:paraId="39B8F967">
      <w:pPr>
        <w:pStyle w:val="14"/>
        <w:ind w:firstLine="400"/>
        <w:rPr>
          <w:rFonts w:ascii="宋体" w:hAnsi="宋体" w:cs="宋体"/>
          <w:highlight w:val="none"/>
        </w:rPr>
      </w:pPr>
    </w:p>
    <w:p w14:paraId="28E2469D">
      <w:pPr>
        <w:pStyle w:val="14"/>
        <w:ind w:firstLine="400"/>
        <w:rPr>
          <w:rFonts w:ascii="宋体" w:hAnsi="宋体" w:cs="宋体"/>
          <w:highlight w:val="none"/>
        </w:rPr>
      </w:pPr>
    </w:p>
    <w:p w14:paraId="2440CED5">
      <w:pPr>
        <w:pStyle w:val="14"/>
        <w:ind w:firstLine="400"/>
        <w:rPr>
          <w:rFonts w:ascii="宋体" w:hAnsi="宋体" w:cs="宋体"/>
          <w:highlight w:val="none"/>
        </w:rPr>
      </w:pPr>
    </w:p>
    <w:p w14:paraId="08707E98">
      <w:pPr>
        <w:pStyle w:val="14"/>
        <w:ind w:firstLine="400"/>
        <w:rPr>
          <w:rFonts w:ascii="宋体" w:hAnsi="宋体" w:cs="宋体"/>
          <w:highlight w:val="none"/>
        </w:rPr>
      </w:pPr>
    </w:p>
    <w:p w14:paraId="16DCADAD">
      <w:pPr>
        <w:pStyle w:val="14"/>
        <w:ind w:firstLine="400"/>
        <w:rPr>
          <w:rFonts w:ascii="宋体" w:hAnsi="宋体" w:cs="宋体"/>
          <w:highlight w:val="none"/>
        </w:rPr>
      </w:pPr>
    </w:p>
    <w:p w14:paraId="534F9CA6">
      <w:pPr>
        <w:pStyle w:val="14"/>
        <w:ind w:firstLine="400"/>
        <w:rPr>
          <w:rFonts w:ascii="宋体" w:hAnsi="宋体" w:cs="宋体"/>
          <w:highlight w:val="none"/>
        </w:rPr>
      </w:pPr>
    </w:p>
    <w:p w14:paraId="128CBEB6">
      <w:pPr>
        <w:pStyle w:val="14"/>
        <w:ind w:firstLine="400"/>
        <w:rPr>
          <w:rFonts w:ascii="宋体" w:hAnsi="宋体" w:cs="宋体"/>
          <w:highlight w:val="none"/>
        </w:rPr>
      </w:pPr>
    </w:p>
    <w:p w14:paraId="04BC5190">
      <w:pPr>
        <w:pStyle w:val="14"/>
        <w:ind w:firstLine="400"/>
        <w:rPr>
          <w:rFonts w:ascii="宋体" w:hAnsi="宋体" w:cs="宋体"/>
          <w:highlight w:val="none"/>
        </w:rPr>
      </w:pPr>
    </w:p>
    <w:p w14:paraId="7F12AD96">
      <w:pPr>
        <w:pStyle w:val="14"/>
        <w:ind w:firstLine="400"/>
        <w:rPr>
          <w:rFonts w:ascii="宋体" w:hAnsi="宋体" w:cs="宋体"/>
          <w:highlight w:val="none"/>
        </w:rPr>
      </w:pPr>
    </w:p>
    <w:p w14:paraId="66B45440">
      <w:pPr>
        <w:pStyle w:val="14"/>
        <w:ind w:firstLine="400"/>
        <w:rPr>
          <w:rFonts w:ascii="宋体" w:hAnsi="宋体" w:cs="宋体"/>
          <w:highlight w:val="none"/>
        </w:rPr>
      </w:pPr>
    </w:p>
    <w:p w14:paraId="4AFB85D7">
      <w:pPr>
        <w:pStyle w:val="14"/>
        <w:ind w:firstLine="400"/>
        <w:rPr>
          <w:rFonts w:ascii="宋体" w:hAnsi="宋体" w:cs="宋体"/>
          <w:highlight w:val="none"/>
        </w:rPr>
      </w:pPr>
    </w:p>
    <w:p w14:paraId="557FBC6C">
      <w:pPr>
        <w:pStyle w:val="14"/>
        <w:ind w:firstLine="400"/>
        <w:rPr>
          <w:rFonts w:ascii="宋体" w:hAnsi="宋体" w:cs="宋体"/>
          <w:highlight w:val="none"/>
        </w:rPr>
      </w:pPr>
    </w:p>
    <w:p w14:paraId="4C30A65A">
      <w:pPr>
        <w:jc w:val="center"/>
        <w:rPr>
          <w:rFonts w:ascii="宋体" w:hAnsi="宋体" w:cs="宋体"/>
          <w:b/>
          <w:sz w:val="30"/>
          <w:szCs w:val="30"/>
          <w:highlight w:val="none"/>
        </w:rPr>
      </w:pPr>
      <w:r>
        <w:rPr>
          <w:rFonts w:hint="eastAsia" w:ascii="宋体" w:hAnsi="宋体" w:cs="宋体"/>
          <w:highlight w:val="none"/>
        </w:rPr>
        <w:br w:type="page"/>
      </w:r>
      <w:bookmarkStart w:id="361" w:name="_Toc30790"/>
      <w:r>
        <w:rPr>
          <w:rFonts w:hint="eastAsia" w:ascii="宋体" w:hAnsi="宋体" w:cs="宋体"/>
          <w:sz w:val="30"/>
          <w:szCs w:val="30"/>
          <w:highlight w:val="none"/>
        </w:rPr>
        <w:t>（五）投标人承诺书</w:t>
      </w:r>
      <w:bookmarkEnd w:id="361"/>
    </w:p>
    <w:p w14:paraId="39B9CDF0">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 xml:space="preserve">本企业参与 </w:t>
      </w:r>
      <w:r>
        <w:rPr>
          <w:rFonts w:hint="eastAsia" w:ascii="宋体" w:hAnsi="宋体" w:cs="宋体"/>
          <w:sz w:val="21"/>
          <w:szCs w:val="21"/>
          <w:highlight w:val="none"/>
          <w:u w:val="single"/>
        </w:rPr>
        <w:t xml:space="preserve">     （项目名称）        </w:t>
      </w:r>
      <w:r>
        <w:rPr>
          <w:rFonts w:hint="eastAsia" w:ascii="宋体" w:hAnsi="宋体" w:cs="宋体"/>
          <w:sz w:val="21"/>
          <w:szCs w:val="21"/>
          <w:highlight w:val="none"/>
        </w:rPr>
        <w:t>项目的投标，现作如下承诺：</w:t>
      </w:r>
    </w:p>
    <w:p w14:paraId="0E84BF38">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1、我公司参与此次投标活动所提交的所有资料都是合法、真实、有效的。</w:t>
      </w:r>
    </w:p>
    <w:p w14:paraId="523BC9B4">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2、不与其他投标人串通投标、围标，依法、依规公平竞争，不损害招标人或其他投标人的合法权益。</w:t>
      </w:r>
    </w:p>
    <w:p w14:paraId="4F78ABE7">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3、不转让、出租、出借资质证书、人员岗位证书，不以法律、法规禁止的方式投标。</w:t>
      </w:r>
    </w:p>
    <w:p w14:paraId="585612D7">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4、不与招标人或招标代理机构串通投标，不损害国家利益、社会公共利益或其他当事人的合法权益。</w:t>
      </w:r>
    </w:p>
    <w:p w14:paraId="38BACB83">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5、不向招标人、评标委员会成员、监督人员行贿。</w:t>
      </w:r>
    </w:p>
    <w:p w14:paraId="1AA2C244">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6、不扰乱公共资源交易正常秩序。</w:t>
      </w:r>
    </w:p>
    <w:p w14:paraId="06F350F3">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7、不进行虚假恶意投诉。</w:t>
      </w:r>
    </w:p>
    <w:p w14:paraId="707F78EC">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8、因违反法律、法规或相关规定被查处的，不干预案件查处。</w:t>
      </w:r>
    </w:p>
    <w:p w14:paraId="27BFA1F2">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如违反以上承诺，涉嫌违纪违法、犯罪的，由纪检监察机关、行政监管部门、公安机关依法调查处理。违法、违规或不良行为事实成立的，本投标人不再要求退还投标时所提交的投标保证金和廉政保证金，并承担相关责任。给招标人造成损失的，依法承担赔偿责任。</w:t>
      </w:r>
    </w:p>
    <w:p w14:paraId="49F2CCBA">
      <w:pPr>
        <w:pStyle w:val="14"/>
        <w:ind w:firstLine="400"/>
        <w:rPr>
          <w:rFonts w:ascii="宋体" w:hAnsi="宋体" w:cs="宋体"/>
          <w:highlight w:val="none"/>
        </w:rPr>
      </w:pPr>
    </w:p>
    <w:p w14:paraId="49BB905E">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投标人（电子签章）：_______________</w:t>
      </w:r>
    </w:p>
    <w:p w14:paraId="74EFB1B7">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法定代表人（电子签章）：___________</w:t>
      </w:r>
    </w:p>
    <w:p w14:paraId="223733C5">
      <w:pPr>
        <w:spacing w:line="600" w:lineRule="auto"/>
        <w:ind w:firstLine="420" w:firstLineChars="200"/>
        <w:rPr>
          <w:rFonts w:ascii="宋体" w:hAnsi="宋体" w:cs="宋体"/>
          <w:sz w:val="21"/>
          <w:szCs w:val="21"/>
          <w:highlight w:val="none"/>
        </w:rPr>
      </w:pPr>
      <w:r>
        <w:rPr>
          <w:rFonts w:hint="eastAsia" w:ascii="宋体" w:hAnsi="宋体" w:cs="宋体"/>
          <w:sz w:val="21"/>
          <w:szCs w:val="21"/>
          <w:highlight w:val="none"/>
        </w:rPr>
        <w:t>________年_____月______日</w:t>
      </w:r>
    </w:p>
    <w:p w14:paraId="4D6C5FC1">
      <w:pPr>
        <w:spacing w:line="590" w:lineRule="exact"/>
        <w:ind w:firstLine="640" w:firstLineChars="200"/>
        <w:rPr>
          <w:rFonts w:ascii="宋体" w:hAnsi="宋体" w:cs="宋体"/>
          <w:sz w:val="32"/>
          <w:szCs w:val="32"/>
          <w:highlight w:val="none"/>
        </w:rPr>
      </w:pPr>
    </w:p>
    <w:p w14:paraId="1ACCAF92">
      <w:pPr>
        <w:pStyle w:val="14"/>
        <w:ind w:firstLine="400"/>
        <w:rPr>
          <w:rFonts w:ascii="宋体" w:hAnsi="宋体" w:cs="宋体"/>
          <w:highlight w:val="none"/>
        </w:rPr>
      </w:pPr>
    </w:p>
    <w:p w14:paraId="077AFCE8">
      <w:pPr>
        <w:pStyle w:val="5"/>
        <w:tabs>
          <w:tab w:val="left" w:pos="432"/>
          <w:tab w:val="left" w:pos="720"/>
        </w:tabs>
        <w:spacing w:before="240" w:after="240" w:line="360" w:lineRule="auto"/>
        <w:jc w:val="center"/>
        <w:rPr>
          <w:rFonts w:ascii="宋体" w:hAnsi="宋体" w:cs="宋体"/>
          <w:b w:val="0"/>
          <w:sz w:val="30"/>
          <w:szCs w:val="30"/>
          <w:highlight w:val="none"/>
        </w:rPr>
      </w:pPr>
      <w:bookmarkStart w:id="362" w:name="_Toc176848891"/>
      <w:bookmarkStart w:id="363" w:name="_Toc25083"/>
      <w:bookmarkStart w:id="364" w:name="_Toc260127888"/>
      <w:bookmarkStart w:id="365" w:name="_Toc224363922"/>
      <w:bookmarkStart w:id="366" w:name="_Toc241805276"/>
      <w:bookmarkStart w:id="367" w:name="_Toc217185633"/>
      <w:bookmarkStart w:id="368" w:name="_Toc216755822"/>
      <w:r>
        <w:rPr>
          <w:rFonts w:hint="eastAsia" w:ascii="宋体" w:hAnsi="宋体" w:cs="宋体"/>
          <w:b w:val="0"/>
          <w:sz w:val="30"/>
          <w:szCs w:val="30"/>
          <w:highlight w:val="none"/>
        </w:rPr>
        <w:t>（六）开标一览表</w:t>
      </w:r>
      <w:bookmarkEnd w:id="362"/>
      <w:bookmarkEnd w:id="363"/>
      <w:bookmarkEnd w:id="364"/>
      <w:bookmarkEnd w:id="365"/>
      <w:bookmarkEnd w:id="366"/>
      <w:bookmarkEnd w:id="367"/>
    </w:p>
    <w:p w14:paraId="0BF6FB83">
      <w:pPr>
        <w:spacing w:line="360" w:lineRule="auto"/>
        <w:rPr>
          <w:rFonts w:ascii="宋体" w:hAnsi="宋体" w:cs="宋体"/>
          <w:sz w:val="21"/>
          <w:szCs w:val="21"/>
          <w:highlight w:val="none"/>
        </w:rPr>
      </w:pPr>
      <w:r>
        <w:rPr>
          <w:rFonts w:hint="eastAsia" w:ascii="宋体" w:hAnsi="宋体" w:cs="宋体"/>
          <w:sz w:val="21"/>
          <w:szCs w:val="21"/>
          <w:highlight w:val="none"/>
        </w:rPr>
        <w:t>项目名称：</w:t>
      </w:r>
      <w:r>
        <w:rPr>
          <w:rFonts w:hint="eastAsia" w:ascii="宋体" w:hAnsi="宋体" w:cs="宋体"/>
          <w:sz w:val="21"/>
          <w:szCs w:val="21"/>
          <w:highlight w:val="none"/>
          <w:u w:val="single"/>
        </w:rPr>
        <w:t xml:space="preserve">                        </w:t>
      </w:r>
    </w:p>
    <w:p w14:paraId="68DF64C9">
      <w:pPr>
        <w:pStyle w:val="26"/>
        <w:spacing w:after="159" w:afterLines="50" w:line="276" w:lineRule="auto"/>
        <w:rPr>
          <w:rFonts w:hAnsi="宋体" w:cs="宋体"/>
          <w:bCs/>
          <w:highlight w:val="none"/>
          <w:u w:val="single"/>
        </w:rPr>
      </w:pPr>
      <w:r>
        <w:rPr>
          <w:rFonts w:hint="eastAsia" w:hAnsi="宋体" w:cs="宋体"/>
          <w:bCs/>
          <w:highlight w:val="none"/>
        </w:rPr>
        <w:t>招标编号：</w:t>
      </w:r>
      <w:r>
        <w:rPr>
          <w:rFonts w:hint="eastAsia" w:hAnsi="宋体" w:cs="宋体"/>
          <w:bCs/>
          <w:highlight w:val="none"/>
          <w:u w:val="single"/>
        </w:rPr>
        <w:t xml:space="preserve">                        </w:t>
      </w:r>
    </w:p>
    <w:tbl>
      <w:tblPr>
        <w:tblStyle w:val="50"/>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831"/>
        <w:gridCol w:w="2425"/>
        <w:gridCol w:w="4110"/>
        <w:gridCol w:w="2363"/>
      </w:tblGrid>
      <w:tr w14:paraId="53D8E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51" w:hRule="exact"/>
          <w:jc w:val="center"/>
        </w:trPr>
        <w:tc>
          <w:tcPr>
            <w:tcW w:w="831" w:type="dxa"/>
            <w:shd w:val="clear" w:color="auto" w:fill="FFFFFF" w:themeFill="background1"/>
            <w:vAlign w:val="center"/>
          </w:tcPr>
          <w:p w14:paraId="64B20E42">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序号</w:t>
            </w:r>
          </w:p>
        </w:tc>
        <w:tc>
          <w:tcPr>
            <w:tcW w:w="2425" w:type="dxa"/>
            <w:shd w:val="clear" w:color="auto" w:fill="FFFFFF" w:themeFill="background1"/>
            <w:vAlign w:val="center"/>
          </w:tcPr>
          <w:p w14:paraId="160172BB">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开标内容</w:t>
            </w:r>
          </w:p>
        </w:tc>
        <w:tc>
          <w:tcPr>
            <w:tcW w:w="4110" w:type="dxa"/>
            <w:shd w:val="clear" w:color="auto" w:fill="FFFFFF" w:themeFill="background1"/>
            <w:vAlign w:val="center"/>
          </w:tcPr>
          <w:p w14:paraId="4D9BA2CC">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投标人填写</w:t>
            </w:r>
          </w:p>
        </w:tc>
        <w:tc>
          <w:tcPr>
            <w:tcW w:w="2363" w:type="dxa"/>
            <w:shd w:val="clear" w:color="auto" w:fill="FFFFFF" w:themeFill="background1"/>
            <w:vAlign w:val="center"/>
          </w:tcPr>
          <w:p w14:paraId="4400B78D">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备  注</w:t>
            </w:r>
          </w:p>
        </w:tc>
      </w:tr>
      <w:tr w14:paraId="7F3F0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165" w:hRule="exact"/>
          <w:jc w:val="center"/>
        </w:trPr>
        <w:tc>
          <w:tcPr>
            <w:tcW w:w="831" w:type="dxa"/>
            <w:shd w:val="clear" w:color="auto" w:fill="FFFFFF" w:themeFill="background1"/>
            <w:vAlign w:val="center"/>
          </w:tcPr>
          <w:p w14:paraId="7098A006">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1</w:t>
            </w:r>
          </w:p>
        </w:tc>
        <w:tc>
          <w:tcPr>
            <w:tcW w:w="2425" w:type="dxa"/>
            <w:shd w:val="clear" w:color="auto" w:fill="FFFFFF" w:themeFill="background1"/>
            <w:vAlign w:val="center"/>
          </w:tcPr>
          <w:p w14:paraId="4D1DA173">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投标总报价</w:t>
            </w:r>
          </w:p>
        </w:tc>
        <w:tc>
          <w:tcPr>
            <w:tcW w:w="4110" w:type="dxa"/>
            <w:shd w:val="clear" w:color="auto" w:fill="FFFFFF" w:themeFill="background1"/>
            <w:vAlign w:val="center"/>
          </w:tcPr>
          <w:p w14:paraId="3326AE39">
            <w:pPr>
              <w:spacing w:line="360" w:lineRule="auto"/>
              <w:rPr>
                <w:rFonts w:ascii="宋体" w:hAnsi="宋体" w:cs="宋体"/>
                <w:sz w:val="21"/>
                <w:szCs w:val="21"/>
                <w:highlight w:val="none"/>
              </w:rPr>
            </w:pPr>
            <w:r>
              <w:rPr>
                <w:rFonts w:hint="eastAsia" w:ascii="宋体" w:hAnsi="宋体" w:cs="宋体"/>
                <w:sz w:val="21"/>
                <w:szCs w:val="21"/>
                <w:highlight w:val="none"/>
              </w:rPr>
              <w:t>小写：¥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元</w:t>
            </w:r>
          </w:p>
          <w:p w14:paraId="55C3ACA3">
            <w:pPr>
              <w:wordWrap w:val="0"/>
              <w:spacing w:line="360" w:lineRule="auto"/>
              <w:rPr>
                <w:rFonts w:ascii="宋体" w:hAnsi="宋体" w:cs="宋体"/>
                <w:sz w:val="21"/>
                <w:szCs w:val="21"/>
                <w:highlight w:val="none"/>
              </w:rPr>
            </w:pPr>
            <w:r>
              <w:rPr>
                <w:rFonts w:hint="eastAsia" w:ascii="宋体" w:hAnsi="宋体" w:cs="宋体"/>
                <w:sz w:val="21"/>
                <w:szCs w:val="21"/>
                <w:highlight w:val="none"/>
              </w:rPr>
              <w:t>大写：人民币</w:t>
            </w:r>
            <w:r>
              <w:rPr>
                <w:rFonts w:hint="eastAsia" w:ascii="宋体" w:hAnsi="宋体" w:cs="宋体"/>
                <w:sz w:val="21"/>
                <w:szCs w:val="21"/>
                <w:highlight w:val="none"/>
                <w:u w:val="single"/>
              </w:rPr>
              <w:t xml:space="preserve">           </w:t>
            </w:r>
          </w:p>
        </w:tc>
        <w:tc>
          <w:tcPr>
            <w:tcW w:w="2363" w:type="dxa"/>
            <w:shd w:val="clear" w:color="auto" w:fill="FFFFFF" w:themeFill="background1"/>
            <w:vAlign w:val="center"/>
          </w:tcPr>
          <w:p w14:paraId="5839D5AD">
            <w:pPr>
              <w:wordWrap w:val="0"/>
              <w:spacing w:line="276" w:lineRule="auto"/>
              <w:jc w:val="center"/>
              <w:rPr>
                <w:rFonts w:ascii="宋体" w:hAnsi="宋体" w:cs="宋体"/>
                <w:sz w:val="21"/>
                <w:szCs w:val="21"/>
                <w:highlight w:val="none"/>
              </w:rPr>
            </w:pPr>
          </w:p>
        </w:tc>
      </w:tr>
      <w:tr w14:paraId="6A33A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51" w:hRule="exact"/>
          <w:jc w:val="center"/>
        </w:trPr>
        <w:tc>
          <w:tcPr>
            <w:tcW w:w="831" w:type="dxa"/>
            <w:shd w:val="clear" w:color="auto" w:fill="FFFFFF" w:themeFill="background1"/>
            <w:vAlign w:val="center"/>
          </w:tcPr>
          <w:p w14:paraId="03421E76">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2</w:t>
            </w:r>
          </w:p>
        </w:tc>
        <w:tc>
          <w:tcPr>
            <w:tcW w:w="2425" w:type="dxa"/>
            <w:shd w:val="clear" w:color="auto" w:fill="FFFFFF" w:themeFill="background1"/>
            <w:vAlign w:val="center"/>
          </w:tcPr>
          <w:p w14:paraId="1B4BB472">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合同履行期限承诺</w:t>
            </w:r>
          </w:p>
        </w:tc>
        <w:tc>
          <w:tcPr>
            <w:tcW w:w="4110" w:type="dxa"/>
            <w:shd w:val="clear" w:color="auto" w:fill="FFFFFF" w:themeFill="background1"/>
            <w:vAlign w:val="center"/>
          </w:tcPr>
          <w:p w14:paraId="0F2F1C99">
            <w:pPr>
              <w:wordWrap w:val="0"/>
              <w:spacing w:line="276" w:lineRule="auto"/>
              <w:jc w:val="center"/>
              <w:rPr>
                <w:rFonts w:ascii="宋体" w:hAnsi="宋体" w:cs="宋体"/>
                <w:sz w:val="21"/>
                <w:szCs w:val="21"/>
                <w:highlight w:val="none"/>
              </w:rPr>
            </w:pPr>
          </w:p>
        </w:tc>
        <w:tc>
          <w:tcPr>
            <w:tcW w:w="2363" w:type="dxa"/>
            <w:shd w:val="clear" w:color="auto" w:fill="FFFFFF" w:themeFill="background1"/>
            <w:vAlign w:val="center"/>
          </w:tcPr>
          <w:p w14:paraId="54B72AA0">
            <w:pPr>
              <w:wordWrap w:val="0"/>
              <w:spacing w:line="276" w:lineRule="auto"/>
              <w:jc w:val="center"/>
              <w:rPr>
                <w:rFonts w:ascii="宋体" w:hAnsi="宋体" w:cs="宋体"/>
                <w:sz w:val="21"/>
                <w:szCs w:val="21"/>
                <w:highlight w:val="none"/>
              </w:rPr>
            </w:pPr>
          </w:p>
        </w:tc>
      </w:tr>
      <w:tr w14:paraId="752AB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51" w:hRule="exact"/>
          <w:jc w:val="center"/>
        </w:trPr>
        <w:tc>
          <w:tcPr>
            <w:tcW w:w="831" w:type="dxa"/>
            <w:shd w:val="clear" w:color="auto" w:fill="FFFFFF" w:themeFill="background1"/>
            <w:vAlign w:val="center"/>
          </w:tcPr>
          <w:p w14:paraId="7A13D51D">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3</w:t>
            </w:r>
          </w:p>
        </w:tc>
        <w:tc>
          <w:tcPr>
            <w:tcW w:w="2425" w:type="dxa"/>
            <w:shd w:val="clear" w:color="auto" w:fill="FFFFFF" w:themeFill="background1"/>
            <w:vAlign w:val="center"/>
          </w:tcPr>
          <w:p w14:paraId="6A28856C">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服务地点承诺</w:t>
            </w:r>
          </w:p>
        </w:tc>
        <w:tc>
          <w:tcPr>
            <w:tcW w:w="4110" w:type="dxa"/>
            <w:shd w:val="clear" w:color="auto" w:fill="FFFFFF" w:themeFill="background1"/>
            <w:vAlign w:val="center"/>
          </w:tcPr>
          <w:p w14:paraId="0FC3DEDB">
            <w:pPr>
              <w:wordWrap w:val="0"/>
              <w:spacing w:line="276" w:lineRule="auto"/>
              <w:jc w:val="center"/>
              <w:rPr>
                <w:rFonts w:ascii="宋体" w:hAnsi="宋体" w:cs="宋体"/>
                <w:sz w:val="21"/>
                <w:szCs w:val="21"/>
                <w:highlight w:val="none"/>
              </w:rPr>
            </w:pPr>
          </w:p>
        </w:tc>
        <w:tc>
          <w:tcPr>
            <w:tcW w:w="2363" w:type="dxa"/>
            <w:shd w:val="clear" w:color="auto" w:fill="FFFFFF" w:themeFill="background1"/>
            <w:vAlign w:val="center"/>
          </w:tcPr>
          <w:p w14:paraId="2C85232A">
            <w:pPr>
              <w:wordWrap w:val="0"/>
              <w:spacing w:line="276" w:lineRule="auto"/>
              <w:jc w:val="center"/>
              <w:rPr>
                <w:rFonts w:ascii="宋体" w:hAnsi="宋体" w:cs="宋体"/>
                <w:sz w:val="21"/>
                <w:szCs w:val="21"/>
                <w:highlight w:val="none"/>
              </w:rPr>
            </w:pPr>
          </w:p>
        </w:tc>
      </w:tr>
      <w:tr w14:paraId="141A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51" w:hRule="exact"/>
          <w:jc w:val="center"/>
        </w:trPr>
        <w:tc>
          <w:tcPr>
            <w:tcW w:w="831" w:type="dxa"/>
            <w:shd w:val="clear" w:color="auto" w:fill="FFFFFF" w:themeFill="background1"/>
            <w:vAlign w:val="center"/>
          </w:tcPr>
          <w:p w14:paraId="368B2911">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4</w:t>
            </w:r>
          </w:p>
        </w:tc>
        <w:tc>
          <w:tcPr>
            <w:tcW w:w="2425" w:type="dxa"/>
            <w:shd w:val="clear" w:color="auto" w:fill="FFFFFF" w:themeFill="background1"/>
            <w:vAlign w:val="center"/>
          </w:tcPr>
          <w:p w14:paraId="4B73320B">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服务要求承诺</w:t>
            </w:r>
          </w:p>
        </w:tc>
        <w:tc>
          <w:tcPr>
            <w:tcW w:w="4110" w:type="dxa"/>
            <w:shd w:val="clear" w:color="auto" w:fill="FFFFFF" w:themeFill="background1"/>
            <w:vAlign w:val="center"/>
          </w:tcPr>
          <w:p w14:paraId="7BBBB7D3">
            <w:pPr>
              <w:wordWrap w:val="0"/>
              <w:spacing w:line="276" w:lineRule="auto"/>
              <w:jc w:val="center"/>
              <w:rPr>
                <w:rFonts w:ascii="宋体" w:hAnsi="宋体" w:cs="宋体"/>
                <w:sz w:val="21"/>
                <w:szCs w:val="21"/>
                <w:highlight w:val="none"/>
              </w:rPr>
            </w:pPr>
          </w:p>
        </w:tc>
        <w:tc>
          <w:tcPr>
            <w:tcW w:w="2363" w:type="dxa"/>
            <w:shd w:val="clear" w:color="auto" w:fill="FFFFFF" w:themeFill="background1"/>
            <w:vAlign w:val="center"/>
          </w:tcPr>
          <w:p w14:paraId="3574C9B5">
            <w:pPr>
              <w:wordWrap w:val="0"/>
              <w:spacing w:line="276" w:lineRule="auto"/>
              <w:jc w:val="center"/>
              <w:rPr>
                <w:rFonts w:ascii="宋体" w:hAnsi="宋体" w:cs="宋体"/>
                <w:sz w:val="21"/>
                <w:szCs w:val="21"/>
                <w:highlight w:val="none"/>
              </w:rPr>
            </w:pPr>
          </w:p>
        </w:tc>
      </w:tr>
      <w:tr w14:paraId="5CB0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51" w:hRule="exact"/>
          <w:jc w:val="center"/>
        </w:trPr>
        <w:tc>
          <w:tcPr>
            <w:tcW w:w="831" w:type="dxa"/>
            <w:shd w:val="clear" w:color="auto" w:fill="FFFFFF" w:themeFill="background1"/>
            <w:vAlign w:val="center"/>
          </w:tcPr>
          <w:p w14:paraId="356F67B6">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5</w:t>
            </w:r>
          </w:p>
        </w:tc>
        <w:tc>
          <w:tcPr>
            <w:tcW w:w="2425" w:type="dxa"/>
            <w:shd w:val="clear" w:color="auto" w:fill="FFFFFF" w:themeFill="background1"/>
            <w:vAlign w:val="center"/>
          </w:tcPr>
          <w:p w14:paraId="29FA0849">
            <w:pPr>
              <w:wordWrap w:val="0"/>
              <w:spacing w:line="276" w:lineRule="auto"/>
              <w:jc w:val="center"/>
              <w:rPr>
                <w:rFonts w:ascii="宋体" w:hAnsi="宋体" w:cs="宋体"/>
                <w:sz w:val="21"/>
                <w:szCs w:val="21"/>
                <w:highlight w:val="none"/>
              </w:rPr>
            </w:pPr>
            <w:r>
              <w:rPr>
                <w:rFonts w:hint="eastAsia" w:ascii="宋体" w:hAnsi="宋体" w:cs="宋体"/>
                <w:sz w:val="21"/>
                <w:szCs w:val="21"/>
                <w:highlight w:val="none"/>
              </w:rPr>
              <w:t>说明</w:t>
            </w:r>
          </w:p>
        </w:tc>
        <w:tc>
          <w:tcPr>
            <w:tcW w:w="4110" w:type="dxa"/>
            <w:shd w:val="clear" w:color="auto" w:fill="FFFFFF" w:themeFill="background1"/>
            <w:vAlign w:val="center"/>
          </w:tcPr>
          <w:p w14:paraId="23799B80">
            <w:pPr>
              <w:wordWrap w:val="0"/>
              <w:spacing w:line="276" w:lineRule="auto"/>
              <w:jc w:val="center"/>
              <w:rPr>
                <w:rFonts w:ascii="宋体" w:hAnsi="宋体" w:cs="宋体"/>
                <w:sz w:val="21"/>
                <w:szCs w:val="21"/>
                <w:highlight w:val="none"/>
              </w:rPr>
            </w:pPr>
          </w:p>
        </w:tc>
        <w:tc>
          <w:tcPr>
            <w:tcW w:w="2363" w:type="dxa"/>
            <w:shd w:val="clear" w:color="auto" w:fill="FFFFFF" w:themeFill="background1"/>
            <w:vAlign w:val="center"/>
          </w:tcPr>
          <w:p w14:paraId="15BBAD78">
            <w:pPr>
              <w:wordWrap w:val="0"/>
              <w:spacing w:line="276" w:lineRule="auto"/>
              <w:jc w:val="center"/>
              <w:rPr>
                <w:rFonts w:ascii="宋体" w:hAnsi="宋体" w:cs="宋体"/>
                <w:sz w:val="21"/>
                <w:szCs w:val="21"/>
                <w:highlight w:val="none"/>
              </w:rPr>
            </w:pPr>
          </w:p>
        </w:tc>
      </w:tr>
    </w:tbl>
    <w:p w14:paraId="2376C72C">
      <w:pPr>
        <w:spacing w:before="319" w:beforeLines="100" w:line="360" w:lineRule="auto"/>
        <w:rPr>
          <w:rFonts w:ascii="宋体" w:hAnsi="宋体" w:cs="宋体"/>
          <w:b/>
          <w:bCs/>
          <w:sz w:val="21"/>
          <w:szCs w:val="21"/>
          <w:highlight w:val="none"/>
        </w:rPr>
      </w:pPr>
    </w:p>
    <w:p w14:paraId="03D474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ascii="宋体" w:hAnsi="宋体" w:cs="宋体"/>
          <w:sz w:val="21"/>
          <w:szCs w:val="21"/>
          <w:highlight w:val="none"/>
        </w:rPr>
      </w:pPr>
    </w:p>
    <w:bookmarkEnd w:id="368"/>
    <w:p w14:paraId="1E151F08">
      <w:pPr>
        <w:spacing w:line="600" w:lineRule="auto"/>
        <w:rPr>
          <w:rFonts w:ascii="宋体" w:hAnsi="宋体" w:cs="宋体"/>
          <w:sz w:val="21"/>
          <w:szCs w:val="21"/>
          <w:highlight w:val="none"/>
        </w:rPr>
      </w:pPr>
      <w:r>
        <w:rPr>
          <w:rFonts w:hint="eastAsia" w:ascii="宋体" w:hAnsi="宋体" w:cs="宋体"/>
          <w:sz w:val="21"/>
          <w:szCs w:val="21"/>
          <w:highlight w:val="none"/>
        </w:rPr>
        <w:t>投标人（电子签章）：_______________</w:t>
      </w:r>
    </w:p>
    <w:p w14:paraId="72F2EF91">
      <w:pPr>
        <w:spacing w:line="600" w:lineRule="auto"/>
        <w:rPr>
          <w:rFonts w:ascii="宋体" w:hAnsi="宋体" w:cs="宋体"/>
          <w:sz w:val="21"/>
          <w:szCs w:val="21"/>
          <w:highlight w:val="none"/>
        </w:rPr>
      </w:pPr>
      <w:r>
        <w:rPr>
          <w:rFonts w:hint="eastAsia" w:ascii="宋体" w:hAnsi="宋体" w:cs="宋体"/>
          <w:sz w:val="21"/>
          <w:szCs w:val="21"/>
          <w:highlight w:val="none"/>
        </w:rPr>
        <w:t>法定代表人（电子签章）：___________</w:t>
      </w:r>
    </w:p>
    <w:p w14:paraId="71E37BB7">
      <w:pPr>
        <w:spacing w:line="600" w:lineRule="auto"/>
        <w:rPr>
          <w:rFonts w:ascii="宋体" w:hAnsi="宋体" w:cs="宋体"/>
          <w:sz w:val="21"/>
          <w:szCs w:val="21"/>
          <w:highlight w:val="none"/>
        </w:rPr>
      </w:pPr>
      <w:r>
        <w:rPr>
          <w:rFonts w:hint="eastAsia" w:ascii="宋体" w:hAnsi="宋体" w:cs="宋体"/>
          <w:sz w:val="21"/>
          <w:szCs w:val="21"/>
          <w:highlight w:val="none"/>
        </w:rPr>
        <w:t>________年_____月______日</w:t>
      </w:r>
    </w:p>
    <w:p w14:paraId="63180139">
      <w:pPr>
        <w:wordWrap w:val="0"/>
        <w:spacing w:line="480" w:lineRule="auto"/>
        <w:ind w:firstLine="420"/>
        <w:rPr>
          <w:rFonts w:ascii="宋体" w:hAnsi="宋体" w:cs="宋体"/>
          <w:sz w:val="21"/>
          <w:szCs w:val="21"/>
          <w:highlight w:val="none"/>
        </w:rPr>
      </w:pPr>
    </w:p>
    <w:p w14:paraId="74A8589F">
      <w:pPr>
        <w:pStyle w:val="14"/>
        <w:ind w:firstLine="400"/>
        <w:rPr>
          <w:rFonts w:ascii="宋体" w:hAnsi="宋体" w:cs="宋体"/>
          <w:highlight w:val="none"/>
        </w:rPr>
      </w:pPr>
    </w:p>
    <w:p w14:paraId="0688D670">
      <w:pPr>
        <w:pStyle w:val="14"/>
        <w:ind w:firstLine="400"/>
        <w:rPr>
          <w:rFonts w:ascii="宋体" w:hAnsi="宋体" w:cs="宋体"/>
          <w:highlight w:val="none"/>
        </w:rPr>
      </w:pPr>
    </w:p>
    <w:p w14:paraId="48AD1348">
      <w:pPr>
        <w:pStyle w:val="14"/>
        <w:ind w:firstLine="400"/>
        <w:rPr>
          <w:rFonts w:ascii="宋体" w:hAnsi="宋体" w:cs="宋体"/>
          <w:highlight w:val="none"/>
        </w:rPr>
      </w:pPr>
    </w:p>
    <w:p w14:paraId="3A6D2F48">
      <w:pPr>
        <w:pStyle w:val="14"/>
        <w:ind w:firstLine="400"/>
        <w:rPr>
          <w:rFonts w:ascii="宋体" w:hAnsi="宋体" w:cs="宋体"/>
          <w:highlight w:val="none"/>
        </w:rPr>
      </w:pPr>
    </w:p>
    <w:p w14:paraId="7C9180C5">
      <w:pPr>
        <w:rPr>
          <w:rFonts w:ascii="宋体" w:hAnsi="宋体" w:cs="宋体"/>
          <w:highlight w:val="none"/>
        </w:rPr>
      </w:pPr>
      <w:r>
        <w:rPr>
          <w:rFonts w:hint="eastAsia" w:ascii="宋体" w:hAnsi="宋体" w:cs="宋体"/>
          <w:highlight w:val="none"/>
        </w:rPr>
        <w:br w:type="page"/>
      </w:r>
    </w:p>
    <w:p w14:paraId="4B92B550">
      <w:pPr>
        <w:pStyle w:val="5"/>
        <w:tabs>
          <w:tab w:val="left" w:pos="0"/>
        </w:tabs>
        <w:spacing w:before="240" w:after="240" w:line="360" w:lineRule="auto"/>
        <w:jc w:val="center"/>
        <w:rPr>
          <w:rFonts w:ascii="宋体" w:hAnsi="宋体" w:cs="宋体"/>
          <w:b w:val="0"/>
          <w:sz w:val="30"/>
          <w:szCs w:val="30"/>
          <w:highlight w:val="none"/>
        </w:rPr>
      </w:pPr>
      <w:bookmarkStart w:id="369" w:name="_Toc19560"/>
      <w:bookmarkStart w:id="370" w:name="_Hlk17818228"/>
      <w:r>
        <w:rPr>
          <w:rFonts w:hint="eastAsia" w:ascii="宋体" w:hAnsi="宋体" w:cs="宋体"/>
          <w:b w:val="0"/>
          <w:sz w:val="30"/>
          <w:szCs w:val="30"/>
          <w:highlight w:val="none"/>
        </w:rPr>
        <w:t>（七）政府采购政策性文件申明</w:t>
      </w:r>
      <w:bookmarkEnd w:id="369"/>
    </w:p>
    <w:p w14:paraId="10527D1E">
      <w:pPr>
        <w:pStyle w:val="6"/>
        <w:spacing w:before="159" w:beforeLines="50" w:after="159" w:afterLines="50" w:line="360" w:lineRule="auto"/>
        <w:jc w:val="center"/>
        <w:rPr>
          <w:rFonts w:ascii="宋体" w:hAnsi="宋体" w:eastAsia="宋体" w:cs="宋体"/>
          <w:highlight w:val="none"/>
        </w:rPr>
      </w:pPr>
      <w:r>
        <w:rPr>
          <w:rFonts w:hint="eastAsia" w:ascii="宋体" w:hAnsi="宋体" w:eastAsia="宋体" w:cs="宋体"/>
          <w:highlight w:val="none"/>
        </w:rPr>
        <w:t>1.中小企业声明函</w:t>
      </w:r>
    </w:p>
    <w:p w14:paraId="709977D9">
      <w:pPr>
        <w:spacing w:line="360" w:lineRule="auto"/>
        <w:jc w:val="center"/>
        <w:rPr>
          <w:rFonts w:ascii="宋体" w:hAnsi="宋体" w:cs="宋体"/>
          <w:b/>
          <w:bCs/>
          <w:sz w:val="21"/>
          <w:szCs w:val="21"/>
          <w:highlight w:val="none"/>
        </w:rPr>
      </w:pPr>
      <w:r>
        <w:rPr>
          <w:rFonts w:hint="eastAsia" w:ascii="宋体" w:hAnsi="宋体" w:cs="宋体"/>
          <w:b/>
          <w:bCs/>
          <w:sz w:val="21"/>
          <w:szCs w:val="21"/>
          <w:highlight w:val="none"/>
        </w:rPr>
        <w:t>根据《政府采购促进中小企业发展管理办法》（财库〔2020〕46号）规定享受中小企业扶持政策的投标人提供</w:t>
      </w:r>
    </w:p>
    <w:p w14:paraId="4E56E977">
      <w:pPr>
        <w:spacing w:before="319" w:beforeLines="100" w:line="360" w:lineRule="auto"/>
        <w:jc w:val="center"/>
        <w:rPr>
          <w:rFonts w:ascii="宋体" w:hAnsi="宋体" w:cs="宋体"/>
          <w:bCs/>
          <w:sz w:val="30"/>
          <w:szCs w:val="30"/>
          <w:highlight w:val="none"/>
        </w:rPr>
      </w:pPr>
      <w:bookmarkStart w:id="371" w:name="_Toc419059324"/>
      <w:r>
        <w:rPr>
          <w:rFonts w:hint="eastAsia" w:ascii="宋体" w:hAnsi="宋体" w:cs="宋体"/>
          <w:bCs/>
          <w:sz w:val="30"/>
          <w:szCs w:val="30"/>
          <w:highlight w:val="none"/>
        </w:rPr>
        <w:t>《中小企业声明函（货物）》</w:t>
      </w:r>
    </w:p>
    <w:p w14:paraId="7AE72BFA">
      <w:pPr>
        <w:pStyle w:val="45"/>
        <w:spacing w:before="0" w:beforeAutospacing="0" w:after="0" w:afterAutospacing="0" w:line="480" w:lineRule="auto"/>
        <w:ind w:firstLine="420"/>
        <w:rPr>
          <w:rFonts w:cs="宋体"/>
          <w:sz w:val="21"/>
          <w:szCs w:val="21"/>
          <w:highlight w:val="none"/>
        </w:rPr>
      </w:pPr>
      <w:r>
        <w:rPr>
          <w:rFonts w:hint="eastAsia" w:cs="宋体"/>
          <w:sz w:val="21"/>
          <w:szCs w:val="21"/>
          <w:highlight w:val="none"/>
        </w:rPr>
        <w:t>本公司（联合体）郑重声明，根据《政府采购促进中小企业发展管理办法》（财库〔2020〕46号）的规定，本公司（联合体）参加</w:t>
      </w:r>
      <w:r>
        <w:rPr>
          <w:rFonts w:hint="eastAsia" w:cs="宋体"/>
          <w:sz w:val="21"/>
          <w:szCs w:val="21"/>
          <w:highlight w:val="none"/>
          <w:u w:val="single"/>
        </w:rPr>
        <w:t xml:space="preserve">       </w:t>
      </w:r>
      <w:r>
        <w:rPr>
          <w:rFonts w:hint="eastAsia" w:cs="宋体"/>
          <w:sz w:val="21"/>
          <w:szCs w:val="21"/>
          <w:highlight w:val="none"/>
        </w:rPr>
        <w:t>（单位名称）的</w:t>
      </w:r>
      <w:r>
        <w:rPr>
          <w:rFonts w:hint="eastAsia" w:cs="宋体"/>
          <w:sz w:val="21"/>
          <w:szCs w:val="21"/>
          <w:highlight w:val="none"/>
          <w:u w:val="single"/>
        </w:rPr>
        <w:t xml:space="preserve">       </w:t>
      </w:r>
      <w:r>
        <w:rPr>
          <w:rFonts w:hint="eastAsia" w:cs="宋体"/>
          <w:sz w:val="21"/>
          <w:szCs w:val="21"/>
          <w:highlight w:val="none"/>
        </w:rPr>
        <w:t>（项目名称）采购活动，提供的货物全部由符合政策要求的中小企业制造。相关企业（含联合体中的中小企业、签订分包意向协议的中小企业）的具体情况如下：</w:t>
      </w:r>
    </w:p>
    <w:p w14:paraId="62073C77">
      <w:pPr>
        <w:pStyle w:val="45"/>
        <w:spacing w:before="0" w:beforeAutospacing="0" w:after="0" w:afterAutospacing="0" w:line="480" w:lineRule="auto"/>
        <w:ind w:firstLine="420"/>
        <w:rPr>
          <w:rFonts w:cs="宋体"/>
          <w:sz w:val="21"/>
          <w:szCs w:val="21"/>
          <w:highlight w:val="none"/>
        </w:rPr>
      </w:pPr>
      <w:r>
        <w:rPr>
          <w:rFonts w:hint="eastAsia" w:cs="宋体"/>
          <w:sz w:val="21"/>
          <w:szCs w:val="21"/>
          <w:highlight w:val="none"/>
        </w:rPr>
        <w:t>1.</w:t>
      </w:r>
      <w:r>
        <w:rPr>
          <w:rFonts w:hint="eastAsia" w:cs="宋体"/>
          <w:sz w:val="21"/>
          <w:szCs w:val="21"/>
          <w:highlight w:val="none"/>
          <w:u w:val="single"/>
        </w:rPr>
        <w:t xml:space="preserve">      </w:t>
      </w:r>
      <w:r>
        <w:rPr>
          <w:rFonts w:hint="eastAsia" w:cs="宋体"/>
          <w:sz w:val="21"/>
          <w:szCs w:val="21"/>
          <w:highlight w:val="none"/>
        </w:rPr>
        <w:t>（标的名称），属于</w:t>
      </w:r>
      <w:r>
        <w:rPr>
          <w:rFonts w:hint="eastAsia" w:cs="宋体"/>
          <w:sz w:val="21"/>
          <w:szCs w:val="21"/>
          <w:highlight w:val="none"/>
          <w:u w:val="single"/>
        </w:rPr>
        <w:t xml:space="preserve">  （十二）软件和信息技术服务业  </w:t>
      </w:r>
      <w:r>
        <w:rPr>
          <w:rFonts w:hint="eastAsia" w:cs="宋体"/>
          <w:sz w:val="21"/>
          <w:szCs w:val="21"/>
          <w:highlight w:val="none"/>
        </w:rPr>
        <w:t>行业；制造商为</w:t>
      </w:r>
      <w:r>
        <w:rPr>
          <w:rFonts w:hint="eastAsia" w:cs="宋体"/>
          <w:sz w:val="21"/>
          <w:szCs w:val="21"/>
          <w:highlight w:val="none"/>
          <w:u w:val="single"/>
        </w:rPr>
        <w:t xml:space="preserve">     </w:t>
      </w:r>
      <w:r>
        <w:rPr>
          <w:rFonts w:hint="eastAsia" w:cs="宋体"/>
          <w:sz w:val="21"/>
          <w:szCs w:val="21"/>
          <w:highlight w:val="none"/>
        </w:rPr>
        <w:t>（企业名称），从业人员</w:t>
      </w:r>
      <w:r>
        <w:rPr>
          <w:rFonts w:hint="eastAsia" w:cs="宋体"/>
          <w:sz w:val="21"/>
          <w:szCs w:val="21"/>
          <w:highlight w:val="none"/>
          <w:u w:val="single"/>
        </w:rPr>
        <w:t xml:space="preserve">      </w:t>
      </w:r>
      <w:r>
        <w:rPr>
          <w:rFonts w:hint="eastAsia" w:cs="宋体"/>
          <w:sz w:val="21"/>
          <w:szCs w:val="21"/>
          <w:highlight w:val="none"/>
        </w:rPr>
        <w:t>人，营业收入为</w:t>
      </w:r>
      <w:r>
        <w:rPr>
          <w:rFonts w:hint="eastAsia" w:cs="宋体"/>
          <w:sz w:val="21"/>
          <w:szCs w:val="21"/>
          <w:highlight w:val="none"/>
          <w:u w:val="single"/>
        </w:rPr>
        <w:t xml:space="preserve">      </w:t>
      </w:r>
      <w:r>
        <w:rPr>
          <w:rFonts w:hint="eastAsia" w:cs="宋体"/>
          <w:sz w:val="21"/>
          <w:szCs w:val="21"/>
          <w:highlight w:val="none"/>
        </w:rPr>
        <w:t>万元，资产总额为</w:t>
      </w:r>
      <w:r>
        <w:rPr>
          <w:rFonts w:hint="eastAsia" w:cs="宋体"/>
          <w:sz w:val="21"/>
          <w:szCs w:val="21"/>
          <w:highlight w:val="none"/>
          <w:u w:val="single"/>
        </w:rPr>
        <w:t xml:space="preserve">      </w:t>
      </w:r>
      <w:r>
        <w:rPr>
          <w:rFonts w:hint="eastAsia" w:cs="宋体"/>
          <w:sz w:val="21"/>
          <w:szCs w:val="21"/>
          <w:highlight w:val="none"/>
        </w:rPr>
        <w:t>万元</w:t>
      </w:r>
      <w:r>
        <w:rPr>
          <w:rFonts w:hint="eastAsia" w:cs="宋体"/>
          <w:sz w:val="21"/>
          <w:szCs w:val="21"/>
          <w:highlight w:val="none"/>
          <w:vertAlign w:val="superscript"/>
        </w:rPr>
        <w:t>1</w:t>
      </w:r>
      <w:r>
        <w:rPr>
          <w:rFonts w:hint="eastAsia" w:cs="宋体"/>
          <w:sz w:val="21"/>
          <w:szCs w:val="21"/>
          <w:highlight w:val="none"/>
        </w:rPr>
        <w:t>，属于</w:t>
      </w:r>
      <w:r>
        <w:rPr>
          <w:rFonts w:hint="eastAsia" w:cs="宋体"/>
          <w:sz w:val="21"/>
          <w:szCs w:val="21"/>
          <w:highlight w:val="none"/>
          <w:u w:val="single"/>
        </w:rPr>
        <w:t xml:space="preserve">      </w:t>
      </w:r>
      <w:r>
        <w:rPr>
          <w:rFonts w:hint="eastAsia" w:cs="宋体"/>
          <w:sz w:val="21"/>
          <w:szCs w:val="21"/>
          <w:highlight w:val="none"/>
        </w:rPr>
        <w:t>（中型企业、小型企业、微型企业）；</w:t>
      </w:r>
    </w:p>
    <w:p w14:paraId="1384AB1F">
      <w:pPr>
        <w:pStyle w:val="45"/>
        <w:spacing w:before="0" w:beforeAutospacing="0" w:after="0" w:afterAutospacing="0" w:line="480" w:lineRule="auto"/>
        <w:ind w:firstLine="420"/>
        <w:rPr>
          <w:rFonts w:cs="宋体"/>
          <w:sz w:val="21"/>
          <w:szCs w:val="21"/>
          <w:highlight w:val="none"/>
        </w:rPr>
      </w:pPr>
      <w:r>
        <w:rPr>
          <w:rFonts w:hint="eastAsia" w:cs="宋体"/>
          <w:sz w:val="21"/>
          <w:szCs w:val="21"/>
          <w:highlight w:val="none"/>
        </w:rPr>
        <w:t>2.</w:t>
      </w:r>
      <w:r>
        <w:rPr>
          <w:rFonts w:hint="eastAsia" w:cs="宋体"/>
          <w:sz w:val="21"/>
          <w:szCs w:val="21"/>
          <w:highlight w:val="none"/>
          <w:u w:val="single"/>
        </w:rPr>
        <w:t xml:space="preserve">      </w:t>
      </w:r>
      <w:r>
        <w:rPr>
          <w:rFonts w:hint="eastAsia" w:cs="宋体"/>
          <w:sz w:val="21"/>
          <w:szCs w:val="21"/>
          <w:highlight w:val="none"/>
        </w:rPr>
        <w:t>（标的名称），属于</w:t>
      </w:r>
      <w:r>
        <w:rPr>
          <w:rFonts w:hint="eastAsia" w:cs="宋体"/>
          <w:sz w:val="21"/>
          <w:szCs w:val="21"/>
          <w:highlight w:val="none"/>
          <w:u w:val="single"/>
        </w:rPr>
        <w:t xml:space="preserve">    （十二）其软件和信息技术服务业  </w:t>
      </w:r>
      <w:r>
        <w:rPr>
          <w:rFonts w:hint="eastAsia" w:cs="宋体"/>
          <w:sz w:val="21"/>
          <w:szCs w:val="21"/>
          <w:highlight w:val="none"/>
        </w:rPr>
        <w:t>行业；制造商为</w:t>
      </w:r>
      <w:r>
        <w:rPr>
          <w:rFonts w:hint="eastAsia" w:cs="宋体"/>
          <w:sz w:val="21"/>
          <w:szCs w:val="21"/>
          <w:highlight w:val="none"/>
          <w:u w:val="single"/>
        </w:rPr>
        <w:t xml:space="preserve">     </w:t>
      </w:r>
      <w:r>
        <w:rPr>
          <w:rFonts w:hint="eastAsia" w:cs="宋体"/>
          <w:sz w:val="21"/>
          <w:szCs w:val="21"/>
          <w:highlight w:val="none"/>
        </w:rPr>
        <w:t>（企业名称），从业人员</w:t>
      </w:r>
      <w:r>
        <w:rPr>
          <w:rFonts w:hint="eastAsia" w:cs="宋体"/>
          <w:sz w:val="21"/>
          <w:szCs w:val="21"/>
          <w:highlight w:val="none"/>
          <w:u w:val="single"/>
        </w:rPr>
        <w:t xml:space="preserve">      </w:t>
      </w:r>
      <w:r>
        <w:rPr>
          <w:rFonts w:hint="eastAsia" w:cs="宋体"/>
          <w:sz w:val="21"/>
          <w:szCs w:val="21"/>
          <w:highlight w:val="none"/>
        </w:rPr>
        <w:t>人，营业收入为</w:t>
      </w:r>
      <w:r>
        <w:rPr>
          <w:rFonts w:hint="eastAsia" w:cs="宋体"/>
          <w:sz w:val="21"/>
          <w:szCs w:val="21"/>
          <w:highlight w:val="none"/>
          <w:u w:val="single"/>
        </w:rPr>
        <w:t xml:space="preserve">      </w:t>
      </w:r>
      <w:r>
        <w:rPr>
          <w:rFonts w:hint="eastAsia" w:cs="宋体"/>
          <w:sz w:val="21"/>
          <w:szCs w:val="21"/>
          <w:highlight w:val="none"/>
        </w:rPr>
        <w:t>万元，资产总额为</w:t>
      </w:r>
      <w:r>
        <w:rPr>
          <w:rFonts w:hint="eastAsia" w:cs="宋体"/>
          <w:sz w:val="21"/>
          <w:szCs w:val="21"/>
          <w:highlight w:val="none"/>
          <w:u w:val="single"/>
        </w:rPr>
        <w:t xml:space="preserve">      </w:t>
      </w:r>
      <w:r>
        <w:rPr>
          <w:rFonts w:hint="eastAsia" w:cs="宋体"/>
          <w:sz w:val="21"/>
          <w:szCs w:val="21"/>
          <w:highlight w:val="none"/>
        </w:rPr>
        <w:t>万元，属于</w:t>
      </w:r>
      <w:r>
        <w:rPr>
          <w:rFonts w:hint="eastAsia" w:cs="宋体"/>
          <w:sz w:val="21"/>
          <w:szCs w:val="21"/>
          <w:highlight w:val="none"/>
          <w:u w:val="single"/>
        </w:rPr>
        <w:t xml:space="preserve">      </w:t>
      </w:r>
      <w:r>
        <w:rPr>
          <w:rFonts w:hint="eastAsia" w:cs="宋体"/>
          <w:sz w:val="21"/>
          <w:szCs w:val="21"/>
          <w:highlight w:val="none"/>
        </w:rPr>
        <w:t>（中型企业、小型企业、微型企业）；</w:t>
      </w:r>
    </w:p>
    <w:p w14:paraId="4C3865B1">
      <w:pPr>
        <w:pStyle w:val="45"/>
        <w:spacing w:before="0" w:beforeAutospacing="0" w:after="0" w:afterAutospacing="0" w:line="480" w:lineRule="auto"/>
        <w:ind w:firstLine="420"/>
        <w:rPr>
          <w:rFonts w:cs="宋体"/>
          <w:sz w:val="21"/>
          <w:szCs w:val="21"/>
          <w:highlight w:val="none"/>
        </w:rPr>
      </w:pPr>
      <w:r>
        <w:rPr>
          <w:rFonts w:hint="eastAsia" w:cs="宋体"/>
          <w:sz w:val="21"/>
          <w:szCs w:val="21"/>
          <w:highlight w:val="none"/>
        </w:rPr>
        <w:t>……</w:t>
      </w:r>
    </w:p>
    <w:p w14:paraId="31C45A03">
      <w:pPr>
        <w:pStyle w:val="45"/>
        <w:spacing w:before="0" w:beforeAutospacing="0" w:after="0" w:afterAutospacing="0" w:line="480" w:lineRule="auto"/>
        <w:ind w:firstLine="420"/>
        <w:rPr>
          <w:rFonts w:cs="宋体"/>
          <w:sz w:val="21"/>
          <w:szCs w:val="21"/>
          <w:highlight w:val="none"/>
        </w:rPr>
      </w:pPr>
      <w:r>
        <w:rPr>
          <w:rFonts w:hint="eastAsia" w:cs="宋体"/>
          <w:sz w:val="21"/>
          <w:szCs w:val="21"/>
          <w:highlight w:val="none"/>
        </w:rPr>
        <w:t>以上企业，不属于大企业的分支机构，不存在控股股东为大企业的情形，也不存在与大企业的负责人为同一人的情形。</w:t>
      </w:r>
    </w:p>
    <w:p w14:paraId="0BE5A20F">
      <w:pPr>
        <w:pStyle w:val="45"/>
        <w:spacing w:before="0" w:beforeAutospacing="0" w:after="0" w:afterAutospacing="0" w:line="480" w:lineRule="auto"/>
        <w:ind w:firstLine="420"/>
        <w:rPr>
          <w:rFonts w:cs="宋体"/>
          <w:sz w:val="21"/>
          <w:szCs w:val="21"/>
          <w:highlight w:val="none"/>
        </w:rPr>
      </w:pPr>
      <w:r>
        <w:rPr>
          <w:rFonts w:hint="eastAsia" w:cs="宋体"/>
          <w:sz w:val="21"/>
          <w:szCs w:val="21"/>
          <w:highlight w:val="none"/>
        </w:rPr>
        <w:t>本企业对上述声明内容的真实性负责。如有虚报，将依法承担相应责任。</w:t>
      </w:r>
    </w:p>
    <w:p w14:paraId="10FBD7E2">
      <w:pPr>
        <w:pStyle w:val="45"/>
        <w:spacing w:before="0" w:beforeAutospacing="0" w:after="0" w:afterAutospacing="0" w:line="480" w:lineRule="auto"/>
        <w:ind w:right="1212" w:rightChars="606" w:firstLine="420"/>
        <w:jc w:val="right"/>
        <w:rPr>
          <w:rFonts w:cs="宋体"/>
          <w:sz w:val="21"/>
          <w:szCs w:val="21"/>
          <w:highlight w:val="none"/>
        </w:rPr>
      </w:pPr>
      <w:r>
        <w:rPr>
          <w:rFonts w:hint="eastAsia" w:cs="宋体"/>
          <w:sz w:val="21"/>
          <w:szCs w:val="21"/>
          <w:highlight w:val="none"/>
        </w:rPr>
        <w:t>企业名称（电子签章）：</w:t>
      </w:r>
    </w:p>
    <w:p w14:paraId="6259A57D">
      <w:pPr>
        <w:pStyle w:val="45"/>
        <w:spacing w:before="0" w:beforeAutospacing="0" w:after="0" w:afterAutospacing="0" w:line="480" w:lineRule="auto"/>
        <w:ind w:right="1886" w:rightChars="943" w:firstLine="420"/>
        <w:jc w:val="right"/>
        <w:rPr>
          <w:rFonts w:cs="宋体"/>
          <w:sz w:val="21"/>
          <w:szCs w:val="21"/>
          <w:highlight w:val="none"/>
        </w:rPr>
      </w:pPr>
      <w:r>
        <w:rPr>
          <w:rFonts w:hint="eastAsia" w:cs="宋体"/>
          <w:sz w:val="21"/>
          <w:szCs w:val="21"/>
          <w:highlight w:val="none"/>
        </w:rPr>
        <w:t>日     期：</w:t>
      </w:r>
    </w:p>
    <w:p w14:paraId="3EA8AA63">
      <w:pPr>
        <w:spacing w:line="360" w:lineRule="auto"/>
        <w:ind w:firstLine="422"/>
        <w:rPr>
          <w:rFonts w:ascii="宋体" w:hAnsi="宋体" w:cs="宋体"/>
          <w:b/>
          <w:sz w:val="21"/>
          <w:szCs w:val="21"/>
          <w:highlight w:val="none"/>
        </w:rPr>
      </w:pPr>
      <w:r>
        <w:rPr>
          <w:rFonts w:hint="eastAsia" w:ascii="宋体" w:hAnsi="宋体" w:cs="宋体"/>
          <w:b/>
          <w:sz w:val="21"/>
          <w:szCs w:val="21"/>
          <w:highlight w:val="none"/>
        </w:rPr>
        <w:t>注：</w:t>
      </w:r>
      <w:r>
        <w:rPr>
          <w:rFonts w:hint="eastAsia" w:ascii="宋体" w:hAnsi="宋体" w:cs="宋体"/>
          <w:b/>
          <w:sz w:val="21"/>
          <w:szCs w:val="21"/>
          <w:highlight w:val="none"/>
          <w:vertAlign w:val="superscript"/>
        </w:rPr>
        <w:t>1</w:t>
      </w:r>
      <w:r>
        <w:rPr>
          <w:rFonts w:hint="eastAsia" w:ascii="宋体" w:hAnsi="宋体" w:cs="宋体"/>
          <w:b/>
          <w:sz w:val="21"/>
          <w:szCs w:val="21"/>
          <w:highlight w:val="none"/>
        </w:rPr>
        <w:t>从业人员、营业收入、资产总额填报上一年度数据，无上一年度数据的新成立企业可不填报。</w:t>
      </w:r>
      <w:bookmarkEnd w:id="371"/>
    </w:p>
    <w:p w14:paraId="5C8D7A6D">
      <w:pPr>
        <w:rPr>
          <w:rFonts w:ascii="宋体" w:hAnsi="宋体" w:cs="宋体"/>
          <w:sz w:val="18"/>
          <w:szCs w:val="18"/>
          <w:highlight w:val="none"/>
        </w:rPr>
      </w:pPr>
      <w:r>
        <w:rPr>
          <w:rFonts w:hint="eastAsia" w:ascii="宋体" w:hAnsi="宋体" w:cs="宋体"/>
          <w:sz w:val="24"/>
          <w:szCs w:val="24"/>
          <w:highlight w:val="none"/>
        </w:rPr>
        <w:br w:type="page"/>
      </w:r>
      <w:r>
        <w:rPr>
          <w:rFonts w:hint="eastAsia" w:ascii="宋体" w:hAnsi="宋体" w:cs="宋体"/>
          <w:sz w:val="18"/>
          <w:szCs w:val="18"/>
          <w:highlight w:val="none"/>
        </w:rPr>
        <w:t>附件：</w:t>
      </w:r>
    </w:p>
    <w:p w14:paraId="14F7120E">
      <w:pPr>
        <w:pStyle w:val="20"/>
        <w:adjustRightInd w:val="0"/>
        <w:snapToGrid w:val="0"/>
        <w:spacing w:after="0"/>
        <w:rPr>
          <w:rFonts w:ascii="宋体" w:hAnsi="宋体" w:cs="宋体"/>
          <w:bCs/>
          <w:sz w:val="18"/>
          <w:szCs w:val="18"/>
          <w:highlight w:val="none"/>
        </w:rPr>
      </w:pPr>
      <w:r>
        <w:rPr>
          <w:rFonts w:hint="eastAsia" w:ascii="宋体" w:hAnsi="宋体" w:cs="宋体"/>
          <w:bCs/>
          <w:sz w:val="18"/>
          <w:szCs w:val="18"/>
          <w:highlight w:val="none"/>
        </w:rPr>
        <w:t>《关于印发中小企业划型标准规定的通知》（</w:t>
      </w:r>
      <w:r>
        <w:rPr>
          <w:rFonts w:hint="eastAsia" w:ascii="宋体" w:hAnsi="宋体" w:cs="宋体"/>
          <w:sz w:val="18"/>
          <w:szCs w:val="18"/>
          <w:highlight w:val="none"/>
        </w:rPr>
        <w:t>工信部联企业〔2011〕300号</w:t>
      </w:r>
      <w:r>
        <w:rPr>
          <w:rFonts w:hint="eastAsia" w:ascii="宋体" w:hAnsi="宋体" w:cs="宋体"/>
          <w:bCs/>
          <w:sz w:val="18"/>
          <w:szCs w:val="18"/>
          <w:highlight w:val="none"/>
        </w:rPr>
        <w:t>）中小企业划型标准规定节选：</w:t>
      </w:r>
    </w:p>
    <w:p w14:paraId="6E588A79">
      <w:pPr>
        <w:pStyle w:val="20"/>
        <w:adjustRightInd w:val="0"/>
        <w:snapToGrid w:val="0"/>
        <w:spacing w:after="0"/>
        <w:rPr>
          <w:rFonts w:ascii="宋体" w:hAnsi="宋体" w:cs="宋体"/>
          <w:sz w:val="18"/>
          <w:szCs w:val="18"/>
          <w:highlight w:val="none"/>
        </w:rPr>
      </w:pPr>
    </w:p>
    <w:p w14:paraId="02ADC500">
      <w:pPr>
        <w:pStyle w:val="49"/>
        <w:ind w:left="400" w:firstLine="360"/>
        <w:rPr>
          <w:rFonts w:ascii="宋体" w:hAnsi="宋体" w:eastAsia="宋体" w:cs="宋体"/>
          <w:sz w:val="18"/>
          <w:szCs w:val="18"/>
          <w:highlight w:val="none"/>
        </w:rPr>
      </w:pPr>
      <w:r>
        <w:rPr>
          <w:rFonts w:hint="eastAsia" w:ascii="宋体" w:hAnsi="宋体" w:eastAsia="宋体" w:cs="宋体"/>
          <w:sz w:val="18"/>
          <w:szCs w:val="18"/>
          <w:highlight w:val="none"/>
        </w:rPr>
        <w:t>四、各行业划型标准为：</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 w:val="18"/>
          <w:szCs w:val="18"/>
          <w:highlight w:val="none"/>
        </w:rPr>
        <w:br w:type="textWrapping"/>
      </w:r>
      <w:r>
        <w:rPr>
          <w:rFonts w:hint="eastAsia" w:ascii="宋体" w:hAnsi="宋体" w:eastAsia="宋体" w:cs="宋体"/>
          <w:sz w:val="18"/>
          <w:szCs w:val="18"/>
          <w:highlight w:val="none"/>
        </w:rPr>
        <w:t>　　（十六）其他未列明行业。从业人员300人以下的为中小微型企业。其中，从业人员100人及以上的为中型企业；从业人员10人及以上的为小型企业；从业人员10人以下的为微型企业。</w:t>
      </w:r>
    </w:p>
    <w:p w14:paraId="5A387DD0">
      <w:pPr>
        <w:rPr>
          <w:rFonts w:ascii="宋体" w:hAnsi="宋体" w:cs="宋体"/>
          <w:sz w:val="18"/>
          <w:szCs w:val="18"/>
          <w:highlight w:val="none"/>
        </w:rPr>
      </w:pPr>
      <w:r>
        <w:rPr>
          <w:rFonts w:hint="eastAsia" w:ascii="宋体" w:hAnsi="宋体" w:cs="宋体"/>
          <w:sz w:val="18"/>
          <w:szCs w:val="18"/>
          <w:highlight w:val="none"/>
        </w:rPr>
        <w:br w:type="page"/>
      </w:r>
    </w:p>
    <w:p w14:paraId="419B5CD5">
      <w:pPr>
        <w:pStyle w:val="6"/>
        <w:spacing w:before="159" w:beforeLines="50" w:after="159" w:afterLines="50"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2. 残疾人福利性单位声明函</w:t>
      </w:r>
    </w:p>
    <w:p w14:paraId="2118838A">
      <w:pPr>
        <w:spacing w:line="360" w:lineRule="auto"/>
        <w:ind w:right="-2"/>
        <w:jc w:val="center"/>
        <w:rPr>
          <w:rFonts w:ascii="宋体" w:hAnsi="宋体" w:cs="宋体"/>
          <w:b/>
          <w:bCs/>
          <w:szCs w:val="21"/>
          <w:highlight w:val="none"/>
        </w:rPr>
      </w:pPr>
      <w:r>
        <w:rPr>
          <w:rFonts w:hint="eastAsia" w:ascii="宋体" w:hAnsi="宋体" w:cs="宋体"/>
          <w:b/>
          <w:bCs/>
          <w:szCs w:val="21"/>
          <w:highlight w:val="none"/>
        </w:rPr>
        <w:t>符合《关于促进残疾人就业政府采购政策的通知》（财库〔2017〕141号）价格扣减条件的投标人提供</w:t>
      </w:r>
    </w:p>
    <w:p w14:paraId="5FFB4C50">
      <w:pPr>
        <w:spacing w:before="319" w:beforeLines="100" w:line="360" w:lineRule="auto"/>
        <w:jc w:val="center"/>
        <w:outlineLvl w:val="4"/>
        <w:rPr>
          <w:rFonts w:ascii="宋体" w:hAnsi="宋体" w:cs="宋体"/>
          <w:bCs/>
          <w:sz w:val="30"/>
          <w:szCs w:val="30"/>
          <w:highlight w:val="none"/>
        </w:rPr>
      </w:pPr>
      <w:bookmarkStart w:id="372" w:name="_Toc6496681"/>
      <w:bookmarkStart w:id="373" w:name="OLE_LINK13"/>
      <w:bookmarkStart w:id="374" w:name="OLE_LINK14"/>
      <w:r>
        <w:rPr>
          <w:rFonts w:hint="eastAsia" w:ascii="宋体" w:hAnsi="宋体" w:cs="宋体"/>
          <w:bCs/>
          <w:sz w:val="30"/>
          <w:szCs w:val="30"/>
          <w:highlight w:val="none"/>
        </w:rPr>
        <w:t>残疾人福利性单位声明函</w:t>
      </w:r>
      <w:bookmarkEnd w:id="372"/>
    </w:p>
    <w:bookmarkEnd w:id="373"/>
    <w:bookmarkEnd w:id="374"/>
    <w:p w14:paraId="254FECDB">
      <w:pPr>
        <w:spacing w:line="360" w:lineRule="auto"/>
        <w:ind w:firstLine="444" w:firstLineChars="200"/>
        <w:rPr>
          <w:rFonts w:ascii="宋体" w:hAnsi="宋体" w:cs="宋体"/>
          <w:spacing w:val="6"/>
          <w:sz w:val="21"/>
          <w:szCs w:val="21"/>
          <w:highlight w:val="none"/>
        </w:rPr>
      </w:pPr>
      <w:r>
        <w:rPr>
          <w:rFonts w:hint="eastAsia" w:ascii="宋体" w:hAnsi="宋体" w:cs="宋体"/>
          <w:spacing w:val="6"/>
          <w:sz w:val="21"/>
          <w:szCs w:val="21"/>
          <w:highlight w:val="none"/>
        </w:rPr>
        <w:t>本单位郑重声明，根据《财政部 民政部 中国残疾人联合会关于促进残疾人就业政府采购政策的通知》（财库</w:t>
      </w:r>
      <w:r>
        <w:rPr>
          <w:rFonts w:hint="eastAsia" w:ascii="宋体" w:hAnsi="宋体" w:cs="宋体"/>
          <w:sz w:val="21"/>
          <w:szCs w:val="21"/>
          <w:highlight w:val="none"/>
        </w:rPr>
        <w:t>〔2017〕141</w:t>
      </w:r>
      <w:r>
        <w:rPr>
          <w:rFonts w:hint="eastAsia" w:ascii="宋体" w:hAnsi="宋体" w:cs="宋体"/>
          <w:spacing w:val="6"/>
          <w:sz w:val="21"/>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5DB6735">
      <w:pPr>
        <w:spacing w:line="360" w:lineRule="auto"/>
        <w:ind w:firstLine="444" w:firstLineChars="200"/>
        <w:rPr>
          <w:rFonts w:ascii="宋体" w:hAnsi="宋体" w:cs="宋体"/>
          <w:spacing w:val="6"/>
          <w:sz w:val="21"/>
          <w:szCs w:val="21"/>
          <w:highlight w:val="none"/>
        </w:rPr>
      </w:pPr>
      <w:r>
        <w:rPr>
          <w:rFonts w:hint="eastAsia" w:ascii="宋体" w:hAnsi="宋体" w:cs="宋体"/>
          <w:spacing w:val="6"/>
          <w:sz w:val="21"/>
          <w:szCs w:val="21"/>
          <w:highlight w:val="none"/>
        </w:rPr>
        <w:t>本单位对上述声明的真实性负责。如有虚假，将依法承担相应责任。</w:t>
      </w:r>
    </w:p>
    <w:p w14:paraId="498787B1">
      <w:pPr>
        <w:spacing w:line="360" w:lineRule="auto"/>
        <w:ind w:firstLine="444" w:firstLineChars="200"/>
        <w:rPr>
          <w:rFonts w:ascii="宋体" w:hAnsi="宋体" w:cs="宋体"/>
          <w:spacing w:val="6"/>
          <w:sz w:val="21"/>
          <w:szCs w:val="21"/>
          <w:highlight w:val="none"/>
        </w:rPr>
      </w:pPr>
    </w:p>
    <w:p w14:paraId="76B9BF32">
      <w:pPr>
        <w:spacing w:line="360" w:lineRule="auto"/>
        <w:ind w:firstLine="402" w:firstLineChars="200"/>
        <w:rPr>
          <w:rFonts w:ascii="宋体" w:hAnsi="宋体" w:cs="宋体"/>
          <w:b/>
          <w:szCs w:val="21"/>
          <w:highlight w:val="none"/>
        </w:rPr>
      </w:pPr>
    </w:p>
    <w:p w14:paraId="65D9B87B">
      <w:pPr>
        <w:spacing w:line="360" w:lineRule="auto"/>
        <w:ind w:right="-284" w:rightChars="-142" w:firstLine="422" w:firstLineChars="200"/>
        <w:rPr>
          <w:rFonts w:ascii="宋体" w:hAnsi="宋体" w:cs="宋体"/>
          <w:b/>
          <w:bCs/>
          <w:sz w:val="21"/>
          <w:szCs w:val="22"/>
          <w:highlight w:val="none"/>
        </w:rPr>
      </w:pPr>
      <w:r>
        <w:rPr>
          <w:rFonts w:hint="eastAsia" w:ascii="宋体" w:hAnsi="宋体" w:cs="宋体"/>
          <w:b/>
          <w:sz w:val="21"/>
          <w:szCs w:val="22"/>
          <w:highlight w:val="none"/>
        </w:rPr>
        <w:t>注：符合条件的残疾人福利性单位在参加政府采购活动时，应当按《关于促进残疾人就业政府采购政策的通知》（财库〔2017〕141号）提供规定的《残疾人福利性单位声明函》,并对声明的真实性负责。</w:t>
      </w:r>
    </w:p>
    <w:p w14:paraId="18D8B5B7">
      <w:pPr>
        <w:spacing w:line="360" w:lineRule="auto"/>
        <w:ind w:firstLine="444" w:firstLineChars="200"/>
        <w:rPr>
          <w:rFonts w:ascii="宋体" w:hAnsi="宋体" w:cs="宋体"/>
          <w:spacing w:val="6"/>
          <w:sz w:val="21"/>
          <w:szCs w:val="21"/>
          <w:highlight w:val="none"/>
        </w:rPr>
      </w:pPr>
    </w:p>
    <w:p w14:paraId="66DD5A48">
      <w:pPr>
        <w:spacing w:line="480" w:lineRule="auto"/>
        <w:ind w:firstLine="283" w:firstLineChars="135"/>
        <w:rPr>
          <w:rFonts w:ascii="宋体" w:hAnsi="宋体" w:cs="宋体"/>
          <w:sz w:val="21"/>
          <w:szCs w:val="21"/>
          <w:highlight w:val="none"/>
        </w:rPr>
      </w:pPr>
      <w:r>
        <w:rPr>
          <w:rFonts w:hint="eastAsia" w:ascii="宋体" w:hAnsi="宋体" w:cs="宋体"/>
          <w:sz w:val="21"/>
          <w:szCs w:val="21"/>
          <w:highlight w:val="none"/>
        </w:rPr>
        <w:t>投标人（电子签章）：_______________</w:t>
      </w:r>
    </w:p>
    <w:p w14:paraId="02AAEA33">
      <w:pPr>
        <w:spacing w:line="480" w:lineRule="auto"/>
        <w:ind w:firstLine="283" w:firstLineChars="135"/>
        <w:rPr>
          <w:rFonts w:ascii="宋体" w:hAnsi="宋体" w:cs="宋体"/>
          <w:sz w:val="21"/>
          <w:szCs w:val="21"/>
          <w:highlight w:val="none"/>
        </w:rPr>
      </w:pPr>
      <w:r>
        <w:rPr>
          <w:rFonts w:hint="eastAsia" w:ascii="宋体" w:hAnsi="宋体" w:cs="宋体"/>
          <w:sz w:val="21"/>
          <w:szCs w:val="21"/>
          <w:highlight w:val="none"/>
        </w:rPr>
        <w:t>法定代表人（电子签章）：___________</w:t>
      </w:r>
    </w:p>
    <w:p w14:paraId="5D15F116">
      <w:pPr>
        <w:spacing w:line="480" w:lineRule="auto"/>
        <w:ind w:firstLine="283" w:firstLineChars="135"/>
        <w:rPr>
          <w:rFonts w:ascii="宋体" w:hAnsi="宋体" w:cs="宋体"/>
          <w:sz w:val="21"/>
          <w:szCs w:val="21"/>
          <w:highlight w:val="none"/>
        </w:rPr>
      </w:pPr>
      <w:r>
        <w:rPr>
          <w:rFonts w:hint="eastAsia" w:ascii="宋体" w:hAnsi="宋体" w:cs="宋体"/>
          <w:sz w:val="21"/>
          <w:szCs w:val="21"/>
          <w:highlight w:val="none"/>
        </w:rPr>
        <w:t>________年_____月______日</w:t>
      </w:r>
    </w:p>
    <w:p w14:paraId="7A1FC89D">
      <w:pPr>
        <w:spacing w:line="360" w:lineRule="auto"/>
        <w:ind w:firstLine="402" w:firstLineChars="200"/>
        <w:rPr>
          <w:rFonts w:ascii="宋体" w:hAnsi="宋体" w:cs="宋体"/>
          <w:b/>
          <w:szCs w:val="21"/>
          <w:highlight w:val="none"/>
        </w:rPr>
      </w:pPr>
    </w:p>
    <w:p w14:paraId="54568BF1">
      <w:pPr>
        <w:pStyle w:val="49"/>
        <w:spacing w:after="0" w:line="360" w:lineRule="auto"/>
        <w:ind w:left="400"/>
        <w:rPr>
          <w:rFonts w:ascii="宋体" w:hAnsi="宋体" w:eastAsia="宋体" w:cs="宋体"/>
          <w:highlight w:val="none"/>
        </w:rPr>
      </w:pPr>
    </w:p>
    <w:p w14:paraId="2DD4DB05">
      <w:pPr>
        <w:pStyle w:val="49"/>
        <w:spacing w:after="0" w:line="360" w:lineRule="auto"/>
        <w:ind w:left="400"/>
        <w:rPr>
          <w:rFonts w:ascii="宋体" w:hAnsi="宋体" w:eastAsia="宋体" w:cs="宋体"/>
          <w:highlight w:val="none"/>
        </w:rPr>
      </w:pPr>
    </w:p>
    <w:p w14:paraId="261AEB85">
      <w:pPr>
        <w:pStyle w:val="49"/>
        <w:spacing w:after="0" w:line="360" w:lineRule="auto"/>
        <w:ind w:left="400"/>
        <w:rPr>
          <w:rFonts w:ascii="宋体" w:hAnsi="宋体" w:eastAsia="宋体" w:cs="宋体"/>
          <w:highlight w:val="none"/>
        </w:rPr>
      </w:pPr>
    </w:p>
    <w:p w14:paraId="7D881B7A">
      <w:pPr>
        <w:pStyle w:val="49"/>
        <w:spacing w:after="0" w:line="360" w:lineRule="auto"/>
        <w:ind w:left="400"/>
        <w:rPr>
          <w:rFonts w:ascii="宋体" w:hAnsi="宋体" w:eastAsia="宋体" w:cs="宋体"/>
          <w:highlight w:val="none"/>
        </w:rPr>
      </w:pPr>
    </w:p>
    <w:p w14:paraId="798B6C7D">
      <w:pPr>
        <w:pStyle w:val="49"/>
        <w:spacing w:after="0" w:line="360" w:lineRule="auto"/>
        <w:ind w:left="400"/>
        <w:rPr>
          <w:rFonts w:ascii="宋体" w:hAnsi="宋体" w:eastAsia="宋体" w:cs="宋体"/>
          <w:highlight w:val="none"/>
        </w:rPr>
      </w:pPr>
    </w:p>
    <w:p w14:paraId="53F89E57">
      <w:pPr>
        <w:pStyle w:val="49"/>
        <w:spacing w:after="0" w:line="360" w:lineRule="auto"/>
        <w:ind w:left="400"/>
        <w:rPr>
          <w:rFonts w:ascii="宋体" w:hAnsi="宋体" w:eastAsia="宋体" w:cs="宋体"/>
          <w:highlight w:val="none"/>
        </w:rPr>
      </w:pPr>
    </w:p>
    <w:p w14:paraId="2EB328BF">
      <w:pPr>
        <w:pStyle w:val="49"/>
        <w:spacing w:after="0" w:line="360" w:lineRule="auto"/>
        <w:ind w:left="400"/>
        <w:rPr>
          <w:rFonts w:ascii="宋体" w:hAnsi="宋体" w:eastAsia="宋体" w:cs="宋体"/>
          <w:highlight w:val="none"/>
        </w:rPr>
      </w:pPr>
    </w:p>
    <w:p w14:paraId="46863744">
      <w:pPr>
        <w:pStyle w:val="49"/>
        <w:spacing w:after="0" w:line="360" w:lineRule="auto"/>
        <w:ind w:left="400"/>
        <w:rPr>
          <w:rFonts w:ascii="宋体" w:hAnsi="宋体" w:eastAsia="宋体" w:cs="宋体"/>
          <w:highlight w:val="none"/>
        </w:rPr>
      </w:pPr>
    </w:p>
    <w:p w14:paraId="5E384920">
      <w:pPr>
        <w:pStyle w:val="49"/>
        <w:spacing w:after="0" w:line="360" w:lineRule="auto"/>
        <w:ind w:left="400"/>
        <w:rPr>
          <w:rFonts w:ascii="宋体" w:hAnsi="宋体" w:eastAsia="宋体" w:cs="宋体"/>
          <w:highlight w:val="none"/>
        </w:rPr>
      </w:pPr>
    </w:p>
    <w:p w14:paraId="79D5A8D3">
      <w:pPr>
        <w:pStyle w:val="49"/>
        <w:spacing w:after="0" w:line="360" w:lineRule="auto"/>
        <w:ind w:left="400"/>
        <w:rPr>
          <w:rFonts w:ascii="宋体" w:hAnsi="宋体" w:eastAsia="宋体" w:cs="宋体"/>
          <w:highlight w:val="none"/>
        </w:rPr>
      </w:pPr>
    </w:p>
    <w:p w14:paraId="0B6A8F9A">
      <w:pPr>
        <w:pStyle w:val="6"/>
        <w:spacing w:before="159" w:beforeLines="50" w:after="159" w:afterLines="50"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3. 监狱企业证明文件</w:t>
      </w:r>
    </w:p>
    <w:p w14:paraId="536D5C2D">
      <w:pPr>
        <w:spacing w:line="360" w:lineRule="auto"/>
        <w:ind w:right="-2"/>
        <w:jc w:val="center"/>
        <w:rPr>
          <w:rFonts w:ascii="宋体" w:hAnsi="宋体" w:cs="宋体"/>
          <w:b/>
          <w:bCs/>
          <w:szCs w:val="21"/>
          <w:highlight w:val="none"/>
        </w:rPr>
      </w:pPr>
      <w:r>
        <w:rPr>
          <w:rFonts w:hint="eastAsia" w:ascii="宋体" w:hAnsi="宋体" w:cs="宋体"/>
          <w:b/>
          <w:bCs/>
          <w:szCs w:val="21"/>
          <w:highlight w:val="none"/>
        </w:rPr>
        <w:t>符合《财政部 司法部关于政府采购支持监狱企业发展有关问题的通知》（财库[2014]68号）价格扣减条件的投标人提供</w:t>
      </w:r>
    </w:p>
    <w:p w14:paraId="686C1DA3">
      <w:pPr>
        <w:spacing w:before="319" w:beforeLines="100" w:line="360" w:lineRule="auto"/>
        <w:jc w:val="center"/>
        <w:outlineLvl w:val="1"/>
        <w:rPr>
          <w:rFonts w:ascii="宋体" w:hAnsi="宋体" w:cs="宋体"/>
          <w:bCs/>
          <w:sz w:val="30"/>
          <w:szCs w:val="30"/>
          <w:highlight w:val="none"/>
        </w:rPr>
      </w:pPr>
      <w:bookmarkStart w:id="375" w:name="_Toc10352"/>
      <w:bookmarkStart w:id="376" w:name="_Toc6496679"/>
      <w:r>
        <w:rPr>
          <w:rFonts w:hint="eastAsia" w:ascii="宋体" w:hAnsi="宋体" w:cs="宋体"/>
          <w:bCs/>
          <w:sz w:val="30"/>
          <w:szCs w:val="30"/>
          <w:highlight w:val="none"/>
        </w:rPr>
        <w:t>监狱企业证明文件</w:t>
      </w:r>
      <w:bookmarkEnd w:id="375"/>
      <w:bookmarkEnd w:id="376"/>
    </w:p>
    <w:p w14:paraId="3972BADC">
      <w:pPr>
        <w:spacing w:line="360" w:lineRule="auto"/>
        <w:ind w:firstLine="420" w:firstLineChars="200"/>
        <w:rPr>
          <w:rFonts w:ascii="宋体" w:hAnsi="宋体" w:cs="宋体"/>
          <w:sz w:val="21"/>
          <w:szCs w:val="22"/>
          <w:highlight w:val="none"/>
        </w:rPr>
      </w:pPr>
      <w:r>
        <w:rPr>
          <w:rFonts w:hint="eastAsia" w:ascii="宋体" w:hAnsi="宋体" w:cs="宋体"/>
          <w:sz w:val="21"/>
          <w:szCs w:val="22"/>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02F040">
      <w:pPr>
        <w:spacing w:line="360" w:lineRule="auto"/>
        <w:ind w:firstLine="420" w:firstLineChars="200"/>
        <w:rPr>
          <w:rFonts w:ascii="宋体" w:hAnsi="宋体" w:cs="宋体"/>
          <w:sz w:val="21"/>
          <w:szCs w:val="22"/>
          <w:highlight w:val="none"/>
        </w:rPr>
      </w:pPr>
      <w:r>
        <w:rPr>
          <w:rFonts w:hint="eastAsia" w:ascii="宋体" w:hAnsi="宋体" w:cs="宋体"/>
          <w:sz w:val="21"/>
          <w:szCs w:val="22"/>
          <w:highlight w:val="none"/>
        </w:rPr>
        <w:t>监狱企业参加政府采购活动时，应当提供由省级以上监狱管理局、戒毒管理局（含新疆生产建设兵团）出具的属于监狱企业的证明文件。</w:t>
      </w:r>
    </w:p>
    <w:p w14:paraId="6C0170DB">
      <w:pPr>
        <w:spacing w:line="360" w:lineRule="auto"/>
        <w:ind w:firstLine="402" w:firstLineChars="200"/>
        <w:rPr>
          <w:rFonts w:ascii="宋体" w:hAnsi="宋体" w:cs="宋体"/>
          <w:b/>
          <w:szCs w:val="21"/>
          <w:highlight w:val="none"/>
        </w:rPr>
      </w:pPr>
    </w:p>
    <w:p w14:paraId="090A5937">
      <w:pPr>
        <w:spacing w:line="360" w:lineRule="auto"/>
        <w:ind w:firstLine="422" w:firstLineChars="200"/>
        <w:rPr>
          <w:rFonts w:ascii="宋体" w:hAnsi="宋体" w:cs="宋体"/>
          <w:b/>
          <w:sz w:val="21"/>
          <w:szCs w:val="22"/>
          <w:highlight w:val="none"/>
        </w:rPr>
      </w:pPr>
      <w:r>
        <w:rPr>
          <w:rFonts w:hint="eastAsia" w:ascii="宋体" w:hAnsi="宋体" w:cs="宋体"/>
          <w:b/>
          <w:sz w:val="21"/>
          <w:szCs w:val="22"/>
          <w:highlight w:val="none"/>
        </w:rPr>
        <w:t>注：符合条件的监狱企业在参加政府采购活动时，应当按《财政部 司法部关于政府采购支持监狱企业发展有关问题的通知》（财库[2014]68号）提供规定的《监狱企业证明文件》，并对声明的真实性负责。</w:t>
      </w:r>
    </w:p>
    <w:p w14:paraId="3108C77F">
      <w:pPr>
        <w:pStyle w:val="49"/>
        <w:spacing w:after="0" w:line="360" w:lineRule="auto"/>
        <w:ind w:left="400"/>
        <w:rPr>
          <w:rFonts w:ascii="宋体" w:hAnsi="宋体" w:eastAsia="宋体" w:cs="宋体"/>
          <w:highlight w:val="none"/>
        </w:rPr>
      </w:pPr>
    </w:p>
    <w:p w14:paraId="3DBFB3D0">
      <w:pPr>
        <w:pStyle w:val="49"/>
        <w:spacing w:after="0" w:line="360" w:lineRule="auto"/>
        <w:ind w:left="400"/>
        <w:rPr>
          <w:rFonts w:ascii="宋体" w:hAnsi="宋体" w:eastAsia="宋体" w:cs="宋体"/>
          <w:highlight w:val="none"/>
        </w:rPr>
      </w:pPr>
    </w:p>
    <w:p w14:paraId="6F9C1C70">
      <w:pPr>
        <w:spacing w:line="360" w:lineRule="auto"/>
        <w:ind w:firstLine="444" w:firstLineChars="200"/>
        <w:rPr>
          <w:rFonts w:ascii="宋体" w:hAnsi="宋体" w:cs="宋体"/>
          <w:spacing w:val="6"/>
          <w:sz w:val="21"/>
          <w:szCs w:val="21"/>
          <w:highlight w:val="none"/>
        </w:rPr>
      </w:pPr>
    </w:p>
    <w:p w14:paraId="5FE04913">
      <w:pPr>
        <w:spacing w:line="480" w:lineRule="auto"/>
        <w:ind w:firstLine="283" w:firstLineChars="135"/>
        <w:rPr>
          <w:rFonts w:ascii="宋体" w:hAnsi="宋体" w:cs="宋体"/>
          <w:sz w:val="21"/>
          <w:szCs w:val="21"/>
          <w:highlight w:val="none"/>
        </w:rPr>
      </w:pPr>
      <w:r>
        <w:rPr>
          <w:rFonts w:hint="eastAsia" w:ascii="宋体" w:hAnsi="宋体" w:cs="宋体"/>
          <w:sz w:val="21"/>
          <w:szCs w:val="21"/>
          <w:highlight w:val="none"/>
        </w:rPr>
        <w:t>投标人（电子签章）：_______________</w:t>
      </w:r>
    </w:p>
    <w:p w14:paraId="3C6E7EB9">
      <w:pPr>
        <w:spacing w:line="480" w:lineRule="auto"/>
        <w:ind w:firstLine="283" w:firstLineChars="135"/>
        <w:rPr>
          <w:rFonts w:ascii="宋体" w:hAnsi="宋体" w:cs="宋体"/>
          <w:sz w:val="21"/>
          <w:szCs w:val="21"/>
          <w:highlight w:val="none"/>
        </w:rPr>
      </w:pPr>
      <w:r>
        <w:rPr>
          <w:rFonts w:hint="eastAsia" w:ascii="宋体" w:hAnsi="宋体" w:cs="宋体"/>
          <w:sz w:val="21"/>
          <w:szCs w:val="21"/>
          <w:highlight w:val="none"/>
        </w:rPr>
        <w:t>法定代表人（电子签章）：___________</w:t>
      </w:r>
    </w:p>
    <w:p w14:paraId="1F6DE156">
      <w:pPr>
        <w:spacing w:line="480" w:lineRule="auto"/>
        <w:ind w:firstLine="283" w:firstLineChars="135"/>
        <w:rPr>
          <w:rFonts w:ascii="宋体" w:hAnsi="宋体" w:cs="宋体"/>
          <w:sz w:val="21"/>
          <w:szCs w:val="21"/>
          <w:highlight w:val="none"/>
        </w:rPr>
      </w:pPr>
      <w:r>
        <w:rPr>
          <w:rFonts w:hint="eastAsia" w:ascii="宋体" w:hAnsi="宋体" w:cs="宋体"/>
          <w:sz w:val="21"/>
          <w:szCs w:val="21"/>
          <w:highlight w:val="none"/>
        </w:rPr>
        <w:t>________年_____月______日</w:t>
      </w:r>
    </w:p>
    <w:p w14:paraId="5F701C3E">
      <w:pPr>
        <w:pStyle w:val="49"/>
        <w:spacing w:after="0" w:line="360" w:lineRule="auto"/>
        <w:ind w:left="400"/>
        <w:rPr>
          <w:rFonts w:ascii="宋体" w:hAnsi="宋体" w:eastAsia="宋体" w:cs="宋体"/>
          <w:highlight w:val="none"/>
        </w:rPr>
      </w:pPr>
    </w:p>
    <w:p w14:paraId="45DA90AD">
      <w:pPr>
        <w:pStyle w:val="49"/>
        <w:spacing w:after="0" w:line="360" w:lineRule="auto"/>
        <w:ind w:left="400"/>
        <w:rPr>
          <w:rFonts w:ascii="宋体" w:hAnsi="宋体" w:eastAsia="宋体" w:cs="宋体"/>
          <w:highlight w:val="none"/>
        </w:rPr>
      </w:pPr>
    </w:p>
    <w:p w14:paraId="05AA0E69">
      <w:pPr>
        <w:pStyle w:val="49"/>
        <w:spacing w:after="0" w:line="360" w:lineRule="auto"/>
        <w:ind w:left="400"/>
        <w:rPr>
          <w:rFonts w:ascii="宋体" w:hAnsi="宋体" w:eastAsia="宋体" w:cs="宋体"/>
          <w:highlight w:val="none"/>
        </w:rPr>
      </w:pPr>
    </w:p>
    <w:p w14:paraId="312B97AB">
      <w:pPr>
        <w:pStyle w:val="49"/>
        <w:spacing w:after="0" w:line="360" w:lineRule="auto"/>
        <w:ind w:left="400"/>
        <w:rPr>
          <w:rFonts w:ascii="宋体" w:hAnsi="宋体" w:eastAsia="宋体" w:cs="宋体"/>
          <w:highlight w:val="none"/>
        </w:rPr>
      </w:pPr>
    </w:p>
    <w:bookmarkEnd w:id="370"/>
    <w:p w14:paraId="780E6431">
      <w:pPr>
        <w:pStyle w:val="4"/>
        <w:rPr>
          <w:highlight w:val="none"/>
          <w:lang w:val="zh-CN"/>
        </w:rPr>
      </w:pPr>
      <w:bookmarkStart w:id="377" w:name="_Toc11240"/>
      <w:bookmarkStart w:id="378" w:name="_Toc21983"/>
      <w:bookmarkStart w:id="379" w:name="_Toc30506"/>
      <w:bookmarkStart w:id="380" w:name="_Toc19820103"/>
      <w:r>
        <w:rPr>
          <w:rFonts w:hint="eastAsia"/>
          <w:highlight w:val="none"/>
        </w:rPr>
        <w:t>三</w:t>
      </w:r>
      <w:r>
        <w:rPr>
          <w:rFonts w:hint="eastAsia"/>
          <w:highlight w:val="none"/>
          <w:lang w:val="zh-CN"/>
        </w:rPr>
        <w:t>、投标文件商务部分格式</w:t>
      </w:r>
      <w:bookmarkEnd w:id="377"/>
      <w:bookmarkEnd w:id="378"/>
      <w:bookmarkEnd w:id="379"/>
      <w:bookmarkEnd w:id="380"/>
      <w:bookmarkStart w:id="381" w:name="_Toc6496684"/>
    </w:p>
    <w:bookmarkEnd w:id="381"/>
    <w:p w14:paraId="1216ADF9">
      <w:pPr>
        <w:pStyle w:val="5"/>
        <w:tabs>
          <w:tab w:val="left" w:pos="432"/>
          <w:tab w:val="left" w:pos="720"/>
        </w:tabs>
        <w:spacing w:before="240" w:after="240" w:line="360" w:lineRule="auto"/>
        <w:jc w:val="center"/>
        <w:rPr>
          <w:rFonts w:ascii="宋体" w:hAnsi="宋体" w:cs="宋体"/>
          <w:b w:val="0"/>
          <w:sz w:val="30"/>
          <w:szCs w:val="30"/>
          <w:highlight w:val="none"/>
        </w:rPr>
      </w:pPr>
      <w:bookmarkStart w:id="382" w:name="_Toc6496687"/>
      <w:bookmarkStart w:id="383" w:name="_Toc3760"/>
      <w:bookmarkStart w:id="384" w:name="_Toc213141100"/>
      <w:bookmarkStart w:id="385" w:name="_Toc489197861"/>
      <w:bookmarkStart w:id="386" w:name="_Toc488633622"/>
      <w:bookmarkStart w:id="387" w:name="_Toc489145757"/>
      <w:bookmarkStart w:id="388" w:name="_Toc481694851"/>
      <w:r>
        <w:rPr>
          <w:rFonts w:hint="eastAsia" w:ascii="宋体" w:hAnsi="宋体" w:cs="宋体"/>
          <w:b w:val="0"/>
          <w:sz w:val="30"/>
          <w:szCs w:val="30"/>
          <w:highlight w:val="none"/>
        </w:rPr>
        <w:t>（一）商务条款偏离表</w:t>
      </w:r>
      <w:bookmarkEnd w:id="382"/>
      <w:bookmarkEnd w:id="383"/>
    </w:p>
    <w:p w14:paraId="6080B310">
      <w:pPr>
        <w:pStyle w:val="26"/>
        <w:spacing w:line="360" w:lineRule="auto"/>
        <w:ind w:firstLine="420" w:firstLineChars="200"/>
        <w:rPr>
          <w:rFonts w:hAnsi="宋体" w:cs="宋体"/>
          <w:highlight w:val="none"/>
        </w:rPr>
      </w:pPr>
      <w:r>
        <w:rPr>
          <w:rFonts w:hint="eastAsia" w:hAnsi="宋体" w:cs="宋体"/>
          <w:highlight w:val="none"/>
        </w:rPr>
        <w:t>投标人须逐条对应招标文件中要求的商务条款，认真填写该表。</w:t>
      </w:r>
    </w:p>
    <w:p w14:paraId="6831E532">
      <w:pPr>
        <w:pStyle w:val="26"/>
        <w:spacing w:line="360" w:lineRule="auto"/>
        <w:ind w:firstLine="420" w:firstLineChars="200"/>
        <w:rPr>
          <w:rFonts w:hAnsi="宋体" w:cs="宋体"/>
          <w:highlight w:val="none"/>
        </w:rPr>
      </w:pPr>
      <w:r>
        <w:rPr>
          <w:rFonts w:hint="eastAsia" w:hAnsi="宋体" w:cs="宋体"/>
          <w:highlight w:val="none"/>
        </w:rPr>
        <w:t>商务条款是指：招标文件第五章“合同条款前附表”中要求的有关内容。</w:t>
      </w:r>
    </w:p>
    <w:p w14:paraId="05D8001D">
      <w:pPr>
        <w:pStyle w:val="26"/>
        <w:spacing w:line="360" w:lineRule="auto"/>
        <w:ind w:firstLine="200"/>
        <w:rPr>
          <w:rFonts w:hAnsi="宋体" w:cs="宋体"/>
          <w:b/>
          <w:highlight w:val="none"/>
        </w:rPr>
      </w:pPr>
    </w:p>
    <w:p w14:paraId="1174B39F">
      <w:pPr>
        <w:spacing w:line="360" w:lineRule="auto"/>
        <w:rPr>
          <w:rFonts w:ascii="宋体" w:hAnsi="宋体" w:cs="宋体"/>
          <w:sz w:val="21"/>
          <w:szCs w:val="21"/>
          <w:highlight w:val="none"/>
        </w:rPr>
      </w:pPr>
      <w:r>
        <w:rPr>
          <w:rFonts w:hint="eastAsia" w:ascii="宋体" w:hAnsi="宋体" w:cs="宋体"/>
          <w:sz w:val="21"/>
          <w:szCs w:val="21"/>
          <w:highlight w:val="none"/>
        </w:rPr>
        <w:t>项目名称：</w:t>
      </w:r>
      <w:r>
        <w:rPr>
          <w:rFonts w:hint="eastAsia" w:ascii="宋体" w:hAnsi="宋体" w:cs="宋体"/>
          <w:sz w:val="21"/>
          <w:szCs w:val="21"/>
          <w:highlight w:val="none"/>
          <w:u w:val="single"/>
        </w:rPr>
        <w:t xml:space="preserve">                        </w:t>
      </w:r>
    </w:p>
    <w:p w14:paraId="4B5DC383">
      <w:pPr>
        <w:pStyle w:val="26"/>
        <w:spacing w:after="159" w:afterLines="50" w:line="276" w:lineRule="auto"/>
        <w:rPr>
          <w:rFonts w:hAnsi="宋体" w:cs="宋体"/>
          <w:bCs/>
          <w:highlight w:val="none"/>
          <w:u w:val="single"/>
        </w:rPr>
      </w:pPr>
      <w:r>
        <w:rPr>
          <w:rFonts w:hint="eastAsia" w:hAnsi="宋体" w:cs="宋体"/>
          <w:bCs/>
          <w:highlight w:val="none"/>
        </w:rPr>
        <w:t>招标编号：</w:t>
      </w:r>
      <w:r>
        <w:rPr>
          <w:rFonts w:hint="eastAsia" w:hAnsi="宋体" w:cs="宋体"/>
          <w:bCs/>
          <w:highlight w:val="none"/>
          <w:u w:val="single"/>
        </w:rPr>
        <w:t xml:space="preserve">                        </w:t>
      </w:r>
    </w:p>
    <w:tbl>
      <w:tblPr>
        <w:tblStyle w:val="50"/>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3490"/>
        <w:gridCol w:w="3296"/>
        <w:gridCol w:w="1538"/>
      </w:tblGrid>
      <w:tr w14:paraId="2AE8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vAlign w:val="center"/>
          </w:tcPr>
          <w:p w14:paraId="08274AC5">
            <w:pPr>
              <w:pStyle w:val="26"/>
              <w:spacing w:line="276" w:lineRule="auto"/>
              <w:jc w:val="center"/>
              <w:rPr>
                <w:rFonts w:hAnsi="宋体" w:cs="宋体"/>
                <w:b/>
                <w:highlight w:val="none"/>
              </w:rPr>
            </w:pPr>
            <w:r>
              <w:rPr>
                <w:rFonts w:hint="eastAsia" w:hAnsi="宋体" w:cs="宋体"/>
                <w:b/>
                <w:highlight w:val="none"/>
              </w:rPr>
              <w:t>序号</w:t>
            </w:r>
          </w:p>
        </w:tc>
        <w:tc>
          <w:tcPr>
            <w:tcW w:w="3490" w:type="dxa"/>
            <w:vAlign w:val="center"/>
          </w:tcPr>
          <w:p w14:paraId="4C7570FD">
            <w:pPr>
              <w:pStyle w:val="26"/>
              <w:spacing w:line="276" w:lineRule="auto"/>
              <w:jc w:val="center"/>
              <w:rPr>
                <w:rFonts w:hAnsi="宋体" w:cs="宋体"/>
                <w:b/>
                <w:highlight w:val="none"/>
              </w:rPr>
            </w:pPr>
            <w:r>
              <w:rPr>
                <w:rFonts w:hint="eastAsia" w:hAnsi="宋体" w:cs="宋体"/>
                <w:b/>
                <w:highlight w:val="none"/>
              </w:rPr>
              <w:t>招标文件的商务条款</w:t>
            </w:r>
          </w:p>
        </w:tc>
        <w:tc>
          <w:tcPr>
            <w:tcW w:w="3296" w:type="dxa"/>
            <w:vAlign w:val="center"/>
          </w:tcPr>
          <w:p w14:paraId="317EBA26">
            <w:pPr>
              <w:pStyle w:val="26"/>
              <w:spacing w:line="276" w:lineRule="auto"/>
              <w:jc w:val="center"/>
              <w:rPr>
                <w:rFonts w:hAnsi="宋体" w:cs="宋体"/>
                <w:b/>
                <w:highlight w:val="none"/>
              </w:rPr>
            </w:pPr>
            <w:r>
              <w:rPr>
                <w:rFonts w:hint="eastAsia" w:hAnsi="宋体" w:cs="宋体"/>
                <w:b/>
                <w:highlight w:val="none"/>
              </w:rPr>
              <w:t>投标文件响应情况</w:t>
            </w:r>
          </w:p>
        </w:tc>
        <w:tc>
          <w:tcPr>
            <w:tcW w:w="1538" w:type="dxa"/>
            <w:vAlign w:val="center"/>
          </w:tcPr>
          <w:p w14:paraId="6E87F60B">
            <w:pPr>
              <w:pStyle w:val="26"/>
              <w:spacing w:line="276" w:lineRule="auto"/>
              <w:jc w:val="center"/>
              <w:rPr>
                <w:rFonts w:hAnsi="宋体" w:cs="宋体"/>
                <w:b/>
                <w:highlight w:val="none"/>
              </w:rPr>
            </w:pPr>
            <w:r>
              <w:rPr>
                <w:rFonts w:hint="eastAsia" w:hAnsi="宋体" w:cs="宋体"/>
                <w:b/>
                <w:highlight w:val="none"/>
              </w:rPr>
              <w:t>偏离</w:t>
            </w:r>
          </w:p>
        </w:tc>
      </w:tr>
      <w:tr w14:paraId="70B35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vAlign w:val="center"/>
          </w:tcPr>
          <w:p w14:paraId="59349643">
            <w:pPr>
              <w:pStyle w:val="26"/>
              <w:spacing w:line="276" w:lineRule="auto"/>
              <w:jc w:val="center"/>
              <w:rPr>
                <w:rFonts w:hAnsi="宋体" w:cs="宋体"/>
                <w:highlight w:val="none"/>
              </w:rPr>
            </w:pPr>
          </w:p>
        </w:tc>
        <w:tc>
          <w:tcPr>
            <w:tcW w:w="3490" w:type="dxa"/>
            <w:vAlign w:val="center"/>
          </w:tcPr>
          <w:p w14:paraId="18092654">
            <w:pPr>
              <w:pStyle w:val="26"/>
              <w:spacing w:line="276" w:lineRule="auto"/>
              <w:jc w:val="center"/>
              <w:rPr>
                <w:rFonts w:hAnsi="宋体" w:cs="宋体"/>
                <w:highlight w:val="none"/>
              </w:rPr>
            </w:pPr>
          </w:p>
        </w:tc>
        <w:tc>
          <w:tcPr>
            <w:tcW w:w="3296" w:type="dxa"/>
            <w:vAlign w:val="center"/>
          </w:tcPr>
          <w:p w14:paraId="29E6E1C2">
            <w:pPr>
              <w:pStyle w:val="26"/>
              <w:spacing w:line="276" w:lineRule="auto"/>
              <w:jc w:val="center"/>
              <w:rPr>
                <w:rFonts w:hAnsi="宋体" w:cs="宋体"/>
                <w:highlight w:val="none"/>
              </w:rPr>
            </w:pPr>
          </w:p>
        </w:tc>
        <w:tc>
          <w:tcPr>
            <w:tcW w:w="1538" w:type="dxa"/>
            <w:vAlign w:val="center"/>
          </w:tcPr>
          <w:p w14:paraId="46A7A844">
            <w:pPr>
              <w:pStyle w:val="26"/>
              <w:spacing w:line="276" w:lineRule="auto"/>
              <w:jc w:val="center"/>
              <w:rPr>
                <w:rFonts w:hAnsi="宋体" w:cs="宋体"/>
                <w:highlight w:val="none"/>
              </w:rPr>
            </w:pPr>
          </w:p>
        </w:tc>
      </w:tr>
      <w:tr w14:paraId="1210D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vAlign w:val="center"/>
          </w:tcPr>
          <w:p w14:paraId="4D7816BB">
            <w:pPr>
              <w:pStyle w:val="26"/>
              <w:spacing w:line="276" w:lineRule="auto"/>
              <w:jc w:val="center"/>
              <w:rPr>
                <w:rFonts w:hAnsi="宋体" w:cs="宋体"/>
                <w:highlight w:val="none"/>
              </w:rPr>
            </w:pPr>
          </w:p>
        </w:tc>
        <w:tc>
          <w:tcPr>
            <w:tcW w:w="3490" w:type="dxa"/>
            <w:vAlign w:val="center"/>
          </w:tcPr>
          <w:p w14:paraId="20B166A0">
            <w:pPr>
              <w:pStyle w:val="26"/>
              <w:spacing w:line="276" w:lineRule="auto"/>
              <w:jc w:val="center"/>
              <w:rPr>
                <w:rFonts w:hAnsi="宋体" w:cs="宋体"/>
                <w:highlight w:val="none"/>
              </w:rPr>
            </w:pPr>
          </w:p>
        </w:tc>
        <w:tc>
          <w:tcPr>
            <w:tcW w:w="3296" w:type="dxa"/>
            <w:vAlign w:val="center"/>
          </w:tcPr>
          <w:p w14:paraId="3BC7C2A3">
            <w:pPr>
              <w:pStyle w:val="26"/>
              <w:spacing w:line="276" w:lineRule="auto"/>
              <w:jc w:val="center"/>
              <w:rPr>
                <w:rFonts w:hAnsi="宋体" w:cs="宋体"/>
                <w:highlight w:val="none"/>
              </w:rPr>
            </w:pPr>
          </w:p>
        </w:tc>
        <w:tc>
          <w:tcPr>
            <w:tcW w:w="1538" w:type="dxa"/>
            <w:vAlign w:val="center"/>
          </w:tcPr>
          <w:p w14:paraId="3829810F">
            <w:pPr>
              <w:pStyle w:val="26"/>
              <w:spacing w:line="276" w:lineRule="auto"/>
              <w:jc w:val="center"/>
              <w:rPr>
                <w:rFonts w:hAnsi="宋体" w:cs="宋体"/>
                <w:highlight w:val="none"/>
              </w:rPr>
            </w:pPr>
          </w:p>
        </w:tc>
      </w:tr>
      <w:tr w14:paraId="0E8D3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vAlign w:val="center"/>
          </w:tcPr>
          <w:p w14:paraId="5A7BFBFA">
            <w:pPr>
              <w:pStyle w:val="26"/>
              <w:spacing w:line="276" w:lineRule="auto"/>
              <w:jc w:val="center"/>
              <w:rPr>
                <w:rFonts w:hAnsi="宋体" w:cs="宋体"/>
                <w:highlight w:val="none"/>
              </w:rPr>
            </w:pPr>
          </w:p>
        </w:tc>
        <w:tc>
          <w:tcPr>
            <w:tcW w:w="3490" w:type="dxa"/>
            <w:vAlign w:val="center"/>
          </w:tcPr>
          <w:p w14:paraId="0E8B2AF3">
            <w:pPr>
              <w:pStyle w:val="26"/>
              <w:spacing w:line="276" w:lineRule="auto"/>
              <w:jc w:val="center"/>
              <w:rPr>
                <w:rFonts w:hAnsi="宋体" w:cs="宋体"/>
                <w:highlight w:val="none"/>
              </w:rPr>
            </w:pPr>
          </w:p>
        </w:tc>
        <w:tc>
          <w:tcPr>
            <w:tcW w:w="3296" w:type="dxa"/>
            <w:vAlign w:val="center"/>
          </w:tcPr>
          <w:p w14:paraId="73D87C48">
            <w:pPr>
              <w:pStyle w:val="26"/>
              <w:spacing w:line="276" w:lineRule="auto"/>
              <w:jc w:val="center"/>
              <w:rPr>
                <w:rFonts w:hAnsi="宋体" w:cs="宋体"/>
                <w:highlight w:val="none"/>
              </w:rPr>
            </w:pPr>
          </w:p>
        </w:tc>
        <w:tc>
          <w:tcPr>
            <w:tcW w:w="1538" w:type="dxa"/>
            <w:vAlign w:val="center"/>
          </w:tcPr>
          <w:p w14:paraId="1F314489">
            <w:pPr>
              <w:pStyle w:val="26"/>
              <w:spacing w:line="276" w:lineRule="auto"/>
              <w:jc w:val="center"/>
              <w:rPr>
                <w:rFonts w:hAnsi="宋体" w:cs="宋体"/>
                <w:highlight w:val="none"/>
              </w:rPr>
            </w:pPr>
          </w:p>
        </w:tc>
      </w:tr>
    </w:tbl>
    <w:p w14:paraId="39860966">
      <w:pPr>
        <w:pStyle w:val="26"/>
        <w:spacing w:before="95" w:beforeLines="30" w:line="360" w:lineRule="auto"/>
        <w:ind w:firstLine="198"/>
        <w:jc w:val="left"/>
        <w:rPr>
          <w:rFonts w:hAnsi="宋体" w:cs="宋体"/>
          <w:highlight w:val="none"/>
        </w:rPr>
      </w:pPr>
      <w:r>
        <w:rPr>
          <w:rFonts w:hint="eastAsia" w:hAnsi="宋体" w:cs="宋体"/>
          <w:highlight w:val="none"/>
        </w:rPr>
        <w:t>注：</w:t>
      </w:r>
    </w:p>
    <w:p w14:paraId="664FD6C9">
      <w:pPr>
        <w:pStyle w:val="26"/>
        <w:spacing w:line="360" w:lineRule="auto"/>
        <w:ind w:firstLine="200"/>
        <w:rPr>
          <w:rFonts w:hAnsi="宋体" w:cs="宋体"/>
          <w:highlight w:val="none"/>
        </w:rPr>
      </w:pPr>
      <w:r>
        <w:rPr>
          <w:rFonts w:hint="eastAsia" w:hAnsi="宋体" w:cs="宋体"/>
          <w:highlight w:val="none"/>
        </w:rPr>
        <w:t>1、表格中“偏离”一列，投标人只能如实填写“正偏离”、“负偏离”或“无偏离”。凡响应内容高于招标文件要求的，按“正偏离”填写；低于招标文件要求的，按“负偏离”填写；满足招标文件要求的，按“无偏离”填写。</w:t>
      </w:r>
    </w:p>
    <w:p w14:paraId="603D6287">
      <w:pPr>
        <w:pStyle w:val="26"/>
        <w:spacing w:line="360" w:lineRule="auto"/>
        <w:ind w:firstLine="200"/>
        <w:outlineLvl w:val="3"/>
        <w:rPr>
          <w:rFonts w:hAnsi="宋体" w:cs="宋体"/>
          <w:highlight w:val="none"/>
        </w:rPr>
      </w:pPr>
      <w:r>
        <w:rPr>
          <w:rFonts w:hint="eastAsia" w:hAnsi="宋体" w:cs="宋体"/>
          <w:highlight w:val="none"/>
        </w:rPr>
        <w:t>2、序号应对应该商务条款在第五章“合同条款前附表”</w:t>
      </w:r>
      <w:r>
        <w:rPr>
          <w:rFonts w:hint="eastAsia" w:hAnsi="宋体" w:cs="宋体"/>
          <w:bCs/>
          <w:highlight w:val="none"/>
        </w:rPr>
        <w:t>中的序号。</w:t>
      </w:r>
    </w:p>
    <w:p w14:paraId="75C4A28B">
      <w:pPr>
        <w:pStyle w:val="26"/>
        <w:spacing w:line="360" w:lineRule="auto"/>
        <w:ind w:firstLine="200"/>
        <w:rPr>
          <w:rFonts w:hAnsi="宋体" w:cs="宋体"/>
          <w:highlight w:val="none"/>
        </w:rPr>
      </w:pPr>
      <w:r>
        <w:rPr>
          <w:rFonts w:hint="eastAsia" w:hAnsi="宋体" w:cs="宋体"/>
          <w:highlight w:val="none"/>
        </w:rPr>
        <w:t>3、各投标人必须对招标文件第五章“合同条款前附表”中的商务条款作出全面、真实的反映，若投标文件中响应情况与招标文件商务条款不符或无有效证明，而投标人又未在招标文件中作出说明和解释的，评标委员会在评审时可以视为不响应该条商务条款的规定。</w:t>
      </w:r>
    </w:p>
    <w:p w14:paraId="66E5458C">
      <w:pPr>
        <w:pStyle w:val="26"/>
        <w:spacing w:line="360" w:lineRule="auto"/>
        <w:ind w:firstLine="200"/>
        <w:outlineLvl w:val="3"/>
        <w:rPr>
          <w:rFonts w:hAnsi="宋体" w:cs="宋体"/>
          <w:highlight w:val="none"/>
        </w:rPr>
      </w:pPr>
      <w:r>
        <w:rPr>
          <w:rFonts w:hint="eastAsia" w:hAnsi="宋体" w:cs="宋体"/>
          <w:highlight w:val="none"/>
        </w:rPr>
        <w:t>4、投标人可根据招标文件商务条款拓展本表，但不得改变格式。</w:t>
      </w:r>
    </w:p>
    <w:p w14:paraId="643D9134">
      <w:pPr>
        <w:pStyle w:val="26"/>
        <w:rPr>
          <w:rFonts w:hAnsi="宋体" w:cs="宋体"/>
          <w:b/>
          <w:sz w:val="28"/>
          <w:szCs w:val="28"/>
          <w:highlight w:val="none"/>
        </w:rPr>
      </w:pPr>
    </w:p>
    <w:p w14:paraId="2A14F308">
      <w:pPr>
        <w:rPr>
          <w:rFonts w:ascii="宋体" w:hAnsi="宋体" w:cs="宋体"/>
          <w:highlight w:val="none"/>
        </w:rPr>
      </w:pPr>
    </w:p>
    <w:p w14:paraId="4A45CA2F">
      <w:pPr>
        <w:spacing w:line="600" w:lineRule="auto"/>
        <w:rPr>
          <w:rFonts w:ascii="宋体" w:hAnsi="宋体" w:cs="宋体"/>
          <w:sz w:val="21"/>
          <w:szCs w:val="21"/>
          <w:highlight w:val="none"/>
        </w:rPr>
      </w:pPr>
      <w:r>
        <w:rPr>
          <w:rFonts w:hint="eastAsia" w:ascii="宋体" w:hAnsi="宋体" w:cs="宋体"/>
          <w:sz w:val="21"/>
          <w:szCs w:val="21"/>
          <w:highlight w:val="none"/>
        </w:rPr>
        <w:t>投标人（电子签章）：_______________</w:t>
      </w:r>
    </w:p>
    <w:p w14:paraId="4DB3A0DE">
      <w:pPr>
        <w:spacing w:line="600" w:lineRule="auto"/>
        <w:rPr>
          <w:rFonts w:ascii="宋体" w:hAnsi="宋体" w:cs="宋体"/>
          <w:sz w:val="21"/>
          <w:szCs w:val="21"/>
          <w:highlight w:val="none"/>
        </w:rPr>
      </w:pPr>
      <w:r>
        <w:rPr>
          <w:rFonts w:hint="eastAsia" w:ascii="宋体" w:hAnsi="宋体" w:cs="宋体"/>
          <w:sz w:val="21"/>
          <w:szCs w:val="21"/>
          <w:highlight w:val="none"/>
        </w:rPr>
        <w:t>法定代表人（电子签章）：___________</w:t>
      </w:r>
    </w:p>
    <w:p w14:paraId="3C01B8D4">
      <w:pPr>
        <w:spacing w:line="600" w:lineRule="auto"/>
        <w:rPr>
          <w:rFonts w:ascii="宋体" w:hAnsi="宋体" w:cs="宋体"/>
          <w:sz w:val="21"/>
          <w:szCs w:val="21"/>
          <w:highlight w:val="none"/>
        </w:rPr>
      </w:pPr>
      <w:r>
        <w:rPr>
          <w:rFonts w:hint="eastAsia" w:ascii="宋体" w:hAnsi="宋体" w:cs="宋体"/>
          <w:sz w:val="21"/>
          <w:szCs w:val="21"/>
          <w:highlight w:val="none"/>
        </w:rPr>
        <w:t>________年_____月______日</w:t>
      </w:r>
    </w:p>
    <w:bookmarkEnd w:id="384"/>
    <w:bookmarkEnd w:id="385"/>
    <w:bookmarkEnd w:id="386"/>
    <w:bookmarkEnd w:id="387"/>
    <w:bookmarkEnd w:id="388"/>
    <w:p w14:paraId="10162483">
      <w:pPr>
        <w:pStyle w:val="5"/>
        <w:numPr>
          <w:numId w:val="0"/>
        </w:numPr>
        <w:tabs>
          <w:tab w:val="left" w:pos="432"/>
          <w:tab w:val="left" w:pos="720"/>
        </w:tabs>
        <w:spacing w:before="240" w:after="240" w:line="360" w:lineRule="auto"/>
        <w:jc w:val="center"/>
        <w:rPr>
          <w:rFonts w:ascii="宋体" w:hAnsi="宋体" w:cs="宋体"/>
          <w:b w:val="0"/>
          <w:sz w:val="30"/>
          <w:szCs w:val="30"/>
          <w:highlight w:val="none"/>
        </w:rPr>
      </w:pPr>
      <w:bookmarkStart w:id="389" w:name="_Toc31974"/>
      <w:r>
        <w:rPr>
          <w:rFonts w:hint="eastAsia" w:ascii="宋体" w:hAnsi="宋体" w:cs="宋体"/>
          <w:b w:val="0"/>
          <w:sz w:val="30"/>
          <w:szCs w:val="30"/>
          <w:highlight w:val="none"/>
          <w:lang w:eastAsia="zh-CN"/>
        </w:rPr>
        <w:t>（</w:t>
      </w:r>
      <w:r>
        <w:rPr>
          <w:rFonts w:hint="eastAsia" w:ascii="宋体" w:hAnsi="宋体" w:cs="宋体"/>
          <w:b w:val="0"/>
          <w:sz w:val="30"/>
          <w:szCs w:val="30"/>
          <w:highlight w:val="none"/>
          <w:lang w:val="en-US" w:eastAsia="zh-CN"/>
        </w:rPr>
        <w:t>二</w:t>
      </w:r>
      <w:r>
        <w:rPr>
          <w:rFonts w:hint="eastAsia" w:ascii="宋体" w:hAnsi="宋体" w:cs="宋体"/>
          <w:b w:val="0"/>
          <w:sz w:val="30"/>
          <w:szCs w:val="30"/>
          <w:highlight w:val="none"/>
          <w:lang w:eastAsia="zh-CN"/>
        </w:rPr>
        <w:t>）</w:t>
      </w:r>
      <w:r>
        <w:rPr>
          <w:rFonts w:hint="eastAsia" w:ascii="宋体" w:hAnsi="宋体" w:cs="宋体"/>
          <w:b w:val="0"/>
          <w:sz w:val="30"/>
          <w:szCs w:val="30"/>
          <w:highlight w:val="none"/>
        </w:rPr>
        <w:t>培训方案</w:t>
      </w:r>
      <w:bookmarkEnd w:id="389"/>
    </w:p>
    <w:p w14:paraId="77A82B2C">
      <w:pPr>
        <w:jc w:val="center"/>
        <w:rPr>
          <w:rFonts w:ascii="宋体" w:hAnsi="宋体" w:cs="宋体"/>
          <w:highlight w:val="none"/>
        </w:rPr>
      </w:pPr>
      <w:r>
        <w:rPr>
          <w:rFonts w:hint="eastAsia" w:ascii="宋体" w:hAnsi="宋体" w:cs="宋体"/>
          <w:highlight w:val="none"/>
        </w:rPr>
        <w:t>（投标人自行编写，格式自拟）</w:t>
      </w:r>
    </w:p>
    <w:p w14:paraId="084CCE5F">
      <w:pPr>
        <w:jc w:val="center"/>
        <w:rPr>
          <w:rFonts w:ascii="宋体" w:hAnsi="宋体" w:cs="宋体"/>
          <w:highlight w:val="none"/>
        </w:rPr>
      </w:pPr>
    </w:p>
    <w:p w14:paraId="7001E3D0">
      <w:pPr>
        <w:pStyle w:val="49"/>
        <w:ind w:left="400"/>
        <w:rPr>
          <w:rFonts w:ascii="宋体" w:hAnsi="宋体" w:eastAsia="宋体" w:cs="宋体"/>
          <w:highlight w:val="none"/>
        </w:rPr>
      </w:pPr>
    </w:p>
    <w:p w14:paraId="1C857880">
      <w:pPr>
        <w:pStyle w:val="5"/>
        <w:tabs>
          <w:tab w:val="left" w:pos="432"/>
          <w:tab w:val="left" w:pos="720"/>
        </w:tabs>
        <w:spacing w:before="240" w:after="240" w:line="360" w:lineRule="auto"/>
        <w:jc w:val="center"/>
        <w:rPr>
          <w:rFonts w:ascii="宋体" w:hAnsi="宋体" w:cs="宋体"/>
          <w:b w:val="0"/>
          <w:sz w:val="30"/>
          <w:szCs w:val="30"/>
          <w:highlight w:val="none"/>
        </w:rPr>
      </w:pPr>
      <w:r>
        <w:rPr>
          <w:rFonts w:hint="eastAsia" w:ascii="宋体" w:hAnsi="宋体" w:cs="宋体"/>
          <w:b w:val="0"/>
          <w:sz w:val="30"/>
          <w:szCs w:val="30"/>
          <w:highlight w:val="none"/>
        </w:rPr>
        <w:t>（</w:t>
      </w:r>
      <w:r>
        <w:rPr>
          <w:rFonts w:hint="eastAsia" w:ascii="宋体" w:hAnsi="宋体" w:cs="宋体"/>
          <w:b w:val="0"/>
          <w:sz w:val="30"/>
          <w:szCs w:val="30"/>
          <w:highlight w:val="none"/>
          <w:lang w:val="en-US" w:eastAsia="zh-CN"/>
        </w:rPr>
        <w:t>三</w:t>
      </w:r>
      <w:r>
        <w:rPr>
          <w:rFonts w:hint="eastAsia" w:ascii="宋体" w:hAnsi="宋体" w:cs="宋体"/>
          <w:b w:val="0"/>
          <w:sz w:val="30"/>
          <w:szCs w:val="30"/>
          <w:highlight w:val="none"/>
        </w:rPr>
        <w:t>）信息化运维服务绩效考核制度</w:t>
      </w:r>
    </w:p>
    <w:p w14:paraId="0738F06D">
      <w:pPr>
        <w:pStyle w:val="49"/>
        <w:ind w:left="400"/>
        <w:jc w:val="center"/>
        <w:rPr>
          <w:rFonts w:ascii="宋体" w:hAnsi="宋体" w:eastAsia="宋体" w:cs="宋体"/>
          <w:highlight w:val="none"/>
        </w:rPr>
      </w:pPr>
      <w:r>
        <w:rPr>
          <w:rFonts w:hint="eastAsia" w:ascii="宋体" w:hAnsi="宋体" w:eastAsia="宋体" w:cs="宋体"/>
          <w:highlight w:val="none"/>
        </w:rPr>
        <w:t>（投标人自行编写，格式自拟）</w:t>
      </w:r>
    </w:p>
    <w:p w14:paraId="1C0D6D30">
      <w:pPr>
        <w:pStyle w:val="49"/>
        <w:ind w:left="400"/>
        <w:jc w:val="center"/>
        <w:rPr>
          <w:rFonts w:ascii="宋体" w:hAnsi="宋体" w:eastAsia="宋体" w:cs="宋体"/>
          <w:highlight w:val="none"/>
        </w:rPr>
      </w:pPr>
    </w:p>
    <w:p w14:paraId="1EFD3969">
      <w:pPr>
        <w:pStyle w:val="5"/>
        <w:tabs>
          <w:tab w:val="left" w:pos="432"/>
          <w:tab w:val="left" w:pos="720"/>
        </w:tabs>
        <w:spacing w:before="240" w:after="240" w:line="360" w:lineRule="auto"/>
        <w:jc w:val="center"/>
        <w:rPr>
          <w:rFonts w:ascii="宋体" w:hAnsi="宋体" w:cs="宋体"/>
          <w:b w:val="0"/>
          <w:sz w:val="30"/>
          <w:szCs w:val="30"/>
          <w:highlight w:val="none"/>
        </w:rPr>
      </w:pPr>
      <w:bookmarkStart w:id="390" w:name="_Toc19122"/>
      <w:r>
        <w:rPr>
          <w:rFonts w:hint="eastAsia" w:ascii="宋体" w:hAnsi="宋体" w:cs="宋体"/>
          <w:b w:val="0"/>
          <w:sz w:val="30"/>
          <w:szCs w:val="30"/>
          <w:highlight w:val="none"/>
        </w:rPr>
        <w:t>（</w:t>
      </w:r>
      <w:r>
        <w:rPr>
          <w:rFonts w:hint="eastAsia" w:ascii="宋体" w:hAnsi="宋体" w:cs="宋体"/>
          <w:b w:val="0"/>
          <w:sz w:val="30"/>
          <w:szCs w:val="30"/>
          <w:highlight w:val="none"/>
          <w:lang w:val="en-US" w:eastAsia="zh-CN"/>
        </w:rPr>
        <w:t>四</w:t>
      </w:r>
      <w:r>
        <w:rPr>
          <w:rFonts w:hint="eastAsia" w:ascii="宋体" w:hAnsi="宋体" w:cs="宋体"/>
          <w:b w:val="0"/>
          <w:sz w:val="30"/>
          <w:szCs w:val="30"/>
          <w:highlight w:val="none"/>
        </w:rPr>
        <w:t>）业绩表</w:t>
      </w:r>
      <w:bookmarkEnd w:id="390"/>
    </w:p>
    <w:p w14:paraId="0CE6FE0E">
      <w:pPr>
        <w:rPr>
          <w:rFonts w:ascii="宋体" w:hAnsi="宋体" w:cs="宋体"/>
          <w:highlight w:val="none"/>
        </w:rPr>
      </w:pPr>
    </w:p>
    <w:tbl>
      <w:tblPr>
        <w:tblStyle w:val="50"/>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1964"/>
        <w:gridCol w:w="3065"/>
        <w:gridCol w:w="2193"/>
        <w:gridCol w:w="924"/>
      </w:tblGrid>
      <w:tr w14:paraId="520C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069" w:type="dxa"/>
            <w:vAlign w:val="center"/>
          </w:tcPr>
          <w:p w14:paraId="54903B56">
            <w:pPr>
              <w:spacing w:line="276" w:lineRule="auto"/>
              <w:jc w:val="center"/>
              <w:rPr>
                <w:rFonts w:ascii="宋体" w:hAnsi="宋体" w:cs="宋体"/>
                <w:sz w:val="21"/>
                <w:szCs w:val="21"/>
                <w:highlight w:val="none"/>
              </w:rPr>
            </w:pPr>
            <w:r>
              <w:rPr>
                <w:rFonts w:hint="eastAsia" w:ascii="宋体" w:hAnsi="宋体" w:cs="宋体"/>
                <w:sz w:val="21"/>
                <w:szCs w:val="21"/>
                <w:highlight w:val="none"/>
              </w:rPr>
              <w:t>序号</w:t>
            </w:r>
          </w:p>
        </w:tc>
        <w:tc>
          <w:tcPr>
            <w:tcW w:w="1964" w:type="dxa"/>
            <w:vAlign w:val="center"/>
          </w:tcPr>
          <w:p w14:paraId="7F0C6137">
            <w:pPr>
              <w:spacing w:line="276" w:lineRule="auto"/>
              <w:jc w:val="center"/>
              <w:rPr>
                <w:rFonts w:ascii="宋体" w:hAnsi="宋体" w:cs="宋体"/>
                <w:sz w:val="21"/>
                <w:szCs w:val="21"/>
                <w:highlight w:val="none"/>
              </w:rPr>
            </w:pPr>
            <w:r>
              <w:rPr>
                <w:rFonts w:hint="eastAsia" w:ascii="宋体" w:hAnsi="宋体" w:cs="宋体"/>
                <w:sz w:val="21"/>
                <w:szCs w:val="21"/>
                <w:highlight w:val="none"/>
              </w:rPr>
              <w:t>采购人</w:t>
            </w:r>
          </w:p>
        </w:tc>
        <w:tc>
          <w:tcPr>
            <w:tcW w:w="3065" w:type="dxa"/>
            <w:vAlign w:val="center"/>
          </w:tcPr>
          <w:p w14:paraId="2F5E6D72">
            <w:pPr>
              <w:spacing w:line="276" w:lineRule="auto"/>
              <w:jc w:val="center"/>
              <w:rPr>
                <w:rFonts w:ascii="宋体" w:hAnsi="宋体" w:cs="宋体"/>
                <w:sz w:val="21"/>
                <w:szCs w:val="21"/>
                <w:highlight w:val="none"/>
              </w:rPr>
            </w:pPr>
            <w:r>
              <w:rPr>
                <w:rFonts w:hint="eastAsia" w:ascii="宋体" w:hAnsi="宋体" w:cs="宋体"/>
                <w:sz w:val="21"/>
                <w:szCs w:val="21"/>
                <w:highlight w:val="none"/>
              </w:rPr>
              <w:t>合同标的</w:t>
            </w:r>
          </w:p>
        </w:tc>
        <w:tc>
          <w:tcPr>
            <w:tcW w:w="2193" w:type="dxa"/>
            <w:vAlign w:val="center"/>
          </w:tcPr>
          <w:p w14:paraId="3CD5E1E3">
            <w:pPr>
              <w:spacing w:line="276" w:lineRule="auto"/>
              <w:jc w:val="center"/>
              <w:rPr>
                <w:rFonts w:ascii="宋体" w:hAnsi="宋体" w:cs="宋体"/>
                <w:sz w:val="21"/>
                <w:szCs w:val="21"/>
                <w:highlight w:val="none"/>
              </w:rPr>
            </w:pPr>
            <w:r>
              <w:rPr>
                <w:rFonts w:hint="eastAsia" w:ascii="宋体" w:hAnsi="宋体" w:cs="宋体"/>
                <w:sz w:val="21"/>
                <w:szCs w:val="21"/>
                <w:highlight w:val="none"/>
              </w:rPr>
              <w:t>合同金额（万元）</w:t>
            </w:r>
          </w:p>
        </w:tc>
        <w:tc>
          <w:tcPr>
            <w:tcW w:w="924" w:type="dxa"/>
            <w:vAlign w:val="center"/>
          </w:tcPr>
          <w:p w14:paraId="7F09E116">
            <w:pPr>
              <w:spacing w:line="276" w:lineRule="auto"/>
              <w:jc w:val="center"/>
              <w:rPr>
                <w:rFonts w:ascii="宋体" w:hAnsi="宋体" w:cs="宋体"/>
                <w:sz w:val="21"/>
                <w:szCs w:val="21"/>
                <w:highlight w:val="none"/>
              </w:rPr>
            </w:pPr>
            <w:r>
              <w:rPr>
                <w:rFonts w:hint="eastAsia" w:ascii="宋体" w:hAnsi="宋体" w:cs="宋体"/>
                <w:sz w:val="21"/>
                <w:szCs w:val="21"/>
                <w:highlight w:val="none"/>
              </w:rPr>
              <w:t>备注</w:t>
            </w:r>
          </w:p>
        </w:tc>
      </w:tr>
      <w:tr w14:paraId="64D56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069" w:type="dxa"/>
            <w:vAlign w:val="center"/>
          </w:tcPr>
          <w:p w14:paraId="1025EBD1">
            <w:pPr>
              <w:spacing w:line="276" w:lineRule="auto"/>
              <w:jc w:val="center"/>
              <w:rPr>
                <w:rFonts w:ascii="宋体" w:hAnsi="宋体" w:cs="宋体"/>
                <w:sz w:val="21"/>
                <w:szCs w:val="21"/>
                <w:highlight w:val="none"/>
              </w:rPr>
            </w:pPr>
            <w:r>
              <w:rPr>
                <w:rFonts w:hint="eastAsia" w:ascii="宋体" w:hAnsi="宋体" w:cs="宋体"/>
                <w:sz w:val="21"/>
                <w:szCs w:val="21"/>
                <w:highlight w:val="none"/>
              </w:rPr>
              <w:t>1</w:t>
            </w:r>
          </w:p>
        </w:tc>
        <w:tc>
          <w:tcPr>
            <w:tcW w:w="1964" w:type="dxa"/>
            <w:vAlign w:val="center"/>
          </w:tcPr>
          <w:p w14:paraId="6DC3FD0B">
            <w:pPr>
              <w:spacing w:line="276" w:lineRule="auto"/>
              <w:jc w:val="center"/>
              <w:rPr>
                <w:rFonts w:ascii="宋体" w:hAnsi="宋体" w:cs="宋体"/>
                <w:sz w:val="21"/>
                <w:szCs w:val="21"/>
                <w:highlight w:val="none"/>
              </w:rPr>
            </w:pPr>
          </w:p>
        </w:tc>
        <w:tc>
          <w:tcPr>
            <w:tcW w:w="3065" w:type="dxa"/>
            <w:vAlign w:val="center"/>
          </w:tcPr>
          <w:p w14:paraId="15EF589E">
            <w:pPr>
              <w:spacing w:line="276" w:lineRule="auto"/>
              <w:jc w:val="center"/>
              <w:rPr>
                <w:rFonts w:ascii="宋体" w:hAnsi="宋体" w:cs="宋体"/>
                <w:sz w:val="21"/>
                <w:szCs w:val="21"/>
                <w:highlight w:val="none"/>
              </w:rPr>
            </w:pPr>
          </w:p>
        </w:tc>
        <w:tc>
          <w:tcPr>
            <w:tcW w:w="2193" w:type="dxa"/>
            <w:vAlign w:val="center"/>
          </w:tcPr>
          <w:p w14:paraId="7EEAE028">
            <w:pPr>
              <w:spacing w:line="276" w:lineRule="auto"/>
              <w:jc w:val="center"/>
              <w:rPr>
                <w:rFonts w:ascii="宋体" w:hAnsi="宋体" w:cs="宋体"/>
                <w:sz w:val="21"/>
                <w:szCs w:val="21"/>
                <w:highlight w:val="none"/>
              </w:rPr>
            </w:pPr>
          </w:p>
        </w:tc>
        <w:tc>
          <w:tcPr>
            <w:tcW w:w="924" w:type="dxa"/>
            <w:vAlign w:val="center"/>
          </w:tcPr>
          <w:p w14:paraId="7CF283A1">
            <w:pPr>
              <w:spacing w:line="276" w:lineRule="auto"/>
              <w:jc w:val="center"/>
              <w:rPr>
                <w:rFonts w:ascii="宋体" w:hAnsi="宋体" w:cs="宋体"/>
                <w:sz w:val="21"/>
                <w:szCs w:val="21"/>
                <w:highlight w:val="none"/>
              </w:rPr>
            </w:pPr>
          </w:p>
        </w:tc>
      </w:tr>
      <w:tr w14:paraId="5008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069" w:type="dxa"/>
            <w:vAlign w:val="center"/>
          </w:tcPr>
          <w:p w14:paraId="73F85EDF">
            <w:pPr>
              <w:spacing w:line="276" w:lineRule="auto"/>
              <w:jc w:val="center"/>
              <w:rPr>
                <w:rFonts w:ascii="宋体" w:hAnsi="宋体" w:cs="宋体"/>
                <w:sz w:val="21"/>
                <w:szCs w:val="21"/>
                <w:highlight w:val="none"/>
              </w:rPr>
            </w:pPr>
            <w:r>
              <w:rPr>
                <w:rFonts w:hint="eastAsia" w:ascii="宋体" w:hAnsi="宋体" w:cs="宋体"/>
                <w:sz w:val="21"/>
                <w:szCs w:val="21"/>
                <w:highlight w:val="none"/>
              </w:rPr>
              <w:t>2</w:t>
            </w:r>
          </w:p>
        </w:tc>
        <w:tc>
          <w:tcPr>
            <w:tcW w:w="1964" w:type="dxa"/>
            <w:vAlign w:val="center"/>
          </w:tcPr>
          <w:p w14:paraId="2353120F">
            <w:pPr>
              <w:spacing w:line="276" w:lineRule="auto"/>
              <w:jc w:val="center"/>
              <w:rPr>
                <w:rFonts w:ascii="宋体" w:hAnsi="宋体" w:cs="宋体"/>
                <w:sz w:val="21"/>
                <w:szCs w:val="21"/>
                <w:highlight w:val="none"/>
              </w:rPr>
            </w:pPr>
          </w:p>
        </w:tc>
        <w:tc>
          <w:tcPr>
            <w:tcW w:w="3065" w:type="dxa"/>
            <w:vAlign w:val="center"/>
          </w:tcPr>
          <w:p w14:paraId="24FD8F02">
            <w:pPr>
              <w:spacing w:line="276" w:lineRule="auto"/>
              <w:jc w:val="center"/>
              <w:rPr>
                <w:rFonts w:ascii="宋体" w:hAnsi="宋体" w:cs="宋体"/>
                <w:sz w:val="21"/>
                <w:szCs w:val="21"/>
                <w:highlight w:val="none"/>
              </w:rPr>
            </w:pPr>
          </w:p>
        </w:tc>
        <w:tc>
          <w:tcPr>
            <w:tcW w:w="2193" w:type="dxa"/>
            <w:vAlign w:val="center"/>
          </w:tcPr>
          <w:p w14:paraId="36EE7AF9">
            <w:pPr>
              <w:spacing w:line="276" w:lineRule="auto"/>
              <w:jc w:val="center"/>
              <w:rPr>
                <w:rFonts w:ascii="宋体" w:hAnsi="宋体" w:cs="宋体"/>
                <w:sz w:val="21"/>
                <w:szCs w:val="21"/>
                <w:highlight w:val="none"/>
              </w:rPr>
            </w:pPr>
          </w:p>
        </w:tc>
        <w:tc>
          <w:tcPr>
            <w:tcW w:w="924" w:type="dxa"/>
            <w:vAlign w:val="center"/>
          </w:tcPr>
          <w:p w14:paraId="7A5987C8">
            <w:pPr>
              <w:spacing w:line="276" w:lineRule="auto"/>
              <w:jc w:val="center"/>
              <w:rPr>
                <w:rFonts w:ascii="宋体" w:hAnsi="宋体" w:cs="宋体"/>
                <w:sz w:val="21"/>
                <w:szCs w:val="21"/>
                <w:highlight w:val="none"/>
              </w:rPr>
            </w:pPr>
          </w:p>
        </w:tc>
      </w:tr>
      <w:tr w14:paraId="7C750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069" w:type="dxa"/>
            <w:vAlign w:val="center"/>
          </w:tcPr>
          <w:p w14:paraId="66FDDFEF">
            <w:pPr>
              <w:spacing w:line="276" w:lineRule="auto"/>
              <w:jc w:val="center"/>
              <w:rPr>
                <w:rFonts w:ascii="宋体" w:hAnsi="宋体" w:cs="宋体"/>
                <w:sz w:val="21"/>
                <w:szCs w:val="21"/>
                <w:highlight w:val="none"/>
              </w:rPr>
            </w:pPr>
            <w:r>
              <w:rPr>
                <w:rFonts w:hint="eastAsia" w:ascii="宋体" w:hAnsi="宋体" w:cs="宋体"/>
                <w:sz w:val="21"/>
                <w:szCs w:val="21"/>
                <w:highlight w:val="none"/>
              </w:rPr>
              <w:t>…</w:t>
            </w:r>
          </w:p>
        </w:tc>
        <w:tc>
          <w:tcPr>
            <w:tcW w:w="1964" w:type="dxa"/>
            <w:vAlign w:val="center"/>
          </w:tcPr>
          <w:p w14:paraId="72E58E2B">
            <w:pPr>
              <w:spacing w:line="276" w:lineRule="auto"/>
              <w:jc w:val="center"/>
              <w:rPr>
                <w:rFonts w:ascii="宋体" w:hAnsi="宋体" w:cs="宋体"/>
                <w:sz w:val="21"/>
                <w:szCs w:val="21"/>
                <w:highlight w:val="none"/>
              </w:rPr>
            </w:pPr>
          </w:p>
        </w:tc>
        <w:tc>
          <w:tcPr>
            <w:tcW w:w="3065" w:type="dxa"/>
            <w:vAlign w:val="center"/>
          </w:tcPr>
          <w:p w14:paraId="45256DAB">
            <w:pPr>
              <w:spacing w:line="276" w:lineRule="auto"/>
              <w:jc w:val="center"/>
              <w:rPr>
                <w:rFonts w:ascii="宋体" w:hAnsi="宋体" w:cs="宋体"/>
                <w:sz w:val="21"/>
                <w:szCs w:val="21"/>
                <w:highlight w:val="none"/>
              </w:rPr>
            </w:pPr>
          </w:p>
        </w:tc>
        <w:tc>
          <w:tcPr>
            <w:tcW w:w="2193" w:type="dxa"/>
            <w:vAlign w:val="center"/>
          </w:tcPr>
          <w:p w14:paraId="525B5196">
            <w:pPr>
              <w:spacing w:line="276" w:lineRule="auto"/>
              <w:jc w:val="center"/>
              <w:rPr>
                <w:rFonts w:ascii="宋体" w:hAnsi="宋体" w:cs="宋体"/>
                <w:sz w:val="21"/>
                <w:szCs w:val="21"/>
                <w:highlight w:val="none"/>
              </w:rPr>
            </w:pPr>
          </w:p>
        </w:tc>
        <w:tc>
          <w:tcPr>
            <w:tcW w:w="924" w:type="dxa"/>
            <w:vAlign w:val="center"/>
          </w:tcPr>
          <w:p w14:paraId="77EE4A07">
            <w:pPr>
              <w:spacing w:line="276" w:lineRule="auto"/>
              <w:jc w:val="center"/>
              <w:rPr>
                <w:rFonts w:ascii="宋体" w:hAnsi="宋体" w:cs="宋体"/>
                <w:sz w:val="21"/>
                <w:szCs w:val="21"/>
                <w:highlight w:val="none"/>
              </w:rPr>
            </w:pPr>
          </w:p>
        </w:tc>
      </w:tr>
    </w:tbl>
    <w:p w14:paraId="5F6E15A2">
      <w:pPr>
        <w:spacing w:line="360" w:lineRule="auto"/>
        <w:rPr>
          <w:rFonts w:ascii="宋体" w:hAnsi="宋体" w:cs="宋体"/>
          <w:sz w:val="21"/>
          <w:szCs w:val="21"/>
          <w:highlight w:val="none"/>
        </w:rPr>
      </w:pPr>
      <w:r>
        <w:rPr>
          <w:rFonts w:hint="eastAsia" w:ascii="宋体" w:hAnsi="宋体" w:cs="宋体"/>
          <w:sz w:val="21"/>
          <w:szCs w:val="21"/>
          <w:highlight w:val="none"/>
        </w:rPr>
        <w:t>注：</w:t>
      </w:r>
    </w:p>
    <w:p w14:paraId="23E55BEC">
      <w:pPr>
        <w:spacing w:line="360" w:lineRule="auto"/>
        <w:ind w:firstLine="420" w:firstLineChars="200"/>
        <w:rPr>
          <w:rFonts w:ascii="宋体" w:hAnsi="宋体" w:cs="宋体"/>
          <w:bCs/>
          <w:sz w:val="21"/>
          <w:szCs w:val="21"/>
          <w:highlight w:val="none"/>
        </w:rPr>
      </w:pPr>
      <w:r>
        <w:rPr>
          <w:rFonts w:hint="eastAsia" w:ascii="宋体" w:hAnsi="宋体" w:cs="宋体"/>
          <w:sz w:val="21"/>
          <w:szCs w:val="21"/>
          <w:highlight w:val="none"/>
        </w:rPr>
        <w:t>1、本表后须提供以上相关业绩</w:t>
      </w:r>
      <w:r>
        <w:rPr>
          <w:rFonts w:hint="eastAsia" w:ascii="宋体" w:hAnsi="宋体" w:cs="宋体"/>
          <w:color w:val="000000"/>
          <w:sz w:val="21"/>
          <w:szCs w:val="21"/>
          <w:highlight w:val="none"/>
          <w:lang w:bidi="ar"/>
        </w:rPr>
        <w:t>的</w:t>
      </w:r>
      <w:r>
        <w:rPr>
          <w:rFonts w:hint="eastAsia" w:ascii="宋体" w:hAnsi="宋体" w:cs="宋体"/>
          <w:sz w:val="21"/>
          <w:szCs w:val="21"/>
          <w:highlight w:val="none"/>
          <w:lang w:bidi="ar"/>
        </w:rPr>
        <w:t>合同或中标通知书复印件</w:t>
      </w:r>
      <w:r>
        <w:rPr>
          <w:rFonts w:hint="eastAsia" w:ascii="宋体" w:hAnsi="宋体" w:cs="宋体"/>
          <w:sz w:val="21"/>
          <w:szCs w:val="21"/>
          <w:highlight w:val="none"/>
        </w:rPr>
        <w:t>作为评审依据，</w:t>
      </w:r>
      <w:r>
        <w:rPr>
          <w:rFonts w:hint="eastAsia" w:ascii="宋体" w:hAnsi="宋体" w:cs="宋体"/>
          <w:color w:val="000000"/>
          <w:sz w:val="21"/>
          <w:szCs w:val="21"/>
          <w:highlight w:val="none"/>
          <w:lang w:bidi="ar"/>
        </w:rPr>
        <w:t>未提供相关业绩资料的不得分。</w:t>
      </w:r>
    </w:p>
    <w:p w14:paraId="048FD9E7">
      <w:pPr>
        <w:spacing w:line="360" w:lineRule="auto"/>
        <w:ind w:firstLine="420" w:firstLineChars="200"/>
        <w:outlineLvl w:val="3"/>
        <w:rPr>
          <w:rFonts w:ascii="宋体" w:hAnsi="宋体" w:cs="宋体"/>
          <w:bCs/>
          <w:sz w:val="21"/>
          <w:szCs w:val="21"/>
          <w:highlight w:val="none"/>
        </w:rPr>
      </w:pPr>
      <w:r>
        <w:rPr>
          <w:rFonts w:hint="eastAsia" w:ascii="宋体" w:hAnsi="宋体" w:cs="宋体"/>
          <w:bCs/>
          <w:sz w:val="21"/>
          <w:szCs w:val="21"/>
          <w:highlight w:val="none"/>
        </w:rPr>
        <w:t>2、投标人可根据实际情况拓展本表。</w:t>
      </w:r>
    </w:p>
    <w:p w14:paraId="4A6A780B">
      <w:pPr>
        <w:rPr>
          <w:rFonts w:ascii="宋体" w:hAnsi="宋体" w:cs="宋体"/>
          <w:highlight w:val="none"/>
        </w:rPr>
      </w:pPr>
    </w:p>
    <w:p w14:paraId="461581C9">
      <w:pPr>
        <w:pStyle w:val="5"/>
        <w:tabs>
          <w:tab w:val="left" w:pos="432"/>
          <w:tab w:val="left" w:pos="720"/>
        </w:tabs>
        <w:spacing w:before="240" w:after="240" w:line="360" w:lineRule="auto"/>
        <w:jc w:val="center"/>
        <w:rPr>
          <w:rFonts w:ascii="宋体" w:hAnsi="宋体" w:cs="宋体"/>
          <w:b w:val="0"/>
          <w:sz w:val="30"/>
          <w:szCs w:val="30"/>
          <w:highlight w:val="none"/>
        </w:rPr>
      </w:pPr>
      <w:bookmarkStart w:id="391" w:name="_Toc254427657"/>
      <w:bookmarkStart w:id="392" w:name="_Toc415587731"/>
      <w:bookmarkStart w:id="393" w:name="_Toc416338364"/>
      <w:bookmarkStart w:id="394" w:name="_Toc32301"/>
      <w:bookmarkStart w:id="395" w:name="_Toc287967055"/>
      <w:bookmarkStart w:id="396" w:name="_Toc11995"/>
      <w:r>
        <w:rPr>
          <w:rFonts w:hint="eastAsia" w:ascii="宋体" w:hAnsi="宋体" w:cs="宋体"/>
          <w:b w:val="0"/>
          <w:sz w:val="30"/>
          <w:szCs w:val="30"/>
          <w:highlight w:val="none"/>
        </w:rPr>
        <w:t>（</w:t>
      </w:r>
      <w:r>
        <w:rPr>
          <w:rFonts w:hint="eastAsia" w:ascii="宋体" w:hAnsi="宋体" w:cs="宋体"/>
          <w:b w:val="0"/>
          <w:sz w:val="30"/>
          <w:szCs w:val="30"/>
          <w:highlight w:val="none"/>
          <w:lang w:val="en-US" w:eastAsia="zh-CN"/>
        </w:rPr>
        <w:t>五</w:t>
      </w:r>
      <w:r>
        <w:rPr>
          <w:rFonts w:hint="eastAsia" w:ascii="宋体" w:hAnsi="宋体" w:cs="宋体"/>
          <w:b w:val="0"/>
          <w:sz w:val="30"/>
          <w:szCs w:val="30"/>
          <w:highlight w:val="none"/>
        </w:rPr>
        <w:t>）</w:t>
      </w:r>
      <w:bookmarkEnd w:id="391"/>
      <w:bookmarkEnd w:id="392"/>
      <w:bookmarkEnd w:id="393"/>
      <w:bookmarkEnd w:id="394"/>
      <w:bookmarkEnd w:id="395"/>
      <w:r>
        <w:rPr>
          <w:rFonts w:hint="eastAsia" w:ascii="宋体" w:hAnsi="宋体" w:cs="宋体"/>
          <w:b w:val="0"/>
          <w:sz w:val="30"/>
          <w:szCs w:val="30"/>
          <w:highlight w:val="none"/>
        </w:rPr>
        <w:t>招标文件要求或投标人认为有必要提交的其他资料</w:t>
      </w:r>
      <w:bookmarkEnd w:id="396"/>
    </w:p>
    <w:p w14:paraId="471DA8FD">
      <w:pPr>
        <w:spacing w:line="360" w:lineRule="auto"/>
        <w:jc w:val="center"/>
        <w:rPr>
          <w:rFonts w:ascii="宋体" w:hAnsi="宋体" w:cs="宋体"/>
          <w:sz w:val="21"/>
          <w:szCs w:val="21"/>
          <w:highlight w:val="none"/>
        </w:rPr>
      </w:pPr>
      <w:r>
        <w:rPr>
          <w:rFonts w:hint="eastAsia" w:ascii="宋体" w:hAnsi="宋体" w:cs="宋体"/>
          <w:sz w:val="21"/>
          <w:szCs w:val="21"/>
          <w:highlight w:val="none"/>
        </w:rPr>
        <w:t>招标文件要求的或投标人认为有必须提供的其他资料、说明等，如荣誉证书等证明材料原件扫描件</w:t>
      </w:r>
    </w:p>
    <w:p w14:paraId="17CD08D3">
      <w:pPr>
        <w:spacing w:line="360" w:lineRule="auto"/>
        <w:jc w:val="center"/>
        <w:rPr>
          <w:rFonts w:ascii="宋体" w:hAnsi="宋体" w:cs="宋体"/>
          <w:highlight w:val="none"/>
        </w:rPr>
      </w:pPr>
      <w:r>
        <w:rPr>
          <w:rFonts w:hint="eastAsia" w:ascii="宋体" w:hAnsi="宋体" w:cs="宋体"/>
          <w:sz w:val="21"/>
          <w:szCs w:val="21"/>
          <w:highlight w:val="none"/>
        </w:rPr>
        <w:t>（格式自拟）</w:t>
      </w:r>
    </w:p>
    <w:p w14:paraId="53B81126">
      <w:pPr>
        <w:rPr>
          <w:rFonts w:ascii="宋体" w:hAnsi="宋体" w:cs="宋体"/>
          <w:highlight w:val="none"/>
        </w:rPr>
      </w:pPr>
      <w:r>
        <w:rPr>
          <w:rFonts w:hint="eastAsia" w:ascii="宋体" w:hAnsi="宋体" w:cs="宋体"/>
          <w:highlight w:val="none"/>
        </w:rPr>
        <w:br w:type="page"/>
      </w:r>
    </w:p>
    <w:p w14:paraId="511349F8">
      <w:pPr>
        <w:pStyle w:val="4"/>
        <w:rPr>
          <w:highlight w:val="none"/>
          <w:lang w:val="zh-CN"/>
        </w:rPr>
      </w:pPr>
      <w:bookmarkStart w:id="397" w:name="_Toc29606"/>
      <w:bookmarkStart w:id="398" w:name="_Toc14554"/>
      <w:r>
        <w:rPr>
          <w:rFonts w:hint="eastAsia"/>
          <w:highlight w:val="none"/>
        </w:rPr>
        <w:t>四</w:t>
      </w:r>
      <w:r>
        <w:rPr>
          <w:rFonts w:hint="eastAsia"/>
          <w:highlight w:val="none"/>
          <w:lang w:val="zh-CN"/>
        </w:rPr>
        <w:t>、投标文件技术部分格式</w:t>
      </w:r>
      <w:bookmarkEnd w:id="397"/>
      <w:bookmarkEnd w:id="398"/>
    </w:p>
    <w:p w14:paraId="6A4A2053">
      <w:pPr>
        <w:pStyle w:val="5"/>
        <w:tabs>
          <w:tab w:val="left" w:pos="432"/>
          <w:tab w:val="left" w:pos="720"/>
        </w:tabs>
        <w:spacing w:before="240" w:after="240" w:line="240" w:lineRule="auto"/>
        <w:jc w:val="center"/>
        <w:rPr>
          <w:rFonts w:ascii="宋体" w:hAnsi="宋体" w:cs="宋体"/>
          <w:b w:val="0"/>
          <w:sz w:val="30"/>
          <w:szCs w:val="30"/>
          <w:highlight w:val="none"/>
        </w:rPr>
      </w:pPr>
      <w:bookmarkStart w:id="399" w:name="_Toc928"/>
      <w:r>
        <w:rPr>
          <w:rFonts w:hint="eastAsia" w:ascii="宋体" w:hAnsi="宋体" w:cs="宋体"/>
          <w:b w:val="0"/>
          <w:sz w:val="30"/>
          <w:szCs w:val="30"/>
          <w:highlight w:val="none"/>
        </w:rPr>
        <w:t>（</w:t>
      </w:r>
      <w:r>
        <w:rPr>
          <w:rFonts w:hint="eastAsia" w:ascii="宋体" w:hAnsi="宋体" w:cs="宋体"/>
          <w:b w:val="0"/>
          <w:sz w:val="30"/>
          <w:szCs w:val="30"/>
          <w:highlight w:val="none"/>
          <w:lang w:val="en-US" w:eastAsia="zh-CN"/>
        </w:rPr>
        <w:t>一</w:t>
      </w:r>
      <w:r>
        <w:rPr>
          <w:rFonts w:hint="eastAsia" w:ascii="宋体" w:hAnsi="宋体" w:cs="宋体"/>
          <w:b w:val="0"/>
          <w:sz w:val="30"/>
          <w:szCs w:val="30"/>
          <w:highlight w:val="none"/>
        </w:rPr>
        <w:t>）运维需求分析</w:t>
      </w:r>
      <w:bookmarkEnd w:id="399"/>
    </w:p>
    <w:p w14:paraId="3419001B">
      <w:pPr>
        <w:spacing w:line="240" w:lineRule="auto"/>
        <w:jc w:val="center"/>
        <w:rPr>
          <w:rFonts w:ascii="宋体" w:hAnsi="宋体" w:cs="宋体"/>
          <w:sz w:val="21"/>
          <w:szCs w:val="21"/>
          <w:highlight w:val="none"/>
        </w:rPr>
      </w:pPr>
      <w:r>
        <w:rPr>
          <w:rFonts w:hint="eastAsia" w:ascii="宋体" w:hAnsi="宋体" w:cs="宋体"/>
          <w:highlight w:val="none"/>
        </w:rPr>
        <w:t>（投标人自行编写，格式自拟）</w:t>
      </w:r>
    </w:p>
    <w:p w14:paraId="4737E192">
      <w:pPr>
        <w:pStyle w:val="5"/>
        <w:tabs>
          <w:tab w:val="left" w:pos="432"/>
          <w:tab w:val="left" w:pos="720"/>
        </w:tabs>
        <w:spacing w:before="240" w:after="240" w:line="240" w:lineRule="auto"/>
        <w:jc w:val="center"/>
        <w:rPr>
          <w:rFonts w:ascii="宋体" w:hAnsi="宋体" w:cs="宋体"/>
          <w:b w:val="0"/>
          <w:sz w:val="30"/>
          <w:szCs w:val="30"/>
          <w:highlight w:val="none"/>
        </w:rPr>
      </w:pPr>
      <w:bookmarkStart w:id="400" w:name="_Toc25104"/>
      <w:r>
        <w:rPr>
          <w:rFonts w:hint="eastAsia" w:ascii="宋体" w:hAnsi="宋体" w:cs="宋体"/>
          <w:b w:val="0"/>
          <w:sz w:val="30"/>
          <w:szCs w:val="30"/>
          <w:highlight w:val="none"/>
        </w:rPr>
        <w:t>（</w:t>
      </w:r>
      <w:r>
        <w:rPr>
          <w:rFonts w:hint="eastAsia" w:ascii="宋体" w:hAnsi="宋体" w:cs="宋体"/>
          <w:b w:val="0"/>
          <w:sz w:val="30"/>
          <w:szCs w:val="30"/>
          <w:highlight w:val="none"/>
          <w:lang w:val="en-US" w:eastAsia="zh-CN"/>
        </w:rPr>
        <w:t>二</w:t>
      </w:r>
      <w:r>
        <w:rPr>
          <w:rFonts w:hint="eastAsia" w:ascii="宋体" w:hAnsi="宋体" w:cs="宋体"/>
          <w:b w:val="0"/>
          <w:sz w:val="30"/>
          <w:szCs w:val="30"/>
          <w:highlight w:val="none"/>
        </w:rPr>
        <w:t>）运维方案</w:t>
      </w:r>
      <w:bookmarkEnd w:id="400"/>
    </w:p>
    <w:p w14:paraId="27BE1069">
      <w:pPr>
        <w:spacing w:line="240" w:lineRule="auto"/>
        <w:jc w:val="center"/>
        <w:rPr>
          <w:rFonts w:ascii="宋体" w:hAnsi="宋体" w:cs="宋体"/>
          <w:highlight w:val="none"/>
        </w:rPr>
      </w:pPr>
      <w:r>
        <w:rPr>
          <w:rFonts w:hint="eastAsia" w:ascii="宋体" w:hAnsi="宋体" w:cs="宋体"/>
          <w:highlight w:val="none"/>
        </w:rPr>
        <w:t>（投标人自行编写，格式自拟）</w:t>
      </w:r>
    </w:p>
    <w:p w14:paraId="6696268D">
      <w:pPr>
        <w:pStyle w:val="5"/>
        <w:tabs>
          <w:tab w:val="left" w:pos="432"/>
          <w:tab w:val="left" w:pos="720"/>
        </w:tabs>
        <w:spacing w:before="240" w:after="240" w:line="240" w:lineRule="auto"/>
        <w:jc w:val="center"/>
        <w:rPr>
          <w:rFonts w:ascii="宋体" w:hAnsi="宋体" w:cs="宋体"/>
          <w:b w:val="0"/>
          <w:sz w:val="30"/>
          <w:szCs w:val="30"/>
          <w:highlight w:val="none"/>
        </w:rPr>
      </w:pPr>
      <w:bookmarkStart w:id="401" w:name="_Toc24409"/>
      <w:r>
        <w:rPr>
          <w:rFonts w:hint="eastAsia" w:ascii="宋体" w:hAnsi="宋体" w:cs="宋体"/>
          <w:b w:val="0"/>
          <w:sz w:val="30"/>
          <w:szCs w:val="30"/>
          <w:highlight w:val="none"/>
        </w:rPr>
        <w:t>（</w:t>
      </w:r>
      <w:r>
        <w:rPr>
          <w:rFonts w:hint="eastAsia" w:ascii="宋体" w:hAnsi="宋体" w:cs="宋体"/>
          <w:b w:val="0"/>
          <w:sz w:val="30"/>
          <w:szCs w:val="30"/>
          <w:highlight w:val="none"/>
          <w:lang w:val="en-US" w:eastAsia="zh-CN"/>
        </w:rPr>
        <w:t>三</w:t>
      </w:r>
      <w:r>
        <w:rPr>
          <w:rFonts w:hint="eastAsia" w:ascii="宋体" w:hAnsi="宋体" w:cs="宋体"/>
          <w:b w:val="0"/>
          <w:sz w:val="30"/>
          <w:szCs w:val="30"/>
          <w:highlight w:val="none"/>
        </w:rPr>
        <w:t>）运维实施能力</w:t>
      </w:r>
      <w:bookmarkEnd w:id="401"/>
    </w:p>
    <w:p w14:paraId="295AEC89">
      <w:pPr>
        <w:spacing w:line="240" w:lineRule="auto"/>
        <w:jc w:val="center"/>
        <w:rPr>
          <w:rFonts w:ascii="宋体" w:hAnsi="宋体" w:cs="宋体"/>
          <w:highlight w:val="none"/>
        </w:rPr>
      </w:pPr>
      <w:r>
        <w:rPr>
          <w:rFonts w:hint="eastAsia" w:ascii="宋体" w:hAnsi="宋体" w:cs="宋体"/>
          <w:highlight w:val="none"/>
        </w:rPr>
        <w:t>（投标人自行编写，格式自拟）</w:t>
      </w:r>
    </w:p>
    <w:p w14:paraId="555119C8">
      <w:pPr>
        <w:pStyle w:val="5"/>
        <w:tabs>
          <w:tab w:val="left" w:pos="432"/>
          <w:tab w:val="left" w:pos="720"/>
        </w:tabs>
        <w:spacing w:before="240" w:after="240" w:line="240" w:lineRule="auto"/>
        <w:jc w:val="center"/>
        <w:rPr>
          <w:rFonts w:ascii="宋体" w:hAnsi="宋体" w:cs="宋体"/>
          <w:b w:val="0"/>
          <w:sz w:val="30"/>
          <w:szCs w:val="30"/>
          <w:highlight w:val="none"/>
        </w:rPr>
      </w:pPr>
      <w:bookmarkStart w:id="402" w:name="_Toc4773"/>
      <w:r>
        <w:rPr>
          <w:rFonts w:hint="eastAsia" w:ascii="宋体" w:hAnsi="宋体" w:cs="宋体"/>
          <w:b w:val="0"/>
          <w:sz w:val="30"/>
          <w:szCs w:val="30"/>
          <w:highlight w:val="none"/>
        </w:rPr>
        <w:t>（</w:t>
      </w:r>
      <w:r>
        <w:rPr>
          <w:rFonts w:hint="eastAsia" w:ascii="宋体" w:hAnsi="宋体" w:cs="宋体"/>
          <w:b w:val="0"/>
          <w:sz w:val="30"/>
          <w:szCs w:val="30"/>
          <w:highlight w:val="none"/>
          <w:lang w:val="en-US" w:eastAsia="zh-CN"/>
        </w:rPr>
        <w:t>四</w:t>
      </w:r>
      <w:r>
        <w:rPr>
          <w:rFonts w:hint="eastAsia" w:ascii="宋体" w:hAnsi="宋体" w:cs="宋体"/>
          <w:b w:val="0"/>
          <w:sz w:val="30"/>
          <w:szCs w:val="30"/>
          <w:highlight w:val="none"/>
        </w:rPr>
        <w:t>）服务质量和服务标准</w:t>
      </w:r>
      <w:bookmarkEnd w:id="402"/>
    </w:p>
    <w:p w14:paraId="56BF84FB">
      <w:pPr>
        <w:spacing w:line="240" w:lineRule="auto"/>
        <w:jc w:val="center"/>
        <w:rPr>
          <w:rFonts w:ascii="宋体" w:hAnsi="宋体" w:cs="宋体"/>
          <w:highlight w:val="none"/>
        </w:rPr>
      </w:pPr>
      <w:r>
        <w:rPr>
          <w:rFonts w:hint="eastAsia" w:ascii="宋体" w:hAnsi="宋体" w:cs="宋体"/>
          <w:highlight w:val="none"/>
        </w:rPr>
        <w:t>（投标人自行编写，格式自拟）</w:t>
      </w:r>
    </w:p>
    <w:p w14:paraId="41A76A2C">
      <w:pPr>
        <w:spacing w:line="360" w:lineRule="auto"/>
        <w:jc w:val="center"/>
        <w:outlineLvl w:val="2"/>
        <w:rPr>
          <w:rFonts w:ascii="宋体" w:hAnsi="宋体" w:cs="宋体"/>
          <w:sz w:val="21"/>
          <w:szCs w:val="21"/>
          <w:highlight w:val="none"/>
        </w:rPr>
      </w:pPr>
      <w:bookmarkStart w:id="403" w:name="_Toc22652"/>
      <w:r>
        <w:rPr>
          <w:rFonts w:hint="eastAsia" w:ascii="宋体" w:hAnsi="宋体" w:cs="宋体"/>
          <w:bCs/>
          <w:sz w:val="30"/>
          <w:szCs w:val="30"/>
          <w:highlight w:val="none"/>
        </w:rPr>
        <w:t>（</w:t>
      </w:r>
      <w:r>
        <w:rPr>
          <w:rFonts w:hint="eastAsia" w:ascii="宋体" w:hAnsi="宋体" w:cs="宋体"/>
          <w:bCs/>
          <w:sz w:val="30"/>
          <w:szCs w:val="30"/>
          <w:highlight w:val="none"/>
          <w:lang w:val="en-US" w:eastAsia="zh-CN"/>
        </w:rPr>
        <w:t>五</w:t>
      </w:r>
      <w:r>
        <w:rPr>
          <w:rFonts w:hint="eastAsia" w:ascii="宋体" w:hAnsi="宋体" w:cs="宋体"/>
          <w:bCs/>
          <w:sz w:val="30"/>
          <w:szCs w:val="30"/>
          <w:highlight w:val="none"/>
        </w:rPr>
        <w:t>）人员配备情况</w:t>
      </w:r>
      <w:bookmarkEnd w:id="403"/>
    </w:p>
    <w:p w14:paraId="2B9760EE">
      <w:pPr>
        <w:pStyle w:val="26"/>
        <w:spacing w:line="360" w:lineRule="auto"/>
        <w:ind w:left="-134" w:leftChars="-67" w:right="-136" w:rightChars="-68"/>
        <w:jc w:val="center"/>
        <w:outlineLvl w:val="3"/>
        <w:rPr>
          <w:rFonts w:hAnsi="宋体" w:cs="宋体"/>
          <w:b/>
          <w:bCs/>
          <w:sz w:val="24"/>
          <w:szCs w:val="24"/>
          <w:highlight w:val="none"/>
        </w:rPr>
      </w:pPr>
      <w:r>
        <w:rPr>
          <w:rFonts w:hint="eastAsia" w:hAnsi="宋体" w:cs="宋体"/>
          <w:b/>
          <w:bCs/>
          <w:sz w:val="24"/>
          <w:szCs w:val="24"/>
          <w:highlight w:val="none"/>
        </w:rPr>
        <w:t>拟投入在本项目主要人员情况一览表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1548"/>
        <w:gridCol w:w="1548"/>
        <w:gridCol w:w="1548"/>
        <w:gridCol w:w="1548"/>
        <w:gridCol w:w="1548"/>
      </w:tblGrid>
      <w:tr w14:paraId="1D958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47" w:type="dxa"/>
            <w:vAlign w:val="center"/>
          </w:tcPr>
          <w:p w14:paraId="3E642FAF">
            <w:pPr>
              <w:pStyle w:val="26"/>
              <w:ind w:right="-136" w:rightChars="-68"/>
              <w:jc w:val="center"/>
              <w:rPr>
                <w:rFonts w:hAnsi="宋体" w:cs="宋体"/>
                <w:highlight w:val="none"/>
              </w:rPr>
            </w:pPr>
            <w:r>
              <w:rPr>
                <w:rFonts w:hint="eastAsia" w:hAnsi="宋体" w:cs="宋体"/>
                <w:highlight w:val="none"/>
              </w:rPr>
              <w:t>序号</w:t>
            </w:r>
          </w:p>
        </w:tc>
        <w:tc>
          <w:tcPr>
            <w:tcW w:w="1548" w:type="dxa"/>
            <w:vAlign w:val="center"/>
          </w:tcPr>
          <w:p w14:paraId="6D6F868F">
            <w:pPr>
              <w:pStyle w:val="26"/>
              <w:ind w:right="-136" w:rightChars="-68"/>
              <w:jc w:val="center"/>
              <w:rPr>
                <w:rFonts w:hAnsi="宋体" w:cs="宋体"/>
                <w:highlight w:val="none"/>
              </w:rPr>
            </w:pPr>
            <w:r>
              <w:rPr>
                <w:rFonts w:hint="eastAsia" w:hAnsi="宋体" w:cs="宋体"/>
                <w:highlight w:val="none"/>
              </w:rPr>
              <w:t>姓名</w:t>
            </w:r>
          </w:p>
        </w:tc>
        <w:tc>
          <w:tcPr>
            <w:tcW w:w="1548" w:type="dxa"/>
            <w:vAlign w:val="center"/>
          </w:tcPr>
          <w:p w14:paraId="0B3EB348">
            <w:pPr>
              <w:pStyle w:val="26"/>
              <w:ind w:right="-136" w:rightChars="-68"/>
              <w:jc w:val="center"/>
              <w:rPr>
                <w:rFonts w:hAnsi="宋体" w:cs="宋体"/>
                <w:highlight w:val="none"/>
              </w:rPr>
            </w:pPr>
            <w:r>
              <w:rPr>
                <w:rFonts w:hint="eastAsia" w:hAnsi="宋体" w:cs="宋体"/>
                <w:highlight w:val="none"/>
              </w:rPr>
              <w:t>性别</w:t>
            </w:r>
          </w:p>
        </w:tc>
        <w:tc>
          <w:tcPr>
            <w:tcW w:w="1548" w:type="dxa"/>
            <w:vAlign w:val="center"/>
          </w:tcPr>
          <w:p w14:paraId="089FAFB4">
            <w:pPr>
              <w:pStyle w:val="26"/>
              <w:ind w:right="-136" w:rightChars="-68"/>
              <w:jc w:val="center"/>
              <w:rPr>
                <w:rFonts w:hAnsi="宋体" w:cs="宋体"/>
                <w:highlight w:val="none"/>
              </w:rPr>
            </w:pPr>
            <w:r>
              <w:rPr>
                <w:rFonts w:hint="eastAsia" w:hAnsi="宋体" w:cs="宋体"/>
                <w:highlight w:val="none"/>
              </w:rPr>
              <w:t>文化程度</w:t>
            </w:r>
          </w:p>
        </w:tc>
        <w:tc>
          <w:tcPr>
            <w:tcW w:w="1548" w:type="dxa"/>
            <w:vAlign w:val="center"/>
          </w:tcPr>
          <w:p w14:paraId="152D92B7">
            <w:pPr>
              <w:pStyle w:val="26"/>
              <w:ind w:right="-136" w:rightChars="-68"/>
              <w:jc w:val="center"/>
              <w:rPr>
                <w:rFonts w:hAnsi="宋体" w:cs="宋体"/>
                <w:highlight w:val="none"/>
              </w:rPr>
            </w:pPr>
            <w:r>
              <w:rPr>
                <w:rFonts w:hint="eastAsia" w:hAnsi="宋体" w:cs="宋体"/>
                <w:highlight w:val="none"/>
              </w:rPr>
              <w:t>拟从事岗位或职务</w:t>
            </w:r>
          </w:p>
        </w:tc>
        <w:tc>
          <w:tcPr>
            <w:tcW w:w="1548" w:type="dxa"/>
            <w:vAlign w:val="center"/>
          </w:tcPr>
          <w:p w14:paraId="199B9767">
            <w:pPr>
              <w:pStyle w:val="26"/>
              <w:ind w:right="-136" w:rightChars="-68"/>
              <w:jc w:val="center"/>
              <w:rPr>
                <w:rFonts w:hAnsi="宋体" w:cs="宋体"/>
                <w:highlight w:val="none"/>
              </w:rPr>
            </w:pPr>
            <w:r>
              <w:rPr>
                <w:rFonts w:hint="eastAsia" w:hAnsi="宋体" w:cs="宋体"/>
                <w:highlight w:val="none"/>
              </w:rPr>
              <w:t>类似经验</w:t>
            </w:r>
          </w:p>
        </w:tc>
      </w:tr>
      <w:tr w14:paraId="5FB80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47" w:type="dxa"/>
            <w:vAlign w:val="center"/>
          </w:tcPr>
          <w:p w14:paraId="19AC6E48">
            <w:pPr>
              <w:spacing w:line="276" w:lineRule="auto"/>
              <w:jc w:val="center"/>
              <w:rPr>
                <w:rFonts w:ascii="宋体" w:hAnsi="宋体" w:cs="宋体"/>
                <w:highlight w:val="none"/>
              </w:rPr>
            </w:pPr>
            <w:r>
              <w:rPr>
                <w:rFonts w:hint="eastAsia" w:ascii="宋体" w:hAnsi="宋体" w:cs="宋体"/>
                <w:sz w:val="21"/>
                <w:szCs w:val="21"/>
                <w:highlight w:val="none"/>
              </w:rPr>
              <w:t>1</w:t>
            </w:r>
          </w:p>
        </w:tc>
        <w:tc>
          <w:tcPr>
            <w:tcW w:w="1548" w:type="dxa"/>
            <w:vAlign w:val="center"/>
          </w:tcPr>
          <w:p w14:paraId="0AB7D961">
            <w:pPr>
              <w:pStyle w:val="26"/>
              <w:ind w:right="-136" w:rightChars="-68"/>
              <w:jc w:val="center"/>
              <w:rPr>
                <w:rFonts w:hAnsi="宋体" w:cs="宋体"/>
                <w:highlight w:val="none"/>
              </w:rPr>
            </w:pPr>
          </w:p>
        </w:tc>
        <w:tc>
          <w:tcPr>
            <w:tcW w:w="1548" w:type="dxa"/>
            <w:vAlign w:val="center"/>
          </w:tcPr>
          <w:p w14:paraId="7FC1DCD9">
            <w:pPr>
              <w:pStyle w:val="26"/>
              <w:ind w:right="-136" w:rightChars="-68"/>
              <w:jc w:val="center"/>
              <w:rPr>
                <w:rFonts w:hAnsi="宋体" w:cs="宋体"/>
                <w:highlight w:val="none"/>
              </w:rPr>
            </w:pPr>
          </w:p>
        </w:tc>
        <w:tc>
          <w:tcPr>
            <w:tcW w:w="1548" w:type="dxa"/>
            <w:vAlign w:val="center"/>
          </w:tcPr>
          <w:p w14:paraId="3578EBBC">
            <w:pPr>
              <w:pStyle w:val="26"/>
              <w:ind w:right="-136" w:rightChars="-68"/>
              <w:jc w:val="center"/>
              <w:rPr>
                <w:rFonts w:hAnsi="宋体" w:cs="宋体"/>
                <w:highlight w:val="none"/>
              </w:rPr>
            </w:pPr>
          </w:p>
        </w:tc>
        <w:tc>
          <w:tcPr>
            <w:tcW w:w="1548" w:type="dxa"/>
            <w:vAlign w:val="center"/>
          </w:tcPr>
          <w:p w14:paraId="17EAA516">
            <w:pPr>
              <w:pStyle w:val="26"/>
              <w:ind w:right="-136" w:rightChars="-68"/>
              <w:jc w:val="center"/>
              <w:rPr>
                <w:rFonts w:hAnsi="宋体" w:cs="宋体"/>
                <w:highlight w:val="none"/>
              </w:rPr>
            </w:pPr>
          </w:p>
        </w:tc>
        <w:tc>
          <w:tcPr>
            <w:tcW w:w="1548" w:type="dxa"/>
            <w:vAlign w:val="center"/>
          </w:tcPr>
          <w:p w14:paraId="492D8F35">
            <w:pPr>
              <w:pStyle w:val="26"/>
              <w:ind w:right="-136" w:rightChars="-68"/>
              <w:jc w:val="center"/>
              <w:rPr>
                <w:rFonts w:hAnsi="宋体" w:cs="宋体"/>
                <w:highlight w:val="none"/>
              </w:rPr>
            </w:pPr>
          </w:p>
        </w:tc>
      </w:tr>
      <w:tr w14:paraId="0EFA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47" w:type="dxa"/>
            <w:vAlign w:val="center"/>
          </w:tcPr>
          <w:p w14:paraId="2D246A2A">
            <w:pPr>
              <w:spacing w:line="276" w:lineRule="auto"/>
              <w:jc w:val="center"/>
              <w:rPr>
                <w:rFonts w:ascii="宋体" w:hAnsi="宋体" w:cs="宋体"/>
                <w:highlight w:val="none"/>
              </w:rPr>
            </w:pPr>
            <w:r>
              <w:rPr>
                <w:rFonts w:hint="eastAsia" w:ascii="宋体" w:hAnsi="宋体" w:cs="宋体"/>
                <w:sz w:val="21"/>
                <w:szCs w:val="21"/>
                <w:highlight w:val="none"/>
              </w:rPr>
              <w:t>2</w:t>
            </w:r>
          </w:p>
        </w:tc>
        <w:tc>
          <w:tcPr>
            <w:tcW w:w="1548" w:type="dxa"/>
            <w:vAlign w:val="center"/>
          </w:tcPr>
          <w:p w14:paraId="4E6645EA">
            <w:pPr>
              <w:pStyle w:val="26"/>
              <w:ind w:right="-136" w:rightChars="-68"/>
              <w:jc w:val="center"/>
              <w:rPr>
                <w:rFonts w:hAnsi="宋体" w:cs="宋体"/>
                <w:highlight w:val="none"/>
              </w:rPr>
            </w:pPr>
          </w:p>
        </w:tc>
        <w:tc>
          <w:tcPr>
            <w:tcW w:w="1548" w:type="dxa"/>
            <w:vAlign w:val="center"/>
          </w:tcPr>
          <w:p w14:paraId="6AC87617">
            <w:pPr>
              <w:pStyle w:val="26"/>
              <w:ind w:right="-136" w:rightChars="-68"/>
              <w:jc w:val="center"/>
              <w:rPr>
                <w:rFonts w:hAnsi="宋体" w:cs="宋体"/>
                <w:highlight w:val="none"/>
              </w:rPr>
            </w:pPr>
          </w:p>
        </w:tc>
        <w:tc>
          <w:tcPr>
            <w:tcW w:w="1548" w:type="dxa"/>
            <w:vAlign w:val="center"/>
          </w:tcPr>
          <w:p w14:paraId="75395AFA">
            <w:pPr>
              <w:pStyle w:val="26"/>
              <w:ind w:right="-136" w:rightChars="-68"/>
              <w:jc w:val="center"/>
              <w:rPr>
                <w:rFonts w:hAnsi="宋体" w:cs="宋体"/>
                <w:highlight w:val="none"/>
              </w:rPr>
            </w:pPr>
          </w:p>
        </w:tc>
        <w:tc>
          <w:tcPr>
            <w:tcW w:w="1548" w:type="dxa"/>
            <w:vAlign w:val="center"/>
          </w:tcPr>
          <w:p w14:paraId="6194C03A">
            <w:pPr>
              <w:pStyle w:val="26"/>
              <w:ind w:right="-136" w:rightChars="-68"/>
              <w:jc w:val="center"/>
              <w:rPr>
                <w:rFonts w:hAnsi="宋体" w:cs="宋体"/>
                <w:highlight w:val="none"/>
              </w:rPr>
            </w:pPr>
          </w:p>
        </w:tc>
        <w:tc>
          <w:tcPr>
            <w:tcW w:w="1548" w:type="dxa"/>
            <w:vAlign w:val="center"/>
          </w:tcPr>
          <w:p w14:paraId="01AB288D">
            <w:pPr>
              <w:pStyle w:val="26"/>
              <w:ind w:right="-136" w:rightChars="-68"/>
              <w:jc w:val="center"/>
              <w:rPr>
                <w:rFonts w:hAnsi="宋体" w:cs="宋体"/>
                <w:highlight w:val="none"/>
              </w:rPr>
            </w:pPr>
          </w:p>
        </w:tc>
      </w:tr>
      <w:tr w14:paraId="39840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47" w:type="dxa"/>
            <w:vAlign w:val="center"/>
          </w:tcPr>
          <w:p w14:paraId="64B0674E">
            <w:pPr>
              <w:spacing w:line="276" w:lineRule="auto"/>
              <w:jc w:val="center"/>
              <w:rPr>
                <w:rFonts w:ascii="宋体" w:hAnsi="宋体" w:cs="宋体"/>
                <w:highlight w:val="none"/>
              </w:rPr>
            </w:pPr>
            <w:r>
              <w:rPr>
                <w:rFonts w:hint="eastAsia" w:ascii="宋体" w:hAnsi="宋体" w:cs="宋体"/>
                <w:sz w:val="21"/>
                <w:szCs w:val="21"/>
                <w:highlight w:val="none"/>
              </w:rPr>
              <w:t>…</w:t>
            </w:r>
          </w:p>
        </w:tc>
        <w:tc>
          <w:tcPr>
            <w:tcW w:w="1548" w:type="dxa"/>
            <w:vAlign w:val="center"/>
          </w:tcPr>
          <w:p w14:paraId="41487E8D">
            <w:pPr>
              <w:pStyle w:val="26"/>
              <w:ind w:right="-136" w:rightChars="-68"/>
              <w:jc w:val="center"/>
              <w:rPr>
                <w:rFonts w:hAnsi="宋体" w:cs="宋体"/>
                <w:highlight w:val="none"/>
              </w:rPr>
            </w:pPr>
          </w:p>
        </w:tc>
        <w:tc>
          <w:tcPr>
            <w:tcW w:w="1548" w:type="dxa"/>
            <w:vAlign w:val="center"/>
          </w:tcPr>
          <w:p w14:paraId="0E6DA747">
            <w:pPr>
              <w:pStyle w:val="26"/>
              <w:ind w:right="-136" w:rightChars="-68"/>
              <w:jc w:val="center"/>
              <w:rPr>
                <w:rFonts w:hAnsi="宋体" w:cs="宋体"/>
                <w:highlight w:val="none"/>
              </w:rPr>
            </w:pPr>
          </w:p>
        </w:tc>
        <w:tc>
          <w:tcPr>
            <w:tcW w:w="1548" w:type="dxa"/>
            <w:vAlign w:val="center"/>
          </w:tcPr>
          <w:p w14:paraId="5B404A88">
            <w:pPr>
              <w:pStyle w:val="26"/>
              <w:ind w:right="-136" w:rightChars="-68"/>
              <w:jc w:val="center"/>
              <w:rPr>
                <w:rFonts w:hAnsi="宋体" w:cs="宋体"/>
                <w:highlight w:val="none"/>
              </w:rPr>
            </w:pPr>
          </w:p>
        </w:tc>
        <w:tc>
          <w:tcPr>
            <w:tcW w:w="1548" w:type="dxa"/>
            <w:vAlign w:val="center"/>
          </w:tcPr>
          <w:p w14:paraId="79DF818D">
            <w:pPr>
              <w:pStyle w:val="26"/>
              <w:ind w:right="-136" w:rightChars="-68"/>
              <w:jc w:val="center"/>
              <w:rPr>
                <w:rFonts w:hAnsi="宋体" w:cs="宋体"/>
                <w:highlight w:val="none"/>
              </w:rPr>
            </w:pPr>
          </w:p>
        </w:tc>
        <w:tc>
          <w:tcPr>
            <w:tcW w:w="1548" w:type="dxa"/>
            <w:vAlign w:val="center"/>
          </w:tcPr>
          <w:p w14:paraId="3EEDEC1D">
            <w:pPr>
              <w:pStyle w:val="26"/>
              <w:ind w:right="-136" w:rightChars="-68"/>
              <w:jc w:val="center"/>
              <w:rPr>
                <w:rFonts w:hAnsi="宋体" w:cs="宋体"/>
                <w:highlight w:val="none"/>
              </w:rPr>
            </w:pPr>
          </w:p>
        </w:tc>
      </w:tr>
    </w:tbl>
    <w:p w14:paraId="0E0A9008">
      <w:pPr>
        <w:pStyle w:val="26"/>
        <w:spacing w:line="360" w:lineRule="auto"/>
        <w:ind w:left="-134" w:leftChars="-67" w:right="-136" w:rightChars="-68"/>
        <w:jc w:val="center"/>
        <w:rPr>
          <w:rFonts w:hAnsi="宋体" w:cs="宋体"/>
          <w:highlight w:val="none"/>
        </w:rPr>
      </w:pPr>
    </w:p>
    <w:p w14:paraId="56E99326">
      <w:pPr>
        <w:rPr>
          <w:rFonts w:ascii="宋体" w:hAnsi="宋体" w:cs="宋体"/>
          <w:sz w:val="21"/>
          <w:szCs w:val="21"/>
          <w:highlight w:val="none"/>
          <w:lang w:bidi="ar"/>
        </w:rPr>
      </w:pPr>
      <w:r>
        <w:rPr>
          <w:rFonts w:hint="eastAsia" w:ascii="宋体" w:hAnsi="宋体" w:cs="宋体"/>
          <w:sz w:val="21"/>
          <w:szCs w:val="21"/>
          <w:highlight w:val="none"/>
          <w:lang w:bidi="ar"/>
        </w:rPr>
        <w:t>注：1、附拟投入团队人员身份证、职称（如有）、岗位（如有）、行业（如有）等相关证书、社保缴纳证明资料和相关其他证明材料（如有），拟投入团队人员在服务期间内不得任意更换，如需更换，须经过采购方认可后，方可更换。</w:t>
      </w:r>
    </w:p>
    <w:p w14:paraId="7A1A6425">
      <w:pPr>
        <w:ind w:firstLine="420" w:firstLineChars="200"/>
        <w:outlineLvl w:val="3"/>
        <w:rPr>
          <w:rFonts w:ascii="宋体" w:hAnsi="宋体" w:cs="宋体"/>
          <w:highlight w:val="none"/>
        </w:rPr>
      </w:pPr>
      <w:r>
        <w:rPr>
          <w:rFonts w:hint="eastAsia" w:ascii="宋体" w:hAnsi="宋体" w:cs="宋体"/>
          <w:bCs/>
          <w:sz w:val="21"/>
          <w:szCs w:val="21"/>
          <w:highlight w:val="none"/>
        </w:rPr>
        <w:t>2、投标人可根据实际情况拓展本表。</w:t>
      </w:r>
    </w:p>
    <w:p w14:paraId="5B867CE0">
      <w:pPr>
        <w:pStyle w:val="5"/>
        <w:tabs>
          <w:tab w:val="left" w:pos="432"/>
          <w:tab w:val="left" w:pos="720"/>
        </w:tabs>
        <w:spacing w:before="240" w:after="240" w:line="240" w:lineRule="auto"/>
        <w:jc w:val="center"/>
        <w:rPr>
          <w:rFonts w:ascii="宋体" w:hAnsi="宋体" w:cs="宋体"/>
          <w:b w:val="0"/>
          <w:sz w:val="30"/>
          <w:szCs w:val="30"/>
          <w:highlight w:val="none"/>
        </w:rPr>
      </w:pPr>
      <w:bookmarkStart w:id="404" w:name="_Toc1075"/>
      <w:r>
        <w:rPr>
          <w:rFonts w:hint="eastAsia" w:ascii="宋体" w:hAnsi="宋体" w:cs="宋体"/>
          <w:b w:val="0"/>
          <w:sz w:val="30"/>
          <w:szCs w:val="30"/>
          <w:highlight w:val="none"/>
        </w:rPr>
        <w:t>（</w:t>
      </w:r>
      <w:r>
        <w:rPr>
          <w:rFonts w:hint="eastAsia" w:ascii="宋体" w:hAnsi="宋体" w:cs="宋体"/>
          <w:b w:val="0"/>
          <w:sz w:val="30"/>
          <w:szCs w:val="30"/>
          <w:highlight w:val="none"/>
          <w:lang w:val="en-US" w:eastAsia="zh-CN"/>
        </w:rPr>
        <w:t>六</w:t>
      </w:r>
      <w:r>
        <w:rPr>
          <w:rFonts w:hint="eastAsia" w:ascii="宋体" w:hAnsi="宋体" w:cs="宋体"/>
          <w:b w:val="0"/>
          <w:sz w:val="30"/>
          <w:szCs w:val="30"/>
          <w:highlight w:val="none"/>
        </w:rPr>
        <w:t>）应急服务方案</w:t>
      </w:r>
      <w:bookmarkEnd w:id="404"/>
    </w:p>
    <w:p w14:paraId="25B34612">
      <w:pPr>
        <w:tabs>
          <w:tab w:val="left" w:pos="3473"/>
        </w:tabs>
        <w:jc w:val="center"/>
        <w:rPr>
          <w:rFonts w:ascii="宋体" w:hAnsi="宋体" w:cs="宋体"/>
          <w:sz w:val="21"/>
          <w:szCs w:val="21"/>
          <w:highlight w:val="none"/>
        </w:rPr>
      </w:pPr>
      <w:r>
        <w:rPr>
          <w:rFonts w:hint="eastAsia" w:ascii="宋体" w:hAnsi="宋体" w:cs="宋体"/>
          <w:highlight w:val="none"/>
        </w:rPr>
        <w:t>（投标人自行编写，格式自拟）</w:t>
      </w:r>
    </w:p>
    <w:p w14:paraId="66586F63">
      <w:pPr>
        <w:pStyle w:val="5"/>
        <w:tabs>
          <w:tab w:val="left" w:pos="432"/>
          <w:tab w:val="left" w:pos="720"/>
        </w:tabs>
        <w:spacing w:before="240" w:after="240" w:line="240" w:lineRule="auto"/>
        <w:jc w:val="center"/>
        <w:rPr>
          <w:rFonts w:ascii="宋体" w:hAnsi="宋体" w:cs="宋体"/>
          <w:b w:val="0"/>
          <w:sz w:val="30"/>
          <w:szCs w:val="30"/>
          <w:highlight w:val="none"/>
        </w:rPr>
      </w:pPr>
      <w:bookmarkStart w:id="405" w:name="_Toc29707"/>
      <w:r>
        <w:rPr>
          <w:rFonts w:hint="eastAsia" w:ascii="宋体" w:hAnsi="宋体" w:cs="宋体"/>
          <w:b w:val="0"/>
          <w:sz w:val="30"/>
          <w:szCs w:val="30"/>
          <w:highlight w:val="none"/>
        </w:rPr>
        <w:t>（</w:t>
      </w:r>
      <w:r>
        <w:rPr>
          <w:rFonts w:hint="eastAsia" w:ascii="宋体" w:hAnsi="宋体" w:cs="宋体"/>
          <w:b w:val="0"/>
          <w:sz w:val="30"/>
          <w:szCs w:val="30"/>
          <w:highlight w:val="none"/>
          <w:lang w:val="en-US" w:eastAsia="zh-CN"/>
        </w:rPr>
        <w:t>七</w:t>
      </w:r>
      <w:r>
        <w:rPr>
          <w:rFonts w:hint="eastAsia" w:ascii="宋体" w:hAnsi="宋体" w:cs="宋体"/>
          <w:b w:val="0"/>
          <w:sz w:val="30"/>
          <w:szCs w:val="30"/>
          <w:highlight w:val="none"/>
        </w:rPr>
        <w:t>）运维售后服务</w:t>
      </w:r>
      <w:bookmarkEnd w:id="405"/>
    </w:p>
    <w:p w14:paraId="1DCBF156">
      <w:pPr>
        <w:jc w:val="center"/>
        <w:rPr>
          <w:rFonts w:ascii="宋体" w:hAnsi="宋体" w:cs="宋体"/>
          <w:highlight w:val="none"/>
        </w:rPr>
      </w:pPr>
      <w:r>
        <w:rPr>
          <w:rFonts w:hint="eastAsia" w:ascii="宋体" w:hAnsi="宋体" w:cs="宋体"/>
          <w:highlight w:val="none"/>
        </w:rPr>
        <w:t>（投标人自行编写，格式自拟）</w:t>
      </w:r>
    </w:p>
    <w:sectPr>
      <w:pgSz w:w="11905" w:h="16838"/>
      <w:pgMar w:top="1134" w:right="1134" w:bottom="1134" w:left="1134" w:header="850" w:footer="992" w:gutter="0"/>
      <w:pgBorders>
        <w:top w:val="none" w:sz="0" w:space="0"/>
        <w:left w:val="none" w:sz="0" w:space="0"/>
        <w:bottom w:val="none" w:sz="0" w:space="0"/>
        <w:right w:val="none" w:sz="0" w:space="0"/>
      </w:pgBorders>
      <w:cols w:space="0" w:num="1"/>
      <w:titlePg/>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10FDD">
    <w:pPr>
      <w:pStyle w:val="31"/>
      <w:jc w:val="center"/>
    </w:pPr>
    <w:r>
      <w:rPr>
        <w:rFonts w:hint="eastAsia"/>
      </w:rPr>
      <w:t>-</w:t>
    </w:r>
    <w:sdt>
      <w:sdtPr>
        <w:id w:val="-1585382804"/>
      </w:sdtPr>
      <w:sdtContent>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41</w:t>
        </w:r>
        <w:r>
          <w:rPr>
            <w:rFonts w:ascii="Times New Roman" w:hAnsi="Times New Roman" w:cs="Times New Roman"/>
          </w:rPr>
          <w:fldChar w:fldCharType="end"/>
        </w:r>
        <w:r>
          <w:rPr>
            <w:rFonts w:hint="eastAsia"/>
          </w:rPr>
          <w: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935A2">
    <w:pPr>
      <w:pStyle w:val="31"/>
      <w:ind w:right="360"/>
      <w:rPr>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AE787">
                          <w:pPr>
                            <w:pStyle w:val="3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EBAE787">
                    <w:pPr>
                      <w:pStyle w:val="3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37495">
    <w:pPr>
      <w:pStyle w:val="31"/>
      <w:framePr w:wrap="around" w:vAnchor="text" w:hAnchor="margin" w:xAlign="right" w:y="1"/>
      <w:rPr>
        <w:rStyle w:val="54"/>
      </w:rPr>
    </w:pPr>
    <w:r>
      <w:rPr>
        <w:rStyle w:val="54"/>
      </w:rPr>
      <w:fldChar w:fldCharType="begin"/>
    </w:r>
    <w:r>
      <w:rPr>
        <w:rStyle w:val="54"/>
      </w:rPr>
      <w:instrText xml:space="preserve">PAGE  </w:instrText>
    </w:r>
    <w:r>
      <w:rPr>
        <w:rStyle w:val="54"/>
      </w:rPr>
      <w:fldChar w:fldCharType="end"/>
    </w:r>
  </w:p>
  <w:p w14:paraId="2F9E975D">
    <w:pPr>
      <w:pStyle w:val="3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FE9C5">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4AEBFC">
                          <w:pPr>
                            <w:pStyle w:val="31"/>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84AEBFC">
                    <w:pPr>
                      <w:pStyle w:val="31"/>
                    </w:pPr>
                    <w:r>
                      <w:fldChar w:fldCharType="begin"/>
                    </w:r>
                    <w:r>
                      <w:instrText xml:space="preserve"> PAGE  \* MERGEFORMAT </w:instrText>
                    </w:r>
                    <w:r>
                      <w:fldChar w:fldCharType="separate"/>
                    </w:r>
                    <w:r>
                      <w:t>48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74E849"/>
    <w:multiLevelType w:val="singleLevel"/>
    <w:tmpl w:val="FC74E849"/>
    <w:lvl w:ilvl="0" w:tentative="0">
      <w:start w:val="1"/>
      <w:numFmt w:val="decimal"/>
      <w:lvlText w:val="%1."/>
      <w:lvlJc w:val="left"/>
      <w:pPr>
        <w:tabs>
          <w:tab w:val="left" w:pos="312"/>
        </w:tabs>
      </w:pPr>
    </w:lvl>
  </w:abstractNum>
  <w:abstractNum w:abstractNumId="1">
    <w:nsid w:val="00000009"/>
    <w:multiLevelType w:val="multilevel"/>
    <w:tmpl w:val="00000009"/>
    <w:lvl w:ilvl="0" w:tentative="0">
      <w:start w:val="1"/>
      <w:numFmt w:val="bullet"/>
      <w:pStyle w:val="145"/>
      <w:lvlText w:val="●"/>
      <w:lvlJc w:val="left"/>
      <w:pPr>
        <w:ind w:left="360" w:hanging="360"/>
      </w:pPr>
      <w:rPr>
        <w:rFonts w:hint="eastAsia" w:ascii="黑体" w:hAnsi="宋体" w:eastAsia="黑体" w:cs="Times New Roman"/>
        <w:color w:val="auto"/>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00920273"/>
    <w:multiLevelType w:val="multilevel"/>
    <w:tmpl w:val="00920273"/>
    <w:lvl w:ilvl="0" w:tentative="0">
      <w:start w:val="2"/>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1478D9E"/>
    <w:multiLevelType w:val="singleLevel"/>
    <w:tmpl w:val="01478D9E"/>
    <w:lvl w:ilvl="0" w:tentative="0">
      <w:start w:val="2"/>
      <w:numFmt w:val="decimal"/>
      <w:lvlText w:val="%1."/>
      <w:lvlJc w:val="left"/>
      <w:pPr>
        <w:tabs>
          <w:tab w:val="left" w:pos="312"/>
        </w:tabs>
      </w:pPr>
    </w:lvl>
  </w:abstractNum>
  <w:abstractNum w:abstractNumId="4">
    <w:nsid w:val="1AE7433E"/>
    <w:multiLevelType w:val="singleLevel"/>
    <w:tmpl w:val="1AE7433E"/>
    <w:lvl w:ilvl="0" w:tentative="0">
      <w:start w:val="4"/>
      <w:numFmt w:val="chineseCounting"/>
      <w:suff w:val="nothing"/>
      <w:lvlText w:val="%1、"/>
      <w:lvlJc w:val="left"/>
      <w:rPr>
        <w:rFonts w:hint="eastAsia"/>
      </w:rPr>
    </w:lvl>
  </w:abstractNum>
  <w:abstractNum w:abstractNumId="5">
    <w:nsid w:val="23CD9D5D"/>
    <w:multiLevelType w:val="singleLevel"/>
    <w:tmpl w:val="23CD9D5D"/>
    <w:lvl w:ilvl="0" w:tentative="0">
      <w:start w:val="5"/>
      <w:numFmt w:val="chineseCounting"/>
      <w:suff w:val="space"/>
      <w:lvlText w:val="第%1章"/>
      <w:lvlJc w:val="left"/>
      <w:rPr>
        <w:rFonts w:hint="eastAsia"/>
      </w:r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documentProtection w:enforcement="0"/>
  <w:defaultTabStop w:val="420"/>
  <w:drawingGridHorizontalSpacing w:val="20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Y4ZDJiNDA5YmRhZTk3YWQxNDg0Njk3MWQxYmVjODgifQ=="/>
    <w:docVar w:name="KSO_WPS_MARK_KEY" w:val="3a1bbbc7-3a49-4cf7-8228-20536db2b3f5"/>
  </w:docVars>
  <w:rsids>
    <w:rsidRoot w:val="005B2860"/>
    <w:rsid w:val="00014D92"/>
    <w:rsid w:val="000B2DDC"/>
    <w:rsid w:val="000C7F4F"/>
    <w:rsid w:val="000F343A"/>
    <w:rsid w:val="00101D21"/>
    <w:rsid w:val="00114AE4"/>
    <w:rsid w:val="00115019"/>
    <w:rsid w:val="00141000"/>
    <w:rsid w:val="0014190D"/>
    <w:rsid w:val="00143E00"/>
    <w:rsid w:val="001477E4"/>
    <w:rsid w:val="001556ED"/>
    <w:rsid w:val="00162ED6"/>
    <w:rsid w:val="00164A3E"/>
    <w:rsid w:val="0016546B"/>
    <w:rsid w:val="00181EF3"/>
    <w:rsid w:val="001C684E"/>
    <w:rsid w:val="001D1FD2"/>
    <w:rsid w:val="001D4206"/>
    <w:rsid w:val="001E17CA"/>
    <w:rsid w:val="00237AF3"/>
    <w:rsid w:val="00263F9B"/>
    <w:rsid w:val="0027240A"/>
    <w:rsid w:val="0027563E"/>
    <w:rsid w:val="00276CF9"/>
    <w:rsid w:val="002A6074"/>
    <w:rsid w:val="002B681C"/>
    <w:rsid w:val="002C4185"/>
    <w:rsid w:val="002E6267"/>
    <w:rsid w:val="00307ACE"/>
    <w:rsid w:val="0031193D"/>
    <w:rsid w:val="00311A5F"/>
    <w:rsid w:val="003126DF"/>
    <w:rsid w:val="00320EB9"/>
    <w:rsid w:val="00321DB9"/>
    <w:rsid w:val="00323FFF"/>
    <w:rsid w:val="003519C2"/>
    <w:rsid w:val="003828CD"/>
    <w:rsid w:val="003956BB"/>
    <w:rsid w:val="003C77C0"/>
    <w:rsid w:val="003D4DA4"/>
    <w:rsid w:val="003F1CF1"/>
    <w:rsid w:val="00407D64"/>
    <w:rsid w:val="00420264"/>
    <w:rsid w:val="00436D27"/>
    <w:rsid w:val="00445337"/>
    <w:rsid w:val="004553FD"/>
    <w:rsid w:val="00462559"/>
    <w:rsid w:val="00472438"/>
    <w:rsid w:val="004A4E04"/>
    <w:rsid w:val="004B67BA"/>
    <w:rsid w:val="004C52F7"/>
    <w:rsid w:val="004D4AEB"/>
    <w:rsid w:val="004E0157"/>
    <w:rsid w:val="004E5FFA"/>
    <w:rsid w:val="004E7EA6"/>
    <w:rsid w:val="004F2C6A"/>
    <w:rsid w:val="00515B18"/>
    <w:rsid w:val="00542468"/>
    <w:rsid w:val="00544933"/>
    <w:rsid w:val="00547628"/>
    <w:rsid w:val="0055632A"/>
    <w:rsid w:val="0056736F"/>
    <w:rsid w:val="005B2860"/>
    <w:rsid w:val="005D11C6"/>
    <w:rsid w:val="005F1AC1"/>
    <w:rsid w:val="00634A79"/>
    <w:rsid w:val="0064296B"/>
    <w:rsid w:val="006A54F5"/>
    <w:rsid w:val="006C774C"/>
    <w:rsid w:val="006C7A1D"/>
    <w:rsid w:val="006D0ECC"/>
    <w:rsid w:val="006D1CB6"/>
    <w:rsid w:val="006E51E8"/>
    <w:rsid w:val="0070662E"/>
    <w:rsid w:val="007077DD"/>
    <w:rsid w:val="00724C29"/>
    <w:rsid w:val="00726154"/>
    <w:rsid w:val="00732AD7"/>
    <w:rsid w:val="00765403"/>
    <w:rsid w:val="0077001C"/>
    <w:rsid w:val="007A46E7"/>
    <w:rsid w:val="007C2713"/>
    <w:rsid w:val="007C5C49"/>
    <w:rsid w:val="007E4CA5"/>
    <w:rsid w:val="007F6305"/>
    <w:rsid w:val="00814795"/>
    <w:rsid w:val="00837B53"/>
    <w:rsid w:val="00872A6F"/>
    <w:rsid w:val="0087503C"/>
    <w:rsid w:val="00896A46"/>
    <w:rsid w:val="008A2999"/>
    <w:rsid w:val="008D614A"/>
    <w:rsid w:val="008F4D4D"/>
    <w:rsid w:val="0092105C"/>
    <w:rsid w:val="009301EE"/>
    <w:rsid w:val="009510C5"/>
    <w:rsid w:val="00960BE5"/>
    <w:rsid w:val="009670F1"/>
    <w:rsid w:val="00976048"/>
    <w:rsid w:val="009941EF"/>
    <w:rsid w:val="00A11D09"/>
    <w:rsid w:val="00AE3E17"/>
    <w:rsid w:val="00B271C2"/>
    <w:rsid w:val="00B8317A"/>
    <w:rsid w:val="00B92948"/>
    <w:rsid w:val="00BE3AEA"/>
    <w:rsid w:val="00C168E2"/>
    <w:rsid w:val="00C63D85"/>
    <w:rsid w:val="00C720C1"/>
    <w:rsid w:val="00C911F9"/>
    <w:rsid w:val="00CA38F0"/>
    <w:rsid w:val="00CB5ABF"/>
    <w:rsid w:val="00CE4EA6"/>
    <w:rsid w:val="00D02884"/>
    <w:rsid w:val="00D06178"/>
    <w:rsid w:val="00DC09C4"/>
    <w:rsid w:val="00DE1537"/>
    <w:rsid w:val="00E2604A"/>
    <w:rsid w:val="00E44AA9"/>
    <w:rsid w:val="00E63CAC"/>
    <w:rsid w:val="00E76D79"/>
    <w:rsid w:val="00E9337C"/>
    <w:rsid w:val="00EA1DDF"/>
    <w:rsid w:val="00EA3753"/>
    <w:rsid w:val="00EB18C6"/>
    <w:rsid w:val="00EB2488"/>
    <w:rsid w:val="00EB73F3"/>
    <w:rsid w:val="00EC79A2"/>
    <w:rsid w:val="00EC7FF2"/>
    <w:rsid w:val="00F05477"/>
    <w:rsid w:val="00F14682"/>
    <w:rsid w:val="00F21099"/>
    <w:rsid w:val="00F31442"/>
    <w:rsid w:val="00F50E03"/>
    <w:rsid w:val="00F66770"/>
    <w:rsid w:val="00FA7A43"/>
    <w:rsid w:val="00FB0EFE"/>
    <w:rsid w:val="010D427B"/>
    <w:rsid w:val="010F7FF3"/>
    <w:rsid w:val="01C0309B"/>
    <w:rsid w:val="01D408F4"/>
    <w:rsid w:val="02467A44"/>
    <w:rsid w:val="02C941D1"/>
    <w:rsid w:val="02F32FFC"/>
    <w:rsid w:val="031C2D9E"/>
    <w:rsid w:val="034D095E"/>
    <w:rsid w:val="03802AE2"/>
    <w:rsid w:val="03A569EC"/>
    <w:rsid w:val="03C03826"/>
    <w:rsid w:val="03F25F38"/>
    <w:rsid w:val="042E253E"/>
    <w:rsid w:val="044F0706"/>
    <w:rsid w:val="045A3333"/>
    <w:rsid w:val="048D195A"/>
    <w:rsid w:val="04BC223F"/>
    <w:rsid w:val="04C2712A"/>
    <w:rsid w:val="059A3C03"/>
    <w:rsid w:val="05AC0433"/>
    <w:rsid w:val="05B23038"/>
    <w:rsid w:val="05C07B0D"/>
    <w:rsid w:val="05E26C33"/>
    <w:rsid w:val="073267E9"/>
    <w:rsid w:val="073D4566"/>
    <w:rsid w:val="074B3407"/>
    <w:rsid w:val="07754928"/>
    <w:rsid w:val="079270C9"/>
    <w:rsid w:val="07AB60E9"/>
    <w:rsid w:val="084C5688"/>
    <w:rsid w:val="08860F10"/>
    <w:rsid w:val="08A20961"/>
    <w:rsid w:val="08A37CC2"/>
    <w:rsid w:val="09385C0D"/>
    <w:rsid w:val="09FC4E8C"/>
    <w:rsid w:val="0A9F30ED"/>
    <w:rsid w:val="0AA55524"/>
    <w:rsid w:val="0B17629A"/>
    <w:rsid w:val="0B48196A"/>
    <w:rsid w:val="0B57681E"/>
    <w:rsid w:val="0B7953B7"/>
    <w:rsid w:val="0B925AA8"/>
    <w:rsid w:val="0B941820"/>
    <w:rsid w:val="0B9A670B"/>
    <w:rsid w:val="0C7B02EA"/>
    <w:rsid w:val="0CD619C5"/>
    <w:rsid w:val="0CE27C29"/>
    <w:rsid w:val="0D0F6C94"/>
    <w:rsid w:val="0D314E4D"/>
    <w:rsid w:val="0E016F15"/>
    <w:rsid w:val="0E395F67"/>
    <w:rsid w:val="0E5B6625"/>
    <w:rsid w:val="0E835B7C"/>
    <w:rsid w:val="0EAC6E81"/>
    <w:rsid w:val="0EDD34DE"/>
    <w:rsid w:val="0F5512C6"/>
    <w:rsid w:val="0F64150A"/>
    <w:rsid w:val="0F9242C9"/>
    <w:rsid w:val="104906FF"/>
    <w:rsid w:val="10540C60"/>
    <w:rsid w:val="10597D75"/>
    <w:rsid w:val="10E30B54"/>
    <w:rsid w:val="112A0531"/>
    <w:rsid w:val="113B0990"/>
    <w:rsid w:val="11655E95"/>
    <w:rsid w:val="119360D6"/>
    <w:rsid w:val="11A6405B"/>
    <w:rsid w:val="11E64458"/>
    <w:rsid w:val="11FF099D"/>
    <w:rsid w:val="1222745A"/>
    <w:rsid w:val="122C5D80"/>
    <w:rsid w:val="124949E7"/>
    <w:rsid w:val="1285376F"/>
    <w:rsid w:val="128819B3"/>
    <w:rsid w:val="129A259F"/>
    <w:rsid w:val="131D659F"/>
    <w:rsid w:val="131E305D"/>
    <w:rsid w:val="13207E3D"/>
    <w:rsid w:val="139A54CB"/>
    <w:rsid w:val="13B3480E"/>
    <w:rsid w:val="13E250F3"/>
    <w:rsid w:val="13F015BE"/>
    <w:rsid w:val="1432607A"/>
    <w:rsid w:val="14C91E0F"/>
    <w:rsid w:val="14FB646C"/>
    <w:rsid w:val="150F3CC6"/>
    <w:rsid w:val="152359C3"/>
    <w:rsid w:val="15267261"/>
    <w:rsid w:val="154F0566"/>
    <w:rsid w:val="1594066F"/>
    <w:rsid w:val="159A3ED7"/>
    <w:rsid w:val="15A64E65"/>
    <w:rsid w:val="16290DB7"/>
    <w:rsid w:val="164E081E"/>
    <w:rsid w:val="16557F28"/>
    <w:rsid w:val="166E0EC0"/>
    <w:rsid w:val="16753FFC"/>
    <w:rsid w:val="168E1562"/>
    <w:rsid w:val="16984847"/>
    <w:rsid w:val="17073484"/>
    <w:rsid w:val="170B2BB3"/>
    <w:rsid w:val="17B72882"/>
    <w:rsid w:val="17C27715"/>
    <w:rsid w:val="17C56638"/>
    <w:rsid w:val="17F24500"/>
    <w:rsid w:val="183B1275"/>
    <w:rsid w:val="1A1C48E7"/>
    <w:rsid w:val="1A2C70C8"/>
    <w:rsid w:val="1A525091"/>
    <w:rsid w:val="1A5D1977"/>
    <w:rsid w:val="1ADA3997"/>
    <w:rsid w:val="1AF44FBD"/>
    <w:rsid w:val="1B356450"/>
    <w:rsid w:val="1B414DF5"/>
    <w:rsid w:val="1B8A22F8"/>
    <w:rsid w:val="1BEA7942"/>
    <w:rsid w:val="1C117A27"/>
    <w:rsid w:val="1C623171"/>
    <w:rsid w:val="1C662D65"/>
    <w:rsid w:val="1C6C7C4F"/>
    <w:rsid w:val="1CE41EDC"/>
    <w:rsid w:val="1CEB326A"/>
    <w:rsid w:val="1D036806"/>
    <w:rsid w:val="1D187DD7"/>
    <w:rsid w:val="1D644DCB"/>
    <w:rsid w:val="1DAB47A7"/>
    <w:rsid w:val="1DF3627E"/>
    <w:rsid w:val="1E067C30"/>
    <w:rsid w:val="1E42335E"/>
    <w:rsid w:val="1E593087"/>
    <w:rsid w:val="1E6A6411"/>
    <w:rsid w:val="1EC73863"/>
    <w:rsid w:val="1ED777CA"/>
    <w:rsid w:val="1EE835BB"/>
    <w:rsid w:val="1EF36406"/>
    <w:rsid w:val="1F444EB4"/>
    <w:rsid w:val="1F5E1036"/>
    <w:rsid w:val="1F647304"/>
    <w:rsid w:val="1FDA6EBF"/>
    <w:rsid w:val="1FF561F6"/>
    <w:rsid w:val="20482E3B"/>
    <w:rsid w:val="20967991"/>
    <w:rsid w:val="20EE157B"/>
    <w:rsid w:val="214B077B"/>
    <w:rsid w:val="216D6944"/>
    <w:rsid w:val="21843C8D"/>
    <w:rsid w:val="218C58DB"/>
    <w:rsid w:val="21F7445F"/>
    <w:rsid w:val="22352B97"/>
    <w:rsid w:val="22836C22"/>
    <w:rsid w:val="22B81E40"/>
    <w:rsid w:val="22CA1B74"/>
    <w:rsid w:val="22CE3412"/>
    <w:rsid w:val="22FA6454"/>
    <w:rsid w:val="23132E54"/>
    <w:rsid w:val="2351194D"/>
    <w:rsid w:val="23C72159"/>
    <w:rsid w:val="23F724F4"/>
    <w:rsid w:val="24343749"/>
    <w:rsid w:val="247A570E"/>
    <w:rsid w:val="24885842"/>
    <w:rsid w:val="248D6918"/>
    <w:rsid w:val="24977834"/>
    <w:rsid w:val="249C4E4A"/>
    <w:rsid w:val="24AD52A9"/>
    <w:rsid w:val="25900E53"/>
    <w:rsid w:val="2591245F"/>
    <w:rsid w:val="25983863"/>
    <w:rsid w:val="25CE54DF"/>
    <w:rsid w:val="25DD571A"/>
    <w:rsid w:val="26BC17D3"/>
    <w:rsid w:val="26D7660D"/>
    <w:rsid w:val="26EC030B"/>
    <w:rsid w:val="271E423C"/>
    <w:rsid w:val="27201D62"/>
    <w:rsid w:val="27DF39CB"/>
    <w:rsid w:val="290B09FF"/>
    <w:rsid w:val="29426F5D"/>
    <w:rsid w:val="296A5517"/>
    <w:rsid w:val="298A5BB9"/>
    <w:rsid w:val="2A0616E3"/>
    <w:rsid w:val="2A8C2814"/>
    <w:rsid w:val="2A924D25"/>
    <w:rsid w:val="2B0D0850"/>
    <w:rsid w:val="2B147E30"/>
    <w:rsid w:val="2B3A3855"/>
    <w:rsid w:val="2B6D6FA6"/>
    <w:rsid w:val="2B9B22FF"/>
    <w:rsid w:val="2C016606"/>
    <w:rsid w:val="2C1C3440"/>
    <w:rsid w:val="2C816F0F"/>
    <w:rsid w:val="2C934D84"/>
    <w:rsid w:val="2D410C84"/>
    <w:rsid w:val="2DB9081B"/>
    <w:rsid w:val="2DC25921"/>
    <w:rsid w:val="2E7D3F3E"/>
    <w:rsid w:val="2ED9179D"/>
    <w:rsid w:val="2F081A5A"/>
    <w:rsid w:val="2F527179"/>
    <w:rsid w:val="2F827A5E"/>
    <w:rsid w:val="2F9652B7"/>
    <w:rsid w:val="2F974B8C"/>
    <w:rsid w:val="2FA047B6"/>
    <w:rsid w:val="2FC7029E"/>
    <w:rsid w:val="2FCB6314"/>
    <w:rsid w:val="2FDB060F"/>
    <w:rsid w:val="30542A7D"/>
    <w:rsid w:val="306B01FF"/>
    <w:rsid w:val="30706E09"/>
    <w:rsid w:val="30FD4EC2"/>
    <w:rsid w:val="311A098E"/>
    <w:rsid w:val="31A6555A"/>
    <w:rsid w:val="31CA482C"/>
    <w:rsid w:val="31DE2F46"/>
    <w:rsid w:val="31FE7144"/>
    <w:rsid w:val="323D1A1A"/>
    <w:rsid w:val="32BF4133"/>
    <w:rsid w:val="34572B3B"/>
    <w:rsid w:val="348A3241"/>
    <w:rsid w:val="3491604D"/>
    <w:rsid w:val="34C35A02"/>
    <w:rsid w:val="34C401D1"/>
    <w:rsid w:val="352F20CB"/>
    <w:rsid w:val="352F7252"/>
    <w:rsid w:val="354D466A"/>
    <w:rsid w:val="356568A1"/>
    <w:rsid w:val="357E0CC8"/>
    <w:rsid w:val="35C42453"/>
    <w:rsid w:val="36552F93"/>
    <w:rsid w:val="37512270"/>
    <w:rsid w:val="38082ACA"/>
    <w:rsid w:val="386E67FD"/>
    <w:rsid w:val="388D4D7E"/>
    <w:rsid w:val="38B7004D"/>
    <w:rsid w:val="38C70290"/>
    <w:rsid w:val="38DC1B03"/>
    <w:rsid w:val="391F00CC"/>
    <w:rsid w:val="39853731"/>
    <w:rsid w:val="398C14D9"/>
    <w:rsid w:val="3A663AD8"/>
    <w:rsid w:val="3A867DDB"/>
    <w:rsid w:val="3ABE1B66"/>
    <w:rsid w:val="3AF16F3D"/>
    <w:rsid w:val="3B7641EF"/>
    <w:rsid w:val="3BCA60AA"/>
    <w:rsid w:val="3BFC46F4"/>
    <w:rsid w:val="3C265C15"/>
    <w:rsid w:val="3C6F3118"/>
    <w:rsid w:val="3C722C08"/>
    <w:rsid w:val="3C942B7F"/>
    <w:rsid w:val="3C991F43"/>
    <w:rsid w:val="3CE602E9"/>
    <w:rsid w:val="3DB1150E"/>
    <w:rsid w:val="3DB80AEF"/>
    <w:rsid w:val="3E4C1A46"/>
    <w:rsid w:val="3E522CF1"/>
    <w:rsid w:val="3E7D09FD"/>
    <w:rsid w:val="3ED5125C"/>
    <w:rsid w:val="3EDA6843"/>
    <w:rsid w:val="3EED6576"/>
    <w:rsid w:val="3F1E4982"/>
    <w:rsid w:val="3F3643C1"/>
    <w:rsid w:val="3F984734"/>
    <w:rsid w:val="3FCD147E"/>
    <w:rsid w:val="3FF51B86"/>
    <w:rsid w:val="4001677D"/>
    <w:rsid w:val="40086442"/>
    <w:rsid w:val="403E766D"/>
    <w:rsid w:val="40D73BA8"/>
    <w:rsid w:val="40E85247"/>
    <w:rsid w:val="412D35A2"/>
    <w:rsid w:val="414E017E"/>
    <w:rsid w:val="415B010F"/>
    <w:rsid w:val="41BD57E6"/>
    <w:rsid w:val="41E77BF5"/>
    <w:rsid w:val="42BD5442"/>
    <w:rsid w:val="43370708"/>
    <w:rsid w:val="436D706C"/>
    <w:rsid w:val="436F39FE"/>
    <w:rsid w:val="43931DE2"/>
    <w:rsid w:val="439671DC"/>
    <w:rsid w:val="43C31F9B"/>
    <w:rsid w:val="43C401ED"/>
    <w:rsid w:val="43D146B8"/>
    <w:rsid w:val="444924A1"/>
    <w:rsid w:val="44CD2B36"/>
    <w:rsid w:val="44EE129A"/>
    <w:rsid w:val="453F38A4"/>
    <w:rsid w:val="4568104C"/>
    <w:rsid w:val="457E261E"/>
    <w:rsid w:val="45987097"/>
    <w:rsid w:val="45AF365D"/>
    <w:rsid w:val="45E71F71"/>
    <w:rsid w:val="45FC3543"/>
    <w:rsid w:val="46A63BDA"/>
    <w:rsid w:val="46A871BC"/>
    <w:rsid w:val="46E62229"/>
    <w:rsid w:val="46ED7633"/>
    <w:rsid w:val="472B0583"/>
    <w:rsid w:val="475C24EB"/>
    <w:rsid w:val="4780267D"/>
    <w:rsid w:val="478C5B89"/>
    <w:rsid w:val="47B642F1"/>
    <w:rsid w:val="47EC1AC1"/>
    <w:rsid w:val="48396CD0"/>
    <w:rsid w:val="48547F3A"/>
    <w:rsid w:val="49247038"/>
    <w:rsid w:val="49543DC1"/>
    <w:rsid w:val="497D499A"/>
    <w:rsid w:val="49943B56"/>
    <w:rsid w:val="49AE2DA6"/>
    <w:rsid w:val="49DF1D43"/>
    <w:rsid w:val="4A1E617D"/>
    <w:rsid w:val="4A2A4B22"/>
    <w:rsid w:val="4A596E77"/>
    <w:rsid w:val="4A7933B4"/>
    <w:rsid w:val="4AAB0E6C"/>
    <w:rsid w:val="4AB81A62"/>
    <w:rsid w:val="4B0C5FD6"/>
    <w:rsid w:val="4B386DCB"/>
    <w:rsid w:val="4B5736F5"/>
    <w:rsid w:val="4B9E7576"/>
    <w:rsid w:val="4BEF5449"/>
    <w:rsid w:val="4C0A0767"/>
    <w:rsid w:val="4C1C66ED"/>
    <w:rsid w:val="4C243449"/>
    <w:rsid w:val="4C4C5224"/>
    <w:rsid w:val="4CAE3FDC"/>
    <w:rsid w:val="4CD2155B"/>
    <w:rsid w:val="4CDA01D3"/>
    <w:rsid w:val="4CF60CEC"/>
    <w:rsid w:val="4D094EC3"/>
    <w:rsid w:val="4D622825"/>
    <w:rsid w:val="4D9F1383"/>
    <w:rsid w:val="4DA1334D"/>
    <w:rsid w:val="4DDC6134"/>
    <w:rsid w:val="4E322906"/>
    <w:rsid w:val="4E4D0DDF"/>
    <w:rsid w:val="4E742810"/>
    <w:rsid w:val="4E9C7CE6"/>
    <w:rsid w:val="4F111E0D"/>
    <w:rsid w:val="4F404FD1"/>
    <w:rsid w:val="4F447E1C"/>
    <w:rsid w:val="4F6F50DC"/>
    <w:rsid w:val="50091E5E"/>
    <w:rsid w:val="50302767"/>
    <w:rsid w:val="50355FCF"/>
    <w:rsid w:val="50476006"/>
    <w:rsid w:val="50B8278F"/>
    <w:rsid w:val="50D70E34"/>
    <w:rsid w:val="510D4856"/>
    <w:rsid w:val="51202677"/>
    <w:rsid w:val="51A90A23"/>
    <w:rsid w:val="51B7313F"/>
    <w:rsid w:val="527E3C5D"/>
    <w:rsid w:val="529E7DF4"/>
    <w:rsid w:val="52A03BD4"/>
    <w:rsid w:val="52C5188C"/>
    <w:rsid w:val="52CC4518"/>
    <w:rsid w:val="52D61371"/>
    <w:rsid w:val="53155CBE"/>
    <w:rsid w:val="53360094"/>
    <w:rsid w:val="53543FB8"/>
    <w:rsid w:val="53A21F87"/>
    <w:rsid w:val="53A56FC8"/>
    <w:rsid w:val="53C9715A"/>
    <w:rsid w:val="54157CED"/>
    <w:rsid w:val="54183C3E"/>
    <w:rsid w:val="541A1764"/>
    <w:rsid w:val="548A6E86"/>
    <w:rsid w:val="548B440F"/>
    <w:rsid w:val="549C3822"/>
    <w:rsid w:val="54D701BC"/>
    <w:rsid w:val="54E83610"/>
    <w:rsid w:val="5588094F"/>
    <w:rsid w:val="55AE3A1D"/>
    <w:rsid w:val="55CE6CAA"/>
    <w:rsid w:val="560721BC"/>
    <w:rsid w:val="56095F34"/>
    <w:rsid w:val="56435997"/>
    <w:rsid w:val="56B86AB4"/>
    <w:rsid w:val="56FB3ACE"/>
    <w:rsid w:val="57407733"/>
    <w:rsid w:val="57560D05"/>
    <w:rsid w:val="575D6537"/>
    <w:rsid w:val="575E5E0B"/>
    <w:rsid w:val="578D66F1"/>
    <w:rsid w:val="57C32112"/>
    <w:rsid w:val="57D460CD"/>
    <w:rsid w:val="58405511"/>
    <w:rsid w:val="58675193"/>
    <w:rsid w:val="58937CD5"/>
    <w:rsid w:val="58AE663A"/>
    <w:rsid w:val="59284923"/>
    <w:rsid w:val="59AA5A7D"/>
    <w:rsid w:val="59CE54CA"/>
    <w:rsid w:val="59DD395F"/>
    <w:rsid w:val="5A292701"/>
    <w:rsid w:val="5AAE70AA"/>
    <w:rsid w:val="5AB83A84"/>
    <w:rsid w:val="5B0E3806"/>
    <w:rsid w:val="5B4A6DD2"/>
    <w:rsid w:val="5BE77667"/>
    <w:rsid w:val="5BF64864"/>
    <w:rsid w:val="5C11169E"/>
    <w:rsid w:val="5C2D5716"/>
    <w:rsid w:val="5C7659A5"/>
    <w:rsid w:val="5C9C1975"/>
    <w:rsid w:val="5D192F00"/>
    <w:rsid w:val="5D261179"/>
    <w:rsid w:val="5D997B9D"/>
    <w:rsid w:val="5DB9023F"/>
    <w:rsid w:val="5DE52BB8"/>
    <w:rsid w:val="5E2E29DB"/>
    <w:rsid w:val="5EA54320"/>
    <w:rsid w:val="5EA96A5C"/>
    <w:rsid w:val="5ECC7AFE"/>
    <w:rsid w:val="5F23335D"/>
    <w:rsid w:val="5F304899"/>
    <w:rsid w:val="5FB32A6C"/>
    <w:rsid w:val="5FEB2206"/>
    <w:rsid w:val="605C4EB2"/>
    <w:rsid w:val="608C5797"/>
    <w:rsid w:val="60CE4002"/>
    <w:rsid w:val="60D40EEC"/>
    <w:rsid w:val="61572C72"/>
    <w:rsid w:val="615F2EAC"/>
    <w:rsid w:val="61C90DAA"/>
    <w:rsid w:val="61CF0031"/>
    <w:rsid w:val="620F042E"/>
    <w:rsid w:val="623F6839"/>
    <w:rsid w:val="62402CDD"/>
    <w:rsid w:val="626F35C2"/>
    <w:rsid w:val="62AA45FB"/>
    <w:rsid w:val="62B114E5"/>
    <w:rsid w:val="633F11E7"/>
    <w:rsid w:val="635A1B7D"/>
    <w:rsid w:val="635B2A2E"/>
    <w:rsid w:val="637569B7"/>
    <w:rsid w:val="63C416EC"/>
    <w:rsid w:val="63D538F9"/>
    <w:rsid w:val="64432A2C"/>
    <w:rsid w:val="64872E45"/>
    <w:rsid w:val="64B1564A"/>
    <w:rsid w:val="64B96F86"/>
    <w:rsid w:val="64EC2CA8"/>
    <w:rsid w:val="650A5824"/>
    <w:rsid w:val="65312DB1"/>
    <w:rsid w:val="655931EB"/>
    <w:rsid w:val="65C07C91"/>
    <w:rsid w:val="65F8742B"/>
    <w:rsid w:val="66471826"/>
    <w:rsid w:val="665C5C0C"/>
    <w:rsid w:val="66660838"/>
    <w:rsid w:val="668B288D"/>
    <w:rsid w:val="675863D3"/>
    <w:rsid w:val="67784CC7"/>
    <w:rsid w:val="677F6D87"/>
    <w:rsid w:val="679118E5"/>
    <w:rsid w:val="67B51A77"/>
    <w:rsid w:val="67B72646"/>
    <w:rsid w:val="685748DD"/>
    <w:rsid w:val="68A044D6"/>
    <w:rsid w:val="6908045D"/>
    <w:rsid w:val="69EF4FC9"/>
    <w:rsid w:val="6A42336B"/>
    <w:rsid w:val="6A5C267E"/>
    <w:rsid w:val="6A627569"/>
    <w:rsid w:val="6A8E65B0"/>
    <w:rsid w:val="6AA54025"/>
    <w:rsid w:val="6ADC731B"/>
    <w:rsid w:val="6AED32D6"/>
    <w:rsid w:val="6B1E292F"/>
    <w:rsid w:val="6B20545A"/>
    <w:rsid w:val="6B270BB7"/>
    <w:rsid w:val="6B3804DD"/>
    <w:rsid w:val="6B560E7C"/>
    <w:rsid w:val="6B5E5F82"/>
    <w:rsid w:val="6B7B6B34"/>
    <w:rsid w:val="6B8F438D"/>
    <w:rsid w:val="6BC56001"/>
    <w:rsid w:val="6BFB7C75"/>
    <w:rsid w:val="6C9D0D2C"/>
    <w:rsid w:val="6D0B038C"/>
    <w:rsid w:val="6D154D66"/>
    <w:rsid w:val="6D1A237D"/>
    <w:rsid w:val="6D2F7BD6"/>
    <w:rsid w:val="6DBC51E2"/>
    <w:rsid w:val="6DC04CD2"/>
    <w:rsid w:val="6DFD5F26"/>
    <w:rsid w:val="6E5813AF"/>
    <w:rsid w:val="6E5F273D"/>
    <w:rsid w:val="6E606D6E"/>
    <w:rsid w:val="6E91321E"/>
    <w:rsid w:val="6EE113A4"/>
    <w:rsid w:val="6F1A02C3"/>
    <w:rsid w:val="6F4B4A6F"/>
    <w:rsid w:val="6F4C092F"/>
    <w:rsid w:val="6F5917D7"/>
    <w:rsid w:val="6FB359FB"/>
    <w:rsid w:val="702A28D7"/>
    <w:rsid w:val="70343755"/>
    <w:rsid w:val="70D25448"/>
    <w:rsid w:val="71107D1F"/>
    <w:rsid w:val="71265794"/>
    <w:rsid w:val="714D5CF7"/>
    <w:rsid w:val="7173685E"/>
    <w:rsid w:val="718A469C"/>
    <w:rsid w:val="71B41587"/>
    <w:rsid w:val="71D62D16"/>
    <w:rsid w:val="71FA6539"/>
    <w:rsid w:val="72031631"/>
    <w:rsid w:val="720544B8"/>
    <w:rsid w:val="721970A7"/>
    <w:rsid w:val="724834E8"/>
    <w:rsid w:val="727662A7"/>
    <w:rsid w:val="72791276"/>
    <w:rsid w:val="72876CBC"/>
    <w:rsid w:val="730D4D7F"/>
    <w:rsid w:val="732242EC"/>
    <w:rsid w:val="7366631C"/>
    <w:rsid w:val="739B4217"/>
    <w:rsid w:val="73BC5F3C"/>
    <w:rsid w:val="741B7106"/>
    <w:rsid w:val="742F670E"/>
    <w:rsid w:val="7491561A"/>
    <w:rsid w:val="74A7099A"/>
    <w:rsid w:val="74D06143"/>
    <w:rsid w:val="75E31A8E"/>
    <w:rsid w:val="75EE5667"/>
    <w:rsid w:val="75F55735"/>
    <w:rsid w:val="762E2C01"/>
    <w:rsid w:val="76832D41"/>
    <w:rsid w:val="768F16E6"/>
    <w:rsid w:val="76B93FEC"/>
    <w:rsid w:val="76ED37CF"/>
    <w:rsid w:val="77672662"/>
    <w:rsid w:val="776E7582"/>
    <w:rsid w:val="77B533CE"/>
    <w:rsid w:val="7808174F"/>
    <w:rsid w:val="781A76D5"/>
    <w:rsid w:val="783E1615"/>
    <w:rsid w:val="795409C4"/>
    <w:rsid w:val="796C0B72"/>
    <w:rsid w:val="79C21DD2"/>
    <w:rsid w:val="79C773E8"/>
    <w:rsid w:val="7A41363F"/>
    <w:rsid w:val="7A4A42A1"/>
    <w:rsid w:val="7A5073DE"/>
    <w:rsid w:val="7A5275FA"/>
    <w:rsid w:val="7AB43E11"/>
    <w:rsid w:val="7ABF4168"/>
    <w:rsid w:val="7B4F7695"/>
    <w:rsid w:val="7B917CAE"/>
    <w:rsid w:val="7BDD2EF3"/>
    <w:rsid w:val="7CA852AF"/>
    <w:rsid w:val="7D0F3580"/>
    <w:rsid w:val="7D272678"/>
    <w:rsid w:val="7D43322A"/>
    <w:rsid w:val="7D450D50"/>
    <w:rsid w:val="7DCE6F97"/>
    <w:rsid w:val="7DD47A7D"/>
    <w:rsid w:val="7DEB7B49"/>
    <w:rsid w:val="7DF02556"/>
    <w:rsid w:val="7E1D2B4D"/>
    <w:rsid w:val="7E4212DD"/>
    <w:rsid w:val="7E543FAA"/>
    <w:rsid w:val="7E90249F"/>
    <w:rsid w:val="7E942C9D"/>
    <w:rsid w:val="7EBA29FF"/>
    <w:rsid w:val="7EF240FD"/>
    <w:rsid w:val="7F2B0A14"/>
    <w:rsid w:val="7F3612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0" w:semiHidden="0" w:name="Normal Indent"/>
    <w:lsdException w:qFormat="1" w:unhideWhenUsed="0"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3"/>
    <w:link w:val="68"/>
    <w:qFormat/>
    <w:uiPriority w:val="0"/>
    <w:pPr>
      <w:keepNext/>
      <w:keepLines/>
      <w:spacing w:before="340" w:after="330" w:line="576" w:lineRule="auto"/>
      <w:outlineLvl w:val="0"/>
    </w:pPr>
    <w:rPr>
      <w:b/>
      <w:bCs/>
      <w:kern w:val="44"/>
      <w:sz w:val="44"/>
      <w:szCs w:val="44"/>
    </w:rPr>
  </w:style>
  <w:style w:type="paragraph" w:styleId="4">
    <w:name w:val="heading 2"/>
    <w:basedOn w:val="1"/>
    <w:next w:val="1"/>
    <w:link w:val="114"/>
    <w:qFormat/>
    <w:uiPriority w:val="0"/>
    <w:pPr>
      <w:keepNext/>
      <w:keepLines/>
      <w:wordWrap w:val="0"/>
      <w:spacing w:before="200" w:after="200" w:line="360" w:lineRule="auto"/>
      <w:jc w:val="center"/>
      <w:outlineLvl w:val="1"/>
    </w:pPr>
    <w:rPr>
      <w:rFonts w:ascii="Arial" w:hAnsi="Arial" w:eastAsia="黑体"/>
      <w:b/>
      <w:bCs/>
      <w:sz w:val="32"/>
      <w:szCs w:val="32"/>
    </w:rPr>
  </w:style>
  <w:style w:type="paragraph" w:styleId="5">
    <w:name w:val="heading 3"/>
    <w:basedOn w:val="1"/>
    <w:next w:val="3"/>
    <w:link w:val="94"/>
    <w:qFormat/>
    <w:uiPriority w:val="0"/>
    <w:pPr>
      <w:keepNext/>
      <w:keepLines/>
      <w:spacing w:before="260" w:after="260" w:line="415" w:lineRule="auto"/>
      <w:outlineLvl w:val="2"/>
    </w:pPr>
    <w:rPr>
      <w:b/>
      <w:bCs/>
      <w:sz w:val="32"/>
      <w:szCs w:val="32"/>
    </w:rPr>
  </w:style>
  <w:style w:type="paragraph" w:styleId="6">
    <w:name w:val="heading 4"/>
    <w:basedOn w:val="1"/>
    <w:next w:val="1"/>
    <w:link w:val="87"/>
    <w:qFormat/>
    <w:uiPriority w:val="0"/>
    <w:pPr>
      <w:keepNext/>
      <w:keepLines/>
      <w:spacing w:before="280" w:after="290" w:line="374" w:lineRule="auto"/>
      <w:outlineLvl w:val="3"/>
    </w:pPr>
    <w:rPr>
      <w:rFonts w:ascii="Arial" w:hAnsi="Arial" w:eastAsia="黑体"/>
      <w:b/>
      <w:bCs/>
      <w:sz w:val="28"/>
      <w:szCs w:val="28"/>
    </w:rPr>
  </w:style>
  <w:style w:type="paragraph" w:styleId="7">
    <w:name w:val="heading 5"/>
    <w:basedOn w:val="1"/>
    <w:next w:val="1"/>
    <w:link w:val="63"/>
    <w:qFormat/>
    <w:uiPriority w:val="0"/>
    <w:pPr>
      <w:keepNext/>
      <w:keepLines/>
      <w:spacing w:before="280" w:after="290" w:line="374" w:lineRule="auto"/>
      <w:outlineLvl w:val="4"/>
    </w:pPr>
    <w:rPr>
      <w:b/>
      <w:bCs/>
      <w:sz w:val="28"/>
      <w:szCs w:val="28"/>
    </w:rPr>
  </w:style>
  <w:style w:type="paragraph" w:styleId="8">
    <w:name w:val="heading 6"/>
    <w:basedOn w:val="1"/>
    <w:next w:val="1"/>
    <w:link w:val="64"/>
    <w:qFormat/>
    <w:uiPriority w:val="0"/>
    <w:pPr>
      <w:keepNext/>
      <w:keepLines/>
      <w:spacing w:before="240" w:after="64" w:line="319" w:lineRule="auto"/>
      <w:outlineLvl w:val="5"/>
    </w:pPr>
    <w:rPr>
      <w:rFonts w:ascii="Arial" w:hAnsi="Arial" w:eastAsia="黑体"/>
      <w:b/>
      <w:bCs/>
      <w:sz w:val="24"/>
      <w:szCs w:val="24"/>
    </w:rPr>
  </w:style>
  <w:style w:type="paragraph" w:styleId="9">
    <w:name w:val="heading 7"/>
    <w:basedOn w:val="1"/>
    <w:next w:val="1"/>
    <w:link w:val="65"/>
    <w:qFormat/>
    <w:uiPriority w:val="0"/>
    <w:pPr>
      <w:keepNext/>
      <w:keepLines/>
      <w:spacing w:before="240" w:after="64" w:line="319" w:lineRule="auto"/>
      <w:outlineLvl w:val="6"/>
    </w:pPr>
    <w:rPr>
      <w:b/>
      <w:bCs/>
      <w:sz w:val="24"/>
      <w:szCs w:val="24"/>
    </w:rPr>
  </w:style>
  <w:style w:type="paragraph" w:styleId="10">
    <w:name w:val="heading 8"/>
    <w:basedOn w:val="1"/>
    <w:next w:val="1"/>
    <w:link w:val="66"/>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1">
    <w:name w:val="heading 9"/>
    <w:basedOn w:val="1"/>
    <w:next w:val="1"/>
    <w:link w:val="67"/>
    <w:qFormat/>
    <w:uiPriority w:val="0"/>
    <w:pPr>
      <w:keepNext/>
      <w:keepLines/>
      <w:spacing w:before="240" w:after="64" w:line="319" w:lineRule="auto"/>
      <w:outlineLvl w:val="8"/>
    </w:pPr>
    <w:rPr>
      <w:rFonts w:ascii="Arial" w:hAnsi="Arial" w:eastAsia="黑体"/>
      <w:sz w:val="21"/>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customStyle="1" w:styleId="3">
    <w:name w:val="文档正文"/>
    <w:basedOn w:val="1"/>
    <w:qFormat/>
    <w:uiPriority w:val="0"/>
    <w:pPr>
      <w:adjustRightInd w:val="0"/>
      <w:spacing w:before="60" w:after="60" w:line="360" w:lineRule="atLeast"/>
      <w:ind w:firstLine="482"/>
      <w:textAlignment w:val="baseline"/>
    </w:pPr>
    <w:rPr>
      <w:sz w:val="24"/>
    </w:rPr>
  </w:style>
  <w:style w:type="paragraph" w:styleId="12">
    <w:name w:val="List 3"/>
    <w:basedOn w:val="1"/>
    <w:qFormat/>
    <w:uiPriority w:val="0"/>
    <w:pPr>
      <w:widowControl w:val="0"/>
      <w:ind w:left="100" w:leftChars="400" w:hanging="200" w:hangingChars="200"/>
      <w:jc w:val="both"/>
    </w:pPr>
    <w:rPr>
      <w:kern w:val="2"/>
      <w:sz w:val="21"/>
      <w:szCs w:val="24"/>
    </w:rPr>
  </w:style>
  <w:style w:type="paragraph" w:styleId="13">
    <w:name w:val="toc 7"/>
    <w:basedOn w:val="1"/>
    <w:next w:val="1"/>
    <w:qFormat/>
    <w:uiPriority w:val="0"/>
    <w:pPr>
      <w:ind w:left="1200"/>
    </w:pPr>
    <w:rPr>
      <w:sz w:val="18"/>
      <w:szCs w:val="18"/>
    </w:rPr>
  </w:style>
  <w:style w:type="paragraph" w:styleId="14">
    <w:name w:val="Normal Indent"/>
    <w:basedOn w:val="1"/>
    <w:next w:val="1"/>
    <w:link w:val="80"/>
    <w:unhideWhenUsed/>
    <w:qFormat/>
    <w:uiPriority w:val="0"/>
    <w:pPr>
      <w:ind w:firstLine="420" w:firstLineChars="200"/>
    </w:pPr>
  </w:style>
  <w:style w:type="paragraph" w:styleId="15">
    <w:name w:val="caption"/>
    <w:basedOn w:val="1"/>
    <w:next w:val="1"/>
    <w:link w:val="120"/>
    <w:qFormat/>
    <w:uiPriority w:val="0"/>
    <w:rPr>
      <w:rFonts w:ascii="Arial" w:hAnsi="Arial" w:eastAsia="黑体" w:cs="Arial"/>
      <w:kern w:val="2"/>
      <w:sz w:val="21"/>
      <w:szCs w:val="22"/>
    </w:rPr>
  </w:style>
  <w:style w:type="paragraph" w:styleId="16">
    <w:name w:val="List Bullet"/>
    <w:basedOn w:val="1"/>
    <w:qFormat/>
    <w:uiPriority w:val="0"/>
    <w:pPr>
      <w:widowControl w:val="0"/>
      <w:tabs>
        <w:tab w:val="left" w:pos="360"/>
      </w:tabs>
      <w:ind w:left="360" w:hanging="360"/>
      <w:jc w:val="both"/>
    </w:pPr>
    <w:rPr>
      <w:kern w:val="2"/>
      <w:sz w:val="21"/>
    </w:rPr>
  </w:style>
  <w:style w:type="paragraph" w:styleId="17">
    <w:name w:val="Document Map"/>
    <w:basedOn w:val="1"/>
    <w:link w:val="104"/>
    <w:qFormat/>
    <w:uiPriority w:val="0"/>
    <w:rPr>
      <w:rFonts w:ascii="宋体" w:hAnsiTheme="minorHAnsi" w:eastAsiaTheme="minorEastAsia" w:cstheme="minorBidi"/>
      <w:kern w:val="2"/>
      <w:sz w:val="18"/>
      <w:szCs w:val="18"/>
    </w:rPr>
  </w:style>
  <w:style w:type="paragraph" w:styleId="18">
    <w:name w:val="annotation text"/>
    <w:basedOn w:val="1"/>
    <w:link w:val="147"/>
    <w:unhideWhenUsed/>
    <w:qFormat/>
    <w:uiPriority w:val="0"/>
  </w:style>
  <w:style w:type="paragraph" w:styleId="19">
    <w:name w:val="Body Text 3"/>
    <w:basedOn w:val="1"/>
    <w:link w:val="225"/>
    <w:semiHidden/>
    <w:unhideWhenUsed/>
    <w:qFormat/>
    <w:uiPriority w:val="99"/>
    <w:pPr>
      <w:spacing w:after="120"/>
    </w:pPr>
    <w:rPr>
      <w:sz w:val="16"/>
      <w:szCs w:val="16"/>
    </w:rPr>
  </w:style>
  <w:style w:type="paragraph" w:styleId="20">
    <w:name w:val="Body Text"/>
    <w:basedOn w:val="1"/>
    <w:next w:val="1"/>
    <w:link w:val="134"/>
    <w:unhideWhenUsed/>
    <w:qFormat/>
    <w:uiPriority w:val="0"/>
    <w:pPr>
      <w:spacing w:after="120"/>
    </w:pPr>
  </w:style>
  <w:style w:type="paragraph" w:styleId="21">
    <w:name w:val="Body Text Indent"/>
    <w:basedOn w:val="1"/>
    <w:link w:val="119"/>
    <w:qFormat/>
    <w:uiPriority w:val="0"/>
    <w:pPr>
      <w:spacing w:after="120"/>
      <w:ind w:left="420" w:leftChars="200"/>
    </w:pPr>
    <w:rPr>
      <w:rFonts w:asciiTheme="minorHAnsi" w:hAnsiTheme="minorHAnsi" w:eastAsiaTheme="minorEastAsia" w:cstheme="minorBidi"/>
      <w:kern w:val="2"/>
      <w:sz w:val="21"/>
      <w:szCs w:val="22"/>
    </w:rPr>
  </w:style>
  <w:style w:type="paragraph" w:styleId="22">
    <w:name w:val="List 2"/>
    <w:basedOn w:val="1"/>
    <w:qFormat/>
    <w:uiPriority w:val="0"/>
    <w:pPr>
      <w:widowControl w:val="0"/>
      <w:ind w:left="100" w:leftChars="200" w:hanging="200" w:hangingChars="200"/>
      <w:jc w:val="both"/>
    </w:pPr>
    <w:rPr>
      <w:kern w:val="2"/>
      <w:sz w:val="21"/>
      <w:szCs w:val="24"/>
    </w:rPr>
  </w:style>
  <w:style w:type="paragraph" w:styleId="23">
    <w:name w:val="Block Text"/>
    <w:basedOn w:val="1"/>
    <w:qFormat/>
    <w:uiPriority w:val="0"/>
    <w:pPr>
      <w:spacing w:after="120"/>
      <w:ind w:left="1440" w:right="1440"/>
    </w:pPr>
  </w:style>
  <w:style w:type="paragraph" w:styleId="24">
    <w:name w:val="toc 5"/>
    <w:basedOn w:val="1"/>
    <w:next w:val="1"/>
    <w:qFormat/>
    <w:uiPriority w:val="0"/>
    <w:pPr>
      <w:ind w:left="800"/>
    </w:pPr>
    <w:rPr>
      <w:sz w:val="18"/>
      <w:szCs w:val="18"/>
    </w:rPr>
  </w:style>
  <w:style w:type="paragraph" w:styleId="25">
    <w:name w:val="toc 3"/>
    <w:basedOn w:val="1"/>
    <w:next w:val="1"/>
    <w:qFormat/>
    <w:uiPriority w:val="39"/>
    <w:pPr>
      <w:ind w:left="400"/>
    </w:pPr>
    <w:rPr>
      <w:iCs/>
    </w:rPr>
  </w:style>
  <w:style w:type="paragraph" w:styleId="26">
    <w:name w:val="Plain Text"/>
    <w:basedOn w:val="1"/>
    <w:link w:val="108"/>
    <w:qFormat/>
    <w:uiPriority w:val="0"/>
    <w:pPr>
      <w:widowControl w:val="0"/>
      <w:jc w:val="both"/>
    </w:pPr>
    <w:rPr>
      <w:rFonts w:ascii="宋体" w:hAnsi="Courier New" w:cs="Courier New"/>
      <w:kern w:val="2"/>
      <w:sz w:val="21"/>
      <w:szCs w:val="21"/>
    </w:rPr>
  </w:style>
  <w:style w:type="paragraph" w:styleId="27">
    <w:name w:val="toc 8"/>
    <w:basedOn w:val="1"/>
    <w:next w:val="1"/>
    <w:qFormat/>
    <w:uiPriority w:val="0"/>
    <w:pPr>
      <w:ind w:left="1400"/>
    </w:pPr>
    <w:rPr>
      <w:sz w:val="18"/>
      <w:szCs w:val="18"/>
    </w:rPr>
  </w:style>
  <w:style w:type="paragraph" w:styleId="28">
    <w:name w:val="Date"/>
    <w:basedOn w:val="1"/>
    <w:next w:val="1"/>
    <w:link w:val="88"/>
    <w:qFormat/>
    <w:uiPriority w:val="0"/>
    <w:pPr>
      <w:ind w:left="100" w:leftChars="2500"/>
    </w:pPr>
    <w:rPr>
      <w:rFonts w:asciiTheme="minorHAnsi" w:hAnsiTheme="minorHAnsi" w:eastAsiaTheme="minorEastAsia" w:cstheme="minorBidi"/>
      <w:kern w:val="2"/>
      <w:sz w:val="21"/>
      <w:szCs w:val="22"/>
    </w:rPr>
  </w:style>
  <w:style w:type="paragraph" w:styleId="29">
    <w:name w:val="Body Text Indent 2"/>
    <w:basedOn w:val="1"/>
    <w:link w:val="124"/>
    <w:qFormat/>
    <w:uiPriority w:val="0"/>
    <w:pPr>
      <w:spacing w:after="120" w:line="480" w:lineRule="auto"/>
      <w:ind w:left="420" w:leftChars="200"/>
    </w:pPr>
    <w:rPr>
      <w:rFonts w:asciiTheme="minorHAnsi" w:hAnsiTheme="minorHAnsi" w:eastAsiaTheme="minorEastAsia" w:cstheme="minorBidi"/>
      <w:kern w:val="2"/>
      <w:sz w:val="21"/>
      <w:szCs w:val="22"/>
    </w:rPr>
  </w:style>
  <w:style w:type="paragraph" w:styleId="30">
    <w:name w:val="Balloon Text"/>
    <w:basedOn w:val="1"/>
    <w:link w:val="69"/>
    <w:qFormat/>
    <w:uiPriority w:val="0"/>
    <w:rPr>
      <w:rFonts w:asciiTheme="minorHAnsi" w:hAnsiTheme="minorHAnsi" w:eastAsiaTheme="minorEastAsia" w:cstheme="minorBidi"/>
      <w:kern w:val="2"/>
      <w:sz w:val="18"/>
      <w:szCs w:val="18"/>
    </w:rPr>
  </w:style>
  <w:style w:type="paragraph" w:styleId="31">
    <w:name w:val="footer"/>
    <w:basedOn w:val="1"/>
    <w:link w:val="81"/>
    <w:qFormat/>
    <w:uiPriority w:val="99"/>
    <w:pPr>
      <w:tabs>
        <w:tab w:val="center" w:pos="4153"/>
        <w:tab w:val="right" w:pos="8306"/>
      </w:tabs>
      <w:snapToGrid w:val="0"/>
    </w:pPr>
    <w:rPr>
      <w:rFonts w:asciiTheme="minorHAnsi" w:hAnsiTheme="minorHAnsi" w:cstheme="minorBidi"/>
      <w:kern w:val="2"/>
      <w:sz w:val="18"/>
      <w:szCs w:val="18"/>
    </w:rPr>
  </w:style>
  <w:style w:type="paragraph" w:styleId="32">
    <w:name w:val="header"/>
    <w:basedOn w:val="1"/>
    <w:link w:val="100"/>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paragraph" w:styleId="33">
    <w:name w:val="Signature"/>
    <w:basedOn w:val="1"/>
    <w:link w:val="151"/>
    <w:qFormat/>
    <w:uiPriority w:val="0"/>
    <w:pPr>
      <w:widowControl w:val="0"/>
      <w:ind w:left="100" w:leftChars="2100"/>
      <w:jc w:val="both"/>
    </w:pPr>
    <w:rPr>
      <w:kern w:val="2"/>
      <w:sz w:val="21"/>
      <w:szCs w:val="24"/>
    </w:rPr>
  </w:style>
  <w:style w:type="paragraph" w:styleId="34">
    <w:name w:val="toc 1"/>
    <w:basedOn w:val="1"/>
    <w:next w:val="1"/>
    <w:qFormat/>
    <w:uiPriority w:val="39"/>
    <w:pPr>
      <w:spacing w:before="120" w:after="120"/>
    </w:pPr>
    <w:rPr>
      <w:b/>
      <w:bCs/>
      <w:caps/>
    </w:rPr>
  </w:style>
  <w:style w:type="paragraph" w:styleId="35">
    <w:name w:val="toc 4"/>
    <w:basedOn w:val="1"/>
    <w:next w:val="1"/>
    <w:qFormat/>
    <w:uiPriority w:val="0"/>
    <w:pPr>
      <w:ind w:left="600"/>
    </w:pPr>
    <w:rPr>
      <w:sz w:val="18"/>
      <w:szCs w:val="18"/>
    </w:rPr>
  </w:style>
  <w:style w:type="paragraph" w:styleId="36">
    <w:name w:val="Subtitle"/>
    <w:basedOn w:val="1"/>
    <w:next w:val="1"/>
    <w:link w:val="113"/>
    <w:qFormat/>
    <w:uiPriority w:val="0"/>
    <w:pPr>
      <w:spacing w:before="240" w:after="60" w:line="312" w:lineRule="auto"/>
      <w:jc w:val="center"/>
      <w:outlineLvl w:val="1"/>
    </w:pPr>
    <w:rPr>
      <w:rFonts w:ascii="Cambria" w:hAnsi="Cambria" w:eastAsiaTheme="minorEastAsia"/>
      <w:b/>
      <w:bCs/>
      <w:kern w:val="28"/>
      <w:sz w:val="32"/>
      <w:szCs w:val="32"/>
    </w:rPr>
  </w:style>
  <w:style w:type="paragraph" w:styleId="37">
    <w:name w:val="List"/>
    <w:basedOn w:val="1"/>
    <w:qFormat/>
    <w:uiPriority w:val="0"/>
    <w:pPr>
      <w:widowControl w:val="0"/>
      <w:ind w:left="200" w:hanging="200" w:hangingChars="200"/>
      <w:jc w:val="both"/>
    </w:pPr>
    <w:rPr>
      <w:kern w:val="2"/>
      <w:sz w:val="21"/>
      <w:szCs w:val="24"/>
    </w:rPr>
  </w:style>
  <w:style w:type="paragraph" w:styleId="38">
    <w:name w:val="footnote text"/>
    <w:basedOn w:val="1"/>
    <w:link w:val="150"/>
    <w:qFormat/>
    <w:uiPriority w:val="0"/>
    <w:pPr>
      <w:snapToGrid w:val="0"/>
    </w:pPr>
    <w:rPr>
      <w:sz w:val="18"/>
      <w:szCs w:val="18"/>
    </w:rPr>
  </w:style>
  <w:style w:type="paragraph" w:styleId="39">
    <w:name w:val="toc 6"/>
    <w:basedOn w:val="1"/>
    <w:next w:val="1"/>
    <w:qFormat/>
    <w:uiPriority w:val="0"/>
    <w:pPr>
      <w:ind w:left="1000"/>
    </w:pPr>
    <w:rPr>
      <w:sz w:val="18"/>
      <w:szCs w:val="18"/>
    </w:rPr>
  </w:style>
  <w:style w:type="paragraph" w:styleId="40">
    <w:name w:val="Body Text Indent 3"/>
    <w:basedOn w:val="1"/>
    <w:link w:val="82"/>
    <w:qFormat/>
    <w:uiPriority w:val="0"/>
    <w:pPr>
      <w:spacing w:after="120"/>
      <w:ind w:left="420" w:leftChars="200"/>
    </w:pPr>
    <w:rPr>
      <w:rFonts w:asciiTheme="minorHAnsi" w:hAnsiTheme="minorHAnsi" w:eastAsiaTheme="minorEastAsia" w:cstheme="minorBidi"/>
      <w:kern w:val="2"/>
      <w:sz w:val="16"/>
      <w:szCs w:val="16"/>
    </w:rPr>
  </w:style>
  <w:style w:type="paragraph" w:styleId="41">
    <w:name w:val="toc 2"/>
    <w:basedOn w:val="1"/>
    <w:next w:val="1"/>
    <w:qFormat/>
    <w:uiPriority w:val="39"/>
    <w:pPr>
      <w:snapToGrid w:val="0"/>
      <w:ind w:left="198"/>
    </w:pPr>
    <w:rPr>
      <w:smallCaps/>
    </w:rPr>
  </w:style>
  <w:style w:type="paragraph" w:styleId="42">
    <w:name w:val="toc 9"/>
    <w:basedOn w:val="1"/>
    <w:next w:val="1"/>
    <w:qFormat/>
    <w:uiPriority w:val="0"/>
    <w:pPr>
      <w:ind w:left="1600"/>
    </w:pPr>
    <w:rPr>
      <w:sz w:val="18"/>
      <w:szCs w:val="18"/>
    </w:rPr>
  </w:style>
  <w:style w:type="paragraph" w:styleId="43">
    <w:name w:val="Body Text 2"/>
    <w:basedOn w:val="1"/>
    <w:link w:val="126"/>
    <w:qFormat/>
    <w:uiPriority w:val="0"/>
    <w:pPr>
      <w:spacing w:after="120" w:line="480" w:lineRule="auto"/>
    </w:pPr>
    <w:rPr>
      <w:rFonts w:asciiTheme="minorHAnsi" w:hAnsiTheme="minorHAnsi" w:eastAsiaTheme="minorEastAsia" w:cstheme="minorBidi"/>
      <w:kern w:val="2"/>
      <w:sz w:val="21"/>
      <w:szCs w:val="22"/>
    </w:rPr>
  </w:style>
  <w:style w:type="paragraph" w:styleId="44">
    <w:name w:val="HTML Preformatted"/>
    <w:basedOn w:val="1"/>
    <w:link w:val="137"/>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paragraph" w:styleId="45">
    <w:name w:val="Normal (Web)"/>
    <w:basedOn w:val="1"/>
    <w:qFormat/>
    <w:uiPriority w:val="99"/>
    <w:pPr>
      <w:spacing w:before="100" w:beforeAutospacing="1" w:after="100" w:afterAutospacing="1"/>
    </w:pPr>
    <w:rPr>
      <w:rFonts w:ascii="宋体" w:hAnsi="宋体"/>
      <w:sz w:val="24"/>
    </w:rPr>
  </w:style>
  <w:style w:type="paragraph" w:styleId="46">
    <w:name w:val="index 1"/>
    <w:basedOn w:val="1"/>
    <w:next w:val="1"/>
    <w:qFormat/>
    <w:uiPriority w:val="0"/>
    <w:pPr>
      <w:widowControl w:val="0"/>
      <w:ind w:firstLine="480" w:firstLineChars="200"/>
      <w:jc w:val="center"/>
    </w:pPr>
    <w:rPr>
      <w:kern w:val="2"/>
      <w:sz w:val="24"/>
      <w:szCs w:val="24"/>
    </w:rPr>
  </w:style>
  <w:style w:type="paragraph" w:styleId="47">
    <w:name w:val="annotation subject"/>
    <w:basedOn w:val="18"/>
    <w:next w:val="18"/>
    <w:link w:val="109"/>
    <w:qFormat/>
    <w:uiPriority w:val="0"/>
    <w:rPr>
      <w:rFonts w:asciiTheme="minorHAnsi" w:hAnsiTheme="minorHAnsi" w:eastAsiaTheme="minorEastAsia" w:cstheme="minorBidi"/>
      <w:b/>
      <w:bCs/>
      <w:kern w:val="2"/>
      <w:sz w:val="21"/>
      <w:szCs w:val="22"/>
    </w:rPr>
  </w:style>
  <w:style w:type="paragraph" w:styleId="48">
    <w:name w:val="Body Text First Indent"/>
    <w:basedOn w:val="20"/>
    <w:link w:val="135"/>
    <w:qFormat/>
    <w:uiPriority w:val="0"/>
    <w:pPr>
      <w:ind w:firstLine="420" w:firstLineChars="100"/>
    </w:pPr>
  </w:style>
  <w:style w:type="paragraph" w:styleId="49">
    <w:name w:val="Body Text First Indent 2"/>
    <w:basedOn w:val="21"/>
    <w:link w:val="183"/>
    <w:qFormat/>
    <w:uiPriority w:val="0"/>
    <w:pPr>
      <w:widowControl w:val="0"/>
      <w:ind w:firstLine="420" w:firstLineChars="200"/>
      <w:jc w:val="both"/>
    </w:pPr>
    <w:rPr>
      <w:szCs w:val="24"/>
    </w:rPr>
  </w:style>
  <w:style w:type="table" w:styleId="51">
    <w:name w:val="Table Grid"/>
    <w:basedOn w:val="5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22"/>
    <w:rPr>
      <w:b/>
      <w:bCs/>
    </w:rPr>
  </w:style>
  <w:style w:type="character" w:styleId="54">
    <w:name w:val="page number"/>
    <w:basedOn w:val="52"/>
    <w:qFormat/>
    <w:uiPriority w:val="0"/>
  </w:style>
  <w:style w:type="character" w:styleId="55">
    <w:name w:val="FollowedHyperlink"/>
    <w:qFormat/>
    <w:uiPriority w:val="0"/>
    <w:rPr>
      <w:color w:val="800080"/>
      <w:u w:val="single"/>
    </w:rPr>
  </w:style>
  <w:style w:type="character" w:styleId="56">
    <w:name w:val="Hyperlink"/>
    <w:qFormat/>
    <w:uiPriority w:val="99"/>
    <w:rPr>
      <w:color w:val="0000FF"/>
      <w:u w:val="single"/>
    </w:rPr>
  </w:style>
  <w:style w:type="character" w:styleId="57">
    <w:name w:val="annotation reference"/>
    <w:qFormat/>
    <w:uiPriority w:val="0"/>
    <w:rPr>
      <w:sz w:val="21"/>
      <w:szCs w:val="21"/>
    </w:rPr>
  </w:style>
  <w:style w:type="character" w:styleId="58">
    <w:name w:val="footnote reference"/>
    <w:qFormat/>
    <w:uiPriority w:val="0"/>
    <w:rPr>
      <w:vertAlign w:val="superscript"/>
    </w:rPr>
  </w:style>
  <w:style w:type="character" w:customStyle="1" w:styleId="59">
    <w:name w:val="标题 1 字符"/>
    <w:basedOn w:val="52"/>
    <w:qFormat/>
    <w:uiPriority w:val="0"/>
    <w:rPr>
      <w:rFonts w:ascii="Times New Roman" w:hAnsi="Times New Roman" w:eastAsia="宋体" w:cs="Times New Roman"/>
      <w:b/>
      <w:bCs/>
      <w:kern w:val="44"/>
      <w:sz w:val="44"/>
      <w:szCs w:val="44"/>
    </w:rPr>
  </w:style>
  <w:style w:type="character" w:customStyle="1" w:styleId="60">
    <w:name w:val="标题 2 字符"/>
    <w:basedOn w:val="52"/>
    <w:qFormat/>
    <w:uiPriority w:val="0"/>
    <w:rPr>
      <w:rFonts w:asciiTheme="majorHAnsi" w:hAnsiTheme="majorHAnsi" w:eastAsiaTheme="majorEastAsia" w:cstheme="majorBidi"/>
      <w:b/>
      <w:bCs/>
      <w:kern w:val="0"/>
      <w:sz w:val="32"/>
      <w:szCs w:val="32"/>
    </w:rPr>
  </w:style>
  <w:style w:type="character" w:customStyle="1" w:styleId="61">
    <w:name w:val="标题 3 字符"/>
    <w:basedOn w:val="52"/>
    <w:qFormat/>
    <w:uiPriority w:val="0"/>
    <w:rPr>
      <w:rFonts w:ascii="Times New Roman" w:hAnsi="Times New Roman" w:eastAsia="宋体" w:cs="Times New Roman"/>
      <w:b/>
      <w:bCs/>
      <w:kern w:val="0"/>
      <w:sz w:val="32"/>
      <w:szCs w:val="32"/>
    </w:rPr>
  </w:style>
  <w:style w:type="character" w:customStyle="1" w:styleId="62">
    <w:name w:val="标题 4 字符"/>
    <w:basedOn w:val="52"/>
    <w:qFormat/>
    <w:uiPriority w:val="0"/>
    <w:rPr>
      <w:rFonts w:asciiTheme="majorHAnsi" w:hAnsiTheme="majorHAnsi" w:eastAsiaTheme="majorEastAsia" w:cstheme="majorBidi"/>
      <w:b/>
      <w:bCs/>
      <w:kern w:val="0"/>
      <w:sz w:val="28"/>
      <w:szCs w:val="28"/>
    </w:rPr>
  </w:style>
  <w:style w:type="character" w:customStyle="1" w:styleId="63">
    <w:name w:val="标题 5 字符"/>
    <w:basedOn w:val="52"/>
    <w:link w:val="7"/>
    <w:qFormat/>
    <w:uiPriority w:val="0"/>
    <w:rPr>
      <w:rFonts w:ascii="Times New Roman" w:hAnsi="Times New Roman" w:eastAsia="宋体" w:cs="Times New Roman"/>
      <w:b/>
      <w:bCs/>
      <w:kern w:val="0"/>
      <w:sz w:val="28"/>
      <w:szCs w:val="28"/>
    </w:rPr>
  </w:style>
  <w:style w:type="character" w:customStyle="1" w:styleId="64">
    <w:name w:val="标题 6 字符"/>
    <w:basedOn w:val="52"/>
    <w:link w:val="8"/>
    <w:qFormat/>
    <w:uiPriority w:val="0"/>
    <w:rPr>
      <w:rFonts w:ascii="Arial" w:hAnsi="Arial" w:eastAsia="黑体" w:cs="Times New Roman"/>
      <w:b/>
      <w:bCs/>
      <w:kern w:val="0"/>
      <w:sz w:val="24"/>
      <w:szCs w:val="24"/>
    </w:rPr>
  </w:style>
  <w:style w:type="character" w:customStyle="1" w:styleId="65">
    <w:name w:val="标题 7 字符"/>
    <w:basedOn w:val="52"/>
    <w:link w:val="9"/>
    <w:qFormat/>
    <w:uiPriority w:val="0"/>
    <w:rPr>
      <w:rFonts w:ascii="Times New Roman" w:hAnsi="Times New Roman" w:eastAsia="宋体" w:cs="Times New Roman"/>
      <w:b/>
      <w:bCs/>
      <w:kern w:val="0"/>
      <w:sz w:val="24"/>
      <w:szCs w:val="24"/>
    </w:rPr>
  </w:style>
  <w:style w:type="character" w:customStyle="1" w:styleId="66">
    <w:name w:val="标题 8 字符"/>
    <w:basedOn w:val="52"/>
    <w:link w:val="10"/>
    <w:qFormat/>
    <w:uiPriority w:val="0"/>
    <w:rPr>
      <w:rFonts w:ascii="Arial" w:hAnsi="Arial" w:eastAsia="黑体" w:cs="Times New Roman"/>
      <w:kern w:val="0"/>
      <w:sz w:val="24"/>
      <w:szCs w:val="20"/>
    </w:rPr>
  </w:style>
  <w:style w:type="character" w:customStyle="1" w:styleId="67">
    <w:name w:val="标题 9 字符"/>
    <w:basedOn w:val="52"/>
    <w:link w:val="11"/>
    <w:qFormat/>
    <w:uiPriority w:val="0"/>
    <w:rPr>
      <w:rFonts w:ascii="Arial" w:hAnsi="Arial" w:eastAsia="黑体" w:cs="Times New Roman"/>
      <w:kern w:val="0"/>
      <w:szCs w:val="21"/>
    </w:rPr>
  </w:style>
  <w:style w:type="character" w:customStyle="1" w:styleId="68">
    <w:name w:val="标题 1 字符2"/>
    <w:link w:val="2"/>
    <w:qFormat/>
    <w:uiPriority w:val="0"/>
    <w:rPr>
      <w:rFonts w:ascii="Times New Roman" w:hAnsi="Times New Roman" w:eastAsia="宋体" w:cs="Times New Roman"/>
      <w:b/>
      <w:bCs/>
      <w:kern w:val="44"/>
      <w:sz w:val="44"/>
      <w:szCs w:val="44"/>
    </w:rPr>
  </w:style>
  <w:style w:type="character" w:customStyle="1" w:styleId="69">
    <w:name w:val="批注框文本 字符"/>
    <w:link w:val="30"/>
    <w:qFormat/>
    <w:uiPriority w:val="0"/>
    <w:rPr>
      <w:sz w:val="18"/>
      <w:szCs w:val="18"/>
    </w:rPr>
  </w:style>
  <w:style w:type="character" w:customStyle="1" w:styleId="70">
    <w:name w:val="正文缩进 字符"/>
    <w:qFormat/>
    <w:uiPriority w:val="0"/>
  </w:style>
  <w:style w:type="character" w:customStyle="1" w:styleId="71">
    <w:name w:val="文档结构图 字符"/>
    <w:qFormat/>
    <w:uiPriority w:val="0"/>
    <w:rPr>
      <w:rFonts w:ascii="宋体"/>
      <w:sz w:val="18"/>
      <w:szCs w:val="18"/>
    </w:rPr>
  </w:style>
  <w:style w:type="character" w:customStyle="1" w:styleId="72">
    <w:name w:val="Char Char1"/>
    <w:qFormat/>
    <w:uiPriority w:val="0"/>
    <w:rPr>
      <w:b/>
      <w:bCs/>
      <w:kern w:val="44"/>
      <w:sz w:val="44"/>
      <w:szCs w:val="44"/>
    </w:rPr>
  </w:style>
  <w:style w:type="character" w:customStyle="1" w:styleId="73">
    <w:name w:val="页脚 字符1"/>
    <w:qFormat/>
    <w:uiPriority w:val="0"/>
    <w:rPr>
      <w:rFonts w:ascii="Times New Roman" w:hAnsi="Times New Roman" w:eastAsia="宋体" w:cs="Times New Roman"/>
      <w:sz w:val="18"/>
      <w:szCs w:val="18"/>
      <w:lang w:val="en-US" w:eastAsia="zh-CN" w:bidi="ar-SA"/>
    </w:rPr>
  </w:style>
  <w:style w:type="character" w:customStyle="1" w:styleId="74">
    <w:name w:val="g1"/>
    <w:qFormat/>
    <w:uiPriority w:val="0"/>
    <w:rPr>
      <w:color w:val="008000"/>
    </w:rPr>
  </w:style>
  <w:style w:type="character" w:customStyle="1" w:styleId="75">
    <w:name w:val="标题 2 字符2"/>
    <w:qFormat/>
    <w:uiPriority w:val="0"/>
    <w:rPr>
      <w:rFonts w:ascii="Arial" w:hAnsi="Arial" w:eastAsia="黑体" w:cs="Times New Roman"/>
      <w:b/>
      <w:bCs/>
      <w:sz w:val="32"/>
      <w:szCs w:val="32"/>
    </w:rPr>
  </w:style>
  <w:style w:type="character" w:customStyle="1" w:styleId="76">
    <w:name w:val="font11"/>
    <w:basedOn w:val="52"/>
    <w:qFormat/>
    <w:uiPriority w:val="0"/>
    <w:rPr>
      <w:rFonts w:hint="eastAsia" w:ascii="宋体" w:hAnsi="宋体" w:eastAsia="宋体" w:cs="宋体"/>
      <w:color w:val="000000"/>
      <w:sz w:val="18"/>
      <w:szCs w:val="18"/>
      <w:u w:val="none"/>
    </w:rPr>
  </w:style>
  <w:style w:type="character" w:customStyle="1" w:styleId="77">
    <w:name w:val="纯文本 字符"/>
    <w:qFormat/>
    <w:uiPriority w:val="0"/>
    <w:rPr>
      <w:rFonts w:ascii="宋体" w:hAnsi="Courier New" w:cs="Courier New"/>
      <w:kern w:val="2"/>
      <w:sz w:val="21"/>
      <w:szCs w:val="21"/>
    </w:rPr>
  </w:style>
  <w:style w:type="character" w:customStyle="1" w:styleId="78">
    <w:name w:val="标题 1 字符1"/>
    <w:qFormat/>
    <w:uiPriority w:val="0"/>
    <w:rPr>
      <w:rFonts w:ascii="Times New Roman" w:hAnsi="Times New Roman" w:eastAsia="宋体" w:cs="Times New Roman"/>
      <w:b/>
      <w:bCs/>
      <w:kern w:val="44"/>
      <w:sz w:val="44"/>
      <w:szCs w:val="44"/>
    </w:rPr>
  </w:style>
  <w:style w:type="character" w:customStyle="1" w:styleId="79">
    <w:name w:val="正文文本 + 间距 0 pt"/>
    <w:qFormat/>
    <w:uiPriority w:val="0"/>
    <w:rPr>
      <w:rFonts w:ascii="MingLiU" w:hAnsi="MingLiU" w:eastAsia="MingLiU" w:cs="MingLiU"/>
      <w:color w:val="000000"/>
      <w:spacing w:val="10"/>
      <w:w w:val="100"/>
      <w:position w:val="0"/>
      <w:sz w:val="19"/>
      <w:szCs w:val="19"/>
      <w:shd w:val="clear" w:color="auto" w:fill="FFFFFF"/>
      <w:lang w:val="zh-TW"/>
    </w:rPr>
  </w:style>
  <w:style w:type="character" w:customStyle="1" w:styleId="80">
    <w:name w:val="正文缩进 字符1"/>
    <w:link w:val="14"/>
    <w:qFormat/>
    <w:uiPriority w:val="0"/>
    <w:rPr>
      <w:rFonts w:ascii="Times New Roman" w:hAnsi="Times New Roman" w:eastAsia="宋体" w:cs="Times New Roman"/>
      <w:kern w:val="0"/>
      <w:sz w:val="20"/>
      <w:szCs w:val="20"/>
    </w:rPr>
  </w:style>
  <w:style w:type="character" w:customStyle="1" w:styleId="81">
    <w:name w:val="页脚 字符2"/>
    <w:link w:val="31"/>
    <w:qFormat/>
    <w:uiPriority w:val="99"/>
    <w:rPr>
      <w:rFonts w:eastAsia="宋体"/>
      <w:sz w:val="18"/>
      <w:szCs w:val="18"/>
    </w:rPr>
  </w:style>
  <w:style w:type="character" w:customStyle="1" w:styleId="82">
    <w:name w:val="正文文本缩进 3 字符"/>
    <w:link w:val="40"/>
    <w:qFormat/>
    <w:uiPriority w:val="0"/>
    <w:rPr>
      <w:sz w:val="16"/>
      <w:szCs w:val="16"/>
    </w:rPr>
  </w:style>
  <w:style w:type="character" w:customStyle="1" w:styleId="83">
    <w:name w:val="页眉 字符1"/>
    <w:qFormat/>
    <w:uiPriority w:val="0"/>
    <w:rPr>
      <w:rFonts w:ascii="Times New Roman" w:hAnsi="Times New Roman" w:eastAsia="宋体" w:cs="Times New Roman"/>
      <w:sz w:val="18"/>
      <w:szCs w:val="18"/>
    </w:rPr>
  </w:style>
  <w:style w:type="character" w:customStyle="1" w:styleId="84">
    <w:name w:val="style11"/>
    <w:qFormat/>
    <w:uiPriority w:val="0"/>
    <w:rPr>
      <w:b/>
      <w:bCs/>
    </w:rPr>
  </w:style>
  <w:style w:type="character" w:customStyle="1" w:styleId="85">
    <w:name w:val="批注文字 字符"/>
    <w:qFormat/>
    <w:uiPriority w:val="0"/>
    <w:rPr>
      <w:sz w:val="24"/>
    </w:rPr>
  </w:style>
  <w:style w:type="character" w:customStyle="1" w:styleId="86">
    <w:name w:val="标题 3 字符2"/>
    <w:qFormat/>
    <w:uiPriority w:val="0"/>
    <w:rPr>
      <w:rFonts w:ascii="Times New Roman" w:hAnsi="Times New Roman" w:eastAsia="宋体" w:cs="Times New Roman"/>
      <w:b/>
      <w:bCs/>
      <w:sz w:val="32"/>
      <w:szCs w:val="32"/>
    </w:rPr>
  </w:style>
  <w:style w:type="character" w:customStyle="1" w:styleId="87">
    <w:name w:val="标题 4 字符1"/>
    <w:link w:val="6"/>
    <w:qFormat/>
    <w:uiPriority w:val="0"/>
    <w:rPr>
      <w:rFonts w:ascii="Arial" w:hAnsi="Arial" w:eastAsia="黑体" w:cs="Times New Roman"/>
      <w:b/>
      <w:bCs/>
      <w:kern w:val="0"/>
      <w:sz w:val="28"/>
      <w:szCs w:val="28"/>
    </w:rPr>
  </w:style>
  <w:style w:type="character" w:customStyle="1" w:styleId="88">
    <w:name w:val="日期 字符"/>
    <w:link w:val="28"/>
    <w:qFormat/>
    <w:uiPriority w:val="0"/>
  </w:style>
  <w:style w:type="character" w:customStyle="1" w:styleId="89">
    <w:name w:val="正文文本 字符"/>
    <w:qFormat/>
    <w:uiPriority w:val="0"/>
    <w:rPr>
      <w:rFonts w:eastAsia="宋体"/>
      <w:lang w:val="en-US" w:eastAsia="zh-CN" w:bidi="ar-SA"/>
    </w:rPr>
  </w:style>
  <w:style w:type="character" w:customStyle="1" w:styleId="90">
    <w:name w:val="标题 2XW Char2"/>
    <w:qFormat/>
    <w:uiPriority w:val="0"/>
    <w:rPr>
      <w:rFonts w:ascii="Cambria" w:hAnsi="Cambria" w:eastAsia="宋体" w:cs="Times New Roman"/>
      <w:b/>
      <w:bCs/>
      <w:sz w:val="32"/>
      <w:szCs w:val="32"/>
    </w:rPr>
  </w:style>
  <w:style w:type="character" w:customStyle="1" w:styleId="91">
    <w:name w:val="Char Char4"/>
    <w:basedOn w:val="52"/>
    <w:qFormat/>
    <w:uiPriority w:val="0"/>
  </w:style>
  <w:style w:type="character" w:customStyle="1" w:styleId="92">
    <w:name w:val="正文文本_"/>
    <w:link w:val="93"/>
    <w:qFormat/>
    <w:uiPriority w:val="0"/>
    <w:rPr>
      <w:rFonts w:ascii="MingLiU" w:hAnsi="MingLiU" w:eastAsia="MingLiU" w:cs="MingLiU"/>
      <w:sz w:val="19"/>
      <w:szCs w:val="19"/>
      <w:shd w:val="clear" w:color="auto" w:fill="FFFFFF"/>
    </w:rPr>
  </w:style>
  <w:style w:type="paragraph" w:customStyle="1" w:styleId="93">
    <w:name w:val="正文文本3"/>
    <w:basedOn w:val="1"/>
    <w:link w:val="92"/>
    <w:qFormat/>
    <w:uiPriority w:val="0"/>
    <w:pPr>
      <w:widowControl w:val="0"/>
      <w:shd w:val="clear" w:color="auto" w:fill="FFFFFF"/>
      <w:spacing w:line="466" w:lineRule="exact"/>
      <w:ind w:hanging="1660"/>
      <w:jc w:val="right"/>
    </w:pPr>
    <w:rPr>
      <w:rFonts w:ascii="MingLiU" w:hAnsi="MingLiU" w:eastAsia="MingLiU" w:cs="MingLiU"/>
      <w:kern w:val="2"/>
      <w:sz w:val="19"/>
      <w:szCs w:val="19"/>
      <w:shd w:val="clear" w:color="auto" w:fill="FFFFFF"/>
    </w:rPr>
  </w:style>
  <w:style w:type="character" w:customStyle="1" w:styleId="94">
    <w:name w:val="标题 3 字符1"/>
    <w:link w:val="5"/>
    <w:qFormat/>
    <w:uiPriority w:val="0"/>
    <w:rPr>
      <w:rFonts w:ascii="Times New Roman" w:hAnsi="Times New Roman" w:eastAsia="宋体" w:cs="Times New Roman"/>
      <w:b/>
      <w:bCs/>
      <w:kern w:val="0"/>
      <w:sz w:val="32"/>
      <w:szCs w:val="32"/>
    </w:rPr>
  </w:style>
  <w:style w:type="character" w:customStyle="1" w:styleId="95">
    <w:name w:val="未处理的提及1"/>
    <w:unhideWhenUsed/>
    <w:qFormat/>
    <w:uiPriority w:val="99"/>
    <w:rPr>
      <w:color w:val="605E5C"/>
      <w:shd w:val="clear" w:color="auto" w:fill="E1DFDD"/>
    </w:rPr>
  </w:style>
  <w:style w:type="character" w:customStyle="1" w:styleId="96">
    <w:name w:val="日期 Char1"/>
    <w:qFormat/>
    <w:uiPriority w:val="0"/>
    <w:rPr>
      <w:kern w:val="2"/>
      <w:sz w:val="21"/>
      <w:szCs w:val="22"/>
    </w:rPr>
  </w:style>
  <w:style w:type="character" w:customStyle="1" w:styleId="97">
    <w:name w:val="页眉 字符"/>
    <w:qFormat/>
    <w:uiPriority w:val="99"/>
    <w:rPr>
      <w:sz w:val="18"/>
      <w:szCs w:val="18"/>
    </w:rPr>
  </w:style>
  <w:style w:type="character" w:customStyle="1" w:styleId="98">
    <w:name w:val="font51"/>
    <w:basedOn w:val="52"/>
    <w:qFormat/>
    <w:uiPriority w:val="0"/>
    <w:rPr>
      <w:rFonts w:hint="eastAsia" w:ascii="宋体" w:hAnsi="宋体" w:eastAsia="宋体" w:cs="宋体"/>
      <w:color w:val="000000"/>
      <w:sz w:val="18"/>
      <w:szCs w:val="18"/>
      <w:u w:val="none"/>
    </w:rPr>
  </w:style>
  <w:style w:type="character" w:customStyle="1" w:styleId="99">
    <w:name w:val="fy"/>
    <w:qFormat/>
    <w:uiPriority w:val="0"/>
  </w:style>
  <w:style w:type="character" w:customStyle="1" w:styleId="100">
    <w:name w:val="页眉 字符2"/>
    <w:link w:val="32"/>
    <w:qFormat/>
    <w:uiPriority w:val="0"/>
    <w:rPr>
      <w:sz w:val="18"/>
      <w:szCs w:val="18"/>
    </w:rPr>
  </w:style>
  <w:style w:type="character" w:customStyle="1" w:styleId="101">
    <w:name w:val="正文文本 字符1"/>
    <w:qFormat/>
    <w:uiPriority w:val="0"/>
    <w:rPr>
      <w:rFonts w:eastAsia="宋体"/>
      <w:lang w:val="en-US" w:eastAsia="zh-CN" w:bidi="ar-SA"/>
    </w:rPr>
  </w:style>
  <w:style w:type="character" w:customStyle="1" w:styleId="102">
    <w:name w:val="纯文本 字符1"/>
    <w:qFormat/>
    <w:uiPriority w:val="0"/>
    <w:rPr>
      <w:rFonts w:ascii="宋体" w:hAnsi="Courier New" w:cs="Courier New"/>
      <w:kern w:val="2"/>
      <w:sz w:val="21"/>
      <w:szCs w:val="21"/>
    </w:rPr>
  </w:style>
  <w:style w:type="character" w:customStyle="1" w:styleId="103">
    <w:name w:val="BoldText"/>
    <w:qFormat/>
    <w:uiPriority w:val="0"/>
    <w:rPr>
      <w:rFonts w:ascii="Times New Roman" w:hAnsi="Times New Roman" w:cs="Times New Roman"/>
      <w:b/>
      <w:bCs/>
    </w:rPr>
  </w:style>
  <w:style w:type="character" w:customStyle="1" w:styleId="104">
    <w:name w:val="文档结构图 字符1"/>
    <w:link w:val="17"/>
    <w:qFormat/>
    <w:uiPriority w:val="0"/>
    <w:rPr>
      <w:rFonts w:ascii="宋体"/>
      <w:sz w:val="18"/>
      <w:szCs w:val="18"/>
    </w:rPr>
  </w:style>
  <w:style w:type="character" w:customStyle="1" w:styleId="105">
    <w:name w:val="zbggmain style9"/>
    <w:qFormat/>
    <w:uiPriority w:val="0"/>
  </w:style>
  <w:style w:type="character" w:customStyle="1" w:styleId="106">
    <w:name w:val="批注文字 字符1"/>
    <w:qFormat/>
    <w:uiPriority w:val="0"/>
    <w:rPr>
      <w:rFonts w:eastAsia="宋体"/>
      <w:sz w:val="24"/>
      <w:lang w:val="en-US" w:eastAsia="zh-CN" w:bidi="ar-SA"/>
    </w:rPr>
  </w:style>
  <w:style w:type="character" w:customStyle="1" w:styleId="107">
    <w:name w:val="font21"/>
    <w:basedOn w:val="52"/>
    <w:qFormat/>
    <w:uiPriority w:val="0"/>
    <w:rPr>
      <w:rFonts w:hint="eastAsia" w:ascii="宋体" w:hAnsi="宋体" w:eastAsia="宋体" w:cs="宋体"/>
      <w:color w:val="000000"/>
      <w:sz w:val="18"/>
      <w:szCs w:val="18"/>
      <w:u w:val="none"/>
    </w:rPr>
  </w:style>
  <w:style w:type="character" w:customStyle="1" w:styleId="108">
    <w:name w:val="纯文本 字符2"/>
    <w:link w:val="26"/>
    <w:qFormat/>
    <w:uiPriority w:val="0"/>
    <w:rPr>
      <w:rFonts w:ascii="宋体" w:hAnsi="Courier New" w:eastAsia="宋体" w:cs="Courier New"/>
      <w:szCs w:val="21"/>
    </w:rPr>
  </w:style>
  <w:style w:type="character" w:customStyle="1" w:styleId="109">
    <w:name w:val="批注主题 字符"/>
    <w:link w:val="47"/>
    <w:qFormat/>
    <w:uiPriority w:val="0"/>
    <w:rPr>
      <w:b/>
      <w:bCs/>
    </w:rPr>
  </w:style>
  <w:style w:type="character" w:customStyle="1" w:styleId="110">
    <w:name w:val="页脚 字符"/>
    <w:qFormat/>
    <w:uiPriority w:val="99"/>
    <w:rPr>
      <w:rFonts w:eastAsia="宋体"/>
      <w:sz w:val="18"/>
      <w:szCs w:val="18"/>
      <w:lang w:val="en-US" w:eastAsia="zh-CN" w:bidi="ar-SA"/>
    </w:rPr>
  </w:style>
  <w:style w:type="character" w:customStyle="1" w:styleId="111">
    <w:name w:val="无间隔 字符"/>
    <w:link w:val="112"/>
    <w:qFormat/>
    <w:uiPriority w:val="0"/>
    <w:rPr>
      <w:rFonts w:ascii="Calibri" w:hAnsi="Calibri"/>
      <w:sz w:val="22"/>
    </w:rPr>
  </w:style>
  <w:style w:type="paragraph" w:styleId="112">
    <w:name w:val="No Spacing"/>
    <w:link w:val="111"/>
    <w:qFormat/>
    <w:uiPriority w:val="0"/>
    <w:rPr>
      <w:rFonts w:ascii="Calibri" w:hAnsi="Calibri" w:eastAsiaTheme="minorEastAsia" w:cstheme="minorBidi"/>
      <w:kern w:val="2"/>
      <w:sz w:val="22"/>
      <w:szCs w:val="22"/>
      <w:lang w:val="en-US" w:eastAsia="zh-CN" w:bidi="ar-SA"/>
    </w:rPr>
  </w:style>
  <w:style w:type="character" w:customStyle="1" w:styleId="113">
    <w:name w:val="副标题 字符"/>
    <w:link w:val="36"/>
    <w:qFormat/>
    <w:uiPriority w:val="0"/>
    <w:rPr>
      <w:rFonts w:ascii="Cambria" w:hAnsi="Cambria" w:cs="Times New Roman"/>
      <w:b/>
      <w:bCs/>
      <w:kern w:val="28"/>
      <w:sz w:val="32"/>
      <w:szCs w:val="32"/>
    </w:rPr>
  </w:style>
  <w:style w:type="character" w:customStyle="1" w:styleId="114">
    <w:name w:val="标题 2 字符1"/>
    <w:link w:val="4"/>
    <w:qFormat/>
    <w:uiPriority w:val="0"/>
    <w:rPr>
      <w:rFonts w:ascii="Arial" w:hAnsi="Arial" w:eastAsia="黑体"/>
      <w:b/>
      <w:bCs/>
      <w:sz w:val="32"/>
      <w:szCs w:val="32"/>
    </w:rPr>
  </w:style>
  <w:style w:type="character" w:customStyle="1" w:styleId="115">
    <w:name w:val="HTML Markup"/>
    <w:qFormat/>
    <w:uiPriority w:val="0"/>
    <w:rPr>
      <w:vanish/>
      <w:color w:val="FF0000"/>
    </w:rPr>
  </w:style>
  <w:style w:type="character" w:customStyle="1" w:styleId="116">
    <w:name w:val="javascript"/>
    <w:qFormat/>
    <w:uiPriority w:val="0"/>
  </w:style>
  <w:style w:type="character" w:customStyle="1" w:styleId="117">
    <w:name w:val="纯文本 Char1"/>
    <w:qFormat/>
    <w:uiPriority w:val="0"/>
    <w:rPr>
      <w:rFonts w:ascii="宋体" w:hAnsi="Courier New" w:cs="Courier New"/>
      <w:sz w:val="21"/>
      <w:szCs w:val="21"/>
    </w:rPr>
  </w:style>
  <w:style w:type="character" w:customStyle="1" w:styleId="118">
    <w:name w:val="标题 2 字符3"/>
    <w:qFormat/>
    <w:uiPriority w:val="0"/>
    <w:rPr>
      <w:rFonts w:ascii="Arial" w:hAnsi="Arial" w:eastAsia="黑体"/>
      <w:b/>
      <w:bCs/>
      <w:sz w:val="32"/>
      <w:szCs w:val="32"/>
    </w:rPr>
  </w:style>
  <w:style w:type="character" w:customStyle="1" w:styleId="119">
    <w:name w:val="正文文本缩进 字符1"/>
    <w:link w:val="21"/>
    <w:qFormat/>
    <w:uiPriority w:val="0"/>
  </w:style>
  <w:style w:type="character" w:customStyle="1" w:styleId="120">
    <w:name w:val="题注 字符"/>
    <w:link w:val="15"/>
    <w:qFormat/>
    <w:uiPriority w:val="0"/>
    <w:rPr>
      <w:rFonts w:ascii="Arial" w:hAnsi="Arial" w:eastAsia="黑体" w:cs="Arial"/>
    </w:rPr>
  </w:style>
  <w:style w:type="character" w:customStyle="1" w:styleId="121">
    <w:name w:val="样式3"/>
    <w:qFormat/>
    <w:uiPriority w:val="0"/>
    <w:rPr>
      <w:rFonts w:ascii="黑体" w:hAnsi="黑体" w:eastAsia="宋体"/>
      <w:color w:val="FF0000"/>
      <w:sz w:val="21"/>
      <w:szCs w:val="30"/>
    </w:rPr>
  </w:style>
  <w:style w:type="character" w:customStyle="1" w:styleId="122">
    <w:name w:val="jianju"/>
    <w:qFormat/>
    <w:uiPriority w:val="0"/>
  </w:style>
  <w:style w:type="character" w:customStyle="1" w:styleId="123">
    <w:name w:val="Char Char3"/>
    <w:qFormat/>
    <w:uiPriority w:val="0"/>
    <w:rPr>
      <w:sz w:val="18"/>
    </w:rPr>
  </w:style>
  <w:style w:type="character" w:customStyle="1" w:styleId="124">
    <w:name w:val="正文文本缩进 2 字符"/>
    <w:link w:val="29"/>
    <w:qFormat/>
    <w:uiPriority w:val="0"/>
  </w:style>
  <w:style w:type="character" w:customStyle="1" w:styleId="125">
    <w:name w:val="正文文本缩进 字符"/>
    <w:qFormat/>
    <w:uiPriority w:val="0"/>
  </w:style>
  <w:style w:type="character" w:customStyle="1" w:styleId="126">
    <w:name w:val="正文文本 2 字符"/>
    <w:link w:val="43"/>
    <w:qFormat/>
    <w:uiPriority w:val="0"/>
  </w:style>
  <w:style w:type="paragraph" w:styleId="127">
    <w:name w:val="List Paragraph"/>
    <w:basedOn w:val="1"/>
    <w:qFormat/>
    <w:uiPriority w:val="34"/>
    <w:pPr>
      <w:widowControl w:val="0"/>
      <w:ind w:firstLine="420" w:firstLineChars="200"/>
      <w:jc w:val="both"/>
    </w:pPr>
    <w:rPr>
      <w:kern w:val="2"/>
      <w:sz w:val="21"/>
      <w:szCs w:val="22"/>
    </w:rPr>
  </w:style>
  <w:style w:type="paragraph" w:customStyle="1" w:styleId="128">
    <w:name w:val="批注框文本 Char Char"/>
    <w:basedOn w:val="1"/>
    <w:qFormat/>
    <w:uiPriority w:val="0"/>
    <w:rPr>
      <w:sz w:val="18"/>
    </w:rPr>
  </w:style>
  <w:style w:type="paragraph" w:customStyle="1" w:styleId="129">
    <w:name w:val="p0"/>
    <w:basedOn w:val="1"/>
    <w:qFormat/>
    <w:uiPriority w:val="0"/>
    <w:rPr>
      <w:rFonts w:ascii="宋体"/>
      <w:sz w:val="34"/>
      <w:szCs w:val="21"/>
    </w:rPr>
  </w:style>
  <w:style w:type="paragraph" w:customStyle="1" w:styleId="130">
    <w:name w:val="Normal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1">
    <w:name w:val="xl72"/>
    <w:basedOn w:val="1"/>
    <w:qFormat/>
    <w:uiPriority w:val="0"/>
    <w:pPr>
      <w:pBdr>
        <w:top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2">
    <w:name w:val="修订1"/>
    <w:qFormat/>
    <w:uiPriority w:val="0"/>
    <w:rPr>
      <w:rFonts w:ascii="Times New Roman" w:hAnsi="Times New Roman" w:eastAsia="宋体" w:cs="Times New Roman"/>
      <w:lang w:val="en-US" w:eastAsia="zh-CN" w:bidi="ar-SA"/>
    </w:rPr>
  </w:style>
  <w:style w:type="paragraph" w:customStyle="1" w:styleId="133">
    <w:name w:val="Blockquote"/>
    <w:basedOn w:val="1"/>
    <w:qFormat/>
    <w:uiPriority w:val="0"/>
    <w:pPr>
      <w:widowControl w:val="0"/>
      <w:autoSpaceDE w:val="0"/>
      <w:autoSpaceDN w:val="0"/>
      <w:adjustRightInd w:val="0"/>
      <w:spacing w:before="100" w:after="100"/>
      <w:ind w:left="360" w:right="360"/>
    </w:pPr>
    <w:rPr>
      <w:sz w:val="24"/>
    </w:rPr>
  </w:style>
  <w:style w:type="character" w:customStyle="1" w:styleId="134">
    <w:name w:val="正文文本 字符2"/>
    <w:basedOn w:val="52"/>
    <w:link w:val="20"/>
    <w:qFormat/>
    <w:uiPriority w:val="0"/>
    <w:rPr>
      <w:rFonts w:ascii="Times New Roman" w:hAnsi="Times New Roman" w:eastAsia="宋体" w:cs="Times New Roman"/>
      <w:kern w:val="0"/>
      <w:sz w:val="20"/>
      <w:szCs w:val="20"/>
    </w:rPr>
  </w:style>
  <w:style w:type="character" w:customStyle="1" w:styleId="135">
    <w:name w:val="正文首行缩进 字符"/>
    <w:basedOn w:val="134"/>
    <w:link w:val="48"/>
    <w:qFormat/>
    <w:uiPriority w:val="0"/>
    <w:rPr>
      <w:rFonts w:ascii="Times New Roman" w:hAnsi="Times New Roman" w:eastAsia="宋体" w:cs="Times New Roman"/>
      <w:kern w:val="0"/>
      <w:sz w:val="20"/>
      <w:szCs w:val="20"/>
    </w:rPr>
  </w:style>
  <w:style w:type="paragraph" w:customStyle="1" w:styleId="136">
    <w:name w:val="xl81"/>
    <w:basedOn w:val="1"/>
    <w:qFormat/>
    <w:uiPriority w:val="0"/>
    <w:pPr>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character" w:customStyle="1" w:styleId="137">
    <w:name w:val="HTML 预设格式 字符"/>
    <w:basedOn w:val="52"/>
    <w:link w:val="44"/>
    <w:qFormat/>
    <w:uiPriority w:val="0"/>
    <w:rPr>
      <w:rFonts w:ascii="宋体" w:hAnsi="宋体" w:eastAsia="宋体" w:cs="宋体"/>
      <w:kern w:val="0"/>
      <w:sz w:val="24"/>
      <w:szCs w:val="24"/>
    </w:rPr>
  </w:style>
  <w:style w:type="paragraph" w:customStyle="1" w:styleId="138">
    <w:name w:val="_Style 1"/>
    <w:basedOn w:val="1"/>
    <w:qFormat/>
    <w:uiPriority w:val="0"/>
    <w:pPr>
      <w:widowControl w:val="0"/>
      <w:ind w:firstLine="420" w:firstLineChars="200"/>
      <w:jc w:val="both"/>
    </w:pPr>
    <w:rPr>
      <w:kern w:val="2"/>
      <w:sz w:val="21"/>
      <w:szCs w:val="22"/>
    </w:rPr>
  </w:style>
  <w:style w:type="paragraph" w:customStyle="1" w:styleId="139">
    <w:name w:val="样式 样式 样式 宋体 小四 黑色 两端对齐 + 首行缩进:  2 字符 + 五号 首行缩进:  2 字符"/>
    <w:basedOn w:val="1"/>
    <w:qFormat/>
    <w:uiPriority w:val="0"/>
    <w:pPr>
      <w:spacing w:line="340" w:lineRule="exact"/>
      <w:ind w:firstLine="200" w:firstLineChars="200"/>
      <w:jc w:val="both"/>
    </w:pPr>
    <w:rPr>
      <w:rFonts w:ascii="宋体" w:hAnsi="宋体"/>
      <w:color w:val="000000"/>
      <w:sz w:val="21"/>
    </w:rPr>
  </w:style>
  <w:style w:type="paragraph" w:customStyle="1" w:styleId="140">
    <w:name w:val="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141">
    <w:name w:val="目录文字"/>
    <w:basedOn w:val="1"/>
    <w:qFormat/>
    <w:uiPriority w:val="0"/>
    <w:pPr>
      <w:spacing w:line="480" w:lineRule="auto"/>
    </w:pPr>
    <w:rPr>
      <w:rFonts w:ascii="宋体" w:hAnsi="宋体"/>
      <w:sz w:val="24"/>
    </w:rPr>
  </w:style>
  <w:style w:type="paragraph" w:customStyle="1" w:styleId="142">
    <w:name w:val="p2"/>
    <w:basedOn w:val="1"/>
    <w:qFormat/>
    <w:uiPriority w:val="0"/>
    <w:pPr>
      <w:spacing w:line="480" w:lineRule="auto"/>
      <w:ind w:firstLine="420"/>
    </w:pPr>
    <w:rPr>
      <w:rFonts w:ascii="宋体" w:hAnsi="宋体" w:cs="宋体"/>
      <w:sz w:val="21"/>
      <w:szCs w:val="21"/>
    </w:rPr>
  </w:style>
  <w:style w:type="paragraph" w:customStyle="1" w:styleId="143">
    <w:name w:val="p12"/>
    <w:basedOn w:val="1"/>
    <w:qFormat/>
    <w:uiPriority w:val="0"/>
    <w:pPr>
      <w:spacing w:line="480" w:lineRule="auto"/>
    </w:pPr>
    <w:rPr>
      <w:rFonts w:ascii="宋体" w:hAnsi="宋体" w:cs="宋体"/>
      <w:sz w:val="21"/>
      <w:szCs w:val="21"/>
    </w:rPr>
  </w:style>
  <w:style w:type="paragraph" w:customStyle="1" w:styleId="144">
    <w:name w:val="xl75"/>
    <w:basedOn w:val="1"/>
    <w:qFormat/>
    <w:uiPriority w:val="0"/>
    <w:pPr>
      <w:pBdr>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45">
    <w:name w:val="Agreement Section"/>
    <w:basedOn w:val="1"/>
    <w:qFormat/>
    <w:uiPriority w:val="0"/>
    <w:pPr>
      <w:widowControl w:val="0"/>
      <w:numPr>
        <w:ilvl w:val="0"/>
        <w:numId w:val="1"/>
      </w:numPr>
      <w:spacing w:line="460" w:lineRule="exact"/>
    </w:pPr>
    <w:rPr>
      <w:rFonts w:ascii="黑体" w:hAnsi="微软雅黑" w:eastAsia="黑体" w:cs="宋体"/>
      <w:color w:val="000000"/>
      <w:sz w:val="21"/>
      <w:szCs w:val="21"/>
    </w:rPr>
  </w:style>
  <w:style w:type="character" w:customStyle="1" w:styleId="146">
    <w:name w:val="副标题 字符1"/>
    <w:basedOn w:val="52"/>
    <w:qFormat/>
    <w:uiPriority w:val="11"/>
    <w:rPr>
      <w:b/>
      <w:bCs/>
      <w:kern w:val="28"/>
      <w:sz w:val="32"/>
      <w:szCs w:val="32"/>
    </w:rPr>
  </w:style>
  <w:style w:type="character" w:customStyle="1" w:styleId="147">
    <w:name w:val="批注文字 字符2"/>
    <w:basedOn w:val="52"/>
    <w:link w:val="18"/>
    <w:qFormat/>
    <w:uiPriority w:val="0"/>
    <w:rPr>
      <w:rFonts w:ascii="Times New Roman" w:hAnsi="Times New Roman" w:eastAsia="宋体" w:cs="Times New Roman"/>
      <w:kern w:val="0"/>
      <w:sz w:val="20"/>
      <w:szCs w:val="20"/>
    </w:rPr>
  </w:style>
  <w:style w:type="character" w:customStyle="1" w:styleId="148">
    <w:name w:val="批注主题 字符1"/>
    <w:basedOn w:val="147"/>
    <w:semiHidden/>
    <w:qFormat/>
    <w:uiPriority w:val="99"/>
    <w:rPr>
      <w:rFonts w:ascii="Times New Roman" w:hAnsi="Times New Roman" w:eastAsia="宋体" w:cs="Times New Roman"/>
      <w:b/>
      <w:bCs/>
      <w:kern w:val="0"/>
      <w:sz w:val="20"/>
      <w:szCs w:val="20"/>
    </w:rPr>
  </w:style>
  <w:style w:type="paragraph" w:customStyle="1" w:styleId="149">
    <w:name w:val="_Style 118"/>
    <w:basedOn w:val="21"/>
    <w:next w:val="49"/>
    <w:qFormat/>
    <w:uiPriority w:val="0"/>
    <w:pPr>
      <w:widowControl w:val="0"/>
      <w:ind w:firstLine="420" w:firstLineChars="200"/>
      <w:jc w:val="both"/>
    </w:pPr>
    <w:rPr>
      <w:szCs w:val="24"/>
    </w:rPr>
  </w:style>
  <w:style w:type="character" w:customStyle="1" w:styleId="150">
    <w:name w:val="脚注文本 字符"/>
    <w:basedOn w:val="52"/>
    <w:link w:val="38"/>
    <w:qFormat/>
    <w:uiPriority w:val="0"/>
    <w:rPr>
      <w:rFonts w:ascii="Times New Roman" w:hAnsi="Times New Roman" w:eastAsia="宋体" w:cs="Times New Roman"/>
      <w:kern w:val="0"/>
      <w:sz w:val="18"/>
      <w:szCs w:val="18"/>
    </w:rPr>
  </w:style>
  <w:style w:type="character" w:customStyle="1" w:styleId="151">
    <w:name w:val="签名 字符"/>
    <w:basedOn w:val="52"/>
    <w:link w:val="33"/>
    <w:qFormat/>
    <w:uiPriority w:val="0"/>
    <w:rPr>
      <w:rFonts w:ascii="Times New Roman" w:hAnsi="Times New Roman" w:eastAsia="宋体" w:cs="Times New Roman"/>
      <w:szCs w:val="24"/>
    </w:rPr>
  </w:style>
  <w:style w:type="paragraph" w:customStyle="1" w:styleId="152">
    <w:name w:val="Char Char Char Char1 Char Char Char Char Char1 Char Char Char Char Char Char Char"/>
    <w:basedOn w:val="1"/>
    <w:qFormat/>
    <w:uiPriority w:val="0"/>
    <w:pPr>
      <w:widowControl w:val="0"/>
      <w:spacing w:line="240" w:lineRule="atLeast"/>
      <w:ind w:left="420" w:firstLine="420"/>
      <w:jc w:val="both"/>
    </w:pPr>
    <w:rPr>
      <w:sz w:val="21"/>
      <w:szCs w:val="21"/>
    </w:rPr>
  </w:style>
  <w:style w:type="paragraph" w:customStyle="1" w:styleId="153">
    <w:name w:val="xl69"/>
    <w:basedOn w:val="1"/>
    <w:qFormat/>
    <w:uiPriority w:val="0"/>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54">
    <w:name w:val="xl80"/>
    <w:basedOn w:val="1"/>
    <w:qFormat/>
    <w:uiPriority w:val="0"/>
    <w:pPr>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55">
    <w:name w:val="Char Char Char Char Char Char Char Char Char Char1"/>
    <w:basedOn w:val="1"/>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156">
    <w:name w:val="样式2"/>
    <w:basedOn w:val="6"/>
    <w:next w:val="6"/>
    <w:qFormat/>
    <w:uiPriority w:val="0"/>
    <w:rPr>
      <w:rFonts w:ascii="黑体"/>
      <w:sz w:val="24"/>
      <w:szCs w:val="30"/>
    </w:rPr>
  </w:style>
  <w:style w:type="paragraph" w:customStyle="1" w:styleId="157">
    <w:name w:val="Char2"/>
    <w:basedOn w:val="1"/>
    <w:qFormat/>
    <w:uiPriority w:val="0"/>
    <w:pPr>
      <w:widowControl w:val="0"/>
      <w:jc w:val="both"/>
    </w:pPr>
    <w:rPr>
      <w:rFonts w:ascii="Tahoma" w:hAnsi="Tahoma"/>
      <w:kern w:val="2"/>
      <w:sz w:val="24"/>
    </w:rPr>
  </w:style>
  <w:style w:type="character" w:customStyle="1" w:styleId="158">
    <w:name w:val="正文文本 2 字符1"/>
    <w:basedOn w:val="52"/>
    <w:semiHidden/>
    <w:qFormat/>
    <w:uiPriority w:val="99"/>
    <w:rPr>
      <w:rFonts w:ascii="Times New Roman" w:hAnsi="Times New Roman" w:eastAsia="宋体" w:cs="Times New Roman"/>
      <w:kern w:val="0"/>
      <w:sz w:val="20"/>
      <w:szCs w:val="20"/>
    </w:rPr>
  </w:style>
  <w:style w:type="paragraph" w:customStyle="1" w:styleId="159">
    <w:name w:val="xl77"/>
    <w:basedOn w:val="1"/>
    <w:qFormat/>
    <w:uiPriority w:val="0"/>
    <w:pPr>
      <w:pBdr>
        <w:top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character" w:customStyle="1" w:styleId="160">
    <w:name w:val="页眉 字符3"/>
    <w:basedOn w:val="52"/>
    <w:semiHidden/>
    <w:qFormat/>
    <w:uiPriority w:val="99"/>
    <w:rPr>
      <w:rFonts w:ascii="Times New Roman" w:hAnsi="Times New Roman" w:eastAsia="宋体" w:cs="Times New Roman"/>
      <w:kern w:val="0"/>
      <w:sz w:val="18"/>
      <w:szCs w:val="18"/>
    </w:rPr>
  </w:style>
  <w:style w:type="character" w:customStyle="1" w:styleId="161">
    <w:name w:val="批注框文本 字符1"/>
    <w:basedOn w:val="52"/>
    <w:semiHidden/>
    <w:qFormat/>
    <w:uiPriority w:val="99"/>
    <w:rPr>
      <w:rFonts w:ascii="Times New Roman" w:hAnsi="Times New Roman" w:eastAsia="宋体" w:cs="Times New Roman"/>
      <w:kern w:val="0"/>
      <w:sz w:val="18"/>
      <w:szCs w:val="18"/>
    </w:rPr>
  </w:style>
  <w:style w:type="paragraph" w:customStyle="1" w:styleId="162">
    <w:name w:val="Char"/>
    <w:basedOn w:val="1"/>
    <w:qFormat/>
    <w:uiPriority w:val="0"/>
    <w:pPr>
      <w:widowControl w:val="0"/>
      <w:jc w:val="both"/>
    </w:pPr>
    <w:rPr>
      <w:kern w:val="2"/>
      <w:sz w:val="21"/>
      <w:szCs w:val="24"/>
    </w:rPr>
  </w:style>
  <w:style w:type="character" w:customStyle="1" w:styleId="163">
    <w:name w:val="文档结构图 字符2"/>
    <w:basedOn w:val="52"/>
    <w:semiHidden/>
    <w:qFormat/>
    <w:uiPriority w:val="99"/>
    <w:rPr>
      <w:rFonts w:ascii="Microsoft YaHei UI" w:hAnsi="Times New Roman" w:eastAsia="Microsoft YaHei UI" w:cs="Times New Roman"/>
      <w:kern w:val="0"/>
      <w:sz w:val="18"/>
      <w:szCs w:val="18"/>
    </w:rPr>
  </w:style>
  <w:style w:type="paragraph" w:customStyle="1" w:styleId="164">
    <w:name w:val="默认段落字体 Para Char"/>
    <w:basedOn w:val="1"/>
    <w:qFormat/>
    <w:uiPriority w:val="0"/>
    <w:pPr>
      <w:widowControl w:val="0"/>
      <w:snapToGrid w:val="0"/>
      <w:spacing w:line="360" w:lineRule="auto"/>
      <w:ind w:firstLine="200" w:firstLineChars="200"/>
      <w:jc w:val="both"/>
    </w:pPr>
    <w:rPr>
      <w:rFonts w:eastAsia="仿宋_GB2312"/>
      <w:kern w:val="2"/>
      <w:sz w:val="24"/>
      <w:szCs w:val="24"/>
    </w:rPr>
  </w:style>
  <w:style w:type="character" w:customStyle="1" w:styleId="165">
    <w:name w:val="正文文本缩进 字符2"/>
    <w:basedOn w:val="52"/>
    <w:semiHidden/>
    <w:qFormat/>
    <w:uiPriority w:val="99"/>
    <w:rPr>
      <w:rFonts w:ascii="Times New Roman" w:hAnsi="Times New Roman" w:eastAsia="宋体" w:cs="Times New Roman"/>
      <w:kern w:val="0"/>
      <w:sz w:val="20"/>
      <w:szCs w:val="20"/>
    </w:rPr>
  </w:style>
  <w:style w:type="paragraph" w:customStyle="1" w:styleId="166">
    <w:name w:val="无间隔1"/>
    <w:qFormat/>
    <w:uiPriority w:val="0"/>
    <w:pPr>
      <w:adjustRightInd w:val="0"/>
      <w:snapToGrid w:val="0"/>
    </w:pPr>
    <w:rPr>
      <w:rFonts w:ascii="Tahoma" w:hAnsi="Tahoma" w:eastAsia="微软雅黑" w:cs="Times New Roman"/>
      <w:sz w:val="22"/>
      <w:szCs w:val="22"/>
      <w:lang w:val="en-US" w:eastAsia="zh-CN" w:bidi="ar-SA"/>
    </w:rPr>
  </w:style>
  <w:style w:type="paragraph" w:customStyle="1" w:styleId="167">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cs="宋体"/>
      <w:b w:val="0"/>
      <w:bCs w:val="0"/>
      <w:kern w:val="2"/>
      <w:sz w:val="28"/>
      <w:szCs w:val="20"/>
    </w:rPr>
  </w:style>
  <w:style w:type="paragraph" w:customStyle="1" w:styleId="168">
    <w:name w:val="样式1"/>
    <w:basedOn w:val="6"/>
    <w:qFormat/>
    <w:uiPriority w:val="0"/>
    <w:rPr>
      <w:rFonts w:ascii="黑体"/>
      <w:sz w:val="24"/>
      <w:szCs w:val="30"/>
    </w:rPr>
  </w:style>
  <w:style w:type="paragraph" w:customStyle="1" w:styleId="169">
    <w:name w:val="PP 行"/>
    <w:basedOn w:val="33"/>
    <w:qFormat/>
    <w:uiPriority w:val="0"/>
  </w:style>
  <w:style w:type="paragraph" w:customStyle="1" w:styleId="170">
    <w:name w:val="xl7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71">
    <w:name w:val="Char Char Char Char1 Char Char Char Char Char1 Char Char Char Char Char Char Char Char Char Char Char Char Char"/>
    <w:basedOn w:val="1"/>
    <w:qFormat/>
    <w:uiPriority w:val="0"/>
    <w:pPr>
      <w:widowControl w:val="0"/>
      <w:spacing w:line="240" w:lineRule="atLeast"/>
      <w:ind w:left="420" w:firstLine="420"/>
      <w:jc w:val="both"/>
    </w:pPr>
    <w:rPr>
      <w:sz w:val="21"/>
      <w:szCs w:val="21"/>
    </w:rPr>
  </w:style>
  <w:style w:type="character" w:customStyle="1" w:styleId="172">
    <w:name w:val="正文文本缩进 3 字符1"/>
    <w:basedOn w:val="52"/>
    <w:semiHidden/>
    <w:qFormat/>
    <w:uiPriority w:val="99"/>
    <w:rPr>
      <w:rFonts w:ascii="Times New Roman" w:hAnsi="Times New Roman" w:eastAsia="宋体" w:cs="Times New Roman"/>
      <w:kern w:val="0"/>
      <w:sz w:val="16"/>
      <w:szCs w:val="16"/>
    </w:rPr>
  </w:style>
  <w:style w:type="paragraph" w:customStyle="1" w:styleId="173">
    <w:name w:val="7"/>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74">
    <w:name w:val="xl78"/>
    <w:basedOn w:val="1"/>
    <w:qFormat/>
    <w:uiPriority w:val="0"/>
    <w:pPr>
      <w:pBdr>
        <w:top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75">
    <w:name w:val="xl76"/>
    <w:basedOn w:val="1"/>
    <w:qFormat/>
    <w:uiPriority w:val="0"/>
    <w:pPr>
      <w:pBdr>
        <w:top w:val="single" w:color="auto" w:sz="4" w:space="0"/>
        <w:left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76">
    <w:name w:val="Char1"/>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77">
    <w:name w:val="Char Char Char Char Char Char Char Char Char Char Char Char Char Char Char Char Char Char Char Char Char Char"/>
    <w:basedOn w:val="1"/>
    <w:qFormat/>
    <w:uiPriority w:val="0"/>
    <w:pPr>
      <w:spacing w:after="160" w:line="240" w:lineRule="exact"/>
    </w:pPr>
    <w:rPr>
      <w:rFonts w:ascii="Verdana" w:hAnsi="Verdana" w:eastAsia="仿宋_GB2312"/>
      <w:sz w:val="24"/>
      <w:lang w:eastAsia="en-US"/>
    </w:rPr>
  </w:style>
  <w:style w:type="paragraph" w:customStyle="1" w:styleId="178">
    <w:name w:val="_Style 27"/>
    <w:basedOn w:val="1"/>
    <w:next w:val="23"/>
    <w:qFormat/>
    <w:uiPriority w:val="0"/>
    <w:pPr>
      <w:widowControl w:val="0"/>
      <w:adjustRightInd w:val="0"/>
      <w:ind w:left="420" w:right="33"/>
      <w:textAlignment w:val="baseline"/>
    </w:pPr>
    <w:rPr>
      <w:sz w:val="24"/>
    </w:rPr>
  </w:style>
  <w:style w:type="paragraph" w:customStyle="1" w:styleId="179">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180">
    <w:name w:val="Char6 Char Char Char"/>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81">
    <w:name w:val="标题4"/>
    <w:basedOn w:val="1"/>
    <w:next w:val="6"/>
    <w:qFormat/>
    <w:uiPriority w:val="0"/>
    <w:rPr>
      <w:rFonts w:ascii="黑体" w:eastAsia="黑体"/>
      <w:sz w:val="24"/>
      <w:szCs w:val="30"/>
    </w:rPr>
  </w:style>
  <w:style w:type="paragraph" w:customStyle="1" w:styleId="182">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character" w:customStyle="1" w:styleId="183">
    <w:name w:val="正文首行缩进 2 字符"/>
    <w:basedOn w:val="165"/>
    <w:link w:val="49"/>
    <w:qFormat/>
    <w:uiPriority w:val="0"/>
    <w:rPr>
      <w:rFonts w:ascii="Times New Roman" w:hAnsi="Times New Roman" w:eastAsia="宋体" w:cs="Times New Roman"/>
      <w:kern w:val="0"/>
      <w:sz w:val="20"/>
      <w:szCs w:val="24"/>
    </w:rPr>
  </w:style>
  <w:style w:type="paragraph" w:customStyle="1" w:styleId="184">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85">
    <w:name w:val="xl71"/>
    <w:basedOn w:val="1"/>
    <w:qFormat/>
    <w:uiPriority w:val="0"/>
    <w:pPr>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86">
    <w:name w:val="Char6 Char Char Char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character" w:customStyle="1" w:styleId="187">
    <w:name w:val="纯文本 字符3"/>
    <w:basedOn w:val="52"/>
    <w:semiHidden/>
    <w:qFormat/>
    <w:uiPriority w:val="99"/>
    <w:rPr>
      <w:rFonts w:hAnsi="Courier New" w:cs="Courier New" w:asciiTheme="minorEastAsia"/>
      <w:kern w:val="0"/>
      <w:sz w:val="20"/>
      <w:szCs w:val="20"/>
    </w:rPr>
  </w:style>
  <w:style w:type="paragraph" w:customStyle="1" w:styleId="188">
    <w:name w:val="_Style 54"/>
    <w:basedOn w:val="1"/>
    <w:qFormat/>
    <w:uiPriority w:val="0"/>
    <w:pPr>
      <w:widowControl w:val="0"/>
      <w:ind w:firstLine="467" w:firstLineChars="200"/>
      <w:jc w:val="both"/>
    </w:pPr>
    <w:rPr>
      <w:rFonts w:ascii="仿宋_GB2312" w:eastAsia="仿宋_GB2312"/>
      <w:kern w:val="2"/>
      <w:sz w:val="24"/>
      <w:szCs w:val="24"/>
    </w:rPr>
  </w:style>
  <w:style w:type="paragraph" w:customStyle="1" w:styleId="189">
    <w:name w:val="Char Char Char Char1"/>
    <w:basedOn w:val="1"/>
    <w:qFormat/>
    <w:uiPriority w:val="0"/>
    <w:pPr>
      <w:widowControl w:val="0"/>
      <w:jc w:val="both"/>
    </w:pPr>
    <w:rPr>
      <w:kern w:val="2"/>
      <w:sz w:val="21"/>
      <w:szCs w:val="24"/>
    </w:rPr>
  </w:style>
  <w:style w:type="paragraph" w:customStyle="1" w:styleId="190">
    <w:name w:val="表格"/>
    <w:basedOn w:val="1"/>
    <w:qFormat/>
    <w:uiPriority w:val="0"/>
    <w:pPr>
      <w:tabs>
        <w:tab w:val="left" w:pos="1200"/>
      </w:tabs>
      <w:spacing w:line="500" w:lineRule="exact"/>
      <w:jc w:val="center"/>
    </w:pPr>
    <w:rPr>
      <w:kern w:val="2"/>
      <w:sz w:val="24"/>
      <w:szCs w:val="18"/>
    </w:rPr>
  </w:style>
  <w:style w:type="paragraph" w:customStyle="1" w:styleId="191">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微软雅黑" w:hAnsi="微软雅黑" w:eastAsia="微软雅黑" w:cs="宋体"/>
      <w:sz w:val="24"/>
      <w:szCs w:val="24"/>
    </w:rPr>
  </w:style>
  <w:style w:type="character" w:customStyle="1" w:styleId="192">
    <w:name w:val="页脚 字符3"/>
    <w:basedOn w:val="52"/>
    <w:semiHidden/>
    <w:qFormat/>
    <w:uiPriority w:val="99"/>
    <w:rPr>
      <w:rFonts w:ascii="Times New Roman" w:hAnsi="Times New Roman" w:eastAsia="宋体" w:cs="Times New Roman"/>
      <w:kern w:val="0"/>
      <w:sz w:val="18"/>
      <w:szCs w:val="18"/>
    </w:rPr>
  </w:style>
  <w:style w:type="character" w:customStyle="1" w:styleId="193">
    <w:name w:val="正文文本缩进 2 字符1"/>
    <w:basedOn w:val="52"/>
    <w:semiHidden/>
    <w:qFormat/>
    <w:uiPriority w:val="99"/>
    <w:rPr>
      <w:rFonts w:ascii="Times New Roman" w:hAnsi="Times New Roman" w:eastAsia="宋体" w:cs="Times New Roman"/>
      <w:kern w:val="0"/>
      <w:sz w:val="20"/>
      <w:szCs w:val="20"/>
    </w:rPr>
  </w:style>
  <w:style w:type="character" w:customStyle="1" w:styleId="194">
    <w:name w:val="日期 字符1"/>
    <w:basedOn w:val="52"/>
    <w:semiHidden/>
    <w:qFormat/>
    <w:uiPriority w:val="99"/>
    <w:rPr>
      <w:rFonts w:ascii="Times New Roman" w:hAnsi="Times New Roman" w:eastAsia="宋体" w:cs="Times New Roman"/>
      <w:kern w:val="0"/>
      <w:sz w:val="20"/>
      <w:szCs w:val="20"/>
    </w:rPr>
  </w:style>
  <w:style w:type="paragraph" w:customStyle="1" w:styleId="195">
    <w:name w:val="_Style 119"/>
    <w:basedOn w:val="21"/>
    <w:next w:val="49"/>
    <w:qFormat/>
    <w:uiPriority w:val="0"/>
    <w:pPr>
      <w:widowControl w:val="0"/>
      <w:ind w:firstLine="420" w:firstLineChars="200"/>
      <w:jc w:val="both"/>
    </w:pPr>
    <w:rPr>
      <w:szCs w:val="24"/>
    </w:rPr>
  </w:style>
  <w:style w:type="paragraph" w:customStyle="1" w:styleId="196">
    <w:name w:val="xl65"/>
    <w:basedOn w:val="1"/>
    <w:qFormat/>
    <w:uiPriority w:val="0"/>
    <w:pPr>
      <w:spacing w:before="100" w:beforeAutospacing="1" w:after="100" w:afterAutospacing="1"/>
    </w:pPr>
    <w:rPr>
      <w:rFonts w:ascii="微软雅黑" w:hAnsi="微软雅黑" w:eastAsia="微软雅黑" w:cs="宋体"/>
      <w:sz w:val="24"/>
      <w:szCs w:val="24"/>
    </w:rPr>
  </w:style>
  <w:style w:type="paragraph" w:customStyle="1" w:styleId="197">
    <w:name w:val="_Style 117"/>
    <w:basedOn w:val="21"/>
    <w:next w:val="49"/>
    <w:qFormat/>
    <w:uiPriority w:val="0"/>
    <w:pPr>
      <w:widowControl w:val="0"/>
      <w:ind w:firstLine="420" w:firstLineChars="200"/>
      <w:jc w:val="both"/>
    </w:pPr>
    <w:rPr>
      <w:szCs w:val="24"/>
    </w:rPr>
  </w:style>
  <w:style w:type="paragraph" w:customStyle="1" w:styleId="198">
    <w:name w:val="xl74"/>
    <w:basedOn w:val="1"/>
    <w:qFormat/>
    <w:uiPriority w:val="0"/>
    <w:pP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99">
    <w:name w:val="Char3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00">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1">
    <w:name w:val="Char3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02">
    <w:name w:val="font5"/>
    <w:basedOn w:val="1"/>
    <w:qFormat/>
    <w:uiPriority w:val="0"/>
    <w:pPr>
      <w:spacing w:before="100" w:beforeAutospacing="1" w:after="100" w:afterAutospacing="1"/>
    </w:pPr>
    <w:rPr>
      <w:rFonts w:ascii="等线" w:hAnsi="等线" w:eastAsia="等线" w:cs="宋体"/>
      <w:sz w:val="18"/>
      <w:szCs w:val="18"/>
    </w:rPr>
  </w:style>
  <w:style w:type="paragraph" w:customStyle="1" w:styleId="203">
    <w:name w:val="opening2"/>
    <w:basedOn w:val="1"/>
    <w:qFormat/>
    <w:uiPriority w:val="0"/>
    <w:pPr>
      <w:spacing w:before="100" w:beforeAutospacing="1" w:after="100" w:afterAutospacing="1"/>
    </w:pPr>
    <w:rPr>
      <w:rFonts w:ascii="宋体" w:hAnsi="宋体" w:cs="宋体"/>
      <w:color w:val="000000"/>
      <w:sz w:val="23"/>
      <w:szCs w:val="23"/>
    </w:rPr>
  </w:style>
  <w:style w:type="paragraph" w:customStyle="1" w:styleId="204">
    <w:name w:val="xl70"/>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205">
    <w:name w:val="_Style 3"/>
    <w:basedOn w:val="1"/>
    <w:qFormat/>
    <w:uiPriority w:val="0"/>
    <w:pPr>
      <w:widowControl w:val="0"/>
      <w:ind w:firstLine="420" w:firstLineChars="200"/>
      <w:jc w:val="both"/>
    </w:pPr>
    <w:rPr>
      <w:kern w:val="2"/>
      <w:sz w:val="21"/>
      <w:szCs w:val="22"/>
    </w:rPr>
  </w:style>
  <w:style w:type="paragraph" w:customStyle="1" w:styleId="206">
    <w:name w:val="列出段落1"/>
    <w:basedOn w:val="1"/>
    <w:qFormat/>
    <w:uiPriority w:val="34"/>
    <w:pPr>
      <w:widowControl w:val="0"/>
      <w:ind w:firstLine="420" w:firstLineChars="200"/>
      <w:jc w:val="both"/>
    </w:pPr>
    <w:rPr>
      <w:rFonts w:ascii="Calibri" w:hAnsi="Calibri"/>
      <w:kern w:val="2"/>
      <w:sz w:val="21"/>
      <w:szCs w:val="22"/>
    </w:rPr>
  </w:style>
  <w:style w:type="paragraph" w:customStyle="1" w:styleId="207">
    <w:name w:val="xl73"/>
    <w:basedOn w:val="1"/>
    <w:qFormat/>
    <w:uiPriority w:val="0"/>
    <w:pPr>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208">
    <w:name w:val="xl68"/>
    <w:basedOn w:val="1"/>
    <w:qFormat/>
    <w:uiPriority w:val="0"/>
    <w:pPr>
      <w:spacing w:before="100" w:beforeAutospacing="1" w:after="100" w:afterAutospacing="1"/>
      <w:jc w:val="center"/>
    </w:pPr>
    <w:rPr>
      <w:rFonts w:ascii="微软雅黑" w:hAnsi="微软雅黑" w:eastAsia="微软雅黑" w:cs="宋体"/>
      <w:sz w:val="24"/>
      <w:szCs w:val="24"/>
    </w:rPr>
  </w:style>
  <w:style w:type="paragraph" w:customStyle="1" w:styleId="209">
    <w:name w:val="xl24"/>
    <w:basedOn w:val="1"/>
    <w:qFormat/>
    <w:uiPriority w:val="0"/>
    <w:pPr>
      <w:spacing w:before="100" w:beforeAutospacing="1" w:after="100" w:afterAutospacing="1"/>
      <w:jc w:val="center"/>
      <w:textAlignment w:val="center"/>
    </w:pPr>
    <w:rPr>
      <w:rFonts w:ascii="宋体" w:hAnsi="宋体"/>
      <w:sz w:val="24"/>
      <w:szCs w:val="24"/>
    </w:rPr>
  </w:style>
  <w:style w:type="paragraph" w:customStyle="1" w:styleId="210">
    <w:name w:val="xl51"/>
    <w:basedOn w:val="1"/>
    <w:qFormat/>
    <w:uiPriority w:val="0"/>
    <w:pPr>
      <w:pBdr>
        <w:bottom w:val="single" w:color="auto" w:sz="4" w:space="0"/>
      </w:pBdr>
      <w:spacing w:before="100" w:beforeAutospacing="1" w:after="100" w:afterAutospacing="1"/>
      <w:jc w:val="center"/>
      <w:textAlignment w:val="center"/>
    </w:pPr>
    <w:rPr>
      <w:rFonts w:ascii="宋体" w:hAnsi="宋体"/>
      <w:b/>
      <w:bCs/>
      <w:sz w:val="32"/>
      <w:szCs w:val="32"/>
    </w:rPr>
  </w:style>
  <w:style w:type="paragraph" w:customStyle="1" w:styleId="211">
    <w:name w:val="Char Char Char Char"/>
    <w:basedOn w:val="1"/>
    <w:qFormat/>
    <w:uiPriority w:val="0"/>
    <w:pPr>
      <w:widowControl w:val="0"/>
      <w:spacing w:line="240" w:lineRule="atLeast"/>
      <w:ind w:left="420" w:firstLine="420"/>
      <w:jc w:val="both"/>
    </w:pPr>
    <w:rPr>
      <w:sz w:val="21"/>
      <w:szCs w:val="21"/>
    </w:rPr>
  </w:style>
  <w:style w:type="paragraph" w:customStyle="1" w:styleId="212">
    <w:name w:val="1"/>
    <w:basedOn w:val="1"/>
    <w:next w:val="23"/>
    <w:qFormat/>
    <w:uiPriority w:val="0"/>
    <w:pPr>
      <w:widowControl w:val="0"/>
      <w:adjustRightInd w:val="0"/>
      <w:ind w:left="420" w:right="33"/>
      <w:textAlignment w:val="baseline"/>
    </w:pPr>
    <w:rPr>
      <w:sz w:val="24"/>
    </w:rPr>
  </w:style>
  <w:style w:type="paragraph" w:customStyle="1" w:styleId="213">
    <w:name w:val="Char6 Char Char Char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14">
    <w:name w:val="Char3"/>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15">
    <w:name w:val="样式 标题 3 + (中文) 黑体 小四 非加粗 段前: 7.8 磅 段后: 0 磅 行距: 固定值 20 磅"/>
    <w:basedOn w:val="5"/>
    <w:qFormat/>
    <w:uiPriority w:val="0"/>
    <w:pPr>
      <w:widowControl w:val="0"/>
      <w:spacing w:before="0" w:after="0" w:line="400" w:lineRule="exact"/>
      <w:jc w:val="both"/>
    </w:pPr>
    <w:rPr>
      <w:rFonts w:eastAsia="黑体" w:cs="宋体"/>
      <w:b w:val="0"/>
      <w:bCs w:val="0"/>
      <w:kern w:val="2"/>
      <w:sz w:val="24"/>
      <w:szCs w:val="20"/>
    </w:rPr>
  </w:style>
  <w:style w:type="paragraph" w:customStyle="1" w:styleId="216">
    <w:name w:val="_Style 5"/>
    <w:basedOn w:val="1"/>
    <w:qFormat/>
    <w:uiPriority w:val="0"/>
    <w:pPr>
      <w:spacing w:after="160" w:line="240" w:lineRule="exact"/>
    </w:pPr>
    <w:rPr>
      <w:rFonts w:ascii="Verdana" w:hAnsi="Verdana" w:eastAsia="仿宋_GB2312"/>
      <w:sz w:val="24"/>
      <w:lang w:eastAsia="en-US"/>
    </w:rPr>
  </w:style>
  <w:style w:type="paragraph" w:customStyle="1" w:styleId="217">
    <w:name w:val="简单回函地址"/>
    <w:basedOn w:val="1"/>
    <w:qFormat/>
    <w:uiPriority w:val="0"/>
    <w:pPr>
      <w:widowControl w:val="0"/>
      <w:jc w:val="both"/>
    </w:pPr>
    <w:rPr>
      <w:kern w:val="2"/>
      <w:sz w:val="21"/>
      <w:szCs w:val="24"/>
    </w:rPr>
  </w:style>
  <w:style w:type="character" w:customStyle="1" w:styleId="218">
    <w:name w:val="grame"/>
    <w:qFormat/>
    <w:uiPriority w:val="0"/>
    <w:rPr>
      <w:rFonts w:cs="Times New Roman"/>
    </w:rPr>
  </w:style>
  <w:style w:type="character" w:customStyle="1" w:styleId="219">
    <w:name w:val="未处理的提及2"/>
    <w:basedOn w:val="52"/>
    <w:semiHidden/>
    <w:unhideWhenUsed/>
    <w:qFormat/>
    <w:uiPriority w:val="99"/>
    <w:rPr>
      <w:color w:val="605E5C"/>
      <w:shd w:val="clear" w:color="auto" w:fill="E1DFDD"/>
    </w:rPr>
  </w:style>
  <w:style w:type="character" w:customStyle="1" w:styleId="220">
    <w:name w:val="NormalCharacter"/>
    <w:qFormat/>
    <w:uiPriority w:val="0"/>
  </w:style>
  <w:style w:type="character" w:customStyle="1" w:styleId="221">
    <w:name w:val="未处理的提及3"/>
    <w:basedOn w:val="52"/>
    <w:semiHidden/>
    <w:unhideWhenUsed/>
    <w:qFormat/>
    <w:uiPriority w:val="99"/>
    <w:rPr>
      <w:color w:val="605E5C"/>
      <w:shd w:val="clear" w:color="auto" w:fill="E1DFDD"/>
    </w:rPr>
  </w:style>
  <w:style w:type="character" w:customStyle="1" w:styleId="222">
    <w:name w:val="明显引用 字符"/>
    <w:link w:val="223"/>
    <w:qFormat/>
    <w:uiPriority w:val="0"/>
    <w:rPr>
      <w:b/>
      <w:bCs/>
      <w:i/>
      <w:iCs/>
      <w:color w:val="4F81BD"/>
    </w:rPr>
  </w:style>
  <w:style w:type="paragraph" w:styleId="223">
    <w:name w:val="Intense Quote"/>
    <w:basedOn w:val="1"/>
    <w:next w:val="1"/>
    <w:link w:val="222"/>
    <w:qFormat/>
    <w:uiPriority w:val="0"/>
    <w:pPr>
      <w:widowControl w:val="0"/>
      <w:pBdr>
        <w:bottom w:val="single" w:color="4F81BD" w:sz="4" w:space="4"/>
      </w:pBdr>
      <w:spacing w:before="200" w:after="280"/>
      <w:ind w:left="936" w:right="936"/>
      <w:jc w:val="both"/>
    </w:pPr>
    <w:rPr>
      <w:rFonts w:asciiTheme="minorHAnsi" w:hAnsiTheme="minorHAnsi" w:eastAsiaTheme="minorEastAsia" w:cstheme="minorBidi"/>
      <w:b/>
      <w:bCs/>
      <w:i/>
      <w:iCs/>
      <w:color w:val="4F81BD"/>
      <w:kern w:val="2"/>
      <w:sz w:val="21"/>
      <w:szCs w:val="22"/>
    </w:rPr>
  </w:style>
  <w:style w:type="character" w:customStyle="1" w:styleId="224">
    <w:name w:val="明显引用 字符1"/>
    <w:basedOn w:val="52"/>
    <w:qFormat/>
    <w:uiPriority w:val="30"/>
    <w:rPr>
      <w:rFonts w:ascii="Times New Roman" w:hAnsi="Times New Roman" w:eastAsia="宋体" w:cs="Times New Roman"/>
      <w:i/>
      <w:iCs/>
      <w:color w:val="4472C4" w:themeColor="accent1"/>
      <w:kern w:val="0"/>
      <w:sz w:val="20"/>
      <w:szCs w:val="20"/>
      <w14:textFill>
        <w14:solidFill>
          <w14:schemeClr w14:val="accent1"/>
        </w14:solidFill>
      </w14:textFill>
    </w:rPr>
  </w:style>
  <w:style w:type="character" w:customStyle="1" w:styleId="225">
    <w:name w:val="正文文本 3 字符"/>
    <w:basedOn w:val="52"/>
    <w:link w:val="19"/>
    <w:semiHidden/>
    <w:qFormat/>
    <w:uiPriority w:val="99"/>
    <w:rPr>
      <w:rFonts w:ascii="Times New Roman" w:hAnsi="Times New Roman" w:eastAsia="宋体" w:cs="Times New Roman"/>
      <w:kern w:val="0"/>
      <w:sz w:val="16"/>
      <w:szCs w:val="16"/>
    </w:rPr>
  </w:style>
  <w:style w:type="paragraph" w:customStyle="1" w:styleId="22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27">
    <w:name w:val="font01"/>
    <w:basedOn w:val="52"/>
    <w:qFormat/>
    <w:uiPriority w:val="0"/>
    <w:rPr>
      <w:rFonts w:hint="eastAsia" w:ascii="宋体" w:hAnsi="宋体" w:eastAsia="宋体" w:cs="宋体"/>
      <w:color w:val="FF0000"/>
      <w:sz w:val="22"/>
      <w:szCs w:val="22"/>
      <w:u w:val="none"/>
    </w:rPr>
  </w:style>
  <w:style w:type="paragraph" w:customStyle="1" w:styleId="228">
    <w:name w:val="TOC 标题1"/>
    <w:basedOn w:val="2"/>
    <w:next w:val="1"/>
    <w:unhideWhenUsed/>
    <w:qFormat/>
    <w:uiPriority w:val="39"/>
    <w:pPr>
      <w:spacing w:before="480" w:after="0" w:line="276" w:lineRule="auto"/>
      <w:outlineLvl w:val="9"/>
    </w:pPr>
    <w:rPr>
      <w:rFonts w:ascii="Cambria" w:hAnsi="Cambria"/>
      <w:color w:val="365F91"/>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99C615-53E7-41F0-ACF2-23A24F3CA86D}">
  <ds:schemaRefs/>
</ds:datastoreItem>
</file>

<file path=docProps/app.xml><?xml version="1.0" encoding="utf-8"?>
<Properties xmlns="http://schemas.openxmlformats.org/officeDocument/2006/extended-properties" xmlns:vt="http://schemas.openxmlformats.org/officeDocument/2006/docPropsVTypes">
  <Template>Normal.dotm</Template>
  <Pages>63</Pages>
  <Words>8796</Words>
  <Characters>9793</Characters>
  <Lines>335</Lines>
  <Paragraphs>94</Paragraphs>
  <TotalTime>6</TotalTime>
  <ScaleCrop>false</ScaleCrop>
  <LinksUpToDate>false</LinksUpToDate>
  <CharactersWithSpaces>9923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2023-03-06T05:51:00Z</dcterms:created>
  <dc:creator>He Wings</dc:creator>
  <cp:lastModifiedBy>大金牙</cp:lastModifiedBy>
  <dcterms:modified xsi:type="dcterms:W3CDTF">2025-03-20T06:58:08Z</dcterms:modified>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0EB22F217AFD489E99B1CE918BB3121F_13</vt:lpwstr>
  </property>
  <property fmtid="{D5CDD505-2E9C-101B-9397-08002B2CF9AE}" pid="4" name="KSOTemplateDocerSaveRecord">
    <vt:lpwstr>eyJoZGlkIjoiMDRlZmM4YTc5NGVjYWQzMDc3N2QwZGU3ZGFlOTA4NjQiLCJ1c2VySWQiOiIzMTE2MTM4MzYifQ==</vt:lpwstr>
  </property>
</Properties>
</file>