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76509">
      <w:pPr>
        <w:jc w:val="center"/>
        <w:outlineLvl w:val="1"/>
        <w:rPr>
          <w:rFonts w:hint="eastAsia" w:ascii="Calibri" w:hAnsi="Calibri" w:eastAsia="仿宋_GB2312" w:cs="Times New Roman"/>
          <w:lang w:val="en-US" w:eastAsia="zh-CN"/>
        </w:rPr>
      </w:pPr>
      <w:r>
        <w:rPr>
          <w:rFonts w:hint="eastAsia" w:ascii="仿宋_GB2312" w:hAnsi="仿宋_GB2312" w:eastAsia="仿宋_GB2312" w:cs="仿宋_GB2312"/>
          <w:b/>
          <w:sz w:val="36"/>
          <w:lang w:val="en-US" w:eastAsia="zh-CN"/>
        </w:rPr>
        <w:t>采购需求</w:t>
      </w:r>
    </w:p>
    <w:p w14:paraId="1EE71DB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026A44BE">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771518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bookmarkStart w:id="0" w:name="_GoBack"/>
      <w:bookmarkEnd w:id="0"/>
    </w:p>
    <w:p w14:paraId="1083DC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2,045,400.00</w:t>
      </w:r>
    </w:p>
    <w:p w14:paraId="0F2B85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2,045,400.00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6"/>
        <w:gridCol w:w="1116"/>
        <w:gridCol w:w="721"/>
        <w:gridCol w:w="770"/>
        <w:gridCol w:w="1416"/>
        <w:gridCol w:w="721"/>
        <w:gridCol w:w="721"/>
        <w:gridCol w:w="721"/>
        <w:gridCol w:w="721"/>
        <w:gridCol w:w="584"/>
        <w:gridCol w:w="585"/>
      </w:tblGrid>
      <w:tr w14:paraId="1163E8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39E8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5200D1B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673AD26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647F65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415A1AF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6B8181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383064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44B7AF4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166715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1D7795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220C6D5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420BA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DC52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0131E5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C04070100 体检服务</w:t>
            </w:r>
          </w:p>
        </w:tc>
        <w:tc>
          <w:tcPr>
            <w:tcW w:w="821" w:type="dxa"/>
          </w:tcPr>
          <w:p w14:paraId="0F900A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在职民警体检服务</w:t>
            </w:r>
          </w:p>
        </w:tc>
        <w:tc>
          <w:tcPr>
            <w:tcW w:w="821" w:type="dxa"/>
          </w:tcPr>
          <w:p w14:paraId="63922BAA">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1.00（元/年）</w:t>
            </w:r>
          </w:p>
        </w:tc>
        <w:tc>
          <w:tcPr>
            <w:tcW w:w="821" w:type="dxa"/>
          </w:tcPr>
          <w:p w14:paraId="4A84BA0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1,643,596.00</w:t>
            </w:r>
          </w:p>
        </w:tc>
        <w:tc>
          <w:tcPr>
            <w:tcW w:w="821" w:type="dxa"/>
          </w:tcPr>
          <w:p w14:paraId="237382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57D09B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47B9B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6AC3A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3F4FF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60F56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14E2DF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1FC9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821" w:type="dxa"/>
          </w:tcPr>
          <w:p w14:paraId="2D2674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C04070100 体检服务</w:t>
            </w:r>
          </w:p>
        </w:tc>
        <w:tc>
          <w:tcPr>
            <w:tcW w:w="821" w:type="dxa"/>
          </w:tcPr>
          <w:p w14:paraId="4D46F8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在职民警体检服务</w:t>
            </w:r>
          </w:p>
        </w:tc>
        <w:tc>
          <w:tcPr>
            <w:tcW w:w="821" w:type="dxa"/>
          </w:tcPr>
          <w:p w14:paraId="2FCCB690">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1.00（元/年）</w:t>
            </w:r>
          </w:p>
        </w:tc>
        <w:tc>
          <w:tcPr>
            <w:tcW w:w="821" w:type="dxa"/>
          </w:tcPr>
          <w:p w14:paraId="49A0B39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401,804.00</w:t>
            </w:r>
          </w:p>
        </w:tc>
        <w:tc>
          <w:tcPr>
            <w:tcW w:w="821" w:type="dxa"/>
          </w:tcPr>
          <w:p w14:paraId="143A86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6BBEF9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E268B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5FB63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430A05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F3805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027C5F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692B49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3FAD18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833,400.00</w:t>
      </w:r>
    </w:p>
    <w:p w14:paraId="5535E3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833,400.00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51"/>
        <w:gridCol w:w="786"/>
        <w:gridCol w:w="1216"/>
        <w:gridCol w:w="751"/>
        <w:gridCol w:w="751"/>
        <w:gridCol w:w="751"/>
        <w:gridCol w:w="751"/>
        <w:gridCol w:w="600"/>
        <w:gridCol w:w="600"/>
      </w:tblGrid>
      <w:tr w14:paraId="7F3C1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F216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3B6B04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AA0364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0DCAB2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01AD26E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0E59A7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5B59EA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067A72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2CC88D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311D8D0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61A64BB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2AE55A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77CE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256ACA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C04070100 体检服务</w:t>
            </w:r>
          </w:p>
        </w:tc>
        <w:tc>
          <w:tcPr>
            <w:tcW w:w="821" w:type="dxa"/>
          </w:tcPr>
          <w:p w14:paraId="4297AC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退休民警体检服务</w:t>
            </w:r>
          </w:p>
        </w:tc>
        <w:tc>
          <w:tcPr>
            <w:tcW w:w="821" w:type="dxa"/>
          </w:tcPr>
          <w:p w14:paraId="21147AF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1.00（元/年）</w:t>
            </w:r>
          </w:p>
        </w:tc>
        <w:tc>
          <w:tcPr>
            <w:tcW w:w="821" w:type="dxa"/>
          </w:tcPr>
          <w:p w14:paraId="36F70B73">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833,400.00</w:t>
            </w:r>
          </w:p>
        </w:tc>
        <w:tc>
          <w:tcPr>
            <w:tcW w:w="821" w:type="dxa"/>
          </w:tcPr>
          <w:p w14:paraId="6A72A4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3DB24E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F464F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067C5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B43F2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12E06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4DF24B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7B0016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p w14:paraId="5A578F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1,021,021.00</w:t>
      </w:r>
    </w:p>
    <w:p w14:paraId="4FE733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1,021,021.00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51"/>
        <w:gridCol w:w="786"/>
        <w:gridCol w:w="1216"/>
        <w:gridCol w:w="751"/>
        <w:gridCol w:w="751"/>
        <w:gridCol w:w="751"/>
        <w:gridCol w:w="751"/>
        <w:gridCol w:w="600"/>
        <w:gridCol w:w="600"/>
      </w:tblGrid>
      <w:tr w14:paraId="779B0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EDF6D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2CDE8F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72AE90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1E7B40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713FB99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F3FD4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09D4F6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16861B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32E9AE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437604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7C5316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380F51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75F0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53C8DC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C04070100 体检服务</w:t>
            </w:r>
          </w:p>
        </w:tc>
        <w:tc>
          <w:tcPr>
            <w:tcW w:w="821" w:type="dxa"/>
          </w:tcPr>
          <w:p w14:paraId="3AFA35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辅警体检服务</w:t>
            </w:r>
          </w:p>
        </w:tc>
        <w:tc>
          <w:tcPr>
            <w:tcW w:w="821" w:type="dxa"/>
          </w:tcPr>
          <w:p w14:paraId="65111DEB">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1.00（元/年）</w:t>
            </w:r>
          </w:p>
        </w:tc>
        <w:tc>
          <w:tcPr>
            <w:tcW w:w="821" w:type="dxa"/>
          </w:tcPr>
          <w:p w14:paraId="0DFB763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73,281.00</w:t>
            </w:r>
          </w:p>
        </w:tc>
        <w:tc>
          <w:tcPr>
            <w:tcW w:w="821" w:type="dxa"/>
          </w:tcPr>
          <w:p w14:paraId="289751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17F452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EFBED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63169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DFDA1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1FBDF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24AFE8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6AC30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821" w:type="dxa"/>
          </w:tcPr>
          <w:p w14:paraId="6235BB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C04070100 体检服务</w:t>
            </w:r>
          </w:p>
        </w:tc>
        <w:tc>
          <w:tcPr>
            <w:tcW w:w="821" w:type="dxa"/>
          </w:tcPr>
          <w:p w14:paraId="1162D0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辅警体检服务</w:t>
            </w:r>
          </w:p>
        </w:tc>
        <w:tc>
          <w:tcPr>
            <w:tcW w:w="821" w:type="dxa"/>
          </w:tcPr>
          <w:p w14:paraId="38DE31B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1.00（元/年）</w:t>
            </w:r>
          </w:p>
        </w:tc>
        <w:tc>
          <w:tcPr>
            <w:tcW w:w="821" w:type="dxa"/>
          </w:tcPr>
          <w:p w14:paraId="0A5415C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947,740.00</w:t>
            </w:r>
          </w:p>
        </w:tc>
        <w:tc>
          <w:tcPr>
            <w:tcW w:w="821" w:type="dxa"/>
          </w:tcPr>
          <w:p w14:paraId="21C775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1147EA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D5E18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7E744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5EC0B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1AABB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139FD3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3804BAE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7FCDCB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25EC3A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2F490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18E7BA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0ACEF7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1526A6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043AC07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197FEC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0169BA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4D79B7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1FB6B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09B0AA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民警基础体检项目（男性）单价合计</w:t>
            </w:r>
          </w:p>
        </w:tc>
        <w:tc>
          <w:tcPr>
            <w:tcW w:w="977" w:type="dxa"/>
          </w:tcPr>
          <w:p w14:paraId="12760A4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26DC23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2CDC80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1,510.00</w:t>
            </w:r>
          </w:p>
        </w:tc>
        <w:tc>
          <w:tcPr>
            <w:tcW w:w="977" w:type="dxa"/>
          </w:tcPr>
          <w:p w14:paraId="0178DC7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297F66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报价应包含完成本项目（本包件）基础体检的所有费用。</w:t>
            </w:r>
          </w:p>
        </w:tc>
      </w:tr>
      <w:tr w14:paraId="53467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866139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59" w:type="dxa"/>
          </w:tcPr>
          <w:p w14:paraId="2B1082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民警基础体检项目（未婚女性）</w:t>
            </w:r>
          </w:p>
        </w:tc>
        <w:tc>
          <w:tcPr>
            <w:tcW w:w="977" w:type="dxa"/>
          </w:tcPr>
          <w:p w14:paraId="411CCA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01BF77F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13F4BB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1,510.00</w:t>
            </w:r>
          </w:p>
        </w:tc>
        <w:tc>
          <w:tcPr>
            <w:tcW w:w="977" w:type="dxa"/>
          </w:tcPr>
          <w:p w14:paraId="28F5F3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3D0534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报价应包含完成本项目（本包件）基础体检的所有费用。</w:t>
            </w:r>
          </w:p>
        </w:tc>
      </w:tr>
      <w:tr w14:paraId="2340C1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42788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759" w:type="dxa"/>
          </w:tcPr>
          <w:p w14:paraId="05FA4E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民警基础体检项目（已婚女性）</w:t>
            </w:r>
          </w:p>
        </w:tc>
        <w:tc>
          <w:tcPr>
            <w:tcW w:w="977" w:type="dxa"/>
          </w:tcPr>
          <w:p w14:paraId="5BE42A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2BBD1C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734A5A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1,700.00</w:t>
            </w:r>
          </w:p>
        </w:tc>
        <w:tc>
          <w:tcPr>
            <w:tcW w:w="977" w:type="dxa"/>
          </w:tcPr>
          <w:p w14:paraId="7249E6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68EA96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报价应包含完成本项目（本包件）基础体检的所有费用</w:t>
            </w:r>
          </w:p>
        </w:tc>
      </w:tr>
      <w:tr w14:paraId="14DA57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1563E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1759" w:type="dxa"/>
          </w:tcPr>
          <w:p w14:paraId="24DE108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自选体检项目</w:t>
            </w:r>
          </w:p>
        </w:tc>
        <w:tc>
          <w:tcPr>
            <w:tcW w:w="977" w:type="dxa"/>
          </w:tcPr>
          <w:p w14:paraId="0A00D4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977" w:type="dxa"/>
          </w:tcPr>
          <w:p w14:paraId="781B55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6C7968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15,000.00</w:t>
            </w:r>
          </w:p>
        </w:tc>
        <w:tc>
          <w:tcPr>
            <w:tcW w:w="977" w:type="dxa"/>
          </w:tcPr>
          <w:p w14:paraId="5D0A11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189EDC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报价应包含完成本项目（本包件）每一项自选体检的所有费用。</w:t>
            </w:r>
          </w:p>
        </w:tc>
      </w:tr>
    </w:tbl>
    <w:p w14:paraId="651B5F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57093C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513B0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55FC68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549F0D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7DC9BD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6615299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252217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234891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166CD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9210D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0D8AAF9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退休民警体检项目（男性）</w:t>
            </w:r>
          </w:p>
        </w:tc>
        <w:tc>
          <w:tcPr>
            <w:tcW w:w="977" w:type="dxa"/>
          </w:tcPr>
          <w:p w14:paraId="2E0626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4540C5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726073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1,750.00</w:t>
            </w:r>
          </w:p>
        </w:tc>
        <w:tc>
          <w:tcPr>
            <w:tcW w:w="977" w:type="dxa"/>
          </w:tcPr>
          <w:p w14:paraId="71D59F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507E8C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报价应包含完成本项目（本包件）的所有费用。</w:t>
            </w:r>
          </w:p>
        </w:tc>
      </w:tr>
      <w:tr w14:paraId="5FFF10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5CF86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59" w:type="dxa"/>
          </w:tcPr>
          <w:p w14:paraId="1EDE36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退休民警体检项目（女性）</w:t>
            </w:r>
          </w:p>
        </w:tc>
        <w:tc>
          <w:tcPr>
            <w:tcW w:w="977" w:type="dxa"/>
          </w:tcPr>
          <w:p w14:paraId="1C1408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0EBC9D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4AE11E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2,200.00</w:t>
            </w:r>
          </w:p>
        </w:tc>
        <w:tc>
          <w:tcPr>
            <w:tcW w:w="977" w:type="dxa"/>
          </w:tcPr>
          <w:p w14:paraId="72518A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0360D8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报价应包含完成本项目（本包件）的所有费用。</w:t>
            </w:r>
          </w:p>
        </w:tc>
      </w:tr>
    </w:tbl>
    <w:p w14:paraId="447EE1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19EAB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695CAC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42A247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15FB94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6BABA5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15F5F12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3A6729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3481A7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63D4E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D57C6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5CA201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辅警体检项目（男性）</w:t>
            </w:r>
          </w:p>
        </w:tc>
        <w:tc>
          <w:tcPr>
            <w:tcW w:w="977" w:type="dxa"/>
          </w:tcPr>
          <w:p w14:paraId="5D6537C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63D65B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2833A7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665.00</w:t>
            </w:r>
          </w:p>
        </w:tc>
        <w:tc>
          <w:tcPr>
            <w:tcW w:w="977" w:type="dxa"/>
          </w:tcPr>
          <w:p w14:paraId="796040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629568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报价应包含完成本项目（本包件）的所有费用。</w:t>
            </w:r>
          </w:p>
        </w:tc>
      </w:tr>
      <w:tr w14:paraId="0B51F3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59EE21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59" w:type="dxa"/>
          </w:tcPr>
          <w:p w14:paraId="525B3B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辅警体检项目（女性）</w:t>
            </w:r>
          </w:p>
        </w:tc>
        <w:tc>
          <w:tcPr>
            <w:tcW w:w="977" w:type="dxa"/>
          </w:tcPr>
          <w:p w14:paraId="7ECF782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人</w:t>
            </w:r>
          </w:p>
        </w:tc>
        <w:tc>
          <w:tcPr>
            <w:tcW w:w="977" w:type="dxa"/>
          </w:tcPr>
          <w:p w14:paraId="68DE1AE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5583B6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767.00</w:t>
            </w:r>
          </w:p>
        </w:tc>
        <w:tc>
          <w:tcPr>
            <w:tcW w:w="977" w:type="dxa"/>
          </w:tcPr>
          <w:p w14:paraId="438E33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2FBB7E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报价应包含完成本项目（本包件）的所有费用。</w:t>
            </w:r>
          </w:p>
        </w:tc>
      </w:tr>
    </w:tbl>
    <w:p w14:paraId="4852762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★注：采购包涉及采购货物的，投标人响应产品应当明确品牌和规格型号并指向唯一产品，不能指向唯一产品的，应通过报价表唯一产品说明栏补充说明。</w:t>
      </w:r>
    </w:p>
    <w:p w14:paraId="3CBEAEC9">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本项目涉及核心产品：</w:t>
      </w:r>
    </w:p>
    <w:p w14:paraId="5488A9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464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988F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BF0F8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10A19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96736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0877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0EC88D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64A0B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73D8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CD34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5BCA2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6DABE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FB30D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D89EB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C2E3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38C42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A67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9D889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396B4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795F0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9ADB8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6370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8CF7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76AED2F">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3974DB1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240D38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7465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F0C3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F0EDE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B428E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31F8E4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87BDD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468E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D050A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47B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2859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E88CE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A6B80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9F833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E67CD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D125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2E581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A8E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75C2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B2F60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B162DF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12A77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152FD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C6798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27F4EC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235A76C0">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3FA781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793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08EC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4BA64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D197D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4B850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3661E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EA467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2E42A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377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63999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6B225D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A4079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EA7AB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A1A6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BF4F5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C1236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A4D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C805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742EB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7D386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B52C46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1FEA5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7EA70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F934E0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F79799E">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085A71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C965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0C86B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BD41C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23F45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C40DF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72B4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14ED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10A9B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A6DC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2A2C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585D2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0B7B3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1ADAD1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3680D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40F06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00CD7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3272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5539F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4B550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007097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D92A3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091D1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0A298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FD19C52">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B40A8B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1FEECB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D863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940E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94A1F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491A1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C3BD3D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5BBD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7544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E5603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82B6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CAC1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3705A3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9F1C4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39F453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1DA0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5DA7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4972C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65D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2C06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411A75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A9615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8A452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E537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B5B681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3BD5A3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FD7A162">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23051C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2EA00D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标的名称：在职民警体检服务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87F3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95F5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5C1E1D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313C02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6DF29D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7F46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B0BD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A7DBC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5A16E26">
            <w:pPr>
              <w:rPr>
                <w:rFonts w:ascii="Calibri" w:hAnsi="Calibri" w:eastAsia="宋体" w:cs="Times New Roman"/>
              </w:rPr>
            </w:pPr>
          </w:p>
        </w:tc>
        <w:tc>
          <w:tcPr>
            <w:tcW w:w="5814" w:type="dxa"/>
          </w:tcPr>
          <w:p w14:paraId="01FB1A90">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由于系统格式限制，具体内容详见附件-3.2.技术要求。</w:t>
            </w:r>
          </w:p>
        </w:tc>
      </w:tr>
    </w:tbl>
    <w:p w14:paraId="6F690D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标的名称：在职民警体检服务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581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0FC1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9F6FEC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42C7A1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F0875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26199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DF47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5DD4F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CC4E5D0">
            <w:pPr>
              <w:rPr>
                <w:rFonts w:ascii="Calibri" w:hAnsi="Calibri" w:eastAsia="宋体" w:cs="Times New Roman"/>
              </w:rPr>
            </w:pPr>
          </w:p>
        </w:tc>
        <w:tc>
          <w:tcPr>
            <w:tcW w:w="5814" w:type="dxa"/>
          </w:tcPr>
          <w:p w14:paraId="6236411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由于系统格式限制，具体内容详见附件-3.2.技术要求。</w:t>
            </w:r>
          </w:p>
        </w:tc>
      </w:tr>
    </w:tbl>
    <w:p w14:paraId="2F4F929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5628CD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标的名称：退休民警体检服务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730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FA1F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E511E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0AE2F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A00F9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460949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801B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80DED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4461103">
            <w:pPr>
              <w:rPr>
                <w:rFonts w:ascii="Calibri" w:hAnsi="Calibri" w:eastAsia="宋体" w:cs="Times New Roman"/>
              </w:rPr>
            </w:pPr>
          </w:p>
        </w:tc>
        <w:tc>
          <w:tcPr>
            <w:tcW w:w="5814" w:type="dxa"/>
          </w:tcPr>
          <w:p w14:paraId="5C15170F">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由于系统格式限制，具体内容详见附件-3.2.技术要求。</w:t>
            </w:r>
          </w:p>
        </w:tc>
      </w:tr>
    </w:tbl>
    <w:p w14:paraId="0F7A8C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p w14:paraId="21D954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标的名称：辅警体检服务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6728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AEA6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ED8B4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1189C5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C381B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2079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EBCE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5205F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80790E5">
            <w:pPr>
              <w:rPr>
                <w:rFonts w:ascii="Calibri" w:hAnsi="Calibri" w:eastAsia="宋体" w:cs="Times New Roman"/>
              </w:rPr>
            </w:pPr>
          </w:p>
        </w:tc>
        <w:tc>
          <w:tcPr>
            <w:tcW w:w="5814" w:type="dxa"/>
          </w:tcPr>
          <w:p w14:paraId="56039FDE">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由于系统格式限制，具体内容详见附件-3.2.技术要求。</w:t>
            </w:r>
          </w:p>
        </w:tc>
      </w:tr>
    </w:tbl>
    <w:p w14:paraId="7443C3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标的名称：辅警体检服务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4B30C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D195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75027B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74BE348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17DA7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C7C8F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3063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7AFA4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577F9B1">
            <w:pPr>
              <w:rPr>
                <w:rFonts w:ascii="Calibri" w:hAnsi="Calibri" w:eastAsia="宋体" w:cs="Times New Roman"/>
              </w:rPr>
            </w:pPr>
          </w:p>
        </w:tc>
        <w:tc>
          <w:tcPr>
            <w:tcW w:w="5814" w:type="dxa"/>
          </w:tcPr>
          <w:p w14:paraId="6888A47B">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由于系统格式限制，具体内容详见附件-3.2.技术要求。</w:t>
            </w:r>
          </w:p>
        </w:tc>
      </w:tr>
    </w:tbl>
    <w:p w14:paraId="237EF50B">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15E17F6F">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43608C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5EB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3F481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2DA4738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656D95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57F558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11C65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CD14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8AD54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DA52B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费用说明</w:t>
            </w:r>
          </w:p>
        </w:tc>
        <w:tc>
          <w:tcPr>
            <w:tcW w:w="5814" w:type="dxa"/>
          </w:tcPr>
          <w:p w14:paraId="480EC3F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民警体检项目采用1（民警基础体检项目）+X（民警自选项目）。其中基础体检项目为必检项，自选项目由受检人员根据需要自行选择其中若干项，任意组合的“1+X”套餐费用采购人支付金额：民警（男性）不超过2000元，民警（女性）不超过2200元。若在实际体检中民警（男性）超过2000元或民警（女性）超过2200元，超过部分由受检人自付。</w:t>
            </w:r>
          </w:p>
        </w:tc>
      </w:tr>
      <w:tr w14:paraId="71989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7D76E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B594AF9">
            <w:pPr>
              <w:rPr>
                <w:rFonts w:ascii="Calibri" w:hAnsi="Calibri" w:eastAsia="宋体" w:cs="Times New Roman"/>
              </w:rPr>
            </w:pPr>
          </w:p>
        </w:tc>
        <w:tc>
          <w:tcPr>
            <w:tcW w:w="1495" w:type="dxa"/>
          </w:tcPr>
          <w:p w14:paraId="0FFE51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履约能力及方案评审（此处对应评分）</w:t>
            </w:r>
          </w:p>
        </w:tc>
        <w:tc>
          <w:tcPr>
            <w:tcW w:w="5814" w:type="dxa"/>
          </w:tcPr>
          <w:p w14:paraId="2A7FECA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（一）综合实力：</w:t>
            </w:r>
          </w:p>
          <w:p w14:paraId="3D747AA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应具备全国常规化学室间质评合格证书，全国内分泌室间质评合格证书，全国肿瘤标志物室间质评合格证书，全国尿液化学分析室间质评合格证书，全国脂内分析室间质评合格证书，全国人乳头瘤病毒基因分型室间质评合格证书。</w:t>
            </w:r>
          </w:p>
          <w:p w14:paraId="1924DFA5">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（二）供应商针对本包件具备以下接待能力：</w:t>
            </w:r>
          </w:p>
          <w:p w14:paraId="04AF477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1.提供智慧化导检系统，在体检过程中能合理分配体检者体检项目的体检时间。</w:t>
            </w:r>
          </w:p>
          <w:p w14:paraId="240A7681">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2.针对本项目，根据体检类型提供多途径体检预约方式（包含：小程序、电话预约、网上预约）。</w:t>
            </w:r>
          </w:p>
          <w:p w14:paraId="2685588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3.提供VIP服务，包括独立的VIP体检场地、导检陪同体检。</w:t>
            </w:r>
          </w:p>
          <w:p w14:paraId="6799759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（三）其他：</w:t>
            </w:r>
          </w:p>
          <w:p w14:paraId="56732D1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供应商针对本包件提供气动物流传送系统。</w:t>
            </w:r>
          </w:p>
          <w:p w14:paraId="5933FED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（四）应急预案：</w:t>
            </w:r>
          </w:p>
          <w:p w14:paraId="44AEC62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供应商针对本项目提供服务方案，至少包含：①晕倒（突发疾病、晕血、晕针）、②心脏骤停、③跌倒/坠床、④感染爆发。</w:t>
            </w:r>
          </w:p>
          <w:p w14:paraId="76CFA7D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（五）个体化体检服务：</w:t>
            </w:r>
          </w:p>
          <w:p w14:paraId="335D3ED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受检者自行在线上（小程序或公众号或其他线上渠道）预约和选择体检项目过程中，能提供多维度问卷（至少含填写者家族遗传史、生活习惯）、筛查危害健康的高危因素、评估疾病风险，能针对受检者实际情况定制体检方案。</w:t>
            </w:r>
          </w:p>
          <w:p w14:paraId="68A7B1F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2.承诺在中标后，体检实施前，提供一次上门讲解个体化体检服务，并对采购人进行检前咨询答疑。</w:t>
            </w:r>
          </w:p>
          <w:p w14:paraId="3792D92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（六）服务方案：</w:t>
            </w:r>
          </w:p>
          <w:p w14:paraId="55EC9F3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供应商针对本项目提供体检服务方案，包括①体检人数及场次安排、②体检流程、③现场服务保障、④服务人员配置。</w:t>
            </w:r>
          </w:p>
          <w:p w14:paraId="661D5CE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（七）增值服务：</w:t>
            </w:r>
          </w:p>
          <w:p w14:paraId="3844BD5B">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1.供应商承诺为每位体检者建立个人电子健康档案。</w:t>
            </w:r>
          </w:p>
          <w:p w14:paraId="4C7C1F85">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2.供应商承诺体检结束后若有临床阳性发现，能立即电话通知本人。针对临床阳性预警患者出具体检临时报告及一次供应商本单位（自身应为三甲医院）或三甲医院就诊绿色通道。</w:t>
            </w:r>
          </w:p>
          <w:p w14:paraId="14562BFF">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3.承诺对采购人单位开展一次健康讲座。</w:t>
            </w:r>
          </w:p>
          <w:p w14:paraId="57A2D21D">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4.承诺体检结束后根据体检结果出具单位健康情况分析。</w:t>
            </w:r>
          </w:p>
          <w:p w14:paraId="5EF0257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5.承诺体检结束后可对受检者有偿提供健康管理门诊服务【服务项至少包括：呼吸方向、乳腺方向、老年病方向、甲状腺方向、内分泌方向、六高(血压、血糖、血脂、血尿酸、脂肪肝、超重）】，并进行相应门诊延伸检查。</w:t>
            </w:r>
          </w:p>
          <w:p w14:paraId="2AF5417A">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（八）业绩：</w:t>
            </w:r>
          </w:p>
          <w:p w14:paraId="368EAEF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供应商自2023年1月1日（含）至递交投标文件截止日具有类似项目业绩。 注：①类似项目是指体检服务项目。</w:t>
            </w:r>
          </w:p>
        </w:tc>
      </w:tr>
      <w:tr w14:paraId="31D1B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92C0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2CD583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1CF2F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付款进度安排（以此为准）</w:t>
            </w:r>
          </w:p>
        </w:tc>
        <w:tc>
          <w:tcPr>
            <w:tcW w:w="5814" w:type="dxa"/>
          </w:tcPr>
          <w:p w14:paraId="08A90BD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（由于系统固化原因，3.3.2.商务要求中付款进度安排不适用，以此处为准）</w:t>
            </w:r>
          </w:p>
          <w:p w14:paraId="4C01C11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按照实际体检人数及项目据实支付。体检前采购人需按照协议支付体检总费用的70%作为预付款（达到付款条件起10个工作日内支付），体检结束后达到付款条件起10个工作日内采购人需向供应商支付实际结算费用除预付款外的剩余款项。采购人需按照体检协议支付供应商款项，供应商须提供合法有效的发票。</w:t>
            </w:r>
          </w:p>
        </w:tc>
      </w:tr>
    </w:tbl>
    <w:p w14:paraId="74C56A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DF1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A0213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49FF68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616E62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40489E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067108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0711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E3687A1">
            <w:pPr>
              <w:rPr>
                <w:rFonts w:ascii="Calibri" w:hAnsi="Calibri" w:eastAsia="宋体" w:cs="Times New Roman"/>
              </w:rPr>
            </w:pPr>
          </w:p>
        </w:tc>
        <w:tc>
          <w:tcPr>
            <w:tcW w:w="1495" w:type="dxa"/>
          </w:tcPr>
          <w:p w14:paraId="6CC7BF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履约能力及方案评审（此处对应评分）</w:t>
            </w:r>
          </w:p>
        </w:tc>
        <w:tc>
          <w:tcPr>
            <w:tcW w:w="5814" w:type="dxa"/>
          </w:tcPr>
          <w:p w14:paraId="6681B50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（一）体检服务方案：</w:t>
            </w:r>
          </w:p>
          <w:p w14:paraId="7484E33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供应商结合本项目采购需求编制体检服务方案，包括：</w:t>
            </w:r>
          </w:p>
          <w:p w14:paraId="33851DE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（1）体检时间、体检过程的安排措施；</w:t>
            </w:r>
          </w:p>
          <w:p w14:paraId="78E44D0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（2）前台专人接待、体检过程现场医学咨询方案；</w:t>
            </w:r>
          </w:p>
          <w:p w14:paraId="24340FB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（3）健康风险干预、保护个人隐私服务措施；</w:t>
            </w:r>
          </w:p>
          <w:p w14:paraId="72A4376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（二）质控保障措施及方案：</w:t>
            </w:r>
          </w:p>
          <w:p w14:paraId="29BD9156">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供应商结合本项目采购需求编制质控保障措施及方案，包括：</w:t>
            </w:r>
          </w:p>
          <w:p w14:paraId="25B38FF2">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（1）质控管理组织机构、质控岗位职责；</w:t>
            </w:r>
          </w:p>
          <w:p w14:paraId="120F2C6D">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（2）质控方式、质控目标、质控指标；</w:t>
            </w:r>
          </w:p>
          <w:p w14:paraId="24B9B1BB">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（3）健康危急值报告及处理流程；</w:t>
            </w:r>
          </w:p>
          <w:p w14:paraId="04C6B41B">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（4）体检过程中的质量管控责任制度；</w:t>
            </w:r>
          </w:p>
          <w:p w14:paraId="19363C3A">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（三）</w:t>
            </w:r>
            <w:r>
              <w:rPr>
                <w:rFonts w:hint="eastAsia" w:ascii="仿宋_GB2312" w:hAnsi="仿宋_GB2312" w:eastAsia="仿宋_GB2312" w:cs="仿宋_GB2312"/>
                <w:sz w:val="21"/>
                <w:lang w:val="en-US" w:eastAsia="zh-Hans"/>
              </w:rPr>
              <w:t>应急处置措施及方案</w:t>
            </w:r>
            <w:r>
              <w:rPr>
                <w:rFonts w:hint="eastAsia" w:ascii="仿宋_GB2312" w:hAnsi="仿宋_GB2312" w:eastAsia="仿宋_GB2312" w:cs="仿宋_GB2312"/>
                <w:b/>
                <w:sz w:val="21"/>
                <w:lang w:val="en-US" w:eastAsia="zh-Hans"/>
              </w:rPr>
              <w:t>：</w:t>
            </w:r>
          </w:p>
          <w:p w14:paraId="6CF42726">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供应商结合本项目采购需求编制应急处置措施及方案，包括：</w:t>
            </w:r>
          </w:p>
          <w:p w14:paraId="52AE39A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（1）体检现场急救措施；</w:t>
            </w:r>
          </w:p>
          <w:p w14:paraId="286CAD9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（2）体检现场突发事件应急处置方案；</w:t>
            </w:r>
          </w:p>
          <w:p w14:paraId="75E82ABA">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（四）治疗服务措施及方案：</w:t>
            </w:r>
          </w:p>
          <w:p w14:paraId="21476973">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供应商结合本项目采购需求编制治疗服务措施及方案，包括：</w:t>
            </w:r>
          </w:p>
          <w:p w14:paraId="7B911E22">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（1）复检措施和方案；</w:t>
            </w:r>
          </w:p>
          <w:p w14:paraId="4B01998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（2）健康体检档案终身管理方案；</w:t>
            </w:r>
          </w:p>
          <w:p w14:paraId="1E7291C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（3）检后结合体检报告给出健康建议或就医建议的计划；</w:t>
            </w:r>
          </w:p>
          <w:p w14:paraId="2588820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（4）检后专家上门咨询、讲座计划；</w:t>
            </w:r>
          </w:p>
          <w:p w14:paraId="054F1AC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（五）医资力量：</w:t>
            </w:r>
          </w:p>
          <w:p w14:paraId="72713C1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根据供应商针对本项目拟派的超声科、放射科、检验科的医生和健康检查报告总检（科）医生：</w:t>
            </w:r>
          </w:p>
          <w:p w14:paraId="1CCE2DDE">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具有正高级职称（主任）或副高级职称的医生（副主任）或中级（主治）职称的医生。</w:t>
            </w:r>
          </w:p>
          <w:p w14:paraId="4C7E38A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（六）医疗设备：</w:t>
            </w:r>
          </w:p>
          <w:p w14:paraId="4C7DEEF0">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1、除彩超设备、CT设备外，供应商配备全自动化排检系统。</w:t>
            </w:r>
          </w:p>
          <w:p w14:paraId="49BFEEF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（七）综合能力：</w:t>
            </w:r>
          </w:p>
          <w:p w14:paraId="3EA5C87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1、供应商提供（2020年1月1日（含）至递交投标文件截止日）国家卫健委临床检验中心“全国常规化学室间质量评价活动”质评证书扫描件；</w:t>
            </w:r>
          </w:p>
          <w:p w14:paraId="3ACE57E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2、供应商提供（2020年1月1日（含）至递交投标文件截止日）国家卫健委临床检验中心“全国肿瘤标志物室间质量评价活动”质评证书扫描件；</w:t>
            </w:r>
          </w:p>
          <w:p w14:paraId="3C2173DE">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3、供应商提供（2020年1月1日（含）至递交投标文件截止日）国家卫健委临床检验中心“全国糖化血红蛋白正确度验证室间质量评价活动”质评证书扫描件；</w:t>
            </w:r>
          </w:p>
          <w:p w14:paraId="3AA836C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4、供应商提供（2020年1月1日（含）至递交投标文件截止日）国家卫健委临床检验中心“全国尿液沉渣形态学检查室间质量评价活动”质评证书扫描件。</w:t>
            </w:r>
          </w:p>
          <w:p w14:paraId="19A301C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（八）业绩：</w:t>
            </w:r>
          </w:p>
          <w:p w14:paraId="42D34048">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供应商自2023年1月1日（含）至递交投标文件截止日具有类似项目业绩。 注：①类似项目是指体检服务项目。</w:t>
            </w:r>
          </w:p>
        </w:tc>
      </w:tr>
      <w:tr w14:paraId="6B3BF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FCFBF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6491B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AE71D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付款进度安排（以此为准）</w:t>
            </w:r>
          </w:p>
        </w:tc>
        <w:tc>
          <w:tcPr>
            <w:tcW w:w="5814" w:type="dxa"/>
          </w:tcPr>
          <w:p w14:paraId="616A2C36">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（由于系统固化原因，3.3.2.商务要求中付款进度安排不适用，以此处为准）</w:t>
            </w:r>
          </w:p>
          <w:p w14:paraId="255DAFF4">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分期付款，按照实际体检人数据实支付，达到付款条件起10个工作日内，体检前采购人按照合同支付预算金额的30%作为预付款，体检结束后达到付款条件起10个工作日内采购人向供应商支付实际结算费用（除预付款外的剩余款项）。</w:t>
            </w:r>
          </w:p>
        </w:tc>
      </w:tr>
    </w:tbl>
    <w:p w14:paraId="0507F5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9A8A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B1F42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4B3A2E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3954DC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4D95BA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1CCD0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A9AB6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06B7462">
            <w:pPr>
              <w:rPr>
                <w:rFonts w:ascii="Calibri" w:hAnsi="Calibri" w:eastAsia="宋体" w:cs="Times New Roman"/>
              </w:rPr>
            </w:pPr>
          </w:p>
        </w:tc>
        <w:tc>
          <w:tcPr>
            <w:tcW w:w="1495" w:type="dxa"/>
          </w:tcPr>
          <w:p w14:paraId="366FA2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履约能力及方案评审（此处对应评分）</w:t>
            </w:r>
          </w:p>
        </w:tc>
        <w:tc>
          <w:tcPr>
            <w:tcW w:w="5814" w:type="dxa"/>
          </w:tcPr>
          <w:p w14:paraId="10DCA87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（一）服务方案：</w:t>
            </w:r>
          </w:p>
          <w:p w14:paraId="549646B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供应商针对本项目提供服务方案（本项满分24分）需要包含以下5项内容：</w:t>
            </w:r>
          </w:p>
          <w:p w14:paraId="14AE64F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①体检总体服务方案（含人员安排计划、体检流程说明、质量控制措施、报告交付机制）</w:t>
            </w:r>
          </w:p>
          <w:p w14:paraId="58AA432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②检前服务方案（含预约流程、注意事项告知、个性化需求对接）</w:t>
            </w:r>
          </w:p>
          <w:p w14:paraId="20AE16B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③检中服务方案（含“一人一诊室”隐私保护、操作人员持证上岗）</w:t>
            </w:r>
          </w:p>
          <w:p w14:paraId="74EB876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④检后服务方案（含报告出具时限承诺、异常结果通知机制、健康咨询渠道）</w:t>
            </w:r>
          </w:p>
          <w:p w14:paraId="2A25EC8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⑤增值服务方案（提供体检套餐以外、针对本项目特性的增值服务）</w:t>
            </w:r>
          </w:p>
          <w:p w14:paraId="6A5ED5E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（二）应急预案：</w:t>
            </w:r>
          </w:p>
          <w:p w14:paraId="162C31A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供应商针对本项目提供应急预案。需要包含以下3项内容：</w:t>
            </w:r>
          </w:p>
          <w:p w14:paraId="692BD59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①应急团队建立、②突发情况分析梳理、③突发情况处理措施。</w:t>
            </w:r>
          </w:p>
          <w:p w14:paraId="4E91812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（三）综合实力：</w:t>
            </w:r>
          </w:p>
          <w:p w14:paraId="17B186C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1.供应商具备以下室间质评合格证书：</w:t>
            </w:r>
          </w:p>
          <w:p w14:paraId="65832EAA">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①全国常规化学A室间质评合格证书</w:t>
            </w:r>
            <w:r>
              <w:rPr>
                <w:rFonts w:hint="eastAsia" w:ascii="Calibri" w:hAnsi="Calibri" w:eastAsia="宋体" w:cs="Times New Roman"/>
                <w:lang w:val="en-US" w:eastAsia="zh-Hans"/>
              </w:rPr>
              <w:br w:type="textWrapping"/>
            </w:r>
            <w:r>
              <w:rPr>
                <w:rFonts w:hint="eastAsia" w:ascii="仿宋_GB2312" w:hAnsi="仿宋_GB2312" w:eastAsia="仿宋_GB2312" w:cs="仿宋_GB2312"/>
                <w:sz w:val="21"/>
                <w:lang w:val="en-US" w:eastAsia="zh-Hans"/>
              </w:rPr>
              <w:t xml:space="preserve"> ②全国糖化血红蛋白室间质评合格证书</w:t>
            </w:r>
            <w:r>
              <w:rPr>
                <w:rFonts w:hint="eastAsia" w:ascii="Calibri" w:hAnsi="Calibri" w:eastAsia="宋体" w:cs="Times New Roman"/>
                <w:lang w:val="en-US" w:eastAsia="zh-Hans"/>
              </w:rPr>
              <w:br w:type="textWrapping"/>
            </w:r>
            <w:r>
              <w:rPr>
                <w:rFonts w:hint="eastAsia" w:ascii="仿宋_GB2312" w:hAnsi="仿宋_GB2312" w:eastAsia="仿宋_GB2312" w:cs="仿宋_GB2312"/>
                <w:sz w:val="21"/>
                <w:lang w:val="en-US" w:eastAsia="zh-Hans"/>
              </w:rPr>
              <w:t xml:space="preserve"> ③全国肿瘤标志物室间质评合格证书</w:t>
            </w:r>
            <w:r>
              <w:rPr>
                <w:rFonts w:hint="eastAsia" w:ascii="Calibri" w:hAnsi="Calibri" w:eastAsia="宋体" w:cs="Times New Roman"/>
                <w:lang w:val="en-US" w:eastAsia="zh-Hans"/>
              </w:rPr>
              <w:br w:type="textWrapping"/>
            </w:r>
            <w:r>
              <w:rPr>
                <w:rFonts w:hint="eastAsia" w:ascii="仿宋_GB2312" w:hAnsi="仿宋_GB2312" w:eastAsia="仿宋_GB2312" w:cs="仿宋_GB2312"/>
                <w:sz w:val="21"/>
                <w:lang w:val="en-US" w:eastAsia="zh-Hans"/>
              </w:rPr>
              <w:t xml:space="preserve"> ④全国尿液化学分析室间质评合格证书</w:t>
            </w:r>
          </w:p>
          <w:p w14:paraId="7752BEC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⑤全国内分泌室间质评合格证书</w:t>
            </w:r>
          </w:p>
          <w:p w14:paraId="7C10AC8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⑥全国脂内分析室间质评合格证书</w:t>
            </w:r>
          </w:p>
          <w:p w14:paraId="7BCABEE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（四）业绩：</w:t>
            </w:r>
          </w:p>
          <w:p w14:paraId="715FBF7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供应商自2023年1月1日（含）至递交投标文件截止日具有类似项目业绩。 注：①类似项目是指体检服务项目。</w:t>
            </w:r>
          </w:p>
        </w:tc>
      </w:tr>
      <w:tr w14:paraId="37FAB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1C26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6D1012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0C0C9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付款进度安排（以此为准）</w:t>
            </w:r>
          </w:p>
        </w:tc>
        <w:tc>
          <w:tcPr>
            <w:tcW w:w="5814" w:type="dxa"/>
          </w:tcPr>
          <w:p w14:paraId="4840FA3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（由于系统固化原因，3.3.2.商务要求中付款进度安排不适用，以此处为准）</w:t>
            </w:r>
          </w:p>
          <w:p w14:paraId="3256A80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分期付款，按照实际体检人数据实支付，达到付款条件起10个工作日内，体检前采购人按照合同支付预算金额的60%作为预付款，体检结束后达到付款条件起10个工作日内采购人向供应商支付实际结算费用（除预付款外的剩余款项）。</w:t>
            </w:r>
          </w:p>
        </w:tc>
      </w:tr>
    </w:tbl>
    <w:p w14:paraId="7A91C937">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3020A9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5B46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328CA8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4EE073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4AC5F6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72B607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481A5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1C1F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74B909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A3A1F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2076" w:type="dxa"/>
          </w:tcPr>
          <w:p w14:paraId="70E4F0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服务期限三年，合同一年一签，经采购人考核合格后续签下一年合同。</w:t>
            </w:r>
          </w:p>
        </w:tc>
      </w:tr>
      <w:tr w14:paraId="45252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6EA8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3704AF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EE57D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2076" w:type="dxa"/>
          </w:tcPr>
          <w:p w14:paraId="43E5CB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采购人指定地点（成都市内）</w:t>
            </w:r>
          </w:p>
        </w:tc>
      </w:tr>
      <w:tr w14:paraId="305CA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F3EB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65E1E3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9F112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29B62B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（由于系统固化原因，若有与2.6.6.履约验收方案不一致的，以此处为准） 1）验收组织方式：自行验收 2）是否邀请本项目的其他供应商：否 3）是否邀请专家：是 4）是否邀请服务对象：否 5）是否邀请第三方检测机构：否 6）履约验收程序：一次性验收 7）履约验收时间：本项目所有服务内容完成后，供应商提出验收申请 ，达到验收条件起 15 日内，验收合同总金额的 100%。 8）验收组织的其他事项：无 9）技术履约验收内容：按照本项目采购文件中技术要求及中标供应商的投标文件进行验收。 10）商务履约验收内容：按照本项目采购文件中商务要求及中标供应商的投标文件进行验收。 11）履约验收标准：按照《政府采购需求管理办法》（财库[2021]22号）以及《财政部关于进一步加强政府采购需求和履约验收管理的指导意见》（财库[2016]205号）的要求进行验收。 12）履约验收其他事项：无。</w:t>
            </w:r>
          </w:p>
        </w:tc>
      </w:tr>
      <w:tr w14:paraId="4BCFAA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0605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30CBF1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8615D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78CFD9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00BDB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3018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305D1F84">
            <w:pPr>
              <w:rPr>
                <w:rFonts w:ascii="Calibri" w:hAnsi="Calibri" w:eastAsia="宋体" w:cs="Times New Roman"/>
              </w:rPr>
            </w:pPr>
          </w:p>
        </w:tc>
        <w:tc>
          <w:tcPr>
            <w:tcW w:w="2076" w:type="dxa"/>
          </w:tcPr>
          <w:p w14:paraId="3F58D7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457022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进度款付款条件：按照实际体检人数及项目据实支付。达到该付款条件起10个工作日内，据实情况为体检前采购人需按照协议支付体检总费用的70%作为预付款（达到付款条件起10个工作日内支付），体检结束后达到付款条件起10个工作日内采购人需向供应商支付实际结算费用除预付款外的剩余款项。采购人需按照体检协议支付供应商款项，供应商须提供合法有效的发票。</w:t>
            </w:r>
            <w:r>
              <w:rPr>
                <w:rFonts w:hint="eastAsia" w:ascii="Calibri" w:hAnsi="Calibri" w:eastAsia="宋体" w:cs="Times New Roman"/>
                <w:lang w:val="en-US" w:eastAsia="zh-Hans"/>
              </w:rPr>
              <w:br w:type="textWrapping"/>
            </w:r>
          </w:p>
        </w:tc>
      </w:tr>
      <w:tr w14:paraId="3C5C8D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5EAB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5419FC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D2F24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2F7926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按合同约定执行。</w:t>
            </w:r>
          </w:p>
        </w:tc>
      </w:tr>
    </w:tbl>
    <w:p w14:paraId="4D1522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A687B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B155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759CE5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3529B2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54755B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B6DF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4218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57DBEA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09A22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2076" w:type="dxa"/>
          </w:tcPr>
          <w:p w14:paraId="7252B1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服务期限三年，合同一年一签，经采购人考核合格后续签下一年合同。</w:t>
            </w:r>
          </w:p>
        </w:tc>
      </w:tr>
      <w:tr w14:paraId="30F0DA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33FD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2EEC42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A698B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2076" w:type="dxa"/>
          </w:tcPr>
          <w:p w14:paraId="74C31F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采购人指定地点（成都市内）</w:t>
            </w:r>
          </w:p>
        </w:tc>
      </w:tr>
      <w:tr w14:paraId="00082A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B645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4BDAF13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35390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1EEB24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（由于系统固化原因，若有与2.6.6.履约验收方案不一致的，以此处为准） 1）验收组织方式：自行验收 2）是否邀请本项目的其他供应商：否 3）是否邀请专家：是 4）是否邀请服务对象：否 5）是否邀请第三方检测机构：否 6）履约验收程序：一次性验收 7）履约验收时间：本项目所有服务内容完成后，供应商提出验收申请 ，达到验收条件起 15 日内，验收合同总金额的 100%。 8）验收组织的其他事项：无 9）技术履约验收内容：按照本项目采购文件中技术要求及中标供应商的投标文件进行验收。 10）商务履约验收内容：按照本项目采购文件中商务要求及中标供应商的投标文件进行验收。 11）履约验收标准：按照《政府采购需求管理办法》（财库[2021]22号）以及《财政部关于进一步加强政府采购需求和履约验收管理的指导意见》（财库[2016]205号）的要求进行验收。 12）履约验收其他事项：无。</w:t>
            </w:r>
          </w:p>
        </w:tc>
      </w:tr>
      <w:tr w14:paraId="5E35FD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20454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2D5D91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D8530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772899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164A1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1A2E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2201CA8E">
            <w:pPr>
              <w:rPr>
                <w:rFonts w:ascii="Calibri" w:hAnsi="Calibri" w:eastAsia="宋体" w:cs="Times New Roman"/>
              </w:rPr>
            </w:pPr>
          </w:p>
        </w:tc>
        <w:tc>
          <w:tcPr>
            <w:tcW w:w="2076" w:type="dxa"/>
          </w:tcPr>
          <w:p w14:paraId="6AAAFC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7DC825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进度款付款条件：分期付款。达到该付款条件起10个工作日内，据实情况为按照实际体检人数据实支付，达到付款条件起10个工作日内，体检前采购人按照合同支付预算金额的30%作为预付款，体检结束后达到付款条件起10个工作日内采购人向供应商支付实际结算费用（除预付款外的剩余款项）</w:t>
            </w:r>
            <w:r>
              <w:rPr>
                <w:rFonts w:hint="eastAsia" w:ascii="Calibri" w:hAnsi="Calibri" w:eastAsia="宋体" w:cs="Times New Roman"/>
                <w:lang w:val="en-US" w:eastAsia="zh-Hans"/>
              </w:rPr>
              <w:br w:type="textWrapping"/>
            </w:r>
          </w:p>
        </w:tc>
      </w:tr>
      <w:tr w14:paraId="60319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14A8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0DB1D8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F8714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48D20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按合同约定执行。</w:t>
            </w:r>
          </w:p>
        </w:tc>
      </w:tr>
    </w:tbl>
    <w:p w14:paraId="4BC4E2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36E92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4819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16F80F5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0E5DD8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4ED8C7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1E3B8D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DB52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5279CA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11842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2076" w:type="dxa"/>
          </w:tcPr>
          <w:p w14:paraId="4F74BE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服务期限三年，合同一年一签，经采购人考核合格后续签下一年合同。</w:t>
            </w:r>
          </w:p>
        </w:tc>
      </w:tr>
      <w:tr w14:paraId="52C1C2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57FD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7A7129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AF584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2076" w:type="dxa"/>
          </w:tcPr>
          <w:p w14:paraId="65A7D3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采购人指定地点（成都市内）</w:t>
            </w:r>
          </w:p>
        </w:tc>
      </w:tr>
      <w:tr w14:paraId="66DAC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D930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75C326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EDAB2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52896E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（由于系统固化原因，若有与2.6.6.履约验收方案不一致的，以此处为准） 1）验收组织方式：自行验收 2）是否邀请本项目的其他供应商：否 3）是否邀请专家：是 4）是否邀请服务对象：否 5）是否邀请第三方检测机构：否 6）履约验收程序：一次性验收 7）履约验收时间：本项目所有服务内容完成后，供应商提出验收申请 ，达到验收条件起 15 日内，验收合同总金额的 100%。 8）验收组织的其他事项：无 9）技术履约验收内容：按照本项目采购文件中技术要求及中标供应商的投标文件进行验收。 10）商务履约验收内容：按照本项目采购文件中商务要求及中标供应商的投标文件进行验收。 11）履约验收标准：按照《政府采购需求管理办法》（财库[2021]22号）以及《财政部关于进一步加强政府采购需求和履约验收管理的指导意见》（财库[2016]205号）的要求进行验收。 12）履约验收其他事项：无。</w:t>
            </w:r>
          </w:p>
        </w:tc>
      </w:tr>
      <w:tr w14:paraId="5131D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C06C4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7B0828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4BE3C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06A9EE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3BAD3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8CCF3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1FDBC1F2">
            <w:pPr>
              <w:rPr>
                <w:rFonts w:ascii="Calibri" w:hAnsi="Calibri" w:eastAsia="宋体" w:cs="Times New Roman"/>
              </w:rPr>
            </w:pPr>
          </w:p>
        </w:tc>
        <w:tc>
          <w:tcPr>
            <w:tcW w:w="2076" w:type="dxa"/>
          </w:tcPr>
          <w:p w14:paraId="090E36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73C620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进度款付款条件：按照实际体检人数据实支付。达到该付款条件起10个工作日内，据实情况为体检前采购人按照合同支付预算金额的60%作为预付款，体检结束后达到付款条件起10个工作日内采购人向供应商支付实际结算费用（除预付款外的剩余款项）</w:t>
            </w:r>
            <w:r>
              <w:rPr>
                <w:rFonts w:hint="eastAsia" w:ascii="Calibri" w:hAnsi="Calibri" w:eastAsia="宋体" w:cs="Times New Roman"/>
                <w:lang w:val="en-US" w:eastAsia="zh-Hans"/>
              </w:rPr>
              <w:br w:type="textWrapping"/>
            </w:r>
          </w:p>
        </w:tc>
      </w:tr>
      <w:tr w14:paraId="75EAB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39A5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7657D2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8E222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1C4AF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按合同约定执行。</w:t>
            </w:r>
          </w:p>
        </w:tc>
      </w:tr>
    </w:tbl>
    <w:p w14:paraId="55A6576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24D9C9AF">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2F2E82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一、未载明或者载明的标的名称、数量、计量单位及其他政府采购合同实质性内容与采购文件要求不一致，且采购单位无法接受的，属于无效响应。（该条款仅作说明，供应商无需应答） ★二、非特定美国企业生产产品：根据《关于在政府采购活动中对有关美国企业采取相关措施的通知》（财库〔2026〕10号）规定，供应商不得提供该通知中所列46家美国企业（不包括在华美资企业）生产的产品，否则投标（响应）无效。”（供应商无须针对此项要求单独提供承诺函，以投标（响应）函中“我单位完全接受和理解本项目采购文件规定的实质性要求”的承诺内容为准。</w:t>
      </w:r>
    </w:p>
    <w:p w14:paraId="709892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537676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一、未载明或者载明的标的名称、数量、计量单位及其他政府采购合同实质性内容与采购文件要求不一致，且采购单位无法接受的，属于无效响应。（该条款仅作说明，供应商无需应答） ★二、非特定美国企业生产产品：根据《关于在政府采购活动中对有关美国企业采取相关措施的通知》（财库〔2026〕10号）规定，供应商不得提供该通知中所列46家美国企业（不包括在华美资企业）生产的产品，否则投标（响应）无效。”（供应商无须针对此项要求单独提供承诺函，以投标（响应）函中“我单位完全接受和理解本项目采购文件规定的实质性要求”的承诺内容为准。</w:t>
      </w:r>
    </w:p>
    <w:p w14:paraId="7E4A63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采购包3：</w:t>
      </w:r>
    </w:p>
    <w:p w14:paraId="65D144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一、未载明或者载明的标的名称、数量、计量单位及其他政府采购合同实质性内容与采购文件要求不一致，且采购单位无法接受的，属于无效响应。（该条款仅作说明，供应商无需应答） ★二、非特定美国企业生产产品：根据《关于在政府采购活动中对有关美国企业采取相关措施的通知》（财库〔2026〕10号）规定，供应商不得提供该通知中所列46家美国企业（不包括在华美资企业）生产的产品，否则投标（响应）无效。”（供应商无须针对此项要求单独提供承诺函，以投标（响应）函中“我单位完全接受和理解本项目采购文件规定的实质性要求”的承诺内容为准。</w:t>
      </w:r>
    </w:p>
    <w:p w14:paraId="0F454C0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476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2026-08-31T04:08:21Z</dcterms:created>
  <dc:creator>Dell</dc:creator>
  <cp:lastModifiedBy>刘宇恒</cp:lastModifiedBy>
  <dcterms:modified xsi:type="dcterms:W3CDTF">2026-08-31T04:09:21Z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eyJoZGlkIjoiMWQzYjZmMzIyMmFkOTJkNjczMjYxNmU3ZWFjY2I3NTYiLCJ1c2VySWQiOiI1MDQxNDc4ODMifQ==</vt:lpwstr>
  </property>
  <property fmtid="{D5CDD505-2E9C-101B-9397-08002B2CF9AE}" pid="4" name="ICV">
    <vt:lpwstr>D3DFF157A6354E15986138909FFEA7E8_12</vt:lpwstr>
  </property>
</Properties>
</file>