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bidi w:val="0"/>
        <w:adjustRightInd w:val="0"/>
        <w:snapToGrid w:val="0"/>
        <w:spacing w:line="360" w:lineRule="auto"/>
        <w:ind w:right="29" w:rightChars="12" w:firstLine="480" w:firstLineChars="20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普通高中学科教室、创新实验室建设项目(2024年)环境建设磋商公告</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（项目编号：BHGJ-2024-C-036）</w:t>
      </w:r>
    </w:p>
    <w:p>
      <w:pPr>
        <w:pStyle w:val="3"/>
        <w:keepNext w:val="0"/>
        <w:keepLines w:val="0"/>
        <w:pageBreakBefore w:val="0"/>
        <w:kinsoku/>
        <w:wordWrap/>
        <w:overflowPunct/>
        <w:topLinePunct w:val="0"/>
        <w:bidi w:val="0"/>
        <w:spacing w:line="360" w:lineRule="auto"/>
        <w:rPr>
          <w:rFonts w:hint="eastAsia" w:ascii="宋体" w:hAnsi="宋体" w:eastAsia="宋体" w:cs="宋体"/>
          <w:b/>
          <w:color w:val="auto"/>
          <w:sz w:val="24"/>
          <w:szCs w:val="24"/>
        </w:rPr>
      </w:pPr>
    </w:p>
    <w:p>
      <w:pPr>
        <w:keepNext w:val="0"/>
        <w:keepLines w:val="0"/>
        <w:pageBreakBefore w:val="0"/>
        <w:kinsoku/>
        <w:wordWrap/>
        <w:overflowPunct/>
        <w:topLinePunct w:val="0"/>
        <w:bidi w:val="0"/>
        <w:snapToGrid w:val="0"/>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rPr>
        <w:t>项目所在地区：</w:t>
      </w:r>
      <w:r>
        <w:rPr>
          <w:rFonts w:hint="eastAsia" w:ascii="宋体" w:hAnsi="宋体" w:eastAsia="宋体" w:cs="宋体"/>
          <w:color w:val="auto"/>
          <w:kern w:val="0"/>
          <w:sz w:val="24"/>
          <w:szCs w:val="24"/>
          <w:highlight w:val="none"/>
          <w:lang w:val="en-US" w:eastAsia="zh-CN" w:bidi="ar-SA"/>
        </w:rPr>
        <w:t>天津市，市辖区，河西区</w:t>
      </w:r>
    </w:p>
    <w:p>
      <w:pPr>
        <w:keepNext w:val="0"/>
        <w:keepLines w:val="0"/>
        <w:pageBreakBefore w:val="0"/>
        <w:kinsoku/>
        <w:wordWrap/>
        <w:overflowPunct/>
        <w:topLinePunct w:val="0"/>
        <w:bidi w:val="0"/>
        <w:snapToGrid w:val="0"/>
        <w:spacing w:line="360" w:lineRule="auto"/>
        <w:outlineLvl w:val="1"/>
        <w:rPr>
          <w:rFonts w:hint="eastAsia" w:ascii="宋体" w:hAnsi="宋体" w:eastAsia="宋体" w:cs="宋体"/>
          <w:b/>
          <w:color w:val="auto"/>
          <w:szCs w:val="21"/>
        </w:rPr>
      </w:pPr>
      <w:r>
        <w:rPr>
          <w:rFonts w:hint="eastAsia" w:ascii="宋体" w:hAnsi="宋体" w:eastAsia="宋体" w:cs="宋体"/>
          <w:b/>
          <w:color w:val="auto"/>
          <w:szCs w:val="21"/>
        </w:rPr>
        <w:t>一、招标条件</w:t>
      </w:r>
    </w:p>
    <w:p>
      <w:pPr>
        <w:keepNext w:val="0"/>
        <w:keepLines w:val="0"/>
        <w:pageBreakBefore w:val="0"/>
        <w:kinsoku/>
        <w:wordWrap/>
        <w:overflowPunct/>
        <w:topLinePunct w:val="0"/>
        <w:bidi w:val="0"/>
        <w:snapToGrid w:val="0"/>
        <w:spacing w:line="360" w:lineRule="auto"/>
        <w:ind w:firstLine="48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rPr>
        <w:t>本</w:t>
      </w:r>
      <w:r>
        <w:rPr>
          <w:rFonts w:hint="eastAsia" w:ascii="宋体" w:hAnsi="宋体" w:eastAsia="宋体" w:cs="宋体"/>
          <w:color w:val="auto"/>
          <w:szCs w:val="21"/>
          <w:lang w:val="en-US" w:eastAsia="zh-CN"/>
        </w:rPr>
        <w:t>普通高中学科教室、创新实验室建设项目(2024年)环境建设</w:t>
      </w:r>
      <w:r>
        <w:rPr>
          <w:rFonts w:hint="eastAsia" w:ascii="宋体" w:hAnsi="宋体" w:eastAsia="宋体" w:cs="宋体"/>
          <w:color w:val="auto"/>
          <w:szCs w:val="21"/>
        </w:rPr>
        <w:t>已由项目审批/核准/备案机关批准，项目资金来源为</w:t>
      </w:r>
      <w:r>
        <w:rPr>
          <w:rFonts w:hint="eastAsia" w:ascii="宋体" w:hAnsi="宋体" w:eastAsia="宋体" w:cs="宋体"/>
          <w:color w:val="auto"/>
          <w:szCs w:val="21"/>
          <w:lang w:val="en-US" w:eastAsia="zh-CN"/>
        </w:rPr>
        <w:t>自筹资金</w:t>
      </w:r>
      <w:r>
        <w:rPr>
          <w:rFonts w:hint="eastAsia" w:ascii="宋体" w:hAnsi="宋体" w:eastAsia="宋体" w:cs="宋体"/>
          <w:color w:val="auto"/>
          <w:szCs w:val="21"/>
          <w:highlight w:val="none"/>
          <w:lang w:val="en-US" w:eastAsia="zh-CN"/>
        </w:rPr>
        <w:t>36.52万</w:t>
      </w:r>
      <w:r>
        <w:rPr>
          <w:rFonts w:hint="eastAsia" w:ascii="宋体" w:hAnsi="宋体" w:eastAsia="宋体" w:cs="宋体"/>
          <w:color w:val="auto"/>
          <w:szCs w:val="21"/>
        </w:rPr>
        <w:t>，</w:t>
      </w:r>
      <w:r>
        <w:rPr>
          <w:rFonts w:hint="eastAsia" w:ascii="宋体" w:hAnsi="宋体" w:eastAsia="宋体" w:cs="宋体"/>
          <w:color w:val="auto"/>
          <w:szCs w:val="21"/>
          <w:lang w:eastAsia="zh-CN"/>
        </w:rPr>
        <w:t>建设单位</w:t>
      </w:r>
      <w:r>
        <w:rPr>
          <w:rFonts w:hint="eastAsia" w:ascii="宋体" w:hAnsi="宋体" w:eastAsia="宋体" w:cs="宋体"/>
          <w:color w:val="auto"/>
          <w:szCs w:val="21"/>
        </w:rPr>
        <w:t>为</w:t>
      </w:r>
      <w:r>
        <w:rPr>
          <w:rFonts w:hint="eastAsia" w:ascii="宋体" w:hAnsi="宋体" w:eastAsia="宋体" w:cs="宋体"/>
          <w:color w:val="auto"/>
          <w:szCs w:val="21"/>
          <w:lang w:val="en-US" w:eastAsia="zh-CN"/>
        </w:rPr>
        <w:t>天津市新华中学</w:t>
      </w:r>
      <w:r>
        <w:rPr>
          <w:rFonts w:hint="eastAsia" w:ascii="宋体" w:hAnsi="宋体" w:eastAsia="宋体" w:cs="宋体"/>
          <w:color w:val="auto"/>
          <w:szCs w:val="21"/>
        </w:rPr>
        <w:t>。本项目已具备招标条件，现招标方式为</w:t>
      </w:r>
      <w:r>
        <w:rPr>
          <w:rFonts w:hint="eastAsia" w:ascii="宋体" w:hAnsi="宋体" w:eastAsia="宋体" w:cs="宋体"/>
          <w:color w:val="auto"/>
          <w:szCs w:val="21"/>
          <w:lang w:val="en-US" w:eastAsia="zh-CN"/>
        </w:rPr>
        <w:t>其他方式。</w:t>
      </w:r>
    </w:p>
    <w:p>
      <w:pPr>
        <w:keepNext w:val="0"/>
        <w:keepLines w:val="0"/>
        <w:pageBreakBefore w:val="0"/>
        <w:kinsoku/>
        <w:wordWrap/>
        <w:overflowPunct/>
        <w:topLinePunct w:val="0"/>
        <w:bidi w:val="0"/>
        <w:snapToGrid w:val="0"/>
        <w:spacing w:line="360" w:lineRule="auto"/>
        <w:outlineLvl w:val="1"/>
        <w:rPr>
          <w:rFonts w:hint="eastAsia" w:eastAsia="宋体"/>
          <w:b/>
          <w:color w:val="auto"/>
          <w:szCs w:val="21"/>
          <w:lang w:eastAsia="zh-CN"/>
        </w:rPr>
      </w:pPr>
      <w:r>
        <w:rPr>
          <w:rFonts w:hint="eastAsia"/>
          <w:b/>
          <w:color w:val="auto"/>
          <w:szCs w:val="21"/>
        </w:rPr>
        <w:t>二、项目概况和</w:t>
      </w:r>
      <w:r>
        <w:rPr>
          <w:rFonts w:hint="eastAsia"/>
          <w:b/>
          <w:color w:val="auto"/>
          <w:szCs w:val="21"/>
          <w:lang w:eastAsia="zh-CN"/>
        </w:rPr>
        <w:t>项目范围</w:t>
      </w:r>
    </w:p>
    <w:p>
      <w:pPr>
        <w:keepNext w:val="0"/>
        <w:keepLines w:val="0"/>
        <w:pageBreakBefore w:val="0"/>
        <w:kinsoku/>
        <w:wordWrap/>
        <w:overflowPunct/>
        <w:topLinePunct w:val="0"/>
        <w:bidi w:val="0"/>
        <w:snapToGrid w:val="0"/>
        <w:spacing w:line="360" w:lineRule="auto"/>
        <w:ind w:firstLine="480" w:firstLineChars="200"/>
        <w:rPr>
          <w:rFonts w:hint="eastAsia" w:ascii="Calibri" w:hAnsi="Calibri" w:eastAsia="宋体" w:cs="宋体"/>
          <w:color w:val="auto"/>
          <w:kern w:val="0"/>
          <w:sz w:val="24"/>
          <w:szCs w:val="24"/>
          <w:highlight w:val="none"/>
          <w:lang w:val="en-US" w:eastAsia="zh-CN" w:bidi="ar-SA"/>
        </w:rPr>
      </w:pPr>
      <w:r>
        <w:rPr>
          <w:rFonts w:hint="eastAsia"/>
          <w:color w:val="auto"/>
          <w:szCs w:val="21"/>
        </w:rPr>
        <w:t>规模：</w:t>
      </w:r>
      <w:r>
        <w:rPr>
          <w:rFonts w:hint="eastAsia" w:ascii="Calibri" w:hAnsi="Calibri" w:eastAsia="宋体" w:cs="宋体"/>
          <w:color w:val="auto"/>
          <w:kern w:val="0"/>
          <w:sz w:val="24"/>
          <w:szCs w:val="24"/>
          <w:highlight w:val="none"/>
          <w:lang w:val="en-US" w:eastAsia="zh-CN" w:bidi="ar-SA"/>
        </w:rPr>
        <w:t>本工程为普通高中学科教室、创新实验室建设项目(2024年)环境建设，具体要求详见磋商文件技术要求、工程量清单。</w:t>
      </w:r>
    </w:p>
    <w:p>
      <w:pPr>
        <w:keepNext w:val="0"/>
        <w:keepLines w:val="0"/>
        <w:pageBreakBefore w:val="0"/>
        <w:kinsoku/>
        <w:wordWrap/>
        <w:overflowPunct/>
        <w:topLinePunct w:val="0"/>
        <w:bidi w:val="0"/>
        <w:snapToGrid w:val="0"/>
        <w:spacing w:line="360" w:lineRule="auto"/>
        <w:ind w:firstLine="480" w:firstLineChars="200"/>
        <w:rPr>
          <w:color w:val="auto"/>
          <w:szCs w:val="21"/>
        </w:rPr>
      </w:pPr>
      <w:r>
        <w:rPr>
          <w:rFonts w:hint="eastAsia"/>
          <w:color w:val="auto"/>
          <w:szCs w:val="21"/>
        </w:rPr>
        <w:t>范围：本招标项目划分为1个标段，本次招标为其中的：</w:t>
      </w:r>
    </w:p>
    <w:p>
      <w:pPr>
        <w:keepNext w:val="0"/>
        <w:keepLines w:val="0"/>
        <w:pageBreakBefore w:val="0"/>
        <w:kinsoku/>
        <w:wordWrap/>
        <w:overflowPunct/>
        <w:topLinePunct w:val="0"/>
        <w:bidi w:val="0"/>
        <w:snapToGrid w:val="0"/>
        <w:spacing w:line="360" w:lineRule="auto"/>
        <w:ind w:firstLine="480" w:firstLineChars="200"/>
        <w:rPr>
          <w:rFonts w:hint="eastAsia" w:ascii="Calibri" w:hAnsi="Calibri" w:eastAsia="宋体" w:cs="宋体"/>
          <w:color w:val="auto"/>
          <w:kern w:val="0"/>
          <w:sz w:val="24"/>
          <w:szCs w:val="24"/>
          <w:highlight w:val="none"/>
          <w:lang w:val="en-US" w:eastAsia="zh-CN" w:bidi="ar-SA"/>
        </w:rPr>
      </w:pPr>
      <w:r>
        <w:rPr>
          <w:rFonts w:hint="eastAsia" w:ascii="Calibri" w:hAnsi="Calibri" w:eastAsia="宋体" w:cs="宋体"/>
          <w:color w:val="auto"/>
          <w:kern w:val="0"/>
          <w:sz w:val="24"/>
          <w:szCs w:val="24"/>
          <w:highlight w:val="none"/>
          <w:lang w:val="en-US" w:eastAsia="zh-CN" w:bidi="ar-SA"/>
        </w:rPr>
        <w:t>（001）普通高中学科教室、创新实验室建设项目(2024年)环境建设；</w:t>
      </w:r>
    </w:p>
    <w:p>
      <w:pPr>
        <w:keepNext w:val="0"/>
        <w:keepLines w:val="0"/>
        <w:pageBreakBefore w:val="0"/>
        <w:kinsoku/>
        <w:wordWrap/>
        <w:overflowPunct/>
        <w:topLinePunct w:val="0"/>
        <w:bidi w:val="0"/>
        <w:snapToGrid w:val="0"/>
        <w:spacing w:line="360" w:lineRule="auto"/>
        <w:outlineLvl w:val="1"/>
        <w:rPr>
          <w:b/>
          <w:color w:val="auto"/>
          <w:szCs w:val="21"/>
        </w:rPr>
      </w:pPr>
      <w:r>
        <w:rPr>
          <w:rFonts w:hint="eastAsia"/>
          <w:b/>
          <w:color w:val="auto"/>
          <w:szCs w:val="21"/>
        </w:rPr>
        <w:t>三、</w:t>
      </w:r>
      <w:r>
        <w:rPr>
          <w:rFonts w:hint="eastAsia"/>
          <w:b/>
          <w:color w:val="auto"/>
          <w:szCs w:val="21"/>
          <w:lang w:eastAsia="zh-CN"/>
        </w:rPr>
        <w:t>供应商</w:t>
      </w:r>
      <w:r>
        <w:rPr>
          <w:rFonts w:hint="eastAsia"/>
          <w:b/>
          <w:color w:val="auto"/>
          <w:szCs w:val="21"/>
        </w:rPr>
        <w:t xml:space="preserve">资格要求 </w:t>
      </w:r>
    </w:p>
    <w:p>
      <w:pPr>
        <w:keepNext w:val="0"/>
        <w:keepLines w:val="0"/>
        <w:pageBreakBefore w:val="0"/>
        <w:kinsoku/>
        <w:wordWrap/>
        <w:overflowPunct/>
        <w:topLinePunct w:val="0"/>
        <w:bidi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（001 普通高中学科教室、创新实验室建设项目(2024年)环境建设）的投标单位资格要求：</w:t>
      </w:r>
    </w:p>
    <w:p>
      <w:pPr>
        <w:keepNext w:val="0"/>
        <w:keepLines w:val="0"/>
        <w:pageBreakBefore w:val="0"/>
        <w:kinsoku/>
        <w:wordWrap/>
        <w:overflowPunct/>
        <w:topLinePunct w:val="0"/>
        <w:bidi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1.供应商须提供营业执照副本且在有效期内（复印件加盖公章）；</w:t>
      </w:r>
    </w:p>
    <w:p>
      <w:pPr>
        <w:keepNext w:val="0"/>
        <w:keepLines w:val="0"/>
        <w:pageBreakBefore w:val="0"/>
        <w:kinsoku/>
        <w:wordWrap/>
        <w:overflowPunct/>
        <w:topLinePunct w:val="0"/>
        <w:bidi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2.供应商须具备投标人须具备建设行政主管部门核发的建筑工程施工总承包三级及以上资质或者建筑装修装饰工程专业承包二级及以上资质，提供有效期内证书复印件并加盖公章；</w:t>
      </w:r>
    </w:p>
    <w:p>
      <w:pPr>
        <w:keepNext w:val="0"/>
        <w:keepLines w:val="0"/>
        <w:pageBreakBefore w:val="0"/>
        <w:kinsoku/>
        <w:wordWrap/>
        <w:overflowPunct/>
        <w:topLinePunct w:val="0"/>
        <w:bidi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3.供应商须提供安全生产许可证且在有效期内（复印件加盖公章）；</w:t>
      </w:r>
    </w:p>
    <w:p>
      <w:pPr>
        <w:keepNext w:val="0"/>
        <w:keepLines w:val="0"/>
        <w:pageBreakBefore w:val="0"/>
        <w:kinsoku/>
        <w:wordWrap/>
        <w:overflowPunct/>
        <w:topLinePunct w:val="0"/>
        <w:bidi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4.供应商须委派正项目经理1名，具备二级及以上注册建造师，建筑工程专业，具备五年以上现场施工管理经验（投标人在任命书中对其工作年限加以承诺），提供复印件并加盖公章；</w:t>
      </w:r>
    </w:p>
    <w:p>
      <w:pPr>
        <w:keepNext w:val="0"/>
        <w:keepLines w:val="0"/>
        <w:pageBreakBefore w:val="0"/>
        <w:kinsoku/>
        <w:wordWrap/>
        <w:overflowPunct/>
        <w:topLinePunct w:val="0"/>
        <w:bidi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5.供应商须委派技术负责人1名，须具有工程技术类中级及以上职称，5年以上施工现场管理工作经历，供应商提供任命书并在其中对工作年限加以承诺（复印件加盖公章）；</w:t>
      </w:r>
    </w:p>
    <w:p>
      <w:pPr>
        <w:keepNext w:val="0"/>
        <w:keepLines w:val="0"/>
        <w:pageBreakBefore w:val="0"/>
        <w:kinsoku/>
        <w:wordWrap/>
        <w:overflowPunct/>
        <w:topLinePunct w:val="0"/>
        <w:bidi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6.供应商须提供2023年7月至今任意1个月依法缴纳税收和社会保障资金的资金保障记录（复印件加盖公章）（依法免缴的，应提供依法免缴的相关证明文件；新成立的投标人按实际的缴纳情况递交相关证明）；</w:t>
      </w:r>
    </w:p>
    <w:p>
      <w:pPr>
        <w:keepNext w:val="0"/>
        <w:keepLines w:val="0"/>
        <w:pageBreakBefore w:val="0"/>
        <w:kinsoku/>
        <w:wordWrap/>
        <w:overflowPunct/>
        <w:topLinePunct w:val="0"/>
        <w:bidi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7.供应商未处于责令停业、财产被接管、冻结、破产等状态，提供截至磋商响应文件递交截止日前3年在经营活动中没有重大违法记录的书面声明（复印件加盖公章）；</w:t>
      </w:r>
    </w:p>
    <w:p>
      <w:pPr>
        <w:keepNext w:val="0"/>
        <w:keepLines w:val="0"/>
        <w:pageBreakBefore w:val="0"/>
        <w:kinsoku/>
        <w:wordWrap/>
        <w:overflowPunct/>
        <w:topLinePunct w:val="0"/>
        <w:bidi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8.供应商须提供2022或2023年度经第三方会计师事务所审计的企业财务报告扫描件（应包括完整的审计报告和财务报表）或提交响应文件截止日期前近3个月内银行出具的资信证明复印件并加盖公章；</w:t>
      </w:r>
    </w:p>
    <w:p>
      <w:pPr>
        <w:keepNext w:val="0"/>
        <w:keepLines w:val="0"/>
        <w:pageBreakBefore w:val="0"/>
        <w:kinsoku/>
        <w:wordWrap/>
        <w:overflowPunct/>
        <w:topLinePunct w:val="0"/>
        <w:bidi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9.供应商须由法定代表人或其授权的委托代理人参加。供应商若为法定代表人参加，须提供法定代表人资格证明书及身份证明原件或加盖公章的复印件（如身份证、护照、驾驶证等）；供应商若为被授权的委托代理人参加，须提供法定代表人资格证明书、法人代表授权书（须由法定代表人签字或盖章）和被授权人身份证明原件或加盖公章的复印件（如身份证、护照、驾驶证等），不同供应商的授权代表的社保由同一单位缴纳的，其响应文件将被拒绝（填写授权代表授权书加盖公章）；</w:t>
      </w:r>
    </w:p>
    <w:p>
      <w:pPr>
        <w:keepNext w:val="0"/>
        <w:keepLines w:val="0"/>
        <w:pageBreakBefore w:val="0"/>
        <w:kinsoku/>
        <w:wordWrap/>
        <w:overflowPunct/>
        <w:topLinePunct w:val="0"/>
        <w:bidi w:val="0"/>
        <w:snapToGrid w:val="0"/>
        <w:spacing w:line="360" w:lineRule="auto"/>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10.按照《关于在招标投标活动中对失信被执行人实施联合惩戒的通知》（法〔2016〕285号）和《住房城乡建设部办公厅关于印发失信被执行人信用监督、警示和惩戒机制建设分工方案的通知》要求，在响应文件递交截止时间后，经“信用中国”网站（www.creditchina.gov.cn）查询, 被列入“失信被执行人名单”的供应商，其响应文件将被拒绝；</w:t>
      </w:r>
    </w:p>
    <w:p>
      <w:pPr>
        <w:keepNext w:val="0"/>
        <w:keepLines w:val="0"/>
        <w:pageBreakBefore w:val="0"/>
        <w:widowControl/>
        <w:kinsoku/>
        <w:wordWrap/>
        <w:overflowPunct/>
        <w:topLinePunct w:val="0"/>
        <w:bidi w:val="0"/>
        <w:snapToGrid w:val="0"/>
        <w:spacing w:line="360" w:lineRule="auto"/>
        <w:ind w:right="29" w:rightChars="12" w:firstLine="480" w:firstLineChars="200"/>
        <w:rPr>
          <w:rFonts w:hint="eastAsia"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s="宋体"/>
          <w:i/>
          <w:color w:val="auto"/>
          <w:szCs w:val="21"/>
        </w:rPr>
        <w:t>不允许</w:t>
      </w:r>
      <w:r>
        <w:rPr>
          <w:rFonts w:hint="eastAsia" w:ascii="宋体" w:hAnsi="宋体" w:eastAsia="宋体" w:cs="宋体"/>
          <w:color w:val="auto"/>
          <w:szCs w:val="21"/>
        </w:rPr>
        <w:t>联合体投标。</w:t>
      </w:r>
    </w:p>
    <w:p>
      <w:pPr>
        <w:keepNext w:val="0"/>
        <w:keepLines w:val="0"/>
        <w:pageBreakBefore w:val="0"/>
        <w:kinsoku/>
        <w:wordWrap/>
        <w:overflowPunct/>
        <w:topLinePunct w:val="0"/>
        <w:bidi w:val="0"/>
        <w:snapToGrid w:val="0"/>
        <w:spacing w:line="360" w:lineRule="auto"/>
        <w:outlineLvl w:val="1"/>
        <w:rPr>
          <w:b/>
          <w:color w:val="auto"/>
          <w:szCs w:val="21"/>
        </w:rPr>
      </w:pPr>
      <w:r>
        <w:rPr>
          <w:rFonts w:hint="eastAsia"/>
          <w:b/>
          <w:color w:val="auto"/>
          <w:szCs w:val="21"/>
        </w:rPr>
        <w:t>四、</w:t>
      </w:r>
      <w:r>
        <w:rPr>
          <w:rFonts w:hint="eastAsia"/>
          <w:b/>
          <w:color w:val="auto"/>
          <w:szCs w:val="21"/>
          <w:lang w:eastAsia="zh-CN"/>
        </w:rPr>
        <w:t>磋商文件</w:t>
      </w:r>
      <w:r>
        <w:rPr>
          <w:rFonts w:hint="eastAsia"/>
          <w:b/>
          <w:color w:val="auto"/>
          <w:szCs w:val="21"/>
        </w:rPr>
        <w:t>的获取</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cs="宋体"/>
          <w:color w:val="auto"/>
          <w:kern w:val="0"/>
          <w:szCs w:val="24"/>
          <w:highlight w:val="none"/>
        </w:rPr>
      </w:pPr>
      <w:r>
        <w:rPr>
          <w:rFonts w:hint="eastAsia"/>
          <w:color w:val="auto"/>
          <w:szCs w:val="21"/>
        </w:rPr>
        <w:t>获取时</w:t>
      </w:r>
      <w:r>
        <w:rPr>
          <w:rFonts w:hint="eastAsia"/>
          <w:color w:val="auto"/>
          <w:szCs w:val="21"/>
          <w:highlight w:val="none"/>
        </w:rPr>
        <w:t>间：</w:t>
      </w:r>
      <w:r>
        <w:rPr>
          <w:rFonts w:hint="eastAsia" w:ascii="Calibri" w:hAnsi="Calibri" w:eastAsia="宋体" w:cs="宋体"/>
          <w:color w:val="auto"/>
          <w:kern w:val="0"/>
          <w:sz w:val="24"/>
          <w:szCs w:val="24"/>
          <w:highlight w:val="none"/>
          <w:lang w:val="en-US" w:eastAsia="zh-CN" w:bidi="ar-SA"/>
        </w:rPr>
        <w:t>从2024年4月19日09时00分到 2024年4月26日16时00分</w:t>
      </w:r>
    </w:p>
    <w:p>
      <w:pPr>
        <w:keepNext w:val="0"/>
        <w:keepLines w:val="0"/>
        <w:pageBreakBefore w:val="0"/>
        <w:widowControl/>
        <w:kinsoku/>
        <w:wordWrap/>
        <w:overflowPunct/>
        <w:topLinePunct w:val="0"/>
        <w:bidi w:val="0"/>
        <w:snapToGrid w:val="0"/>
        <w:spacing w:line="360" w:lineRule="auto"/>
        <w:ind w:right="29" w:rightChars="12" w:firstLine="480" w:firstLineChars="200"/>
        <w:jc w:val="left"/>
        <w:rPr>
          <w:rFonts w:hint="eastAsia"/>
          <w:color w:val="auto"/>
          <w:szCs w:val="21"/>
          <w:highlight w:val="none"/>
        </w:rPr>
      </w:pPr>
      <w:r>
        <w:rPr>
          <w:rFonts w:hint="eastAsia"/>
          <w:color w:val="auto"/>
          <w:szCs w:val="21"/>
          <w:highlight w:val="none"/>
        </w:rPr>
        <w:t>获取方式凡符合资格要求的潜在</w:t>
      </w:r>
      <w:r>
        <w:rPr>
          <w:rFonts w:hint="eastAsia"/>
          <w:color w:val="auto"/>
          <w:szCs w:val="21"/>
          <w:highlight w:val="none"/>
          <w:lang w:eastAsia="zh-CN"/>
        </w:rPr>
        <w:t>供应商</w:t>
      </w:r>
      <w:r>
        <w:rPr>
          <w:rFonts w:hint="eastAsia"/>
          <w:color w:val="auto"/>
          <w:szCs w:val="21"/>
          <w:highlight w:val="none"/>
        </w:rPr>
        <w:t>可发送报名资料扫描件（企业营业执照副本、法人授权委托书（加盖公章和法人章）、受托人身份证、文件费汇款凭证）和信息采集表（公告后附）到bhgjzb_bhxf@vip.163.com（邮件名称：“</w:t>
      </w:r>
      <w:r>
        <w:rPr>
          <w:rFonts w:hint="eastAsia"/>
          <w:color w:val="auto"/>
          <w:szCs w:val="21"/>
          <w:highlight w:val="none"/>
          <w:lang w:val="en-US" w:eastAsia="zh-CN"/>
        </w:rPr>
        <w:t>C-036</w:t>
      </w:r>
      <w:r>
        <w:rPr>
          <w:rFonts w:hint="eastAsia"/>
          <w:color w:val="auto"/>
          <w:szCs w:val="21"/>
          <w:highlight w:val="none"/>
        </w:rPr>
        <w:t>报名：”+</w:t>
      </w:r>
      <w:r>
        <w:rPr>
          <w:rFonts w:hint="eastAsia"/>
          <w:color w:val="auto"/>
          <w:szCs w:val="21"/>
          <w:highlight w:val="none"/>
          <w:lang w:eastAsia="zh-CN"/>
        </w:rPr>
        <w:t>供应商</w:t>
      </w:r>
      <w:r>
        <w:rPr>
          <w:rFonts w:hint="eastAsia"/>
          <w:color w:val="auto"/>
          <w:szCs w:val="21"/>
          <w:highlight w:val="none"/>
        </w:rPr>
        <w:t>全称，邮件中应注明授权代表联系方式）。联系人 叶工022-84909958经审核符合报名要求的</w:t>
      </w:r>
      <w:r>
        <w:rPr>
          <w:rFonts w:hint="eastAsia"/>
          <w:color w:val="auto"/>
          <w:szCs w:val="21"/>
          <w:highlight w:val="none"/>
          <w:lang w:eastAsia="zh-CN"/>
        </w:rPr>
        <w:t>供应商</w:t>
      </w:r>
      <w:r>
        <w:rPr>
          <w:rFonts w:hint="eastAsia"/>
          <w:color w:val="auto"/>
          <w:szCs w:val="21"/>
          <w:highlight w:val="none"/>
        </w:rPr>
        <w:t>将获取</w:t>
      </w:r>
      <w:r>
        <w:rPr>
          <w:rFonts w:hint="eastAsia"/>
          <w:color w:val="auto"/>
          <w:szCs w:val="21"/>
          <w:highlight w:val="none"/>
          <w:lang w:eastAsia="zh-CN"/>
        </w:rPr>
        <w:t>磋商文件</w:t>
      </w:r>
      <w:r>
        <w:rPr>
          <w:rFonts w:hint="eastAsia"/>
          <w:color w:val="auto"/>
          <w:szCs w:val="21"/>
          <w:highlight w:val="none"/>
        </w:rPr>
        <w:t>。文件售价</w:t>
      </w:r>
      <w:r>
        <w:rPr>
          <w:rFonts w:hint="eastAsia"/>
          <w:color w:val="auto"/>
          <w:szCs w:val="21"/>
          <w:highlight w:val="none"/>
          <w:lang w:val="en-US" w:eastAsia="zh-CN"/>
        </w:rPr>
        <w:t>1</w:t>
      </w:r>
      <w:r>
        <w:rPr>
          <w:rFonts w:hint="eastAsia"/>
          <w:color w:val="auto"/>
          <w:szCs w:val="21"/>
          <w:highlight w:val="none"/>
        </w:rPr>
        <w:t>00元，文件一经发出，所收费用概不退还。</w:t>
      </w:r>
    </w:p>
    <w:p>
      <w:pPr>
        <w:keepNext w:val="0"/>
        <w:keepLines w:val="0"/>
        <w:pageBreakBefore w:val="0"/>
        <w:kinsoku/>
        <w:wordWrap/>
        <w:overflowPunct/>
        <w:topLinePunct w:val="0"/>
        <w:bidi w:val="0"/>
        <w:adjustRightInd w:val="0"/>
        <w:snapToGrid w:val="0"/>
        <w:spacing w:line="360" w:lineRule="auto"/>
        <w:outlineLvl w:val="1"/>
        <w:rPr>
          <w:b/>
          <w:color w:val="auto"/>
          <w:szCs w:val="21"/>
          <w:highlight w:val="none"/>
        </w:rPr>
      </w:pPr>
      <w:r>
        <w:rPr>
          <w:rFonts w:hint="eastAsia"/>
          <w:b/>
          <w:color w:val="auto"/>
          <w:szCs w:val="21"/>
          <w:highlight w:val="none"/>
        </w:rPr>
        <w:t>五、</w:t>
      </w:r>
      <w:r>
        <w:rPr>
          <w:rFonts w:hint="eastAsia"/>
          <w:b/>
          <w:color w:val="auto"/>
          <w:szCs w:val="21"/>
          <w:highlight w:val="none"/>
          <w:lang w:eastAsia="zh-CN"/>
        </w:rPr>
        <w:t>磋商响应文件</w:t>
      </w:r>
      <w:r>
        <w:rPr>
          <w:rFonts w:hint="eastAsia"/>
          <w:b/>
          <w:color w:val="auto"/>
          <w:szCs w:val="21"/>
          <w:highlight w:val="none"/>
        </w:rPr>
        <w:t>的递交</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eastAsia" w:ascii="Calibri" w:hAnsi="Calibri" w:eastAsia="宋体" w:cs="宋体"/>
          <w:color w:val="auto"/>
          <w:kern w:val="0"/>
          <w:sz w:val="24"/>
          <w:szCs w:val="24"/>
          <w:highlight w:val="none"/>
          <w:lang w:val="en-US" w:eastAsia="zh-CN" w:bidi="ar-SA"/>
        </w:rPr>
      </w:pPr>
      <w:r>
        <w:rPr>
          <w:rFonts w:hint="eastAsia"/>
          <w:color w:val="auto"/>
          <w:szCs w:val="21"/>
          <w:highlight w:val="none"/>
        </w:rPr>
        <w:t xml:space="preserve">递交截止时间： </w:t>
      </w:r>
      <w:r>
        <w:rPr>
          <w:rFonts w:hint="eastAsia" w:ascii="Calibri" w:hAnsi="Calibri" w:eastAsia="宋体" w:cs="宋体"/>
          <w:color w:val="auto"/>
          <w:kern w:val="0"/>
          <w:sz w:val="24"/>
          <w:szCs w:val="24"/>
          <w:highlight w:val="none"/>
          <w:lang w:val="en-US" w:eastAsia="zh-CN" w:bidi="ar-SA"/>
        </w:rPr>
        <w:t>2024年4月30日9时30分</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eastAsia" w:ascii="Calibri" w:hAnsi="Calibri" w:eastAsia="宋体" w:cs="宋体"/>
          <w:color w:val="auto"/>
          <w:kern w:val="0"/>
          <w:sz w:val="24"/>
          <w:szCs w:val="24"/>
          <w:highlight w:val="none"/>
          <w:lang w:val="en-US" w:eastAsia="zh-CN" w:bidi="ar-SA"/>
        </w:rPr>
      </w:pPr>
      <w:r>
        <w:rPr>
          <w:rFonts w:hint="eastAsia"/>
          <w:color w:val="auto"/>
          <w:szCs w:val="21"/>
          <w:highlight w:val="none"/>
        </w:rPr>
        <w:t>递交方式：</w:t>
      </w:r>
      <w:r>
        <w:rPr>
          <w:rFonts w:hint="eastAsia" w:ascii="Calibri" w:hAnsi="Calibri" w:eastAsia="宋体" w:cs="宋体"/>
          <w:color w:val="auto"/>
          <w:kern w:val="0"/>
          <w:sz w:val="24"/>
          <w:szCs w:val="24"/>
          <w:highlight w:val="none"/>
          <w:lang w:val="en-US" w:eastAsia="zh-CN" w:bidi="ar-SA"/>
        </w:rPr>
        <w:t>天津市和平区解放北路188号信达广场10楼1006室纸质文件递交。</w:t>
      </w:r>
    </w:p>
    <w:p>
      <w:pPr>
        <w:keepNext w:val="0"/>
        <w:keepLines w:val="0"/>
        <w:pageBreakBefore w:val="0"/>
        <w:kinsoku/>
        <w:wordWrap/>
        <w:overflowPunct/>
        <w:topLinePunct w:val="0"/>
        <w:bidi w:val="0"/>
        <w:adjustRightInd w:val="0"/>
        <w:snapToGrid w:val="0"/>
        <w:spacing w:line="360" w:lineRule="auto"/>
        <w:outlineLvl w:val="1"/>
        <w:rPr>
          <w:b/>
          <w:color w:val="auto"/>
          <w:szCs w:val="21"/>
          <w:highlight w:val="none"/>
        </w:rPr>
      </w:pPr>
      <w:r>
        <w:rPr>
          <w:rFonts w:hint="eastAsia"/>
          <w:b/>
          <w:color w:val="auto"/>
          <w:szCs w:val="21"/>
          <w:highlight w:val="none"/>
        </w:rPr>
        <w:t>六、开标时间及地点</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eastAsia" w:ascii="Calibri" w:hAnsi="Calibri" w:eastAsia="宋体" w:cs="宋体"/>
          <w:color w:val="auto"/>
          <w:kern w:val="0"/>
          <w:sz w:val="24"/>
          <w:szCs w:val="24"/>
          <w:highlight w:val="none"/>
          <w:lang w:val="en-US" w:eastAsia="zh-CN" w:bidi="ar-SA"/>
        </w:rPr>
      </w:pPr>
      <w:r>
        <w:rPr>
          <w:rFonts w:hint="eastAsia"/>
          <w:color w:val="auto"/>
          <w:szCs w:val="21"/>
          <w:highlight w:val="none"/>
        </w:rPr>
        <w:t>开标时间：</w:t>
      </w:r>
      <w:r>
        <w:rPr>
          <w:rFonts w:hint="eastAsia" w:ascii="Calibri" w:hAnsi="Calibri" w:eastAsia="宋体" w:cs="宋体"/>
          <w:color w:val="auto"/>
          <w:kern w:val="0"/>
          <w:sz w:val="24"/>
          <w:szCs w:val="24"/>
          <w:highlight w:val="none"/>
          <w:lang w:val="en-US" w:eastAsia="zh-CN" w:bidi="ar-SA"/>
        </w:rPr>
        <w:t>2024年4月30日9时30分</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eastAsia" w:ascii="Calibri" w:hAnsi="Calibri" w:eastAsia="宋体" w:cs="宋体"/>
          <w:color w:val="auto"/>
          <w:kern w:val="0"/>
          <w:sz w:val="24"/>
          <w:szCs w:val="24"/>
          <w:highlight w:val="none"/>
          <w:lang w:val="en-US" w:eastAsia="zh-CN" w:bidi="ar-SA"/>
        </w:rPr>
      </w:pPr>
      <w:r>
        <w:rPr>
          <w:rFonts w:hint="eastAsia"/>
          <w:color w:val="auto"/>
          <w:szCs w:val="21"/>
          <w:highlight w:val="none"/>
        </w:rPr>
        <w:t>开标地点：</w:t>
      </w:r>
      <w:r>
        <w:rPr>
          <w:rFonts w:hint="eastAsia" w:ascii="Calibri" w:hAnsi="Calibri" w:eastAsia="宋体" w:cs="宋体"/>
          <w:color w:val="auto"/>
          <w:kern w:val="0"/>
          <w:sz w:val="24"/>
          <w:szCs w:val="24"/>
          <w:highlight w:val="none"/>
          <w:lang w:val="en-US" w:eastAsia="zh-CN" w:bidi="ar-SA"/>
        </w:rPr>
        <w:t>天津市和平区解放北路188号信达广场10楼1006室。</w:t>
      </w:r>
    </w:p>
    <w:p>
      <w:pPr>
        <w:keepNext w:val="0"/>
        <w:keepLines w:val="0"/>
        <w:pageBreakBefore w:val="0"/>
        <w:kinsoku/>
        <w:wordWrap/>
        <w:overflowPunct/>
        <w:topLinePunct w:val="0"/>
        <w:bidi w:val="0"/>
        <w:adjustRightInd w:val="0"/>
        <w:snapToGrid w:val="0"/>
        <w:spacing w:line="360" w:lineRule="auto"/>
        <w:outlineLvl w:val="1"/>
        <w:rPr>
          <w:b/>
          <w:color w:val="auto"/>
          <w:szCs w:val="21"/>
          <w:highlight w:val="none"/>
        </w:rPr>
      </w:pPr>
      <w:r>
        <w:rPr>
          <w:rFonts w:hint="eastAsia"/>
          <w:b/>
          <w:color w:val="auto"/>
          <w:szCs w:val="21"/>
          <w:highlight w:val="none"/>
        </w:rPr>
        <w:t>七、其他</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cs="宋体"/>
          <w:color w:val="auto"/>
          <w:kern w:val="0"/>
          <w:szCs w:val="24"/>
          <w:highlight w:val="none"/>
        </w:rPr>
      </w:pPr>
      <w:r>
        <w:rPr>
          <w:rFonts w:hint="eastAsia" w:ascii="宋体" w:hAnsi="宋体" w:cs="宋体"/>
          <w:color w:val="auto"/>
          <w:kern w:val="0"/>
          <w:szCs w:val="24"/>
          <w:highlight w:val="none"/>
        </w:rPr>
        <w:t>1.公告时间：</w:t>
      </w:r>
      <w:r>
        <w:rPr>
          <w:rFonts w:hint="eastAsia" w:ascii="Calibri" w:hAnsi="Calibri" w:eastAsia="宋体" w:cs="宋体"/>
          <w:color w:val="auto"/>
          <w:kern w:val="0"/>
          <w:sz w:val="24"/>
          <w:szCs w:val="24"/>
          <w:highlight w:val="none"/>
          <w:lang w:val="en-US" w:eastAsia="zh-CN" w:bidi="ar-SA"/>
        </w:rPr>
        <w:t>2024年4月19日到 2024年4月26日</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cs="宋体"/>
          <w:color w:val="auto"/>
          <w:kern w:val="0"/>
          <w:szCs w:val="24"/>
        </w:rPr>
      </w:pPr>
      <w:r>
        <w:rPr>
          <w:rFonts w:hint="eastAsia" w:ascii="宋体" w:hAnsi="宋体" w:cs="宋体"/>
          <w:color w:val="auto"/>
          <w:kern w:val="0"/>
          <w:szCs w:val="24"/>
          <w:highlight w:val="none"/>
        </w:rPr>
        <w:t>2.为防止错过报名时限，建议尽量避免在报名截止当天集</w:t>
      </w:r>
      <w:r>
        <w:rPr>
          <w:rFonts w:hint="eastAsia" w:ascii="宋体" w:hAnsi="宋体" w:cs="宋体"/>
          <w:color w:val="auto"/>
          <w:kern w:val="0"/>
          <w:szCs w:val="24"/>
        </w:rPr>
        <w:t>中报名，如因此错过报名时限由供应商自行承担责任。</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cs="宋体"/>
          <w:color w:val="auto"/>
          <w:kern w:val="0"/>
          <w:szCs w:val="24"/>
        </w:rPr>
      </w:pPr>
      <w:r>
        <w:rPr>
          <w:rFonts w:hint="eastAsia" w:ascii="宋体" w:hAnsi="宋体" w:cs="宋体"/>
          <w:color w:val="auto"/>
          <w:kern w:val="0"/>
          <w:szCs w:val="24"/>
        </w:rPr>
        <w:t>3.供应商递交材料即表示对材料的真实性负责，并由此承担法律风险和赔偿责任。</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宋体" w:hAnsi="宋体" w:cs="宋体"/>
          <w:color w:val="auto"/>
          <w:kern w:val="0"/>
          <w:szCs w:val="24"/>
        </w:rPr>
      </w:pPr>
      <w:r>
        <w:rPr>
          <w:rFonts w:hint="eastAsia" w:ascii="宋体" w:hAnsi="宋体" w:cs="宋体"/>
          <w:color w:val="auto"/>
          <w:kern w:val="0"/>
          <w:szCs w:val="24"/>
        </w:rPr>
        <w:t>4.供应商在报名须时充分考虑项目可能发生的推迟、变更、暂停、终止等情况，自行承担参与项目的全部费用。</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Cs w:val="24"/>
        </w:rPr>
      </w:pPr>
      <w:r>
        <w:rPr>
          <w:rFonts w:hint="eastAsia" w:ascii="宋体" w:hAnsi="宋体" w:eastAsia="宋体" w:cs="宋体"/>
          <w:color w:val="auto"/>
          <w:kern w:val="0"/>
          <w:szCs w:val="24"/>
        </w:rPr>
        <w:t>5.汇款信息：</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kern w:val="0"/>
          <w:szCs w:val="24"/>
        </w:rPr>
      </w:pPr>
      <w:r>
        <w:rPr>
          <w:rFonts w:hint="eastAsia" w:ascii="宋体" w:hAnsi="宋体" w:cs="宋体"/>
          <w:color w:val="auto"/>
          <w:kern w:val="0"/>
          <w:szCs w:val="24"/>
        </w:rPr>
        <w:t>收款单位：天津滨海国际招标发展有限公司</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kern w:val="0"/>
          <w:szCs w:val="24"/>
        </w:rPr>
      </w:pPr>
      <w:r>
        <w:rPr>
          <w:rFonts w:hint="eastAsia" w:ascii="宋体" w:hAnsi="宋体" w:cs="宋体"/>
          <w:color w:val="auto"/>
          <w:kern w:val="0"/>
          <w:szCs w:val="24"/>
        </w:rPr>
        <w:t>开户银行：中国民生银行天津自由贸易试验区分行营业部</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kern w:val="0"/>
          <w:szCs w:val="24"/>
        </w:rPr>
      </w:pPr>
      <w:r>
        <w:rPr>
          <w:rFonts w:hint="eastAsia" w:ascii="宋体" w:hAnsi="宋体" w:cs="宋体"/>
          <w:color w:val="auto"/>
          <w:kern w:val="0"/>
          <w:szCs w:val="24"/>
        </w:rPr>
        <w:t>帐号：601606028</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kern w:val="0"/>
          <w:szCs w:val="24"/>
        </w:rPr>
      </w:pPr>
      <w:r>
        <w:rPr>
          <w:rFonts w:hint="eastAsia" w:ascii="宋体" w:hAnsi="宋体" w:cs="宋体"/>
          <w:color w:val="auto"/>
          <w:kern w:val="0"/>
          <w:szCs w:val="24"/>
        </w:rPr>
        <w:t>行号：305110021221</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kern w:val="0"/>
          <w:szCs w:val="24"/>
          <w:lang w:val="en-US" w:eastAsia="zh-CN"/>
        </w:rPr>
      </w:pPr>
      <w:r>
        <w:rPr>
          <w:rFonts w:hint="eastAsia" w:ascii="宋体" w:hAnsi="宋体" w:cs="宋体"/>
          <w:color w:val="auto"/>
          <w:kern w:val="0"/>
          <w:szCs w:val="24"/>
        </w:rPr>
        <w:t>汇款备注：</w:t>
      </w:r>
      <w:r>
        <w:rPr>
          <w:rFonts w:hint="eastAsia" w:ascii="宋体" w:hAnsi="宋体" w:cs="宋体"/>
          <w:color w:val="auto"/>
          <w:kern w:val="0"/>
          <w:szCs w:val="24"/>
          <w:lang w:eastAsia="zh-CN"/>
        </w:rPr>
        <w:t>C-036</w:t>
      </w:r>
    </w:p>
    <w:p>
      <w:pPr>
        <w:keepNext w:val="0"/>
        <w:keepLines w:val="0"/>
        <w:pageBreakBefore w:val="0"/>
        <w:kinsoku/>
        <w:wordWrap/>
        <w:overflowPunct/>
        <w:topLinePunct w:val="0"/>
        <w:bidi w:val="0"/>
        <w:adjustRightInd w:val="0"/>
        <w:snapToGrid w:val="0"/>
        <w:spacing w:line="360" w:lineRule="auto"/>
        <w:outlineLvl w:val="1"/>
        <w:rPr>
          <w:b/>
          <w:color w:val="auto"/>
          <w:szCs w:val="21"/>
        </w:rPr>
      </w:pPr>
      <w:r>
        <w:rPr>
          <w:rFonts w:hint="eastAsia"/>
          <w:b/>
          <w:color w:val="auto"/>
          <w:szCs w:val="21"/>
        </w:rPr>
        <w:t>八、监督部门</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eastAsia" w:ascii="Calibri" w:hAnsi="Calibri" w:eastAsia="宋体" w:cs="宋体"/>
          <w:color w:val="auto"/>
          <w:kern w:val="0"/>
          <w:sz w:val="24"/>
          <w:szCs w:val="24"/>
          <w:highlight w:val="none"/>
          <w:lang w:val="en-US" w:eastAsia="zh-CN" w:bidi="ar-SA"/>
        </w:rPr>
      </w:pPr>
      <w:r>
        <w:rPr>
          <w:rFonts w:hint="eastAsia"/>
          <w:color w:val="auto"/>
          <w:szCs w:val="21"/>
        </w:rPr>
        <w:t>本招标项目的监督部门为</w:t>
      </w:r>
      <w:r>
        <w:rPr>
          <w:rFonts w:hint="eastAsia" w:ascii="Calibri" w:hAnsi="Calibri" w:eastAsia="宋体" w:cs="宋体"/>
          <w:color w:val="auto"/>
          <w:kern w:val="0"/>
          <w:sz w:val="24"/>
          <w:szCs w:val="24"/>
          <w:highlight w:val="none"/>
          <w:lang w:val="en-US" w:eastAsia="zh-CN" w:bidi="ar-SA"/>
        </w:rPr>
        <w:t>/。</w:t>
      </w:r>
    </w:p>
    <w:p>
      <w:pPr>
        <w:keepNext w:val="0"/>
        <w:keepLines w:val="0"/>
        <w:pageBreakBefore w:val="0"/>
        <w:kinsoku/>
        <w:wordWrap/>
        <w:overflowPunct/>
        <w:topLinePunct w:val="0"/>
        <w:bidi w:val="0"/>
        <w:adjustRightInd w:val="0"/>
        <w:snapToGrid w:val="0"/>
        <w:spacing w:line="360" w:lineRule="auto"/>
        <w:outlineLvl w:val="1"/>
        <w:rPr>
          <w:b/>
          <w:color w:val="auto"/>
          <w:szCs w:val="21"/>
        </w:rPr>
      </w:pPr>
      <w:r>
        <w:rPr>
          <w:rFonts w:hint="eastAsia"/>
          <w:b/>
          <w:color w:val="auto"/>
          <w:szCs w:val="21"/>
        </w:rPr>
        <w:t>九、联系方式</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eastAsia"/>
          <w:color w:val="auto"/>
          <w:szCs w:val="21"/>
          <w:lang w:eastAsia="zh-CN"/>
        </w:rPr>
      </w:pPr>
      <w:r>
        <w:rPr>
          <w:rFonts w:hint="eastAsia"/>
          <w:color w:val="auto"/>
          <w:szCs w:val="21"/>
          <w:lang w:eastAsia="zh-CN"/>
        </w:rPr>
        <w:t>招 标 人：</w:t>
      </w:r>
      <w:r>
        <w:rPr>
          <w:rFonts w:hint="eastAsia" w:ascii="Calibri" w:hAnsi="Calibri" w:eastAsia="宋体" w:cs="宋体"/>
          <w:color w:val="auto"/>
          <w:kern w:val="0"/>
          <w:sz w:val="24"/>
          <w:szCs w:val="24"/>
          <w:highlight w:val="none"/>
          <w:lang w:val="en-US" w:eastAsia="zh-CN" w:bidi="ar-SA"/>
        </w:rPr>
        <w:t>天津市新华中学</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default"/>
          <w:color w:val="auto"/>
          <w:szCs w:val="21"/>
          <w:lang w:val="en-US" w:eastAsia="zh-CN"/>
        </w:rPr>
      </w:pPr>
      <w:r>
        <w:rPr>
          <w:rFonts w:hint="eastAsia"/>
          <w:color w:val="auto"/>
          <w:szCs w:val="21"/>
          <w:lang w:eastAsia="zh-CN"/>
        </w:rPr>
        <w:t>地 址：</w:t>
      </w:r>
      <w:r>
        <w:rPr>
          <w:rFonts w:hint="eastAsia" w:ascii="Calibri" w:hAnsi="Calibri" w:eastAsia="宋体" w:cs="宋体"/>
          <w:color w:val="auto"/>
          <w:kern w:val="0"/>
          <w:sz w:val="24"/>
          <w:szCs w:val="24"/>
          <w:highlight w:val="none"/>
          <w:lang w:val="en-US" w:eastAsia="zh-CN" w:bidi="ar-SA"/>
        </w:rPr>
        <w:t>天津市河西区马场道99号</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default" w:ascii="Calibri" w:hAnsi="Calibri" w:eastAsia="宋体" w:cs="宋体"/>
          <w:color w:val="auto"/>
          <w:kern w:val="0"/>
          <w:sz w:val="24"/>
          <w:szCs w:val="24"/>
          <w:highlight w:val="none"/>
          <w:lang w:val="en-US" w:eastAsia="zh-CN" w:bidi="ar-SA"/>
        </w:rPr>
      </w:pPr>
      <w:r>
        <w:rPr>
          <w:rFonts w:hint="eastAsia"/>
          <w:color w:val="auto"/>
          <w:szCs w:val="21"/>
          <w:lang w:eastAsia="zh-CN"/>
        </w:rPr>
        <w:t>联系人：</w:t>
      </w:r>
      <w:r>
        <w:rPr>
          <w:rFonts w:hint="eastAsia" w:ascii="Calibri" w:hAnsi="Calibri" w:eastAsia="宋体" w:cs="宋体"/>
          <w:color w:val="auto"/>
          <w:kern w:val="0"/>
          <w:sz w:val="24"/>
          <w:szCs w:val="24"/>
          <w:highlight w:val="none"/>
          <w:lang w:val="en-US" w:eastAsia="zh-CN" w:bidi="ar-SA"/>
        </w:rPr>
        <w:t>谈老师</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eastAsia"/>
          <w:color w:val="auto"/>
          <w:szCs w:val="21"/>
          <w:lang w:eastAsia="zh-CN"/>
        </w:rPr>
      </w:pPr>
      <w:r>
        <w:rPr>
          <w:rFonts w:hint="eastAsia"/>
          <w:color w:val="auto"/>
          <w:szCs w:val="21"/>
          <w:lang w:eastAsia="zh-CN"/>
        </w:rPr>
        <w:t>电话：</w:t>
      </w:r>
      <w:r>
        <w:rPr>
          <w:rFonts w:hint="eastAsia" w:ascii="Calibri" w:hAnsi="Calibri" w:eastAsia="宋体" w:cs="宋体"/>
          <w:color w:val="auto"/>
          <w:kern w:val="0"/>
          <w:sz w:val="24"/>
          <w:szCs w:val="24"/>
          <w:highlight w:val="none"/>
          <w:lang w:val="en-US" w:eastAsia="zh-CN" w:bidi="ar-SA"/>
        </w:rPr>
        <w:t>022-23285967转8523</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default" w:ascii="Calibri" w:hAnsi="Calibri" w:eastAsia="宋体" w:cs="宋体"/>
          <w:color w:val="auto"/>
          <w:kern w:val="0"/>
          <w:sz w:val="24"/>
          <w:szCs w:val="24"/>
          <w:highlight w:val="none"/>
          <w:lang w:val="en-US" w:eastAsia="zh-CN" w:bidi="ar-SA"/>
        </w:rPr>
      </w:pPr>
      <w:r>
        <w:rPr>
          <w:rFonts w:hint="eastAsia"/>
          <w:color w:val="auto"/>
          <w:szCs w:val="21"/>
          <w:lang w:eastAsia="zh-CN"/>
        </w:rPr>
        <w:t>电子邮件：</w:t>
      </w:r>
      <w:r>
        <w:rPr>
          <w:rFonts w:hint="eastAsia"/>
          <w:color w:val="auto"/>
          <w:szCs w:val="21"/>
          <w:lang w:val="en-US" w:eastAsia="zh-CN"/>
        </w:rPr>
        <w:t>/</w:t>
      </w:r>
      <w:bookmarkStart w:id="0" w:name="_GoBack"/>
      <w:bookmarkEnd w:id="0"/>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eastAsia" w:ascii="Calibri" w:hAnsi="Calibri" w:eastAsia="宋体" w:cs="宋体"/>
          <w:color w:val="auto"/>
          <w:kern w:val="0"/>
          <w:sz w:val="24"/>
          <w:szCs w:val="24"/>
          <w:highlight w:val="none"/>
          <w:lang w:val="en-US" w:eastAsia="zh-CN" w:bidi="ar-SA"/>
        </w:rPr>
      </w:pPr>
      <w:r>
        <w:rPr>
          <w:rFonts w:hint="eastAsia"/>
          <w:color w:val="auto"/>
          <w:szCs w:val="21"/>
        </w:rPr>
        <w:t>招标代理机构：</w:t>
      </w:r>
      <w:r>
        <w:rPr>
          <w:rFonts w:hint="eastAsia" w:ascii="Calibri" w:hAnsi="Calibri" w:eastAsia="宋体" w:cs="宋体"/>
          <w:color w:val="auto"/>
          <w:kern w:val="0"/>
          <w:sz w:val="24"/>
          <w:szCs w:val="24"/>
          <w:highlight w:val="none"/>
          <w:lang w:val="en-US" w:eastAsia="zh-CN" w:bidi="ar-SA"/>
        </w:rPr>
        <w:t>天津滨海国际招标发展有限公司</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eastAsia" w:ascii="Calibri" w:hAnsi="Calibri" w:eastAsia="宋体" w:cs="宋体"/>
          <w:color w:val="auto"/>
          <w:kern w:val="0"/>
          <w:sz w:val="24"/>
          <w:szCs w:val="24"/>
          <w:highlight w:val="none"/>
          <w:lang w:val="en-US" w:eastAsia="zh-CN" w:bidi="ar-SA"/>
        </w:rPr>
      </w:pPr>
      <w:r>
        <w:rPr>
          <w:rFonts w:hint="eastAsia"/>
          <w:color w:val="auto"/>
          <w:szCs w:val="21"/>
        </w:rPr>
        <w:t>地址：</w:t>
      </w:r>
      <w:r>
        <w:rPr>
          <w:rFonts w:hint="eastAsia" w:ascii="Calibri" w:hAnsi="Calibri" w:eastAsia="宋体" w:cs="宋体"/>
          <w:color w:val="auto"/>
          <w:kern w:val="0"/>
          <w:sz w:val="24"/>
          <w:szCs w:val="24"/>
          <w:highlight w:val="none"/>
          <w:lang w:val="en-US" w:eastAsia="zh-CN" w:bidi="ar-SA"/>
        </w:rPr>
        <w:t>天津市和平区解放北路188号信达广场10楼1006室</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eastAsia" w:ascii="Calibri" w:hAnsi="Calibri" w:eastAsia="宋体" w:cs="宋体"/>
          <w:color w:val="auto"/>
          <w:kern w:val="0"/>
          <w:sz w:val="24"/>
          <w:szCs w:val="24"/>
          <w:highlight w:val="none"/>
          <w:lang w:val="en-US" w:eastAsia="zh-CN" w:bidi="ar-SA"/>
        </w:rPr>
      </w:pPr>
      <w:r>
        <w:rPr>
          <w:rFonts w:hint="eastAsia"/>
          <w:color w:val="auto"/>
          <w:szCs w:val="21"/>
        </w:rPr>
        <w:t>联系人：</w:t>
      </w:r>
      <w:r>
        <w:rPr>
          <w:rFonts w:hint="eastAsia" w:ascii="Calibri" w:hAnsi="Calibri" w:eastAsia="宋体" w:cs="宋体"/>
          <w:color w:val="auto"/>
          <w:kern w:val="0"/>
          <w:sz w:val="24"/>
          <w:szCs w:val="24"/>
          <w:highlight w:val="none"/>
          <w:lang w:val="en-US" w:eastAsia="zh-CN" w:bidi="ar-SA"/>
        </w:rPr>
        <w:t>王荣桢、张雪敏</w:t>
      </w:r>
    </w:p>
    <w:p>
      <w:pPr>
        <w:keepNext w:val="0"/>
        <w:keepLines w:val="0"/>
        <w:pageBreakBefore w:val="0"/>
        <w:widowControl/>
        <w:kinsoku/>
        <w:wordWrap/>
        <w:overflowPunct/>
        <w:topLinePunct w:val="0"/>
        <w:bidi w:val="0"/>
        <w:adjustRightInd w:val="0"/>
        <w:snapToGrid w:val="0"/>
        <w:spacing w:line="360" w:lineRule="auto"/>
        <w:ind w:right="29" w:rightChars="12" w:firstLine="480" w:firstLineChars="200"/>
        <w:rPr>
          <w:rFonts w:hint="eastAsia" w:ascii="Calibri" w:hAnsi="Calibri" w:eastAsia="宋体" w:cs="宋体"/>
          <w:color w:val="auto"/>
          <w:kern w:val="0"/>
          <w:sz w:val="24"/>
          <w:szCs w:val="24"/>
          <w:highlight w:val="none"/>
          <w:lang w:val="en-US" w:eastAsia="zh-CN" w:bidi="ar-SA"/>
        </w:rPr>
      </w:pPr>
      <w:r>
        <w:rPr>
          <w:rFonts w:hint="eastAsia"/>
          <w:color w:val="auto"/>
          <w:szCs w:val="21"/>
        </w:rPr>
        <w:t xml:space="preserve">电话： </w:t>
      </w:r>
      <w:r>
        <w:rPr>
          <w:rFonts w:hint="eastAsia" w:ascii="Calibri" w:hAnsi="Calibri" w:eastAsia="宋体" w:cs="宋体"/>
          <w:color w:val="auto"/>
          <w:kern w:val="0"/>
          <w:sz w:val="24"/>
          <w:szCs w:val="24"/>
          <w:highlight w:val="none"/>
          <w:lang w:val="en-US" w:eastAsia="zh-CN" w:bidi="ar-SA"/>
        </w:rPr>
        <w:t xml:space="preserve">022-84909959 </w:t>
      </w:r>
    </w:p>
    <w:p>
      <w:pPr>
        <w:keepNext w:val="0"/>
        <w:keepLines w:val="0"/>
        <w:pageBreakBefore w:val="0"/>
        <w:kinsoku/>
        <w:wordWrap/>
        <w:overflowPunct/>
        <w:topLinePunct w:val="0"/>
        <w:bidi w:val="0"/>
        <w:snapToGrid w:val="0"/>
        <w:spacing w:line="360" w:lineRule="auto"/>
        <w:ind w:firstLine="480" w:firstLineChars="200"/>
        <w:rPr>
          <w:rFonts w:hint="eastAsia" w:ascii="Calibri" w:hAnsi="Calibri" w:eastAsia="宋体" w:cs="宋体"/>
          <w:color w:val="auto"/>
          <w:kern w:val="0"/>
          <w:sz w:val="24"/>
          <w:szCs w:val="24"/>
          <w:highlight w:val="none"/>
          <w:lang w:val="en-US" w:eastAsia="zh-CN" w:bidi="ar-SA"/>
        </w:rPr>
      </w:pPr>
      <w:r>
        <w:rPr>
          <w:rFonts w:hint="eastAsia"/>
          <w:color w:val="auto"/>
          <w:szCs w:val="21"/>
        </w:rPr>
        <w:t>电子邮件：</w:t>
      </w:r>
      <w:r>
        <w:rPr>
          <w:rFonts w:hint="eastAsia" w:ascii="Calibri" w:hAnsi="Calibri" w:eastAsia="宋体" w:cs="宋体"/>
          <w:color w:val="auto"/>
          <w:kern w:val="0"/>
          <w:sz w:val="24"/>
          <w:szCs w:val="24"/>
          <w:highlight w:val="none"/>
          <w:lang w:val="en-US" w:eastAsia="zh-CN" w:bidi="ar-SA"/>
        </w:rPr>
        <w:fldChar w:fldCharType="begin"/>
      </w:r>
      <w:r>
        <w:rPr>
          <w:rFonts w:hint="eastAsia" w:ascii="Calibri" w:hAnsi="Calibri" w:eastAsia="宋体" w:cs="宋体"/>
          <w:color w:val="auto"/>
          <w:kern w:val="0"/>
          <w:sz w:val="24"/>
          <w:szCs w:val="24"/>
          <w:highlight w:val="none"/>
          <w:lang w:val="en-US" w:eastAsia="zh-CN" w:bidi="ar-SA"/>
        </w:rPr>
        <w:instrText xml:space="preserve"> HYPERLINK "mailto:bhgjzb_bhxf@vip.163.com" </w:instrText>
      </w:r>
      <w:r>
        <w:rPr>
          <w:rFonts w:hint="eastAsia" w:ascii="Calibri" w:hAnsi="Calibri" w:eastAsia="宋体" w:cs="宋体"/>
          <w:color w:val="auto"/>
          <w:kern w:val="0"/>
          <w:sz w:val="24"/>
          <w:szCs w:val="24"/>
          <w:highlight w:val="none"/>
          <w:lang w:val="en-US" w:eastAsia="zh-CN" w:bidi="ar-SA"/>
        </w:rPr>
        <w:fldChar w:fldCharType="separate"/>
      </w:r>
      <w:r>
        <w:rPr>
          <w:rFonts w:hint="eastAsia" w:ascii="Calibri" w:hAnsi="Calibri" w:eastAsia="宋体" w:cs="宋体"/>
          <w:color w:val="auto"/>
          <w:kern w:val="0"/>
          <w:sz w:val="24"/>
          <w:szCs w:val="24"/>
          <w:highlight w:val="none"/>
          <w:lang w:val="en-US" w:eastAsia="zh-CN" w:bidi="ar-SA"/>
        </w:rPr>
        <w:t>bhgjzb_bhxf@vip.163.com</w:t>
      </w:r>
      <w:r>
        <w:rPr>
          <w:rFonts w:hint="eastAsia" w:ascii="Calibri" w:hAnsi="Calibri" w:eastAsia="宋体" w:cs="宋体"/>
          <w:color w:val="auto"/>
          <w:kern w:val="0"/>
          <w:sz w:val="24"/>
          <w:szCs w:val="24"/>
          <w:highlight w:val="none"/>
          <w:lang w:val="en-US" w:eastAsia="zh-CN" w:bidi="ar-SA"/>
        </w:rPr>
        <w:fldChar w:fldCharType="end"/>
      </w:r>
    </w:p>
    <w:p>
      <w:pPr>
        <w:keepNext w:val="0"/>
        <w:keepLines w:val="0"/>
        <w:pageBreakBefore w:val="0"/>
        <w:kinsoku/>
        <w:wordWrap/>
        <w:overflowPunct/>
        <w:topLinePunct w:val="0"/>
        <w:bidi w:val="0"/>
        <w:snapToGrid w:val="0"/>
        <w:spacing w:line="360" w:lineRule="auto"/>
        <w:ind w:firstLine="440" w:firstLineChars="200"/>
        <w:rPr>
          <w:rFonts w:hint="eastAsia" w:ascii="Calibri" w:hAnsi="Calibri" w:eastAsia="宋体" w:cs="宋体"/>
          <w:color w:val="auto"/>
          <w:kern w:val="0"/>
          <w:sz w:val="22"/>
          <w:szCs w:val="22"/>
          <w:highlight w:val="none"/>
          <w:lang w:val="en-US" w:eastAsia="zh-CN" w:bidi="ar-SA"/>
        </w:rPr>
      </w:pPr>
    </w:p>
    <w:p>
      <w:pPr>
        <w:jc w:val="left"/>
        <w:rPr>
          <w:rFonts w:hint="eastAsia" w:ascii="宋体" w:hAnsi="宋体" w:eastAsia="宋体"/>
          <w:b/>
          <w:color w:val="auto"/>
          <w:highlight w:val="none"/>
          <w:lang w:val="en-US" w:eastAsia="zh-CN"/>
        </w:rPr>
      </w:pPr>
      <w:r>
        <w:rPr>
          <w:rFonts w:hint="eastAsia" w:ascii="宋体" w:hAnsi="宋体" w:eastAsia="宋体"/>
          <w:b/>
          <w:color w:val="auto"/>
          <w:highlight w:val="none"/>
        </w:rPr>
        <w:br w:type="page"/>
      </w:r>
      <w:r>
        <w:rPr>
          <w:rFonts w:hint="eastAsia" w:ascii="宋体" w:hAnsi="宋体" w:eastAsia="宋体"/>
          <w:b/>
          <w:color w:val="auto"/>
          <w:highlight w:val="none"/>
          <w:lang w:val="en-US" w:eastAsia="zh-CN"/>
        </w:rPr>
        <w:t>附件</w:t>
      </w:r>
    </w:p>
    <w:p>
      <w:pPr>
        <w:jc w:val="left"/>
        <w:rPr>
          <w:rFonts w:hint="eastAsia" w:ascii="宋体" w:hAnsi="宋体" w:eastAsia="宋体"/>
          <w:b/>
          <w:color w:val="auto"/>
          <w:highlight w:val="none"/>
          <w:lang w:val="en-US" w:eastAsia="zh-CN"/>
        </w:rPr>
      </w:pPr>
    </w:p>
    <w:p>
      <w:pPr>
        <w:jc w:val="center"/>
        <w:rPr>
          <w:rFonts w:hint="eastAsia" w:ascii="宋体" w:hAnsi="宋体" w:eastAsia="宋体"/>
          <w:b/>
          <w:color w:val="auto"/>
          <w:highlight w:val="none"/>
          <w:lang w:eastAsia="zh-CN"/>
        </w:rPr>
      </w:pPr>
      <w:r>
        <w:rPr>
          <w:rFonts w:hint="eastAsia" w:ascii="宋体" w:hAnsi="宋体" w:eastAsia="宋体"/>
          <w:b/>
          <w:color w:val="auto"/>
          <w:highlight w:val="none"/>
        </w:rPr>
        <w:t>天津滨海国际招标发展有限公司</w:t>
      </w:r>
      <w:r>
        <w:rPr>
          <w:rFonts w:hint="eastAsia" w:ascii="宋体" w:hAnsi="宋体" w:eastAsia="宋体"/>
          <w:b/>
          <w:color w:val="auto"/>
          <w:highlight w:val="none"/>
          <w:lang w:eastAsia="zh-CN"/>
        </w:rPr>
        <w:t>信息采集表</w:t>
      </w:r>
    </w:p>
    <w:p>
      <w:pPr>
        <w:pStyle w:val="5"/>
        <w:rPr>
          <w:rFonts w:hint="eastAsia"/>
          <w:color w:val="auto"/>
          <w:lang w:eastAsia="zh-CN"/>
        </w:rPr>
      </w:pPr>
    </w:p>
    <w:p>
      <w:pPr>
        <w:jc w:val="center"/>
        <w:rPr>
          <w:rFonts w:ascii="宋体" w:hAnsi="宋体" w:eastAsia="宋体"/>
          <w:b/>
          <w:color w:val="auto"/>
          <w:highlight w:val="none"/>
        </w:rPr>
      </w:pPr>
      <w:r>
        <w:rPr>
          <w:rFonts w:hint="eastAsia" w:ascii="宋体" w:hAnsi="宋体" w:eastAsia="宋体"/>
          <w:b/>
          <w:color w:val="auto"/>
          <w:highlight w:val="none"/>
        </w:rPr>
        <w:t xml:space="preserve">         </w:t>
      </w:r>
      <w:r>
        <w:rPr>
          <w:rFonts w:hint="eastAsia" w:ascii="宋体" w:hAnsi="宋体" w:eastAsia="宋体"/>
          <w:b/>
          <w:color w:val="auto"/>
          <w:highlight w:val="none"/>
          <w:lang w:val="en-US" w:eastAsia="zh-CN"/>
        </w:rPr>
        <w:t xml:space="preserve">     </w:t>
      </w:r>
      <w:r>
        <w:rPr>
          <w:rFonts w:hint="eastAsia" w:ascii="宋体" w:hAnsi="宋体" w:eastAsia="宋体"/>
          <w:b/>
          <w:color w:val="auto"/>
          <w:highlight w:val="none"/>
        </w:rPr>
        <w:t xml:space="preserve"> </w:t>
      </w:r>
    </w:p>
    <w:tbl>
      <w:tblPr>
        <w:tblStyle w:val="7"/>
        <w:tblW w:w="9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20"/>
        <w:gridCol w:w="2759"/>
        <w:gridCol w:w="1918"/>
        <w:gridCol w:w="2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1920" w:type="dxa"/>
            <w:noWrap w:val="0"/>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c>
        <w:tc>
          <w:tcPr>
            <w:tcW w:w="7297" w:type="dxa"/>
            <w:gridSpan w:val="3"/>
            <w:noWrap w:val="0"/>
            <w:vAlign w:val="center"/>
          </w:tcPr>
          <w:p>
            <w:pPr>
              <w:spacing w:line="276"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BHGJ-2024-C-036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920" w:type="dxa"/>
            <w:noWrap w:val="0"/>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项目名称：</w:t>
            </w:r>
          </w:p>
        </w:tc>
        <w:tc>
          <w:tcPr>
            <w:tcW w:w="7297" w:type="dxa"/>
            <w:gridSpan w:val="3"/>
            <w:noWrap w:val="0"/>
            <w:vAlign w:val="center"/>
          </w:tcPr>
          <w:p>
            <w:pPr>
              <w:spacing w:line="276"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普通高中学科教室、创新实验室建设项目(2024年)环境建设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jc w:val="center"/>
        </w:trPr>
        <w:tc>
          <w:tcPr>
            <w:tcW w:w="1920" w:type="dxa"/>
            <w:noWrap w:val="0"/>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p>
        </w:tc>
        <w:tc>
          <w:tcPr>
            <w:tcW w:w="7297" w:type="dxa"/>
            <w:gridSpan w:val="3"/>
            <w:noWrap w:val="0"/>
            <w:vAlign w:val="center"/>
          </w:tcPr>
          <w:p>
            <w:pPr>
              <w:spacing w:line="276" w:lineRule="auto"/>
              <w:jc w:val="center"/>
              <w:rPr>
                <w:rFonts w:hint="eastAsia" w:ascii="宋体" w:hAnsi="宋体" w:eastAsia="宋体" w:cs="宋体"/>
                <w:color w:val="auto"/>
                <w:sz w:val="24"/>
                <w:szCs w:val="24"/>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1920" w:type="dxa"/>
            <w:noWrap w:val="0"/>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w:t>
            </w:r>
          </w:p>
        </w:tc>
        <w:tc>
          <w:tcPr>
            <w:tcW w:w="7297" w:type="dxa"/>
            <w:gridSpan w:val="3"/>
            <w:noWrap w:val="0"/>
            <w:vAlign w:val="center"/>
          </w:tcPr>
          <w:p>
            <w:pPr>
              <w:spacing w:line="276" w:lineRule="auto"/>
              <w:jc w:val="center"/>
              <w:rPr>
                <w:rFonts w:hint="eastAsia" w:ascii="宋体" w:hAnsi="宋体" w:eastAsia="宋体" w:cs="宋体"/>
                <w:color w:val="auto"/>
                <w:sz w:val="24"/>
                <w:szCs w:val="24"/>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8" w:hRule="atLeast"/>
          <w:jc w:val="center"/>
        </w:trPr>
        <w:tc>
          <w:tcPr>
            <w:tcW w:w="9217" w:type="dxa"/>
            <w:gridSpan w:val="4"/>
            <w:noWrap w:val="0"/>
            <w:vAlign w:val="center"/>
          </w:tcPr>
          <w:p>
            <w:pPr>
              <w:spacing w:line="276"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开票信息</w:t>
            </w:r>
            <w:r>
              <w:rPr>
                <w:rFonts w:hint="eastAsia" w:ascii="宋体" w:hAnsi="宋体" w:cs="宋体"/>
                <w:b/>
                <w:bCs/>
                <w:color w:val="auto"/>
                <w:sz w:val="24"/>
                <w:szCs w:val="24"/>
                <w:highlight w:val="none"/>
                <w:lang w:val="en-US" w:eastAsia="zh-CN"/>
              </w:rPr>
              <w:t>（必填）</w:t>
            </w:r>
            <w:r>
              <w:rPr>
                <w:rFonts w:hint="eastAsia" w:ascii="宋体" w:hAnsi="宋体" w:eastAsia="宋体" w:cs="宋体"/>
                <w:b/>
                <w:bCs/>
                <w:color w:val="auto"/>
                <w:sz w:val="24"/>
                <w:szCs w:val="24"/>
                <w:highlight w:val="none"/>
                <w:lang w:val="en-US" w:eastAsia="zh-CN"/>
              </w:rPr>
              <w:t>：</w:t>
            </w:r>
          </w:p>
          <w:p>
            <w:pPr>
              <w:spacing w:line="276" w:lineRule="auto"/>
              <w:ind w:firstLine="240" w:firstLineChars="1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单位名称：</w:t>
            </w:r>
          </w:p>
          <w:p>
            <w:pPr>
              <w:spacing w:line="276" w:lineRule="auto"/>
              <w:ind w:firstLine="240" w:firstLineChars="1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税号：</w:t>
            </w:r>
          </w:p>
          <w:p>
            <w:pPr>
              <w:spacing w:line="276" w:lineRule="auto"/>
              <w:ind w:firstLine="240" w:firstLineChars="1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开户行：</w:t>
            </w:r>
          </w:p>
          <w:p>
            <w:pPr>
              <w:spacing w:line="276" w:lineRule="auto"/>
              <w:ind w:firstLine="240" w:firstLineChars="1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账号：</w:t>
            </w:r>
          </w:p>
          <w:p>
            <w:pPr>
              <w:spacing w:line="276" w:lineRule="auto"/>
              <w:jc w:val="lef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邮寄地址（必填）</w:t>
            </w:r>
            <w:r>
              <w:rPr>
                <w:rFonts w:hint="eastAsia" w:ascii="宋体" w:hAnsi="宋体" w:eastAsia="宋体" w:cs="宋体"/>
                <w:b/>
                <w:bCs/>
                <w:color w:val="auto"/>
                <w:sz w:val="24"/>
                <w:szCs w:val="24"/>
                <w:highlight w:val="none"/>
                <w:lang w:val="en-US" w:eastAsia="zh-CN"/>
              </w:rPr>
              <w:t>：</w:t>
            </w:r>
          </w:p>
          <w:p>
            <w:pPr>
              <w:spacing w:line="276" w:lineRule="auto"/>
              <w:jc w:val="left"/>
              <w:rPr>
                <w:rFonts w:hint="eastAsia" w:ascii="宋体" w:hAnsi="宋体" w:eastAsia="宋体" w:cs="宋体"/>
                <w:b/>
                <w:bCs/>
                <w:color w:val="auto"/>
                <w:sz w:val="24"/>
                <w:szCs w:val="24"/>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1920" w:type="dxa"/>
            <w:noWrap w:val="0"/>
            <w:vAlign w:val="center"/>
          </w:tcPr>
          <w:p>
            <w:pPr>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759" w:type="dxa"/>
            <w:noWrap w:val="0"/>
            <w:vAlign w:val="center"/>
          </w:tcPr>
          <w:p>
            <w:pPr>
              <w:spacing w:line="276" w:lineRule="auto"/>
              <w:jc w:val="center"/>
              <w:rPr>
                <w:rFonts w:hint="eastAsia" w:ascii="宋体" w:hAnsi="宋体" w:eastAsia="宋体" w:cs="宋体"/>
                <w:color w:val="auto"/>
                <w:sz w:val="24"/>
                <w:szCs w:val="24"/>
                <w:highlight w:val="none"/>
                <w:lang w:val="en-US" w:eastAsia="zh-CN"/>
              </w:rPr>
            </w:pPr>
          </w:p>
        </w:tc>
        <w:tc>
          <w:tcPr>
            <w:tcW w:w="1918" w:type="dxa"/>
            <w:noWrap w:val="0"/>
            <w:vAlign w:val="center"/>
          </w:tcPr>
          <w:p>
            <w:pPr>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p>
        </w:tc>
        <w:tc>
          <w:tcPr>
            <w:tcW w:w="2620" w:type="dxa"/>
            <w:noWrap w:val="0"/>
            <w:vAlign w:val="center"/>
          </w:tcPr>
          <w:p>
            <w:pPr>
              <w:spacing w:line="276" w:lineRule="auto"/>
              <w:jc w:val="center"/>
              <w:rPr>
                <w:rFonts w:hint="eastAsia" w:ascii="宋体" w:hAnsi="宋体" w:eastAsia="宋体" w:cs="宋体"/>
                <w:color w:val="auto"/>
                <w:sz w:val="24"/>
                <w:szCs w:val="24"/>
                <w:highlight w:val="none"/>
                <w:lang w:val="en-US" w:eastAsia="zh-CN"/>
              </w:rPr>
            </w:pPr>
          </w:p>
        </w:tc>
      </w:tr>
    </w:tbl>
    <w:p>
      <w:pPr>
        <w:rPr>
          <w:color w:val="auto"/>
          <w:highlight w:val="none"/>
        </w:rPr>
      </w:pPr>
    </w:p>
    <w:p>
      <w:pPr>
        <w:keepNext w:val="0"/>
        <w:keepLines w:val="0"/>
        <w:pageBreakBefore w:val="0"/>
        <w:shd w:val="clear" w:color="auto" w:fill="FFFFFF"/>
        <w:kinsoku/>
        <w:wordWrap/>
        <w:overflowPunct/>
        <w:topLinePunct w:val="0"/>
        <w:bidi w:val="0"/>
        <w:adjustRightInd w:val="0"/>
        <w:snapToGrid/>
        <w:spacing w:line="360" w:lineRule="auto"/>
        <w:ind w:firstLine="482" w:firstLineChars="200"/>
        <w:textAlignment w:val="auto"/>
        <w:rPr>
          <w:color w:val="auto"/>
        </w:rPr>
      </w:pPr>
      <w:r>
        <w:rPr>
          <w:rFonts w:hint="eastAsia" w:ascii="宋体" w:hAnsi="宋体" w:eastAsia="宋体"/>
          <w:b/>
          <w:color w:val="auto"/>
          <w:highlight w:val="none"/>
        </w:rPr>
        <w:t>日期:</w:t>
      </w:r>
      <w:r>
        <w:rPr>
          <w:rFonts w:hint="eastAsia" w:hAnsi="宋体" w:eastAsia="宋体"/>
          <w:b/>
          <w:color w:val="auto"/>
          <w:highlight w:val="none"/>
          <w:lang w:val="en-US" w:eastAsia="zh-CN"/>
        </w:rPr>
        <w:t>2024年</w:t>
      </w:r>
      <w:r>
        <w:rPr>
          <w:rFonts w:hint="eastAsia" w:ascii="宋体" w:hAnsi="宋体" w:eastAsia="宋体"/>
          <w:b/>
          <w:color w:val="auto"/>
          <w:highlight w:val="none"/>
          <w:lang w:val="en-US" w:eastAsia="zh-CN"/>
        </w:rPr>
        <w:t xml:space="preserve"> 月 日</w:t>
      </w:r>
    </w:p>
    <w:p>
      <w:r>
        <w:rPr>
          <w:rStyle w:val="9"/>
          <w:rFonts w:hint="eastAsia"/>
          <w:b/>
          <w:bCs/>
          <w:color w:val="auto"/>
          <w:sz w:val="32"/>
          <w:szCs w:val="32"/>
          <w:lang w:val="zh-CN"/>
        </w:rP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_x000B__x000C_">
    <w:altName w:val="MS Gothic"/>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2MjI1OGE5OGNmYTM2YTQyY2YzNGM0MWQ4NTVmMTkifQ=="/>
  </w:docVars>
  <w:rsids>
    <w:rsidRoot w:val="00000000"/>
    <w:rsid w:val="21543DF0"/>
    <w:rsid w:val="705F07D2"/>
    <w:rsid w:val="79FD43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1"/>
    <w:basedOn w:val="1"/>
    <w:next w:val="1"/>
    <w:link w:val="9"/>
    <w:qFormat/>
    <w:uiPriority w:val="0"/>
    <w:pPr>
      <w:outlineLvl w:val="0"/>
    </w:p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Body Text"/>
    <w:basedOn w:val="1"/>
    <w:next w:val="1"/>
    <w:uiPriority w:val="0"/>
    <w:pPr>
      <w:autoSpaceDE/>
      <w:autoSpaceDN/>
      <w:adjustRightInd/>
      <w:jc w:val="both"/>
    </w:pPr>
    <w:rPr>
      <w:rFonts w:ascii="宋体"/>
      <w:kern w:val="2"/>
      <w:sz w:val="21"/>
      <w:szCs w:val="20"/>
      <w:u w:val="single"/>
    </w:rPr>
  </w:style>
  <w:style w:type="paragraph" w:styleId="4">
    <w:name w:val="Body Text Indent"/>
    <w:basedOn w:val="1"/>
    <w:next w:val="3"/>
    <w:uiPriority w:val="0"/>
    <w:pPr>
      <w:spacing w:line="440" w:lineRule="exact"/>
      <w:ind w:firstLine="560"/>
    </w:pPr>
    <w:rPr>
      <w:rFonts w:ascii="仿宋_GB2312" w:hAnsi="_x000B__x000C_" w:eastAsia="仿宋_GB2312"/>
      <w:color w:val="000000"/>
      <w:szCs w:val="28"/>
    </w:rPr>
  </w:style>
  <w:style w:type="paragraph" w:styleId="5">
    <w:name w:val="Body Text First Indent 2"/>
    <w:basedOn w:val="4"/>
    <w:next w:val="1"/>
    <w:unhideWhenUsed/>
    <w:qFormat/>
    <w:uiPriority w:val="99"/>
    <w:pPr>
      <w:tabs>
        <w:tab w:val="left" w:pos="480"/>
      </w:tabs>
      <w:ind w:firstLine="420" w:firstLineChars="200"/>
    </w:pPr>
    <w:rPr>
      <w:rFonts w:ascii="Calibri" w:hAnsi="Calibri"/>
      <w:sz w:val="21"/>
      <w:szCs w:val="22"/>
      <w:lang w:val="en-US" w:eastAsia="zh-CN" w:bidi="ar-SA"/>
    </w:rPr>
  </w:style>
  <w:style w:type="table" w:styleId="7">
    <w:name w:val="Table Grid"/>
    <w:basedOn w:val="6"/>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1 Char"/>
    <w:link w:val="2"/>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2024-04-19T05:33:48Z</dcterms:created>
  <dc:creator>Administrator</dc:creator>
  <cp:lastModifiedBy>蓝精灵</cp:lastModifiedBy>
  <dcterms:modified xsi:type="dcterms:W3CDTF">2024-04-19T05:44:55Z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EBFFDA5ED36B47FBAE4728DC9B638518_12</vt:lpwstr>
  </property>
</Properties>
</file>