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版本号：N511101202600020920260708001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峨眉山中山片区游线详细规划编制项目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N5111012026000209</w:t>
      </w:r>
    </w:p>
    <w:p>
      <w:pPr>
        <w:pStyle w:val="null3"/>
        <w:jc w:val="left"/>
        <w:outlineLvl w:val="2"/>
      </w:pPr>
      <w:r>
        <w:rPr>
          <w:rFonts w:ascii="仿宋_GB2312" w:hAnsi="仿宋_GB2312" w:cs="仿宋_GB2312" w:eastAsia="仿宋_GB2312"/>
          <w:sz w:val="28"/>
          <w:b/>
        </w:rPr>
        <w:t>峨眉山风景名胜区管理委员会</w:t>
      </w:r>
    </w:p>
    <w:p>
      <w:pPr>
        <w:pStyle w:val="null3"/>
        <w:jc w:val="center"/>
        <w:outlineLvl w:val="2"/>
      </w:pPr>
      <w:r>
        <w:rPr>
          <w:rFonts w:ascii="仿宋_GB2312" w:hAnsi="仿宋_GB2312" w:cs="仿宋_GB2312" w:eastAsia="仿宋_GB2312"/>
          <w:sz w:val="28"/>
          <w:b/>
        </w:rPr>
        <w:t>四川易通天和招标代理有限公司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四川易通天和招标代理有限公司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峨眉山风景名胜区管理委员会</w:t>
      </w:r>
      <w:r>
        <w:rPr>
          <w:rFonts w:ascii="仿宋_GB2312" w:hAnsi="仿宋_GB2312" w:cs="仿宋_GB2312" w:eastAsia="仿宋_GB2312"/>
        </w:rPr>
        <w:t xml:space="preserve"> 委托，拟对 </w:t>
      </w:r>
      <w:r>
        <w:rPr>
          <w:rFonts w:ascii="仿宋_GB2312" w:hAnsi="仿宋_GB2312" w:cs="仿宋_GB2312" w:eastAsia="仿宋_GB2312"/>
        </w:rPr>
        <w:t>峨眉山中山片区游线详细规划编制项目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乐山市市本级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N5111012026000209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峨眉山中山片区游线详细规划编制项目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本项目为峨眉山中山片区游线详细规划编制项目，共2个包。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具有国家行政主管部门颁发的有效的中华人民共和国城乡规划编制乙级及以上资质。（描述：投标人具有国家行政主管部门颁发的有效的中华人民共和国城乡规划编制乙级及以上资质。（提供相关证明材料并进行电子签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投标人具有国家行政主管部门颁发的有效的乙级及以上测绘（含地理信息系统工程及工程测量）资质。（描述：投标人具有国家行政主管部门颁发的有效的乙级及以上测绘（含地理信息系统工程及工程测量）资质。（提供相关证明材料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峨眉山风景名胜区管理委员会</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峨眉山市名山西路46号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祝老师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0833-5533992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四川易通天和招标代理有限公司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成都市高新区吉泰五路88号香年广场T2栋38层1-16号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李潇潇、范方锐、何益、汪雷、周秦伊</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028-85320556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采购包1：2,050,000.00元</w:t>
            </w:r>
          </w:p>
          <w:p>
            <w:pPr>
              <w:pStyle w:val="null3"/>
              <w:jc w:val="left"/>
            </w:pPr>
            <w:r>
              <w:rPr>
                <w:rFonts w:ascii="仿宋_GB2312" w:hAnsi="仿宋_GB2312" w:cs="仿宋_GB2312" w:eastAsia="仿宋_GB2312"/>
              </w:rPr>
              <w:t>采购包2：680,000.00元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本采购包履约保证金为：合同金额的5%。</w:t>
              <w:br/>
              <w:t>交款方式：银行转账，支票、汇票、本票，保函</w:t>
              <w:br/>
              <w:t>交款时间：中标通知书发放后，政府采购合同签订前。</w:t>
              <w:br/>
              <w:t xml:space="preserve">退还条件和时间：项目验收合格后，采购人在收到中标人履约保证金退还申请书后10日内，一次性无息退还。 </w:t>
              <w:br/>
              <w:t>履约保证金不予退还的情形：①中标人不履行与采购人订立的合同的，履约保证金不予退还，给采购人造成的损失超过履约保证金数额的，还应当对超过部分予以赔偿；②中标人存在需承担相应违约责任的，采购人有权直接从履约保证金中扣除相应违约金款项，对于违约金超过履约保证金数额的部分，中标人应予以补足。</w:t>
              <w:br/>
              <w:t>履约保证金不予退还的，将按照有关规定上缴国库；逾期退还履约保证金的，将依法承担法律责任，并赔偿供应商损失。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采购包2：收取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本采购包履约保证金为：合同金额的5%。</w:t>
              <w:br/>
              <w:t>交款方式：银行转账，支票、汇票、本票，保函</w:t>
              <w:br/>
              <w:t>交款时间：中标通知书发放后，政府采购合同签订前。</w:t>
              <w:br/>
              <w:t xml:space="preserve">退还条件和时间：项目验收合格后，采购人在收到中标人履约保证金退还申请书后10日内，一次性无息退还。 </w:t>
              <w:br/>
              <w:t>履约保证金不予退还的情形：①中标人不履行与采购人订立的合同的，履约保证金不予退还，给采购人造成的损失超过履约保证金数额的，还应当对超过部分予以赔偿；②中标人存在需承担相应违约责任的，采购人有权直接从履约保证金中扣除相应违约金款项，对于违约金超过履约保证金数额的部分，中标人应予以补足。</w:t>
              <w:br/>
              <w:t>履约保证金不予退还的，将按照有关规定上缴国库；逾期退还履约保证金的，将依法承担法律责任，并赔偿供应商损失。</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代理服务费收费标准：根据成本加合理利润的原则本项目代理服务费共13180.00元。其中峨眉山中山片区游线详细规划编制项目9897.00元；峨眉山中山区游线详细规划测绘项目3283.00元。</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峨眉山风景名胜区管理委员会</w:t>
      </w:r>
      <w:r>
        <w:rPr>
          <w:rFonts w:ascii="仿宋_GB2312" w:hAnsi="仿宋_GB2312" w:cs="仿宋_GB2312" w:eastAsia="仿宋_GB2312"/>
        </w:rPr>
        <w:t xml:space="preserve"> 和 </w:t>
      </w:r>
      <w:r>
        <w:rPr>
          <w:rFonts w:ascii="仿宋_GB2312" w:hAnsi="仿宋_GB2312" w:cs="仿宋_GB2312" w:eastAsia="仿宋_GB2312"/>
        </w:rPr>
        <w:t>四川易通天和招标代理有限公司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峨眉山风景名胜区管理委员会</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四川易通天和招标代理有限公司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合同履约完成，中标供应商提交履约验收申请之日起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合同履约完成，中标供应商提交履约验收申请之日起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按照本项目采购需求中技术要求、招标文件、供应商的投标文件及承诺、合同约定进行验收。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按照本项目采购需求中技术要求、招标文件、供应商的投标文件及承诺、合同约定进行验收。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按照本项目采购需求中商务要求、招标文件、供应商的投标文件及承诺、合同约定进行验收。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按照本项目采购需求中商务要求、招标文件、供应商的投标文件及承诺、合同约定进行验收。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招标文件的要求、供应商的投标文件及承诺以及合同约定标准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财政部关于进一步加强政府采购需求和履约验收管理的指导意见》（财库〔2016〕205号）、《政府采购需求管理办法》（财库〔2021〕22号）、招标文件的要求、供应商的投标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峨眉山风景名胜区管理委员会</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四川易通天和招标代理有限公司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四川易通天和招标代理有限公司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联系人：祝老师</w:t>
      </w:r>
    </w:p>
    <w:p>
      <w:pPr>
        <w:pStyle w:val="null3"/>
        <w:jc w:val="left"/>
      </w:pPr>
      <w:r>
        <w:rPr>
          <w:rFonts w:ascii="仿宋_GB2312" w:hAnsi="仿宋_GB2312" w:cs="仿宋_GB2312" w:eastAsia="仿宋_GB2312"/>
        </w:rPr>
        <w:t>联系电话：0833-5533992</w:t>
      </w:r>
    </w:p>
    <w:p>
      <w:pPr>
        <w:pStyle w:val="null3"/>
        <w:jc w:val="left"/>
      </w:pPr>
      <w:r>
        <w:rPr>
          <w:rFonts w:ascii="仿宋_GB2312" w:hAnsi="仿宋_GB2312" w:cs="仿宋_GB2312" w:eastAsia="仿宋_GB2312"/>
        </w:rPr>
        <w:t>地址：峨眉山市名山西路46号</w:t>
      </w:r>
    </w:p>
    <w:p>
      <w:pPr>
        <w:pStyle w:val="null3"/>
        <w:jc w:val="left"/>
      </w:pPr>
      <w:r>
        <w:rPr>
          <w:rFonts w:ascii="仿宋_GB2312" w:hAnsi="仿宋_GB2312" w:cs="仿宋_GB2312" w:eastAsia="仿宋_GB2312"/>
        </w:rPr>
        <w:t>邮编：614200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联系电话：028-85320556</w:t>
      </w:r>
    </w:p>
    <w:p>
      <w:pPr>
        <w:pStyle w:val="null3"/>
        <w:jc w:val="left"/>
      </w:pPr>
      <w:r>
        <w:rPr>
          <w:rFonts w:ascii="仿宋_GB2312" w:hAnsi="仿宋_GB2312" w:cs="仿宋_GB2312" w:eastAsia="仿宋_GB2312"/>
        </w:rPr>
        <w:t>地址：成都市高新区吉泰五路88号香年广场T2栋38层1-16号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2,050,000.00</w:t>
      </w:r>
    </w:p>
    <w:p>
      <w:pPr>
        <w:pStyle w:val="null3"/>
        <w:jc w:val="left"/>
      </w:pPr>
      <w:r>
        <w:rPr>
          <w:rFonts w:ascii="仿宋_GB2312" w:hAnsi="仿宋_GB2312" w:cs="仿宋_GB2312" w:eastAsia="仿宋_GB2312"/>
        </w:rPr>
        <w:t>采购包最高限价（元）: 2,050,000.00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C13010000 区域规划和设计服务</w:t>
            </w:r>
          </w:p>
        </w:tc>
        <w:tc>
          <w:tcPr>
            <w:tcW w:type="dxa" w:w="821"/>
          </w:tcPr>
          <w:p>
            <w:pPr>
              <w:pStyle w:val="null3"/>
              <w:jc w:val="left"/>
            </w:pPr>
            <w:r>
              <w:rPr>
                <w:rFonts w:ascii="仿宋_GB2312" w:hAnsi="仿宋_GB2312" w:cs="仿宋_GB2312" w:eastAsia="仿宋_GB2312"/>
              </w:rPr>
              <w:t>峨眉山中山片区游线详细规划编制</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680,000.00</w:t>
      </w:r>
    </w:p>
    <w:p>
      <w:pPr>
        <w:pStyle w:val="null3"/>
        <w:jc w:val="left"/>
      </w:pPr>
      <w:r>
        <w:rPr>
          <w:rFonts w:ascii="仿宋_GB2312" w:hAnsi="仿宋_GB2312" w:cs="仿宋_GB2312" w:eastAsia="仿宋_GB2312"/>
        </w:rPr>
        <w:t>采购包最高限价（元）: 680,000.00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C19040000 测绘服务</w:t>
            </w:r>
          </w:p>
        </w:tc>
        <w:tc>
          <w:tcPr>
            <w:tcW w:type="dxa" w:w="821"/>
          </w:tcPr>
          <w:p>
            <w:pPr>
              <w:pStyle w:val="null3"/>
              <w:jc w:val="left"/>
            </w:pPr>
            <w:r>
              <w:rPr>
                <w:rFonts w:ascii="仿宋_GB2312" w:hAnsi="仿宋_GB2312" w:cs="仿宋_GB2312" w:eastAsia="仿宋_GB2312"/>
              </w:rPr>
              <w:t>峨眉山中山片区游线详细规划测绘</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680,000.00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峨眉山中山片区游线详细规划编制</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2,050,000.00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峨眉山中山片区游线详细规划测绘</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标的名称：峨眉山中山片区游线详细规划编制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80"/>
              <w:jc w:val="both"/>
            </w:pPr>
            <w:r>
              <w:rPr>
                <w:rFonts w:ascii="仿宋_GB2312" w:hAnsi="仿宋_GB2312" w:cs="仿宋_GB2312" w:eastAsia="仿宋_GB2312"/>
                <w:sz w:val="24"/>
              </w:rPr>
              <w:t>（一）规划范围：</w:t>
            </w:r>
          </w:p>
          <w:p>
            <w:pPr>
              <w:pStyle w:val="null3"/>
              <w:ind w:firstLine="480"/>
              <w:jc w:val="both"/>
            </w:pPr>
            <w:r>
              <w:rPr>
                <w:rFonts w:ascii="仿宋_GB2312" w:hAnsi="仿宋_GB2312" w:cs="仿宋_GB2312" w:eastAsia="仿宋_GB2312"/>
                <w:sz w:val="24"/>
              </w:rPr>
              <w:t>游线东起一山亭广场，西至雷洞坪灵觉寺处。游线上包括报国旅游镇、五显岗旅游点、万年寺旅游点、万年场旅游点、九岭岗旅游点、洗象池旅游点、仙峰寺旅游点等相关节点。规划面积</w:t>
            </w:r>
            <w:r>
              <w:rPr>
                <w:rFonts w:ascii="仿宋_GB2312" w:hAnsi="仿宋_GB2312" w:cs="仿宋_GB2312" w:eastAsia="仿宋_GB2312"/>
                <w:sz w:val="24"/>
              </w:rPr>
              <w:t>4.95平方公里。</w:t>
            </w:r>
          </w:p>
          <w:p>
            <w:pPr>
              <w:pStyle w:val="null3"/>
              <w:ind w:firstLine="480"/>
              <w:jc w:val="both"/>
            </w:pPr>
            <w:r>
              <w:rPr>
                <w:rFonts w:ascii="仿宋_GB2312" w:hAnsi="仿宋_GB2312" w:cs="仿宋_GB2312" w:eastAsia="仿宋_GB2312"/>
                <w:sz w:val="24"/>
              </w:rPr>
              <w:t>（二）规划内容：</w:t>
            </w:r>
          </w:p>
          <w:p>
            <w:pPr>
              <w:pStyle w:val="null3"/>
              <w:ind w:firstLine="480"/>
              <w:jc w:val="both"/>
            </w:pPr>
            <w:r>
              <w:rPr>
                <w:rFonts w:ascii="仿宋_GB2312" w:hAnsi="仿宋_GB2312" w:cs="仿宋_GB2312" w:eastAsia="仿宋_GB2312"/>
                <w:sz w:val="24"/>
              </w:rPr>
              <w:t>1.对中山片区游线优化游览线路组织，完善观景节点、解说标识系统及游览服务设施。</w:t>
            </w:r>
          </w:p>
          <w:p>
            <w:pPr>
              <w:pStyle w:val="null3"/>
              <w:ind w:firstLine="480"/>
              <w:jc w:val="both"/>
            </w:pPr>
            <w:r>
              <w:rPr>
                <w:rFonts w:ascii="仿宋_GB2312" w:hAnsi="仿宋_GB2312" w:cs="仿宋_GB2312" w:eastAsia="仿宋_GB2312"/>
                <w:sz w:val="24"/>
              </w:rPr>
              <w:t>2.对报国片区、万年片区、清音阁片区等现有旅游服务基地节点和场地进行规划提升。</w:t>
            </w:r>
          </w:p>
          <w:p>
            <w:pPr>
              <w:pStyle w:val="null3"/>
              <w:ind w:firstLine="480"/>
              <w:jc w:val="both"/>
            </w:pPr>
            <w:r>
              <w:rPr>
                <w:rFonts w:ascii="仿宋_GB2312" w:hAnsi="仿宋_GB2312" w:cs="仿宋_GB2312" w:eastAsia="仿宋_GB2312"/>
                <w:sz w:val="24"/>
              </w:rPr>
              <w:t>3.对游线布局旅游服务设施及市政基础设施。</w:t>
            </w:r>
          </w:p>
          <w:p>
            <w:pPr>
              <w:pStyle w:val="null3"/>
              <w:ind w:firstLine="480"/>
              <w:jc w:val="both"/>
            </w:pPr>
            <w:r>
              <w:rPr>
                <w:rFonts w:ascii="仿宋_GB2312" w:hAnsi="仿宋_GB2312" w:cs="仿宋_GB2312" w:eastAsia="仿宋_GB2312"/>
                <w:sz w:val="24"/>
              </w:rPr>
              <w:t>4.中山片区详细规划的核心目的是改善万年场、五显岗等旅游服务基地的功能和形象风貌，解决现有游览组织和服务方面的矛盾，体现世界遗产旅游服务品质。主要内容如下：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1）资源与现状研判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2）保护培育规划</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3）风景游赏规划</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4）游览设施规划</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5）基础工程规划</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6）土地利用协调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7）活动与业态引导</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8）居民社会调控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9）分期实施与运营管理</w:t>
            </w:r>
          </w:p>
          <w:p>
            <w:pPr>
              <w:pStyle w:val="null3"/>
              <w:ind w:firstLine="480"/>
              <w:jc w:val="both"/>
            </w:pPr>
            <w:r>
              <w:rPr>
                <w:rFonts w:ascii="仿宋_GB2312" w:hAnsi="仿宋_GB2312" w:cs="仿宋_GB2312" w:eastAsia="仿宋_GB2312"/>
                <w:sz w:val="24"/>
              </w:rPr>
              <w:t>（三）服务要求</w:t>
            </w:r>
          </w:p>
          <w:p>
            <w:pPr>
              <w:pStyle w:val="null3"/>
              <w:ind w:firstLine="480"/>
              <w:jc w:val="both"/>
            </w:pPr>
            <w:r>
              <w:rPr>
                <w:rFonts w:ascii="仿宋_GB2312" w:hAnsi="仿宋_GB2312" w:cs="仿宋_GB2312" w:eastAsia="仿宋_GB2312"/>
                <w:sz w:val="24"/>
              </w:rPr>
              <w:t>1.按照《风景名胜区详细规划标准》（GB/T 51294-2018），规划成果包括规划文本、规划图纸、规划分图图则、规划说明书等内容。</w:t>
            </w:r>
          </w:p>
          <w:p>
            <w:pPr>
              <w:pStyle w:val="null3"/>
              <w:ind w:firstLine="480"/>
              <w:jc w:val="both"/>
            </w:pPr>
            <w:r>
              <w:rPr>
                <w:rFonts w:ascii="仿宋_GB2312" w:hAnsi="仿宋_GB2312" w:cs="仿宋_GB2312" w:eastAsia="仿宋_GB2312"/>
                <w:sz w:val="24"/>
              </w:rPr>
              <w:t>2.高质量完成规划设计工作，</w:t>
            </w:r>
            <w:r>
              <w:rPr>
                <w:rFonts w:ascii="仿宋_GB2312" w:hAnsi="仿宋_GB2312" w:cs="仿宋_GB2312" w:eastAsia="仿宋_GB2312"/>
                <w:sz w:val="24"/>
              </w:rPr>
              <w:t>规划成果通过省林业和草原局组织的专家评审会</w:t>
            </w:r>
            <w:r>
              <w:rPr>
                <w:rFonts w:ascii="仿宋_GB2312" w:hAnsi="仿宋_GB2312" w:cs="仿宋_GB2312" w:eastAsia="仿宋_GB2312"/>
                <w:sz w:val="24"/>
              </w:rPr>
              <w:t>，并最终获得批复。</w:t>
            </w:r>
          </w:p>
          <w:p>
            <w:pPr>
              <w:pStyle w:val="null3"/>
              <w:ind w:firstLine="480"/>
              <w:jc w:val="both"/>
            </w:pPr>
            <w:r>
              <w:rPr>
                <w:rFonts w:ascii="仿宋_GB2312" w:hAnsi="仿宋_GB2312" w:cs="仿宋_GB2312" w:eastAsia="仿宋_GB2312"/>
                <w:sz w:val="24"/>
              </w:rPr>
              <w:t>3.知识产权：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2）采购人享有本项目实施过程中产生的知识成果及知识产权。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供应商将在采购项目实施过程中采用自有或者第三方知识成果的，使用该知识成果后，供应商需提供开发接口和开发手册等技术资料，并提供无限期支持，采购人享有使用权（含采购人委托第三方在该项目后续开发的使用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4）如使用供应商所不拥有的知识产权，则在投标报价中必须包括合法使用该知识产权的相关费用。</w:t>
            </w:r>
          </w:p>
          <w:p>
            <w:pPr>
              <w:pStyle w:val="null3"/>
              <w:ind w:firstLine="480"/>
              <w:jc w:val="both"/>
            </w:pPr>
            <w:r>
              <w:rPr>
                <w:rFonts w:ascii="仿宋_GB2312" w:hAnsi="仿宋_GB2312" w:cs="仿宋_GB2312" w:eastAsia="仿宋_GB2312"/>
                <w:sz w:val="24"/>
              </w:rPr>
              <w:t>（四）成果要求</w:t>
            </w:r>
          </w:p>
          <w:p>
            <w:pPr>
              <w:pStyle w:val="null3"/>
              <w:ind w:firstLine="480"/>
              <w:jc w:val="both"/>
            </w:pPr>
            <w:r>
              <w:rPr>
                <w:rFonts w:ascii="仿宋_GB2312" w:hAnsi="仿宋_GB2312" w:cs="仿宋_GB2312" w:eastAsia="仿宋_GB2312"/>
                <w:sz w:val="24"/>
              </w:rPr>
              <w:t>1.成果构成：汇报演示文件和规划成果（规划文本、规划图纸、规划图则、规划说明书）。</w:t>
            </w:r>
          </w:p>
          <w:p>
            <w:pPr>
              <w:pStyle w:val="null3"/>
              <w:ind w:firstLine="480"/>
              <w:jc w:val="both"/>
            </w:pPr>
            <w:r>
              <w:rPr>
                <w:rFonts w:ascii="仿宋_GB2312" w:hAnsi="仿宋_GB2312" w:cs="仿宋_GB2312" w:eastAsia="仿宋_GB2312"/>
                <w:sz w:val="24"/>
              </w:rPr>
              <w:t>2.成果形式：汇报演示文件采用ppt或pdf格式，规划成果采用word或PDF格式。</w:t>
            </w:r>
          </w:p>
          <w:p>
            <w:pPr>
              <w:pStyle w:val="null3"/>
              <w:ind w:firstLine="480"/>
              <w:jc w:val="both"/>
            </w:pPr>
            <w:r>
              <w:rPr>
                <w:rFonts w:ascii="仿宋_GB2312" w:hAnsi="仿宋_GB2312" w:cs="仿宋_GB2312" w:eastAsia="仿宋_GB2312"/>
                <w:sz w:val="24"/>
              </w:rPr>
              <w:t>3.成果交付：按照采购要求时间交付送审成果，送审成果一式四份；正式成果一式六份，另有电子文件刻录光盘两张。</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与供应商履约相关的其他要求</w:t>
            </w:r>
          </w:p>
        </w:tc>
        <w:tc>
          <w:tcPr>
            <w:tcW w:type="dxa" w:w="5814"/>
          </w:tcPr>
          <w:p>
            <w:pPr>
              <w:pStyle w:val="null3"/>
              <w:ind w:firstLine="480"/>
              <w:jc w:val="both"/>
            </w:pPr>
            <w:r>
              <w:rPr>
                <w:rFonts w:ascii="仿宋_GB2312" w:hAnsi="仿宋_GB2312" w:cs="仿宋_GB2312" w:eastAsia="仿宋_GB2312"/>
                <w:sz w:val="24"/>
              </w:rPr>
              <w:t>1.供应商为本项目配备具有专业技术能力的1名项目负责人及其他服务团队人员。</w:t>
            </w:r>
          </w:p>
          <w:p>
            <w:pPr>
              <w:pStyle w:val="null3"/>
              <w:ind w:firstLine="480"/>
              <w:jc w:val="both"/>
            </w:pPr>
            <w:r>
              <w:rPr>
                <w:rFonts w:ascii="仿宋_GB2312" w:hAnsi="仿宋_GB2312" w:cs="仿宋_GB2312" w:eastAsia="仿宋_GB2312"/>
                <w:sz w:val="24"/>
              </w:rPr>
              <w:t>2.供应商2023年7月1日（含）以来具有类似项目履约经验。</w:t>
            </w:r>
          </w:p>
          <w:p>
            <w:pPr>
              <w:pStyle w:val="null3"/>
              <w:ind w:firstLine="480"/>
              <w:jc w:val="both"/>
            </w:pPr>
            <w:r>
              <w:rPr>
                <w:rFonts w:ascii="仿宋_GB2312" w:hAnsi="仿宋_GB2312" w:cs="仿宋_GB2312" w:eastAsia="仿宋_GB2312"/>
                <w:sz w:val="24"/>
              </w:rPr>
              <w:t>3.供应商应结合自身技术能力充分了解项目背景和各项政策，针对本项目提供项目认知方案内容包含①现行体系机制、②存在问题、③政策要求；提供规划研究思路内容包含①先进经验借鉴；②规划目标；③规划布局；④规划方案；提供项目进度安排方案内容包含①工作进度安排、②工作组织程序；提供项目跟踪服务方案内容包含①保证设计规划质量、②配合工作推进。相关方案的编制应切实可行、能够保障项目顺利实施。</w:t>
            </w:r>
          </w:p>
          <w:p>
            <w:pPr>
              <w:pStyle w:val="null3"/>
              <w:ind w:firstLine="480"/>
              <w:jc w:val="both"/>
            </w:pPr>
            <w:r>
              <w:rPr>
                <w:rFonts w:ascii="仿宋_GB2312" w:hAnsi="仿宋_GB2312" w:cs="仿宋_GB2312" w:eastAsia="仿宋_GB2312"/>
                <w:sz w:val="24"/>
              </w:rPr>
              <w:t>4.本项目不统一组织现场踏勘，供应商可自行现场踏勘。</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标的名称：峨眉山中山片区游线详细规划测绘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80"/>
              <w:jc w:val="both"/>
            </w:pPr>
            <w:r>
              <w:rPr>
                <w:rFonts w:ascii="仿宋_GB2312" w:hAnsi="仿宋_GB2312" w:cs="仿宋_GB2312" w:eastAsia="仿宋_GB2312"/>
                <w:sz w:val="24"/>
              </w:rPr>
              <w:t>（一）服务范围：</w:t>
            </w:r>
          </w:p>
          <w:p>
            <w:pPr>
              <w:pStyle w:val="null3"/>
              <w:ind w:firstLine="480"/>
              <w:jc w:val="both"/>
            </w:pPr>
            <w:r>
              <w:rPr>
                <w:rFonts w:ascii="仿宋_GB2312" w:hAnsi="仿宋_GB2312" w:cs="仿宋_GB2312" w:eastAsia="仿宋_GB2312"/>
                <w:sz w:val="24"/>
              </w:rPr>
              <w:t>游线东起一山亭广场，西至雷洞坪灵觉寺处。游线上包括报国旅游镇、五显岗旅游点、万年寺旅游点、万年场旅游点、九岭岗旅游点、洗象池旅游点、仙峰寺旅游点等相关节点。测绘总面积不超过</w:t>
            </w:r>
            <w:r>
              <w:rPr>
                <w:rFonts w:ascii="仿宋_GB2312" w:hAnsi="仿宋_GB2312" w:cs="仿宋_GB2312" w:eastAsia="仿宋_GB2312"/>
                <w:sz w:val="24"/>
              </w:rPr>
              <w:t>5.445平方公里。</w:t>
            </w:r>
          </w:p>
          <w:p>
            <w:pPr>
              <w:pStyle w:val="null3"/>
              <w:ind w:firstLine="480"/>
              <w:jc w:val="both"/>
            </w:pPr>
            <w:r>
              <w:rPr>
                <w:rFonts w:ascii="仿宋_GB2312" w:hAnsi="仿宋_GB2312" w:cs="仿宋_GB2312" w:eastAsia="仿宋_GB2312"/>
                <w:sz w:val="24"/>
              </w:rPr>
              <w:t>（二）主要服务内容：</w:t>
            </w:r>
          </w:p>
          <w:p>
            <w:pPr>
              <w:pStyle w:val="null3"/>
              <w:ind w:firstLine="480"/>
              <w:jc w:val="both"/>
            </w:pPr>
            <w:r>
              <w:rPr>
                <w:rFonts w:ascii="仿宋_GB2312" w:hAnsi="仿宋_GB2312" w:cs="仿宋_GB2312" w:eastAsia="仿宋_GB2312"/>
                <w:sz w:val="24"/>
              </w:rPr>
              <w:t>1.主要工作内容为1:500的地形图测绘</w:t>
            </w:r>
            <w:r>
              <w:rPr>
                <w:rFonts w:ascii="仿宋_GB2312" w:hAnsi="仿宋_GB2312" w:cs="仿宋_GB2312" w:eastAsia="仿宋_GB2312"/>
                <w:sz w:val="24"/>
              </w:rPr>
              <w:t>，成果需要经有资质的检验检测机构检测通过</w:t>
            </w:r>
            <w:r>
              <w:rPr>
                <w:rFonts w:ascii="仿宋_GB2312" w:hAnsi="仿宋_GB2312" w:cs="仿宋_GB2312" w:eastAsia="仿宋_GB2312"/>
                <w:sz w:val="24"/>
              </w:rPr>
              <w:t>，</w:t>
            </w:r>
            <w:r>
              <w:rPr>
                <w:rFonts w:ascii="仿宋_GB2312" w:hAnsi="仿宋_GB2312" w:cs="仿宋_GB2312" w:eastAsia="仿宋_GB2312"/>
                <w:sz w:val="24"/>
              </w:rPr>
              <w:t>费用包含在投标总价中</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2.为峨眉山中山片区游线详细规划编制提供测绘支持服务。</w:t>
            </w:r>
          </w:p>
          <w:p>
            <w:pPr>
              <w:pStyle w:val="null3"/>
              <w:ind w:firstLine="480"/>
              <w:jc w:val="both"/>
            </w:pPr>
            <w:r>
              <w:rPr>
                <w:rFonts w:ascii="仿宋_GB2312" w:hAnsi="仿宋_GB2312" w:cs="仿宋_GB2312" w:eastAsia="仿宋_GB2312"/>
                <w:sz w:val="24"/>
              </w:rPr>
              <w:t>（三）服务要求</w:t>
            </w:r>
          </w:p>
          <w:p>
            <w:pPr>
              <w:pStyle w:val="null3"/>
              <w:ind w:firstLine="480"/>
              <w:jc w:val="both"/>
            </w:pPr>
            <w:r>
              <w:rPr>
                <w:rFonts w:ascii="仿宋_GB2312" w:hAnsi="仿宋_GB2312" w:cs="仿宋_GB2312" w:eastAsia="仿宋_GB2312"/>
                <w:sz w:val="24"/>
              </w:rPr>
              <w:t>1.本次测绘必须执行现行国家（或行业或地方）适用的标准（规范、规程等），使用国家法定计量单位，使用规范的名词、术语。国家或行业有最新标准的，按最新标准执行。</w:t>
            </w:r>
          </w:p>
          <w:p>
            <w:pPr>
              <w:pStyle w:val="null3"/>
              <w:ind w:firstLine="480"/>
              <w:jc w:val="both"/>
            </w:pPr>
            <w:r>
              <w:rPr>
                <w:rFonts w:ascii="仿宋_GB2312" w:hAnsi="仿宋_GB2312" w:cs="仿宋_GB2312" w:eastAsia="仿宋_GB2312"/>
                <w:sz w:val="24"/>
              </w:rPr>
              <w:t>2.主要技术标准如下：</w:t>
            </w:r>
          </w:p>
          <w:p>
            <w:pPr>
              <w:pStyle w:val="null3"/>
              <w:ind w:firstLine="480"/>
              <w:jc w:val="both"/>
            </w:pPr>
            <w:r>
              <w:rPr>
                <w:rFonts w:ascii="仿宋_GB2312" w:hAnsi="仿宋_GB2312" w:cs="仿宋_GB2312" w:eastAsia="仿宋_GB2312"/>
                <w:sz w:val="24"/>
              </w:rPr>
              <w:t>(1)《城市测量规范》CJJ/T8-2011；</w:t>
            </w:r>
          </w:p>
          <w:p>
            <w:pPr>
              <w:pStyle w:val="null3"/>
              <w:ind w:firstLine="480"/>
              <w:jc w:val="both"/>
            </w:pPr>
            <w:r>
              <w:rPr>
                <w:rFonts w:ascii="仿宋_GB2312" w:hAnsi="仿宋_GB2312" w:cs="仿宋_GB2312" w:eastAsia="仿宋_GB2312"/>
                <w:sz w:val="24"/>
              </w:rPr>
              <w:t>(2)《工程测量标准》 GB50026-2020；</w:t>
            </w:r>
          </w:p>
          <w:p>
            <w:pPr>
              <w:pStyle w:val="null3"/>
              <w:ind w:firstLine="480"/>
              <w:jc w:val="both"/>
            </w:pPr>
            <w:r>
              <w:rPr>
                <w:rFonts w:ascii="仿宋_GB2312" w:hAnsi="仿宋_GB2312" w:cs="仿宋_GB2312" w:eastAsia="仿宋_GB2312"/>
                <w:sz w:val="24"/>
              </w:rPr>
              <w:t>(3)《测绘技术设计规定》CH/T1004-2005；</w:t>
            </w:r>
          </w:p>
          <w:p>
            <w:pPr>
              <w:pStyle w:val="null3"/>
              <w:ind w:firstLine="480"/>
              <w:jc w:val="both"/>
            </w:pPr>
            <w:r>
              <w:rPr>
                <w:rFonts w:ascii="仿宋_GB2312" w:hAnsi="仿宋_GB2312" w:cs="仿宋_GB2312" w:eastAsia="仿宋_GB2312"/>
                <w:sz w:val="24"/>
              </w:rPr>
              <w:t>(4)《测绘技术总结编写规定》CH/T1001-2005；</w:t>
            </w:r>
          </w:p>
          <w:p>
            <w:pPr>
              <w:pStyle w:val="null3"/>
              <w:ind w:firstLine="480"/>
              <w:jc w:val="both"/>
            </w:pPr>
            <w:r>
              <w:rPr>
                <w:rFonts w:ascii="仿宋_GB2312" w:hAnsi="仿宋_GB2312" w:cs="仿宋_GB2312" w:eastAsia="仿宋_GB2312"/>
                <w:sz w:val="24"/>
              </w:rPr>
              <w:t>(5)《国家基本比例尺地图图式 第1部分：1：500、1：1000、1：2000地形图图式》GB/T 20257.1-2017；</w:t>
            </w:r>
          </w:p>
          <w:p>
            <w:pPr>
              <w:pStyle w:val="null3"/>
              <w:ind w:firstLine="480"/>
              <w:jc w:val="both"/>
            </w:pPr>
            <w:r>
              <w:rPr>
                <w:rFonts w:ascii="仿宋_GB2312" w:hAnsi="仿宋_GB2312" w:cs="仿宋_GB2312" w:eastAsia="仿宋_GB2312"/>
                <w:sz w:val="24"/>
              </w:rPr>
              <w:t>(6)《测绘成果质量检查与验收》GB/T 24356-2023。</w:t>
            </w:r>
          </w:p>
          <w:p>
            <w:pPr>
              <w:pStyle w:val="null3"/>
              <w:ind w:firstLine="480"/>
              <w:jc w:val="both"/>
            </w:pPr>
            <w:r>
              <w:rPr>
                <w:rFonts w:ascii="仿宋_GB2312" w:hAnsi="仿宋_GB2312" w:cs="仿宋_GB2312" w:eastAsia="仿宋_GB2312"/>
                <w:sz w:val="24"/>
              </w:rPr>
              <w:t>3.供应商对测绘成果文件内容负责，交付测绘文件后，按规定参加有关的审查会，并根据审查结论或意见进行修改、完善测绘文件，并做好服务等工作。按照采购人要求对方案进行修改和完善所产生的费用已包含在投标总价内，不再另行支付。</w:t>
            </w:r>
          </w:p>
          <w:p>
            <w:pPr>
              <w:pStyle w:val="null3"/>
              <w:ind w:firstLine="480"/>
              <w:jc w:val="both"/>
            </w:pPr>
            <w:r>
              <w:rPr>
                <w:rFonts w:ascii="仿宋_GB2312" w:hAnsi="仿宋_GB2312" w:cs="仿宋_GB2312" w:eastAsia="仿宋_GB2312"/>
                <w:sz w:val="24"/>
              </w:rPr>
              <w:t>4.供应商负责规划实施阶段的测绘有关服务。</w:t>
            </w:r>
          </w:p>
          <w:p>
            <w:pPr>
              <w:pStyle w:val="null3"/>
              <w:ind w:firstLine="480"/>
              <w:jc w:val="both"/>
            </w:pPr>
            <w:r>
              <w:rPr>
                <w:rFonts w:ascii="仿宋_GB2312" w:hAnsi="仿宋_GB2312" w:cs="仿宋_GB2312" w:eastAsia="仿宋_GB2312"/>
                <w:sz w:val="24"/>
              </w:rPr>
              <w:t>5.供应商不得向他人转让成交内容，也不得将项目的关键性或核心工作委托他人完成。</w:t>
            </w:r>
          </w:p>
          <w:p>
            <w:pPr>
              <w:pStyle w:val="null3"/>
              <w:ind w:firstLine="480"/>
              <w:jc w:val="both"/>
            </w:pPr>
            <w:r>
              <w:rPr>
                <w:rFonts w:ascii="仿宋_GB2312" w:hAnsi="仿宋_GB2312" w:cs="仿宋_GB2312" w:eastAsia="仿宋_GB2312"/>
                <w:sz w:val="24"/>
              </w:rPr>
              <w:t>6.知识产权：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2）采购人享有本项目实施过程中产生的知识成果及知识产权。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供应商将在采购项目实施过程中采用自有或者第三方知识成果的，使用该知识成果后，供应商需提供开发接口和开发手册等技术资料，并提供无限期支持，采购人享有使用权（含采购人委托第三方在该项目后续开发的使用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4）如使用供应商所不拥有的知识产权，则在投标报价中必须包括合法使用该知识产权的相关费用。</w:t>
            </w:r>
          </w:p>
          <w:p>
            <w:pPr>
              <w:pStyle w:val="null3"/>
              <w:ind w:firstLine="480"/>
              <w:jc w:val="both"/>
            </w:pPr>
            <w:r>
              <w:rPr>
                <w:rFonts w:ascii="仿宋_GB2312" w:hAnsi="仿宋_GB2312" w:cs="仿宋_GB2312" w:eastAsia="仿宋_GB2312"/>
                <w:sz w:val="24"/>
              </w:rPr>
              <w:t>（四）成果要求</w:t>
            </w:r>
          </w:p>
          <w:p>
            <w:pPr>
              <w:pStyle w:val="null3"/>
              <w:ind w:firstLine="480"/>
              <w:jc w:val="both"/>
            </w:pPr>
            <w:r>
              <w:rPr>
                <w:rFonts w:ascii="仿宋_GB2312" w:hAnsi="仿宋_GB2312" w:cs="仿宋_GB2312" w:eastAsia="仿宋_GB2312"/>
                <w:sz w:val="24"/>
              </w:rPr>
              <w:t>1.成果形式：汇报演示文件采用ppt或pdf格式。</w:t>
            </w:r>
          </w:p>
          <w:p>
            <w:pPr>
              <w:pStyle w:val="null3"/>
              <w:ind w:firstLine="480"/>
              <w:jc w:val="both"/>
            </w:pPr>
            <w:r>
              <w:rPr>
                <w:rFonts w:ascii="仿宋_GB2312" w:hAnsi="仿宋_GB2312" w:cs="仿宋_GB2312" w:eastAsia="仿宋_GB2312"/>
                <w:sz w:val="24"/>
              </w:rPr>
              <w:t>2.成果交付：按照采购要求时间交付送审成果，送审成果一式四份；正式成果一式六份，另有电子文件刻录光盘两张。</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与供应商履约相关的其他要求</w:t>
            </w:r>
          </w:p>
        </w:tc>
        <w:tc>
          <w:tcPr>
            <w:tcW w:type="dxa" w:w="5814"/>
          </w:tcPr>
          <w:p>
            <w:pPr>
              <w:pStyle w:val="null3"/>
              <w:spacing w:before="105" w:after="105"/>
              <w:jc w:val="both"/>
            </w:pPr>
            <w:r>
              <w:rPr>
                <w:rFonts w:ascii="仿宋_GB2312" w:hAnsi="仿宋_GB2312" w:cs="仿宋_GB2312" w:eastAsia="仿宋_GB2312"/>
                <w:sz w:val="24"/>
              </w:rPr>
              <w:t>1.供应商为本项目配备1名项目负责人须具备注册测绘师证书。（投标文件中提供人员身份证、相关证书及本单位在职证明材料扫描件加盖公章）</w:t>
            </w:r>
          </w:p>
          <w:p>
            <w:pPr>
              <w:pStyle w:val="null3"/>
              <w:spacing w:before="105" w:after="105"/>
              <w:jc w:val="both"/>
            </w:pPr>
            <w:r>
              <w:rPr>
                <w:rFonts w:ascii="仿宋_GB2312" w:hAnsi="仿宋_GB2312" w:cs="仿宋_GB2312" w:eastAsia="仿宋_GB2312"/>
                <w:sz w:val="24"/>
              </w:rPr>
              <w:t>2.供应商为本项目配备其他服务团队人员（不含项目负责人）：至少2人具有测绘类专业中级及以上技术职称。（投标文件中提供人员身份证、相关证书及本单位在职证明材料扫描件加盖公章）</w:t>
            </w:r>
          </w:p>
          <w:p>
            <w:pPr>
              <w:pStyle w:val="null3"/>
              <w:spacing w:before="105" w:after="105"/>
              <w:jc w:val="both"/>
            </w:pPr>
            <w:r>
              <w:rPr>
                <w:rFonts w:ascii="仿宋_GB2312" w:hAnsi="仿宋_GB2312" w:cs="仿宋_GB2312" w:eastAsia="仿宋_GB2312"/>
                <w:sz w:val="24"/>
              </w:rPr>
              <w:t>3.供应商自2023年7月1日（含）以来（以合同签订时间为准）至少承担过2个1:500（或1:500及以上精度）地形图测绘类项目业绩。（提供合同扫描件并加盖公章，时间以合同签订时间为准。）</w:t>
            </w:r>
          </w:p>
          <w:p>
            <w:pPr>
              <w:pStyle w:val="null3"/>
              <w:spacing w:before="105" w:after="105"/>
              <w:jc w:val="both"/>
            </w:pPr>
            <w:r>
              <w:rPr>
                <w:rFonts w:ascii="仿宋_GB2312" w:hAnsi="仿宋_GB2312" w:cs="仿宋_GB2312" w:eastAsia="仿宋_GB2312"/>
                <w:sz w:val="24"/>
              </w:rPr>
              <w:t>4.本项目不统一组织现场踏勘，供应商可自行现场踏勘。</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合同签订生效后365日内提交正式成果文件。</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峨眉山中山片区（采购人指定地点）。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（1）验收主体：采购人。 （2）验收时间：合同履约完成，中标供应商提交履约验收申请之日起30日内组织验收。 （3）验收方式：单位内部验收。 （4）验收程序：一次性验收。 （5）技术履约验收内容：按照本项目采购需求中技术要求、招标文件、供应商的投标文件及承诺、合同约定进行验收。 （6）商务履约验收内容：按照本项目采购需求中商务要求、招标文件、供应商的投标文件及承诺、合同约定进行验收。 （7）验收内容及标准：按照《财政部关于进一步加强政府采购需求和履约验收管理的指导意见》（财库〔2016〕205号）、《政府采购需求管理办法》（财库〔2021〕22号）、招标文件的要求、供应商的投标文件及承诺以及合同约定标准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预付款，合同签订生效收到供应商有效发票，达到付款条件起10个工作日内，支付合同总金额的25.0%</w:t>
            </w:r>
            <w:r>
              <w:br/>
            </w:r>
            <w:r>
              <w:rPr>
                <w:rFonts w:ascii="仿宋_GB2312" w:hAnsi="仿宋_GB2312" w:cs="仿宋_GB2312" w:eastAsia="仿宋_GB2312"/>
              </w:rPr>
              <w:t>2、</w:t>
            </w:r>
            <w:r>
              <w:rPr>
                <w:rFonts w:ascii="仿宋_GB2312" w:hAnsi="仿宋_GB2312" w:cs="仿宋_GB2312" w:eastAsia="仿宋_GB2312"/>
              </w:rPr>
              <w:t>进度款，规划方案通过采购人组织的审查后，收到供应商有效发票，达到付款条件起10个工作日内，支付合同总金额的45.0%</w:t>
            </w:r>
            <w:r>
              <w:br/>
            </w:r>
            <w:r>
              <w:rPr>
                <w:rFonts w:ascii="仿宋_GB2312" w:hAnsi="仿宋_GB2312" w:cs="仿宋_GB2312" w:eastAsia="仿宋_GB2312"/>
              </w:rPr>
              <w:t>3、</w:t>
            </w:r>
            <w:r>
              <w:rPr>
                <w:rFonts w:ascii="仿宋_GB2312" w:hAnsi="仿宋_GB2312" w:cs="仿宋_GB2312" w:eastAsia="仿宋_GB2312"/>
              </w:rPr>
              <w:t>进度款，规划成果通过省林业和草原局组织的专家评审会后，收到供应商有效发票，达到付款条件起10个工作日内，支付合同总金额的20.0%</w:t>
            </w:r>
            <w:r>
              <w:br/>
            </w:r>
            <w:r>
              <w:rPr>
                <w:rFonts w:ascii="仿宋_GB2312" w:hAnsi="仿宋_GB2312" w:cs="仿宋_GB2312" w:eastAsia="仿宋_GB2312"/>
              </w:rPr>
              <w:t>4、</w:t>
            </w:r>
            <w:r>
              <w:rPr>
                <w:rFonts w:ascii="仿宋_GB2312" w:hAnsi="仿宋_GB2312" w:cs="仿宋_GB2312" w:eastAsia="仿宋_GB2312"/>
              </w:rPr>
              <w:t>尾款，供应商提交最终成果通过相关审核经验收合格并收到供应商有效发票，达到付款条件起10个工作日内，支付合同总金额的10.0%</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（1）采购人及供应商双方必须遵守本合同并执行合同中的各项规定，保证本合同的正常履行。 （2）如因供应商在履行过程中的疏忽、失职、过错等故意或者过失原因给采购人造成损失或侵害，包括但不限于采购人本身的财产损失、由此而导致的采购人对任何第三方的法律责任等，供应商对此均应承担全部的赔偿责任。合同履行过程中发生的任何财产损失和人员伤亡事故，由供应商自行承担责任，与采购方无关。 （3）供应商未按本合同约定日期向采购人提交成果的，应承担逾期交付的违约责任，每逾期一日，按该成果报告价格的万分之一向采购人支付违约金。逾期超过30日，采购人还有权解除合同，供应商应按前述方式向采购人支付违约金。 （4）供应商提交的成果不符合约定或经相关部门认定为不合格的，供应商应当在五个工作日内按照采购人要求重新提交，返工、修改期间发生的费用由供应商自行承担。由此导致逾期提交合格成果报告的，采购人有权按本合同向供应商收取违约金。如果供应商在约定的时间内仍未能提交或提交的成果仍不合格的，采购人有权解除合同。 （5）采购人逾期支付服务合同款项的，应及时付足合同款项。逾期付款超过三十天的，供应商有权终止合同。 （6）在执行本合同中发生的或与本合同有关的争端，双方应通过友好协商解决，经协商在30天内不能达成协议时，双方均有权向采购人所在地人民法院提起诉讼。</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合同签订生效后30日内提交正式成果文件。</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峨眉山中山片区（采购人指定地点）。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（1）验收主体：采购人。 （2）验收时间：合同履约完成，中标供应商提交履约验收申请之日起30日内组织验收。 （3）验收方式：单位内部验收。 （4）验收程序：一次性验收。 （5）技术履约验收内容：按照本项目采购需求中技术要求、招标文件、供应商的投标文件及承诺、合同约定进行验收。 （6）商务履约验收内容：按照本项目采购需求中商务要求、招标文件、供应商的投标文件及承诺、合同约定进行验收。 （7）验收内容及标准：按照《财政部关于进一步加强政府采购需求和履约验收管理的指导意见》（财库〔2016〕205号）、《政府采购需求管理办法》（财库〔2021〕22号）、招标文件的要求、供应商的投标文件及承诺以及合同约定标准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预付款，提交测绘成果完成初审收到供应商有效发票，达到付款条件起10个工作日内，支付合同总金额的60.0%</w:t>
            </w:r>
            <w:r>
              <w:br/>
            </w:r>
            <w:r>
              <w:rPr>
                <w:rFonts w:ascii="仿宋_GB2312" w:hAnsi="仿宋_GB2312" w:cs="仿宋_GB2312" w:eastAsia="仿宋_GB2312"/>
              </w:rPr>
              <w:t>2、</w:t>
            </w:r>
            <w:r>
              <w:rPr>
                <w:rFonts w:ascii="仿宋_GB2312" w:hAnsi="仿宋_GB2312" w:cs="仿宋_GB2312" w:eastAsia="仿宋_GB2312"/>
              </w:rPr>
              <w:t>尾款，规划方案取得省级批复收到供应商有效发票，达到付款条件起10个工作日内，支付合同总金额的40.0%</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（1）采购人及供应商双方必须遵守本合同并执行合同中的各项规定，保证本合同的正常履行。 （2）如因供应商在履行过程中的疏忽、失职、过错等故意或者过失原因给采购人造成损失或侵害，包括但不限于采购人本身的财产损失、由此而导致的采购人对任何第三方的法律责任等，供应商对此均应承担全部的赔偿责任。合同履行过程中发生的任何财产损失和人员伤亡事故，由供应商自行承担责任，与采购方无关。 （3）供应商未按本合同约定日期向采购人提交成果的，应承担逾期交付的违约责任，每逾期一日，按该成果报告价格的万分之一向采购人支付违约金。逾期超过30日，采购人还有权解除合同，供应商应按前述方式向采购人支付违约金。 （4）供应商提交的成果不符合约定或经相关部门认定为不合格的，供应商应当在五个工作日内按照采购人要求重新提交，返工、修改期间发生的费用由供应商自行承担。由此导致逾期提交合格成果报告的，采购人有权按本合同向供应商收取违约金。如果供应商在约定的时间内仍未能提交或提交的成果仍不合格的，采购人有权解除合同。 （5）采购人逾期支付服务合同款项的，应及时付足合同款项。逾期付款超过三十天的，供应商有权终止合同。 （6）在执行本合同中发生的或与本合同有关的争端，双方应通过友好协商解决，经协商在30天内不能达成协议时，双方均有权向采购人所在地人民法院提起诉讼。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投标人需在使用投标(响应)客户端编制投标文件时，按要求填写《投标（响应）函》完成承诺并进行电子签章。2.①投标人若为企业法人：提供“统一社会信用代码营业执照”；②若为事业法人：提供“统一社会信用代码法人登记证书”；未换证的提交“事业法人登记证书、组织机构代码证”；③若为其他组织：提供“对应主管部门颁发的准许执业证明文件或营业执照”；④若为自然人：提供“身份证明文件”。</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投标人需在使用投标(响应)客户端编制投标文件时，按要求填写《投标（响应）函》完成承诺并进行电子签章。2.①投标人若为企业法人：提供“统一社会信用代码营业执照”；②若为事业法人：提供“统一社会信用代码法人登记证书”；未换证的提交“事业法人登记证书、组织机构代码证”；③若为其他组织：提供“对应主管部门颁发的准许执业证明文件或营业执照”；④若为自然人：提供“身份证明文件”。</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投标人具有国家行政主管部门颁发的有效的中华人民共和国城乡规划编制乙级及以上资质。</w:t>
            </w:r>
          </w:p>
        </w:tc>
        <w:tc>
          <w:tcPr>
            <w:tcW w:type="dxa" w:w="3322"/>
          </w:tcPr>
          <w:p>
            <w:pPr>
              <w:pStyle w:val="null3"/>
              <w:jc w:val="left"/>
            </w:pPr>
            <w:r>
              <w:rPr>
                <w:rFonts w:ascii="仿宋_GB2312" w:hAnsi="仿宋_GB2312" w:cs="仿宋_GB2312" w:eastAsia="仿宋_GB2312"/>
              </w:rPr>
              <w:t>投标人具有国家行政主管部门颁发的有效的中华人民共和国城乡规划编制乙级及以上资质。（提供相关证明材料并进行电子签章。）</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投标人具有国家行政主管部门颁发的有效的乙级及以上测绘（含地理信息系统工程及工程测量）资质。</w:t>
            </w:r>
          </w:p>
        </w:tc>
        <w:tc>
          <w:tcPr>
            <w:tcW w:type="dxa" w:w="3322"/>
          </w:tcPr>
          <w:p>
            <w:pPr>
              <w:pStyle w:val="null3"/>
              <w:jc w:val="left"/>
            </w:pPr>
            <w:r>
              <w:rPr>
                <w:rFonts w:ascii="仿宋_GB2312" w:hAnsi="仿宋_GB2312" w:cs="仿宋_GB2312" w:eastAsia="仿宋_GB2312"/>
              </w:rPr>
              <w:t>投标人具有国家行政主管部门颁发的有效的乙级及以上测绘（含地理信息系统工程及工程测量）资质。（提供相关证明材料并进行电子签章。）</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满足招标文件其他实质性要求。</w:t>
            </w:r>
          </w:p>
        </w:tc>
        <w:tc>
          <w:tcPr>
            <w:tcW w:type="dxa" w:w="3322"/>
          </w:tcPr>
          <w:p>
            <w:pPr>
              <w:pStyle w:val="null3"/>
              <w:jc w:val="left"/>
            </w:pPr>
            <w:r>
              <w:rPr>
                <w:rFonts w:ascii="仿宋_GB2312" w:hAnsi="仿宋_GB2312" w:cs="仿宋_GB2312" w:eastAsia="仿宋_GB2312"/>
              </w:rPr>
              <w:t>提供满足招标文件实质性要求的证明材料。（注：除招标文件中明确要求进行响应或承诺或提供证明材料的实质性要求外，对于其他实质性要求，供应商在《投标（响应）函》中以“我单位完全接受和理解本项目采购文件规定的实质性要求。”进行承诺即视为响应。）</w:t>
            </w:r>
          </w:p>
        </w:tc>
        <w:tc>
          <w:tcPr>
            <w:tcW w:type="dxa" w:w="1661"/>
          </w:tcPr>
          <w:p>
            <w:pPr>
              <w:pStyle w:val="null3"/>
              <w:jc w:val="left"/>
            </w:pPr>
            <w:r>
              <w:rPr>
                <w:rFonts w:ascii="仿宋_GB2312" w:hAnsi="仿宋_GB2312" w:cs="仿宋_GB2312" w:eastAsia="仿宋_GB2312"/>
              </w:rPr>
              <w:t>投标人应提交的相关证明材料,技术要求应答表,其他资料及相关说明等,商务及服务要求应答表,投标文件封面,报价表,投标（响应）函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满足招标文件其他实质性要求。</w:t>
            </w:r>
          </w:p>
        </w:tc>
        <w:tc>
          <w:tcPr>
            <w:tcW w:type="dxa" w:w="3322"/>
          </w:tcPr>
          <w:p>
            <w:pPr>
              <w:pStyle w:val="null3"/>
              <w:jc w:val="left"/>
            </w:pPr>
            <w:r>
              <w:rPr>
                <w:rFonts w:ascii="仿宋_GB2312" w:hAnsi="仿宋_GB2312" w:cs="仿宋_GB2312" w:eastAsia="仿宋_GB2312"/>
              </w:rPr>
              <w:t>提供满足招标文件实质性要求的证明材料。（注：除招标文件中明确要求进行响应或承诺或提供证明材料的实质性要求外，对于其他实质性要求，供应商在《投标（响应）函》中以“我单位完全接受和理解本项目采购文件规定的实质性要求。”进行承诺即视为响应。）</w:t>
            </w:r>
          </w:p>
        </w:tc>
        <w:tc>
          <w:tcPr>
            <w:tcW w:type="dxa" w:w="1661"/>
          </w:tcPr>
          <w:p>
            <w:pPr>
              <w:pStyle w:val="null3"/>
              <w:jc w:val="left"/>
            </w:pPr>
            <w:r>
              <w:rPr>
                <w:rFonts w:ascii="仿宋_GB2312" w:hAnsi="仿宋_GB2312" w:cs="仿宋_GB2312" w:eastAsia="仿宋_GB2312"/>
              </w:rPr>
              <w:t>投标人应提交的相关证明材料,技术要求应答表,其他资料及相关说明等,商务及服务要求应答表,报价表,投标文件封面,投标（响应）函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供应商2023年7月1日(含)以来(以合同签订时间为准)每承接过1个类似项目（类似项目指：景区详细规划类项目）业绩的得2分，本项最多得14分。 注：提供合同扫描件（至少包含带有项目名称的封面页、盖章页及签订时间页即可）并加盖公章，以合同签订时间为准。</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其他资料及相关说明等</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1.项目负责人（1人）：具备注册城乡（或城市）规划师证书得1分；同时具有城市（乡）规划或风景园林相关专业正高级（教授级）职称的加2分，同时具有相关专业副高级职称的加1分。本项共3分。 2.项目团队其他成员： （1）具备注册城乡（或城市）规划师证书得1分，同时具有城市（乡）规划相关专业正高级（教授级）职称的加2分，同时具有城市（乡）规划相关专业副高级职称的加1分；本项共3分； （2）具备注册城乡（或城市）规划师证书得1分，同时具有风景园林相关专业正高级（教授级）职称的加2分，同时具有风景园林相关专业副高级职称的加1分；本项共3分； （3）具备文物保护工程责任设计师证书得1分，同时具有城市（乡）规划相关专业正高级（教授级）职称的加2分，同时具有城市（乡）规划相关专业副高级职称的加1分；本项共3分； （4）具备一级注册建筑师证书得1分，同时具有建筑相关专业正高级（教授级）职称的加2分，同时具有建筑相关专业副高级职称加1分，本项共3分； （5）具备城市交通或道路相关专业副高级或以上职称得1分，最多得1分； （6）具备给排水相关专业副高级或以上职称得1分，最多得1分； （7）具备电力电气相关专业副高级或以上职称得1分，最多得1分； 注：1.提供人员相关证书及本单位在职证明材料扫描件加盖公章，人员注册证书上的工作单位应与供应商单位名称一致；2.人员不重复计分、同一人员以最高级别证书为准。</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其他资料及相关说明等</w:t>
            </w:r>
          </w:p>
        </w:tc>
      </w:tr>
      <w:tr>
        <w:tc>
          <w:tcPr>
            <w:tcW w:type="dxa" w:w="831"/>
            <w:vMerge/>
          </w:tcPr>
          <w:p/>
        </w:tc>
        <w:tc>
          <w:tcPr>
            <w:tcW w:type="dxa" w:w="1661"/>
          </w:tcPr>
          <w:p>
            <w:pPr>
              <w:pStyle w:val="null3"/>
              <w:jc w:val="left"/>
            </w:pPr>
            <w:r>
              <w:rPr>
                <w:rFonts w:ascii="仿宋_GB2312" w:hAnsi="仿宋_GB2312" w:cs="仿宋_GB2312" w:eastAsia="仿宋_GB2312"/>
              </w:rPr>
              <w:t>项目认知</w:t>
            </w:r>
          </w:p>
        </w:tc>
        <w:tc>
          <w:tcPr>
            <w:tcW w:type="dxa" w:w="2575"/>
          </w:tcPr>
          <w:p>
            <w:pPr>
              <w:pStyle w:val="null3"/>
              <w:jc w:val="left"/>
            </w:pPr>
            <w:r>
              <w:rPr>
                <w:rFonts w:ascii="仿宋_GB2312" w:hAnsi="仿宋_GB2312" w:cs="仿宋_GB2312" w:eastAsia="仿宋_GB2312"/>
              </w:rPr>
              <w:t>根据供应商提供的项目认知，内容包含①现行体系机制；②存在问题；③政策要求。以上内容齐全无缺陷的得18分；每有一项内容未提供扣6分，每项内容中每有一处存在缺陷扣3分，本项分值扣完为止。 （“缺陷”是指内容与实际情况不符、凭空编造、内容逻辑错误、科学原理错误、存在不可能实现的夸大情形、引用的法律法规、标准（方法）或其他规范性文件错误、仅有框架或标题、内容与本项目无关的任意一种情形，以评审专家结合项目实际情况和投标文件独立评审为准）</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其他资料及相关说明等</w:t>
            </w:r>
          </w:p>
        </w:tc>
      </w:tr>
      <w:tr>
        <w:tc>
          <w:tcPr>
            <w:tcW w:type="dxa" w:w="831"/>
            <w:vMerge/>
          </w:tcPr>
          <w:p/>
        </w:tc>
        <w:tc>
          <w:tcPr>
            <w:tcW w:type="dxa" w:w="1661"/>
          </w:tcPr>
          <w:p>
            <w:pPr>
              <w:pStyle w:val="null3"/>
              <w:jc w:val="left"/>
            </w:pPr>
            <w:r>
              <w:rPr>
                <w:rFonts w:ascii="仿宋_GB2312" w:hAnsi="仿宋_GB2312" w:cs="仿宋_GB2312" w:eastAsia="仿宋_GB2312"/>
              </w:rPr>
              <w:t>规划研究思路</w:t>
            </w:r>
          </w:p>
        </w:tc>
        <w:tc>
          <w:tcPr>
            <w:tcW w:type="dxa" w:w="2575"/>
          </w:tcPr>
          <w:p>
            <w:pPr>
              <w:pStyle w:val="null3"/>
              <w:jc w:val="left"/>
            </w:pPr>
            <w:r>
              <w:rPr>
                <w:rFonts w:ascii="仿宋_GB2312" w:hAnsi="仿宋_GB2312" w:cs="仿宋_GB2312" w:eastAsia="仿宋_GB2312"/>
              </w:rPr>
              <w:t>根据供应商提供的规划研究思路，内容包含①先进经验借鉴；②规划目标；③规划布局；④规划方案。以上内容齐全无缺陷的得28分；每有一项内容未提供扣7分，每项内容中每有一处存在缺陷扣3.5分，本项分值扣完为止。（“缺陷”是指内容与实际情况不符、凭空编造、内容逻辑错误、科学原理错误、存在不可能实现的夸大情形、引用的法律法规、标准（方法）或其他规范性文件错误、仅有框架或标题、内容与本项目无关的任意一种情形，以评审专家结合项目实际情况和投标文件独立评审为准）</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其他资料及相关说明等</w:t>
            </w:r>
          </w:p>
        </w:tc>
      </w:tr>
      <w:tr>
        <w:tc>
          <w:tcPr>
            <w:tcW w:type="dxa" w:w="831"/>
            <w:vMerge/>
          </w:tcPr>
          <w:p/>
        </w:tc>
        <w:tc>
          <w:tcPr>
            <w:tcW w:type="dxa" w:w="1661"/>
          </w:tcPr>
          <w:p>
            <w:pPr>
              <w:pStyle w:val="null3"/>
              <w:jc w:val="left"/>
            </w:pPr>
            <w:r>
              <w:rPr>
                <w:rFonts w:ascii="仿宋_GB2312" w:hAnsi="仿宋_GB2312" w:cs="仿宋_GB2312" w:eastAsia="仿宋_GB2312"/>
              </w:rPr>
              <w:t>进度安排</w:t>
            </w:r>
          </w:p>
        </w:tc>
        <w:tc>
          <w:tcPr>
            <w:tcW w:type="dxa" w:w="2575"/>
          </w:tcPr>
          <w:p>
            <w:pPr>
              <w:pStyle w:val="null3"/>
              <w:jc w:val="left"/>
            </w:pPr>
            <w:r>
              <w:rPr>
                <w:rFonts w:ascii="仿宋_GB2312" w:hAnsi="仿宋_GB2312" w:cs="仿宋_GB2312" w:eastAsia="仿宋_GB2312"/>
              </w:rPr>
              <w:t>根据供应商提供的项目进度安排方案，内容包含①工作进度安排；②工作组织程序。以上内容齐全无缺陷的得6分；每有一项内容未提供扣3分，每项内容中每有一处存在缺陷扣1.5分，本项分值扣完为止。（“缺陷”是指内容与实际情况不符、凭空编造、内容逻辑错误、科学原理错误、存在不可能实现的夸大情形、引用的法律法规、标准（方法）或其他规范性文件错误、仅有框架或标题、内容与本项目无关的任意一种情形，以评审专家结合项目实际情况和投标文件独立评审为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其他资料及相关说明等</w:t>
            </w:r>
          </w:p>
        </w:tc>
      </w:tr>
      <w:tr>
        <w:tc>
          <w:tcPr>
            <w:tcW w:type="dxa" w:w="831"/>
            <w:vMerge/>
          </w:tcPr>
          <w:p/>
        </w:tc>
        <w:tc>
          <w:tcPr>
            <w:tcW w:type="dxa" w:w="1661"/>
          </w:tcPr>
          <w:p>
            <w:pPr>
              <w:pStyle w:val="null3"/>
              <w:jc w:val="left"/>
            </w:pPr>
            <w:r>
              <w:rPr>
                <w:rFonts w:ascii="仿宋_GB2312" w:hAnsi="仿宋_GB2312" w:cs="仿宋_GB2312" w:eastAsia="仿宋_GB2312"/>
              </w:rPr>
              <w:t>跟踪服务方案</w:t>
            </w:r>
          </w:p>
        </w:tc>
        <w:tc>
          <w:tcPr>
            <w:tcW w:type="dxa" w:w="2575"/>
          </w:tcPr>
          <w:p>
            <w:pPr>
              <w:pStyle w:val="null3"/>
              <w:jc w:val="left"/>
            </w:pPr>
            <w:r>
              <w:rPr>
                <w:rFonts w:ascii="仿宋_GB2312" w:hAnsi="仿宋_GB2312" w:cs="仿宋_GB2312" w:eastAsia="仿宋_GB2312"/>
              </w:rPr>
              <w:t>根据供应商提供的项目跟踪服务方案，内容包含①保证设计规划质量；②配合工作推进。以上内容齐全无缺陷的得6分；每有一项内容未提供扣3分，每项内容中每有一处存在缺陷扣1.5分，本项分值扣完为止。（“缺陷”是指内容与实际情况不符、凭空编造、内容逻辑错误、科学原理错误、存在不可能实现的夸大情形、引用的法律法规、标准（方法）或其他规范性文件错误、仅有框架或标题、内容与本项目无关的任意一种情形，以评审专家结合项目实际情况和投标文件独立评审为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其他资料及相关说明等</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价格分</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w:t>
      </w:r>
    </w:p>
    <w:p>
      <w:pPr>
        <w:pStyle w:val="null3"/>
        <w:ind w:firstLine="960"/>
        <w:jc w:val="left"/>
      </w:pPr>
      <w:r>
        <w:rPr>
          <w:rFonts w:ascii="仿宋_GB2312" w:hAnsi="仿宋_GB2312" w:cs="仿宋_GB2312" w:eastAsia="仿宋_GB2312"/>
        </w:rPr>
        <w:t>详见附件：商务及服务要求应答表</w:t>
      </w:r>
    </w:p>
    <w:p>
      <w:pPr>
        <w:pStyle w:val="null3"/>
        <w:ind w:firstLine="960"/>
        <w:jc w:val="left"/>
      </w:pPr>
      <w:r>
        <w:rPr>
          <w:rFonts w:ascii="仿宋_GB2312" w:hAnsi="仿宋_GB2312" w:cs="仿宋_GB2312" w:eastAsia="仿宋_GB2312"/>
        </w:rPr>
        <w:t>详见附件：其他资料及相关说明等</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w:t>
      </w:r>
    </w:p>
    <w:p>
      <w:pPr>
        <w:pStyle w:val="null3"/>
        <w:ind w:firstLine="960"/>
        <w:jc w:val="left"/>
      </w:pPr>
      <w:r>
        <w:rPr>
          <w:rFonts w:ascii="仿宋_GB2312" w:hAnsi="仿宋_GB2312" w:cs="仿宋_GB2312" w:eastAsia="仿宋_GB2312"/>
        </w:rPr>
        <w:t>详见附件：商务及服务要求应答表</w:t>
      </w:r>
    </w:p>
    <w:p>
      <w:pPr>
        <w:pStyle w:val="null3"/>
        <w:ind w:firstLine="960"/>
        <w:jc w:val="left"/>
      </w:pPr>
      <w:r>
        <w:rPr>
          <w:rFonts w:ascii="仿宋_GB2312" w:hAnsi="仿宋_GB2312" w:cs="仿宋_GB2312" w:eastAsia="仿宋_GB2312"/>
        </w:rPr>
        <w:t>详见附件：其他资料及相关说明等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