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7DD595">
      <w:pPr>
        <w:tabs>
          <w:tab w:val="left" w:pos="426"/>
        </w:tabs>
        <w:autoSpaceDE w:val="0"/>
        <w:autoSpaceDN w:val="0"/>
        <w:spacing w:line="360" w:lineRule="auto"/>
        <w:contextualSpacing/>
        <w:jc w:val="center"/>
        <w:outlineLvl w:val="3"/>
        <w:rPr>
          <w:rFonts w:hint="eastAsia" w:ascii="黑体" w:hAnsi="黑体" w:eastAsia="黑体"/>
          <w:sz w:val="32"/>
          <w:szCs w:val="32"/>
        </w:rPr>
      </w:pPr>
      <w:bookmarkStart w:id="0" w:name="_Hlk175766962"/>
      <w:r>
        <w:rPr>
          <w:rFonts w:ascii="黑体" w:hAnsi="黑体" w:eastAsia="黑体"/>
          <w:sz w:val="32"/>
          <w:szCs w:val="32"/>
        </w:rPr>
        <w:t>《开标一览表(报价表)》</w:t>
      </w:r>
      <w:bookmarkEnd w:id="0"/>
    </w:p>
    <w:p w14:paraId="7377897F">
      <w:pPr>
        <w:pStyle w:val="4"/>
        <w:spacing w:line="360" w:lineRule="auto"/>
        <w:rPr>
          <w:rFonts w:hint="eastAsia" w:ascii="宋体" w:hAnsi="宋体" w:eastAsia="宋体"/>
          <w:sz w:val="24"/>
          <w:szCs w:val="24"/>
          <w:lang w:eastAsia="zh-CN"/>
        </w:rPr>
      </w:pPr>
      <w:r>
        <w:rPr>
          <w:rFonts w:ascii="宋体" w:hAnsi="宋体"/>
          <w:sz w:val="24"/>
          <w:szCs w:val="24"/>
        </w:rPr>
        <w:t>项目名称：</w:t>
      </w:r>
      <w:r>
        <w:rPr>
          <w:rFonts w:hint="eastAsia" w:ascii="宋体" w:hAnsi="宋体"/>
          <w:sz w:val="24"/>
          <w:szCs w:val="24"/>
          <w:lang w:eastAsia="zh-CN"/>
        </w:rPr>
        <w:t>2026年黄埔区控制性详细规划修编或修改（二期）（</w:t>
      </w:r>
      <w:r>
        <w:rPr>
          <w:rFonts w:hint="eastAsia" w:ascii="宋体" w:hAnsi="宋体"/>
          <w:sz w:val="24"/>
          <w:szCs w:val="24"/>
          <w:lang w:val="en-US" w:eastAsia="zh-CN"/>
        </w:rPr>
        <w:t>二次</w:t>
      </w:r>
      <w:bookmarkStart w:id="1" w:name="_GoBack"/>
      <w:bookmarkEnd w:id="1"/>
      <w:r>
        <w:rPr>
          <w:rFonts w:hint="eastAsia" w:ascii="宋体" w:hAnsi="宋体"/>
          <w:sz w:val="24"/>
          <w:szCs w:val="24"/>
          <w:lang w:eastAsia="zh-CN"/>
        </w:rPr>
        <w:t>）</w:t>
      </w:r>
    </w:p>
    <w:tbl>
      <w:tblPr>
        <w:tblStyle w:val="2"/>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5"/>
        <w:gridCol w:w="3477"/>
        <w:gridCol w:w="2988"/>
        <w:gridCol w:w="2196"/>
      </w:tblGrid>
      <w:tr w14:paraId="59DE2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blHeader/>
        </w:trPr>
        <w:tc>
          <w:tcPr>
            <w:tcW w:w="646" w:type="pct"/>
            <w:tcMar>
              <w:top w:w="0" w:type="dxa"/>
              <w:left w:w="105" w:type="dxa"/>
              <w:bottom w:w="0" w:type="dxa"/>
              <w:right w:w="105" w:type="dxa"/>
            </w:tcMar>
            <w:vAlign w:val="center"/>
          </w:tcPr>
          <w:p w14:paraId="6CAB13F3">
            <w:pPr>
              <w:pStyle w:val="4"/>
              <w:adjustRightInd w:val="0"/>
              <w:contextualSpacing/>
              <w:jc w:val="center"/>
              <w:rPr>
                <w:rFonts w:ascii="宋体" w:hAnsi="宋体"/>
                <w:sz w:val="24"/>
                <w:szCs w:val="24"/>
              </w:rPr>
            </w:pPr>
            <w:r>
              <w:rPr>
                <w:rFonts w:ascii="宋体" w:hAnsi="宋体"/>
                <w:b/>
                <w:sz w:val="24"/>
                <w:szCs w:val="24"/>
              </w:rPr>
              <w:t>序号</w:t>
            </w:r>
          </w:p>
        </w:tc>
        <w:tc>
          <w:tcPr>
            <w:tcW w:w="1748" w:type="pct"/>
            <w:tcMar>
              <w:top w:w="0" w:type="dxa"/>
              <w:left w:w="105" w:type="dxa"/>
              <w:bottom w:w="0" w:type="dxa"/>
              <w:right w:w="105" w:type="dxa"/>
            </w:tcMar>
            <w:vAlign w:val="center"/>
          </w:tcPr>
          <w:p w14:paraId="7A2953F3">
            <w:pPr>
              <w:pStyle w:val="4"/>
              <w:adjustRightInd w:val="0"/>
              <w:contextualSpacing/>
              <w:jc w:val="center"/>
              <w:rPr>
                <w:rFonts w:ascii="宋体" w:hAnsi="宋体"/>
                <w:sz w:val="24"/>
                <w:szCs w:val="24"/>
                <w:lang w:eastAsia="zh-CN"/>
              </w:rPr>
            </w:pPr>
            <w:r>
              <w:rPr>
                <w:rFonts w:ascii="宋体" w:hAnsi="宋体"/>
                <w:b/>
                <w:sz w:val="24"/>
                <w:szCs w:val="24"/>
              </w:rPr>
              <w:t>分项内容</w:t>
            </w:r>
          </w:p>
        </w:tc>
        <w:tc>
          <w:tcPr>
            <w:tcW w:w="1502" w:type="pct"/>
            <w:tcMar>
              <w:top w:w="0" w:type="dxa"/>
              <w:left w:w="105" w:type="dxa"/>
              <w:bottom w:w="0" w:type="dxa"/>
              <w:right w:w="105" w:type="dxa"/>
            </w:tcMar>
            <w:vAlign w:val="center"/>
          </w:tcPr>
          <w:p w14:paraId="1E868917">
            <w:pPr>
              <w:pStyle w:val="4"/>
              <w:adjustRightInd w:val="0"/>
              <w:contextualSpacing/>
              <w:jc w:val="center"/>
              <w:rPr>
                <w:rFonts w:ascii="宋体" w:hAnsi="宋体"/>
                <w:sz w:val="24"/>
                <w:szCs w:val="24"/>
              </w:rPr>
            </w:pPr>
            <w:r>
              <w:rPr>
                <w:rFonts w:ascii="宋体" w:hAnsi="宋体"/>
                <w:b/>
                <w:sz w:val="24"/>
                <w:szCs w:val="24"/>
              </w:rPr>
              <w:t>分项投标折扣率（%）</w:t>
            </w:r>
          </w:p>
        </w:tc>
        <w:tc>
          <w:tcPr>
            <w:tcW w:w="1105" w:type="pct"/>
            <w:tcMar>
              <w:top w:w="0" w:type="dxa"/>
              <w:left w:w="105" w:type="dxa"/>
              <w:bottom w:w="0" w:type="dxa"/>
              <w:right w:w="105" w:type="dxa"/>
            </w:tcMar>
            <w:vAlign w:val="center"/>
          </w:tcPr>
          <w:p w14:paraId="2A45FBEB">
            <w:pPr>
              <w:pStyle w:val="4"/>
              <w:adjustRightInd w:val="0"/>
              <w:contextualSpacing/>
              <w:jc w:val="center"/>
              <w:rPr>
                <w:rFonts w:ascii="宋体" w:hAnsi="宋体"/>
                <w:sz w:val="24"/>
                <w:szCs w:val="24"/>
              </w:rPr>
            </w:pPr>
            <w:r>
              <w:rPr>
                <w:rFonts w:ascii="宋体" w:hAnsi="宋体"/>
                <w:b/>
                <w:sz w:val="24"/>
                <w:szCs w:val="24"/>
              </w:rPr>
              <w:t>价格分值权重</w:t>
            </w:r>
          </w:p>
        </w:tc>
      </w:tr>
      <w:tr w14:paraId="76982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46" w:type="pct"/>
            <w:tcMar>
              <w:top w:w="0" w:type="dxa"/>
              <w:left w:w="105" w:type="dxa"/>
              <w:bottom w:w="0" w:type="dxa"/>
              <w:right w:w="105" w:type="dxa"/>
            </w:tcMar>
            <w:vAlign w:val="center"/>
          </w:tcPr>
          <w:p w14:paraId="39BA7E2F">
            <w:pPr>
              <w:pStyle w:val="4"/>
              <w:adjustRightInd w:val="0"/>
              <w:contextualSpacing/>
              <w:jc w:val="center"/>
              <w:rPr>
                <w:rFonts w:ascii="宋体" w:hAnsi="宋体"/>
                <w:sz w:val="24"/>
                <w:szCs w:val="24"/>
              </w:rPr>
            </w:pPr>
            <w:r>
              <w:rPr>
                <w:rFonts w:ascii="宋体" w:hAnsi="宋体"/>
                <w:sz w:val="24"/>
                <w:szCs w:val="24"/>
              </w:rPr>
              <w:t>1</w:t>
            </w:r>
          </w:p>
        </w:tc>
        <w:tc>
          <w:tcPr>
            <w:tcW w:w="3477" w:type="dxa"/>
            <w:tcMar>
              <w:top w:w="0" w:type="dxa"/>
              <w:left w:w="105" w:type="dxa"/>
              <w:bottom w:w="0" w:type="dxa"/>
              <w:right w:w="105" w:type="dxa"/>
            </w:tcMar>
            <w:vAlign w:val="top"/>
          </w:tcPr>
          <w:p w14:paraId="4287A7FE">
            <w:pPr>
              <w:pStyle w:val="4"/>
              <w:jc w:val="center"/>
              <w:rPr>
                <w:rFonts w:ascii="宋体" w:hAnsi="宋体"/>
                <w:sz w:val="24"/>
                <w:szCs w:val="24"/>
              </w:rPr>
            </w:pPr>
            <w:r>
              <w:rPr>
                <w:sz w:val="21"/>
              </w:rPr>
              <w:t>控制性详细规划、工业产业区块内片区控规统筹深化优化</w:t>
            </w:r>
          </w:p>
        </w:tc>
        <w:tc>
          <w:tcPr>
            <w:tcW w:w="1502" w:type="pct"/>
            <w:tcMar>
              <w:top w:w="0" w:type="dxa"/>
              <w:left w:w="105" w:type="dxa"/>
              <w:bottom w:w="0" w:type="dxa"/>
              <w:right w:w="105" w:type="dxa"/>
            </w:tcMar>
            <w:vAlign w:val="center"/>
          </w:tcPr>
          <w:p w14:paraId="694489B9">
            <w:pPr>
              <w:pStyle w:val="4"/>
              <w:adjustRightInd w:val="0"/>
              <w:contextualSpacing/>
              <w:jc w:val="center"/>
              <w:rPr>
                <w:rFonts w:ascii="宋体" w:hAnsi="宋体"/>
                <w:sz w:val="24"/>
                <w:szCs w:val="24"/>
                <w:lang w:eastAsia="zh-CN"/>
              </w:rPr>
            </w:pPr>
          </w:p>
        </w:tc>
        <w:tc>
          <w:tcPr>
            <w:tcW w:w="2196" w:type="dxa"/>
            <w:tcMar>
              <w:top w:w="0" w:type="dxa"/>
              <w:left w:w="105" w:type="dxa"/>
              <w:bottom w:w="0" w:type="dxa"/>
              <w:right w:w="105" w:type="dxa"/>
            </w:tcMar>
            <w:vAlign w:val="top"/>
          </w:tcPr>
          <w:p w14:paraId="05645EDE">
            <w:pPr>
              <w:pStyle w:val="4"/>
              <w:jc w:val="center"/>
              <w:rPr>
                <w:rFonts w:ascii="宋体" w:hAnsi="宋体"/>
                <w:sz w:val="24"/>
                <w:szCs w:val="24"/>
                <w:lang w:eastAsia="zh-CN"/>
              </w:rPr>
            </w:pPr>
            <w:r>
              <w:rPr>
                <w:sz w:val="21"/>
              </w:rPr>
              <w:t>20%</w:t>
            </w:r>
          </w:p>
        </w:tc>
      </w:tr>
      <w:tr w14:paraId="48C5A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46" w:type="pct"/>
            <w:tcMar>
              <w:top w:w="0" w:type="dxa"/>
              <w:left w:w="105" w:type="dxa"/>
              <w:bottom w:w="0" w:type="dxa"/>
              <w:right w:w="105" w:type="dxa"/>
            </w:tcMar>
            <w:vAlign w:val="center"/>
          </w:tcPr>
          <w:p w14:paraId="469A2E59">
            <w:pPr>
              <w:pStyle w:val="4"/>
              <w:adjustRightInd w:val="0"/>
              <w:contextualSpacing/>
              <w:jc w:val="center"/>
              <w:rPr>
                <w:rFonts w:ascii="宋体" w:hAnsi="宋体"/>
                <w:sz w:val="24"/>
                <w:szCs w:val="24"/>
              </w:rPr>
            </w:pPr>
            <w:r>
              <w:rPr>
                <w:rFonts w:ascii="宋体" w:hAnsi="宋体"/>
                <w:sz w:val="24"/>
                <w:szCs w:val="24"/>
              </w:rPr>
              <w:t>2</w:t>
            </w:r>
          </w:p>
        </w:tc>
        <w:tc>
          <w:tcPr>
            <w:tcW w:w="3477" w:type="dxa"/>
            <w:tcMar>
              <w:top w:w="0" w:type="dxa"/>
              <w:left w:w="105" w:type="dxa"/>
              <w:bottom w:w="0" w:type="dxa"/>
              <w:right w:w="105" w:type="dxa"/>
            </w:tcMar>
            <w:vAlign w:val="top"/>
          </w:tcPr>
          <w:p w14:paraId="23F0D64A">
            <w:pPr>
              <w:pStyle w:val="4"/>
              <w:jc w:val="center"/>
              <w:rPr>
                <w:rFonts w:ascii="宋体" w:hAnsi="宋体"/>
                <w:sz w:val="24"/>
                <w:szCs w:val="24"/>
              </w:rPr>
            </w:pPr>
            <w:r>
              <w:rPr>
                <w:sz w:val="21"/>
              </w:rPr>
              <w:t>交通影响评估</w:t>
            </w:r>
          </w:p>
        </w:tc>
        <w:tc>
          <w:tcPr>
            <w:tcW w:w="1502" w:type="pct"/>
            <w:tcMar>
              <w:top w:w="0" w:type="dxa"/>
              <w:left w:w="105" w:type="dxa"/>
              <w:bottom w:w="0" w:type="dxa"/>
              <w:right w:w="105" w:type="dxa"/>
            </w:tcMar>
            <w:vAlign w:val="center"/>
          </w:tcPr>
          <w:p w14:paraId="69599312">
            <w:pPr>
              <w:pStyle w:val="4"/>
              <w:adjustRightInd w:val="0"/>
              <w:contextualSpacing/>
              <w:jc w:val="center"/>
              <w:rPr>
                <w:rFonts w:ascii="宋体" w:hAnsi="宋体"/>
                <w:sz w:val="24"/>
                <w:szCs w:val="24"/>
                <w:lang w:eastAsia="zh-CN"/>
              </w:rPr>
            </w:pPr>
          </w:p>
        </w:tc>
        <w:tc>
          <w:tcPr>
            <w:tcW w:w="2196" w:type="dxa"/>
            <w:tcMar>
              <w:top w:w="0" w:type="dxa"/>
              <w:left w:w="105" w:type="dxa"/>
              <w:bottom w:w="0" w:type="dxa"/>
              <w:right w:w="105" w:type="dxa"/>
            </w:tcMar>
            <w:vAlign w:val="top"/>
          </w:tcPr>
          <w:p w14:paraId="2C6C109A">
            <w:pPr>
              <w:pStyle w:val="4"/>
              <w:jc w:val="center"/>
              <w:rPr>
                <w:rFonts w:hint="eastAsia" w:ascii="宋体" w:hAnsi="宋体"/>
                <w:sz w:val="24"/>
              </w:rPr>
            </w:pPr>
            <w:r>
              <w:rPr>
                <w:sz w:val="21"/>
              </w:rPr>
              <w:t>20%</w:t>
            </w:r>
          </w:p>
        </w:tc>
      </w:tr>
      <w:tr w14:paraId="771E5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46" w:type="pct"/>
            <w:tcMar>
              <w:top w:w="0" w:type="dxa"/>
              <w:left w:w="105" w:type="dxa"/>
              <w:bottom w:w="0" w:type="dxa"/>
              <w:right w:w="105" w:type="dxa"/>
            </w:tcMar>
            <w:vAlign w:val="center"/>
          </w:tcPr>
          <w:p w14:paraId="62E99264">
            <w:pPr>
              <w:pStyle w:val="4"/>
              <w:adjustRightInd w:val="0"/>
              <w:contextualSpacing/>
              <w:jc w:val="center"/>
              <w:rPr>
                <w:rFonts w:ascii="宋体" w:hAnsi="宋体"/>
                <w:sz w:val="24"/>
                <w:szCs w:val="24"/>
                <w:lang w:eastAsia="zh-CN"/>
              </w:rPr>
            </w:pPr>
            <w:r>
              <w:rPr>
                <w:rFonts w:ascii="宋体" w:hAnsi="宋体"/>
                <w:sz w:val="24"/>
                <w:szCs w:val="24"/>
                <w:lang w:eastAsia="zh-CN"/>
              </w:rPr>
              <w:t>3</w:t>
            </w:r>
          </w:p>
        </w:tc>
        <w:tc>
          <w:tcPr>
            <w:tcW w:w="3477" w:type="dxa"/>
            <w:tcMar>
              <w:top w:w="0" w:type="dxa"/>
              <w:left w:w="105" w:type="dxa"/>
              <w:bottom w:w="0" w:type="dxa"/>
              <w:right w:w="105" w:type="dxa"/>
            </w:tcMar>
            <w:vAlign w:val="top"/>
          </w:tcPr>
          <w:p w14:paraId="35A1F393">
            <w:pPr>
              <w:pStyle w:val="4"/>
              <w:jc w:val="center"/>
              <w:rPr>
                <w:rFonts w:ascii="宋体" w:hAnsi="宋体"/>
                <w:sz w:val="24"/>
                <w:szCs w:val="24"/>
              </w:rPr>
            </w:pPr>
            <w:r>
              <w:rPr>
                <w:sz w:val="21"/>
              </w:rPr>
              <w:t>环境影响评估</w:t>
            </w:r>
          </w:p>
        </w:tc>
        <w:tc>
          <w:tcPr>
            <w:tcW w:w="1502" w:type="pct"/>
            <w:tcMar>
              <w:top w:w="0" w:type="dxa"/>
              <w:left w:w="105" w:type="dxa"/>
              <w:bottom w:w="0" w:type="dxa"/>
              <w:right w:w="105" w:type="dxa"/>
            </w:tcMar>
            <w:vAlign w:val="center"/>
          </w:tcPr>
          <w:p w14:paraId="210A21CD">
            <w:pPr>
              <w:pStyle w:val="4"/>
              <w:adjustRightInd w:val="0"/>
              <w:contextualSpacing/>
              <w:jc w:val="center"/>
              <w:rPr>
                <w:rFonts w:ascii="宋体" w:hAnsi="宋体"/>
                <w:sz w:val="24"/>
                <w:szCs w:val="24"/>
                <w:lang w:eastAsia="zh-CN"/>
              </w:rPr>
            </w:pPr>
          </w:p>
        </w:tc>
        <w:tc>
          <w:tcPr>
            <w:tcW w:w="2196" w:type="dxa"/>
            <w:tcMar>
              <w:top w:w="0" w:type="dxa"/>
              <w:left w:w="105" w:type="dxa"/>
              <w:bottom w:w="0" w:type="dxa"/>
              <w:right w:w="105" w:type="dxa"/>
            </w:tcMar>
            <w:vAlign w:val="top"/>
          </w:tcPr>
          <w:p w14:paraId="1CBF6F52">
            <w:pPr>
              <w:pStyle w:val="4"/>
              <w:jc w:val="center"/>
              <w:rPr>
                <w:rFonts w:hint="eastAsia" w:ascii="宋体" w:hAnsi="宋体"/>
                <w:sz w:val="24"/>
              </w:rPr>
            </w:pPr>
            <w:r>
              <w:rPr>
                <w:sz w:val="21"/>
              </w:rPr>
              <w:t>20%</w:t>
            </w:r>
          </w:p>
        </w:tc>
      </w:tr>
      <w:tr w14:paraId="0E8AE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46" w:type="pct"/>
            <w:tcMar>
              <w:top w:w="0" w:type="dxa"/>
              <w:left w:w="105" w:type="dxa"/>
              <w:bottom w:w="0" w:type="dxa"/>
              <w:right w:w="105" w:type="dxa"/>
            </w:tcMar>
            <w:vAlign w:val="center"/>
          </w:tcPr>
          <w:p w14:paraId="6247835F">
            <w:pPr>
              <w:pStyle w:val="4"/>
              <w:adjustRightInd w:val="0"/>
              <w:contextualSpacing/>
              <w:jc w:val="center"/>
              <w:rPr>
                <w:rFonts w:ascii="宋体" w:hAnsi="宋体"/>
                <w:sz w:val="24"/>
                <w:szCs w:val="24"/>
                <w:lang w:eastAsia="zh-CN"/>
              </w:rPr>
            </w:pPr>
            <w:r>
              <w:rPr>
                <w:rFonts w:ascii="宋体" w:hAnsi="宋体"/>
                <w:sz w:val="24"/>
                <w:szCs w:val="24"/>
                <w:lang w:eastAsia="zh-CN"/>
              </w:rPr>
              <w:t>4</w:t>
            </w:r>
          </w:p>
        </w:tc>
        <w:tc>
          <w:tcPr>
            <w:tcW w:w="3477" w:type="dxa"/>
            <w:tcMar>
              <w:top w:w="0" w:type="dxa"/>
              <w:left w:w="105" w:type="dxa"/>
              <w:bottom w:w="0" w:type="dxa"/>
              <w:right w:w="105" w:type="dxa"/>
            </w:tcMar>
            <w:vAlign w:val="top"/>
          </w:tcPr>
          <w:p w14:paraId="6C87C1BB">
            <w:pPr>
              <w:pStyle w:val="4"/>
              <w:jc w:val="center"/>
              <w:rPr>
                <w:rFonts w:ascii="宋体" w:hAnsi="宋体"/>
                <w:sz w:val="24"/>
                <w:szCs w:val="24"/>
              </w:rPr>
            </w:pPr>
            <w:r>
              <w:rPr>
                <w:sz w:val="21"/>
              </w:rPr>
              <w:t>洪涝安全评估</w:t>
            </w:r>
          </w:p>
        </w:tc>
        <w:tc>
          <w:tcPr>
            <w:tcW w:w="1502" w:type="pct"/>
            <w:tcMar>
              <w:top w:w="0" w:type="dxa"/>
              <w:left w:w="105" w:type="dxa"/>
              <w:bottom w:w="0" w:type="dxa"/>
              <w:right w:w="105" w:type="dxa"/>
            </w:tcMar>
            <w:vAlign w:val="center"/>
          </w:tcPr>
          <w:p w14:paraId="2F200431">
            <w:pPr>
              <w:pStyle w:val="4"/>
              <w:adjustRightInd w:val="0"/>
              <w:contextualSpacing/>
              <w:jc w:val="center"/>
              <w:rPr>
                <w:rFonts w:ascii="宋体" w:hAnsi="宋体"/>
                <w:sz w:val="24"/>
                <w:szCs w:val="24"/>
                <w:lang w:eastAsia="zh-CN"/>
              </w:rPr>
            </w:pPr>
          </w:p>
        </w:tc>
        <w:tc>
          <w:tcPr>
            <w:tcW w:w="2196" w:type="dxa"/>
            <w:tcMar>
              <w:top w:w="0" w:type="dxa"/>
              <w:left w:w="105" w:type="dxa"/>
              <w:bottom w:w="0" w:type="dxa"/>
              <w:right w:w="105" w:type="dxa"/>
            </w:tcMar>
            <w:vAlign w:val="top"/>
          </w:tcPr>
          <w:p w14:paraId="7A4D9CF2">
            <w:pPr>
              <w:pStyle w:val="4"/>
              <w:jc w:val="center"/>
              <w:rPr>
                <w:rFonts w:hint="eastAsia" w:ascii="宋体" w:hAnsi="宋体"/>
                <w:sz w:val="24"/>
              </w:rPr>
            </w:pPr>
            <w:r>
              <w:rPr>
                <w:sz w:val="21"/>
              </w:rPr>
              <w:t>20%</w:t>
            </w:r>
          </w:p>
        </w:tc>
      </w:tr>
      <w:tr w14:paraId="3BC54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646" w:type="pct"/>
            <w:tcMar>
              <w:top w:w="0" w:type="dxa"/>
              <w:left w:w="105" w:type="dxa"/>
              <w:bottom w:w="0" w:type="dxa"/>
              <w:right w:w="105" w:type="dxa"/>
            </w:tcMar>
            <w:vAlign w:val="center"/>
          </w:tcPr>
          <w:p w14:paraId="0189B37A">
            <w:pPr>
              <w:pStyle w:val="4"/>
              <w:adjustRightInd w:val="0"/>
              <w:contextualSpacing/>
              <w:jc w:val="center"/>
              <w:rPr>
                <w:rFonts w:ascii="宋体" w:hAnsi="宋体"/>
                <w:sz w:val="24"/>
                <w:szCs w:val="24"/>
                <w:lang w:eastAsia="zh-CN"/>
              </w:rPr>
            </w:pPr>
            <w:r>
              <w:rPr>
                <w:rFonts w:ascii="宋体" w:hAnsi="宋体"/>
                <w:sz w:val="24"/>
                <w:szCs w:val="24"/>
                <w:lang w:eastAsia="zh-CN"/>
              </w:rPr>
              <w:t>5</w:t>
            </w:r>
          </w:p>
        </w:tc>
        <w:tc>
          <w:tcPr>
            <w:tcW w:w="3477" w:type="dxa"/>
            <w:tcMar>
              <w:top w:w="0" w:type="dxa"/>
              <w:left w:w="105" w:type="dxa"/>
              <w:bottom w:w="0" w:type="dxa"/>
              <w:right w:w="105" w:type="dxa"/>
            </w:tcMar>
            <w:vAlign w:val="top"/>
          </w:tcPr>
          <w:p w14:paraId="1AB70007">
            <w:pPr>
              <w:pStyle w:val="4"/>
              <w:jc w:val="center"/>
              <w:rPr>
                <w:rFonts w:ascii="宋体" w:hAnsi="宋体"/>
                <w:sz w:val="24"/>
                <w:szCs w:val="24"/>
              </w:rPr>
            </w:pPr>
            <w:r>
              <w:rPr>
                <w:sz w:val="21"/>
              </w:rPr>
              <w:t>历史文化遗产普查和评审</w:t>
            </w:r>
          </w:p>
        </w:tc>
        <w:tc>
          <w:tcPr>
            <w:tcW w:w="1502" w:type="pct"/>
            <w:tcMar>
              <w:top w:w="0" w:type="dxa"/>
              <w:left w:w="105" w:type="dxa"/>
              <w:bottom w:w="0" w:type="dxa"/>
              <w:right w:w="105" w:type="dxa"/>
            </w:tcMar>
            <w:vAlign w:val="center"/>
          </w:tcPr>
          <w:p w14:paraId="7988C290">
            <w:pPr>
              <w:pStyle w:val="4"/>
              <w:adjustRightInd w:val="0"/>
              <w:contextualSpacing/>
              <w:jc w:val="center"/>
              <w:rPr>
                <w:rFonts w:ascii="宋体" w:hAnsi="宋体"/>
                <w:sz w:val="24"/>
                <w:szCs w:val="24"/>
                <w:lang w:eastAsia="zh-CN"/>
              </w:rPr>
            </w:pPr>
          </w:p>
        </w:tc>
        <w:tc>
          <w:tcPr>
            <w:tcW w:w="2196" w:type="dxa"/>
            <w:tcMar>
              <w:top w:w="0" w:type="dxa"/>
              <w:left w:w="105" w:type="dxa"/>
              <w:bottom w:w="0" w:type="dxa"/>
              <w:right w:w="105" w:type="dxa"/>
            </w:tcMar>
            <w:vAlign w:val="top"/>
          </w:tcPr>
          <w:p w14:paraId="0E9D1899">
            <w:pPr>
              <w:pStyle w:val="4"/>
              <w:jc w:val="center"/>
              <w:rPr>
                <w:rFonts w:hint="eastAsia" w:ascii="宋体" w:hAnsi="宋体"/>
                <w:sz w:val="24"/>
              </w:rPr>
            </w:pPr>
            <w:r>
              <w:rPr>
                <w:sz w:val="21"/>
              </w:rPr>
              <w:t>20%</w:t>
            </w:r>
          </w:p>
        </w:tc>
      </w:tr>
    </w:tbl>
    <w:p w14:paraId="574A9F95">
      <w:pPr>
        <w:pStyle w:val="4"/>
        <w:spacing w:line="360" w:lineRule="auto"/>
        <w:rPr>
          <w:rFonts w:ascii="宋体" w:hAnsi="宋体"/>
          <w:sz w:val="24"/>
          <w:szCs w:val="24"/>
        </w:rPr>
      </w:pPr>
      <w:r>
        <w:rPr>
          <w:rFonts w:ascii="宋体" w:hAnsi="宋体"/>
          <w:b/>
          <w:sz w:val="24"/>
          <w:szCs w:val="24"/>
        </w:rPr>
        <w:t>投标人名称（单位盖公章）：</w:t>
      </w:r>
      <w:r>
        <w:rPr>
          <w:rFonts w:ascii="宋体" w:hAnsi="宋体"/>
          <w:b/>
          <w:sz w:val="24"/>
          <w:szCs w:val="24"/>
          <w:u w:val="single"/>
        </w:rPr>
        <w:t xml:space="preserve">              </w:t>
      </w:r>
    </w:p>
    <w:p w14:paraId="64D90173">
      <w:pPr>
        <w:pStyle w:val="4"/>
        <w:spacing w:line="360" w:lineRule="auto"/>
        <w:rPr>
          <w:rFonts w:ascii="宋体" w:hAnsi="宋体"/>
          <w:sz w:val="24"/>
          <w:szCs w:val="24"/>
          <w:u w:val="single"/>
        </w:rPr>
      </w:pPr>
      <w:r>
        <w:rPr>
          <w:rFonts w:ascii="宋体" w:hAnsi="宋体"/>
          <w:b/>
          <w:sz w:val="24"/>
          <w:szCs w:val="24"/>
        </w:rPr>
        <w:t>法定代表人或投标人授权代表（签名或盖个人名章）：</w:t>
      </w:r>
      <w:r>
        <w:rPr>
          <w:rFonts w:ascii="宋体" w:hAnsi="宋体"/>
          <w:b/>
          <w:sz w:val="24"/>
          <w:szCs w:val="24"/>
          <w:u w:val="single"/>
        </w:rPr>
        <w:t xml:space="preserve">               </w:t>
      </w:r>
    </w:p>
    <w:p w14:paraId="74198F50">
      <w:pPr>
        <w:pStyle w:val="4"/>
        <w:spacing w:line="360" w:lineRule="auto"/>
        <w:rPr>
          <w:rFonts w:ascii="宋体" w:hAnsi="宋体"/>
          <w:sz w:val="24"/>
          <w:szCs w:val="24"/>
        </w:rPr>
      </w:pPr>
      <w:r>
        <w:rPr>
          <w:rFonts w:ascii="宋体" w:hAnsi="宋体"/>
          <w:b/>
          <w:sz w:val="24"/>
          <w:szCs w:val="24"/>
        </w:rPr>
        <w:t>日期：</w:t>
      </w:r>
      <w:r>
        <w:rPr>
          <w:rFonts w:ascii="宋体" w:hAnsi="宋体"/>
          <w:b/>
          <w:sz w:val="24"/>
          <w:szCs w:val="24"/>
          <w:u w:val="single"/>
        </w:rPr>
        <w:t xml:space="preserve">              </w:t>
      </w:r>
      <w:r>
        <w:rPr>
          <w:rFonts w:ascii="宋体" w:hAnsi="宋体"/>
          <w:b/>
          <w:sz w:val="24"/>
          <w:szCs w:val="24"/>
        </w:rPr>
        <w:t xml:space="preserve"> </w:t>
      </w:r>
    </w:p>
    <w:p w14:paraId="139BD78B">
      <w:pPr>
        <w:pStyle w:val="4"/>
        <w:spacing w:line="360" w:lineRule="auto"/>
        <w:rPr>
          <w:rFonts w:ascii="宋体" w:hAnsi="宋体"/>
          <w:sz w:val="24"/>
          <w:szCs w:val="24"/>
        </w:rPr>
      </w:pPr>
    </w:p>
    <w:p w14:paraId="5CA89D20">
      <w:pPr>
        <w:pStyle w:val="4"/>
        <w:spacing w:line="360" w:lineRule="auto"/>
        <w:rPr>
          <w:rFonts w:ascii="宋体" w:hAnsi="宋体"/>
          <w:sz w:val="24"/>
          <w:szCs w:val="24"/>
        </w:rPr>
      </w:pPr>
      <w:r>
        <w:rPr>
          <w:rFonts w:ascii="宋体" w:hAnsi="宋体"/>
          <w:b/>
          <w:sz w:val="24"/>
          <w:szCs w:val="24"/>
        </w:rPr>
        <w:t>说明：</w:t>
      </w:r>
    </w:p>
    <w:p w14:paraId="4BA0C637">
      <w:pPr>
        <w:pStyle w:val="4"/>
        <w:spacing w:line="360" w:lineRule="auto"/>
        <w:jc w:val="both"/>
        <w:rPr>
          <w:rFonts w:ascii="宋体" w:hAnsi="宋体"/>
          <w:b/>
          <w:bCs/>
          <w:sz w:val="24"/>
          <w:szCs w:val="24"/>
          <w:u w:val="double"/>
          <w:lang w:eastAsia="zh-CN"/>
        </w:rPr>
      </w:pPr>
      <w:r>
        <w:rPr>
          <w:rFonts w:ascii="宋体" w:hAnsi="宋体"/>
          <w:b/>
          <w:bCs/>
          <w:sz w:val="24"/>
          <w:szCs w:val="24"/>
          <w:u w:val="double"/>
        </w:rPr>
        <w:t>1.</w:t>
      </w:r>
      <w:r>
        <w:rPr>
          <w:b/>
          <w:bCs/>
          <w:u w:val="double"/>
        </w:rPr>
        <w:t xml:space="preserve"> </w:t>
      </w:r>
      <w:r>
        <w:rPr>
          <w:rFonts w:ascii="宋体" w:hAnsi="宋体"/>
          <w:b/>
          <w:bCs/>
          <w:sz w:val="24"/>
          <w:szCs w:val="24"/>
          <w:u w:val="double"/>
        </w:rPr>
        <w:t>本《开标一览表(报价表)》需放入投标人的投标文件中。</w:t>
      </w:r>
    </w:p>
    <w:p w14:paraId="281E4CAB">
      <w:pPr>
        <w:pStyle w:val="4"/>
        <w:spacing w:line="360" w:lineRule="auto"/>
        <w:jc w:val="both"/>
        <w:rPr>
          <w:rFonts w:hint="default" w:ascii="宋体" w:hAnsi="宋体"/>
          <w:b/>
          <w:bCs/>
          <w:sz w:val="24"/>
          <w:szCs w:val="24"/>
          <w:lang w:eastAsia="zh-CN"/>
        </w:rPr>
      </w:pPr>
      <w:r>
        <w:rPr>
          <w:rFonts w:ascii="宋体" w:hAnsi="宋体"/>
          <w:b/>
          <w:bCs/>
          <w:sz w:val="24"/>
          <w:szCs w:val="24"/>
          <w:lang w:eastAsia="zh-CN"/>
        </w:rPr>
        <w:t>2.智慧云平台系统所填写投标折扣率值为各分项内容的分项投标折扣率的平均值，即：智慧云平台系统所填写投标折扣率值=（Σ分项投标折扣率）÷5（结果保留两位小数），但智慧云平台系统所填写投标折扣率值不参与价格评分的计算。</w:t>
      </w:r>
    </w:p>
    <w:p w14:paraId="62C582A5">
      <w:pPr>
        <w:pStyle w:val="4"/>
        <w:spacing w:line="360" w:lineRule="auto"/>
        <w:jc w:val="both"/>
        <w:rPr>
          <w:rFonts w:ascii="宋体" w:hAnsi="宋体"/>
          <w:sz w:val="24"/>
          <w:szCs w:val="24"/>
        </w:rPr>
      </w:pPr>
      <w:r>
        <w:rPr>
          <w:rFonts w:ascii="宋体" w:hAnsi="宋体"/>
          <w:sz w:val="24"/>
          <w:szCs w:val="24"/>
          <w:lang w:eastAsia="zh-CN"/>
        </w:rPr>
        <w:t>3</w:t>
      </w:r>
      <w:r>
        <w:rPr>
          <w:rFonts w:ascii="宋体" w:hAnsi="宋体"/>
          <w:sz w:val="24"/>
          <w:szCs w:val="24"/>
        </w:rPr>
        <w:t>.各分项“投标折扣率”</w:t>
      </w:r>
      <w:r>
        <w:rPr>
          <w:rFonts w:ascii="宋体" w:hAnsi="宋体" w:cs="宋体"/>
          <w:sz w:val="24"/>
        </w:rPr>
        <w:t>报价确定且没有大于100%，也没有为负数或零，且是固定唯一值的。</w:t>
      </w:r>
      <w:r>
        <w:rPr>
          <w:rFonts w:ascii="宋体" w:hAnsi="宋体"/>
          <w:sz w:val="24"/>
          <w:szCs w:val="24"/>
        </w:rPr>
        <w:t>各分项投标折扣率均四舍五入保留两位有效小数。</w:t>
      </w:r>
    </w:p>
    <w:p w14:paraId="4E31EC5A">
      <w:pPr>
        <w:pStyle w:val="4"/>
        <w:spacing w:line="360" w:lineRule="auto"/>
        <w:jc w:val="both"/>
        <w:rPr>
          <w:rFonts w:ascii="宋体" w:hAnsi="宋体"/>
          <w:sz w:val="24"/>
          <w:szCs w:val="24"/>
        </w:rPr>
      </w:pPr>
      <w:r>
        <w:rPr>
          <w:rFonts w:ascii="宋体" w:hAnsi="宋体"/>
          <w:sz w:val="24"/>
          <w:szCs w:val="24"/>
          <w:lang w:eastAsia="zh-CN"/>
        </w:rPr>
        <w:t>4</w:t>
      </w:r>
      <w:r>
        <w:rPr>
          <w:rFonts w:ascii="宋体" w:hAnsi="宋体"/>
          <w:sz w:val="24"/>
          <w:szCs w:val="24"/>
        </w:rPr>
        <w:t>.除招标文件另有规定外，投标文件内不得含有任何对本报价进行价格折扣的说明或资料，否则为无效投标。</w:t>
      </w:r>
    </w:p>
    <w:p w14:paraId="6C450E90">
      <w:pPr>
        <w:pStyle w:val="4"/>
        <w:spacing w:line="360" w:lineRule="auto"/>
        <w:rPr>
          <w:rFonts w:ascii="宋体" w:hAnsi="宋体"/>
          <w:sz w:val="24"/>
          <w:szCs w:val="24"/>
        </w:rPr>
      </w:pPr>
      <w:r>
        <w:rPr>
          <w:rFonts w:ascii="宋体" w:hAnsi="宋体"/>
          <w:sz w:val="24"/>
          <w:szCs w:val="24"/>
          <w:lang w:eastAsia="zh-CN"/>
        </w:rPr>
        <w:t>5</w:t>
      </w:r>
      <w:r>
        <w:rPr>
          <w:rFonts w:ascii="宋体" w:hAnsi="宋体"/>
          <w:sz w:val="24"/>
          <w:szCs w:val="24"/>
        </w:rPr>
        <w:t>.投标折扣率报价的小数点后均保留2位有效数。</w:t>
      </w:r>
    </w:p>
    <w:p w14:paraId="304C8A4C">
      <w:pPr>
        <w:pStyle w:val="4"/>
        <w:spacing w:line="360" w:lineRule="auto"/>
        <w:jc w:val="both"/>
        <w:rPr>
          <w:rFonts w:ascii="宋体" w:hAnsi="宋体"/>
          <w:sz w:val="24"/>
          <w:szCs w:val="24"/>
        </w:rPr>
      </w:pPr>
      <w:r>
        <w:rPr>
          <w:rFonts w:ascii="宋体" w:hAnsi="宋体"/>
          <w:sz w:val="24"/>
          <w:szCs w:val="24"/>
          <w:lang w:eastAsia="zh-CN"/>
        </w:rPr>
        <w:t>6</w:t>
      </w:r>
      <w:r>
        <w:rPr>
          <w:rFonts w:ascii="宋体" w:hAnsi="宋体"/>
          <w:sz w:val="24"/>
          <w:szCs w:val="24"/>
        </w:rPr>
        <w:t>.各分项内容项目结算价=各分项内容项目预算金额×该分项内容的中标</w:t>
      </w:r>
      <w:r>
        <w:rPr>
          <w:rFonts w:ascii="宋体" w:hAnsi="宋体"/>
          <w:sz w:val="24"/>
          <w:szCs w:val="24"/>
          <w:lang w:eastAsia="zh-CN"/>
        </w:rPr>
        <w:t>折扣</w:t>
      </w:r>
      <w:r>
        <w:rPr>
          <w:rFonts w:ascii="宋体" w:hAnsi="宋体"/>
          <w:sz w:val="24"/>
          <w:szCs w:val="24"/>
        </w:rPr>
        <w:t>率</w:t>
      </w:r>
    </w:p>
    <w:p w14:paraId="03625350">
      <w:pPr>
        <w:pStyle w:val="4"/>
        <w:spacing w:line="360" w:lineRule="auto"/>
        <w:jc w:val="both"/>
        <w:rPr>
          <w:rFonts w:ascii="宋体" w:hAnsi="宋体"/>
          <w:sz w:val="24"/>
          <w:szCs w:val="24"/>
        </w:rPr>
      </w:pPr>
      <w:r>
        <w:rPr>
          <w:rFonts w:ascii="宋体" w:hAnsi="宋体"/>
          <w:sz w:val="24"/>
          <w:szCs w:val="24"/>
          <w:lang w:eastAsia="zh-CN"/>
        </w:rPr>
        <w:t>7</w:t>
      </w:r>
      <w:r>
        <w:rPr>
          <w:rFonts w:ascii="宋体" w:hAnsi="宋体"/>
          <w:sz w:val="24"/>
          <w:szCs w:val="24"/>
        </w:rPr>
        <w:t>.价格评审</w:t>
      </w:r>
    </w:p>
    <w:p w14:paraId="3BD24938">
      <w:pPr>
        <w:spacing w:line="341" w:lineRule="auto"/>
        <w:contextualSpacing/>
        <w:jc w:val="left"/>
        <w:rPr>
          <w:rFonts w:hint="eastAsia" w:ascii="宋体" w:hAnsi="宋体"/>
          <w:sz w:val="24"/>
          <w:lang w:eastAsia="zh-Hans"/>
          <w14:ligatures w14:val="none"/>
        </w:rPr>
      </w:pPr>
      <w:r>
        <w:rPr>
          <w:rFonts w:hint="eastAsia" w:ascii="宋体" w:hAnsi="宋体"/>
          <w:sz w:val="24"/>
          <w:lang w:eastAsia="zh-Hans"/>
          <w14:ligatures w14:val="none"/>
        </w:rPr>
        <w:t>（1）各分项投标报价得分=（该分项内容的评标基准价/该分项内容的单项投标报价）×价格分×该分项内容的价格权重。</w:t>
      </w:r>
    </w:p>
    <w:p w14:paraId="191AF75B">
      <w:pPr>
        <w:spacing w:line="341" w:lineRule="auto"/>
        <w:contextualSpacing/>
        <w:jc w:val="left"/>
        <w:rPr>
          <w:rFonts w:hint="eastAsia" w:ascii="宋体" w:hAnsi="宋体"/>
          <w:sz w:val="24"/>
        </w:rPr>
      </w:pPr>
      <w:r>
        <w:rPr>
          <w:rFonts w:hint="eastAsia" w:ascii="宋体" w:hAnsi="宋体"/>
          <w:sz w:val="24"/>
          <w:lang w:eastAsia="zh-Hans"/>
          <w14:ligatures w14:val="none"/>
        </w:rPr>
        <w:t>（2）各投标人最终价格得分=各分项内容的投标报价得分之和。</w:t>
      </w:r>
    </w:p>
    <w:p w14:paraId="593E5B38"/>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ED1298"/>
    <w:rsid w:val="1F4B5B46"/>
    <w:rsid w:val="6CED12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jc w:val="both"/>
      <w:textAlignment w:val="baseline"/>
    </w:pPr>
    <w:rPr>
      <w:rFonts w:ascii="Times New Roman" w:hAnsi="Times New Roman" w:eastAsia="宋体" w:cs="Times New Roman"/>
      <w:kern w:val="0"/>
      <w:sz w:val="20"/>
      <w:szCs w:val="24"/>
      <w:lang w:val="en-US" w:eastAsia="zh-CN" w:bidi="ar-SA"/>
      <w14:ligatures w14:val="standardContextual"/>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qFormat/>
    <w:uiPriority w:val="0"/>
    <w:rPr>
      <w:rFonts w:hint="eastAsia" w:ascii="Calibri" w:hAnsi="Calibri" w:eastAsia="宋体" w:cs="Times New Roman"/>
      <w:kern w:val="0"/>
      <w:sz w:val="20"/>
      <w:szCs w:val="20"/>
      <w:lang w:val="en-US" w:eastAsia="zh-Hans" w:bidi="ar-SA"/>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556</Words>
  <Characters>579</Characters>
  <Lines>0</Lines>
  <Paragraphs>0</Paragraphs>
  <TotalTime>0</TotalTime>
  <ScaleCrop>false</ScaleCrop>
  <LinksUpToDate>false</LinksUpToDate>
  <CharactersWithSpaces>624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2026-05-06T11:18:00Z</dcterms:created>
  <dc:creator>Jessica</dc:creator>
  <cp:lastModifiedBy>Jessica</cp:lastModifiedBy>
  <dcterms:modified xsi:type="dcterms:W3CDTF">2026-05-28T01:22:50Z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43ACF134A69E4A3985305C36EE060093_13</vt:lpwstr>
  </property>
  <property fmtid="{D5CDD505-2E9C-101B-9397-08002B2CF9AE}" pid="4" name="KSOTemplateDocerSaveRecord">
    <vt:lpwstr>eyJoZGlkIjoiMzU3MTFmNjkxNGEzMjNhOGRkMTYzMTIxMzg1YTUzOGEiLCJ1c2VySWQiOiI1NjkwMDMxNDgifQ==</vt:lpwstr>
  </property>
</Properties>
</file>