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39141CF">
      <w:pPr>
        <w:pStyle w:val="2"/>
        <w:bidi w:val="0"/>
        <w:rPr>
          <w:rFonts w:hint="eastAsia" w:ascii="宋体" w:hAnsi="宋体" w:eastAsia="宋体" w:cs="宋体"/>
          <w:sz w:val="21"/>
          <w:szCs w:val="21"/>
          <w:highlight w:val="none"/>
        </w:rPr>
      </w:pPr>
      <w:bookmarkStart w:id="0" w:name="_Toc417904433"/>
      <w:r>
        <w:rPr>
          <w:rFonts w:hint="eastAsia" w:ascii="宋体" w:hAnsi="宋体" w:eastAsia="宋体" w:cs="宋体"/>
          <w:sz w:val="21"/>
          <w:szCs w:val="21"/>
          <w:highlight w:val="none"/>
        </w:rPr>
        <w:t>宜宾市第二人民医院</w:t>
      </w:r>
    </w:p>
    <w:p w14:paraId="15CBE9C0">
      <w:pPr>
        <w:pStyle w:val="2"/>
        <w:bidi w:val="0"/>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Xx项目</w:t>
      </w:r>
      <w:r>
        <w:rPr>
          <w:rFonts w:hint="eastAsia" w:ascii="宋体" w:hAnsi="宋体" w:eastAsia="宋体" w:cs="宋体"/>
          <w:sz w:val="21"/>
          <w:szCs w:val="21"/>
          <w:highlight w:val="none"/>
        </w:rPr>
        <w:t>采购合同</w:t>
      </w:r>
      <w:bookmarkEnd w:id="0"/>
    </w:p>
    <w:p w14:paraId="1CBD22D6">
      <w:pPr>
        <w:pStyle w:val="26"/>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合同编号：</w:t>
      </w:r>
      <w:r>
        <w:rPr>
          <w:rFonts w:hint="eastAsia" w:ascii="宋体" w:hAnsi="宋体" w:cs="宋体"/>
          <w:color w:val="auto"/>
          <w:sz w:val="21"/>
          <w:szCs w:val="21"/>
          <w:highlight w:val="none"/>
          <w:lang w:val="en-US" w:eastAsia="zh-CN"/>
        </w:rPr>
        <w:t xml:space="preserve"> </w:t>
      </w:r>
    </w:p>
    <w:p w14:paraId="148CF1EF">
      <w:pPr>
        <w:pStyle w:val="26"/>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采购人（甲方）：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 xml:space="preserve">  </w:t>
      </w:r>
    </w:p>
    <w:p w14:paraId="0D0B2235">
      <w:pPr>
        <w:pStyle w:val="26"/>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供应商（乙方）：</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 xml:space="preserve"> </w:t>
      </w:r>
    </w:p>
    <w:p w14:paraId="4C06953F">
      <w:pPr>
        <w:pStyle w:val="26"/>
        <w:keepNext w:val="0"/>
        <w:keepLines w:val="0"/>
        <w:pageBreakBefore w:val="0"/>
        <w:widowControl w:val="0"/>
        <w:kinsoku/>
        <w:wordWrap/>
        <w:overflowPunct/>
        <w:topLinePunct w:val="0"/>
        <w:autoSpaceDE/>
        <w:autoSpaceDN/>
        <w:bidi w:val="0"/>
        <w:adjustRightInd/>
        <w:snapToGrid/>
        <w:ind w:firstLine="420"/>
        <w:textAlignment w:val="auto"/>
        <w:rPr>
          <w:rFonts w:hint="eastAsia" w:ascii="宋体" w:hAnsi="宋体" w:eastAsia="宋体" w:cs="宋体"/>
          <w:color w:val="auto"/>
          <w:sz w:val="21"/>
          <w:szCs w:val="21"/>
          <w:highlight w:val="none"/>
          <w:lang w:val="en-US" w:eastAsia="zh-CN"/>
        </w:rPr>
      </w:pPr>
    </w:p>
    <w:p w14:paraId="08E07DF3">
      <w:pPr>
        <w:pStyle w:val="26"/>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根据《中华人民共和国政府采购法》、《中华人民共和国民法</w:t>
      </w:r>
      <w:r>
        <w:rPr>
          <w:rFonts w:hint="eastAsia" w:ascii="宋体" w:hAnsi="宋体" w:eastAsia="宋体" w:cs="宋体"/>
          <w:color w:val="auto"/>
          <w:sz w:val="21"/>
          <w:szCs w:val="21"/>
          <w:highlight w:val="none"/>
          <w:lang w:val="en-US" w:eastAsia="zh-CN"/>
        </w:rPr>
        <w:t>典</w:t>
      </w:r>
      <w:r>
        <w:rPr>
          <w:rFonts w:hint="eastAsia" w:ascii="宋体" w:hAnsi="宋体" w:eastAsia="宋体" w:cs="宋体"/>
          <w:color w:val="auto"/>
          <w:sz w:val="21"/>
          <w:szCs w:val="21"/>
          <w:highlight w:val="none"/>
          <w:lang w:eastAsia="zh-CN"/>
        </w:rPr>
        <w:t>》及</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eastAsia="zh-CN"/>
        </w:rPr>
        <w:t>招标公司</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采购项目</w:t>
      </w:r>
      <w:r>
        <w:rPr>
          <w:rFonts w:hint="eastAsia" w:ascii="宋体" w:hAnsi="宋体" w:eastAsia="宋体" w:cs="宋体"/>
          <w:color w:val="auto"/>
          <w:sz w:val="21"/>
          <w:szCs w:val="21"/>
          <w:highlight w:val="none"/>
          <w:lang w:eastAsia="zh-CN"/>
        </w:rPr>
        <w:t>（项目编号：</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eastAsia="zh-CN"/>
        </w:rPr>
        <w:t>）的《</w:t>
      </w:r>
      <w:r>
        <w:rPr>
          <w:rFonts w:hint="eastAsia" w:ascii="宋体" w:hAnsi="宋体" w:eastAsia="宋体" w:cs="宋体"/>
          <w:color w:val="auto"/>
          <w:sz w:val="21"/>
          <w:szCs w:val="21"/>
          <w:highlight w:val="none"/>
          <w:lang w:val="en-US" w:eastAsia="zh-CN"/>
        </w:rPr>
        <w:t>招标</w:t>
      </w:r>
      <w:r>
        <w:rPr>
          <w:rFonts w:hint="eastAsia" w:ascii="宋体" w:hAnsi="宋体" w:eastAsia="宋体" w:cs="宋体"/>
          <w:color w:val="auto"/>
          <w:sz w:val="21"/>
          <w:szCs w:val="21"/>
          <w:highlight w:val="none"/>
          <w:lang w:eastAsia="zh-CN"/>
        </w:rPr>
        <w:t>文件》、乙方的《投标文件》及《中标通知书》，甲、乙双方同意签订本合同。详细技术说明及其他有关合同项目的特定信息由合同附件予以说明，合同附件及本项目的《</w:t>
      </w:r>
      <w:r>
        <w:rPr>
          <w:rFonts w:hint="eastAsia" w:ascii="宋体" w:hAnsi="宋体" w:eastAsia="宋体" w:cs="宋体"/>
          <w:color w:val="auto"/>
          <w:sz w:val="21"/>
          <w:szCs w:val="21"/>
          <w:highlight w:val="none"/>
          <w:lang w:val="en-US" w:eastAsia="zh-CN"/>
        </w:rPr>
        <w:t>招标</w:t>
      </w:r>
      <w:r>
        <w:rPr>
          <w:rFonts w:hint="eastAsia" w:ascii="宋体" w:hAnsi="宋体" w:eastAsia="宋体" w:cs="宋体"/>
          <w:color w:val="auto"/>
          <w:sz w:val="21"/>
          <w:szCs w:val="21"/>
          <w:highlight w:val="none"/>
          <w:lang w:eastAsia="zh-CN"/>
        </w:rPr>
        <w:t>文件》、《投标文件》、《中标通知书》等均为本合同不可分割的部分。</w:t>
      </w:r>
      <w:r>
        <w:rPr>
          <w:rFonts w:hint="eastAsia" w:ascii="宋体" w:hAnsi="宋体" w:eastAsia="宋体" w:cs="宋体"/>
          <w:color w:val="auto"/>
          <w:sz w:val="21"/>
          <w:szCs w:val="21"/>
          <w:highlight w:val="none"/>
          <w:lang w:val="en-US" w:eastAsia="zh-CN"/>
        </w:rPr>
        <w:t>合同部分如下</w:t>
      </w:r>
      <w:r>
        <w:rPr>
          <w:rFonts w:hint="eastAsia" w:ascii="宋体" w:hAnsi="宋体" w:eastAsia="宋体" w:cs="宋体"/>
          <w:color w:val="auto"/>
          <w:sz w:val="21"/>
          <w:szCs w:val="21"/>
          <w:highlight w:val="none"/>
          <w:lang w:eastAsia="zh-CN"/>
        </w:rPr>
        <w:t>：</w:t>
      </w:r>
    </w:p>
    <w:p w14:paraId="70EA8136">
      <w:pPr>
        <w:pStyle w:val="3"/>
        <w:spacing w:line="400" w:lineRule="exact"/>
        <w:ind w:firstLine="42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一、合同货物</w:t>
      </w:r>
      <w:bookmarkStart w:id="1" w:name="_Toc217446108"/>
      <w:r>
        <w:rPr>
          <w:rFonts w:hint="eastAsia" w:ascii="宋体" w:hAnsi="宋体" w:eastAsia="宋体" w:cs="宋体"/>
          <w:color w:val="auto"/>
          <w:sz w:val="21"/>
          <w:szCs w:val="21"/>
          <w:highlight w:val="none"/>
        </w:rPr>
        <w:t xml:space="preserve">   </w:t>
      </w:r>
    </w:p>
    <w:tbl>
      <w:tblPr>
        <w:tblStyle w:val="1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18"/>
        <w:gridCol w:w="4382"/>
      </w:tblGrid>
      <w:tr w14:paraId="7252D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5" w:type="pct"/>
            <w:noWrap w:val="0"/>
            <w:vAlign w:val="center"/>
          </w:tcPr>
          <w:p w14:paraId="1DF79BA1">
            <w:pPr>
              <w:bidi w:val="0"/>
              <w:jc w:val="center"/>
              <w:rPr>
                <w:rFonts w:hint="eastAsia" w:ascii="宋体" w:hAnsi="宋体" w:eastAsia="宋体" w:cs="宋体"/>
                <w:b w:val="0"/>
                <w:bCs w:val="0"/>
                <w:color w:val="auto"/>
                <w:sz w:val="21"/>
                <w:szCs w:val="21"/>
                <w:highlight w:val="none"/>
                <w:vertAlign w:val="baseline"/>
                <w:lang w:eastAsia="zh-CN"/>
              </w:rPr>
            </w:pPr>
            <w:r>
              <w:rPr>
                <w:rFonts w:hint="eastAsia" w:ascii="宋体" w:hAnsi="宋体" w:eastAsia="宋体" w:cs="宋体"/>
                <w:b w:val="0"/>
                <w:bCs w:val="0"/>
                <w:color w:val="auto"/>
                <w:sz w:val="21"/>
                <w:szCs w:val="21"/>
                <w:highlight w:val="none"/>
                <w:vertAlign w:val="baseline"/>
                <w:lang w:eastAsia="zh-CN"/>
              </w:rPr>
              <w:t>产品名称</w:t>
            </w:r>
          </w:p>
        </w:tc>
        <w:tc>
          <w:tcPr>
            <w:tcW w:w="2434" w:type="pct"/>
            <w:noWrap w:val="0"/>
            <w:vAlign w:val="center"/>
          </w:tcPr>
          <w:p w14:paraId="11A24E53">
            <w:pPr>
              <w:bidi w:val="0"/>
              <w:jc w:val="center"/>
              <w:rPr>
                <w:rFonts w:hint="eastAsia" w:ascii="宋体" w:hAnsi="宋体" w:eastAsia="宋体" w:cs="宋体"/>
                <w:b w:val="0"/>
                <w:bCs w:val="0"/>
                <w:color w:val="auto"/>
                <w:sz w:val="21"/>
                <w:szCs w:val="21"/>
                <w:highlight w:val="none"/>
                <w:vertAlign w:val="baseline"/>
                <w:lang w:eastAsia="zh-CN"/>
              </w:rPr>
            </w:pPr>
            <w:r>
              <w:rPr>
                <w:rFonts w:hint="eastAsia" w:ascii="宋体" w:hAnsi="宋体" w:eastAsia="宋体" w:cs="宋体"/>
                <w:b w:val="0"/>
                <w:bCs w:val="0"/>
                <w:color w:val="auto"/>
                <w:sz w:val="21"/>
                <w:szCs w:val="21"/>
                <w:highlight w:val="none"/>
                <w:vertAlign w:val="baseline"/>
                <w:lang w:eastAsia="zh-CN"/>
              </w:rPr>
              <w:t>总价（元）</w:t>
            </w:r>
          </w:p>
        </w:tc>
      </w:tr>
      <w:tr w14:paraId="7896F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5" w:type="pct"/>
            <w:noWrap w:val="0"/>
            <w:vAlign w:val="center"/>
          </w:tcPr>
          <w:p w14:paraId="1875A9DE">
            <w:pPr>
              <w:keepNext w:val="0"/>
              <w:keepLines w:val="0"/>
              <w:pageBreakBefore w:val="0"/>
              <w:numPr>
                <w:ilvl w:val="0"/>
                <w:numId w:val="0"/>
              </w:numPr>
              <w:kinsoku/>
              <w:overflowPunct/>
              <w:autoSpaceDE/>
              <w:autoSpaceDN/>
              <w:bidi w:val="0"/>
              <w:spacing w:line="400" w:lineRule="exact"/>
              <w:jc w:val="center"/>
              <w:rPr>
                <w:rFonts w:hint="eastAsia" w:ascii="宋体" w:hAnsi="宋体" w:eastAsia="宋体" w:cs="宋体"/>
                <w:color w:val="auto"/>
                <w:sz w:val="21"/>
                <w:szCs w:val="21"/>
                <w:highlight w:val="none"/>
                <w:lang w:val="en-US" w:eastAsia="zh-CN"/>
              </w:rPr>
            </w:pPr>
          </w:p>
        </w:tc>
        <w:tc>
          <w:tcPr>
            <w:tcW w:w="2434" w:type="pct"/>
            <w:noWrap w:val="0"/>
            <w:vAlign w:val="center"/>
          </w:tcPr>
          <w:p w14:paraId="78AAD9CC">
            <w:pPr>
              <w:keepNext w:val="0"/>
              <w:keepLines w:val="0"/>
              <w:pageBreakBefore w:val="0"/>
              <w:numPr>
                <w:ilvl w:val="0"/>
                <w:numId w:val="0"/>
              </w:numPr>
              <w:kinsoku/>
              <w:overflowPunct/>
              <w:autoSpaceDE/>
              <w:autoSpaceDN/>
              <w:bidi w:val="0"/>
              <w:spacing w:line="400" w:lineRule="exact"/>
              <w:jc w:val="center"/>
              <w:rPr>
                <w:rFonts w:hint="eastAsia" w:ascii="宋体" w:hAnsi="宋体" w:eastAsia="宋体" w:cs="宋体"/>
                <w:b w:val="0"/>
                <w:bCs w:val="0"/>
                <w:color w:val="auto"/>
                <w:sz w:val="21"/>
                <w:szCs w:val="21"/>
                <w:highlight w:val="none"/>
                <w:u w:val="none"/>
                <w:lang w:val="en-US" w:eastAsia="zh-CN"/>
              </w:rPr>
            </w:pPr>
          </w:p>
        </w:tc>
      </w:tr>
    </w:tbl>
    <w:p w14:paraId="7DCA8598">
      <w:pPr>
        <w:pStyle w:val="3"/>
        <w:spacing w:line="400" w:lineRule="exact"/>
        <w:ind w:firstLine="42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二、合同总价</w:t>
      </w:r>
      <w:bookmarkEnd w:id="1"/>
    </w:p>
    <w:p w14:paraId="46E6DD1E">
      <w:pPr>
        <w:pStyle w:val="5"/>
        <w:keepNext w:val="0"/>
        <w:keepLines w:val="0"/>
        <w:pageBreakBefore w:val="0"/>
        <w:widowControl w:val="0"/>
        <w:kinsoku/>
        <w:wordWrap/>
        <w:overflowPunct/>
        <w:topLinePunct w:val="0"/>
        <w:autoSpaceDE/>
        <w:autoSpaceDN/>
        <w:bidi w:val="0"/>
        <w:adjustRightInd/>
        <w:snapToGrid/>
        <w:spacing w:line="360" w:lineRule="auto"/>
        <w:ind w:firstLine="367" w:firstLineChars="175"/>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合同总价为人民币大写：</w:t>
      </w:r>
      <w:r>
        <w:rPr>
          <w:rFonts w:hint="eastAsia" w:ascii="宋体" w:hAnsi="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u w:val="single"/>
          <w:lang w:val="en-US" w:eastAsia="zh-CN" w:bidi="ar-SA"/>
        </w:rPr>
        <w:t>整</w:t>
      </w:r>
      <w:r>
        <w:rPr>
          <w:rFonts w:hint="eastAsia" w:ascii="宋体" w:hAnsi="宋体" w:eastAsia="宋体" w:cs="宋体"/>
          <w:color w:val="auto"/>
          <w:kern w:val="2"/>
          <w:sz w:val="21"/>
          <w:szCs w:val="21"/>
          <w:highlight w:val="none"/>
          <w:lang w:val="en-US" w:eastAsia="zh-CN" w:bidi="ar-SA"/>
        </w:rPr>
        <w:t>，即RMB￥</w:t>
      </w:r>
      <w:r>
        <w:rPr>
          <w:rFonts w:hint="eastAsia" w:ascii="宋体" w:hAnsi="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元；该合同总价已包括产品设计、材料、制造、包装、运输、安装、调试、检测、验收合格交付使用之前及保修期内保修服务与备用物件等等所有其他有关各项的含税费用，甲方无须另向乙方支付本合同规定之外的其他任何费用。乙方承诺供应甲方的货物不高于市场价格，如果出现价格虚高，买贵退差。</w:t>
      </w:r>
    </w:p>
    <w:p w14:paraId="59DB3A0C">
      <w:pPr>
        <w:pStyle w:val="3"/>
        <w:spacing w:line="400" w:lineRule="exact"/>
        <w:ind w:firstLine="422" w:firstLineChars="200"/>
        <w:rPr>
          <w:rFonts w:hint="eastAsia" w:ascii="宋体" w:hAnsi="宋体" w:eastAsia="宋体" w:cs="宋体"/>
          <w:color w:val="auto"/>
          <w:sz w:val="21"/>
          <w:szCs w:val="21"/>
          <w:highlight w:val="none"/>
        </w:rPr>
      </w:pPr>
      <w:bookmarkStart w:id="2" w:name="_Toc217446109"/>
      <w:r>
        <w:rPr>
          <w:rFonts w:hint="eastAsia" w:ascii="宋体" w:hAnsi="宋体" w:eastAsia="宋体" w:cs="宋体"/>
          <w:color w:val="auto"/>
          <w:sz w:val="21"/>
          <w:szCs w:val="21"/>
          <w:highlight w:val="none"/>
        </w:rPr>
        <w:t>三、质量要求</w:t>
      </w:r>
      <w:bookmarkEnd w:id="2"/>
    </w:p>
    <w:p w14:paraId="01606394">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乙方须提供全新的设备（含零部件、配件、使用说明书等），表面无划伤、无碰撞痕迹，且权属清楚，不得侵害他人的知识产权，不得以次充好，产品来源渠道必须合法，同时应根据国家有关规定、厂家服务承诺及采购单位的要求做好售后服务工作。</w:t>
      </w:r>
    </w:p>
    <w:p w14:paraId="152C536F">
      <w:pPr>
        <w:pStyle w:val="26"/>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2.设备必须取得中华人民共和国《医疗器械注册证》并且符合或优于国家（行业）标准，以及本项目招标文件的质量要求和技术指标与出厂标准。</w:t>
      </w:r>
    </w:p>
    <w:p w14:paraId="0D1BA11F">
      <w:pPr>
        <w:pStyle w:val="26"/>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3.质保期内设备质量出现问题，乙方应负责三包（包修、包换、包退），费用由乙方负担。</w:t>
      </w:r>
    </w:p>
    <w:p w14:paraId="319DD6FD">
      <w:pPr>
        <w:pStyle w:val="26"/>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eastAsia="zh-CN"/>
        </w:rPr>
        <w:t>交货日期距生产日期不得超过一年。</w:t>
      </w:r>
    </w:p>
    <w:p w14:paraId="6D344DA7">
      <w:pPr>
        <w:pStyle w:val="3"/>
        <w:spacing w:line="400" w:lineRule="exact"/>
        <w:ind w:firstLine="422" w:firstLineChars="200"/>
        <w:rPr>
          <w:rFonts w:hint="eastAsia" w:ascii="宋体" w:hAnsi="宋体" w:eastAsia="宋体" w:cs="宋体"/>
          <w:color w:val="auto"/>
          <w:sz w:val="21"/>
          <w:szCs w:val="21"/>
          <w:highlight w:val="none"/>
        </w:rPr>
      </w:pPr>
      <w:bookmarkStart w:id="3" w:name="_Toc217446110"/>
      <w:r>
        <w:rPr>
          <w:rFonts w:hint="eastAsia" w:ascii="宋体" w:hAnsi="宋体" w:eastAsia="宋体" w:cs="宋体"/>
          <w:color w:val="auto"/>
          <w:sz w:val="21"/>
          <w:szCs w:val="21"/>
          <w:highlight w:val="none"/>
        </w:rPr>
        <w:t>四、交货及验收</w:t>
      </w:r>
      <w:bookmarkEnd w:id="3"/>
      <w:r>
        <w:rPr>
          <w:rFonts w:hint="eastAsia" w:ascii="宋体" w:hAnsi="宋体" w:eastAsia="宋体" w:cs="宋体"/>
          <w:color w:val="auto"/>
          <w:sz w:val="21"/>
          <w:szCs w:val="21"/>
          <w:highlight w:val="none"/>
        </w:rPr>
        <w:t xml:space="preserve"> </w:t>
      </w:r>
    </w:p>
    <w:p w14:paraId="1357FD35">
      <w:pPr>
        <w:pStyle w:val="26"/>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（一）交货</w:t>
      </w:r>
    </w:p>
    <w:p w14:paraId="7E024AF4">
      <w:pPr>
        <w:pStyle w:val="26"/>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合同签订生效后</w:t>
      </w:r>
      <w:r>
        <w:rPr>
          <w:rFonts w:hint="eastAsia" w:ascii="宋体" w:hAnsi="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个日历天内，完成交货、安装调试、培训及试运行；如甲方有紧急需求，乙方须全力配合，缩短交货期限。若因乙方原因导致交货延迟，乙方应按照本合同第八条“违约责任”的约定承担相应责任。</w:t>
      </w:r>
    </w:p>
    <w:p w14:paraId="1516950E">
      <w:pPr>
        <w:pStyle w:val="26"/>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（二）验收</w:t>
      </w:r>
    </w:p>
    <w:p w14:paraId="704AEAB8">
      <w:pPr>
        <w:pStyle w:val="26"/>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1.验收主体：宜宾市第二人民医院；</w:t>
      </w:r>
    </w:p>
    <w:p w14:paraId="5B59FFC8">
      <w:pPr>
        <w:pStyle w:val="26"/>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2.验收方式：自行验收（必要时可委托第三方检测）；</w:t>
      </w:r>
    </w:p>
    <w:p w14:paraId="0E00558B">
      <w:pPr>
        <w:pStyle w:val="26"/>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3.验收时间：乙方提出验收申请之日起</w:t>
      </w:r>
      <w:r>
        <w:rPr>
          <w:rFonts w:hint="eastAsia" w:ascii="宋体" w:hAnsi="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日内组织验收。</w:t>
      </w:r>
    </w:p>
    <w:p w14:paraId="2462A496">
      <w:pPr>
        <w:pStyle w:val="26"/>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4.验收地点：</w:t>
      </w:r>
      <w:r>
        <w:rPr>
          <w:rFonts w:hint="eastAsia" w:ascii="宋体" w:hAnsi="宋体" w:eastAsia="宋体" w:cs="宋体"/>
          <w:color w:val="auto"/>
          <w:sz w:val="21"/>
          <w:szCs w:val="21"/>
          <w:highlight w:val="none"/>
          <w:lang w:val="en-US" w:eastAsia="zh-CN"/>
        </w:rPr>
        <w:t>设备最终安装使用场地。</w:t>
      </w:r>
      <w:bookmarkStart w:id="7" w:name="_GoBack"/>
      <w:bookmarkEnd w:id="7"/>
    </w:p>
    <w:p w14:paraId="7484345B">
      <w:pPr>
        <w:pStyle w:val="26"/>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5.验收内容：本项目招标文件中“服务内容及要求”、“商务要求”、“售后服务”以及投标文件响应条款等本项目建设质量的所有内容。</w:t>
      </w:r>
    </w:p>
    <w:p w14:paraId="4BF6E9C4">
      <w:pPr>
        <w:pStyle w:val="26"/>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6.验收办法：按照《财政部关于进一步加强政府采购需求和履约验收管理的指导意见》(财库〔2016〕205号)、《政府采购需求管理办法》(财库〔2021〕22 号)及招标文件相关规定组织验收。</w:t>
      </w:r>
    </w:p>
    <w:p w14:paraId="41786D78">
      <w:pPr>
        <w:pStyle w:val="26"/>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7.验收标准：按照国家有关规定、招标文件的服务内容、服务要求和乙方的投标文件及承诺与合同约定标准进行验收。</w:t>
      </w:r>
    </w:p>
    <w:p w14:paraId="009FBAA5">
      <w:pPr>
        <w:pStyle w:val="26"/>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8.验收程序：采用一次性验收方式，具体包括：到货初验、开箱验收、安装调试、性能检测、文件审核、使用培训、验收确认、归档与入库。</w:t>
      </w:r>
    </w:p>
    <w:p w14:paraId="038DDDAE">
      <w:pPr>
        <w:pStyle w:val="26"/>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9.验收方案：</w:t>
      </w:r>
    </w:p>
    <w:p w14:paraId="024615D1">
      <w:pPr>
        <w:pStyle w:val="26"/>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（1）成立验收小组。甲方成立验收小组，指定验收小组负责人统筹验收工作，验收小组成员应包含技术、采购、使用部门代表，验收小组代表验收方履行验收工作职责。</w:t>
      </w:r>
    </w:p>
    <w:p w14:paraId="4DD452E6">
      <w:pPr>
        <w:pStyle w:val="26"/>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数量验收：甲方根据合同配置清单清点数量，乙方应将所提供产品的装箱清单、配件、随机工具、用户使用手册、原厂保修卡等资料交付给甲方；乙方不能完整交付货物及本款规定的单证和工具的，必须负责补齐，否则视为不能交付货物而须支付违约赔偿金给甲方。</w:t>
      </w:r>
    </w:p>
    <w:p w14:paraId="63266140">
      <w:pPr>
        <w:pStyle w:val="26"/>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 质量验收：按国家有关规定以及招标文件的质量要求和技术指标(包括每一项技术和商务要求的履约情况)、乙方的投标文件及承诺与本合同约定标准进行验收；采购双方如对质量要求和技术指标的约定标准有相互抵触或异议的事项，由甲方在国家有关规定、招标文件、投标文件及承诺与采购合同约定中按质量要求和技术指标比较优胜的原则确定该项的约定标准进行验收。</w:t>
      </w:r>
    </w:p>
    <w:p w14:paraId="0F0884B9">
      <w:pPr>
        <w:pStyle w:val="26"/>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（3）设备通电检测：对于安装完成后暂未立即投入临床使用的设备，需开机进行通电、基本功能自检等检查，确认设备可正常开机运行。</w:t>
      </w:r>
    </w:p>
    <w:p w14:paraId="3FB46A9C">
      <w:pPr>
        <w:pStyle w:val="26"/>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（4）操作培训：</w:t>
      </w:r>
      <w:r>
        <w:rPr>
          <w:rFonts w:hint="eastAsia" w:ascii="宋体" w:hAnsi="宋体" w:eastAsia="宋体" w:cs="宋体"/>
          <w:b w:val="0"/>
          <w:bCs w:val="0"/>
          <w:color w:val="auto"/>
          <w:kern w:val="2"/>
          <w:sz w:val="21"/>
          <w:szCs w:val="21"/>
          <w:highlight w:val="none"/>
          <w:lang w:val="en-US" w:eastAsia="zh-CN" w:bidi="ar-SA"/>
        </w:rPr>
        <w:t>如有需要操作培训的设备，乙方按照甲方要求免费进行技术培训，直到甲方完全掌握产品操作使用，并填写《宜宾市第二人民医院医疗设备培训记录》。</w:t>
      </w:r>
    </w:p>
    <w:p w14:paraId="75202EC9">
      <w:pPr>
        <w:pStyle w:val="26"/>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5）整改责任：验收时如发现所交付的产品存在质量问题或其它不符合标准及本合同规定之情形者，乙方需根据合同要求进行整改，由此产生的时间延误与有关费用由乙方承担。如乙方拒绝整改或整改后仍不合格，甲方有权解除合同并追究违约责任。</w:t>
      </w:r>
    </w:p>
    <w:p w14:paraId="351A70A2">
      <w:pPr>
        <w:pStyle w:val="26"/>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10.出具验收报告：如质量验收合格，双方签署《宜宾市第二人民医院医疗设备验收报告》。验收报告的内容应包括：实施验收过程基本情况陈述，乙方每一项技术、服务等履约情况，与采购合同约定的权利义务比较情况，验收结论性意见。</w:t>
      </w:r>
    </w:p>
    <w:p w14:paraId="652674F6">
      <w:pPr>
        <w:pStyle w:val="26"/>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11.验收结果运用：验收结果合格的，乙方凭验收合格证明材料到甲方处办理采购资金支付手续；验收结果不合格的，将乙方按照本项目违约责任要求赔偿甲方损失，还可能会报本项目报同级财政部门按照《政府采购法》、《政府采购法实施条例》等规定处理或者以失信行为记入诚信档案。</w:t>
      </w:r>
    </w:p>
    <w:p w14:paraId="19D98310">
      <w:pPr>
        <w:pStyle w:val="26"/>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12.外包装处理：涉及的商品包装和快递包装，均应符合《商品包装政府采购需求标准（试行）》《快递包装政府采购需求标准（试行）》的要求，包装应适应于远距离运输、防潮、防震、防锈和防野蛮装、卸，以确保货物安全无损运抵指定地点。设备包装箱在验收未结束前严禁移离验收现场，直至全部验收工作结束，且对包装箱进行认真查看后，方可处理。</w:t>
      </w:r>
    </w:p>
    <w:p w14:paraId="46479C2E">
      <w:pPr>
        <w:pStyle w:val="26"/>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13.其他未尽事宜应严格按照《财政部关于进一步加强政府采购需求和履约验收管理的指导意见》(财库〔2016〕205号)、《政府采购需求管理办法》(财库〔2021〕22 号)及招标文件相关规定执行。</w:t>
      </w:r>
    </w:p>
    <w:p w14:paraId="2159568A">
      <w:pPr>
        <w:pStyle w:val="3"/>
        <w:spacing w:line="400" w:lineRule="exact"/>
        <w:ind w:firstLine="422" w:firstLineChars="200"/>
        <w:rPr>
          <w:rFonts w:hint="eastAsia" w:ascii="宋体" w:hAnsi="宋体" w:eastAsia="宋体" w:cs="宋体"/>
          <w:color w:val="auto"/>
          <w:sz w:val="21"/>
          <w:szCs w:val="21"/>
          <w:highlight w:val="none"/>
        </w:rPr>
      </w:pPr>
      <w:bookmarkStart w:id="4" w:name="_Toc217446111"/>
      <w:r>
        <w:rPr>
          <w:rFonts w:hint="eastAsia" w:ascii="宋体" w:hAnsi="宋体" w:eastAsia="宋体" w:cs="宋体"/>
          <w:color w:val="auto"/>
          <w:sz w:val="21"/>
          <w:szCs w:val="21"/>
          <w:highlight w:val="none"/>
        </w:rPr>
        <w:t>五、付款方式</w:t>
      </w:r>
      <w:bookmarkEnd w:id="4"/>
    </w:p>
    <w:p w14:paraId="0D2B9395">
      <w:pPr>
        <w:pStyle w:val="26"/>
        <w:pageBreakBefore w:val="0"/>
        <w:wordWrap/>
        <w:overflowPunct/>
        <w:topLinePunct w:val="0"/>
        <w:bidi w:val="0"/>
        <w:spacing w:line="360" w:lineRule="auto"/>
        <w:ind w:firstLine="42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合同签订前乙方须向甲方支付合同总额的5％（人民币大写：</w:t>
      </w:r>
      <w:r>
        <w:rPr>
          <w:rFonts w:hint="eastAsia" w:ascii="宋体" w:hAnsi="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，RMB￥</w:t>
      </w:r>
      <w:r>
        <w:rPr>
          <w:rFonts w:hint="eastAsia" w:ascii="宋体" w:hAnsi="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元）作为履约保证金，乙方按合同约定时间将设备安装验收合格后，</w:t>
      </w:r>
      <w:r>
        <w:rPr>
          <w:rFonts w:hint="eastAsia" w:ascii="宋体" w:hAnsi="宋体" w:eastAsia="宋体" w:cs="宋体"/>
          <w:color w:val="auto"/>
          <w:kern w:val="2"/>
          <w:sz w:val="21"/>
          <w:szCs w:val="21"/>
          <w:highlight w:val="none"/>
          <w:lang w:val="zh-CN" w:eastAsia="zh-CN" w:bidi="ar-SA"/>
        </w:rPr>
        <w:t>履约保证金</w:t>
      </w:r>
      <w:r>
        <w:rPr>
          <w:rFonts w:hint="eastAsia" w:ascii="宋体" w:hAnsi="宋体" w:eastAsia="宋体" w:cs="宋体"/>
          <w:color w:val="auto"/>
          <w:kern w:val="2"/>
          <w:sz w:val="21"/>
          <w:szCs w:val="21"/>
          <w:highlight w:val="none"/>
          <w:lang w:val="en-US" w:eastAsia="zh-CN" w:bidi="ar-SA"/>
        </w:rPr>
        <w:t>在乙方</w:t>
      </w:r>
      <w:r>
        <w:rPr>
          <w:rFonts w:hint="eastAsia" w:ascii="宋体" w:hAnsi="宋体" w:eastAsia="宋体" w:cs="宋体"/>
          <w:color w:val="auto"/>
          <w:kern w:val="2"/>
          <w:sz w:val="21"/>
          <w:szCs w:val="21"/>
          <w:highlight w:val="none"/>
          <w:lang w:val="zh-CN" w:eastAsia="zh-CN" w:bidi="ar-SA"/>
        </w:rPr>
        <w:t>完成合同</w:t>
      </w:r>
      <w:r>
        <w:rPr>
          <w:rFonts w:hint="eastAsia" w:ascii="宋体" w:hAnsi="宋体" w:eastAsia="宋体" w:cs="宋体"/>
          <w:color w:val="auto"/>
          <w:kern w:val="2"/>
          <w:sz w:val="21"/>
          <w:szCs w:val="21"/>
          <w:highlight w:val="none"/>
          <w:lang w:val="en-US" w:eastAsia="zh-CN" w:bidi="ar-SA"/>
        </w:rPr>
        <w:t>约定的所有内容并经甲方验收合格</w:t>
      </w:r>
      <w:r>
        <w:rPr>
          <w:rFonts w:hint="eastAsia" w:ascii="宋体" w:hAnsi="宋体" w:eastAsia="宋体" w:cs="宋体"/>
          <w:color w:val="auto"/>
          <w:kern w:val="2"/>
          <w:sz w:val="21"/>
          <w:szCs w:val="21"/>
          <w:highlight w:val="none"/>
          <w:lang w:val="zh-CN" w:eastAsia="zh-CN" w:bidi="ar-SA"/>
        </w:rPr>
        <w:t>后</w:t>
      </w:r>
      <w:r>
        <w:rPr>
          <w:rFonts w:hint="eastAsia" w:ascii="宋体" w:hAnsi="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zh-CN" w:eastAsia="zh-CN" w:bidi="ar-SA"/>
        </w:rPr>
        <w:t>日内</w:t>
      </w:r>
      <w:r>
        <w:rPr>
          <w:rFonts w:hint="eastAsia" w:ascii="宋体" w:hAnsi="宋体" w:eastAsia="宋体" w:cs="宋体"/>
          <w:color w:val="auto"/>
          <w:kern w:val="2"/>
          <w:sz w:val="21"/>
          <w:szCs w:val="21"/>
          <w:highlight w:val="none"/>
          <w:lang w:val="en-US" w:eastAsia="zh-CN" w:bidi="ar-SA"/>
        </w:rPr>
        <w:t>退还，由甲方一次性无息退还至乙方</w:t>
      </w:r>
      <w:r>
        <w:rPr>
          <w:rFonts w:hint="eastAsia" w:ascii="宋体" w:hAnsi="宋体" w:eastAsia="宋体" w:cs="宋体"/>
          <w:color w:val="auto"/>
          <w:kern w:val="2"/>
          <w:sz w:val="21"/>
          <w:szCs w:val="21"/>
          <w:highlight w:val="none"/>
          <w:lang w:val="zh-CN" w:eastAsia="zh-CN" w:bidi="ar-SA"/>
        </w:rPr>
        <w:t>。</w:t>
      </w:r>
      <w:r>
        <w:rPr>
          <w:rFonts w:hint="eastAsia" w:ascii="宋体" w:hAnsi="宋体" w:eastAsia="宋体" w:cs="宋体"/>
          <w:color w:val="auto"/>
          <w:kern w:val="2"/>
          <w:sz w:val="21"/>
          <w:szCs w:val="21"/>
          <w:highlight w:val="none"/>
          <w:lang w:val="en-US" w:eastAsia="zh-CN" w:bidi="ar-SA"/>
        </w:rPr>
        <w:t>设备安装验收合格后，在收到乙方开具的发票后</w:t>
      </w:r>
      <w:r>
        <w:rPr>
          <w:rFonts w:hint="eastAsia" w:ascii="宋体" w:hAnsi="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日内支付设备货款，上述款项均通过转账方式汇入乙方账户。</w:t>
      </w:r>
    </w:p>
    <w:p w14:paraId="6C13972B">
      <w:pPr>
        <w:pStyle w:val="26"/>
        <w:pageBreakBefore w:val="0"/>
        <w:wordWrap/>
        <w:overflowPunct/>
        <w:topLinePunct w:val="0"/>
        <w:bidi w:val="0"/>
        <w:spacing w:line="360" w:lineRule="auto"/>
        <w:ind w:firstLine="42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乙方账户信息如下：</w:t>
      </w:r>
    </w:p>
    <w:p w14:paraId="79C18A87">
      <w:pPr>
        <w:pStyle w:val="26"/>
        <w:pageBreakBefore w:val="0"/>
        <w:wordWrap/>
        <w:overflowPunct/>
        <w:topLinePunct w:val="0"/>
        <w:bidi w:val="0"/>
        <w:spacing w:line="360" w:lineRule="auto"/>
        <w:ind w:firstLine="420"/>
        <w:rPr>
          <w:rFonts w:hint="eastAsia" w:ascii="宋体" w:hAnsi="宋体" w:eastAsia="宋体" w:cs="宋体"/>
          <w:color w:val="auto"/>
          <w:kern w:val="2"/>
          <w:sz w:val="21"/>
          <w:szCs w:val="21"/>
          <w:highlight w:val="none"/>
          <w:lang w:val="en-US" w:eastAsia="zh-CN" w:bidi="ar-SA"/>
        </w:rPr>
      </w:pPr>
      <w:bookmarkStart w:id="5" w:name="_Toc217446112"/>
      <w:r>
        <w:rPr>
          <w:rFonts w:hint="eastAsia" w:ascii="宋体" w:hAnsi="宋体" w:eastAsia="宋体" w:cs="宋体"/>
          <w:color w:val="auto"/>
          <w:kern w:val="2"/>
          <w:sz w:val="21"/>
          <w:szCs w:val="21"/>
          <w:highlight w:val="none"/>
          <w:lang w:val="en-US" w:eastAsia="zh-CN" w:bidi="ar-SA"/>
        </w:rPr>
        <w:t>公司名称：</w:t>
      </w:r>
      <w:r>
        <w:rPr>
          <w:rFonts w:hint="eastAsia" w:ascii="宋体" w:hAnsi="宋体" w:cs="宋体"/>
          <w:color w:val="auto"/>
          <w:kern w:val="2"/>
          <w:sz w:val="21"/>
          <w:szCs w:val="21"/>
          <w:highlight w:val="none"/>
          <w:lang w:val="en-US" w:eastAsia="zh-CN" w:bidi="ar-SA"/>
        </w:rPr>
        <w:t xml:space="preserve"> </w:t>
      </w:r>
    </w:p>
    <w:p w14:paraId="4C0929D0">
      <w:pPr>
        <w:pStyle w:val="26"/>
        <w:pageBreakBefore w:val="0"/>
        <w:wordWrap/>
        <w:overflowPunct/>
        <w:topLinePunct w:val="0"/>
        <w:bidi w:val="0"/>
        <w:spacing w:line="360" w:lineRule="auto"/>
        <w:ind w:firstLine="42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开 户 行：</w:t>
      </w:r>
      <w:r>
        <w:rPr>
          <w:rFonts w:hint="eastAsia" w:ascii="宋体" w:hAnsi="宋体" w:cs="宋体"/>
          <w:color w:val="auto"/>
          <w:kern w:val="2"/>
          <w:sz w:val="21"/>
          <w:szCs w:val="21"/>
          <w:highlight w:val="none"/>
          <w:lang w:val="en-US" w:eastAsia="zh-CN" w:bidi="ar-SA"/>
        </w:rPr>
        <w:t xml:space="preserve"> </w:t>
      </w:r>
    </w:p>
    <w:p w14:paraId="1BF251DA">
      <w:pPr>
        <w:pStyle w:val="26"/>
        <w:pageBreakBefore w:val="0"/>
        <w:wordWrap/>
        <w:overflowPunct/>
        <w:topLinePunct w:val="0"/>
        <w:bidi w:val="0"/>
        <w:spacing w:line="360" w:lineRule="auto"/>
        <w:ind w:firstLine="42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账    号：</w:t>
      </w:r>
      <w:r>
        <w:rPr>
          <w:rFonts w:hint="eastAsia" w:ascii="宋体" w:hAnsi="宋体" w:cs="宋体"/>
          <w:color w:val="auto"/>
          <w:kern w:val="2"/>
          <w:sz w:val="21"/>
          <w:szCs w:val="21"/>
          <w:highlight w:val="none"/>
          <w:lang w:val="en-US" w:eastAsia="zh-CN" w:bidi="ar-SA"/>
        </w:rPr>
        <w:t xml:space="preserve"> </w:t>
      </w:r>
    </w:p>
    <w:p w14:paraId="5251E399">
      <w:pPr>
        <w:pStyle w:val="3"/>
        <w:spacing w:line="400" w:lineRule="exact"/>
        <w:ind w:firstLine="422" w:firstLineChars="20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color w:val="auto"/>
          <w:sz w:val="21"/>
          <w:szCs w:val="21"/>
          <w:highlight w:val="none"/>
        </w:rPr>
        <w:t>六、售后服务</w:t>
      </w:r>
      <w:bookmarkEnd w:id="5"/>
    </w:p>
    <w:p w14:paraId="1206F44F">
      <w:pPr>
        <w:spacing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1.质保期：详见分项价格表(质保期为设备安装验收合格之日起开始计算)。</w:t>
      </w:r>
    </w:p>
    <w:p w14:paraId="5F162DDC">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2.货物经成交人验收发现存在质量问题的，甲方有权退货或换货并追究乙方的违约责任。</w:t>
      </w:r>
    </w:p>
    <w:p w14:paraId="6F03D614">
      <w:pPr>
        <w:spacing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3.乙方在质保期内应确保医用设备开机率为95%以上，达不到此要求即相应延长质保期，每超出一天，则相应延长一个工作日。</w:t>
      </w:r>
    </w:p>
    <w:p w14:paraId="421AAACF">
      <w:pPr>
        <w:pStyle w:val="26"/>
        <w:pageBreakBefore w:val="0"/>
        <w:wordWrap/>
        <w:overflowPunct/>
        <w:topLinePunct w:val="0"/>
        <w:bidi w:val="0"/>
        <w:spacing w:line="360" w:lineRule="auto"/>
        <w:ind w:firstLine="42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4.乙方应按照甲方要求提供技术培训，认真做好24小时售后服务工作，确保甲方使用人员能够独立操作。售后服务联系人：</w:t>
      </w:r>
      <w:r>
        <w:rPr>
          <w:rFonts w:hint="eastAsia" w:ascii="宋体" w:hAnsi="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电话</w:t>
      </w:r>
      <w:r>
        <w:rPr>
          <w:rFonts w:hint="eastAsia" w:ascii="宋体" w:hAnsi="宋体" w:eastAsia="宋体" w:cs="宋体"/>
          <w:color w:val="auto"/>
          <w:kern w:val="2"/>
          <w:sz w:val="21"/>
          <w:szCs w:val="21"/>
          <w:highlight w:val="none"/>
          <w:u w:val="single"/>
          <w:lang w:val="en-US" w:eastAsia="zh-CN" w:bidi="ar-SA"/>
        </w:rPr>
        <w:t>：</w:t>
      </w:r>
      <w:r>
        <w:rPr>
          <w:rFonts w:hint="eastAsia" w:ascii="宋体" w:hAnsi="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。报修响应时间</w:t>
      </w:r>
      <w:r>
        <w:rPr>
          <w:rFonts w:hint="eastAsia" w:ascii="宋体" w:hAnsi="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小时，到场时间</w:t>
      </w:r>
      <w:r>
        <w:rPr>
          <w:rFonts w:hint="eastAsia" w:ascii="宋体" w:hAnsi="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小时（为不可抗拒力量下除外）。</w:t>
      </w:r>
    </w:p>
    <w:p w14:paraId="0BCA843C">
      <w:pPr>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5.在质保期内货物出现质量问题时乙方应负责设备维修及抢修，质保范围内产生的维修或更换费用由乙方承担。乙方应保证2小时内响应，在接到通知后24小时内到场完成维修（为不可抗拒力量下除外），设备需更换的应在2个工作日内完成更换。逾期未完成维修或更换的，乙方应向甲方支付合同总价5%的违约金。</w:t>
      </w:r>
    </w:p>
    <w:p w14:paraId="7959AFA2">
      <w:pPr>
        <w:pStyle w:val="26"/>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6.技术支持：</w:t>
      </w:r>
      <w:r>
        <w:rPr>
          <w:rFonts w:hint="eastAsia" w:ascii="宋体" w:hAnsi="宋体" w:eastAsia="宋体" w:cs="宋体"/>
          <w:b w:val="0"/>
          <w:bCs w:val="0"/>
          <w:color w:val="auto"/>
          <w:kern w:val="2"/>
          <w:sz w:val="21"/>
          <w:szCs w:val="21"/>
          <w:highlight w:val="none"/>
          <w:lang w:val="en-US" w:eastAsia="zh-CN" w:bidi="ar-SA"/>
        </w:rPr>
        <w:t>乙方长期提供学习、技术方面支持，如需专家指导，乙方应根据甲方需求，优先安排专家到现场指导；若因客观条件限制（如不可抗力、远程协作更优解等）或经双方协商一致，可同步或调整为线上指导（包括但不限于视频会议、远程调试、书面报告等方式）。乙方需确保两种指导方式的专业性和服务质量一致。</w:t>
      </w:r>
    </w:p>
    <w:p w14:paraId="0011E587">
      <w:pPr>
        <w:pStyle w:val="3"/>
        <w:spacing w:line="400" w:lineRule="exact"/>
        <w:ind w:firstLine="42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七、不可抗力</w:t>
      </w:r>
    </w:p>
    <w:p w14:paraId="4F2C6D5F">
      <w:pPr>
        <w:keepNext w:val="0"/>
        <w:keepLines w:val="0"/>
        <w:pageBreakBefore w:val="0"/>
        <w:widowControl w:val="0"/>
        <w:kinsoku/>
        <w:wordWrap/>
        <w:overflowPunct/>
        <w:topLinePunct w:val="0"/>
        <w:autoSpaceDE/>
        <w:autoSpaceDN/>
        <w:bidi w:val="0"/>
        <w:adjustRightInd/>
        <w:snapToGrid/>
        <w:spacing w:line="360" w:lineRule="auto"/>
        <w:ind w:firstLine="417" w:firstLineChars="199"/>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本条所述的“不可抗力“是指甲方和乙方无法控制、不可预见的事件，包括战争、重大疫情、严重火灾、洪水、台风、地震等事件。</w:t>
      </w:r>
    </w:p>
    <w:p w14:paraId="7979A7E5">
      <w:pPr>
        <w:keepNext w:val="0"/>
        <w:keepLines w:val="0"/>
        <w:pageBreakBefore w:val="0"/>
        <w:widowControl w:val="0"/>
        <w:kinsoku/>
        <w:wordWrap/>
        <w:overflowPunct/>
        <w:topLinePunct w:val="0"/>
        <w:autoSpaceDE/>
        <w:autoSpaceDN/>
        <w:bidi w:val="0"/>
        <w:adjustRightInd/>
        <w:snapToGrid/>
        <w:spacing w:line="360" w:lineRule="auto"/>
        <w:ind w:firstLine="417" w:firstLineChars="199"/>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在不可抗力事件发生后，甲乙双方或一方应尽快以书面形式将不可抗力的情况和原因通知对方。甲乙双方或一方因不可抗力而导致合同实施延误或不能履行合同义务，不承担延期赔偿或终止合同的责任。不可抗力事件影响消除后，双方可通过协商在合理的时间内达成进一步履行合同的协议。</w:t>
      </w:r>
    </w:p>
    <w:p w14:paraId="32D56887">
      <w:pPr>
        <w:pStyle w:val="3"/>
        <w:spacing w:line="400" w:lineRule="exact"/>
        <w:ind w:firstLine="42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八、违约责任</w:t>
      </w:r>
    </w:p>
    <w:p w14:paraId="4373F80B">
      <w:pPr>
        <w:pStyle w:val="26"/>
        <w:pageBreakBefore w:val="0"/>
        <w:wordWrap/>
        <w:overflowPunct/>
        <w:topLinePunct w:val="0"/>
        <w:bidi w:val="0"/>
        <w:spacing w:line="360" w:lineRule="auto"/>
        <w:ind w:firstLine="42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1.甲方违约责任</w:t>
      </w:r>
    </w:p>
    <w:p w14:paraId="1ED3F827">
      <w:pPr>
        <w:pStyle w:val="26"/>
        <w:pageBreakBefore w:val="0"/>
        <w:wordWrap/>
        <w:overflowPunct/>
        <w:topLinePunct w:val="0"/>
        <w:bidi w:val="0"/>
        <w:spacing w:line="360" w:lineRule="auto"/>
        <w:ind w:firstLine="42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（1）甲方无正当理由拒收货物的，除继续履行接收义务外，甲方应偿付合同总价百分之三的违约金。</w:t>
      </w:r>
    </w:p>
    <w:p w14:paraId="05BA5AF5">
      <w:pPr>
        <w:pStyle w:val="26"/>
        <w:pageBreakBefore w:val="0"/>
        <w:wordWrap/>
        <w:overflowPunct/>
        <w:topLinePunct w:val="0"/>
        <w:bidi w:val="0"/>
        <w:spacing w:line="360" w:lineRule="auto"/>
        <w:ind w:firstLine="42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（2）甲方逾期支付服务合同款项的，除应及时付足合同款项外，应向乙方偿付欠款总额万分之五/天的违约金；逾期付款超过30天的，乙方有权终止合同。</w:t>
      </w:r>
    </w:p>
    <w:p w14:paraId="4A5B5DA6">
      <w:pPr>
        <w:pStyle w:val="26"/>
        <w:pageBreakBefore w:val="0"/>
        <w:wordWrap/>
        <w:overflowPunct/>
        <w:topLinePunct w:val="0"/>
        <w:bidi w:val="0"/>
        <w:spacing w:line="360" w:lineRule="auto"/>
        <w:ind w:firstLine="42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（3）甲方偿付的违约金不足以弥补乙方损失的，还应按乙方经济损失尚未弥补的部分，支付赔偿金给乙方。</w:t>
      </w:r>
    </w:p>
    <w:p w14:paraId="2802826A">
      <w:pPr>
        <w:pStyle w:val="26"/>
        <w:pageBreakBefore w:val="0"/>
        <w:wordWrap/>
        <w:overflowPunct/>
        <w:topLinePunct w:val="0"/>
        <w:bidi w:val="0"/>
        <w:spacing w:line="360" w:lineRule="auto"/>
        <w:ind w:firstLine="42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2.乙方违约责任</w:t>
      </w:r>
    </w:p>
    <w:p w14:paraId="7CF3946A">
      <w:pPr>
        <w:pStyle w:val="26"/>
        <w:pageBreakBefore w:val="0"/>
        <w:wordWrap/>
        <w:overflowPunct/>
        <w:topLinePunct w:val="0"/>
        <w:bidi w:val="0"/>
        <w:spacing w:line="360" w:lineRule="auto"/>
        <w:ind w:firstLine="42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乙方必须遵守采购合同并执行合同中的各项规定，保证采购合同的正常履行。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2B66F41">
      <w:pPr>
        <w:pStyle w:val="26"/>
        <w:pageBreakBefore w:val="0"/>
        <w:wordWrap/>
        <w:overflowPunct/>
        <w:topLinePunct w:val="0"/>
        <w:bidi w:val="0"/>
        <w:spacing w:line="360" w:lineRule="auto"/>
        <w:ind w:firstLine="42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乙方不能按时提供服务(成果)或逾期提供的而违约的，除应及时提供服务外，应向甲方偿付逾期提供部分服务总额的万分之五/天的违约金；逾期超过15天，甲方有权终止合同，乙方则应按合同总价的百分之十的款额向甲方偿付违约金，并须全额退还甲方已经付给乙方的服务费及其利息。</w:t>
      </w:r>
    </w:p>
    <w:p w14:paraId="036F67DF">
      <w:pPr>
        <w:pStyle w:val="26"/>
        <w:pageBreakBefore w:val="0"/>
        <w:wordWrap/>
        <w:overflowPunct/>
        <w:topLinePunct w:val="0"/>
        <w:bidi w:val="0"/>
        <w:spacing w:line="360" w:lineRule="auto"/>
        <w:ind w:firstLine="42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乙方应当遵守甲方的相关项目需求及相关技术要求及实质性条款，实施完成采购合同应当完全满足相关项目需求及相关技术要求及实质性条款，若乙方瑕疵履行采购合同，甲方有权向乙方要求赔偿合同总价款20%的违约金，若造成相关损失的，甲方有权要求乙方承担所有赔偿责任。</w:t>
      </w:r>
    </w:p>
    <w:p w14:paraId="30A1E75B">
      <w:pPr>
        <w:pStyle w:val="26"/>
        <w:pageBreakBefore w:val="0"/>
        <w:wordWrap/>
        <w:overflowPunct/>
        <w:topLinePunct w:val="0"/>
        <w:bidi w:val="0"/>
        <w:spacing w:line="360" w:lineRule="auto"/>
        <w:ind w:firstLine="42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（4）乙方偿付的违约金不足以弥补甲方损失的，还应按甲方经济损失尚未弥补的部分，支付赔偿金给甲方。</w:t>
      </w:r>
    </w:p>
    <w:p w14:paraId="2AB3CEEA">
      <w:pPr>
        <w:pStyle w:val="3"/>
        <w:spacing w:line="400" w:lineRule="exact"/>
        <w:ind w:firstLine="422" w:firstLineChars="200"/>
        <w:rPr>
          <w:rFonts w:hint="eastAsia" w:ascii="宋体" w:hAnsi="宋体" w:eastAsia="宋体" w:cs="宋体"/>
          <w:color w:val="auto"/>
          <w:sz w:val="21"/>
          <w:szCs w:val="21"/>
          <w:highlight w:val="none"/>
        </w:rPr>
      </w:pPr>
      <w:bookmarkStart w:id="6" w:name="_Toc217446114"/>
      <w:r>
        <w:rPr>
          <w:rFonts w:hint="eastAsia" w:ascii="宋体" w:hAnsi="宋体" w:eastAsia="宋体" w:cs="宋体"/>
          <w:color w:val="auto"/>
          <w:sz w:val="21"/>
          <w:szCs w:val="21"/>
          <w:highlight w:val="none"/>
        </w:rPr>
        <w:t>九、争议解决办法</w:t>
      </w:r>
      <w:bookmarkEnd w:id="6"/>
    </w:p>
    <w:p w14:paraId="2CD8ED67">
      <w:pPr>
        <w:pStyle w:val="26"/>
        <w:pageBreakBefore w:val="0"/>
        <w:wordWrap/>
        <w:overflowPunct/>
        <w:topLinePunct w:val="0"/>
        <w:bidi w:val="0"/>
        <w:spacing w:line="360" w:lineRule="auto"/>
        <w:ind w:firstLine="42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1.因设备的质量问题发生争议，由质量技术监督部门或其指定的质量鉴定机构进行质量鉴定。鉴定费由乙方承担。</w:t>
      </w:r>
    </w:p>
    <w:p w14:paraId="0B5E5A00">
      <w:pPr>
        <w:pStyle w:val="26"/>
        <w:pageBreakBefore w:val="0"/>
        <w:wordWrap/>
        <w:overflowPunct/>
        <w:topLinePunct w:val="0"/>
        <w:bidi w:val="0"/>
        <w:spacing w:line="360" w:lineRule="auto"/>
        <w:ind w:firstLine="42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2.合同履行期间,若双方发生争议由双方友好协商解决，协商解决不成的，向甲方所在地人民法院诉讼解决。</w:t>
      </w:r>
    </w:p>
    <w:p w14:paraId="2C1DD873">
      <w:pPr>
        <w:pStyle w:val="3"/>
        <w:spacing w:line="400" w:lineRule="exact"/>
        <w:ind w:firstLine="42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十、廉洁条款</w:t>
      </w:r>
    </w:p>
    <w:p w14:paraId="7C24856D">
      <w:pPr>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1.在签订《医疗设备采购合同》时，同时签订《医疗卫生机构供应商廉洁购销合同》。</w:t>
      </w:r>
    </w:p>
    <w:p w14:paraId="20A76EF7">
      <w:pPr>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2.乙方严格遵守甲方单位廉洁管理制度和相关规定，不得以任何形式向甲方工作人员行贿。</w:t>
      </w:r>
    </w:p>
    <w:p w14:paraId="263F15B9">
      <w:pPr>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甲方人员若违反廉洁管理规定，或乙方在合作期间贿赂甲方人员，甲方应视情节轻重、影响大小对甲方人员给予行政及经济处罚，有权取消或终止本协议的履行，同时乙方应承担由此引发的其他方面责任和法律责任。</w:t>
      </w:r>
    </w:p>
    <w:p w14:paraId="5748F4EE">
      <w:pPr>
        <w:pStyle w:val="3"/>
        <w:spacing w:line="400" w:lineRule="exact"/>
        <w:ind w:firstLine="422"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十一、其他约定事项</w:t>
      </w:r>
    </w:p>
    <w:p w14:paraId="6265153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1.如有进口器械，乙方负责进口医疗器械报关、清关及商检等事宜。</w:t>
      </w:r>
    </w:p>
    <w:p w14:paraId="1655405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2.乙方向甲方提供该合同所含设备的全套资质证明文件。</w:t>
      </w:r>
    </w:p>
    <w:p w14:paraId="746DB6A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3.合同附件是合同的不可分割的组成部分，与合同具有同等法律效力。</w:t>
      </w:r>
    </w:p>
    <w:p w14:paraId="473DC5D3">
      <w:pPr>
        <w:pStyle w:val="26"/>
        <w:spacing w:line="360" w:lineRule="auto"/>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附件1：产品分项价格表；附件2：产品配置清单</w:t>
      </w:r>
    </w:p>
    <w:p w14:paraId="1E3301F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4.如有未尽事宜，由双方依法订立补充合同。</w:t>
      </w:r>
    </w:p>
    <w:p w14:paraId="57EF0EF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5.本合同一式</w:t>
      </w:r>
      <w:r>
        <w:rPr>
          <w:rFonts w:hint="eastAsia" w:ascii="宋体" w:hAnsi="宋体"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lang w:val="en-US" w:eastAsia="zh-CN" w:bidi="ar-SA"/>
        </w:rPr>
        <w:t>份，自双方签章之日起生效。甲方</w:t>
      </w:r>
      <w:r>
        <w:rPr>
          <w:rFonts w:hint="eastAsia" w:ascii="宋体" w:hAnsi="宋体"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lang w:val="en-US" w:eastAsia="zh-CN" w:bidi="ar-SA"/>
        </w:rPr>
        <w:t>份，乙方、政府采购管理部门、采购代理机构各一份。</w:t>
      </w:r>
    </w:p>
    <w:p w14:paraId="588B0F1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p>
    <w:p w14:paraId="002F5F0D">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甲方（盖章）：</w:t>
      </w:r>
      <w:r>
        <w:rPr>
          <w:rFonts w:hint="eastAsia" w:ascii="宋体" w:hAnsi="宋体"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lang w:val="en-US" w:eastAsia="zh-CN" w:bidi="ar-SA"/>
        </w:rPr>
        <w:t xml:space="preserve">         乙方（盖章）：</w:t>
      </w:r>
    </w:p>
    <w:p w14:paraId="54017C5B">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经办人：                                 经办人：</w:t>
      </w:r>
    </w:p>
    <w:p w14:paraId="38BAA746">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经办科室负责人：</w:t>
      </w:r>
    </w:p>
    <w:p w14:paraId="3E3DFA49">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分管院领导：</w:t>
      </w:r>
    </w:p>
    <w:p w14:paraId="6183B9FF">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法定代表人签章：  </w:t>
      </w:r>
      <w:r>
        <w:rPr>
          <w:rFonts w:hint="eastAsia" w:ascii="宋体" w:hAnsi="宋体" w:eastAsia="宋体" w:cs="宋体"/>
          <w:color w:val="auto"/>
          <w:sz w:val="21"/>
          <w:szCs w:val="21"/>
          <w:highlight w:val="none"/>
        </w:rPr>
        <w:t xml:space="preserve">   </w:t>
      </w:r>
      <w:r>
        <w:rPr>
          <w:rFonts w:hint="eastAsia" w:ascii="宋体" w:hAnsi="宋体" w:eastAsia="宋体" w:cs="宋体"/>
          <w:color w:val="auto"/>
          <w:kern w:val="2"/>
          <w:sz w:val="21"/>
          <w:szCs w:val="21"/>
          <w:highlight w:val="none"/>
          <w:lang w:val="en-US" w:eastAsia="zh-CN" w:bidi="ar-SA"/>
        </w:rPr>
        <w:t xml:space="preserve">                    法定代表人签章：</w:t>
      </w:r>
    </w:p>
    <w:p w14:paraId="19908742">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联系电话：</w:t>
      </w:r>
      <w:r>
        <w:rPr>
          <w:rFonts w:hint="eastAsia" w:ascii="宋体" w:hAnsi="宋体"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lang w:val="en-US" w:eastAsia="zh-CN" w:bidi="ar-SA"/>
        </w:rPr>
        <w:t xml:space="preserve">                  </w:t>
      </w:r>
      <w:r>
        <w:rPr>
          <w:rFonts w:hint="eastAsia" w:ascii="宋体" w:hAnsi="宋体"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lang w:val="en-US" w:eastAsia="zh-CN" w:bidi="ar-SA"/>
        </w:rPr>
        <w:t xml:space="preserve"> </w:t>
      </w:r>
      <w:r>
        <w:rPr>
          <w:rFonts w:hint="eastAsia" w:ascii="宋体" w:hAnsi="宋体"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lang w:val="en-US" w:eastAsia="zh-CN" w:bidi="ar-SA"/>
        </w:rPr>
        <w:t>联系电话：</w:t>
      </w:r>
      <w:r>
        <w:rPr>
          <w:rFonts w:hint="eastAsia" w:ascii="宋体" w:hAnsi="宋体" w:cs="宋体"/>
          <w:color w:val="auto"/>
          <w:kern w:val="2"/>
          <w:sz w:val="21"/>
          <w:szCs w:val="21"/>
          <w:highlight w:val="none"/>
          <w:lang w:val="en-US" w:eastAsia="zh-CN" w:bidi="ar-SA"/>
        </w:rPr>
        <w:t xml:space="preserve"> </w:t>
      </w:r>
    </w:p>
    <w:p w14:paraId="0F88874E">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开户银行：</w:t>
      </w:r>
      <w:r>
        <w:rPr>
          <w:rFonts w:hint="eastAsia" w:ascii="宋体" w:hAnsi="宋体" w:cs="宋体"/>
          <w:color w:val="auto"/>
          <w:kern w:val="2"/>
          <w:sz w:val="21"/>
          <w:szCs w:val="21"/>
          <w:highlight w:val="none"/>
          <w:lang w:val="en-US" w:eastAsia="zh-CN" w:bidi="ar-SA"/>
        </w:rPr>
        <w:t xml:space="preserve">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开户银</w:t>
      </w:r>
      <w:r>
        <w:rPr>
          <w:rFonts w:hint="eastAsia" w:ascii="宋体" w:hAnsi="宋体" w:eastAsia="宋体" w:cs="宋体"/>
          <w:color w:val="auto"/>
          <w:kern w:val="2"/>
          <w:sz w:val="21"/>
          <w:szCs w:val="21"/>
          <w:highlight w:val="none"/>
          <w:lang w:val="en-US" w:eastAsia="zh-CN" w:bidi="ar-SA"/>
        </w:rPr>
        <w:t>行：</w:t>
      </w:r>
      <w:r>
        <w:rPr>
          <w:rFonts w:hint="eastAsia" w:ascii="宋体" w:hAnsi="宋体" w:cs="宋体"/>
          <w:color w:val="auto"/>
          <w:kern w:val="2"/>
          <w:sz w:val="21"/>
          <w:szCs w:val="21"/>
          <w:highlight w:val="none"/>
          <w:lang w:val="en-US" w:eastAsia="zh-CN" w:bidi="ar-SA"/>
        </w:rPr>
        <w:t xml:space="preserve"> </w:t>
      </w:r>
    </w:p>
    <w:p w14:paraId="07ECDB33">
      <w:pPr>
        <w:rPr>
          <w:rFonts w:hint="default" w:ascii="宋体" w:hAnsi="宋体" w:eastAsia="宋体" w:cs="宋体"/>
          <w:sz w:val="21"/>
          <w:szCs w:val="21"/>
          <w:highlight w:val="none"/>
          <w:lang w:val="en-US"/>
        </w:rPr>
      </w:pPr>
      <w:r>
        <w:rPr>
          <w:rFonts w:hint="eastAsia" w:ascii="宋体" w:hAnsi="宋体" w:eastAsia="宋体" w:cs="宋体"/>
          <w:color w:val="auto"/>
          <w:sz w:val="21"/>
          <w:szCs w:val="21"/>
          <w:highlight w:val="none"/>
        </w:rPr>
        <w:t>账    号：</w:t>
      </w:r>
      <w:r>
        <w:rPr>
          <w:rFonts w:hint="eastAsia" w:ascii="宋体" w:hAnsi="宋体" w:cs="宋体"/>
          <w:color w:val="auto"/>
          <w:kern w:val="2"/>
          <w:sz w:val="21"/>
          <w:szCs w:val="21"/>
          <w:highlight w:val="none"/>
          <w:lang w:val="en-US" w:eastAsia="zh-CN" w:bidi="ar-SA"/>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账    号：</w:t>
      </w:r>
      <w:r>
        <w:rPr>
          <w:rFonts w:hint="eastAsia" w:ascii="宋体" w:hAnsi="宋体" w:cs="宋体"/>
          <w:color w:val="auto"/>
          <w:kern w:val="2"/>
          <w:sz w:val="21"/>
          <w:szCs w:val="21"/>
          <w:highlight w:val="none"/>
          <w:lang w:val="en-US" w:eastAsia="zh-CN" w:bidi="ar-SA"/>
        </w:rPr>
        <w:t xml:space="preserve"> </w:t>
      </w:r>
    </w:p>
    <w:p w14:paraId="38F9BDF7">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日期：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 年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 月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 日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日期：</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 年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月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  日</w:t>
      </w:r>
    </w:p>
    <w:p w14:paraId="19380D31">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宋体" w:hAnsi="宋体" w:eastAsia="宋体" w:cs="宋体"/>
          <w:sz w:val="21"/>
          <w:szCs w:val="21"/>
          <w:highlight w:val="none"/>
        </w:rPr>
      </w:pPr>
    </w:p>
    <w:p w14:paraId="388A8C36">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宋体" w:hAnsi="宋体" w:eastAsia="宋体" w:cs="宋体"/>
          <w:sz w:val="21"/>
          <w:szCs w:val="21"/>
          <w:highlight w:val="none"/>
        </w:rPr>
        <w:sectPr>
          <w:headerReference r:id="rId3" w:type="default"/>
          <w:footerReference r:id="rId4" w:type="default"/>
          <w:pgSz w:w="11906" w:h="16838"/>
          <w:pgMar w:top="1020" w:right="1417" w:bottom="1020" w:left="1701" w:header="851" w:footer="992" w:gutter="0"/>
          <w:pgNumType w:fmt="decimal"/>
          <w:cols w:space="720" w:num="1"/>
          <w:rtlGutter w:val="0"/>
          <w:docGrid w:type="lines" w:linePitch="312" w:charSpace="0"/>
        </w:sectPr>
      </w:pPr>
    </w:p>
    <w:p w14:paraId="32556061">
      <w:pPr>
        <w:pStyle w:val="26"/>
        <w:numPr>
          <w:ilvl w:val="0"/>
          <w:numId w:val="0"/>
        </w:numPr>
        <w:jc w:val="both"/>
        <w:rPr>
          <w:rFonts w:hint="eastAsia" w:ascii="宋体" w:hAnsi="宋体" w:eastAsia="宋体" w:cs="宋体"/>
          <w:b/>
          <w:bCs/>
          <w:color w:val="auto"/>
          <w:kern w:val="2"/>
          <w:sz w:val="21"/>
          <w:szCs w:val="21"/>
          <w:highlight w:val="none"/>
          <w:lang w:val="en-US" w:eastAsia="zh-CN" w:bidi="ar-SA"/>
        </w:rPr>
      </w:pPr>
    </w:p>
    <w:sectPr>
      <w:headerReference r:id="rId5" w:type="default"/>
      <w:type w:val="continuous"/>
      <w:pgSz w:w="11906" w:h="16838"/>
      <w:pgMar w:top="1020" w:right="1417" w:bottom="1020" w:left="1701" w:header="851" w:footer="992" w:gutter="0"/>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3135CF8A-8A07-4EC7-A276-1595CA0F818E}"/>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entury">
    <w:panose1 w:val="02040604050505020304"/>
    <w:charset w:val="00"/>
    <w:family w:val="roman"/>
    <w:pitch w:val="default"/>
    <w:sig w:usb0="00000287" w:usb1="00000000" w:usb2="00000000" w:usb3="00000000" w:csb0="2000009F" w:csb1="DFD70000"/>
  </w:font>
  <w:font w:name="MS Mincho">
    <w:altName w:val="Yu Gothic UI"/>
    <w:panose1 w:val="02020609040205080304"/>
    <w:charset w:val="80"/>
    <w:family w:val="modern"/>
    <w:pitch w:val="default"/>
    <w:sig w:usb0="00000000" w:usb1="00000000" w:usb2="00000012" w:usb3="00000000" w:csb0="4002009F" w:csb1="DFD70000"/>
  </w:font>
  <w:font w:name="华文中宋">
    <w:panose1 w:val="02010600040101010101"/>
    <w:charset w:val="86"/>
    <w:family w:val="auto"/>
    <w:pitch w:val="default"/>
    <w:sig w:usb0="00000287" w:usb1="080F0000" w:usb2="00000000" w:usb3="00000000" w:csb0="0004009F" w:csb1="DFD7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3CAE2">
    <w:pPr>
      <w:pStyle w:val="10"/>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BF07EFA">
                          <w:pPr>
                            <w:pStyle w:val="10"/>
                          </w:pPr>
                          <w:r>
                            <w:t xml:space="preserve">第 </w:t>
                          </w:r>
                          <w:r>
                            <w:fldChar w:fldCharType="begin"/>
                          </w:r>
                          <w:r>
                            <w:instrText xml:space="preserve"> PAGE  \* MERGEFORMAT </w:instrText>
                          </w:r>
                          <w:r>
                            <w:fldChar w:fldCharType="separate"/>
                          </w:r>
                          <w:r>
                            <w:t>16</w:t>
                          </w:r>
                          <w:r>
                            <w:fldChar w:fldCharType="end"/>
                          </w:r>
                          <w:r>
                            <w:t xml:space="preserve"> 页 共 </w:t>
                          </w:r>
                          <w:r>
                            <w:fldChar w:fldCharType="begin"/>
                          </w:r>
                          <w:r>
                            <w:instrText xml:space="preserve"> NUMPAGES  \* MERGEFORMAT </w:instrText>
                          </w:r>
                          <w:r>
                            <w:fldChar w:fldCharType="separate"/>
                          </w:r>
                          <w:r>
                            <w:t>49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2BF07EFA">
                    <w:pPr>
                      <w:pStyle w:val="10"/>
                    </w:pPr>
                    <w:r>
                      <w:t xml:space="preserve">第 </w:t>
                    </w:r>
                    <w:r>
                      <w:fldChar w:fldCharType="begin"/>
                    </w:r>
                    <w:r>
                      <w:instrText xml:space="preserve"> PAGE  \* MERGEFORMAT </w:instrText>
                    </w:r>
                    <w:r>
                      <w:fldChar w:fldCharType="separate"/>
                    </w:r>
                    <w:r>
                      <w:t>16</w:t>
                    </w:r>
                    <w:r>
                      <w:fldChar w:fldCharType="end"/>
                    </w:r>
                    <w:r>
                      <w:t xml:space="preserve"> 页 共 </w:t>
                    </w:r>
                    <w:r>
                      <w:fldChar w:fldCharType="begin"/>
                    </w:r>
                    <w:r>
                      <w:instrText xml:space="preserve"> NUMPAGES  \* MERGEFORMAT </w:instrText>
                    </w:r>
                    <w:r>
                      <w:fldChar w:fldCharType="separate"/>
                    </w:r>
                    <w:r>
                      <w:t>49</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90690D">
    <w:pPr>
      <w:pStyle w:val="11"/>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D343F">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4D8E0A"/>
    <w:multiLevelType w:val="multilevel"/>
    <w:tmpl w:val="B04D8E0A"/>
    <w:lvl w:ilvl="0" w:tentative="0">
      <w:start w:val="1"/>
      <w:numFmt w:val="chineseCounting"/>
      <w:suff w:val="nothing"/>
      <w:lvlText w:val="第%1章 "/>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chineseCounting"/>
      <w:suff w:val="nothing"/>
      <w:lvlText w:val="(%3)"/>
      <w:lvlJc w:val="left"/>
      <w:pPr>
        <w:tabs>
          <w:tab w:val="left" w:pos="0"/>
        </w:tabs>
        <w:ind w:left="0" w:firstLine="0"/>
      </w:pPr>
      <w:rPr>
        <w:rFonts w:hint="eastAsia" w:ascii="宋体" w:hAnsi="宋体" w:eastAsia="宋体" w:cs="宋体"/>
      </w:rPr>
    </w:lvl>
    <w:lvl w:ilvl="3" w:tentative="0">
      <w:start w:val="1"/>
      <w:numFmt w:val="decimal"/>
      <w:pStyle w:val="49"/>
      <w:suff w:val="nothing"/>
      <w:lvlText w:val="%4."/>
      <w:lvlJc w:val="left"/>
      <w:pPr>
        <w:tabs>
          <w:tab w:val="left" w:pos="0"/>
        </w:tabs>
        <w:ind w:left="0" w:firstLine="0"/>
      </w:pPr>
      <w:rPr>
        <w:rFonts w:hint="eastAsia" w:ascii="宋体" w:hAnsi="宋体" w:eastAsia="宋体" w:cs="宋体"/>
      </w:rPr>
    </w:lvl>
    <w:lvl w:ilvl="4" w:tentative="0">
      <w:start w:val="1"/>
      <w:numFmt w:val="decimal"/>
      <w:suff w:val="nothing"/>
      <w:lvlText w:val="%4.%5"/>
      <w:lvlJc w:val="left"/>
      <w:pPr>
        <w:ind w:left="0" w:firstLine="0"/>
      </w:pPr>
      <w:rPr>
        <w:rFonts w:hint="eastAsia" w:ascii="宋体" w:hAnsi="宋体" w:eastAsia="宋体" w:cs="宋体"/>
      </w:rPr>
    </w:lvl>
    <w:lvl w:ilvl="5" w:tentative="0">
      <w:start w:val="1"/>
      <w:numFmt w:val="decimal"/>
      <w:suff w:val="nothing"/>
      <w:lvlText w:val="(%6)"/>
      <w:lvlJc w:val="left"/>
      <w:pPr>
        <w:ind w:left="0" w:firstLine="0"/>
      </w:pPr>
      <w:rPr>
        <w:rFonts w:hint="eastAsia" w:ascii="宋体" w:hAnsi="宋体" w:eastAsia="宋体" w:cs="宋体"/>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28"/>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3OTgwMmYzNmY2NzAyZDBhOWEzZDM5NTdhNTU5NjQifQ=="/>
  </w:docVars>
  <w:rsids>
    <w:rsidRoot w:val="00C56D29"/>
    <w:rsid w:val="000058C0"/>
    <w:rsid w:val="00030F95"/>
    <w:rsid w:val="0005449A"/>
    <w:rsid w:val="00077ACF"/>
    <w:rsid w:val="000B7466"/>
    <w:rsid w:val="000C1DC3"/>
    <w:rsid w:val="000C345C"/>
    <w:rsid w:val="000E1826"/>
    <w:rsid w:val="00101043"/>
    <w:rsid w:val="00116174"/>
    <w:rsid w:val="0012571D"/>
    <w:rsid w:val="001518C9"/>
    <w:rsid w:val="00152487"/>
    <w:rsid w:val="00184C9E"/>
    <w:rsid w:val="00196511"/>
    <w:rsid w:val="001B004A"/>
    <w:rsid w:val="001E2577"/>
    <w:rsid w:val="002175F1"/>
    <w:rsid w:val="0023786D"/>
    <w:rsid w:val="00263805"/>
    <w:rsid w:val="00276823"/>
    <w:rsid w:val="00283BD8"/>
    <w:rsid w:val="002B1014"/>
    <w:rsid w:val="002B597D"/>
    <w:rsid w:val="002D65C9"/>
    <w:rsid w:val="002E5241"/>
    <w:rsid w:val="00300947"/>
    <w:rsid w:val="00300B58"/>
    <w:rsid w:val="00304E1C"/>
    <w:rsid w:val="003067C8"/>
    <w:rsid w:val="003207F3"/>
    <w:rsid w:val="003577A2"/>
    <w:rsid w:val="00381331"/>
    <w:rsid w:val="00391756"/>
    <w:rsid w:val="00391F86"/>
    <w:rsid w:val="003966E3"/>
    <w:rsid w:val="003A3B7A"/>
    <w:rsid w:val="003A7EBF"/>
    <w:rsid w:val="003B7516"/>
    <w:rsid w:val="003D28FF"/>
    <w:rsid w:val="003F2321"/>
    <w:rsid w:val="00412035"/>
    <w:rsid w:val="00417559"/>
    <w:rsid w:val="00426706"/>
    <w:rsid w:val="00444B88"/>
    <w:rsid w:val="004479F5"/>
    <w:rsid w:val="00453D14"/>
    <w:rsid w:val="004823EB"/>
    <w:rsid w:val="004A038B"/>
    <w:rsid w:val="004B00DC"/>
    <w:rsid w:val="004B2A93"/>
    <w:rsid w:val="004B414D"/>
    <w:rsid w:val="004C0F04"/>
    <w:rsid w:val="004F4FED"/>
    <w:rsid w:val="0051737E"/>
    <w:rsid w:val="00517CA6"/>
    <w:rsid w:val="00525306"/>
    <w:rsid w:val="00531E56"/>
    <w:rsid w:val="00533605"/>
    <w:rsid w:val="005743AB"/>
    <w:rsid w:val="00582FEF"/>
    <w:rsid w:val="00596E5F"/>
    <w:rsid w:val="005B344F"/>
    <w:rsid w:val="005B4AD3"/>
    <w:rsid w:val="00600E01"/>
    <w:rsid w:val="00602E9A"/>
    <w:rsid w:val="00610B39"/>
    <w:rsid w:val="00667F20"/>
    <w:rsid w:val="006C2065"/>
    <w:rsid w:val="006C23AD"/>
    <w:rsid w:val="006D7B77"/>
    <w:rsid w:val="007104AD"/>
    <w:rsid w:val="007175F7"/>
    <w:rsid w:val="00741A77"/>
    <w:rsid w:val="00742875"/>
    <w:rsid w:val="00761AA6"/>
    <w:rsid w:val="00776AF1"/>
    <w:rsid w:val="007773A8"/>
    <w:rsid w:val="007963C9"/>
    <w:rsid w:val="007B49D6"/>
    <w:rsid w:val="0080086E"/>
    <w:rsid w:val="008145F4"/>
    <w:rsid w:val="008204B5"/>
    <w:rsid w:val="0083405B"/>
    <w:rsid w:val="00835518"/>
    <w:rsid w:val="00842E7F"/>
    <w:rsid w:val="00893525"/>
    <w:rsid w:val="008A3E2D"/>
    <w:rsid w:val="008C52EA"/>
    <w:rsid w:val="008E5C98"/>
    <w:rsid w:val="0090066A"/>
    <w:rsid w:val="009257B5"/>
    <w:rsid w:val="009334BB"/>
    <w:rsid w:val="00933A50"/>
    <w:rsid w:val="009543FB"/>
    <w:rsid w:val="0097027F"/>
    <w:rsid w:val="009B12EF"/>
    <w:rsid w:val="009B2850"/>
    <w:rsid w:val="009E53C7"/>
    <w:rsid w:val="009E688B"/>
    <w:rsid w:val="00A03125"/>
    <w:rsid w:val="00A13155"/>
    <w:rsid w:val="00A258E5"/>
    <w:rsid w:val="00A51733"/>
    <w:rsid w:val="00A73E7D"/>
    <w:rsid w:val="00A81C1E"/>
    <w:rsid w:val="00AA17A5"/>
    <w:rsid w:val="00AB6006"/>
    <w:rsid w:val="00AF3B8C"/>
    <w:rsid w:val="00B005DF"/>
    <w:rsid w:val="00B1207E"/>
    <w:rsid w:val="00B16990"/>
    <w:rsid w:val="00B24D1F"/>
    <w:rsid w:val="00B43681"/>
    <w:rsid w:val="00B43F41"/>
    <w:rsid w:val="00B846E2"/>
    <w:rsid w:val="00BA3803"/>
    <w:rsid w:val="00BB5215"/>
    <w:rsid w:val="00C04782"/>
    <w:rsid w:val="00C339F1"/>
    <w:rsid w:val="00C505B5"/>
    <w:rsid w:val="00C56D29"/>
    <w:rsid w:val="00C85B3B"/>
    <w:rsid w:val="00C938B6"/>
    <w:rsid w:val="00C94BF3"/>
    <w:rsid w:val="00CD389C"/>
    <w:rsid w:val="00CE4668"/>
    <w:rsid w:val="00D20CB8"/>
    <w:rsid w:val="00D241C2"/>
    <w:rsid w:val="00D265FE"/>
    <w:rsid w:val="00D35815"/>
    <w:rsid w:val="00D9405D"/>
    <w:rsid w:val="00D97BBD"/>
    <w:rsid w:val="00DB1E23"/>
    <w:rsid w:val="00DC511A"/>
    <w:rsid w:val="00E05D31"/>
    <w:rsid w:val="00E11D5B"/>
    <w:rsid w:val="00E631F7"/>
    <w:rsid w:val="00E86FF7"/>
    <w:rsid w:val="00E909DF"/>
    <w:rsid w:val="00EA23A8"/>
    <w:rsid w:val="00EE2F97"/>
    <w:rsid w:val="00EF6259"/>
    <w:rsid w:val="00F1598C"/>
    <w:rsid w:val="00F17BDE"/>
    <w:rsid w:val="00F22A10"/>
    <w:rsid w:val="00F31582"/>
    <w:rsid w:val="00F32435"/>
    <w:rsid w:val="00F44BE1"/>
    <w:rsid w:val="00F555B6"/>
    <w:rsid w:val="00F5691F"/>
    <w:rsid w:val="00F67600"/>
    <w:rsid w:val="00FA6DB8"/>
    <w:rsid w:val="00FC3BB7"/>
    <w:rsid w:val="00FC6E3F"/>
    <w:rsid w:val="00FE39BD"/>
    <w:rsid w:val="00FF5BB5"/>
    <w:rsid w:val="010E2DDE"/>
    <w:rsid w:val="012F7800"/>
    <w:rsid w:val="01794130"/>
    <w:rsid w:val="019B4DED"/>
    <w:rsid w:val="0204247D"/>
    <w:rsid w:val="023C5239"/>
    <w:rsid w:val="025F20F0"/>
    <w:rsid w:val="02BF15A4"/>
    <w:rsid w:val="02E84657"/>
    <w:rsid w:val="03AC38D7"/>
    <w:rsid w:val="03AF6B31"/>
    <w:rsid w:val="03E6185B"/>
    <w:rsid w:val="044B63E0"/>
    <w:rsid w:val="047E7748"/>
    <w:rsid w:val="04A0223E"/>
    <w:rsid w:val="04BA2023"/>
    <w:rsid w:val="05525A13"/>
    <w:rsid w:val="05B15E1B"/>
    <w:rsid w:val="05EB2641"/>
    <w:rsid w:val="05FC02A9"/>
    <w:rsid w:val="06175B38"/>
    <w:rsid w:val="062E2CC9"/>
    <w:rsid w:val="06565D7C"/>
    <w:rsid w:val="078A2A9B"/>
    <w:rsid w:val="08416191"/>
    <w:rsid w:val="08E51639"/>
    <w:rsid w:val="09012917"/>
    <w:rsid w:val="0905593D"/>
    <w:rsid w:val="095552CC"/>
    <w:rsid w:val="098175B4"/>
    <w:rsid w:val="099A0675"/>
    <w:rsid w:val="09F33C46"/>
    <w:rsid w:val="0A3739D3"/>
    <w:rsid w:val="0A3A5D3F"/>
    <w:rsid w:val="0A5D3B7D"/>
    <w:rsid w:val="0A8463CB"/>
    <w:rsid w:val="0AAA48E8"/>
    <w:rsid w:val="0ABF65E6"/>
    <w:rsid w:val="0B100BEF"/>
    <w:rsid w:val="0BA87F55"/>
    <w:rsid w:val="0BFE2AAC"/>
    <w:rsid w:val="0C112B2E"/>
    <w:rsid w:val="0C48260B"/>
    <w:rsid w:val="0C68154C"/>
    <w:rsid w:val="0C7156BE"/>
    <w:rsid w:val="0C8E2713"/>
    <w:rsid w:val="0CA21D1B"/>
    <w:rsid w:val="0CE6257D"/>
    <w:rsid w:val="0D537A7F"/>
    <w:rsid w:val="0D98311E"/>
    <w:rsid w:val="0E3F43C5"/>
    <w:rsid w:val="0E635B8D"/>
    <w:rsid w:val="0E686F94"/>
    <w:rsid w:val="0EA95725"/>
    <w:rsid w:val="0EC817E1"/>
    <w:rsid w:val="0F0C3DC3"/>
    <w:rsid w:val="0F154871"/>
    <w:rsid w:val="0FEB4D67"/>
    <w:rsid w:val="103B4955"/>
    <w:rsid w:val="10EE591A"/>
    <w:rsid w:val="113A340B"/>
    <w:rsid w:val="11480329"/>
    <w:rsid w:val="117361C8"/>
    <w:rsid w:val="11BA2BBA"/>
    <w:rsid w:val="12A0561E"/>
    <w:rsid w:val="12BA5B60"/>
    <w:rsid w:val="12C02EFB"/>
    <w:rsid w:val="12C14ADD"/>
    <w:rsid w:val="135451A6"/>
    <w:rsid w:val="138A175B"/>
    <w:rsid w:val="14500AAD"/>
    <w:rsid w:val="14794EA4"/>
    <w:rsid w:val="14F110DA"/>
    <w:rsid w:val="150425EE"/>
    <w:rsid w:val="15223425"/>
    <w:rsid w:val="15932B49"/>
    <w:rsid w:val="15D350B5"/>
    <w:rsid w:val="161517B0"/>
    <w:rsid w:val="17460434"/>
    <w:rsid w:val="17AA3930"/>
    <w:rsid w:val="17C46FBE"/>
    <w:rsid w:val="17FD68D4"/>
    <w:rsid w:val="182E476B"/>
    <w:rsid w:val="184243B2"/>
    <w:rsid w:val="190E593C"/>
    <w:rsid w:val="19837772"/>
    <w:rsid w:val="198C1971"/>
    <w:rsid w:val="19B465B5"/>
    <w:rsid w:val="19D11E91"/>
    <w:rsid w:val="19F56315"/>
    <w:rsid w:val="1A173B5B"/>
    <w:rsid w:val="1A5062B8"/>
    <w:rsid w:val="1A622AE9"/>
    <w:rsid w:val="1A762DB4"/>
    <w:rsid w:val="1AA80E44"/>
    <w:rsid w:val="1AE44224"/>
    <w:rsid w:val="1B041BC6"/>
    <w:rsid w:val="1B386A53"/>
    <w:rsid w:val="1BB750B7"/>
    <w:rsid w:val="1BCB46BE"/>
    <w:rsid w:val="1BCC2910"/>
    <w:rsid w:val="1C116575"/>
    <w:rsid w:val="1CB3587E"/>
    <w:rsid w:val="1CCC4B0A"/>
    <w:rsid w:val="1D0473A9"/>
    <w:rsid w:val="1D077978"/>
    <w:rsid w:val="1D446B43"/>
    <w:rsid w:val="1D5758D7"/>
    <w:rsid w:val="1E1E7AB7"/>
    <w:rsid w:val="1ED228B1"/>
    <w:rsid w:val="1F3C251B"/>
    <w:rsid w:val="1F580290"/>
    <w:rsid w:val="1F95570F"/>
    <w:rsid w:val="201B58AB"/>
    <w:rsid w:val="20DD377F"/>
    <w:rsid w:val="211414AA"/>
    <w:rsid w:val="2122506C"/>
    <w:rsid w:val="21DE40EA"/>
    <w:rsid w:val="224C6559"/>
    <w:rsid w:val="225120C3"/>
    <w:rsid w:val="226715E5"/>
    <w:rsid w:val="228323A4"/>
    <w:rsid w:val="229B4DEB"/>
    <w:rsid w:val="22BF31CF"/>
    <w:rsid w:val="233D55BA"/>
    <w:rsid w:val="2355768F"/>
    <w:rsid w:val="23820B59"/>
    <w:rsid w:val="23843AD1"/>
    <w:rsid w:val="242F7EE0"/>
    <w:rsid w:val="24696B33"/>
    <w:rsid w:val="251B0465"/>
    <w:rsid w:val="2530105D"/>
    <w:rsid w:val="256B4997"/>
    <w:rsid w:val="259D4FF6"/>
    <w:rsid w:val="25AE4CF2"/>
    <w:rsid w:val="25BF7042"/>
    <w:rsid w:val="266E7EE7"/>
    <w:rsid w:val="26F64CE5"/>
    <w:rsid w:val="27426A3D"/>
    <w:rsid w:val="275C79B1"/>
    <w:rsid w:val="278A48B5"/>
    <w:rsid w:val="2823612C"/>
    <w:rsid w:val="2835183D"/>
    <w:rsid w:val="28895DFF"/>
    <w:rsid w:val="290C20E7"/>
    <w:rsid w:val="294E0939"/>
    <w:rsid w:val="29A30A29"/>
    <w:rsid w:val="29CE0B92"/>
    <w:rsid w:val="29E10919"/>
    <w:rsid w:val="29E405F2"/>
    <w:rsid w:val="2A5A03AF"/>
    <w:rsid w:val="2AEB0FE8"/>
    <w:rsid w:val="2AF90B43"/>
    <w:rsid w:val="2B4029D3"/>
    <w:rsid w:val="2BF13CCD"/>
    <w:rsid w:val="2CA40B57"/>
    <w:rsid w:val="2CE319D8"/>
    <w:rsid w:val="2D742E08"/>
    <w:rsid w:val="2D896068"/>
    <w:rsid w:val="2E1F2D74"/>
    <w:rsid w:val="2E4A4A00"/>
    <w:rsid w:val="2E68463D"/>
    <w:rsid w:val="2EB65AF2"/>
    <w:rsid w:val="2EDD66AF"/>
    <w:rsid w:val="2FC63C8F"/>
    <w:rsid w:val="2FD07B28"/>
    <w:rsid w:val="2FD72D72"/>
    <w:rsid w:val="2FDB0F1C"/>
    <w:rsid w:val="301F616D"/>
    <w:rsid w:val="3047590B"/>
    <w:rsid w:val="31010E56"/>
    <w:rsid w:val="31073FE4"/>
    <w:rsid w:val="313703D4"/>
    <w:rsid w:val="31AB421B"/>
    <w:rsid w:val="31D86DCA"/>
    <w:rsid w:val="32171FB4"/>
    <w:rsid w:val="32582877"/>
    <w:rsid w:val="3258787D"/>
    <w:rsid w:val="32794A1C"/>
    <w:rsid w:val="3288321B"/>
    <w:rsid w:val="3316163C"/>
    <w:rsid w:val="337F0D7E"/>
    <w:rsid w:val="34B8421A"/>
    <w:rsid w:val="35162A26"/>
    <w:rsid w:val="361C5B6B"/>
    <w:rsid w:val="36433FBD"/>
    <w:rsid w:val="365120F3"/>
    <w:rsid w:val="36E62C0E"/>
    <w:rsid w:val="36F35C29"/>
    <w:rsid w:val="37394C42"/>
    <w:rsid w:val="3762212A"/>
    <w:rsid w:val="376A42BC"/>
    <w:rsid w:val="377B5998"/>
    <w:rsid w:val="379973F8"/>
    <w:rsid w:val="379A346B"/>
    <w:rsid w:val="380A1791"/>
    <w:rsid w:val="3885715E"/>
    <w:rsid w:val="38AA1087"/>
    <w:rsid w:val="38D348BE"/>
    <w:rsid w:val="39074B30"/>
    <w:rsid w:val="390E168E"/>
    <w:rsid w:val="39472CE8"/>
    <w:rsid w:val="39776198"/>
    <w:rsid w:val="3A0379ED"/>
    <w:rsid w:val="3A080B60"/>
    <w:rsid w:val="3A1E4D12"/>
    <w:rsid w:val="3AF03181"/>
    <w:rsid w:val="3BB014AF"/>
    <w:rsid w:val="3BC431AC"/>
    <w:rsid w:val="3BE949C1"/>
    <w:rsid w:val="3C694F86"/>
    <w:rsid w:val="3D5A1D59"/>
    <w:rsid w:val="3D8E4562"/>
    <w:rsid w:val="3DAD7631"/>
    <w:rsid w:val="3DE67ECE"/>
    <w:rsid w:val="3E4B1963"/>
    <w:rsid w:val="3F214387"/>
    <w:rsid w:val="3F3D4774"/>
    <w:rsid w:val="3FB101DF"/>
    <w:rsid w:val="3FD44710"/>
    <w:rsid w:val="3FDA71F2"/>
    <w:rsid w:val="40127A8A"/>
    <w:rsid w:val="40B8387F"/>
    <w:rsid w:val="40BC7576"/>
    <w:rsid w:val="411259BA"/>
    <w:rsid w:val="41E84702"/>
    <w:rsid w:val="42FF648D"/>
    <w:rsid w:val="431C567C"/>
    <w:rsid w:val="431D1F2C"/>
    <w:rsid w:val="43AC4C52"/>
    <w:rsid w:val="43C509A1"/>
    <w:rsid w:val="43E743D8"/>
    <w:rsid w:val="442C5D93"/>
    <w:rsid w:val="4530540F"/>
    <w:rsid w:val="45396A19"/>
    <w:rsid w:val="45416B11"/>
    <w:rsid w:val="45D17124"/>
    <w:rsid w:val="45F63E9B"/>
    <w:rsid w:val="465661D8"/>
    <w:rsid w:val="46ED5A14"/>
    <w:rsid w:val="474C7363"/>
    <w:rsid w:val="474F2E51"/>
    <w:rsid w:val="47653A95"/>
    <w:rsid w:val="478C3B34"/>
    <w:rsid w:val="47A45C40"/>
    <w:rsid w:val="47CA247E"/>
    <w:rsid w:val="47F83C86"/>
    <w:rsid w:val="483376F0"/>
    <w:rsid w:val="488B63D1"/>
    <w:rsid w:val="496164DE"/>
    <w:rsid w:val="49B4273B"/>
    <w:rsid w:val="49C56A6D"/>
    <w:rsid w:val="49DD6E12"/>
    <w:rsid w:val="49EF414E"/>
    <w:rsid w:val="4A033AC0"/>
    <w:rsid w:val="4A2B030E"/>
    <w:rsid w:val="4B436E19"/>
    <w:rsid w:val="4B9E07A1"/>
    <w:rsid w:val="4C092A08"/>
    <w:rsid w:val="4C2C2DD4"/>
    <w:rsid w:val="4C39104D"/>
    <w:rsid w:val="4CB608EF"/>
    <w:rsid w:val="4D710496"/>
    <w:rsid w:val="4DB27309"/>
    <w:rsid w:val="4DDD6C4C"/>
    <w:rsid w:val="4E0D521D"/>
    <w:rsid w:val="4E1F7F10"/>
    <w:rsid w:val="4EDF645B"/>
    <w:rsid w:val="4F4164C3"/>
    <w:rsid w:val="503D6B7D"/>
    <w:rsid w:val="505514C3"/>
    <w:rsid w:val="50791750"/>
    <w:rsid w:val="51181F0F"/>
    <w:rsid w:val="51AC6BF8"/>
    <w:rsid w:val="51E81677"/>
    <w:rsid w:val="52675E12"/>
    <w:rsid w:val="52890D01"/>
    <w:rsid w:val="529D37FA"/>
    <w:rsid w:val="52AC274C"/>
    <w:rsid w:val="53290870"/>
    <w:rsid w:val="53C57451"/>
    <w:rsid w:val="540957A8"/>
    <w:rsid w:val="542C3A3B"/>
    <w:rsid w:val="542E331A"/>
    <w:rsid w:val="543F5706"/>
    <w:rsid w:val="54686973"/>
    <w:rsid w:val="5481389E"/>
    <w:rsid w:val="54AB2D04"/>
    <w:rsid w:val="54CC107A"/>
    <w:rsid w:val="55203255"/>
    <w:rsid w:val="55456219"/>
    <w:rsid w:val="55AE4DD6"/>
    <w:rsid w:val="55C44BDF"/>
    <w:rsid w:val="56270310"/>
    <w:rsid w:val="564C020F"/>
    <w:rsid w:val="56513527"/>
    <w:rsid w:val="565250AC"/>
    <w:rsid w:val="569F5E2D"/>
    <w:rsid w:val="57805D82"/>
    <w:rsid w:val="57C96BD5"/>
    <w:rsid w:val="57F268AD"/>
    <w:rsid w:val="585739EE"/>
    <w:rsid w:val="59720D19"/>
    <w:rsid w:val="59A94CD2"/>
    <w:rsid w:val="59B2243E"/>
    <w:rsid w:val="5A041F9C"/>
    <w:rsid w:val="5A2B5127"/>
    <w:rsid w:val="5A5534F6"/>
    <w:rsid w:val="5B1F1431"/>
    <w:rsid w:val="5B296730"/>
    <w:rsid w:val="5B6B4F9B"/>
    <w:rsid w:val="5B884552"/>
    <w:rsid w:val="5BB5334F"/>
    <w:rsid w:val="5BD13050"/>
    <w:rsid w:val="5C0761AA"/>
    <w:rsid w:val="5C3D2493"/>
    <w:rsid w:val="5C521715"/>
    <w:rsid w:val="5CF3349A"/>
    <w:rsid w:val="5D017A47"/>
    <w:rsid w:val="5D2D075A"/>
    <w:rsid w:val="5D812E10"/>
    <w:rsid w:val="5F0955FB"/>
    <w:rsid w:val="5F4366D9"/>
    <w:rsid w:val="5F4B3AE6"/>
    <w:rsid w:val="600A6B30"/>
    <w:rsid w:val="606D5311"/>
    <w:rsid w:val="60CE3C62"/>
    <w:rsid w:val="60E50004"/>
    <w:rsid w:val="60F375C4"/>
    <w:rsid w:val="616C7377"/>
    <w:rsid w:val="61814ADC"/>
    <w:rsid w:val="61840B64"/>
    <w:rsid w:val="62127F1E"/>
    <w:rsid w:val="62382C12"/>
    <w:rsid w:val="626B5568"/>
    <w:rsid w:val="62835C1F"/>
    <w:rsid w:val="62FD297C"/>
    <w:rsid w:val="63073F23"/>
    <w:rsid w:val="632C14B3"/>
    <w:rsid w:val="635D2BC7"/>
    <w:rsid w:val="636E38F4"/>
    <w:rsid w:val="637D7A54"/>
    <w:rsid w:val="63BD7310"/>
    <w:rsid w:val="63D81F87"/>
    <w:rsid w:val="640D1975"/>
    <w:rsid w:val="647B63C8"/>
    <w:rsid w:val="64804047"/>
    <w:rsid w:val="64A5366E"/>
    <w:rsid w:val="64B4756A"/>
    <w:rsid w:val="650D2C1F"/>
    <w:rsid w:val="653E102A"/>
    <w:rsid w:val="65F029EA"/>
    <w:rsid w:val="65F628F2"/>
    <w:rsid w:val="65F91B21"/>
    <w:rsid w:val="66584881"/>
    <w:rsid w:val="66A16956"/>
    <w:rsid w:val="672A3D18"/>
    <w:rsid w:val="67332536"/>
    <w:rsid w:val="675A398D"/>
    <w:rsid w:val="67B83316"/>
    <w:rsid w:val="68356714"/>
    <w:rsid w:val="69044A5D"/>
    <w:rsid w:val="6921540C"/>
    <w:rsid w:val="69771DFD"/>
    <w:rsid w:val="69A973BA"/>
    <w:rsid w:val="6A495AAD"/>
    <w:rsid w:val="6A75786C"/>
    <w:rsid w:val="6B2E4CFF"/>
    <w:rsid w:val="6B5D1053"/>
    <w:rsid w:val="6B826114"/>
    <w:rsid w:val="6B9D0F9D"/>
    <w:rsid w:val="6BAA17A4"/>
    <w:rsid w:val="6BDA7CFF"/>
    <w:rsid w:val="6BEE50F7"/>
    <w:rsid w:val="6C58183E"/>
    <w:rsid w:val="6CE24B47"/>
    <w:rsid w:val="6D013C97"/>
    <w:rsid w:val="6D050258"/>
    <w:rsid w:val="6D486EEA"/>
    <w:rsid w:val="6D672F45"/>
    <w:rsid w:val="6DE97216"/>
    <w:rsid w:val="6DFA0AFC"/>
    <w:rsid w:val="6E41629A"/>
    <w:rsid w:val="6E753E70"/>
    <w:rsid w:val="6E93567A"/>
    <w:rsid w:val="6F332507"/>
    <w:rsid w:val="6FD42CB7"/>
    <w:rsid w:val="703146D7"/>
    <w:rsid w:val="70B07280"/>
    <w:rsid w:val="70DF1913"/>
    <w:rsid w:val="70F17741"/>
    <w:rsid w:val="70FA674D"/>
    <w:rsid w:val="724B01DA"/>
    <w:rsid w:val="725441FF"/>
    <w:rsid w:val="72802C82"/>
    <w:rsid w:val="72A41132"/>
    <w:rsid w:val="72C12728"/>
    <w:rsid w:val="72D871FF"/>
    <w:rsid w:val="73102258"/>
    <w:rsid w:val="731E2396"/>
    <w:rsid w:val="734819F2"/>
    <w:rsid w:val="74392CD3"/>
    <w:rsid w:val="744F5002"/>
    <w:rsid w:val="748C3B60"/>
    <w:rsid w:val="74B82C20"/>
    <w:rsid w:val="74D20734"/>
    <w:rsid w:val="74DD5034"/>
    <w:rsid w:val="751A73BE"/>
    <w:rsid w:val="755C12EA"/>
    <w:rsid w:val="756D5080"/>
    <w:rsid w:val="76326989"/>
    <w:rsid w:val="76945B56"/>
    <w:rsid w:val="76A038F3"/>
    <w:rsid w:val="76A10290"/>
    <w:rsid w:val="76E539FB"/>
    <w:rsid w:val="77122F80"/>
    <w:rsid w:val="77471FC0"/>
    <w:rsid w:val="77C44122"/>
    <w:rsid w:val="77C667FC"/>
    <w:rsid w:val="77CC5442"/>
    <w:rsid w:val="78566F3D"/>
    <w:rsid w:val="787C3EEC"/>
    <w:rsid w:val="78FE1ADB"/>
    <w:rsid w:val="7904460D"/>
    <w:rsid w:val="79086911"/>
    <w:rsid w:val="794D3ECF"/>
    <w:rsid w:val="79740C89"/>
    <w:rsid w:val="79944A4E"/>
    <w:rsid w:val="79EF706B"/>
    <w:rsid w:val="7A231252"/>
    <w:rsid w:val="7A3B31B5"/>
    <w:rsid w:val="7A684727"/>
    <w:rsid w:val="7AAB0D1D"/>
    <w:rsid w:val="7ACA26E7"/>
    <w:rsid w:val="7B66200D"/>
    <w:rsid w:val="7B7557C4"/>
    <w:rsid w:val="7BD87E92"/>
    <w:rsid w:val="7C066A89"/>
    <w:rsid w:val="7C9702FC"/>
    <w:rsid w:val="7D41274F"/>
    <w:rsid w:val="7D4461E4"/>
    <w:rsid w:val="7D716851"/>
    <w:rsid w:val="7E091E86"/>
    <w:rsid w:val="7E9A3CF9"/>
    <w:rsid w:val="7EAA6A0A"/>
    <w:rsid w:val="7EB14D95"/>
    <w:rsid w:val="7ED405DD"/>
    <w:rsid w:val="7EDC02B0"/>
    <w:rsid w:val="7EDE54B2"/>
    <w:rsid w:val="7EF33E90"/>
    <w:rsid w:val="7F1720A1"/>
    <w:rsid w:val="7F3F727E"/>
    <w:rsid w:val="7FD36AE7"/>
    <w:rsid w:val="7FE5116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qFormat="1"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qFormat="1"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qFormat="1"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qFormat="1"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qFormat="1"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20" w:after="120"/>
      <w:jc w:val="center"/>
      <w:outlineLvl w:val="0"/>
    </w:pPr>
    <w:rPr>
      <w:b/>
      <w:bCs/>
      <w:kern w:val="44"/>
      <w:sz w:val="44"/>
      <w:szCs w:val="44"/>
    </w:rPr>
  </w:style>
  <w:style w:type="paragraph" w:styleId="3">
    <w:name w:val="heading 2"/>
    <w:basedOn w:val="1"/>
    <w:next w:val="1"/>
    <w:qFormat/>
    <w:uiPriority w:val="0"/>
    <w:pPr>
      <w:keepNext/>
      <w:keepLines/>
      <w:spacing w:before="260" w:beforeLines="0" w:after="260" w:afterLines="0" w:line="413" w:lineRule="auto"/>
      <w:outlineLvl w:val="1"/>
    </w:pPr>
    <w:rPr>
      <w:rFonts w:ascii="Arial" w:hAnsi="Arial" w:eastAsia="黑体"/>
      <w:b/>
      <w:bCs/>
      <w:sz w:val="32"/>
      <w:szCs w:val="32"/>
    </w:rPr>
  </w:style>
  <w:style w:type="paragraph" w:styleId="4">
    <w:name w:val="heading 9"/>
    <w:basedOn w:val="1"/>
    <w:next w:val="1"/>
    <w:unhideWhenUsed/>
    <w:qFormat/>
    <w:uiPriority w:val="9"/>
    <w:pPr>
      <w:keepNext/>
      <w:keepLines/>
      <w:spacing w:before="240" w:after="64" w:line="320" w:lineRule="auto"/>
      <w:outlineLvl w:val="8"/>
    </w:pPr>
    <w:rPr>
      <w:rFonts w:asciiTheme="majorHAnsi" w:hAnsiTheme="majorHAnsi" w:eastAsiaTheme="majorEastAsia" w:cstheme="majorBidi"/>
      <w:sz w:val="21"/>
      <w:szCs w:val="21"/>
      <w:lang w:eastAsia="en-US"/>
    </w:rPr>
  </w:style>
  <w:style w:type="character" w:default="1" w:styleId="21">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firstLineChars="200"/>
    </w:pPr>
    <w:rPr>
      <w:rFonts w:eastAsia="宋体"/>
      <w:kern w:val="2"/>
      <w:sz w:val="21"/>
      <w:szCs w:val="24"/>
      <w:lang w:val="en-US" w:eastAsia="zh-CN" w:bidi="ar-SA"/>
    </w:rPr>
  </w:style>
  <w:style w:type="paragraph" w:styleId="6">
    <w:name w:val="annotation text"/>
    <w:basedOn w:val="1"/>
    <w:qFormat/>
    <w:uiPriority w:val="0"/>
    <w:pPr>
      <w:jc w:val="left"/>
    </w:pPr>
  </w:style>
  <w:style w:type="paragraph" w:styleId="7">
    <w:name w:val="Closing"/>
    <w:basedOn w:val="1"/>
    <w:qFormat/>
    <w:uiPriority w:val="0"/>
    <w:pPr>
      <w:jc w:val="right"/>
    </w:pPr>
    <w:rPr>
      <w:rFonts w:ascii="Century" w:hAnsi="Century" w:eastAsia="MS Mincho"/>
      <w:lang w:eastAsia="ja-JP"/>
    </w:rPr>
  </w:style>
  <w:style w:type="paragraph" w:styleId="8">
    <w:name w:val="Body Text"/>
    <w:basedOn w:val="1"/>
    <w:qFormat/>
    <w:uiPriority w:val="0"/>
    <w:pPr>
      <w:spacing w:after="120"/>
    </w:pPr>
  </w:style>
  <w:style w:type="paragraph" w:styleId="9">
    <w:name w:val="Plain Text"/>
    <w:basedOn w:val="1"/>
    <w:qFormat/>
    <w:uiPriority w:val="0"/>
    <w:rPr>
      <w:rFonts w:ascii="宋体" w:hAnsi="Courier New"/>
      <w:szCs w:val="20"/>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2">
    <w:name w:val="Normal (Web)"/>
    <w:basedOn w:val="1"/>
    <w:qFormat/>
    <w:uiPriority w:val="0"/>
    <w:rPr>
      <w:sz w:val="24"/>
    </w:rPr>
  </w:style>
  <w:style w:type="paragraph" w:styleId="13">
    <w:name w:val="Body Text First Indent"/>
    <w:basedOn w:val="8"/>
    <w:unhideWhenUsed/>
    <w:qFormat/>
    <w:uiPriority w:val="99"/>
    <w:pPr>
      <w:ind w:firstLine="420" w:firstLineChars="100"/>
    </w:p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6">
    <w:name w:val="Table Colorful 3"/>
    <w:basedOn w:val="14"/>
    <w:qFormat/>
    <w:uiPriority w:val="0"/>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7">
    <w:name w:val="Table Elegant"/>
    <w:basedOn w:val="14"/>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8">
    <w:name w:val="Table Simple 3"/>
    <w:basedOn w:val="14"/>
    <w:qFormat/>
    <w:uiPriority w:val="0"/>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9">
    <w:name w:val="Table Grid 7"/>
    <w:basedOn w:val="14"/>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20">
    <w:name w:val="Table Web 2"/>
    <w:basedOn w:val="14"/>
    <w:qFormat/>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character" w:styleId="22">
    <w:name w:val="Strong"/>
    <w:basedOn w:val="21"/>
    <w:qFormat/>
    <w:uiPriority w:val="0"/>
    <w:rPr>
      <w:rFonts w:cs="Times New Roman"/>
      <w:b/>
      <w:bCs/>
    </w:rPr>
  </w:style>
  <w:style w:type="character" w:styleId="23">
    <w:name w:val="page number"/>
    <w:basedOn w:val="21"/>
    <w:qFormat/>
    <w:uiPriority w:val="0"/>
  </w:style>
  <w:style w:type="character" w:styleId="24">
    <w:name w:val="Emphasis"/>
    <w:basedOn w:val="21"/>
    <w:qFormat/>
    <w:uiPriority w:val="0"/>
    <w:rPr>
      <w:i/>
    </w:rPr>
  </w:style>
  <w:style w:type="paragraph" w:styleId="25">
    <w:name w:val="Quote"/>
    <w:basedOn w:val="1"/>
    <w:next w:val="1"/>
    <w:qFormat/>
    <w:uiPriority w:val="29"/>
    <w:rPr>
      <w:i/>
      <w:iCs/>
      <w:color w:val="000000"/>
    </w:rPr>
  </w:style>
  <w:style w:type="paragraph" w:customStyle="1" w:styleId="26">
    <w:name w:val="样式 首行缩进:  2 字符"/>
    <w:basedOn w:val="1"/>
    <w:qFormat/>
    <w:uiPriority w:val="0"/>
    <w:pPr>
      <w:spacing w:line="400" w:lineRule="exact"/>
      <w:ind w:firstLine="200" w:firstLineChars="200"/>
    </w:pPr>
    <w:rPr>
      <w:rFonts w:cs="宋体"/>
      <w:sz w:val="24"/>
    </w:rPr>
  </w:style>
  <w:style w:type="character" w:customStyle="1" w:styleId="27">
    <w:name w:val="页眉 Char"/>
    <w:link w:val="11"/>
    <w:qFormat/>
    <w:uiPriority w:val="0"/>
    <w:rPr>
      <w:kern w:val="2"/>
      <w:sz w:val="18"/>
      <w:szCs w:val="18"/>
    </w:rPr>
  </w:style>
  <w:style w:type="paragraph" w:customStyle="1" w:styleId="28">
    <w:name w:val="标题 5（有编号）（绿盟科技）"/>
    <w:basedOn w:val="1"/>
    <w:next w:val="29"/>
    <w:qFormat/>
    <w:uiPriority w:val="0"/>
    <w:pPr>
      <w:keepNext/>
      <w:keepLines/>
      <w:numPr>
        <w:ilvl w:val="4"/>
        <w:numId w:val="1"/>
      </w:numPr>
      <w:tabs>
        <w:tab w:val="left" w:pos="0"/>
      </w:tabs>
      <w:spacing w:before="280" w:after="156" w:line="377" w:lineRule="auto"/>
      <w:jc w:val="left"/>
      <w:outlineLvl w:val="4"/>
    </w:pPr>
    <w:rPr>
      <w:rFonts w:ascii="Arial" w:hAnsi="Arial" w:eastAsia="黑体"/>
      <w:b/>
      <w:kern w:val="0"/>
      <w:sz w:val="24"/>
      <w:szCs w:val="28"/>
    </w:rPr>
  </w:style>
  <w:style w:type="paragraph" w:customStyle="1" w:styleId="29">
    <w:name w:val="正文（绿盟科技）"/>
    <w:next w:val="1"/>
    <w:qFormat/>
    <w:uiPriority w:val="0"/>
    <w:pPr>
      <w:spacing w:line="300" w:lineRule="auto"/>
    </w:pPr>
    <w:rPr>
      <w:rFonts w:ascii="Arial" w:hAnsi="Arial" w:eastAsia="宋体" w:cs="黑体"/>
      <w:sz w:val="21"/>
      <w:szCs w:val="21"/>
      <w:lang w:val="en-US" w:eastAsia="zh-CN" w:bidi="ar-SA"/>
    </w:rPr>
  </w:style>
  <w:style w:type="paragraph" w:customStyle="1" w:styleId="30">
    <w:name w:val="正文11"/>
    <w:qFormat/>
    <w:uiPriority w:val="3"/>
    <w:pPr>
      <w:widowControl w:val="0"/>
      <w:suppressAutoHyphens w:val="0"/>
      <w:bidi w:val="0"/>
      <w:spacing w:before="0" w:after="0" w:line="312" w:lineRule="atLeast"/>
      <w:jc w:val="both"/>
      <w:textAlignment w:val="baseline"/>
    </w:pPr>
    <w:rPr>
      <w:rFonts w:ascii="宋体" w:hAnsi="宋体" w:eastAsia="宋体" w:cs="Times New Roman"/>
      <w:color w:val="auto"/>
      <w:kern w:val="0"/>
      <w:sz w:val="34"/>
      <w:szCs w:val="22"/>
      <w:lang w:val="en-US" w:eastAsia="zh-CN" w:bidi="ar-SA"/>
    </w:rPr>
  </w:style>
  <w:style w:type="paragraph" w:customStyle="1" w:styleId="31">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2">
    <w:name w:val="font11"/>
    <w:basedOn w:val="21"/>
    <w:qFormat/>
    <w:uiPriority w:val="0"/>
    <w:rPr>
      <w:rFonts w:hint="eastAsia" w:ascii="宋体" w:hAnsi="宋体" w:eastAsia="宋体" w:cs="宋体"/>
      <w:color w:val="000000"/>
      <w:sz w:val="22"/>
      <w:szCs w:val="22"/>
      <w:u w:val="none"/>
    </w:rPr>
  </w:style>
  <w:style w:type="character" w:customStyle="1" w:styleId="33">
    <w:name w:val="font21"/>
    <w:basedOn w:val="21"/>
    <w:qFormat/>
    <w:uiPriority w:val="0"/>
    <w:rPr>
      <w:rFonts w:hint="eastAsia" w:ascii="宋体" w:hAnsi="宋体" w:eastAsia="宋体" w:cs="宋体"/>
      <w:color w:val="000000"/>
      <w:sz w:val="21"/>
      <w:szCs w:val="21"/>
      <w:u w:val="none"/>
    </w:rPr>
  </w:style>
  <w:style w:type="character" w:customStyle="1" w:styleId="34">
    <w:name w:val="font31"/>
    <w:basedOn w:val="21"/>
    <w:qFormat/>
    <w:uiPriority w:val="0"/>
    <w:rPr>
      <w:rFonts w:hint="eastAsia" w:ascii="宋体" w:hAnsi="宋体" w:eastAsia="宋体" w:cs="宋体"/>
      <w:color w:val="000000"/>
      <w:sz w:val="24"/>
      <w:szCs w:val="24"/>
      <w:u w:val="none"/>
      <w:vertAlign w:val="subscript"/>
    </w:rPr>
  </w:style>
  <w:style w:type="paragraph" w:customStyle="1" w:styleId="35">
    <w:name w:val="投标书"/>
    <w:basedOn w:val="36"/>
    <w:qFormat/>
    <w:uiPriority w:val="1"/>
    <w:pPr>
      <w:widowControl/>
      <w:ind w:left="360" w:firstLine="0"/>
      <w:jc w:val="center"/>
    </w:pPr>
    <w:rPr>
      <w:b/>
      <w:kern w:val="0"/>
      <w:sz w:val="44"/>
      <w:szCs w:val="44"/>
      <w:lang w:eastAsia="en-US"/>
    </w:rPr>
  </w:style>
  <w:style w:type="paragraph" w:styleId="36">
    <w:name w:val="List Paragraph"/>
    <w:basedOn w:val="1"/>
    <w:qFormat/>
    <w:uiPriority w:val="34"/>
    <w:pPr>
      <w:ind w:firstLine="420"/>
    </w:pPr>
  </w:style>
  <w:style w:type="paragraph" w:customStyle="1" w:styleId="37">
    <w:name w:val="Table Text"/>
    <w:basedOn w:val="1"/>
    <w:autoRedefine/>
    <w:semiHidden/>
    <w:qFormat/>
    <w:uiPriority w:val="0"/>
    <w:rPr>
      <w:rFonts w:ascii="宋体" w:hAnsi="宋体" w:eastAsia="宋体" w:cs="宋体"/>
      <w:sz w:val="14"/>
      <w:szCs w:val="14"/>
      <w:lang w:val="en-US" w:eastAsia="en-US" w:bidi="ar-SA"/>
    </w:rPr>
  </w:style>
  <w:style w:type="table" w:customStyle="1" w:styleId="38">
    <w:name w:val="Table Normal"/>
    <w:autoRedefine/>
    <w:semiHidden/>
    <w:unhideWhenUsed/>
    <w:qFormat/>
    <w:uiPriority w:val="0"/>
    <w:tblPr>
      <w:tblCellMar>
        <w:top w:w="0" w:type="dxa"/>
        <w:left w:w="0" w:type="dxa"/>
        <w:bottom w:w="0" w:type="dxa"/>
        <w:right w:w="0" w:type="dxa"/>
      </w:tblCellMar>
    </w:tblPr>
  </w:style>
  <w:style w:type="paragraph" w:customStyle="1" w:styleId="39">
    <w:name w:val="13、表格内居中正文"/>
    <w:basedOn w:val="1"/>
    <w:qFormat/>
    <w:uiPriority w:val="0"/>
    <w:pPr>
      <w:tabs>
        <w:tab w:val="left" w:pos="0"/>
      </w:tabs>
      <w:wordWrap w:val="0"/>
      <w:topLinePunct/>
      <w:spacing w:line="360" w:lineRule="exact"/>
      <w:jc w:val="center"/>
    </w:pPr>
  </w:style>
  <w:style w:type="character" w:customStyle="1" w:styleId="40">
    <w:name w:val="font61"/>
    <w:basedOn w:val="21"/>
    <w:qFormat/>
    <w:uiPriority w:val="0"/>
    <w:rPr>
      <w:rFonts w:hint="eastAsia" w:ascii="宋体" w:hAnsi="宋体" w:eastAsia="宋体" w:cs="宋体"/>
      <w:b/>
      <w:bCs/>
      <w:color w:val="000000"/>
      <w:sz w:val="18"/>
      <w:szCs w:val="18"/>
      <w:u w:val="none"/>
    </w:rPr>
  </w:style>
  <w:style w:type="paragraph" w:customStyle="1" w:styleId="41">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42">
    <w:name w:val="font01"/>
    <w:basedOn w:val="21"/>
    <w:qFormat/>
    <w:uiPriority w:val="0"/>
    <w:rPr>
      <w:rFonts w:hint="eastAsia" w:ascii="宋体" w:hAnsi="宋体" w:eastAsia="宋体" w:cs="宋体"/>
      <w:color w:val="000000"/>
      <w:sz w:val="22"/>
      <w:szCs w:val="22"/>
      <w:u w:val="none"/>
    </w:rPr>
  </w:style>
  <w:style w:type="paragraph" w:customStyle="1" w:styleId="43">
    <w:name w:val="null3"/>
    <w:hidden/>
    <w:qFormat/>
    <w:uiPriority w:val="0"/>
    <w:rPr>
      <w:rFonts w:hint="eastAsia" w:asciiTheme="minorHAnsi" w:hAnsiTheme="minorHAnsi" w:eastAsiaTheme="minorEastAsia" w:cstheme="minorBidi"/>
      <w:lang w:val="en-US" w:eastAsia="zh-Hans"/>
    </w:rPr>
  </w:style>
  <w:style w:type="paragraph" w:customStyle="1" w:styleId="44">
    <w:name w:val="Table Paragraph"/>
    <w:basedOn w:val="1"/>
    <w:qFormat/>
    <w:uiPriority w:val="1"/>
    <w:rPr>
      <w:rFonts w:ascii="华文中宋" w:hAnsi="华文中宋" w:eastAsia="华文中宋" w:cs="华文中宋"/>
      <w:lang w:val="zh-CN" w:eastAsia="zh-CN" w:bidi="zh-CN"/>
    </w:rPr>
  </w:style>
  <w:style w:type="character" w:customStyle="1" w:styleId="45">
    <w:name w:val="font41"/>
    <w:basedOn w:val="21"/>
    <w:qFormat/>
    <w:uiPriority w:val="0"/>
    <w:rPr>
      <w:rFonts w:hint="default" w:ascii="Calibri" w:hAnsi="Calibri" w:cs="Calibri"/>
      <w:color w:val="000000"/>
      <w:sz w:val="21"/>
      <w:szCs w:val="21"/>
      <w:u w:val="none"/>
    </w:rPr>
  </w:style>
  <w:style w:type="character" w:customStyle="1" w:styleId="46">
    <w:name w:val="font71"/>
    <w:basedOn w:val="21"/>
    <w:qFormat/>
    <w:uiPriority w:val="0"/>
    <w:rPr>
      <w:rFonts w:hint="eastAsia" w:ascii="宋体" w:hAnsi="宋体" w:eastAsia="宋体" w:cs="宋体"/>
      <w:color w:val="FF0000"/>
      <w:sz w:val="20"/>
      <w:szCs w:val="20"/>
      <w:u w:val="none"/>
    </w:rPr>
  </w:style>
  <w:style w:type="paragraph" w:customStyle="1" w:styleId="47">
    <w:name w:val="装箱单－表头"/>
    <w:basedOn w:val="1"/>
    <w:qFormat/>
    <w:uiPriority w:val="0"/>
    <w:pPr>
      <w:spacing w:line="240" w:lineRule="atLeast"/>
      <w:jc w:val="center"/>
    </w:pPr>
    <w:rPr>
      <w:rFonts w:ascii="Calibri" w:hAnsi="Calibri" w:eastAsia="黑体" w:cs="宋体"/>
      <w:kern w:val="24"/>
      <w:sz w:val="24"/>
      <w:szCs w:val="20"/>
    </w:rPr>
  </w:style>
  <w:style w:type="paragraph" w:customStyle="1" w:styleId="48">
    <w:name w:val="装箱单－表格正文"/>
    <w:basedOn w:val="1"/>
    <w:qFormat/>
    <w:uiPriority w:val="0"/>
    <w:pPr>
      <w:spacing w:line="240" w:lineRule="atLeast"/>
      <w:jc w:val="center"/>
    </w:pPr>
    <w:rPr>
      <w:rFonts w:ascii="Calibri" w:hAnsi="Calibri" w:eastAsia="宋体" w:cs="宋体"/>
      <w:kern w:val="24"/>
      <w:sz w:val="24"/>
      <w:szCs w:val="20"/>
    </w:rPr>
  </w:style>
  <w:style w:type="paragraph" w:customStyle="1" w:styleId="49">
    <w:name w:val="17“1.”四级标题"/>
    <w:basedOn w:val="50"/>
    <w:qFormat/>
    <w:uiPriority w:val="0"/>
    <w:pPr>
      <w:numPr>
        <w:ilvl w:val="3"/>
        <w:numId w:val="2"/>
      </w:numPr>
      <w:ind w:firstLine="803" w:firstLineChars="200"/>
    </w:pPr>
    <w:rPr>
      <w:rFonts w:ascii="宋体" w:hAnsi="宋体" w:eastAsia="宋体"/>
    </w:rPr>
  </w:style>
  <w:style w:type="paragraph" w:customStyle="1" w:styleId="50">
    <w:name w:val="02、首行缩进2字符正文"/>
    <w:basedOn w:val="1"/>
    <w:qFormat/>
    <w:uiPriority w:val="0"/>
    <w:pPr>
      <w:tabs>
        <w:tab w:val="left" w:pos="0"/>
      </w:tabs>
      <w:wordWrap w:val="0"/>
      <w:topLinePunct/>
      <w:ind w:firstLine="480" w:firstLineChars="200"/>
    </w:pPr>
    <w:rPr>
      <w:rFonts w:ascii="宋体" w:hAnsi="宋体" w:eastAsia="宋体"/>
    </w:rPr>
  </w:style>
  <w:style w:type="paragraph" w:customStyle="1" w:styleId="51">
    <w:name w:val="12、表格内左对齐正文"/>
    <w:basedOn w:val="1"/>
    <w:qFormat/>
    <w:uiPriority w:val="0"/>
    <w:pPr>
      <w:tabs>
        <w:tab w:val="left" w:pos="0"/>
      </w:tabs>
      <w:wordWrap w:val="0"/>
      <w:topLinePunct/>
      <w:spacing w:line="360" w:lineRule="exact"/>
      <w:ind w:left="48" w:leftChars="20" w:firstLine="0" w:firstLineChars="0"/>
    </w:pPr>
    <w:rPr>
      <w:rFonts w:ascii="宋体" w:hAnsi="宋体" w:eastAsia="宋体"/>
      <w:snapToGrid w:val="0"/>
      <w:sz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4212</Words>
  <Characters>4286</Characters>
  <Lines>26</Lines>
  <Paragraphs>7</Paragraphs>
  <TotalTime>22</TotalTime>
  <ScaleCrop>false</ScaleCrop>
  <LinksUpToDate>false</LinksUpToDate>
  <CharactersWithSpaces>4642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2020-07-02T03:59:00Z</dcterms:created>
  <dc:creator>Administrator</dc:creator>
  <cp:lastModifiedBy>黄焰</cp:lastModifiedBy>
  <cp:lastPrinted>2025-07-11T09:01:00Z</cp:lastPrinted>
  <dcterms:modified xsi:type="dcterms:W3CDTF">2026-01-19T10:07:04Z</dcterms:modified>
  <dc:title>宜宾市第二人民医院</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414809411929416B8B69E2C9D26D75FB_13</vt:lpwstr>
  </property>
  <property fmtid="{D5CDD505-2E9C-101B-9397-08002B2CF9AE}" pid="4" name="KSOTemplateDocerSaveRecord">
    <vt:lpwstr>eyJoZGlkIjoiMmQ3ZDcwM2Q3MDNhY2ZmZGU1NTVmNzMxODgwZGYwMzIiLCJ1c2VySWQiOiIzMTM2ODA0MzQifQ==</vt:lpwstr>
  </property>
</Properties>
</file>