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版本号：N511501202600015820260526001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手术动力系统采购项目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N5115012026000158</w:t>
      </w:r>
    </w:p>
    <w:p>
      <w:pPr>
        <w:pStyle w:val="null3"/>
        <w:jc w:val="left"/>
        <w:outlineLvl w:val="2"/>
      </w:pPr>
      <w:r>
        <w:rPr>
          <w:rFonts w:ascii="仿宋_GB2312" w:hAnsi="仿宋_GB2312" w:cs="仿宋_GB2312" w:eastAsia="仿宋_GB2312"/>
          <w:sz w:val="28"/>
          <w:b/>
        </w:rPr>
        <w:t>宜宾市第二人民医院</w:t>
      </w:r>
    </w:p>
    <w:p>
      <w:pPr>
        <w:pStyle w:val="null3"/>
        <w:jc w:val="center"/>
        <w:outlineLvl w:val="2"/>
      </w:pPr>
      <w:r>
        <w:rPr>
          <w:rFonts w:ascii="仿宋_GB2312" w:hAnsi="仿宋_GB2312" w:cs="仿宋_GB2312" w:eastAsia="仿宋_GB2312"/>
          <w:sz w:val="28"/>
          <w:b/>
        </w:rPr>
        <w:t>宜宾市公服集团医疗健康产业发展有限公司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（以下简称“代理机构”）受 </w:t>
      </w:r>
      <w:r>
        <w:rPr>
          <w:rFonts w:ascii="仿宋_GB2312" w:hAnsi="仿宋_GB2312" w:cs="仿宋_GB2312" w:eastAsia="仿宋_GB2312"/>
        </w:rPr>
        <w:t>宜宾市第二人民医院</w:t>
      </w:r>
      <w:r>
        <w:rPr>
          <w:rFonts w:ascii="仿宋_GB2312" w:hAnsi="仿宋_GB2312" w:cs="仿宋_GB2312" w:eastAsia="仿宋_GB2312"/>
        </w:rPr>
        <w:t xml:space="preserve"> 委托，拟对 </w:t>
      </w:r>
      <w:r>
        <w:rPr>
          <w:rFonts w:ascii="仿宋_GB2312" w:hAnsi="仿宋_GB2312" w:cs="仿宋_GB2312" w:eastAsia="仿宋_GB2312"/>
        </w:rPr>
        <w:t>手术动力系统采购项目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宜宾市市本级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N5115012026000158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手术动力系统采购项目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医疗设备采购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供应商）须符合《医疗器械监督管理条例》要求并提供有效的中华人民共和国医疗器械生产或经营许可证或备案证明材料（已提供包含二类备案的多证合一营业执照的供应商除外）。（描述：投标人（供应商）须符合《医疗器械监督管理条例》要求并提供有效的中华人民共和国医疗器械生产或经营许可证或备案证明材料（已提供包含二类备案的多证合一营业执照的供应商除外）。）</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宜宾市第二人民医院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宜宾市翠屏区北大街96号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谭老师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0831-8255048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宜宾市公服集团医疗健康产业发展有限公司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宜宾市叙州区南岸街道三江明珠2幢2单元6楼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0831-2370510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采购包1：620,000.00元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1.交款时间：中标通知书发放后，政府采购合同签订前。投标人未按照采购文件的规定交纳履约保证金，且又无正当理由的，将视为放弃中标。</w:t>
              <w:br/>
              <w:t>注：提供保函的担保机构必须是依法成立的具有相关资质和偿付能力的担保机构。保函是银行等金融机构出具的，保函必须要在中国人民银行征信系统能够进行查询，否则将取消中标资格，采购人将重新确定中标人，并依法追究法律责任。</w:t>
              <w:br/>
              <w:t>2.履约保证金退还时间及方式：投标人完成合同约定的所有内容并经采购人验收合格后10日内，由采购人一次性无息退还至中标人。</w:t>
              <w:br/>
              <w:t>3.履约保证金不予退还情形：①中标人不履行与采购人订立的合同的，履约保证金不予退还，给采购人造成的损失超过履约保证金数额的，还应当对超过部分予以赔偿。②项目验收结果不合格的，履约保证金将不予退还。③其他违反国家相关法律法规的情形。</w:t>
              <w:br/>
              <w:t>4.履约保证金不予退还的，将按照有关规定上缴国库。逾期退还履约保证金的，将依法承担法律责任，并赔偿投标人损失。</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代理服务费收费标准：成本支出加合理利润原则确定。1. 以实际成交金额为计费基数(采用单价招标的以采购预算为计费基数)，计算标准为：100万元以下按成交金额的1.5%，代理服务费按差额定率累进法计算后下浮20%收取，下浮后不足4000元的按4000元计取。2. 开户银行:工行宜宾南岸支行；开户名称:宜宾市公服集团医疗健康产业发展有限公司；账号:2314505119100135371</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宜宾市第二人民医院</w:t>
      </w:r>
      <w:r>
        <w:rPr>
          <w:rFonts w:ascii="仿宋_GB2312" w:hAnsi="仿宋_GB2312" w:cs="仿宋_GB2312" w:eastAsia="仿宋_GB2312"/>
        </w:rPr>
        <w:t xml:space="preserve"> 和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宜宾市第二人民医院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包括采购内容、具体技术参数指标(技术服务要求)、商务条件、售后服务等涉及本项目建设质量的所有内容。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如发现所提供的服务不符合标准及合同规定之情形者，采购人应做出详尽的现场记录，或由采购双方签署备忘录，此现场记录或备忘录可用作补充、缺失和整改的有效证据，由此产生的时间延误与有关费用由投标人承担，验收期限相应顺延； 2.如验收合格，双方签署验收凭证； 3.项目验收结果合格的，投标人凭《验收凭证》办理相关手续；验收不合格且拒不整改的，将不予支付采购资金，还可能上报本项目同级财政部门按照政府采购法律法规等有关规定给予行政处罚。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包括每一项技术和商务要求的履约情况)、投标人的投标文件及承诺与本合同约定标准进行验收；采购双方如对质量要求和技术指标的约定标准有相互抵触或异议的事项，由采购人在国家有关规定、采购文件、投标文件及承诺与采购合同约定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 号)及招标文件相关规定组织验收。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宜宾市第二人民医院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联系人：谭老师</w:t>
      </w:r>
    </w:p>
    <w:p>
      <w:pPr>
        <w:pStyle w:val="null3"/>
        <w:jc w:val="left"/>
      </w:pPr>
      <w:r>
        <w:rPr>
          <w:rFonts w:ascii="仿宋_GB2312" w:hAnsi="仿宋_GB2312" w:cs="仿宋_GB2312" w:eastAsia="仿宋_GB2312"/>
        </w:rPr>
        <w:t>联系电话：0831-8255048</w:t>
      </w:r>
    </w:p>
    <w:p>
      <w:pPr>
        <w:pStyle w:val="null3"/>
        <w:jc w:val="left"/>
      </w:pPr>
      <w:r>
        <w:rPr>
          <w:rFonts w:ascii="仿宋_GB2312" w:hAnsi="仿宋_GB2312" w:cs="仿宋_GB2312" w:eastAsia="仿宋_GB2312"/>
        </w:rPr>
        <w:t>地址：宜宾市翠屏区北大街96号</w:t>
      </w:r>
    </w:p>
    <w:p>
      <w:pPr>
        <w:pStyle w:val="null3"/>
        <w:jc w:val="left"/>
      </w:pPr>
      <w:r>
        <w:rPr>
          <w:rFonts w:ascii="仿宋_GB2312" w:hAnsi="仿宋_GB2312" w:cs="仿宋_GB2312" w:eastAsia="仿宋_GB2312"/>
        </w:rPr>
        <w:t>邮编：644000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联系人：黄老师</w:t>
      </w:r>
    </w:p>
    <w:p>
      <w:pPr>
        <w:pStyle w:val="null3"/>
        <w:jc w:val="left"/>
      </w:pPr>
      <w:r>
        <w:rPr>
          <w:rFonts w:ascii="仿宋_GB2312" w:hAnsi="仿宋_GB2312" w:cs="仿宋_GB2312" w:eastAsia="仿宋_GB2312"/>
        </w:rPr>
        <w:t>联系电话：0831-2370510</w:t>
      </w:r>
    </w:p>
    <w:p>
      <w:pPr>
        <w:pStyle w:val="null3"/>
        <w:jc w:val="left"/>
      </w:pPr>
      <w:r>
        <w:rPr>
          <w:rFonts w:ascii="仿宋_GB2312" w:hAnsi="仿宋_GB2312" w:cs="仿宋_GB2312" w:eastAsia="仿宋_GB2312"/>
        </w:rPr>
        <w:t>地址：宜宾市叙州区南岸街道三江明珠2幢2单元6楼613室</w:t>
      </w:r>
    </w:p>
    <w:p>
      <w:pPr>
        <w:pStyle w:val="null3"/>
        <w:jc w:val="left"/>
      </w:pPr>
      <w:r>
        <w:rPr>
          <w:rFonts w:ascii="仿宋_GB2312" w:hAnsi="仿宋_GB2312" w:cs="仿宋_GB2312" w:eastAsia="仿宋_GB2312"/>
        </w:rPr>
        <w:t>邮编：644000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620,000.00</w:t>
      </w:r>
    </w:p>
    <w:p>
      <w:pPr>
        <w:pStyle w:val="null3"/>
        <w:jc w:val="left"/>
      </w:pPr>
      <w:r>
        <w:rPr>
          <w:rFonts w:ascii="仿宋_GB2312" w:hAnsi="仿宋_GB2312" w:cs="仿宋_GB2312" w:eastAsia="仿宋_GB2312"/>
        </w:rPr>
        <w:t>采购包最高限价（元）: 620,000.00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手术动力系统</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620,000.00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手术动力系统</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620,000.00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手术动力系统</w:t>
            </w:r>
          </w:p>
        </w:tc>
        <w:tc>
          <w:tcPr>
            <w:tcW w:type="dxa" w:w="2492"/>
          </w:tcPr>
          <w:p>
            <w:pPr>
              <w:pStyle w:val="null3"/>
              <w:jc w:val="left"/>
            </w:pPr>
            <w:r>
              <w:rPr>
                <w:rFonts w:ascii="仿宋_GB2312" w:hAnsi="仿宋_GB2312" w:cs="仿宋_GB2312" w:eastAsia="仿宋_GB2312"/>
              </w:rPr>
              <w:t>手术动力系統2</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标的名称：手术动力系统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采购标的清单及技术参数要求</w:t>
            </w:r>
          </w:p>
        </w:tc>
        <w:tc>
          <w:tcPr>
            <w:tcW w:type="dxa" w:w="5814"/>
          </w:tcPr>
          <w:p>
            <w:pPr>
              <w:pStyle w:val="null3"/>
              <w:ind w:firstLine="420"/>
              <w:jc w:val="both"/>
            </w:pPr>
            <w:r>
              <w:rPr>
                <w:rFonts w:ascii="仿宋_GB2312" w:hAnsi="仿宋_GB2312" w:cs="仿宋_GB2312" w:eastAsia="仿宋_GB2312"/>
                <w:sz w:val="24"/>
                <w:b/>
              </w:rPr>
              <w:t>一、</w:t>
            </w:r>
            <w:r>
              <w:rPr>
                <w:rFonts w:ascii="仿宋_GB2312" w:hAnsi="仿宋_GB2312" w:cs="仿宋_GB2312" w:eastAsia="仿宋_GB2312"/>
                <w:sz w:val="24"/>
                <w:b/>
              </w:rPr>
              <w:t>★采购标的清单</w:t>
            </w:r>
          </w:p>
          <w:tbl>
            <w:tblPr>
              <w:tblInd w:type="dxa" w:w="135"/>
              <w:tblBorders>
                <w:top w:val="none" w:color="000000" w:sz="4"/>
                <w:left w:val="none" w:color="000000" w:sz="4"/>
                <w:bottom w:val="none" w:color="000000" w:sz="4"/>
                <w:right w:val="none" w:color="000000" w:sz="4"/>
                <w:insideH w:val="none"/>
                <w:insideV w:val="none"/>
              </w:tblBorders>
            </w:tblPr>
            <w:tblGrid>
              <w:gridCol w:w="269"/>
              <w:gridCol w:w="905"/>
              <w:gridCol w:w="389"/>
              <w:gridCol w:w="428"/>
              <w:gridCol w:w="627"/>
              <w:gridCol w:w="595"/>
              <w:gridCol w:w="666"/>
              <w:gridCol w:w="555"/>
              <w:gridCol w:w="587"/>
              <w:gridCol w:w="563"/>
            </w:tblGrid>
            <w:tr>
              <w:tc>
                <w:tcPr>
                  <w:tcW w:type="dxa" w:w="269"/>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序号</w:t>
                  </w:r>
                </w:p>
              </w:tc>
              <w:tc>
                <w:tcPr>
                  <w:tcW w:type="dxa" w:w="90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color w:val="000000"/>
                    </w:rPr>
                    <w:t>标的名称</w:t>
                  </w:r>
                </w:p>
              </w:tc>
              <w:tc>
                <w:tcPr>
                  <w:tcW w:type="dxa" w:w="38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color w:val="000000"/>
                    </w:rPr>
                    <w:t>数量</w:t>
                  </w:r>
                </w:p>
              </w:tc>
              <w:tc>
                <w:tcPr>
                  <w:tcW w:type="dxa" w:w="42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color w:val="000000"/>
                    </w:rPr>
                    <w:t>单位</w:t>
                  </w:r>
                </w:p>
              </w:tc>
              <w:tc>
                <w:tcPr>
                  <w:tcW w:type="dxa" w:w="62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color w:val="000000"/>
                    </w:rPr>
                    <w:t>最高单价限价（万元）</w:t>
                  </w:r>
                </w:p>
              </w:tc>
              <w:tc>
                <w:tcPr>
                  <w:tcW w:type="dxa" w:w="59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color w:val="000000"/>
                    </w:rPr>
                    <w:t>最高</w:t>
                  </w:r>
                  <w:r>
                    <w:rPr>
                      <w:rFonts w:ascii="仿宋_GB2312" w:hAnsi="仿宋_GB2312" w:cs="仿宋_GB2312" w:eastAsia="仿宋_GB2312"/>
                      <w:sz w:val="21"/>
                      <w:b/>
                      <w:color w:val="000000"/>
                    </w:rPr>
                    <w:t>总价</w:t>
                  </w:r>
                  <w:r>
                    <w:rPr>
                      <w:rFonts w:ascii="仿宋_GB2312" w:hAnsi="仿宋_GB2312" w:cs="仿宋_GB2312" w:eastAsia="仿宋_GB2312"/>
                      <w:sz w:val="21"/>
                      <w:b/>
                      <w:color w:val="000000"/>
                    </w:rPr>
                    <w:t>限价</w:t>
                  </w:r>
                  <w:r>
                    <w:rPr>
                      <w:rFonts w:ascii="仿宋_GB2312" w:hAnsi="仿宋_GB2312" w:cs="仿宋_GB2312" w:eastAsia="仿宋_GB2312"/>
                      <w:sz w:val="21"/>
                      <w:b/>
                      <w:color w:val="000000"/>
                    </w:rPr>
                    <w:t>（万元）</w:t>
                  </w:r>
                </w:p>
              </w:tc>
              <w:tc>
                <w:tcPr>
                  <w:tcW w:type="dxa" w:w="66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质保期</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（年）</w:t>
                  </w:r>
                </w:p>
              </w:tc>
              <w:tc>
                <w:tcPr>
                  <w:tcW w:type="dxa" w:w="55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color w:val="000000"/>
                    </w:rPr>
                    <w:t>是否属于医疗器械</w:t>
                  </w:r>
                </w:p>
              </w:tc>
              <w:tc>
                <w:tcPr>
                  <w:tcW w:type="dxa" w:w="58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color w:val="000000"/>
                    </w:rPr>
                    <w:t>是否为特殊产品</w:t>
                  </w:r>
                  <w:r>
                    <w:rPr>
                      <w:rFonts w:ascii="仿宋_GB2312" w:hAnsi="仿宋_GB2312" w:cs="仿宋_GB2312" w:eastAsia="仿宋_GB2312"/>
                      <w:sz w:val="21"/>
                      <w:b/>
                      <w:color w:val="000000"/>
                    </w:rPr>
                    <w:t>(消毒、辐射、特种设备)</w:t>
                  </w:r>
                </w:p>
              </w:tc>
              <w:tc>
                <w:tcPr>
                  <w:tcW w:type="dxa" w:w="56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color w:val="000000"/>
                    </w:rPr>
                    <w:t>备注</w:t>
                  </w:r>
                </w:p>
              </w:tc>
            </w:tr>
            <w:tr>
              <w:tc>
                <w:tcPr>
                  <w:tcW w:type="dxa" w:w="26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1</w:t>
                  </w:r>
                </w:p>
              </w:tc>
              <w:tc>
                <w:tcPr>
                  <w:tcW w:type="dxa" w:w="9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手术动力系統</w:t>
                  </w:r>
                  <w:r>
                    <w:rPr>
                      <w:rFonts w:ascii="仿宋_GB2312" w:hAnsi="仿宋_GB2312" w:cs="仿宋_GB2312" w:eastAsia="仿宋_GB2312"/>
                      <w:sz w:val="21"/>
                      <w:color w:val="000000"/>
                    </w:rPr>
                    <w:t>1</w:t>
                  </w:r>
                </w:p>
              </w:tc>
              <w:tc>
                <w:tcPr>
                  <w:tcW w:type="dxa" w:w="3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1</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台</w:t>
                  </w:r>
                </w:p>
              </w:tc>
              <w:tc>
                <w:tcPr>
                  <w:tcW w:type="dxa" w:w="6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28</w:t>
                  </w:r>
                </w:p>
              </w:tc>
              <w:tc>
                <w:tcPr>
                  <w:tcW w:type="dxa" w:w="5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28</w:t>
                  </w:r>
                </w:p>
              </w:tc>
              <w:tc>
                <w:tcPr>
                  <w:tcW w:type="dxa" w:w="6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3年</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是</w:t>
                  </w:r>
                </w:p>
              </w:tc>
              <w:tc>
                <w:tcPr>
                  <w:tcW w:type="dxa" w:w="5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否</w:t>
                  </w:r>
                </w:p>
              </w:tc>
              <w:tc>
                <w:tcPr>
                  <w:tcW w:type="dxa" w:w="563"/>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color w:val="000000"/>
                    </w:rPr>
                    <w:t>设备</w:t>
                  </w:r>
                  <w:r>
                    <w:rPr>
                      <w:rFonts w:ascii="仿宋_GB2312" w:hAnsi="仿宋_GB2312" w:cs="仿宋_GB2312" w:eastAsia="仿宋_GB2312"/>
                      <w:sz w:val="21"/>
                    </w:rPr>
                    <w:t>使用期内</w:t>
                  </w:r>
                  <w:r>
                    <w:rPr>
                      <w:rFonts w:ascii="仿宋_GB2312" w:hAnsi="仿宋_GB2312" w:cs="仿宋_GB2312" w:eastAsia="仿宋_GB2312"/>
                      <w:sz w:val="21"/>
                      <w:color w:val="000000"/>
                    </w:rPr>
                    <w:t>故障维修期间，根据医院需要提供备用机</w:t>
                  </w:r>
                </w:p>
              </w:tc>
            </w:tr>
            <w:tr>
              <w:tc>
                <w:tcPr>
                  <w:tcW w:type="dxa" w:w="26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2</w:t>
                  </w:r>
                </w:p>
              </w:tc>
              <w:tc>
                <w:tcPr>
                  <w:tcW w:type="dxa" w:w="9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手术动力系統</w:t>
                  </w:r>
                  <w:r>
                    <w:rPr>
                      <w:rFonts w:ascii="仿宋_GB2312" w:hAnsi="仿宋_GB2312" w:cs="仿宋_GB2312" w:eastAsia="仿宋_GB2312"/>
                      <w:sz w:val="21"/>
                      <w:color w:val="000000"/>
                    </w:rPr>
                    <w:t>2</w:t>
                  </w:r>
                </w:p>
              </w:tc>
              <w:tc>
                <w:tcPr>
                  <w:tcW w:type="dxa" w:w="3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1</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台</w:t>
                  </w:r>
                </w:p>
              </w:tc>
              <w:tc>
                <w:tcPr>
                  <w:tcW w:type="dxa" w:w="6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34</w:t>
                  </w:r>
                </w:p>
              </w:tc>
              <w:tc>
                <w:tcPr>
                  <w:tcW w:type="dxa" w:w="5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34</w:t>
                  </w:r>
                </w:p>
              </w:tc>
              <w:tc>
                <w:tcPr>
                  <w:tcW w:type="dxa" w:w="6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3年</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是</w:t>
                  </w:r>
                </w:p>
              </w:tc>
              <w:tc>
                <w:tcPr>
                  <w:tcW w:type="dxa" w:w="5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否</w:t>
                  </w:r>
                </w:p>
              </w:tc>
              <w:tc>
                <w:tcPr>
                  <w:tcW w:type="dxa" w:w="563"/>
                  <w:vMerge/>
                  <w:tcBorders>
                    <w:top w:val="none" w:color="000000" w:sz="4"/>
                    <w:left w:val="none" w:color="000000" w:sz="4"/>
                    <w:bottom w:val="single" w:color="000000" w:sz="4"/>
                    <w:right w:val="single" w:color="000000" w:sz="4"/>
                  </w:tcBorders>
                </w:tcPr>
                <w:p/>
              </w:tc>
            </w:tr>
          </w:tbl>
          <w:p>
            <w:pPr>
              <w:pStyle w:val="null3"/>
              <w:spacing w:before="135" w:after="135"/>
              <w:ind w:left="720"/>
              <w:jc w:val="both"/>
              <w:outlineLvl w:val="2"/>
            </w:pPr>
            <w:r>
              <w:rPr>
                <w:rFonts w:ascii="仿宋_GB2312" w:hAnsi="仿宋_GB2312" w:cs="仿宋_GB2312" w:eastAsia="仿宋_GB2312"/>
                <w:sz w:val="24"/>
                <w:b/>
              </w:rPr>
              <w:t>核心产品：</w:t>
            </w:r>
            <w:r>
              <w:rPr>
                <w:rFonts w:ascii="仿宋_GB2312" w:hAnsi="仿宋_GB2312" w:cs="仿宋_GB2312" w:eastAsia="仿宋_GB2312"/>
                <w:sz w:val="21"/>
                <w:b/>
                <w:color w:val="000000"/>
              </w:rPr>
              <w:t>手术动力系統</w:t>
            </w:r>
            <w:r>
              <w:rPr>
                <w:rFonts w:ascii="仿宋_GB2312" w:hAnsi="仿宋_GB2312" w:cs="仿宋_GB2312" w:eastAsia="仿宋_GB2312"/>
                <w:sz w:val="21"/>
                <w:b/>
                <w:color w:val="000000"/>
              </w:rPr>
              <w:t>2</w:t>
            </w:r>
          </w:p>
          <w:p>
            <w:pPr>
              <w:pStyle w:val="null3"/>
              <w:spacing w:before="135" w:after="135"/>
              <w:ind w:left="720"/>
              <w:jc w:val="both"/>
              <w:outlineLvl w:val="2"/>
            </w:pPr>
            <w:r>
              <w:rPr>
                <w:rFonts w:ascii="仿宋_GB2312" w:hAnsi="仿宋_GB2312" w:cs="仿宋_GB2312" w:eastAsia="仿宋_GB2312"/>
                <w:sz w:val="24"/>
                <w:b/>
              </w:rPr>
              <w:t>二、技术参数要求</w:t>
            </w:r>
          </w:p>
          <w:p>
            <w:pPr>
              <w:pStyle w:val="null3"/>
              <w:jc w:val="center"/>
            </w:pPr>
            <w:r>
              <w:rPr>
                <w:rFonts w:ascii="仿宋_GB2312" w:hAnsi="仿宋_GB2312" w:cs="仿宋_GB2312" w:eastAsia="仿宋_GB2312"/>
                <w:sz w:val="24"/>
                <w:b/>
              </w:rPr>
              <w:t>（一）手术动力系統</w:t>
            </w:r>
            <w:r>
              <w:rPr>
                <w:rFonts w:ascii="仿宋_GB2312" w:hAnsi="仿宋_GB2312" w:cs="仿宋_GB2312" w:eastAsia="仿宋_GB2312"/>
                <w:sz w:val="24"/>
                <w:b/>
              </w:rPr>
              <w:t>1</w:t>
            </w:r>
          </w:p>
          <w:p>
            <w:pPr>
              <w:pStyle w:val="null3"/>
              <w:ind w:left="420"/>
              <w:jc w:val="both"/>
            </w:pPr>
            <w:r>
              <w:rPr>
                <w:rFonts w:ascii="仿宋_GB2312" w:hAnsi="仿宋_GB2312" w:cs="仿宋_GB2312" w:eastAsia="仿宋_GB2312"/>
                <w:sz w:val="24"/>
                <w:color w:val="000000"/>
              </w:rPr>
              <w:t>1.</w:t>
            </w:r>
            <w:r>
              <w:rPr>
                <w:rFonts w:ascii="仿宋_GB2312" w:hAnsi="仿宋_GB2312" w:cs="仿宋_GB2312" w:eastAsia="仿宋_GB2312"/>
                <w:sz w:val="24"/>
                <w:b/>
                <w:color w:val="000000"/>
              </w:rPr>
              <w:t>控制器</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4"/>
              </w:rPr>
              <w:t>1.1.</w:t>
            </w:r>
            <w:r>
              <w:rPr>
                <w:rFonts w:ascii="仿宋_GB2312" w:hAnsi="仿宋_GB2312" w:cs="仿宋_GB2312" w:eastAsia="仿宋_GB2312"/>
                <w:sz w:val="24"/>
              </w:rPr>
              <w:t>彩色触控终端微工作站闭环控制系统</w:t>
            </w:r>
            <w:r>
              <w:rPr>
                <w:rFonts w:ascii="仿宋_GB2312" w:hAnsi="仿宋_GB2312" w:cs="仿宋_GB2312" w:eastAsia="仿宋_GB2312"/>
                <w:sz w:val="24"/>
              </w:rPr>
              <w:t>≥7英寸；</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4"/>
                <w:color w:val="000000"/>
              </w:rPr>
              <w:t>1.2.</w:t>
            </w:r>
            <w:r>
              <w:rPr>
                <w:rFonts w:ascii="仿宋_GB2312" w:hAnsi="仿宋_GB2312" w:cs="仿宋_GB2312" w:eastAsia="仿宋_GB2312"/>
                <w:sz w:val="24"/>
              </w:rPr>
              <w:t>双通道输出；</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4"/>
                <w:color w:val="000000"/>
              </w:rPr>
              <w:t>1.3.</w:t>
            </w:r>
            <w:r>
              <w:rPr>
                <w:rFonts w:ascii="仿宋_GB2312" w:hAnsi="仿宋_GB2312" w:cs="仿宋_GB2312" w:eastAsia="仿宋_GB2312"/>
                <w:sz w:val="24"/>
                <w:color w:val="000000"/>
              </w:rPr>
              <w:t>同一台控制器可完成开颅钻、开颅铣、高速磨钻等功能；</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4"/>
                <w:color w:val="000000"/>
              </w:rPr>
              <w:t>1.4.</w:t>
            </w:r>
            <w:r>
              <w:rPr>
                <w:rFonts w:ascii="仿宋_GB2312" w:hAnsi="仿宋_GB2312" w:cs="仿宋_GB2312" w:eastAsia="仿宋_GB2312"/>
                <w:sz w:val="24"/>
                <w:color w:val="000000"/>
              </w:rPr>
              <w:t>具备恒定速度，补进扭矩；过载保护等功能；</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4"/>
              </w:rPr>
              <w:t>1.5.</w:t>
            </w:r>
            <w:r>
              <w:rPr>
                <w:rFonts w:ascii="仿宋_GB2312" w:hAnsi="仿宋_GB2312" w:cs="仿宋_GB2312" w:eastAsia="仿宋_GB2312"/>
                <w:sz w:val="24"/>
              </w:rPr>
              <w:t>脚踏及多功能触屏控制器可独立实现电机正、反转向及功能切换；智能双控（脚控、手控）：脚踏故障，控制器可作脚踏临时替补功能；</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4"/>
              </w:rPr>
              <w:t>1.6.</w:t>
            </w:r>
            <w:r>
              <w:rPr>
                <w:rFonts w:ascii="仿宋_GB2312" w:hAnsi="仿宋_GB2312" w:cs="仿宋_GB2312" w:eastAsia="仿宋_GB2312"/>
                <w:sz w:val="24"/>
              </w:rPr>
              <w:t>配置高流量蠕动泵，泵流量</w:t>
            </w:r>
            <w:r>
              <w:rPr>
                <w:rFonts w:ascii="仿宋_GB2312" w:hAnsi="仿宋_GB2312" w:cs="仿宋_GB2312" w:eastAsia="仿宋_GB2312"/>
                <w:sz w:val="24"/>
              </w:rPr>
              <w:t>: ≥10ml/min。</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开颅钻铣电机</w:t>
            </w:r>
          </w:p>
          <w:p>
            <w:pPr>
              <w:pStyle w:val="null3"/>
              <w:ind w:left="570"/>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防水、绝缘；</w:t>
            </w:r>
          </w:p>
          <w:p>
            <w:pPr>
              <w:pStyle w:val="null3"/>
              <w:ind w:left="570"/>
              <w:jc w:val="both"/>
            </w:pPr>
            <w:r>
              <w:rPr>
                <w:rFonts w:ascii="仿宋_GB2312" w:hAnsi="仿宋_GB2312" w:cs="仿宋_GB2312" w:eastAsia="仿宋_GB2312"/>
                <w:sz w:val="24"/>
                <w:color w:val="000000"/>
              </w:rPr>
              <w:t>2.2.</w:t>
            </w:r>
            <w:r>
              <w:rPr>
                <w:rFonts w:ascii="仿宋_GB2312" w:hAnsi="仿宋_GB2312" w:cs="仿宋_GB2312" w:eastAsia="仿宋_GB2312"/>
                <w:sz w:val="24"/>
                <w:color w:val="000000"/>
              </w:rPr>
              <w:t>钛合金机壳：工作转速：</w:t>
            </w:r>
            <w:r>
              <w:rPr>
                <w:rFonts w:ascii="仿宋_GB2312" w:hAnsi="仿宋_GB2312" w:cs="仿宋_GB2312" w:eastAsia="仿宋_GB2312"/>
                <w:sz w:val="24"/>
                <w:color w:val="000000"/>
              </w:rPr>
              <w:t>0~40000RPM；额定功率：170W；扭矩：≥25mNm；运行噪音≤65dB。</w:t>
            </w:r>
          </w:p>
          <w:p>
            <w:pPr>
              <w:pStyle w:val="null3"/>
              <w:ind w:left="420"/>
              <w:jc w:val="both"/>
            </w:pPr>
            <w:r>
              <w:rPr>
                <w:rFonts w:ascii="仿宋_GB2312" w:hAnsi="仿宋_GB2312" w:cs="仿宋_GB2312" w:eastAsia="仿宋_GB2312"/>
                <w:sz w:val="24"/>
                <w:color w:val="000000"/>
              </w:rPr>
              <w:t>3.</w:t>
            </w:r>
            <w:r>
              <w:rPr>
                <w:rFonts w:ascii="仿宋_GB2312" w:hAnsi="仿宋_GB2312" w:cs="仿宋_GB2312" w:eastAsia="仿宋_GB2312"/>
                <w:sz w:val="24"/>
                <w:b/>
                <w:color w:val="000000"/>
              </w:rPr>
              <w:t>磨电机</w:t>
            </w:r>
          </w:p>
          <w:p>
            <w:pPr>
              <w:pStyle w:val="null3"/>
              <w:ind w:left="57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3.1.</w:t>
            </w:r>
            <w:r>
              <w:rPr>
                <w:rFonts w:ascii="仿宋_GB2312" w:hAnsi="仿宋_GB2312" w:cs="仿宋_GB2312" w:eastAsia="仿宋_GB2312"/>
                <w:sz w:val="24"/>
                <w:color w:val="000000"/>
              </w:rPr>
              <w:t>工作转速：</w:t>
            </w:r>
            <w:r>
              <w:rPr>
                <w:rFonts w:ascii="仿宋_GB2312" w:hAnsi="仿宋_GB2312" w:cs="仿宋_GB2312" w:eastAsia="仿宋_GB2312"/>
                <w:sz w:val="24"/>
                <w:color w:val="000000"/>
              </w:rPr>
              <w:t>0~80000RPM；额定功率：100W；扭矩：≥15mNm；</w:t>
            </w:r>
            <w:r>
              <w:rPr>
                <w:rFonts w:ascii="仿宋_GB2312" w:hAnsi="仿宋_GB2312" w:cs="仿宋_GB2312" w:eastAsia="仿宋_GB2312"/>
                <w:sz w:val="24"/>
                <w:b/>
              </w:rPr>
              <w:t>（提供产品的彩</w:t>
            </w:r>
            <w:r>
              <w:rPr>
                <w:rFonts w:ascii="仿宋_GB2312" w:hAnsi="仿宋_GB2312" w:cs="仿宋_GB2312" w:eastAsia="仿宋_GB2312"/>
                <w:sz w:val="24"/>
                <w:b/>
              </w:rPr>
              <w:t>页</w:t>
            </w:r>
            <w:r>
              <w:rPr>
                <w:rFonts w:ascii="仿宋_GB2312" w:hAnsi="仿宋_GB2312" w:cs="仿宋_GB2312" w:eastAsia="仿宋_GB2312"/>
                <w:sz w:val="24"/>
                <w:b/>
              </w:rPr>
              <w:t>或图片</w:t>
            </w:r>
            <w:r>
              <w:rPr>
                <w:rFonts w:ascii="仿宋_GB2312" w:hAnsi="仿宋_GB2312" w:cs="仿宋_GB2312" w:eastAsia="仿宋_GB2312"/>
                <w:sz w:val="24"/>
                <w:b/>
              </w:rPr>
              <w:t>或技术白皮书</w:t>
            </w:r>
            <w:r>
              <w:rPr>
                <w:rFonts w:ascii="仿宋_GB2312" w:hAnsi="仿宋_GB2312" w:cs="仿宋_GB2312" w:eastAsia="仿宋_GB2312"/>
                <w:sz w:val="24"/>
                <w:b/>
              </w:rPr>
              <w:t>予以佐证）</w:t>
            </w:r>
          </w:p>
          <w:p>
            <w:pPr>
              <w:pStyle w:val="null3"/>
              <w:ind w:left="57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3.2.</w:t>
            </w:r>
            <w:r>
              <w:rPr>
                <w:rFonts w:ascii="仿宋_GB2312" w:hAnsi="仿宋_GB2312" w:cs="仿宋_GB2312" w:eastAsia="仿宋_GB2312"/>
                <w:sz w:val="24"/>
                <w:color w:val="000000"/>
              </w:rPr>
              <w:t>全封闭：无散热孔。</w:t>
            </w:r>
            <w:r>
              <w:rPr>
                <w:rFonts w:ascii="仿宋_GB2312" w:hAnsi="仿宋_GB2312" w:cs="仿宋_GB2312" w:eastAsia="仿宋_GB2312"/>
                <w:sz w:val="24"/>
                <w:b/>
              </w:rPr>
              <w:t>（提供产品的彩</w:t>
            </w:r>
            <w:r>
              <w:rPr>
                <w:rFonts w:ascii="仿宋_GB2312" w:hAnsi="仿宋_GB2312" w:cs="仿宋_GB2312" w:eastAsia="仿宋_GB2312"/>
                <w:sz w:val="24"/>
                <w:b/>
              </w:rPr>
              <w:t>页</w:t>
            </w:r>
            <w:r>
              <w:rPr>
                <w:rFonts w:ascii="仿宋_GB2312" w:hAnsi="仿宋_GB2312" w:cs="仿宋_GB2312" w:eastAsia="仿宋_GB2312"/>
                <w:sz w:val="24"/>
                <w:b/>
              </w:rPr>
              <w:t>或图片</w:t>
            </w:r>
            <w:r>
              <w:rPr>
                <w:rFonts w:ascii="仿宋_GB2312" w:hAnsi="仿宋_GB2312" w:cs="仿宋_GB2312" w:eastAsia="仿宋_GB2312"/>
                <w:sz w:val="24"/>
                <w:b/>
              </w:rPr>
              <w:t>或技术白皮书</w:t>
            </w:r>
            <w:r>
              <w:rPr>
                <w:rFonts w:ascii="仿宋_GB2312" w:hAnsi="仿宋_GB2312" w:cs="仿宋_GB2312" w:eastAsia="仿宋_GB2312"/>
                <w:sz w:val="24"/>
                <w:b/>
              </w:rPr>
              <w:t>予以佐证）</w:t>
            </w:r>
          </w:p>
          <w:p>
            <w:pPr>
              <w:pStyle w:val="null3"/>
              <w:ind w:left="420"/>
              <w:jc w:val="both"/>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开颅钻手柄</w:t>
            </w:r>
          </w:p>
          <w:p>
            <w:pPr>
              <w:pStyle w:val="null3"/>
              <w:ind w:left="57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4.1.</w:t>
            </w:r>
            <w:r>
              <w:rPr>
                <w:rFonts w:ascii="仿宋_GB2312" w:hAnsi="仿宋_GB2312" w:cs="仿宋_GB2312" w:eastAsia="仿宋_GB2312"/>
                <w:sz w:val="24"/>
                <w:color w:val="000000"/>
              </w:rPr>
              <w:t>执笔或手握式设计；</w:t>
            </w:r>
            <w:r>
              <w:rPr>
                <w:rFonts w:ascii="仿宋_GB2312" w:hAnsi="仿宋_GB2312" w:cs="仿宋_GB2312" w:eastAsia="仿宋_GB2312"/>
                <w:sz w:val="24"/>
                <w:b/>
              </w:rPr>
              <w:t>（提供产品的彩</w:t>
            </w:r>
            <w:r>
              <w:rPr>
                <w:rFonts w:ascii="仿宋_GB2312" w:hAnsi="仿宋_GB2312" w:cs="仿宋_GB2312" w:eastAsia="仿宋_GB2312"/>
                <w:sz w:val="24"/>
                <w:b/>
              </w:rPr>
              <w:t>页</w:t>
            </w:r>
            <w:r>
              <w:rPr>
                <w:rFonts w:ascii="仿宋_GB2312" w:hAnsi="仿宋_GB2312" w:cs="仿宋_GB2312" w:eastAsia="仿宋_GB2312"/>
                <w:sz w:val="24"/>
                <w:b/>
              </w:rPr>
              <w:t>或图片</w:t>
            </w:r>
            <w:r>
              <w:rPr>
                <w:rFonts w:ascii="仿宋_GB2312" w:hAnsi="仿宋_GB2312" w:cs="仿宋_GB2312" w:eastAsia="仿宋_GB2312"/>
                <w:sz w:val="24"/>
                <w:b/>
              </w:rPr>
              <w:t>或技术白皮书</w:t>
            </w:r>
            <w:r>
              <w:rPr>
                <w:rFonts w:ascii="仿宋_GB2312" w:hAnsi="仿宋_GB2312" w:cs="仿宋_GB2312" w:eastAsia="仿宋_GB2312"/>
                <w:sz w:val="24"/>
                <w:b/>
              </w:rPr>
              <w:t>予以佐证）</w:t>
            </w:r>
          </w:p>
          <w:p>
            <w:pPr>
              <w:pStyle w:val="null3"/>
              <w:ind w:left="57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4.2.</w:t>
            </w:r>
            <w:r>
              <w:rPr>
                <w:rFonts w:ascii="仿宋_GB2312" w:hAnsi="仿宋_GB2312" w:cs="仿宋_GB2312" w:eastAsia="仿宋_GB2312"/>
                <w:sz w:val="24"/>
                <w:color w:val="000000"/>
              </w:rPr>
              <w:t>工作转速：</w:t>
            </w:r>
            <w:r>
              <w:rPr>
                <w:rFonts w:ascii="仿宋_GB2312" w:hAnsi="仿宋_GB2312" w:cs="仿宋_GB2312" w:eastAsia="仿宋_GB2312"/>
                <w:sz w:val="24"/>
                <w:color w:val="000000"/>
              </w:rPr>
              <w:t>0~1500RPM，输出扭矩≥800mNm，重量≤260g；</w:t>
            </w:r>
            <w:r>
              <w:rPr>
                <w:rFonts w:ascii="仿宋_GB2312" w:hAnsi="仿宋_GB2312" w:cs="仿宋_GB2312" w:eastAsia="仿宋_GB2312"/>
                <w:sz w:val="24"/>
                <w:b/>
              </w:rPr>
              <w:t>（提供产品的彩</w:t>
            </w:r>
            <w:r>
              <w:rPr>
                <w:rFonts w:ascii="仿宋_GB2312" w:hAnsi="仿宋_GB2312" w:cs="仿宋_GB2312" w:eastAsia="仿宋_GB2312"/>
                <w:sz w:val="24"/>
                <w:b/>
              </w:rPr>
              <w:t>页</w:t>
            </w:r>
            <w:r>
              <w:rPr>
                <w:rFonts w:ascii="仿宋_GB2312" w:hAnsi="仿宋_GB2312" w:cs="仿宋_GB2312" w:eastAsia="仿宋_GB2312"/>
                <w:sz w:val="24"/>
                <w:b/>
              </w:rPr>
              <w:t>或图片</w:t>
            </w:r>
            <w:r>
              <w:rPr>
                <w:rFonts w:ascii="仿宋_GB2312" w:hAnsi="仿宋_GB2312" w:cs="仿宋_GB2312" w:eastAsia="仿宋_GB2312"/>
                <w:sz w:val="24"/>
                <w:b/>
              </w:rPr>
              <w:t>或技术白皮书</w:t>
            </w:r>
            <w:r>
              <w:rPr>
                <w:rFonts w:ascii="仿宋_GB2312" w:hAnsi="仿宋_GB2312" w:cs="仿宋_GB2312" w:eastAsia="仿宋_GB2312"/>
                <w:sz w:val="24"/>
                <w:b/>
              </w:rPr>
              <w:t>予以佐证）</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4"/>
                <w:color w:val="000000"/>
              </w:rPr>
              <w:t>4.3.</w:t>
            </w:r>
            <w:r>
              <w:rPr>
                <w:rFonts w:ascii="仿宋_GB2312" w:hAnsi="仿宋_GB2312" w:cs="仿宋_GB2312" w:eastAsia="仿宋_GB2312"/>
                <w:sz w:val="24"/>
                <w:color w:val="000000"/>
              </w:rPr>
              <w:t>机械式钻穿即停功能。</w:t>
            </w:r>
          </w:p>
          <w:p>
            <w:pPr>
              <w:pStyle w:val="null3"/>
              <w:ind w:left="420"/>
              <w:jc w:val="both"/>
            </w:pPr>
            <w:r>
              <w:rPr>
                <w:rFonts w:ascii="仿宋_GB2312" w:hAnsi="仿宋_GB2312" w:cs="仿宋_GB2312" w:eastAsia="仿宋_GB2312"/>
                <w:sz w:val="24"/>
                <w:color w:val="000000"/>
              </w:rPr>
              <w:t>5.</w:t>
            </w:r>
            <w:r>
              <w:rPr>
                <w:rFonts w:ascii="仿宋_GB2312" w:hAnsi="仿宋_GB2312" w:cs="仿宋_GB2312" w:eastAsia="仿宋_GB2312"/>
                <w:sz w:val="24"/>
                <w:b/>
                <w:color w:val="000000"/>
              </w:rPr>
              <w:t>铣柄</w:t>
            </w:r>
          </w:p>
          <w:p>
            <w:pPr>
              <w:pStyle w:val="null3"/>
              <w:ind w:left="57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5.1.</w:t>
            </w:r>
            <w:r>
              <w:rPr>
                <w:rFonts w:ascii="仿宋_GB2312" w:hAnsi="仿宋_GB2312" w:cs="仿宋_GB2312" w:eastAsia="仿宋_GB2312"/>
                <w:sz w:val="24"/>
                <w:color w:val="000000"/>
              </w:rPr>
              <w:t>工作转速</w:t>
            </w:r>
            <w:r>
              <w:rPr>
                <w:rFonts w:ascii="仿宋_GB2312" w:hAnsi="仿宋_GB2312" w:cs="仿宋_GB2312" w:eastAsia="仿宋_GB2312"/>
                <w:sz w:val="24"/>
                <w:color w:val="000000"/>
              </w:rPr>
              <w:t>0~80000RPM ，最高转速时空载噪音≤65dB，外壳温升≤20°C，输出扭矩：≥15mNm；</w:t>
            </w:r>
            <w:r>
              <w:rPr>
                <w:rFonts w:ascii="仿宋_GB2312" w:hAnsi="仿宋_GB2312" w:cs="仿宋_GB2312" w:eastAsia="仿宋_GB2312"/>
                <w:sz w:val="24"/>
                <w:b/>
              </w:rPr>
              <w:t>（提供产品的彩</w:t>
            </w:r>
            <w:r>
              <w:rPr>
                <w:rFonts w:ascii="仿宋_GB2312" w:hAnsi="仿宋_GB2312" w:cs="仿宋_GB2312" w:eastAsia="仿宋_GB2312"/>
                <w:sz w:val="24"/>
                <w:b/>
              </w:rPr>
              <w:t>页</w:t>
            </w:r>
            <w:r>
              <w:rPr>
                <w:rFonts w:ascii="仿宋_GB2312" w:hAnsi="仿宋_GB2312" w:cs="仿宋_GB2312" w:eastAsia="仿宋_GB2312"/>
                <w:sz w:val="24"/>
                <w:b/>
              </w:rPr>
              <w:t>或图片</w:t>
            </w:r>
            <w:r>
              <w:rPr>
                <w:rFonts w:ascii="仿宋_GB2312" w:hAnsi="仿宋_GB2312" w:cs="仿宋_GB2312" w:eastAsia="仿宋_GB2312"/>
                <w:sz w:val="24"/>
                <w:b/>
              </w:rPr>
              <w:t>或技术白皮书</w:t>
            </w:r>
            <w:r>
              <w:rPr>
                <w:rFonts w:ascii="仿宋_GB2312" w:hAnsi="仿宋_GB2312" w:cs="仿宋_GB2312" w:eastAsia="仿宋_GB2312"/>
                <w:sz w:val="24"/>
                <w:b/>
              </w:rPr>
              <w:t>予以佐证）</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4"/>
                <w:color w:val="000000"/>
              </w:rPr>
              <w:t>5.2.</w:t>
            </w:r>
            <w:r>
              <w:rPr>
                <w:rFonts w:ascii="仿宋_GB2312" w:hAnsi="仿宋_GB2312" w:cs="仿宋_GB2312" w:eastAsia="仿宋_GB2312"/>
                <w:sz w:val="24"/>
                <w:color w:val="000000"/>
              </w:rPr>
              <w:t>铣柄脑膜保护钩：</w:t>
            </w:r>
            <w:r>
              <w:rPr>
                <w:rFonts w:ascii="仿宋_GB2312" w:hAnsi="仿宋_GB2312" w:cs="仿宋_GB2312" w:eastAsia="仿宋_GB2312"/>
                <w:sz w:val="24"/>
                <w:color w:val="000000"/>
              </w:rPr>
              <w:t>a、固定保护钩不可旋转，b、可旋转护钩可360°自由旋转；</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4"/>
                <w:color w:val="000000"/>
              </w:rPr>
              <w:t>5.3.</w:t>
            </w:r>
            <w:r>
              <w:rPr>
                <w:rFonts w:ascii="仿宋_GB2312" w:hAnsi="仿宋_GB2312" w:cs="仿宋_GB2312" w:eastAsia="仿宋_GB2312"/>
                <w:sz w:val="24"/>
                <w:color w:val="000000"/>
              </w:rPr>
              <w:t>具有锁定装置；重量</w:t>
            </w:r>
            <w:r>
              <w:rPr>
                <w:rFonts w:ascii="仿宋_GB2312" w:hAnsi="仿宋_GB2312" w:cs="仿宋_GB2312" w:eastAsia="仿宋_GB2312"/>
                <w:sz w:val="24"/>
                <w:color w:val="000000"/>
              </w:rPr>
              <w:t>≤65g。</w:t>
            </w:r>
          </w:p>
          <w:p>
            <w:pPr>
              <w:pStyle w:val="null3"/>
              <w:ind w:left="420"/>
              <w:jc w:val="both"/>
            </w:pPr>
            <w:r>
              <w:rPr>
                <w:rFonts w:ascii="仿宋_GB2312" w:hAnsi="仿宋_GB2312" w:cs="仿宋_GB2312" w:eastAsia="仿宋_GB2312"/>
                <w:sz w:val="24"/>
                <w:color w:val="000000"/>
              </w:rPr>
              <w:t>6.</w:t>
            </w:r>
            <w:r>
              <w:rPr>
                <w:rFonts w:ascii="仿宋_GB2312" w:hAnsi="仿宋_GB2312" w:cs="仿宋_GB2312" w:eastAsia="仿宋_GB2312"/>
                <w:sz w:val="24"/>
                <w:b/>
                <w:color w:val="000000"/>
              </w:rPr>
              <w:t>磨柄</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4"/>
                <w:color w:val="000000"/>
              </w:rPr>
              <w:t>6.1.</w:t>
            </w:r>
            <w:r>
              <w:rPr>
                <w:rFonts w:ascii="仿宋_GB2312" w:hAnsi="仿宋_GB2312" w:cs="仿宋_GB2312" w:eastAsia="仿宋_GB2312"/>
                <w:sz w:val="24"/>
                <w:color w:val="000000"/>
              </w:rPr>
              <w:t>工作转速：</w:t>
            </w:r>
            <w:r>
              <w:rPr>
                <w:rFonts w:ascii="仿宋_GB2312" w:hAnsi="仿宋_GB2312" w:cs="仿宋_GB2312" w:eastAsia="仿宋_GB2312"/>
                <w:sz w:val="24"/>
                <w:color w:val="000000"/>
              </w:rPr>
              <w:t>0~80000RPM；</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4"/>
                <w:color w:val="000000"/>
              </w:rPr>
              <w:t>6.2.</w:t>
            </w:r>
            <w:r>
              <w:rPr>
                <w:rFonts w:ascii="仿宋_GB2312" w:hAnsi="仿宋_GB2312" w:cs="仿宋_GB2312" w:eastAsia="仿宋_GB2312"/>
                <w:sz w:val="24"/>
                <w:color w:val="000000"/>
              </w:rPr>
              <w:t>采用卡爪式刚性传动设计。</w:t>
            </w:r>
          </w:p>
          <w:p>
            <w:pPr>
              <w:pStyle w:val="null3"/>
              <w:ind w:left="420"/>
              <w:jc w:val="both"/>
            </w:pPr>
            <w:r>
              <w:rPr>
                <w:rFonts w:ascii="仿宋_GB2312" w:hAnsi="仿宋_GB2312" w:cs="仿宋_GB2312" w:eastAsia="仿宋_GB2312"/>
                <w:sz w:val="24"/>
                <w:color w:val="000000"/>
              </w:rPr>
              <w:t>7.</w:t>
            </w:r>
            <w:r>
              <w:rPr>
                <w:rFonts w:ascii="仿宋_GB2312" w:hAnsi="仿宋_GB2312" w:cs="仿宋_GB2312" w:eastAsia="仿宋_GB2312"/>
                <w:sz w:val="24"/>
                <w:b/>
                <w:color w:val="000000"/>
              </w:rPr>
              <w:t>脚踏开关</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4"/>
                <w:color w:val="000000"/>
              </w:rPr>
              <w:t>7.1.</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IP68防水等级，防滑、防侧翻；</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4"/>
                <w:color w:val="000000"/>
              </w:rPr>
              <w:t>7.2.</w:t>
            </w:r>
            <w:r>
              <w:rPr>
                <w:rFonts w:ascii="仿宋_GB2312" w:hAnsi="仿宋_GB2312" w:cs="仿宋_GB2312" w:eastAsia="仿宋_GB2312"/>
                <w:sz w:val="24"/>
                <w:color w:val="000000"/>
              </w:rPr>
              <w:t>无极调速，可进行脚控正反转速切换；</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4"/>
                <w:color w:val="000000"/>
              </w:rPr>
              <w:t>7.3.</w:t>
            </w:r>
            <w:r>
              <w:rPr>
                <w:rFonts w:ascii="仿宋_GB2312" w:hAnsi="仿宋_GB2312" w:cs="仿宋_GB2312" w:eastAsia="仿宋_GB2312"/>
                <w:sz w:val="24"/>
                <w:color w:val="000000"/>
              </w:rPr>
              <w:t>承载重量</w:t>
            </w:r>
            <w:r>
              <w:rPr>
                <w:rFonts w:ascii="仿宋_GB2312" w:hAnsi="仿宋_GB2312" w:cs="仿宋_GB2312" w:eastAsia="仿宋_GB2312"/>
                <w:sz w:val="24"/>
                <w:color w:val="000000"/>
              </w:rPr>
              <w:t>≥1470N（150kg）。</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4"/>
                <w:color w:val="000000"/>
              </w:rPr>
              <w:t>8.</w:t>
            </w:r>
            <w:r>
              <w:rPr>
                <w:rFonts w:ascii="仿宋_GB2312" w:hAnsi="仿宋_GB2312" w:cs="仿宋_GB2312" w:eastAsia="仿宋_GB2312"/>
                <w:sz w:val="24"/>
                <w:b/>
                <w:color w:val="000000"/>
              </w:rPr>
              <w:t>消毒盒：</w:t>
            </w:r>
            <w:r>
              <w:rPr>
                <w:rFonts w:ascii="仿宋_GB2312" w:hAnsi="仿宋_GB2312" w:cs="仿宋_GB2312" w:eastAsia="仿宋_GB2312"/>
                <w:sz w:val="24"/>
                <w:color w:val="000000"/>
              </w:rPr>
              <w:t>防划伤涂层处理，可高温高压消毒。</w:t>
            </w:r>
          </w:p>
          <w:p>
            <w:pPr>
              <w:pStyle w:val="null3"/>
              <w:ind w:left="420"/>
              <w:jc w:val="both"/>
            </w:pPr>
            <w:r>
              <w:rPr>
                <w:rFonts w:ascii="仿宋_GB2312" w:hAnsi="仿宋_GB2312" w:cs="仿宋_GB2312" w:eastAsia="仿宋_GB2312"/>
                <w:sz w:val="24"/>
                <w:b/>
                <w:color w:val="000000"/>
              </w:rPr>
              <w:t>9.</w:t>
            </w:r>
            <w:r>
              <w:rPr>
                <w:rFonts w:ascii="仿宋_GB2312" w:hAnsi="仿宋_GB2312" w:cs="仿宋_GB2312" w:eastAsia="仿宋_GB2312"/>
                <w:sz w:val="24"/>
                <w:b/>
                <w:color w:val="000000"/>
              </w:rPr>
              <w:t>颅骨钻</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4"/>
                <w:color w:val="000000"/>
              </w:rPr>
              <w:t>9.1.</w:t>
            </w:r>
            <w:r>
              <w:rPr>
                <w:rFonts w:ascii="仿宋_GB2312" w:hAnsi="仿宋_GB2312" w:cs="仿宋_GB2312" w:eastAsia="仿宋_GB2312"/>
                <w:sz w:val="24"/>
                <w:color w:val="000000"/>
              </w:rPr>
              <w:t>医用不锈钢材质；</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4"/>
                <w:color w:val="000000"/>
              </w:rPr>
              <w:t>9.2.</w:t>
            </w:r>
            <w:r>
              <w:rPr>
                <w:rFonts w:ascii="仿宋_GB2312" w:hAnsi="仿宋_GB2312" w:cs="仿宋_GB2312" w:eastAsia="仿宋_GB2312"/>
                <w:sz w:val="24"/>
                <w:color w:val="000000"/>
              </w:rPr>
              <w:t>三刃设计，具备机械式钻穿即停功能。</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4"/>
                <w:b/>
                <w:color w:val="000000"/>
              </w:rPr>
              <w:t>10.</w:t>
            </w:r>
            <w:r>
              <w:rPr>
                <w:rFonts w:ascii="仿宋_GB2312" w:hAnsi="仿宋_GB2312" w:cs="仿宋_GB2312" w:eastAsia="仿宋_GB2312"/>
                <w:sz w:val="24"/>
                <w:b/>
                <w:color w:val="000000"/>
              </w:rPr>
              <w:t>铣刀</w:t>
            </w:r>
          </w:p>
          <w:p>
            <w:pPr>
              <w:pStyle w:val="null3"/>
              <w:ind w:left="570"/>
              <w:jc w:val="both"/>
            </w:pPr>
            <w:r>
              <w:rPr>
                <w:rFonts w:ascii="仿宋_GB2312" w:hAnsi="仿宋_GB2312" w:cs="仿宋_GB2312" w:eastAsia="仿宋_GB2312"/>
                <w:sz w:val="24"/>
                <w:color w:val="000000"/>
              </w:rPr>
              <w:t>10.1.</w:t>
            </w:r>
            <w:r>
              <w:rPr>
                <w:rFonts w:ascii="仿宋_GB2312" w:hAnsi="仿宋_GB2312" w:cs="仿宋_GB2312" w:eastAsia="仿宋_GB2312"/>
                <w:sz w:val="24"/>
                <w:color w:val="000000"/>
              </w:rPr>
              <w:t>医用不锈钢材质；</w:t>
            </w:r>
          </w:p>
          <w:p>
            <w:pPr>
              <w:pStyle w:val="null3"/>
              <w:ind w:left="570"/>
              <w:jc w:val="both"/>
            </w:pPr>
            <w:r>
              <w:rPr>
                <w:rFonts w:ascii="仿宋_GB2312" w:hAnsi="仿宋_GB2312" w:cs="仿宋_GB2312" w:eastAsia="仿宋_GB2312"/>
                <w:sz w:val="24"/>
                <w:color w:val="000000"/>
              </w:rPr>
              <w:t>10.2.</w:t>
            </w:r>
            <w:r>
              <w:rPr>
                <w:rFonts w:ascii="仿宋_GB2312" w:hAnsi="仿宋_GB2312" w:cs="仿宋_GB2312" w:eastAsia="仿宋_GB2312"/>
                <w:sz w:val="24"/>
                <w:color w:val="000000"/>
              </w:rPr>
              <w:t>铣刀快速装卸结构设计，铣刀直插入槽无需按压即可锁紧使用。</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4"/>
                <w:b/>
                <w:color w:val="000000"/>
              </w:rPr>
              <w:t>11.</w:t>
            </w:r>
            <w:r>
              <w:rPr>
                <w:rFonts w:ascii="仿宋_GB2312" w:hAnsi="仿宋_GB2312" w:cs="仿宋_GB2312" w:eastAsia="仿宋_GB2312"/>
                <w:sz w:val="24"/>
                <w:b/>
                <w:color w:val="000000"/>
              </w:rPr>
              <w:t>磨钻头</w:t>
            </w:r>
          </w:p>
          <w:p>
            <w:pPr>
              <w:pStyle w:val="null3"/>
              <w:ind w:left="570"/>
              <w:jc w:val="both"/>
            </w:pPr>
            <w:r>
              <w:rPr>
                <w:rFonts w:ascii="仿宋_GB2312" w:hAnsi="仿宋_GB2312" w:cs="仿宋_GB2312" w:eastAsia="仿宋_GB2312"/>
                <w:sz w:val="24"/>
                <w:color w:val="000000"/>
              </w:rPr>
              <w:t>11.1.医用不锈钢材质；</w:t>
            </w:r>
          </w:p>
          <w:p>
            <w:pPr>
              <w:pStyle w:val="null3"/>
              <w:ind w:left="570"/>
              <w:jc w:val="both"/>
            </w:pPr>
            <w:r>
              <w:rPr>
                <w:rFonts w:ascii="仿宋_GB2312" w:hAnsi="仿宋_GB2312" w:cs="仿宋_GB2312" w:eastAsia="仿宋_GB2312"/>
                <w:sz w:val="24"/>
                <w:color w:val="000000"/>
              </w:rPr>
              <w:t>11.2.</w:t>
            </w:r>
            <w:r>
              <w:rPr>
                <w:rFonts w:ascii="仿宋_GB2312" w:hAnsi="仿宋_GB2312" w:cs="仿宋_GB2312" w:eastAsia="仿宋_GB2312"/>
                <w:sz w:val="24"/>
                <w:color w:val="000000"/>
              </w:rPr>
              <w:t>任何不同刃口的钻头球径有</w:t>
            </w:r>
            <w:r>
              <w:rPr>
                <w:rFonts w:ascii="仿宋_GB2312" w:hAnsi="仿宋_GB2312" w:cs="仿宋_GB2312" w:eastAsia="仿宋_GB2312"/>
                <w:sz w:val="24"/>
                <w:color w:val="000000"/>
              </w:rPr>
              <w:t>Ф 1.0-Ф6.0mm可以选择。</w:t>
            </w:r>
          </w:p>
          <w:p>
            <w:pPr>
              <w:pStyle w:val="null3"/>
              <w:jc w:val="both"/>
            </w:pPr>
            <w:r>
              <w:rPr>
                <w:rFonts w:ascii="仿宋_GB2312" w:hAnsi="仿宋_GB2312" w:cs="仿宋_GB2312" w:eastAsia="仿宋_GB2312"/>
                <w:sz w:val="24"/>
                <w:b/>
              </w:rPr>
              <w:t>（二）手术动力系統</w:t>
            </w:r>
            <w:r>
              <w:rPr>
                <w:rFonts w:ascii="仿宋_GB2312" w:hAnsi="仿宋_GB2312" w:cs="仿宋_GB2312" w:eastAsia="仿宋_GB2312"/>
                <w:sz w:val="24"/>
                <w:b/>
              </w:rPr>
              <w:t>2</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1.主机：额定电源：AC[220,240]V，[50,60]Hz;连接单向旋转类刀具工作状态时，空载噪声≤75dB。</w:t>
            </w:r>
          </w:p>
          <w:p>
            <w:pPr>
              <w:pStyle w:val="null3"/>
              <w:ind w:left="420"/>
              <w:jc w:val="left"/>
            </w:pPr>
            <w:r>
              <w:rPr>
                <w:rFonts w:ascii="仿宋_GB2312" w:hAnsi="仿宋_GB2312" w:cs="仿宋_GB2312" w:eastAsia="仿宋_GB2312"/>
                <w:sz w:val="24"/>
                <w:color w:val="000000"/>
              </w:rPr>
              <w:t>▲2.主机：可驱动开放往复刀头、动力骨刀、环形骨刀、摆动型动力骨刀、铣刀、开颅钻头、一体式护鞘磨头、增速磨头、锥形磨头、电动椎板咬骨钳；</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3.主机：使用年限：≥8年。</w:t>
            </w:r>
            <w:r>
              <w:rPr>
                <w:rFonts w:ascii="仿宋_GB2312" w:hAnsi="仿宋_GB2312" w:cs="仿宋_GB2312" w:eastAsia="仿宋_GB2312"/>
                <w:sz w:val="24"/>
                <w:b/>
              </w:rPr>
              <w:t>（提供产品的彩</w:t>
            </w:r>
            <w:r>
              <w:rPr>
                <w:rFonts w:ascii="仿宋_GB2312" w:hAnsi="仿宋_GB2312" w:cs="仿宋_GB2312" w:eastAsia="仿宋_GB2312"/>
                <w:sz w:val="24"/>
                <w:b/>
              </w:rPr>
              <w:t>页</w:t>
            </w:r>
            <w:r>
              <w:rPr>
                <w:rFonts w:ascii="仿宋_GB2312" w:hAnsi="仿宋_GB2312" w:cs="仿宋_GB2312" w:eastAsia="仿宋_GB2312"/>
                <w:sz w:val="24"/>
                <w:b/>
              </w:rPr>
              <w:t>或图片</w:t>
            </w:r>
            <w:r>
              <w:rPr>
                <w:rFonts w:ascii="仿宋_GB2312" w:hAnsi="仿宋_GB2312" w:cs="仿宋_GB2312" w:eastAsia="仿宋_GB2312"/>
                <w:sz w:val="24"/>
                <w:b/>
              </w:rPr>
              <w:t>或技术白皮书</w:t>
            </w:r>
            <w:r>
              <w:rPr>
                <w:rFonts w:ascii="仿宋_GB2312" w:hAnsi="仿宋_GB2312" w:cs="仿宋_GB2312" w:eastAsia="仿宋_GB2312"/>
                <w:sz w:val="24"/>
                <w:b/>
              </w:rPr>
              <w:t>予以佐证）</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4.脚踏：脚踏采用金属底座，防水等级：≥IPX8；脚踏线缆长度：≥3 米。</w:t>
            </w:r>
          </w:p>
          <w:p>
            <w:pPr>
              <w:pStyle w:val="null3"/>
              <w:ind w:left="420"/>
              <w:jc w:val="left"/>
            </w:pPr>
            <w:r>
              <w:rPr>
                <w:rFonts w:ascii="仿宋_GB2312" w:hAnsi="仿宋_GB2312" w:cs="仿宋_GB2312" w:eastAsia="仿宋_GB2312"/>
                <w:sz w:val="24"/>
                <w:color w:val="000000"/>
              </w:rPr>
              <w:t>▲5.即单个内注水马达就可连接含开颅钻、铣刀、磨钻、往复骨锯、动力骨刀、环形骨刀、摆动型动力骨刀，电动椎板咬骨钳等刀具，实现开颅钻孔，切/铣颅骨，打磨骨组织等功能，术中无需更换马达。</w:t>
            </w:r>
            <w:r>
              <w:rPr>
                <w:rFonts w:ascii="仿宋_GB2312" w:hAnsi="仿宋_GB2312" w:cs="仿宋_GB2312" w:eastAsia="仿宋_GB2312"/>
                <w:sz w:val="24"/>
                <w:b/>
              </w:rPr>
              <w:t>（提供产品的彩</w:t>
            </w:r>
            <w:r>
              <w:rPr>
                <w:rFonts w:ascii="仿宋_GB2312" w:hAnsi="仿宋_GB2312" w:cs="仿宋_GB2312" w:eastAsia="仿宋_GB2312"/>
                <w:sz w:val="24"/>
                <w:b/>
              </w:rPr>
              <w:t>页</w:t>
            </w:r>
            <w:r>
              <w:rPr>
                <w:rFonts w:ascii="仿宋_GB2312" w:hAnsi="仿宋_GB2312" w:cs="仿宋_GB2312" w:eastAsia="仿宋_GB2312"/>
                <w:sz w:val="24"/>
                <w:b/>
              </w:rPr>
              <w:t>或图片</w:t>
            </w:r>
            <w:r>
              <w:rPr>
                <w:rFonts w:ascii="仿宋_GB2312" w:hAnsi="仿宋_GB2312" w:cs="仿宋_GB2312" w:eastAsia="仿宋_GB2312"/>
                <w:sz w:val="24"/>
                <w:b/>
              </w:rPr>
              <w:t>或技术白皮书</w:t>
            </w:r>
            <w:r>
              <w:rPr>
                <w:rFonts w:ascii="仿宋_GB2312" w:hAnsi="仿宋_GB2312" w:cs="仿宋_GB2312" w:eastAsia="仿宋_GB2312"/>
                <w:sz w:val="24"/>
                <w:b/>
              </w:rPr>
              <w:t>予以佐证）</w:t>
            </w:r>
          </w:p>
          <w:p>
            <w:pPr>
              <w:pStyle w:val="null3"/>
              <w:ind w:left="420"/>
              <w:jc w:val="left"/>
            </w:pPr>
            <w:r>
              <w:rPr>
                <w:rFonts w:ascii="仿宋_GB2312" w:hAnsi="仿宋_GB2312" w:cs="仿宋_GB2312" w:eastAsia="仿宋_GB2312"/>
                <w:sz w:val="24"/>
                <w:color w:val="000000"/>
              </w:rPr>
              <w:t>▲6.内注水马达手柄采用水冷降温。</w:t>
            </w:r>
            <w:r>
              <w:rPr>
                <w:rFonts w:ascii="仿宋_GB2312" w:hAnsi="仿宋_GB2312" w:cs="仿宋_GB2312" w:eastAsia="仿宋_GB2312"/>
                <w:sz w:val="24"/>
                <w:b/>
              </w:rPr>
              <w:t>（提供产品的彩</w:t>
            </w:r>
            <w:r>
              <w:rPr>
                <w:rFonts w:ascii="仿宋_GB2312" w:hAnsi="仿宋_GB2312" w:cs="仿宋_GB2312" w:eastAsia="仿宋_GB2312"/>
                <w:sz w:val="24"/>
                <w:b/>
              </w:rPr>
              <w:t>页</w:t>
            </w:r>
            <w:r>
              <w:rPr>
                <w:rFonts w:ascii="仿宋_GB2312" w:hAnsi="仿宋_GB2312" w:cs="仿宋_GB2312" w:eastAsia="仿宋_GB2312"/>
                <w:sz w:val="24"/>
                <w:b/>
              </w:rPr>
              <w:t>或图片</w:t>
            </w:r>
            <w:r>
              <w:rPr>
                <w:rFonts w:ascii="仿宋_GB2312" w:hAnsi="仿宋_GB2312" w:cs="仿宋_GB2312" w:eastAsia="仿宋_GB2312"/>
                <w:sz w:val="24"/>
                <w:b/>
              </w:rPr>
              <w:t>或技术白皮书</w:t>
            </w:r>
            <w:r>
              <w:rPr>
                <w:rFonts w:ascii="仿宋_GB2312" w:hAnsi="仿宋_GB2312" w:cs="仿宋_GB2312" w:eastAsia="仿宋_GB2312"/>
                <w:sz w:val="24"/>
                <w:b/>
              </w:rPr>
              <w:t>予以佐证）</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7.开颅钻头：钻透自停，利于形成骨垫，安全性高。</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8.开颅钻头：采用断刃设计。</w:t>
            </w:r>
          </w:p>
          <w:p>
            <w:pPr>
              <w:pStyle w:val="null3"/>
              <w:ind w:left="420"/>
              <w:jc w:val="left"/>
            </w:pPr>
            <w:r>
              <w:rPr>
                <w:rFonts w:ascii="仿宋_GB2312" w:hAnsi="仿宋_GB2312" w:cs="仿宋_GB2312" w:eastAsia="仿宋_GB2312"/>
                <w:sz w:val="24"/>
                <w:color w:val="000000"/>
              </w:rPr>
              <w:t>▲9.磨钻头：磨钻附件和磨头采用一体化设计，不可拆卸，内注水冲洗冷却，磨头最大转速≥12万转/分。</w:t>
            </w:r>
            <w:r>
              <w:rPr>
                <w:rFonts w:ascii="仿宋_GB2312" w:hAnsi="仿宋_GB2312" w:cs="仿宋_GB2312" w:eastAsia="仿宋_GB2312"/>
                <w:sz w:val="24"/>
                <w:b/>
              </w:rPr>
              <w:t>（提供产品的彩</w:t>
            </w:r>
            <w:r>
              <w:rPr>
                <w:rFonts w:ascii="仿宋_GB2312" w:hAnsi="仿宋_GB2312" w:cs="仿宋_GB2312" w:eastAsia="仿宋_GB2312"/>
                <w:sz w:val="24"/>
                <w:b/>
              </w:rPr>
              <w:t>页</w:t>
            </w:r>
            <w:r>
              <w:rPr>
                <w:rFonts w:ascii="仿宋_GB2312" w:hAnsi="仿宋_GB2312" w:cs="仿宋_GB2312" w:eastAsia="仿宋_GB2312"/>
                <w:sz w:val="24"/>
                <w:b/>
              </w:rPr>
              <w:t>或图片</w:t>
            </w:r>
            <w:r>
              <w:rPr>
                <w:rFonts w:ascii="仿宋_GB2312" w:hAnsi="仿宋_GB2312" w:cs="仿宋_GB2312" w:eastAsia="仿宋_GB2312"/>
                <w:sz w:val="24"/>
                <w:b/>
              </w:rPr>
              <w:t>或技术白皮书</w:t>
            </w:r>
            <w:r>
              <w:rPr>
                <w:rFonts w:ascii="仿宋_GB2312" w:hAnsi="仿宋_GB2312" w:cs="仿宋_GB2312" w:eastAsia="仿宋_GB2312"/>
                <w:sz w:val="24"/>
                <w:b/>
              </w:rPr>
              <w:t>予以佐证）</w:t>
            </w:r>
          </w:p>
          <w:p>
            <w:pPr>
              <w:pStyle w:val="null3"/>
              <w:ind w:left="420"/>
              <w:jc w:val="left"/>
            </w:pPr>
            <w:r>
              <w:rPr>
                <w:rFonts w:ascii="仿宋_GB2312" w:hAnsi="仿宋_GB2312" w:cs="仿宋_GB2312" w:eastAsia="仿宋_GB2312"/>
                <w:sz w:val="24"/>
                <w:color w:val="000000"/>
              </w:rPr>
              <w:t>▲10.环形骨刀（全环）：全环形刀刃，前端有齿，刀头往复运动转速≥50000r/min。</w:t>
            </w:r>
            <w:r>
              <w:rPr>
                <w:rFonts w:ascii="仿宋_GB2312" w:hAnsi="仿宋_GB2312" w:cs="仿宋_GB2312" w:eastAsia="仿宋_GB2312"/>
                <w:sz w:val="24"/>
                <w:b/>
              </w:rPr>
              <w:t>（提供产品的彩</w:t>
            </w:r>
            <w:r>
              <w:rPr>
                <w:rFonts w:ascii="仿宋_GB2312" w:hAnsi="仿宋_GB2312" w:cs="仿宋_GB2312" w:eastAsia="仿宋_GB2312"/>
                <w:sz w:val="24"/>
                <w:b/>
              </w:rPr>
              <w:t>页</w:t>
            </w:r>
            <w:r>
              <w:rPr>
                <w:rFonts w:ascii="仿宋_GB2312" w:hAnsi="仿宋_GB2312" w:cs="仿宋_GB2312" w:eastAsia="仿宋_GB2312"/>
                <w:sz w:val="24"/>
                <w:b/>
              </w:rPr>
              <w:t>或图片</w:t>
            </w:r>
            <w:r>
              <w:rPr>
                <w:rFonts w:ascii="仿宋_GB2312" w:hAnsi="仿宋_GB2312" w:cs="仿宋_GB2312" w:eastAsia="仿宋_GB2312"/>
                <w:sz w:val="24"/>
                <w:b/>
              </w:rPr>
              <w:t>或技术白皮书</w:t>
            </w:r>
            <w:r>
              <w:rPr>
                <w:rFonts w:ascii="仿宋_GB2312" w:hAnsi="仿宋_GB2312" w:cs="仿宋_GB2312" w:eastAsia="仿宋_GB2312"/>
                <w:sz w:val="24"/>
                <w:b/>
              </w:rPr>
              <w:t>予以佐证）</w:t>
            </w:r>
          </w:p>
          <w:p>
            <w:pPr>
              <w:pStyle w:val="null3"/>
              <w:ind w:left="420"/>
              <w:jc w:val="left"/>
            </w:pPr>
            <w:r>
              <w:rPr>
                <w:rFonts w:ascii="仿宋_GB2312" w:hAnsi="仿宋_GB2312" w:cs="仿宋_GB2312" w:eastAsia="仿宋_GB2312"/>
                <w:sz w:val="24"/>
                <w:color w:val="000000"/>
              </w:rPr>
              <w:t>▲11.动力骨刀：与手柄水路联通实现内注水,润滑、冷却一体，转速≥50000r/min。</w:t>
            </w:r>
            <w:r>
              <w:rPr>
                <w:rFonts w:ascii="仿宋_GB2312" w:hAnsi="仿宋_GB2312" w:cs="仿宋_GB2312" w:eastAsia="仿宋_GB2312"/>
                <w:sz w:val="24"/>
                <w:b/>
              </w:rPr>
              <w:t>（提供产品的彩</w:t>
            </w:r>
            <w:r>
              <w:rPr>
                <w:rFonts w:ascii="仿宋_GB2312" w:hAnsi="仿宋_GB2312" w:cs="仿宋_GB2312" w:eastAsia="仿宋_GB2312"/>
                <w:sz w:val="24"/>
                <w:b/>
              </w:rPr>
              <w:t>页</w:t>
            </w:r>
            <w:r>
              <w:rPr>
                <w:rFonts w:ascii="仿宋_GB2312" w:hAnsi="仿宋_GB2312" w:cs="仿宋_GB2312" w:eastAsia="仿宋_GB2312"/>
                <w:sz w:val="24"/>
                <w:b/>
              </w:rPr>
              <w:t>或图片</w:t>
            </w:r>
            <w:r>
              <w:rPr>
                <w:rFonts w:ascii="仿宋_GB2312" w:hAnsi="仿宋_GB2312" w:cs="仿宋_GB2312" w:eastAsia="仿宋_GB2312"/>
                <w:sz w:val="24"/>
                <w:b/>
              </w:rPr>
              <w:t>或技术白皮书</w:t>
            </w:r>
            <w:r>
              <w:rPr>
                <w:rFonts w:ascii="仿宋_GB2312" w:hAnsi="仿宋_GB2312" w:cs="仿宋_GB2312" w:eastAsia="仿宋_GB2312"/>
                <w:sz w:val="24"/>
                <w:b/>
              </w:rPr>
              <w:t>予以佐证）</w:t>
            </w:r>
          </w:p>
          <w:p>
            <w:pPr>
              <w:pStyle w:val="null3"/>
              <w:ind w:left="420"/>
              <w:jc w:val="left"/>
            </w:pPr>
            <w:r>
              <w:rPr>
                <w:rFonts w:ascii="仿宋_GB2312" w:hAnsi="仿宋_GB2312" w:cs="仿宋_GB2312" w:eastAsia="仿宋_GB2312"/>
                <w:sz w:val="24"/>
                <w:color w:val="000000"/>
              </w:rPr>
              <w:t>▲12.往复磨头：柱形刀头设计（半刃），刀头转速≥55000r/min。</w:t>
            </w:r>
            <w:r>
              <w:rPr>
                <w:rFonts w:ascii="仿宋_GB2312" w:hAnsi="仿宋_GB2312" w:cs="仿宋_GB2312" w:eastAsia="仿宋_GB2312"/>
                <w:sz w:val="24"/>
                <w:b/>
              </w:rPr>
              <w:t>（提供产品的彩</w:t>
            </w:r>
            <w:r>
              <w:rPr>
                <w:rFonts w:ascii="仿宋_GB2312" w:hAnsi="仿宋_GB2312" w:cs="仿宋_GB2312" w:eastAsia="仿宋_GB2312"/>
                <w:sz w:val="24"/>
                <w:b/>
              </w:rPr>
              <w:t>页</w:t>
            </w:r>
            <w:r>
              <w:rPr>
                <w:rFonts w:ascii="仿宋_GB2312" w:hAnsi="仿宋_GB2312" w:cs="仿宋_GB2312" w:eastAsia="仿宋_GB2312"/>
                <w:sz w:val="24"/>
                <w:b/>
              </w:rPr>
              <w:t>或图片</w:t>
            </w:r>
            <w:r>
              <w:rPr>
                <w:rFonts w:ascii="仿宋_GB2312" w:hAnsi="仿宋_GB2312" w:cs="仿宋_GB2312" w:eastAsia="仿宋_GB2312"/>
                <w:sz w:val="24"/>
                <w:b/>
              </w:rPr>
              <w:t>或技术白皮书</w:t>
            </w:r>
            <w:r>
              <w:rPr>
                <w:rFonts w:ascii="仿宋_GB2312" w:hAnsi="仿宋_GB2312" w:cs="仿宋_GB2312" w:eastAsia="仿宋_GB2312"/>
                <w:sz w:val="24"/>
                <w:b/>
              </w:rPr>
              <w:t>予以佐证）</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b/>
              </w:rPr>
              <w:t>注：所投（响应）产品属于医疗器械的，需提供符合《医疗器械注册与备案管理办法》要求的中华人民共和国医疗器械注册证或备案凭证（一类医疗器械提供备案凭证；二、三类医疗器械提供注册证）。</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服务方案</w:t>
            </w:r>
          </w:p>
        </w:tc>
        <w:tc>
          <w:tcPr>
            <w:tcW w:type="dxa" w:w="5814"/>
          </w:tcPr>
          <w:p>
            <w:pPr>
              <w:pStyle w:val="null3"/>
              <w:jc w:val="left"/>
            </w:pPr>
            <w:r>
              <w:rPr>
                <w:rFonts w:ascii="仿宋_GB2312" w:hAnsi="仿宋_GB2312" w:cs="仿宋_GB2312" w:eastAsia="仿宋_GB2312"/>
              </w:rPr>
              <w:t>投标人根据本项目编制服务方案，方案内容至少包括①应急预案；②包装运输；③安装调试；④人员配置。</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政府采购合同签订生效后60个日历天内，完成交货、安装调试、培训及试运行。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宜宾市第二人民医院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1、一次性付款，设备安装验收合格后（中标人须向采购人出具合法有效完整的增值税发票及凭证资料进行支付结算），达到付款条件起10日内，支付合同总金额的100.00%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1.验收组织方式：自行验收； 2.是否邀请本项目其他投标人：否； 3.是否邀请专家：否； 4.是否邀请服务对象：否； 5.是否邀请第三方检测机构：否； 6.验收程序：一次性验收； 7.验收时间：中标人提出验收申请之日起10日内组织验收。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以“采购标的清单”要求为准（质保期以验收合格之日起开始计算）</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①中标人必须遵守采购合同并执行合同中的各项规定，保证采购合同的正常履行。 ②如因中标人工作人员在履行职务过程中的疏忽、失职、过错等故意或者过失原因给采购人造成损失或侵害，包括但不限于采购人本身的财产损失、由此而导致的采购人对任何第三方的法律责任等，中标人对此均应承担全部的赔偿责任。 ③中标人不能按时提供服务(成果)或逾期提供的而违约的，除应及时提供服务外，应向采购人偿付逾期提供部分服务总额的万分之五/天的违约金；逾期超过15天，采购人有权终止合同，中标人则应按合同总价的百分之十的款额向采购人偿付违约金，并须全额退还采购人已经付给中标人的服务费及其利息。 ④中标人在履约过程中，服务经采购人考核不合格的，采购人有权要求中标人整改，中标人三次整改仍不符合要求的，采购人有权终止合同。 ⑤中标人应当遵守采购人的相关项目需求及相关技术要求及实质性条款，实施完成采购合同应当完全满足相关项目需求及相关技术要求及实质性条款，若中标人瑕疵履行采购合同，采购人有权向中标人要求赔偿合同总价款20%的违约金，若造成相关损失的，采购人有权要求中标人承担所有赔偿责任。 ⑥解决争议的方法：合同履行期间,若双方发生争议，可协商或由有关部门调解解决，协商或调解不成的，向采购人所在地人民法院起诉。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投标人（供应商）须符合《医疗器械监督管理条例》要求并提供有效的中华人民共和国医疗器械生产或经营许可证或备案证明材料（已提供包含二类备案的多证合一营业执照的供应商除外）。</w:t>
            </w:r>
          </w:p>
        </w:tc>
        <w:tc>
          <w:tcPr>
            <w:tcW w:type="dxa" w:w="3322"/>
          </w:tcPr>
          <w:p>
            <w:pPr>
              <w:pStyle w:val="null3"/>
              <w:jc w:val="left"/>
            </w:pPr>
            <w:r>
              <w:rPr>
                <w:rFonts w:ascii="仿宋_GB2312" w:hAnsi="仿宋_GB2312" w:cs="仿宋_GB2312" w:eastAsia="仿宋_GB2312"/>
              </w:rPr>
              <w:t>投标人（供应商）须符合《医疗器械监督管理条例》要求并提供有效的中华人民共和国医疗器械生产或经营许可证或备案证明材料（已提供包含二类备案的多证合一营业执照的供应商除外）。</w:t>
            </w:r>
          </w:p>
        </w:tc>
        <w:tc>
          <w:tcPr>
            <w:tcW w:type="dxa" w:w="1661"/>
          </w:tcPr>
          <w:p>
            <w:pPr>
              <w:pStyle w:val="null3"/>
              <w:jc w:val="left"/>
            </w:pPr>
            <w:r>
              <w:rPr>
                <w:rFonts w:ascii="仿宋_GB2312" w:hAnsi="仿宋_GB2312" w:cs="仿宋_GB2312" w:eastAsia="仿宋_GB2312"/>
              </w:rPr>
              <w:t>供应商应提交的相关资格证明材料.docx,投标（响应）函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投标人响应招标文件实质性要求</w:t>
            </w:r>
          </w:p>
        </w:tc>
        <w:tc>
          <w:tcPr>
            <w:tcW w:type="dxa" w:w="1661"/>
          </w:tcPr>
          <w:p>
            <w:pPr>
              <w:pStyle w:val="null3"/>
              <w:jc w:val="left"/>
            </w:pPr>
            <w:r>
              <w:rPr>
                <w:rFonts w:ascii="仿宋_GB2312" w:hAnsi="仿宋_GB2312" w:cs="仿宋_GB2312" w:eastAsia="仿宋_GB2312"/>
              </w:rPr>
              <w:t>服务要求应答表.docx,投标（响应）产品技术参数表（货物）.docx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技术指标及配置</w:t>
            </w:r>
          </w:p>
        </w:tc>
        <w:tc>
          <w:tcPr>
            <w:tcW w:type="dxa" w:w="2575"/>
          </w:tcPr>
          <w:p>
            <w:pPr>
              <w:pStyle w:val="null3"/>
              <w:jc w:val="left"/>
            </w:pPr>
            <w:r>
              <w:rPr>
                <w:rFonts w:ascii="仿宋_GB2312" w:hAnsi="仿宋_GB2312" w:cs="仿宋_GB2312" w:eastAsia="仿宋_GB2312"/>
              </w:rPr>
              <w:t>投标产品完全响应招标文件“技术参数要求”的得66分。每有一项重要指标(带“▲”号的参数，共10项，含子项)有负偏离的，扣4.1分，最多扣41分；每有一项一般指标(带“●”号的参数，共25项，含子项)有负偏离的，扣1分，最多扣25分。 注：(1)针对招标文件中的“▲”号条款技术参数，投标人应按照技术参数要求，提供证明材料，针对以上所有资料加盖投标人公章；如果投标产品中的某条“▲”号条款技术参数没有按照技术参数要求提供的，该条技术参数在评审中将不予认定。未明确提供证明材料的条款以投标产品技术参数响应表响应为准。</w:t>
            </w:r>
          </w:p>
        </w:tc>
        <w:tc>
          <w:tcPr>
            <w:tcW w:type="dxa" w:w="831"/>
          </w:tcPr>
          <w:p>
            <w:pPr>
              <w:pStyle w:val="null3"/>
              <w:jc w:val="center"/>
            </w:pPr>
            <w:r>
              <w:rPr>
                <w:rFonts w:ascii="仿宋_GB2312" w:hAnsi="仿宋_GB2312" w:cs="仿宋_GB2312" w:eastAsia="仿宋_GB2312"/>
              </w:rPr>
              <w:t>66.0000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投标（响应）产品技术参数表（货物）.docx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投标人编制的服务方案进行评审，方案内容至少包括①应急预案；②包装运输；③安装调试；④人员配置，方案完全包含上述内容的得4分，每有一项内容缺失的扣1分，每有一项内容有缺陷的扣0.5，每项最多扣1分（缺陷是指：内容非专门针对本项目的；或存在不适用该项目的情形；或涉及的规范及标准错误；或方案内容前后矛盾）。未提供方案不得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服务要求应答表.docx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详见附件：投标（响应）产品技术参数表（货物）.docx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详见附件：合同模板（宜宾市第二人民医院）.docx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