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9B7A0A">
      <w:pPr>
        <w:jc w:val="center"/>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采购需求</w:t>
      </w:r>
    </w:p>
    <w:p w14:paraId="1BBF2205">
      <w:pPr>
        <w:jc w:val="center"/>
        <w:rPr>
          <w:rFonts w:hint="eastAsia"/>
          <w:color w:val="auto"/>
          <w:highlight w:val="none"/>
          <w:lang w:val="en-US" w:eastAsia="zh-CN"/>
        </w:rPr>
      </w:pPr>
    </w:p>
    <w:p w14:paraId="0A93BCC5">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0" w:name="_Toc3556"/>
      <w:bookmarkStart w:id="1" w:name="_Toc16096"/>
      <w:bookmarkStart w:id="2" w:name="_Toc7361"/>
      <w:bookmarkStart w:id="3" w:name="_Toc28731"/>
      <w:bookmarkStart w:id="4" w:name="_Toc2499"/>
      <w:bookmarkStart w:id="5" w:name="_Toc7888"/>
      <w:bookmarkStart w:id="6" w:name="_Toc21806"/>
      <w:bookmarkStart w:id="7" w:name="_Toc30868"/>
      <w:bookmarkStart w:id="8" w:name="_Toc26899"/>
      <w:bookmarkStart w:id="9" w:name="_Toc31000"/>
      <w:bookmarkStart w:id="10" w:name="_Toc26539"/>
      <w:bookmarkStart w:id="11" w:name="_Toc5562"/>
      <w:bookmarkStart w:id="12" w:name="_Toc89"/>
      <w:bookmarkStart w:id="13" w:name="_Toc5544"/>
      <w:bookmarkStart w:id="14" w:name="_Toc15136"/>
      <w:bookmarkStart w:id="15" w:name="_Toc31854"/>
      <w:bookmarkStart w:id="16" w:name="_Toc18652"/>
      <w:r>
        <w:rPr>
          <w:rFonts w:ascii="Times New Roman" w:eastAsia="仿宋"/>
          <w:b/>
          <w:bCs/>
          <w:color w:val="auto"/>
          <w:sz w:val="24"/>
          <w:szCs w:val="24"/>
          <w:highlight w:val="none"/>
        </w:rPr>
        <w:t>（一）技术要求</w:t>
      </w:r>
      <w:bookmarkEnd w:id="0"/>
      <w:bookmarkEnd w:id="1"/>
      <w:bookmarkEnd w:id="2"/>
      <w:bookmarkEnd w:id="3"/>
      <w:bookmarkEnd w:id="4"/>
      <w:bookmarkEnd w:id="5"/>
      <w:bookmarkEnd w:id="6"/>
      <w:bookmarkEnd w:id="7"/>
      <w:bookmarkEnd w:id="8"/>
      <w:bookmarkEnd w:id="9"/>
      <w:bookmarkEnd w:id="10"/>
      <w:bookmarkEnd w:id="11"/>
    </w:p>
    <w:p w14:paraId="561B7805">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01包：移动照明灯、泛光灯、月球灯、气柱灯、移动照明灯组【核心产品】</w:t>
      </w:r>
      <w:bookmarkEnd w:id="12"/>
      <w:bookmarkEnd w:id="13"/>
      <w:bookmarkEnd w:id="14"/>
      <w:bookmarkEnd w:id="15"/>
      <w:bookmarkEnd w:id="16"/>
    </w:p>
    <w:p w14:paraId="00D1B8C9">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01包-1、移动照明灯</w:t>
      </w:r>
    </w:p>
    <w:p w14:paraId="1557DB92">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一、货物名称：移动照明灯</w:t>
      </w:r>
    </w:p>
    <w:p w14:paraId="64DB940F">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14:paraId="09EEF9AF">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14:paraId="6F54724A">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kern w:val="2"/>
          <w:sz w:val="24"/>
          <w:szCs w:val="24"/>
          <w:highlight w:val="none"/>
          <w:lang w:val="en-US" w:eastAsia="zh-CN" w:bidi="ar-SA"/>
        </w:rPr>
        <w:t>GB26755-2011《消防移动式照明装置》</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p>
    <w:p w14:paraId="4B0F9DE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3.2额定电压：DC≥12V；</w:t>
      </w:r>
    </w:p>
    <w:p w14:paraId="14C2D3F8">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3.3额定容量：≥10Ah；</w:t>
      </w:r>
    </w:p>
    <w:p w14:paraId="6A837C1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3.4光源功率（LED）：≥30W；光源（LED）平均使用寿命：≥100000h；工作时间：≥8h；</w:t>
      </w:r>
    </w:p>
    <w:p w14:paraId="20D6AA76">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3.5电池使用寿命：≥500次（循环）；</w:t>
      </w:r>
    </w:p>
    <w:p w14:paraId="328AE623">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3.6重量：≤15kg；</w:t>
      </w:r>
    </w:p>
    <w:p w14:paraId="0709DDF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0"/>
          <w:sz w:val="24"/>
          <w:szCs w:val="24"/>
          <w:highlight w:val="none"/>
          <w:lang w:val="en-US" w:eastAsia="zh-CN"/>
        </w:rPr>
        <w:t>3.7外壳防护等级：≥IP65；</w:t>
      </w:r>
    </w:p>
    <w:p w14:paraId="49B1D347">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w:t>
      </w:r>
      <w:r>
        <w:rPr>
          <w:rFonts w:hint="eastAsia" w:ascii="仿宋" w:hAnsi="仿宋" w:eastAsia="仿宋" w:cs="仿宋"/>
          <w:bCs/>
          <w:strike w:val="0"/>
          <w:dstrike w:val="0"/>
          <w:color w:val="auto"/>
          <w:sz w:val="24"/>
          <w:szCs w:val="24"/>
          <w:highlight w:val="none"/>
          <w:lang w:val="en-US" w:eastAsia="zh-CN"/>
        </w:rPr>
        <w:t>具有≥</w:t>
      </w:r>
      <w:r>
        <w:rPr>
          <w:rFonts w:hint="eastAsia" w:ascii="仿宋" w:hAnsi="仿宋" w:eastAsia="仿宋" w:cs="仿宋"/>
          <w:bCs/>
          <w:color w:val="auto"/>
          <w:sz w:val="24"/>
          <w:szCs w:val="24"/>
          <w:highlight w:val="none"/>
          <w:lang w:val="en-US" w:eastAsia="zh-CN"/>
        </w:rPr>
        <w:t>两种模式(含聚光、泛光模式)；</w:t>
      </w:r>
    </w:p>
    <w:p w14:paraId="0E1400EA">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3.9提供中文使用说明书，含装备简介、使用注意事项及维护保养等内容。</w:t>
      </w:r>
    </w:p>
    <w:p w14:paraId="11DBDB09">
      <w:pPr>
        <w:keepNext w:val="0"/>
        <w:keepLines w:val="0"/>
        <w:pageBreakBefore w:val="0"/>
        <w:kinsoku/>
        <w:wordWrap/>
        <w:overflowPunct/>
        <w:topLinePunct w:val="0"/>
        <w:autoSpaceDE/>
        <w:autoSpaceDN/>
        <w:bidi w:val="0"/>
        <w:adjustRightInd w:val="0"/>
        <w:snapToGrid w:val="0"/>
        <w:spacing w:beforeAutospacing="0" w:afterAutospacing="0" w:line="460" w:lineRule="exact"/>
        <w:ind w:left="0" w:leftChars="0" w:right="0" w:rightChars="0" w:firstLine="0" w:firstLineChars="0"/>
        <w:jc w:val="both"/>
        <w:outlineLvl w:val="9"/>
        <w:rPr>
          <w:rFonts w:hint="eastAsia" w:ascii="仿宋" w:hAnsi="仿宋" w:eastAsia="仿宋" w:cs="仿宋"/>
          <w:bCs/>
          <w:color w:val="auto"/>
          <w:sz w:val="24"/>
          <w:szCs w:val="24"/>
          <w:highlight w:val="none"/>
          <w:lang w:val="en-US" w:eastAsia="zh-CN"/>
        </w:rPr>
      </w:pPr>
    </w:p>
    <w:p w14:paraId="0E7FF7ED">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01包-2、泛光灯</w:t>
      </w:r>
    </w:p>
    <w:p w14:paraId="38CDC668">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一、货物名称：泛光灯</w:t>
      </w:r>
    </w:p>
    <w:p w14:paraId="31DA9E89">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14:paraId="675769C5">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14:paraId="0482AB7A">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★3.1提供由国家认可的检测机构出具的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14:paraId="57C58620">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3.2由外壳、灯罩、灯泡和电池组成；</w:t>
      </w:r>
    </w:p>
    <w:p w14:paraId="4D93738F">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3.3电池组额定电压≥20V，额定容量≥9AH，电池类型：锂电池；</w:t>
      </w:r>
    </w:p>
    <w:p w14:paraId="626681EE">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3.4额定功率：≥40W，灯具具有：聚光、泛光、及聚泛光全开模式；</w:t>
      </w:r>
    </w:p>
    <w:p w14:paraId="1133F148">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3.5</w:t>
      </w:r>
      <w:r>
        <w:rPr>
          <w:rFonts w:hint="eastAsia" w:ascii="仿宋" w:hAnsi="仿宋" w:eastAsia="仿宋" w:cs="仿宋"/>
          <w:color w:val="auto"/>
          <w:sz w:val="24"/>
          <w:szCs w:val="24"/>
          <w:highlight w:val="none"/>
        </w:rPr>
        <w:t>工作时间：强光≥8h</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工作光≥16h</w:t>
      </w:r>
      <w:r>
        <w:rPr>
          <w:rFonts w:hint="eastAsia" w:ascii="仿宋" w:hAnsi="仿宋" w:eastAsia="仿宋" w:cs="仿宋"/>
          <w:color w:val="auto"/>
          <w:sz w:val="24"/>
          <w:szCs w:val="24"/>
          <w:highlight w:val="none"/>
          <w:lang w:eastAsia="zh-CN"/>
        </w:rPr>
        <w:t>；</w:t>
      </w:r>
    </w:p>
    <w:p w14:paraId="41B2B707">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3.6</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米中心点照度≥1000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lx</w:t>
      </w:r>
      <w:r>
        <w:rPr>
          <w:rFonts w:hint="eastAsia" w:ascii="仿宋" w:hAnsi="仿宋" w:eastAsia="仿宋" w:cs="仿宋"/>
          <w:color w:val="auto"/>
          <w:sz w:val="24"/>
          <w:szCs w:val="24"/>
          <w:highlight w:val="none"/>
          <w:lang w:eastAsia="zh-CN"/>
        </w:rPr>
        <w:t>）；</w:t>
      </w:r>
    </w:p>
    <w:p w14:paraId="5C0A4641">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3.7灯具高度可调；</w:t>
      </w:r>
    </w:p>
    <w:p w14:paraId="6DB74111">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3.8带USB充电接口；</w:t>
      </w:r>
    </w:p>
    <w:p w14:paraId="1C01F44C">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3.9灯具防爆，外壳防护等级≥IP65；</w:t>
      </w:r>
    </w:p>
    <w:p w14:paraId="7D74F1C6">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3.10供货前，</w:t>
      </w:r>
      <w:r>
        <w:rPr>
          <w:rFonts w:hint="eastAsia" w:ascii="仿宋" w:hAnsi="仿宋" w:eastAsia="仿宋" w:cs="仿宋"/>
          <w:color w:val="auto"/>
          <w:sz w:val="24"/>
          <w:szCs w:val="24"/>
          <w:highlight w:val="none"/>
        </w:rPr>
        <w:t>须主动对接使用单位，确保满足用户需求。</w:t>
      </w:r>
    </w:p>
    <w:p w14:paraId="228DF3DD">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rPr>
      </w:pPr>
    </w:p>
    <w:p w14:paraId="0104288F">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01包-3、月球灯</w:t>
      </w:r>
    </w:p>
    <w:p w14:paraId="6A8CC4F3">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月球灯</w:t>
      </w:r>
    </w:p>
    <w:p w14:paraId="48F98FAD">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14:paraId="016E6A26">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14:paraId="313CABAE">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kern w:val="2"/>
          <w:sz w:val="24"/>
          <w:szCs w:val="24"/>
          <w:highlight w:val="none"/>
          <w:lang w:val="en-US" w:eastAsia="zh-CN" w:bidi="ar-SA"/>
        </w:rPr>
        <w:t>GB26755-2011《消防移动式照明装置》</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p>
    <w:p w14:paraId="68EB6542">
      <w:pPr>
        <w:keepNext w:val="0"/>
        <w:keepLines w:val="0"/>
        <w:pageBreakBefore w:val="0"/>
        <w:widowControl/>
        <w:numPr>
          <w:ilvl w:val="0"/>
          <w:numId w:val="0"/>
        </w:numPr>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strike w:val="0"/>
          <w:dstrike w:val="0"/>
          <w:color w:val="auto"/>
          <w:sz w:val="24"/>
          <w:szCs w:val="24"/>
          <w:highlight w:val="none"/>
          <w:lang w:val="en-US" w:eastAsia="zh-CN"/>
        </w:rPr>
        <w:t>配有发电机；</w:t>
      </w:r>
    </w:p>
    <w:p w14:paraId="3495FCD2">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3.3 </w:t>
      </w:r>
      <w:r>
        <w:rPr>
          <w:rFonts w:hint="eastAsia" w:ascii="仿宋" w:hAnsi="仿宋" w:eastAsia="仿宋" w:cs="仿宋"/>
          <w:b w:val="0"/>
          <w:bCs w:val="0"/>
          <w:color w:val="auto"/>
          <w:sz w:val="24"/>
          <w:szCs w:val="24"/>
          <w:highlight w:val="none"/>
          <w:lang w:eastAsia="zh-CN"/>
        </w:rPr>
        <w:t>灯额定功率</w:t>
      </w:r>
      <w:r>
        <w:rPr>
          <w:rFonts w:hint="eastAsia" w:ascii="仿宋" w:hAnsi="仿宋" w:eastAsia="仿宋" w:cs="仿宋"/>
          <w:color w:val="auto"/>
          <w:sz w:val="24"/>
          <w:szCs w:val="24"/>
          <w:highlight w:val="none"/>
          <w:lang w:eastAsia="zh-CN"/>
        </w:rPr>
        <w:t>≥1000W；</w:t>
      </w:r>
    </w:p>
    <w:p w14:paraId="440BBB85">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3.4 </w:t>
      </w:r>
      <w:r>
        <w:rPr>
          <w:rFonts w:hint="eastAsia" w:ascii="仿宋" w:hAnsi="仿宋" w:eastAsia="仿宋" w:cs="仿宋"/>
          <w:color w:val="auto"/>
          <w:sz w:val="24"/>
          <w:szCs w:val="24"/>
          <w:highlight w:val="none"/>
          <w:lang w:eastAsia="zh-CN"/>
        </w:rPr>
        <w:t>光通量：≥110000Lm；</w:t>
      </w:r>
    </w:p>
    <w:p w14:paraId="0538CA98">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3.5 </w:t>
      </w:r>
      <w:r>
        <w:rPr>
          <w:rFonts w:hint="eastAsia" w:ascii="仿宋" w:hAnsi="仿宋" w:eastAsia="仿宋" w:cs="仿宋"/>
          <w:color w:val="auto"/>
          <w:sz w:val="24"/>
          <w:szCs w:val="24"/>
          <w:highlight w:val="none"/>
          <w:lang w:eastAsia="zh-CN"/>
        </w:rPr>
        <w:t>平均使用寿命：≥10000h；</w:t>
      </w:r>
    </w:p>
    <w:p w14:paraId="35BFED88">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3.6连续工作时间：≥12h；</w:t>
      </w:r>
    </w:p>
    <w:p w14:paraId="364CFFC2">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3.7</w:t>
      </w:r>
      <w:r>
        <w:rPr>
          <w:rFonts w:hint="eastAsia" w:ascii="仿宋" w:hAnsi="仿宋" w:eastAsia="仿宋" w:cs="仿宋"/>
          <w:color w:val="auto"/>
          <w:sz w:val="24"/>
          <w:szCs w:val="24"/>
          <w:highlight w:val="none"/>
          <w:lang w:eastAsia="zh-CN"/>
        </w:rPr>
        <w:t>其他要求：升降时间小于1min，抗风，防雨；</w:t>
      </w:r>
    </w:p>
    <w:p w14:paraId="698FD5F7">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3.8提供中文使用说明书，含装备简介、使用注意事项及维护保养等内容。</w:t>
      </w:r>
    </w:p>
    <w:p w14:paraId="76F7A05B">
      <w:pPr>
        <w:keepNext w:val="0"/>
        <w:keepLines w:val="0"/>
        <w:pageBreakBefore w:val="0"/>
        <w:widowControl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14:paraId="272204AA">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01包-4、气柱灯</w:t>
      </w:r>
    </w:p>
    <w:p w14:paraId="0CEADC96">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气柱灯</w:t>
      </w:r>
    </w:p>
    <w:p w14:paraId="5F79DE7D">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14:paraId="48C165C4">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14:paraId="51488281">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kern w:val="2"/>
          <w:sz w:val="24"/>
          <w:szCs w:val="24"/>
          <w:highlight w:val="none"/>
          <w:lang w:val="en-US" w:eastAsia="zh-CN" w:bidi="ar-SA"/>
        </w:rPr>
        <w:t>GB26755-2011《消防移动式照明装置》</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p>
    <w:p w14:paraId="10E04CCD">
      <w:pPr>
        <w:keepNext w:val="0"/>
        <w:keepLines w:val="0"/>
        <w:pageBreakBefore w:val="0"/>
        <w:widowControl/>
        <w:numPr>
          <w:ilvl w:val="0"/>
          <w:numId w:val="0"/>
        </w:numPr>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2</w:t>
      </w:r>
      <w:r>
        <w:rPr>
          <w:rFonts w:hint="eastAsia" w:ascii="仿宋" w:hAnsi="仿宋" w:eastAsia="仿宋" w:cs="仿宋"/>
          <w:strike w:val="0"/>
          <w:dstrike w:val="0"/>
          <w:color w:val="auto"/>
          <w:sz w:val="24"/>
          <w:szCs w:val="24"/>
          <w:highlight w:val="none"/>
          <w:lang w:val="en-US" w:eastAsia="zh-CN"/>
        </w:rPr>
        <w:t>配有发电机；</w:t>
      </w:r>
    </w:p>
    <w:p w14:paraId="43AF6746">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3.3光通量≥110000Lm；</w:t>
      </w:r>
    </w:p>
    <w:p w14:paraId="25C30C46">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3.4使用寿命≥30000h；</w:t>
      </w:r>
    </w:p>
    <w:p w14:paraId="124C84EE">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3.5抗风、耐热耐寒；</w:t>
      </w:r>
    </w:p>
    <w:p w14:paraId="4C3D9F50">
      <w:pPr>
        <w:keepNext w:val="0"/>
        <w:keepLines w:val="0"/>
        <w:pageBreakBefore w:val="0"/>
        <w:widowControl w:val="0"/>
        <w:kinsoku/>
        <w:wordWrap/>
        <w:overflowPunct/>
        <w:topLinePunct w:val="0"/>
        <w:autoSpaceDE w:val="0"/>
        <w:autoSpaceDN w:val="0"/>
        <w:bidi w:val="0"/>
        <w:spacing w:beforeAutospacing="0" w:afterAutospacing="0" w:line="460" w:lineRule="exact"/>
        <w:ind w:left="0"/>
        <w:textAlignment w:val="baseline"/>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3.6直接使用发电机组供电，发电机组一次注满燃油，连续工作时间≥8h；在有市电的场所，也可接通AC220V市电；</w:t>
      </w:r>
    </w:p>
    <w:p w14:paraId="7ADBB683">
      <w:pPr>
        <w:pStyle w:val="5"/>
        <w:keepNext w:val="0"/>
        <w:keepLines w:val="0"/>
        <w:pageBreakBefore w:val="0"/>
        <w:widowControl w:val="0"/>
        <w:kinsoku/>
        <w:wordWrap/>
        <w:overflowPunct/>
        <w:topLinePunct w:val="0"/>
        <w:bidi w:val="0"/>
        <w:spacing w:beforeAutospacing="0" w:after="0" w:afterAutospacing="0" w:line="460" w:lineRule="exact"/>
        <w:ind w:left="0" w:leftChars="0" w:firstLine="0" w:firstLineChars="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3.7提供中文使用说明书，含装备简</w:t>
      </w:r>
      <w:r>
        <w:rPr>
          <w:rFonts w:hint="eastAsia" w:ascii="仿宋" w:hAnsi="仿宋" w:eastAsia="仿宋" w:cs="仿宋"/>
          <w:color w:val="auto"/>
          <w:kern w:val="0"/>
          <w:sz w:val="24"/>
          <w:szCs w:val="24"/>
          <w:highlight w:val="none"/>
          <w:lang w:val="en-US" w:eastAsia="zh-CN"/>
        </w:rPr>
        <w:t>介、使用注意事项及维护保养等内容。</w:t>
      </w:r>
    </w:p>
    <w:p w14:paraId="49DA26AE">
      <w:pPr>
        <w:keepNext w:val="0"/>
        <w:keepLines w:val="0"/>
        <w:pageBreakBefore w:val="0"/>
        <w:widowControl w:val="0"/>
        <w:kinsoku/>
        <w:wordWrap/>
        <w:overflowPunct/>
        <w:topLinePunct w:val="0"/>
        <w:autoSpaceDE/>
        <w:autoSpaceDN/>
        <w:bidi w:val="0"/>
        <w:spacing w:line="460" w:lineRule="exact"/>
        <w:ind w:left="0"/>
        <w:textAlignment w:val="auto"/>
        <w:outlineLvl w:val="9"/>
        <w:rPr>
          <w:rFonts w:hint="eastAsia" w:ascii="仿宋" w:hAnsi="仿宋" w:eastAsia="仿宋" w:cs="仿宋"/>
          <w:b/>
          <w:bCs/>
          <w:color w:val="auto"/>
          <w:kern w:val="0"/>
          <w:sz w:val="24"/>
          <w:szCs w:val="24"/>
          <w:highlight w:val="none"/>
          <w:lang w:val="en-US" w:eastAsia="zh-CN"/>
        </w:rPr>
      </w:pPr>
    </w:p>
    <w:p w14:paraId="7E2A66BB">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01包-5、</w:t>
      </w:r>
      <w:r>
        <w:rPr>
          <w:rFonts w:hint="eastAsia" w:ascii="仿宋" w:hAnsi="仿宋" w:eastAsia="仿宋" w:cs="仿宋"/>
          <w:b/>
          <w:bCs w:val="0"/>
          <w:color w:val="auto"/>
          <w:sz w:val="24"/>
          <w:szCs w:val="24"/>
          <w:highlight w:val="none"/>
          <w:lang w:val="en-US" w:eastAsia="zh-CN"/>
        </w:rPr>
        <w:t>移动照明灯组</w:t>
      </w:r>
    </w:p>
    <w:p w14:paraId="1DFF16CF">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一、货物名称：移动照明灯组</w:t>
      </w:r>
    </w:p>
    <w:p w14:paraId="4716D8ED">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14:paraId="734CFD1C">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14:paraId="3D4599CF">
      <w:pPr>
        <w:keepNext w:val="0"/>
        <w:keepLines w:val="0"/>
        <w:pageBreakBefore w:val="0"/>
        <w:widowControl w:val="0"/>
        <w:kinsoku/>
        <w:wordWrap/>
        <w:overflowPunct/>
        <w:topLinePunct w:val="0"/>
        <w:autoSpaceDE/>
        <w:autoSpaceDN/>
        <w:bidi w:val="0"/>
        <w:spacing w:line="4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kern w:val="2"/>
          <w:sz w:val="24"/>
          <w:szCs w:val="24"/>
          <w:highlight w:val="none"/>
          <w:lang w:val="en-US" w:eastAsia="zh-CN" w:bidi="ar-SA"/>
        </w:rPr>
        <w:t>GB26755-2011《消防移动式照明装置》</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p>
    <w:p w14:paraId="3ABD9804">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w:t>
      </w:r>
      <w:r>
        <w:rPr>
          <w:rFonts w:hint="eastAsia" w:ascii="仿宋" w:hAnsi="仿宋" w:eastAsia="仿宋" w:cs="仿宋"/>
          <w:b/>
          <w:bCs w:val="0"/>
          <w:color w:val="auto"/>
          <w:sz w:val="24"/>
          <w:szCs w:val="24"/>
          <w:highlight w:val="none"/>
          <w:lang w:val="en-US" w:eastAsia="zh-CN"/>
        </w:rPr>
        <w:t>照明灯额定功率≥2000w；</w:t>
      </w:r>
    </w:p>
    <w:p w14:paraId="1C49BC56">
      <w:pPr>
        <w:keepNext w:val="0"/>
        <w:keepLines w:val="0"/>
        <w:pageBreakBefore w:val="0"/>
        <w:widowControl w:val="0"/>
        <w:kinsoku/>
        <w:wordWrap/>
        <w:overflowPunct/>
        <w:topLinePunct w:val="0"/>
        <w:autoSpaceDE/>
        <w:autoSpaceDN/>
        <w:bidi w:val="0"/>
        <w:adjustRightInd w:val="0"/>
        <w:snapToGrid w:val="0"/>
        <w:spacing w:line="4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▲3.3照明灯组升降方式为气动调节，</w:t>
      </w:r>
      <w:r>
        <w:rPr>
          <w:rFonts w:hint="eastAsia" w:ascii="仿宋" w:hAnsi="仿宋" w:eastAsia="仿宋" w:cs="仿宋"/>
          <w:color w:val="auto"/>
          <w:sz w:val="24"/>
          <w:szCs w:val="24"/>
          <w:highlight w:val="none"/>
          <w:lang w:val="en-US" w:eastAsia="zh-CN"/>
        </w:rPr>
        <w:t>最大升起高度为≥4米；</w:t>
      </w:r>
      <w:r>
        <w:rPr>
          <w:rFonts w:hint="eastAsia" w:ascii="仿宋" w:hAnsi="仿宋" w:eastAsia="仿宋" w:cs="仿宋"/>
          <w:bCs/>
          <w:color w:val="auto"/>
          <w:sz w:val="24"/>
          <w:szCs w:val="24"/>
          <w:highlight w:val="none"/>
          <w:lang w:val="en-US" w:eastAsia="zh-CN"/>
        </w:rPr>
        <w:t>上下转动灯头可调节光束照射角度，</w:t>
      </w:r>
      <w:r>
        <w:rPr>
          <w:rFonts w:hint="eastAsia" w:ascii="仿宋" w:hAnsi="仿宋" w:eastAsia="仿宋" w:cs="仿宋"/>
          <w:b/>
          <w:bCs/>
          <w:color w:val="auto"/>
          <w:sz w:val="24"/>
          <w:szCs w:val="24"/>
          <w:highlight w:val="none"/>
          <w:lang w:val="en-US" w:eastAsia="zh-CN"/>
        </w:rPr>
        <w:t>5米处照度≥50（lx）；</w:t>
      </w:r>
    </w:p>
    <w:p w14:paraId="1A6B5F6B">
      <w:pPr>
        <w:keepNext w:val="0"/>
        <w:keepLines w:val="0"/>
        <w:pageBreakBefore w:val="0"/>
        <w:widowControl w:val="0"/>
        <w:shd w:val="clear" w:color="auto" w:fill="auto"/>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3.4配置移动发电机，功率≥5000w，也可接通220V市电长时间照明；采用发电机组供电一次注满燃油连续工作时间≥8小时；</w:t>
      </w:r>
    </w:p>
    <w:p w14:paraId="186C6D67">
      <w:pPr>
        <w:keepNext w:val="0"/>
        <w:keepLines w:val="0"/>
        <w:pageBreakBefore w:val="0"/>
        <w:widowControl w:val="0"/>
        <w:shd w:val="clear" w:color="auto" w:fill="auto"/>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strike/>
          <w:dstrike w:val="0"/>
          <w:color w:val="auto"/>
          <w:sz w:val="24"/>
          <w:szCs w:val="24"/>
          <w:highlight w:val="none"/>
          <w:lang w:eastAsia="zh-CN"/>
        </w:rPr>
      </w:pPr>
      <w:r>
        <w:rPr>
          <w:rFonts w:hint="eastAsia" w:ascii="仿宋" w:hAnsi="仿宋" w:eastAsia="仿宋" w:cs="仿宋"/>
          <w:bCs/>
          <w:color w:val="auto"/>
          <w:sz w:val="24"/>
          <w:szCs w:val="24"/>
          <w:highlight w:val="none"/>
          <w:lang w:val="en-US" w:eastAsia="zh-CN"/>
        </w:rPr>
        <w:t>3.5遥控距离≥50m，可控制灯光开关和升降；</w:t>
      </w:r>
    </w:p>
    <w:p w14:paraId="6C657D57">
      <w:pPr>
        <w:keepNext w:val="0"/>
        <w:keepLines w:val="0"/>
        <w:pageBreakBefore w:val="0"/>
        <w:widowControl w:val="0"/>
        <w:shd w:val="clear" w:color="auto" w:fill="auto"/>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3.6灯盘、气缸和发电机组为整体结构，发电机组底部装有万向轮；</w:t>
      </w:r>
    </w:p>
    <w:p w14:paraId="64B32BB9">
      <w:pPr>
        <w:keepNext w:val="0"/>
        <w:keepLines w:val="0"/>
        <w:pageBreakBefore w:val="0"/>
        <w:widowControl w:val="0"/>
        <w:shd w:val="clear" w:color="auto" w:fill="auto"/>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b/>
          <w:bCs/>
          <w:color w:val="auto"/>
          <w:sz w:val="24"/>
          <w:szCs w:val="24"/>
          <w:highlight w:val="none"/>
          <w:lang w:val="en-US" w:eastAsia="zh-CN"/>
        </w:rPr>
        <w:t>7重量≤100Kg，</w:t>
      </w:r>
      <w:r>
        <w:rPr>
          <w:rFonts w:hint="eastAsia" w:ascii="仿宋" w:hAnsi="仿宋" w:eastAsia="仿宋" w:cs="仿宋"/>
          <w:color w:val="auto"/>
          <w:sz w:val="24"/>
          <w:szCs w:val="24"/>
          <w:highlight w:val="none"/>
          <w:lang w:val="en-US" w:eastAsia="zh-CN"/>
        </w:rPr>
        <w:t>防护等级≥IP65；</w:t>
      </w:r>
    </w:p>
    <w:p w14:paraId="4B8ACE64">
      <w:pPr>
        <w:keepNext w:val="0"/>
        <w:keepLines w:val="0"/>
        <w:pageBreakBefore w:val="0"/>
        <w:widowControl w:val="0"/>
        <w:kinsoku/>
        <w:wordWrap/>
        <w:overflowPunct/>
        <w:topLinePunct w:val="0"/>
        <w:autoSpaceDE/>
        <w:autoSpaceDN/>
        <w:bidi w:val="0"/>
        <w:spacing w:line="46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3.8供货前，须主动对接使用单位，提供中文使用说明书，含装备简介、使用注意事项及维护保养等内容，确保满足用户需求。</w:t>
      </w:r>
    </w:p>
    <w:p w14:paraId="23875087">
      <w:pPr>
        <w:rPr>
          <w:rFonts w:hint="eastAsia" w:ascii="仿宋" w:hAnsi="仿宋" w:eastAsia="仿宋" w:cs="仿宋"/>
          <w:bCs/>
          <w:color w:val="auto"/>
          <w:sz w:val="24"/>
          <w:szCs w:val="24"/>
          <w:highlight w:val="none"/>
          <w:lang w:val="en-US" w:eastAsia="zh-CN"/>
        </w:rPr>
      </w:pPr>
    </w:p>
    <w:p w14:paraId="54A67AB7">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Cs/>
          <w:color w:val="auto"/>
          <w:sz w:val="24"/>
          <w:szCs w:val="24"/>
          <w:highlight w:val="none"/>
          <w:lang w:val="en-US" w:eastAsia="zh-CN"/>
        </w:rPr>
      </w:pPr>
      <w:bookmarkStart w:id="17" w:name="_Toc25863"/>
      <w:bookmarkStart w:id="18" w:name="_Toc9499"/>
      <w:bookmarkStart w:id="19" w:name="_Toc15458"/>
      <w:bookmarkStart w:id="20" w:name="_Toc30212"/>
      <w:bookmarkStart w:id="21" w:name="_Toc24144"/>
      <w:r>
        <w:rPr>
          <w:rFonts w:hint="eastAsia" w:ascii="仿宋" w:hAnsi="仿宋" w:eastAsia="仿宋" w:cs="仿宋"/>
          <w:b/>
          <w:bCs/>
          <w:color w:val="auto"/>
          <w:sz w:val="24"/>
          <w:szCs w:val="24"/>
          <w:highlight w:val="none"/>
          <w:lang w:val="en-US" w:eastAsia="zh-CN"/>
        </w:rPr>
        <w:t>02包：移动照明灯组（小型）</w:t>
      </w:r>
      <w:bookmarkEnd w:id="17"/>
      <w:bookmarkEnd w:id="18"/>
      <w:bookmarkEnd w:id="19"/>
      <w:bookmarkEnd w:id="20"/>
      <w:bookmarkEnd w:id="21"/>
    </w:p>
    <w:p w14:paraId="677641B9">
      <w:pPr>
        <w:pStyle w:val="4"/>
        <w:keepNext w:val="0"/>
        <w:keepLines w:val="0"/>
        <w:pageBreakBefore w:val="0"/>
        <w:kinsoku/>
        <w:wordWrap/>
        <w:overflowPunct/>
        <w:topLinePunct w:val="0"/>
        <w:bidi w:val="0"/>
        <w:spacing w:after="0" w:line="460" w:lineRule="exact"/>
        <w:ind w:left="0"/>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b w:val="0"/>
          <w:bCs w:val="0"/>
          <w:color w:val="auto"/>
          <w:sz w:val="24"/>
          <w:szCs w:val="24"/>
          <w:highlight w:val="none"/>
        </w:rPr>
        <w:t>移动照明灯组</w:t>
      </w:r>
      <w:r>
        <w:rPr>
          <w:rFonts w:hint="eastAsia" w:ascii="仿宋" w:hAnsi="仿宋" w:eastAsia="仿宋" w:cs="仿宋"/>
          <w:b w:val="0"/>
          <w:bCs w:val="0"/>
          <w:color w:val="auto"/>
          <w:sz w:val="24"/>
          <w:szCs w:val="24"/>
          <w:highlight w:val="none"/>
          <w:lang w:eastAsia="zh-CN"/>
        </w:rPr>
        <w:t>（小型）</w:t>
      </w:r>
    </w:p>
    <w:p w14:paraId="0897A08A">
      <w:pPr>
        <w:pStyle w:val="4"/>
        <w:keepNext w:val="0"/>
        <w:keepLines w:val="0"/>
        <w:pageBreakBefore w:val="0"/>
        <w:kinsoku/>
        <w:wordWrap/>
        <w:overflowPunct/>
        <w:topLinePunct w:val="0"/>
        <w:bidi w:val="0"/>
        <w:spacing w:after="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14:paraId="2F2ED0E3">
      <w:pPr>
        <w:pStyle w:val="4"/>
        <w:keepNext w:val="0"/>
        <w:keepLines w:val="0"/>
        <w:pageBreakBefore w:val="0"/>
        <w:kinsoku/>
        <w:wordWrap/>
        <w:overflowPunct/>
        <w:topLinePunct w:val="0"/>
        <w:bidi w:val="0"/>
        <w:spacing w:after="0" w:line="460" w:lineRule="exact"/>
        <w:ind w:left="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14:paraId="1C5F522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bCs/>
          <w:color w:val="auto"/>
          <w:kern w:val="2"/>
          <w:sz w:val="24"/>
          <w:szCs w:val="24"/>
          <w:highlight w:val="none"/>
          <w:lang w:val="en-US" w:eastAsia="zh-CN" w:bidi="ar-SA"/>
        </w:rPr>
        <w:t>GB26755-2011《消防移动式照明装置》</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p>
    <w:p w14:paraId="77C33863">
      <w:pPr>
        <w:keepNext w:val="0"/>
        <w:keepLines w:val="0"/>
        <w:pageBreakBefore w:val="0"/>
        <w:widowControl w:val="0"/>
        <w:numPr>
          <w:ilvl w:val="0"/>
          <w:numId w:val="0"/>
        </w:numPr>
        <w:kinsoku/>
        <w:wordWrap/>
        <w:overflowPunct/>
        <w:topLinePunct w:val="0"/>
        <w:autoSpaceDE/>
        <w:autoSpaceDN/>
        <w:bidi w:val="0"/>
        <w:adjustRightInd/>
        <w:snapToGrid/>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3.2额定电压AC220V，≥4个灯头，单灯头≥150W,左右大角度调节旋转实现360°角度方位照明；</w:t>
      </w:r>
    </w:p>
    <w:p w14:paraId="7B0FD47B">
      <w:pPr>
        <w:pStyle w:val="4"/>
        <w:keepNext w:val="0"/>
        <w:keepLines w:val="0"/>
        <w:pageBreakBefore w:val="0"/>
        <w:widowControl w:val="0"/>
        <w:kinsoku/>
        <w:wordWrap/>
        <w:overflowPunct/>
        <w:topLinePunct w:val="0"/>
        <w:autoSpaceDE/>
        <w:autoSpaceDN/>
        <w:bidi w:val="0"/>
        <w:adjustRightInd/>
        <w:snapToGrid/>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▲3.3</w:t>
      </w:r>
      <w:r>
        <w:rPr>
          <w:rFonts w:hint="eastAsia" w:ascii="仿宋" w:hAnsi="仿宋" w:eastAsia="仿宋" w:cs="仿宋"/>
          <w:b/>
          <w:bCs w:val="0"/>
          <w:color w:val="auto"/>
          <w:kern w:val="2"/>
          <w:sz w:val="24"/>
          <w:szCs w:val="24"/>
          <w:highlight w:val="none"/>
          <w:lang w:val="en-US" w:eastAsia="zh-CN" w:bidi="ar-SA"/>
        </w:rPr>
        <w:t>配备发电机,额定输出功率≥2000W,</w:t>
      </w:r>
      <w:r>
        <w:rPr>
          <w:rFonts w:hint="eastAsia" w:ascii="仿宋" w:hAnsi="仿宋" w:eastAsia="仿宋" w:cs="仿宋"/>
          <w:b w:val="0"/>
          <w:bCs/>
          <w:color w:val="auto"/>
          <w:kern w:val="2"/>
          <w:sz w:val="24"/>
          <w:szCs w:val="24"/>
          <w:highlight w:val="none"/>
          <w:lang w:val="en-US" w:eastAsia="zh-CN" w:bidi="ar-SA"/>
        </w:rPr>
        <w:t>油箱加满连续工作时间≥10小时</w:t>
      </w:r>
      <w:r>
        <w:rPr>
          <w:rFonts w:hint="eastAsia" w:ascii="仿宋" w:hAnsi="仿宋" w:eastAsia="仿宋" w:cs="仿宋"/>
          <w:bCs/>
          <w:color w:val="auto"/>
          <w:kern w:val="2"/>
          <w:sz w:val="24"/>
          <w:szCs w:val="24"/>
          <w:highlight w:val="none"/>
          <w:lang w:val="en-US" w:eastAsia="zh-CN" w:bidi="ar-SA"/>
        </w:rPr>
        <w:t>；</w:t>
      </w:r>
    </w:p>
    <w:p w14:paraId="0998B120">
      <w:pPr>
        <w:pStyle w:val="4"/>
        <w:keepNext w:val="0"/>
        <w:keepLines w:val="0"/>
        <w:pageBreakBefore w:val="0"/>
        <w:widowControl w:val="0"/>
        <w:kinsoku/>
        <w:wordWrap/>
        <w:overflowPunct/>
        <w:topLinePunct w:val="0"/>
        <w:autoSpaceDE/>
        <w:autoSpaceDN/>
        <w:bidi w:val="0"/>
        <w:adjustRightInd/>
        <w:snapToGrid/>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3.4气杆升降高度≥3m；</w:t>
      </w:r>
    </w:p>
    <w:p w14:paraId="2399B39E">
      <w:pPr>
        <w:pStyle w:val="4"/>
        <w:keepNext w:val="0"/>
        <w:keepLines w:val="0"/>
        <w:pageBreakBefore w:val="0"/>
        <w:widowControl w:val="0"/>
        <w:kinsoku/>
        <w:wordWrap/>
        <w:overflowPunct/>
        <w:topLinePunct w:val="0"/>
        <w:autoSpaceDE/>
        <w:autoSpaceDN/>
        <w:bidi w:val="0"/>
        <w:adjustRightInd/>
        <w:snapToGrid/>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3.5遥控控制距离:≥50米；</w:t>
      </w:r>
    </w:p>
    <w:p w14:paraId="4CF93CB1">
      <w:pPr>
        <w:pStyle w:val="4"/>
        <w:keepNext w:val="0"/>
        <w:keepLines w:val="0"/>
        <w:pageBreakBefore w:val="0"/>
        <w:widowControl w:val="0"/>
        <w:kinsoku/>
        <w:wordWrap/>
        <w:overflowPunct/>
        <w:topLinePunct w:val="0"/>
        <w:autoSpaceDE/>
        <w:autoSpaceDN/>
        <w:bidi w:val="0"/>
        <w:adjustRightInd/>
        <w:snapToGrid/>
        <w:spacing w:after="0" w:line="460" w:lineRule="exact"/>
        <w:ind w:left="0"/>
        <w:textAlignment w:val="auto"/>
        <w:outlineLvl w:val="9"/>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3.6防护等级≥IP65;</w:t>
      </w:r>
    </w:p>
    <w:p w14:paraId="1C61BE6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3.7提供中文使用说明书，含装备简介、使用注意事项及维护保养等内容。</w:t>
      </w:r>
    </w:p>
    <w:p w14:paraId="3F07C348">
      <w:pPr>
        <w:rPr>
          <w:rFonts w:hint="eastAsia" w:ascii="仿宋" w:hAnsi="仿宋" w:eastAsia="仿宋" w:cs="仿宋"/>
          <w:bCs/>
          <w:color w:val="auto"/>
          <w:kern w:val="2"/>
          <w:sz w:val="24"/>
          <w:szCs w:val="24"/>
          <w:highlight w:val="none"/>
          <w:lang w:val="en-US" w:eastAsia="zh-CN" w:bidi="ar-SA"/>
        </w:rPr>
      </w:pPr>
    </w:p>
    <w:p w14:paraId="41446B86">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22" w:name="_Toc14515"/>
      <w:bookmarkStart w:id="23" w:name="_Toc28198"/>
      <w:bookmarkStart w:id="24" w:name="_Toc2987"/>
      <w:bookmarkStart w:id="25" w:name="_Toc10856"/>
      <w:bookmarkStart w:id="26" w:name="_Toc20240"/>
      <w:r>
        <w:rPr>
          <w:rFonts w:hint="eastAsia" w:ascii="仿宋" w:hAnsi="仿宋" w:eastAsia="仿宋" w:cs="仿宋"/>
          <w:b/>
          <w:bCs/>
          <w:color w:val="auto"/>
          <w:sz w:val="24"/>
          <w:szCs w:val="24"/>
          <w:highlight w:val="none"/>
          <w:lang w:val="en-US" w:eastAsia="zh-CN"/>
        </w:rPr>
        <w:t>03包：高压气瓶、正压式空气呼吸器碳纤维气瓶【核心产品】</w:t>
      </w:r>
      <w:bookmarkEnd w:id="22"/>
      <w:bookmarkEnd w:id="23"/>
      <w:bookmarkEnd w:id="24"/>
      <w:bookmarkEnd w:id="25"/>
      <w:bookmarkEnd w:id="26"/>
    </w:p>
    <w:p w14:paraId="29FDB89B">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03包-1、</w:t>
      </w:r>
      <w:r>
        <w:rPr>
          <w:rFonts w:hint="eastAsia" w:ascii="仿宋" w:hAnsi="仿宋" w:eastAsia="仿宋" w:cs="仿宋"/>
          <w:b/>
          <w:bCs w:val="0"/>
          <w:color w:val="auto"/>
          <w:sz w:val="24"/>
          <w:szCs w:val="24"/>
          <w:highlight w:val="none"/>
          <w:lang w:val="en-US" w:eastAsia="zh-CN"/>
        </w:rPr>
        <w:t>高压气瓶</w:t>
      </w:r>
    </w:p>
    <w:p w14:paraId="661C4110">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一、货物名称：高压气瓶</w:t>
      </w:r>
    </w:p>
    <w:p w14:paraId="6C0CB0BC">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14:paraId="19F8CD81">
      <w:pPr>
        <w:keepNext w:val="0"/>
        <w:keepLines w:val="0"/>
        <w:pageBreakBefore w:val="0"/>
        <w:widowControl w:val="0"/>
        <w:kinsoku/>
        <w:wordWrap/>
        <w:overflowPunct/>
        <w:topLinePunct w:val="0"/>
        <w:autoSpaceDE/>
        <w:autoSpaceDN/>
        <w:bidi w:val="0"/>
        <w:adjustRightInd w:val="0"/>
        <w:snapToGrid w:val="0"/>
        <w:spacing w:beforeAutospacing="0" w:line="460" w:lineRule="exact"/>
        <w:ind w:left="0" w:leftChars="0" w:right="0" w:rightChars="0" w:firstLine="0" w:firstLineChars="0"/>
        <w:jc w:val="both"/>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14:paraId="2352B8D2">
      <w:pPr>
        <w:keepNext w:val="0"/>
        <w:keepLines w:val="0"/>
        <w:pageBreakBefore w:val="0"/>
        <w:widowControl w:val="0"/>
        <w:kinsoku/>
        <w:wordWrap/>
        <w:overflowPunct/>
        <w:topLinePunct w:val="0"/>
        <w:autoSpaceDE/>
        <w:autoSpaceDN/>
        <w:bidi w:val="0"/>
        <w:spacing w:line="46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★3.1提供由国家认可的检测机构出具的检测/检验/试验/测试报告（报告中的型号须与所投产品型号一致）复印件；</w:t>
      </w:r>
    </w:p>
    <w:p w14:paraId="0251F5BB">
      <w:pPr>
        <w:keepNext w:val="0"/>
        <w:keepLines w:val="0"/>
        <w:pageBreakBefore w:val="0"/>
        <w:widowControl w:val="0"/>
        <w:kinsoku/>
        <w:wordWrap/>
        <w:overflowPunct/>
        <w:topLinePunct w:val="0"/>
        <w:autoSpaceDE/>
        <w:autoSpaceDN/>
        <w:bidi w:val="0"/>
        <w:adjustRightInd w:val="0"/>
        <w:snapToGrid w:val="0"/>
        <w:spacing w:beforeAutospacing="0" w:afterAutospacing="0" w:line="460" w:lineRule="exact"/>
        <w:ind w:left="0"/>
        <w:jc w:val="both"/>
        <w:textAlignment w:val="auto"/>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3.2 容积≥40L，重量≤50Kg，壁厚≤6mm，高度≤150cm，额定充装压力≥15MPa。配有推车和氧气瓶用氧气吸入器、供气管、面罩、呼吸袋等供氧设备和配件。</w:t>
      </w:r>
    </w:p>
    <w:p w14:paraId="00D524AC">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jc w:val="both"/>
        <w:textAlignment w:val="auto"/>
        <w:outlineLvl w:val="9"/>
        <w:rPr>
          <w:rFonts w:hint="eastAsia" w:ascii="仿宋" w:hAnsi="仿宋" w:eastAsia="仿宋" w:cs="仿宋"/>
          <w:b/>
          <w:bCs/>
          <w:color w:val="auto"/>
          <w:kern w:val="0"/>
          <w:sz w:val="24"/>
          <w:szCs w:val="24"/>
          <w:highlight w:val="none"/>
          <w:lang w:val="en-US" w:eastAsia="zh-CN"/>
        </w:rPr>
      </w:pPr>
    </w:p>
    <w:p w14:paraId="0C397C12">
      <w:pPr>
        <w:keepNext w:val="0"/>
        <w:keepLines w:val="0"/>
        <w:pageBreakBefore w:val="0"/>
        <w:widowControl w:val="0"/>
        <w:numPr>
          <w:ilvl w:val="-1"/>
          <w:numId w:val="0"/>
        </w:numPr>
        <w:kinsoku/>
        <w:wordWrap/>
        <w:overflowPunct/>
        <w:topLinePunct w:val="0"/>
        <w:autoSpaceDE/>
        <w:autoSpaceDN/>
        <w:bidi w:val="0"/>
        <w:spacing w:beforeAutospacing="0" w:afterAutospacing="0" w:line="460" w:lineRule="exact"/>
        <w:ind w:left="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lang w:val="en-US" w:eastAsia="zh-CN"/>
        </w:rPr>
        <w:t>03包-2、</w:t>
      </w:r>
      <w:r>
        <w:rPr>
          <w:rFonts w:hint="eastAsia" w:ascii="仿宋" w:hAnsi="仿宋" w:eastAsia="仿宋" w:cs="仿宋"/>
          <w:b/>
          <w:bCs/>
          <w:color w:val="auto"/>
          <w:sz w:val="24"/>
          <w:szCs w:val="24"/>
          <w:highlight w:val="none"/>
          <w:lang w:eastAsia="zh-CN"/>
        </w:rPr>
        <w:t>正压式空气呼吸器碳纤维气瓶</w:t>
      </w:r>
    </w:p>
    <w:p w14:paraId="1DB52A0E">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eastAsia="zh-CN"/>
        </w:rPr>
        <w:t>正压式空气呼吸器碳纤维气瓶</w:t>
      </w:r>
    </w:p>
    <w:p w14:paraId="14F8F438">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二、产地：国产</w:t>
      </w:r>
    </w:p>
    <w:p w14:paraId="0DAA0B2F">
      <w:pPr>
        <w:keepNext w:val="0"/>
        <w:keepLines w:val="0"/>
        <w:pageBreakBefore w:val="0"/>
        <w:widowControl w:val="0"/>
        <w:numPr>
          <w:ilvl w:val="0"/>
          <w:numId w:val="0"/>
        </w:numPr>
        <w:kinsoku/>
        <w:wordWrap/>
        <w:overflowPunct/>
        <w:topLinePunct w:val="0"/>
        <w:autoSpaceDE/>
        <w:autoSpaceDN/>
        <w:bidi w:val="0"/>
        <w:spacing w:beforeAutospacing="0" w:afterAutospacing="0" w:line="460" w:lineRule="exact"/>
        <w:ind w:left="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三、主要技术规格、参数及要求：</w:t>
      </w:r>
    </w:p>
    <w:p w14:paraId="717FE86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★3.1产品符合GB/T 28053-2023《铝合金内胆碳纤维全缠绕气瓶》标准的要求，提供第三方检测机构出具的检测/检验/试验/测试报告（报告中的型号须与所投产品型号一致）复印件；</w:t>
      </w:r>
    </w:p>
    <w:p w14:paraId="2C3693B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2气瓶应配备瓶头阀，瓶阀螺纹规格应符合XF124-2013《正压式消防空气呼吸器》相关要求</w:t>
      </w:r>
      <w:r>
        <w:rPr>
          <w:rFonts w:hint="eastAsia" w:ascii="仿宋" w:hAnsi="仿宋" w:eastAsia="仿宋" w:cs="仿宋"/>
          <w:color w:val="auto"/>
          <w:sz w:val="24"/>
          <w:szCs w:val="24"/>
          <w:highlight w:val="none"/>
          <w:lang w:eastAsia="zh-CN"/>
        </w:rPr>
        <w:t>；</w:t>
      </w:r>
    </w:p>
    <w:p w14:paraId="7B77F2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气瓶容量6.8L，</w:t>
      </w:r>
      <w:r>
        <w:rPr>
          <w:rFonts w:hint="eastAsia" w:ascii="仿宋" w:hAnsi="仿宋" w:eastAsia="仿宋" w:cs="仿宋"/>
          <w:color w:val="auto"/>
          <w:sz w:val="24"/>
          <w:szCs w:val="24"/>
          <w:highlight w:val="none"/>
          <w:lang w:val="en-US" w:eastAsia="zh-CN"/>
        </w:rPr>
        <w:t>最大充装</w:t>
      </w:r>
      <w:r>
        <w:rPr>
          <w:rFonts w:hint="eastAsia" w:ascii="仿宋" w:hAnsi="仿宋" w:eastAsia="仿宋" w:cs="仿宋"/>
          <w:color w:val="auto"/>
          <w:sz w:val="24"/>
          <w:szCs w:val="24"/>
          <w:highlight w:val="none"/>
        </w:rPr>
        <w:t>压力≥30MPa</w:t>
      </w:r>
      <w:r>
        <w:rPr>
          <w:rFonts w:hint="eastAsia" w:ascii="仿宋" w:hAnsi="仿宋" w:eastAsia="仿宋" w:cs="仿宋"/>
          <w:color w:val="auto"/>
          <w:sz w:val="24"/>
          <w:szCs w:val="24"/>
          <w:highlight w:val="none"/>
          <w:lang w:eastAsia="zh-CN"/>
        </w:rPr>
        <w:t>；</w:t>
      </w:r>
    </w:p>
    <w:p w14:paraId="78E52F8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left="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使用年限为≥15年，使用环境温度≥-30℃～+60℃；</w:t>
      </w:r>
    </w:p>
    <w:p w14:paraId="10EBC9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b/>
          <w:bCs/>
          <w:color w:val="auto"/>
          <w:sz w:val="24"/>
          <w:szCs w:val="24"/>
          <w:highlight w:val="none"/>
        </w:rPr>
        <w:t>公称</w:t>
      </w:r>
      <w:r>
        <w:rPr>
          <w:rFonts w:hint="eastAsia" w:ascii="仿宋" w:hAnsi="仿宋" w:eastAsia="仿宋" w:cs="仿宋"/>
          <w:b/>
          <w:bCs/>
          <w:color w:val="auto"/>
          <w:sz w:val="24"/>
          <w:szCs w:val="24"/>
          <w:highlight w:val="none"/>
          <w:lang w:eastAsia="zh-CN"/>
        </w:rPr>
        <w:t>质量</w:t>
      </w:r>
      <w:r>
        <w:rPr>
          <w:rFonts w:hint="eastAsia" w:ascii="仿宋" w:hAnsi="仿宋" w:eastAsia="仿宋" w:cs="仿宋"/>
          <w:b/>
          <w:bCs/>
          <w:color w:val="auto"/>
          <w:sz w:val="24"/>
          <w:szCs w:val="24"/>
          <w:highlight w:val="none"/>
        </w:rPr>
        <w:t>：≤4kg，</w:t>
      </w:r>
      <w:r>
        <w:rPr>
          <w:rFonts w:hint="eastAsia" w:ascii="仿宋" w:hAnsi="仿宋" w:eastAsia="仿宋" w:cs="仿宋"/>
          <w:color w:val="auto"/>
          <w:sz w:val="24"/>
          <w:szCs w:val="24"/>
          <w:highlight w:val="none"/>
        </w:rPr>
        <w:t>试验压力50Mpa</w:t>
      </w:r>
      <w:r>
        <w:rPr>
          <w:rFonts w:hint="eastAsia" w:ascii="仿宋" w:hAnsi="仿宋" w:eastAsia="仿宋" w:cs="仿宋"/>
          <w:color w:val="auto"/>
          <w:sz w:val="24"/>
          <w:szCs w:val="24"/>
          <w:highlight w:val="none"/>
          <w:lang w:eastAsia="zh-CN"/>
        </w:rPr>
        <w:t>。</w:t>
      </w:r>
    </w:p>
    <w:p w14:paraId="7CB5301C">
      <w:pPr>
        <w:rPr>
          <w:rFonts w:hint="eastAsia" w:ascii="仿宋" w:hAnsi="仿宋" w:eastAsia="仿宋" w:cs="仿宋"/>
          <w:color w:val="auto"/>
          <w:sz w:val="24"/>
          <w:szCs w:val="24"/>
          <w:highlight w:val="none"/>
          <w:lang w:eastAsia="zh-CN"/>
        </w:rPr>
      </w:pPr>
    </w:p>
    <w:p w14:paraId="58B59714">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27" w:name="_Toc17043"/>
      <w:bookmarkStart w:id="28" w:name="_Toc32126"/>
      <w:bookmarkStart w:id="29" w:name="_Toc18166"/>
      <w:bookmarkStart w:id="30" w:name="_Toc17655"/>
      <w:bookmarkStart w:id="31" w:name="_Toc30629"/>
      <w:r>
        <w:rPr>
          <w:rFonts w:hint="eastAsia" w:ascii="仿宋" w:hAnsi="仿宋" w:eastAsia="仿宋" w:cs="仿宋"/>
          <w:b/>
          <w:bCs/>
          <w:color w:val="auto"/>
          <w:sz w:val="24"/>
          <w:szCs w:val="24"/>
          <w:highlight w:val="none"/>
          <w:lang w:val="en-US" w:eastAsia="zh-CN"/>
        </w:rPr>
        <w:t>04包：滑轮套装、挂钩套装、绳索救援套装【核心产品】</w:t>
      </w:r>
      <w:bookmarkEnd w:id="27"/>
      <w:bookmarkEnd w:id="28"/>
      <w:bookmarkEnd w:id="29"/>
      <w:bookmarkEnd w:id="30"/>
      <w:bookmarkEnd w:id="31"/>
    </w:p>
    <w:p w14:paraId="785021AA">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04包-1、滑轮套装</w:t>
      </w:r>
    </w:p>
    <w:p w14:paraId="051DAA18">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一、货物名称：滑轮套装</w:t>
      </w:r>
    </w:p>
    <w:p w14:paraId="2CA6A1E9">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二、产地：国产</w:t>
      </w:r>
    </w:p>
    <w:p w14:paraId="4AE5467B">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三、主要技术规格、参数及要求：</w:t>
      </w:r>
    </w:p>
    <w:p w14:paraId="5FE9F86F">
      <w:pPr>
        <w:keepNext w:val="0"/>
        <w:keepLines w:val="0"/>
        <w:pageBreakBefore w:val="0"/>
        <w:numPr>
          <w:ilvl w:val="-1"/>
          <w:numId w:val="0"/>
        </w:numPr>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XF494-2023《消防用防坠落装备》</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kern w:val="0"/>
          <w:sz w:val="24"/>
          <w:szCs w:val="24"/>
          <w:highlight w:val="none"/>
          <w:lang w:val="en-US" w:eastAsia="zh-CN"/>
        </w:rPr>
        <w:t>报告中至少含有单滑轮、双滑轮、单向滑轮的参数检测结果；若各部件单独提供报告，则至少需分别提供单滑轮、双滑轮、单向滑轮的检测报告；</w:t>
      </w:r>
    </w:p>
    <w:p w14:paraId="161F68B1">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3.2滑轮套装包含小滑轮1个、单滑轮1个、双滑轮1个、单向滑轮1个；</w:t>
      </w:r>
    </w:p>
    <w:p w14:paraId="002F3ECB">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3.3小滑轮</w:t>
      </w:r>
    </w:p>
    <w:p w14:paraId="75EC4FAA">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3.3.1用于架设横渡系统或倍力系统，活动侧板方便在绳索上任意安装或拆卸，适合各种方向、方式连接，随时可以在动滑轮或静滑轮之间切换转变；</w:t>
      </w:r>
    </w:p>
    <w:p w14:paraId="4176D67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3.3.2组成部分：由轮体、轴、支架和轴承四部分组成；</w:t>
      </w:r>
    </w:p>
    <w:p w14:paraId="1B93229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▲3.3.3重量≤160g；材质：铝合金；适合绳径：8-13mm；</w:t>
      </w:r>
      <w:r>
        <w:rPr>
          <w:rFonts w:hint="eastAsia" w:ascii="仿宋" w:hAnsi="仿宋" w:eastAsia="仿宋" w:cs="仿宋"/>
          <w:b/>
          <w:bCs/>
          <w:color w:val="auto"/>
          <w:sz w:val="24"/>
          <w:szCs w:val="24"/>
          <w:highlight w:val="none"/>
          <w:lang w:val="en-US" w:eastAsia="zh-CN"/>
        </w:rPr>
        <w:t>工作负荷：≥20kN；</w:t>
      </w:r>
      <w:r>
        <w:rPr>
          <w:rFonts w:hint="eastAsia" w:ascii="仿宋" w:hAnsi="仿宋" w:eastAsia="仿宋" w:cs="仿宋"/>
          <w:b w:val="0"/>
          <w:bCs w:val="0"/>
          <w:color w:val="auto"/>
          <w:sz w:val="24"/>
          <w:szCs w:val="24"/>
          <w:highlight w:val="none"/>
          <w:lang w:val="en-US" w:eastAsia="zh-CN"/>
        </w:rPr>
        <w:t>极限负荷：≥36kN；</w:t>
      </w:r>
    </w:p>
    <w:p w14:paraId="2F694E5F">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3.4单滑轮</w:t>
      </w:r>
    </w:p>
    <w:p w14:paraId="4CD2A8A2">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3.4.1主要功能：单滑轮是与安全绳、安全吊带和安全腰带配套使用的承载部件，可完成救援人员的上升、下降、空中意外坠落保护及空中悬停；</w:t>
      </w:r>
    </w:p>
    <w:p w14:paraId="494BDFF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3.4.2组成部分：由轮体、轴、支架和轴承四部分组成；</w:t>
      </w:r>
    </w:p>
    <w:p w14:paraId="29FB8D7A">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▲3.4.3重量：≤270g；材质：铝合金；适合绳径：8-13mm；</w:t>
      </w:r>
      <w:r>
        <w:rPr>
          <w:rFonts w:hint="eastAsia" w:ascii="仿宋" w:hAnsi="仿宋" w:eastAsia="仿宋" w:cs="仿宋"/>
          <w:b/>
          <w:bCs/>
          <w:color w:val="auto"/>
          <w:sz w:val="24"/>
          <w:szCs w:val="24"/>
          <w:highlight w:val="none"/>
          <w:lang w:val="en-US" w:eastAsia="zh-CN"/>
        </w:rPr>
        <w:t>工作负荷：≥22kN；</w:t>
      </w:r>
      <w:r>
        <w:rPr>
          <w:rFonts w:hint="eastAsia" w:ascii="仿宋" w:hAnsi="仿宋" w:eastAsia="仿宋" w:cs="仿宋"/>
          <w:color w:val="auto"/>
          <w:sz w:val="24"/>
          <w:szCs w:val="24"/>
          <w:highlight w:val="none"/>
          <w:lang w:val="en-US" w:eastAsia="zh-CN"/>
        </w:rPr>
        <w:t>极限负荷：≥36kN；滑轮效率：滑轮配有轴承；</w:t>
      </w:r>
    </w:p>
    <w:p w14:paraId="17DA051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3.5双滑轮</w:t>
      </w:r>
    </w:p>
    <w:p w14:paraId="7C120BD4">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3.5.1用于架设横渡系统或倍力系统，活动侧板方便在绳索上任意安装或拆卸，中心平衡片的连接环和同轴安装的双滑轮可以轻松组成各种形式的提升及救援系统；</w:t>
      </w:r>
    </w:p>
    <w:p w14:paraId="049380DB">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3.5.2组成部分：由轮体、轴、支架和轴承四部分组成；</w:t>
      </w:r>
    </w:p>
    <w:p w14:paraId="41A330B0">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▲3.5.3重量：≤450g；材质：铝合金；适用绳径：单绳8-13mm；</w:t>
      </w:r>
      <w:r>
        <w:rPr>
          <w:rFonts w:hint="eastAsia" w:ascii="仿宋" w:hAnsi="仿宋" w:eastAsia="仿宋" w:cs="仿宋"/>
          <w:b/>
          <w:bCs/>
          <w:color w:val="auto"/>
          <w:sz w:val="24"/>
          <w:szCs w:val="24"/>
          <w:highlight w:val="none"/>
          <w:lang w:val="en-US" w:eastAsia="zh-CN"/>
        </w:rPr>
        <w:t>工作负荷：≥22KN；</w:t>
      </w:r>
      <w:r>
        <w:rPr>
          <w:rFonts w:hint="eastAsia" w:ascii="仿宋" w:hAnsi="仿宋" w:eastAsia="仿宋" w:cs="仿宋"/>
          <w:color w:val="auto"/>
          <w:sz w:val="24"/>
          <w:szCs w:val="24"/>
          <w:highlight w:val="none"/>
          <w:lang w:val="en-US" w:eastAsia="zh-CN"/>
        </w:rPr>
        <w:t>极限负荷：≥36kN；</w:t>
      </w:r>
    </w:p>
    <w:p w14:paraId="3B644392">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3.6单向滑轮</w:t>
      </w:r>
    </w:p>
    <w:p w14:paraId="2E6688A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3.6.1超轻滑轮/抓绳器，用于绳索上升时救援和自救等情况。移动侧板用于安装绳索或扁带；弹簧凸轮可用于上升；滑动锁可以使其成为滑轮；可以提拉轻物体；可以在潮湿或泥泞的绳索上工作；可以在扁带或菊绳上调节位置；</w:t>
      </w:r>
    </w:p>
    <w:p w14:paraId="7813DE5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3.6.2单体重量≤150g；最大负荷：向上≥20KN；使用绳索直径：8-13mm，扁带宽度：10-16mm。</w:t>
      </w:r>
    </w:p>
    <w:p w14:paraId="28BBDA4C">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bCs/>
          <w:color w:val="auto"/>
          <w:kern w:val="0"/>
          <w:sz w:val="24"/>
          <w:szCs w:val="24"/>
          <w:highlight w:val="none"/>
          <w:lang w:val="en-US" w:eastAsia="zh-CN"/>
        </w:rPr>
      </w:pPr>
    </w:p>
    <w:p w14:paraId="0892A74C">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04包-2、</w:t>
      </w:r>
      <w:r>
        <w:rPr>
          <w:rFonts w:hint="eastAsia" w:ascii="仿宋" w:hAnsi="仿宋" w:eastAsia="仿宋" w:cs="仿宋"/>
          <w:b/>
          <w:bCs/>
          <w:color w:val="auto"/>
          <w:sz w:val="24"/>
          <w:szCs w:val="24"/>
          <w:highlight w:val="none"/>
          <w:lang w:val="en-US" w:eastAsia="zh-CN"/>
        </w:rPr>
        <w:t>挂钩套装</w:t>
      </w:r>
    </w:p>
    <w:p w14:paraId="3DEB9E44">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一、货物名称：挂钩套装</w:t>
      </w:r>
    </w:p>
    <w:p w14:paraId="4AFF8F1E">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14:paraId="2F3E4449">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14:paraId="21CCB79F">
      <w:pPr>
        <w:keepNext w:val="0"/>
        <w:keepLines w:val="0"/>
        <w:pageBreakBefore w:val="0"/>
        <w:kinsoku/>
        <w:wordWrap/>
        <w:overflowPunct/>
        <w:topLinePunct w:val="0"/>
        <w:bidi w:val="0"/>
        <w:spacing w:line="4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★3.1产品符合</w:t>
      </w:r>
      <w:r>
        <w:rPr>
          <w:rFonts w:hint="eastAsia" w:ascii="仿宋" w:hAnsi="仿宋" w:eastAsia="仿宋" w:cs="仿宋"/>
          <w:color w:val="auto"/>
          <w:sz w:val="24"/>
          <w:szCs w:val="24"/>
          <w:highlight w:val="none"/>
          <w:lang w:val="en-US" w:eastAsia="zh-CN"/>
        </w:rPr>
        <w:t>XF494-2023《消防用防坠落装备》</w:t>
      </w:r>
      <w:r>
        <w:rPr>
          <w:rFonts w:hint="eastAsia" w:ascii="仿宋" w:hAnsi="仿宋" w:eastAsia="仿宋" w:cs="仿宋"/>
          <w:color w:val="auto"/>
          <w:kern w:val="2"/>
          <w:sz w:val="24"/>
          <w:szCs w:val="24"/>
          <w:highlight w:val="none"/>
          <w:lang w:val="en-US" w:eastAsia="zh-CN" w:bidi="ar"/>
        </w:rPr>
        <w:t>标准的要求，</w:t>
      </w:r>
      <w:r>
        <w:rPr>
          <w:rFonts w:hint="eastAsia" w:ascii="仿宋" w:hAnsi="仿宋" w:eastAsia="仿宋" w:cs="仿宋"/>
          <w:color w:val="auto"/>
          <w:sz w:val="24"/>
          <w:szCs w:val="24"/>
          <w:highlight w:val="none"/>
        </w:rPr>
        <w:t>提供具有CMA或CNAS标识的</w:t>
      </w:r>
      <w:r>
        <w:rPr>
          <w:rFonts w:hint="eastAsia" w:ascii="仿宋" w:hAnsi="仿宋" w:eastAsia="仿宋" w:cs="仿宋"/>
          <w:color w:val="auto"/>
          <w:sz w:val="24"/>
          <w:szCs w:val="24"/>
          <w:highlight w:val="none"/>
          <w:lang w:val="en-US" w:eastAsia="zh-CN"/>
        </w:rPr>
        <w:t>且与所投产品型号一致、完整有效的</w:t>
      </w:r>
      <w:r>
        <w:rPr>
          <w:rFonts w:hint="eastAsia" w:ascii="仿宋" w:hAnsi="仿宋" w:eastAsia="仿宋" w:cs="仿宋"/>
          <w:color w:val="auto"/>
          <w:sz w:val="24"/>
          <w:szCs w:val="24"/>
          <w:highlight w:val="none"/>
        </w:rPr>
        <w:t>检测/检验/试验/测试报告复印件</w:t>
      </w:r>
      <w:r>
        <w:rPr>
          <w:rFonts w:hint="eastAsia" w:ascii="仿宋" w:hAnsi="仿宋" w:eastAsia="仿宋" w:cs="仿宋"/>
          <w:color w:val="auto"/>
          <w:sz w:val="24"/>
          <w:szCs w:val="24"/>
          <w:highlight w:val="none"/>
          <w:lang w:val="en-US" w:eastAsia="zh-CN"/>
        </w:rPr>
        <w:t>；（注：可单独提供套装各部件的检测报告）</w:t>
      </w:r>
    </w:p>
    <w:p w14:paraId="36ED9001">
      <w:pPr>
        <w:keepNext w:val="0"/>
        <w:keepLines w:val="0"/>
        <w:pageBreakBefore w:val="0"/>
        <w:numPr>
          <w:ilvl w:val="0"/>
          <w:numId w:val="0"/>
        </w:numPr>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3.2套装包含0型钩2个，D型钩2个，梨形钩2个，其中O型钩规格为通用型</w:t>
      </w:r>
      <w:r>
        <w:rPr>
          <w:rFonts w:hint="eastAsia" w:ascii="仿宋" w:hAnsi="仿宋" w:eastAsia="仿宋" w:cs="仿宋"/>
          <w:b w:val="0"/>
          <w:bCs w:val="0"/>
          <w:color w:val="auto"/>
          <w:sz w:val="24"/>
          <w:szCs w:val="24"/>
          <w:highlight w:val="none"/>
          <w:lang w:val="en-US" w:eastAsia="zh-CN"/>
        </w:rPr>
        <w:t>安全钩</w:t>
      </w:r>
      <w:r>
        <w:rPr>
          <w:rFonts w:hint="eastAsia" w:ascii="仿宋" w:hAnsi="仿宋" w:eastAsia="仿宋" w:cs="仿宋"/>
          <w:color w:val="auto"/>
          <w:sz w:val="24"/>
          <w:szCs w:val="24"/>
          <w:highlight w:val="none"/>
          <w:lang w:val="en-US" w:eastAsia="zh-CN"/>
        </w:rPr>
        <w:t>，D型钩、梨形钩规格为轻型</w:t>
      </w:r>
      <w:r>
        <w:rPr>
          <w:rFonts w:hint="eastAsia" w:ascii="仿宋" w:hAnsi="仿宋" w:eastAsia="仿宋" w:cs="仿宋"/>
          <w:b w:val="0"/>
          <w:bCs w:val="0"/>
          <w:color w:val="auto"/>
          <w:sz w:val="24"/>
          <w:szCs w:val="24"/>
          <w:highlight w:val="none"/>
          <w:lang w:val="en-US" w:eastAsia="zh-CN"/>
        </w:rPr>
        <w:t>安全钩</w:t>
      </w:r>
      <w:r>
        <w:rPr>
          <w:rFonts w:hint="eastAsia" w:ascii="仿宋" w:hAnsi="仿宋" w:eastAsia="仿宋" w:cs="仿宋"/>
          <w:color w:val="auto"/>
          <w:sz w:val="24"/>
          <w:szCs w:val="24"/>
          <w:highlight w:val="none"/>
          <w:lang w:val="en-US" w:eastAsia="zh-CN"/>
        </w:rPr>
        <w:t>；</w:t>
      </w:r>
    </w:p>
    <w:p w14:paraId="3813ED60">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3.3在开口闭合状态时，轻型安全钩长轴的破断强度应≥22kN；通用型安全钩长轴的破断强度应≥40kN；</w:t>
      </w:r>
    </w:p>
    <w:p w14:paraId="103A80BB">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3.4轻型安全钩短轴的破断强度应≥7kN；通用型安全钩短轴的破断强度应≥11kN；</w:t>
      </w:r>
    </w:p>
    <w:p w14:paraId="106956CC">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3.5提供中文使用说明书，含装备简介、使用注意事项及维护保养等内容；</w:t>
      </w:r>
    </w:p>
    <w:p w14:paraId="63658AC4">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3.6供货前，须主动对接使用单位，确保满足用户需求。</w:t>
      </w:r>
    </w:p>
    <w:p w14:paraId="6755C9A3">
      <w:pPr>
        <w:keepNext w:val="0"/>
        <w:keepLines w:val="0"/>
        <w:pageBreakBefore w:val="0"/>
        <w:kinsoku/>
        <w:wordWrap/>
        <w:overflowPunct/>
        <w:topLinePunct w:val="0"/>
        <w:bidi w:val="0"/>
        <w:spacing w:line="460" w:lineRule="exact"/>
        <w:outlineLvl w:val="9"/>
        <w:rPr>
          <w:rFonts w:hint="eastAsia" w:ascii="仿宋" w:hAnsi="仿宋" w:eastAsia="仿宋" w:cs="仿宋"/>
          <w:b/>
          <w:bCs/>
          <w:color w:val="auto"/>
          <w:kern w:val="0"/>
          <w:sz w:val="24"/>
          <w:szCs w:val="24"/>
          <w:highlight w:val="none"/>
          <w:lang w:val="en-US" w:eastAsia="zh-CN"/>
        </w:rPr>
      </w:pPr>
    </w:p>
    <w:p w14:paraId="64085268">
      <w:pPr>
        <w:keepNext w:val="0"/>
        <w:keepLines w:val="0"/>
        <w:pageBreakBefore w:val="0"/>
        <w:widowControl w:val="0"/>
        <w:kinsoku/>
        <w:wordWrap/>
        <w:overflowPunct/>
        <w:topLinePunct w:val="0"/>
        <w:autoSpaceDE/>
        <w:autoSpaceDN/>
        <w:bidi w:val="0"/>
        <w:adjustRightInd/>
        <w:snapToGrid/>
        <w:spacing w:line="460" w:lineRule="exac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04包-3、绳索救援套装</w:t>
      </w:r>
    </w:p>
    <w:p w14:paraId="7CA9AD85">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一、货物名称：绳索救援套装</w:t>
      </w:r>
    </w:p>
    <w:p w14:paraId="1209A4A6">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二、产地：国产</w:t>
      </w:r>
    </w:p>
    <w:p w14:paraId="1037C9B5">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三、主要技术规格、参数及要求</w:t>
      </w:r>
    </w:p>
    <w:p w14:paraId="70C7D90C">
      <w:pPr>
        <w:keepNext w:val="0"/>
        <w:keepLines w:val="0"/>
        <w:pageBreakBefore w:val="0"/>
        <w:numPr>
          <w:ilvl w:val="0"/>
          <w:numId w:val="0"/>
        </w:numPr>
        <w:kinsoku/>
        <w:wordWrap/>
        <w:overflowPunct/>
        <w:topLinePunct w:val="0"/>
        <w:bidi w:val="0"/>
        <w:spacing w:line="430" w:lineRule="exact"/>
        <w:ind w:left="0" w:firstLine="480" w:firstLineChars="20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★3.1提供由国家认可的检测机构出具的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；报告中至少含有静力绳、单滑轮、双滑轮、上升器、下降器等部件的检测结果；若各部件单独提供报告，则至少需分别提供静力绳、单滑轮、双滑轮、上升器、下降器的检测报告；</w:t>
      </w:r>
    </w:p>
    <w:p w14:paraId="62057EE2">
      <w:pPr>
        <w:keepNext w:val="0"/>
        <w:keepLines w:val="0"/>
        <w:pageBreakBefore w:val="0"/>
        <w:numPr>
          <w:ilvl w:val="0"/>
          <w:numId w:val="0"/>
        </w:numPr>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3.2静力绳：绳索数量2根、包芯绳结构、绳索直径：10.5mm±0.5mm、单根绳索长度：≥100m、绳索两端的显著位置有标注品牌、长度、直径等信息；</w:t>
      </w:r>
    </w:p>
    <w:p w14:paraId="5549D1BD">
      <w:pPr>
        <w:keepNext w:val="0"/>
        <w:keepLines w:val="0"/>
        <w:pageBreakBefore w:val="0"/>
        <w:widowControl w:val="0"/>
        <w:kinsoku/>
        <w:wordWrap/>
        <w:overflowPunct/>
        <w:topLinePunct w:val="0"/>
        <w:autoSpaceDE/>
        <w:autoSpaceDN/>
        <w:bidi w:val="0"/>
        <w:spacing w:afterAutospacing="0"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3.3器材包：能容纳下全部装备、防水、有外部扩展挂点，可外挂头盔等物品；</w:t>
      </w:r>
    </w:p>
    <w:p w14:paraId="1D77353F">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3.4绳包：材质为防水材质，可容纳200米静力绳；</w:t>
      </w:r>
    </w:p>
    <w:p w14:paraId="7BAEA60E">
      <w:pPr>
        <w:keepNext w:val="0"/>
        <w:keepLines w:val="0"/>
        <w:pageBreakBefore w:val="0"/>
        <w:kinsoku/>
        <w:wordWrap/>
        <w:overflowPunct/>
        <w:topLinePunct w:val="0"/>
        <w:bidi w:val="0"/>
        <w:spacing w:beforeAutospacing="0" w:afterAutospacing="0"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3.5绳索保护套：材质为800D以上耐磨材质、长度50±2cm、可容纳2根10.5mm绳索；</w:t>
      </w:r>
    </w:p>
    <w:p w14:paraId="24FDB4D7">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3.6全身式安全吊带：数量2件、带有五挂点分别位于胸前、腹部和后背、可倒置使用、内置一体式胸式上升器，腹部连接点可打开，方便连接挽索、上升器等；</w:t>
      </w:r>
    </w:p>
    <w:p w14:paraId="0CBBB773">
      <w:pPr>
        <w:keepNext w:val="0"/>
        <w:keepLines w:val="0"/>
        <w:pageBreakBefore w:val="0"/>
        <w:kinsoku/>
        <w:wordWrap/>
        <w:overflowPunct/>
        <w:topLinePunct w:val="0"/>
        <w:bidi w:val="0"/>
        <w:spacing w:beforeAutospacing="0" w:afterAutospacing="0" w:line="43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▲3.7 下降器：使用绳索直径：8-13mm，</w:t>
      </w:r>
      <w:r>
        <w:rPr>
          <w:rFonts w:hint="eastAsia" w:ascii="仿宋" w:hAnsi="仿宋" w:eastAsia="仿宋" w:cs="仿宋"/>
          <w:b/>
          <w:bCs/>
          <w:color w:val="auto"/>
          <w:sz w:val="24"/>
          <w:szCs w:val="24"/>
          <w:highlight w:val="none"/>
          <w:lang w:val="en-US" w:eastAsia="zh-CN"/>
        </w:rPr>
        <w:t>工作负荷：≥11kN;</w:t>
      </w:r>
    </w:p>
    <w:p w14:paraId="51DE43DC">
      <w:pPr>
        <w:keepNext w:val="0"/>
        <w:keepLines w:val="0"/>
        <w:pageBreakBefore w:val="0"/>
        <w:kinsoku/>
        <w:wordWrap/>
        <w:overflowPunct/>
        <w:topLinePunct w:val="0"/>
        <w:bidi w:val="0"/>
        <w:spacing w:beforeAutospacing="0" w:afterAutospacing="0"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3.8上升器：数量2个、使用绳索直径：8-13mm；</w:t>
      </w:r>
    </w:p>
    <w:p w14:paraId="1D12B1B7">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3.9游动止坠器：数量1个，绳索使用范围：8-13mm，工作负荷≥11KN、含专用势能吸收包；</w:t>
      </w:r>
    </w:p>
    <w:p w14:paraId="78F499D5">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 O形环：数量4个</w:t>
      </w:r>
      <w:r>
        <w:rPr>
          <w:rFonts w:hint="eastAsia" w:ascii="仿宋" w:hAnsi="仿宋" w:eastAsia="仿宋" w:cs="仿宋"/>
          <w:b w:val="0"/>
          <w:bCs w:val="0"/>
          <w:color w:val="auto"/>
          <w:sz w:val="24"/>
          <w:szCs w:val="24"/>
          <w:highlight w:val="none"/>
          <w:lang w:val="en-US" w:eastAsia="zh-CN"/>
        </w:rPr>
        <w:t>、闭口长轴破断强度≥26kN、闭口短轴破断强度≥8kN</w:t>
      </w:r>
      <w:r>
        <w:rPr>
          <w:rFonts w:hint="eastAsia" w:ascii="仿宋" w:hAnsi="仿宋" w:eastAsia="仿宋" w:cs="仿宋"/>
          <w:color w:val="auto"/>
          <w:sz w:val="24"/>
          <w:szCs w:val="24"/>
          <w:highlight w:val="none"/>
          <w:lang w:val="en-US" w:eastAsia="zh-CN"/>
        </w:rPr>
        <w:t>；</w:t>
      </w:r>
    </w:p>
    <w:p w14:paraId="75FEF3E6">
      <w:pPr>
        <w:keepNext w:val="0"/>
        <w:keepLines w:val="0"/>
        <w:pageBreakBefore w:val="0"/>
        <w:kinsoku/>
        <w:wordWrap/>
        <w:overflowPunct/>
        <w:topLinePunct w:val="0"/>
        <w:bidi w:val="0"/>
        <w:spacing w:beforeAutospacing="0" w:afterAutospacing="0"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3.11抓绳器：适用绳索直径单绳(8-13mm)，工作负荷：≥11kN、开口式、可方便安放于绳索中部；</w:t>
      </w:r>
    </w:p>
    <w:p w14:paraId="09925BE8">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▲3.12双滑轮：数量1个，</w:t>
      </w:r>
      <w:r>
        <w:rPr>
          <w:rFonts w:hint="eastAsia" w:ascii="仿宋" w:hAnsi="仿宋" w:eastAsia="仿宋" w:cs="仿宋"/>
          <w:b/>
          <w:bCs/>
          <w:color w:val="auto"/>
          <w:sz w:val="24"/>
          <w:szCs w:val="24"/>
          <w:highlight w:val="none"/>
          <w:lang w:val="en-US" w:eastAsia="zh-CN"/>
        </w:rPr>
        <w:t>工作负荷：≥12kN、</w:t>
      </w:r>
      <w:r>
        <w:rPr>
          <w:rFonts w:hint="eastAsia" w:ascii="仿宋" w:hAnsi="仿宋" w:eastAsia="仿宋" w:cs="仿宋"/>
          <w:color w:val="auto"/>
          <w:sz w:val="24"/>
          <w:szCs w:val="24"/>
          <w:highlight w:val="none"/>
          <w:lang w:val="en-US" w:eastAsia="zh-CN"/>
        </w:rPr>
        <w:t>适合绳索直径：8-13mm；</w:t>
      </w:r>
    </w:p>
    <w:p w14:paraId="08314606">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▲3.13单滑轮：数量1个，</w:t>
      </w:r>
      <w:r>
        <w:rPr>
          <w:rFonts w:hint="eastAsia" w:ascii="仿宋" w:hAnsi="仿宋" w:eastAsia="仿宋" w:cs="仿宋"/>
          <w:b/>
          <w:bCs/>
          <w:color w:val="auto"/>
          <w:sz w:val="24"/>
          <w:szCs w:val="24"/>
          <w:highlight w:val="none"/>
          <w:lang w:val="en-US" w:eastAsia="zh-CN"/>
        </w:rPr>
        <w:t>极限负荷：≥18kN、</w:t>
      </w:r>
      <w:r>
        <w:rPr>
          <w:rFonts w:hint="eastAsia" w:ascii="仿宋" w:hAnsi="仿宋" w:eastAsia="仿宋" w:cs="仿宋"/>
          <w:color w:val="auto"/>
          <w:sz w:val="24"/>
          <w:szCs w:val="24"/>
          <w:highlight w:val="none"/>
          <w:lang w:val="en-US" w:eastAsia="zh-CN"/>
        </w:rPr>
        <w:t>适合绳索直径：8-13mm；</w:t>
      </w:r>
    </w:p>
    <w:p w14:paraId="2E40D524">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3.14 5孔分力板：数量2块、破断强度≥40kN；</w:t>
      </w:r>
    </w:p>
    <w:p w14:paraId="15DA7350">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3.15铝制D型环：数量4个、闭口长轴破断强度≥24kN、开口尺寸≥20mm、内径≥87mm、重量≤80g；</w:t>
      </w:r>
    </w:p>
    <w:p w14:paraId="398526B5">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3.16铝制D型环：数量4个、闭口长轴破断强度≥45kN，开口尺寸≥50mm，内径≥160mm，重≤270g；</w:t>
      </w:r>
    </w:p>
    <w:p w14:paraId="7586C67F">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3.17铝制锚分配器：数量1个、有四个小孔一个大孔、四个小孔直径≥22mm、一个大孔直径≥50mm、极限负荷≥36kN、重≤210g；</w:t>
      </w:r>
    </w:p>
    <w:p w14:paraId="1D02D3A4">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▲3.18救援滑轮：数量2个、</w:t>
      </w:r>
      <w:r>
        <w:rPr>
          <w:rFonts w:hint="eastAsia" w:ascii="仿宋" w:hAnsi="仿宋" w:eastAsia="仿宋" w:cs="仿宋"/>
          <w:b/>
          <w:bCs/>
          <w:color w:val="auto"/>
          <w:sz w:val="24"/>
          <w:szCs w:val="24"/>
          <w:highlight w:val="none"/>
          <w:lang w:val="en-US" w:eastAsia="zh-CN"/>
        </w:rPr>
        <w:t>极限负荷≥55kN、</w:t>
      </w:r>
      <w:r>
        <w:rPr>
          <w:rFonts w:hint="eastAsia" w:ascii="仿宋" w:hAnsi="仿宋" w:eastAsia="仿宋" w:cs="仿宋"/>
          <w:color w:val="auto"/>
          <w:sz w:val="24"/>
          <w:szCs w:val="24"/>
          <w:highlight w:val="none"/>
          <w:lang w:val="en-US" w:eastAsia="zh-CN"/>
        </w:rPr>
        <w:t>重≤165g；</w:t>
      </w:r>
    </w:p>
    <w:p w14:paraId="20980772">
      <w:pPr>
        <w:keepNext w:val="0"/>
        <w:keepLines w:val="0"/>
        <w:pageBreakBefore w:val="0"/>
        <w:kinsoku/>
        <w:wordWrap/>
        <w:overflowPunct/>
        <w:topLinePunct w:val="0"/>
        <w:bidi w:val="0"/>
        <w:spacing w:line="430" w:lineRule="exact"/>
        <w:ind w:left="0"/>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▲3.19单滑轮：数量1个、带360度可旋转挂点、滑轮可在任意角度旋转、侧板可打开直接嵌入绳索、无需解开绳索挂点、</w:t>
      </w:r>
      <w:r>
        <w:rPr>
          <w:rFonts w:hint="eastAsia" w:ascii="仿宋" w:hAnsi="仿宋" w:eastAsia="仿宋" w:cs="仿宋"/>
          <w:b/>
          <w:bCs/>
          <w:color w:val="auto"/>
          <w:sz w:val="24"/>
          <w:szCs w:val="24"/>
          <w:highlight w:val="none"/>
          <w:lang w:val="en-US" w:eastAsia="zh-CN"/>
        </w:rPr>
        <w:t>极限负荷≥36kN；</w:t>
      </w:r>
    </w:p>
    <w:p w14:paraId="01A6CDEB">
      <w:pPr>
        <w:keepNext w:val="0"/>
        <w:keepLines w:val="0"/>
        <w:pageBreakBefore w:val="0"/>
        <w:kinsoku/>
        <w:wordWrap/>
        <w:overflowPunct/>
        <w:topLinePunct w:val="0"/>
        <w:bidi w:val="0"/>
        <w:spacing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▲3.20过绳结滑轮：</w:t>
      </w:r>
      <w:r>
        <w:rPr>
          <w:rFonts w:hint="eastAsia" w:ascii="仿宋" w:hAnsi="仿宋" w:eastAsia="仿宋" w:cs="仿宋"/>
          <w:b/>
          <w:bCs/>
          <w:color w:val="auto"/>
          <w:sz w:val="24"/>
          <w:szCs w:val="24"/>
          <w:highlight w:val="none"/>
          <w:lang w:val="en-US" w:eastAsia="zh-CN"/>
        </w:rPr>
        <w:t>极限负荷≥42kN，</w:t>
      </w:r>
      <w:r>
        <w:rPr>
          <w:rFonts w:hint="eastAsia" w:ascii="仿宋" w:hAnsi="仿宋" w:eastAsia="仿宋" w:cs="仿宋"/>
          <w:color w:val="auto"/>
          <w:sz w:val="24"/>
          <w:szCs w:val="24"/>
          <w:highlight w:val="none"/>
          <w:lang w:val="en-US" w:eastAsia="zh-CN"/>
        </w:rPr>
        <w:t>重量：≤710g；</w:t>
      </w:r>
    </w:p>
    <w:p w14:paraId="1C0BA144">
      <w:pPr>
        <w:keepNext w:val="0"/>
        <w:keepLines w:val="0"/>
        <w:pageBreakBefore w:val="0"/>
        <w:kinsoku/>
        <w:wordWrap/>
        <w:overflowPunct/>
        <w:topLinePunct w:val="0"/>
        <w:bidi w:val="0"/>
        <w:spacing w:beforeAutospacing="0" w:afterAutospacing="0" w:line="43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3.21鸡爪绳：数量4条、直径8mm、破断强度≥18kN、重量≤65g；</w:t>
      </w:r>
    </w:p>
    <w:p w14:paraId="74264155">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3.22锚点固定带：数量1条、长度可调范围：80-130cm、两段设有金属环、破断强度≥20kN；</w:t>
      </w:r>
    </w:p>
    <w:p w14:paraId="58F36BC7">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3.23救援扁带：数量4条、破断强度≥15kN；</w:t>
      </w:r>
    </w:p>
    <w:p w14:paraId="2BB0BB6E">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3.24短连接：使用缝合扁带连接、扁带长≥10cm、破断强度≥20kN、两段各配有1把丝扣O形锁、其中一端锁有可靠限位措施；</w:t>
      </w:r>
    </w:p>
    <w:p w14:paraId="6D27F6E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3.25伤员救助吊带：数量1条、强度按I类吊带设计、腰部和腿部有快速连接口；</w:t>
      </w:r>
    </w:p>
    <w:p w14:paraId="56DB6C72">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3.26头盔：数量4个、悬浮扁带系统、头盔有≥10个可开关的通风孔、带有4个固定头灯的附件、重量≤500g、适合头围51-62cm；</w:t>
      </w:r>
    </w:p>
    <w:p w14:paraId="6BB26229">
      <w:pPr>
        <w:keepNext w:val="0"/>
        <w:keepLines w:val="0"/>
        <w:pageBreakBefore w:val="0"/>
        <w:widowControl w:val="0"/>
        <w:kinsoku/>
        <w:wordWrap/>
        <w:overflowPunct/>
        <w:topLinePunct w:val="0"/>
        <w:autoSpaceDE/>
        <w:autoSpaceDN/>
        <w:bidi w:val="0"/>
        <w:spacing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3.27牛皮手套：数量4双；</w:t>
      </w:r>
    </w:p>
    <w:p w14:paraId="66B977D3">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3.28水上救生绳：绳索直径：10.5-11.5mm、绳索长度：≥30m，水面漂浮时间≥48h；</w:t>
      </w:r>
    </w:p>
    <w:p w14:paraId="51472F7C">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3.29抛绳包：长度15-20m；</w:t>
      </w:r>
    </w:p>
    <w:p w14:paraId="70E03921">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3.30救援人员随身腰包：便于收纳绳索附件、不易脱落；</w:t>
      </w:r>
    </w:p>
    <w:p w14:paraId="0107C4BC">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3.31套圈：数量2个；</w:t>
      </w:r>
    </w:p>
    <w:p w14:paraId="1188A0C6">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3.32字环：数量2个、带耳8字环；</w:t>
      </w:r>
    </w:p>
    <w:p w14:paraId="6CD6F1B3">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3.33脚蹬绳：可调节长度：35-150cm、重量≤60g；</w:t>
      </w:r>
    </w:p>
    <w:p w14:paraId="06F25834">
      <w:pPr>
        <w:keepNext w:val="0"/>
        <w:keepLines w:val="0"/>
        <w:pageBreakBefore w:val="0"/>
        <w:kinsoku/>
        <w:wordWrap/>
        <w:overflowPunct/>
        <w:topLinePunct w:val="0"/>
        <w:bidi w:val="0"/>
        <w:adjustRightInd w:val="0"/>
        <w:snapToGrid w:val="0"/>
        <w:spacing w:beforeAutospacing="0" w:afterAutospacing="0" w:line="460" w:lineRule="exact"/>
        <w:ind w:left="0"/>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3.34供货前，须主动对接使用单位，确保满足用户需求。</w:t>
      </w:r>
    </w:p>
    <w:p w14:paraId="073E526A">
      <w:pPr>
        <w:keepNext w:val="0"/>
        <w:keepLines w:val="0"/>
        <w:pageBreakBefore w:val="0"/>
        <w:kinsoku/>
        <w:wordWrap/>
        <w:overflowPunct/>
        <w:topLinePunct w:val="0"/>
        <w:bidi w:val="0"/>
        <w:spacing w:line="460" w:lineRule="exact"/>
        <w:outlineLvl w:val="9"/>
        <w:rPr>
          <w:rFonts w:hint="eastAsia" w:ascii="仿宋" w:hAnsi="仿宋" w:eastAsia="仿宋" w:cs="仿宋"/>
          <w:color w:val="auto"/>
          <w:sz w:val="24"/>
          <w:szCs w:val="24"/>
          <w:highlight w:val="none"/>
        </w:rPr>
      </w:pPr>
    </w:p>
    <w:p w14:paraId="593B7CB8">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32" w:name="_Toc15422"/>
      <w:bookmarkStart w:id="33" w:name="_Toc11775"/>
      <w:bookmarkStart w:id="34" w:name="_Toc7377"/>
      <w:bookmarkStart w:id="35" w:name="_Toc6044"/>
      <w:bookmarkStart w:id="36" w:name="_Toc15486"/>
      <w:r>
        <w:rPr>
          <w:rFonts w:hint="eastAsia" w:ascii="仿宋" w:hAnsi="仿宋" w:eastAsia="仿宋" w:cs="仿宋"/>
          <w:b/>
          <w:bCs/>
          <w:color w:val="auto"/>
          <w:sz w:val="24"/>
          <w:szCs w:val="24"/>
          <w:highlight w:val="none"/>
          <w:lang w:val="en-US" w:eastAsia="zh-CN"/>
        </w:rPr>
        <w:t>05包：水下破拆工具组</w:t>
      </w:r>
      <w:bookmarkEnd w:id="32"/>
      <w:bookmarkEnd w:id="33"/>
      <w:bookmarkEnd w:id="34"/>
      <w:bookmarkEnd w:id="35"/>
      <w:bookmarkEnd w:id="36"/>
    </w:p>
    <w:p w14:paraId="7AEBD9B8">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一、货物名称：水下破拆工具组</w:t>
      </w:r>
    </w:p>
    <w:p w14:paraId="4A97BCB6">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14:paraId="1104B1EA">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14:paraId="625E1363">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★3.1提供由国家认可的检测机构出具的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14:paraId="55D0524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3.2水下破拆工具组整体工作压力≥63Mpa，水下工作深度≥70m；</w:t>
      </w:r>
    </w:p>
    <w:p w14:paraId="3A4C75DD">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▲3.3两用电动泵1台：</w:t>
      </w:r>
      <w:r>
        <w:rPr>
          <w:rFonts w:hint="eastAsia" w:ascii="仿宋" w:hAnsi="仿宋" w:eastAsia="仿宋" w:cs="仿宋"/>
          <w:b/>
          <w:bCs/>
          <w:color w:val="auto"/>
          <w:sz w:val="24"/>
          <w:szCs w:val="24"/>
          <w:highlight w:val="none"/>
          <w:lang w:val="en-US" w:eastAsia="zh-CN"/>
        </w:rPr>
        <w:t>额定流量：≥0.65L/min</w:t>
      </w:r>
      <w:r>
        <w:rPr>
          <w:rFonts w:hint="eastAsia" w:ascii="仿宋" w:hAnsi="仿宋" w:eastAsia="仿宋" w:cs="仿宋"/>
          <w:color w:val="auto"/>
          <w:sz w:val="24"/>
          <w:szCs w:val="24"/>
          <w:highlight w:val="none"/>
          <w:lang w:val="en-US" w:eastAsia="zh-CN"/>
        </w:rPr>
        <w:t>、低压流量：≥2.7L/min、重量：≤20kg、水下工作深度：≥70M；可提可背，内置中性浮力系统，水中携带方便。</w:t>
      </w:r>
    </w:p>
    <w:p w14:paraId="38EE9FB5">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▲3.4两用双级撑顶器1台：双级顶杆设计，</w:t>
      </w:r>
      <w:r>
        <w:rPr>
          <w:rFonts w:hint="eastAsia" w:ascii="仿宋" w:hAnsi="仿宋" w:eastAsia="仿宋" w:cs="仿宋"/>
          <w:b/>
          <w:bCs/>
          <w:color w:val="auto"/>
          <w:sz w:val="24"/>
          <w:szCs w:val="24"/>
          <w:highlight w:val="none"/>
          <w:lang w:val="en-US" w:eastAsia="zh-CN"/>
        </w:rPr>
        <w:t>一级支撑力≥100KN</w:t>
      </w:r>
      <w:r>
        <w:rPr>
          <w:rFonts w:hint="eastAsia" w:ascii="仿宋" w:hAnsi="仿宋" w:eastAsia="仿宋" w:cs="仿宋"/>
          <w:color w:val="auto"/>
          <w:sz w:val="24"/>
          <w:szCs w:val="24"/>
          <w:highlight w:val="none"/>
          <w:lang w:val="en-US" w:eastAsia="zh-CN"/>
        </w:rPr>
        <w:t>，撑顶距离≥350mm，撑顶长度≥900mm，</w:t>
      </w:r>
      <w:r>
        <w:rPr>
          <w:rFonts w:hint="eastAsia" w:ascii="仿宋" w:hAnsi="仿宋" w:eastAsia="仿宋" w:cs="仿宋"/>
          <w:b w:val="0"/>
          <w:bCs w:val="0"/>
          <w:color w:val="auto"/>
          <w:sz w:val="24"/>
          <w:szCs w:val="24"/>
          <w:highlight w:val="none"/>
          <w:lang w:val="en-US" w:eastAsia="zh-CN"/>
        </w:rPr>
        <w:t>二级支撑力≥40KN</w:t>
      </w:r>
      <w:r>
        <w:rPr>
          <w:rFonts w:hint="eastAsia" w:ascii="仿宋" w:hAnsi="仿宋" w:eastAsia="仿宋" w:cs="仿宋"/>
          <w:color w:val="auto"/>
          <w:sz w:val="24"/>
          <w:szCs w:val="24"/>
          <w:highlight w:val="none"/>
          <w:lang w:val="en-US" w:eastAsia="zh-CN"/>
        </w:rPr>
        <w:t>，撑顶距离≥320mm，撑顶长度≥1200mm、重量：≤20kg；</w:t>
      </w:r>
    </w:p>
    <w:p w14:paraId="57CB182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▲3.5两用扩张器1台：扩张距离≥350mm、</w:t>
      </w:r>
      <w:r>
        <w:rPr>
          <w:rFonts w:hint="eastAsia" w:ascii="仿宋" w:hAnsi="仿宋" w:eastAsia="仿宋" w:cs="仿宋"/>
          <w:b/>
          <w:bCs/>
          <w:color w:val="auto"/>
          <w:sz w:val="24"/>
          <w:szCs w:val="24"/>
          <w:highlight w:val="none"/>
          <w:lang w:val="en-US" w:eastAsia="zh-CN"/>
        </w:rPr>
        <w:t>最大扩张力≥40kN</w:t>
      </w:r>
      <w:r>
        <w:rPr>
          <w:rFonts w:hint="eastAsia" w:ascii="仿宋" w:hAnsi="仿宋" w:eastAsia="仿宋" w:cs="仿宋"/>
          <w:color w:val="auto"/>
          <w:sz w:val="24"/>
          <w:szCs w:val="24"/>
          <w:highlight w:val="none"/>
          <w:lang w:val="en-US" w:eastAsia="zh-CN"/>
        </w:rPr>
        <w:t>、重量：≤20kg，长度≤1.1m；</w:t>
      </w:r>
    </w:p>
    <w:p w14:paraId="5CAD2CD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3.6两用剪切器1台：剪切直径≥28mm的Q235A材质圆钢和厚度≥11mm的Q235A板材，重量：≤20kg，开口距离≥150mm，长度≤1m；</w:t>
      </w:r>
    </w:p>
    <w:p w14:paraId="51FF6E77">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3.7液压管1套：长度≥3米，可360°自由旋转而不扭曲、不打结、不漏油；</w:t>
      </w:r>
    </w:p>
    <w:p w14:paraId="6E924F1E">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3.8配备5升与本液压泵使用牌号相同的液压油，配备液压管和远程遥控系统1套，充电系统1套，浮力装置3套，检修维护装置1套，运输箱4套；</w:t>
      </w:r>
    </w:p>
    <w:p w14:paraId="7C1E1E46">
      <w:pPr>
        <w:keepNext w:val="0"/>
        <w:keepLines w:val="0"/>
        <w:pageBreakBefore w:val="0"/>
        <w:kinsoku/>
        <w:wordWrap/>
        <w:overflowPunct/>
        <w:topLinePunct w:val="0"/>
        <w:bidi w:val="0"/>
        <w:spacing w:beforeAutospacing="0" w:afterAutospacing="0"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3.9供货前，须主动对接使用单位，确保满足用户需求。</w:t>
      </w:r>
    </w:p>
    <w:p w14:paraId="5A829D74">
      <w:pPr>
        <w:rPr>
          <w:rFonts w:hint="eastAsia" w:ascii="仿宋" w:hAnsi="仿宋" w:eastAsia="仿宋" w:cs="仿宋"/>
          <w:color w:val="auto"/>
          <w:sz w:val="24"/>
          <w:szCs w:val="24"/>
          <w:highlight w:val="none"/>
          <w:lang w:val="en-US" w:eastAsia="zh-CN"/>
        </w:rPr>
      </w:pPr>
    </w:p>
    <w:p w14:paraId="2BEBBEBF">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仿宋" w:hAnsi="仿宋" w:eastAsia="仿宋" w:cs="仿宋"/>
          <w:b/>
          <w:bCs/>
          <w:color w:val="auto"/>
          <w:sz w:val="24"/>
          <w:szCs w:val="24"/>
          <w:highlight w:val="none"/>
          <w:lang w:val="en-US" w:eastAsia="zh-CN"/>
        </w:rPr>
      </w:pPr>
      <w:bookmarkStart w:id="37" w:name="_Toc21310"/>
      <w:bookmarkStart w:id="38" w:name="_Toc20699"/>
      <w:bookmarkStart w:id="39" w:name="_Toc8490"/>
      <w:bookmarkStart w:id="40" w:name="_Toc13411"/>
      <w:bookmarkStart w:id="41" w:name="_Toc15363"/>
      <w:r>
        <w:rPr>
          <w:rFonts w:hint="eastAsia" w:ascii="仿宋" w:hAnsi="仿宋" w:eastAsia="仿宋" w:cs="仿宋"/>
          <w:b/>
          <w:bCs/>
          <w:color w:val="auto"/>
          <w:sz w:val="24"/>
          <w:szCs w:val="24"/>
          <w:highlight w:val="none"/>
          <w:lang w:val="en-US" w:eastAsia="zh-CN"/>
        </w:rPr>
        <w:t>06包：水域救援套装</w:t>
      </w:r>
      <w:bookmarkEnd w:id="37"/>
      <w:bookmarkEnd w:id="38"/>
      <w:bookmarkEnd w:id="39"/>
      <w:bookmarkEnd w:id="40"/>
      <w:bookmarkEnd w:id="41"/>
    </w:p>
    <w:p w14:paraId="245F4D8D">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一、货物名称：水域救援套装</w:t>
      </w:r>
    </w:p>
    <w:p w14:paraId="580D200C">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二、产地：国产</w:t>
      </w:r>
    </w:p>
    <w:p w14:paraId="3779FA91">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三、主要技术规格、参数及要求</w:t>
      </w:r>
    </w:p>
    <w:p w14:paraId="3BF39DC5">
      <w:pPr>
        <w:keepNext w:val="0"/>
        <w:keepLines w:val="0"/>
        <w:pageBreakBefore w:val="0"/>
        <w:kinsoku/>
        <w:wordWrap/>
        <w:overflowPunct/>
        <w:topLinePunct w:val="0"/>
        <w:bidi w:val="0"/>
        <w:spacing w:line="460" w:lineRule="exact"/>
        <w:ind w:lef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★3.1提供由国家认可的检测机构出具的</w:t>
      </w:r>
      <w:r>
        <w:rPr>
          <w:rFonts w:hint="eastAsia" w:ascii="仿宋" w:hAnsi="仿宋" w:eastAsia="仿宋" w:cs="仿宋"/>
          <w:color w:val="auto"/>
          <w:sz w:val="24"/>
          <w:szCs w:val="24"/>
          <w:highlight w:val="none"/>
        </w:rPr>
        <w:t>检测/检验/试验/测试报告（报告中的型号须与所投产品型号一致）复印件</w:t>
      </w:r>
      <w:r>
        <w:rPr>
          <w:rFonts w:hint="eastAsia" w:ascii="仿宋" w:hAnsi="仿宋" w:eastAsia="仿宋" w:cs="仿宋"/>
          <w:color w:val="auto"/>
          <w:sz w:val="24"/>
          <w:szCs w:val="24"/>
          <w:highlight w:val="none"/>
          <w:lang w:val="en-US" w:eastAsia="zh-CN"/>
        </w:rPr>
        <w:t>；</w:t>
      </w:r>
    </w:p>
    <w:p w14:paraId="340CB0B2">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3.2包含水域救援头盔1顶、防水头灯1个、水域救援手套1双、水域救援鞋1双、D型环1个、水域救援抛绳包1个、口哨1个、割绳刀1把；</w:t>
      </w:r>
    </w:p>
    <w:p w14:paraId="7DFC66B1">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3.3</w:t>
      </w:r>
      <w:r>
        <w:rPr>
          <w:rFonts w:hint="eastAsia" w:ascii="仿宋" w:hAnsi="仿宋" w:eastAsia="仿宋" w:cs="仿宋"/>
          <w:color w:val="auto"/>
          <w:kern w:val="2"/>
          <w:sz w:val="24"/>
          <w:szCs w:val="24"/>
          <w:highlight w:val="none"/>
          <w:lang w:val="en-US" w:eastAsia="zh-CN" w:bidi="ar"/>
        </w:rPr>
        <w:t>水域救援头盔</w:t>
      </w:r>
    </w:p>
    <w:p w14:paraId="016D0D6E">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▲3.3.1主要由盔壳、缓冲垫、系带、帽衬调节、护耳部件等组成，外壳采用采用ABS树脂材质、内衬采用EVA泡沫缓冲垫层或更高性能材质制成</w:t>
      </w:r>
      <w:r>
        <w:rPr>
          <w:rFonts w:hint="eastAsia" w:ascii="仿宋" w:hAnsi="仿宋" w:eastAsia="仿宋" w:cs="仿宋"/>
          <w:b/>
          <w:bCs/>
          <w:color w:val="auto"/>
          <w:kern w:val="2"/>
          <w:sz w:val="24"/>
          <w:szCs w:val="24"/>
          <w:highlight w:val="none"/>
          <w:lang w:val="en-US" w:eastAsia="zh-CN" w:bidi="ar"/>
        </w:rPr>
        <w:t>，重量≤550g</w:t>
      </w:r>
      <w:r>
        <w:rPr>
          <w:rFonts w:hint="eastAsia" w:ascii="仿宋" w:hAnsi="仿宋" w:eastAsia="仿宋" w:cs="仿宋"/>
          <w:color w:val="auto"/>
          <w:kern w:val="2"/>
          <w:sz w:val="24"/>
          <w:szCs w:val="24"/>
          <w:highlight w:val="none"/>
          <w:lang w:val="en-US" w:eastAsia="zh-CN" w:bidi="ar"/>
        </w:rPr>
        <w:t>。</w:t>
      </w:r>
    </w:p>
    <w:p w14:paraId="6C49FB83">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3.4</w:t>
      </w:r>
      <w:r>
        <w:rPr>
          <w:rFonts w:hint="eastAsia" w:ascii="仿宋" w:hAnsi="仿宋" w:eastAsia="仿宋" w:cs="仿宋"/>
          <w:color w:val="auto"/>
          <w:kern w:val="2"/>
          <w:sz w:val="24"/>
          <w:szCs w:val="24"/>
          <w:highlight w:val="none"/>
          <w:lang w:val="en-US" w:eastAsia="zh-CN" w:bidi="ar"/>
        </w:rPr>
        <w:t>防水头灯</w:t>
      </w:r>
    </w:p>
    <w:p w14:paraId="389B87DC">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3.4.1续航≥50小时；</w:t>
      </w:r>
    </w:p>
    <w:p w14:paraId="5D9A6E3F">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3.4.2防水等级≥IPX6。</w:t>
      </w:r>
    </w:p>
    <w:p w14:paraId="47F6A74B">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3.5水域救援手套</w:t>
      </w:r>
    </w:p>
    <w:p w14:paraId="343F4830">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3.5.1在水域救援工作时为手部提供安全防护，具有防护、保暖、防滑功能；</w:t>
      </w:r>
    </w:p>
    <w:p w14:paraId="727BEE41">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▲3.5.2抗刺穿性能：</w:t>
      </w:r>
      <w:r>
        <w:rPr>
          <w:rFonts w:hint="eastAsia" w:ascii="仿宋" w:hAnsi="仿宋" w:eastAsia="仿宋" w:cs="仿宋"/>
          <w:b/>
          <w:bCs/>
          <w:color w:val="auto"/>
          <w:kern w:val="2"/>
          <w:sz w:val="24"/>
          <w:szCs w:val="24"/>
          <w:highlight w:val="none"/>
          <w:lang w:val="en-US" w:eastAsia="zh-CN" w:bidi="ar"/>
        </w:rPr>
        <w:t>掌心面刺穿力(N)≥80N。</w:t>
      </w:r>
    </w:p>
    <w:p w14:paraId="25971519">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3.6</w:t>
      </w:r>
      <w:r>
        <w:rPr>
          <w:rFonts w:hint="eastAsia" w:ascii="仿宋" w:hAnsi="仿宋" w:eastAsia="仿宋" w:cs="仿宋"/>
          <w:color w:val="auto"/>
          <w:kern w:val="2"/>
          <w:sz w:val="24"/>
          <w:szCs w:val="24"/>
          <w:highlight w:val="none"/>
          <w:lang w:val="en-US" w:eastAsia="zh-CN" w:bidi="ar"/>
        </w:rPr>
        <w:t>水域救援鞋</w:t>
      </w:r>
    </w:p>
    <w:p w14:paraId="02CCD6FB">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3.6.1采用高鞋帮设计，附有氯丁橡胶材质鞋帮，保温耐穿刺耐切割防滑。</w:t>
      </w:r>
    </w:p>
    <w:p w14:paraId="39386BD2">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 xml:space="preserve">3.7 </w:t>
      </w:r>
      <w:r>
        <w:rPr>
          <w:rFonts w:hint="eastAsia" w:ascii="仿宋" w:hAnsi="仿宋" w:eastAsia="仿宋" w:cs="仿宋"/>
          <w:color w:val="auto"/>
          <w:kern w:val="2"/>
          <w:sz w:val="24"/>
          <w:szCs w:val="24"/>
          <w:highlight w:val="none"/>
          <w:lang w:val="en-US" w:eastAsia="zh-CN" w:bidi="ar"/>
        </w:rPr>
        <w:t>D型环</w:t>
      </w:r>
    </w:p>
    <w:p w14:paraId="4910A379">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3.7.1产品符合XF494-2023《消防用防坠落装备》要求；</w:t>
      </w:r>
    </w:p>
    <w:p w14:paraId="1F4EB5E9">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3.7.2铝合金材质。</w:t>
      </w:r>
      <w:r>
        <w:rPr>
          <w:rFonts w:hint="eastAsia" w:ascii="仿宋" w:hAnsi="仿宋" w:eastAsia="仿宋" w:cs="仿宋"/>
          <w:b w:val="0"/>
          <w:bCs w:val="0"/>
          <w:color w:val="auto"/>
          <w:kern w:val="2"/>
          <w:sz w:val="24"/>
          <w:szCs w:val="24"/>
          <w:highlight w:val="none"/>
          <w:lang w:val="en-US" w:eastAsia="zh-CN" w:bidi="ar"/>
        </w:rPr>
        <w:t>纵向拉力≥25kN，</w:t>
      </w:r>
      <w:r>
        <w:rPr>
          <w:rFonts w:hint="eastAsia" w:ascii="仿宋" w:hAnsi="仿宋" w:eastAsia="仿宋" w:cs="仿宋"/>
          <w:color w:val="auto"/>
          <w:kern w:val="2"/>
          <w:sz w:val="24"/>
          <w:szCs w:val="24"/>
          <w:highlight w:val="none"/>
          <w:lang w:val="en-US" w:eastAsia="zh-CN" w:bidi="ar"/>
        </w:rPr>
        <w:t>横向拉力≥8kN，开口拉力≥7kN。</w:t>
      </w:r>
    </w:p>
    <w:p w14:paraId="7420D66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3.8水域救援抛绳包</w:t>
      </w:r>
    </w:p>
    <w:p w14:paraId="6659B3DF">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▲3.8.1抛绳包绳长≥20m，直径8MM-13MM水面漂浮救生绳，</w:t>
      </w:r>
      <w:r>
        <w:rPr>
          <w:rFonts w:hint="eastAsia" w:ascii="仿宋" w:hAnsi="仿宋" w:eastAsia="仿宋" w:cs="仿宋"/>
          <w:b/>
          <w:bCs/>
          <w:color w:val="auto"/>
          <w:kern w:val="2"/>
          <w:sz w:val="24"/>
          <w:szCs w:val="24"/>
          <w:highlight w:val="none"/>
          <w:lang w:val="en-US" w:eastAsia="zh-CN" w:bidi="ar"/>
        </w:rPr>
        <w:t>破断强度≥20KN。</w:t>
      </w:r>
    </w:p>
    <w:p w14:paraId="30FE07D6">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3.9割绳刀</w:t>
      </w:r>
    </w:p>
    <w:p w14:paraId="35C9E54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3.9.1适用于水域救援应急切割各类绳索，具有撬、锯、削、割等功能，总长度≤19cm，具有夜光功能；</w:t>
      </w:r>
    </w:p>
    <w:p w14:paraId="67428F66">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3.10按规定的要求进行切割性能试验，操作人员能切断直径9.5mm、12.5mm、16mm的尼龙制消防安全绳，且切割时间均≤10s。</w:t>
      </w:r>
    </w:p>
    <w:p w14:paraId="0FC478AA">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3.11供货前，须主动对接使用单位，确保满足用户需求。</w:t>
      </w:r>
      <w:bookmarkStart w:id="54" w:name="_GoBack"/>
      <w:bookmarkEnd w:id="54"/>
    </w:p>
    <w:p w14:paraId="6827F53D">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p>
    <w:p w14:paraId="3854A7D4">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p>
    <w:p w14:paraId="3D71ECDD">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p>
    <w:p w14:paraId="05FAFA0B">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p>
    <w:p w14:paraId="265F07CB">
      <w:pPr>
        <w:pStyle w:val="2"/>
        <w:rPr>
          <w:rFonts w:ascii="Times New Roman" w:eastAsia="仿宋"/>
          <w:color w:val="auto"/>
          <w:sz w:val="24"/>
          <w:szCs w:val="24"/>
          <w:highlight w:val="none"/>
        </w:rPr>
      </w:pPr>
      <w:bookmarkStart w:id="42" w:name="_Toc12629"/>
      <w:bookmarkStart w:id="43" w:name="_Toc24683"/>
      <w:bookmarkStart w:id="44" w:name="_Toc26510"/>
      <w:bookmarkStart w:id="45" w:name="_Toc22018"/>
      <w:bookmarkStart w:id="46" w:name="_Toc16610"/>
      <w:bookmarkStart w:id="47" w:name="_Toc11958"/>
      <w:bookmarkStart w:id="48" w:name="_Toc31128"/>
      <w:bookmarkStart w:id="49" w:name="_Toc6858"/>
      <w:bookmarkStart w:id="50" w:name="_Toc10411"/>
      <w:bookmarkStart w:id="51" w:name="_Toc20642"/>
      <w:bookmarkStart w:id="52" w:name="_Toc27650"/>
      <w:bookmarkStart w:id="53" w:name="_Toc16990"/>
      <w:r>
        <w:rPr>
          <w:rFonts w:ascii="Times New Roman" w:eastAsia="仿宋"/>
          <w:b/>
          <w:bCs/>
          <w:color w:val="auto"/>
          <w:sz w:val="24"/>
          <w:szCs w:val="24"/>
          <w:highlight w:val="none"/>
        </w:rPr>
        <w:t>（二）商务要求</w:t>
      </w:r>
      <w:bookmarkEnd w:id="42"/>
      <w:bookmarkEnd w:id="43"/>
      <w:bookmarkEnd w:id="44"/>
      <w:bookmarkEnd w:id="45"/>
      <w:bookmarkEnd w:id="46"/>
      <w:bookmarkEnd w:id="47"/>
      <w:bookmarkEnd w:id="48"/>
      <w:bookmarkEnd w:id="49"/>
      <w:bookmarkEnd w:id="50"/>
      <w:bookmarkEnd w:id="51"/>
      <w:bookmarkEnd w:id="52"/>
      <w:bookmarkEnd w:id="53"/>
    </w:p>
    <w:tbl>
      <w:tblPr>
        <w:tblStyle w:val="8"/>
        <w:tblW w:w="4999" w:type="pct"/>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15" w:type="dxa"/>
          <w:left w:w="15" w:type="dxa"/>
          <w:bottom w:w="15" w:type="dxa"/>
          <w:right w:w="15" w:type="dxa"/>
        </w:tblCellMar>
      </w:tblPr>
      <w:tblGrid>
        <w:gridCol w:w="566"/>
        <w:gridCol w:w="1297"/>
        <w:gridCol w:w="6481"/>
      </w:tblGrid>
      <w:tr w14:paraId="5712816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Header/>
          <w:tblCellSpacing w:w="0" w:type="dxa"/>
          <w:jc w:val="center"/>
        </w:trPr>
        <w:tc>
          <w:tcPr>
            <w:tcW w:w="339" w:type="pct"/>
            <w:tcBorders>
              <w:tl2br w:val="nil"/>
              <w:tr2bl w:val="nil"/>
            </w:tcBorders>
            <w:shd w:val="clear" w:color="auto" w:fill="FFFFFF"/>
            <w:noWrap w:val="0"/>
            <w:vAlign w:val="center"/>
          </w:tcPr>
          <w:p w14:paraId="02AC600B">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序号</w:t>
            </w:r>
          </w:p>
        </w:tc>
        <w:tc>
          <w:tcPr>
            <w:tcW w:w="777" w:type="pct"/>
            <w:tcBorders>
              <w:tl2br w:val="nil"/>
              <w:tr2bl w:val="nil"/>
            </w:tcBorders>
            <w:shd w:val="clear" w:color="auto" w:fill="FFFFFF"/>
            <w:noWrap w:val="0"/>
            <w:vAlign w:val="center"/>
          </w:tcPr>
          <w:p w14:paraId="6CC0D145">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需求名称</w:t>
            </w:r>
          </w:p>
        </w:tc>
        <w:tc>
          <w:tcPr>
            <w:tcW w:w="3882" w:type="pct"/>
            <w:tcBorders>
              <w:tl2br w:val="nil"/>
              <w:tr2bl w:val="nil"/>
            </w:tcBorders>
            <w:shd w:val="clear" w:color="auto" w:fill="FFFFFF"/>
            <w:noWrap w:val="0"/>
            <w:vAlign w:val="center"/>
          </w:tcPr>
          <w:p w14:paraId="02A7FF02">
            <w:pPr>
              <w:keepNext w:val="0"/>
              <w:keepLines w:val="0"/>
              <w:suppressLineNumbers w:val="0"/>
              <w:spacing w:before="0" w:beforeAutospacing="0" w:after="0" w:afterAutospacing="0" w:line="460" w:lineRule="exact"/>
              <w:ind w:left="0" w:right="0"/>
              <w:jc w:val="center"/>
              <w:rPr>
                <w:rFonts w:hint="eastAsia" w:ascii="仿宋" w:hAnsi="仿宋" w:eastAsia="仿宋" w:cs="仿宋"/>
                <w:b/>
                <w:color w:val="auto"/>
                <w:sz w:val="24"/>
                <w:szCs w:val="22"/>
                <w:highlight w:val="none"/>
              </w:rPr>
            </w:pPr>
            <w:r>
              <w:rPr>
                <w:rFonts w:hint="eastAsia" w:ascii="仿宋" w:hAnsi="仿宋" w:eastAsia="仿宋" w:cs="仿宋"/>
                <w:b/>
                <w:color w:val="auto"/>
                <w:sz w:val="24"/>
                <w:szCs w:val="22"/>
                <w:highlight w:val="none"/>
              </w:rPr>
              <w:t>需求说明</w:t>
            </w:r>
          </w:p>
        </w:tc>
      </w:tr>
      <w:tr w14:paraId="16E162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79E77CB8">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1</w:t>
            </w:r>
          </w:p>
        </w:tc>
        <w:tc>
          <w:tcPr>
            <w:tcW w:w="777" w:type="pct"/>
            <w:tcBorders>
              <w:tl2br w:val="nil"/>
              <w:tr2bl w:val="nil"/>
            </w:tcBorders>
            <w:noWrap w:val="0"/>
            <w:vAlign w:val="center"/>
          </w:tcPr>
          <w:p w14:paraId="16F328B5">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交货地点</w:t>
            </w:r>
          </w:p>
        </w:tc>
        <w:tc>
          <w:tcPr>
            <w:tcW w:w="3882" w:type="pct"/>
            <w:tcBorders>
              <w:tl2br w:val="nil"/>
              <w:tr2bl w:val="nil"/>
            </w:tcBorders>
            <w:noWrap w:val="0"/>
            <w:vAlign w:val="center"/>
          </w:tcPr>
          <w:p w14:paraId="64C6F3DF">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lang w:eastAsia="zh-CN"/>
              </w:rPr>
              <w:t>先</w:t>
            </w:r>
            <w:r>
              <w:rPr>
                <w:rFonts w:hint="eastAsia" w:ascii="仿宋" w:hAnsi="仿宋" w:eastAsia="仿宋" w:cs="仿宋"/>
                <w:color w:val="auto"/>
                <w:sz w:val="24"/>
                <w:highlight w:val="none"/>
              </w:rPr>
              <w:t>送到</w:t>
            </w:r>
            <w:r>
              <w:rPr>
                <w:rFonts w:hint="eastAsia" w:ascii="仿宋" w:hAnsi="仿宋" w:eastAsia="仿宋" w:cs="仿宋"/>
                <w:color w:val="auto"/>
                <w:sz w:val="24"/>
                <w:highlight w:val="none"/>
                <w:lang w:eastAsia="zh-CN"/>
              </w:rPr>
              <w:t>江西省消防救援总队指定地点进行验收，验收通过后再配送至各消防救援支队或消防救援大队指定地点</w:t>
            </w:r>
            <w:r>
              <w:rPr>
                <w:rFonts w:hint="default" w:ascii="Times New Roman" w:hAnsi="Times New Roman" w:eastAsia="仿宋"/>
                <w:color w:val="auto"/>
                <w:sz w:val="24"/>
                <w:highlight w:val="none"/>
              </w:rPr>
              <w:t>，且不得额外收取费用。</w:t>
            </w:r>
          </w:p>
        </w:tc>
      </w:tr>
      <w:tr w14:paraId="7852D4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261D4F79">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2</w:t>
            </w:r>
          </w:p>
        </w:tc>
        <w:tc>
          <w:tcPr>
            <w:tcW w:w="777" w:type="pct"/>
            <w:tcBorders>
              <w:tl2br w:val="nil"/>
              <w:tr2bl w:val="nil"/>
            </w:tcBorders>
            <w:noWrap w:val="0"/>
            <w:vAlign w:val="center"/>
          </w:tcPr>
          <w:p w14:paraId="09D49E85">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交货期限</w:t>
            </w:r>
          </w:p>
        </w:tc>
        <w:tc>
          <w:tcPr>
            <w:tcW w:w="3882" w:type="pct"/>
            <w:tcBorders>
              <w:tl2br w:val="nil"/>
              <w:tr2bl w:val="nil"/>
            </w:tcBorders>
            <w:noWrap w:val="0"/>
            <w:vAlign w:val="top"/>
          </w:tcPr>
          <w:p w14:paraId="32E9561A">
            <w:pPr>
              <w:keepNext w:val="0"/>
              <w:keepLines w:val="0"/>
              <w:widowControl/>
              <w:suppressLineNumbers w:val="0"/>
              <w:spacing w:before="0" w:beforeAutospacing="0" w:after="0" w:afterAutospacing="0" w:line="460" w:lineRule="exact"/>
              <w:ind w:left="0" w:right="0" w:firstLine="0" w:firstLineChars="0"/>
              <w:jc w:val="left"/>
              <w:rPr>
                <w:rFonts w:hint="eastAsia" w:ascii="仿宋" w:hAnsi="仿宋" w:eastAsia="仿宋" w:cs="仿宋"/>
                <w:color w:val="auto"/>
                <w:kern w:val="0"/>
                <w:sz w:val="24"/>
                <w:szCs w:val="22"/>
                <w:highlight w:val="none"/>
                <w:lang w:eastAsia="zh-CN"/>
              </w:rPr>
            </w:pPr>
            <w:r>
              <w:rPr>
                <w:rFonts w:hint="default" w:ascii="Times New Roman" w:hAnsi="Times New Roman" w:eastAsia="仿宋"/>
                <w:color w:val="auto"/>
                <w:sz w:val="24"/>
                <w:highlight w:val="none"/>
              </w:rPr>
              <w:t>自合同签订生效之日起3个月内必须将所投全部货物送到江西省消防救援总队指定地点（以全部货物送达后</w:t>
            </w:r>
            <w:r>
              <w:rPr>
                <w:rFonts w:hint="eastAsia" w:ascii="仿宋" w:hAnsi="仿宋" w:eastAsia="仿宋" w:cs="仿宋"/>
                <w:color w:val="auto"/>
                <w:sz w:val="24"/>
                <w:highlight w:val="none"/>
              </w:rPr>
              <w:t>采购人</w:t>
            </w:r>
            <w:r>
              <w:rPr>
                <w:rFonts w:hint="default" w:ascii="Times New Roman" w:hAnsi="Times New Roman" w:eastAsia="仿宋"/>
                <w:color w:val="auto"/>
                <w:sz w:val="24"/>
                <w:highlight w:val="none"/>
              </w:rPr>
              <w:t>书面签收时间作为交货时间）</w:t>
            </w:r>
            <w:r>
              <w:rPr>
                <w:rFonts w:hint="eastAsia" w:ascii="Times New Roman" w:hAnsi="Times New Roman" w:eastAsia="仿宋"/>
                <w:color w:val="auto"/>
                <w:sz w:val="24"/>
                <w:highlight w:val="none"/>
                <w:lang w:eastAsia="zh-CN"/>
              </w:rPr>
              <w:t>，</w:t>
            </w:r>
            <w:r>
              <w:rPr>
                <w:rFonts w:hint="default" w:ascii="Times New Roman" w:hAnsi="Times New Roman" w:eastAsia="仿宋"/>
                <w:color w:val="auto"/>
                <w:sz w:val="24"/>
                <w:highlight w:val="none"/>
              </w:rPr>
              <w:t>货物验收合格后，由</w:t>
            </w:r>
            <w:r>
              <w:rPr>
                <w:rFonts w:hint="eastAsia" w:ascii="仿宋" w:hAnsi="仿宋" w:eastAsia="仿宋" w:cs="仿宋"/>
                <w:color w:val="auto"/>
                <w:sz w:val="24"/>
                <w:highlight w:val="none"/>
                <w:lang w:eastAsia="zh-CN"/>
              </w:rPr>
              <w:t>中标人</w:t>
            </w:r>
            <w:r>
              <w:rPr>
                <w:rFonts w:hint="default" w:ascii="Times New Roman" w:hAnsi="Times New Roman" w:eastAsia="仿宋"/>
                <w:color w:val="auto"/>
                <w:sz w:val="24"/>
                <w:highlight w:val="none"/>
              </w:rPr>
              <w:t>配送至各消防救援支队或消防救援大队指定地点，且不得额外收取费用。</w:t>
            </w:r>
          </w:p>
        </w:tc>
      </w:tr>
      <w:tr w14:paraId="4268D3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14BFE35D">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3</w:t>
            </w:r>
          </w:p>
        </w:tc>
        <w:tc>
          <w:tcPr>
            <w:tcW w:w="777" w:type="pct"/>
            <w:tcBorders>
              <w:tl2br w:val="nil"/>
              <w:tr2bl w:val="nil"/>
            </w:tcBorders>
            <w:noWrap w:val="0"/>
            <w:vAlign w:val="center"/>
          </w:tcPr>
          <w:p w14:paraId="74AF4691">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付款方式</w:t>
            </w:r>
          </w:p>
        </w:tc>
        <w:tc>
          <w:tcPr>
            <w:tcW w:w="3882" w:type="pct"/>
            <w:tcBorders>
              <w:tl2br w:val="nil"/>
              <w:tr2bl w:val="nil"/>
            </w:tcBorders>
            <w:noWrap w:val="0"/>
            <w:vAlign w:val="top"/>
          </w:tcPr>
          <w:p w14:paraId="6F7B9283">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sz w:val="24"/>
                <w:szCs w:val="24"/>
                <w:highlight w:val="none"/>
              </w:rPr>
              <w:t>待货物</w:t>
            </w:r>
            <w:r>
              <w:rPr>
                <w:rFonts w:hint="eastAsia" w:ascii="仿宋" w:hAnsi="仿宋" w:eastAsia="仿宋" w:cs="仿宋"/>
                <w:color w:val="auto"/>
                <w:sz w:val="24"/>
                <w:szCs w:val="24"/>
                <w:highlight w:val="none"/>
                <w:lang w:eastAsia="zh-CN"/>
              </w:rPr>
              <w:t>通过验收、结算审计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且中标人向采购人提交</w:t>
            </w:r>
            <w:r>
              <w:rPr>
                <w:rFonts w:hint="eastAsia" w:ascii="仿宋" w:hAnsi="仿宋" w:eastAsia="仿宋" w:cs="仿宋"/>
                <w:color w:val="auto"/>
                <w:sz w:val="24"/>
                <w:szCs w:val="24"/>
                <w:highlight w:val="none"/>
              </w:rPr>
              <w:t>有效增值税发票和付款申请材料后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支付合同款</w:t>
            </w:r>
            <w:r>
              <w:rPr>
                <w:rFonts w:hint="eastAsia" w:ascii="仿宋" w:hAnsi="仿宋" w:eastAsia="仿宋" w:cs="仿宋"/>
                <w:color w:val="auto"/>
                <w:sz w:val="24"/>
                <w:szCs w:val="24"/>
                <w:highlight w:val="none"/>
                <w:lang w:eastAsia="zh-CN"/>
              </w:rPr>
              <w:t>（以结算审计金额为准）</w:t>
            </w:r>
            <w:r>
              <w:rPr>
                <w:rFonts w:hint="eastAsia" w:ascii="仿宋" w:hAnsi="仿宋" w:eastAsia="仿宋" w:cs="仿宋"/>
                <w:color w:val="auto"/>
                <w:sz w:val="24"/>
                <w:szCs w:val="24"/>
                <w:highlight w:val="none"/>
              </w:rPr>
              <w:t>。如</w:t>
            </w:r>
            <w:r>
              <w:rPr>
                <w:rFonts w:hint="eastAsia" w:ascii="仿宋" w:hAnsi="仿宋" w:eastAsia="仿宋" w:cs="仿宋"/>
                <w:color w:val="auto"/>
                <w:kern w:val="0"/>
                <w:sz w:val="24"/>
                <w:highlight w:val="none"/>
              </w:rPr>
              <w:t>中标人</w:t>
            </w:r>
            <w:r>
              <w:rPr>
                <w:rFonts w:hint="eastAsia" w:ascii="仿宋" w:hAnsi="仿宋" w:eastAsia="仿宋" w:cs="仿宋"/>
                <w:color w:val="auto"/>
                <w:sz w:val="24"/>
                <w:szCs w:val="24"/>
                <w:highlight w:val="none"/>
              </w:rPr>
              <w:t>未开具符合法定要求的增值税发票，</w:t>
            </w:r>
            <w:r>
              <w:rPr>
                <w:rFonts w:hint="eastAsia" w:ascii="仿宋" w:hAnsi="仿宋" w:eastAsia="仿宋" w:cs="仿宋"/>
                <w:color w:val="auto"/>
                <w:kern w:val="0"/>
                <w:sz w:val="24"/>
                <w:highlight w:val="none"/>
              </w:rPr>
              <w:t>采购人</w:t>
            </w:r>
            <w:r>
              <w:rPr>
                <w:rFonts w:hint="eastAsia" w:ascii="仿宋" w:hAnsi="仿宋" w:eastAsia="仿宋" w:cs="仿宋"/>
                <w:color w:val="auto"/>
                <w:sz w:val="24"/>
                <w:szCs w:val="24"/>
                <w:highlight w:val="none"/>
              </w:rPr>
              <w:t>有权拒付合同款</w:t>
            </w:r>
            <w:r>
              <w:rPr>
                <w:rFonts w:hint="default" w:ascii="Times New Roman" w:hAnsi="Times New Roman" w:eastAsia="仿宋"/>
                <w:color w:val="auto"/>
                <w:sz w:val="24"/>
                <w:highlight w:val="none"/>
              </w:rPr>
              <w:t>，且不因此承担违约责任。</w:t>
            </w:r>
          </w:p>
        </w:tc>
      </w:tr>
      <w:tr w14:paraId="4CB9C40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164E8770">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4</w:t>
            </w:r>
          </w:p>
        </w:tc>
        <w:tc>
          <w:tcPr>
            <w:tcW w:w="777" w:type="pct"/>
            <w:tcBorders>
              <w:tl2br w:val="nil"/>
              <w:tr2bl w:val="nil"/>
            </w:tcBorders>
            <w:noWrap w:val="0"/>
            <w:vAlign w:val="center"/>
          </w:tcPr>
          <w:p w14:paraId="7CDB6DCA">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履约保证金</w:t>
            </w:r>
          </w:p>
        </w:tc>
        <w:tc>
          <w:tcPr>
            <w:tcW w:w="3882" w:type="pct"/>
            <w:tcBorders>
              <w:tl2br w:val="nil"/>
              <w:tr2bl w:val="nil"/>
            </w:tcBorders>
            <w:noWrap w:val="0"/>
            <w:vAlign w:val="top"/>
          </w:tcPr>
          <w:p w14:paraId="4903E6DC">
            <w:pPr>
              <w:keepNext w:val="0"/>
              <w:keepLines w:val="0"/>
              <w:suppressLineNumbers w:val="0"/>
              <w:spacing w:before="0" w:beforeAutospacing="0" w:after="0" w:afterAutospacing="0" w:line="460" w:lineRule="exact"/>
              <w:ind w:left="0" w:right="0" w:firstLine="0" w:firstLineChars="0"/>
              <w:jc w:val="left"/>
              <w:rPr>
                <w:rFonts w:hint="default" w:ascii="Times New Roman" w:hAnsi="Times New Roman" w:eastAsia="仿宋"/>
                <w:color w:val="auto"/>
                <w:sz w:val="24"/>
                <w:highlight w:val="none"/>
              </w:rPr>
            </w:pPr>
            <w:r>
              <w:rPr>
                <w:rFonts w:hint="eastAsia" w:ascii="仿宋" w:hAnsi="仿宋" w:eastAsia="仿宋" w:cs="仿宋"/>
                <w:color w:val="auto"/>
                <w:kern w:val="0"/>
                <w:sz w:val="24"/>
                <w:szCs w:val="22"/>
                <w:highlight w:val="none"/>
              </w:rPr>
              <w:t>4.1</w:t>
            </w:r>
            <w:r>
              <w:rPr>
                <w:rFonts w:hint="default" w:ascii="Times New Roman" w:hAnsi="Times New Roman" w:eastAsia="仿宋"/>
                <w:color w:val="auto"/>
                <w:sz w:val="24"/>
                <w:highlight w:val="none"/>
              </w:rPr>
              <w:t>金额：合同总价5%作为履约保证金。</w:t>
            </w:r>
          </w:p>
          <w:p w14:paraId="1B7C12F0">
            <w:pPr>
              <w:keepNext w:val="0"/>
              <w:keepLines w:val="0"/>
              <w:suppressLineNumbers w:val="0"/>
              <w:spacing w:before="0" w:beforeAutospacing="0" w:after="0" w:afterAutospacing="0" w:line="460" w:lineRule="exact"/>
              <w:ind w:left="0" w:right="0" w:firstLine="0" w:firstLineChars="0"/>
              <w:jc w:val="left"/>
              <w:rPr>
                <w:rFonts w:hint="default" w:ascii="Times New Roman" w:hAnsi="Times New Roman" w:eastAsia="仿宋"/>
                <w:color w:val="auto"/>
                <w:sz w:val="24"/>
                <w:highlight w:val="none"/>
              </w:rPr>
            </w:pPr>
            <w:r>
              <w:rPr>
                <w:rFonts w:hint="eastAsia" w:ascii="Times New Roman" w:hAnsi="Times New Roman" w:eastAsia="仿宋"/>
                <w:color w:val="auto"/>
                <w:sz w:val="24"/>
                <w:highlight w:val="none"/>
                <w:lang w:val="en-US" w:eastAsia="zh-CN"/>
              </w:rPr>
              <w:t xml:space="preserve">4.2 </w:t>
            </w:r>
            <w:r>
              <w:rPr>
                <w:rFonts w:hint="default" w:ascii="Times New Roman" w:hAnsi="Times New Roman" w:eastAsia="仿宋"/>
                <w:color w:val="auto"/>
                <w:sz w:val="24"/>
                <w:highlight w:val="none"/>
              </w:rPr>
              <w:t>缴纳方式和时间：</w:t>
            </w:r>
          </w:p>
          <w:p w14:paraId="658BC663">
            <w:pPr>
              <w:keepNext w:val="0"/>
              <w:keepLines w:val="0"/>
              <w:suppressLineNumbers w:val="0"/>
              <w:spacing w:before="0" w:beforeAutospacing="0" w:after="0" w:afterAutospacing="0" w:line="460" w:lineRule="exact"/>
              <w:ind w:left="0" w:right="0" w:firstLine="0" w:firstLineChars="0"/>
              <w:jc w:val="left"/>
              <w:rPr>
                <w:rFonts w:hint="default" w:ascii="Times New Roman" w:hAnsi="Times New Roman" w:eastAsia="仿宋"/>
                <w:color w:val="auto"/>
                <w:sz w:val="24"/>
                <w:highlight w:val="none"/>
              </w:rPr>
            </w:pPr>
            <w:r>
              <w:rPr>
                <w:rFonts w:hint="eastAsia" w:ascii="Times New Roman" w:hAnsi="Times New Roman" w:eastAsia="仿宋"/>
                <w:color w:val="auto"/>
                <w:sz w:val="24"/>
                <w:highlight w:val="none"/>
                <w:lang w:val="en-US" w:eastAsia="zh-CN"/>
              </w:rPr>
              <w:t>4.2.</w:t>
            </w:r>
            <w:r>
              <w:rPr>
                <w:rFonts w:hint="default" w:ascii="Times New Roman" w:hAnsi="Times New Roman" w:eastAsia="仿宋"/>
                <w:color w:val="auto"/>
                <w:sz w:val="24"/>
                <w:highlight w:val="none"/>
              </w:rPr>
              <w:t>1</w:t>
            </w:r>
            <w:r>
              <w:rPr>
                <w:rFonts w:hint="default" w:ascii="Times New Roman" w:hAnsi="Times New Roman" w:eastAsia="仿宋"/>
                <w:color w:val="auto"/>
                <w:sz w:val="24"/>
                <w:highlight w:val="none"/>
                <w:lang w:eastAsia="zh-CN"/>
              </w:rPr>
              <w:t>、</w:t>
            </w:r>
            <w:r>
              <w:rPr>
                <w:rFonts w:hint="default" w:ascii="Times New Roman" w:hAnsi="Times New Roman" w:eastAsia="仿宋"/>
                <w:color w:val="auto"/>
                <w:sz w:val="24"/>
                <w:highlight w:val="none"/>
              </w:rPr>
              <w:t>公对公转账方式：在合同签订后7个工作日之内</w:t>
            </w:r>
            <w:r>
              <w:rPr>
                <w:rFonts w:hint="eastAsia" w:ascii="仿宋" w:hAnsi="仿宋" w:eastAsia="仿宋" w:cs="仿宋"/>
                <w:color w:val="auto"/>
                <w:kern w:val="0"/>
                <w:sz w:val="24"/>
                <w:highlight w:val="none"/>
              </w:rPr>
              <w:t>中标人</w:t>
            </w:r>
            <w:r>
              <w:rPr>
                <w:rFonts w:hint="default" w:ascii="Times New Roman" w:hAnsi="Times New Roman" w:eastAsia="仿宋"/>
                <w:color w:val="auto"/>
                <w:sz w:val="24"/>
                <w:highlight w:val="none"/>
              </w:rPr>
              <w:t>将履约保证金递交至</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指定账户；</w:t>
            </w:r>
          </w:p>
          <w:p w14:paraId="7EF942C7">
            <w:pPr>
              <w:keepNext w:val="0"/>
              <w:keepLines w:val="0"/>
              <w:suppressLineNumbers w:val="0"/>
              <w:spacing w:before="0" w:beforeAutospacing="0" w:after="0" w:afterAutospacing="0" w:line="460" w:lineRule="exact"/>
              <w:ind w:left="0" w:right="0" w:firstLine="0" w:firstLineChars="0"/>
              <w:jc w:val="left"/>
              <w:rPr>
                <w:rFonts w:hint="default" w:ascii="Times New Roman" w:hAnsi="Times New Roman" w:eastAsia="仿宋"/>
                <w:color w:val="auto"/>
                <w:sz w:val="24"/>
                <w:highlight w:val="none"/>
              </w:rPr>
            </w:pPr>
            <w:r>
              <w:rPr>
                <w:rFonts w:hint="eastAsia" w:ascii="Times New Roman" w:hAnsi="Times New Roman" w:eastAsia="仿宋"/>
                <w:color w:val="auto"/>
                <w:sz w:val="24"/>
                <w:highlight w:val="none"/>
                <w:lang w:val="en-US" w:eastAsia="zh-CN"/>
              </w:rPr>
              <w:t>4.2.</w:t>
            </w:r>
            <w:r>
              <w:rPr>
                <w:rFonts w:hint="default" w:ascii="Times New Roman" w:hAnsi="Times New Roman" w:eastAsia="仿宋"/>
                <w:color w:val="auto"/>
                <w:sz w:val="24"/>
                <w:highlight w:val="none"/>
              </w:rPr>
              <w:t>2</w:t>
            </w:r>
            <w:r>
              <w:rPr>
                <w:rFonts w:hint="default" w:ascii="Times New Roman" w:hAnsi="Times New Roman" w:eastAsia="仿宋"/>
                <w:color w:val="auto"/>
                <w:sz w:val="24"/>
                <w:highlight w:val="none"/>
                <w:lang w:eastAsia="zh-CN"/>
              </w:rPr>
              <w:t>、</w:t>
            </w:r>
            <w:r>
              <w:rPr>
                <w:rFonts w:hint="default" w:ascii="Times New Roman" w:hAnsi="Times New Roman" w:eastAsia="仿宋"/>
                <w:color w:val="auto"/>
                <w:sz w:val="24"/>
                <w:highlight w:val="none"/>
              </w:rPr>
              <w:t>银行保函方式：在合同签订后30日之内递交至</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，保函有效期需与质保期到期时间一致。</w:t>
            </w:r>
          </w:p>
          <w:p w14:paraId="4834C9F3">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Times New Roman" w:hAnsi="Times New Roman" w:eastAsia="仿宋"/>
                <w:color w:val="auto"/>
                <w:sz w:val="24"/>
                <w:highlight w:val="none"/>
                <w:lang w:val="en-US" w:eastAsia="zh-CN"/>
              </w:rPr>
              <w:t>4.3</w:t>
            </w:r>
            <w:r>
              <w:rPr>
                <w:rFonts w:hint="default" w:ascii="Times New Roman" w:hAnsi="Times New Roman" w:eastAsia="仿宋"/>
                <w:color w:val="auto"/>
                <w:sz w:val="24"/>
                <w:highlight w:val="none"/>
              </w:rPr>
              <w:t>履约保证金在质保期满后，经</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确认无任何问题，且无未解决的合同纠纷的（如有，则延缓退还），经</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收到</w:t>
            </w:r>
            <w:r>
              <w:rPr>
                <w:rFonts w:hint="eastAsia" w:ascii="仿宋" w:hAnsi="仿宋" w:eastAsia="仿宋" w:cs="仿宋"/>
                <w:color w:val="auto"/>
                <w:kern w:val="0"/>
                <w:sz w:val="24"/>
                <w:highlight w:val="none"/>
              </w:rPr>
              <w:t>中标人</w:t>
            </w:r>
            <w:r>
              <w:rPr>
                <w:rFonts w:hint="default" w:ascii="Times New Roman" w:hAnsi="Times New Roman" w:eastAsia="仿宋"/>
                <w:color w:val="auto"/>
                <w:sz w:val="24"/>
                <w:highlight w:val="none"/>
              </w:rPr>
              <w:t>书面申请后审核，无息退还履约保证金。以保函形式递交履约保证金的，保函有效期需至质保期结束，质保期结束后保函自动作废，但</w:t>
            </w:r>
            <w:r>
              <w:rPr>
                <w:rFonts w:hint="eastAsia" w:ascii="仿宋" w:hAnsi="仿宋" w:eastAsia="仿宋" w:cs="仿宋"/>
                <w:color w:val="auto"/>
                <w:kern w:val="0"/>
                <w:sz w:val="24"/>
                <w:highlight w:val="none"/>
              </w:rPr>
              <w:t>中标人</w:t>
            </w:r>
            <w:r>
              <w:rPr>
                <w:rFonts w:hint="default" w:ascii="Times New Roman" w:hAnsi="Times New Roman" w:eastAsia="仿宋"/>
                <w:color w:val="auto"/>
                <w:sz w:val="24"/>
                <w:highlight w:val="none"/>
              </w:rPr>
              <w:t>应配合</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履行书面手续，为</w:t>
            </w:r>
            <w:r>
              <w:rPr>
                <w:rFonts w:hint="eastAsia" w:ascii="仿宋" w:hAnsi="仿宋" w:eastAsia="仿宋" w:cs="仿宋"/>
                <w:color w:val="auto"/>
                <w:kern w:val="0"/>
                <w:sz w:val="24"/>
                <w:highlight w:val="none"/>
              </w:rPr>
              <w:t>采购人</w:t>
            </w:r>
            <w:r>
              <w:rPr>
                <w:rFonts w:hint="default" w:ascii="Times New Roman" w:hAnsi="Times New Roman" w:eastAsia="仿宋"/>
                <w:color w:val="auto"/>
                <w:sz w:val="24"/>
                <w:highlight w:val="none"/>
              </w:rPr>
              <w:t>财务部门及时处理账务提供书面依据。</w:t>
            </w:r>
          </w:p>
        </w:tc>
      </w:tr>
      <w:tr w14:paraId="72CAE4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04D1DFD4">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5</w:t>
            </w:r>
          </w:p>
        </w:tc>
        <w:tc>
          <w:tcPr>
            <w:tcW w:w="777" w:type="pct"/>
            <w:tcBorders>
              <w:tl2br w:val="nil"/>
              <w:tr2bl w:val="nil"/>
            </w:tcBorders>
            <w:noWrap w:val="0"/>
            <w:vAlign w:val="center"/>
          </w:tcPr>
          <w:p w14:paraId="6F608A1E">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报价方式</w:t>
            </w:r>
          </w:p>
        </w:tc>
        <w:tc>
          <w:tcPr>
            <w:tcW w:w="3882" w:type="pct"/>
            <w:tcBorders>
              <w:tl2br w:val="nil"/>
              <w:tr2bl w:val="nil"/>
            </w:tcBorders>
            <w:noWrap w:val="0"/>
            <w:vAlign w:val="center"/>
          </w:tcPr>
          <w:p w14:paraId="3C3376C3">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投标报价均以人民币/元报价，投标人报价须包含所有货物、材料、运输、转运、辅材、安装、施工、调试、验收、培训、现场回访、实地巡检、税金、招标代理服务费等费用均包含在投标总价中。</w:t>
            </w:r>
          </w:p>
        </w:tc>
      </w:tr>
      <w:tr w14:paraId="53CD9F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4D32CF47">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6</w:t>
            </w:r>
          </w:p>
        </w:tc>
        <w:tc>
          <w:tcPr>
            <w:tcW w:w="777" w:type="pct"/>
            <w:tcBorders>
              <w:tl2br w:val="nil"/>
              <w:tr2bl w:val="nil"/>
            </w:tcBorders>
            <w:noWrap w:val="0"/>
            <w:vAlign w:val="center"/>
          </w:tcPr>
          <w:p w14:paraId="65E8F0E3">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安装调试及验收</w:t>
            </w:r>
          </w:p>
        </w:tc>
        <w:tc>
          <w:tcPr>
            <w:tcW w:w="3882" w:type="pct"/>
            <w:tcBorders>
              <w:tl2br w:val="nil"/>
              <w:tr2bl w:val="nil"/>
            </w:tcBorders>
            <w:noWrap w:val="0"/>
            <w:vAlign w:val="top"/>
          </w:tcPr>
          <w:p w14:paraId="4A67A1A8">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6.1中标人应派经采购人认可的有经验和能力、具有相应资质的技术人员，负责产品设备安装工作，在设备安装期间应充分了解设备安装进度要求，解决安装中出现的技术问题。</w:t>
            </w:r>
          </w:p>
          <w:p w14:paraId="0C544453">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6.2中标人负责设备的安装、调试。</w:t>
            </w:r>
          </w:p>
          <w:p w14:paraId="2D8552F5">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6.3调试所需专用工具设施物料由中标人自备、自费运到现场，完工后自费搬走。</w:t>
            </w:r>
          </w:p>
          <w:p w14:paraId="23EDB552">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6.4中标人负责</w:t>
            </w:r>
            <w:r>
              <w:rPr>
                <w:rFonts w:hint="eastAsia" w:ascii="仿宋" w:hAnsi="仿宋" w:eastAsia="仿宋" w:cs="仿宋"/>
                <w:color w:val="auto"/>
                <w:kern w:val="0"/>
                <w:sz w:val="24"/>
                <w:szCs w:val="22"/>
                <w:highlight w:val="none"/>
                <w:lang w:val="en-US" w:eastAsia="zh-CN"/>
              </w:rPr>
              <w:t>产品</w:t>
            </w:r>
            <w:r>
              <w:rPr>
                <w:rFonts w:hint="eastAsia" w:ascii="仿宋" w:hAnsi="仿宋" w:eastAsia="仿宋" w:cs="仿宋"/>
                <w:color w:val="auto"/>
                <w:kern w:val="0"/>
                <w:sz w:val="24"/>
                <w:szCs w:val="22"/>
                <w:highlight w:val="none"/>
              </w:rPr>
              <w:t>的拆箱、通电、</w:t>
            </w:r>
            <w:r>
              <w:rPr>
                <w:rFonts w:hint="eastAsia" w:ascii="仿宋" w:hAnsi="仿宋" w:eastAsia="仿宋" w:cs="仿宋"/>
                <w:color w:val="auto"/>
                <w:kern w:val="0"/>
                <w:sz w:val="24"/>
                <w:szCs w:val="22"/>
                <w:highlight w:val="none"/>
                <w:lang w:val="en-US" w:eastAsia="zh-CN"/>
              </w:rPr>
              <w:t>安装、</w:t>
            </w:r>
            <w:r>
              <w:rPr>
                <w:rFonts w:hint="eastAsia" w:ascii="仿宋" w:hAnsi="仿宋" w:eastAsia="仿宋" w:cs="仿宋"/>
                <w:color w:val="auto"/>
                <w:kern w:val="0"/>
                <w:sz w:val="24"/>
                <w:szCs w:val="22"/>
                <w:highlight w:val="none"/>
              </w:rPr>
              <w:t>调试等各项工作，但必须在采购人指定人员的参与下进行。在实际实施前必须先经采购人同意方可进行。调试的原始记录须经各方签字后作为验收的文件之一。</w:t>
            </w:r>
          </w:p>
          <w:p w14:paraId="75688BE1">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6.5所有的</w:t>
            </w:r>
            <w:r>
              <w:rPr>
                <w:rFonts w:hint="eastAsia" w:ascii="仿宋" w:hAnsi="仿宋" w:eastAsia="仿宋" w:cs="仿宋"/>
                <w:color w:val="auto"/>
                <w:kern w:val="0"/>
                <w:sz w:val="24"/>
                <w:szCs w:val="22"/>
                <w:highlight w:val="none"/>
                <w:lang w:val="en-US" w:eastAsia="zh-CN"/>
              </w:rPr>
              <w:t>产品</w:t>
            </w:r>
            <w:r>
              <w:rPr>
                <w:rFonts w:hint="eastAsia" w:ascii="仿宋" w:hAnsi="仿宋" w:eastAsia="仿宋" w:cs="仿宋"/>
                <w:color w:val="auto"/>
                <w:kern w:val="0"/>
                <w:sz w:val="24"/>
                <w:szCs w:val="22"/>
                <w:highlight w:val="none"/>
              </w:rPr>
              <w:t>应按照国家有关技术标准在制造厂检查和试验合格，以表明其运行性能、安全性能以及设备材料和结构在电气、机械上的完整性。</w:t>
            </w:r>
          </w:p>
          <w:p w14:paraId="0C484B91">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6.6严格按照国家有关规范标准及江西省消防救援总队装备验收的要求</w:t>
            </w:r>
            <w:r>
              <w:rPr>
                <w:rFonts w:hint="default" w:ascii="Times New Roman" w:hAnsi="Times New Roman" w:eastAsia="仿宋"/>
                <w:color w:val="auto"/>
                <w:sz w:val="24"/>
                <w:highlight w:val="none"/>
              </w:rPr>
              <w:t>开展</w:t>
            </w:r>
            <w:r>
              <w:rPr>
                <w:rFonts w:hint="eastAsia" w:ascii="仿宋" w:hAnsi="仿宋" w:eastAsia="仿宋" w:cs="仿宋"/>
                <w:color w:val="auto"/>
                <w:kern w:val="0"/>
                <w:sz w:val="24"/>
                <w:szCs w:val="22"/>
                <w:highlight w:val="none"/>
              </w:rPr>
              <w:t>验收</w:t>
            </w:r>
            <w:r>
              <w:rPr>
                <w:rFonts w:hint="eastAsia" w:ascii="仿宋" w:hAnsi="仿宋" w:eastAsia="仿宋" w:cs="仿宋"/>
                <w:b/>
                <w:bCs/>
                <w:color w:val="auto"/>
                <w:kern w:val="0"/>
                <w:sz w:val="24"/>
                <w:szCs w:val="22"/>
                <w:highlight w:val="none"/>
              </w:rPr>
              <w:t>。</w:t>
            </w:r>
          </w:p>
        </w:tc>
      </w:tr>
      <w:tr w14:paraId="3E6FC2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1019A989">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7</w:t>
            </w:r>
          </w:p>
        </w:tc>
        <w:tc>
          <w:tcPr>
            <w:tcW w:w="777" w:type="pct"/>
            <w:tcBorders>
              <w:tl2br w:val="nil"/>
              <w:tr2bl w:val="nil"/>
            </w:tcBorders>
            <w:noWrap w:val="0"/>
            <w:vAlign w:val="center"/>
          </w:tcPr>
          <w:p w14:paraId="45D0BCCB">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培训与监督</w:t>
            </w:r>
          </w:p>
        </w:tc>
        <w:tc>
          <w:tcPr>
            <w:tcW w:w="3882" w:type="pct"/>
            <w:tcBorders>
              <w:tl2br w:val="nil"/>
              <w:tr2bl w:val="nil"/>
            </w:tcBorders>
            <w:noWrap w:val="0"/>
            <w:vAlign w:val="top"/>
          </w:tcPr>
          <w:p w14:paraId="0F9A43D2">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7.1</w:t>
            </w:r>
            <w:r>
              <w:rPr>
                <w:rFonts w:hint="default" w:ascii="Times New Roman" w:hAnsi="Times New Roman" w:eastAsia="仿宋"/>
                <w:color w:val="auto"/>
                <w:sz w:val="24"/>
                <w:highlight w:val="none"/>
              </w:rPr>
              <w:t>配送至支队或大队后，</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应提供产品的功能、使用方法、技术参数、常见问题解决方法等书面或电子材料，并确保用户获知产品序列号、型号名称、版本号以及配合使用的主要设备品牌、型号和版本等信息。</w:t>
            </w:r>
          </w:p>
          <w:p w14:paraId="606B92B2">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7.2</w:t>
            </w:r>
            <w:r>
              <w:rPr>
                <w:rFonts w:hint="default" w:ascii="Times New Roman" w:hAnsi="Times New Roman" w:eastAsia="仿宋"/>
                <w:color w:val="auto"/>
                <w:sz w:val="24"/>
                <w:highlight w:val="none"/>
              </w:rPr>
              <w:t>配送至指定单位后，</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应免费组织用户开展操作使用培训，使之熟练掌握操作规程、使用方法和注意事项，并经相关单位签字确认后方可移交。</w:t>
            </w:r>
          </w:p>
          <w:p w14:paraId="62F89F9B">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7.3</w:t>
            </w:r>
            <w:r>
              <w:rPr>
                <w:rFonts w:hint="default" w:ascii="Times New Roman" w:hAnsi="Times New Roman" w:eastAsia="仿宋"/>
                <w:color w:val="auto"/>
                <w:sz w:val="24"/>
                <w:highlight w:val="none"/>
              </w:rPr>
              <w:t>交货时，</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应公开原厂售后服务商的联系方式、公司名称、公司地址、邮政编码、电子邮件、联系电话及传真，不断完善服务管理和拓展新的服务模式，接受</w:t>
            </w:r>
            <w:r>
              <w:rPr>
                <w:rFonts w:hint="eastAsia" w:ascii="仿宋" w:hAnsi="仿宋" w:eastAsia="仿宋" w:cs="仿宋"/>
                <w:color w:val="auto"/>
                <w:kern w:val="0"/>
                <w:sz w:val="24"/>
                <w:szCs w:val="22"/>
                <w:highlight w:val="none"/>
              </w:rPr>
              <w:t>采购人</w:t>
            </w:r>
            <w:r>
              <w:rPr>
                <w:rFonts w:hint="default" w:ascii="Times New Roman" w:hAnsi="Times New Roman" w:eastAsia="仿宋"/>
                <w:color w:val="auto"/>
                <w:sz w:val="24"/>
                <w:highlight w:val="none"/>
              </w:rPr>
              <w:t>的监督和批评。</w:t>
            </w:r>
          </w:p>
          <w:p w14:paraId="0AF0E5CC">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w:t>
            </w:r>
            <w:r>
              <w:rPr>
                <w:rFonts w:hint="eastAsia" w:ascii="仿宋" w:hAnsi="仿宋" w:eastAsia="仿宋" w:cs="仿宋"/>
                <w:color w:val="auto"/>
                <w:kern w:val="0"/>
                <w:sz w:val="24"/>
                <w:szCs w:val="22"/>
                <w:highlight w:val="none"/>
                <w:lang w:val="en-US" w:eastAsia="zh-CN"/>
              </w:rPr>
              <w:t>4</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应主动与</w:t>
            </w:r>
            <w:r>
              <w:rPr>
                <w:rFonts w:hint="eastAsia" w:ascii="仿宋" w:hAnsi="仿宋" w:eastAsia="仿宋" w:cs="仿宋"/>
                <w:color w:val="auto"/>
                <w:kern w:val="0"/>
                <w:sz w:val="24"/>
                <w:szCs w:val="22"/>
                <w:highlight w:val="none"/>
              </w:rPr>
              <w:t>采购人</w:t>
            </w:r>
            <w:r>
              <w:rPr>
                <w:rFonts w:hint="default" w:ascii="Times New Roman" w:hAnsi="Times New Roman" w:eastAsia="仿宋"/>
                <w:color w:val="auto"/>
                <w:sz w:val="24"/>
                <w:highlight w:val="none"/>
              </w:rPr>
              <w:t>建立联勤联动机制，遇有重大灾害事故处置，要快速响应，选派素质好、业务精的人员遂行技术保障，提供技术支持、现场抢修等应急技术服务。（注：</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参与</w:t>
            </w:r>
            <w:r>
              <w:rPr>
                <w:rFonts w:hint="eastAsia" w:ascii="仿宋" w:hAnsi="仿宋" w:eastAsia="仿宋" w:cs="仿宋"/>
                <w:color w:val="auto"/>
                <w:kern w:val="0"/>
                <w:sz w:val="24"/>
                <w:szCs w:val="22"/>
                <w:highlight w:val="none"/>
              </w:rPr>
              <w:t>采购人</w:t>
            </w:r>
            <w:r>
              <w:rPr>
                <w:rFonts w:hint="default" w:ascii="Times New Roman" w:hAnsi="Times New Roman" w:eastAsia="仿宋"/>
                <w:color w:val="auto"/>
                <w:sz w:val="24"/>
                <w:highlight w:val="none"/>
              </w:rPr>
              <w:t>联勤联动行动所产生的所有费用支出（含差旅费、设备耗材费、人工费等）均由</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自理，且</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须确保参与人员具备相应资质和能力。</w:t>
            </w:r>
          </w:p>
          <w:p w14:paraId="23A3FB72">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7.</w:t>
            </w:r>
            <w:r>
              <w:rPr>
                <w:rFonts w:hint="eastAsia" w:ascii="仿宋" w:hAnsi="仿宋" w:eastAsia="仿宋" w:cs="仿宋"/>
                <w:color w:val="auto"/>
                <w:kern w:val="0"/>
                <w:sz w:val="24"/>
                <w:szCs w:val="22"/>
                <w:highlight w:val="none"/>
                <w:lang w:val="en-US" w:eastAsia="zh-CN"/>
              </w:rPr>
              <w:t>5</w:t>
            </w:r>
            <w:r>
              <w:rPr>
                <w:rFonts w:hint="default" w:ascii="Times New Roman" w:hAnsi="Times New Roman" w:eastAsia="仿宋"/>
                <w:color w:val="auto"/>
                <w:sz w:val="24"/>
                <w:highlight w:val="none"/>
              </w:rPr>
              <w:t>交货时，</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应提供原厂的服务技术规范，</w:t>
            </w:r>
            <w:r>
              <w:rPr>
                <w:rFonts w:hint="eastAsia" w:ascii="仿宋" w:hAnsi="仿宋" w:eastAsia="仿宋" w:cs="仿宋"/>
                <w:color w:val="auto"/>
                <w:kern w:val="0"/>
                <w:sz w:val="24"/>
                <w:szCs w:val="22"/>
                <w:highlight w:val="none"/>
              </w:rPr>
              <w:t>采购人</w:t>
            </w:r>
            <w:r>
              <w:rPr>
                <w:rFonts w:hint="default" w:ascii="Times New Roman" w:hAnsi="Times New Roman" w:eastAsia="仿宋"/>
                <w:color w:val="auto"/>
                <w:sz w:val="24"/>
                <w:highlight w:val="none"/>
              </w:rPr>
              <w:t>可获得有关维修等级、所需时间、工时计算项目、配件价格的信息。</w:t>
            </w:r>
          </w:p>
        </w:tc>
      </w:tr>
      <w:tr w14:paraId="4952C6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41C9B2D8">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p>
        </w:tc>
        <w:tc>
          <w:tcPr>
            <w:tcW w:w="777" w:type="pct"/>
            <w:tcBorders>
              <w:tl2br w:val="nil"/>
              <w:tr2bl w:val="nil"/>
            </w:tcBorders>
            <w:noWrap w:val="0"/>
            <w:vAlign w:val="center"/>
          </w:tcPr>
          <w:p w14:paraId="5AB97724">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质保期及售后服务</w:t>
            </w:r>
          </w:p>
        </w:tc>
        <w:tc>
          <w:tcPr>
            <w:tcW w:w="3882" w:type="pct"/>
            <w:tcBorders>
              <w:tl2br w:val="nil"/>
              <w:tr2bl w:val="nil"/>
            </w:tcBorders>
            <w:noWrap w:val="0"/>
            <w:vAlign w:val="top"/>
          </w:tcPr>
          <w:p w14:paraId="4BFF5088">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（一）售后服务</w:t>
            </w:r>
          </w:p>
          <w:p w14:paraId="12BD7C95">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8.1</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承诺在质保期内对所提供产品实施运行监督、维修，但该服务并不能免除</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在质保期内应承担的义务；在质保期与保修期内，</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对所有产品提供免费上门首保服务,主动协助</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做好产品的保养。提供7×24小时服务电话，</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发出产品维修、质量、故障、事故等问题通知时，</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应在</w:t>
            </w:r>
            <w:r>
              <w:rPr>
                <w:rFonts w:hint="eastAsia" w:ascii="Times New Roman" w:hAnsi="Times New Roman" w:eastAsia="仿宋" w:cs="Times New Roman"/>
                <w:color w:val="auto"/>
                <w:sz w:val="24"/>
                <w:highlight w:val="none"/>
                <w:lang w:eastAsia="zh-CN"/>
              </w:rPr>
              <w:t>1</w:t>
            </w:r>
            <w:r>
              <w:rPr>
                <w:rFonts w:hint="eastAsia" w:ascii="Times New Roman" w:hAnsi="Times New Roman" w:eastAsia="仿宋" w:cs="Times New Roman"/>
                <w:color w:val="auto"/>
                <w:sz w:val="24"/>
                <w:highlight w:val="none"/>
                <w:lang w:val="en-US" w:eastAsia="zh-CN"/>
              </w:rPr>
              <w:t>0</w:t>
            </w:r>
            <w:r>
              <w:rPr>
                <w:rFonts w:hint="default" w:ascii="Times New Roman" w:hAnsi="Times New Roman" w:eastAsia="仿宋"/>
                <w:color w:val="auto"/>
                <w:sz w:val="24"/>
                <w:highlight w:val="none"/>
              </w:rPr>
              <w:t>分钟内进行问题登记并做出回应，</w:t>
            </w:r>
            <w:r>
              <w:rPr>
                <w:rFonts w:hint="eastAsia" w:ascii="Times New Roman" w:hAnsi="Times New Roman" w:eastAsia="仿宋" w:cs="Times New Roman"/>
                <w:color w:val="auto"/>
                <w:sz w:val="24"/>
                <w:highlight w:val="none"/>
                <w:lang w:eastAsia="zh-CN"/>
              </w:rPr>
              <w:t>6</w:t>
            </w:r>
            <w:r>
              <w:rPr>
                <w:rFonts w:hint="eastAsia" w:ascii="Times New Roman" w:hAnsi="Times New Roman" w:eastAsia="仿宋" w:cs="Times New Roman"/>
                <w:color w:val="auto"/>
                <w:sz w:val="24"/>
                <w:highlight w:val="none"/>
                <w:lang w:val="en-US" w:eastAsia="zh-CN"/>
              </w:rPr>
              <w:t>0</w:t>
            </w:r>
            <w:r>
              <w:rPr>
                <w:rFonts w:hint="default" w:ascii="Times New Roman" w:hAnsi="Times New Roman" w:eastAsia="仿宋"/>
                <w:color w:val="auto"/>
                <w:sz w:val="24"/>
                <w:highlight w:val="none"/>
              </w:rPr>
              <w:t>分钟内提出解决方案，维修人员在</w:t>
            </w:r>
            <w:r>
              <w:rPr>
                <w:rFonts w:hint="eastAsia" w:ascii="Times New Roman" w:hAnsi="Times New Roman" w:eastAsia="仿宋" w:cs="Times New Roman"/>
                <w:color w:val="auto"/>
                <w:sz w:val="24"/>
                <w:highlight w:val="none"/>
                <w:lang w:eastAsia="zh-CN"/>
              </w:rPr>
              <w:t>8</w:t>
            </w:r>
            <w:r>
              <w:rPr>
                <w:rFonts w:hint="default" w:ascii="Times New Roman" w:hAnsi="Times New Roman" w:eastAsia="仿宋"/>
                <w:color w:val="auto"/>
                <w:sz w:val="24"/>
                <w:highlight w:val="none"/>
              </w:rPr>
              <w:t>小时内到达问题现场并解决问题，如现场无法解决，则双方商议合理解决办法。除此外，</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还应主动与生产厂联系对接问题情况以及解决索赔等问题。如</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未在约定的时间内作出回应或解决问题，</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有权委托第三方处理，因此产生的所有费用（含第三方费用、差旅费等）以及给</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造成的直接和间接损失均由</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承担，维修后的产品质保期自维修完成之日起重新计算，</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有权直接从履约保证金或未付货款中扣除上述费用。</w:t>
            </w:r>
          </w:p>
          <w:p w14:paraId="66262686">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8.2鉴于消防产品的特殊性，产品在使用过程中如零部件发生丢失和损坏，</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须负责采购人按优惠价格配到原厂生产的优质零部件。</w:t>
            </w:r>
          </w:p>
          <w:p w14:paraId="6C85CEA8">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8.3</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在质保期内收到</w:t>
            </w:r>
            <w:r>
              <w:rPr>
                <w:rFonts w:hint="eastAsia" w:ascii="仿宋" w:hAnsi="仿宋" w:eastAsia="仿宋" w:cs="仿宋"/>
                <w:color w:val="auto"/>
                <w:sz w:val="24"/>
                <w:szCs w:val="22"/>
                <w:highlight w:val="none"/>
              </w:rPr>
              <w:t>采购人</w:t>
            </w:r>
            <w:r>
              <w:rPr>
                <w:rFonts w:hint="default" w:ascii="Times New Roman" w:hAnsi="Times New Roman" w:eastAsia="仿宋"/>
                <w:color w:val="auto"/>
                <w:sz w:val="24"/>
                <w:highlight w:val="none"/>
              </w:rPr>
              <w:t>维修通知后，应按约定要求负责对产品进行免费维修、更换有缺陷的零部件，如维修后，缺陷产品仍然不能恢复正常使用状态，</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应当无偿更换产品。</w:t>
            </w:r>
          </w:p>
          <w:p w14:paraId="68DFE69F">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4</w:t>
            </w:r>
            <w:r>
              <w:rPr>
                <w:rFonts w:hint="default" w:ascii="Times New Roman" w:hAnsi="Times New Roman" w:eastAsia="仿宋"/>
                <w:color w:val="auto"/>
                <w:sz w:val="24"/>
                <w:highlight w:val="none"/>
              </w:rPr>
              <w:t>产品必须配有中文说明书并提供电子版文档。说明书应包括产品周期性检查及维护保养的详细说明，并提供产品操作使用和检查维护的音视频资料。同时提供全寿命周期易损件、消耗品、工具等型号规格清单。相关资料要归档编制目录，并做好档案保管和移交等工作。</w:t>
            </w:r>
          </w:p>
          <w:p w14:paraId="14ED5F99">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（二）质量保证和保修</w:t>
            </w:r>
          </w:p>
          <w:p w14:paraId="7982F3C2">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提供的产品原则上须提供整体</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3年质保期。</w:t>
            </w:r>
            <w:r>
              <w:rPr>
                <w:rFonts w:hint="eastAsia" w:ascii="仿宋" w:hAnsi="仿宋" w:eastAsia="仿宋" w:cs="仿宋"/>
                <w:color w:val="auto"/>
                <w:kern w:val="0"/>
                <w:sz w:val="24"/>
                <w:szCs w:val="24"/>
                <w:highlight w:val="none"/>
              </w:rPr>
              <w:t>质保期内，中标人负责对其提供的全部货物进行上门维修和维护，不再收取任何费用。</w:t>
            </w:r>
            <w:r>
              <w:rPr>
                <w:rFonts w:hint="eastAsia" w:ascii="仿宋" w:hAnsi="仿宋" w:eastAsia="仿宋" w:cs="仿宋"/>
                <w:color w:val="auto"/>
                <w:sz w:val="24"/>
                <w:szCs w:val="22"/>
                <w:highlight w:val="none"/>
              </w:rPr>
              <w:t>产品按保养手册执行。</w:t>
            </w:r>
            <w:r>
              <w:rPr>
                <w:rFonts w:hint="eastAsia" w:ascii="仿宋" w:hAnsi="仿宋" w:eastAsia="仿宋" w:cs="仿宋"/>
                <w:color w:val="auto"/>
                <w:sz w:val="24"/>
                <w:szCs w:val="22"/>
                <w:highlight w:val="none"/>
                <w:lang w:val="en-US" w:eastAsia="zh-CN"/>
              </w:rPr>
              <w:t>产品应</w:t>
            </w:r>
            <w:r>
              <w:rPr>
                <w:rFonts w:hint="eastAsia" w:ascii="仿宋" w:hAnsi="仿宋" w:eastAsia="仿宋" w:cs="仿宋"/>
                <w:color w:val="auto"/>
                <w:sz w:val="24"/>
                <w:szCs w:val="22"/>
                <w:highlight w:val="none"/>
              </w:rPr>
              <w:t>完全符合合同规定的质量、规格和性能的要求。保证所提供的货物经正确安装、正常运转和保养，在其使用寿命期内应具有使采购人满意的性能，并且确保一次性通过各项检验和测试。</w:t>
            </w:r>
          </w:p>
          <w:p w14:paraId="37927A37">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6</w:t>
            </w:r>
            <w:r>
              <w:rPr>
                <w:rFonts w:hint="default" w:ascii="Times New Roman" w:hAnsi="Times New Roman" w:eastAsia="仿宋"/>
                <w:color w:val="auto"/>
                <w:sz w:val="24"/>
                <w:highlight w:val="none"/>
              </w:rPr>
              <w:t>产品最终验收后，在质保期内，</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对由于设计、工艺或材料的缺陷而发生的任何不足或故障负责，因此产生的全部费用由</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负担。在质保期内，如果产品的数量、质量、规格性能与合同不符，或产品是有缺陷的，包括潜在的缺陷或使用不符合要求的材料等，</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应尽快以书面形式通知</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，且前期的验收合格依据不作为对该条款所述潜在问题的合格确认。对于小型缺陷，</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在收到通知后，在7日内，用与投标时采用的零件、部件或材料来更换有缺陷的或不符合要求的零件、部件或材料，同时相应延长质保期；对于重大缺陷，</w:t>
            </w:r>
            <w:r>
              <w:rPr>
                <w:rFonts w:hint="eastAsia" w:ascii="仿宋" w:hAnsi="仿宋" w:eastAsia="仿宋" w:cs="仿宋"/>
                <w:color w:val="auto"/>
                <w:kern w:val="0"/>
                <w:sz w:val="24"/>
                <w:szCs w:val="22"/>
                <w:highlight w:val="none"/>
              </w:rPr>
              <w:t>中标人</w:t>
            </w:r>
            <w:r>
              <w:rPr>
                <w:rFonts w:hint="default" w:ascii="Times New Roman" w:hAnsi="Times New Roman" w:eastAsia="仿宋"/>
                <w:color w:val="auto"/>
                <w:sz w:val="24"/>
                <w:highlight w:val="none"/>
              </w:rPr>
              <w:t>在收到通知后，应在7日内，更换合格的产品（同时相应延长质保期）或做退货处理，并承担给</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造成的损失。缺陷类型以</w:t>
            </w:r>
            <w:r>
              <w:rPr>
                <w:rFonts w:hint="eastAsia" w:ascii="Times New Roman" w:hAnsi="Times New Roman" w:eastAsia="仿宋"/>
                <w:color w:val="auto"/>
                <w:sz w:val="24"/>
                <w:highlight w:val="none"/>
                <w:lang w:val="en-US" w:eastAsia="zh-CN"/>
              </w:rPr>
              <w:t>采购人</w:t>
            </w:r>
            <w:r>
              <w:rPr>
                <w:rFonts w:hint="default" w:ascii="Times New Roman" w:hAnsi="Times New Roman" w:eastAsia="仿宋"/>
                <w:color w:val="auto"/>
                <w:sz w:val="24"/>
                <w:highlight w:val="none"/>
              </w:rPr>
              <w:t>认定为准。</w:t>
            </w:r>
          </w:p>
          <w:p w14:paraId="4A1E31D1">
            <w:pPr>
              <w:keepNext w:val="0"/>
              <w:keepLines w:val="0"/>
              <w:widowControl/>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7</w:t>
            </w:r>
            <w:r>
              <w:rPr>
                <w:rFonts w:hint="eastAsia" w:ascii="仿宋" w:hAnsi="仿宋" w:eastAsia="仿宋" w:cs="仿宋"/>
                <w:color w:val="auto"/>
                <w:sz w:val="24"/>
                <w:szCs w:val="22"/>
                <w:highlight w:val="none"/>
              </w:rPr>
              <w:t>质保期限以外</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为所投产品提供</w:t>
            </w:r>
            <w:r>
              <w:rPr>
                <w:rFonts w:hint="eastAsia" w:ascii="仿宋" w:hAnsi="仿宋" w:eastAsia="仿宋" w:cs="仿宋"/>
                <w:color w:val="auto"/>
                <w:sz w:val="24"/>
                <w:szCs w:val="22"/>
                <w:highlight w:val="none"/>
                <w:lang w:eastAsia="zh-CN"/>
              </w:rPr>
              <w:t>≥</w:t>
            </w:r>
            <w:r>
              <w:rPr>
                <w:rFonts w:hint="eastAsia" w:ascii="仿宋" w:hAnsi="仿宋" w:eastAsia="仿宋" w:cs="仿宋"/>
                <w:color w:val="auto"/>
                <w:sz w:val="24"/>
                <w:szCs w:val="22"/>
                <w:highlight w:val="none"/>
              </w:rPr>
              <w:t>3年的保修期，</w:t>
            </w:r>
            <w:r>
              <w:rPr>
                <w:rFonts w:hint="eastAsia" w:ascii="仿宋" w:hAnsi="仿宋" w:eastAsia="仿宋" w:cs="仿宋"/>
                <w:color w:val="auto"/>
                <w:sz w:val="24"/>
                <w:szCs w:val="24"/>
                <w:highlight w:val="none"/>
              </w:rPr>
              <w:t>保修期内</w:t>
            </w:r>
            <w:r>
              <w:rPr>
                <w:rFonts w:hint="eastAsia" w:ascii="仿宋" w:hAnsi="仿宋" w:eastAsia="仿宋" w:cs="仿宋"/>
                <w:color w:val="auto"/>
                <w:sz w:val="24"/>
                <w:szCs w:val="24"/>
                <w:highlight w:val="none"/>
                <w:lang w:val="en-US" w:eastAsia="zh-CN"/>
              </w:rPr>
              <w:t>不收取</w:t>
            </w:r>
            <w:r>
              <w:rPr>
                <w:rFonts w:hint="eastAsia" w:ascii="仿宋" w:hAnsi="仿宋" w:eastAsia="仿宋" w:cs="仿宋"/>
                <w:color w:val="auto"/>
                <w:sz w:val="24"/>
                <w:szCs w:val="24"/>
                <w:highlight w:val="none"/>
              </w:rPr>
              <w:t>保修</w:t>
            </w:r>
            <w:r>
              <w:rPr>
                <w:rFonts w:hint="eastAsia" w:ascii="仿宋" w:hAnsi="仿宋" w:eastAsia="仿宋" w:cs="仿宋"/>
                <w:color w:val="auto"/>
                <w:sz w:val="24"/>
                <w:szCs w:val="24"/>
                <w:highlight w:val="none"/>
                <w:lang w:val="en-US" w:eastAsia="zh-CN"/>
              </w:rPr>
              <w:t>服务费</w:t>
            </w:r>
            <w:r>
              <w:rPr>
                <w:rFonts w:hint="eastAsia" w:ascii="仿宋" w:hAnsi="仿宋" w:eastAsia="仿宋" w:cs="仿宋"/>
                <w:color w:val="auto"/>
                <w:sz w:val="24"/>
                <w:szCs w:val="24"/>
                <w:highlight w:val="none"/>
              </w:rPr>
              <w:t>，中标人只收取材料成本费，不再额外收取服务费及相关费用。中标人</w:t>
            </w:r>
            <w:r>
              <w:rPr>
                <w:rFonts w:hint="eastAsia" w:ascii="仿宋" w:hAnsi="仿宋" w:eastAsia="仿宋" w:cs="仿宋"/>
                <w:color w:val="auto"/>
                <w:sz w:val="24"/>
                <w:szCs w:val="22"/>
                <w:highlight w:val="none"/>
              </w:rPr>
              <w:t>提供全寿命周期的主要耗损件、易损件及更换总成的目录和年度价格清单，保证供应且价格合理。在超出保修服务期限后的每次售后服务，</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可以按照一定标准收取相应的更换零部件费用和升级费用。售后服务结束两个星期后，采购人确认签字，完成本次售后服务。超出保修期产品作出的收费维修部分的保修期</w:t>
            </w:r>
            <w:r>
              <w:rPr>
                <w:rFonts w:hint="eastAsia" w:ascii="仿宋" w:hAnsi="仿宋" w:eastAsia="仿宋" w:cs="仿宋"/>
                <w:color w:val="auto"/>
                <w:sz w:val="24"/>
                <w:szCs w:val="22"/>
                <w:highlight w:val="none"/>
                <w:lang w:val="en-US" w:eastAsia="zh-CN"/>
              </w:rPr>
              <w:t>为</w:t>
            </w:r>
            <w:r>
              <w:rPr>
                <w:rFonts w:hint="eastAsia" w:ascii="仿宋" w:hAnsi="仿宋" w:eastAsia="仿宋" w:cs="仿宋"/>
                <w:color w:val="auto"/>
                <w:sz w:val="24"/>
                <w:szCs w:val="22"/>
                <w:highlight w:val="none"/>
              </w:rPr>
              <w:t>12个月。</w:t>
            </w:r>
          </w:p>
          <w:p w14:paraId="6ED44B7D">
            <w:pPr>
              <w:keepNext w:val="0"/>
              <w:keepLines w:val="0"/>
              <w:suppressLineNumbers w:val="0"/>
              <w:spacing w:before="0" w:beforeAutospacing="0" w:after="0" w:afterAutospacing="0" w:line="460" w:lineRule="exact"/>
              <w:ind w:left="0" w:right="0"/>
              <w:jc w:val="left"/>
              <w:rPr>
                <w:rFonts w:hint="eastAsia" w:ascii="仿宋" w:hAnsi="仿宋" w:eastAsia="仿宋" w:cs="仿宋"/>
                <w:b/>
                <w:color w:val="auto"/>
                <w:sz w:val="24"/>
                <w:szCs w:val="22"/>
                <w:highlight w:val="none"/>
              </w:rPr>
            </w:pPr>
            <w:r>
              <w:rPr>
                <w:rFonts w:hint="eastAsia" w:ascii="仿宋" w:hAnsi="仿宋" w:eastAsia="仿宋" w:cs="仿宋"/>
                <w:color w:val="auto"/>
                <w:kern w:val="0"/>
                <w:sz w:val="24"/>
                <w:szCs w:val="22"/>
                <w:highlight w:val="none"/>
              </w:rPr>
              <w:t>（三）</w:t>
            </w:r>
            <w:r>
              <w:rPr>
                <w:rFonts w:hint="eastAsia" w:ascii="仿宋" w:hAnsi="仿宋" w:eastAsia="仿宋" w:cs="仿宋"/>
                <w:b/>
                <w:color w:val="auto"/>
                <w:sz w:val="24"/>
                <w:szCs w:val="22"/>
                <w:highlight w:val="none"/>
              </w:rPr>
              <w:t>服务响应</w:t>
            </w:r>
          </w:p>
          <w:p w14:paraId="6379A8D5">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8</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应提供7*24小时电话服务，支持工程师提供专业技术服务。</w:t>
            </w:r>
          </w:p>
          <w:p w14:paraId="3F1E420F">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9</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应认真、完整、真实的填写保养、保修、维修记录，并经采购人签字确认。采购人有权查阅保养、保修、维修记录。</w:t>
            </w:r>
          </w:p>
          <w:p w14:paraId="6FCFD926">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8.</w:t>
            </w:r>
            <w:r>
              <w:rPr>
                <w:rFonts w:hint="eastAsia" w:ascii="仿宋" w:hAnsi="仿宋" w:eastAsia="仿宋" w:cs="仿宋"/>
                <w:color w:val="auto"/>
                <w:sz w:val="24"/>
                <w:szCs w:val="22"/>
                <w:highlight w:val="none"/>
                <w:lang w:val="en-US" w:eastAsia="zh-CN"/>
              </w:rPr>
              <w:t>10</w:t>
            </w:r>
            <w:r>
              <w:rPr>
                <w:rFonts w:hint="eastAsia" w:ascii="仿宋" w:hAnsi="仿宋" w:eastAsia="仿宋" w:cs="仿宋"/>
                <w:color w:val="auto"/>
                <w:kern w:val="0"/>
                <w:sz w:val="24"/>
                <w:szCs w:val="22"/>
                <w:highlight w:val="none"/>
              </w:rPr>
              <w:t>中标人</w:t>
            </w:r>
            <w:r>
              <w:rPr>
                <w:rFonts w:hint="eastAsia" w:ascii="仿宋" w:hAnsi="仿宋" w:eastAsia="仿宋" w:cs="仿宋"/>
                <w:color w:val="auto"/>
                <w:sz w:val="24"/>
                <w:szCs w:val="22"/>
                <w:highlight w:val="none"/>
              </w:rPr>
              <w:t>负责</w:t>
            </w:r>
            <w:r>
              <w:rPr>
                <w:rFonts w:hint="eastAsia" w:ascii="仿宋" w:hAnsi="仿宋" w:eastAsia="仿宋" w:cs="仿宋"/>
                <w:color w:val="auto"/>
                <w:sz w:val="24"/>
                <w:szCs w:val="22"/>
                <w:highlight w:val="none"/>
                <w:lang w:val="en-US" w:eastAsia="zh-CN"/>
              </w:rPr>
              <w:t>在</w:t>
            </w:r>
            <w:r>
              <w:rPr>
                <w:rFonts w:hint="eastAsia" w:ascii="仿宋" w:hAnsi="仿宋" w:eastAsia="仿宋" w:cs="仿宋"/>
                <w:color w:val="auto"/>
                <w:sz w:val="24"/>
                <w:szCs w:val="22"/>
                <w:highlight w:val="none"/>
              </w:rPr>
              <w:t>整个产品使用寿命期间的技术咨询。</w:t>
            </w:r>
          </w:p>
        </w:tc>
      </w:tr>
      <w:tr w14:paraId="4DBAAA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blCellSpacing w:w="0" w:type="dxa"/>
          <w:jc w:val="center"/>
        </w:trPr>
        <w:tc>
          <w:tcPr>
            <w:tcW w:w="339" w:type="pct"/>
            <w:tcBorders>
              <w:tl2br w:val="nil"/>
              <w:tr2bl w:val="nil"/>
            </w:tcBorders>
            <w:noWrap w:val="0"/>
            <w:vAlign w:val="center"/>
          </w:tcPr>
          <w:p w14:paraId="41FCB18E">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9</w:t>
            </w:r>
          </w:p>
        </w:tc>
        <w:tc>
          <w:tcPr>
            <w:tcW w:w="777" w:type="pct"/>
            <w:tcBorders>
              <w:tl2br w:val="nil"/>
              <w:tr2bl w:val="nil"/>
            </w:tcBorders>
            <w:noWrap w:val="0"/>
            <w:vAlign w:val="center"/>
          </w:tcPr>
          <w:p w14:paraId="3DE311BB">
            <w:pPr>
              <w:keepNext w:val="0"/>
              <w:keepLines w:val="0"/>
              <w:suppressLineNumbers w:val="0"/>
              <w:spacing w:before="0" w:beforeAutospacing="0" w:after="0" w:afterAutospacing="0" w:line="460" w:lineRule="exact"/>
              <w:ind w:left="0" w:right="0"/>
              <w:jc w:val="center"/>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其他要求</w:t>
            </w:r>
          </w:p>
        </w:tc>
        <w:tc>
          <w:tcPr>
            <w:tcW w:w="3882" w:type="pct"/>
            <w:tcBorders>
              <w:tl2br w:val="nil"/>
              <w:tr2bl w:val="nil"/>
            </w:tcBorders>
            <w:noWrap w:val="0"/>
            <w:vAlign w:val="center"/>
          </w:tcPr>
          <w:p w14:paraId="568F3709">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9.1中标人在交货前须在</w:t>
            </w:r>
            <w:r>
              <w:rPr>
                <w:rFonts w:hint="eastAsia" w:ascii="仿宋" w:hAnsi="仿宋" w:eastAsia="仿宋" w:cs="仿宋"/>
                <w:color w:val="auto"/>
                <w:kern w:val="0"/>
                <w:sz w:val="24"/>
                <w:szCs w:val="22"/>
                <w:highlight w:val="none"/>
                <w:lang w:eastAsia="zh-CN"/>
              </w:rPr>
              <w:t>国家消防救援局</w:t>
            </w:r>
            <w:r>
              <w:rPr>
                <w:rFonts w:hint="eastAsia" w:ascii="仿宋" w:hAnsi="仿宋" w:eastAsia="仿宋" w:cs="仿宋"/>
                <w:color w:val="auto"/>
                <w:kern w:val="0"/>
                <w:sz w:val="24"/>
                <w:szCs w:val="22"/>
                <w:highlight w:val="none"/>
              </w:rPr>
              <w:t>装备物资信息采集系统(http://xfzb.119.gov.cn/html/index.html)录入装备基础信息，申请装备唯一编码，并按照</w:t>
            </w:r>
            <w:r>
              <w:rPr>
                <w:rFonts w:hint="eastAsia" w:ascii="仿宋" w:hAnsi="仿宋" w:eastAsia="仿宋" w:cs="仿宋"/>
                <w:color w:val="auto"/>
                <w:kern w:val="0"/>
                <w:sz w:val="24"/>
                <w:szCs w:val="22"/>
                <w:highlight w:val="none"/>
                <w:lang w:eastAsia="zh-CN"/>
              </w:rPr>
              <w:t>国家</w:t>
            </w:r>
            <w:r>
              <w:rPr>
                <w:rFonts w:hint="eastAsia" w:ascii="仿宋" w:hAnsi="仿宋" w:eastAsia="仿宋" w:cs="仿宋"/>
                <w:color w:val="auto"/>
                <w:kern w:val="0"/>
                <w:sz w:val="24"/>
                <w:szCs w:val="22"/>
                <w:highlight w:val="none"/>
              </w:rPr>
              <w:t>消防救援局装备物资管理的相关标准要求，赋上二维码及RFID标签，由此所产生的费用包含在投标报价内。操作流程详见附件。</w:t>
            </w:r>
          </w:p>
          <w:p w14:paraId="02E43749">
            <w:pPr>
              <w:keepNext w:val="0"/>
              <w:keepLines w:val="0"/>
              <w:suppressLineNumbers w:val="0"/>
              <w:spacing w:before="0" w:beforeAutospacing="0" w:after="0" w:afterAutospacing="0" w:line="460" w:lineRule="exact"/>
              <w:ind w:left="0" w:right="0"/>
              <w:jc w:val="left"/>
              <w:rPr>
                <w:rFonts w:hint="eastAsia" w:ascii="仿宋" w:hAnsi="仿宋" w:eastAsia="仿宋" w:cs="仿宋"/>
                <w:color w:val="auto"/>
                <w:kern w:val="0"/>
                <w:sz w:val="24"/>
                <w:szCs w:val="22"/>
                <w:highlight w:val="none"/>
              </w:rPr>
            </w:pPr>
            <w:r>
              <w:rPr>
                <w:rFonts w:hint="eastAsia" w:ascii="仿宋" w:hAnsi="仿宋" w:eastAsia="仿宋" w:cs="仿宋"/>
                <w:color w:val="auto"/>
                <w:kern w:val="0"/>
                <w:sz w:val="24"/>
                <w:szCs w:val="22"/>
                <w:highlight w:val="none"/>
              </w:rPr>
              <w:t>9.2中标人应保证采购人不受第三方提出侵犯其专利权、商标权和设计权的起诉。如果任何第三方提出侵权指控或赔偿要求，中标人必须与第三方交涉，并承担发生和可能发生的一切损失、费用和法律责任。</w:t>
            </w:r>
          </w:p>
          <w:p w14:paraId="68BCCCDD">
            <w:pPr>
              <w:keepNext w:val="0"/>
              <w:keepLines w:val="0"/>
              <w:suppressLineNumbers w:val="0"/>
              <w:spacing w:before="0" w:beforeAutospacing="0" w:after="0" w:afterAutospacing="0" w:line="460" w:lineRule="exact"/>
              <w:ind w:left="0" w:right="0"/>
              <w:jc w:val="left"/>
              <w:rPr>
                <w:rFonts w:hint="eastAsia" w:ascii="仿宋" w:hAnsi="仿宋" w:eastAsia="仿宋" w:cs="仿宋"/>
                <w:b/>
                <w:bCs/>
                <w:color w:val="auto"/>
                <w:sz w:val="24"/>
                <w:szCs w:val="22"/>
                <w:highlight w:val="none"/>
              </w:rPr>
            </w:pPr>
            <w:r>
              <w:rPr>
                <w:rFonts w:hint="eastAsia" w:ascii="仿宋" w:hAnsi="仿宋" w:eastAsia="仿宋" w:cs="仿宋"/>
                <w:color w:val="auto"/>
                <w:kern w:val="0"/>
                <w:sz w:val="24"/>
                <w:szCs w:val="22"/>
                <w:highlight w:val="none"/>
                <w:lang w:val="en-US" w:eastAsia="zh-CN"/>
              </w:rPr>
              <w:t>9.3同意“</w:t>
            </w:r>
            <w:r>
              <w:rPr>
                <w:rFonts w:hint="eastAsia" w:ascii="仿宋" w:hAnsi="仿宋" w:eastAsia="仿宋" w:cs="仿宋"/>
                <w:color w:val="auto"/>
                <w:kern w:val="0"/>
                <w:sz w:val="24"/>
                <w:szCs w:val="22"/>
                <w:highlight w:val="none"/>
                <w:lang w:eastAsia="zh-CN"/>
              </w:rPr>
              <w:t>采购人</w:t>
            </w:r>
            <w:r>
              <w:rPr>
                <w:rFonts w:hint="eastAsia" w:ascii="仿宋" w:hAnsi="仿宋" w:eastAsia="仿宋" w:cs="仿宋"/>
                <w:color w:val="auto"/>
                <w:kern w:val="0"/>
                <w:sz w:val="24"/>
                <w:szCs w:val="22"/>
                <w:highlight w:val="none"/>
              </w:rPr>
              <w:t>根据验收需要对</w:t>
            </w:r>
            <w:r>
              <w:rPr>
                <w:rFonts w:hint="eastAsia" w:ascii="仿宋" w:hAnsi="仿宋" w:eastAsia="仿宋" w:cs="仿宋"/>
                <w:color w:val="auto"/>
                <w:kern w:val="0"/>
                <w:sz w:val="24"/>
                <w:szCs w:val="22"/>
                <w:highlight w:val="none"/>
                <w:lang w:eastAsia="zh-CN"/>
              </w:rPr>
              <w:t>中标人</w:t>
            </w:r>
            <w:r>
              <w:rPr>
                <w:rFonts w:hint="eastAsia" w:ascii="仿宋" w:hAnsi="仿宋" w:eastAsia="仿宋" w:cs="仿宋"/>
                <w:color w:val="auto"/>
                <w:kern w:val="0"/>
                <w:sz w:val="24"/>
                <w:szCs w:val="22"/>
                <w:highlight w:val="none"/>
              </w:rPr>
              <w:t>交付的货物抽样送</w:t>
            </w:r>
            <w:r>
              <w:rPr>
                <w:rFonts w:hint="eastAsia" w:ascii="仿宋" w:hAnsi="仿宋" w:eastAsia="仿宋" w:cs="仿宋"/>
                <w:color w:val="auto"/>
                <w:kern w:val="0"/>
                <w:sz w:val="24"/>
                <w:szCs w:val="22"/>
                <w:highlight w:val="none"/>
                <w:lang w:eastAsia="zh-CN"/>
              </w:rPr>
              <w:t>国家权威检测部门</w:t>
            </w:r>
            <w:r>
              <w:rPr>
                <w:rFonts w:hint="eastAsia" w:ascii="仿宋" w:hAnsi="仿宋" w:eastAsia="仿宋" w:cs="仿宋"/>
                <w:color w:val="auto"/>
                <w:kern w:val="0"/>
                <w:sz w:val="24"/>
                <w:szCs w:val="22"/>
                <w:highlight w:val="none"/>
              </w:rPr>
              <w:t>检测，</w:t>
            </w:r>
            <w:r>
              <w:rPr>
                <w:rFonts w:hint="eastAsia" w:ascii="仿宋" w:hAnsi="仿宋" w:eastAsia="仿宋" w:cs="仿宋"/>
                <w:color w:val="auto"/>
                <w:kern w:val="0"/>
                <w:sz w:val="24"/>
                <w:szCs w:val="22"/>
                <w:highlight w:val="none"/>
                <w:lang w:eastAsia="zh-CN"/>
              </w:rPr>
              <w:t>中标人承担</w:t>
            </w:r>
            <w:r>
              <w:rPr>
                <w:rFonts w:hint="eastAsia" w:ascii="仿宋" w:hAnsi="仿宋" w:eastAsia="仿宋" w:cs="仿宋"/>
                <w:color w:val="auto"/>
                <w:kern w:val="0"/>
                <w:sz w:val="24"/>
                <w:szCs w:val="22"/>
                <w:highlight w:val="none"/>
              </w:rPr>
              <w:t>检测所产生的费用</w:t>
            </w:r>
            <w:r>
              <w:rPr>
                <w:rFonts w:hint="eastAsia" w:ascii="仿宋" w:hAnsi="仿宋" w:eastAsia="仿宋" w:cs="仿宋"/>
                <w:color w:val="auto"/>
                <w:kern w:val="0"/>
                <w:sz w:val="24"/>
                <w:szCs w:val="22"/>
                <w:highlight w:val="none"/>
                <w:lang w:eastAsia="zh-CN"/>
              </w:rPr>
              <w:t>并补齐由于抽样检测所产生的损耗</w:t>
            </w:r>
            <w:r>
              <w:rPr>
                <w:rFonts w:hint="eastAsia" w:ascii="仿宋" w:hAnsi="仿宋" w:eastAsia="仿宋" w:cs="仿宋"/>
                <w:color w:val="auto"/>
                <w:kern w:val="0"/>
                <w:sz w:val="24"/>
                <w:szCs w:val="22"/>
                <w:highlight w:val="none"/>
              </w:rPr>
              <w:t>，检测报告作为是否通过验收的重要依据。若验收结果不合格，则检测过程中产生的损耗由</w:t>
            </w:r>
            <w:r>
              <w:rPr>
                <w:rFonts w:hint="eastAsia" w:ascii="仿宋" w:hAnsi="仿宋" w:eastAsia="仿宋" w:cs="仿宋"/>
                <w:color w:val="auto"/>
                <w:kern w:val="0"/>
                <w:sz w:val="24"/>
                <w:szCs w:val="22"/>
                <w:highlight w:val="none"/>
                <w:lang w:eastAsia="zh-CN"/>
              </w:rPr>
              <w:t>中标人</w:t>
            </w:r>
            <w:r>
              <w:rPr>
                <w:rFonts w:hint="eastAsia" w:ascii="仿宋" w:hAnsi="仿宋" w:eastAsia="仿宋" w:cs="仿宋"/>
                <w:color w:val="auto"/>
                <w:kern w:val="0"/>
                <w:sz w:val="24"/>
                <w:szCs w:val="22"/>
                <w:highlight w:val="none"/>
              </w:rPr>
              <w:t>自行承担。</w:t>
            </w:r>
            <w:r>
              <w:rPr>
                <w:rFonts w:hint="eastAsia" w:ascii="仿宋" w:hAnsi="仿宋" w:eastAsia="仿宋" w:cs="仿宋"/>
                <w:color w:val="auto"/>
                <w:kern w:val="0"/>
                <w:sz w:val="24"/>
                <w:szCs w:val="22"/>
                <w:highlight w:val="none"/>
                <w:lang w:val="en-US" w:eastAsia="zh-CN"/>
              </w:rPr>
              <w:t>”</w:t>
            </w:r>
          </w:p>
        </w:tc>
      </w:tr>
    </w:tbl>
    <w:p w14:paraId="634BA428">
      <w:pPr>
        <w:spacing w:line="460" w:lineRule="exact"/>
        <w:rPr>
          <w:rFonts w:eastAsia="仿宋"/>
          <w:b/>
          <w:bCs/>
          <w:color w:val="auto"/>
          <w:sz w:val="24"/>
          <w:szCs w:val="24"/>
          <w:highlight w:val="none"/>
        </w:rPr>
      </w:pPr>
    </w:p>
    <w:p w14:paraId="500AC575">
      <w:pPr>
        <w:keepNext w:val="0"/>
        <w:keepLines w:val="0"/>
        <w:pageBreakBefore w:val="0"/>
        <w:widowControl w:val="0"/>
        <w:kinsoku/>
        <w:wordWrap/>
        <w:overflowPunct/>
        <w:topLinePunct w:val="0"/>
        <w:autoSpaceDE/>
        <w:autoSpaceDN/>
        <w:bidi w:val="0"/>
        <w:spacing w:beforeAutospacing="0" w:afterAutospacing="0" w:line="460" w:lineRule="exact"/>
        <w:ind w:left="0"/>
        <w:textAlignment w:val="auto"/>
        <w:outlineLvl w:val="9"/>
        <w:rPr>
          <w:rFonts w:hint="eastAsia" w:ascii="仿宋" w:hAnsi="仿宋" w:eastAsia="仿宋" w:cs="仿宋"/>
          <w:color w:val="auto"/>
          <w:kern w:val="2"/>
          <w:sz w:val="24"/>
          <w:szCs w:val="24"/>
          <w:highlight w:val="none"/>
          <w:lang w:val="en-US" w:eastAsia="zh-CN" w:bidi="ar"/>
        </w:rPr>
      </w:pPr>
      <w:r>
        <w:rPr>
          <w:rFonts w:eastAsia="仿宋"/>
          <w:b/>
          <w:bCs/>
          <w:color w:val="auto"/>
          <w:spacing w:val="2"/>
          <w:kern w:val="0"/>
          <w:sz w:val="24"/>
          <w:szCs w:val="24"/>
          <w:highlight w:val="none"/>
        </w:rPr>
        <w:t>注：以上</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商务要求</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为实质性条款须完全响应，否则投标无效。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13011B"/>
    <w:rsid w:val="1C3F6CF1"/>
    <w:rsid w:val="1C66505F"/>
    <w:rsid w:val="21F4671D"/>
    <w:rsid w:val="2C284BF2"/>
    <w:rsid w:val="2F767F5E"/>
    <w:rsid w:val="316E6D28"/>
    <w:rsid w:val="335173C5"/>
    <w:rsid w:val="35496DC5"/>
    <w:rsid w:val="45953A9B"/>
    <w:rsid w:val="57380D25"/>
    <w:rsid w:val="68002EEA"/>
    <w:rsid w:val="71336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Body Text Indent"/>
    <w:basedOn w:val="1"/>
    <w:qFormat/>
    <w:uiPriority w:val="0"/>
    <w:pPr>
      <w:autoSpaceDE w:val="0"/>
      <w:autoSpaceDN w:val="0"/>
      <w:adjustRightInd w:val="0"/>
      <w:spacing w:line="360" w:lineRule="auto"/>
      <w:ind w:firstLine="480"/>
      <w:jc w:val="left"/>
    </w:pPr>
    <w:rPr>
      <w:rFonts w:ascii="宋体" w:hAnsi="宋体"/>
      <w:kern w:val="0"/>
      <w:sz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2026-03-16T07:53:00Z</dcterms:created>
  <dc:creator>lenovo</dc:creator>
  <cp:lastModifiedBy>gui</cp:lastModifiedBy>
  <cp:lastPrinted>2026-03-16T08:49:00Z</cp:lastPrinted>
  <dcterms:modified xsi:type="dcterms:W3CDTF">2026-04-28T08:40:07Z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1D21795B5D064441993F54362B5BAC6F_12</vt:lpwstr>
  </property>
</Properties>
</file>