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版本号：N511501202600028620260721001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产教融合实训基地一期（三批次）项目-厨房设备采购项目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N5115012026000286</w:t>
      </w:r>
    </w:p>
    <w:p>
      <w:pPr>
        <w:pStyle w:val="null3"/>
        <w:jc w:val="left"/>
        <w:outlineLvl w:val="2"/>
      </w:pPr>
      <w:r>
        <w:rPr>
          <w:rFonts w:ascii="仿宋_GB2312" w:hAnsi="仿宋_GB2312" w:cs="仿宋_GB2312" w:eastAsia="仿宋_GB2312"/>
          <w:sz w:val="28"/>
          <w:b/>
        </w:rPr>
        <w:t>宜宾医药健康职业学院</w:t>
      </w:r>
    </w:p>
    <w:p>
      <w:pPr>
        <w:pStyle w:val="null3"/>
        <w:jc w:val="center"/>
        <w:outlineLvl w:val="2"/>
      </w:pPr>
      <w:r>
        <w:rPr>
          <w:rFonts w:ascii="仿宋_GB2312" w:hAnsi="仿宋_GB2312" w:cs="仿宋_GB2312" w:eastAsia="仿宋_GB2312"/>
          <w:sz w:val="28"/>
          <w:b/>
        </w:rPr>
        <w:t>中锦军贤工程咨询集团有限公司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中锦军贤工程咨询集团有限公司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宜宾医药健康职业学院</w:t>
      </w:r>
      <w:r>
        <w:rPr>
          <w:rFonts w:ascii="仿宋_GB2312" w:hAnsi="仿宋_GB2312" w:cs="仿宋_GB2312" w:eastAsia="仿宋_GB2312"/>
        </w:rPr>
        <w:t xml:space="preserve"> 委托，拟对 </w:t>
      </w:r>
      <w:r>
        <w:rPr>
          <w:rFonts w:ascii="仿宋_GB2312" w:hAnsi="仿宋_GB2312" w:cs="仿宋_GB2312" w:eastAsia="仿宋_GB2312"/>
        </w:rPr>
        <w:t>产教融合实训基地一期（三批次）项目-厨房设备采购项目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N5115012026000286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产教融合实训基地一期（三批次）项目-厨房设备采购项目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本项目拟采购厨房设备1批，确保采购人食堂正常运行。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宜宾医药健康职业学院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四川省宜宾市南溪区仙源街道凤凰路149号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0831-3601872</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中锦军贤工程咨询集团有限公司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宜宾市翠屏临港腾卓双创孵化园7栋2楼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兰女士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0831-3895266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采购包1：3,363,308.81元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交款时间：成交通知书发放后，政府采购合同签订前。成交供应商未按照采购文件的规定交纳履约保证金，且又无正当理由的，将视为放弃中标。</w:t>
              <w:br/>
              <w:t>注：1.提供保函的担保机构必须是依法成立的具有相关资质和偿付能力的担保机构。</w:t>
              <w:br/>
              <w:t>2.履约保证金退还时间及方式：成交供应商完成合同约定的所有内容并经采购人验收合格后30日内，由采购人一次性无息退还至成交供应商。</w:t>
              <w:br/>
              <w:t>3.履约保证金不予退还情形：①成交供应商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4.履约保证金不予退还的，将按照有关规定上缴国库。逾期退还履约保证金的，将依法承担法律责任，并赔偿成交供应商损失。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招标代理费收费标准按《国家计委关于印发（招标代理服务费收费标准管理暂行办法）的通知》（计价格[2002]1980号)和《国家发展改革委办公厅关于招标代理服务收费有关问题的通知》（发改办价格[2003]857号)文件所附代理服务费标准计算后下浮 10_%进行收取(以采购预算为计费基数)，招标代理费用由招标代理机构向中标人/成交人收取； 2、采购预算在30 万及以上的项目代理，按以上方式计算的采购代理服务费不足5000 元的按5000 元计收；采购预算在30万以下的项目代理，不按第六条第一款第一项约定的计费方式计算，由甲乙双方根据实际情况协商确定代理服务费； 3、因废标等原因导致再次招标，论证违反合同或法律规定需要重复进行的，均按照一次计算价格。 4、支付方式：招标代理服务费由中标(成交）供应商支付，具体支付方式由乙方(招标代理机构)以适当方式告知中标(成交)供应商。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宜宾医药健康职业学院</w:t>
      </w:r>
      <w:r>
        <w:rPr>
          <w:rFonts w:ascii="仿宋_GB2312" w:hAnsi="仿宋_GB2312" w:cs="仿宋_GB2312" w:eastAsia="仿宋_GB2312"/>
        </w:rPr>
        <w:t xml:space="preserve"> 和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宜宾医药健康职业学院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中锦军贤工程咨询集团有限公司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按国家有关规定以及本项目招标文件的技术要求、中标人的投标文件及承诺与合同约定标准进行技术履约验收。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按照招标文件商务要求及成交供应商响应内容进行商务履约验收。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 205号)和招标文件要求、中标人投标文件及合同约定进行验收。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宜宾医药健康职业学院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中锦军贤工程咨询集团有限公司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联系电话：0831-3601872</w:t>
      </w:r>
    </w:p>
    <w:p>
      <w:pPr>
        <w:pStyle w:val="null3"/>
        <w:jc w:val="left"/>
      </w:pPr>
      <w:r>
        <w:rPr>
          <w:rFonts w:ascii="仿宋_GB2312" w:hAnsi="仿宋_GB2312" w:cs="仿宋_GB2312" w:eastAsia="仿宋_GB2312"/>
        </w:rPr>
        <w:t>地址：四川省宜宾市南溪区凤凰路149号</w:t>
      </w:r>
    </w:p>
    <w:p>
      <w:pPr>
        <w:pStyle w:val="null3"/>
        <w:jc w:val="left"/>
      </w:pPr>
      <w:r>
        <w:rPr>
          <w:rFonts w:ascii="仿宋_GB2312" w:hAnsi="仿宋_GB2312" w:cs="仿宋_GB2312" w:eastAsia="仿宋_GB2312"/>
        </w:rPr>
        <w:t>邮编：644100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联系人：兰女士</w:t>
      </w:r>
    </w:p>
    <w:p>
      <w:pPr>
        <w:pStyle w:val="null3"/>
        <w:jc w:val="left"/>
      </w:pPr>
      <w:r>
        <w:rPr>
          <w:rFonts w:ascii="仿宋_GB2312" w:hAnsi="仿宋_GB2312" w:cs="仿宋_GB2312" w:eastAsia="仿宋_GB2312"/>
        </w:rPr>
        <w:t>联系电话：0831-3895266</w:t>
      </w:r>
    </w:p>
    <w:p>
      <w:pPr>
        <w:pStyle w:val="null3"/>
        <w:jc w:val="left"/>
      </w:pPr>
      <w:r>
        <w:rPr>
          <w:rFonts w:ascii="仿宋_GB2312" w:hAnsi="仿宋_GB2312" w:cs="仿宋_GB2312" w:eastAsia="仿宋_GB2312"/>
        </w:rPr>
        <w:t>地址：宜宾市翠屏区临港腾卓双创孵化园7栋2楼</w:t>
      </w:r>
    </w:p>
    <w:p>
      <w:pPr>
        <w:pStyle w:val="null3"/>
        <w:jc w:val="left"/>
      </w:pPr>
      <w:r>
        <w:rPr>
          <w:rFonts w:ascii="仿宋_GB2312" w:hAnsi="仿宋_GB2312" w:cs="仿宋_GB2312" w:eastAsia="仿宋_GB2312"/>
        </w:rPr>
        <w:t>邮编：644001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3,363,308.81</w:t>
      </w:r>
    </w:p>
    <w:p>
      <w:pPr>
        <w:pStyle w:val="null3"/>
        <w:jc w:val="left"/>
      </w:pPr>
      <w:r>
        <w:rPr>
          <w:rFonts w:ascii="仿宋_GB2312" w:hAnsi="仿宋_GB2312" w:cs="仿宋_GB2312" w:eastAsia="仿宋_GB2312"/>
        </w:rPr>
        <w:t>采购包最高限价（元）: 3,363,308.81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A02241000 饮食炊事机械</w:t>
            </w:r>
          </w:p>
        </w:tc>
        <w:tc>
          <w:tcPr>
            <w:tcW w:type="dxa" w:w="821"/>
          </w:tcPr>
          <w:p>
            <w:pPr>
              <w:pStyle w:val="null3"/>
              <w:jc w:val="left"/>
            </w:pPr>
            <w:r>
              <w:rPr>
                <w:rFonts w:ascii="仿宋_GB2312" w:hAnsi="仿宋_GB2312" w:cs="仿宋_GB2312" w:eastAsia="仿宋_GB2312"/>
              </w:rPr>
              <w:t>A02241000-饮食炊事机械</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3,363,308.81</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A02241000-饮食炊事机械</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3,363,308.81</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A02241000 饮食炊事机械</w:t>
            </w:r>
          </w:p>
        </w:tc>
        <w:tc>
          <w:tcPr>
            <w:tcW w:type="dxa" w:w="2492"/>
          </w:tcPr>
          <w:p>
            <w:pPr>
              <w:pStyle w:val="null3"/>
              <w:jc w:val="left"/>
            </w:pPr>
            <w:r>
              <w:rPr>
                <w:rFonts w:ascii="仿宋_GB2312" w:hAnsi="仿宋_GB2312" w:cs="仿宋_GB2312" w:eastAsia="仿宋_GB2312"/>
              </w:rPr>
              <w:t>A02241000-饮食炊事机械</w:t>
            </w:r>
          </w:p>
        </w:tc>
        <w:tc>
          <w:tcPr>
            <w:tcW w:type="dxa" w:w="2492"/>
          </w:tcPr>
          <w:p>
            <w:pPr>
              <w:pStyle w:val="null3"/>
              <w:jc w:val="left"/>
            </w:pPr>
            <w:r>
              <w:rPr>
                <w:rFonts w:ascii="仿宋_GB2312" w:hAnsi="仿宋_GB2312" w:cs="仿宋_GB2312" w:eastAsia="仿宋_GB2312"/>
              </w:rPr>
              <w:t>A02241000-饮食炊事机械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A02241000 饮食炊事机械</w:t>
            </w:r>
          </w:p>
        </w:tc>
        <w:tc>
          <w:tcPr>
            <w:tcW w:type="dxa" w:w="2492"/>
          </w:tcPr>
          <w:p>
            <w:pPr>
              <w:pStyle w:val="null3"/>
              <w:jc w:val="left"/>
            </w:pPr>
            <w:r>
              <w:rPr>
                <w:rFonts w:ascii="仿宋_GB2312" w:hAnsi="仿宋_GB2312" w:cs="仿宋_GB2312" w:eastAsia="仿宋_GB2312"/>
              </w:rPr>
              <w:t>A02241000-饮食炊事机械</w:t>
            </w:r>
          </w:p>
        </w:tc>
        <w:tc>
          <w:tcPr>
            <w:tcW w:type="dxa" w:w="2492"/>
          </w:tcPr>
          <w:p>
            <w:pPr>
              <w:pStyle w:val="null3"/>
              <w:jc w:val="left"/>
            </w:pPr>
            <w:r>
              <w:rPr>
                <w:rFonts w:ascii="仿宋_GB2312" w:hAnsi="仿宋_GB2312" w:cs="仿宋_GB2312" w:eastAsia="仿宋_GB2312"/>
              </w:rPr>
              <w:t>详见采购标的物清单</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A02241000 饮食炊事机械</w:t>
            </w:r>
          </w:p>
        </w:tc>
        <w:tc>
          <w:tcPr>
            <w:tcW w:type="dxa" w:w="2492"/>
          </w:tcPr>
          <w:p>
            <w:pPr>
              <w:pStyle w:val="null3"/>
              <w:jc w:val="left"/>
            </w:pPr>
            <w:r>
              <w:rPr>
                <w:rFonts w:ascii="仿宋_GB2312" w:hAnsi="仿宋_GB2312" w:cs="仿宋_GB2312" w:eastAsia="仿宋_GB2312"/>
              </w:rPr>
              <w:t>A02241000-饮食炊事机械</w:t>
            </w:r>
          </w:p>
        </w:tc>
        <w:tc>
          <w:tcPr>
            <w:tcW w:type="dxa" w:w="2492"/>
          </w:tcPr>
          <w:p>
            <w:pPr>
              <w:pStyle w:val="null3"/>
              <w:jc w:val="left"/>
            </w:pPr>
            <w:r>
              <w:rPr>
                <w:rFonts w:ascii="仿宋_GB2312" w:hAnsi="仿宋_GB2312" w:cs="仿宋_GB2312" w:eastAsia="仿宋_GB2312"/>
              </w:rPr>
              <w:t>详见采购标的物清单</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A02241000 饮食炊事机械</w:t>
            </w:r>
          </w:p>
        </w:tc>
        <w:tc>
          <w:tcPr>
            <w:tcW w:type="dxa" w:w="2492"/>
          </w:tcPr>
          <w:p>
            <w:pPr>
              <w:pStyle w:val="null3"/>
              <w:jc w:val="left"/>
            </w:pPr>
            <w:r>
              <w:rPr>
                <w:rFonts w:ascii="仿宋_GB2312" w:hAnsi="仿宋_GB2312" w:cs="仿宋_GB2312" w:eastAsia="仿宋_GB2312"/>
              </w:rPr>
              <w:t>A02241000-饮食炊事机械</w:t>
            </w:r>
          </w:p>
        </w:tc>
        <w:tc>
          <w:tcPr>
            <w:tcW w:type="dxa" w:w="2492"/>
          </w:tcPr>
          <w:p>
            <w:pPr>
              <w:pStyle w:val="null3"/>
              <w:jc w:val="left"/>
            </w:pPr>
            <w:r>
              <w:rPr>
                <w:rFonts w:ascii="仿宋_GB2312" w:hAnsi="仿宋_GB2312" w:cs="仿宋_GB2312" w:eastAsia="仿宋_GB2312"/>
              </w:rPr>
              <w:t>详见采购标的物清单</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标的名称：A02241000-饮食炊事机械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采购标的物清单</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441"/>
              <w:gridCol w:w="852"/>
              <w:gridCol w:w="481"/>
              <w:gridCol w:w="581"/>
              <w:gridCol w:w="872"/>
              <w:gridCol w:w="622"/>
              <w:gridCol w:w="581"/>
              <w:gridCol w:w="561"/>
              <w:gridCol w:w="561"/>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8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标的名称</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计量单位</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申购数量</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所属行业</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是否涉及核心产品</w:t>
                  </w:r>
                </w:p>
              </w:tc>
              <w:tc>
                <w:tcPr>
                  <w:tcW w:type="dxa" w:w="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是否涉及强制节能产品</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是否涉及采购节能产品（优先采购）</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是否涉及采购环境标志产品（优先采购）</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四层栅格货架</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米面架</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平板推车</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保鲜库</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冷冻库</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1号双层工作台（圆腿）</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五格售饭工作台</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1号单通移门荷台柜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2号单通移门荷台柜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单星工作台柜（左星）</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餐车</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2号双层工作台（圆腿）</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单星工作台（左星）</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台式混水龙头</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餐具回收柜圆形孔双孔</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米</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传送带</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米</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超声波洗碗机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平放式洗碗机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1号单星盆水池</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热风循环（光波）消毒柜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中间滤网式抽气罩</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洗地龙头</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冷藏大三玻璃门高身柜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双通移门荷台柜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3号单通移门荷台柜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2号单星盆水池</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3号单星盆水池</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炉拼台</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1号油烟净化一体机（核心产品）</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米</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是</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双头矮汤炉</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六头煲仔炉</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双门蒸饭车</w:t>
                  </w:r>
                  <w:r>
                    <w:rPr>
                      <w:rFonts w:ascii="仿宋_GB2312" w:hAnsi="仿宋_GB2312" w:cs="仿宋_GB2312" w:eastAsia="仿宋_GB2312"/>
                      <w:sz w:val="22"/>
                    </w:rPr>
                    <w:t>(燃气)</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单头大锅灶</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摇锅</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双头双尾小炒灶</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厨房灭火系统</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双门平台雪柜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更衣柜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洗手星</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干手器</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揉面压皮机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搅拌机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双动和面机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二十六盘醒发箱</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三门烤箱（电热）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电饼铛</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2号油烟净化一体机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米</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面粉车</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木案工作台下一层板</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冷藏大双玻璃门高身柜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十二盘饼车</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120型上翻门万能组合消毒柜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毛刷机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商用洗菜机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切肉片肉丝机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多功能绞肉机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多功能切菜机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三层栅格货架</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紫外线消毒灯</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灭蝇灯</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风幕机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四人座连体餐桌椅</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308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引风柜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抽风管</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平方米</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526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防火阀</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风柜消音装置</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风柜及净化器电源回路接驳材料</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风柜支架</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风量调节阀</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净化器支架</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软联接</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风柜启动保护器</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不锈钢炉灶封板</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米</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离心风机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煮面炉连柜（电）</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四头煲仔炉（电）</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3号油烟净化一体机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米</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不锈钢餐盘</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79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不锈钢勺子</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合金筷子</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不锈钢双层面碗</w:t>
                  </w:r>
                  <w:r>
                    <w:rPr>
                      <w:rFonts w:ascii="仿宋_GB2312" w:hAnsi="仿宋_GB2312" w:cs="仿宋_GB2312" w:eastAsia="仿宋_GB2312"/>
                      <w:sz w:val="22"/>
                    </w:rPr>
                    <w:t>-特大</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不锈钢双层面碗</w:t>
                  </w:r>
                  <w:r>
                    <w:rPr>
                      <w:rFonts w:ascii="仿宋_GB2312" w:hAnsi="仿宋_GB2312" w:cs="仿宋_GB2312" w:eastAsia="仿宋_GB2312"/>
                      <w:sz w:val="22"/>
                    </w:rPr>
                    <w:t>-大</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不锈钢双层面碗</w:t>
                  </w:r>
                  <w:r>
                    <w:rPr>
                      <w:rFonts w:ascii="仿宋_GB2312" w:hAnsi="仿宋_GB2312" w:cs="仿宋_GB2312" w:eastAsia="仿宋_GB2312"/>
                      <w:sz w:val="22"/>
                    </w:rPr>
                    <w:t>-中</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不锈钢双层面汤碗</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橙色塑料托盘</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600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直边碗</w:t>
                  </w:r>
                  <w:r>
                    <w:rPr>
                      <w:rFonts w:ascii="仿宋_GB2312" w:hAnsi="仿宋_GB2312" w:cs="仿宋_GB2312" w:eastAsia="仿宋_GB2312"/>
                      <w:sz w:val="22"/>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直边碗</w:t>
                  </w:r>
                  <w:r>
                    <w:rPr>
                      <w:rFonts w:ascii="仿宋_GB2312" w:hAnsi="仿宋_GB2312" w:cs="仿宋_GB2312" w:eastAsia="仿宋_GB2312"/>
                      <w:sz w:val="22"/>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盘</w:t>
                  </w:r>
                  <w:r>
                    <w:rPr>
                      <w:rFonts w:ascii="仿宋_GB2312" w:hAnsi="仿宋_GB2312" w:cs="仿宋_GB2312" w:eastAsia="仿宋_GB2312"/>
                      <w:sz w:val="22"/>
                    </w:rPr>
                    <w:t>-四角盘</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盘</w:t>
                  </w:r>
                  <w:r>
                    <w:rPr>
                      <w:rFonts w:ascii="仿宋_GB2312" w:hAnsi="仿宋_GB2312" w:cs="仿宋_GB2312" w:eastAsia="仿宋_GB2312"/>
                      <w:sz w:val="22"/>
                    </w:rPr>
                    <w:t>-圆盘</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盘</w:t>
                  </w:r>
                  <w:r>
                    <w:rPr>
                      <w:rFonts w:ascii="仿宋_GB2312" w:hAnsi="仿宋_GB2312" w:cs="仿宋_GB2312" w:eastAsia="仿宋_GB2312"/>
                      <w:sz w:val="22"/>
                    </w:rPr>
                    <w:t>-汤盘</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打菜瓢</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条盘</w:t>
                  </w:r>
                  <w:r>
                    <w:rPr>
                      <w:rFonts w:ascii="仿宋_GB2312" w:hAnsi="仿宋_GB2312" w:cs="仿宋_GB2312" w:eastAsia="仿宋_GB2312"/>
                      <w:sz w:val="22"/>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条盘</w:t>
                  </w:r>
                  <w:r>
                    <w:rPr>
                      <w:rFonts w:ascii="仿宋_GB2312" w:hAnsi="仿宋_GB2312" w:cs="仿宋_GB2312" w:eastAsia="仿宋_GB2312"/>
                      <w:sz w:val="22"/>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不锈钢盆</w:t>
                  </w:r>
                  <w:r>
                    <w:rPr>
                      <w:rFonts w:ascii="仿宋_GB2312" w:hAnsi="仿宋_GB2312" w:cs="仿宋_GB2312" w:eastAsia="仿宋_GB2312"/>
                      <w:sz w:val="22"/>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不锈钢盆</w:t>
                  </w:r>
                  <w:r>
                    <w:rPr>
                      <w:rFonts w:ascii="仿宋_GB2312" w:hAnsi="仿宋_GB2312" w:cs="仿宋_GB2312" w:eastAsia="仿宋_GB2312"/>
                      <w:sz w:val="22"/>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不锈钢盆</w:t>
                  </w:r>
                  <w:r>
                    <w:rPr>
                      <w:rFonts w:ascii="仿宋_GB2312" w:hAnsi="仿宋_GB2312" w:cs="仿宋_GB2312" w:eastAsia="仿宋_GB2312"/>
                      <w:sz w:val="22"/>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双层保温桶</w:t>
                  </w:r>
                  <w:r>
                    <w:rPr>
                      <w:rFonts w:ascii="仿宋_GB2312" w:hAnsi="仿宋_GB2312" w:cs="仿宋_GB2312" w:eastAsia="仿宋_GB2312"/>
                      <w:sz w:val="22"/>
                    </w:rPr>
                    <w:t>-不带龙头</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塑料留样盒</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不锈钢馒头夹</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打稀饭瓢</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尼伦菜墩</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不锈钢切刀</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把</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不锈钢砍刀</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把</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剪刀</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电子秤</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调料盒</w:t>
                  </w:r>
                  <w:r>
                    <w:rPr>
                      <w:rFonts w:ascii="仿宋_GB2312" w:hAnsi="仿宋_GB2312" w:cs="仿宋_GB2312" w:eastAsia="仿宋_GB2312"/>
                      <w:sz w:val="22"/>
                    </w:rPr>
                    <w:t>-带盖1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调料盒</w:t>
                  </w:r>
                  <w:r>
                    <w:rPr>
                      <w:rFonts w:ascii="仿宋_GB2312" w:hAnsi="仿宋_GB2312" w:cs="仿宋_GB2312" w:eastAsia="仿宋_GB2312"/>
                      <w:sz w:val="22"/>
                    </w:rPr>
                    <w:t>-带盖2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不锈钢炒菜铲</w:t>
                  </w:r>
                  <w:r>
                    <w:rPr>
                      <w:rFonts w:ascii="仿宋_GB2312" w:hAnsi="仿宋_GB2312" w:cs="仿宋_GB2312" w:eastAsia="仿宋_GB2312"/>
                      <w:sz w:val="22"/>
                    </w:rPr>
                    <w:t>-木把-大锅</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不锈钢炒菜勺</w:t>
                  </w:r>
                  <w:r>
                    <w:rPr>
                      <w:rFonts w:ascii="仿宋_GB2312" w:hAnsi="仿宋_GB2312" w:cs="仿宋_GB2312" w:eastAsia="仿宋_GB2312"/>
                      <w:sz w:val="22"/>
                    </w:rPr>
                    <w:t>-木把-小锅</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不锈钢水瓢</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肉爪</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不锈钢漏丝瓢</w:t>
                  </w:r>
                  <w:r>
                    <w:rPr>
                      <w:rFonts w:ascii="仿宋_GB2312" w:hAnsi="仿宋_GB2312" w:cs="仿宋_GB2312" w:eastAsia="仿宋_GB2312"/>
                      <w:sz w:val="22"/>
                    </w:rPr>
                    <w:t>-木把</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不锈钢漏丝瓢</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保鲜盒</w:t>
                  </w:r>
                  <w:r>
                    <w:rPr>
                      <w:rFonts w:ascii="仿宋_GB2312" w:hAnsi="仿宋_GB2312" w:cs="仿宋_GB2312" w:eastAsia="仿宋_GB2312"/>
                      <w:sz w:val="22"/>
                    </w:rPr>
                    <w:t>-大号</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保鲜盒</w:t>
                  </w:r>
                  <w:r>
                    <w:rPr>
                      <w:rFonts w:ascii="仿宋_GB2312" w:hAnsi="仿宋_GB2312" w:cs="仿宋_GB2312" w:eastAsia="仿宋_GB2312"/>
                      <w:sz w:val="22"/>
                    </w:rPr>
                    <w:t>-中号</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保鲜盒</w:t>
                  </w:r>
                  <w:r>
                    <w:rPr>
                      <w:rFonts w:ascii="仿宋_GB2312" w:hAnsi="仿宋_GB2312" w:cs="仿宋_GB2312" w:eastAsia="仿宋_GB2312"/>
                      <w:sz w:val="22"/>
                    </w:rPr>
                    <w:t>-小号</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不锈钢汤桶</w:t>
                  </w:r>
                  <w:r>
                    <w:rPr>
                      <w:rFonts w:ascii="仿宋_GB2312" w:hAnsi="仿宋_GB2312" w:cs="仿宋_GB2312" w:eastAsia="仿宋_GB2312"/>
                      <w:sz w:val="22"/>
                    </w:rPr>
                    <w:t>-带盖1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不锈钢汤桶</w:t>
                  </w:r>
                  <w:r>
                    <w:rPr>
                      <w:rFonts w:ascii="仿宋_GB2312" w:hAnsi="仿宋_GB2312" w:cs="仿宋_GB2312" w:eastAsia="仿宋_GB2312"/>
                      <w:sz w:val="22"/>
                    </w:rPr>
                    <w:t>-带盖2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119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不锈钢汤桶</w:t>
                  </w:r>
                  <w:r>
                    <w:rPr>
                      <w:rFonts w:ascii="仿宋_GB2312" w:hAnsi="仿宋_GB2312" w:cs="仿宋_GB2312" w:eastAsia="仿宋_GB2312"/>
                      <w:sz w:val="22"/>
                    </w:rPr>
                    <w:t>-带盖3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不锈钢汤桶</w:t>
                  </w:r>
                  <w:r>
                    <w:rPr>
                      <w:rFonts w:ascii="仿宋_GB2312" w:hAnsi="仿宋_GB2312" w:cs="仿宋_GB2312" w:eastAsia="仿宋_GB2312"/>
                      <w:sz w:val="22"/>
                    </w:rPr>
                    <w:t>-带盖4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调料钵</w:t>
                  </w:r>
                  <w:r>
                    <w:rPr>
                      <w:rFonts w:ascii="仿宋_GB2312" w:hAnsi="仿宋_GB2312" w:cs="仿宋_GB2312" w:eastAsia="仿宋_GB2312"/>
                      <w:sz w:val="22"/>
                    </w:rPr>
                    <w:t>-带盖-大炒</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调料钵</w:t>
                  </w:r>
                  <w:r>
                    <w:rPr>
                      <w:rFonts w:ascii="仿宋_GB2312" w:hAnsi="仿宋_GB2312" w:cs="仿宋_GB2312" w:eastAsia="仿宋_GB2312"/>
                      <w:sz w:val="22"/>
                    </w:rPr>
                    <w:t>-带盖-小炒</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高压锅</w:t>
                  </w:r>
                  <w:r>
                    <w:rPr>
                      <w:rFonts w:ascii="仿宋_GB2312" w:hAnsi="仿宋_GB2312" w:cs="仿宋_GB2312" w:eastAsia="仿宋_GB2312"/>
                      <w:sz w:val="22"/>
                    </w:rPr>
                    <w:t>-大号</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大磨石</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天平秤</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钢丝球</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脚踏式环保垃圾桶</w:t>
                  </w:r>
                  <w:r>
                    <w:rPr>
                      <w:rFonts w:ascii="仿宋_GB2312" w:hAnsi="仿宋_GB2312" w:cs="仿宋_GB2312" w:eastAsia="仿宋_GB2312"/>
                      <w:sz w:val="22"/>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脚踏式环保垃圾桶</w:t>
                  </w:r>
                  <w:r>
                    <w:rPr>
                      <w:rFonts w:ascii="仿宋_GB2312" w:hAnsi="仿宋_GB2312" w:cs="仿宋_GB2312" w:eastAsia="仿宋_GB2312"/>
                      <w:sz w:val="22"/>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129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工作服</w:t>
                  </w:r>
                  <w:r>
                    <w:rPr>
                      <w:rFonts w:ascii="仿宋_GB2312" w:hAnsi="仿宋_GB2312" w:cs="仿宋_GB2312" w:eastAsia="仿宋_GB2312"/>
                      <w:sz w:val="22"/>
                    </w:rPr>
                    <w:t>-白色（夏装）</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件</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一次性工作帽</w:t>
                  </w:r>
                  <w:r>
                    <w:rPr>
                      <w:rFonts w:ascii="仿宋_GB2312" w:hAnsi="仿宋_GB2312" w:cs="仿宋_GB2312" w:eastAsia="仿宋_GB2312"/>
                      <w:sz w:val="22"/>
                    </w:rPr>
                    <w:t>-白色</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顶</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工作服</w:t>
                  </w:r>
                  <w:r>
                    <w:rPr>
                      <w:rFonts w:ascii="仿宋_GB2312" w:hAnsi="仿宋_GB2312" w:cs="仿宋_GB2312" w:eastAsia="仿宋_GB2312"/>
                      <w:sz w:val="22"/>
                    </w:rPr>
                    <w:t>-白色（冬装）</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件</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口罩</w:t>
                  </w:r>
                  <w:r>
                    <w:rPr>
                      <w:rFonts w:ascii="仿宋_GB2312" w:hAnsi="仿宋_GB2312" w:cs="仿宋_GB2312" w:eastAsia="仿宋_GB2312"/>
                      <w:sz w:val="22"/>
                    </w:rPr>
                    <w:t>-无纺布</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布围裙</w:t>
                  </w:r>
                  <w:r>
                    <w:rPr>
                      <w:rFonts w:ascii="仿宋_GB2312" w:hAnsi="仿宋_GB2312" w:cs="仿宋_GB2312" w:eastAsia="仿宋_GB2312"/>
                      <w:sz w:val="22"/>
                    </w:rPr>
                    <w:t>-蓝色</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布围裙</w:t>
                  </w:r>
                  <w:r>
                    <w:rPr>
                      <w:rFonts w:ascii="仿宋_GB2312" w:hAnsi="仿宋_GB2312" w:cs="仿宋_GB2312" w:eastAsia="仿宋_GB2312"/>
                      <w:sz w:val="22"/>
                    </w:rPr>
                    <w:t>-红色</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皮围裙</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工作袖套</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防滑鞋</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大塑料菜筐</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139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中塑料菜筐</w:t>
                  </w:r>
                  <w:r>
                    <w:rPr>
                      <w:rFonts w:ascii="仿宋_GB2312" w:hAnsi="仿宋_GB2312" w:cs="仿宋_GB2312" w:eastAsia="仿宋_GB2312"/>
                      <w:sz w:val="22"/>
                    </w:rPr>
                    <w:t>—带孔</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小塑料菜筐</w:t>
                  </w:r>
                  <w:r>
                    <w:rPr>
                      <w:rFonts w:ascii="仿宋_GB2312" w:hAnsi="仿宋_GB2312" w:cs="仿宋_GB2312" w:eastAsia="仿宋_GB2312"/>
                      <w:sz w:val="22"/>
                    </w:rPr>
                    <w:t>—带孔</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塑料潲水桶</w:t>
                  </w:r>
                  <w:r>
                    <w:rPr>
                      <w:rFonts w:ascii="仿宋_GB2312" w:hAnsi="仿宋_GB2312" w:cs="仿宋_GB2312" w:eastAsia="仿宋_GB2312"/>
                      <w:sz w:val="22"/>
                    </w:rPr>
                    <w:t>—翻盖</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不锈钢储物桶</w:t>
                  </w:r>
                  <w:r>
                    <w:rPr>
                      <w:rFonts w:ascii="仿宋_GB2312" w:hAnsi="仿宋_GB2312" w:cs="仿宋_GB2312" w:eastAsia="仿宋_GB2312"/>
                      <w:sz w:val="22"/>
                    </w:rPr>
                    <w:t>—带盖</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45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周转筐</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刷把</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把</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木把打皮刀</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豆浆磨浆一体机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制冰机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馅挑</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149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木质擀面杖</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3</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保鲜膜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151</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电子落地称</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把</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2</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152</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挡鼠板</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米</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9.6</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153</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厨师帽</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包</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154</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毛巾</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张</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155</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胶手套</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双</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156</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防水袖套</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套</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157</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防水围腰</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条</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50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158</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不锈钢筲箕</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个</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159</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汤勺</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把</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10</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160</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2"/>
                    </w:rPr>
                    <w:t>消毒柜筷勺消毒车</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台</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8</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rPr>
                    <w:t>工业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否</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详见附件清单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90"/>
              <w:jc w:val="left"/>
            </w:pPr>
            <w:r>
              <w:rPr>
                <w:rFonts w:ascii="仿宋_GB2312" w:hAnsi="仿宋_GB2312" w:cs="仿宋_GB2312" w:eastAsia="仿宋_GB2312"/>
                <w:sz w:val="18"/>
                <w:color w:val="FF0000"/>
              </w:rPr>
              <w:t>1.供应商须提供全新的货物(含零部件、配件、使用说明书等)，表面无划伤、无碰撞痕迹，且权属清楚，不得侵害他人的知识产权，不得以次充好，产品来源渠道必须合法。</w:t>
            </w:r>
          </w:p>
          <w:p>
            <w:pPr>
              <w:pStyle w:val="null3"/>
              <w:ind w:firstLine="490"/>
              <w:jc w:val="left"/>
            </w:pPr>
            <w:r>
              <w:rPr>
                <w:rFonts w:ascii="仿宋_GB2312" w:hAnsi="仿宋_GB2312" w:cs="仿宋_GB2312" w:eastAsia="仿宋_GB2312"/>
                <w:sz w:val="18"/>
                <w:color w:val="FF0000"/>
              </w:rPr>
              <w:t>2.货物制造质量出现问题，供应商应负责三包(包修、包换、包退)，费用由供应商负担。</w:t>
            </w:r>
          </w:p>
          <w:p>
            <w:pPr>
              <w:pStyle w:val="null3"/>
              <w:ind w:firstLine="490"/>
              <w:jc w:val="left"/>
            </w:pPr>
            <w:r>
              <w:rPr>
                <w:rFonts w:ascii="仿宋_GB2312" w:hAnsi="仿宋_GB2312" w:cs="仿宋_GB2312" w:eastAsia="仿宋_GB2312"/>
                <w:sz w:val="18"/>
                <w:color w:val="FF0000"/>
              </w:rPr>
              <w:t>3.货到现场交付完成后由于采购人保管不当造成的质量问题，供应商亦应负责修理，但费用由采购人负担。</w:t>
            </w:r>
          </w:p>
          <w:p>
            <w:pPr>
              <w:pStyle w:val="null3"/>
              <w:ind w:firstLine="490"/>
              <w:jc w:val="left"/>
            </w:pPr>
            <w:r>
              <w:rPr>
                <w:rFonts w:ascii="仿宋_GB2312" w:hAnsi="仿宋_GB2312" w:cs="仿宋_GB2312" w:eastAsia="仿宋_GB2312"/>
                <w:sz w:val="18"/>
                <w:color w:val="FF0000"/>
              </w:rPr>
              <w:t>4.成交供应商在交货时须提供采购文件技术参数中要求的检测报告并加盖供应商公章。如提供的证明材料不符合采购文件要求或未按采购文件要求提供的，按采购合同约定承担违约责任。</w:t>
            </w:r>
          </w:p>
          <w:p>
            <w:pPr>
              <w:pStyle w:val="null3"/>
              <w:ind w:firstLine="490"/>
              <w:jc w:val="left"/>
            </w:pPr>
            <w:r>
              <w:rPr>
                <w:rFonts w:ascii="仿宋_GB2312" w:hAnsi="仿宋_GB2312" w:cs="仿宋_GB2312" w:eastAsia="仿宋_GB2312"/>
                <w:sz w:val="18"/>
                <w:color w:val="FF0000"/>
              </w:rPr>
              <w:t>5.成交供应商所提供的所有设备、产品的参数必须与响应文件响应情况一致，验收时将逐一核对成交供应商响应文件中提供的证明材料是否与所供货物一致，同时采购人保留就所有参数由国家认可且检测资质与参数检测项相匹配的第三方检验检测机构进行检测的权利（此处是指合同乙方交付的货物，不是样品，也不存在“对样品进行检测”的情形），成交供应商须无条件配合；如出现两次第三方检测结果达不到响应文件响应的参数情况（测试所产生的所有费用均由中标人负责）或成交供应商拒不按要求进行检测的，视作设备、产品参数与响应文件响应情况不一致，采购人将按照虚假响应的相关规定上报主管部门处理。同时，采购人保留追究由成交供应商造成的一切直接和间接损失的权利。</w:t>
            </w:r>
          </w:p>
          <w:p>
            <w:pPr>
              <w:pStyle w:val="null3"/>
              <w:ind w:firstLine="490"/>
              <w:jc w:val="left"/>
            </w:pPr>
            <w:r>
              <w:rPr>
                <w:rFonts w:ascii="仿宋_GB2312" w:hAnsi="仿宋_GB2312" w:cs="仿宋_GB2312" w:eastAsia="仿宋_GB2312"/>
                <w:sz w:val="18"/>
                <w:color w:val="FF0000"/>
              </w:rPr>
              <w:t>6.政府采购合同签订时间及要求：因项目进度紧急，供应商自成交通知书发出之日起10日内与采购人签订政府采购合同。</w:t>
            </w:r>
          </w:p>
          <w:p>
            <w:pPr>
              <w:pStyle w:val="null3"/>
              <w:ind w:firstLine="490"/>
              <w:jc w:val="left"/>
            </w:pPr>
            <w:r>
              <w:rPr>
                <w:rFonts w:ascii="仿宋_GB2312" w:hAnsi="仿宋_GB2312" w:cs="仿宋_GB2312" w:eastAsia="仿宋_GB2312"/>
                <w:sz w:val="18"/>
                <w:color w:val="FF0000"/>
              </w:rPr>
              <w:t>7.供应商在项目执行过程中定期及时向采购人通告本项目供货的重大事项及其进度。</w:t>
            </w:r>
          </w:p>
          <w:p>
            <w:pPr>
              <w:pStyle w:val="null3"/>
              <w:ind w:firstLine="490"/>
              <w:jc w:val="left"/>
            </w:pPr>
            <w:r>
              <w:rPr>
                <w:rFonts w:ascii="仿宋_GB2312" w:hAnsi="仿宋_GB2312" w:cs="仿宋_GB2312" w:eastAsia="仿宋_GB2312"/>
                <w:sz w:val="18"/>
                <w:color w:val="FF0000"/>
              </w:rPr>
              <w:t>8.接受项目行业管理部门及政府有关部门的指导，接受采购人的监督。</w:t>
            </w:r>
          </w:p>
          <w:p>
            <w:pPr>
              <w:pStyle w:val="null3"/>
              <w:ind w:firstLine="490"/>
              <w:jc w:val="left"/>
            </w:pPr>
            <w:r>
              <w:rPr>
                <w:rFonts w:ascii="仿宋_GB2312" w:hAnsi="仿宋_GB2312" w:cs="仿宋_GB2312" w:eastAsia="仿宋_GB2312"/>
                <w:sz w:val="18"/>
                <w:color w:val="FF0000"/>
              </w:rPr>
              <w:t>9.本项目采购过程和合同履行过程中的风险严格按照采购人的风险控制管理要求执行。</w:t>
            </w:r>
          </w:p>
          <w:p>
            <w:pPr>
              <w:pStyle w:val="null3"/>
              <w:ind w:firstLine="490"/>
              <w:jc w:val="left"/>
            </w:pPr>
            <w:r>
              <w:rPr>
                <w:rFonts w:ascii="仿宋_GB2312" w:hAnsi="仿宋_GB2312" w:cs="仿宋_GB2312" w:eastAsia="仿宋_GB2312"/>
                <w:sz w:val="18"/>
                <w:color w:val="FF0000"/>
              </w:rPr>
              <w:t>10.成交供应商必须严格按国家安全生产的法律法规进行安全文明施工，在运输、安装、调试、维修、维护过程中若发生任何安全事故均由成交供应商负责，因事故所产生的一切赔付和善后均由成交供应商负责，采购人不承担任何经济和法律责任。</w:t>
            </w:r>
          </w:p>
          <w:p>
            <w:pPr>
              <w:pStyle w:val="null3"/>
              <w:ind w:firstLine="490"/>
              <w:jc w:val="left"/>
            </w:pPr>
            <w:r>
              <w:rPr>
                <w:rFonts w:ascii="仿宋_GB2312" w:hAnsi="仿宋_GB2312" w:cs="仿宋_GB2312" w:eastAsia="仿宋_GB2312"/>
                <w:sz w:val="18"/>
                <w:color w:val="FF0000"/>
              </w:rPr>
              <w:t>11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both"/>
            </w:pPr>
            <w:r>
              <w:rPr>
                <w:rFonts w:ascii="仿宋_GB2312" w:hAnsi="仿宋_GB2312" w:cs="仿宋_GB2312" w:eastAsia="仿宋_GB2312"/>
                <w:sz w:val="18"/>
                <w:color w:val="FF0000"/>
              </w:rPr>
              <w:t>12.政府采购合同总价是完成采购项目要求的全部工作内容的价格体现，包含产品设计、生产制造、设备的运输费用（包含二次及以上转运）、装卸、安装、调试、资金利息、检验、利润、税金、保险等一切费用。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交货要求</w:t>
            </w:r>
          </w:p>
        </w:tc>
        <w:tc>
          <w:tcPr>
            <w:tcW w:type="dxa" w:w="5814"/>
          </w:tcPr>
          <w:p>
            <w:pPr>
              <w:pStyle w:val="null3"/>
              <w:ind w:firstLine="490"/>
              <w:jc w:val="left"/>
            </w:pPr>
            <w:r>
              <w:rPr>
                <w:rFonts w:ascii="仿宋_GB2312" w:hAnsi="仿宋_GB2312" w:cs="仿宋_GB2312" w:eastAsia="仿宋_GB2312"/>
                <w:sz w:val="18"/>
                <w:color w:val="FF0000"/>
                <w:shd w:fill="FFFFFF" w:val="clear"/>
              </w:rPr>
              <w:t>1.交货地点及联系人，</w:t>
            </w:r>
            <w:r>
              <w:rPr>
                <w:rFonts w:ascii="仿宋_GB2312" w:hAnsi="仿宋_GB2312" w:cs="仿宋_GB2312" w:eastAsia="仿宋_GB2312"/>
                <w:sz w:val="18"/>
                <w:color w:val="FF0000"/>
              </w:rPr>
              <w:t>供应商负责办理运输和保险，将货物运抵采购人指定地点，有关运输、保险和装卸等一切相关的费用由供应商承担。</w:t>
            </w:r>
          </w:p>
          <w:p>
            <w:pPr>
              <w:pStyle w:val="null3"/>
              <w:ind w:firstLine="490"/>
              <w:jc w:val="left"/>
            </w:pPr>
            <w:r>
              <w:rPr>
                <w:rFonts w:ascii="仿宋_GB2312" w:hAnsi="仿宋_GB2312" w:cs="仿宋_GB2312" w:eastAsia="仿宋_GB2312"/>
                <w:sz w:val="18"/>
                <w:color w:val="FF0000"/>
              </w:rPr>
              <w:t>2.供应商应在货物送达到采购人指定地点七日前，向采购人提供货物卸车、清点计划(内容包括：合同号、设备名称、数量、价格、箱数、型号规格、重量和体积、拟发运的时间及其他必要的说明)，并于发运的同时通知采购人。</w:t>
            </w:r>
          </w:p>
          <w:p>
            <w:pPr>
              <w:pStyle w:val="null3"/>
              <w:ind w:firstLine="490"/>
              <w:jc w:val="left"/>
            </w:pPr>
            <w:r>
              <w:rPr>
                <w:rFonts w:ascii="仿宋_GB2312" w:hAnsi="仿宋_GB2312" w:cs="仿宋_GB2312" w:eastAsia="仿宋_GB2312"/>
                <w:sz w:val="18"/>
                <w:color w:val="FF0000"/>
              </w:rPr>
              <w:t>3.开箱清点及初步检验时双方应派人员参加。凡由于供应商对合同货物包装不善、标记不明、防护措施不当或在合同货物装箱前保管不良，致使合同货物遭到损坏或丢失，供应商应负责免费更换或补足，并承担由此给采购人造成的一切损失。</w:t>
            </w:r>
          </w:p>
          <w:p>
            <w:pPr>
              <w:pStyle w:val="null3"/>
              <w:jc w:val="both"/>
            </w:pPr>
            <w:r>
              <w:rPr>
                <w:rFonts w:ascii="仿宋_GB2312" w:hAnsi="仿宋_GB2312" w:cs="仿宋_GB2312" w:eastAsia="仿宋_GB2312"/>
                <w:sz w:val="18"/>
                <w:color w:val="FF0000"/>
              </w:rPr>
              <w:t>4.货物涉及政府采购商品包装和快递包装的，货物送达至采购人指定地点后，采购人将对供应商是否按照谈判文件规定的包装要求进行验收，不符合包装要求的，采购人有权拒收并要求供应商负责免费更换，并承担由此给采购人造成的一切损失。</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40</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宜宾医药健康职业学院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1付款条件：合同签订后，达到该付款条件起10个工作日内，支付合同总金额的30.00%</w:t>
            </w:r>
          </w:p>
          <w:p>
            <w:pPr>
              <w:pStyle w:val="null3"/>
              <w:jc w:val="left"/>
            </w:pPr>
            <w:r>
              <w:rPr>
                <w:rFonts w:ascii="仿宋_GB2312" w:hAnsi="仿宋_GB2312" w:cs="仿宋_GB2312" w:eastAsia="仿宋_GB2312"/>
              </w:rPr>
              <w:t>2付款条件：完成全部货物供货、安装调试并验收合格后且提供有效发票后，达到该付款条件起10个工作日内，支付合同总金额的70.00%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(一)本项目现场验收由采购人组织，供应商配合进行。采购人可以邀请参加本项目的其他投标人或者第三方专业机构及专家参与验收，相关验收意见作为验收的参考资料。 (二)如验收合格，双方签署验收报告。 (三)验收不合格，将不予支付采购资金，还可能上报本项目同级财政部门按照政府采购法律法规等有关规定给予行政处罚； (四)其他未尽事宜应严格按照《财政部关于进一步加强政府采购需求和履约验收管理的指导意见》(财库〔2016〕205号)、《政府采购需求管理办法》(财库〔2021〕22号)及采购人验收相关规定组织验收。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售后服务基本要求：供应商应保证所提供货物是全新的，未使用过的，完全符合谈判文件中质量、规格和性能的要求，其提供的货物在正确安装、正确使用和保养条件下，免费质保期限（含软件免费升级）至少须为一年（有行业规定，从其行业规定，若行业规定少于一年的，免费质保期限至少须为一年），并在其使用寿命期内应具有满意的性能。质量出现问题时，成交供应商负责“三包”，费用由成交供应商负责。在质保期外,提供设备的更换、维修只收取成本费用。(质保期为验收合格之日起开始计算)。 2.供应商应有完善的技术支持与服务体系，专人负责与采购人联系售后服务事宜，必要的售后机具配置、具有专门固定的售后服务电话，并能提供本地化服务。 3.在质保期内货物出现质量问题，供应商应在接到通知后2小时内响应，24小时内到达现场维修并解决问题。设备需更换的应在3个工作日内完成更换。 4.项目全部货物的各种部件均保证齐备、充足供应，若因产品升级更新等原因不能保障供应造成采购人损失的，供应商承担全部赔偿责任，在交货时需向采购人提供货物常规备品备件。 5.质保期内供应商负责所有因货物质量问题而产生的费用，所有服务免费。质保期满前一个月，供应商免费负责一次全面的检查、维护，并出具正式报告，如发现潜在问题，应负责排除不收取任何费用。 6.质保期届满后，设备非因采购人过错出现质量问题，供应商仍应按前款约定上门维修或更换，相关费用由采购人承担。其他未描述保修细节按照供应商和制造厂商相关文件执行。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(一)采购人违约责任 1.采购人应遵守本合同并执行合同中的各项规定，保证本合同的正常履行。 2.采购人逾期支付服务合同款项的，除应及时付足合同款项外，应向供应商偿付欠款总额万分之五/天的违约金；逾期付款超过15天的，供应商有权终止合同； 3.采购人偿付的违约金不足以弥补供应商损失的，还应按供应商经济损失尚未弥补的部分，支付赔偿金给供应商。 (二)供应商违约责任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不能按时供货或履行售后维修（保养）服务的或逾期提供而违约的，除应及时供货或提供维修（保养）服务外，还应向采购人偿付逾期供货或提供维修（保养）服务违约金，违约金按成交合同总额的万分之五/天计算违约金；逾期超过15天，采购人有权终止合同，供应商则应按合同总价的百分之十的款额向采购人偿付违约金，并须全额退还采购人已经付给供应商的货款。 4.供应商在履约过程中，货物经采购人验收不合格的，采购人有权终止合同。 5.供应商应当遵守采购人的相关项目需求及相关技术要求及实质性条款，实施完成采购合同应当完全满足相关项目需求及相关技术要求及实质性条款，若供应商瑕疵履行采购合同，采购人有权向供应商要求赔偿合同总价款20%的违约金，若造成相关损失的，采购人有权要求供应商承担所有赔偿责任。 （三）解决争议的方法 合同履行期间,若双方发生争议，可协商或由有关部门调解解决，协商或调解不成的，向采购人所在地有管辖权的人民法院起诉。</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报价要求：最后报价为总价报价，并以此作为结算的依据(成交单价采用同比例下浮，下浮比例计算公式为：下浮比例=现场最后报价÷首轮报价汇总金额×100%，四舍五入，小数点后保留两位)。（二）★因系统局限性，本项目标的名称以第三章3.2、技术要求1、采购标的中“技术参数与性能指标”中的标的名称为准。供应商填报中小企业声明函时，中小企业声明函中“标的名称”及“所属行业”则以本表中所载明的“标的名称”及“所属行业”进行填报。(三)★系统自带的《中小企业声明函》可能无法拓展，在有多项又无法拓展的情况下，请填写《中小企业声明函1》，系统自带的《中小企业声明函》则不作评审。(四)★本项目采购品类较多，因平台模版格式原因，供应商在填写《报价一览表》时，产地、品牌、规格、生产厂家可填为“/”，并根据自身实际情况在《报价明细表》中填列各标的具体信息。（五）本项目由宜宾市科教产业投资集团有限公司为采购人宜宾医药健康职业学院提供建设管理服务，中标人应与采购人宜宾医药健康职业学院和代建单位宜宾市科教产业投资集团有限公司签订三方协议，并接受采购人宜宾医药健康职业学院、代建单位宜宾市科教产业投资集团有限公司的现场管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合同条款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响应文件封面,关于符合本国产品标准的声明函,投标（响应）函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采购文件加★号的技术、服务、商务和其他要求均为实质性要求。</w:t>
            </w:r>
          </w:p>
        </w:tc>
        <w:tc>
          <w:tcPr>
            <w:tcW w:type="dxa" w:w="3322"/>
          </w:tcPr>
          <w:p>
            <w:pPr>
              <w:pStyle w:val="null3"/>
              <w:jc w:val="left"/>
            </w:pPr>
            <w:r>
              <w:rPr>
                <w:rFonts w:ascii="仿宋_GB2312" w:hAnsi="仿宋_GB2312" w:cs="仿宋_GB2312" w:eastAsia="仿宋_GB2312"/>
              </w:rPr>
              <w:t>采购文件加★号的技术、服务、商务和其他要求均为实质性要求。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详见附件：厨房设备拟签订合同文本.docx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