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版本号：N510901202600011220260529001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防火墙交换平台双活扩容项目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N5109012026000112</w:t>
      </w:r>
    </w:p>
    <w:p>
      <w:pPr>
        <w:pStyle w:val="null3"/>
        <w:jc w:val="left"/>
        <w:outlineLvl w:val="2"/>
      </w:pPr>
      <w:r>
        <w:rPr>
          <w:rFonts w:ascii="仿宋_GB2312" w:hAnsi="仿宋_GB2312" w:cs="仿宋_GB2312" w:eastAsia="仿宋_GB2312"/>
          <w:sz w:val="28"/>
          <w:b/>
        </w:rPr>
        <w:t>遂宁市中心医院</w:t>
      </w:r>
    </w:p>
    <w:p>
      <w:pPr>
        <w:pStyle w:val="null3"/>
        <w:jc w:val="center"/>
        <w:outlineLvl w:val="2"/>
      </w:pPr>
      <w:r>
        <w:rPr>
          <w:rFonts w:ascii="仿宋_GB2312" w:hAnsi="仿宋_GB2312" w:cs="仿宋_GB2312" w:eastAsia="仿宋_GB2312"/>
          <w:sz w:val="28"/>
          <w:b/>
        </w:rPr>
        <w:t>四川祥跃项目管理有限公司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四川祥跃项目管理有限公司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遂宁市中心医院</w:t>
      </w:r>
      <w:r>
        <w:rPr>
          <w:rFonts w:ascii="仿宋_GB2312" w:hAnsi="仿宋_GB2312" w:cs="仿宋_GB2312" w:eastAsia="仿宋_GB2312"/>
        </w:rPr>
        <w:t xml:space="preserve"> 委托，拟对 </w:t>
      </w:r>
      <w:r>
        <w:rPr>
          <w:rFonts w:ascii="仿宋_GB2312" w:hAnsi="仿宋_GB2312" w:cs="仿宋_GB2312" w:eastAsia="仿宋_GB2312"/>
        </w:rPr>
        <w:t>防火墙交换平台双活扩容项目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遂宁市市本级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N5109012026000112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防火墙交换平台双活扩容项目</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本项目为防火墙交换平台双活扩容项目。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1、参加此项采购活动的供应商及现任法定代表人（或负责人）、主要负责人无行贿犯罪记录（描述：提供参加此项采购活动的供应商及现任法定代表人（或负责人）、主要负责人的无行贿犯罪记录承诺书）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遂宁市中心医院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遂宁市河东新区东平北路27号科教大楼207室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0825-2292689</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四川祥跃项目管理有限公司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遂宁市船山区遂州中路600号1层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0825-2280987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以中标/成交金额作为计算基数，按差额定率累进法下浮20%进行计算(若不足5000元按5000元收取)，费率标准为(货物采购项目):中标/成交金额100万元以下，费率1.5%； 中标/成交金额100-500万元，费率1.1%（含税、普票）。</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遂宁市中心医院</w:t>
      </w:r>
      <w:r>
        <w:rPr>
          <w:rFonts w:ascii="仿宋_GB2312" w:hAnsi="仿宋_GB2312" w:cs="仿宋_GB2312" w:eastAsia="仿宋_GB2312"/>
        </w:rPr>
        <w:t xml:space="preserve"> 和 </w:t>
      </w:r>
      <w:r>
        <w:rPr>
          <w:rFonts w:ascii="仿宋_GB2312" w:hAnsi="仿宋_GB2312" w:cs="仿宋_GB2312" w:eastAsia="仿宋_GB2312"/>
        </w:rPr>
        <w:t>四川祥跃项目管理有限公司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遂宁市中心医院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四川祥跃项目管理有限公司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符合国家（或行业）相关标准并通过采购人组织的验收考核，并严格按照《财政部关于进一步加强政府采购需求和履约验收管理的指导意见》（财库[2016]205 号）的相关要求、招标文件的规定和成交人的响应文件、合同条款内容组织验收。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参照《财政部关于进一步加强政府采购需求和履约验收管理的指导意见》(财库〔2016〕205 号)的要求、招标文件的技术服务要求、成交供应商的响应文件以及合同约定标准进行验收。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四川祥跃项目管理有限公司</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四川祥跃项目管理有限公司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四川祥跃项目管理有限公司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联系人：田女士</w:t>
      </w:r>
    </w:p>
    <w:p>
      <w:pPr>
        <w:pStyle w:val="null3"/>
        <w:jc w:val="left"/>
      </w:pPr>
      <w:r>
        <w:rPr>
          <w:rFonts w:ascii="仿宋_GB2312" w:hAnsi="仿宋_GB2312" w:cs="仿宋_GB2312" w:eastAsia="仿宋_GB2312"/>
        </w:rPr>
        <w:t>联系电话：0825-2280987</w:t>
      </w:r>
    </w:p>
    <w:p>
      <w:pPr>
        <w:pStyle w:val="null3"/>
        <w:jc w:val="left"/>
      </w:pPr>
      <w:r>
        <w:rPr>
          <w:rFonts w:ascii="仿宋_GB2312" w:hAnsi="仿宋_GB2312" w:cs="仿宋_GB2312" w:eastAsia="仿宋_GB2312"/>
        </w:rPr>
        <w:t>地址：遂宁市船山区遂州中路600号1层</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A02010301 防火墙</w:t>
            </w:r>
          </w:p>
        </w:tc>
        <w:tc>
          <w:tcPr>
            <w:tcW w:type="dxa" w:w="821"/>
          </w:tcPr>
          <w:p>
            <w:pPr>
              <w:pStyle w:val="null3"/>
              <w:jc w:val="left"/>
            </w:pPr>
            <w:r>
              <w:rPr>
                <w:rFonts w:ascii="仿宋_GB2312" w:hAnsi="仿宋_GB2312" w:cs="仿宋_GB2312" w:eastAsia="仿宋_GB2312"/>
              </w:rPr>
              <w:t>专网防火墙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A02010301 防火墙</w:t>
            </w:r>
          </w:p>
        </w:tc>
        <w:tc>
          <w:tcPr>
            <w:tcW w:type="dxa" w:w="821"/>
          </w:tcPr>
          <w:p>
            <w:pPr>
              <w:pStyle w:val="null3"/>
              <w:jc w:val="left"/>
            </w:pPr>
            <w:r>
              <w:rPr>
                <w:rFonts w:ascii="仿宋_GB2312" w:hAnsi="仿宋_GB2312" w:cs="仿宋_GB2312" w:eastAsia="仿宋_GB2312"/>
              </w:rPr>
              <w:t>互联网防火墙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A02010301 防火墙</w:t>
            </w:r>
          </w:p>
        </w:tc>
        <w:tc>
          <w:tcPr>
            <w:tcW w:type="dxa" w:w="821"/>
          </w:tcPr>
          <w:p>
            <w:pPr>
              <w:pStyle w:val="null3"/>
              <w:jc w:val="left"/>
            </w:pPr>
            <w:r>
              <w:rPr>
                <w:rFonts w:ascii="仿宋_GB2312" w:hAnsi="仿宋_GB2312" w:cs="仿宋_GB2312" w:eastAsia="仿宋_GB2312"/>
              </w:rPr>
              <w:t>互联网业务网闸</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A02010301 防火墙</w:t>
            </w:r>
          </w:p>
        </w:tc>
        <w:tc>
          <w:tcPr>
            <w:tcW w:type="dxa" w:w="821"/>
          </w:tcPr>
          <w:p>
            <w:pPr>
              <w:pStyle w:val="null3"/>
              <w:jc w:val="left"/>
            </w:pPr>
            <w:r>
              <w:rPr>
                <w:rFonts w:ascii="仿宋_GB2312" w:hAnsi="仿宋_GB2312" w:cs="仿宋_GB2312" w:eastAsia="仿宋_GB2312"/>
              </w:rPr>
              <w:t>安全数据交换平台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A02010301 防火墙</w:t>
            </w:r>
          </w:p>
        </w:tc>
        <w:tc>
          <w:tcPr>
            <w:tcW w:type="dxa" w:w="821"/>
          </w:tcPr>
          <w:p>
            <w:pPr>
              <w:pStyle w:val="null3"/>
              <w:jc w:val="left"/>
            </w:pPr>
            <w:r>
              <w:rPr>
                <w:rFonts w:ascii="仿宋_GB2312" w:hAnsi="仿宋_GB2312" w:cs="仿宋_GB2312" w:eastAsia="仿宋_GB2312"/>
              </w:rPr>
              <w:t>安全数据交换网闸</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专网防火墙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互联网防火墙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互联网业务网闸</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安全数据交换平台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安全数据交换网闸</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A02010301 防火墙</w:t>
            </w:r>
          </w:p>
        </w:tc>
        <w:tc>
          <w:tcPr>
            <w:tcW w:type="dxa" w:w="2492"/>
          </w:tcPr>
          <w:p>
            <w:pPr>
              <w:pStyle w:val="null3"/>
              <w:jc w:val="left"/>
            </w:pPr>
            <w:r>
              <w:rPr>
                <w:rFonts w:ascii="仿宋_GB2312" w:hAnsi="仿宋_GB2312" w:cs="仿宋_GB2312" w:eastAsia="仿宋_GB2312"/>
              </w:rPr>
              <w:t>安全数据交换平台</w:t>
            </w:r>
          </w:p>
        </w:tc>
        <w:tc>
          <w:tcPr>
            <w:tcW w:type="dxa" w:w="2492"/>
          </w:tcPr>
          <w:p>
            <w:pPr>
              <w:pStyle w:val="null3"/>
              <w:jc w:val="left"/>
            </w:pPr>
            <w:r>
              <w:rPr>
                <w:rFonts w:ascii="仿宋_GB2312" w:hAnsi="仿宋_GB2312" w:cs="仿宋_GB2312" w:eastAsia="仿宋_GB2312"/>
              </w:rPr>
              <w:t>安全数据交换平台</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标的名称：专网防火墙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标准机架式，双电源；配置</w:t>
            </w:r>
            <w:r>
              <w:rPr>
                <w:rFonts w:ascii="仿宋_GB2312" w:hAnsi="仿宋_GB2312" w:cs="仿宋_GB2312" w:eastAsia="仿宋_GB2312"/>
                <w:sz w:val="24"/>
              </w:rPr>
              <w:t>≥10个10/100M/1000M自适应千兆电接口及≥4个SFP光接口，内置≥60G硬盘，吞吐量≥5G，并发数≥200万，每秒新建连接数≥25万；具有下一代防火墙访问控制、入侵防御、网络防病毒、上网行为及URL分类管理、流控和IPSec VPN模块，三年特征库升级及硬件质保。</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支持静态路由，动态路由（</w:t>
            </w:r>
            <w:r>
              <w:rPr>
                <w:rFonts w:ascii="仿宋_GB2312" w:hAnsi="仿宋_GB2312" w:cs="仿宋_GB2312" w:eastAsia="仿宋_GB2312"/>
                <w:sz w:val="24"/>
              </w:rPr>
              <w:t>OSPF、RIP、BGP等），VLAN间路由，单臂路由等。</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IPv6安全控制策略设置，能针对IPV6的目的/源地址、目的/源服务端口、服务、扩展头属性等条件进行安全访问规则的设置。</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各种工作模式下均支持</w:t>
            </w:r>
            <w:r>
              <w:rPr>
                <w:rFonts w:ascii="仿宋_GB2312" w:hAnsi="仿宋_GB2312" w:cs="仿宋_GB2312" w:eastAsia="仿宋_GB2312"/>
                <w:sz w:val="24"/>
              </w:rPr>
              <w:t>H.323（H.323 GK）、SIP、FTP、MMS、RTSP、XDMCP、TNS等多种动态协议。</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应支持多链路智能选路，根据业务对抖动、时延和带宽的要求，在多条不同链路上智能动态选路，通过自动重传技术，实现链路切换时无丢包，业务不掉线；</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应支持链路负载均衡功能，无限制链路接入授权，无需额外购买授权；</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应支持</w:t>
            </w:r>
            <w:r>
              <w:rPr>
                <w:rFonts w:ascii="仿宋_GB2312" w:hAnsi="仿宋_GB2312" w:cs="仿宋_GB2312" w:eastAsia="仿宋_GB2312"/>
                <w:sz w:val="24"/>
              </w:rPr>
              <w:t>SD-WAN优化功能，能够对SD-WAN隧道的时延、抖动、带宽占用率、丢包率等提供可视化展示；</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应在各种工作模式下均支持</w:t>
            </w:r>
            <w:r>
              <w:rPr>
                <w:rFonts w:ascii="仿宋_GB2312" w:hAnsi="仿宋_GB2312" w:cs="仿宋_GB2312" w:eastAsia="仿宋_GB2312"/>
                <w:sz w:val="24"/>
              </w:rPr>
              <w:t>H.323（H.323 GK）、SIP、FTP、MMS、RTSP、XDMCP、TNS等多种视频协议；</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应支持基于接口</w:t>
            </w:r>
            <w:r>
              <w:rPr>
                <w:rFonts w:ascii="仿宋_GB2312" w:hAnsi="仿宋_GB2312" w:cs="仿宋_GB2312" w:eastAsia="仿宋_GB2312"/>
                <w:sz w:val="24"/>
              </w:rPr>
              <w:t>/安全域、地址、用户、服务、应用和时间的入侵防御策略设定，每个入侵防御策略均可配置检测事件及响应方式；</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应支持策略预编译技术，在大量防火墙访问控制策略情况下整机性能不受影响；</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应支持基于接口</w:t>
            </w:r>
            <w:r>
              <w:rPr>
                <w:rFonts w:ascii="仿宋_GB2312" w:hAnsi="仿宋_GB2312" w:cs="仿宋_GB2312" w:eastAsia="仿宋_GB2312"/>
                <w:sz w:val="24"/>
              </w:rPr>
              <w:t>/安全域、地址、用户、服务、应用和时间的会话控制策略，包括总连接数控制、每秒总新建连接数控制、每IP总连接数控制、每IP新建连接数控制；</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应支持防扫描功能，可基于管理员设定的阈值识别</w:t>
            </w:r>
            <w:r>
              <w:rPr>
                <w:rFonts w:ascii="仿宋_GB2312" w:hAnsi="仿宋_GB2312" w:cs="仿宋_GB2312" w:eastAsia="仿宋_GB2312"/>
                <w:sz w:val="24"/>
              </w:rPr>
              <w:t>TCP、UDP及PING扫描，并自动对发起扫描的主机进行限制。为提高防护效率，对于非法的数据TCP连接，具有阻断其TCP连接的能力。</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应支持基于</w:t>
            </w:r>
            <w:r>
              <w:rPr>
                <w:rFonts w:ascii="仿宋_GB2312" w:hAnsi="仿宋_GB2312" w:cs="仿宋_GB2312" w:eastAsia="仿宋_GB2312"/>
                <w:sz w:val="24"/>
              </w:rPr>
              <w:t>DPI和DFI技术的应用特征识别及行为控制，应用识别的种类不少于1800种，URL分类库规模不少于2000万条；</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应支持基于线路和多层通道嵌套的带宽管理和流量控制功能，且至少支持四层管道嵌套的流控；</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应支持对</w:t>
            </w:r>
            <w:r>
              <w:rPr>
                <w:rFonts w:ascii="仿宋_GB2312" w:hAnsi="仿宋_GB2312" w:cs="仿宋_GB2312" w:eastAsia="仿宋_GB2312"/>
                <w:sz w:val="24"/>
              </w:rPr>
              <w:t>HTTP、FTP、SMTP、POP3、IMAP协议的病毒检测和过滤功能，对文件感染型病毒、蠕虫病毒、脚本病毒、宏病毒、木马、恶意软件等过滤，病毒库数量不少于1000万；</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应支持对网络入侵行为事件分级分类功能，入侵防御事件库事件数量不少于</w:t>
            </w:r>
            <w:r>
              <w:rPr>
                <w:rFonts w:ascii="仿宋_GB2312" w:hAnsi="仿宋_GB2312" w:cs="仿宋_GB2312" w:eastAsia="仿宋_GB2312"/>
                <w:sz w:val="24"/>
              </w:rPr>
              <w:t>4000条；</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应支持防火墙日志云端存储与分析服务，并提供无限量云端日志存储空间，能够将防火墙、</w:t>
            </w:r>
            <w:r>
              <w:rPr>
                <w:rFonts w:ascii="仿宋_GB2312" w:hAnsi="仿宋_GB2312" w:cs="仿宋_GB2312" w:eastAsia="仿宋_GB2312"/>
                <w:sz w:val="24"/>
              </w:rPr>
              <w:t>NAT、系统和安全事件等日志一键上传至云端，能有效实现安全事件异地数据备份，并支持微信告警推送，微信报表推送，任意时间地点的日志查询服务。</w:t>
            </w:r>
          </w:p>
        </w:tc>
      </w:tr>
    </w:tbl>
    <w:p>
      <w:pPr>
        <w:pStyle w:val="null3"/>
        <w:jc w:val="left"/>
      </w:pPr>
      <w:r>
        <w:rPr>
          <w:rFonts w:ascii="仿宋_GB2312" w:hAnsi="仿宋_GB2312" w:cs="仿宋_GB2312" w:eastAsia="仿宋_GB2312"/>
        </w:rPr>
        <w:t>标的名称：互联网防火墙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标准</w:t>
            </w:r>
            <w:r>
              <w:rPr>
                <w:rFonts w:ascii="仿宋_GB2312" w:hAnsi="仿宋_GB2312" w:cs="仿宋_GB2312" w:eastAsia="仿宋_GB2312"/>
                <w:sz w:val="24"/>
              </w:rPr>
              <w:t>2U设备，双电源；配置≥6个10/100M/1000M自适应千兆电接口、≥4个千兆SFP接口（含光模块）、4个SFP+（万兆）及≥5个空余接口板扩展槽(后期不返厂可扩展40个千兆接口或20个万兆接口)(提供接口满配的图片或照片作为佐证)。本次内置配备60G SSD硬盘；吞吐量≥25G，最大并发数≥600万，每秒新建连接数≥25万，具有下一代防火墙访问控制、入侵防御、网络防病毒、上网行为及URL分类管理、流控和IPSec VPN功能，本次配备五年入侵防御、网络防病毒特征库升级服务,SSL VPN链接数无限制。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应支持基于硬件</w:t>
            </w:r>
            <w:r>
              <w:rPr>
                <w:rFonts w:ascii="仿宋_GB2312" w:hAnsi="仿宋_GB2312" w:cs="仿宋_GB2312" w:eastAsia="仿宋_GB2312"/>
                <w:sz w:val="24"/>
              </w:rPr>
              <w:t>Hypervisor技术的底层虚拟化，各个虚拟防火墙之间完全隔离，可运行不同的防火墙版本，拥有完全独立的CPU、内存、接口等资源；</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具备可实时动态选路、</w:t>
            </w:r>
            <w:r>
              <w:rPr>
                <w:rFonts w:ascii="仿宋_GB2312" w:hAnsi="仿宋_GB2312" w:cs="仿宋_GB2312" w:eastAsia="仿宋_GB2312"/>
                <w:sz w:val="24"/>
              </w:rPr>
              <w:t>WAN优化、动态VPN隧道、端到端的QoS、广域网TCP应用的双边加速技术，支持与威胁检测、威胁情报等联动。为提高防护效率，对于非法的数据TCP连接，具有阻断其TCP连接的能力。</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每个虚拟防火墙应提供完整的安全功能，包括防火墙、入侵防御、防病毒、上网行为管理和流控、</w:t>
            </w:r>
            <w:r>
              <w:rPr>
                <w:rFonts w:ascii="仿宋_GB2312" w:hAnsi="仿宋_GB2312" w:cs="仿宋_GB2312" w:eastAsia="仿宋_GB2312"/>
                <w:sz w:val="24"/>
              </w:rPr>
              <w:t>VPN、IPv4/IPv6双栈等；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应支持多链路智能选路，根据业务对抖动、时延和带宽的要求，在多条不同链路上智能动态选路，通过自动重传技术，实现链路切换时无丢包，业务不掉线；</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应支持链路负载均衡功能，无限制链路接入授权，无需额外购买授权</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应支持</w:t>
            </w:r>
            <w:r>
              <w:rPr>
                <w:rFonts w:ascii="仿宋_GB2312" w:hAnsi="仿宋_GB2312" w:cs="仿宋_GB2312" w:eastAsia="仿宋_GB2312"/>
                <w:sz w:val="24"/>
              </w:rPr>
              <w:t>SD-WAN优化功能，能够对SD-WAN隧道的时延、抖动、带宽占用率、丢包率等提供可视化展示；</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应支持基于接口</w:t>
            </w:r>
            <w:r>
              <w:rPr>
                <w:rFonts w:ascii="仿宋_GB2312" w:hAnsi="仿宋_GB2312" w:cs="仿宋_GB2312" w:eastAsia="仿宋_GB2312"/>
                <w:sz w:val="24"/>
              </w:rPr>
              <w:t>/安全域、地址、用户、服务、应用和时间的入侵防御策略设定，每个入侵防御策略均可配置检测事件及响应方式；</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应支持策略预编译技术，在大量防火墙访问控制策略情况下整机性能不受影响；</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4"/>
                <w:color w:val="000000"/>
              </w:rPr>
              <w:t>应支持基于接口</w:t>
            </w:r>
            <w:r>
              <w:rPr>
                <w:rFonts w:ascii="仿宋_GB2312" w:hAnsi="仿宋_GB2312" w:cs="仿宋_GB2312" w:eastAsia="仿宋_GB2312"/>
                <w:sz w:val="24"/>
                <w:color w:val="000000"/>
              </w:rPr>
              <w:t>/安全域、地址、用户、服务、应用和时间的会话控制策略，包括总连接数控制、每秒总新建连接数控制、每IP总连接数控制、每IP新建连接数控制。</w:t>
            </w:r>
          </w:p>
        </w:tc>
      </w:tr>
    </w:tbl>
    <w:p>
      <w:pPr>
        <w:pStyle w:val="null3"/>
        <w:jc w:val="left"/>
      </w:pPr>
      <w:r>
        <w:rPr>
          <w:rFonts w:ascii="仿宋_GB2312" w:hAnsi="仿宋_GB2312" w:cs="仿宋_GB2312" w:eastAsia="仿宋_GB2312"/>
        </w:rPr>
        <w:t>标的名称：互联网业务网闸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内网接口：配</w:t>
            </w:r>
            <w:r>
              <w:rPr>
                <w:rFonts w:ascii="仿宋_GB2312" w:hAnsi="仿宋_GB2312" w:cs="仿宋_GB2312" w:eastAsia="仿宋_GB2312"/>
                <w:sz w:val="24"/>
              </w:rPr>
              <w:t>≥4个10/100/1000M Base-TX网络接口，≥4个千兆SFP插槽，1个10/100/1000M Base-TX管理接口，1个10/100/1000M Base-TX HA接口（双机热备口）。外网接口：配≥4个10/100/1000M Base-TX网络接口，≥4个千兆SFP插槽，1个10/100/1000M Base-TX管理接口，1个10/100/1000M Base-TX HA接口（双机热备口），内部交换能力≥2000Mbps。全端口激活。软件系统：包含文件交换、FTP访问、数据库交换、邮件传输、安全浏览、安全通道、消息模块等。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应采用</w:t>
            </w:r>
            <w:r>
              <w:rPr>
                <w:rFonts w:ascii="仿宋_GB2312" w:hAnsi="仿宋_GB2312" w:cs="仿宋_GB2312" w:eastAsia="仿宋_GB2312"/>
                <w:sz w:val="24"/>
              </w:rPr>
              <w:t>“2+1”系统架构，即由两个主机系统和一个隔离交换专用硬件组成，隔离交换矩阵基于专用芯片实现，保证数据在搬移的时间内，内、外网隔离卡与内、外网系统为断开状态；</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内外网主机系统应分别支持双系统引导，并可在</w:t>
            </w:r>
            <w:r>
              <w:rPr>
                <w:rFonts w:ascii="仿宋_GB2312" w:hAnsi="仿宋_GB2312" w:cs="仿宋_GB2312" w:eastAsia="仿宋_GB2312"/>
                <w:sz w:val="24"/>
              </w:rPr>
              <w:t>WEB界面上直接配置启动顺序，在A系统发生故障时，可以随时切换到B系统；且支持系统(包括配置)备份；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应支持</w:t>
            </w:r>
            <w:r>
              <w:rPr>
                <w:rFonts w:ascii="仿宋_GB2312" w:hAnsi="仿宋_GB2312" w:cs="仿宋_GB2312" w:eastAsia="仿宋_GB2312"/>
                <w:sz w:val="24"/>
              </w:rPr>
              <w:t>IPV6网络环境下自身管理，支持纯IPV6网络环境、IPV4/IPV6双栈网络环境，支持将PV4/IPV6两种网络相互转换；</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应支持</w:t>
            </w:r>
            <w:r>
              <w:rPr>
                <w:rFonts w:ascii="仿宋_GB2312" w:hAnsi="仿宋_GB2312" w:cs="仿宋_GB2312" w:eastAsia="仿宋_GB2312"/>
                <w:sz w:val="24"/>
              </w:rPr>
              <w:t>M-JEPG，MPEG4、H.264、H.323等视频编码格式，且视频分辨率应支持D4、D1、VGA、2/3D1、1/1.8D1、SIF、3/4D1、CIF、QCIF等；</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应支持文件格式特征过滤；并能提供文件类型判断工具以帮助用户识别不常见文件类型；</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应支持</w:t>
            </w:r>
            <w:r>
              <w:rPr>
                <w:rFonts w:ascii="仿宋_GB2312" w:hAnsi="仿宋_GB2312" w:cs="仿宋_GB2312" w:eastAsia="仿宋_GB2312"/>
                <w:sz w:val="24"/>
              </w:rPr>
              <w:t>Oracle、SQL Server、Sybase、Db2、MySQL等主流数据库；数据库同步客户端应支持Windows、Linux等主流平台；</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应支持客户端与网闸间的数字证书方式的身份认证；</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应支持提供数据库访问用户的过滤和控制；</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应支持数据容错处理，当数据同步失败时，用户可以查询、恢复、删除未能正常传输的数据。作为数据隔离交换类产品，需具备内、外网络报文的识别的能力</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应支持文件交换采用客户端方式和无客户端方式的部署，并支持增量传输、发送后删除、改名传输等发送策略；</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应支持业务状态监控功能，实时提供业务是否可用、连接会话、流量统计等信息；</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应支持详细的日志记录功能，方便日志查询、统计等操作；</w:t>
            </w:r>
          </w:p>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4"/>
                <w:color w:val="000000"/>
              </w:rPr>
              <w:t>应支持数据库同步客户端的双机热备技术，提供更高的冗余技术支持。</w:t>
            </w:r>
          </w:p>
        </w:tc>
      </w:tr>
    </w:tbl>
    <w:p>
      <w:pPr>
        <w:pStyle w:val="null3"/>
        <w:jc w:val="left"/>
      </w:pPr>
      <w:r>
        <w:rPr>
          <w:rFonts w:ascii="仿宋_GB2312" w:hAnsi="仿宋_GB2312" w:cs="仿宋_GB2312" w:eastAsia="仿宋_GB2312"/>
        </w:rPr>
        <w:t>标的名称：安全数据交换平台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标准机架式机箱，双服务器主机架构，专用安全加固</w:t>
            </w:r>
            <w:r>
              <w:rPr>
                <w:rFonts w:ascii="仿宋_GB2312" w:hAnsi="仿宋_GB2312" w:cs="仿宋_GB2312" w:eastAsia="仿宋_GB2312"/>
                <w:sz w:val="24"/>
              </w:rPr>
              <w:t>Linux操作系统，冗余电源；吞吐量≥4000Mbps；内网接口：标配1个100/1000M Base-TX管理接口，1个10000M Base-TX网闸接口，1个10000M Base-TX网络接口，1个100/1000M Base-TX网络接口；</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外网接口：标配</w:t>
            </w:r>
            <w:r>
              <w:rPr>
                <w:rFonts w:ascii="仿宋_GB2312" w:hAnsi="仿宋_GB2312" w:cs="仿宋_GB2312" w:eastAsia="仿宋_GB2312"/>
                <w:sz w:val="24"/>
              </w:rPr>
              <w:t>1个100/1000M Base-TX管理接口，1个10000M Base-TX网闸接口，1个10000M Base-TX网络接口，1个100/1000M Base-TX网络接口；</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提供设备自身安全管理功能，提供基于</w:t>
            </w:r>
            <w:r>
              <w:rPr>
                <w:rFonts w:ascii="仿宋_GB2312" w:hAnsi="仿宋_GB2312" w:cs="仿宋_GB2312" w:eastAsia="仿宋_GB2312"/>
                <w:sz w:val="24"/>
              </w:rPr>
              <w:t>https的图形化安全管理，支持用户名/口令、数字证书、U-KEY等多种认证管理方式；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任务调度粒度秒级，目录监控触发时间</w:t>
            </w:r>
            <w:r>
              <w:rPr>
                <w:rFonts w:ascii="仿宋_GB2312" w:hAnsi="仿宋_GB2312" w:cs="仿宋_GB2312" w:eastAsia="仿宋_GB2312"/>
                <w:sz w:val="24"/>
              </w:rPr>
              <w:t>&lt;1秒，最大传输延时&lt;35ms，支持SYSLOG、SNMP V2/V3，支持双机热备，支持负载均衡，断点续传；</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支持文件交换过程中的病毒检测功能；</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Oracle、SQL Server等多种主流数据库同步，支持一对一、一对多、多对一数据库同步，不需要更改数据库结构和添加数据表，不影响数据库服务器性能；</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支持各种数据库之间的异构数据转换，包括：不同数据库、同类数据库不同版本的转换、异构表、异构字段名、异构字段类型的转换、异构字符类型、异构数据库字符集的转换、大字段的异构等；</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支持</w:t>
            </w:r>
            <w:r>
              <w:rPr>
                <w:rFonts w:ascii="仿宋_GB2312" w:hAnsi="仿宋_GB2312" w:cs="仿宋_GB2312" w:eastAsia="仿宋_GB2312"/>
                <w:sz w:val="24"/>
              </w:rPr>
              <w:t>SQL、Oracle、DB2、Sybase等主流数据库的访问；</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支持基于内、外网数据流报文识别技术，对用户进行精准的网络准入控制；</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支持交换对象的密级配置，低密级对象只能向高密级对象交换数据，高密级无法向低密级交换；</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4"/>
                <w:color w:val="000000"/>
              </w:rPr>
              <w:t>支持多套安全数据交换系统的负载均衡、互为热备模式。</w:t>
            </w:r>
          </w:p>
        </w:tc>
      </w:tr>
    </w:tbl>
    <w:p>
      <w:pPr>
        <w:pStyle w:val="null3"/>
        <w:jc w:val="left"/>
      </w:pPr>
      <w:r>
        <w:rPr>
          <w:rFonts w:ascii="仿宋_GB2312" w:hAnsi="仿宋_GB2312" w:cs="仿宋_GB2312" w:eastAsia="仿宋_GB2312"/>
        </w:rPr>
        <w:t>标的名称：安全数据交换网闸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内网接口：配</w:t>
            </w:r>
            <w:r>
              <w:rPr>
                <w:rFonts w:ascii="仿宋_GB2312" w:hAnsi="仿宋_GB2312" w:cs="仿宋_GB2312" w:eastAsia="仿宋_GB2312"/>
                <w:sz w:val="24"/>
              </w:rPr>
              <w:t>≥4个10/100/1000M Base-TX网络接口，≥4个千兆SFP插槽，1个10/100/1000M Base-TX管理接口，1个10/100/1000M Base-TX HA接口（双机热备口）。外网接口：配≥4个10/100/1000M Base-TX网络接口，≥4个千兆SFP插槽，1个10/100/1000M Base-TX管理接口，1个10/100/1000M Base-TX HA接口（双机热备口），内部交换能力≥2000Mbps。全端口激活。软件系统：包含文件交换、FTP访问、数据库交换、邮件传输、安全浏览、安全通道、消息模块等。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应采用</w:t>
            </w:r>
            <w:r>
              <w:rPr>
                <w:rFonts w:ascii="仿宋_GB2312" w:hAnsi="仿宋_GB2312" w:cs="仿宋_GB2312" w:eastAsia="仿宋_GB2312"/>
                <w:sz w:val="24"/>
              </w:rPr>
              <w:t>“2+1”系统架构，即由两个主机系统和一个隔离交换专用硬件组成，隔离交换矩阵基于专用芯片实现，保证数据在搬移的时间内，内、外网隔离卡与内、外网系统为断开状态；</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内外网主机系统应分别支持双系统引导，并可在</w:t>
            </w:r>
            <w:r>
              <w:rPr>
                <w:rFonts w:ascii="仿宋_GB2312" w:hAnsi="仿宋_GB2312" w:cs="仿宋_GB2312" w:eastAsia="仿宋_GB2312"/>
                <w:sz w:val="24"/>
              </w:rPr>
              <w:t>WEB界面上直接配置启动顺序，在A系统发生故障时，可以随时切换到B系统；且支持系统(包括配置)备份；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应支持</w:t>
            </w:r>
            <w:r>
              <w:rPr>
                <w:rFonts w:ascii="仿宋_GB2312" w:hAnsi="仿宋_GB2312" w:cs="仿宋_GB2312" w:eastAsia="仿宋_GB2312"/>
                <w:sz w:val="24"/>
              </w:rPr>
              <w:t>IPV6网络环境下自身管理，支持纯IPV6网络环境、IPV4/IPV6双栈网络环境，支持将PV4/IPV6两种网络相互转换；</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应支持</w:t>
            </w:r>
            <w:r>
              <w:rPr>
                <w:rFonts w:ascii="仿宋_GB2312" w:hAnsi="仿宋_GB2312" w:cs="仿宋_GB2312" w:eastAsia="仿宋_GB2312"/>
                <w:sz w:val="24"/>
              </w:rPr>
              <w:t>M-JEPG，MPEG4、H.264、H.323等视频编码格式，且视频分辨率应支持D4、D1、VGA、2/3D1、1/1.8D1、SIF、3/4D1、CIF、QCIF等；</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应支持文件格式特征过滤；并能提供文件类型判断工具以帮助用户识别不常见文件类型；</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应支持</w:t>
            </w:r>
            <w:r>
              <w:rPr>
                <w:rFonts w:ascii="仿宋_GB2312" w:hAnsi="仿宋_GB2312" w:cs="仿宋_GB2312" w:eastAsia="仿宋_GB2312"/>
                <w:sz w:val="24"/>
              </w:rPr>
              <w:t>Oracle、SQL Server、Sybase、Db2、MySQL等主流数据库；数据库同步客户端应支持Windows、Linux等主流平台；</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应支持客户端与网闸间的数字证书方式的身份认证；</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应支持提供数据库访问用户的过滤和控制；</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应支持数据容错处理，当数据同步失败时，用户可以查询、恢复、删除未能正常传输的数据。作为数据隔离交换类产品，需具备内、外网络报文的识别的能力</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应支持文件交换采用客户端方式和无客户端方式的部署，并支持增量传输、发送后删除、改名传输等发送策略；</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应支持业务状态监控功能，实时提供业务是否可用、连接会话、流量统计等信息；</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应支持详细的日志记录功能，方便日志查询、统计等操作；</w:t>
            </w:r>
          </w:p>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4"/>
                <w:color w:val="000000"/>
              </w:rPr>
              <w:t>应支持数据库同步客户端的双机热备技术，提供更高的冗余技术支持。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合同签订后3个月内完成配送、安装调试并验收合格交付使用。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遂宁市中心医院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1、进度款，签订合同后，在产品验收合格后甲方收到乙方开具的等额发票后，达到付款条件起45日内，支付合同总金额的95.00%</w:t>
            </w:r>
          </w:p>
          <w:p>
            <w:pPr>
              <w:pStyle w:val="null3"/>
              <w:jc w:val="left"/>
            </w:pPr>
            <w:r>
              <w:rPr>
                <w:rFonts w:ascii="仿宋_GB2312" w:hAnsi="仿宋_GB2312" w:cs="仿宋_GB2312" w:eastAsia="仿宋_GB2312"/>
              </w:rPr>
              <w:t>2、尾款，剩余合同总价的5%款项在产品验收合格之日起满1年后，达到付款条件起25日内，支付合同总金额的5.00%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符合国家（或行业）相关标准并通过采购人组织的验收考核，并严格按照《财政部关于进一步加强政府采购需求和履约验收管理的指导意见》（财库[2016]205 号）的相关要求、招标文件的规定和成交人的响应文件、合同条款内容组织验收。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质量要求： （1）成交供应商须提供全新的货物（含零部件、配件等），表面无划伤、无碰撞痕迹，且权属清楚，不得侵害他人的知识产权。 （2）货物必须符合或优于国家（行业）相关标准，以及本项目的质量要求和技术指标与出厂标准。 （3）货到现场后，由于采购人保管不当造成的质量问题，成交供应商亦应负责修理，但费用由采购人负担。 售后服务要求： （1）自验收合格之日起，质保期不少于3年；在质保期内，成交供应商应自带配件和安装工具对本次采购的所有产品进行上门免费安装调试和维护；在安装、调试产品的同时，对相关操作人员免费进行技术培训，使其按提供的操作规程使用产品，并熟悉例行维护的程序。对于人为损坏或其他不可抗拒的外部环境损坏部分，由成交供应商提供维修，只收取实际材料费（按厂价计算）。 （2）质保期内，供应商须提供专人7×24小时值守热线电话和在线技术支持，以保证及时与用户沟通，以最快的响应速度受理和解决用户所遇到的各种问题。如果出现技术故障和问题，在接到用户故障报告后响应时间不超过15分钟，在4小时内到达现场或者远程搭建解决问题的环境，如果在4小时内未解决故障和问题，将采取紧急预案，使设备得以正常运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（4）有下列情形之一的，当事人可以解除合同： ①因不可抗力致使不能实现合同目的(由于非供应商或采购人原因，致使合同实质性条款无法实现的)； ②当事人一方迟延履行主要债务，经催告后在合理期限内仍未履行； ③当事人一方迟延履行债务或者有其他违约行为致使不能实现合同目。 解决争议的方法： （1）因货物的质量问题发生争议，由质量技术监督部门或其指定的质量鉴定机构进行质量鉴定。货物符合标准的，鉴定费由甲方承担；货物不符合质量标准的，鉴定费由乙方承担。 （2）合同履行期间，若双方发生争议，由双方协商解决，协商不成，提交采购人所在地仲裁机构解决。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有责任对采购人数据保密，不得将采购人数据内容全部或部分泄露给第三方，否则，采购人将通过法律手段追究供应商的泄密责任。★2、安全责任：在履行合同过程中，由成交供应商自行负责和承担相关安全责任，采购人不承担任何安全责任，也不承担发生安全事故产生的任何责任。★3、以上产品专网防火墙、互联网防火墙、互联网业务网闸、安全数据交换网闸属于网络安全专用产品，需按照《信息安全技术、网络安全专用产品安全技术要求》等相关国家标准强制性要求，供应商须提供（由具备资格的机构安全认证合格或安全检测符合要求的证明材料）或提供有效期内的《计算机信息系统安全专用产品销售许可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②供应商若为事业法人：提供“统一社会信用代码法人登记证书”；未换证的提交 “事业法人登记证书、组织机构代码证”； ③供应商若为其他组织：提供“对应主管部门颁发的准许执业证明文件或营业执照”； ④供应商若为自然人：提供“身份证明材料”； ⑤若供应商为分公司的，提供其具有独立法人资格的上级公司出具的授权委托其参与本项目投标的授权委托书原件或授权链和供应商的营业执照复印件以及具有独立法人资格的上级公司的营业执照复印件。 注： 1、以上证明材料均提供扫描件并进行电子签章。 2、供应商根据自身情况，提供以上任意一项证明材料即可。</w:t>
            </w:r>
          </w:p>
        </w:tc>
        <w:tc>
          <w:tcPr>
            <w:tcW w:type="dxa" w:w="1661"/>
          </w:tcPr>
          <w:p>
            <w:pPr>
              <w:pStyle w:val="null3"/>
              <w:jc w:val="left"/>
            </w:pPr>
            <w:r>
              <w:rPr>
                <w:rFonts w:ascii="仿宋_GB2312" w:hAnsi="仿宋_GB2312" w:cs="仿宋_GB2312" w:eastAsia="仿宋_GB2312"/>
              </w:rPr>
              <w:t>响应文件封面,具有独立承担民事责任能力证明材料.docx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①供应商可提供 2023～2025年任意一年年度经审计的财务报告复印件（包含审计报告和审计报告中所涉及的财务报表和报表附注）； ②供应商也可提供 2023～2025年任意一年年度供应商内部的财务报表复印件（至少包含资产负债表）； ③供应商也可提供截止响应文件递交截止日一年内银行出具的资信证明（扫描件）； ④供应商注册时间截止响应文件递交截止日不足一年的，也可提供在工商备案的公司章程（扫描件）； ⑤供应商也可在使用投标(响应)客户端编制响应文件时，按要求填写《投标（响应）函》完成承诺并进行电子签章。 注： 1、以上证明材料均提供扫描件并进行电子签章。 2、供应商根据自身情况，提供以上任意一项证明材料即可。</w:t>
            </w:r>
          </w:p>
        </w:tc>
        <w:tc>
          <w:tcPr>
            <w:tcW w:type="dxa" w:w="1661"/>
          </w:tcPr>
          <w:p>
            <w:pPr>
              <w:pStyle w:val="null3"/>
              <w:jc w:val="left"/>
            </w:pPr>
            <w:r>
              <w:rPr>
                <w:rFonts w:ascii="仿宋_GB2312" w:hAnsi="仿宋_GB2312" w:cs="仿宋_GB2312" w:eastAsia="仿宋_GB2312"/>
              </w:rPr>
              <w:t>具有健全的财务会计制度证明材料.docx,投标（响应）函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参加此项采购活动的供应商及现任法定代表人（或负责人）、主要负责人无行贿犯罪记录</w:t>
            </w:r>
          </w:p>
        </w:tc>
        <w:tc>
          <w:tcPr>
            <w:tcW w:type="dxa" w:w="3322"/>
          </w:tcPr>
          <w:p>
            <w:pPr>
              <w:pStyle w:val="null3"/>
              <w:jc w:val="left"/>
            </w:pPr>
            <w:r>
              <w:rPr>
                <w:rFonts w:ascii="仿宋_GB2312" w:hAnsi="仿宋_GB2312" w:cs="仿宋_GB2312" w:eastAsia="仿宋_GB2312"/>
              </w:rPr>
              <w:t>提供参加此项采购活动的供应商及现任法定代表人（或负责人）、主要负责人的无行贿犯罪记录承诺书</w:t>
            </w:r>
          </w:p>
        </w:tc>
        <w:tc>
          <w:tcPr>
            <w:tcW w:type="dxa" w:w="1661"/>
          </w:tcPr>
          <w:p>
            <w:pPr>
              <w:pStyle w:val="null3"/>
              <w:jc w:val="left"/>
            </w:pPr>
            <w:r>
              <w:rPr>
                <w:rFonts w:ascii="仿宋_GB2312" w:hAnsi="仿宋_GB2312" w:cs="仿宋_GB2312" w:eastAsia="仿宋_GB2312"/>
              </w:rPr>
              <w:t>无行贿犯罪记录承诺书.docx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供应商按照采购文件“3.2技术要求”进行响应。</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供应商按照采购文件“3.3.2商务要求”进行响应。</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供应商按照采购文件“3.4其他要求”进行响应。</w:t>
            </w:r>
          </w:p>
        </w:tc>
        <w:tc>
          <w:tcPr>
            <w:tcW w:type="dxa" w:w="1661"/>
          </w:tcPr>
          <w:p>
            <w:pPr>
              <w:pStyle w:val="null3"/>
              <w:jc w:val="left"/>
            </w:pPr>
            <w:r>
              <w:rPr>
                <w:rFonts w:ascii="仿宋_GB2312" w:hAnsi="仿宋_GB2312" w:cs="仿宋_GB2312" w:eastAsia="仿宋_GB2312"/>
              </w:rPr>
              <w:t>其他实质性要求应答表.docx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详见附件：具有独立承担民事责任能力证明材料.docx</w:t>
      </w:r>
    </w:p>
    <w:p>
      <w:pPr>
        <w:pStyle w:val="null3"/>
        <w:ind w:firstLine="960"/>
        <w:jc w:val="left"/>
      </w:pPr>
      <w:r>
        <w:rPr>
          <w:rFonts w:ascii="仿宋_GB2312" w:hAnsi="仿宋_GB2312" w:cs="仿宋_GB2312" w:eastAsia="仿宋_GB2312"/>
        </w:rPr>
        <w:t>详见附件：具有健全的财务会计制度证明材料.docx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详见附件：其他实质性要求应答表.docx</w:t>
      </w:r>
    </w:p>
    <w:p>
      <w:pPr>
        <w:pStyle w:val="null3"/>
        <w:ind w:firstLine="960"/>
        <w:jc w:val="left"/>
      </w:pPr>
      <w:r>
        <w:rPr>
          <w:rFonts w:ascii="仿宋_GB2312" w:hAnsi="仿宋_GB2312" w:cs="仿宋_GB2312" w:eastAsia="仿宋_GB2312"/>
        </w:rPr>
        <w:t>详见附件：无行贿犯罪记录承诺书.docx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