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版本号：N511389202500000920251211001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2026-2027年度政府投资项目财政结算审核服务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N5113892025000009</w:t>
      </w:r>
    </w:p>
    <w:p>
      <w:pPr>
        <w:pStyle w:val="null3"/>
        <w:jc w:val="center"/>
        <w:outlineLvl w:val="2"/>
      </w:pPr>
      <w:r>
        <w:rPr>
          <w:rFonts w:ascii="仿宋_GB2312" w:hAnsi="仿宋_GB2312" w:cs="仿宋_GB2312" w:eastAsia="仿宋_GB2312"/>
          <w:sz w:val="28"/>
          <w:b/>
        </w:rPr>
        <w:t>四川南充经济开发区财政局</w:t>
      </w:r>
    </w:p>
    <w:p>
      <w:pPr>
        <w:pStyle w:val="null3"/>
        <w:jc w:val="center"/>
        <w:outlineLvl w:val="2"/>
      </w:pPr>
      <w:r>
        <w:rPr>
          <w:rFonts w:ascii="仿宋_GB2312" w:hAnsi="仿宋_GB2312" w:cs="仿宋_GB2312" w:eastAsia="仿宋_GB2312"/>
          <w:sz w:val="28"/>
          <w:b/>
        </w:rPr>
        <w:t>四川川宏招标代理有限公司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四川川宏招标代理有限公司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四川南充经济开发区财政局</w:t>
      </w:r>
      <w:r>
        <w:rPr>
          <w:rFonts w:ascii="仿宋_GB2312" w:hAnsi="仿宋_GB2312" w:cs="仿宋_GB2312" w:eastAsia="仿宋_GB2312"/>
        </w:rPr>
        <w:t xml:space="preserve"> 委托，拟对 </w:t>
      </w:r>
      <w:r>
        <w:rPr>
          <w:rFonts w:ascii="仿宋_GB2312" w:hAnsi="仿宋_GB2312" w:cs="仿宋_GB2312" w:eastAsia="仿宋_GB2312"/>
        </w:rPr>
        <w:t>2026-2027年度政府投资项目财政结算审核服务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N5113892025000009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2026-2027年度政府投资项目财政结算审核服务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目前，采购人专业技术力量不足。为了合理节约政府投资，规范项目的资金使用，针对政府性投资项目的工程结算审核工作的开展，聘请第三方中介机构提供技术服务支持。采购人拟通过竞争性磋商采购方式，实施2026-2027年度政府投资项目财政结算审核服务，服务期限两年；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以联合体形式参加政府采购的，参加联合体的供应商均应当具备《中华人民共和国政府采购法》第二十二条规定的条件，并提交联合协议，载明联合体各方承担的工作和义务。联合体各方均为中小企业，联合体内企业之间不得存在直接控股、管理关系。（描述：以联合体形式参加政府采购的，参加联合体的供应商均应当具备《中华人民共和国政府采购法》第二十二条规定的条件，并提交联合协议，载明联合体各方承担的工作和义务。联合体各方均为中小企业，联合体内企业之间不得存在直接控股、管理关系。）</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四川南充经济开发区财政局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南充市嘉陵区文峰大道企业服务中心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0817-3698637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四川川宏招标代理有限公司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四川省南充市嘉陵区陈寿路474号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637999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0817-3128388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代理服务费收费标准：本项目代理费按照成本加合理利润的原则，以成交金额为基准价格（成交金额100万以下部分按照1.5%进行计算收取，100-500万部分按照0.8%进行计算）。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四川南充经济开发区财政局</w:t>
      </w:r>
      <w:r>
        <w:rPr>
          <w:rFonts w:ascii="仿宋_GB2312" w:hAnsi="仿宋_GB2312" w:cs="仿宋_GB2312" w:eastAsia="仿宋_GB2312"/>
        </w:rPr>
        <w:t xml:space="preserve"> 和 </w:t>
      </w:r>
      <w:r>
        <w:rPr>
          <w:rFonts w:ascii="仿宋_GB2312" w:hAnsi="仿宋_GB2312" w:cs="仿宋_GB2312" w:eastAsia="仿宋_GB2312"/>
        </w:rPr>
        <w:t>四川川宏招标代理有限公司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四川南充经济开发区财政局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四川川宏招标代理有限公司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采购文件每一项技术要求的履约情况，成交供应商响应文件的响应和承诺、合同约定内容。验收时如发现有不符合标准及本项目规定情形的，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验收内容包括采购文件每一项商务要求的履约情况，成交供应商响应文件的响应和承诺、合同约定内容。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照本项目采购文件、成交供应商的响应文件、《政府采购合同》，按照《财政部关于进一步加强政府采购需求和履约验收管理的指导意见》（财库〔2016〕205号）要求，就供应商的履约情况进行评估验收，并形成验收报告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四川南充经济开发区财政局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四川川宏招标代理有限公司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四川川宏招标代理有限公司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联系电话：0817-3698637</w:t>
      </w:r>
    </w:p>
    <w:p>
      <w:pPr>
        <w:pStyle w:val="null3"/>
        <w:jc w:val="left"/>
      </w:pPr>
      <w:r>
        <w:rPr>
          <w:rFonts w:ascii="仿宋_GB2312" w:hAnsi="仿宋_GB2312" w:cs="仿宋_GB2312" w:eastAsia="仿宋_GB2312"/>
        </w:rPr>
        <w:t>地址：南充市嘉陵区文峰大道企业服务中心</w:t>
      </w:r>
    </w:p>
    <w:p>
      <w:pPr>
        <w:pStyle w:val="null3"/>
        <w:jc w:val="left"/>
      </w:pPr>
      <w:r>
        <w:rPr>
          <w:rFonts w:ascii="仿宋_GB2312" w:hAnsi="仿宋_GB2312" w:cs="仿宋_GB2312" w:eastAsia="仿宋_GB2312"/>
        </w:rPr>
        <w:t>邮编：637100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联系人：朱女士</w:t>
      </w:r>
    </w:p>
    <w:p>
      <w:pPr>
        <w:pStyle w:val="null3"/>
        <w:jc w:val="left"/>
      </w:pPr>
      <w:r>
        <w:rPr>
          <w:rFonts w:ascii="仿宋_GB2312" w:hAnsi="仿宋_GB2312" w:cs="仿宋_GB2312" w:eastAsia="仿宋_GB2312"/>
        </w:rPr>
        <w:t>联系电话：0817-3128388</w:t>
      </w:r>
    </w:p>
    <w:p>
      <w:pPr>
        <w:pStyle w:val="null3"/>
        <w:jc w:val="left"/>
      </w:pPr>
      <w:r>
        <w:rPr>
          <w:rFonts w:ascii="仿宋_GB2312" w:hAnsi="仿宋_GB2312" w:cs="仿宋_GB2312" w:eastAsia="仿宋_GB2312"/>
        </w:rPr>
        <w:t>地址：四川省南充市嘉陵区陈寿路474号</w:t>
      </w:r>
    </w:p>
    <w:p>
      <w:pPr>
        <w:pStyle w:val="null3"/>
        <w:jc w:val="left"/>
      </w:pPr>
      <w:r>
        <w:rPr>
          <w:rFonts w:ascii="仿宋_GB2312" w:hAnsi="仿宋_GB2312" w:cs="仿宋_GB2312" w:eastAsia="仿宋_GB2312"/>
        </w:rPr>
        <w:t>邮编：637999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C20030900 评审咨询服务</w:t>
            </w:r>
          </w:p>
        </w:tc>
        <w:tc>
          <w:tcPr>
            <w:tcW w:type="dxa" w:w="821"/>
          </w:tcPr>
          <w:p>
            <w:pPr>
              <w:pStyle w:val="null3"/>
              <w:jc w:val="left"/>
            </w:pPr>
            <w:r>
              <w:rPr>
                <w:rFonts w:ascii="仿宋_GB2312" w:hAnsi="仿宋_GB2312" w:cs="仿宋_GB2312" w:eastAsia="仿宋_GB2312"/>
              </w:rPr>
              <w:t>2026-2027年度政府投资项目财政结算审核服务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2026-2027年度政府投资项目财政结算审核服务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详见本采购文件 第三章 3.2.技术要求 中的“报价要求”。</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标的名称：2026-2027年度政府投资项目财政结算审核服务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服务要求及服务内容</w:t>
            </w:r>
          </w:p>
        </w:tc>
        <w:tc>
          <w:tcPr>
            <w:tcW w:type="dxa" w:w="5814"/>
          </w:tcPr>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（一）技术要求</w:t>
            </w:r>
          </w:p>
          <w:p>
            <w:pPr>
              <w:pStyle w:val="null3"/>
              <w:ind w:firstLine="440"/>
              <w:jc w:val="both"/>
            </w:pPr>
            <w:r>
              <w:rPr>
                <w:rFonts w:ascii="仿宋_GB2312" w:hAnsi="仿宋_GB2312" w:cs="仿宋_GB2312" w:eastAsia="仿宋_GB2312"/>
                <w:sz w:val="22"/>
              </w:rPr>
              <w:t>1.《建设工程造价咨询规范》（GB/T51095）。</w:t>
            </w:r>
          </w:p>
          <w:p>
            <w:pPr>
              <w:pStyle w:val="null3"/>
              <w:ind w:firstLine="440"/>
              <w:jc w:val="both"/>
            </w:pPr>
            <w:r>
              <w:rPr>
                <w:rFonts w:ascii="仿宋_GB2312" w:hAnsi="仿宋_GB2312" w:cs="仿宋_GB2312" w:eastAsia="仿宋_GB2312"/>
                <w:sz w:val="22"/>
              </w:rPr>
              <w:t>2.《建设工程造价咨询成果文件质量标准》（CECA/GC7)。</w:t>
            </w:r>
          </w:p>
          <w:p>
            <w:pPr>
              <w:pStyle w:val="null3"/>
              <w:ind w:firstLine="440"/>
              <w:jc w:val="both"/>
            </w:pPr>
            <w:r>
              <w:rPr>
                <w:rFonts w:ascii="仿宋_GB2312" w:hAnsi="仿宋_GB2312" w:cs="仿宋_GB2312" w:eastAsia="仿宋_GB2312"/>
                <w:sz w:val="22"/>
              </w:rPr>
              <w:t>3.《四川省工程造价咨询服务标准》（川建价师协[2017]11 号）。</w:t>
            </w:r>
          </w:p>
          <w:p>
            <w:pPr>
              <w:pStyle w:val="null3"/>
              <w:ind w:firstLine="440"/>
              <w:jc w:val="both"/>
            </w:pPr>
            <w:r>
              <w:rPr>
                <w:rFonts w:ascii="仿宋_GB2312" w:hAnsi="仿宋_GB2312" w:cs="仿宋_GB2312" w:eastAsia="仿宋_GB2312"/>
                <w:sz w:val="22"/>
              </w:rPr>
              <w:t>4.其他国家、地方、行业关于工程造价咨询的相关法律和规定。</w:t>
            </w:r>
          </w:p>
          <w:p>
            <w:pPr>
              <w:pStyle w:val="null3"/>
              <w:ind w:firstLine="440"/>
              <w:jc w:val="both"/>
            </w:pPr>
            <w:r>
              <w:rPr>
                <w:rFonts w:ascii="仿宋_GB2312" w:hAnsi="仿宋_GB2312" w:cs="仿宋_GB2312" w:eastAsia="仿宋_GB2312"/>
                <w:sz w:val="22"/>
              </w:rPr>
              <w:t>（二）服务要求</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1.一般管理原则：供应商应按照财政投资评审规程建立服务质量内控制度，按照国家相关法律法规和采购人的要求，独立、客观、公正、科学的开展工程造价咨询、</w:t>
            </w:r>
            <w:r>
              <w:rPr>
                <w:rFonts w:ascii="仿宋_GB2312" w:hAnsi="仿宋_GB2312" w:cs="仿宋_GB2312" w:eastAsia="仿宋_GB2312"/>
                <w:sz w:val="22"/>
              </w:rPr>
              <w:t>结算</w:t>
            </w:r>
            <w:r>
              <w:rPr>
                <w:rFonts w:ascii="仿宋_GB2312" w:hAnsi="仿宋_GB2312" w:cs="仿宋_GB2312" w:eastAsia="仿宋_GB2312"/>
                <w:sz w:val="22"/>
              </w:rPr>
              <w:t>审核工作，不得损害社会公共利益和他人的合法权益，对出具的政府投资基本建设项目审核报告承担相应法律责任。接受采购人及相关部门的监督检查。</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2.纪律要求：供应商应严守国家相关法律、职业道德。对咨询业务过程中发现的重大问题和发生争议的重大事项应及时向采购人书面反映，并接受采购人的管理和监督。对执业过程中知悉的商业秘密严加保密，不得向外界泄露。</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3.质量控制原则：供应商必须严格遵守《工程造价咨询企业管理办法》、《财政投资评审质量控制办法》等有关规定，按要求选派具备工程造价审核人员</w:t>
            </w:r>
            <w:r>
              <w:rPr>
                <w:rFonts w:ascii="仿宋_GB2312" w:hAnsi="仿宋_GB2312" w:cs="仿宋_GB2312" w:eastAsia="仿宋_GB2312"/>
                <w:sz w:val="22"/>
              </w:rPr>
              <w:t>开展结算评</w:t>
            </w:r>
            <w:r>
              <w:rPr>
                <w:rFonts w:ascii="仿宋_GB2312" w:hAnsi="仿宋_GB2312" w:cs="仿宋_GB2312" w:eastAsia="仿宋_GB2312"/>
                <w:sz w:val="22"/>
              </w:rPr>
              <w:t>审业务，保证资料、工作稿件的正确完整和规范，出具的审核报告、结论及意见须客观公正，符合法律法规及相关文件的要求，对出具的审核报告承担法律责任。</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4.供应商应对提交成果的真实性、准确性负责，向采购人、业主出具真实、合法的审核报告，并终身承担相应法律责任，同时应积极配合相关部门对审核结果的检查、抽查、复核。如因提交的审核结果违规或者不合法或者不符合要求而被相关单位处理处罚，则立即终止合同，扣除审核费用，并承担相应的法律责任。</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5.本项目不允许挂靠单位投标，不允许分包转包。</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6.回避原则：供应商审核人员因近亲属关系，间接利益关系或其他问题，可能对项目审核结论产生影响的，应提出申请予以回避。</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7.提交成果：供应商在采购人要求的时限内应提供咨询服务项目的成果资料，包括但不限于以下资料（含电子文档刻录光盘）；建设项目的工程量清单审核对比表、</w:t>
            </w:r>
            <w:r>
              <w:rPr>
                <w:rFonts w:ascii="仿宋_GB2312" w:hAnsi="仿宋_GB2312" w:cs="仿宋_GB2312" w:eastAsia="仿宋_GB2312"/>
                <w:sz w:val="22"/>
              </w:rPr>
              <w:t>结算审核书、结算审</w:t>
            </w:r>
            <w:r>
              <w:rPr>
                <w:rFonts w:ascii="仿宋_GB2312" w:hAnsi="仿宋_GB2312" w:cs="仿宋_GB2312" w:eastAsia="仿宋_GB2312"/>
                <w:sz w:val="22"/>
              </w:rPr>
              <w:t>核报告等；形成结果报告的实施方案、评审过程记录、会商记录、工作底稿等；法律法规或采购人要求提供的其他资料。</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8.业务结算要求：供应商在服务期间，可能因国家政策变化或其他原因导致无具体业务执行，采购人不保证供应商的具体业务量，均按实际发生业务结算。</w:t>
            </w:r>
          </w:p>
          <w:p>
            <w:pPr>
              <w:pStyle w:val="null3"/>
              <w:ind w:firstLine="380"/>
              <w:jc w:val="both"/>
            </w:pPr>
            <w:r>
              <w:rPr>
                <w:rFonts w:ascii="仿宋_GB2312" w:hAnsi="仿宋_GB2312" w:cs="仿宋_GB2312" w:eastAsia="仿宋_GB2312"/>
                <w:sz w:val="19"/>
              </w:rPr>
              <w:t>★</w:t>
            </w:r>
            <w:r>
              <w:rPr>
                <w:rFonts w:ascii="仿宋_GB2312" w:hAnsi="仿宋_GB2312" w:cs="仿宋_GB2312" w:eastAsia="仿宋_GB2312"/>
                <w:sz w:val="22"/>
              </w:rPr>
              <w:t>9.售后服务及要求：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1）供应商确定专人负责售后服务事宜。</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2）项目实施中出现问题时，供应商得到通知后1小时内响应，</w:t>
            </w:r>
            <w:r>
              <w:rPr>
                <w:rFonts w:ascii="仿宋_GB2312" w:hAnsi="仿宋_GB2312" w:cs="仿宋_GB2312" w:eastAsia="仿宋_GB2312"/>
                <w:sz w:val="22"/>
                <w:color w:val="0000FF"/>
                <w:u w:val="single"/>
              </w:rPr>
              <w:t>3</w:t>
            </w:r>
            <w:r>
              <w:rPr>
                <w:rFonts w:ascii="仿宋_GB2312" w:hAnsi="仿宋_GB2312" w:cs="仿宋_GB2312" w:eastAsia="仿宋_GB2312"/>
                <w:sz w:val="22"/>
              </w:rPr>
              <w:t>小时到达现场，快速解决问题。</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3）项目实施中要开展定期回访。</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4）严格执行国家相关法律、法规、规章，遵守行业执业准则、职业道德规范和廉洁从业纪律规定，不得将参审项目转包或分包给其他单位和个人。</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5）供应商应接受采购人已制定或修订的考核办法，服从采购人的考核和管理。</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6）供应商须按响应性文件中明确的人员组织开展审核服务。若在服务过程中未经采购人同意更换服务人员，采购人有权终止合同，并赔偿给采购人造成的一切损失，同时追究供应商相应的法律责任。</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7）供应商派出的人员的专业技术水平若达不到采购人的要求，采购人有权要求更换人员，更换的人员经采购人考核合格后方可参与项目审核。</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8）出现下列情况之一的，采购人有权终止合同,并将该参审机构情况上报上级相关部门。</w:t>
            </w:r>
          </w:p>
          <w:p>
            <w:pPr>
              <w:pStyle w:val="null3"/>
              <w:ind w:firstLine="440"/>
              <w:jc w:val="both"/>
            </w:pPr>
            <w:r>
              <w:rPr>
                <w:rFonts w:ascii="仿宋_GB2312" w:hAnsi="仿宋_GB2312" w:cs="仿宋_GB2312" w:eastAsia="仿宋_GB2312"/>
                <w:sz w:val="22"/>
              </w:rPr>
              <w:t>1)派驻人员与磋商文件约定不符的；</w:t>
            </w:r>
          </w:p>
          <w:p>
            <w:pPr>
              <w:pStyle w:val="null3"/>
              <w:ind w:firstLine="440"/>
              <w:jc w:val="both"/>
            </w:pPr>
            <w:r>
              <w:rPr>
                <w:rFonts w:ascii="仿宋_GB2312" w:hAnsi="仿宋_GB2312" w:cs="仿宋_GB2312" w:eastAsia="仿宋_GB2312"/>
                <w:sz w:val="22"/>
              </w:rPr>
              <w:t>2)无正当理由不服从采购人参审任务安排的；</w:t>
            </w:r>
          </w:p>
          <w:p>
            <w:pPr>
              <w:pStyle w:val="null3"/>
              <w:ind w:firstLine="440"/>
              <w:jc w:val="both"/>
            </w:pPr>
            <w:r>
              <w:rPr>
                <w:rFonts w:ascii="仿宋_GB2312" w:hAnsi="仿宋_GB2312" w:cs="仿宋_GB2312" w:eastAsia="仿宋_GB2312"/>
                <w:sz w:val="22"/>
              </w:rPr>
              <w:t>3)将采购人安排的参审任务转交第三方完成或与第三方单位(人员)共同完成的；</w:t>
            </w:r>
          </w:p>
          <w:p>
            <w:pPr>
              <w:pStyle w:val="null3"/>
              <w:ind w:firstLine="440"/>
              <w:jc w:val="both"/>
            </w:pPr>
            <w:r>
              <w:rPr>
                <w:rFonts w:ascii="仿宋_GB2312" w:hAnsi="仿宋_GB2312" w:cs="仿宋_GB2312" w:eastAsia="仿宋_GB2312"/>
                <w:sz w:val="22"/>
              </w:rPr>
              <w:t>4)联合体或者成员单位挂靠单位投标获得中标的；</w:t>
            </w:r>
          </w:p>
          <w:p>
            <w:pPr>
              <w:pStyle w:val="null3"/>
              <w:ind w:firstLine="440"/>
              <w:jc w:val="both"/>
            </w:pPr>
            <w:r>
              <w:rPr>
                <w:rFonts w:ascii="仿宋_GB2312" w:hAnsi="仿宋_GB2312" w:cs="仿宋_GB2312" w:eastAsia="仿宋_GB2312"/>
                <w:sz w:val="22"/>
              </w:rPr>
              <w:t>5)未履行对参审任务的审核过程、相关资料、技术等信息保密义务,将参审任务内容透露给除工程项目业主及采购人以外的任何单位和人员,造成重大损失的；</w:t>
            </w:r>
          </w:p>
          <w:p>
            <w:pPr>
              <w:pStyle w:val="null3"/>
              <w:ind w:firstLine="440"/>
              <w:jc w:val="both"/>
            </w:pPr>
            <w:r>
              <w:rPr>
                <w:rFonts w:ascii="仿宋_GB2312" w:hAnsi="仿宋_GB2312" w:cs="仿宋_GB2312" w:eastAsia="仿宋_GB2312"/>
                <w:sz w:val="22"/>
              </w:rPr>
              <w:t>6)隐瞒审核发现的问题或者与被审核单位等串通舞弊；</w:t>
            </w:r>
          </w:p>
          <w:p>
            <w:pPr>
              <w:pStyle w:val="null3"/>
              <w:ind w:firstLine="440"/>
              <w:jc w:val="both"/>
            </w:pPr>
            <w:r>
              <w:rPr>
                <w:rFonts w:ascii="仿宋_GB2312" w:hAnsi="仿宋_GB2312" w:cs="仿宋_GB2312" w:eastAsia="仿宋_GB2312"/>
                <w:sz w:val="22"/>
              </w:rPr>
              <w:t>7)以审核人员或采购人名义,从事与该参审任务无关的活动的；</w:t>
            </w:r>
          </w:p>
          <w:p>
            <w:pPr>
              <w:pStyle w:val="null3"/>
              <w:ind w:firstLine="440"/>
              <w:jc w:val="both"/>
            </w:pPr>
            <w:r>
              <w:rPr>
                <w:rFonts w:ascii="仿宋_GB2312" w:hAnsi="仿宋_GB2312" w:cs="仿宋_GB2312" w:eastAsia="仿宋_GB2312"/>
                <w:sz w:val="22"/>
              </w:rPr>
              <w:t>8)利用参审任务进行索贿、受贿,从被审核单位等获取不正当利益的；</w:t>
            </w:r>
          </w:p>
          <w:p>
            <w:pPr>
              <w:pStyle w:val="null3"/>
              <w:ind w:firstLine="440"/>
              <w:jc w:val="both"/>
            </w:pPr>
            <w:r>
              <w:rPr>
                <w:rFonts w:ascii="仿宋_GB2312" w:hAnsi="仿宋_GB2312" w:cs="仿宋_GB2312" w:eastAsia="仿宋_GB2312"/>
                <w:sz w:val="22"/>
              </w:rPr>
              <w:t>9)拒绝接受采购人管理和考核的；</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9）供应商应对提交成果的真实性、准确性等负责，向采购人出具真实、合法的审核报告，并终身承担相应法律责任，同时应积极配合相关部门或采购人对审核结果的检查、复核。如果提交的结果被相关单位处理或处罚，采购人将立即中止合同，扣除审核费用，并追究供应商相应的法律责任。</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10）如因供应商的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11）若因政策调整、计划变更或不具备工作条件等非采购人原因导致审核服务无法实施的，采购人有权根据工作需要无条件单方面解除政府采购合同，不视作违约；若该项目部分工程无法实施，以实际实施内容支付服务费。</w:t>
            </w:r>
          </w:p>
          <w:p>
            <w:pPr>
              <w:pStyle w:val="null3"/>
              <w:ind w:firstLine="440"/>
              <w:jc w:val="both"/>
            </w:pPr>
            <w:r>
              <w:rPr>
                <w:rFonts w:ascii="仿宋_GB2312" w:hAnsi="仿宋_GB2312" w:cs="仿宋_GB2312" w:eastAsia="仿宋_GB2312"/>
                <w:sz w:val="22"/>
              </w:rPr>
              <w:t>10.其他要求：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1）人员安排要求：供应商需要为采购人提供结算审核服务团队，并安排专人负责审核工作。派出完成各项目的成员响应性文件中承诺的审核人员。</w:t>
            </w:r>
          </w:p>
          <w:p>
            <w:pPr>
              <w:pStyle w:val="null3"/>
              <w:ind w:firstLine="440"/>
              <w:jc w:val="both"/>
            </w:pPr>
            <w:r>
              <w:rPr>
                <w:rFonts w:ascii="仿宋_GB2312" w:hAnsi="仿宋_GB2312" w:cs="仿宋_GB2312" w:eastAsia="仿宋_GB2312"/>
                <w:sz w:val="22"/>
              </w:rPr>
              <w:t>1）项目总负责人：具有全国注册造价工程师或一级注册造价工程师资格，同时具有高级职称及以上；</w:t>
            </w:r>
          </w:p>
          <w:p>
            <w:pPr>
              <w:pStyle w:val="null3"/>
              <w:ind w:firstLine="440"/>
              <w:jc w:val="both"/>
            </w:pPr>
            <w:r>
              <w:rPr>
                <w:rFonts w:ascii="仿宋_GB2312" w:hAnsi="仿宋_GB2312" w:cs="仿宋_GB2312" w:eastAsia="仿宋_GB2312"/>
                <w:sz w:val="22"/>
              </w:rPr>
              <w:t>2）项目经理：具有全国注册造价工程师或一级注册造价工程师资格，同时具有高级职称及以上；</w:t>
            </w:r>
          </w:p>
          <w:p>
            <w:pPr>
              <w:pStyle w:val="null3"/>
              <w:ind w:firstLine="440"/>
              <w:jc w:val="both"/>
            </w:pPr>
            <w:r>
              <w:rPr>
                <w:rFonts w:ascii="仿宋_GB2312" w:hAnsi="仿宋_GB2312" w:cs="仿宋_GB2312" w:eastAsia="仿宋_GB2312"/>
                <w:sz w:val="22"/>
              </w:rPr>
              <w:t>3）专业组长：具有全国注册造价工程师或一级注册造价工程师资格，同时具有中级职称及以上；</w:t>
            </w:r>
          </w:p>
          <w:p>
            <w:pPr>
              <w:pStyle w:val="null3"/>
              <w:ind w:firstLine="440"/>
              <w:jc w:val="both"/>
            </w:pPr>
            <w:r>
              <w:rPr>
                <w:rFonts w:ascii="仿宋_GB2312" w:hAnsi="仿宋_GB2312" w:cs="仿宋_GB2312" w:eastAsia="仿宋_GB2312"/>
                <w:sz w:val="22"/>
              </w:rPr>
              <w:t>4）其他专业技术人员：具有全国注册造价工程师或一级注册造价工程师资格。</w:t>
            </w:r>
          </w:p>
          <w:p>
            <w:pPr>
              <w:pStyle w:val="null3"/>
              <w:ind w:firstLine="440"/>
              <w:jc w:val="both"/>
            </w:pPr>
            <w:r>
              <w:rPr>
                <w:rFonts w:ascii="仿宋_GB2312" w:hAnsi="仿宋_GB2312" w:cs="仿宋_GB2312" w:eastAsia="仿宋_GB2312"/>
                <w:sz w:val="22"/>
              </w:rPr>
              <w:t>注：</w:t>
            </w:r>
            <w:r>
              <w:rPr>
                <w:rFonts w:ascii="仿宋_GB2312" w:hAnsi="仿宋_GB2312" w:cs="仿宋_GB2312" w:eastAsia="仿宋_GB2312"/>
                <w:sz w:val="22"/>
              </w:rPr>
              <w:t>1）-4）项专业人员不得交叉配置，各专业按取得专业注册证书的时间为工作经验的起始时间；供应商在整个审核服务过程中应保持人员（回避人员除外）的稳定，任何人员的更换、调整应事先征得采购人的同意，若供应商擅自更换、调整人员，视同拒绝履行政府采购合同，采购人可中止合同，并将依法追究法律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40"/>
              <w:jc w:val="both"/>
            </w:pPr>
            <w:r>
              <w:rPr>
                <w:rFonts w:ascii="仿宋_GB2312" w:hAnsi="仿宋_GB2312" w:cs="仿宋_GB2312" w:eastAsia="仿宋_GB2312"/>
                <w:sz w:val="22"/>
              </w:rPr>
              <w:t>（一）本项目采用下浮率方式进行报价，按照《工程造价咨询服务收费标准》中“审核竣工结算”的计费作为本项目的最高限价，供应商在此基础上报价，报价超过最高限价的为无效报价。项目“效益审核费”按项目造价审减金额的4%计取由委托单位负担，效益审核费按供应商报出的下浮率同比例下浮。单个项目结算费=基本审核费×（1-下浮比例）+效益审核费×（1-下浮比例）。结算时，对于单个评审费用不足3000元的项目，按3000元计算；供应商的成交报价是包含供应商因履行本项目服务义务所需的人工、设备、器械、物料与耗材、差旅费、保险、税金等一切费用，采购人不再支付除成交报价外的其他任何费用。</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color w:val="0000FF"/>
                <w:u w:val="single"/>
              </w:rPr>
              <w:t>二</w:t>
            </w:r>
            <w:r>
              <w:rPr>
                <w:rFonts w:ascii="仿宋_GB2312" w:hAnsi="仿宋_GB2312" w:cs="仿宋_GB2312" w:eastAsia="仿宋_GB2312"/>
                <w:sz w:val="22"/>
              </w:rPr>
              <w:t>）本项目实际服务费用根据项目情况按计费标准确定。审核结算项目类型包含：（</w:t>
            </w:r>
            <w:r>
              <w:rPr>
                <w:rFonts w:ascii="仿宋_GB2312" w:hAnsi="仿宋_GB2312" w:cs="仿宋_GB2312" w:eastAsia="仿宋_GB2312"/>
                <w:sz w:val="22"/>
              </w:rPr>
              <w:t>1）土建项目（含房屋建筑与装饰项目及配套安装、构筑物、住宅小区绿化）；（2）市政项目（含市政公用基础设施项目及配套安装、市政园林绿化）；（3）交通运输项目（公路项目、道路与桥梁及交通配套安装项目、道路绿化、内河运输项目、铁路项目）；（4）水利水电项目（含水利、水电、水保、土地整理、地质灾害治理、其他未包括的行业项目：专业安装、专业仿古等）；(5)其他项目。政府投资项目结算审核服务内容：对服务项目进行结算审核，并完成甲方委托的其他与审核结算相关的工作内容。除满足国家相关法规制度要求标准外，还包括实施项目整体分析、审核重点筛查、造价审减原因分析、落实问题责任等内容及拟制相应文书等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联合体要求</w:t>
            </w:r>
          </w:p>
        </w:tc>
        <w:tc>
          <w:tcPr>
            <w:tcW w:type="dxa" w:w="5814"/>
          </w:tcPr>
          <w:p>
            <w:pPr>
              <w:pStyle w:val="null3"/>
              <w:jc w:val="left"/>
            </w:pPr>
            <w:r>
              <w:rPr>
                <w:rFonts w:ascii="仿宋_GB2312" w:hAnsi="仿宋_GB2312" w:cs="仿宋_GB2312" w:eastAsia="仿宋_GB2312"/>
                <w:sz w:val="22"/>
              </w:rPr>
              <w:t>供应商如属于联合体投标，</w:t>
            </w:r>
            <w:r>
              <w:rPr>
                <w:rFonts w:ascii="仿宋_GB2312" w:hAnsi="仿宋_GB2312" w:cs="仿宋_GB2312" w:eastAsia="仿宋_GB2312"/>
                <w:sz w:val="22"/>
              </w:rPr>
              <w:t>联合体各方应签订联合体协议，公平合理分工，相互协作配合，明确各方职能职责，如因业务分工不均衡、费用分配不合理，导致可能影响评审业务质量和评审效率的，采购方有权提出异议，并要求供应商进行整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对照本项目磋商文件的要求和成交供应商响应文件的要求及政府采购合同约定，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1、签订政府采购合同后，达到付款条件起5日内，据实情况说明为采购人支付合同总金额的40%为预付款</w:t>
            </w:r>
          </w:p>
          <w:p>
            <w:pPr>
              <w:pStyle w:val="null3"/>
              <w:jc w:val="left"/>
            </w:pPr>
            <w:r>
              <w:rPr>
                <w:rFonts w:ascii="仿宋_GB2312" w:hAnsi="仿宋_GB2312" w:cs="仿宋_GB2312" w:eastAsia="仿宋_GB2312"/>
              </w:rPr>
              <w:t>2、供应商完成审结并出具合格审核报告半年后，采购人按照实际完成工作量结算一次服务费用，同时供应商须出具合格发票，达到付款条件起30日内，据实情况说明为支付至合同总金额的100.00%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双方均应遵守合同，非因不可抗力而单方面终止执行合同的，将赔偿因违约给对方造成的经济损失，并向对方支付合同总额10%的违约金，如因供应商原因造成的，由采购人提请项目同级财政部门将其列入不良行为记录。②若因供应商原因在合同规定期限内无法提供服务，采购人有权终止合同，并请示项目同级财政部门进行处理，并由供应商向采购人支付10%的违约金；或经采购双方协商同意继续履行合同，采购人视情况每天按合同总额3‰的标准收取违约金。因不可抗拒力所导致的交货及付款延迟等按照《中华人民共和国民法典》有关条文处理。③供应商提供的服务质量不符合合同规定的，供应商应向采购人支付合同总价的5%的违约金，并须在15日内完善后续的服务工作，否则，视作供应商不能履约而违约。④如因供应商工作人员在履行职务过程中的的疏忽、失职、过错等故意或者过失原因给采购人造成损失或侵害，包括但不限于采购人本身的财产损失。由此而导致的采购人对任何第三方的法律责任等，投标人对此均应承担全部的赔偿责任。⑤解决争议的方法：合同履行期间,若双方发生争议，双方本着友好合作的态度，对合同履行过程中发生的违约行为进行及时的协商解决或由有关部门调解解决，如不能协商解决可向合同签约地法院通过法律诉讼解决。 ⑥采购人和成交供应商双方必须遵守合同并执行合同中的各项规定，保证合同的正常履行。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1.供应商提供项目实施方案，内容包含：①审计目标；②审计依据、重点及审计措施；③审计方法；④审计工作步骤；⑤审计人员的安排和计划；⑥审计质量控制；⑦参审服务措施。 2.供应商提供内控制度，至少包括：①岗位责任制度；②风险防范管理制度；③信息保密制度；④遵章守纪、良好执业管理制度；⑤廉洁从审制度；⑥作业时效管理办法；⑦三级复核制度。 3.供应商提供有与本次采购项目类似的履约经验的证明材料。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2.提供统一社会信用代码证照扫描件。</w:t>
            </w:r>
          </w:p>
        </w:tc>
        <w:tc>
          <w:tcPr>
            <w:tcW w:type="dxa" w:w="1910"/>
          </w:tcPr>
          <w:p>
            <w:pPr>
              <w:pStyle w:val="null3"/>
              <w:jc w:val="left"/>
            </w:pPr>
            <w:r>
              <w:rPr>
                <w:rFonts w:ascii="仿宋_GB2312" w:hAnsi="仿宋_GB2312" w:cs="仿宋_GB2312" w:eastAsia="仿宋_GB2312"/>
              </w:rPr>
              <w:t>响应文件封面,具有独立承担民事责任的能力证明材料.docx,投标（响应）函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以联合体形式参加政府采购的，参加联合体的供应商均应当具备《中华人民共和国政府采购法》第二十二条规定的条件，并提交联合协议，载明联合体各方承担的工作和义务。联合体各方均为中小企业，联合体内企业之间不得存在直接控股、管理关系。</w:t>
            </w:r>
          </w:p>
        </w:tc>
        <w:tc>
          <w:tcPr>
            <w:tcW w:type="dxa" w:w="3322"/>
          </w:tcPr>
          <w:p>
            <w:pPr>
              <w:pStyle w:val="null3"/>
              <w:jc w:val="left"/>
            </w:pPr>
            <w:r>
              <w:rPr>
                <w:rFonts w:ascii="仿宋_GB2312" w:hAnsi="仿宋_GB2312" w:cs="仿宋_GB2312" w:eastAsia="仿宋_GB2312"/>
              </w:rPr>
              <w:t>以联合体形式参加政府采购的，参加联合体的供应商均应当具备《中华人民共和国政府采购法》第二十二条规定的条件，并提交联合协议，载明联合体各方承担的工作和义务。联合体各方均为中小企业，联合体内企业之间不得存在直接控股、管理关系。</w:t>
            </w:r>
          </w:p>
        </w:tc>
        <w:tc>
          <w:tcPr>
            <w:tcW w:type="dxa" w:w="1910"/>
          </w:tcPr>
          <w:p>
            <w:pPr>
              <w:pStyle w:val="null3"/>
              <w:jc w:val="left"/>
            </w:pPr>
            <w:r>
              <w:rPr>
                <w:rFonts w:ascii="仿宋_GB2312" w:hAnsi="仿宋_GB2312" w:cs="仿宋_GB2312" w:eastAsia="仿宋_GB2312"/>
              </w:rPr>
              <w:t>联合体协议书.docx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按磋商文件第三章中“3.2技术要求”的内容逐条响应。</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按磋商文件第三章中“3.3.2商务要求”的内容逐条响应。</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供应商报价低于采购预算50% 或者低于其他有效供应商报价算术平均价40%，有可能影响产品质量或者不能诚信履约的，磋商小组应当要求其在合理的时间内通过交易系统进行书面说明、提交相关证明材料，并加盖电子印章。书面说明应当按照国家财务会计制度的规定要求，逐项就供应商提供的货物、工程和服务的主营业务成本（应根据供应商企业类型予以区别）、税金及附加、销售费用、管理费用、财务费用等成本构成事项详细陈述。供应商拒绝或者变相拒绝提供有效书面说明或者书面说明不能证明其报价合理性的，磋商小组应当将其响应文件作为无效响应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磋商文件规定的其他实质性内容</w:t>
            </w:r>
          </w:p>
        </w:tc>
        <w:tc>
          <w:tcPr>
            <w:tcW w:type="dxa" w:w="3322"/>
          </w:tcPr>
          <w:p>
            <w:pPr>
              <w:pStyle w:val="null3"/>
              <w:jc w:val="left"/>
            </w:pPr>
            <w:r>
              <w:rPr>
                <w:rFonts w:ascii="仿宋_GB2312" w:hAnsi="仿宋_GB2312" w:cs="仿宋_GB2312" w:eastAsia="仿宋_GB2312"/>
              </w:rPr>
              <w:t>磋商文件规定的其他实质性内容</w:t>
            </w:r>
          </w:p>
        </w:tc>
        <w:tc>
          <w:tcPr>
            <w:tcW w:type="dxa" w:w="1910"/>
          </w:tcPr>
          <w:p>
            <w:pPr>
              <w:pStyle w:val="null3"/>
              <w:jc w:val="left"/>
            </w:pPr>
            <w:r>
              <w:rPr>
                <w:rFonts w:ascii="仿宋_GB2312" w:hAnsi="仿宋_GB2312" w:cs="仿宋_GB2312" w:eastAsia="仿宋_GB2312"/>
              </w:rPr>
              <w:t>其他证明材料.docx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响应文件的签署、盖章</w:t>
            </w:r>
          </w:p>
        </w:tc>
        <w:tc>
          <w:tcPr>
            <w:tcW w:type="dxa" w:w="3322"/>
          </w:tcPr>
          <w:p>
            <w:pPr>
              <w:pStyle w:val="null3"/>
              <w:jc w:val="left"/>
            </w:pPr>
            <w:r>
              <w:rPr>
                <w:rFonts w:ascii="仿宋_GB2312" w:hAnsi="仿宋_GB2312" w:cs="仿宋_GB2312" w:eastAsia="仿宋_GB2312"/>
              </w:rPr>
              <w:t>响应文件的签署、盖章</w:t>
            </w:r>
          </w:p>
        </w:tc>
        <w:tc>
          <w:tcPr>
            <w:tcW w:type="dxa" w:w="1910"/>
          </w:tcPr>
          <w:p>
            <w:pPr>
              <w:pStyle w:val="null3"/>
              <w:jc w:val="left"/>
            </w:pPr>
            <w:r>
              <w:rPr>
                <w:rFonts w:ascii="仿宋_GB2312" w:hAnsi="仿宋_GB2312" w:cs="仿宋_GB2312" w:eastAsia="仿宋_GB2312"/>
              </w:rPr>
              <w:t>具有独立承担民事责任的能力证明材料.docx,中小企业声明函,方案.docx,其他证明材料.docx,报价表,商务应答表.docx,技术要求应答表.docx,响应文件封面,人员配置清单.docx,残疾人福利性单位声明函,具有健全财务会计制度的证明材料,投标（响应）函,联合体协议书.docx,类似业绩.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项目实施方案、内控制度方案、拟派本项目的人员配置、履约经验</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项目实施方案进行评审，内容包含：①审计目标；②审计依据、重点及审计措施；③审计方法；④审计工作步骤；⑤审计人员的安排和计划；⑥审计质量控制；⑦参审服务措施。完全满足的得35分，每缺少一项内容的扣5分，每有一处内容存在缺陷的扣2.5分，扣完为止。 有缺陷是指：项目名称、实施地点、采购主体、项目内容、时间错误；内容与本项目需求无关；方案阐述不连贯或内容交叉混乱；不利于本项目实施；与对应单项的要求缺少重要节点（如仅有框架或标题、单项内容仅有复制本项目采购文件内容的要求、涉及内容无重点，缺乏关键节点内容、措施）；套用有其他项目特征的方案内容；内容前后矛盾；与本次采购需求存在偏差；内容涉及适用的法律法规、规范及标准（方法）过期（失效）或出现错误或与本项目要求不一致；方案中有语言文字错误或漏字、表达混乱、阐述不清、语句不通顺或表述有歧义等；非专门针对本项目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拟派本项目的人员配置</w:t>
            </w:r>
          </w:p>
        </w:tc>
        <w:tc>
          <w:tcPr>
            <w:tcW w:type="dxa" w:w="2575"/>
          </w:tcPr>
          <w:p>
            <w:pPr>
              <w:pStyle w:val="null3"/>
              <w:jc w:val="left"/>
            </w:pPr>
            <w:r>
              <w:rPr>
                <w:rFonts w:ascii="仿宋_GB2312" w:hAnsi="仿宋_GB2312" w:cs="仿宋_GB2312" w:eastAsia="仿宋_GB2312"/>
              </w:rPr>
              <w:t>1.项目总负责人1人（3分）：具有一级注册造价工程师资格（土建专业）且同时具有高级职称及以上得1分；具有一级注册造价工程师资格（交通运输专业）加1分；具有一级注册造价工程师资格（水利专业）加1分，本小项满分3分。 2.项目经理（4分）：具有一级注册造价工程师资格且同时具有高级职称及以上，每有1人得0.4分，本项满分4分。 3.专业组长（8分）：①土建专业负责人：具有一级注册造价工程师资格（土建专业）及中级及以上职称，每有1人满足得0.2分，最多得2分。②安装专业负责人：具有一级注册造价工程师资格（安装专业）及中级及以上职称，每有1人满足得0.2分，最多得2分。③公路专业负责人：具有一级注册造价工程师资格（交通运输专业），每有1人满足得0.2分，最多得2分。④水利专业负责人：具有一级注册造价工程师资格（水利专业），每有1人满足得0.2分，最多得2分。 4.其他专业技术人员（5分）：具有一级注册造价工程师资格，每有1人满足得0.1分，最多得5分。 注：全国注册造价工程师等同于一级造价工程师；交通运输部公路工程造价人员（甲级）等同于一级造价工程师（交通运输工程）；水利工程造价工程师等同于一级造价工程师（水利工程），以上人员不重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人员配置清单.docx</w:t>
            </w:r>
          </w:p>
        </w:tc>
      </w:tr>
      <w:tr>
        <w:tc>
          <w:tcPr>
            <w:tcW w:type="dxa" w:w="831"/>
            <w:vMerge/>
          </w:tcPr>
          <w:p/>
        </w:tc>
        <w:tc>
          <w:tcPr>
            <w:tcW w:type="dxa" w:w="1661"/>
          </w:tcPr>
          <w:p>
            <w:pPr>
              <w:pStyle w:val="null3"/>
              <w:jc w:val="left"/>
            </w:pPr>
            <w:r>
              <w:rPr>
                <w:rFonts w:ascii="仿宋_GB2312" w:hAnsi="仿宋_GB2312" w:cs="仿宋_GB2312" w:eastAsia="仿宋_GB2312"/>
              </w:rPr>
              <w:t>内控制度方案</w:t>
            </w:r>
          </w:p>
        </w:tc>
        <w:tc>
          <w:tcPr>
            <w:tcW w:type="dxa" w:w="2575"/>
          </w:tcPr>
          <w:p>
            <w:pPr>
              <w:pStyle w:val="null3"/>
              <w:jc w:val="left"/>
            </w:pPr>
            <w:r>
              <w:rPr>
                <w:rFonts w:ascii="仿宋_GB2312" w:hAnsi="仿宋_GB2312" w:cs="仿宋_GB2312" w:eastAsia="仿宋_GB2312"/>
              </w:rPr>
              <w:t>根据内控制度进行评审，至少包括：①岗位责任制度；②风险防范管理制度；③信息保密制度；④遵章守纪、良好执业管理制度；⑤廉洁从审制度；⑥作业时效管理办法；⑦三级复核制度。完全满足的得21分，每缺少一项内容的扣3分，每有一处内容存在缺陷的扣1.5分，扣完为止。 有缺陷是指：项目名称、实施地点、采购主体、项目内容、时间错误；内容与本项目需求无关；方案阐述不连贯或内容交叉混乱；不利于本项目实施；与对应单项的要求缺少重要节点（如仅有框架或标题、单项内容仅有复制本项目采购文件内容的要求、涉及内容无重点，缺乏关键节点内容、措施）；套用有其他项目特征的方案内容；内容前后矛盾；与本次采购需求存在偏差；内容涉及适用的法律法规、规范及标准（方法）过期（失效）或出现错误或与本项目要求不一致；方案中有语言文字错误或漏字、表达混乱、阐述不清、语句不通顺或表述有歧义等；非专门针对本项目等任意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供应商2022年1月1日（含1日）以来具有一个已完成类似本项目业绩的得0.3分，本项最多得9分。 注：提供合同扫描件或报告扫描件，否则不得分（如联合体投标，联合体成员任何一个或者多个成员方提供均可）。</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详见附件：联合体协议书.docx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详见附件：人员配置清单.docx</w:t>
      </w:r>
    </w:p>
    <w:p>
      <w:pPr>
        <w:pStyle w:val="null3"/>
        <w:ind w:firstLine="960"/>
        <w:jc w:val="left"/>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