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版本号：240704001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智能化新能源汽车人才育训基地</w:t>
      </w:r>
    </w:p>
    <w:p>
      <w:pPr>
        <w:pStyle w:val="null3"/>
        <w:jc w:val="center"/>
        <w:outlineLvl w:val="2"/>
      </w:pPr>
      <w:r>
        <w:rPr>
          <w:b/>
          <w:sz w:val="28"/>
        </w:rPr>
        <w:t>采购项目编号：</w:t>
      </w:r>
      <w:r>
        <w:rPr>
          <w:b/>
          <w:sz w:val="28"/>
        </w:rPr>
        <w:t>N5101012024001143</w:t>
      </w:r>
    </w:p>
    <w:p>
      <w:pPr>
        <w:pStyle w:val="null3"/>
        <w:jc w:val="left"/>
        <w:outlineLvl w:val="2"/>
      </w:pPr>
      <w:r>
        <w:rPr>
          <w:b/>
          <w:sz w:val="28"/>
        </w:rPr>
        <w:t>成都工业职业技术学院</w:t>
      </w:r>
    </w:p>
    <w:p>
      <w:pPr>
        <w:pStyle w:val="null3"/>
        <w:jc w:val="center"/>
        <w:outlineLvl w:val="2"/>
      </w:pPr>
      <w:r>
        <w:rPr>
          <w:b/>
          <w:sz w:val="28"/>
        </w:rPr>
        <w:t>成都市政府采购中心</w:t>
      </w:r>
      <w:r>
        <w:rPr>
          <w:b/>
          <w:sz w:val="28"/>
        </w:rPr>
        <w:t>共同编制</w:t>
      </w:r>
    </w:p>
    <w:p>
      <w:pPr>
        <w:pStyle w:val="null3"/>
        <w:jc w:val="center"/>
      </w:pPr>
      <w:r>
        <w:rPr/>
        <w:t>2024年07月04日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成都市政府采购中心</w:t>
      </w:r>
      <w:r>
        <w:rPr/>
        <w:t xml:space="preserve"> （以下简称“代理机构”）受 </w:t>
      </w:r>
      <w:r>
        <w:rPr/>
        <w:t>成都工业职业技术学院</w:t>
      </w:r>
      <w:r>
        <w:rPr/>
        <w:t xml:space="preserve"> 委托，拟对 </w:t>
      </w:r>
      <w:r>
        <w:rPr/>
        <w:t>智能化新能源汽车人才育训基地</w:t>
      </w:r>
      <w:r>
        <w:rPr/>
        <w:t xml:space="preserve"> 采用公开招标方式进行采购，兹邀请符合本次招标要求的供应商参加投标。本项目为四川省</w:t>
      </w:r>
      <w:r>
        <w:rPr/>
        <w:t>成都市市本级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N5101012024001143</w:t>
      </w:r>
    </w:p>
    <w:p>
      <w:pPr>
        <w:pStyle w:val="null3"/>
        <w:jc w:val="left"/>
        <w:outlineLvl w:val="2"/>
      </w:pPr>
      <w:r>
        <w:rPr>
          <w:b/>
          <w:sz w:val="28"/>
        </w:rPr>
        <w:t>1.2.采购项目名称</w:t>
      </w:r>
      <w:r>
        <w:rPr>
          <w:b/>
          <w:sz w:val="28"/>
        </w:rPr>
        <w:t xml:space="preserve">： </w:t>
      </w:r>
      <w:r>
        <w:rPr>
          <w:b/>
          <w:sz w:val="28"/>
        </w:rPr>
        <w:t>智能化新能源汽车人才育训基地</w:t>
      </w:r>
    </w:p>
    <w:p>
      <w:pPr>
        <w:pStyle w:val="null3"/>
        <w:jc w:val="left"/>
        <w:outlineLvl w:val="2"/>
      </w:pPr>
      <w:r>
        <w:rPr>
          <w:b/>
          <w:sz w:val="28"/>
        </w:rPr>
        <w:t>1.3.招标项目简介</w:t>
      </w:r>
    </w:p>
    <w:p>
      <w:pPr>
        <w:pStyle w:val="null3"/>
        <w:ind w:firstLine="480"/>
        <w:jc w:val="left"/>
      </w:pPr>
      <w:r>
        <w:rPr/>
        <w:t>1、资金来源、预算金额及最高限价：财政性资金，政府采购实施计划备案表号：51010024210200028900[2024]03444；预算品目：空调机；预算金额：208000.00元；最高限价：208000.00元。 2、投诉受理单位：本项目同级财政部门，即成都市财政局。 联系电话：028-61882648。 地址：成都市高新区锦城大道366号。 邮编：610041。 3、采购内容：为实验室、实训基地及教室购置并安装26台3匹柜机空调，包括26台柜机安装的施工、电路敷设、安装辅材等，另含2套旧空调的移机及安装服务。</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采购包1：不专门面向中小企业采购。</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成都工业职业技术学院</w:t>
      </w:r>
    </w:p>
    <w:p>
      <w:pPr>
        <w:pStyle w:val="null3"/>
        <w:jc w:val="left"/>
      </w:pPr>
      <w:r>
        <w:rPr/>
        <w:t xml:space="preserve"> 地址： </w:t>
      </w:r>
      <w:r>
        <w:rPr/>
        <w:t>成都市天府新区（成都片区）正兴街道大安路818号</w:t>
      </w:r>
    </w:p>
    <w:p>
      <w:pPr>
        <w:pStyle w:val="null3"/>
        <w:jc w:val="left"/>
      </w:pPr>
      <w:r>
        <w:rPr/>
        <w:t xml:space="preserve"> 邮编： </w:t>
      </w:r>
      <w:r>
        <w:rPr/>
        <w:t>610218</w:t>
      </w:r>
    </w:p>
    <w:p>
      <w:pPr>
        <w:pStyle w:val="null3"/>
        <w:jc w:val="left"/>
      </w:pPr>
      <w:r>
        <w:rPr/>
        <w:t xml:space="preserve"> 联系人： </w:t>
      </w:r>
      <w:r>
        <w:rPr/>
        <w:t>杨超</w:t>
      </w:r>
    </w:p>
    <w:p>
      <w:pPr>
        <w:pStyle w:val="null3"/>
        <w:jc w:val="left"/>
      </w:pPr>
      <w:r>
        <w:rPr/>
        <w:t xml:space="preserve"> 联系电话： </w:t>
      </w:r>
      <w:r>
        <w:rPr/>
        <w:t>028-85640295</w:t>
      </w:r>
    </w:p>
    <w:p>
      <w:pPr>
        <w:pStyle w:val="null3"/>
        <w:jc w:val="left"/>
      </w:pPr>
      <w:r>
        <w:rPr>
          <w:b/>
        </w:rPr>
        <w:t>代理机构</w:t>
      </w:r>
      <w:r>
        <w:rPr>
          <w:b/>
        </w:rPr>
        <w:t xml:space="preserve">： </w:t>
      </w:r>
      <w:r>
        <w:rPr>
          <w:b/>
        </w:rPr>
        <w:t>成都市政府采购中心</w:t>
      </w:r>
    </w:p>
    <w:p>
      <w:pPr>
        <w:pStyle w:val="null3"/>
        <w:jc w:val="left"/>
      </w:pPr>
      <w:r>
        <w:rPr/>
        <w:t xml:space="preserve"> 地址： </w:t>
      </w:r>
      <w:r>
        <w:rPr/>
        <w:t>成都市天府大道北段966号(天府国际金融中心7号楼)</w:t>
      </w:r>
    </w:p>
    <w:p>
      <w:pPr>
        <w:pStyle w:val="null3"/>
        <w:jc w:val="left"/>
      </w:pPr>
      <w:r>
        <w:rPr/>
        <w:t xml:space="preserve"> 邮编： </w:t>
      </w:r>
      <w:r>
        <w:rPr/>
        <w:t>610000</w:t>
      </w:r>
    </w:p>
    <w:p>
      <w:pPr>
        <w:pStyle w:val="null3"/>
        <w:jc w:val="left"/>
      </w:pPr>
      <w:r>
        <w:rPr/>
        <w:t xml:space="preserve"> 联系人： </w:t>
      </w:r>
      <w:r>
        <w:rPr/>
        <w:t>康茜</w:t>
      </w:r>
    </w:p>
    <w:p>
      <w:pPr>
        <w:pStyle w:val="null3"/>
        <w:jc w:val="left"/>
      </w:pPr>
      <w:r>
        <w:rPr/>
        <w:t xml:space="preserve"> 联系电话： </w:t>
      </w:r>
      <w:r>
        <w:rPr/>
        <w:t>028-85325792</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采购包1：208,000.00元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采购包1：最低评标价法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成都工业职业技术学院</w:t>
      </w:r>
      <w:r>
        <w:rPr/>
        <w:t xml:space="preserve"> 和 </w:t>
      </w:r>
      <w:r>
        <w:rPr/>
        <w:t>成都市政府采购中心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成都工业职业技术学院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成都市政府采购中心</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采购合同签订后</w:t>
      </w:r>
      <w:r>
        <w:rPr/>
        <w:t xml:space="preserve"> ，达到验收条件起 </w:t>
      </w:r>
      <w:r>
        <w:rPr/>
        <w:t>10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投标人仅在完成设备安装、调试，正常使用后方可提出验收申请</w:t>
      </w:r>
    </w:p>
    <w:p>
      <w:pPr>
        <w:pStyle w:val="null3"/>
        <w:ind w:firstLine="480"/>
        <w:jc w:val="left"/>
      </w:pPr>
      <w:r>
        <w:rPr/>
        <w:t>九、技术履约验收内容：</w:t>
      </w:r>
    </w:p>
    <w:p>
      <w:pPr>
        <w:pStyle w:val="null3"/>
        <w:ind w:firstLine="480"/>
        <w:jc w:val="left"/>
      </w:pPr>
      <w:r>
        <w:rPr/>
        <w:t>采购包1：</w:t>
      </w:r>
      <w:r>
        <w:rPr/>
        <w:t>按照招标文件、投标文件及合同约定的要求逐一进行验收。</w:t>
      </w:r>
    </w:p>
    <w:p>
      <w:pPr>
        <w:pStyle w:val="null3"/>
        <w:ind w:firstLine="480"/>
        <w:jc w:val="left"/>
      </w:pPr>
      <w:r>
        <w:rPr/>
        <w:t>十、商务履约验收内容：</w:t>
      </w:r>
    </w:p>
    <w:p>
      <w:pPr>
        <w:pStyle w:val="null3"/>
        <w:ind w:firstLine="480"/>
        <w:jc w:val="left"/>
      </w:pPr>
      <w:r>
        <w:rPr/>
        <w:t>采购包1：</w:t>
      </w:r>
      <w:r>
        <w:rPr/>
        <w:t>按照招标文件、投标文件及合同约定的要求逐一进行验收。</w:t>
      </w:r>
    </w:p>
    <w:p>
      <w:pPr>
        <w:pStyle w:val="null3"/>
        <w:ind w:firstLine="480"/>
        <w:jc w:val="left"/>
      </w:pPr>
      <w:r>
        <w:rPr/>
        <w:t>十一、履约验收标准：</w:t>
      </w:r>
    </w:p>
    <w:p>
      <w:pPr>
        <w:pStyle w:val="null3"/>
        <w:ind w:firstLine="480"/>
        <w:jc w:val="left"/>
      </w:pPr>
      <w:r>
        <w:rPr/>
        <w:t>采购包1：</w:t>
      </w:r>
      <w:r>
        <w:rPr/>
        <w:t>采购人将严格按照《财政部关于进一步加强政府采购需求和履约验收管理的指导意见》（财库〔2016〕205号）及政府采购相关法律法规的要求以及招标文件、投标文件和采购合同和供应商的承诺进行验收。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成都工业职业技术学院</w:t>
      </w:r>
      <w:r>
        <w:rPr/>
        <w:t xml:space="preserve"> 负责答复；投标人对除采购需求外的招标文件的询问、质疑由 </w:t>
      </w:r>
      <w:r>
        <w:rPr/>
        <w:t>成都市政府采购中心</w:t>
      </w:r>
      <w:r>
        <w:rPr/>
        <w:t xml:space="preserve"> 负责答复；投标人对采购过程、采购结果的询问、质疑由 </w:t>
      </w:r>
      <w:r>
        <w:rPr/>
        <w:t>成都市政府采购中心</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联系人：康茜</w:t>
      </w:r>
    </w:p>
    <w:p>
      <w:pPr>
        <w:pStyle w:val="null3"/>
        <w:jc w:val="left"/>
      </w:pPr>
      <w:r>
        <w:rPr/>
        <w:t>联系电话：028-85325792</w:t>
      </w:r>
    </w:p>
    <w:p>
      <w:pPr>
        <w:pStyle w:val="null3"/>
        <w:jc w:val="left"/>
      </w:pPr>
      <w:r>
        <w:rPr/>
        <w:t>地址：成都市天府大道北段966号(天府国际金融中心7号楼)</w:t>
      </w:r>
    </w:p>
    <w:p>
      <w:pPr>
        <w:pStyle w:val="null3"/>
        <w:jc w:val="left"/>
      </w:pPr>
      <w:r>
        <w:rPr/>
        <w:t>邮编：610000</w:t>
      </w:r>
    </w:p>
    <w:p>
      <w:pPr>
        <w:pStyle w:val="null3"/>
        <w:jc w:val="left"/>
      </w:pPr>
      <w:r>
        <w:rPr/>
        <w:t>答复主体：采购人</w:t>
      </w:r>
    </w:p>
    <w:p>
      <w:pPr>
        <w:pStyle w:val="null3"/>
        <w:jc w:val="left"/>
      </w:pPr>
      <w:r>
        <w:rPr/>
        <w:t>联系人：杨超</w:t>
      </w:r>
    </w:p>
    <w:p>
      <w:pPr>
        <w:pStyle w:val="null3"/>
        <w:jc w:val="left"/>
      </w:pPr>
      <w:r>
        <w:rPr/>
        <w:t>联系电话：028-85640295</w:t>
      </w:r>
    </w:p>
    <w:p>
      <w:pPr>
        <w:pStyle w:val="null3"/>
        <w:jc w:val="left"/>
      </w:pPr>
      <w:r>
        <w:rPr/>
        <w:t>地址：成都市天府新区（成都片区）正兴街道大安路818号</w:t>
      </w:r>
    </w:p>
    <w:p>
      <w:pPr>
        <w:pStyle w:val="null3"/>
        <w:jc w:val="left"/>
      </w:pPr>
      <w:r>
        <w:rPr/>
        <w:t>邮编：610218</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为实验室、实训基地及教室购置并安装26台3匹柜机空调，包括26台柜机安装的施工、电路敷设、安装辅材等，另含2套旧空调的移机及安装服务。</w:t>
      </w:r>
    </w:p>
    <w:p>
      <w:pPr>
        <w:pStyle w:val="null3"/>
        <w:jc w:val="left"/>
        <w:outlineLvl w:val="2"/>
      </w:pPr>
      <w:r>
        <w:rPr>
          <w:b/>
          <w:sz w:val="28"/>
        </w:rPr>
        <w:t>3.2.采购内容</w:t>
      </w:r>
    </w:p>
    <w:p>
      <w:pPr>
        <w:pStyle w:val="null3"/>
        <w:jc w:val="left"/>
      </w:pPr>
      <w:r>
        <w:rPr/>
        <w:t>采购包1：</w:t>
      </w:r>
    </w:p>
    <w:p>
      <w:pPr>
        <w:pStyle w:val="null3"/>
        <w:jc w:val="left"/>
      </w:pPr>
      <w:r>
        <w:rPr/>
        <w:t>采购包预算金额（元）: 208,000.00</w:t>
      </w:r>
    </w:p>
    <w:p>
      <w:pPr>
        <w:pStyle w:val="null3"/>
        <w:jc w:val="left"/>
      </w:pPr>
      <w:r>
        <w:rPr/>
        <w:t>采购包最高限价（元）: 208,000.00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空调机</w:t>
            </w:r>
          </w:p>
        </w:tc>
        <w:tc>
          <w:tcPr>
            <w:tcW w:type="dxa" w:w="821"/>
          </w:tcPr>
          <w:p>
            <w:pPr>
              <w:pStyle w:val="null3"/>
              <w:jc w:val="left"/>
            </w:pPr>
            <w:r>
              <w:rPr/>
              <w:t>空调</w:t>
            </w:r>
          </w:p>
        </w:tc>
        <w:tc>
          <w:tcPr>
            <w:tcW w:type="dxa" w:w="821"/>
          </w:tcPr>
          <w:p>
            <w:pPr>
              <w:pStyle w:val="null3"/>
              <w:jc w:val="right"/>
            </w:pPr>
            <w:r>
              <w:rPr/>
              <w:t>26.00（台）</w:t>
            </w:r>
          </w:p>
        </w:tc>
        <w:tc>
          <w:tcPr>
            <w:tcW w:type="dxa" w:w="821"/>
          </w:tcPr>
          <w:p>
            <w:pPr>
              <w:pStyle w:val="null3"/>
              <w:jc w:val="right"/>
            </w:pPr>
            <w:r>
              <w:rPr/>
              <w:t>208,000.00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空调</w:t>
            </w:r>
          </w:p>
        </w:tc>
        <w:tc>
          <w:tcPr>
            <w:tcW w:type="dxa" w:w="977"/>
          </w:tcPr>
          <w:p>
            <w:pPr>
              <w:pStyle w:val="null3"/>
              <w:jc w:val="right"/>
            </w:pPr>
            <w:r>
              <w:rPr/>
              <w:t>26.00（台）</w:t>
            </w:r>
          </w:p>
        </w:tc>
        <w:tc>
          <w:tcPr>
            <w:tcW w:type="dxa" w:w="1173"/>
          </w:tcPr>
          <w:p>
            <w:pPr>
              <w:pStyle w:val="null3"/>
              <w:jc w:val="right"/>
            </w:pPr>
            <w:r>
              <w:rPr/>
              <w:t>8,000.00（元）</w:t>
            </w:r>
          </w:p>
        </w:tc>
        <w:tc>
          <w:tcPr>
            <w:tcW w:type="dxa" w:w="1173"/>
          </w:tcPr>
          <w:p>
            <w:pPr>
              <w:pStyle w:val="null3"/>
              <w:jc w:val="right"/>
            </w:pPr>
            <w:r>
              <w:rPr/>
              <w:t>208,000.00</w:t>
            </w:r>
          </w:p>
        </w:tc>
        <w:tc>
          <w:tcPr>
            <w:tcW w:type="dxa" w:w="977"/>
          </w:tcPr>
          <w:p>
            <w:pPr>
              <w:pStyle w:val="null3"/>
              <w:jc w:val="left"/>
            </w:pPr>
            <w:r>
              <w:rPr/>
              <w:t>总价</w:t>
            </w:r>
          </w:p>
        </w:tc>
        <w:tc>
          <w:tcPr>
            <w:tcW w:type="dxa" w:w="1661"/>
          </w:tcPr>
          <w:p>
            <w:pPr>
              <w:pStyle w:val="null3"/>
              <w:jc w:val="left"/>
            </w:pPr>
            <w:r>
              <w:rPr/>
              <w:t>响应报价=数量×单价</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空调机</w:t>
            </w:r>
          </w:p>
        </w:tc>
        <w:tc>
          <w:tcPr>
            <w:tcW w:type="dxa" w:w="2492"/>
          </w:tcPr>
          <w:p>
            <w:pPr>
              <w:pStyle w:val="null3"/>
              <w:jc w:val="left"/>
            </w:pPr>
            <w:r>
              <w:rPr/>
              <w:t>空调</w:t>
            </w:r>
          </w:p>
        </w:tc>
        <w:tc>
          <w:tcPr>
            <w:tcW w:type="dxa" w:w="2492"/>
          </w:tcPr>
          <w:p>
            <w:pPr>
              <w:pStyle w:val="null3"/>
              <w:jc w:val="left"/>
            </w:pPr>
            <w:r>
              <w:rPr/>
              <w:t>空调</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空调机</w:t>
            </w:r>
          </w:p>
        </w:tc>
        <w:tc>
          <w:tcPr>
            <w:tcW w:type="dxa" w:w="2492"/>
          </w:tcPr>
          <w:p>
            <w:pPr>
              <w:pStyle w:val="null3"/>
              <w:jc w:val="left"/>
            </w:pPr>
            <w:r>
              <w:rPr/>
              <w:t>空调</w:t>
            </w:r>
          </w:p>
        </w:tc>
        <w:tc>
          <w:tcPr>
            <w:tcW w:type="dxa" w:w="2492"/>
          </w:tcPr>
          <w:p>
            <w:pPr>
              <w:pStyle w:val="null3"/>
              <w:jc w:val="left"/>
            </w:pPr>
            <w:r>
              <w:rPr/>
              <w:t>空调（品目：A0206180203 空调机,依据的标准：GB21455-2019 ）</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空调机</w:t>
            </w:r>
          </w:p>
        </w:tc>
        <w:tc>
          <w:tcPr>
            <w:tcW w:type="dxa" w:w="2492"/>
          </w:tcPr>
          <w:p>
            <w:pPr>
              <w:pStyle w:val="null3"/>
              <w:jc w:val="left"/>
            </w:pPr>
            <w:r>
              <w:rPr/>
              <w:t>空调</w:t>
            </w:r>
          </w:p>
        </w:tc>
        <w:tc>
          <w:tcPr>
            <w:tcW w:type="dxa" w:w="2492"/>
          </w:tcPr>
          <w:p>
            <w:pPr>
              <w:pStyle w:val="null3"/>
              <w:jc w:val="left"/>
            </w:pPr>
            <w:r>
              <w:rPr/>
              <w:t>空调（品目：A0206180203 空调机，依据的标准： HJ2535房间空气调节器）</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calibri,sans-serif&quot;, serif" w:hAnsi="&quot;calibri,sans-serif&quot;, serif" w:cs="&quot;calibri,sans-serif&quot;, serif" w:eastAsia="&quot;calibri,sans-serif&quot;, serif"/>
                <w:sz w:val="20"/>
              </w:rPr>
              <w:t>1</w:t>
            </w:r>
            <w:r>
              <w:rPr>
                <w:rFonts w:ascii="&quot;calibri,sans-serif&quot;, serif" w:hAnsi="&quot;calibri,sans-serif&quot;, serif" w:cs="&quot;calibri,sans-serif&quot;, serif" w:eastAsia="&quot;calibri,sans-serif&quot;, serif"/>
                <w:sz w:val="20"/>
              </w:rPr>
              <w:t>、变频柜机；制冷类型：冷暖</w:t>
            </w:r>
            <w:r>
              <w:rPr>
                <w:rFonts w:ascii="宋体" w:hAnsi="宋体" w:cs="宋体" w:eastAsia="宋体"/>
                <w:sz w:val="20"/>
              </w:rPr>
              <w:t>。</w:t>
            </w:r>
          </w:p>
          <w:p>
            <w:pPr>
              <w:pStyle w:val="null3"/>
              <w:jc w:val="left"/>
            </w:pPr>
            <w:r>
              <w:rPr>
                <w:rFonts w:ascii="&quot;calibri,sans-serif&quot;, serif" w:hAnsi="&quot;calibri,sans-serif&quot;, serif" w:cs="&quot;calibri,sans-serif&quot;, serif" w:eastAsia="&quot;calibri,sans-serif&quot;, serif"/>
                <w:sz w:val="20"/>
              </w:rPr>
              <w:t>2</w:t>
            </w:r>
            <w:r>
              <w:rPr>
                <w:rFonts w:ascii="&quot;calibri,sans-serif&quot;, serif" w:hAnsi="&quot;calibri,sans-serif&quot;, serif" w:cs="&quot;calibri,sans-serif&quot;, serif" w:eastAsia="&quot;calibri,sans-serif&quot;, serif"/>
                <w:sz w:val="20"/>
              </w:rPr>
              <w:t>、控制方式：遥控</w:t>
            </w:r>
            <w:r>
              <w:rPr>
                <w:rFonts w:ascii="宋体" w:hAnsi="宋体" w:cs="宋体" w:eastAsia="宋体"/>
                <w:sz w:val="20"/>
              </w:rPr>
              <w:t>，</w:t>
            </w:r>
            <w:r>
              <w:rPr>
                <w:rFonts w:ascii="&quot;calibri,sans-serif&quot;, serif" w:hAnsi="&quot;calibri,sans-serif&quot;, serif" w:cs="&quot;calibri,sans-serif&quot;, serif" w:eastAsia="&quot;calibri,sans-serif&quot;, serif"/>
                <w:sz w:val="20"/>
              </w:rPr>
              <w:t>键控</w:t>
            </w:r>
            <w:r>
              <w:rPr>
                <w:rFonts w:ascii="宋体" w:hAnsi="宋体" w:cs="宋体" w:eastAsia="宋体"/>
                <w:sz w:val="20"/>
              </w:rPr>
              <w:t>。</w:t>
            </w:r>
          </w:p>
          <w:p>
            <w:pPr>
              <w:pStyle w:val="null3"/>
              <w:jc w:val="left"/>
            </w:pPr>
            <w:r>
              <w:rPr>
                <w:rFonts w:ascii="&quot;calibri,sans-serif&quot;, serif" w:hAnsi="&quot;calibri,sans-serif&quot;, serif" w:cs="&quot;calibri,sans-serif&quot;, serif" w:eastAsia="&quot;calibri,sans-serif&quot;, serif"/>
                <w:sz w:val="20"/>
              </w:rPr>
              <w:t>3</w:t>
            </w:r>
            <w:r>
              <w:rPr>
                <w:rFonts w:ascii="&quot;calibri,sans-serif&quot;, serif" w:hAnsi="&quot;calibri,sans-serif&quot;, serif" w:cs="&quot;calibri,sans-serif&quot;, serif" w:eastAsia="&quot;calibri,sans-serif&quot;, serif"/>
                <w:sz w:val="20"/>
              </w:rPr>
              <w:t>、扫风方式：上下扫风</w:t>
            </w:r>
            <w:r>
              <w:rPr>
                <w:rFonts w:ascii="宋体" w:hAnsi="宋体" w:cs="宋体" w:eastAsia="宋体"/>
                <w:sz w:val="20"/>
              </w:rPr>
              <w:t>。</w:t>
            </w:r>
          </w:p>
          <w:p>
            <w:pPr>
              <w:pStyle w:val="null3"/>
              <w:jc w:val="left"/>
            </w:pPr>
            <w:r>
              <w:rPr>
                <w:rFonts w:ascii="&quot;calibri,sans-serif&quot;, serif" w:hAnsi="&quot;calibri,sans-serif&quot;, serif" w:cs="&quot;calibri,sans-serif&quot;, serif" w:eastAsia="&quot;calibri,sans-serif&quot;, serif"/>
                <w:sz w:val="20"/>
              </w:rPr>
              <w:t>4</w:t>
            </w:r>
            <w:r>
              <w:rPr>
                <w:rFonts w:ascii="&quot;calibri,sans-serif&quot;, serif" w:hAnsi="&quot;calibri,sans-serif&quot;, serif" w:cs="&quot;calibri,sans-serif&quot;, serif" w:eastAsia="&quot;calibri,sans-serif&quot;, serif"/>
                <w:sz w:val="20"/>
              </w:rPr>
              <w:t>、能效等级：二级</w:t>
            </w:r>
            <w:r>
              <w:rPr>
                <w:rFonts w:ascii="宋体" w:hAnsi="宋体" w:cs="宋体" w:eastAsia="宋体"/>
                <w:sz w:val="20"/>
              </w:rPr>
              <w:t>或以上</w:t>
            </w:r>
            <w:r>
              <w:rPr>
                <w:rFonts w:ascii="宋体" w:hAnsi="宋体" w:cs="宋体" w:eastAsia="宋体"/>
                <w:sz w:val="20"/>
              </w:rPr>
              <w:t>。</w:t>
            </w:r>
          </w:p>
          <w:p>
            <w:pPr>
              <w:pStyle w:val="null3"/>
              <w:jc w:val="left"/>
            </w:pPr>
            <w:r>
              <w:rPr>
                <w:rFonts w:ascii="&quot;calibri,sans-serif&quot;, serif" w:hAnsi="&quot;calibri,sans-serif&quot;, serif" w:cs="&quot;calibri,sans-serif&quot;, serif" w:eastAsia="&quot;calibri,sans-serif&quot;, serif"/>
                <w:sz w:val="20"/>
              </w:rPr>
              <w:t>5</w:t>
            </w:r>
            <w:r>
              <w:rPr>
                <w:rFonts w:ascii="&quot;calibri,sans-serif&quot;, serif" w:hAnsi="&quot;calibri,sans-serif&quot;, serif" w:cs="&quot;calibri,sans-serif&quot;, serif" w:eastAsia="&quot;calibri,sans-serif&quot;, serif"/>
                <w:sz w:val="20"/>
              </w:rPr>
              <w:t>、额定制冷量：≥</w:t>
            </w:r>
            <w:r>
              <w:rPr>
                <w:rFonts w:ascii="&quot;calibri,sans-serif&quot;, serif" w:hAnsi="&quot;calibri,sans-serif&quot;, serif" w:cs="&quot;calibri,sans-serif&quot;, serif" w:eastAsia="&quot;calibri,sans-serif&quot;, serif"/>
                <w:sz w:val="20"/>
              </w:rPr>
              <w:t>7200W</w:t>
            </w:r>
            <w:r>
              <w:rPr>
                <w:rFonts w:ascii="宋体" w:hAnsi="宋体" w:cs="宋体" w:eastAsia="宋体"/>
                <w:sz w:val="20"/>
              </w:rPr>
              <w:t>。</w:t>
            </w:r>
          </w:p>
          <w:p>
            <w:pPr>
              <w:pStyle w:val="null3"/>
              <w:jc w:val="left"/>
            </w:pPr>
            <w:r>
              <w:rPr>
                <w:rFonts w:ascii="&quot;calibri,sans-serif&quot;, serif" w:hAnsi="&quot;calibri,sans-serif&quot;, serif" w:cs="&quot;calibri,sans-serif&quot;, serif" w:eastAsia="&quot;calibri,sans-serif&quot;, serif"/>
                <w:sz w:val="20"/>
              </w:rPr>
              <w:t>6</w:t>
            </w:r>
            <w:r>
              <w:rPr>
                <w:rFonts w:ascii="&quot;calibri,sans-serif&quot;, serif" w:hAnsi="&quot;calibri,sans-serif&quot;, serif" w:cs="&quot;calibri,sans-serif&quot;, serif" w:eastAsia="&quot;calibri,sans-serif&quot;, serif"/>
                <w:sz w:val="20"/>
              </w:rPr>
              <w:t>、额定制热量：≥</w:t>
            </w:r>
            <w:r>
              <w:rPr>
                <w:rFonts w:ascii="&quot;calibri,sans-serif&quot;, serif" w:hAnsi="&quot;calibri,sans-serif&quot;, serif" w:cs="&quot;calibri,sans-serif&quot;, serif" w:eastAsia="&quot;calibri,sans-serif&quot;, serif"/>
                <w:sz w:val="20"/>
              </w:rPr>
              <w:t>9600W</w:t>
            </w:r>
            <w:r>
              <w:rPr>
                <w:rFonts w:ascii="宋体" w:hAnsi="宋体" w:cs="宋体" w:eastAsia="宋体"/>
                <w:sz w:val="20"/>
              </w:rPr>
              <w:t>。</w:t>
            </w:r>
          </w:p>
          <w:p>
            <w:pPr>
              <w:pStyle w:val="null3"/>
              <w:jc w:val="left"/>
            </w:pPr>
            <w:r>
              <w:rPr>
                <w:rFonts w:ascii="&quot;calibri,sans-serif&quot;, serif" w:hAnsi="&quot;calibri,sans-serif&quot;, serif" w:cs="&quot;calibri,sans-serif&quot;, serif" w:eastAsia="&quot;calibri,sans-serif&quot;, serif"/>
                <w:sz w:val="20"/>
              </w:rPr>
              <w:t>7</w:t>
            </w:r>
            <w:r>
              <w:rPr>
                <w:rFonts w:ascii="&quot;calibri,sans-serif&quot;, serif" w:hAnsi="&quot;calibri,sans-serif&quot;, serif" w:cs="&quot;calibri,sans-serif&quot;, serif" w:eastAsia="&quot;calibri,sans-serif&quot;, serif"/>
                <w:sz w:val="20"/>
              </w:rPr>
              <w:t>、循环风量：≥</w:t>
            </w:r>
            <w:r>
              <w:rPr>
                <w:rFonts w:ascii="&quot;calibri,sans-serif&quot;, serif" w:hAnsi="&quot;calibri,sans-serif&quot;, serif" w:cs="&quot;calibri,sans-serif&quot;, serif" w:eastAsia="&quot;calibri,sans-serif&quot;, serif"/>
                <w:sz w:val="20"/>
              </w:rPr>
              <w:t>1200 m</w:t>
            </w:r>
            <w:r>
              <w:rPr>
                <w:rFonts w:ascii="&quot;calibri,sans-serif&quot;, serif" w:hAnsi="&quot;calibri,sans-serif&quot;, serif" w:cs="&quot;calibri,sans-serif&quot;, serif" w:eastAsia="&quot;calibri,sans-serif&quot;, serif"/>
                <w:sz w:val="20"/>
              </w:rPr>
              <w:t>³</w:t>
            </w:r>
            <w:r>
              <w:rPr>
                <w:rFonts w:ascii="&quot;calibri,sans-serif&quot;, serif" w:hAnsi="&quot;calibri,sans-serif&quot;, serif" w:cs="&quot;calibri,sans-serif&quot;, serif" w:eastAsia="&quot;calibri,sans-serif&quot;, serif"/>
                <w:sz w:val="20"/>
              </w:rPr>
              <w:t>/h</w:t>
            </w:r>
            <w:r>
              <w:rPr>
                <w:rFonts w:ascii="宋体" w:hAnsi="宋体" w:cs="宋体" w:eastAsia="宋体"/>
                <w:sz w:val="20"/>
              </w:rPr>
              <w:t>。</w:t>
            </w:r>
          </w:p>
          <w:p>
            <w:pPr>
              <w:pStyle w:val="null3"/>
              <w:jc w:val="left"/>
            </w:pPr>
            <w:r>
              <w:rPr>
                <w:rFonts w:ascii="&quot;calibri,sans-serif&quot;, serif" w:hAnsi="&quot;calibri,sans-serif&quot;, serif" w:cs="&quot;calibri,sans-serif&quot;, serif" w:eastAsia="&quot;calibri,sans-serif&quot;, serif"/>
                <w:sz w:val="20"/>
              </w:rPr>
              <w:t>8</w:t>
            </w:r>
            <w:r>
              <w:rPr>
                <w:rFonts w:ascii="&quot;calibri,sans-serif&quot;, serif" w:hAnsi="&quot;calibri,sans-serif&quot;, serif" w:cs="&quot;calibri,sans-serif&quot;, serif" w:eastAsia="&quot;calibri,sans-serif&quot;, serif"/>
                <w:sz w:val="20"/>
              </w:rPr>
              <w:t>、辅材：</w:t>
            </w:r>
            <w:r>
              <w:rPr>
                <w:rFonts w:ascii="&quot;calibri,sans-serif&quot;, serif" w:hAnsi="&quot;calibri,sans-serif&quot;, serif" w:cs="&quot;calibri,sans-serif&quot;, serif" w:eastAsia="&quot;calibri,sans-serif&quot;, serif"/>
                <w:sz w:val="20"/>
              </w:rPr>
              <w:t>背架</w:t>
            </w:r>
            <w:r>
              <w:rPr>
                <w:rFonts w:ascii="宋体" w:hAnsi="宋体" w:cs="宋体" w:eastAsia="宋体"/>
                <w:sz w:val="20"/>
              </w:rPr>
              <w:t>１</w:t>
            </w:r>
            <w:r>
              <w:rPr>
                <w:rFonts w:ascii="&quot;calibri,sans-serif&quot;, serif" w:hAnsi="&quot;calibri,sans-serif&quot;, serif" w:cs="&quot;calibri,sans-serif&quot;, serif" w:eastAsia="&quot;calibri,sans-serif&quot;, serif"/>
                <w:sz w:val="20"/>
              </w:rPr>
              <w:t>个；接水盘</w:t>
            </w:r>
            <w:r>
              <w:rPr>
                <w:rFonts w:ascii="宋体" w:hAnsi="宋体" w:cs="宋体" w:eastAsia="宋体"/>
                <w:sz w:val="20"/>
              </w:rPr>
              <w:t>１</w:t>
            </w:r>
            <w:r>
              <w:rPr>
                <w:rFonts w:ascii="&quot;calibri,sans-serif&quot;, serif" w:hAnsi="&quot;calibri,sans-serif&quot;, serif" w:cs="&quot;calibri,sans-serif&quot;, serif" w:eastAsia="&quot;calibri,sans-serif&quot;, serif"/>
                <w:sz w:val="20"/>
              </w:rPr>
              <w:t>个。</w:t>
            </w:r>
          </w:p>
          <w:p>
            <w:pPr>
              <w:pStyle w:val="null3"/>
              <w:jc w:val="left"/>
            </w:pPr>
            <w:r>
              <w:rPr>
                <w:rFonts w:ascii="&quot;calibri,sans-serif&quot;, serif" w:hAnsi="&quot;calibri,sans-serif&quot;, serif" w:cs="&quot;calibri,sans-serif&quot;, serif" w:eastAsia="&quot;calibri,sans-serif&quot;, serif"/>
                <w:sz w:val="20"/>
              </w:rPr>
              <w:t>9</w:t>
            </w:r>
            <w:r>
              <w:rPr>
                <w:rFonts w:ascii="宋体" w:hAnsi="宋体" w:cs="宋体" w:eastAsia="宋体"/>
                <w:sz w:val="20"/>
              </w:rPr>
              <w:t>、投标人所投空调应具有国家确定的认证机构出具的处于有期内的节能产品认证证书。（说明：提供由国家确定的认证机构出具的、处于有效期之内的节能产品认证证书的原件扫描件，或</w:t>
            </w:r>
            <w:r>
              <w:rPr>
                <w:rFonts w:ascii="&quot;times new roman&quot;, serif" w:hAnsi="&quot;times new roman&quot;, serif" w:cs="&quot;times new roman&quot;, serif" w:eastAsia="&quot;times new roman&quot;, serif"/>
                <w:sz w:val="20"/>
              </w:rPr>
              <w:t>“</w:t>
            </w:r>
            <w:r>
              <w:rPr>
                <w:rFonts w:ascii="宋体" w:hAnsi="宋体" w:cs="宋体" w:eastAsia="宋体"/>
                <w:sz w:val="20"/>
              </w:rPr>
              <w:t>全国认证认可信息公共服务平台</w:t>
            </w:r>
            <w:r>
              <w:rPr>
                <w:rFonts w:ascii="&quot;times new roman&quot;, serif" w:hAnsi="&quot;times new roman&quot;, serif" w:cs="&quot;times new roman&quot;, serif" w:eastAsia="&quot;times new roman&quot;, serif"/>
                <w:sz w:val="20"/>
              </w:rPr>
              <w:t>”</w:t>
            </w:r>
            <w:r>
              <w:rPr>
                <w:rFonts w:ascii="宋体" w:hAnsi="宋体" w:cs="宋体" w:eastAsia="宋体"/>
                <w:sz w:val="20"/>
              </w:rPr>
              <w:t>（</w:t>
            </w:r>
            <w:r>
              <w:rPr>
                <w:rFonts w:ascii="&quot;calibri,sans-serif&quot;, serif" w:hAnsi="&quot;calibri,sans-serif&quot;, serif" w:cs="&quot;calibri,sans-serif&quot;, serif" w:eastAsia="&quot;calibri,sans-serif&quot;, serif"/>
                <w:sz w:val="20"/>
              </w:rPr>
              <w:t>http://cx.cnca.cn</w:t>
            </w:r>
            <w:r>
              <w:rPr>
                <w:rFonts w:ascii="宋体" w:hAnsi="宋体" w:cs="宋体" w:eastAsia="宋体"/>
                <w:sz w:val="20"/>
              </w:rPr>
              <w:t>）的认证信息截图。）</w:t>
            </w:r>
          </w:p>
          <w:p>
            <w:pPr>
              <w:pStyle w:val="null3"/>
              <w:jc w:val="left"/>
            </w:pP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交货要求</w:t>
            </w:r>
          </w:p>
        </w:tc>
        <w:tc>
          <w:tcPr>
            <w:tcW w:type="dxa" w:w="2076"/>
          </w:tcPr>
          <w:p>
            <w:pPr>
              <w:pStyle w:val="null3"/>
              <w:jc w:val="left"/>
            </w:pPr>
            <w:r>
              <w:rPr/>
              <w:t>交货要求</w:t>
            </w:r>
            <w:r>
              <w:rPr>
                <w:rFonts w:ascii="宋体" w:hAnsi="宋体" w:cs="宋体" w:eastAsia="宋体"/>
                <w:sz w:val="21"/>
              </w:rPr>
              <w:t>（说明：投标人在投标文件中响应）</w:t>
            </w:r>
            <w:r>
              <w:rPr/>
              <w:t>：1、投标人负责办理运输和保险，将货物运抵采购人指定地点，有关运输、保险和装卸等一切相关的费用由投标人承担。2、投标人应在货物送达到采购人指定地点七日前，向采购人提供货物卸车、清点计划(内容包括：合同号、设备名称、数量、价格、箱数、型号规格、重量和体积、拟发运的时间及其他必要的说明)，并于发运的同时通知采购人。3、开箱清点货物时采购人及投标人应派人员参加。凡由于投标人对合同货物包装不善、标记不明、防护措施不当或在合同货物装箱前保管不良，致使合同货物遭到损坏或丢失，投标人应负责更换或补足（费用包含在本次报价中），并承担由此给采购人造成的一切损失。4、货物涉及政府采购商品包装和快递包装的，货物送达至采购人指定地点后，采购人将对投标人是否按照招标文件规定的包装要求进行验收，不符合包装要求的，采购人有权拒收并要求投标人负责更换（费用包含在本次报价中），并承担由此给采购人造成的一切损失。</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售后服务要求</w:t>
            </w:r>
          </w:p>
        </w:tc>
        <w:tc>
          <w:tcPr>
            <w:tcW w:type="dxa" w:w="2076"/>
          </w:tcPr>
          <w:p>
            <w:pPr>
              <w:pStyle w:val="null3"/>
              <w:jc w:val="left"/>
            </w:pPr>
            <w:r>
              <w:rPr>
                <w:rFonts w:ascii="宋体" w:hAnsi="宋体" w:cs="宋体" w:eastAsia="宋体"/>
                <w:sz w:val="21"/>
              </w:rPr>
              <w:t>投标人中标后应设立固定的售后服务机构和技术人员，指派专人负责与采购人联系售后服务事宜，并制定服务标准、流程和保障措施。（说明：投标人在投标文件中响应）</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采购合同签订后7个工作日内交货，并完成安装调试投入使用。</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成都市双流区天府新区正兴街道大安路818号。（说明：投标人在投标文件中响应。）</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tc>
        <w:tc>
          <w:tcPr>
            <w:tcW w:type="dxa" w:w="2076"/>
          </w:tcPr>
          <w:p>
            <w:pPr>
              <w:pStyle w:val="null3"/>
              <w:jc w:val="left"/>
            </w:pPr>
            <w:r>
              <w:rPr/>
              <w:t>付款进度安排</w:t>
            </w:r>
          </w:p>
        </w:tc>
        <w:tc>
          <w:tcPr>
            <w:tcW w:type="dxa" w:w="2076"/>
          </w:tcPr>
          <w:p>
            <w:pPr>
              <w:pStyle w:val="null3"/>
              <w:jc w:val="left"/>
            </w:pPr>
            <w:r>
              <w:rPr/>
              <w:t>1、签订合同验收合格后，采购人收到供应商提供的符合国家规定税务发票后，达到付款条件起10日内，支付合同总金额的100.00%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采购人将严格按照《财政部关于进一步加强政府采购需求和履约验收管理的指导意见》（财库〔2016〕205号）及政府采购相关法律法规的要求以及招标文件、投标文件和采购合同和供应商的承诺进行验收。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本项目质保期6年，自验收合格之日起算。在质保期内，因投标人产品质量问题，投标人在接到采购人的电话后立即回应，在1小时内故障响应，在8小时内到达用户现场进行修理或更换。如货物经投标人3次维修仍不能达到合同约定的质量标准，视作投标人未能按时交货，采购人有权退货并追究投标人的违约责任。质保期内由于采购人使用不当造成的问题，投标人亦应负责修复，但费用由采购人负担。（说明：投标人在投标文件中响应。）</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1、采购人违约责任：（1）采购人无正当理由拒收货物的，采购人应偿付合同总价百分之五的违约金。（2）因采购人原因逾期支付货款 的，除应及时付足货款外，应向中标人偿付欠款总额千分之五/天的违约金；逾期付款超 过三十天的，中标人有权终止合同。（3）采购人偿付的违约金不足以弥补中标人损失的，还应按中标人损失尚未弥补的部分，支付赔偿金给中标人。 （4）因采购人原因导致变更、中止或者终止本合同的，采购人应当依照合同约定对供应商受到的损失予以赔偿或者补偿。（说明：投标人在投标文件中响应。） 2、中标人违约责任：（1）中标人交付的货物质量不符合合同规定的，中标人应向采购人支付合同总价的百分之二十的违约金，并须在合同规定的交货时间内更换合格的货物给采购人，否则，视作中标人不能交付货物而违约，按本条 本款下述第“（2）”项规定由中标人偿付违约赔偿金给采购人。 （2）中标人不能交付货物或逾期交付货物或逾期完成安装交付而违约的，除应及时交足货物外，应向采购人偿付逾期交货部分货款总额 的百分之五/天的违约金；逾期交货或未能按时完工超过五天，采购人有权终止合同，中标人则应按合同总价的百分之三十的款额向采购人偿付赔偿金，并须全额退还采购人已经付给中标人的货款。 （3）中标人未按照售后服务要求提供售后服务的，按合同总价的千分之五的款额向采购人偿付赔偿金 。（4）中标人保证本合同货物的权利无瑕疵，包括货物所有权及知 识产权等权利无瑕疵。如任何第三方经法院（或仲裁机构）裁决有权对上述货物主张权利或国家机关依法对货物进行没收查处的，中标人除应向采购人返还已支付款项外，还应另按合同总价的百分之二十向采购人支付违约金并赔偿因此给采购人造成的一切损失。（5）中标人偿付的违约金不足以弥补采购人损失的，还应按采购人损失尚未弥补的部分，支付赔偿金给采购人。（说明：投标人在投标文件中响应。） 3、解决争议的方法：采购人及供应商双方就采购合同所产生的任何争议都应该进行友好协商，协商解决不成的，任何一方均可向项目所在地人民法院提起诉讼。（说明：投标人在投标文件中响应。）</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说明：投标人在投标文件中响应。）</w:t>
            </w:r>
          </w:p>
        </w:tc>
      </w:tr>
    </w:tbl>
    <w:p>
      <w:pPr>
        <w:pStyle w:val="null3"/>
        <w:jc w:val="left"/>
        <w:outlineLvl w:val="2"/>
      </w:pPr>
      <w:r>
        <w:rPr>
          <w:b/>
          <w:sz w:val="28"/>
        </w:rPr>
        <w:t>3.5.其他要求</w:t>
      </w:r>
    </w:p>
    <w:p>
      <w:pPr>
        <w:pStyle w:val="null3"/>
        <w:jc w:val="left"/>
      </w:pPr>
      <w:r>
        <w:rPr/>
        <w:t>★1、采购内容中的所有标的（详见报价要求），投标人必须在报价表中载明响应报价、产地、品牌、规格型号、制造商、单价。投标人投标产品的单价不得超过单价的最高限价。// ★2、投标人为本项目提供的所有产品、辅材中属于《国家强制性产品认证目录》范围内产品的，均通过国家强制性产品认证并取得认证证书。 （说明：投标人在投标文件中响应）// ★3、投标人为本项目提供的所有产品、辅材符合现行的强制性国家相关标准、行业标准。 （说明：投标人在投标文件中响应）// ★4、本项目不接受投标人以联合体方式参加投标。// ★5、投标人为本项目提供的所有投标产品均为非进口产品。（说明：投标人在投标文件中响应） // ★6、投标人为本项目配备的安装人员需进行室外高空作业人员必须取得《中华人民共和国特种作业操作证》，作业类别包含高处作业或制冷与空调作业。投标人为本项目配备的安装人员需进行电工作业的人员必须取得《中华人民共和国特种作业操作证》，作业类别需包含电工作业。（说明：投标人在投标文件中响应。） // ★7、投标人的响应报价包含空调安装、背架、电源线、水管、铜管、接水盘等配件，电路改造、走线、管材、墙面乳胶漆等恢复，包括外墙开孔、空调移机等安装调试服务以及2台旧空调移机安装服务所需的所有费用和空调安装所需加长连接铜管390米、加长水管130米、电源线790米，玻璃、混泥土、钢筋混泥土一次性成孔26个所需的所有费用。（说明：投标人在投标文件中响应）</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 xml:space="preserve">1、供应商需在项目电子化交易系统中按要求填写《投标（响应）函》完成承诺并进行电子签章。 </w:t>
              <w:br/>
              <w:t xml:space="preserve">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w:t>
              <w:br/>
              <w:t xml:space="preserve">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w:t>
              <w:br/>
              <w:t xml:space="preserve">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w:t>
              <w:br/>
              <w:t>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br/>
              <w:br/>
            </w:r>
          </w:p>
        </w:tc>
        <w:tc>
          <w:tcPr>
            <w:tcW w:type="dxa" w:w="1910"/>
          </w:tcPr>
          <w:p>
            <w:pPr>
              <w:pStyle w:val="null3"/>
              <w:jc w:val="left"/>
            </w:pPr>
            <w:r>
              <w:rPr/>
              <w:t>声明函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投标文件的计量单位、语言、报价货币、投标有效期、知识产权等采购文件实质性要求或是否应当作无效投标处理。</w:t>
            </w:r>
          </w:p>
        </w:tc>
        <w:tc>
          <w:tcPr>
            <w:tcW w:type="dxa" w:w="3322"/>
          </w:tcPr>
          <w:p>
            <w:pPr>
              <w:pStyle w:val="null3"/>
              <w:jc w:val="left"/>
            </w:pPr>
            <w:r>
              <w:rPr/>
              <w:t>投标文件的计量单位、语言、报价货币、投标有效期、知识产权等均符合招标文件的实质性要求以及不应当作无效投标处理。</w:t>
            </w:r>
          </w:p>
        </w:tc>
        <w:tc>
          <w:tcPr>
            <w:tcW w:type="dxa" w:w="1910"/>
          </w:tcPr>
          <w:p>
            <w:pPr>
              <w:pStyle w:val="null3"/>
              <w:jc w:val="left"/>
            </w:pPr>
            <w:r>
              <w:rPr/>
              <w:t>投标文件封面</w:t>
            </w:r>
          </w:p>
        </w:tc>
      </w:tr>
      <w:tr>
        <w:tc>
          <w:tcPr>
            <w:tcW w:type="dxa" w:w="581"/>
          </w:tcPr>
          <w:p>
            <w:pPr>
              <w:pStyle w:val="null3"/>
              <w:jc w:val="center"/>
            </w:pPr>
            <w:r>
              <w:rPr/>
              <w:t>3</w:t>
            </w:r>
          </w:p>
        </w:tc>
        <w:tc>
          <w:tcPr>
            <w:tcW w:type="dxa" w:w="2492"/>
          </w:tcPr>
          <w:p>
            <w:pPr>
              <w:pStyle w:val="null3"/>
              <w:jc w:val="left"/>
            </w:pPr>
            <w:r>
              <w:rPr/>
              <w:t>不正当竞争预防措施（实质性要求）</w:t>
            </w:r>
          </w:p>
        </w:tc>
        <w:tc>
          <w:tcPr>
            <w:tcW w:type="dxa" w:w="3322"/>
          </w:tcPr>
          <w:p>
            <w:pPr>
              <w:pStyle w:val="null3"/>
              <w:jc w:val="left"/>
            </w:pPr>
            <w:r>
              <w:rPr/>
              <w:t>1. 在评标过程中，评标委员会认为投标人投标报价明显低于其他通过符合性审查投标人的投标报价，有可能影响产品质量或者不能诚信履约的，评标委员会应当要求其在合理的时间内提供书面说明，必要时提交相关证明材料。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910"/>
          </w:tcPr>
          <w:p>
            <w:pPr>
              <w:pStyle w:val="null3"/>
              <w:jc w:val="left"/>
            </w:pPr>
            <w:r>
              <w:rPr/>
              <w:t>报价表</w:t>
            </w:r>
          </w:p>
        </w:tc>
      </w:tr>
      <w:tr>
        <w:tc>
          <w:tcPr>
            <w:tcW w:type="dxa" w:w="581"/>
          </w:tcPr>
          <w:p>
            <w:pPr>
              <w:pStyle w:val="null3"/>
              <w:jc w:val="center"/>
            </w:pPr>
            <w:r>
              <w:rPr/>
              <w:t>4</w:t>
            </w:r>
          </w:p>
        </w:tc>
        <w:tc>
          <w:tcPr>
            <w:tcW w:type="dxa" w:w="2492"/>
          </w:tcPr>
          <w:p>
            <w:pPr>
              <w:pStyle w:val="null3"/>
              <w:jc w:val="left"/>
            </w:pPr>
            <w:r>
              <w:rPr/>
              <w:t>投标报价</w:t>
            </w:r>
          </w:p>
        </w:tc>
        <w:tc>
          <w:tcPr>
            <w:tcW w:type="dxa" w:w="3322"/>
          </w:tcPr>
          <w:p>
            <w:pPr>
              <w:pStyle w:val="null3"/>
              <w:jc w:val="left"/>
            </w:pPr>
            <w:r>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910"/>
          </w:tcPr>
          <w:p>
            <w:pPr>
              <w:pStyle w:val="null3"/>
              <w:jc w:val="left"/>
            </w:pPr>
            <w:r>
              <w:rPr/>
              <w:t>报价表</w:t>
            </w:r>
          </w:p>
        </w:tc>
      </w:tr>
      <w:tr>
        <w:tc>
          <w:tcPr>
            <w:tcW w:type="dxa" w:w="581"/>
          </w:tcPr>
          <w:p>
            <w:pPr>
              <w:pStyle w:val="null3"/>
              <w:jc w:val="center"/>
            </w:pPr>
            <w:r>
              <w:rPr/>
              <w:t>5</w:t>
            </w:r>
          </w:p>
        </w:tc>
        <w:tc>
          <w:tcPr>
            <w:tcW w:type="dxa" w:w="2492"/>
          </w:tcPr>
          <w:p>
            <w:pPr>
              <w:pStyle w:val="null3"/>
              <w:jc w:val="left"/>
            </w:pPr>
            <w:r>
              <w:rPr/>
              <w:t>投标文件的组成</w:t>
            </w:r>
          </w:p>
        </w:tc>
        <w:tc>
          <w:tcPr>
            <w:tcW w:type="dxa" w:w="3322"/>
          </w:tcPr>
          <w:p>
            <w:pPr>
              <w:pStyle w:val="null3"/>
              <w:jc w:val="left"/>
            </w:pPr>
            <w:r>
              <w:rPr/>
              <w:t>按招标文件要求提供法定代表人或主要负责人身份证明书、报价表。</w:t>
            </w:r>
          </w:p>
        </w:tc>
        <w:tc>
          <w:tcPr>
            <w:tcW w:type="dxa" w:w="1910"/>
          </w:tcPr>
          <w:p>
            <w:pPr>
              <w:pStyle w:val="null3"/>
              <w:jc w:val="left"/>
            </w:pPr>
            <w:r>
              <w:rPr/>
              <w:t>报价表 法定代表人或主要负责人身份证明书</w:t>
            </w:r>
          </w:p>
        </w:tc>
      </w:tr>
      <w:tr>
        <w:tc>
          <w:tcPr>
            <w:tcW w:type="dxa" w:w="581"/>
          </w:tcPr>
          <w:p>
            <w:pPr>
              <w:pStyle w:val="null3"/>
              <w:jc w:val="center"/>
            </w:pPr>
            <w:r>
              <w:rPr/>
              <w:t>6</w:t>
            </w:r>
          </w:p>
        </w:tc>
        <w:tc>
          <w:tcPr>
            <w:tcW w:type="dxa" w:w="2492"/>
          </w:tcPr>
          <w:p>
            <w:pPr>
              <w:pStyle w:val="null3"/>
              <w:jc w:val="left"/>
            </w:pPr>
            <w:r>
              <w:rPr/>
              <w:t>法定代表人或主要负责人身份证复印件或护照复印件</w:t>
            </w:r>
          </w:p>
        </w:tc>
        <w:tc>
          <w:tcPr>
            <w:tcW w:type="dxa" w:w="3322"/>
          </w:tcPr>
          <w:p>
            <w:pPr>
              <w:pStyle w:val="null3"/>
              <w:jc w:val="left"/>
            </w:pPr>
            <w:r>
              <w:rPr/>
              <w:t>身份证复印件或护照复印件【注：法定代表人或主要负责人身份证复印件（身份证两面均应复印，在有效期内）或护照复印件（法定代表人或主要负责人为外籍人士的，按此提供）。】</w:t>
            </w:r>
          </w:p>
        </w:tc>
        <w:tc>
          <w:tcPr>
            <w:tcW w:type="dxa" w:w="1910"/>
          </w:tcPr>
          <w:p>
            <w:pPr>
              <w:pStyle w:val="null3"/>
              <w:jc w:val="left"/>
            </w:pPr>
            <w:r>
              <w:rPr/>
              <w:t>法定代表人或主要负责人身份证明书</w:t>
            </w:r>
          </w:p>
        </w:tc>
      </w:tr>
      <w:tr>
        <w:tc>
          <w:tcPr>
            <w:tcW w:type="dxa" w:w="581"/>
          </w:tcPr>
          <w:p>
            <w:pPr>
              <w:pStyle w:val="null3"/>
              <w:jc w:val="center"/>
            </w:pPr>
            <w:r>
              <w:rPr/>
              <w:t>7</w:t>
            </w:r>
          </w:p>
        </w:tc>
        <w:tc>
          <w:tcPr>
            <w:tcW w:type="dxa" w:w="2492"/>
          </w:tcPr>
          <w:p>
            <w:pPr>
              <w:pStyle w:val="null3"/>
              <w:jc w:val="left"/>
            </w:pPr>
            <w:r>
              <w:rPr/>
              <w:t>加★号的技术、服务、商务及其他要求</w:t>
            </w:r>
          </w:p>
        </w:tc>
        <w:tc>
          <w:tcPr>
            <w:tcW w:type="dxa" w:w="3322"/>
          </w:tcPr>
          <w:p>
            <w:pPr>
              <w:pStyle w:val="null3"/>
              <w:jc w:val="left"/>
            </w:pPr>
            <w:r>
              <w:rPr/>
              <w:t>投标文件均实质性响应招标文件中加★号的技术、服务、商务及其他要求</w:t>
            </w:r>
          </w:p>
        </w:tc>
        <w:tc>
          <w:tcPr>
            <w:tcW w:type="dxa" w:w="1910"/>
          </w:tcPr>
          <w:p>
            <w:pPr>
              <w:pStyle w:val="null3"/>
              <w:jc w:val="left"/>
            </w:pPr>
            <w:r>
              <w:rPr/>
              <w:t>产品技术参数响应表 商务应答表</w:t>
            </w:r>
          </w:p>
        </w:tc>
      </w:tr>
      <w:tr>
        <w:tc>
          <w:tcPr>
            <w:tcW w:type="dxa" w:w="581"/>
          </w:tcPr>
          <w:p>
            <w:pPr>
              <w:pStyle w:val="null3"/>
              <w:jc w:val="center"/>
            </w:pPr>
            <w:r>
              <w:rPr/>
              <w:t>8</w:t>
            </w:r>
          </w:p>
        </w:tc>
        <w:tc>
          <w:tcPr>
            <w:tcW w:type="dxa" w:w="2492"/>
          </w:tcPr>
          <w:p>
            <w:pPr>
              <w:pStyle w:val="null3"/>
              <w:jc w:val="left"/>
            </w:pPr>
            <w:r>
              <w:rPr/>
              <w:t>不属于禁止参加投标或投标无效的投标人</w:t>
            </w:r>
          </w:p>
        </w:tc>
        <w:tc>
          <w:tcPr>
            <w:tcW w:type="dxa" w:w="3322"/>
          </w:tcPr>
          <w:p>
            <w:pPr>
              <w:pStyle w:val="null3"/>
              <w:jc w:val="left"/>
            </w:pPr>
            <w:r>
              <w:rPr/>
              <w:t>（1）根据招标文件的要求不属于禁止参加投标或投标无效的投标人；（2）评标委员会未发现或者未知晓投标人存在属于国家相关法律法规规定的禁止参加投标或投标无效的投标人</w:t>
            </w:r>
          </w:p>
        </w:tc>
        <w:tc>
          <w:tcPr>
            <w:tcW w:type="dxa" w:w="1910"/>
          </w:tcPr>
          <w:p>
            <w:pPr>
              <w:pStyle w:val="null3"/>
              <w:jc w:val="left"/>
            </w:pPr>
            <w:r>
              <w:rPr/>
              <w:t>投标文件封面</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关联投标文件格式文本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按供应商响应报价从低到高顺序排列，投标文件满足采购文件全部实质性要求且响应报价最低的供应商为排名第一的中标候选供应商。中标候选供应商并列的，由评审委员会根据采购文件规定的推荐中标候选供应商数量，在排名并列的中标候选供应商中，采取随机抽取的方式确定中标候选供应商排名顺序。</w:t>
            </w:r>
          </w:p>
        </w:tc>
        <w:tc>
          <w:tcPr>
            <w:tcW w:type="dxa" w:w="2123"/>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投标人投标产品为采购文件载明的采购标的（标的名称详见3.2采购内容）及所属行业的小型微型企业制造的货物的价格（如涉及）给予10%的价格扣除，用扣除后的价格参与评审；[说明：（１）监狱企业、残疾人福利性单位视同小型、微型企业；（2）投标人投标产品为中小企业制造的货物提供中小企业申明函；投标人投标产品为残疾人福利性单位制造的货物提供残疾人福利性单位声明函；投标人投标产品中为监狱企业制造的货物应提供由省级以上监狱管理局、戒毒管理局（含新疆生产建设兵团）出具的制造商属于监狱企业的证明文件复印件。]</w:t>
            </w:r>
          </w:p>
        </w:tc>
        <w:tc>
          <w:tcPr>
            <w:tcW w:type="dxa" w:w="1910"/>
          </w:tcPr>
          <w:p>
            <w:pPr>
              <w:pStyle w:val="null3"/>
              <w:jc w:val="left"/>
            </w:pPr>
            <w:r>
              <w:rPr/>
              <w:t>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br/>
              <w:b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tc>
        <w:tc>
          <w:tcPr>
            <w:tcW w:type="dxa" w:w="2955"/>
          </w:tcPr>
          <w:p>
            <w:pPr>
              <w:pStyle w:val="null3"/>
              <w:jc w:val="left"/>
            </w:pPr>
            <w:r>
              <w:rPr/>
              <w:t>产品技术参数响应表 商务应答表</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在收到评标报告5个工作日，在评标报告确定的中标候选人名单中按顺序确定中标人，内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详见附件：声明函</w:t>
      </w:r>
    </w:p>
    <w:p>
      <w:pPr>
        <w:pStyle w:val="null3"/>
        <w:ind w:firstLine="960"/>
        <w:jc w:val="left"/>
      </w:pPr>
      <w:r>
        <w:rPr/>
        <w:t>详见附件：法定代表人或主要负责人身份证明书</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