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版本号：241015001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采购电梯(二次)</w:t>
      </w:r>
    </w:p>
    <w:p>
      <w:pPr>
        <w:pStyle w:val="null3"/>
        <w:jc w:val="center"/>
        <w:outlineLvl w:val="2"/>
      </w:pPr>
      <w:r>
        <w:rPr>
          <w:b/>
          <w:sz w:val="28"/>
        </w:rPr>
        <w:t>采购项目编号：</w:t>
      </w:r>
      <w:r>
        <w:rPr>
          <w:b/>
          <w:sz w:val="28"/>
        </w:rPr>
        <w:t>N5101122024000287</w:t>
      </w:r>
    </w:p>
    <w:p>
      <w:pPr>
        <w:pStyle w:val="null3"/>
        <w:jc w:val="left"/>
        <w:outlineLvl w:val="2"/>
      </w:pPr>
      <w:r>
        <w:rPr>
          <w:b/>
          <w:sz w:val="28"/>
        </w:rPr>
        <w:t>成都教科院附属龙泉学校</w:t>
      </w:r>
    </w:p>
    <w:p>
      <w:pPr>
        <w:pStyle w:val="null3"/>
        <w:jc w:val="center"/>
        <w:outlineLvl w:val="2"/>
      </w:pPr>
      <w:r>
        <w:rPr>
          <w:b/>
          <w:sz w:val="28"/>
        </w:rPr>
        <w:t>成都市龙泉驿区政府采购中心</w:t>
      </w:r>
      <w:r>
        <w:rPr>
          <w:b/>
          <w:sz w:val="28"/>
        </w:rPr>
        <w:t>共同编制</w:t>
      </w:r>
    </w:p>
    <w:p>
      <w:pPr>
        <w:pStyle w:val="null3"/>
        <w:jc w:val="center"/>
      </w:pPr>
      <w:r>
        <w:rPr/>
        <w:t>2024年10月15日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成都市龙泉驿区政府采购中心</w:t>
      </w:r>
      <w:r>
        <w:rPr/>
        <w:t xml:space="preserve"> （以下简称“代理机构”）受 </w:t>
      </w:r>
      <w:r>
        <w:rPr/>
        <w:t>成都教科院附属龙泉学校</w:t>
      </w:r>
      <w:r>
        <w:rPr/>
        <w:t xml:space="preserve"> 委托，拟对 </w:t>
      </w:r>
      <w:r>
        <w:rPr/>
        <w:t>采购电梯(二次)</w:t>
      </w:r>
      <w:r>
        <w:rPr/>
        <w:t xml:space="preserve"> 采用公开招标方式进行采购，兹邀请符合本次招标要求的供应商参加投标。本项目为四川省</w:t>
      </w:r>
      <w:r>
        <w:rPr/>
        <w:t>成都市龙泉驿区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N5101122024000287</w:t>
      </w:r>
    </w:p>
    <w:p>
      <w:pPr>
        <w:pStyle w:val="null3"/>
        <w:jc w:val="left"/>
        <w:outlineLvl w:val="2"/>
      </w:pPr>
      <w:r>
        <w:rPr>
          <w:b/>
          <w:sz w:val="28"/>
        </w:rPr>
        <w:t>1.2.采购项目名称</w:t>
      </w:r>
      <w:r>
        <w:rPr>
          <w:b/>
          <w:sz w:val="28"/>
        </w:rPr>
        <w:t xml:space="preserve">： </w:t>
      </w:r>
      <w:r>
        <w:rPr>
          <w:b/>
          <w:sz w:val="28"/>
        </w:rPr>
        <w:t>采购电梯(二次)</w:t>
      </w:r>
    </w:p>
    <w:p>
      <w:pPr>
        <w:pStyle w:val="null3"/>
        <w:jc w:val="left"/>
        <w:outlineLvl w:val="2"/>
      </w:pPr>
      <w:r>
        <w:rPr>
          <w:b/>
          <w:sz w:val="28"/>
        </w:rPr>
        <w:t>1.3.招标项目简介</w:t>
      </w:r>
    </w:p>
    <w:p>
      <w:pPr>
        <w:pStyle w:val="null3"/>
        <w:ind w:firstLine="480"/>
        <w:jc w:val="left"/>
      </w:pPr>
      <w:r>
        <w:rPr/>
        <w:t>成都教科院附属龙泉学校（北校区）电梯采购及安装</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需具有《中华人民共和国特种设备制造许可证》或《中华人民共和国特种设备生产许可证》(许可项目包含乘客电梯安装(含修理))或《中华人民共和国特种设备安装改造维修许可证》乘客电梯安装、改造、维修C级及以上资质。 （描述：供应商需在项目电子化交易系统中按要求提供相关证明材料并进行电子签章。）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成都教科院附属龙泉学校</w:t>
      </w:r>
    </w:p>
    <w:p>
      <w:pPr>
        <w:pStyle w:val="null3"/>
        <w:ind w:firstLine="480"/>
        <w:jc w:val="left"/>
      </w:pPr>
      <w:r>
        <w:rPr/>
        <w:t xml:space="preserve"> 地址： </w:t>
      </w:r>
      <w:r>
        <w:rPr/>
        <w:t>四川省成都市龙泉驿区西河镇黄泥堰路558号</w:t>
      </w:r>
    </w:p>
    <w:p>
      <w:pPr>
        <w:pStyle w:val="null3"/>
        <w:jc w:val="left"/>
      </w:pPr>
      <w:r>
        <w:rPr/>
        <w:t xml:space="preserve"> 邮编： </w:t>
      </w:r>
      <w:r>
        <w:rPr/>
        <w:t>610100</w:t>
      </w:r>
    </w:p>
    <w:p>
      <w:pPr>
        <w:pStyle w:val="null3"/>
        <w:jc w:val="left"/>
      </w:pPr>
      <w:r>
        <w:rPr/>
        <w:t xml:space="preserve"> 联系人： </w:t>
      </w:r>
      <w:r>
        <w:rPr/>
        <w:t>董老师</w:t>
      </w:r>
    </w:p>
    <w:p>
      <w:pPr>
        <w:pStyle w:val="null3"/>
        <w:jc w:val="left"/>
      </w:pPr>
      <w:r>
        <w:rPr/>
        <w:t xml:space="preserve"> 联系电话： </w:t>
      </w:r>
      <w:r>
        <w:rPr/>
        <w:t>028-88463806</w:t>
      </w:r>
    </w:p>
    <w:p>
      <w:pPr>
        <w:pStyle w:val="null3"/>
        <w:ind w:firstLine="480"/>
        <w:jc w:val="left"/>
      </w:pPr>
      <w:r>
        <w:rPr>
          <w:b/>
        </w:rPr>
        <w:t>代理机构</w:t>
      </w:r>
      <w:r>
        <w:rPr>
          <w:b/>
        </w:rPr>
        <w:t xml:space="preserve">： </w:t>
      </w:r>
      <w:r>
        <w:rPr>
          <w:b/>
        </w:rPr>
        <w:t>成都市龙泉驿区政府采购中心</w:t>
      </w:r>
    </w:p>
    <w:p>
      <w:pPr>
        <w:pStyle w:val="null3"/>
        <w:ind w:firstLine="480"/>
        <w:jc w:val="left"/>
      </w:pPr>
      <w:r>
        <w:rPr/>
        <w:t xml:space="preserve"> 地址： </w:t>
      </w:r>
      <w:r>
        <w:rPr/>
        <w:t>四川省成都市龙泉驿区北泉路777号</w:t>
      </w:r>
    </w:p>
    <w:p>
      <w:pPr>
        <w:pStyle w:val="null3"/>
        <w:jc w:val="left"/>
      </w:pPr>
      <w:r>
        <w:rPr/>
        <w:t xml:space="preserve"> 邮编： </w:t>
      </w:r>
      <w:r>
        <w:rPr/>
        <w:t>610100</w:t>
      </w:r>
    </w:p>
    <w:p>
      <w:pPr>
        <w:pStyle w:val="null3"/>
        <w:jc w:val="left"/>
      </w:pPr>
      <w:r>
        <w:rPr/>
        <w:t xml:space="preserve"> 联系人： </w:t>
      </w:r>
      <w:r>
        <w:rPr/>
        <w:t>杨霞</w:t>
      </w:r>
    </w:p>
    <w:p>
      <w:pPr>
        <w:pStyle w:val="null3"/>
        <w:jc w:val="left"/>
      </w:pPr>
      <w:r>
        <w:rPr/>
        <w:t xml:space="preserve"> 联系电话： </w:t>
      </w:r>
      <w:r>
        <w:rPr/>
        <w:t>028-61430613</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采购包1：450,000.00元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成都教科院附属龙泉学校</w:t>
      </w:r>
      <w:r>
        <w:rPr/>
        <w:t xml:space="preserve"> 和 </w:t>
      </w:r>
      <w:r>
        <w:rPr/>
        <w:t>成都市龙泉驿区政府采购中心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成都教科院附属龙泉学校</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成都市龙泉驿区政府采购中心</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供应商提出验收申请之日起30日内组织验收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按照本项目采购文件中“技术参数及要求”及成交人响应文件进行验收</w:t>
      </w:r>
    </w:p>
    <w:p>
      <w:pPr>
        <w:pStyle w:val="null3"/>
        <w:ind w:firstLine="480"/>
        <w:jc w:val="left"/>
      </w:pPr>
      <w:r>
        <w:rPr/>
        <w:t>十、商务履约验收内容：</w:t>
      </w:r>
    </w:p>
    <w:p>
      <w:pPr>
        <w:pStyle w:val="null3"/>
        <w:ind w:firstLine="480"/>
        <w:jc w:val="left"/>
      </w:pPr>
      <w:r>
        <w:rPr/>
        <w:t>采购包1：</w:t>
      </w:r>
      <w:r>
        <w:rPr/>
        <w:t>按照本项目采购文件中“商务要求”及成交人响应文件进行验</w:t>
      </w:r>
    </w:p>
    <w:p>
      <w:pPr>
        <w:pStyle w:val="null3"/>
        <w:ind w:firstLine="480"/>
        <w:jc w:val="left"/>
      </w:pPr>
      <w:r>
        <w:rPr/>
        <w:t>十一、履约验收标准：</w:t>
      </w:r>
    </w:p>
    <w:p>
      <w:pPr>
        <w:pStyle w:val="null3"/>
        <w:ind w:firstLine="480"/>
        <w:jc w:val="left"/>
      </w:pPr>
      <w:r>
        <w:rPr/>
        <w:t>采购包1：</w:t>
      </w:r>
      <w:r>
        <w:rPr/>
        <w:t>其他未尽事宜应严格按照《财政部关于进一步加强政府采购需求和履约验收管理的指导意见》（ 财库（2016)205号）等政府采购相关法律法规的要求进行。《政府采购需求管理办法》（财库（2021)22号）第二十四条</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成都教科院附属龙泉学校</w:t>
      </w:r>
      <w:r>
        <w:rPr/>
        <w:t xml:space="preserve"> 负责答复；投标人对除采购需求外的招标文件的询问、质疑由 </w:t>
      </w:r>
      <w:r>
        <w:rPr/>
        <w:t>成都市龙泉驿区政府采购中心</w:t>
      </w:r>
      <w:r>
        <w:rPr/>
        <w:t xml:space="preserve"> 负责答复；投标人对采购过程、采购结果的询问、质疑由 </w:t>
      </w:r>
      <w:r>
        <w:rPr/>
        <w:t>成都市龙泉驿区政府采购中心</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联系人：董老师</w:t>
      </w:r>
    </w:p>
    <w:p>
      <w:pPr>
        <w:pStyle w:val="null3"/>
        <w:jc w:val="left"/>
      </w:pPr>
      <w:r>
        <w:rPr/>
        <w:t>联系电话：028-88463806</w:t>
      </w:r>
    </w:p>
    <w:p>
      <w:pPr>
        <w:pStyle w:val="null3"/>
        <w:jc w:val="left"/>
      </w:pPr>
      <w:r>
        <w:rPr/>
        <w:t>地址：四川省成都市龙泉驿区西河镇黄泥堰路558号</w:t>
      </w:r>
    </w:p>
    <w:p>
      <w:pPr>
        <w:pStyle w:val="null3"/>
        <w:jc w:val="left"/>
      </w:pPr>
      <w:r>
        <w:rPr/>
        <w:t>邮编：610100</w:t>
      </w:r>
    </w:p>
    <w:p>
      <w:pPr>
        <w:pStyle w:val="null3"/>
        <w:jc w:val="left"/>
      </w:pPr>
      <w:r>
        <w:rPr/>
        <w:t>答复主体：代理机构</w:t>
      </w:r>
    </w:p>
    <w:p>
      <w:pPr>
        <w:pStyle w:val="null3"/>
        <w:jc w:val="left"/>
      </w:pPr>
      <w:r>
        <w:rPr/>
        <w:t>联系人：杨霞</w:t>
      </w:r>
    </w:p>
    <w:p>
      <w:pPr>
        <w:pStyle w:val="null3"/>
        <w:jc w:val="left"/>
      </w:pPr>
      <w:r>
        <w:rPr/>
        <w:t>联系电话：028-61430613</w:t>
      </w:r>
    </w:p>
    <w:p>
      <w:pPr>
        <w:pStyle w:val="null3"/>
        <w:jc w:val="left"/>
      </w:pPr>
      <w:r>
        <w:rPr/>
        <w:t>地址：成都市龙泉驿区北泉路777号</w:t>
      </w:r>
    </w:p>
    <w:p>
      <w:pPr>
        <w:pStyle w:val="null3"/>
        <w:jc w:val="left"/>
      </w:pPr>
      <w:r>
        <w:rPr/>
        <w:t>邮编：610100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450,000.00</w:t>
      </w:r>
    </w:p>
    <w:p>
      <w:pPr>
        <w:pStyle w:val="null3"/>
        <w:jc w:val="left"/>
      </w:pPr>
      <w:r>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电梯</w:t>
            </w:r>
          </w:p>
        </w:tc>
        <w:tc>
          <w:tcPr>
            <w:tcW w:type="dxa" w:w="821"/>
          </w:tcPr>
          <w:p>
            <w:pPr>
              <w:pStyle w:val="null3"/>
              <w:jc w:val="left"/>
            </w:pPr>
            <w:r>
              <w:rPr/>
              <w:t>电梯</w:t>
            </w:r>
          </w:p>
        </w:tc>
        <w:tc>
          <w:tcPr>
            <w:tcW w:type="dxa" w:w="821"/>
          </w:tcPr>
          <w:p>
            <w:pPr>
              <w:pStyle w:val="null3"/>
              <w:jc w:val="right"/>
            </w:pPr>
            <w:r>
              <w:rPr/>
              <w:t>1.00（台）</w:t>
            </w:r>
          </w:p>
        </w:tc>
        <w:tc>
          <w:tcPr>
            <w:tcW w:type="dxa" w:w="821"/>
          </w:tcPr>
          <w:p>
            <w:pPr>
              <w:pStyle w:val="null3"/>
              <w:jc w:val="right"/>
            </w:pPr>
            <w:r>
              <w:rPr/>
              <w:t>450,000.00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电梯</w:t>
            </w:r>
          </w:p>
        </w:tc>
        <w:tc>
          <w:tcPr>
            <w:tcW w:type="dxa" w:w="977"/>
          </w:tcPr>
          <w:p>
            <w:pPr>
              <w:pStyle w:val="null3"/>
              <w:jc w:val="right"/>
            </w:pPr>
            <w:r>
              <w:rPr/>
              <w:t>1.00（台）</w:t>
            </w:r>
          </w:p>
        </w:tc>
        <w:tc>
          <w:tcPr>
            <w:tcW w:type="dxa" w:w="1173"/>
          </w:tcPr>
          <w:p>
            <w:pPr>
              <w:pStyle w:val="null3"/>
              <w:jc w:val="right"/>
            </w:pPr>
            <w:r>
              <w:rPr/>
              <w:t>450,000（元）</w:t>
            </w:r>
          </w:p>
        </w:tc>
        <w:tc>
          <w:tcPr>
            <w:tcW w:type="dxa" w:w="1173"/>
          </w:tcPr>
          <w:p>
            <w:pPr>
              <w:pStyle w:val="null3"/>
              <w:jc w:val="right"/>
            </w:pPr>
            <w:r>
              <w:rPr/>
              <w:t>450,000.00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电梯</w:t>
            </w:r>
          </w:p>
        </w:tc>
        <w:tc>
          <w:tcPr>
            <w:tcW w:type="dxa" w:w="2492"/>
          </w:tcPr>
          <w:p>
            <w:pPr>
              <w:pStyle w:val="null3"/>
              <w:jc w:val="left"/>
            </w:pPr>
            <w:r>
              <w:rPr/>
              <w:t>电梯</w:t>
            </w:r>
          </w:p>
        </w:tc>
        <w:tc>
          <w:tcPr>
            <w:tcW w:type="dxa" w:w="2492"/>
          </w:tcPr>
          <w:p>
            <w:pPr>
              <w:pStyle w:val="null3"/>
              <w:jc w:val="left"/>
            </w:pPr>
            <w:r>
              <w:rPr/>
              <w:t>电梯</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标的名称：电梯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tbl>
            <w:tblPr>
              <w:tblBorders>
                <w:top w:val="single"/>
                <w:left w:val="single"/>
                <w:bottom w:val="single"/>
                <w:right w:val="single"/>
                <w:insideH w:val="single"/>
                <w:insideV w:val="single"/>
              </w:tblBorders>
            </w:tblPr>
            <w:tblGrid>
              <w:gridCol w:w="1761"/>
              <w:gridCol w:w="1761"/>
            </w:tblGrid>
            <w:tr>
              <w:tc>
                <w:tcPr>
                  <w:tcW w:type="dxa" w:w="1761"/>
                </w:tcPr>
                <w:p>
                  <w:pPr>
                    <w:pStyle w:val="null3"/>
                    <w:jc w:val="both"/>
                  </w:pPr>
                  <w:r>
                    <w:rPr>
                      <w:rFonts w:ascii="等线" w:hAnsi="等线" w:cs="等线" w:eastAsia="等线"/>
                      <w:color w:val="000000"/>
                      <w:sz w:val="20"/>
                    </w:rPr>
                    <w:t>编号</w:t>
                  </w:r>
                </w:p>
              </w:tc>
              <w:tc>
                <w:tcPr>
                  <w:tcW w:type="dxa" w:w="1761"/>
                </w:tcPr>
                <w:p>
                  <w:pPr>
                    <w:pStyle w:val="null3"/>
                    <w:jc w:val="both"/>
                  </w:pPr>
                  <w:r>
                    <w:rPr>
                      <w:rFonts w:ascii="等线" w:hAnsi="等线" w:cs="等线" w:eastAsia="等线"/>
                      <w:color w:val="000000"/>
                      <w:sz w:val="20"/>
                    </w:rPr>
                    <w:t>L1</w:t>
                  </w:r>
                </w:p>
              </w:tc>
            </w:tr>
            <w:tr>
              <w:tc>
                <w:tcPr>
                  <w:tcW w:type="dxa" w:w="1761"/>
                </w:tcPr>
                <w:p>
                  <w:pPr>
                    <w:pStyle w:val="null3"/>
                    <w:jc w:val="both"/>
                  </w:pPr>
                  <w:r>
                    <w:rPr>
                      <w:rFonts w:ascii="等线" w:hAnsi="等线" w:cs="等线" w:eastAsia="等线"/>
                      <w:color w:val="000000"/>
                      <w:sz w:val="20"/>
                    </w:rPr>
                    <w:t>货物名称</w:t>
                  </w:r>
                </w:p>
              </w:tc>
              <w:tc>
                <w:tcPr>
                  <w:tcW w:type="dxa" w:w="1761"/>
                </w:tcPr>
                <w:p>
                  <w:pPr>
                    <w:pStyle w:val="null3"/>
                    <w:jc w:val="both"/>
                  </w:pPr>
                  <w:r>
                    <w:rPr>
                      <w:rFonts w:ascii="等线" w:hAnsi="等线" w:cs="等线" w:eastAsia="等线"/>
                      <w:color w:val="000000"/>
                      <w:sz w:val="20"/>
                    </w:rPr>
                    <w:t>无机房客梯</w:t>
                  </w:r>
                </w:p>
              </w:tc>
            </w:tr>
            <w:tr>
              <w:tc>
                <w:tcPr>
                  <w:tcW w:type="dxa" w:w="1761"/>
                </w:tcPr>
                <w:p>
                  <w:pPr>
                    <w:pStyle w:val="null3"/>
                    <w:jc w:val="both"/>
                  </w:pPr>
                  <w:r>
                    <w:rPr>
                      <w:rFonts w:ascii="等线" w:hAnsi="等线" w:cs="等线" w:eastAsia="等线"/>
                      <w:color w:val="000000"/>
                      <w:sz w:val="20"/>
                    </w:rPr>
                    <w:t>载重</w:t>
                  </w:r>
                </w:p>
              </w:tc>
              <w:tc>
                <w:tcPr>
                  <w:tcW w:type="dxa" w:w="1761"/>
                </w:tcPr>
                <w:p>
                  <w:pPr>
                    <w:pStyle w:val="null3"/>
                    <w:jc w:val="both"/>
                  </w:pPr>
                  <w:r>
                    <w:rPr>
                      <w:rFonts w:ascii="等线" w:hAnsi="等线" w:cs="等线" w:eastAsia="等线"/>
                      <w:color w:val="000000"/>
                      <w:sz w:val="20"/>
                    </w:rPr>
                    <w:t>1050kg</w:t>
                  </w:r>
                </w:p>
              </w:tc>
            </w:tr>
            <w:tr>
              <w:tc>
                <w:tcPr>
                  <w:tcW w:type="dxa" w:w="1761"/>
                </w:tcPr>
                <w:p>
                  <w:pPr>
                    <w:pStyle w:val="null3"/>
                    <w:jc w:val="both"/>
                  </w:pPr>
                  <w:r>
                    <w:rPr>
                      <w:rFonts w:ascii="等线" w:hAnsi="等线" w:cs="等线" w:eastAsia="等线"/>
                      <w:color w:val="000000"/>
                      <w:sz w:val="20"/>
                    </w:rPr>
                    <w:t>速度</w:t>
                  </w:r>
                </w:p>
              </w:tc>
              <w:tc>
                <w:tcPr>
                  <w:tcW w:type="dxa" w:w="1761"/>
                </w:tcPr>
                <w:p>
                  <w:pPr>
                    <w:pStyle w:val="null3"/>
                    <w:jc w:val="both"/>
                  </w:pPr>
                  <w:r>
                    <w:rPr>
                      <w:rFonts w:ascii="等线" w:hAnsi="等线" w:cs="等线" w:eastAsia="等线"/>
                      <w:color w:val="000000"/>
                      <w:sz w:val="20"/>
                    </w:rPr>
                    <w:t>1.5m/s</w:t>
                  </w:r>
                </w:p>
              </w:tc>
            </w:tr>
            <w:tr>
              <w:tc>
                <w:tcPr>
                  <w:tcW w:type="dxa" w:w="1761"/>
                </w:tcPr>
                <w:p>
                  <w:pPr>
                    <w:pStyle w:val="null3"/>
                    <w:jc w:val="both"/>
                  </w:pPr>
                  <w:r>
                    <w:rPr>
                      <w:rFonts w:ascii="等线" w:hAnsi="等线" w:cs="等线" w:eastAsia="等线"/>
                      <w:color w:val="000000"/>
                      <w:sz w:val="20"/>
                    </w:rPr>
                    <w:t>层站门数</w:t>
                  </w:r>
                </w:p>
              </w:tc>
              <w:tc>
                <w:tcPr>
                  <w:tcW w:type="dxa" w:w="1761"/>
                </w:tcPr>
                <w:p>
                  <w:pPr>
                    <w:pStyle w:val="null3"/>
                    <w:jc w:val="both"/>
                  </w:pPr>
                  <w:r>
                    <w:rPr>
                      <w:rFonts w:ascii="等线" w:hAnsi="等线" w:cs="等线" w:eastAsia="等线"/>
                      <w:color w:val="000000"/>
                      <w:sz w:val="20"/>
                    </w:rPr>
                    <w:t>5层5站5门</w:t>
                  </w:r>
                </w:p>
              </w:tc>
            </w:tr>
            <w:tr>
              <w:tc>
                <w:tcPr>
                  <w:tcW w:type="dxa" w:w="1761"/>
                </w:tcPr>
                <w:p>
                  <w:pPr>
                    <w:pStyle w:val="null3"/>
                    <w:jc w:val="both"/>
                  </w:pPr>
                  <w:r>
                    <w:rPr>
                      <w:rFonts w:ascii="等线" w:hAnsi="等线" w:cs="等线" w:eastAsia="等线"/>
                      <w:color w:val="000000"/>
                      <w:sz w:val="20"/>
                    </w:rPr>
                    <w:t>数量（台）</w:t>
                  </w:r>
                </w:p>
              </w:tc>
              <w:tc>
                <w:tcPr>
                  <w:tcW w:type="dxa" w:w="1761"/>
                </w:tcPr>
                <w:p>
                  <w:pPr>
                    <w:pStyle w:val="null3"/>
                    <w:jc w:val="both"/>
                  </w:pPr>
                  <w:r>
                    <w:rPr>
                      <w:rFonts w:ascii="等线" w:hAnsi="等线" w:cs="等线" w:eastAsia="等线"/>
                      <w:color w:val="000000"/>
                      <w:sz w:val="20"/>
                    </w:rPr>
                    <w:t>1</w:t>
                  </w:r>
                </w:p>
              </w:tc>
            </w:tr>
            <w:tr>
              <w:tc>
                <w:tcPr>
                  <w:tcW w:type="dxa" w:w="1761"/>
                </w:tcPr>
                <w:p>
                  <w:pPr>
                    <w:pStyle w:val="null3"/>
                    <w:jc w:val="both"/>
                  </w:pPr>
                  <w:r>
                    <w:rPr>
                      <w:rFonts w:ascii="等线" w:hAnsi="等线" w:cs="等线" w:eastAsia="等线"/>
                      <w:color w:val="000000"/>
                      <w:sz w:val="20"/>
                    </w:rPr>
                    <w:t>提升高度</w:t>
                  </w:r>
                </w:p>
              </w:tc>
              <w:tc>
                <w:tcPr>
                  <w:tcW w:type="dxa" w:w="1761"/>
                </w:tcPr>
                <w:p>
                  <w:pPr>
                    <w:pStyle w:val="null3"/>
                    <w:jc w:val="both"/>
                  </w:pPr>
                  <w:r>
                    <w:rPr>
                      <w:rFonts w:ascii="等线" w:hAnsi="等线" w:cs="等线" w:eastAsia="等线"/>
                      <w:color w:val="000000"/>
                      <w:sz w:val="20"/>
                    </w:rPr>
                    <w:t>27m</w:t>
                  </w:r>
                </w:p>
              </w:tc>
            </w:tr>
            <w:tr>
              <w:tc>
                <w:tcPr>
                  <w:tcW w:type="dxa" w:w="1761"/>
                </w:tcPr>
                <w:p>
                  <w:pPr>
                    <w:pStyle w:val="null3"/>
                    <w:jc w:val="both"/>
                  </w:pPr>
                  <w:r>
                    <w:rPr>
                      <w:rFonts w:ascii="等线" w:hAnsi="等线" w:cs="等线" w:eastAsia="等线"/>
                      <w:color w:val="000000"/>
                      <w:sz w:val="20"/>
                    </w:rPr>
                    <w:t>井道宽深</w:t>
                  </w:r>
                </w:p>
              </w:tc>
              <w:tc>
                <w:tcPr>
                  <w:tcW w:type="dxa" w:w="1761"/>
                </w:tcPr>
                <w:p>
                  <w:pPr>
                    <w:pStyle w:val="null3"/>
                    <w:jc w:val="both"/>
                  </w:pPr>
                  <w:r>
                    <w:rPr>
                      <w:rFonts w:ascii="等线" w:hAnsi="等线" w:cs="等线" w:eastAsia="等线"/>
                      <w:color w:val="000000"/>
                      <w:sz w:val="20"/>
                    </w:rPr>
                    <w:t>2200mm*2000mm</w:t>
                  </w:r>
                </w:p>
              </w:tc>
            </w:tr>
            <w:tr>
              <w:tc>
                <w:tcPr>
                  <w:tcW w:type="dxa" w:w="1761"/>
                </w:tcPr>
                <w:p>
                  <w:pPr>
                    <w:pStyle w:val="null3"/>
                    <w:jc w:val="both"/>
                  </w:pPr>
                  <w:r>
                    <w:rPr>
                      <w:rFonts w:ascii="等线" w:hAnsi="等线" w:cs="等线" w:eastAsia="等线"/>
                      <w:color w:val="000000"/>
                      <w:sz w:val="20"/>
                    </w:rPr>
                    <w:t>顶层高度</w:t>
                  </w:r>
                </w:p>
              </w:tc>
              <w:tc>
                <w:tcPr>
                  <w:tcW w:type="dxa" w:w="1761"/>
                </w:tcPr>
                <w:p>
                  <w:pPr>
                    <w:pStyle w:val="null3"/>
                    <w:jc w:val="both"/>
                  </w:pPr>
                  <w:r>
                    <w:rPr>
                      <w:rFonts w:ascii="等线" w:hAnsi="等线" w:cs="等线" w:eastAsia="等线"/>
                      <w:color w:val="000000"/>
                      <w:sz w:val="20"/>
                    </w:rPr>
                    <w:t>4500mm</w:t>
                  </w:r>
                </w:p>
              </w:tc>
            </w:tr>
            <w:tr>
              <w:tc>
                <w:tcPr>
                  <w:tcW w:type="dxa" w:w="1761"/>
                </w:tcPr>
                <w:p>
                  <w:pPr>
                    <w:pStyle w:val="null3"/>
                    <w:jc w:val="both"/>
                  </w:pPr>
                  <w:r>
                    <w:rPr>
                      <w:rFonts w:ascii="等线" w:hAnsi="等线" w:cs="等线" w:eastAsia="等线"/>
                      <w:color w:val="000000"/>
                      <w:sz w:val="20"/>
                    </w:rPr>
                    <w:t>底坑深度</w:t>
                  </w:r>
                </w:p>
              </w:tc>
              <w:tc>
                <w:tcPr>
                  <w:tcW w:type="dxa" w:w="1761"/>
                </w:tcPr>
                <w:p>
                  <w:pPr>
                    <w:pStyle w:val="null3"/>
                    <w:jc w:val="both"/>
                  </w:pPr>
                  <w:r>
                    <w:rPr>
                      <w:rFonts w:ascii="等线" w:hAnsi="等线" w:cs="等线" w:eastAsia="等线"/>
                      <w:color w:val="000000"/>
                      <w:sz w:val="20"/>
                    </w:rPr>
                    <w:t>1500mm</w:t>
                  </w:r>
                </w:p>
              </w:tc>
            </w:tr>
            <w:tr>
              <w:tc>
                <w:tcPr>
                  <w:tcW w:type="dxa" w:w="1761"/>
                </w:tcPr>
                <w:p>
                  <w:pPr>
                    <w:pStyle w:val="null3"/>
                    <w:jc w:val="both"/>
                  </w:pPr>
                  <w:r>
                    <w:rPr>
                      <w:rFonts w:ascii="等线" w:hAnsi="等线" w:cs="等线" w:eastAsia="等线"/>
                      <w:color w:val="000000"/>
                      <w:sz w:val="20"/>
                    </w:rPr>
                    <w:t>轿厢内净尺寸</w:t>
                  </w:r>
                </w:p>
              </w:tc>
              <w:tc>
                <w:tcPr>
                  <w:tcW w:type="dxa" w:w="1761"/>
                </w:tcPr>
                <w:p>
                  <w:pPr>
                    <w:pStyle w:val="null3"/>
                    <w:jc w:val="both"/>
                  </w:pPr>
                  <w:r>
                    <w:rPr>
                      <w:rFonts w:ascii="等线" w:hAnsi="等线" w:cs="等线" w:eastAsia="等线"/>
                      <w:color w:val="000000"/>
                      <w:sz w:val="20"/>
                    </w:rPr>
                    <w:t>宽</w:t>
                  </w:r>
                  <w:r>
                    <w:rPr>
                      <w:rFonts w:ascii="等线" w:hAnsi="等线" w:cs="等线" w:eastAsia="等线"/>
                      <w:color w:val="000000"/>
                      <w:sz w:val="20"/>
                    </w:rPr>
                    <w:t>1500mm*深1600mm*高2400mm</w:t>
                  </w:r>
                </w:p>
              </w:tc>
            </w:tr>
            <w:tr>
              <w:tc>
                <w:tcPr>
                  <w:tcW w:type="dxa" w:w="1761"/>
                </w:tcPr>
                <w:p>
                  <w:pPr>
                    <w:pStyle w:val="null3"/>
                    <w:jc w:val="both"/>
                  </w:pPr>
                  <w:r>
                    <w:rPr>
                      <w:rFonts w:ascii="等线" w:hAnsi="等线" w:cs="等线" w:eastAsia="等线"/>
                      <w:color w:val="000000"/>
                      <w:sz w:val="20"/>
                    </w:rPr>
                    <w:t>厅门内净尺寸</w:t>
                  </w:r>
                </w:p>
              </w:tc>
              <w:tc>
                <w:tcPr>
                  <w:tcW w:type="dxa" w:w="1761"/>
                </w:tcPr>
                <w:p>
                  <w:pPr>
                    <w:pStyle w:val="null3"/>
                    <w:jc w:val="both"/>
                  </w:pPr>
                  <w:r>
                    <w:rPr>
                      <w:rFonts w:ascii="等线" w:hAnsi="等线" w:cs="等线" w:eastAsia="等线"/>
                      <w:color w:val="000000"/>
                      <w:sz w:val="20"/>
                    </w:rPr>
                    <w:t>宽</w:t>
                  </w:r>
                  <w:r>
                    <w:rPr>
                      <w:rFonts w:ascii="等线" w:hAnsi="等线" w:cs="等线" w:eastAsia="等线"/>
                      <w:color w:val="000000"/>
                      <w:sz w:val="20"/>
                    </w:rPr>
                    <w:t>900mm*高2100mm</w:t>
                  </w:r>
                </w:p>
              </w:tc>
            </w:tr>
            <w:tr>
              <w:tc>
                <w:tcPr>
                  <w:tcW w:type="dxa" w:w="1761"/>
                </w:tcPr>
                <w:p>
                  <w:pPr>
                    <w:pStyle w:val="null3"/>
                    <w:jc w:val="both"/>
                  </w:pPr>
                  <w:r>
                    <w:rPr>
                      <w:rFonts w:ascii="等线" w:hAnsi="等线" w:cs="等线" w:eastAsia="等线"/>
                      <w:color w:val="000000"/>
                      <w:sz w:val="20"/>
                    </w:rPr>
                    <w:t>钢结构井道</w:t>
                  </w:r>
                </w:p>
              </w:tc>
              <w:tc>
                <w:tcPr>
                  <w:tcW w:type="dxa" w:w="1761"/>
                </w:tcPr>
                <w:p>
                  <w:pPr>
                    <w:pStyle w:val="null3"/>
                    <w:jc w:val="both"/>
                  </w:pPr>
                  <w:r>
                    <w:rPr>
                      <w:rFonts w:ascii="等线" w:hAnsi="等线" w:cs="等线" w:eastAsia="等线"/>
                      <w:color w:val="000000"/>
                      <w:sz w:val="20"/>
                    </w:rPr>
                    <w:t>尺寸根据设计要求，主要钢结构材立柱</w:t>
                  </w:r>
                  <w:r>
                    <w:rPr>
                      <w:rFonts w:ascii="等线" w:hAnsi="等线" w:cs="等线" w:eastAsia="等线"/>
                      <w:color w:val="000000"/>
                      <w:sz w:val="20"/>
                    </w:rPr>
                    <w:t>200mm*200mm*6mm，横梁</w:t>
                  </w:r>
                  <w:r>
                    <w:br/>
                  </w:r>
                  <w:r>
                    <w:rPr>
                      <w:rFonts w:ascii="等线" w:hAnsi="等线" w:cs="等线" w:eastAsia="等线"/>
                      <w:color w:val="000000"/>
                      <w:sz w:val="20"/>
                    </w:rPr>
                    <w:t>200mm*100m m*5mm，其余按规范要求。</w:t>
                  </w:r>
                </w:p>
              </w:tc>
            </w:tr>
            <w:tr>
              <w:tc>
                <w:tcPr>
                  <w:tcW w:type="dxa" w:w="1761"/>
                </w:tcPr>
                <w:p>
                  <w:pPr>
                    <w:pStyle w:val="null3"/>
                    <w:jc w:val="both"/>
                  </w:pPr>
                  <w:r>
                    <w:rPr>
                      <w:rFonts w:ascii="等线" w:hAnsi="等线" w:cs="等线" w:eastAsia="等线"/>
                      <w:color w:val="000000"/>
                      <w:sz w:val="20"/>
                    </w:rPr>
                    <w:t>连廊</w:t>
                  </w:r>
                </w:p>
              </w:tc>
              <w:tc>
                <w:tcPr>
                  <w:tcW w:type="dxa" w:w="1761"/>
                </w:tcPr>
                <w:p>
                  <w:pPr>
                    <w:pStyle w:val="null3"/>
                    <w:jc w:val="both"/>
                  </w:pPr>
                  <w:r>
                    <w:rPr>
                      <w:rFonts w:ascii="等线" w:hAnsi="等线" w:cs="等线" w:eastAsia="等线"/>
                      <w:color w:val="000000"/>
                      <w:sz w:val="20"/>
                    </w:rPr>
                    <w:t>根据现场要求，主梁</w:t>
                  </w:r>
                  <w:r>
                    <w:rPr>
                      <w:rFonts w:ascii="等线" w:hAnsi="等线" w:cs="等线" w:eastAsia="等线"/>
                      <w:color w:val="000000"/>
                      <w:sz w:val="20"/>
                    </w:rPr>
                    <w:t>100*200*6，次梁50*100*4，廊桥3.5m，其余按规范要求。</w:t>
                  </w:r>
                </w:p>
              </w:tc>
            </w:tr>
            <w:tr>
              <w:tc>
                <w:tcPr>
                  <w:tcW w:type="dxa" w:w="1761"/>
                </w:tcPr>
                <w:p>
                  <w:pPr>
                    <w:pStyle w:val="null3"/>
                    <w:jc w:val="both"/>
                  </w:pPr>
                  <w:r>
                    <w:rPr>
                      <w:rFonts w:ascii="等线" w:hAnsi="等线" w:cs="等线" w:eastAsia="等线"/>
                      <w:color w:val="000000"/>
                      <w:sz w:val="20"/>
                    </w:rPr>
                    <w:t>钢结构井架外装饰</w:t>
                  </w:r>
                </w:p>
              </w:tc>
              <w:tc>
                <w:tcPr>
                  <w:tcW w:type="dxa" w:w="1761"/>
                </w:tcPr>
                <w:p>
                  <w:pPr>
                    <w:pStyle w:val="null3"/>
                    <w:jc w:val="both"/>
                  </w:pPr>
                  <w:r>
                    <w:rPr>
                      <w:rFonts w:ascii="等线" w:hAnsi="等线" w:cs="等线" w:eastAsia="等线"/>
                      <w:color w:val="000000"/>
                      <w:sz w:val="20"/>
                    </w:rPr>
                    <w:t>钢化夹胶玻璃。</w:t>
                  </w:r>
                </w:p>
              </w:tc>
            </w:tr>
            <w:tr>
              <w:tc>
                <w:tcPr>
                  <w:tcW w:type="dxa" w:w="1761"/>
                </w:tcPr>
                <w:p>
                  <w:pPr>
                    <w:pStyle w:val="null3"/>
                    <w:jc w:val="both"/>
                  </w:pPr>
                  <w:r>
                    <w:rPr>
                      <w:rFonts w:ascii="等线" w:hAnsi="等线" w:cs="等线" w:eastAsia="等线"/>
                      <w:color w:val="000000"/>
                      <w:sz w:val="20"/>
                    </w:rPr>
                    <w:t>装饰门套</w:t>
                  </w:r>
                </w:p>
              </w:tc>
              <w:tc>
                <w:tcPr>
                  <w:tcW w:type="dxa" w:w="1761"/>
                </w:tcPr>
                <w:p>
                  <w:pPr>
                    <w:pStyle w:val="null3"/>
                    <w:jc w:val="both"/>
                  </w:pPr>
                  <w:r>
                    <w:rPr>
                      <w:rFonts w:ascii="等线" w:hAnsi="等线" w:cs="等线" w:eastAsia="等线"/>
                      <w:color w:val="000000"/>
                      <w:sz w:val="20"/>
                    </w:rPr>
                    <w:t>不锈钢大门套，修建后所有门洞回填装修需和原风格一致。</w:t>
                  </w:r>
                </w:p>
              </w:tc>
            </w:tr>
            <w:tr>
              <w:tc>
                <w:tcPr>
                  <w:tcW w:type="dxa" w:w="1761"/>
                </w:tcPr>
                <w:p>
                  <w:pPr>
                    <w:pStyle w:val="null3"/>
                    <w:jc w:val="both"/>
                  </w:pPr>
                  <w:r>
                    <w:rPr>
                      <w:rFonts w:ascii="等线" w:hAnsi="等线" w:cs="等线" w:eastAsia="等线"/>
                      <w:color w:val="000000"/>
                      <w:sz w:val="20"/>
                    </w:rPr>
                    <w:t>电源</w:t>
                  </w:r>
                </w:p>
              </w:tc>
              <w:tc>
                <w:tcPr>
                  <w:tcW w:type="dxa" w:w="1761"/>
                </w:tcPr>
                <w:p>
                  <w:pPr>
                    <w:pStyle w:val="null3"/>
                    <w:jc w:val="both"/>
                  </w:pPr>
                  <w:r>
                    <w:rPr>
                      <w:rFonts w:ascii="等线" w:hAnsi="等线" w:cs="等线" w:eastAsia="等线"/>
                      <w:color w:val="000000"/>
                      <w:sz w:val="20"/>
                    </w:rPr>
                    <w:t>动力电源线三相五线、五方通话线由中标人负责铺设并承担费用。</w:t>
                  </w:r>
                </w:p>
              </w:tc>
            </w:tr>
          </w:tbl>
          <w:p>
            <w:pPr>
              <w:pStyle w:val="null3"/>
              <w:jc w:val="left"/>
            </w:pPr>
            <w:r>
              <w:rPr/>
              <w:t xml:space="preserve"> </w:t>
            </w:r>
          </w:p>
        </w:tc>
      </w:tr>
      <w:tr>
        <w:tc>
          <w:tcPr>
            <w:tcW w:type="dxa" w:w="831"/>
          </w:tcPr>
          <w:p>
            <w:pPr>
              <w:pStyle w:val="null3"/>
              <w:jc w:val="left"/>
            </w:pPr>
            <w:r>
              <w:rPr/>
              <w:t>2</w:t>
            </w:r>
          </w:p>
        </w:tc>
        <w:tc>
          <w:tcPr>
            <w:tcW w:type="dxa" w:w="1246"/>
          </w:tcPr>
          <w:p/>
        </w:tc>
        <w:tc>
          <w:tcPr>
            <w:tcW w:type="dxa" w:w="2492"/>
          </w:tcPr>
          <w:p/>
        </w:tc>
        <w:tc>
          <w:tcPr>
            <w:tcW w:type="dxa" w:w="3738"/>
          </w:tcPr>
          <w:tbl>
            <w:tblPr>
              <w:tblBorders>
                <w:top w:val="none" w:color="000000" w:sz="4"/>
                <w:left w:val="none" w:color="000000" w:sz="4"/>
                <w:bottom w:val="none" w:color="000000" w:sz="4"/>
                <w:right w:val="none" w:color="000000" w:sz="4"/>
                <w:insideH w:val="none"/>
                <w:insideV w:val="none"/>
              </w:tblBorders>
            </w:tblPr>
            <w:tblGrid>
              <w:gridCol w:w="386"/>
              <w:gridCol w:w="105"/>
              <w:gridCol w:w="2949"/>
              <w:gridCol w:w="0"/>
            </w:tblGrid>
            <w:tr>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项目</w:t>
                  </w:r>
                </w:p>
              </w:tc>
              <w:tc>
                <w:tcPr>
                  <w:tcW w:type="dxa" w:w="1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left"/>
                  </w:pPr>
                  <w:r>
                    <w:rPr>
                      <w:rFonts w:ascii="&quot;微软雅黑&quot;, sans-serif" w:hAnsi="&quot;微软雅黑&quot;, sans-serif" w:cs="&quot;微软雅黑&quot;, sans-serif" w:eastAsia="&quot;微软雅黑&quot;, sans-serif"/>
                      <w:color w:val="000000"/>
                      <w:sz w:val="24"/>
                    </w:rPr>
                    <w:t>编</w:t>
                  </w:r>
                  <w:r>
                    <w:rPr>
                      <w:rFonts w:ascii="arial, sans-serif" w:hAnsi="arial, sans-serif" w:cs="arial, sans-serif" w:eastAsia="arial, sans-serif"/>
                      <w:color w:val="000000"/>
                      <w:sz w:val="21"/>
                    </w:rPr>
                    <w:t xml:space="preserve">   </w:t>
                  </w:r>
                  <w:r>
                    <w:rPr>
                      <w:rFonts w:ascii="&quot;微软雅黑&quot;, sans-serif" w:hAnsi="&quot;微软雅黑&quot;, sans-serif" w:cs="&quot;微软雅黑&quot;, sans-serif" w:eastAsia="&quot;微软雅黑&quot;, sans-serif"/>
                      <w:color w:val="000000"/>
                      <w:sz w:val="24"/>
                    </w:rPr>
                    <w:t>号</w:t>
                  </w:r>
                </w:p>
              </w:tc>
              <w:tc>
                <w:tcPr>
                  <w:tcW w:type="dxa" w:w="2949"/>
                  <w:gridSpan w:val="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具体要求</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驱</w:t>
                  </w:r>
                  <w:r>
                    <w:rPr>
                      <w:rFonts w:ascii="&quot;微软雅黑&quot;, sans-serif" w:hAnsi="&quot;微软雅黑&quot;, sans-serif" w:cs="&quot;微软雅黑&quot;, sans-serif" w:eastAsia="&quot;微软雅黑&quot;, sans-serif"/>
                      <w:color w:val="000000"/>
                      <w:sz w:val="24"/>
                    </w:rPr>
                    <w:t>动</w:t>
                  </w:r>
                  <w:r>
                    <w:rPr>
                      <w:rFonts w:ascii="&quot;微软雅黑&quot;, sans-serif" w:hAnsi="&quot;微软雅黑&quot;, sans-serif" w:cs="&quot;微软雅黑&quot;, sans-serif" w:eastAsia="&quot;微软雅黑&quot;, sans-serif"/>
                      <w:color w:val="000000"/>
                      <w:sz w:val="24"/>
                    </w:rPr>
                    <w:t>主</w:t>
                  </w:r>
                  <w:r>
                    <w:rPr>
                      <w:rFonts w:ascii="&quot;微软雅黑&quot;, sans-serif" w:hAnsi="&quot;微软雅黑&quot;, sans-serif" w:cs="&quot;微软雅黑&quot;, sans-serif" w:eastAsia="&quot;微软雅黑&quot;, sans-serif"/>
                      <w:color w:val="000000"/>
                      <w:sz w:val="24"/>
                    </w:rPr>
                    <w:t xml:space="preserve"> 机</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left"/>
                  </w:pPr>
                  <w:r>
                    <w:rPr>
                      <w:rFonts w:ascii="宋体" w:hAnsi="宋体" w:cs="宋体" w:eastAsia="宋体"/>
                      <w:color w:val="000000"/>
                      <w:sz w:val="24"/>
                    </w:rPr>
                    <w:t>1</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驱动主机类型：交流永磁同步无齿轮曳引机</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2</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20"/>
                    <w:jc w:val="left"/>
                  </w:pPr>
                  <w:r>
                    <w:rPr>
                      <w:rFonts w:ascii="&quot;微软雅黑&quot;, sans-serif" w:hAnsi="&quot;微软雅黑&quot;, sans-serif" w:cs="&quot;微软雅黑&quot;, sans-serif" w:eastAsia="&quot;微软雅黑&quot;, sans-serif"/>
                      <w:color w:val="000000"/>
                      <w:sz w:val="24"/>
                    </w:rPr>
                    <w:t>整体结构型式：</w:t>
                  </w:r>
                  <w:r>
                    <w:rPr>
                      <w:rFonts w:ascii="&quot;微软雅黑&quot;, sans-serif" w:hAnsi="&quot;微软雅黑&quot;, sans-serif" w:cs="&quot;微软雅黑&quot;, sans-serif" w:eastAsia="&quot;微软雅黑&quot;, sans-serif"/>
                      <w:color w:val="000000"/>
                      <w:sz w:val="24"/>
                    </w:rPr>
                    <w:t>卧式</w:t>
                  </w: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无减速装置</w:t>
                  </w: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输出轮悬臂</w:t>
                  </w:r>
                  <w:r>
                    <w:rPr>
                      <w:rFonts w:ascii="&quot;微软雅黑&quot;, sans-serif" w:hAnsi="&quot;微软雅黑&quot;, sans-serif" w:cs="&quot;微软雅黑&quot;, sans-serif" w:eastAsia="&quot;微软雅黑&quot;, sans-serif"/>
                      <w:color w:val="000000"/>
                      <w:sz w:val="24"/>
                    </w:rPr>
                    <w:t xml:space="preserve"> 式、输出轴两点支撑</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20" w:firstLine="33"/>
                    <w:jc w:val="left"/>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编码器</w:t>
                  </w:r>
                  <w:r>
                    <w:rPr>
                      <w:rFonts w:ascii="&quot;微软雅黑&quot;, sans-serif" w:hAnsi="&quot;微软雅黑&quot;, sans-serif" w:cs="&quot;微软雅黑&quot;, sans-serif" w:eastAsia="&quot;微软雅黑&quot;, sans-serif"/>
                      <w:color w:val="000000"/>
                      <w:sz w:val="24"/>
                    </w:rPr>
                    <w:t xml:space="preserve"> ：所投品牌电梯主机编码器要求采用原厂 原品牌（须提供型式试验报告）</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门机</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4</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20" w:firstLine="19"/>
                    <w:jc w:val="left"/>
                  </w:pPr>
                  <w:r>
                    <w:rPr>
                      <w:rFonts w:ascii="&quot;微软雅黑&quot;, sans-serif" w:hAnsi="&quot;微软雅黑&quot;, sans-serif" w:cs="&quot;微软雅黑&quot;, sans-serif" w:eastAsia="&quot;微软雅黑&quot;, sans-serif"/>
                      <w:color w:val="000000"/>
                      <w:sz w:val="24"/>
                    </w:rPr>
                    <w:t>门机：</w:t>
                  </w:r>
                  <w:r>
                    <w:rPr>
                      <w:rFonts w:ascii="&quot;微软雅黑&quot;, sans-serif" w:hAnsi="&quot;微软雅黑&quot;, sans-serif" w:cs="&quot;微软雅黑&quot;, sans-serif" w:eastAsia="&quot;微软雅黑&quot;, sans-serif"/>
                      <w:color w:val="000000"/>
                      <w:sz w:val="24"/>
                    </w:rPr>
                    <w:t>中分变频门机、永磁同步门机、智能门控制</w:t>
                  </w:r>
                  <w:r>
                    <w:rPr>
                      <w:rFonts w:ascii="&quot;微软雅黑&quot;, sans-serif" w:hAnsi="&quot;微软雅黑&quot;, sans-serif" w:cs="&quot;微软雅黑&quot;, sans-serif" w:eastAsia="&quot;微软雅黑&quot;, sans-serif"/>
                      <w:color w:val="000000"/>
                      <w:sz w:val="24"/>
                    </w:rPr>
                    <w:t xml:space="preserve"> 系统</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5</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firstLine="11"/>
                    <w:jc w:val="left"/>
                  </w:pPr>
                  <w:r>
                    <w:rPr>
                      <w:rFonts w:ascii="&quot;微软雅黑&quot;, sans-serif" w:hAnsi="&quot;微软雅黑&quot;, sans-serif" w:cs="&quot;微软雅黑&quot;, sans-serif" w:eastAsia="&quot;微软雅黑&quot;, sans-serif"/>
                      <w:color w:val="000000"/>
                      <w:sz w:val="24"/>
                    </w:rPr>
                    <w:t>防护等级：</w:t>
                  </w:r>
                  <w:r>
                    <w:rPr>
                      <w:rFonts w:ascii="&quot;微软雅黑&quot;, sans-serif" w:hAnsi="&quot;微软雅黑&quot;, sans-serif" w:cs="&quot;微软雅黑&quot;, sans-serif" w:eastAsia="&quot;微软雅黑&quot;, sans-serif"/>
                      <w:color w:val="000000"/>
                      <w:sz w:val="24"/>
                    </w:rPr>
                    <w:t>电梯开门机用永磁同步电动机的防护等</w:t>
                  </w:r>
                  <w:r>
                    <w:rPr>
                      <w:rFonts w:ascii="&quot;微软雅黑&quot;, sans-serif" w:hAnsi="&quot;微软雅黑&quot;, sans-serif" w:cs="&quot;微软雅黑&quot;, sans-serif" w:eastAsia="&quot;微软雅黑&quot;, sans-serif"/>
                      <w:color w:val="000000"/>
                      <w:sz w:val="24"/>
                    </w:rPr>
                    <w:t xml:space="preserve"> 级≥IP65（须提供型式试验报告）</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6</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firstLine="31"/>
                    <w:jc w:val="left"/>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轿门锁</w:t>
                  </w:r>
                  <w:r>
                    <w:rPr>
                      <w:rFonts w:ascii="&quot;微软雅黑&quot;, sans-serif" w:hAnsi="&quot;微软雅黑&quot;, sans-serif" w:cs="&quot;微软雅黑&quot;, sans-serif" w:eastAsia="&quot;微软雅黑&quot;, sans-serif"/>
                      <w:color w:val="000000"/>
                      <w:sz w:val="24"/>
                    </w:rPr>
                    <w:t xml:space="preserve"> ：所投品牌电梯轿门锁需采用免维护的摆 臂式结构（须提供第三方机构认证证书）</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拖</w:t>
                  </w:r>
                  <w:r>
                    <w:rPr>
                      <w:rFonts w:ascii="&quot;微软雅黑&quot;, sans-serif" w:hAnsi="&quot;微软雅黑&quot;, sans-serif" w:cs="&quot;微软雅黑&quot;, sans-serif" w:eastAsia="&quot;微软雅黑&quot;, sans-serif"/>
                      <w:color w:val="000000"/>
                      <w:sz w:val="24"/>
                    </w:rPr>
                    <w:t>动</w:t>
                  </w:r>
                  <w:r>
                    <w:rPr>
                      <w:rFonts w:ascii="&quot;微软雅黑&quot;, sans-serif" w:hAnsi="&quot;微软雅黑&quot;, sans-serif" w:cs="&quot;微软雅黑&quot;, sans-serif" w:eastAsia="&quot;微软雅黑&quot;, sans-serif"/>
                      <w:color w:val="000000"/>
                      <w:sz w:val="24"/>
                    </w:rPr>
                    <w:t>及</w:t>
                  </w:r>
                  <w:r>
                    <w:rPr>
                      <w:rFonts w:ascii="&quot;微软雅黑&quot;, sans-serif" w:hAnsi="&quot;微软雅黑&quot;, sans-serif" w:cs="&quot;微软雅黑&quot;, sans-serif" w:eastAsia="&quot;微软雅黑&quot;, sans-serif"/>
                      <w:color w:val="000000"/>
                      <w:sz w:val="24"/>
                    </w:rPr>
                    <w:t xml:space="preserve"> 控 制 系 统 （  控 制柜）</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7</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firstLine="31"/>
                    <w:jc w:val="left"/>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调试装置、控制装置、</w:t>
                  </w:r>
                  <w:r>
                    <w:rPr>
                      <w:rFonts w:ascii="&quot;微软雅黑&quot;, sans-serif" w:hAnsi="&quot;微软雅黑&quot;, sans-serif" w:cs="&quot;微软雅黑&quot;, sans-serif" w:eastAsia="&quot;微软雅黑&quot;, sans-serif"/>
                      <w:color w:val="000000"/>
                      <w:sz w:val="24"/>
                    </w:rPr>
                    <w:t>电气安全装置</w:t>
                  </w:r>
                  <w:r>
                    <w:rPr>
                      <w:rFonts w:ascii="&quot;微软雅黑&quot;, sans-serif" w:hAnsi="&quot;微软雅黑&quot;, sans-serif" w:cs="&quot;微软雅黑&quot;, sans-serif" w:eastAsia="&quot;微软雅黑&quot;, sans-serif"/>
                      <w:color w:val="000000"/>
                      <w:sz w:val="24"/>
                    </w:rPr>
                    <w:t>：这三种装</w:t>
                  </w:r>
                  <w:r>
                    <w:rPr>
                      <w:rFonts w:ascii="&quot;微软雅黑&quot;, sans-serif" w:hAnsi="&quot;微软雅黑&quot;, sans-serif" w:cs="&quot;微软雅黑&quot;, sans-serif" w:eastAsia="&quot;微软雅黑&quot;, sans-serif"/>
                      <w:color w:val="000000"/>
                      <w:sz w:val="24"/>
                    </w:rPr>
                    <w:t xml:space="preserve"> 置均要求采用原厂原品牌（须提供型式试验报告）</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8</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20" w:firstLine="32"/>
                    <w:jc w:val="left"/>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变频器</w:t>
                  </w:r>
                  <w:r>
                    <w:rPr>
                      <w:rFonts w:ascii="&quot;微软雅黑&quot;, sans-serif" w:hAnsi="&quot;微软雅黑&quot;, sans-serif" w:cs="&quot;微软雅黑&quot;, sans-serif" w:eastAsia="&quot;微软雅黑&quot;, sans-serif"/>
                      <w:color w:val="000000"/>
                      <w:sz w:val="24"/>
                    </w:rPr>
                    <w:t xml:space="preserve"> ：热管散热式变频器（须提供第三方权威 机构出具的证明材料）</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135"/>
                    <w:jc w:val="left"/>
                  </w:pPr>
                  <w:r>
                    <w:rPr>
                      <w:rFonts w:ascii="宋体" w:hAnsi="宋体" w:cs="宋体" w:eastAsia="宋体"/>
                      <w:color w:val="000000"/>
                      <w:sz w:val="24"/>
                    </w:rPr>
                    <w:t>9</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jc w:val="left"/>
                  </w:pPr>
                  <w:r>
                    <w:rPr>
                      <w:rFonts w:ascii="&quot;微软雅黑&quot;, sans-serif" w:hAnsi="&quot;微软雅黑&quot;, sans-serif" w:cs="&quot;微软雅黑&quot;, sans-serif" w:eastAsia="&quot;微软雅黑&quot;, sans-serif"/>
                      <w:color w:val="000000"/>
                      <w:sz w:val="24"/>
                    </w:rPr>
                    <w:t>调试方式：交流变频调速</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轿厢</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left"/>
                  </w:pPr>
                  <w:r>
                    <w:rPr>
                      <w:rFonts w:ascii="宋体" w:hAnsi="宋体" w:cs="宋体" w:eastAsia="宋体"/>
                      <w:color w:val="000000"/>
                      <w:sz w:val="24"/>
                    </w:rPr>
                    <w:t>10</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轿厢两侧壁：发纹不锈钢</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11</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轿厢后壁：发纹不锈钢</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12</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轿门材质：发纹不锈钢</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13</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轿顶：一体式轿顶，发纹不锈钢，</w:t>
                  </w:r>
                  <w:r>
                    <w:rPr>
                      <w:rFonts w:ascii="&quot;微软雅黑&quot;, sans-serif" w:hAnsi="&quot;微软雅黑&quot;, sans-serif" w:cs="&quot;微软雅黑&quot;, sans-serif" w:eastAsia="&quot;微软雅黑&quot;, sans-serif"/>
                      <w:color w:val="000000"/>
                      <w:sz w:val="24"/>
                    </w:rPr>
                    <w:t>LED</w:t>
                  </w:r>
                  <w:r>
                    <w:rPr>
                      <w:rFonts w:ascii="&quot;微软雅黑&quot;, sans-serif" w:hAnsi="&quot;微软雅黑&quot;, sans-serif" w:cs="&quot;微软雅黑&quot;, sans-serif" w:eastAsia="&quot;微软雅黑&quot;, sans-serif"/>
                      <w:color w:val="000000"/>
                      <w:sz w:val="24"/>
                    </w:rPr>
                    <w:t>面板灯</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14</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地板材质：</w:t>
                  </w:r>
                  <w:r>
                    <w:rPr>
                      <w:rFonts w:ascii="&quot;微软雅黑&quot;, sans-serif" w:hAnsi="&quot;微软雅黑&quot;, sans-serif" w:cs="&quot;微软雅黑&quot;, sans-serif" w:eastAsia="&quot;微软雅黑&quot;, sans-serif"/>
                      <w:color w:val="000000"/>
                      <w:sz w:val="24"/>
                    </w:rPr>
                    <w:t>PVC</w:t>
                  </w:r>
                  <w:r>
                    <w:rPr>
                      <w:rFonts w:ascii="&quot;微软雅黑&quot;, sans-serif" w:hAnsi="&quot;微软雅黑&quot;, sans-serif" w:cs="&quot;微软雅黑&quot;, sans-serif" w:eastAsia="&quot;微软雅黑&quot;, sans-serif"/>
                      <w:color w:val="000000"/>
                      <w:sz w:val="24"/>
                    </w:rPr>
                    <w:t>塑胶地板</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15</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照明设施：高效节能专用灯具，</w:t>
                  </w:r>
                  <w:r>
                    <w:rPr>
                      <w:rFonts w:ascii="&quot;微软雅黑&quot;, sans-serif" w:hAnsi="&quot;微软雅黑&quot;, sans-serif" w:cs="&quot;微软雅黑&quot;, sans-serif" w:eastAsia="&quot;微软雅黑&quot;, sans-serif"/>
                      <w:color w:val="000000"/>
                      <w:sz w:val="24"/>
                    </w:rPr>
                    <w:t>LED</w:t>
                  </w:r>
                  <w:r>
                    <w:rPr>
                      <w:rFonts w:ascii="&quot;微软雅黑&quot;, sans-serif" w:hAnsi="&quot;微软雅黑&quot;, sans-serif" w:cs="&quot;微软雅黑&quot;, sans-serif" w:eastAsia="&quot;微软雅黑&quot;, sans-serif"/>
                      <w:color w:val="000000"/>
                      <w:sz w:val="24"/>
                    </w:rPr>
                    <w:t>灯照明</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16</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通风设施：空调</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17</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通讯设施：隐藏式对讲装置</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right="120"/>
                    <w:jc w:val="left"/>
                  </w:pPr>
                  <w:r>
                    <w:rPr>
                      <w:rFonts w:ascii="&quot;微软雅黑&quot;, sans-serif" w:hAnsi="&quot;微软雅黑&quot;, sans-serif" w:cs="&quot;微软雅黑&quot;, sans-serif" w:eastAsia="&quot;微软雅黑&quot;, sans-serif"/>
                      <w:color w:val="000000"/>
                      <w:sz w:val="24"/>
                    </w:rPr>
                    <w:t>厅  门</w:t>
                  </w:r>
                  <w:r>
                    <w:rPr>
                      <w:rFonts w:ascii="&quot;微软雅黑&quot;, sans-serif" w:hAnsi="&quot;微软雅黑&quot;, sans-serif" w:cs="&quot;微软雅黑&quot;, sans-serif" w:eastAsia="&quot;微软雅黑&quot;, sans-serif"/>
                      <w:color w:val="000000"/>
                      <w:sz w:val="24"/>
                    </w:rPr>
                    <w:t>及</w:t>
                  </w:r>
                  <w:r>
                    <w:rPr>
                      <w:rFonts w:ascii="&quot;微软雅黑&quot;, sans-serif" w:hAnsi="&quot;微软雅黑&quot;, sans-serif" w:cs="&quot;微软雅黑&quot;, sans-serif" w:eastAsia="&quot;微软雅黑&quot;, sans-serif"/>
                      <w:color w:val="000000"/>
                      <w:sz w:val="24"/>
                    </w:rPr>
                    <w:t xml:space="preserve"> 门套</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18</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厅门材质：首层发纹不锈钢，其余层碳钢喷涂</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19</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小门套材质：首层发纹不锈钢，其余层碳钢喷涂</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操纵盘</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left"/>
                  </w:pPr>
                  <w:r>
                    <w:rPr>
                      <w:rFonts w:ascii="宋体" w:hAnsi="宋体" w:cs="宋体" w:eastAsia="宋体"/>
                      <w:color w:val="000000"/>
                      <w:sz w:val="24"/>
                    </w:rPr>
                    <w:t>20</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类型：一体式操纵箱</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left"/>
                  </w:pPr>
                  <w:r>
                    <w:rPr>
                      <w:rFonts w:ascii="宋体" w:hAnsi="宋体" w:cs="宋体" w:eastAsia="宋体"/>
                      <w:color w:val="000000"/>
                      <w:sz w:val="24"/>
                    </w:rPr>
                    <w:t>21</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面板材料：发纹不锈钢</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left"/>
                  </w:pPr>
                  <w:r>
                    <w:rPr>
                      <w:rFonts w:ascii="宋体" w:hAnsi="宋体" w:cs="宋体" w:eastAsia="宋体"/>
                      <w:color w:val="000000"/>
                      <w:sz w:val="24"/>
                    </w:rPr>
                    <w:t>22</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显示类型：液晶显示</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23</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jc w:val="left"/>
                  </w:pPr>
                  <w:r>
                    <w:rPr>
                      <w:rFonts w:ascii="&quot;微软雅黑&quot;, sans-serif" w:hAnsi="&quot;微软雅黑&quot;, sans-serif" w:cs="&quot;微软雅黑&quot;, sans-serif" w:eastAsia="&quot;微软雅黑&quot;, sans-serif"/>
                      <w:color w:val="000000"/>
                      <w:sz w:val="24"/>
                    </w:rPr>
                    <w:t>按钮类型</w:t>
                  </w:r>
                  <w:r>
                    <w:rPr>
                      <w:rFonts w:ascii="&quot;微软雅黑&quot;, sans-serif" w:hAnsi="&quot;微软雅黑&quot;, sans-serif" w:cs="&quot;微软雅黑&quot;, sans-serif" w:eastAsia="&quot;微软雅黑&quot;, sans-serif"/>
                      <w:color w:val="000000"/>
                      <w:sz w:val="24"/>
                    </w:rPr>
                    <w:t>：不锈钢按钮</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外呼</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left"/>
                  </w:pPr>
                  <w:r>
                    <w:rPr>
                      <w:rFonts w:ascii="宋体" w:hAnsi="宋体" w:cs="宋体" w:eastAsia="宋体"/>
                      <w:color w:val="000000"/>
                      <w:sz w:val="24"/>
                    </w:rPr>
                    <w:t>24</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面板材质：发纹不锈钢</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left"/>
                  </w:pPr>
                  <w:r>
                    <w:rPr>
                      <w:rFonts w:ascii="宋体" w:hAnsi="宋体" w:cs="宋体" w:eastAsia="宋体"/>
                      <w:color w:val="000000"/>
                      <w:sz w:val="24"/>
                    </w:rPr>
                    <w:t>25</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按钮类型：机械按钮</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35"/>
                    <w:jc w:val="left"/>
                  </w:pPr>
                  <w:r>
                    <w:rPr>
                      <w:rFonts w:ascii="宋体" w:hAnsi="宋体" w:cs="宋体" w:eastAsia="宋体"/>
                      <w:color w:val="000000"/>
                      <w:sz w:val="24"/>
                    </w:rPr>
                    <w:t>26</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显示类型：</w:t>
                  </w:r>
                  <w:r>
                    <w:rPr>
                      <w:rFonts w:ascii="&quot;微软雅黑&quot;, sans-serif" w:hAnsi="&quot;微软雅黑&quot;, sans-serif" w:cs="&quot;微软雅黑&quot;, sans-serif" w:eastAsia="&quot;微软雅黑&quot;, sans-serif"/>
                      <w:color w:val="000000"/>
                      <w:sz w:val="24"/>
                    </w:rPr>
                    <w:t>LED</w:t>
                  </w:r>
                  <w:r>
                    <w:rPr>
                      <w:rFonts w:ascii="&quot;微软雅黑&quot;, sans-serif" w:hAnsi="&quot;微软雅黑&quot;, sans-serif" w:cs="&quot;微软雅黑&quot;, sans-serif" w:eastAsia="&quot;微软雅黑&quot;, sans-serif"/>
                      <w:color w:val="000000"/>
                      <w:sz w:val="24"/>
                    </w:rPr>
                    <w:t>液晶显示，发白光</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光幕</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27</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05" w:firstLine="30"/>
                    <w:jc w:val="left"/>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光幕</w:t>
                  </w:r>
                  <w:r>
                    <w:rPr>
                      <w:rFonts w:ascii="&quot;微软雅黑&quot;, sans-serif" w:hAnsi="&quot;微软雅黑&quot;, sans-serif" w:cs="&quot;微软雅黑&quot;, sans-serif" w:eastAsia="&quot;微软雅黑&quot;, sans-serif"/>
                      <w:color w:val="000000"/>
                      <w:sz w:val="24"/>
                    </w:rPr>
                    <w:t xml:space="preserve"> ：所投品牌电梯光幕要求采用原厂原品牌， 并且需满足以下要求：光束≥194束 ，发射接收管数 目≥40对， 响应时间≤60ms ，外壳防护等级≥IP65 （须提供具有CNAS标志的第三方试验报告）</w:t>
                  </w:r>
                </w:p>
              </w:tc>
            </w:tr>
            <w:tr>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电</w:t>
                  </w:r>
                  <w:r>
                    <w:rPr>
                      <w:rFonts w:ascii="&quot;微软雅黑&quot;, sans-serif" w:hAnsi="&quot;微软雅黑&quot;, sans-serif" w:cs="&quot;微软雅黑&quot;, sans-serif" w:eastAsia="&quot;微软雅黑&quot;, sans-serif"/>
                      <w:color w:val="000000"/>
                      <w:sz w:val="24"/>
                    </w:rPr>
                    <w:t>力</w:t>
                  </w:r>
                  <w:r>
                    <w:rPr>
                      <w:rFonts w:ascii="&quot;微软雅黑&quot;, sans-serif" w:hAnsi="&quot;微软雅黑&quot;, sans-serif" w:cs="&quot;微软雅黑&quot;, sans-serif" w:eastAsia="&quot;微软雅黑&quot;, sans-serif"/>
                      <w:color w:val="000000"/>
                      <w:sz w:val="24"/>
                    </w:rPr>
                    <w:t>提</w:t>
                  </w:r>
                  <w:r>
                    <w:rPr>
                      <w:rFonts w:ascii="&quot;微软雅黑&quot;, sans-serif" w:hAnsi="&quot;微软雅黑&quot;, sans-serif" w:cs="&quot;微软雅黑&quot;, sans-serif" w:eastAsia="&quot;微软雅黑&quot;, sans-serif"/>
                      <w:color w:val="000000"/>
                      <w:sz w:val="24"/>
                    </w:rPr>
                    <w:t xml:space="preserve"> 供</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28</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35" w:right="105"/>
                    <w:jc w:val="left"/>
                  </w:pPr>
                  <w:r>
                    <w:rPr>
                      <w:rFonts w:ascii="&quot;微软雅黑&quot;, sans-serif" w:hAnsi="&quot;微软雅黑&quot;, sans-serif" w:cs="&quot;微软雅黑&quot;, sans-serif" w:eastAsia="&quot;微软雅黑&quot;, sans-serif"/>
                      <w:color w:val="000000"/>
                      <w:sz w:val="24"/>
                    </w:rPr>
                    <w:t>动力电源</w:t>
                  </w:r>
                  <w:r>
                    <w:rPr>
                      <w:rFonts w:ascii="&quot;微软雅黑&quot;, sans-serif" w:hAnsi="&quot;微软雅黑&quot;, sans-serif" w:cs="&quot;微软雅黑&quot;, sans-serif" w:eastAsia="&quot;微软雅黑&quot;, sans-serif"/>
                      <w:color w:val="000000"/>
                      <w:sz w:val="24"/>
                    </w:rPr>
                    <w:t>：电压：</w:t>
                  </w:r>
                  <w:r>
                    <w:rPr>
                      <w:rFonts w:ascii="&quot;微软雅黑&quot;, sans-serif" w:hAnsi="&quot;微软雅黑&quot;, sans-serif" w:cs="&quot;微软雅黑&quot;, sans-serif" w:eastAsia="&quot;微软雅黑&quot;, sans-serif"/>
                      <w:color w:val="000000"/>
                      <w:sz w:val="24"/>
                    </w:rPr>
                    <w:t>380V</w:t>
                  </w:r>
                  <w:r>
                    <w:rPr>
                      <w:rFonts w:ascii="&quot;微软雅黑&quot;, sans-serif" w:hAnsi="&quot;微软雅黑&quot;, sans-serif" w:cs="&quot;微软雅黑&quot;, sans-serif" w:eastAsia="&quot;微软雅黑&quot;, sans-serif"/>
                      <w:color w:val="000000"/>
                      <w:sz w:val="24"/>
                    </w:rPr>
                    <w:t>、频率：</w:t>
                  </w:r>
                  <w:r>
                    <w:rPr>
                      <w:rFonts w:ascii="&quot;微软雅黑&quot;, sans-serif" w:hAnsi="&quot;微软雅黑&quot;, sans-serif" w:cs="&quot;微软雅黑&quot;, sans-serif" w:eastAsia="&quot;微软雅黑&quot;, sans-serif"/>
                      <w:color w:val="000000"/>
                      <w:sz w:val="24"/>
                    </w:rPr>
                    <w:t>50Hz</w:t>
                  </w:r>
                  <w:r>
                    <w:rPr>
                      <w:rFonts w:ascii="&quot;微软雅黑&quot;, sans-serif" w:hAnsi="&quot;微软雅黑&quot;, sans-serif" w:cs="&quot;微软雅黑&quot;, sans-serif" w:eastAsia="&quot;微软雅黑&quot;, sans-serif"/>
                      <w:color w:val="000000"/>
                      <w:sz w:val="24"/>
                    </w:rPr>
                    <w:t>、相数：</w:t>
                  </w:r>
                  <w:r>
                    <w:rPr>
                      <w:rFonts w:ascii="&quot;微软雅黑&quot;, sans-serif" w:hAnsi="&quot;微软雅黑&quot;, sans-serif" w:cs="&quot;微软雅黑&quot;, sans-serif" w:eastAsia="&quot;微软雅黑&quot;, sans-serif"/>
                      <w:color w:val="000000"/>
                      <w:sz w:val="24"/>
                    </w:rPr>
                    <w:t>3</w:t>
                  </w:r>
                  <w:r>
                    <w:rPr>
                      <w:rFonts w:ascii="&quot;微软雅黑&quot;, sans-serif" w:hAnsi="&quot;微软雅黑&quot;, sans-serif" w:cs="&quot;微软雅黑&quot;, sans-serif" w:eastAsia="&quot;微软雅黑&quot;, sans-serif"/>
                      <w:color w:val="000000"/>
                      <w:sz w:val="24"/>
                    </w:rPr>
                    <w:t>相</w:t>
                  </w:r>
                  <w:r>
                    <w:rPr>
                      <w:rFonts w:ascii="&quot;微软雅黑&quot;, sans-serif" w:hAnsi="&quot;微软雅黑&quot;, sans-serif" w:cs="&quot;微软雅黑&quot;, sans-serif" w:eastAsia="&quot;微软雅黑&quot;, sans-serif"/>
                      <w:color w:val="000000"/>
                      <w:sz w:val="24"/>
                    </w:rPr>
                    <w:t xml:space="preserve"> 5线制，零线和地线始终分开</w:t>
                  </w:r>
                </w:p>
              </w:tc>
            </w:tr>
            <w:tr>
              <w:tc>
                <w:tcPr>
                  <w:tcW w:type="dxa" w:w="386"/>
                  <w:vMerge/>
                  <w:tcBorders>
                    <w:top w:val="none" w:color="000000" w:sz="4"/>
                    <w:left w:val="single" w:color="000000" w:sz="4"/>
                    <w:bottom w:val="single" w:color="000000" w:sz="4"/>
                    <w:right w:val="single" w:color="000000" w:sz="4"/>
                  </w:tcBorders>
                </w:tcP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120"/>
                    <w:jc w:val="left"/>
                  </w:pPr>
                  <w:r>
                    <w:rPr>
                      <w:rFonts w:ascii="宋体" w:hAnsi="宋体" w:cs="宋体" w:eastAsia="宋体"/>
                      <w:color w:val="000000"/>
                      <w:sz w:val="24"/>
                    </w:rPr>
                    <w:t>29</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jc w:val="left"/>
                  </w:pPr>
                  <w:r>
                    <w:rPr>
                      <w:rFonts w:ascii="&quot;微软雅黑&quot;, sans-serif" w:hAnsi="&quot;微软雅黑&quot;, sans-serif" w:cs="&quot;微软雅黑&quot;, sans-serif" w:eastAsia="&quot;微软雅黑&quot;, sans-serif"/>
                      <w:color w:val="000000"/>
                      <w:sz w:val="24"/>
                    </w:rPr>
                    <w:t>照明电源：电压：220V频率：50Hz相数：单相</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产</w:t>
                  </w:r>
                  <w:r>
                    <w:rPr>
                      <w:rFonts w:ascii="&quot;微软雅黑&quot;, sans-serif" w:hAnsi="&quot;微软雅黑&quot;, sans-serif" w:cs="&quot;微软雅黑&quot;, sans-serif" w:eastAsia="&quot;微软雅黑&quot;, sans-serif"/>
                      <w:color w:val="000000"/>
                      <w:sz w:val="24"/>
                    </w:rPr>
                    <w:t>品</w:t>
                  </w:r>
                  <w:r>
                    <w:rPr>
                      <w:rFonts w:ascii="&quot;微软雅黑&quot;, sans-serif" w:hAnsi="&quot;微软雅黑&quot;, sans-serif" w:cs="&quot;微软雅黑&quot;, sans-serif" w:eastAsia="&quot;微软雅黑&quot;, sans-serif"/>
                      <w:color w:val="000000"/>
                      <w:sz w:val="24"/>
                    </w:rPr>
                    <w:t>一</w:t>
                  </w:r>
                  <w:r>
                    <w:rPr>
                      <w:rFonts w:ascii="&quot;微软雅黑&quot;, sans-serif" w:hAnsi="&quot;微软雅黑&quot;, sans-serif" w:cs="&quot;微软雅黑&quot;, sans-serif" w:eastAsia="&quot;微软雅黑&quot;, sans-serif"/>
                      <w:color w:val="000000"/>
                      <w:sz w:val="24"/>
                    </w:rPr>
                    <w:t xml:space="preserve"> 致 性 要 求</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30</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firstLine="32"/>
                    <w:jc w:val="both"/>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主要部件</w:t>
                  </w:r>
                  <w:r>
                    <w:rPr>
                      <w:rFonts w:ascii="&quot;微软雅黑&quot;, sans-serif" w:hAnsi="&quot;微软雅黑&quot;, sans-serif" w:cs="&quot;微软雅黑&quot;, sans-serif" w:eastAsia="&quot;微软雅黑&quot;, sans-serif"/>
                      <w:color w:val="000000"/>
                      <w:sz w:val="24"/>
                    </w:rPr>
                    <w:t xml:space="preserve"> ：所投品牌电梯以下主要部件全部要求 采用原厂原品牌 ：①主机、②门机、③控制柜、④ 限速器、⑤安全钳、⑥缓冲器、⑦安全电路、⑧层 门门锁、⑨上行超速保护装置、⑩轿厢意外移动保护装置、</w:t>
                  </w:r>
                  <w:r>
                    <w:rPr>
                      <w:rFonts w:ascii="&quot;cambria math&quot;, serif" w:hAnsi="&quot;cambria math&quot;, serif" w:cs="&quot;cambria math&quot;, serif" w:eastAsia="&quot;cambria math&quot;, serif"/>
                      <w:color w:val="000000"/>
                      <w:sz w:val="24"/>
                    </w:rPr>
                    <w:t>⑪</w:t>
                  </w:r>
                  <w:r>
                    <w:rPr>
                      <w:rFonts w:ascii="&quot;微软雅黑&quot;, sans-serif" w:hAnsi="&quot;微软雅黑&quot;, sans-serif" w:cs="&quot;微软雅黑&quot;, sans-serif" w:eastAsia="&quot;微软雅黑&quot;, sans-serif"/>
                      <w:color w:val="000000"/>
                      <w:sz w:val="24"/>
                    </w:rPr>
                    <w:t>导轨</w:t>
                  </w:r>
                  <w:r>
                    <w:rPr>
                      <w:rFonts w:ascii="&quot;微软雅黑&quot;, sans-serif" w:hAnsi="&quot;微软雅黑&quot;, sans-serif" w:cs="&quot;微软雅黑&quot;, sans-serif" w:eastAsia="&quot;微软雅黑&quot;, sans-serif"/>
                      <w:color w:val="000000"/>
                      <w:sz w:val="24"/>
                    </w:rPr>
                    <w:t>（须提供型式试验报告）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导</w:t>
                  </w:r>
                  <w:r>
                    <w:rPr>
                      <w:rFonts w:ascii="&quot;微软雅黑&quot;, sans-serif" w:hAnsi="&quot;微软雅黑&quot;, sans-serif" w:cs="&quot;微软雅黑&quot;, sans-serif" w:eastAsia="&quot;微软雅黑&quot;, sans-serif"/>
                      <w:color w:val="000000"/>
                      <w:sz w:val="24"/>
                    </w:rPr>
                    <w:t>轨</w:t>
                  </w:r>
                  <w:r>
                    <w:rPr>
                      <w:rFonts w:ascii="&quot;微软雅黑&quot;, sans-serif" w:hAnsi="&quot;微软雅黑&quot;, sans-serif" w:cs="&quot;微软雅黑&quot;, sans-serif" w:eastAsia="&quot;微软雅黑&quot;, sans-serif"/>
                      <w:color w:val="000000"/>
                      <w:sz w:val="24"/>
                    </w:rPr>
                    <w:t>支</w:t>
                  </w:r>
                  <w:r>
                    <w:rPr>
                      <w:rFonts w:ascii="&quot;微软雅黑&quot;, sans-serif" w:hAnsi="&quot;微软雅黑&quot;, sans-serif" w:cs="&quot;微软雅黑&quot;, sans-serif" w:eastAsia="&quot;微软雅黑&quot;, sans-serif"/>
                      <w:color w:val="000000"/>
                      <w:sz w:val="24"/>
                    </w:rPr>
                    <w:t xml:space="preserve"> 架</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31</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20"/>
                    <w:jc w:val="both"/>
                  </w:pPr>
                  <w:r>
                    <w:rPr>
                      <w:rFonts w:ascii="&quot;微软雅黑&quot;, sans-serif" w:hAnsi="&quot;微软雅黑&quot;, sans-serif" w:cs="&quot;微软雅黑&quot;, sans-serif" w:eastAsia="&quot;微软雅黑&quot;, sans-serif"/>
                      <w:color w:val="000000"/>
                      <w:sz w:val="24"/>
                    </w:rPr>
                    <w:t>导轨支架防锈等级要求到达：</w:t>
                  </w:r>
                  <w:r>
                    <w:rPr>
                      <w:rFonts w:ascii="&quot;微软雅黑&quot;, sans-serif" w:hAnsi="&quot;微软雅黑&quot;, sans-serif" w:cs="&quot;微软雅黑&quot;, sans-serif" w:eastAsia="&quot;微软雅黑&quot;, sans-serif"/>
                      <w:color w:val="000000"/>
                      <w:sz w:val="24"/>
                    </w:rPr>
                    <w:t>中性盐雾试验时间≥1</w:t>
                  </w:r>
                  <w:r>
                    <w:rPr>
                      <w:rFonts w:ascii="&quot;微软雅黑&quot;, sans-serif" w:hAnsi="&quot;微软雅黑&quot;, sans-serif" w:cs="&quot;微软雅黑&quot;, sans-serif" w:eastAsia="&quot;微软雅黑&quot;, sans-serif"/>
                      <w:color w:val="000000"/>
                      <w:sz w:val="24"/>
                    </w:rPr>
                    <w:t xml:space="preserve"> 20h </w:t>
                  </w:r>
                  <w:r>
                    <w:rPr>
                      <w:rFonts w:ascii="&quot;微软雅黑&quot;, sans-serif" w:hAnsi="&quot;微软雅黑&quot;, sans-serif" w:cs="&quot;微软雅黑&quot;, sans-serif" w:eastAsia="&quot;微软雅黑&quot;, sans-serif"/>
                      <w:color w:val="000000"/>
                      <w:sz w:val="24"/>
                    </w:rPr>
                    <w:t>，表面无明显锈蚀（须提供具有CNAS标志的第 三方检验报告）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20"/>
                    <w:jc w:val="both"/>
                  </w:pPr>
                  <w:r>
                    <w:rPr>
                      <w:rFonts w:ascii="&quot;微软雅黑&quot;, sans-serif" w:hAnsi="&quot;微软雅黑&quot;, sans-serif" w:cs="&quot;微软雅黑&quot;, sans-serif" w:eastAsia="&quot;微软雅黑&quot;, sans-serif"/>
                      <w:color w:val="000000"/>
                      <w:sz w:val="24"/>
                    </w:rPr>
                    <w:t>厅  门</w:t>
                  </w:r>
                  <w:r>
                    <w:rPr>
                      <w:rFonts w:ascii="&quot;微软雅黑&quot;, sans-serif" w:hAnsi="&quot;微软雅黑&quot;, sans-serif" w:cs="&quot;微软雅黑&quot;, sans-serif" w:eastAsia="&quot;微软雅黑&quot;, sans-serif"/>
                      <w:color w:val="000000"/>
                      <w:sz w:val="24"/>
                    </w:rPr>
                    <w:t>锁</w:t>
                  </w:r>
                  <w:r>
                    <w:rPr>
                      <w:rFonts w:ascii="&quot;微软雅黑&quot;, sans-serif" w:hAnsi="&quot;微软雅黑&quot;, sans-serif" w:cs="&quot;微软雅黑&quot;, sans-serif" w:eastAsia="&quot;微软雅黑&quot;, sans-serif"/>
                      <w:color w:val="000000"/>
                      <w:sz w:val="24"/>
                    </w:rPr>
                    <w:t xml:space="preserve"> 耐 久 性 要求</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32</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要求电梯厅门锁装置机械耐久试验次数≥550万次</w:t>
                  </w:r>
                  <w:r>
                    <w:rPr>
                      <w:rFonts w:ascii="&quot;微软雅黑&quot;, sans-serif" w:hAnsi="&quot;微软雅黑&quot;, sans-serif" w:cs="&quot;微软雅黑&quot;, sans-serif" w:eastAsia="&quot;微软雅黑&quot;, sans-serif"/>
                      <w:color w:val="000000"/>
                      <w:sz w:val="24"/>
                    </w:rPr>
                    <w:t>（须提供具有CNAS标志的第三方检验报告）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20" w:firstLine="5"/>
                    <w:jc w:val="both"/>
                  </w:pPr>
                  <w:r>
                    <w:rPr>
                      <w:rFonts w:ascii="&quot;微软雅黑&quot;, sans-serif" w:hAnsi="&quot;微软雅黑&quot;, sans-serif" w:cs="&quot;微软雅黑&quot;, sans-serif" w:eastAsia="&quot;微软雅黑&quot;, sans-serif"/>
                      <w:color w:val="000000"/>
                      <w:sz w:val="24"/>
                    </w:rPr>
                    <w:t>曳  引</w:t>
                  </w:r>
                  <w:r>
                    <w:rPr>
                      <w:rFonts w:ascii="&quot;微软雅黑&quot;, sans-serif" w:hAnsi="&quot;微软雅黑&quot;, sans-serif" w:cs="&quot;微软雅黑&quot;, sans-serif" w:eastAsia="&quot;微软雅黑&quot;, sans-serif"/>
                      <w:color w:val="000000"/>
                      <w:sz w:val="24"/>
                    </w:rPr>
                    <w:t>机</w:t>
                  </w:r>
                  <w:r>
                    <w:rPr>
                      <w:rFonts w:ascii="&quot;微软雅黑&quot;, sans-serif" w:hAnsi="&quot;微软雅黑&quot;, sans-serif" w:cs="&quot;微软雅黑&quot;, sans-serif" w:eastAsia="&quot;微软雅黑&quot;, sans-serif"/>
                      <w:color w:val="000000"/>
                      <w:sz w:val="24"/>
                    </w:rPr>
                    <w:t xml:space="preserve"> 制 动 器 动 作 寿 命要求</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33</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制动器动作寿命：</w:t>
                  </w:r>
                  <w:r>
                    <w:rPr>
                      <w:rFonts w:ascii="&quot;微软雅黑&quot;, sans-serif" w:hAnsi="&quot;微软雅黑&quot;, sans-serif" w:cs="&quot;微软雅黑&quot;, sans-serif" w:eastAsia="&quot;微软雅黑&quot;, sans-serif"/>
                      <w:color w:val="000000"/>
                      <w:sz w:val="24"/>
                    </w:rPr>
                    <w:t>电梯曳引机制动器动作寿命≥1</w:t>
                  </w:r>
                  <w:r>
                    <w:rPr>
                      <w:rFonts w:ascii="&quot;微软雅黑&quot;, sans-serif" w:hAnsi="&quot;微软雅黑&quot;, sans-serif" w:cs="&quot;微软雅黑&quot;, sans-serif" w:eastAsia="&quot;微软雅黑&quot;, sans-serif"/>
                      <w:color w:val="000000"/>
                      <w:sz w:val="24"/>
                    </w:rPr>
                    <w:t>400</w:t>
                  </w:r>
                  <w:r>
                    <w:rPr>
                      <w:rFonts w:ascii="&quot;微软雅黑&quot;, sans-serif" w:hAnsi="&quot;微软雅黑&quot;, sans-serif" w:cs="&quot;微软雅黑&quot;, sans-serif" w:eastAsia="&quot;微软雅黑&quot;, sans-serif"/>
                      <w:color w:val="000000"/>
                      <w:sz w:val="24"/>
                    </w:rPr>
                    <w:t>万次（须提供具有</w:t>
                  </w:r>
                  <w:r>
                    <w:rPr>
                      <w:rFonts w:ascii="&quot;微软雅黑&quot;, sans-serif" w:hAnsi="&quot;微软雅黑&quot;, sans-serif" w:cs="&quot;微软雅黑&quot;, sans-serif" w:eastAsia="&quot;微软雅黑&quot;, sans-serif"/>
                      <w:color w:val="000000"/>
                      <w:sz w:val="24"/>
                    </w:rPr>
                    <w:t>CNAS</w:t>
                  </w:r>
                  <w:r>
                    <w:rPr>
                      <w:rFonts w:ascii="&quot;微软雅黑&quot;, sans-serif" w:hAnsi="&quot;微软雅黑&quot;, sans-serif" w:cs="&quot;微软雅黑&quot;, sans-serif" w:eastAsia="&quot;微软雅黑&quot;, sans-serif"/>
                      <w:color w:val="000000"/>
                      <w:sz w:val="24"/>
                    </w:rPr>
                    <w:t>标志的第三方检验报</w:t>
                  </w:r>
                  <w:r>
                    <w:rPr>
                      <w:rFonts w:ascii="&quot;微软雅黑&quot;, sans-serif" w:hAnsi="&quot;微软雅黑&quot;, sans-serif" w:cs="&quot;微软雅黑&quot;, sans-serif" w:eastAsia="&quot;微软雅黑&quot;, sans-serif"/>
                      <w:color w:val="000000"/>
                      <w:sz w:val="24"/>
                    </w:rPr>
                    <w:t>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电</w:t>
                  </w:r>
                  <w:r>
                    <w:rPr>
                      <w:rFonts w:ascii="&quot;微软雅黑&quot;, sans-serif" w:hAnsi="&quot;微软雅黑&quot;, sans-serif" w:cs="&quot;微软雅黑&quot;, sans-serif" w:eastAsia="&quot;微软雅黑&quot;, sans-serif"/>
                      <w:color w:val="000000"/>
                      <w:sz w:val="24"/>
                    </w:rPr>
                    <w:t>梯</w:t>
                  </w:r>
                  <w:r>
                    <w:rPr>
                      <w:rFonts w:ascii="&quot;微软雅黑&quot;, sans-serif" w:hAnsi="&quot;微软雅黑&quot;, sans-serif" w:cs="&quot;微软雅黑&quot;, sans-serif" w:eastAsia="&quot;微软雅黑&quot;, sans-serif"/>
                      <w:color w:val="000000"/>
                      <w:sz w:val="24"/>
                    </w:rPr>
                    <w:t>控</w:t>
                  </w:r>
                  <w:r>
                    <w:rPr>
                      <w:rFonts w:ascii="&quot;微软雅黑&quot;, sans-serif" w:hAnsi="&quot;微软雅黑&quot;, sans-serif" w:cs="&quot;微软雅黑&quot;, sans-serif" w:eastAsia="&quot;微软雅黑&quot;, sans-serif"/>
                      <w:color w:val="000000"/>
                      <w:sz w:val="24"/>
                    </w:rPr>
                    <w:t xml:space="preserve"> 制 柜 宽 电压</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34</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20" w:right="120" w:firstLine="33"/>
                    <w:jc w:val="both"/>
                  </w:pPr>
                  <w:r>
                    <w:rPr>
                      <w:rFonts w:ascii="&quot;微软雅黑&quot;, sans-serif" w:hAnsi="&quot;微软雅黑&quot;, sans-serif" w:cs="&quot;微软雅黑&quot;, sans-serif" w:eastAsia="&quot;微软雅黑&quot;, sans-serif"/>
                      <w:color w:val="000000"/>
                      <w:sz w:val="24"/>
                    </w:rPr>
                    <w:t>▲</w:t>
                  </w:r>
                  <w:r>
                    <w:rPr>
                      <w:rFonts w:ascii="&quot;微软雅黑&quot;, sans-serif" w:hAnsi="&quot;微软雅黑&quot;, sans-serif" w:cs="&quot;微软雅黑&quot;, sans-serif" w:eastAsia="&quot;微软雅黑&quot;, sans-serif"/>
                      <w:color w:val="000000"/>
                      <w:sz w:val="24"/>
                    </w:rPr>
                    <w:t>所投品牌电梯制造商需具备控制柜宽电压技术实</w:t>
                  </w:r>
                  <w:r>
                    <w:rPr>
                      <w:rFonts w:ascii="&quot;微软雅黑&quot;, sans-serif" w:hAnsi="&quot;微软雅黑&quot;, sans-serif" w:cs="&quot;微软雅黑&quot;, sans-serif" w:eastAsia="&quot;微软雅黑&quot;, sans-serif"/>
                      <w:color w:val="000000"/>
                      <w:sz w:val="24"/>
                    </w:rPr>
                    <w:t>力</w:t>
                  </w:r>
                  <w:r>
                    <w:rPr>
                      <w:rFonts w:ascii="&quot;微软雅黑&quot;, sans-serif" w:hAnsi="&quot;微软雅黑&quot;, sans-serif" w:cs="&quot;微软雅黑&quot;, sans-serif" w:eastAsia="&quot;微软雅黑&quot;, sans-serif"/>
                      <w:color w:val="000000"/>
                      <w:sz w:val="24"/>
                    </w:rPr>
                    <w:t>，需同时满足以下要求</w:t>
                  </w:r>
                  <w:r>
                    <w:rPr>
                      <w:rFonts w:ascii="&quot;微软雅黑&quot;, sans-serif" w:hAnsi="&quot;微软雅黑&quot;, sans-serif" w:cs="&quot;微软雅黑&quot;, sans-serif" w:eastAsia="&quot;微软雅黑&quot;, sans-serif"/>
                      <w:color w:val="000000"/>
                      <w:sz w:val="24"/>
                    </w:rPr>
                    <w:t>：其生产的电梯控制柜能</w:t>
                  </w:r>
                  <w:r>
                    <w:rPr>
                      <w:rFonts w:ascii="&quot;微软雅黑&quot;, sans-serif" w:hAnsi="&quot;微软雅黑&quot;, sans-serif" w:cs="&quot;微软雅黑&quot;, sans-serif" w:eastAsia="&quot;微软雅黑&quot;, sans-serif"/>
                      <w:color w:val="000000"/>
                      <w:sz w:val="24"/>
                    </w:rPr>
                    <w:t xml:space="preserve"> 适应电压波动≥380V士15% ，控制柜主回路耐压≥1 760V-1min ，控制柜外宽防护等级≥IP2X（须提供 具有CNAS标志的第三方检验报告）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quot;微软雅黑&quot;, sans-serif" w:hAnsi="&quot;微软雅黑&quot;, sans-serif" w:cs="&quot;微软雅黑&quot;, sans-serif" w:eastAsia="&quot;微软雅黑&quot;, sans-serif"/>
                      <w:color w:val="000000"/>
                      <w:sz w:val="24"/>
                    </w:rPr>
                    <w:t>噪音</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35</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jc w:val="both"/>
                  </w:pPr>
                  <w:r>
                    <w:rPr>
                      <w:rFonts w:ascii="&quot;微软雅黑&quot;, sans-serif" w:hAnsi="&quot;微软雅黑&quot;, sans-serif" w:cs="&quot;微软雅黑&quot;, sans-serif" w:eastAsia="&quot;微软雅黑&quot;, sans-serif"/>
                      <w:color w:val="000000"/>
                      <w:sz w:val="24"/>
                    </w:rPr>
                    <w:t>所投品牌电梯制造商所生产的电梯能达到以下噪音</w:t>
                  </w:r>
                  <w:r>
                    <w:rPr>
                      <w:rFonts w:ascii="&quot;微软雅黑&quot;, sans-serif" w:hAnsi="&quot;微软雅黑&quot;, sans-serif" w:cs="&quot;微软雅黑&quot;, sans-serif" w:eastAsia="&quot;微软雅黑&quot;, sans-serif"/>
                      <w:color w:val="000000"/>
                      <w:sz w:val="24"/>
                    </w:rPr>
                    <w:t>指标</w:t>
                  </w:r>
                  <w:r>
                    <w:rPr>
                      <w:rFonts w:ascii="&quot;微软雅黑&quot;, sans-serif" w:hAnsi="&quot;微软雅黑&quot;, sans-serif" w:cs="&quot;微软雅黑&quot;, sans-serif" w:eastAsia="&quot;微软雅黑&quot;, sans-serif"/>
                      <w:color w:val="000000"/>
                      <w:sz w:val="24"/>
                    </w:rPr>
                    <w:t>：轿厢内运行噪音≤50</w:t>
                  </w:r>
                  <w:r>
                    <w:rPr>
                      <w:rFonts w:ascii="&quot;微软雅黑&quot;, sans-serif" w:hAnsi="&quot;微软雅黑&quot;, sans-serif" w:cs="&quot;微软雅黑&quot;, sans-serif" w:eastAsia="&quot;微软雅黑&quot;, sans-serif"/>
                      <w:color w:val="000000"/>
                      <w:sz w:val="24"/>
                    </w:rPr>
                    <w:t xml:space="preserve">db(A) </w:t>
                  </w:r>
                  <w:r>
                    <w:rPr>
                      <w:rFonts w:ascii="&quot;微软雅黑&quot;, sans-serif" w:hAnsi="&quot;微软雅黑&quot;, sans-serif" w:cs="&quot;微软雅黑&quot;, sans-serif" w:eastAsia="&quot;微软雅黑&quot;, sans-serif"/>
                      <w:color w:val="000000"/>
                      <w:sz w:val="24"/>
                    </w:rPr>
                    <w:t>，开关门过</w:t>
                  </w:r>
                  <w:r>
                    <w:rPr>
                      <w:rFonts w:ascii="&quot;微软雅黑&quot;, sans-serif" w:hAnsi="&quot;微软雅黑&quot;, sans-serif" w:cs="&quot;微软雅黑&quot;, sans-serif" w:eastAsia="&quot;微软雅黑&quot;, sans-serif"/>
                      <w:color w:val="000000"/>
                      <w:sz w:val="24"/>
                    </w:rPr>
                    <w:t>程噪</w:t>
                  </w:r>
                  <w:r>
                    <w:rPr>
                      <w:rFonts w:ascii="&quot;微软雅黑&quot;, sans-serif" w:hAnsi="&quot;微软雅黑&quot;, sans-serif" w:cs="&quot;微软雅黑&quot;, sans-serif" w:eastAsia="&quot;微软雅黑&quot;, sans-serif"/>
                      <w:color w:val="000000"/>
                      <w:sz w:val="24"/>
                    </w:rPr>
                    <w:t xml:space="preserve"> 音≤55db(A) （须提供具有CNAS标志的第三方检验 报告）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jc w:val="both"/>
                  </w:pPr>
                  <w:r>
                    <w:rPr>
                      <w:rFonts w:ascii="&quot;微软雅黑&quot;, sans-serif" w:hAnsi="&quot;微软雅黑&quot;, sans-serif" w:cs="&quot;微软雅黑&quot;, sans-serif" w:eastAsia="&quot;微软雅黑&quot;, sans-serif"/>
                      <w:color w:val="000000"/>
                      <w:sz w:val="24"/>
                    </w:rPr>
                    <w:t>轿</w:t>
                  </w:r>
                  <w:r>
                    <w:rPr>
                      <w:rFonts w:ascii="&quot;微软雅黑&quot;, sans-serif" w:hAnsi="&quot;微软雅黑&quot;, sans-serif" w:cs="&quot;微软雅黑&quot;, sans-serif" w:eastAsia="&quot;微软雅黑&quot;, sans-serif"/>
                      <w:color w:val="000000"/>
                      <w:sz w:val="24"/>
                    </w:rPr>
                    <w:t>厢</w:t>
                  </w:r>
                  <w:r>
                    <w:rPr>
                      <w:rFonts w:ascii="&quot;微软雅黑&quot;, sans-serif" w:hAnsi="&quot;微软雅黑&quot;, sans-serif" w:cs="&quot;微软雅黑&quot;, sans-serif" w:eastAsia="&quot;微软雅黑&quot;, sans-serif"/>
                      <w:color w:val="000000"/>
                      <w:sz w:val="24"/>
                    </w:rPr>
                    <w:t>垂</w:t>
                  </w:r>
                  <w:r>
                    <w:rPr>
                      <w:rFonts w:ascii="&quot;微软雅黑&quot;, sans-serif" w:hAnsi="&quot;微软雅黑&quot;, sans-serif" w:cs="&quot;微软雅黑&quot;, sans-serif" w:eastAsia="&quot;微软雅黑&quot;, sans-serif"/>
                      <w:color w:val="000000"/>
                      <w:sz w:val="24"/>
                    </w:rPr>
                    <w:t xml:space="preserve"> 直 振 动 最 大 峰 峰值</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36</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jc w:val="left"/>
                  </w:pPr>
                  <w:r>
                    <w:rPr>
                      <w:rFonts w:ascii="&quot;微软雅黑&quot;, sans-serif" w:hAnsi="&quot;微软雅黑&quot;, sans-serif" w:cs="&quot;微软雅黑&quot;, sans-serif" w:eastAsia="&quot;微软雅黑&quot;, sans-serif"/>
                      <w:color w:val="000000"/>
                      <w:sz w:val="24"/>
                    </w:rPr>
                    <w:t>所投品牌电梯制造商所生产的电梯能达到以下垂直</w:t>
                  </w:r>
                  <w:r>
                    <w:rPr>
                      <w:rFonts w:ascii="&quot;微软雅黑&quot;, sans-serif" w:hAnsi="&quot;微软雅黑&quot;, sans-serif" w:cs="&quot;微软雅黑&quot;, sans-serif" w:eastAsia="&quot;微软雅黑&quot;, sans-serif"/>
                      <w:color w:val="000000"/>
                      <w:sz w:val="24"/>
                    </w:rPr>
                    <w:t>振动指标</w:t>
                  </w:r>
                  <w:r>
                    <w:rPr>
                      <w:rFonts w:ascii="&quot;微软雅黑&quot;, sans-serif" w:hAnsi="&quot;微软雅黑&quot;, sans-serif" w:cs="&quot;微软雅黑&quot;, sans-serif" w:eastAsia="&quot;微软雅黑&quot;, sans-serif"/>
                      <w:color w:val="000000"/>
                      <w:sz w:val="24"/>
                    </w:rPr>
                    <w:t>：轿厢垂直振动最大峰峰值≤0.15m/s²</w:t>
                  </w:r>
                  <w:r>
                    <w:rPr>
                      <w:rFonts w:ascii="&quot;微软雅黑&quot;, sans-serif" w:hAnsi="&quot;微软雅黑&quot;, sans-serif" w:cs="&quot;微软雅黑&quot;, sans-serif" w:eastAsia="&quot;微软雅黑&quot;, sans-serif"/>
                      <w:color w:val="000000"/>
                      <w:sz w:val="24"/>
                    </w:rPr>
                    <w:t>,</w:t>
                  </w:r>
                  <w:r>
                    <w:rPr>
                      <w:rFonts w:ascii="arial, sans-serif" w:hAnsi="arial, sans-serif" w:cs="arial, sans-serif" w:eastAsia="arial, sans-serif"/>
                      <w:color w:val="000000"/>
                      <w:sz w:val="21"/>
                    </w:rPr>
                    <w:t xml:space="preserve">   </w:t>
                  </w:r>
                  <w:r>
                    <w:rPr>
                      <w:rFonts w:ascii="&quot;微软雅黑&quot;, sans-serif" w:hAnsi="&quot;微软雅黑&quot;, sans-serif" w:cs="&quot;微软雅黑&quot;, sans-serif" w:eastAsia="&quot;微软雅黑&quot;, sans-serif"/>
                      <w:color w:val="000000"/>
                      <w:sz w:val="24"/>
                    </w:rPr>
                    <w:t>垂直振动A95峰峰值≤0.10m/s² （须提供具有</w:t>
                  </w:r>
                  <w:r>
                    <w:rPr>
                      <w:rFonts w:ascii="&quot;微软雅黑&quot;, sans-serif" w:hAnsi="&quot;微软雅黑&quot;, sans-serif" w:cs="&quot;微软雅黑&quot;, sans-serif" w:eastAsia="&quot;微软雅黑&quot;, sans-serif"/>
                      <w:color w:val="000000"/>
                      <w:sz w:val="24"/>
                    </w:rPr>
                    <w:t>CNA S</w:t>
                  </w:r>
                  <w:r>
                    <w:rPr>
                      <w:rFonts w:ascii="&quot;微软雅黑&quot;, sans-serif" w:hAnsi="&quot;微软雅黑&quot;, sans-serif" w:cs="&quot;微软雅黑&quot;, sans-serif" w:eastAsia="&quot;微软雅黑&quot;, sans-serif"/>
                      <w:color w:val="000000"/>
                      <w:sz w:val="24"/>
                    </w:rPr>
                    <w:t>标志的第三方检验报告）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jc w:val="both"/>
                  </w:pPr>
                  <w:r>
                    <w:rPr>
                      <w:rFonts w:ascii="&quot;微软雅黑&quot;, sans-serif" w:hAnsi="&quot;微软雅黑&quot;, sans-serif" w:cs="&quot;微软雅黑&quot;, sans-serif" w:eastAsia="&quot;微软雅黑&quot;, sans-serif"/>
                      <w:color w:val="000000"/>
                      <w:sz w:val="24"/>
                    </w:rPr>
                    <w:t>轿</w:t>
                  </w:r>
                  <w:r>
                    <w:rPr>
                      <w:rFonts w:ascii="&quot;微软雅黑&quot;, sans-serif" w:hAnsi="&quot;微软雅黑&quot;, sans-serif" w:cs="&quot;微软雅黑&quot;, sans-serif" w:eastAsia="&quot;微软雅黑&quot;, sans-serif"/>
                      <w:color w:val="000000"/>
                      <w:sz w:val="24"/>
                    </w:rPr>
                    <w:t>厢</w:t>
                  </w:r>
                  <w:r>
                    <w:rPr>
                      <w:rFonts w:ascii="&quot;微软雅黑&quot;, sans-serif" w:hAnsi="&quot;微软雅黑&quot;, sans-serif" w:cs="&quot;微软雅黑&quot;, sans-serif" w:eastAsia="&quot;微软雅黑&quot;, sans-serif"/>
                      <w:color w:val="000000"/>
                      <w:sz w:val="24"/>
                    </w:rPr>
                    <w:t>水</w:t>
                  </w:r>
                  <w:r>
                    <w:rPr>
                      <w:rFonts w:ascii="&quot;微软雅黑&quot;, sans-serif" w:hAnsi="&quot;微软雅黑&quot;, sans-serif" w:cs="&quot;微软雅黑&quot;, sans-serif" w:eastAsia="&quot;微软雅黑&quot;, sans-serif"/>
                      <w:color w:val="000000"/>
                      <w:sz w:val="24"/>
                    </w:rPr>
                    <w:t xml:space="preserve"> 平 振 动 最 大 峰 峰值</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color w:val="000000"/>
                      <w:sz w:val="24"/>
                    </w:rPr>
                    <w:t>37</w:t>
                  </w:r>
                </w:p>
              </w:tc>
              <w:tc>
                <w:tcPr>
                  <w:tcW w:type="dxa" w:w="294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jc w:val="left"/>
                  </w:pPr>
                  <w:r>
                    <w:rPr>
                      <w:rFonts w:ascii="&quot;微软雅黑&quot;, sans-serif" w:hAnsi="&quot;微软雅黑&quot;, sans-serif" w:cs="&quot;微软雅黑&quot;, sans-serif" w:eastAsia="&quot;微软雅黑&quot;, sans-serif"/>
                      <w:color w:val="000000"/>
                      <w:sz w:val="24"/>
                    </w:rPr>
                    <w:t>所投品牌电梯制造商所生产的电梯能达到以下水平</w:t>
                  </w:r>
                  <w:r>
                    <w:rPr>
                      <w:rFonts w:ascii="&quot;微软雅黑&quot;, sans-serif" w:hAnsi="&quot;微软雅黑&quot;, sans-serif" w:cs="&quot;微软雅黑&quot;, sans-serif" w:eastAsia="&quot;微软雅黑&quot;, sans-serif"/>
                      <w:color w:val="000000"/>
                      <w:sz w:val="24"/>
                    </w:rPr>
                    <w:t>振动指标</w:t>
                  </w:r>
                  <w:r>
                    <w:rPr>
                      <w:rFonts w:ascii="&quot;微软雅黑&quot;, sans-serif" w:hAnsi="&quot;微软雅黑&quot;, sans-serif" w:cs="&quot;微软雅黑&quot;, sans-serif" w:eastAsia="&quot;微软雅黑&quot;, sans-serif"/>
                      <w:color w:val="000000"/>
                      <w:sz w:val="24"/>
                    </w:rPr>
                    <w:t>：轿厢水平振动最大峰峰值≤0.15m/s²</w:t>
                  </w:r>
                  <w:r>
                    <w:rPr>
                      <w:rFonts w:ascii="&quot;微软雅黑&quot;, sans-serif" w:hAnsi="&quot;微软雅黑&quot;, sans-serif" w:cs="&quot;微软雅黑&quot;, sans-serif" w:eastAsia="&quot;微软雅黑&quot;, sans-serif"/>
                      <w:color w:val="000000"/>
                      <w:sz w:val="24"/>
                    </w:rPr>
                    <w:t>,</w:t>
                  </w:r>
                  <w:r>
                    <w:rPr>
                      <w:rFonts w:ascii="arial, sans-serif" w:hAnsi="arial, sans-serif" w:cs="arial, sans-serif" w:eastAsia="arial, sans-serif"/>
                      <w:color w:val="000000"/>
                      <w:sz w:val="21"/>
                    </w:rPr>
                    <w:t xml:space="preserve">   </w:t>
                  </w:r>
                  <w:r>
                    <w:rPr>
                      <w:rFonts w:ascii="&quot;微软雅黑&quot;, sans-serif" w:hAnsi="&quot;微软雅黑&quot;, sans-serif" w:cs="&quot;微软雅黑&quot;, sans-serif" w:eastAsia="&quot;微软雅黑&quot;, sans-serif"/>
                      <w:color w:val="000000"/>
                      <w:sz w:val="24"/>
                    </w:rPr>
                    <w:t>水平振动A95峰峰值≤0.10m/s² （须提供具有</w:t>
                  </w:r>
                  <w:r>
                    <w:rPr>
                      <w:rFonts w:ascii="&quot;微软雅黑&quot;, sans-serif" w:hAnsi="&quot;微软雅黑&quot;, sans-serif" w:cs="&quot;微软雅黑&quot;, sans-serif" w:eastAsia="&quot;微软雅黑&quot;, sans-serif"/>
                      <w:color w:val="000000"/>
                      <w:sz w:val="24"/>
                    </w:rPr>
                    <w:t>CNA S</w:t>
                  </w:r>
                  <w:r>
                    <w:rPr>
                      <w:rFonts w:ascii="&quot;微软雅黑&quot;, sans-serif" w:hAnsi="&quot;微软雅黑&quot;, sans-serif" w:cs="&quot;微软雅黑&quot;, sans-serif" w:eastAsia="&quot;微软雅黑&quot;, sans-serif"/>
                      <w:color w:val="000000"/>
                      <w:sz w:val="24"/>
                    </w:rPr>
                    <w:t>标志的第三方检验报告）</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20" w:right="120"/>
                    <w:jc w:val="both"/>
                  </w:pPr>
                  <w:r>
                    <w:rPr>
                      <w:rFonts w:ascii="&quot;微软雅黑&quot;, sans-serif" w:hAnsi="&quot;微软雅黑&quot;, sans-serif" w:cs="&quot;微软雅黑&quot;, sans-serif" w:eastAsia="&quot;微软雅黑&quot;, sans-serif"/>
                      <w:color w:val="000000"/>
                      <w:sz w:val="24"/>
                    </w:rPr>
                    <w:t>能量回馈装置</w:t>
                  </w:r>
                </w:p>
              </w:tc>
              <w:tc>
                <w:tcPr>
                  <w:tcW w:type="dxa" w:w="1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left"/>
                  </w:pPr>
                  <w:r>
                    <w:rPr>
                      <w:rFonts w:ascii="宋体" w:hAnsi="宋体" w:cs="宋体" w:eastAsia="宋体"/>
                      <w:color w:val="000000"/>
                      <w:sz w:val="24"/>
                    </w:rPr>
                    <w:t>38</w:t>
                  </w:r>
                </w:p>
              </w:tc>
              <w:tc>
                <w:tcPr>
                  <w:tcW w:type="dxa" w:w="294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ind w:left="120"/>
                    <w:jc w:val="left"/>
                  </w:pPr>
                  <w:r>
                    <w:rPr>
                      <w:rFonts w:ascii="&quot;微软雅黑&quot;, sans-serif" w:hAnsi="&quot;微软雅黑&quot;, sans-serif" w:cs="&quot;微软雅黑&quot;, sans-serif" w:eastAsia="&quot;微软雅黑&quot;, sans-serif"/>
                      <w:color w:val="000000"/>
                      <w:sz w:val="24"/>
                    </w:rPr>
                    <w:t>所投品牌电梯具有“能量回馈装置”功能（须提供 具有CNAS标志的第三方检验报告）</w:t>
                  </w:r>
                </w:p>
              </w:tc>
              <w:tc>
                <w:tcPr>
                  <w:tcW w:type="dxa" w:w="0"/>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left"/>
                  </w:pPr>
                  <w:r>
                    <w:rPr>
                      <w:rFonts w:ascii="arial, sans-serif" w:hAnsi="arial, sans-serif" w:cs="arial, sans-serif" w:eastAsia="arial, sans-serif"/>
                      <w:color w:val="000000"/>
                      <w:sz w:val="21"/>
                    </w:rPr>
                    <w:t xml:space="preserve"> </w:t>
                  </w:r>
                </w:p>
              </w:tc>
            </w:tr>
          </w:tbl>
          <w:p/>
        </w:tc>
      </w:tr>
      <w:tr>
        <w:tc>
          <w:tcPr>
            <w:tcW w:type="dxa" w:w="831"/>
          </w:tcPr>
          <w:p>
            <w:pPr>
              <w:pStyle w:val="null3"/>
              <w:jc w:val="left"/>
            </w:pPr>
            <w:r>
              <w:rPr/>
              <w:t>3</w:t>
            </w:r>
          </w:p>
        </w:tc>
        <w:tc>
          <w:tcPr>
            <w:tcW w:type="dxa" w:w="1246"/>
          </w:tcPr>
          <w:p/>
        </w:tc>
        <w:tc>
          <w:tcPr>
            <w:tcW w:type="dxa" w:w="2492"/>
          </w:tcPr>
          <w:p/>
        </w:tc>
        <w:tc>
          <w:tcPr>
            <w:tcW w:type="dxa" w:w="3738"/>
          </w:tcPr>
          <w:tbl>
            <w:tblPr>
              <w:tblBorders>
                <w:top w:val="none" w:color="000000" w:sz="4"/>
                <w:left w:val="none" w:color="000000" w:sz="4"/>
                <w:bottom w:val="none" w:color="000000" w:sz="4"/>
                <w:right w:val="none" w:color="000000" w:sz="4"/>
                <w:insideH w:val="none"/>
                <w:insideV w:val="none"/>
              </w:tblBorders>
            </w:tblPr>
            <w:tblGrid>
              <w:gridCol w:w="410"/>
              <w:gridCol w:w="940"/>
              <w:gridCol w:w="2172"/>
            </w:tblGrid>
            <w:tr>
              <w:tc>
                <w:tcPr>
                  <w:tcW w:type="dxa" w:w="4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0"/>
                    </w:rPr>
                    <w:t>编号</w:t>
                  </w:r>
                </w:p>
              </w:tc>
              <w:tc>
                <w:tcPr>
                  <w:tcW w:type="dxa" w:w="9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color w:val="000000"/>
                      <w:sz w:val="20"/>
                    </w:rPr>
                    <w:t>功能名称</w:t>
                  </w:r>
                </w:p>
              </w:tc>
              <w:tc>
                <w:tcPr>
                  <w:tcW w:type="dxa" w:w="217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宋体" w:hAnsi="宋体" w:cs="宋体" w:eastAsia="宋体"/>
                      <w:color w:val="000000"/>
                      <w:sz w:val="20"/>
                    </w:rPr>
                    <w:t>功能描述</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全集选</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电梯对大楼内上、下召唤信号、轿内选层指令及各种信号进行综合分析判断后，将自动优选与电梯运行方向一致的信号进行依次应答</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满载直驶</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当轿厢内载荷达到满载预设值时，即进入满载直驶状态，电梯将不再应答厅外召唤，点亮厅外显示的满载灯，并直接响应轿内指令直达指定楼层</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重新初始化运行</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当电源因中断而恢复后，电梯位置信号未能保留或不能确定轿厢位置时，电梯将驶向端站重新定位。定位后位置显示器显示电梯所在的层楼位置，并恢复正常运行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修正运行</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电梯在运行过程中，系统自动修正电梯运行中产生的导致的微小平层误差、轿厢位置误差，将平层误差控制在最小的范围内</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井道位置自学习</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有井道位置自学习功能，并存储井道位置信号，当电梯正常运行时实现直接停靠</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板载调试</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调试人员可以通过控制板上下键盘操作，来实现对电梯运行状态监控及参数设置等调试功能。</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7</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反向指令自动消除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在向上或向下运行时，对于与当前运行方向相反的指令可自动消除</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8</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错误指令取消</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当指令登记后，在电梯未起动前可通过连续点按此按钮以取消已登记的指令。电梯起动后，为保证乘客的人身安全，系统不允许取消已登记信号</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9</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关门等待取消</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自动状态下，在门保持全开状态并且处于开门延时阶段时，按关门按钮可立即执行提前关门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10</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开、关门按钮</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电梯轿厢操纵面板上设有控制开关门的微动按钮，以方便乘客根据需要灵活掌握开关门的时间</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开、关门按钮灯</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按下开、关门按钮的同时将点亮按钮灯以提示成功应答</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厅、轿门分别控制</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经过统计由厅外召唤引起的开门等待时间会比由轿内指令引起的开门等待时间要长，此功能通过独立调整电梯在响应召唤和指令时的开门保持时间，来提高整体的运行效率</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本层厅外开门</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在正常关门过程中，厅外与电梯同向的召唤按钮被按下时，电梯将重新开门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自动返回基站</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单台电梯时，可根据大楼实际需求设定运行基站，在预定时间内如果没有召唤或指令登记，轿厢将自动返回基站，关门待机，基站一般设在交通流量大的楼层或一楼大厅</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15</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轿顶检修运行</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电梯轿顶设有检修箱，使检修维护更为安全快捷</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16</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起动时力矩补偿</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为使电梯起动时获得更好的舒适感，系统对轿厢内载荷进行计算，并通过起动时的力矩补偿给予优化</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17</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轿厢到站钟</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设置在轿厢顶部，当电梯到达停靠楼层时，将发出清脆的铃声提示乘客已到站</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18</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提前开门</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当电梯运行接近门区位置时，在符合安全的条件下，电梯会提前开门并低速蠕动运行至平层位置（软件功能开通）</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19</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免定位</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驱动器在断电、参数更改、发生故障的情况下、再次运行前会进行自动磁极捕捉，无需人为干预定位</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20</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反向指令不登记功能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在向上或向下运行时，对于与当前运行方向相反的指令可设置为无法登计</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电流斜坡撤除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在永磁同步电机应用现场中，电梯运行减速停车后，电动机的维持电流通过斜坡的方式撤除，避免这个过程中电动机的异响噪音</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外召粘连识别</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系统可以识别出厅外召唤按钮的粘连情况，自动去除该粘连的召唤，避免电梯由于厅外召唤按钮的找了情况而无法关门运行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检修零速停车</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该功能大大的减少了检修非零速停车对主机抱闸造成的磨损</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检修降载波</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在满足电梯运行的基本功能条件下，为了最大程度保护驱动器底座，增加一种运行模式，即在检修运行时载波频率自动调节到</w:t>
                  </w:r>
                  <w:r>
                    <w:rPr>
                      <w:rFonts w:ascii="宋体" w:hAnsi="宋体" w:cs="宋体" w:eastAsia="宋体"/>
                      <w:color w:val="000000"/>
                      <w:sz w:val="20"/>
                    </w:rPr>
                    <w:t>6KHz</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25</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爬行启动</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克服静摩擦，使启动舒适感更佳</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26</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平衡系数辅助监测</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做平衡系数时，自动观察中间楼层信息并输出电流信息，显示在服务器或主板</w:t>
                  </w:r>
                  <w:r>
                    <w:rPr>
                      <w:rFonts w:ascii="宋体" w:hAnsi="宋体" w:cs="宋体" w:eastAsia="宋体"/>
                      <w:color w:val="000000"/>
                      <w:sz w:val="20"/>
                    </w:rPr>
                    <w:t>LED上，方便工地调试</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27</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楼层显示一键排序</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设置交外显示器楼层信息时，将底层显示值设置完毕后，其他楼层会自动排列设置，便于工地操作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28</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超载保护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当轿厢的载重量超出额定允许的载重时，超载蜂鸣器会鸣响以提示超载。此时显示超载，轿厢不关门，电梯不能起动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29</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驱动设备过热保护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由于机房温度过高或运行发热，电动机温度超过预设值时，电梯将自动进入保护状态。电梯就近停靠，开门安全疏散乘客并关闭轿内照明和电扇，温度正常后，电梯恢复正常运行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30</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终端楼层保护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当电梯运行到终端楼层时，运行速度没有减至预设值时，系统将强迫减速，保护电梯的安全运行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轿厢开门保护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当电梯由于机械卡阻等原因导致不能开门到位超过预定时间时，内外呼信号会自动取消，驶向相邻层楼开门并释放乘客</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轿厢关门保护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当电梯由于机械卡阻等原因导致不能开门到位超过预定时间，电梯重复三次关门后，未侦测到门关闭信号，电梯会自动进入保护状态，当电梯监测到门已正常关闭时，电梯将恢复正常操作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轿厢关门延时保护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电梯开门时间由于外呼按钮被按住或其他因素而超过预定时间时，电梯会强迫关门来应答其他信号。当电梯强迫关门重复几次仍未关紧，电梯将停止运转并开门，内外呼信号会自动取消。当电梯监测到门已正常关闭时，电梯恢复正常操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关门力矩保护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当关门时受到反向阻力，超过预设的力矩值时，电梯将重新开门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35</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光幕门保护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利用光幕装置发出的红外光线对进入其探测区域的任何物体进行扫描，形成一个敏感度高、安全性好的红外线屏。一旦光线受到干扰，电梯门就很快地重新开启而不会碰伤乘客，从而保证了乘客安全方便地进出电梯</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36</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故障自诊断</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当控制系统自动侦测到控制回路的异常时，自动停梯保障乘客的安全。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37</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电网滤波监测功能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在一段时间内，如果电网电压出现连续波动，系统将自动报警</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38</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速度反馈检测功能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系统一旦检测到实际速度与给定速度不符，将自动断开安全回路并发出警报</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39</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抱闸反馈检测功能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对抱闸继电器信号进行全程监控，当发现抱闸继电器的实际状态与始定的命令不符时，停止运行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40</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接触器反馈检测功能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无论电梯处于待机状态还是运行状态，系统将检测输出继电器的状态，一旦发现接触器处于非正常状态，系统将报警</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门锁短接检测</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电梯系统可自动检测出门锁短接状态，并报故障保护。</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门旁路装置</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为了配合电梯检修需要，可通过特有的旁路装置短接厅门锁或者轿门锁，短接后电梯仅能检修操作或紧急电动运行，且运行时有声光报警系统提示。</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UCMP功能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防止轿厢在开锁区域内且开门状态下无指令意外移动的保护功能。</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终端楼层保护</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当电梯运行到终端楼层时，运行速度没有减至预设值时，系统将强迫减速，保护电梯的安全运行。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45</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抱闸力矩检测</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电梯系统可自动或手动检测制动器力矩的功能。</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46</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厅外及轿内方向灯提示</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为方便乘客了解电梯的运行方向，在轿内操纵面板和厅外召唤面板上有箭头状指示灯提示运行方向</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47</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数字式大厅</w:t>
                  </w:r>
                  <w:r>
                    <w:rPr>
                      <w:rFonts w:ascii="宋体" w:hAnsi="宋体" w:cs="宋体" w:eastAsia="宋体"/>
                      <w:color w:val="000000"/>
                      <w:sz w:val="20"/>
                    </w:rPr>
                    <w:t>/轿内显示</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在轿内的操纵面板及每层楼的大厅召唤盒上随时用十六段数码显示电梯所在层站，以方便乘客了解电梯当前运行位置</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48</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机房紧急电动运行操作</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电梯机房的控制柜内设有紧急电动操作装置，可用紧急情况时的救援。</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49</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轿厢内紧急照明</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在轿内设置的紧急照明装置，停电时启用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50</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轿厢警铃</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供在特殊情况下乘客通过按动轿厢内报警按钮，及时通知外界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内部通话装置</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用于特殊情况下通过设置在轿顶、轿底和轿厢操纵面板上的对讲装置保持与机房及监控中心的语音联系</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消防状态提醒显示</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进入消防状态时，在轿内显示提示信息</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紧急消防操作</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大楼发生火警时，系统在接收到火警信号后，将取消所有指令和召唤信号，驱动电梯直接返回消防层，开门疏散乘客。在消防迫降基站成功后，控制系统向消控中心提供迫降成功信号，同时有消防状态提醒显示</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HSD功能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电梯停电时，通过手动点动松开主机抱闸使得轿厢往轻载方向溜车运行到下一层站开门释放乘客</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55</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自平层运行</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电梯因故障或者检修运行停止在非平层区域时，故障复位或由检修转入正常状态，此时只要符合起动的安全要求，电梯将以慢速运行到平层区。门自动打开恢复正常运行，同时对乘客进行语音安抚。（语音安抚装置为选配功能）</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56</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平层扒门功能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由于任何原因电梯停在开锁区域，可以在轿厢内手动打开轿门和层门，或者用三角钥匙开锁打开轿门和层门。</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57</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轿内风扇照明控制</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在没有接到任何操作指令的情况下，电梯在关门后的预定时间内，将进入节能模式，关闭轿内的照明和风扇</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58</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照明、风扇节电模式</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当超过设计时间，仍无内部指令和层站召唤时，则自动切断轿厢内照明、风扇等电源</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59</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停梯开关</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即驻停开关，当设置在指定楼层的钥匙开关动作后，电梯将在应答完所有指令后返回指定层楼，同时将启用节能模式，切断轿内照明并点亮厅外停梯开关指示灯</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60</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驱动器风扇智能控制</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根据驱动器温度，实时控制风扇转速和时间，优化风扇噪音及节能</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61</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司机操作</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通过操纵箱内开关进入有司机操作状态，可由司机对轿厢乘客数量、厅外召唤响应、开关门等进行管理</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62</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司机友好提醒</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0"/>
                    </w:rPr>
                    <w:t>当电梯处于司机状态，外部有召唤登记时操纵箱内蜂鸣会响，所对应的轿内按钮灯闪烁，友好提醒司机。</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63</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自动泊梯</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群控组内电梯在大楼内所有电梯均处于空闲状态时，会自动停泊于大楼的不同层楼以提高电梯组对召唤的响应速度</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64</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外召粘连识别</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系统可以识别出厅外召唤按钮的粘连情况，自动去除该粘连的召唤，避免电梯由于外召按钮的粘连情况而无法关门运行。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65</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独立服务</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为满足客户的特殊需要，设计的独立服务状态，进入独立服务后，电梯不再应答厅外召唤信号而只能由人工控制关门和运行</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66</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复位救援功能</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系统因故障导致位置信号丢失，电梯将先救援运行到就近楼层停靠并释放乘客，再去端站复位。在电梯故障保护、救援运行、开门释放乘客、端站复位过程中有语音安抚和提示（语音安抚装置为选配）</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67</w:t>
                  </w:r>
                </w:p>
              </w:tc>
              <w:tc>
                <w:tcPr>
                  <w:tcW w:type="dxa" w:w="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0"/>
                    </w:rPr>
                    <w:t>过电流预检测</w:t>
                  </w:r>
                </w:p>
              </w:tc>
              <w:tc>
                <w:tcPr>
                  <w:tcW w:type="dxa" w:w="2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color w:val="000000"/>
                      <w:sz w:val="20"/>
                    </w:rPr>
                    <w:t>驱动输出电流预检测，增加主机动力回路上出现短路的故障保护</w:t>
                  </w:r>
                </w:p>
              </w:tc>
            </w:tr>
          </w:tbl>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服务要求</w:t>
            </w:r>
          </w:p>
        </w:tc>
        <w:tc>
          <w:tcPr>
            <w:tcW w:type="dxa" w:w="2076"/>
          </w:tcPr>
          <w:tbl>
            <w:tblPr>
              <w:tblBorders>
                <w:top w:val="none" w:color="000000" w:sz="4"/>
                <w:left w:val="none" w:color="000000" w:sz="4"/>
                <w:bottom w:val="none" w:color="000000" w:sz="4"/>
                <w:right w:val="none" w:color="000000" w:sz="4"/>
                <w:insideH w:val="none"/>
                <w:insideV w:val="none"/>
              </w:tblBorders>
            </w:tblPr>
            <w:tblGrid>
              <w:gridCol w:w="358"/>
              <w:gridCol w:w="1502"/>
            </w:tblGrid>
            <w:tr>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安装及调试施工组织方案</w:t>
                  </w:r>
                </w:p>
              </w:tc>
              <w:tc>
                <w:tcPr>
                  <w:tcW w:type="dxa" w:w="15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提供详细的安装及调试施工组织方案，包括但不限于：</w:t>
                  </w:r>
                  <w:r>
                    <w:rPr>
                      <w:rFonts w:ascii="宋体" w:hAnsi="宋体" w:cs="宋体" w:eastAsia="宋体"/>
                      <w:color w:val="000000"/>
                      <w:sz w:val="20"/>
                    </w:rPr>
                    <w:t>①进度计划措施；②电梯安装方案③质量保障措施；④安全保障措施、环境保护措施（包括无尘、无噪、无烟方案措施）；⑤应急预案措施。</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售后服务方案</w:t>
                  </w:r>
                </w:p>
              </w:tc>
              <w:tc>
                <w:tcPr>
                  <w:tcW w:type="dxa" w:w="15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提供详细的售后服务方案，包括但不限于：</w:t>
                  </w:r>
                  <w:r>
                    <w:rPr>
                      <w:rFonts w:ascii="宋体" w:hAnsi="宋体" w:cs="宋体" w:eastAsia="宋体"/>
                      <w:color w:val="000000"/>
                      <w:sz w:val="20"/>
                    </w:rPr>
                    <w:t>①售后服务方案与措施；②售后服务机构保障措施；③售后服务响应时间；④售后服务内容；⑤培训方案（包含：培训内容、培训时间、培训费用）。</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履约能力</w:t>
                  </w:r>
                </w:p>
              </w:tc>
              <w:tc>
                <w:tcPr>
                  <w:tcW w:type="dxa" w:w="15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1、电梯整机质保期不低于12个月，维护保养服务期不低于12个月；</w:t>
                  </w:r>
                  <w:r>
                    <w:br/>
                  </w:r>
                  <w:r>
                    <w:rPr>
                      <w:rFonts w:ascii="宋体" w:hAnsi="宋体" w:cs="宋体" w:eastAsia="宋体"/>
                      <w:color w:val="000000"/>
                      <w:sz w:val="20"/>
                    </w:rPr>
                    <w:t>2、电梯核心部件（曳引机、控制柜、门机、限速器、安全钳、缓冲器）质保期不低于1年。</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业绩</w:t>
                  </w:r>
                </w:p>
              </w:tc>
              <w:tc>
                <w:tcPr>
                  <w:tcW w:type="dxa" w:w="15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宋体" w:hAnsi="宋体" w:cs="宋体" w:eastAsia="宋体"/>
                      <w:color w:val="000000"/>
                      <w:sz w:val="20"/>
                    </w:rPr>
                    <w:t>具有类似项目业绩</w:t>
                  </w:r>
                  <w:r>
                    <w:rPr>
                      <w:rFonts w:ascii="宋体" w:hAnsi="宋体" w:cs="宋体" w:eastAsia="宋体"/>
                      <w:color w:val="000000"/>
                      <w:sz w:val="20"/>
                    </w:rPr>
                    <w:t>(提供合同复印件或验收报告复印件)类似项目是指:电梯销售或电梯安装类</w:t>
                  </w:r>
                </w:p>
              </w:tc>
            </w:tr>
          </w:tbl>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自合同签订之日起60日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成都教科院附属龙泉学校</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1、签订合同后，供应商提供等额增值税发票，达到付款条件起10日内，支付合同总金额的70.00%</w:t>
            </w:r>
          </w:p>
          <w:p>
            <w:pPr>
              <w:pStyle w:val="null3"/>
              <w:jc w:val="left"/>
            </w:pPr>
            <w:r>
              <w:rPr/>
              <w:t>2、乙方完成合同约定的全部工程量，验收合格并取得检验合格报告投入正常使用，并且提供合法、有效、等额的发票，达到付款条件起10日内，支付合同总金额的30.00%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（1）符合国家、行业标准、四川省地方标准规定的验收标准。 （2）验收时如发现所交付的货物有短装、次品、损坏或其他不符合标准及合同规定之情形者，采购人应做出详尽的现场记录，或由采购人与成交人双方签署备忘录，此现场记录或备忘录可用作补充、缺失和更换损坏部件的有效证据，由此产生的时间延误与有关费用由成交人承担； （3）供应商应将所提供货物的装箱清单、配件、随机工具、用户使用手册、原厂保修卡等资料交付给采购人：成交人不能完整交付货物及本款规定的单证和工具的，必须负责补齐，否则视为未按合同约定交货； （4）其他未尽事宜应严格按照《 财政部关于进一步加强政府采购需求和履约验收管理的指导意见》（财库（2016）205号）、《政府采购需求管理办法》（ 财库（2021）22号）的要求进行验收。</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项目验收合格并正常使用和运行 24 小时后进入保修期，保修期为 1 年，按照相关规定进行维保。</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1.如因成交供应商工作人员在履行职务过程中的疏忽、失职、过错等故意或者过失原因给采购人造成损失或侵害，包括但不限于采购人本身的财产损失、由此而导致的采购人对任何第三方的法律责 任等，成交供应商对此均应承担全部的赔偿责任。 2.因货物的质量问题发生争议，由质量技术监督部门或其指定的质量鉴定机构进行质量鉴定。货物符合标准的，鉴定费由甲方承担；货物不符合质量标准的，鉴定费由乙方承担。 3.合同履行期间，若双方发生争议，可协商或由有关部门调解解决，协商或调解不成的，由当事人依法向法院提起诉讼维护其合法权益。</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无</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（1）企业法人：提交“统一社会信用代码的营业执照”未换证的提交“营业执照、组织机构代 码证、税务登记证”（均为扫描件）；（2）事业法人：提交：“统一社会信用代码的事业单位 法人证书”未换证的提交“事业单位法人证书或组织机构代码证”（均为扫描件）；（3）其他 组织：提供“对应主管部门颁发的准许执业证明文件或营业执照”（均为扫描件）；（4）个体 工商户：提交“统一社会信用代码的营业执照”或“营业执照、税务登记证”（均为扫描件）； （5）自然人：提供身份证扫描件。投标人需在项目电子化交易系统中按上述要求提供相关证 明材料或按要求填写《投标（响应）函》并进行电子签章</w:t>
            </w:r>
          </w:p>
        </w:tc>
        <w:tc>
          <w:tcPr>
            <w:tcW w:type="dxa" w:w="1910"/>
          </w:tcPr>
          <w:p>
            <w:pPr>
              <w:pStyle w:val="null3"/>
              <w:jc w:val="left"/>
            </w:pPr>
            <w:r>
              <w:rPr/>
              <w:t>营业执照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供应商需具有《中华人民共和国特种设备制造许可证》或《中华人民共和国特种设备生产许可证》(许可项目包含乘客电梯安装(含修理))或《中华人民共和国特种设备安装改造维修许可证》乘客电梯安装、改造、维修C级及以上资质。</w:t>
            </w:r>
          </w:p>
        </w:tc>
        <w:tc>
          <w:tcPr>
            <w:tcW w:type="dxa" w:w="3322"/>
          </w:tcPr>
          <w:p>
            <w:pPr>
              <w:pStyle w:val="null3"/>
              <w:jc w:val="left"/>
            </w:pPr>
            <w:r>
              <w:rPr/>
              <w:t>供应商需在项目电子化交易系统中按要求提供相关证明材料并进行电子签章。</w:t>
            </w:r>
          </w:p>
        </w:tc>
        <w:tc>
          <w:tcPr>
            <w:tcW w:type="dxa" w:w="1910"/>
          </w:tcPr>
          <w:p>
            <w:pPr>
              <w:pStyle w:val="null3"/>
              <w:jc w:val="left"/>
            </w:pPr>
            <w:r>
              <w:rPr/>
              <w:t>特殊资格证明材料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投标文件均实质性响应招标文件中加★号的技术、服务、商务和其他要求。</w:t>
            </w:r>
          </w:p>
        </w:tc>
        <w:tc>
          <w:tcPr>
            <w:tcW w:type="dxa" w:w="1910"/>
          </w:tcPr>
          <w:p>
            <w:pPr>
              <w:pStyle w:val="null3"/>
              <w:jc w:val="left"/>
            </w:pPr>
            <w:r>
              <w:rPr/>
              <w:t>产品技术参数响应表 商务应答表 服务应答表</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报价表</w:t>
            </w:r>
          </w:p>
        </w:tc>
      </w:tr>
      <w:tr>
        <w:tc>
          <w:tcPr>
            <w:tcW w:type="dxa" w:w="581"/>
          </w:tcPr>
          <w:p>
            <w:pPr>
              <w:pStyle w:val="null3"/>
              <w:jc w:val="center"/>
            </w:pPr>
            <w:r>
              <w:rPr/>
              <w:t>3</w:t>
            </w:r>
          </w:p>
        </w:tc>
        <w:tc>
          <w:tcPr>
            <w:tcW w:type="dxa" w:w="2492"/>
          </w:tcPr>
          <w:p>
            <w:pPr>
              <w:pStyle w:val="null3"/>
              <w:jc w:val="left"/>
            </w:pPr>
            <w:r>
              <w:rPr/>
              <w:t>投标文件的组成</w:t>
            </w:r>
          </w:p>
        </w:tc>
        <w:tc>
          <w:tcPr>
            <w:tcW w:type="dxa" w:w="3322"/>
          </w:tcPr>
          <w:p>
            <w:pPr>
              <w:pStyle w:val="null3"/>
              <w:jc w:val="left"/>
            </w:pPr>
            <w:r>
              <w:rPr/>
              <w:t>按招标文件要求提供投标文件封面、技术参数响应表、商务应答表。</w:t>
            </w:r>
          </w:p>
        </w:tc>
        <w:tc>
          <w:tcPr>
            <w:tcW w:type="dxa" w:w="1910"/>
          </w:tcPr>
          <w:p>
            <w:pPr>
              <w:pStyle w:val="null3"/>
              <w:jc w:val="left"/>
            </w:pPr>
            <w:r>
              <w:rPr/>
              <w:t>产品技术参数响应表 商务应答表 投标文件封面</w:t>
            </w:r>
          </w:p>
        </w:tc>
      </w:tr>
      <w:tr>
        <w:tc>
          <w:tcPr>
            <w:tcW w:type="dxa" w:w="581"/>
          </w:tcPr>
          <w:p>
            <w:pPr>
              <w:pStyle w:val="null3"/>
              <w:jc w:val="center"/>
            </w:pPr>
            <w:r>
              <w:rPr/>
              <w:t>4</w:t>
            </w:r>
          </w:p>
        </w:tc>
        <w:tc>
          <w:tcPr>
            <w:tcW w:type="dxa" w:w="2492"/>
          </w:tcPr>
          <w:p>
            <w:pPr>
              <w:pStyle w:val="null3"/>
              <w:jc w:val="left"/>
            </w:pPr>
            <w:r>
              <w:rPr/>
              <w:t>法定代表人或主要负责人身份证复印件或护照复印件</w:t>
            </w:r>
          </w:p>
        </w:tc>
        <w:tc>
          <w:tcPr>
            <w:tcW w:type="dxa" w:w="3322"/>
          </w:tcPr>
          <w:p>
            <w:pPr>
              <w:pStyle w:val="null3"/>
              <w:jc w:val="left"/>
            </w:pPr>
            <w:r>
              <w:rPr/>
              <w:t>身份证复印件或护照复印件【注：法定代表人或主要负责人身份证复印件（身份证两面均应复印，在有效期内）或护照复印件（法定代表人或主要负责人为外籍人士的，按此提供）。】</w:t>
            </w:r>
          </w:p>
        </w:tc>
        <w:tc>
          <w:tcPr>
            <w:tcW w:type="dxa" w:w="1910"/>
          </w:tcPr>
          <w:p>
            <w:pPr>
              <w:pStyle w:val="null3"/>
              <w:jc w:val="left"/>
            </w:pPr>
            <w:r>
              <w:rPr/>
              <w:t>法定代表人或主要负责人身份证明书</w:t>
            </w:r>
          </w:p>
        </w:tc>
      </w:tr>
      <w:tr>
        <w:tc>
          <w:tcPr>
            <w:tcW w:type="dxa" w:w="581"/>
          </w:tcPr>
          <w:p>
            <w:pPr>
              <w:pStyle w:val="null3"/>
              <w:jc w:val="center"/>
            </w:pPr>
            <w:r>
              <w:rPr/>
              <w:t>5</w:t>
            </w:r>
          </w:p>
        </w:tc>
        <w:tc>
          <w:tcPr>
            <w:tcW w:type="dxa" w:w="2492"/>
          </w:tcPr>
          <w:p>
            <w:pPr>
              <w:pStyle w:val="null3"/>
              <w:jc w:val="left"/>
            </w:pPr>
            <w:r>
              <w:rPr/>
              <w:t>投标报价</w:t>
            </w:r>
          </w:p>
        </w:tc>
        <w:tc>
          <w:tcPr>
            <w:tcW w:type="dxa" w:w="3322"/>
          </w:tcPr>
          <w:p>
            <w:pPr>
              <w:pStyle w:val="null3"/>
              <w:jc w:val="left"/>
            </w:pPr>
            <w:r>
              <w:rPr/>
              <w:t>1.投标报价唯一（说明：投标文件报价出现前后不一致的，按照招标文件第5章评标办法规定予以修正，修正后的报价经投标人通过项目电子化交易系统进行确认，并加盖投标人（法定名称）电子印章，投标人未在规定时间内确认的，其投标无效。评标委员会不得未经要求投标人确认，直接将投标人投标文件作无效处理。）2.未超过招标文件规定的最高限价；3.投标报价应包含本次招标要求的所有货物及服务的费用。</w:t>
            </w:r>
          </w:p>
        </w:tc>
        <w:tc>
          <w:tcPr>
            <w:tcW w:type="dxa" w:w="1910"/>
          </w:tcPr>
          <w:p>
            <w:pPr>
              <w:pStyle w:val="null3"/>
              <w:jc w:val="left"/>
            </w:pPr>
            <w:r>
              <w:rPr/>
              <w:t>报价表</w:t>
            </w:r>
          </w:p>
        </w:tc>
      </w:tr>
      <w:tr>
        <w:tc>
          <w:tcPr>
            <w:tcW w:type="dxa" w:w="581"/>
          </w:tcPr>
          <w:p>
            <w:pPr>
              <w:pStyle w:val="null3"/>
              <w:jc w:val="center"/>
            </w:pPr>
            <w:r>
              <w:rPr/>
              <w:t>6</w:t>
            </w:r>
          </w:p>
        </w:tc>
        <w:tc>
          <w:tcPr>
            <w:tcW w:type="dxa" w:w="2492"/>
          </w:tcPr>
          <w:p>
            <w:pPr>
              <w:pStyle w:val="null3"/>
              <w:jc w:val="left"/>
            </w:pPr>
            <w:r>
              <w:rPr/>
              <w:t>不属于禁止参加投标或投标无效的投标人</w:t>
            </w:r>
          </w:p>
        </w:tc>
        <w:tc>
          <w:tcPr>
            <w:tcW w:type="dxa" w:w="3322"/>
          </w:tcPr>
          <w:p>
            <w:pPr>
              <w:pStyle w:val="null3"/>
              <w:jc w:val="left"/>
            </w:pPr>
            <w:r>
              <w:rPr/>
              <w:t>（1）根据招标文件的要求不属于禁止参加投标或投标无效的投标人； （2）评标委员会未发现或者未知晓投标人存在属于国家相关法律法规规定的禁止参加投标或投标无效的投标人。</w:t>
            </w:r>
          </w:p>
        </w:tc>
        <w:tc>
          <w:tcPr>
            <w:tcW w:type="dxa" w:w="1910"/>
          </w:tcPr>
          <w:p>
            <w:pPr>
              <w:pStyle w:val="null3"/>
              <w:jc w:val="left"/>
            </w:pPr>
            <w:r>
              <w:rPr/>
              <w:t>投标文件封面</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技术、服务要求</w:t>
            </w:r>
          </w:p>
        </w:tc>
        <w:tc>
          <w:tcPr>
            <w:tcW w:type="dxa" w:w="2575"/>
          </w:tcPr>
          <w:p>
            <w:pPr>
              <w:pStyle w:val="null3"/>
              <w:jc w:val="left"/>
            </w:pPr>
            <w:r>
              <w:rPr/>
              <w:t>完全符合招标文件“技术参数与性能指标”且没有负偏离的得40分； 1、投标人针对 标记“▲”项 技术参数条款的响应得分规则如下： 标记“▲”项 技术参数条款响应得分=（投标人满足 标记“▲”项 技术参数条款的数量÷ 标记“▲”项 技术参数条款的总数量）×18分。 2、投标人针对招标文件一般性技术参数条款的响应得分规则如下： 一般性技术参数条款响应得分=（投标人满足一般性技术参数条款的数量÷一般性技术参数条款的总数量）×22分。 （一般性技术参数条款指未标注“▲”或“★”的条款（以招标文件“技术参数及要求”中的“1、2、3......”标识为一项））。 备注： ①得分保留小数点后两位数，四舍五入。 ②带“★”标记项为实质性要求（不允许有负偏离）不计入本项计分。 ③针对 标记“▲”项 技术参数条款的技术响应：标记“▲”项 技术条款对技术支撑材料的要求提供证明材料、并加盖投标人公章（鲜章），未作材料要求的逐条响应，否则对应技术参数条款将视为不满足。 ④针对一般性技术参数条款的技术响应：如果对技术支撑材料有要求，应按要求提供并加盖投标人公章（鲜章），未作材料要求的逐条响应，否则对应技术参数条款将视为不满足。</w:t>
            </w:r>
          </w:p>
        </w:tc>
        <w:tc>
          <w:tcPr>
            <w:tcW w:type="dxa" w:w="831"/>
          </w:tcPr>
          <w:p>
            <w:pPr>
              <w:pStyle w:val="null3"/>
              <w:jc w:val="center"/>
            </w:pPr>
            <w:r>
              <w:rPr/>
              <w:t>40.00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安装及调试施工组织方案</w:t>
            </w:r>
          </w:p>
        </w:tc>
        <w:tc>
          <w:tcPr>
            <w:tcW w:type="dxa" w:w="2575"/>
          </w:tcPr>
          <w:p>
            <w:pPr>
              <w:pStyle w:val="null3"/>
              <w:jc w:val="left"/>
            </w:pPr>
            <w:r>
              <w:rPr/>
              <w:t>根据投标人提供的项目实施方案包括但不限于： ①进度计划措施；②电梯安装方案③质量保障措施；④安全保障措施、环境保护措施（包括无尘、无噪、无烟方案措施）；⑤应急预案措施；所编制方案内容齐全完全符合采购文件要求的得10分，每有一项缺项扣2分，每有一处内容不完整或不符合实际情况的扣1分，扣完为止。 注：内容不完整或不符合实际情况是指：项目名称不符、方案内容与项目需求不一致、涉及的技术规范标准等与国家或行业或采购文件要求不一致，进度计划安排混乱或超期，方案与采购需求不相关，内容前后不一致。</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项目所涉及的相关方案</w:t>
            </w:r>
          </w:p>
        </w:tc>
      </w:tr>
      <w:tr>
        <w:tc>
          <w:tcPr>
            <w:tcW w:type="dxa" w:w="831"/>
            <w:vMerge/>
          </w:tcPr>
          <w:p/>
        </w:tc>
        <w:tc>
          <w:tcPr>
            <w:tcW w:type="dxa" w:w="1661"/>
          </w:tcPr>
          <w:p>
            <w:pPr>
              <w:pStyle w:val="null3"/>
              <w:jc w:val="left"/>
            </w:pPr>
            <w:r>
              <w:rPr/>
              <w:t>售后服务</w:t>
            </w:r>
          </w:p>
        </w:tc>
        <w:tc>
          <w:tcPr>
            <w:tcW w:type="dxa" w:w="2575"/>
          </w:tcPr>
          <w:p>
            <w:pPr>
              <w:pStyle w:val="null3"/>
              <w:jc w:val="left"/>
            </w:pPr>
            <w:r>
              <w:rPr/>
              <w:t>售后服务方案：根据投标人提供的售后服务方案（包括但不限于：①售后服务方案与措施；②售后服务机构保障措施；③售后服务响应时间；④售后服务内容；⑤培训方案，包含：培训内容、培训时间、培训费用）所编制方案内容齐全，完全符合采购文件要求的得10分，每有一项缺项扣2分，每有一处内容不完整或不符合实际情况的扣1分，扣完为止。 注：内容不完整或不符合实际情况是指：项目名称不符、方案内容与项目需求不一致、涉及的技术规范标准等与国家或行业或采购文件要求不一致，进度计划安排混乱或超期，方案与采购需求不相关，内容前后不一致。</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项目所涉及的相关方案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1、投标人承诺所投产品整机质保期3年或3年以上的得3分，否则不得分。（单独提供承诺函，未提供不得分）。 2、投标人承诺所投产品核心部件（曳引机、控制柜、门机、限速器、安全钳、缓冲器）质保期3年或3年以上的得4分，否则不得分。（单独提供承诺函，未提供不得分）。</w:t>
            </w:r>
          </w:p>
        </w:tc>
        <w:tc>
          <w:tcPr>
            <w:tcW w:type="dxa" w:w="831"/>
          </w:tcPr>
          <w:p>
            <w:pPr>
              <w:pStyle w:val="null3"/>
              <w:jc w:val="center"/>
            </w:pPr>
            <w:r>
              <w:rPr/>
              <w:t>7.00</w:t>
            </w:r>
          </w:p>
        </w:tc>
        <w:tc>
          <w:tcPr>
            <w:tcW w:type="dxa" w:w="748"/>
          </w:tcPr>
          <w:p>
            <w:pPr>
              <w:pStyle w:val="null3"/>
              <w:jc w:val="center"/>
            </w:pPr>
            <w:r>
              <w:rPr/>
              <w:t>客观</w:t>
            </w:r>
          </w:p>
        </w:tc>
        <w:tc>
          <w:tcPr>
            <w:tcW w:type="dxa" w:w="1661"/>
          </w:tcPr>
          <w:p>
            <w:pPr>
              <w:pStyle w:val="null3"/>
              <w:jc w:val="left"/>
            </w:pPr>
            <w:r>
              <w:rPr/>
              <w:t>承诺函</w:t>
            </w:r>
          </w:p>
        </w:tc>
      </w:tr>
      <w:tr>
        <w:tc>
          <w:tcPr>
            <w:tcW w:type="dxa" w:w="831"/>
            <w:vMerge/>
          </w:tcPr>
          <w:p/>
        </w:tc>
        <w:tc>
          <w:tcPr>
            <w:tcW w:type="dxa" w:w="1661"/>
          </w:tcPr>
          <w:p>
            <w:pPr>
              <w:pStyle w:val="null3"/>
              <w:jc w:val="left"/>
            </w:pPr>
            <w:r>
              <w:rPr/>
              <w:t>业绩</w:t>
            </w:r>
          </w:p>
        </w:tc>
        <w:tc>
          <w:tcPr>
            <w:tcW w:type="dxa" w:w="2575"/>
          </w:tcPr>
          <w:p>
            <w:pPr>
              <w:pStyle w:val="null3"/>
              <w:jc w:val="left"/>
            </w:pPr>
            <w:r>
              <w:rPr/>
              <w:t>具有类似项目业绩，每提供一个得1.5分，最多得3分。（提供合同复印件或验收报告复印件） 类似项目是指：电梯销售或电梯安装类</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详见附件：营业执照</w:t>
      </w:r>
    </w:p>
    <w:p>
      <w:pPr>
        <w:pStyle w:val="null3"/>
        <w:ind w:firstLine="960"/>
        <w:jc w:val="left"/>
      </w:pPr>
      <w:r>
        <w:rPr/>
        <w:t>详见附件：项目所涉及的相关方案</w:t>
      </w:r>
    </w:p>
    <w:p>
      <w:pPr>
        <w:pStyle w:val="null3"/>
        <w:ind w:firstLine="960"/>
        <w:jc w:val="left"/>
      </w:pPr>
      <w:r>
        <w:rPr/>
        <w:t>详见附件：商务应答表</w:t>
      </w:r>
    </w:p>
    <w:p>
      <w:pPr>
        <w:pStyle w:val="null3"/>
        <w:ind w:firstLine="960"/>
        <w:jc w:val="left"/>
      </w:pPr>
      <w:r>
        <w:rPr/>
        <w:t>详见附件：法定代表人或主要负责人身份证明书</w:t>
      </w:r>
    </w:p>
    <w:p>
      <w:pPr>
        <w:pStyle w:val="null3"/>
        <w:ind w:firstLine="960"/>
        <w:jc w:val="left"/>
      </w:pPr>
      <w:r>
        <w:rPr/>
        <w:t>详见附件：特殊资格证明材料</w:t>
      </w:r>
    </w:p>
    <w:p>
      <w:pPr>
        <w:pStyle w:val="null3"/>
        <w:ind w:firstLine="960"/>
        <w:jc w:val="left"/>
      </w:pPr>
      <w:r>
        <w:rPr/>
        <w:t>详见附件：承诺函</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