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版本号：240923001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城市道路照明路灯改造项目(二次)</w:t>
      </w:r>
    </w:p>
    <w:p>
      <w:pPr>
        <w:pStyle w:val="null3"/>
        <w:jc w:val="center"/>
        <w:outlineLvl w:val="2"/>
      </w:pPr>
      <w:r>
        <w:rPr>
          <w:b/>
          <w:sz w:val="28"/>
        </w:rPr>
        <w:t>采购项目编号：</w:t>
      </w:r>
      <w:r>
        <w:rPr>
          <w:b/>
          <w:sz w:val="28"/>
        </w:rPr>
        <w:t>N5106042024000085</w:t>
      </w:r>
    </w:p>
    <w:p>
      <w:pPr>
        <w:pStyle w:val="null3"/>
        <w:jc w:val="left"/>
        <w:outlineLvl w:val="2"/>
      </w:pPr>
      <w:r>
        <w:rPr>
          <w:b/>
          <w:sz w:val="28"/>
        </w:rPr>
        <w:t>德阳市罗江区综合行政执法局</w:t>
      </w:r>
    </w:p>
    <w:p>
      <w:pPr>
        <w:pStyle w:val="null3"/>
        <w:jc w:val="center"/>
        <w:outlineLvl w:val="2"/>
      </w:pPr>
      <w:r>
        <w:rPr>
          <w:b/>
          <w:sz w:val="28"/>
        </w:rPr>
        <w:t>四川晟越容大招标代理有限公司</w:t>
      </w:r>
      <w:r>
        <w:rPr>
          <w:b/>
          <w:sz w:val="28"/>
        </w:rPr>
        <w:t>共同编制</w:t>
      </w:r>
    </w:p>
    <w:p>
      <w:pPr>
        <w:pStyle w:val="null3"/>
        <w:jc w:val="center"/>
      </w:pPr>
      <w:r>
        <w:rPr/>
        <w:t>2024年09月23日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四川晟越容大招标代理有限公司</w:t>
      </w:r>
      <w:r>
        <w:rPr/>
        <w:t xml:space="preserve"> （以下简称“代理机构”）受 </w:t>
      </w:r>
      <w:r>
        <w:rPr/>
        <w:t>德阳市罗江区综合行政执法局</w:t>
      </w:r>
      <w:r>
        <w:rPr/>
        <w:t xml:space="preserve"> 委托，拟对 </w:t>
      </w:r>
      <w:r>
        <w:rPr/>
        <w:t>城市道路照明路灯改造项目(二次)</w:t>
      </w:r>
      <w:r>
        <w:rPr/>
        <w:t xml:space="preserve"> 采用公开招标方式进行采购，兹邀请符合本次招标要求的供应商参加投标。本项目为四川省</w:t>
      </w:r>
      <w:r>
        <w:rPr/>
        <w:t>德阳市罗江区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N5106042024000085</w:t>
      </w:r>
    </w:p>
    <w:p>
      <w:pPr>
        <w:pStyle w:val="null3"/>
        <w:jc w:val="left"/>
        <w:outlineLvl w:val="2"/>
      </w:pPr>
      <w:r>
        <w:rPr>
          <w:b/>
          <w:sz w:val="28"/>
        </w:rPr>
        <w:t>1.2.采购项目名称</w:t>
      </w:r>
      <w:r>
        <w:rPr>
          <w:b/>
          <w:sz w:val="28"/>
        </w:rPr>
        <w:t xml:space="preserve">： </w:t>
      </w:r>
      <w:r>
        <w:rPr>
          <w:b/>
          <w:sz w:val="28"/>
        </w:rPr>
        <w:t>城市道路照明路灯改造项目(二次)</w:t>
      </w:r>
    </w:p>
    <w:p>
      <w:pPr>
        <w:pStyle w:val="null3"/>
        <w:jc w:val="left"/>
        <w:outlineLvl w:val="2"/>
      </w:pPr>
      <w:r>
        <w:rPr>
          <w:b/>
          <w:sz w:val="28"/>
        </w:rPr>
        <w:t>1.3.招标项目简介</w:t>
      </w:r>
    </w:p>
    <w:p>
      <w:pPr>
        <w:pStyle w:val="null3"/>
        <w:ind w:firstLine="480"/>
        <w:jc w:val="left"/>
      </w:pPr>
      <w:r>
        <w:rPr/>
        <w:t>为解决城市道路照明（亮）度、均匀度不达标问题，进一步消除 “有路无灯、有灯不亮 ” 现象，为市民夜间出行营造良好的出行环境，提升城市形象。 拟对凯江河两岸河边庭院灯实施改造。</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德阳市罗江区综合行政执法局</w:t>
      </w:r>
    </w:p>
    <w:p>
      <w:pPr>
        <w:pStyle w:val="null3"/>
        <w:ind w:firstLine="480"/>
        <w:jc w:val="left"/>
      </w:pPr>
      <w:r>
        <w:rPr/>
        <w:t xml:space="preserve"> 地址： </w:t>
      </w:r>
      <w:r>
        <w:rPr/>
        <w:t>德阳市罗江区万安镇景乐南路168号</w:t>
      </w:r>
    </w:p>
    <w:p>
      <w:pPr>
        <w:pStyle w:val="null3"/>
        <w:jc w:val="left"/>
      </w:pPr>
      <w:r>
        <w:rPr/>
        <w:t xml:space="preserve"> 邮编： </w:t>
      </w:r>
      <w:r>
        <w:rPr/>
        <w:t>618500</w:t>
      </w:r>
    </w:p>
    <w:p>
      <w:pPr>
        <w:pStyle w:val="null3"/>
        <w:jc w:val="left"/>
      </w:pPr>
      <w:r>
        <w:rPr/>
        <w:t xml:space="preserve"> 联系人： </w:t>
      </w:r>
      <w:r>
        <w:rPr/>
        <w:t>兰先生</w:t>
      </w:r>
    </w:p>
    <w:p>
      <w:pPr>
        <w:pStyle w:val="null3"/>
        <w:jc w:val="left"/>
      </w:pPr>
      <w:r>
        <w:rPr/>
        <w:t xml:space="preserve"> 联系电话： </w:t>
      </w:r>
      <w:r>
        <w:rPr/>
        <w:t>0838-3909007</w:t>
      </w:r>
    </w:p>
    <w:p>
      <w:pPr>
        <w:pStyle w:val="null3"/>
        <w:ind w:firstLine="480"/>
        <w:jc w:val="left"/>
      </w:pPr>
      <w:r>
        <w:rPr>
          <w:b/>
        </w:rPr>
        <w:t>代理机构</w:t>
      </w:r>
      <w:r>
        <w:rPr>
          <w:b/>
        </w:rPr>
        <w:t xml:space="preserve">： </w:t>
      </w:r>
      <w:r>
        <w:rPr>
          <w:b/>
        </w:rPr>
        <w:t>四川晟越容大招标代理有限公司</w:t>
      </w:r>
    </w:p>
    <w:p>
      <w:pPr>
        <w:pStyle w:val="null3"/>
        <w:ind w:firstLine="480"/>
        <w:jc w:val="left"/>
      </w:pPr>
      <w:r>
        <w:rPr/>
        <w:t xml:space="preserve"> 地址： </w:t>
      </w:r>
      <w:r>
        <w:rPr/>
        <w:t>德阳市旌阳区鞍山路39号高新大厦1栋9-6号</w:t>
      </w:r>
    </w:p>
    <w:p>
      <w:pPr>
        <w:pStyle w:val="null3"/>
        <w:jc w:val="left"/>
      </w:pPr>
      <w:r>
        <w:rPr/>
        <w:t xml:space="preserve"> 邮编： </w:t>
      </w:r>
      <w:r>
        <w:rPr/>
        <w:t>618000</w:t>
      </w:r>
    </w:p>
    <w:p>
      <w:pPr>
        <w:pStyle w:val="null3"/>
        <w:jc w:val="left"/>
      </w:pPr>
      <w:r>
        <w:rPr/>
        <w:t xml:space="preserve"> 联系人： </w:t>
      </w:r>
      <w:r>
        <w:rPr/>
        <w:t>王女士</w:t>
      </w:r>
    </w:p>
    <w:p>
      <w:pPr>
        <w:pStyle w:val="null3"/>
        <w:jc w:val="left"/>
      </w:pPr>
      <w:r>
        <w:rPr/>
        <w:t xml:space="preserve"> 联系电话： </w:t>
      </w:r>
      <w:r>
        <w:rPr/>
        <w:t>0838-2907685</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采购包1：2,000,000.00元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代理服务费收费标准：代理服务费以成本加合理利润原则按（计价格〔2002〕1980号）文标准收取。</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不组织</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德阳市罗江区综合行政执法局</w:t>
      </w:r>
      <w:r>
        <w:rPr/>
        <w:t xml:space="preserve"> 和 </w:t>
      </w:r>
      <w:r>
        <w:rPr/>
        <w:t>四川晟越容大招标代理有限公司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德阳市罗江区综合行政执法局</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四川晟越容大招标代理有限公司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验收合格，供应商提出申请后</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按招标文件规定的技术内容验收。</w:t>
      </w:r>
    </w:p>
    <w:p>
      <w:pPr>
        <w:pStyle w:val="null3"/>
        <w:ind w:firstLine="480"/>
        <w:jc w:val="left"/>
      </w:pPr>
      <w:r>
        <w:rPr/>
        <w:t>十、商务履约验收内容：</w:t>
      </w:r>
    </w:p>
    <w:p>
      <w:pPr>
        <w:pStyle w:val="null3"/>
        <w:ind w:firstLine="480"/>
        <w:jc w:val="left"/>
      </w:pPr>
      <w:r>
        <w:rPr/>
        <w:t>采购包1：</w:t>
      </w:r>
      <w:r>
        <w:rPr/>
        <w:t>1、履约时间、履约地点、支付方式等内容履约验收。 2、货物清单中的路灯需进行安装，投标人报价是包含路灯费用、辅材费用、安装费用、人工费等完成本项目的所有费用。投标人需自行踏勘现场，综合考虑费用。</w:t>
      </w:r>
    </w:p>
    <w:p>
      <w:pPr>
        <w:pStyle w:val="null3"/>
        <w:ind w:firstLine="480"/>
        <w:jc w:val="left"/>
      </w:pPr>
      <w:r>
        <w:rPr/>
        <w:t>十一、履约验收标准：</w:t>
      </w:r>
    </w:p>
    <w:p>
      <w:pPr>
        <w:pStyle w:val="null3"/>
        <w:ind w:firstLine="480"/>
        <w:jc w:val="left"/>
      </w:pPr>
      <w:r>
        <w:rPr/>
        <w:t>采购包1：</w:t>
      </w:r>
      <w:r>
        <w:rPr/>
        <w:t>按照《财政部关于进一步加强政府采购需求和履约验收管理的指导意见》（财库（2016）205号）、《政府采购需求管理办法》（财库（2021）22号）的要求及国家行业主管部门规定的标准、方法和内容组织验收。</w:t>
      </w:r>
    </w:p>
    <w:p>
      <w:pPr>
        <w:pStyle w:val="null3"/>
        <w:ind w:firstLine="480"/>
        <w:jc w:val="left"/>
      </w:pPr>
      <w:r>
        <w:rPr/>
        <w:t>十二、履约验收其他事项：</w:t>
      </w:r>
    </w:p>
    <w:p>
      <w:pPr>
        <w:pStyle w:val="null3"/>
        <w:ind w:firstLine="480"/>
        <w:jc w:val="left"/>
      </w:pPr>
      <w:r>
        <w:rPr/>
        <w:t>采购包1：</w:t>
      </w:r>
      <w:r>
        <w:rPr/>
        <w:t>所投产品若涉及3C认证，履约验收时需提供相关材料，按国家标准验收。</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德阳市罗江区综合行政执法局</w:t>
      </w:r>
      <w:r>
        <w:rPr/>
        <w:t xml:space="preserve"> 负责答复；投标人对除采购需求外的招标文件的询问、质疑由 </w:t>
      </w:r>
      <w:r>
        <w:rPr/>
        <w:t>四川晟越容大招标代理有限公司</w:t>
      </w:r>
      <w:r>
        <w:rPr/>
        <w:t xml:space="preserve"> 负责答复；投标人对采购过程、采购结果的询问、质疑由 </w:t>
      </w:r>
      <w:r>
        <w:rPr/>
        <w:t>四川晟越容大招标代理有限公司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联系人：兰先生</w:t>
      </w:r>
    </w:p>
    <w:p>
      <w:pPr>
        <w:pStyle w:val="null3"/>
        <w:jc w:val="left"/>
      </w:pPr>
      <w:r>
        <w:rPr/>
        <w:t>联系电话：0838-3909007</w:t>
      </w:r>
    </w:p>
    <w:p>
      <w:pPr>
        <w:pStyle w:val="null3"/>
        <w:jc w:val="left"/>
      </w:pPr>
      <w:r>
        <w:rPr/>
        <w:t>地址：德阳市罗江区万安镇景乐南路168号</w:t>
      </w:r>
    </w:p>
    <w:p>
      <w:pPr>
        <w:pStyle w:val="null3"/>
        <w:jc w:val="left"/>
      </w:pPr>
      <w:r>
        <w:rPr/>
        <w:t>邮编：618500</w:t>
      </w:r>
    </w:p>
    <w:p>
      <w:pPr>
        <w:pStyle w:val="null3"/>
        <w:jc w:val="left"/>
      </w:pPr>
      <w:r>
        <w:rPr/>
        <w:t>答复主体：代理机构</w:t>
      </w:r>
    </w:p>
    <w:p>
      <w:pPr>
        <w:pStyle w:val="null3"/>
        <w:jc w:val="left"/>
      </w:pPr>
      <w:r>
        <w:rPr/>
        <w:t>联系人：王女士</w:t>
      </w:r>
    </w:p>
    <w:p>
      <w:pPr>
        <w:pStyle w:val="null3"/>
        <w:jc w:val="left"/>
      </w:pPr>
      <w:r>
        <w:rPr/>
        <w:t>联系电话：0838-2907685</w:t>
      </w:r>
    </w:p>
    <w:p>
      <w:pPr>
        <w:pStyle w:val="null3"/>
        <w:jc w:val="left"/>
      </w:pPr>
      <w:r>
        <w:rPr/>
        <w:t>地址：德阳市旌阳区鞍山路39号高新大厦906</w:t>
      </w:r>
    </w:p>
    <w:p>
      <w:pPr>
        <w:pStyle w:val="null3"/>
        <w:jc w:val="left"/>
      </w:pPr>
      <w:r>
        <w:rPr/>
        <w:t>邮编：618000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2,000,000.00</w:t>
      </w:r>
    </w:p>
    <w:p>
      <w:pPr>
        <w:pStyle w:val="null3"/>
        <w:jc w:val="left"/>
      </w:pPr>
      <w:r>
        <w:rPr/>
        <w:t>采购包最高限价（元）: 2,000,000.00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路灯</w:t>
            </w:r>
          </w:p>
        </w:tc>
        <w:tc>
          <w:tcPr>
            <w:tcW w:type="dxa" w:w="821"/>
          </w:tcPr>
          <w:p>
            <w:pPr>
              <w:pStyle w:val="null3"/>
              <w:jc w:val="left"/>
            </w:pPr>
            <w:r>
              <w:rPr/>
              <w:t>12.5米景观灯</w:t>
            </w:r>
          </w:p>
        </w:tc>
        <w:tc>
          <w:tcPr>
            <w:tcW w:type="dxa" w:w="821"/>
          </w:tcPr>
          <w:p>
            <w:pPr>
              <w:pStyle w:val="null3"/>
              <w:jc w:val="right"/>
            </w:pPr>
            <w:r>
              <w:rPr/>
              <w:t>83.00（套）</w:t>
            </w:r>
          </w:p>
        </w:tc>
        <w:tc>
          <w:tcPr>
            <w:tcW w:type="dxa" w:w="821"/>
          </w:tcPr>
          <w:p>
            <w:pPr>
              <w:pStyle w:val="null3"/>
              <w:jc w:val="right"/>
            </w:pPr>
            <w:r>
              <w:rPr/>
              <w:t>2,000,000.00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12.5米景观灯</w:t>
            </w:r>
          </w:p>
        </w:tc>
        <w:tc>
          <w:tcPr>
            <w:tcW w:type="dxa" w:w="977"/>
          </w:tcPr>
          <w:p>
            <w:pPr>
              <w:pStyle w:val="null3"/>
              <w:jc w:val="right"/>
            </w:pPr>
            <w:r>
              <w:rPr/>
              <w:t>83.00（套）</w:t>
            </w:r>
          </w:p>
        </w:tc>
        <w:tc>
          <w:tcPr>
            <w:tcW w:type="dxa" w:w="1173"/>
          </w:tcPr>
          <w:p>
            <w:pPr>
              <w:pStyle w:val="null3"/>
              <w:jc w:val="right"/>
            </w:pPr>
            <w:r>
              <w:rPr/>
              <w:t>24,096.3855（元）</w:t>
            </w:r>
          </w:p>
        </w:tc>
        <w:tc>
          <w:tcPr>
            <w:tcW w:type="dxa" w:w="1173"/>
          </w:tcPr>
          <w:p>
            <w:pPr>
              <w:pStyle w:val="null3"/>
              <w:jc w:val="right"/>
            </w:pPr>
            <w:r>
              <w:rPr/>
              <w:t>2,000,000.00</w:t>
            </w:r>
          </w:p>
        </w:tc>
        <w:tc>
          <w:tcPr>
            <w:tcW w:type="dxa" w:w="977"/>
          </w:tcPr>
          <w:p>
            <w:pPr>
              <w:pStyle w:val="null3"/>
              <w:jc w:val="left"/>
            </w:pPr>
            <w:r>
              <w:rPr/>
              <w:t>总价</w:t>
            </w:r>
          </w:p>
        </w:tc>
        <w:tc>
          <w:tcPr>
            <w:tcW w:type="dxa" w:w="1661"/>
          </w:tcPr>
          <w:p>
            <w:pPr>
              <w:pStyle w:val="null3"/>
              <w:jc w:val="left"/>
            </w:pPr>
            <w:r>
              <w:rPr/>
              <w:t>投标人报价包含路灯费用、辅材费用、安装费用、人工费等完成本项目的所有费用。</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路灯</w:t>
            </w:r>
          </w:p>
        </w:tc>
        <w:tc>
          <w:tcPr>
            <w:tcW w:type="dxa" w:w="2492"/>
          </w:tcPr>
          <w:p>
            <w:pPr>
              <w:pStyle w:val="null3"/>
              <w:jc w:val="left"/>
            </w:pPr>
            <w:r>
              <w:rPr/>
              <w:t>12.5米景观灯</w:t>
            </w:r>
          </w:p>
        </w:tc>
        <w:tc>
          <w:tcPr>
            <w:tcW w:type="dxa" w:w="2492"/>
          </w:tcPr>
          <w:p>
            <w:pPr>
              <w:pStyle w:val="null3"/>
              <w:jc w:val="left"/>
            </w:pPr>
            <w:r>
              <w:rPr/>
              <w:t>12.5米景观灯</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路灯</w:t>
            </w:r>
          </w:p>
        </w:tc>
        <w:tc>
          <w:tcPr>
            <w:tcW w:type="dxa" w:w="2492"/>
          </w:tcPr>
          <w:p>
            <w:pPr>
              <w:pStyle w:val="null3"/>
              <w:jc w:val="left"/>
            </w:pPr>
            <w:r>
              <w:rPr/>
              <w:t>12.5米景观灯</w:t>
            </w:r>
          </w:p>
        </w:tc>
        <w:tc>
          <w:tcPr>
            <w:tcW w:type="dxa" w:w="2492"/>
          </w:tcPr>
          <w:p>
            <w:pPr>
              <w:pStyle w:val="null3"/>
              <w:jc w:val="left"/>
            </w:pPr>
            <w:r>
              <w:rPr/>
              <w:t>12.5米景观灯</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标的名称：12.5米景观灯</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pPr>
              <w:pStyle w:val="null3"/>
              <w:jc w:val="left"/>
            </w:pPr>
            <w:r>
              <w:rPr/>
              <w:t>采购清单及技术参数要求</w:t>
            </w:r>
          </w:p>
        </w:tc>
        <w:tc>
          <w:tcPr>
            <w:tcW w:type="dxa" w:w="3738"/>
          </w:tcPr>
          <w:tbl>
            <w:tblPr>
              <w:tblBorders>
                <w:top w:val="single"/>
                <w:left w:val="single"/>
                <w:bottom w:val="single"/>
                <w:right w:val="single"/>
                <w:insideH w:val="single"/>
                <w:insideV w:val="single"/>
              </w:tblBorders>
            </w:tblPr>
            <w:tblGrid>
              <w:gridCol w:w="171"/>
              <w:gridCol w:w="610"/>
              <w:gridCol w:w="2353"/>
              <w:gridCol w:w="184"/>
              <w:gridCol w:w="202"/>
            </w:tblGrid>
            <w:tr>
              <w:tc>
                <w:tcPr>
                  <w:tcW w:type="dxa" w:w="352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宋体" w:hAnsi="宋体" w:cs="宋体" w:eastAsia="宋体"/>
                      <w:b/>
                      <w:color w:val="000000"/>
                      <w:sz w:val="31"/>
                    </w:rPr>
                    <w:t>采购清单</w:t>
                  </w:r>
                </w:p>
              </w:tc>
            </w:tr>
            <w:tr>
              <w:tc>
                <w:tcPr>
                  <w:tcW w:type="dxa" w:w="17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序号</w:t>
                  </w:r>
                </w:p>
              </w:tc>
              <w:tc>
                <w:tcPr>
                  <w:tcW w:type="dxa" w:w="61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名称</w:t>
                  </w:r>
                </w:p>
              </w:tc>
              <w:tc>
                <w:tcPr>
                  <w:tcW w:type="dxa" w:w="2353"/>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参数要求</w:t>
                  </w:r>
                </w:p>
              </w:tc>
              <w:tc>
                <w:tcPr>
                  <w:tcW w:type="dxa" w:w="18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br/>
                  </w:r>
                  <w:r>
                    <w:rPr>
                      <w:rFonts w:ascii="宋体" w:hAnsi="宋体" w:cs="宋体" w:eastAsia="宋体"/>
                      <w:color w:val="000000"/>
                      <w:sz w:val="24"/>
                    </w:rPr>
                    <w:t xml:space="preserve"> 单位</w:t>
                  </w:r>
                </w:p>
              </w:tc>
              <w:tc>
                <w:tcPr>
                  <w:tcW w:type="dxa" w:w="20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br/>
                  </w:r>
                  <w:r>
                    <w:rPr>
                      <w:rFonts w:ascii="宋体" w:hAnsi="宋体" w:cs="宋体" w:eastAsia="宋体"/>
                      <w:color w:val="000000"/>
                      <w:sz w:val="24"/>
                    </w:rPr>
                    <w:t xml:space="preserve"> 数量</w:t>
                  </w:r>
                </w:p>
              </w:tc>
            </w:tr>
            <w:tr>
              <w:tc>
                <w:tcPr>
                  <w:tcW w:type="dxa" w:w="171"/>
                  <w:vMerge/>
                  <w:tcBorders>
                    <w:top w:val="single" w:color="000000" w:sz="4"/>
                    <w:left w:val="single" w:color="000000" w:sz="4"/>
                    <w:bottom w:val="single" w:color="000000" w:sz="4"/>
                    <w:right w:val="single" w:color="000000" w:sz="4"/>
                  </w:tcBorders>
                </w:tcPr>
                <w:p/>
              </w:tc>
              <w:tc>
                <w:tcPr>
                  <w:tcW w:type="dxa" w:w="610"/>
                  <w:vMerge/>
                  <w:tcBorders>
                    <w:top w:val="single" w:color="000000" w:sz="4"/>
                    <w:left w:val="single" w:color="000000" w:sz="4"/>
                    <w:bottom w:val="single" w:color="000000" w:sz="4"/>
                    <w:right w:val="single" w:color="000000" w:sz="4"/>
                  </w:tcBorders>
                </w:tcPr>
                <w:p/>
              </w:tc>
              <w:tc>
                <w:tcPr>
                  <w:tcW w:type="dxa" w:w="2353"/>
                  <w:vMerge/>
                  <w:tcBorders>
                    <w:top w:val="single" w:color="000000" w:sz="4"/>
                    <w:left w:val="single" w:color="000000" w:sz="4"/>
                    <w:bottom w:val="single" w:color="000000" w:sz="4"/>
                    <w:right w:val="single" w:color="000000" w:sz="4"/>
                  </w:tcBorders>
                </w:tcPr>
                <w:p/>
              </w:tc>
              <w:tc>
                <w:tcPr>
                  <w:tcW w:type="dxa" w:w="184"/>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1</w:t>
                  </w:r>
                </w:p>
              </w:tc>
              <w:tc>
                <w:tcPr>
                  <w:tcW w:type="dxa" w:w="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12.5米景观灯</w:t>
                  </w:r>
                </w:p>
              </w:tc>
              <w:tc>
                <w:tcPr>
                  <w:tcW w:type="dxa" w:w="2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宋体" w:hAnsi="宋体" w:cs="宋体" w:eastAsia="宋体"/>
                      <w:color w:val="000000"/>
                      <w:sz w:val="24"/>
                    </w:rPr>
                    <w:t>1、主杆高总12.5米，上部4-100*60*2.5矩管，下部底座420*339*3.5，法兰500*18，灯臂采用2mm钢板，灯臂镂空花纹激光切割，底座菱形花纹模压一次成型，材质均为Q235。</w:t>
                  </w:r>
                  <w:r>
                    <w:rPr>
                      <w:rFonts w:ascii="宋体" w:hAnsi="宋体" w:cs="宋体" w:eastAsia="宋体"/>
                      <w:color w:val="000000"/>
                      <w:sz w:val="24"/>
                    </w:rPr>
                    <w:t>杆体配备插槽式道旗安装支架</w:t>
                  </w:r>
                  <w:r>
                    <w:rPr>
                      <w:rFonts w:ascii="宋体" w:hAnsi="宋体" w:cs="宋体" w:eastAsia="宋体"/>
                      <w:color w:val="000000"/>
                      <w:sz w:val="24"/>
                    </w:rPr>
                    <w:t>。</w:t>
                  </w:r>
                  <w:r>
                    <w:br/>
                  </w:r>
                  <w:r>
                    <w:rPr>
                      <w:rFonts w:ascii="宋体" w:hAnsi="宋体" w:cs="宋体" w:eastAsia="宋体"/>
                      <w:color w:val="000000"/>
                      <w:sz w:val="24"/>
                    </w:rPr>
                    <w:t>2、照明电器：光源采用无螺钉结构LED模组，功率240W（300W）+3*60（自动变功率），色温4000K，光效≥135Lm/w，防护等级≥IP68，为提高光电转换效率，模组组合必须采用串联防水连接器连接，采用恒流电源，防雷等级≥10kv,防护等级≥IP67，功率因素≥0.95，转换效率≥,90%，带0-10V调光线，输出电流&lt;0.9A，装饰光源采用户外专用5*12.6WLED。</w:t>
                  </w:r>
                  <w:r>
                    <w:br/>
                  </w:r>
                  <w:r>
                    <w:rPr>
                      <w:rFonts w:ascii="宋体" w:hAnsi="宋体" w:cs="宋体" w:eastAsia="宋体"/>
                      <w:color w:val="000000"/>
                      <w:sz w:val="24"/>
                    </w:rPr>
                    <w:t xml:space="preserve"> 3、乳白色陶瓷玻璃罩</w:t>
                  </w:r>
                  <w:r>
                    <w:rPr>
                      <w:rFonts w:ascii="微软雅黑" w:hAnsi="微软雅黑" w:cs="微软雅黑" w:eastAsia="微软雅黑"/>
                      <w:color w:val="000000"/>
                      <w:sz w:val="24"/>
                    </w:rPr>
                    <w:t>Φ</w:t>
                  </w:r>
                  <w:r>
                    <w:rPr>
                      <w:rFonts w:ascii="宋体" w:hAnsi="宋体" w:cs="宋体" w:eastAsia="宋体"/>
                      <w:color w:val="000000"/>
                      <w:sz w:val="24"/>
                    </w:rPr>
                    <w:t>345*760，火口</w:t>
                  </w:r>
                  <w:r>
                    <w:rPr>
                      <w:rFonts w:ascii="微软雅黑" w:hAnsi="微软雅黑" w:cs="微软雅黑" w:eastAsia="微软雅黑"/>
                      <w:color w:val="000000"/>
                      <w:sz w:val="24"/>
                    </w:rPr>
                    <w:t>Φ</w:t>
                  </w:r>
                  <w:r>
                    <w:rPr>
                      <w:rFonts w:ascii="宋体" w:hAnsi="宋体" w:cs="宋体" w:eastAsia="宋体"/>
                      <w:color w:val="000000"/>
                      <w:sz w:val="24"/>
                    </w:rPr>
                    <w:t>170.重量</w:t>
                  </w:r>
                  <w:r>
                    <w:rPr>
                      <w:rFonts w:ascii="arial" w:hAnsi="arial" w:cs="arial" w:eastAsia="arial"/>
                      <w:color w:val="000000"/>
                      <w:sz w:val="24"/>
                    </w:rPr>
                    <w:t>≥</w:t>
                  </w:r>
                  <w:r>
                    <w:rPr>
                      <w:rFonts w:ascii="宋体" w:hAnsi="宋体" w:cs="宋体" w:eastAsia="宋体"/>
                      <w:color w:val="000000"/>
                      <w:sz w:val="24"/>
                    </w:rPr>
                    <w:t>5kg/个，配备耐老化氯丁橡胶固定圈，安装盘模压一次成型，整体热浸锌喷塑，配用不锈钢铆接固定螺钉座及不锈钢螺钉，易于安装维护且安装后无歪斜。</w:t>
                  </w:r>
                  <w:r>
                    <w:br/>
                  </w:r>
                  <w:r>
                    <w:rPr>
                      <w:rFonts w:ascii="宋体" w:hAnsi="宋体" w:cs="宋体" w:eastAsia="宋体"/>
                      <w:color w:val="000000"/>
                      <w:sz w:val="24"/>
                    </w:rPr>
                    <w:t xml:space="preserve"> 4、杆体钢件整体热浸锌防腐处理</w:t>
                  </w:r>
                  <w:r>
                    <w:rPr/>
                    <w:t>（</w:t>
                  </w:r>
                  <w:r>
                    <w:rPr>
                      <w:rFonts w:ascii="宋体" w:hAnsi="宋体" w:cs="宋体" w:eastAsia="宋体"/>
                      <w:color w:val="000000"/>
                      <w:sz w:val="24"/>
                    </w:rPr>
                    <w:t>符合</w:t>
                  </w:r>
                  <w:r>
                    <w:rPr>
                      <w:rFonts w:ascii="宋体" w:hAnsi="宋体" w:cs="宋体" w:eastAsia="宋体"/>
                      <w:color w:val="000000"/>
                      <w:sz w:val="24"/>
                    </w:rPr>
                    <w:t>GB/T13912-2020标准）</w:t>
                  </w:r>
                  <w:r>
                    <w:rPr>
                      <w:rFonts w:ascii="宋体" w:hAnsi="宋体" w:cs="宋体" w:eastAsia="宋体"/>
                      <w:color w:val="000000"/>
                      <w:sz w:val="24"/>
                    </w:rPr>
                    <w:t>，表面高压静电喷涂户外耐候纯聚酯粉末，涂层厚度≥75微米，颜色：黄砂纹。</w:t>
                  </w:r>
                  <w:r>
                    <w:br/>
                  </w:r>
                  <w:r>
                    <w:rPr>
                      <w:rFonts w:ascii="宋体" w:hAnsi="宋体" w:cs="宋体" w:eastAsia="宋体"/>
                      <w:color w:val="000000"/>
                      <w:sz w:val="24"/>
                    </w:rPr>
                    <w:t xml:space="preserve"> 5、所有标准件（紧固件）均为不锈钢。</w:t>
                  </w:r>
                  <w:r>
                    <w:br/>
                  </w:r>
                  <w:r>
                    <w:rPr>
                      <w:rFonts w:ascii="宋体" w:hAnsi="宋体" w:cs="宋体" w:eastAsia="宋体"/>
                      <w:color w:val="000000"/>
                      <w:sz w:val="24"/>
                    </w:rPr>
                    <w:t xml:space="preserve"> 6、安装路灯：包括下车、组装、吊装、穿电缆、接电缆、通电测试、封包。</w:t>
                  </w:r>
                  <w:r>
                    <w:br/>
                  </w:r>
                  <w:r>
                    <w:rPr>
                      <w:rFonts w:ascii="宋体" w:hAnsi="宋体" w:cs="宋体" w:eastAsia="宋体"/>
                      <w:color w:val="000000"/>
                      <w:sz w:val="24"/>
                    </w:rPr>
                    <w:t xml:space="preserve"> 7、路灯安装基础：砼基础（基础大小：700*700*1200 ）、挖方回填、泥方处置。</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套</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83</w:t>
                  </w:r>
                </w:p>
              </w:tc>
            </w:tr>
            <w:tr>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2</w:t>
                  </w:r>
                </w:p>
              </w:tc>
              <w:tc>
                <w:tcPr>
                  <w:tcW w:type="dxa" w:w="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电缆</w:t>
                  </w:r>
                </w:p>
              </w:tc>
              <w:tc>
                <w:tcPr>
                  <w:tcW w:type="dxa" w:w="2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宋体" w:hAnsi="宋体" w:cs="宋体" w:eastAsia="宋体"/>
                      <w:color w:val="000000"/>
                      <w:sz w:val="24"/>
                    </w:rPr>
                    <w:t>国标YJV5*10铜芯电缆。</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米</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1980</w:t>
                  </w:r>
                </w:p>
              </w:tc>
            </w:tr>
            <w:tr>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3</w:t>
                  </w:r>
                </w:p>
              </w:tc>
              <w:tc>
                <w:tcPr>
                  <w:tcW w:type="dxa" w:w="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电缆</w:t>
                  </w:r>
                </w:p>
              </w:tc>
              <w:tc>
                <w:tcPr>
                  <w:tcW w:type="dxa" w:w="2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宋体" w:hAnsi="宋体" w:cs="宋体" w:eastAsia="宋体"/>
                      <w:color w:val="000000"/>
                      <w:sz w:val="24"/>
                    </w:rPr>
                    <w:t>国标YJV5*16铜芯电缆。</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米</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1000</w:t>
                  </w:r>
                </w:p>
              </w:tc>
            </w:tr>
            <w:tr>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4</w:t>
                  </w:r>
                </w:p>
              </w:tc>
              <w:tc>
                <w:tcPr>
                  <w:tcW w:type="dxa" w:w="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碳素玻纹管</w:t>
                  </w:r>
                </w:p>
              </w:tc>
              <w:tc>
                <w:tcPr>
                  <w:tcW w:type="dxa" w:w="2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宋体" w:hAnsi="宋体" w:cs="宋体" w:eastAsia="宋体"/>
                      <w:color w:val="000000"/>
                      <w:sz w:val="24"/>
                    </w:rPr>
                    <w:t>直径80</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米</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2850</w:t>
                  </w:r>
                </w:p>
              </w:tc>
            </w:tr>
            <w:tr>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5</w:t>
                  </w:r>
                </w:p>
              </w:tc>
              <w:tc>
                <w:tcPr>
                  <w:tcW w:type="dxa" w:w="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路灯智能控制柜</w:t>
                  </w:r>
                </w:p>
              </w:tc>
              <w:tc>
                <w:tcPr>
                  <w:tcW w:type="dxa" w:w="2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宋体" w:hAnsi="宋体" w:cs="宋体" w:eastAsia="宋体"/>
                      <w:color w:val="000000"/>
                      <w:sz w:val="24"/>
                    </w:rPr>
                    <w:t>路灯智能控制柜尺寸：800*400*600、配置智能单元控制系统、安装调试</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套</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3</w:t>
                  </w:r>
                </w:p>
              </w:tc>
            </w:tr>
            <w:tr>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6</w:t>
                  </w:r>
                </w:p>
              </w:tc>
              <w:tc>
                <w:tcPr>
                  <w:tcW w:type="dxa" w:w="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旧杆拆除</w:t>
                  </w:r>
                </w:p>
              </w:tc>
              <w:tc>
                <w:tcPr>
                  <w:tcW w:type="dxa" w:w="2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宋体" w:hAnsi="宋体" w:cs="宋体" w:eastAsia="宋体"/>
                      <w:color w:val="000000"/>
                      <w:sz w:val="24"/>
                    </w:rPr>
                    <w:t>拆除及地面恢复、转运</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套</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168</w:t>
                  </w:r>
                </w:p>
              </w:tc>
            </w:tr>
            <w:tr>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7</w:t>
                  </w:r>
                </w:p>
              </w:tc>
              <w:tc>
                <w:tcPr>
                  <w:tcW w:type="dxa" w:w="6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挖照明沟槽及</w:t>
                  </w:r>
                  <w:r>
                    <w:br/>
                  </w:r>
                  <w:r>
                    <w:rPr>
                      <w:rFonts w:ascii="宋体" w:hAnsi="宋体" w:cs="宋体" w:eastAsia="宋体"/>
                      <w:color w:val="000000"/>
                      <w:sz w:val="24"/>
                    </w:rPr>
                    <w:t xml:space="preserve"> 回填恢复</w:t>
                  </w:r>
                </w:p>
              </w:tc>
              <w:tc>
                <w:tcPr>
                  <w:tcW w:type="dxa" w:w="2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宋体" w:hAnsi="宋体" w:cs="宋体" w:eastAsia="宋体"/>
                      <w:color w:val="000000"/>
                      <w:sz w:val="24"/>
                    </w:rPr>
                    <w:t>1.土壤类别:综合考虑（包括耕植土、软弱土、素土、淤泥、树蔸、砂夹石、建渣、拆除废弃料及其他不良地质土等）</w:t>
                  </w:r>
                  <w:r>
                    <w:br/>
                  </w:r>
                  <w:r>
                    <w:rPr>
                      <w:rFonts w:ascii="宋体" w:hAnsi="宋体" w:cs="宋体" w:eastAsia="宋体"/>
                      <w:color w:val="000000"/>
                      <w:sz w:val="24"/>
                    </w:rPr>
                    <w:t xml:space="preserve"> 2.挖土深度:综合考虑（按施工规范50公分）</w:t>
                  </w:r>
                  <w:r>
                    <w:br/>
                  </w:r>
                  <w:r>
                    <w:rPr>
                      <w:rFonts w:ascii="宋体" w:hAnsi="宋体" w:cs="宋体" w:eastAsia="宋体"/>
                      <w:color w:val="000000"/>
                      <w:sz w:val="24"/>
                    </w:rPr>
                    <w:t xml:space="preserve"> 3.运距:场内转运由投标人自行考虑</w:t>
                  </w:r>
                  <w:r>
                    <w:br/>
                  </w:r>
                  <w:r>
                    <w:rPr>
                      <w:rFonts w:ascii="宋体" w:hAnsi="宋体" w:cs="宋体" w:eastAsia="宋体"/>
                      <w:color w:val="000000"/>
                      <w:sz w:val="24"/>
                    </w:rPr>
                    <w:t xml:space="preserve"> 4.填方材料品种:符合规范要求的合格土料（C20混泥土）</w:t>
                  </w:r>
                  <w:r>
                    <w:br/>
                  </w:r>
                  <w:r>
                    <w:rPr>
                      <w:rFonts w:ascii="宋体" w:hAnsi="宋体" w:cs="宋体" w:eastAsia="宋体"/>
                      <w:color w:val="000000"/>
                      <w:sz w:val="24"/>
                    </w:rPr>
                    <w:t xml:space="preserve"> 5.特别说明:按实计量</w:t>
                  </w:r>
                </w:p>
                <w:p>
                  <w:pPr>
                    <w:pStyle w:val="null3"/>
                    <w:jc w:val="left"/>
                  </w:pPr>
                  <w:r>
                    <w:rPr>
                      <w:sz w:val="24"/>
                    </w:rPr>
                    <w:t>6.开挖回填并恢复路面原状。</w:t>
                  </w:r>
                </w:p>
              </w:tc>
              <w:tc>
                <w:tcPr>
                  <w:tcW w:type="dxa" w:w="1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米</w:t>
                  </w:r>
                </w:p>
              </w:tc>
              <w:tc>
                <w:tcPr>
                  <w:tcW w:type="dxa" w:w="20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color w:val="000000"/>
                      <w:sz w:val="24"/>
                    </w:rPr>
                    <w:t>2880</w:t>
                  </w:r>
                </w:p>
              </w:tc>
            </w:tr>
          </w:tbl>
          <w:p/>
        </w:tc>
      </w:tr>
      <w:tr>
        <w:tc>
          <w:tcPr>
            <w:tcW w:type="dxa" w:w="831"/>
          </w:tcPr>
          <w:p>
            <w:pPr>
              <w:pStyle w:val="null3"/>
              <w:jc w:val="left"/>
            </w:pPr>
            <w:r>
              <w:rPr/>
              <w:t>2</w:t>
            </w:r>
          </w:p>
        </w:tc>
        <w:tc>
          <w:tcPr>
            <w:tcW w:type="dxa" w:w="1246"/>
          </w:tcPr>
          <w:p/>
        </w:tc>
        <w:tc>
          <w:tcPr>
            <w:tcW w:type="dxa" w:w="2492"/>
          </w:tcPr>
          <w:p>
            <w:pPr>
              <w:pStyle w:val="null3"/>
              <w:jc w:val="left"/>
            </w:pPr>
            <w:r>
              <w:rPr/>
              <w:t>路灯参考图</w:t>
            </w:r>
          </w:p>
        </w:tc>
        <w:tc>
          <w:tcPr>
            <w:tcW w:type="dxa" w:w="3738"/>
          </w:tcPr>
          <w:p>
            <w:pPr>
              <w:pStyle w:val="null3"/>
              <w:jc w:val="left"/>
            </w:pPr>
            <w:r>
              <w:drawing>
                <wp:inline distT="0" distR="0" distB="0" distL="0">
                  <wp:extent cx="2236470" cy="504260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2236470" cy="5042606"/>
                          </a:xfrm>
                          <a:prstGeom prst="rect">
                            <a:avLst/>
                          </a:prstGeom>
                        </pic:spPr>
                      </pic:pic>
                    </a:graphicData>
                  </a:graphic>
                </wp:inline>
              </w:drawing>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人员配置要求</w:t>
            </w:r>
          </w:p>
        </w:tc>
        <w:tc>
          <w:tcPr>
            <w:tcW w:type="dxa" w:w="2076"/>
          </w:tcPr>
          <w:p>
            <w:pPr>
              <w:pStyle w:val="null3"/>
              <w:jc w:val="both"/>
            </w:pPr>
            <w:r>
              <w:rPr/>
              <w:t>因本项目的实施涉及到高处作业、电工作业，要求投标人须配备持有特种作业操作资格证的特种作业人员（人数不限制），包括：高处作业操作证、电工作业操作证。</w:t>
            </w:r>
          </w:p>
          <w:p>
            <w:pPr>
              <w:pStyle w:val="null3"/>
              <w:jc w:val="both"/>
            </w:pPr>
            <w:r>
              <w:rPr/>
              <w:t>注：提供高处作业操作证、电工作业操作证证书复印件（加盖公章）。</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自合同签订之日起60日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1、经采购人验收合格后，达到付款条件起15日内，支付合同总金额的100.00%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按照《财政部关于进一步加强政府采购需求和履约验收管理的指导意见》（财库（2016）205号）、《政府采购需求管理办法》（财库（2021）22 号）的要求及国家行业主管部门规定的标准、方法和内容组织验收。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1年。</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合同履行期间，若双方发生争议，可协商或由有关部门调解解决，协商或调解不成的，由采购人所在地人民法院诉讼解决。</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1、投标人提供项目实施方案，包含但不限于①拟投入人员管理制度；②供货保障措施；③实施进度；④运输计划；⑤安装、调试方案；⑥安全管理措施。 2、投标人提供售后服务方案，包含但不限于①质保期内服务内容；②售后服务保障措施；③售后人员配置；④应急措施。 3、提供类似业绩。 4、货物清单中的路灯需进行安装，投标人报价是包含路灯费用、辅材费用、安装费用、人工费等完成本项目的所有费用。投标人需自行踏勘现场，综合考虑费用。</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供应商需在项目电子化交易系统中按要求上传相应证明文件并进行电子签章：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w:t>
            </w:r>
          </w:p>
        </w:tc>
        <w:tc>
          <w:tcPr>
            <w:tcW w:type="dxa" w:w="1910"/>
          </w:tcPr>
          <w:p>
            <w:pPr>
              <w:pStyle w:val="null3"/>
              <w:jc w:val="left"/>
            </w:pPr>
            <w:r>
              <w:rPr/>
              <w:t>其他资格证明材料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投标人需在使用投标（响应）客户端编制投标文件时，按要求上传相应证明材料并进行电子签章。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910"/>
          </w:tcPr>
          <w:p>
            <w:pPr>
              <w:pStyle w:val="null3"/>
              <w:jc w:val="left"/>
            </w:pPr>
            <w:r>
              <w:rPr/>
              <w:t>中小企业声明函 残疾人福利性单位声明函 监狱企业的证明文件</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其他实质性要求</w:t>
            </w:r>
          </w:p>
        </w:tc>
        <w:tc>
          <w:tcPr>
            <w:tcW w:type="dxa" w:w="3322"/>
          </w:tcPr>
          <w:p>
            <w:pPr>
              <w:pStyle w:val="null3"/>
              <w:jc w:val="left"/>
            </w:pPr>
            <w:r>
              <w:rPr/>
              <w:t>满足招标文件实质性要求</w:t>
            </w:r>
          </w:p>
        </w:tc>
        <w:tc>
          <w:tcPr>
            <w:tcW w:type="dxa" w:w="1910"/>
          </w:tcPr>
          <w:p>
            <w:pPr>
              <w:pStyle w:val="null3"/>
              <w:jc w:val="left"/>
            </w:pPr>
            <w:r>
              <w:rPr/>
              <w:t>其他实质性要求 投标文件封面 服务应答表</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技术参数</w:t>
            </w:r>
          </w:p>
        </w:tc>
        <w:tc>
          <w:tcPr>
            <w:tcW w:type="dxa" w:w="2575"/>
          </w:tcPr>
          <w:p>
            <w:pPr>
              <w:pStyle w:val="null3"/>
              <w:jc w:val="left"/>
            </w:pPr>
            <w:r>
              <w:rPr/>
              <w:t>投标人完全满足招标文件“参数要求”的得满分，每有一项不满足扣2分，扣完为止。（参数共计11项） 注：投标产品的技术参数等于或高于本招标文件要求的，都视作满足招标文件要求。</w:t>
            </w:r>
          </w:p>
        </w:tc>
        <w:tc>
          <w:tcPr>
            <w:tcW w:type="dxa" w:w="831"/>
          </w:tcPr>
          <w:p>
            <w:pPr>
              <w:pStyle w:val="null3"/>
              <w:jc w:val="center"/>
            </w:pPr>
            <w:r>
              <w:rPr/>
              <w:t>22.00</w:t>
            </w:r>
          </w:p>
        </w:tc>
        <w:tc>
          <w:tcPr>
            <w:tcW w:type="dxa" w:w="748"/>
          </w:tcPr>
          <w:p>
            <w:pPr>
              <w:pStyle w:val="null3"/>
              <w:jc w:val="center"/>
            </w:pPr>
            <w:r>
              <w:rPr/>
              <w:t>客观</w:t>
            </w:r>
          </w:p>
        </w:tc>
        <w:tc>
          <w:tcPr>
            <w:tcW w:type="dxa" w:w="1661"/>
          </w:tcPr>
          <w:p>
            <w:pPr>
              <w:pStyle w:val="null3"/>
              <w:jc w:val="left"/>
            </w:pPr>
            <w:r>
              <w:rPr/>
              <w:t>产品技术参数响应表</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售后服务方案包括但不限于①质保期内服务内容；②售后服务保障措施；③售后人员配置；④应急措施。以上内容齐全且无缺陷的得12分，每有一项内容缺失的扣3分，扣完为止；每有一处有缺陷（缺陷是指：指方案项目名称、项目编号与本项目要求不一致，或套用其他项目方案，或前后内容互相矛盾，或存在与本项目需求无关的内容。）的扣1.5分，扣完为止。</w:t>
            </w:r>
          </w:p>
        </w:tc>
        <w:tc>
          <w:tcPr>
            <w:tcW w:type="dxa" w:w="831"/>
          </w:tcPr>
          <w:p>
            <w:pPr>
              <w:pStyle w:val="null3"/>
              <w:jc w:val="center"/>
            </w:pPr>
            <w:r>
              <w:rPr/>
              <w:t>12.00</w:t>
            </w:r>
          </w:p>
        </w:tc>
        <w:tc>
          <w:tcPr>
            <w:tcW w:type="dxa" w:w="748"/>
          </w:tcPr>
          <w:p>
            <w:pPr>
              <w:pStyle w:val="null3"/>
              <w:jc w:val="center"/>
            </w:pPr>
            <w:r>
              <w:rPr/>
              <w:t>主观</w:t>
            </w:r>
          </w:p>
        </w:tc>
        <w:tc>
          <w:tcPr>
            <w:tcW w:type="dxa" w:w="1661"/>
          </w:tcPr>
          <w:p>
            <w:pPr>
              <w:pStyle w:val="null3"/>
              <w:jc w:val="left"/>
            </w:pPr>
            <w:r>
              <w:rPr/>
              <w:t>售后服务方案</w:t>
            </w:r>
          </w:p>
        </w:tc>
      </w:tr>
      <w:tr>
        <w:tc>
          <w:tcPr>
            <w:tcW w:type="dxa" w:w="831"/>
            <w:vMerge/>
          </w:tcPr>
          <w:p/>
        </w:tc>
        <w:tc>
          <w:tcPr>
            <w:tcW w:type="dxa" w:w="1661"/>
          </w:tcPr>
          <w:p>
            <w:pPr>
              <w:pStyle w:val="null3"/>
              <w:jc w:val="left"/>
            </w:pPr>
            <w:r>
              <w:rPr/>
              <w:t>实施方案</w:t>
            </w:r>
          </w:p>
        </w:tc>
        <w:tc>
          <w:tcPr>
            <w:tcW w:type="dxa" w:w="2575"/>
          </w:tcPr>
          <w:p>
            <w:pPr>
              <w:pStyle w:val="null3"/>
              <w:jc w:val="left"/>
            </w:pPr>
            <w:r>
              <w:rPr/>
              <w:t>项目实施方案包括但不限于①拟投入人员管理制度、②供货保障措施；③实施进度、④运输计划、⑤安装、调试方案、⑥安全管理措施。以上内容齐全且无缺陷的得24分，每有一项内容缺失的扣4分，扣完为止；每有一处有缺陷（缺陷是指：指方案项目名称、项目编号与本项目要求不一致，或套用其他项目方案，或前后内容互相矛盾，或存在与本项目需求无关的内容。）的扣2分，扣完为止。</w:t>
            </w:r>
          </w:p>
        </w:tc>
        <w:tc>
          <w:tcPr>
            <w:tcW w:type="dxa" w:w="831"/>
          </w:tcPr>
          <w:p>
            <w:pPr>
              <w:pStyle w:val="null3"/>
              <w:jc w:val="center"/>
            </w:pPr>
            <w:r>
              <w:rPr/>
              <w:t>24.00</w:t>
            </w:r>
          </w:p>
        </w:tc>
        <w:tc>
          <w:tcPr>
            <w:tcW w:type="dxa" w:w="748"/>
          </w:tcPr>
          <w:p>
            <w:pPr>
              <w:pStyle w:val="null3"/>
              <w:jc w:val="center"/>
            </w:pPr>
            <w:r>
              <w:rPr/>
              <w:t>主观</w:t>
            </w:r>
          </w:p>
        </w:tc>
        <w:tc>
          <w:tcPr>
            <w:tcW w:type="dxa" w:w="1661"/>
          </w:tcPr>
          <w:p>
            <w:pPr>
              <w:pStyle w:val="null3"/>
              <w:jc w:val="left"/>
            </w:pPr>
            <w:r>
              <w:rPr/>
              <w:t>实施方案</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投标人2021年1月以来（以签订时间为准），每具有一个类似项目业绩的得3.5分，最高得10.5分。 注：1.提供完整的合同复印件加盖投标人公章。 2.类似业绩指路灯类业绩。</w:t>
            </w:r>
          </w:p>
        </w:tc>
        <w:tc>
          <w:tcPr>
            <w:tcW w:type="dxa" w:w="831"/>
          </w:tcPr>
          <w:p>
            <w:pPr>
              <w:pStyle w:val="null3"/>
              <w:jc w:val="center"/>
            </w:pPr>
            <w:r>
              <w:rPr/>
              <w:t>10.50</w:t>
            </w:r>
          </w:p>
        </w:tc>
        <w:tc>
          <w:tcPr>
            <w:tcW w:type="dxa" w:w="748"/>
          </w:tcPr>
          <w:p>
            <w:pPr>
              <w:pStyle w:val="null3"/>
              <w:jc w:val="center"/>
            </w:pPr>
            <w:r>
              <w:rPr/>
              <w:t>客观</w:t>
            </w:r>
          </w:p>
        </w:tc>
        <w:tc>
          <w:tcPr>
            <w:tcW w:type="dxa" w:w="1661"/>
          </w:tcPr>
          <w:p>
            <w:pPr>
              <w:pStyle w:val="null3"/>
              <w:jc w:val="left"/>
            </w:pPr>
            <w:r>
              <w:rPr/>
              <w:t>业绩一览表</w:t>
            </w:r>
          </w:p>
        </w:tc>
      </w:tr>
      <w:tr>
        <w:tc>
          <w:tcPr>
            <w:tcW w:type="dxa" w:w="831"/>
            <w:vMerge/>
          </w:tcPr>
          <w:p/>
        </w:tc>
        <w:tc>
          <w:tcPr>
            <w:tcW w:type="dxa" w:w="1661"/>
          </w:tcPr>
          <w:p>
            <w:pPr>
              <w:pStyle w:val="null3"/>
              <w:jc w:val="left"/>
            </w:pPr>
            <w:r>
              <w:rPr/>
              <w:t>节能环保</w:t>
            </w:r>
          </w:p>
        </w:tc>
        <w:tc>
          <w:tcPr>
            <w:tcW w:type="dxa" w:w="2575"/>
          </w:tcPr>
          <w:p>
            <w:pPr>
              <w:pStyle w:val="null3"/>
              <w:jc w:val="left"/>
            </w:pPr>
            <w:r>
              <w:rPr/>
              <w:t>所投产品中属于政府采购优先采购范围的，则每有一项为优先节能标志产品的得1.5分，非节能不得分。本项最多得1.5分。 注：1.节能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 2.产品属于优先采购范围内的节能产品的，提供国家确定的认证机构出具的、处于有效期之内的节能产品认证证书复印件加盖投标人公章。</w:t>
            </w:r>
          </w:p>
        </w:tc>
        <w:tc>
          <w:tcPr>
            <w:tcW w:type="dxa" w:w="831"/>
          </w:tcPr>
          <w:p>
            <w:pPr>
              <w:pStyle w:val="null3"/>
              <w:jc w:val="center"/>
            </w:pPr>
            <w:r>
              <w:rPr/>
              <w:t>1.50</w:t>
            </w:r>
          </w:p>
        </w:tc>
        <w:tc>
          <w:tcPr>
            <w:tcW w:type="dxa" w:w="748"/>
          </w:tcPr>
          <w:p>
            <w:pPr>
              <w:pStyle w:val="null3"/>
              <w:jc w:val="center"/>
            </w:pPr>
            <w:r>
              <w:rPr/>
              <w:t>客观</w:t>
            </w:r>
          </w:p>
        </w:tc>
        <w:tc>
          <w:tcPr>
            <w:tcW w:type="dxa" w:w="1661"/>
          </w:tcPr>
          <w:p>
            <w:pPr>
              <w:pStyle w:val="null3"/>
              <w:jc w:val="left"/>
            </w:pPr>
            <w:r>
              <w:rPr/>
              <w:t>节能产品认证证书</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优先采购节能产品</w:t>
            </w:r>
          </w:p>
        </w:tc>
        <w:tc>
          <w:tcPr>
            <w:tcW w:type="dxa" w:w="2396"/>
          </w:tcPr>
          <w:p>
            <w:pPr>
              <w:pStyle w:val="null3"/>
              <w:jc w:val="left"/>
            </w:pPr>
            <w:r>
              <w:rPr/>
              <w:tab/>
              <w:br/>
              <w:t>所投产品中属于政府采购优先采购范围的，则每有一项为优先节能标志产品的得1.5分，非节能不得分。本项最多得1.5分。 注：1.节能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 2.产品属于优先采购范围内的节能产品的，提供国家确定的认证机构出具的、处于有效期之内的节能产品认证证书复印件加盖投标人公章。</w:t>
            </w:r>
          </w:p>
        </w:tc>
        <w:tc>
          <w:tcPr>
            <w:tcW w:type="dxa" w:w="2955"/>
          </w:tcPr>
          <w:p>
            <w:pPr>
              <w:pStyle w:val="null3"/>
              <w:jc w:val="left"/>
            </w:pPr>
            <w:r>
              <w:rPr/>
              <w:t>节能产品认证证书</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详见附件：报价一览表</w:t>
      </w:r>
    </w:p>
    <w:p>
      <w:pPr>
        <w:pStyle w:val="null3"/>
        <w:ind w:firstLine="960"/>
        <w:jc w:val="left"/>
      </w:pPr>
      <w:r>
        <w:rPr/>
        <w:t>详见附件：实施方案</w:t>
      </w:r>
    </w:p>
    <w:p>
      <w:pPr>
        <w:pStyle w:val="null3"/>
        <w:ind w:firstLine="960"/>
        <w:jc w:val="left"/>
      </w:pPr>
      <w:r>
        <w:rPr/>
        <w:t>详见附件：售后服务方案</w:t>
      </w:r>
    </w:p>
    <w:p>
      <w:pPr>
        <w:pStyle w:val="null3"/>
        <w:ind w:firstLine="960"/>
        <w:jc w:val="left"/>
      </w:pPr>
      <w:r>
        <w:rPr/>
        <w:t>详见附件：节能产品认证证书</w:t>
      </w:r>
    </w:p>
    <w:p>
      <w:pPr>
        <w:pStyle w:val="null3"/>
        <w:ind w:firstLine="960"/>
        <w:jc w:val="left"/>
      </w:pPr>
      <w:r>
        <w:rPr/>
        <w:t>详见附件：其他资格证明材料</w:t>
      </w:r>
    </w:p>
    <w:p>
      <w:pPr>
        <w:pStyle w:val="null3"/>
        <w:ind w:firstLine="960"/>
        <w:jc w:val="left"/>
      </w:pPr>
      <w:r>
        <w:rPr/>
        <w:t>详见附件：业绩一览表</w:t>
      </w:r>
    </w:p>
    <w:p>
      <w:pPr>
        <w:pStyle w:val="null3"/>
        <w:ind w:firstLine="960"/>
        <w:jc w:val="left"/>
      </w:pPr>
      <w:r>
        <w:rPr/>
        <w:t>详见附件：其他实质性要求</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