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4E306F">
      <w:pPr>
        <w:keepNext/>
        <w:keepLines/>
        <w:widowControl w:val="0"/>
        <w:spacing w:before="340" w:after="330" w:line="576" w:lineRule="auto"/>
        <w:jc w:val="center"/>
        <w:outlineLvl w:val="0"/>
        <w:rPr>
          <w:rFonts w:hint="eastAsia" w:ascii="Times New Roman" w:hAnsi="Times New Roman" w:eastAsia="方正小标宋_GBK" w:cs="Times New Roman"/>
          <w:b/>
          <w:bCs/>
          <w:color w:val="auto"/>
          <w:spacing w:val="28"/>
          <w:kern w:val="36"/>
          <w:sz w:val="36"/>
          <w:szCs w:val="20"/>
          <w:lang w:val="en-US" w:eastAsia="zh-CN" w:bidi="ar-SA"/>
        </w:rPr>
      </w:pPr>
      <w:r>
        <w:rPr>
          <w:rFonts w:hint="eastAsia" w:ascii="Times New Roman" w:hAnsi="Times New Roman" w:eastAsia="方正小标宋_GBK" w:cs="Times New Roman"/>
          <w:b/>
          <w:bCs/>
          <w:color w:val="auto"/>
          <w:spacing w:val="28"/>
          <w:kern w:val="36"/>
          <w:sz w:val="36"/>
          <w:szCs w:val="20"/>
          <w:lang w:val="en-US" w:eastAsia="zh-CN" w:bidi="ar-SA"/>
        </w:rPr>
        <w:t>招标公告</w:t>
      </w:r>
    </w:p>
    <w:p w14:paraId="0937EE5B">
      <w:pPr>
        <w:adjustRightInd w:val="0"/>
        <w:snapToGri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u w:val="single"/>
          <w:lang w:eastAsia="zh-CN"/>
        </w:rPr>
        <w:t>张家界敦谊小学</w:t>
      </w:r>
      <w:r>
        <w:rPr>
          <w:rFonts w:hint="eastAsia" w:ascii="宋体" w:hAnsi="宋体" w:eastAsia="宋体" w:cs="宋体"/>
          <w:sz w:val="21"/>
          <w:szCs w:val="21"/>
        </w:rPr>
        <w:t>（采购人名称）的</w:t>
      </w:r>
      <w:r>
        <w:rPr>
          <w:rFonts w:hint="eastAsia" w:ascii="宋体" w:hAnsi="宋体" w:eastAsia="宋体" w:cs="宋体"/>
          <w:sz w:val="21"/>
          <w:szCs w:val="21"/>
          <w:u w:val="single"/>
          <w:lang w:val="en-US" w:eastAsia="zh-CN"/>
        </w:rPr>
        <w:t>敦谊小学东校设施设备采购(一期)重新立项</w:t>
      </w:r>
      <w:r>
        <w:rPr>
          <w:rFonts w:hint="eastAsia" w:ascii="宋体" w:hAnsi="宋体" w:eastAsia="宋体" w:cs="宋体"/>
          <w:sz w:val="21"/>
          <w:szCs w:val="21"/>
        </w:rPr>
        <w:t>(项目名称)进行公开招标采购，现邀请合格投标人参加投标。</w:t>
      </w:r>
    </w:p>
    <w:p w14:paraId="4C525192">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211" w:leftChars="0" w:hanging="211" w:hangingChars="100"/>
        <w:jc w:val="left"/>
        <w:rPr>
          <w:rFonts w:hint="eastAsia" w:ascii="Times New Roman" w:hAnsi="Times New Roman" w:eastAsia="宋体" w:cs="Times New Roman"/>
          <w:b/>
          <w:kern w:val="2"/>
          <w:sz w:val="21"/>
          <w:szCs w:val="21"/>
          <w:lang w:val="en-US" w:eastAsia="zh-CN" w:bidi="ar-SA"/>
        </w:rPr>
      </w:pPr>
      <w:r>
        <w:rPr>
          <w:rFonts w:hint="eastAsia" w:ascii="Times New Roman" w:hAnsi="Times New Roman" w:eastAsia="宋体" w:cs="Times New Roman"/>
          <w:b/>
          <w:kern w:val="2"/>
          <w:sz w:val="21"/>
          <w:szCs w:val="21"/>
          <w:lang w:val="en-US" w:eastAsia="zh-CN" w:bidi="ar-SA"/>
        </w:rPr>
        <w:t>一、采购项目基本信息</w:t>
      </w:r>
    </w:p>
    <w:p w14:paraId="41232D50">
      <w:pPr>
        <w:adjustRightInd w:val="0"/>
        <w:snapToGrid w:val="0"/>
        <w:spacing w:line="24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1、采购项目名称：</w:t>
      </w:r>
      <w:r>
        <w:rPr>
          <w:rFonts w:hint="eastAsia" w:ascii="宋体" w:hAnsi="宋体" w:eastAsia="宋体" w:cs="宋体"/>
          <w:sz w:val="21"/>
          <w:szCs w:val="21"/>
          <w:u w:val="single"/>
          <w:lang w:val="en-US" w:eastAsia="zh-CN"/>
        </w:rPr>
        <w:t>敦谊小学东校设施设备采购(一期)重新立项</w:t>
      </w:r>
    </w:p>
    <w:p w14:paraId="001B7C80">
      <w:pPr>
        <w:adjustRightInd w:val="0"/>
        <w:snapToGrid w:val="0"/>
        <w:spacing w:line="24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2、政府采购计划编号：</w:t>
      </w:r>
      <w:r>
        <w:rPr>
          <w:rFonts w:hint="eastAsia" w:ascii="宋体" w:hAnsi="宋体" w:eastAsia="宋体" w:cs="宋体"/>
          <w:sz w:val="21"/>
          <w:szCs w:val="21"/>
          <w:u w:val="single"/>
        </w:rPr>
        <w:t>永定财采计[202</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037号</w:t>
      </w:r>
    </w:p>
    <w:p w14:paraId="4E0B27CF">
      <w:pPr>
        <w:adjustRightInd w:val="0"/>
        <w:snapToGrid w:val="0"/>
        <w:spacing w:line="240" w:lineRule="auto"/>
        <w:ind w:firstLine="420" w:firstLineChars="200"/>
        <w:rPr>
          <w:rFonts w:hint="default" w:ascii="宋体" w:hAnsi="宋体" w:eastAsia="宋体" w:cs="宋体"/>
          <w:i/>
          <w:sz w:val="21"/>
          <w:szCs w:val="21"/>
          <w:lang w:val="en-US" w:eastAsia="zh-CN"/>
        </w:rPr>
      </w:pPr>
      <w:r>
        <w:rPr>
          <w:rFonts w:hint="eastAsia" w:ascii="宋体" w:hAnsi="宋体" w:eastAsia="宋体" w:cs="宋体"/>
          <w:sz w:val="21"/>
          <w:szCs w:val="21"/>
        </w:rPr>
        <w:t>3、委托代理编号：</w:t>
      </w:r>
      <w:r>
        <w:rPr>
          <w:rFonts w:hint="eastAsia" w:ascii="宋体" w:hAnsi="宋体" w:eastAsia="宋体" w:cs="宋体"/>
          <w:sz w:val="21"/>
          <w:szCs w:val="21"/>
          <w:u w:val="single"/>
          <w:lang w:val="en-US" w:eastAsia="zh-CN"/>
        </w:rPr>
        <w:t>HZY-ZC-25106</w:t>
      </w:r>
    </w:p>
    <w:p w14:paraId="3CC10740">
      <w:pPr>
        <w:adjustRightInd w:val="0"/>
        <w:snapToGrid w:val="0"/>
        <w:spacing w:line="240" w:lineRule="auto"/>
        <w:ind w:firstLine="420" w:firstLineChars="200"/>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rPr>
        <w:t>4、采购项目预算：</w:t>
      </w:r>
      <w:r>
        <w:rPr>
          <w:rFonts w:hint="eastAsia" w:ascii="宋体" w:hAnsi="宋体" w:eastAsia="宋体" w:cs="宋体"/>
          <w:bCs/>
          <w:color w:val="auto"/>
          <w:sz w:val="21"/>
          <w:szCs w:val="21"/>
          <w:u w:val="single"/>
          <w:lang w:val="en-US" w:eastAsia="zh-CN"/>
        </w:rPr>
        <w:t>134092.00元</w:t>
      </w:r>
    </w:p>
    <w:p w14:paraId="36367FED">
      <w:pPr>
        <w:adjustRightInd w:val="0"/>
        <w:snapToGrid w:val="0"/>
        <w:spacing w:line="240" w:lineRule="auto"/>
        <w:ind w:firstLine="630" w:firstLineChars="300"/>
        <w:rPr>
          <w:rFonts w:hint="eastAsia" w:ascii="宋体" w:hAnsi="宋体" w:eastAsia="宋体" w:cs="宋体"/>
          <w:bCs/>
          <w:color w:val="auto"/>
          <w:sz w:val="21"/>
          <w:szCs w:val="21"/>
          <w:highlight w:val="none"/>
          <w:u w:val="single"/>
        </w:rPr>
      </w:pPr>
      <w:r>
        <w:rPr>
          <w:rFonts w:hint="eastAsia" w:ascii="宋体" w:hAnsi="宋体" w:eastAsia="宋体" w:cs="宋体"/>
          <w:iCs/>
          <w:color w:val="auto"/>
          <w:sz w:val="21"/>
          <w:szCs w:val="21"/>
          <w:highlight w:val="none"/>
        </w:rPr>
        <w:sym w:font="Wingdings" w:char="00FE"/>
      </w:r>
      <w:r>
        <w:rPr>
          <w:rFonts w:hint="eastAsia" w:ascii="宋体" w:hAnsi="宋体" w:eastAsia="宋体" w:cs="宋体"/>
          <w:iCs/>
          <w:color w:val="auto"/>
          <w:sz w:val="21"/>
          <w:szCs w:val="21"/>
          <w:highlight w:val="none"/>
        </w:rPr>
        <w:t>支持</w:t>
      </w:r>
      <w:r>
        <w:rPr>
          <w:rFonts w:hint="eastAsia" w:ascii="宋体" w:hAnsi="宋体" w:eastAsia="宋体" w:cs="宋体"/>
          <w:bCs/>
          <w:color w:val="auto"/>
          <w:sz w:val="21"/>
          <w:szCs w:val="21"/>
          <w:highlight w:val="none"/>
        </w:rPr>
        <w:t>预付款，预付比例：</w:t>
      </w:r>
      <w:r>
        <w:rPr>
          <w:rFonts w:hint="eastAsia" w:ascii="宋体" w:hAnsi="宋体" w:eastAsia="宋体" w:cs="宋体"/>
          <w:bCs/>
          <w:color w:val="auto"/>
          <w:sz w:val="21"/>
          <w:szCs w:val="21"/>
          <w:highlight w:val="none"/>
          <w:u w:val="single"/>
          <w:lang w:val="en-US" w:eastAsia="zh-CN"/>
        </w:rPr>
        <w:t>10</w:t>
      </w:r>
      <w:r>
        <w:rPr>
          <w:rFonts w:hint="eastAsia" w:ascii="宋体" w:hAnsi="宋体" w:eastAsia="宋体" w:cs="宋体"/>
          <w:bCs/>
          <w:color w:val="auto"/>
          <w:sz w:val="21"/>
          <w:szCs w:val="21"/>
          <w:highlight w:val="none"/>
          <w:u w:val="single"/>
        </w:rPr>
        <w:t>%</w:t>
      </w:r>
    </w:p>
    <w:p w14:paraId="7E60F7C5">
      <w:pPr>
        <w:adjustRightInd w:val="0"/>
        <w:snapToGrid w:val="0"/>
        <w:spacing w:line="240" w:lineRule="auto"/>
        <w:ind w:firstLine="420" w:firstLineChars="200"/>
        <w:rPr>
          <w:rFonts w:hint="eastAsia" w:ascii="宋体" w:hAnsi="宋体" w:eastAsia="宋体" w:cs="宋体"/>
          <w:color w:val="auto"/>
          <w:sz w:val="21"/>
          <w:szCs w:val="21"/>
          <w:u w:val="single"/>
          <w:lang w:eastAsia="zh-CN"/>
        </w:rPr>
      </w:pPr>
      <w:r>
        <w:rPr>
          <w:rFonts w:hint="eastAsia" w:ascii="宋体" w:hAnsi="宋体" w:eastAsia="宋体" w:cs="宋体"/>
          <w:bCs/>
          <w:color w:val="auto"/>
          <w:sz w:val="21"/>
          <w:szCs w:val="21"/>
        </w:rPr>
        <w:t>5、本项目</w:t>
      </w:r>
      <w:r>
        <w:rPr>
          <w:rFonts w:hint="eastAsia" w:ascii="宋体" w:hAnsi="宋体" w:eastAsia="宋体" w:cs="宋体"/>
          <w:color w:val="auto"/>
          <w:sz w:val="21"/>
          <w:szCs w:val="21"/>
        </w:rPr>
        <w:t>对应的中小企业划分标准所属行业：</w:t>
      </w:r>
      <w:r>
        <w:rPr>
          <w:rFonts w:hint="eastAsia" w:ascii="宋体" w:hAnsi="宋体" w:eastAsia="宋体" w:cs="宋体"/>
          <w:color w:val="auto"/>
          <w:sz w:val="21"/>
          <w:szCs w:val="21"/>
          <w:u w:val="single"/>
          <w:lang w:val="en-US" w:eastAsia="zh-CN"/>
        </w:rPr>
        <w:t>批发业</w:t>
      </w:r>
    </w:p>
    <w:p w14:paraId="038B9A20">
      <w:pPr>
        <w:adjustRightInd w:val="0"/>
        <w:snapToGrid w:val="0"/>
        <w:spacing w:line="240" w:lineRule="auto"/>
        <w:ind w:firstLine="420" w:firstLineChars="200"/>
        <w:rPr>
          <w:rFonts w:hint="eastAsia" w:ascii="宋体" w:hAnsi="宋体" w:eastAsia="宋体" w:cs="宋体"/>
          <w:bCs/>
          <w:color w:val="auto"/>
          <w:sz w:val="21"/>
          <w:szCs w:val="21"/>
          <w:u w:val="single"/>
        </w:rPr>
      </w:pPr>
      <w:r>
        <w:rPr>
          <w:rFonts w:hint="eastAsia" w:ascii="宋体" w:hAnsi="宋体" w:eastAsia="宋体" w:cs="宋体"/>
          <w:bCs/>
          <w:color w:val="auto"/>
          <w:sz w:val="21"/>
          <w:szCs w:val="21"/>
        </w:rPr>
        <w:t>6、评标方法：</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综合评分法 </w:t>
      </w:r>
      <w:r>
        <w:rPr>
          <w:rFonts w:hint="eastAsia" w:ascii="宋体" w:hAnsi="宋体" w:eastAsia="宋体" w:cs="宋体"/>
          <w:iCs/>
          <w:color w:val="auto"/>
          <w:sz w:val="21"/>
          <w:szCs w:val="21"/>
        </w:rPr>
        <w:sym w:font="Wingdings" w:char="00FE"/>
      </w:r>
      <w:r>
        <w:rPr>
          <w:rFonts w:hint="eastAsia" w:ascii="宋体" w:hAnsi="宋体" w:eastAsia="宋体" w:cs="宋体"/>
          <w:iCs/>
          <w:color w:val="auto"/>
          <w:sz w:val="21"/>
          <w:szCs w:val="21"/>
        </w:rPr>
        <w:t>最低评标价法</w:t>
      </w:r>
    </w:p>
    <w:p w14:paraId="628DB92A">
      <w:pPr>
        <w:adjustRightInd w:val="0"/>
        <w:snapToGrid w:val="0"/>
        <w:spacing w:line="240" w:lineRule="auto"/>
        <w:ind w:firstLine="420" w:firstLineChars="200"/>
        <w:rPr>
          <w:rFonts w:hint="eastAsia" w:ascii="宋体" w:hAnsi="宋体" w:eastAsia="宋体" w:cs="宋体"/>
          <w:bCs/>
          <w:color w:val="auto"/>
          <w:sz w:val="21"/>
          <w:szCs w:val="21"/>
          <w:u w:val="single"/>
        </w:rPr>
      </w:pPr>
      <w:r>
        <w:rPr>
          <w:rFonts w:hint="eastAsia" w:ascii="宋体" w:hAnsi="宋体" w:eastAsia="宋体" w:cs="宋体"/>
          <w:bCs/>
          <w:color w:val="auto"/>
          <w:sz w:val="21"/>
          <w:szCs w:val="21"/>
        </w:rPr>
        <w:t>7、合同定价方式：</w:t>
      </w:r>
      <w:r>
        <w:rPr>
          <w:rFonts w:hint="eastAsia" w:ascii="宋体" w:hAnsi="宋体" w:eastAsia="宋体" w:cs="宋体"/>
          <w:iCs/>
          <w:color w:val="auto"/>
          <w:sz w:val="21"/>
          <w:szCs w:val="21"/>
        </w:rPr>
        <w:sym w:font="Wingdings" w:char="00FE"/>
      </w:r>
      <w:r>
        <w:rPr>
          <w:rFonts w:hint="eastAsia" w:ascii="宋体" w:hAnsi="宋体" w:eastAsia="宋体" w:cs="宋体"/>
          <w:iCs/>
          <w:color w:val="auto"/>
          <w:sz w:val="21"/>
          <w:szCs w:val="21"/>
        </w:rPr>
        <w:t xml:space="preserve">固定总价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固定单价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成本补偿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绩效激励</w:t>
      </w:r>
    </w:p>
    <w:p w14:paraId="0A684A11">
      <w:pPr>
        <w:adjustRightInd w:val="0"/>
        <w:snapToGrid w:val="0"/>
        <w:spacing w:line="24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8、合同履行期限：</w:t>
      </w:r>
      <w:r>
        <w:rPr>
          <w:rFonts w:hint="eastAsia" w:ascii="宋体" w:hAnsi="宋体" w:eastAsia="宋体" w:cs="宋体"/>
          <w:bCs/>
          <w:color w:val="auto"/>
          <w:sz w:val="21"/>
          <w:szCs w:val="21"/>
          <w:highlight w:val="none"/>
          <w:u w:val="single"/>
          <w:lang w:val="en-US" w:eastAsia="zh-CN"/>
        </w:rPr>
        <w:t xml:space="preserve"> 30日历天 </w:t>
      </w:r>
      <w:r>
        <w:rPr>
          <w:rFonts w:hint="eastAsia" w:ascii="宋体" w:hAnsi="宋体" w:eastAsia="宋体" w:cs="宋体"/>
          <w:bCs/>
          <w:color w:val="auto"/>
          <w:sz w:val="21"/>
          <w:szCs w:val="21"/>
          <w:highlight w:val="none"/>
          <w:lang w:val="en-US" w:eastAsia="zh-CN"/>
        </w:rPr>
        <w:t>。</w:t>
      </w:r>
    </w:p>
    <w:p w14:paraId="4EF4DD36">
      <w:pPr>
        <w:widowControl w:val="0"/>
        <w:spacing w:line="24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bCs/>
          <w:color w:val="auto"/>
          <w:kern w:val="2"/>
          <w:sz w:val="21"/>
          <w:szCs w:val="21"/>
          <w:lang w:val="en-US" w:eastAsia="zh-CN" w:bidi="ar-SA"/>
        </w:rPr>
        <w:t>9、</w:t>
      </w:r>
      <w:r>
        <w:rPr>
          <w:rFonts w:hint="eastAsia" w:ascii="宋体" w:hAnsi="宋体" w:eastAsia="宋体" w:cs="宋体"/>
          <w:color w:val="auto"/>
          <w:kern w:val="2"/>
          <w:sz w:val="21"/>
          <w:szCs w:val="21"/>
          <w:lang w:val="en-US" w:eastAsia="zh-CN" w:bidi="ar-SA"/>
        </w:rPr>
        <w:t>本项目分阶段要求投标人提供以下保证：</w:t>
      </w:r>
    </w:p>
    <w:p w14:paraId="53104040">
      <w:pPr>
        <w:widowControl w:val="0"/>
        <w:spacing w:line="240" w:lineRule="auto"/>
        <w:ind w:left="0" w:leftChars="0" w:firstLine="0" w:firstLineChars="0"/>
        <w:jc w:val="both"/>
        <w:rPr>
          <w:rFonts w:hint="eastAsia" w:ascii="宋体" w:hAnsi="宋体" w:eastAsia="宋体" w:cs="宋体"/>
          <w:iCs/>
          <w:color w:val="auto"/>
          <w:kern w:val="2"/>
          <w:sz w:val="21"/>
          <w:szCs w:val="21"/>
          <w:lang w:val="en-US" w:eastAsia="zh-CN" w:bidi="ar-SA"/>
        </w:rPr>
      </w:pPr>
      <w:r>
        <w:rPr>
          <w:rFonts w:hint="eastAsia" w:ascii="宋体" w:hAnsi="宋体" w:eastAsia="宋体" w:cs="宋体"/>
          <w:iCs/>
          <w:color w:val="auto"/>
          <w:kern w:val="2"/>
          <w:sz w:val="21"/>
          <w:szCs w:val="21"/>
          <w:lang w:val="en-US" w:eastAsia="zh-CN" w:bidi="ar-SA"/>
        </w:rPr>
        <w:sym w:font="Wingdings" w:char="00FE"/>
      </w:r>
      <w:r>
        <w:rPr>
          <w:rFonts w:hint="eastAsia" w:ascii="宋体" w:hAnsi="宋体" w:eastAsia="宋体" w:cs="宋体"/>
          <w:color w:val="auto"/>
          <w:kern w:val="2"/>
          <w:sz w:val="21"/>
          <w:szCs w:val="21"/>
          <w:lang w:val="en-US" w:eastAsia="zh-CN" w:bidi="ar-SA"/>
        </w:rPr>
        <w:t>投标保证金：</w:t>
      </w:r>
      <w:r>
        <w:rPr>
          <w:rFonts w:hint="eastAsia" w:ascii="宋体" w:hAnsi="宋体" w:eastAsia="宋体" w:cs="宋体"/>
          <w:iCs/>
          <w:color w:val="auto"/>
          <w:kern w:val="2"/>
          <w:sz w:val="21"/>
          <w:szCs w:val="21"/>
          <w:lang w:val="en-US" w:eastAsia="zh-CN" w:bidi="ar-SA"/>
        </w:rPr>
        <w:t>1元</w:t>
      </w:r>
      <w:r>
        <w:rPr>
          <w:rFonts w:hint="eastAsia" w:ascii="宋体" w:hAnsi="宋体" w:eastAsia="宋体" w:cs="宋体"/>
          <w:color w:val="auto"/>
          <w:kern w:val="2"/>
          <w:sz w:val="21"/>
          <w:szCs w:val="21"/>
          <w:lang w:val="en-US" w:eastAsia="zh-CN" w:bidi="ar-SA"/>
        </w:rPr>
        <w:t>；</w:t>
      </w:r>
    </w:p>
    <w:p w14:paraId="0C42E8AD">
      <w:pPr>
        <w:widowControl w:val="0"/>
        <w:spacing w:line="240" w:lineRule="auto"/>
        <w:ind w:left="0" w:leftChars="0" w:firstLine="0" w:firstLineChars="0"/>
        <w:jc w:val="both"/>
        <w:rPr>
          <w:rFonts w:hint="eastAsia" w:ascii="宋体" w:hAnsi="宋体" w:eastAsia="宋体" w:cs="宋体"/>
          <w:iCs/>
          <w:kern w:val="2"/>
          <w:sz w:val="21"/>
          <w:szCs w:val="21"/>
          <w:lang w:val="en-US" w:eastAsia="zh-CN" w:bidi="ar-SA"/>
        </w:rPr>
      </w:pPr>
      <w:r>
        <w:rPr>
          <w:rFonts w:hint="eastAsia" w:ascii="宋体" w:hAnsi="宋体" w:eastAsia="宋体" w:cs="宋体"/>
          <w:iCs/>
          <w:kern w:val="2"/>
          <w:sz w:val="21"/>
          <w:szCs w:val="21"/>
          <w:lang w:val="en-US" w:eastAsia="zh-CN" w:bidi="ar-SA"/>
        </w:rPr>
        <w:sym w:font="Wingdings" w:char="00FE"/>
      </w:r>
      <w:r>
        <w:rPr>
          <w:rFonts w:hint="eastAsia" w:ascii="宋体" w:hAnsi="宋体" w:eastAsia="宋体" w:cs="宋体"/>
          <w:kern w:val="2"/>
          <w:sz w:val="21"/>
          <w:szCs w:val="21"/>
          <w:lang w:val="en-US" w:eastAsia="zh-CN" w:bidi="ar-SA"/>
        </w:rPr>
        <w:t>履约保证金：</w:t>
      </w:r>
      <w:r>
        <w:rPr>
          <w:rFonts w:hint="eastAsia" w:ascii="宋体" w:hAnsi="宋体" w:eastAsia="宋体" w:cs="宋体"/>
          <w:color w:val="000000"/>
          <w:kern w:val="2"/>
          <w:sz w:val="21"/>
          <w:szCs w:val="21"/>
          <w:highlight w:val="none"/>
          <w:u w:val="single"/>
          <w:lang w:val="en-US" w:eastAsia="zh-CN" w:bidi="ar-SA"/>
        </w:rPr>
        <w:t>中标金额降价幅度不超过采购预算10% 的，履约保证金为中标金额的10%;中标金额降价幅度超过采购预算10%以上的，履约保证金为采购预算减去中标金额的差额</w:t>
      </w:r>
      <w:r>
        <w:rPr>
          <w:rFonts w:hint="eastAsia" w:ascii="宋体" w:hAnsi="宋体" w:eastAsia="宋体" w:cs="宋体"/>
          <w:kern w:val="2"/>
          <w:sz w:val="21"/>
          <w:szCs w:val="21"/>
          <w:lang w:val="en-US" w:eastAsia="zh-CN" w:bidi="ar-SA"/>
        </w:rPr>
        <w:t>；</w:t>
      </w:r>
    </w:p>
    <w:p w14:paraId="614C3C35">
      <w:pPr>
        <w:widowControl w:val="0"/>
        <w:spacing w:line="240" w:lineRule="auto"/>
        <w:ind w:left="0" w:leftChars="0" w:firstLine="0" w:firstLineChars="0"/>
        <w:jc w:val="both"/>
        <w:rPr>
          <w:rFonts w:hint="eastAsia" w:ascii="宋体" w:hAnsi="宋体" w:eastAsia="宋体" w:cs="宋体"/>
          <w:iCs/>
          <w:kern w:val="2"/>
          <w:sz w:val="21"/>
          <w:szCs w:val="21"/>
          <w:lang w:val="en-US" w:eastAsia="zh-CN" w:bidi="ar-SA"/>
        </w:rPr>
      </w:pPr>
      <w:r>
        <w:rPr>
          <w:rFonts w:hint="eastAsia" w:ascii="宋体" w:hAnsi="宋体" w:eastAsia="宋体" w:cs="宋体"/>
          <w:iCs/>
          <w:kern w:val="2"/>
          <w:sz w:val="21"/>
          <w:szCs w:val="21"/>
          <w:lang w:val="en-US" w:eastAsia="zh-CN" w:bidi="ar-SA"/>
        </w:rPr>
        <w:sym w:font="Wingdings" w:char="00FE"/>
      </w:r>
      <w:r>
        <w:rPr>
          <w:rFonts w:hint="eastAsia" w:ascii="宋体" w:hAnsi="宋体" w:eastAsia="宋体" w:cs="宋体"/>
          <w:iCs/>
          <w:kern w:val="2"/>
          <w:sz w:val="21"/>
          <w:szCs w:val="21"/>
          <w:lang w:val="en-US" w:eastAsia="zh-CN" w:bidi="ar-SA"/>
        </w:rPr>
        <w:t>质量保证金：合同金额的</w:t>
      </w:r>
      <w:r>
        <w:rPr>
          <w:rFonts w:hint="eastAsia" w:ascii="宋体" w:hAnsi="宋体" w:eastAsia="宋体" w:cs="宋体"/>
          <w:iCs/>
          <w:kern w:val="2"/>
          <w:sz w:val="21"/>
          <w:szCs w:val="21"/>
          <w:u w:val="single"/>
          <w:lang w:val="en-US" w:eastAsia="zh-CN" w:bidi="ar-SA"/>
        </w:rPr>
        <w:t xml:space="preserve">3 </w:t>
      </w:r>
      <w:r>
        <w:rPr>
          <w:rFonts w:hint="eastAsia" w:ascii="宋体" w:hAnsi="宋体" w:eastAsia="宋体" w:cs="宋体"/>
          <w:iCs/>
          <w:kern w:val="2"/>
          <w:sz w:val="21"/>
          <w:szCs w:val="21"/>
          <w:lang w:val="en-US" w:eastAsia="zh-CN" w:bidi="ar-SA"/>
        </w:rPr>
        <w:t>%。</w:t>
      </w:r>
    </w:p>
    <w:p w14:paraId="5F8C64EE">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211" w:leftChars="0" w:hanging="211" w:hangingChars="100"/>
        <w:jc w:val="left"/>
        <w:rPr>
          <w:rFonts w:hint="eastAsia" w:ascii="Times New Roman" w:hAnsi="Times New Roman" w:eastAsia="宋体" w:cs="Times New Roman"/>
          <w:b/>
          <w:kern w:val="2"/>
          <w:sz w:val="21"/>
          <w:szCs w:val="21"/>
          <w:lang w:val="en-US" w:eastAsia="zh-CN" w:bidi="ar-SA"/>
        </w:rPr>
      </w:pPr>
      <w:r>
        <w:rPr>
          <w:rFonts w:hint="eastAsia" w:ascii="Times New Roman" w:hAnsi="Times New Roman" w:eastAsia="宋体" w:cs="Times New Roman"/>
          <w:b/>
          <w:kern w:val="2"/>
          <w:sz w:val="21"/>
          <w:szCs w:val="21"/>
          <w:lang w:val="en-US" w:eastAsia="zh-CN" w:bidi="ar-SA"/>
        </w:rPr>
        <w:t>二、采购人的采购需求</w:t>
      </w:r>
    </w:p>
    <w:tbl>
      <w:tblPr>
        <w:tblStyle w:val="2"/>
        <w:tblW w:w="10636"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2"/>
        <w:gridCol w:w="1367"/>
        <w:gridCol w:w="1813"/>
        <w:gridCol w:w="1637"/>
        <w:gridCol w:w="895"/>
        <w:gridCol w:w="1342"/>
        <w:gridCol w:w="1400"/>
        <w:gridCol w:w="1400"/>
      </w:tblGrid>
      <w:tr w14:paraId="06DA7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jc w:val="center"/>
        </w:trPr>
        <w:tc>
          <w:tcPr>
            <w:tcW w:w="782" w:type="dxa"/>
            <w:noWrap w:val="0"/>
            <w:vAlign w:val="center"/>
          </w:tcPr>
          <w:p w14:paraId="2DAA3B59">
            <w:pPr>
              <w:adjustRightInd w:val="0"/>
              <w:snapToGrid w:val="0"/>
              <w:spacing w:line="240" w:lineRule="auto"/>
              <w:jc w:val="center"/>
              <w:rPr>
                <w:rFonts w:ascii="等线" w:hAnsi="等线" w:eastAsia="等线" w:cs="Times New Roman"/>
                <w:sz w:val="21"/>
                <w:szCs w:val="21"/>
              </w:rPr>
            </w:pPr>
            <w:r>
              <w:rPr>
                <w:rFonts w:hint="eastAsia" w:ascii="等线" w:hAnsi="等线" w:eastAsia="等线" w:cs="Times New Roman"/>
                <w:sz w:val="21"/>
                <w:szCs w:val="21"/>
              </w:rPr>
              <w:t xml:space="preserve">包号 </w:t>
            </w:r>
          </w:p>
        </w:tc>
        <w:tc>
          <w:tcPr>
            <w:tcW w:w="1367" w:type="dxa"/>
            <w:noWrap w:val="0"/>
            <w:vAlign w:val="center"/>
          </w:tcPr>
          <w:p w14:paraId="57D5F10A">
            <w:pPr>
              <w:adjustRightInd w:val="0"/>
              <w:snapToGrid w:val="0"/>
              <w:spacing w:line="240" w:lineRule="auto"/>
              <w:jc w:val="center"/>
              <w:rPr>
                <w:rFonts w:ascii="等线" w:hAnsi="等线" w:eastAsia="等线" w:cs="Times New Roman"/>
                <w:sz w:val="21"/>
                <w:szCs w:val="21"/>
              </w:rPr>
            </w:pPr>
            <w:r>
              <w:rPr>
                <w:rFonts w:hint="eastAsia" w:ascii="等线" w:hAnsi="等线" w:eastAsia="等线" w:cs="Times New Roman"/>
                <w:sz w:val="21"/>
                <w:szCs w:val="21"/>
              </w:rPr>
              <w:t>包名称</w:t>
            </w:r>
          </w:p>
        </w:tc>
        <w:tc>
          <w:tcPr>
            <w:tcW w:w="1813" w:type="dxa"/>
            <w:noWrap w:val="0"/>
            <w:vAlign w:val="center"/>
          </w:tcPr>
          <w:p w14:paraId="6352280F">
            <w:pPr>
              <w:adjustRightInd w:val="0"/>
              <w:snapToGrid w:val="0"/>
              <w:spacing w:line="240" w:lineRule="auto"/>
              <w:jc w:val="center"/>
              <w:rPr>
                <w:rFonts w:ascii="等线" w:hAnsi="等线" w:eastAsia="等线" w:cs="Times New Roman"/>
                <w:sz w:val="21"/>
                <w:szCs w:val="21"/>
              </w:rPr>
            </w:pPr>
            <w:r>
              <w:rPr>
                <w:rFonts w:hint="eastAsia" w:ascii="等线" w:hAnsi="等线" w:eastAsia="等线" w:cs="Times New Roman"/>
                <w:sz w:val="21"/>
                <w:szCs w:val="21"/>
              </w:rPr>
              <w:t>标的名称</w:t>
            </w:r>
          </w:p>
        </w:tc>
        <w:tc>
          <w:tcPr>
            <w:tcW w:w="1637" w:type="dxa"/>
            <w:tcBorders>
              <w:left w:val="single" w:color="auto" w:sz="4" w:space="0"/>
            </w:tcBorders>
            <w:noWrap w:val="0"/>
            <w:vAlign w:val="center"/>
          </w:tcPr>
          <w:p w14:paraId="07DBAD59">
            <w:pPr>
              <w:adjustRightInd w:val="0"/>
              <w:snapToGrid w:val="0"/>
              <w:spacing w:line="240" w:lineRule="auto"/>
              <w:jc w:val="center"/>
              <w:rPr>
                <w:rFonts w:hint="eastAsia" w:ascii="等线" w:hAnsi="等线" w:eastAsia="等线" w:cs="Times New Roman"/>
                <w:sz w:val="21"/>
                <w:szCs w:val="21"/>
              </w:rPr>
            </w:pPr>
            <w:r>
              <w:rPr>
                <w:rFonts w:hint="eastAsia" w:ascii="等线" w:hAnsi="等线" w:eastAsia="等线" w:cs="Times New Roman"/>
                <w:sz w:val="21"/>
                <w:szCs w:val="21"/>
              </w:rPr>
              <w:t>简要技术要求</w:t>
            </w:r>
          </w:p>
        </w:tc>
        <w:tc>
          <w:tcPr>
            <w:tcW w:w="895" w:type="dxa"/>
            <w:tcBorders>
              <w:left w:val="single" w:color="auto" w:sz="4" w:space="0"/>
            </w:tcBorders>
            <w:noWrap w:val="0"/>
            <w:vAlign w:val="center"/>
          </w:tcPr>
          <w:p w14:paraId="50F49FAA">
            <w:pPr>
              <w:adjustRightInd w:val="0"/>
              <w:snapToGrid w:val="0"/>
              <w:spacing w:line="240" w:lineRule="auto"/>
              <w:jc w:val="center"/>
              <w:rPr>
                <w:rFonts w:ascii="宋体" w:hAnsi="宋体" w:eastAsia="等线" w:cs="宋体"/>
                <w:kern w:val="0"/>
                <w:sz w:val="21"/>
                <w:szCs w:val="21"/>
              </w:rPr>
            </w:pPr>
            <w:r>
              <w:rPr>
                <w:rFonts w:hint="eastAsia" w:ascii="等线" w:hAnsi="等线" w:eastAsia="等线" w:cs="Times New Roman"/>
                <w:sz w:val="21"/>
                <w:szCs w:val="21"/>
              </w:rPr>
              <w:t>数量</w:t>
            </w:r>
          </w:p>
        </w:tc>
        <w:tc>
          <w:tcPr>
            <w:tcW w:w="1342" w:type="dxa"/>
            <w:noWrap w:val="0"/>
            <w:vAlign w:val="center"/>
          </w:tcPr>
          <w:p w14:paraId="11928C8A">
            <w:pPr>
              <w:adjustRightInd w:val="0"/>
              <w:snapToGrid w:val="0"/>
              <w:spacing w:line="240" w:lineRule="auto"/>
              <w:jc w:val="center"/>
              <w:rPr>
                <w:rFonts w:hint="eastAsia" w:ascii="等线" w:hAnsi="等线" w:eastAsia="等线" w:cs="Times New Roman"/>
                <w:sz w:val="21"/>
                <w:szCs w:val="21"/>
              </w:rPr>
            </w:pPr>
            <w:r>
              <w:rPr>
                <w:rFonts w:hint="eastAsia" w:ascii="等线" w:hAnsi="等线" w:eastAsia="等线" w:cs="Times New Roman"/>
                <w:sz w:val="21"/>
                <w:szCs w:val="21"/>
                <w:highlight w:val="none"/>
              </w:rPr>
              <w:t>标的预算</w:t>
            </w:r>
          </w:p>
        </w:tc>
        <w:tc>
          <w:tcPr>
            <w:tcW w:w="1400" w:type="dxa"/>
            <w:noWrap w:val="0"/>
            <w:vAlign w:val="center"/>
          </w:tcPr>
          <w:p w14:paraId="2218CF5C">
            <w:pPr>
              <w:pageBreakBefore w:val="0"/>
              <w:widowControl w:val="0"/>
              <w:kinsoku/>
              <w:wordWrap/>
              <w:overflowPunct/>
              <w:topLinePunct w:val="0"/>
              <w:autoSpaceDE/>
              <w:autoSpaceDN/>
              <w:bidi w:val="0"/>
              <w:spacing w:line="240" w:lineRule="auto"/>
              <w:ind w:left="0" w:leftChars="0"/>
              <w:jc w:val="center"/>
              <w:textAlignment w:val="baseline"/>
              <w:rPr>
                <w:rFonts w:hint="eastAsia" w:ascii="Times New Roman" w:hAnsi="Times New Roman" w:eastAsia="微软雅黑" w:cs="Times New Roman"/>
                <w:b/>
                <w:kern w:val="2"/>
                <w:sz w:val="21"/>
                <w:szCs w:val="21"/>
                <w:lang w:val="en-US" w:eastAsia="zh-CN" w:bidi="ar-SA"/>
              </w:rPr>
            </w:pPr>
            <w:r>
              <w:rPr>
                <w:rFonts w:hint="eastAsia" w:ascii="Times New Roman" w:hAnsi="Times New Roman" w:eastAsia="微软雅黑" w:cs="Times New Roman"/>
                <w:b w:val="0"/>
                <w:color w:val="auto"/>
                <w:kern w:val="2"/>
                <w:sz w:val="21"/>
                <w:szCs w:val="21"/>
                <w:lang w:val="en-US" w:eastAsia="zh-CN" w:bidi="ar-SA"/>
              </w:rPr>
              <w:t>节能产品</w:t>
            </w:r>
          </w:p>
        </w:tc>
        <w:tc>
          <w:tcPr>
            <w:tcW w:w="1400" w:type="dxa"/>
            <w:noWrap w:val="0"/>
            <w:vAlign w:val="center"/>
          </w:tcPr>
          <w:p w14:paraId="2B38AAD2">
            <w:pPr>
              <w:pageBreakBefore w:val="0"/>
              <w:widowControl w:val="0"/>
              <w:kinsoku/>
              <w:wordWrap/>
              <w:overflowPunct/>
              <w:topLinePunct w:val="0"/>
              <w:autoSpaceDE/>
              <w:autoSpaceDN/>
              <w:bidi w:val="0"/>
              <w:spacing w:line="240" w:lineRule="auto"/>
              <w:ind w:left="0" w:leftChars="0"/>
              <w:jc w:val="center"/>
              <w:textAlignment w:val="baseline"/>
              <w:rPr>
                <w:rFonts w:hint="eastAsia" w:ascii="Times New Roman" w:hAnsi="Times New Roman" w:eastAsia="微软雅黑" w:cs="Times New Roman"/>
                <w:b/>
                <w:kern w:val="2"/>
                <w:sz w:val="21"/>
                <w:szCs w:val="21"/>
                <w:lang w:val="en-US" w:eastAsia="zh-CN" w:bidi="ar-SA"/>
              </w:rPr>
            </w:pPr>
            <w:r>
              <w:rPr>
                <w:rFonts w:hint="eastAsia" w:ascii="Times New Roman" w:hAnsi="Times New Roman" w:eastAsia="微软雅黑" w:cs="Times New Roman"/>
                <w:b w:val="0"/>
                <w:color w:val="auto"/>
                <w:kern w:val="2"/>
                <w:sz w:val="21"/>
                <w:szCs w:val="21"/>
                <w:lang w:val="en-US" w:eastAsia="zh-CN" w:bidi="ar-SA"/>
              </w:rPr>
              <w:t>进口产品</w:t>
            </w:r>
          </w:p>
        </w:tc>
      </w:tr>
      <w:tr w14:paraId="387128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55" w:hRule="atLeast"/>
          <w:jc w:val="center"/>
        </w:trPr>
        <w:tc>
          <w:tcPr>
            <w:tcW w:w="782" w:type="dxa"/>
            <w:tcBorders>
              <w:top w:val="single" w:color="auto" w:sz="4" w:space="0"/>
              <w:bottom w:val="single" w:color="auto" w:sz="4" w:space="0"/>
            </w:tcBorders>
            <w:noWrap w:val="0"/>
            <w:vAlign w:val="center"/>
          </w:tcPr>
          <w:p w14:paraId="50B4BDF9">
            <w:pPr>
              <w:adjustRightInd w:val="0"/>
              <w:snapToGrid w:val="0"/>
              <w:spacing w:before="156" w:beforeLines="50" w:line="240" w:lineRule="auto"/>
              <w:jc w:val="center"/>
              <w:rPr>
                <w:rFonts w:hint="default" w:ascii="等线" w:hAnsi="等线" w:eastAsia="等线" w:cs="Times New Roman"/>
                <w:sz w:val="21"/>
                <w:szCs w:val="21"/>
                <w:lang w:val="en-US" w:eastAsia="zh-CN"/>
              </w:rPr>
            </w:pPr>
            <w:r>
              <w:rPr>
                <w:rFonts w:hint="eastAsia" w:ascii="等线" w:hAnsi="等线" w:eastAsia="等线" w:cs="Times New Roman"/>
                <w:sz w:val="21"/>
                <w:szCs w:val="21"/>
                <w:lang w:val="en-US" w:eastAsia="zh-CN"/>
              </w:rPr>
              <w:t>3</w:t>
            </w:r>
          </w:p>
        </w:tc>
        <w:tc>
          <w:tcPr>
            <w:tcW w:w="1367" w:type="dxa"/>
            <w:tcBorders>
              <w:top w:val="single" w:color="auto" w:sz="4" w:space="0"/>
              <w:bottom w:val="single" w:color="auto" w:sz="4" w:space="0"/>
            </w:tcBorders>
            <w:noWrap w:val="0"/>
            <w:vAlign w:val="center"/>
          </w:tcPr>
          <w:p w14:paraId="1D5CFE42">
            <w:pPr>
              <w:adjustRightInd w:val="0"/>
              <w:snapToGrid w:val="0"/>
              <w:spacing w:before="156" w:beforeLines="50" w:line="240" w:lineRule="auto"/>
              <w:jc w:val="center"/>
              <w:rPr>
                <w:rFonts w:hint="default" w:ascii="等线" w:hAnsi="等线" w:eastAsia="宋体" w:cs="Times New Roman"/>
                <w:sz w:val="21"/>
                <w:szCs w:val="21"/>
                <w:lang w:val="en-US" w:eastAsia="zh-CN"/>
              </w:rPr>
            </w:pPr>
            <w:r>
              <w:rPr>
                <w:rFonts w:hint="eastAsia" w:ascii="等线" w:hAnsi="等线" w:eastAsia="等线" w:cs="Times New Roman"/>
                <w:sz w:val="21"/>
                <w:szCs w:val="21"/>
                <w:lang w:val="en-US" w:eastAsia="zh-CN"/>
              </w:rPr>
              <w:t>包3</w:t>
            </w:r>
          </w:p>
        </w:tc>
        <w:tc>
          <w:tcPr>
            <w:tcW w:w="1813" w:type="dxa"/>
            <w:tcBorders>
              <w:top w:val="single" w:color="auto" w:sz="4" w:space="0"/>
              <w:bottom w:val="single" w:color="auto" w:sz="4" w:space="0"/>
            </w:tcBorders>
            <w:noWrap w:val="0"/>
            <w:vAlign w:val="center"/>
          </w:tcPr>
          <w:p w14:paraId="4861BC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等线" w:hAnsi="等线" w:eastAsia="宋体" w:cs="Times New Roman"/>
                <w:sz w:val="21"/>
                <w:szCs w:val="21"/>
                <w:lang w:eastAsia="zh-CN"/>
              </w:rPr>
            </w:pPr>
            <w:r>
              <w:rPr>
                <w:rFonts w:hint="eastAsia" w:ascii="微软雅黑" w:hAnsi="微软雅黑" w:eastAsia="微软雅黑" w:cs="微软雅黑"/>
                <w:i w:val="0"/>
                <w:iCs w:val="0"/>
                <w:color w:val="000000"/>
                <w:sz w:val="21"/>
                <w:szCs w:val="21"/>
                <w:highlight w:val="none"/>
                <w:u w:val="none"/>
                <w:lang w:val="en-US" w:eastAsia="zh-CN"/>
              </w:rPr>
              <w:t>空调</w:t>
            </w:r>
          </w:p>
        </w:tc>
        <w:tc>
          <w:tcPr>
            <w:tcW w:w="1637" w:type="dxa"/>
            <w:tcBorders>
              <w:left w:val="single" w:color="auto" w:sz="4" w:space="0"/>
            </w:tcBorders>
            <w:noWrap w:val="0"/>
            <w:vAlign w:val="center"/>
          </w:tcPr>
          <w:p w14:paraId="426B70FF">
            <w:pPr>
              <w:adjustRightInd w:val="0"/>
              <w:snapToGrid w:val="0"/>
              <w:spacing w:before="156" w:beforeLines="50" w:line="240" w:lineRule="auto"/>
              <w:jc w:val="center"/>
              <w:rPr>
                <w:rFonts w:hint="eastAsia" w:ascii="等线" w:hAnsi="等线" w:eastAsia="等线" w:cs="Times New Roman"/>
                <w:sz w:val="21"/>
                <w:szCs w:val="21"/>
              </w:rPr>
            </w:pPr>
            <w:r>
              <w:rPr>
                <w:rFonts w:hint="eastAsia" w:ascii="等线" w:hAnsi="等线" w:eastAsia="等线" w:cs="Times New Roman"/>
                <w:sz w:val="21"/>
                <w:szCs w:val="21"/>
              </w:rPr>
              <w:t>详见第五章采购需求</w:t>
            </w:r>
          </w:p>
        </w:tc>
        <w:tc>
          <w:tcPr>
            <w:tcW w:w="895" w:type="dxa"/>
            <w:tcBorders>
              <w:left w:val="single" w:color="auto" w:sz="4" w:space="0"/>
            </w:tcBorders>
            <w:noWrap w:val="0"/>
            <w:vAlign w:val="center"/>
          </w:tcPr>
          <w:p w14:paraId="0D5CF348">
            <w:pPr>
              <w:adjustRightInd w:val="0"/>
              <w:snapToGrid w:val="0"/>
              <w:spacing w:before="156" w:beforeLines="50" w:line="240" w:lineRule="auto"/>
              <w:jc w:val="center"/>
              <w:rPr>
                <w:rFonts w:hint="default" w:ascii="等线" w:hAnsi="等线" w:eastAsia="等线" w:cs="Times New Roman"/>
                <w:sz w:val="21"/>
                <w:szCs w:val="21"/>
                <w:lang w:val="en-US" w:eastAsia="zh-CN"/>
              </w:rPr>
            </w:pPr>
            <w:r>
              <w:rPr>
                <w:rFonts w:hint="eastAsia" w:ascii="等线" w:hAnsi="等线" w:eastAsia="等线" w:cs="Times New Roman"/>
                <w:sz w:val="21"/>
                <w:szCs w:val="21"/>
                <w:lang w:val="en-US" w:eastAsia="zh-CN"/>
              </w:rPr>
              <w:t>1批</w:t>
            </w:r>
          </w:p>
        </w:tc>
        <w:tc>
          <w:tcPr>
            <w:tcW w:w="1342" w:type="dxa"/>
            <w:noWrap w:val="0"/>
            <w:vAlign w:val="center"/>
          </w:tcPr>
          <w:p w14:paraId="64F850F2">
            <w:pPr>
              <w:adjustRightInd w:val="0"/>
              <w:snapToGrid w:val="0"/>
              <w:spacing w:before="156" w:beforeLines="50" w:line="240" w:lineRule="auto"/>
              <w:jc w:val="center"/>
              <w:rPr>
                <w:rFonts w:hint="eastAsia" w:ascii="等线" w:hAnsi="等线" w:eastAsia="等线" w:cs="Times New Roman"/>
                <w:sz w:val="21"/>
                <w:szCs w:val="21"/>
                <w:lang w:val="en-US" w:eastAsia="zh-CN"/>
              </w:rPr>
            </w:pPr>
            <w:r>
              <w:rPr>
                <w:rFonts w:hint="eastAsia" w:ascii="等线" w:hAnsi="等线" w:eastAsia="等线" w:cs="Times New Roman"/>
                <w:sz w:val="21"/>
                <w:szCs w:val="21"/>
                <w:lang w:val="en-US" w:eastAsia="zh-CN"/>
              </w:rPr>
              <w:t>134092.00</w:t>
            </w:r>
          </w:p>
        </w:tc>
        <w:tc>
          <w:tcPr>
            <w:tcW w:w="1400" w:type="dxa"/>
            <w:noWrap w:val="0"/>
            <w:vAlign w:val="center"/>
          </w:tcPr>
          <w:p w14:paraId="0A57B50B">
            <w:pPr>
              <w:pageBreakBefore w:val="0"/>
              <w:widowControl w:val="0"/>
              <w:kinsoku/>
              <w:wordWrap/>
              <w:overflowPunct/>
              <w:topLinePunct w:val="0"/>
              <w:autoSpaceDE/>
              <w:autoSpaceDN/>
              <w:bidi w:val="0"/>
              <w:spacing w:line="240" w:lineRule="auto"/>
              <w:ind w:left="0" w:leftChars="0"/>
              <w:jc w:val="center"/>
              <w:textAlignment w:val="baseline"/>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sym w:font="Wingdings" w:char="00FE"/>
            </w:r>
          </w:p>
        </w:tc>
        <w:tc>
          <w:tcPr>
            <w:tcW w:w="1400" w:type="dxa"/>
            <w:noWrap w:val="0"/>
            <w:vAlign w:val="center"/>
          </w:tcPr>
          <w:p w14:paraId="328BB4D0">
            <w:pPr>
              <w:pageBreakBefore w:val="0"/>
              <w:widowControl w:val="0"/>
              <w:kinsoku/>
              <w:wordWrap/>
              <w:overflowPunct/>
              <w:topLinePunct w:val="0"/>
              <w:autoSpaceDE/>
              <w:autoSpaceDN/>
              <w:bidi w:val="0"/>
              <w:spacing w:line="240" w:lineRule="auto"/>
              <w:ind w:left="0" w:leftChars="0"/>
              <w:jc w:val="center"/>
              <w:textAlignment w:val="baseline"/>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sym w:font="Wingdings" w:char="00A8"/>
            </w:r>
          </w:p>
        </w:tc>
      </w:tr>
    </w:tbl>
    <w:p w14:paraId="00489923">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420" w:leftChars="0" w:hanging="420" w:hangingChars="200"/>
        <w:jc w:val="left"/>
        <w:rPr>
          <w:rFonts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备注</w:t>
      </w:r>
      <w:r>
        <w:rPr>
          <w:rFonts w:ascii="宋体" w:hAnsi="宋体" w:eastAsia="宋体" w:cs="宋体"/>
          <w:kern w:val="0"/>
          <w:sz w:val="21"/>
          <w:szCs w:val="21"/>
          <w:lang w:val="en-US" w:eastAsia="zh-CN" w:bidi="ar"/>
        </w:rPr>
        <w:t>1.节能产品实行强制采购的，需提供国家认证机构出具的、处于有效期内的节能产品证书。2.同意购买进口产品的，不限制满足采购需求的国内产品参与投标。</w:t>
      </w:r>
    </w:p>
    <w:p w14:paraId="254FC26B">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211" w:leftChars="0" w:hanging="211" w:hangingChars="100"/>
        <w:jc w:val="left"/>
        <w:rPr>
          <w:rFonts w:hint="eastAsia" w:ascii="Times New Roman" w:hAnsi="Times New Roman" w:eastAsia="宋体" w:cs="Times New Roman"/>
          <w:b/>
          <w:kern w:val="2"/>
          <w:sz w:val="21"/>
          <w:szCs w:val="21"/>
          <w:lang w:val="en-US" w:eastAsia="zh-CN" w:bidi="ar-SA"/>
        </w:rPr>
      </w:pPr>
      <w:r>
        <w:rPr>
          <w:rFonts w:hint="eastAsia" w:ascii="Times New Roman" w:hAnsi="Times New Roman" w:eastAsia="宋体" w:cs="Times New Roman"/>
          <w:b/>
          <w:kern w:val="2"/>
          <w:sz w:val="21"/>
          <w:szCs w:val="21"/>
          <w:lang w:val="en-US" w:eastAsia="zh-CN" w:bidi="ar-SA"/>
        </w:rPr>
        <w:t>三、中标供应商的确定</w:t>
      </w:r>
    </w:p>
    <w:p w14:paraId="7A939561">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rPr>
          <w:rFonts w:hint="eastAsia" w:ascii="宋体" w:hAnsi="宋体" w:eastAsia="宋体" w:cs="宋体"/>
          <w:color w:val="000000"/>
          <w:kern w:val="0"/>
          <w:sz w:val="21"/>
          <w:szCs w:val="21"/>
          <w:lang w:val="en-US" w:eastAsia="zh-CN" w:bidi="ar"/>
        </w:rPr>
      </w:pPr>
      <w:bookmarkStart w:id="0" w:name="_Toc25701"/>
      <w:r>
        <w:rPr>
          <w:rFonts w:hint="eastAsia" w:ascii="宋体" w:hAnsi="宋体" w:eastAsia="宋体" w:cs="宋体"/>
          <w:color w:val="000000"/>
          <w:kern w:val="0"/>
          <w:sz w:val="21"/>
          <w:szCs w:val="21"/>
          <w:lang w:val="en-US" w:eastAsia="zh-CN" w:bidi="ar"/>
        </w:rPr>
        <w:t>1.本项目报价采用（减价）多轮报价方式。</w:t>
      </w:r>
    </w:p>
    <w:p w14:paraId="7E874E62">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rPr>
          <w:rFonts w:hint="eastAsia" w:ascii="宋体" w:hAnsi="宋体" w:eastAsia="宋体" w:cs="宋体"/>
          <w:color w:val="000000"/>
          <w:kern w:val="0"/>
          <w:sz w:val="21"/>
          <w:szCs w:val="21"/>
          <w:lang w:val="en-US" w:eastAsia="zh-CN" w:bidi="ar"/>
        </w:rPr>
      </w:pPr>
      <w:bookmarkStart w:id="1" w:name="_Toc16625"/>
      <w:r>
        <w:rPr>
          <w:rFonts w:hint="eastAsia" w:ascii="宋体" w:hAnsi="宋体" w:eastAsia="宋体" w:cs="宋体"/>
          <w:color w:val="000000"/>
          <w:kern w:val="0"/>
          <w:sz w:val="21"/>
          <w:szCs w:val="21"/>
          <w:lang w:val="en-US" w:eastAsia="zh-CN" w:bidi="ar"/>
        </w:rPr>
        <w:t>2.本项目设置保留价（底价），根据报价情况，将不高于保留价的报价人按照报价由低到高的顺序推荐3名中标候选人，不足3个中标候选人的，按实际个数推荐。</w:t>
      </w:r>
      <w:bookmarkEnd w:id="1"/>
      <w:bookmarkStart w:id="2" w:name="_Toc2157"/>
    </w:p>
    <w:p w14:paraId="646F0746">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若第一中标候选人主动放弃或者未按照采购文件要求提交履约保证金或者未按时与采购人签订合同而被取消资格后，第二中标候选人同意按照高于第一中标候选人一个减价幅度的报价的，则第二中标候选人应当确定为中标供应商。</w:t>
      </w:r>
      <w:bookmarkEnd w:id="2"/>
    </w:p>
    <w:p w14:paraId="71295AD9">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rPr>
          <w:rFonts w:hint="eastAsia" w:ascii="宋体" w:hAnsi="宋体" w:eastAsia="宋体" w:cs="宋体"/>
          <w:color w:val="000000"/>
          <w:kern w:val="0"/>
          <w:sz w:val="21"/>
          <w:szCs w:val="21"/>
          <w:lang w:val="en-US" w:eastAsia="zh-CN" w:bidi="ar"/>
        </w:rPr>
      </w:pPr>
      <w:bookmarkStart w:id="3" w:name="_Toc7119"/>
      <w:r>
        <w:rPr>
          <w:rFonts w:hint="eastAsia" w:ascii="宋体" w:hAnsi="宋体" w:eastAsia="宋体" w:cs="宋体"/>
          <w:color w:val="000000"/>
          <w:kern w:val="0"/>
          <w:sz w:val="21"/>
          <w:szCs w:val="21"/>
          <w:lang w:val="en-US" w:eastAsia="zh-CN" w:bidi="ar"/>
        </w:rPr>
        <w:t>（2）若第二中标候选人不接受此成交条件，第三中标候选人同意按照高于第一中标候选人一个减价幅度的报价的，则第三中标候选人应当确定为中标供应商。</w:t>
      </w:r>
      <w:bookmarkEnd w:id="3"/>
    </w:p>
    <w:p w14:paraId="05DCBB48">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rPr>
          <w:rFonts w:hint="eastAsia" w:ascii="宋体" w:hAnsi="宋体" w:eastAsia="宋体" w:cs="宋体"/>
          <w:spacing w:val="0"/>
          <w:kern w:val="0"/>
          <w:sz w:val="21"/>
          <w:szCs w:val="21"/>
          <w:lang w:val="en-US" w:eastAsia="zh-CN" w:bidi="ar"/>
        </w:rPr>
      </w:pPr>
      <w:bookmarkStart w:id="4" w:name="_Toc28440"/>
      <w:r>
        <w:rPr>
          <w:rFonts w:hint="eastAsia" w:ascii="宋体" w:hAnsi="宋体" w:eastAsia="宋体" w:cs="宋体"/>
          <w:color w:val="000000"/>
          <w:kern w:val="0"/>
          <w:sz w:val="21"/>
          <w:szCs w:val="21"/>
          <w:lang w:val="en-US" w:eastAsia="zh-CN" w:bidi="ar"/>
        </w:rPr>
        <w:t>（3）若3个中标、成交候选人均不接受此成交条件，采购人应当重新组织采购活动。</w:t>
      </w:r>
      <w:bookmarkEnd w:id="0"/>
      <w:bookmarkEnd w:id="4"/>
    </w:p>
    <w:p w14:paraId="196F8C49">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211" w:leftChars="0" w:hanging="211" w:hangingChars="100"/>
        <w:jc w:val="left"/>
        <w:rPr>
          <w:rFonts w:hint="eastAsia" w:ascii="Times New Roman" w:hAnsi="Times New Roman" w:eastAsia="宋体" w:cs="Times New Roman"/>
          <w:b/>
          <w:kern w:val="2"/>
          <w:sz w:val="21"/>
          <w:szCs w:val="21"/>
          <w:lang w:val="en-US" w:eastAsia="zh-CN" w:bidi="ar-SA"/>
        </w:rPr>
      </w:pPr>
      <w:bookmarkStart w:id="5" w:name="_Toc14428"/>
      <w:r>
        <w:rPr>
          <w:rFonts w:hint="eastAsia" w:ascii="Times New Roman" w:hAnsi="Times New Roman" w:eastAsia="宋体" w:cs="Times New Roman"/>
          <w:b/>
          <w:kern w:val="2"/>
          <w:sz w:val="21"/>
          <w:szCs w:val="21"/>
          <w:lang w:val="en-US" w:eastAsia="zh-CN" w:bidi="ar-SA"/>
        </w:rPr>
        <w:t>四、公开竞价起始价、保证金、竞价幅度要求：</w:t>
      </w:r>
      <w:bookmarkEnd w:id="5"/>
    </w:p>
    <w:tbl>
      <w:tblPr>
        <w:tblStyle w:val="2"/>
        <w:tblW w:w="10070"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862"/>
        <w:gridCol w:w="2237"/>
        <w:gridCol w:w="2046"/>
        <w:gridCol w:w="1826"/>
        <w:gridCol w:w="1971"/>
        <w:gridCol w:w="1128"/>
      </w:tblGrid>
      <w:tr w14:paraId="3CA84761">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862" w:type="dxa"/>
            <w:tcBorders>
              <w:right w:val="single" w:color="auto" w:sz="4" w:space="0"/>
              <w:tl2br w:val="nil"/>
              <w:tr2bl w:val="nil"/>
            </w:tcBorders>
            <w:shd w:val="pct10" w:color="ADB9CA" w:fill="D6DCE5"/>
            <w:tcMar>
              <w:top w:w="0" w:type="dxa"/>
              <w:left w:w="84" w:type="dxa"/>
              <w:bottom w:w="0" w:type="dxa"/>
              <w:right w:w="84" w:type="dxa"/>
            </w:tcMar>
            <w:vAlign w:val="center"/>
          </w:tcPr>
          <w:p w14:paraId="799EF469">
            <w:pPr>
              <w:widowControl w:val="0"/>
              <w:spacing w:line="300" w:lineRule="exact"/>
              <w:jc w:val="center"/>
              <w:rPr>
                <w:rFonts w:hint="eastAsia" w:ascii="Times New Roman" w:hAnsi="Times New Roman" w:eastAsia="微软雅黑" w:cs="Times New Roman"/>
                <w:color w:val="000000"/>
                <w:kern w:val="2"/>
                <w:sz w:val="21"/>
                <w:szCs w:val="24"/>
                <w:highlight w:val="none"/>
                <w:lang w:val="en-US" w:eastAsia="zh-CN" w:bidi="ar-SA"/>
              </w:rPr>
            </w:pPr>
            <w:r>
              <w:rPr>
                <w:rFonts w:hint="eastAsia" w:ascii="Times New Roman" w:hAnsi="Times New Roman" w:eastAsia="微软雅黑" w:cs="Times New Roman"/>
                <w:color w:val="000000"/>
                <w:kern w:val="2"/>
                <w:sz w:val="21"/>
                <w:szCs w:val="24"/>
                <w:highlight w:val="none"/>
                <w:lang w:val="en-US" w:eastAsia="zh-CN" w:bidi="ar-SA"/>
              </w:rPr>
              <w:t>包名</w:t>
            </w:r>
          </w:p>
        </w:tc>
        <w:tc>
          <w:tcPr>
            <w:tcW w:w="2237" w:type="dxa"/>
            <w:tcBorders>
              <w:left w:val="single" w:color="auto" w:sz="4" w:space="0"/>
              <w:tl2br w:val="nil"/>
              <w:tr2bl w:val="nil"/>
            </w:tcBorders>
            <w:shd w:val="pct10" w:color="ADB9CA" w:fill="D6DCE5"/>
            <w:tcMar>
              <w:top w:w="0" w:type="dxa"/>
              <w:left w:w="84" w:type="dxa"/>
              <w:bottom w:w="0" w:type="dxa"/>
              <w:right w:w="84" w:type="dxa"/>
            </w:tcMar>
            <w:vAlign w:val="center"/>
          </w:tcPr>
          <w:p w14:paraId="659B477B">
            <w:pPr>
              <w:widowControl w:val="0"/>
              <w:spacing w:line="300" w:lineRule="exact"/>
              <w:jc w:val="center"/>
              <w:rPr>
                <w:rFonts w:hint="default" w:ascii="Times New Roman" w:hAnsi="Times New Roman" w:eastAsia="微软雅黑" w:cs="Times New Roman"/>
                <w:color w:val="000000"/>
                <w:kern w:val="2"/>
                <w:sz w:val="21"/>
                <w:szCs w:val="24"/>
                <w:highlight w:val="none"/>
                <w:lang w:val="en-US" w:eastAsia="zh-CN" w:bidi="ar-SA"/>
              </w:rPr>
            </w:pPr>
            <w:r>
              <w:rPr>
                <w:rFonts w:hint="eastAsia" w:ascii="Times New Roman" w:hAnsi="Times New Roman" w:eastAsia="微软雅黑" w:cs="Times New Roman"/>
                <w:color w:val="000000"/>
                <w:kern w:val="2"/>
                <w:sz w:val="21"/>
                <w:szCs w:val="24"/>
                <w:highlight w:val="none"/>
                <w:lang w:val="en-US" w:eastAsia="zh-CN" w:bidi="ar-SA"/>
              </w:rPr>
              <w:t>标的名称</w:t>
            </w:r>
          </w:p>
        </w:tc>
        <w:tc>
          <w:tcPr>
            <w:tcW w:w="2046" w:type="dxa"/>
            <w:tcBorders>
              <w:tl2br w:val="nil"/>
              <w:tr2bl w:val="nil"/>
            </w:tcBorders>
            <w:shd w:val="pct10" w:color="ADB9CA" w:fill="D6DCE5"/>
            <w:tcMar>
              <w:top w:w="0" w:type="dxa"/>
              <w:left w:w="84" w:type="dxa"/>
              <w:bottom w:w="0" w:type="dxa"/>
              <w:right w:w="84" w:type="dxa"/>
            </w:tcMar>
            <w:vAlign w:val="center"/>
          </w:tcPr>
          <w:p w14:paraId="175DB318">
            <w:pPr>
              <w:widowControl w:val="0"/>
              <w:spacing w:line="300" w:lineRule="exact"/>
              <w:jc w:val="center"/>
              <w:rPr>
                <w:rFonts w:ascii="Times New Roman" w:hAnsi="Times New Roman" w:eastAsia="微软雅黑" w:cs="Times New Roman"/>
                <w:color w:val="000000"/>
                <w:kern w:val="2"/>
                <w:sz w:val="21"/>
                <w:szCs w:val="24"/>
                <w:highlight w:val="none"/>
                <w:lang w:val="en-US" w:eastAsia="zh-CN" w:bidi="ar-SA"/>
              </w:rPr>
            </w:pPr>
            <w:r>
              <w:rPr>
                <w:rFonts w:hint="eastAsia" w:ascii="Times New Roman" w:hAnsi="Times New Roman" w:eastAsia="微软雅黑" w:cs="Times New Roman"/>
                <w:color w:val="000000"/>
                <w:kern w:val="2"/>
                <w:sz w:val="21"/>
                <w:szCs w:val="24"/>
                <w:highlight w:val="none"/>
                <w:lang w:val="en-US" w:eastAsia="zh-CN" w:bidi="ar-SA"/>
              </w:rPr>
              <w:t>报价起始价（元）</w:t>
            </w:r>
          </w:p>
        </w:tc>
        <w:tc>
          <w:tcPr>
            <w:tcW w:w="1826" w:type="dxa"/>
            <w:tcBorders>
              <w:tl2br w:val="nil"/>
              <w:tr2bl w:val="nil"/>
            </w:tcBorders>
            <w:shd w:val="pct10" w:color="ADB9CA" w:fill="D6DCE5"/>
            <w:tcMar>
              <w:top w:w="0" w:type="dxa"/>
              <w:left w:w="84" w:type="dxa"/>
              <w:bottom w:w="0" w:type="dxa"/>
              <w:right w:w="84" w:type="dxa"/>
            </w:tcMar>
            <w:vAlign w:val="center"/>
          </w:tcPr>
          <w:p w14:paraId="57CADEC5">
            <w:pPr>
              <w:widowControl w:val="0"/>
              <w:spacing w:line="300" w:lineRule="exact"/>
              <w:jc w:val="center"/>
              <w:rPr>
                <w:rFonts w:ascii="Times New Roman" w:hAnsi="Times New Roman" w:eastAsia="微软雅黑" w:cs="Times New Roman"/>
                <w:color w:val="auto"/>
                <w:kern w:val="2"/>
                <w:sz w:val="21"/>
                <w:szCs w:val="24"/>
                <w:highlight w:val="none"/>
                <w:lang w:val="en-US" w:eastAsia="zh-CN" w:bidi="ar-SA"/>
              </w:rPr>
            </w:pPr>
            <w:r>
              <w:rPr>
                <w:rFonts w:hint="eastAsia" w:ascii="Times New Roman" w:hAnsi="Times New Roman" w:eastAsia="微软雅黑" w:cs="Times New Roman"/>
                <w:color w:val="auto"/>
                <w:kern w:val="2"/>
                <w:sz w:val="21"/>
                <w:szCs w:val="24"/>
                <w:highlight w:val="none"/>
                <w:lang w:val="en-US" w:eastAsia="zh-CN" w:bidi="ar-SA"/>
              </w:rPr>
              <w:t>保证金（元）</w:t>
            </w:r>
          </w:p>
        </w:tc>
        <w:tc>
          <w:tcPr>
            <w:tcW w:w="1971" w:type="dxa"/>
            <w:tcBorders>
              <w:tl2br w:val="nil"/>
              <w:tr2bl w:val="nil"/>
            </w:tcBorders>
            <w:shd w:val="pct10" w:color="ADB9CA" w:fill="D6DCE5"/>
            <w:tcMar>
              <w:top w:w="0" w:type="dxa"/>
              <w:left w:w="84" w:type="dxa"/>
              <w:bottom w:w="0" w:type="dxa"/>
              <w:right w:w="84" w:type="dxa"/>
            </w:tcMar>
            <w:vAlign w:val="center"/>
          </w:tcPr>
          <w:p w14:paraId="05CD5EA4">
            <w:pPr>
              <w:widowControl w:val="0"/>
              <w:spacing w:line="300" w:lineRule="exact"/>
              <w:jc w:val="center"/>
              <w:rPr>
                <w:rFonts w:ascii="Times New Roman" w:hAnsi="Times New Roman" w:eastAsia="微软雅黑" w:cs="Times New Roman"/>
                <w:color w:val="auto"/>
                <w:kern w:val="2"/>
                <w:sz w:val="21"/>
                <w:szCs w:val="24"/>
                <w:highlight w:val="none"/>
                <w:lang w:val="en-US" w:eastAsia="zh-CN" w:bidi="ar-SA"/>
              </w:rPr>
            </w:pPr>
            <w:r>
              <w:rPr>
                <w:rFonts w:hint="eastAsia" w:ascii="Times New Roman" w:hAnsi="Times New Roman" w:eastAsia="微软雅黑" w:cs="Times New Roman"/>
                <w:color w:val="auto"/>
                <w:kern w:val="2"/>
                <w:sz w:val="21"/>
                <w:szCs w:val="24"/>
                <w:highlight w:val="none"/>
                <w:lang w:val="en-US" w:eastAsia="zh-CN" w:bidi="ar-SA"/>
              </w:rPr>
              <w:t>报价（减价）幅度（元）</w:t>
            </w:r>
          </w:p>
        </w:tc>
        <w:tc>
          <w:tcPr>
            <w:tcW w:w="1128" w:type="dxa"/>
            <w:tcBorders>
              <w:tl2br w:val="nil"/>
              <w:tr2bl w:val="nil"/>
            </w:tcBorders>
            <w:shd w:val="pct10" w:color="ADB9CA" w:fill="D6DCE5"/>
            <w:tcMar>
              <w:top w:w="0" w:type="dxa"/>
              <w:left w:w="84" w:type="dxa"/>
              <w:bottom w:w="0" w:type="dxa"/>
              <w:right w:w="84" w:type="dxa"/>
            </w:tcMar>
            <w:vAlign w:val="center"/>
          </w:tcPr>
          <w:p w14:paraId="35A307D7">
            <w:pPr>
              <w:widowControl w:val="0"/>
              <w:spacing w:line="300" w:lineRule="exact"/>
              <w:jc w:val="center"/>
              <w:rPr>
                <w:rFonts w:ascii="Times New Roman" w:hAnsi="Times New Roman" w:eastAsia="微软雅黑" w:cs="Times New Roman"/>
                <w:color w:val="000000"/>
                <w:kern w:val="2"/>
                <w:sz w:val="21"/>
                <w:szCs w:val="24"/>
                <w:highlight w:val="none"/>
                <w:lang w:val="en-US" w:eastAsia="zh-CN" w:bidi="ar-SA"/>
              </w:rPr>
            </w:pPr>
            <w:r>
              <w:rPr>
                <w:rFonts w:hint="eastAsia" w:ascii="Times New Roman" w:hAnsi="Times New Roman" w:eastAsia="微软雅黑" w:cs="Times New Roman"/>
                <w:color w:val="000000"/>
                <w:kern w:val="2"/>
                <w:sz w:val="21"/>
                <w:szCs w:val="24"/>
                <w:highlight w:val="none"/>
                <w:lang w:val="en-US" w:eastAsia="zh-CN" w:bidi="ar-SA"/>
              </w:rPr>
              <w:t>备注</w:t>
            </w:r>
          </w:p>
        </w:tc>
      </w:tr>
      <w:tr w14:paraId="09D68A7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331" w:hRule="atLeast"/>
        </w:trPr>
        <w:tc>
          <w:tcPr>
            <w:tcW w:w="862" w:type="dxa"/>
            <w:tcBorders>
              <w:right w:val="single" w:color="auto" w:sz="4" w:space="0"/>
              <w:tl2br w:val="nil"/>
              <w:tr2bl w:val="nil"/>
            </w:tcBorders>
            <w:shd w:val="clear" w:color="auto" w:fill="auto"/>
            <w:tcMar>
              <w:top w:w="0" w:type="dxa"/>
              <w:left w:w="84" w:type="dxa"/>
              <w:bottom w:w="0" w:type="dxa"/>
              <w:right w:w="84" w:type="dxa"/>
            </w:tcMar>
            <w:vAlign w:val="center"/>
          </w:tcPr>
          <w:p w14:paraId="1FEFE90F">
            <w:pPr>
              <w:widowControl w:val="0"/>
              <w:spacing w:line="240" w:lineRule="auto"/>
              <w:jc w:val="center"/>
              <w:rPr>
                <w:rFonts w:hint="default" w:ascii="Times New Roman" w:hAnsi="Times New Roman" w:eastAsia="微软雅黑" w:cs="Times New Roman"/>
                <w:color w:val="000000"/>
                <w:kern w:val="2"/>
                <w:sz w:val="21"/>
                <w:szCs w:val="24"/>
                <w:lang w:val="en-US" w:eastAsia="zh-CN" w:bidi="ar-SA"/>
              </w:rPr>
            </w:pPr>
            <w:r>
              <w:rPr>
                <w:rFonts w:hint="eastAsia" w:ascii="Times New Roman" w:hAnsi="Times New Roman" w:eastAsia="微软雅黑" w:cs="Times New Roman"/>
                <w:color w:val="000000"/>
                <w:kern w:val="2"/>
                <w:sz w:val="21"/>
                <w:szCs w:val="24"/>
                <w:lang w:val="en-US" w:eastAsia="zh-CN" w:bidi="ar-SA"/>
              </w:rPr>
              <w:t>包3</w:t>
            </w:r>
          </w:p>
        </w:tc>
        <w:tc>
          <w:tcPr>
            <w:tcW w:w="2237" w:type="dxa"/>
            <w:tcBorders>
              <w:left w:val="single" w:color="auto" w:sz="4" w:space="0"/>
              <w:tl2br w:val="nil"/>
              <w:tr2bl w:val="nil"/>
            </w:tcBorders>
            <w:tcMar>
              <w:top w:w="0" w:type="dxa"/>
              <w:left w:w="84" w:type="dxa"/>
              <w:bottom w:w="0" w:type="dxa"/>
              <w:right w:w="84" w:type="dxa"/>
            </w:tcMar>
            <w:vAlign w:val="center"/>
          </w:tcPr>
          <w:p w14:paraId="6531952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等线" w:hAnsi="等线" w:eastAsia="微软雅黑" w:cs="Times New Roman"/>
                <w:b w:val="0"/>
                <w:bCs/>
                <w:color w:val="000000"/>
                <w:szCs w:val="22"/>
                <w:highlight w:val="none"/>
                <w:lang w:eastAsia="zh-CN"/>
              </w:rPr>
            </w:pPr>
            <w:r>
              <w:rPr>
                <w:rFonts w:hint="eastAsia" w:ascii="微软雅黑" w:hAnsi="微软雅黑" w:eastAsia="微软雅黑" w:cs="微软雅黑"/>
                <w:i w:val="0"/>
                <w:iCs w:val="0"/>
                <w:color w:val="000000"/>
                <w:sz w:val="21"/>
                <w:szCs w:val="21"/>
                <w:highlight w:val="none"/>
                <w:u w:val="none"/>
                <w:lang w:val="en-US" w:eastAsia="zh-CN"/>
              </w:rPr>
              <w:t>空调</w:t>
            </w:r>
          </w:p>
        </w:tc>
        <w:tc>
          <w:tcPr>
            <w:tcW w:w="2046" w:type="dxa"/>
            <w:tcBorders>
              <w:tl2br w:val="nil"/>
              <w:tr2bl w:val="nil"/>
            </w:tcBorders>
            <w:tcMar>
              <w:top w:w="0" w:type="dxa"/>
              <w:left w:w="84" w:type="dxa"/>
              <w:bottom w:w="0" w:type="dxa"/>
              <w:right w:w="84" w:type="dxa"/>
            </w:tcMar>
            <w:vAlign w:val="center"/>
          </w:tcPr>
          <w:p w14:paraId="3E642427">
            <w:pPr>
              <w:adjustRightInd w:val="0"/>
              <w:snapToGrid w:val="0"/>
              <w:spacing w:before="156" w:beforeLines="50" w:line="240" w:lineRule="auto"/>
              <w:jc w:val="center"/>
              <w:rPr>
                <w:rFonts w:hint="eastAsia" w:ascii="宋体" w:hAnsi="宋体" w:eastAsia="等线" w:cs="Times New Roman"/>
                <w:color w:val="000000"/>
                <w:szCs w:val="22"/>
                <w:lang w:val="en-US" w:eastAsia="zh-CN"/>
              </w:rPr>
            </w:pPr>
            <w:r>
              <w:rPr>
                <w:rFonts w:hint="eastAsia" w:ascii="等线" w:hAnsi="等线" w:eastAsia="等线" w:cs="Times New Roman"/>
                <w:sz w:val="21"/>
                <w:szCs w:val="21"/>
                <w:lang w:val="en-US" w:eastAsia="zh-CN"/>
              </w:rPr>
              <w:t>134092.00</w:t>
            </w:r>
          </w:p>
        </w:tc>
        <w:tc>
          <w:tcPr>
            <w:tcW w:w="1826" w:type="dxa"/>
            <w:tcBorders>
              <w:tl2br w:val="nil"/>
              <w:tr2bl w:val="nil"/>
            </w:tcBorders>
            <w:tcMar>
              <w:top w:w="0" w:type="dxa"/>
              <w:left w:w="84" w:type="dxa"/>
              <w:bottom w:w="0" w:type="dxa"/>
              <w:right w:w="84" w:type="dxa"/>
            </w:tcMar>
            <w:vAlign w:val="center"/>
          </w:tcPr>
          <w:p w14:paraId="1F4F3D08">
            <w:pPr>
              <w:widowControl w:val="0"/>
              <w:spacing w:line="300" w:lineRule="exact"/>
              <w:jc w:val="center"/>
              <w:rPr>
                <w:rFonts w:hint="default" w:ascii="Times New Roman" w:hAnsi="Times New Roman" w:eastAsia="微软雅黑" w:cs="Times New Roman"/>
                <w:b w:val="0"/>
                <w:bCs/>
                <w:color w:val="000000"/>
                <w:kern w:val="2"/>
                <w:sz w:val="21"/>
                <w:szCs w:val="24"/>
                <w:highlight w:val="none"/>
                <w:lang w:val="en-US" w:eastAsia="zh-CN" w:bidi="ar-SA"/>
              </w:rPr>
            </w:pPr>
            <w:r>
              <w:rPr>
                <w:rFonts w:hint="eastAsia" w:ascii="Times New Roman" w:hAnsi="Times New Roman" w:eastAsia="微软雅黑" w:cs="Times New Roman"/>
                <w:b w:val="0"/>
                <w:bCs/>
                <w:color w:val="000000"/>
                <w:kern w:val="2"/>
                <w:sz w:val="21"/>
                <w:szCs w:val="24"/>
                <w:highlight w:val="none"/>
                <w:lang w:val="en-US" w:eastAsia="zh-CN" w:bidi="ar-SA"/>
              </w:rPr>
              <w:t>1</w:t>
            </w:r>
          </w:p>
        </w:tc>
        <w:tc>
          <w:tcPr>
            <w:tcW w:w="1971" w:type="dxa"/>
            <w:tcBorders>
              <w:tl2br w:val="nil"/>
              <w:tr2bl w:val="nil"/>
            </w:tcBorders>
            <w:tcMar>
              <w:top w:w="0" w:type="dxa"/>
              <w:left w:w="84" w:type="dxa"/>
              <w:bottom w:w="0" w:type="dxa"/>
              <w:right w:w="84" w:type="dxa"/>
            </w:tcMar>
            <w:vAlign w:val="center"/>
          </w:tcPr>
          <w:p w14:paraId="3CC1D99B">
            <w:pPr>
              <w:widowControl w:val="0"/>
              <w:spacing w:line="300" w:lineRule="exact"/>
              <w:jc w:val="center"/>
              <w:rPr>
                <w:rFonts w:hint="eastAsia" w:ascii="Times New Roman" w:hAnsi="Times New Roman" w:eastAsia="微软雅黑" w:cs="Times New Roman"/>
                <w:b w:val="0"/>
                <w:bCs/>
                <w:color w:val="000000"/>
                <w:kern w:val="2"/>
                <w:sz w:val="21"/>
                <w:szCs w:val="24"/>
                <w:highlight w:val="none"/>
                <w:lang w:val="en-US" w:eastAsia="zh-CN" w:bidi="ar-SA"/>
              </w:rPr>
            </w:pPr>
            <w:r>
              <w:rPr>
                <w:rFonts w:hint="eastAsia" w:ascii="Times New Roman" w:hAnsi="Times New Roman" w:eastAsia="微软雅黑" w:cs="Times New Roman"/>
                <w:b w:val="0"/>
                <w:bCs/>
                <w:color w:val="000000"/>
                <w:kern w:val="2"/>
                <w:sz w:val="21"/>
                <w:szCs w:val="24"/>
                <w:highlight w:val="none"/>
                <w:lang w:val="en-US" w:eastAsia="zh-CN" w:bidi="ar-SA"/>
              </w:rPr>
              <w:t>1400</w:t>
            </w:r>
          </w:p>
        </w:tc>
        <w:tc>
          <w:tcPr>
            <w:tcW w:w="1128" w:type="dxa"/>
            <w:tcBorders>
              <w:tl2br w:val="nil"/>
              <w:tr2bl w:val="nil"/>
            </w:tcBorders>
            <w:tcMar>
              <w:top w:w="0" w:type="dxa"/>
              <w:left w:w="84" w:type="dxa"/>
              <w:bottom w:w="0" w:type="dxa"/>
              <w:right w:w="84" w:type="dxa"/>
            </w:tcMar>
            <w:vAlign w:val="center"/>
          </w:tcPr>
          <w:p w14:paraId="4D60E214">
            <w:pPr>
              <w:widowControl w:val="0"/>
              <w:spacing w:line="300" w:lineRule="exact"/>
              <w:jc w:val="center"/>
              <w:rPr>
                <w:rFonts w:ascii="Times New Roman" w:hAnsi="Times New Roman" w:eastAsia="微软雅黑" w:cs="Times New Roman"/>
                <w:b w:val="0"/>
                <w:bCs/>
                <w:color w:val="000000"/>
                <w:kern w:val="2"/>
                <w:sz w:val="21"/>
                <w:szCs w:val="24"/>
                <w:highlight w:val="none"/>
                <w:lang w:val="en-US" w:eastAsia="zh-CN" w:bidi="ar-SA"/>
              </w:rPr>
            </w:pPr>
          </w:p>
        </w:tc>
      </w:tr>
    </w:tbl>
    <w:p w14:paraId="3AFF485F">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211" w:leftChars="0" w:hanging="211" w:hangingChars="100"/>
        <w:jc w:val="left"/>
        <w:rPr>
          <w:rFonts w:hint="eastAsia" w:ascii="Times New Roman" w:hAnsi="Times New Roman" w:eastAsia="宋体" w:cs="Times New Roman"/>
          <w:b/>
          <w:kern w:val="2"/>
          <w:sz w:val="21"/>
          <w:szCs w:val="21"/>
          <w:lang w:val="en-US" w:eastAsia="zh-CN" w:bidi="ar-SA"/>
        </w:rPr>
      </w:pPr>
    </w:p>
    <w:p w14:paraId="1C83BE32">
      <w:pPr>
        <w:keepNext w:val="0"/>
        <w:keepLines w:val="0"/>
        <w:pageBreakBefore w:val="0"/>
        <w:widowControl/>
        <w:suppressLineNumbers w:val="0"/>
        <w:kinsoku/>
        <w:wordWrap/>
        <w:overflowPunct/>
        <w:topLinePunct w:val="0"/>
        <w:autoSpaceDE/>
        <w:autoSpaceDN/>
        <w:bidi w:val="0"/>
        <w:spacing w:before="0" w:after="0" w:line="240" w:lineRule="auto"/>
        <w:ind w:left="0" w:leftChars="0" w:firstLine="211" w:firstLineChars="100"/>
        <w:jc w:val="both"/>
        <w:outlineLvl w:val="1"/>
        <w:rPr>
          <w:rFonts w:ascii="Times New Roman" w:hAnsi="Times New Roman" w:eastAsia="宋体" w:cs="Times New Roman"/>
          <w:b/>
          <w:kern w:val="2"/>
          <w:sz w:val="21"/>
          <w:szCs w:val="21"/>
          <w:lang w:val="en-US" w:eastAsia="zh-CN" w:bidi="ar-SA"/>
        </w:rPr>
      </w:pPr>
      <w:bookmarkStart w:id="6" w:name="_Toc10443"/>
      <w:r>
        <w:rPr>
          <w:rFonts w:hint="eastAsia" w:ascii="Times New Roman" w:hAnsi="Times New Roman" w:eastAsia="宋体" w:cs="Times New Roman"/>
          <w:b/>
          <w:kern w:val="2"/>
          <w:sz w:val="21"/>
          <w:szCs w:val="21"/>
          <w:lang w:val="en-US" w:eastAsia="zh-CN" w:bidi="ar-SA"/>
        </w:rPr>
        <w:t>五</w:t>
      </w:r>
      <w:r>
        <w:rPr>
          <w:rFonts w:ascii="Times New Roman" w:hAnsi="Times New Roman" w:eastAsia="宋体" w:cs="Times New Roman"/>
          <w:b/>
          <w:kern w:val="2"/>
          <w:sz w:val="21"/>
          <w:szCs w:val="21"/>
          <w:lang w:val="en-US" w:eastAsia="zh-CN" w:bidi="ar-SA"/>
        </w:rPr>
        <w:t>、投标人的资格要求：</w:t>
      </w:r>
      <w:bookmarkEnd w:id="6"/>
    </w:p>
    <w:p w14:paraId="15956AEC">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宋体" w:hAnsi="宋体" w:eastAsia="宋体" w:cs="宋体"/>
          <w:kern w:val="0"/>
          <w:sz w:val="21"/>
          <w:szCs w:val="21"/>
          <w:lang w:val="en-US" w:eastAsia="zh-CN" w:bidi="ar"/>
        </w:rPr>
      </w:pPr>
      <w:r>
        <w:rPr>
          <w:rFonts w:ascii="宋体" w:hAnsi="宋体" w:eastAsia="宋体" w:cs="宋体"/>
          <w:b/>
          <w:bCs/>
          <w:kern w:val="0"/>
          <w:sz w:val="21"/>
          <w:szCs w:val="21"/>
          <w:lang w:val="en-US" w:eastAsia="zh-CN" w:bidi="ar"/>
        </w:rPr>
        <w:t>1</w:t>
      </w:r>
      <w:r>
        <w:rPr>
          <w:rFonts w:hint="eastAsia" w:ascii="宋体" w:hAnsi="宋体" w:eastAsia="宋体" w:cs="宋体"/>
          <w:b/>
          <w:bCs/>
          <w:kern w:val="0"/>
          <w:sz w:val="21"/>
          <w:szCs w:val="21"/>
          <w:lang w:val="en-US" w:eastAsia="zh-CN" w:bidi="ar"/>
        </w:rPr>
        <w:t>.</w:t>
      </w:r>
      <w:r>
        <w:rPr>
          <w:rFonts w:ascii="宋体" w:hAnsi="宋体" w:eastAsia="宋体" w:cs="宋体"/>
          <w:b/>
          <w:bCs/>
          <w:kern w:val="0"/>
          <w:sz w:val="21"/>
          <w:szCs w:val="21"/>
          <w:lang w:val="en-US" w:eastAsia="zh-CN" w:bidi="ar"/>
        </w:rPr>
        <w:t>投标人的基本资格条件</w:t>
      </w:r>
      <w:r>
        <w:rPr>
          <w:rFonts w:ascii="宋体" w:hAnsi="宋体" w:eastAsia="宋体" w:cs="宋体"/>
          <w:kern w:val="0"/>
          <w:sz w:val="21"/>
          <w:szCs w:val="21"/>
          <w:lang w:val="en-US" w:eastAsia="zh-CN" w:bidi="ar"/>
        </w:rPr>
        <w:t>：投标人必须是在中华人民共和国境内注册登记的法人、其他组织或者自然人，且应当符合《政府采购法》第二十二条第一款的规定。</w:t>
      </w:r>
      <w:r>
        <w:rPr>
          <w:rFonts w:hint="eastAsia" w:ascii="宋体" w:hAnsi="宋体" w:eastAsia="宋体" w:cs="宋体"/>
          <w:kern w:val="0"/>
          <w:sz w:val="21"/>
          <w:szCs w:val="21"/>
          <w:lang w:val="en-US" w:eastAsia="zh-CN" w:bidi="ar"/>
        </w:rPr>
        <w:t>即：</w:t>
      </w:r>
      <w:r>
        <w:rPr>
          <w:rFonts w:ascii="宋体" w:hAnsi="宋体" w:eastAsia="宋体" w:cs="宋体"/>
          <w:kern w:val="0"/>
          <w:sz w:val="21"/>
          <w:szCs w:val="21"/>
          <w:lang w:val="en-US" w:eastAsia="zh-CN" w:bidi="ar"/>
        </w:rPr>
        <w:t xml:space="preserve"> </w:t>
      </w:r>
    </w:p>
    <w:p w14:paraId="11D6FAE8">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（1）具有独立承担民事责任的能力；</w:t>
      </w:r>
    </w:p>
    <w:p w14:paraId="57867C96">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（2）具有良好的商业信誉和健全的财务会计制度；</w:t>
      </w:r>
    </w:p>
    <w:p w14:paraId="6518C4D4">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（3）具有履行合同所必需的设备和专业技术能力；</w:t>
      </w:r>
    </w:p>
    <w:p w14:paraId="64546C78">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（4）有依法缴纳税收和社会保障资金的良好记录；</w:t>
      </w:r>
    </w:p>
    <w:p w14:paraId="2F85EAE9">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（5）参加政府采购活动前三年内，在经营活动中没有重大违法记录；</w:t>
      </w:r>
    </w:p>
    <w:p w14:paraId="11F1D667">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（6）法律、行政法规规定的其他条件。</w:t>
      </w:r>
    </w:p>
    <w:p w14:paraId="57C410FD">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hint="default" w:ascii="宋体" w:hAnsi="宋体" w:eastAsia="宋体" w:cs="宋体"/>
          <w:kern w:val="0"/>
          <w:sz w:val="21"/>
          <w:szCs w:val="21"/>
          <w:lang w:val="en-US" w:eastAsia="zh-CN" w:bidi="ar"/>
        </w:rPr>
      </w:pPr>
      <w:r>
        <w:rPr>
          <w:rFonts w:hint="eastAsia" w:ascii="宋体" w:hAnsi="宋体" w:eastAsia="宋体" w:cs="宋体"/>
          <w:b/>
          <w:bCs/>
          <w:kern w:val="0"/>
          <w:sz w:val="21"/>
          <w:szCs w:val="21"/>
          <w:lang w:val="en-US" w:eastAsia="zh-CN" w:bidi="ar"/>
        </w:rPr>
        <w:t>2.</w:t>
      </w:r>
      <w:r>
        <w:rPr>
          <w:rFonts w:ascii="宋体" w:hAnsi="宋体" w:eastAsia="宋体" w:cs="宋体"/>
          <w:b/>
          <w:bCs/>
          <w:kern w:val="0"/>
          <w:sz w:val="21"/>
          <w:szCs w:val="21"/>
          <w:lang w:val="en-US" w:eastAsia="zh-CN" w:bidi="ar"/>
        </w:rPr>
        <w:t>供应商特定资格条件</w:t>
      </w:r>
      <w:r>
        <w:rPr>
          <w:rFonts w:ascii="宋体"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无。</w:t>
      </w:r>
    </w:p>
    <w:p w14:paraId="056A7318">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等线" w:hAnsi="等线" w:eastAsia="等线" w:cs="Times New Roman"/>
          <w:sz w:val="21"/>
          <w:szCs w:val="21"/>
        </w:rPr>
      </w:pPr>
      <w:r>
        <w:rPr>
          <w:rFonts w:hint="eastAsia" w:ascii="宋体" w:hAnsi="宋体" w:eastAsia="宋体" w:cs="宋体"/>
          <w:kern w:val="0"/>
          <w:sz w:val="21"/>
          <w:szCs w:val="21"/>
          <w:lang w:val="en-US" w:eastAsia="zh-CN" w:bidi="ar"/>
        </w:rPr>
        <w:t>3.</w:t>
      </w:r>
      <w:r>
        <w:rPr>
          <w:rFonts w:ascii="宋体" w:hAnsi="宋体" w:eastAsia="宋体" w:cs="宋体"/>
          <w:kern w:val="0"/>
          <w:sz w:val="21"/>
          <w:szCs w:val="21"/>
          <w:lang w:val="en-US" w:eastAsia="zh-CN" w:bidi="ar"/>
        </w:rPr>
        <w:t>单位负责人为同一人或者存在直接控股、管理关系的不同投标人，不得参加同一合同项下的政府采购活动。</w:t>
      </w:r>
    </w:p>
    <w:p w14:paraId="12BA11F1">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等线" w:hAnsi="等线" w:eastAsia="等线" w:cs="Times New Roman"/>
          <w:sz w:val="21"/>
          <w:szCs w:val="21"/>
        </w:rPr>
      </w:pPr>
      <w:r>
        <w:rPr>
          <w:rFonts w:hint="eastAsia" w:ascii="宋体" w:hAnsi="宋体" w:eastAsia="宋体" w:cs="宋体"/>
          <w:kern w:val="0"/>
          <w:sz w:val="21"/>
          <w:szCs w:val="21"/>
          <w:lang w:val="en-US" w:eastAsia="zh-CN" w:bidi="ar"/>
        </w:rPr>
        <w:t>4.</w:t>
      </w:r>
      <w:r>
        <w:rPr>
          <w:rFonts w:ascii="宋体" w:hAnsi="宋体" w:eastAsia="宋体" w:cs="宋体"/>
          <w:kern w:val="0"/>
          <w:sz w:val="21"/>
          <w:szCs w:val="21"/>
          <w:lang w:val="en-US" w:eastAsia="zh-CN" w:bidi="ar"/>
        </w:rPr>
        <w:t>为本采购项目提供整体设计、规范编制或者项目管理、监理、检测等服务的，不得再参加此项目的其他采购活动。</w:t>
      </w:r>
    </w:p>
    <w:p w14:paraId="255A7619">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等线" w:hAnsi="等线" w:eastAsia="等线" w:cs="Times New Roman"/>
          <w:sz w:val="21"/>
          <w:szCs w:val="21"/>
        </w:rPr>
      </w:pPr>
      <w:r>
        <w:rPr>
          <w:rFonts w:hint="eastAsia" w:ascii="宋体" w:hAnsi="宋体" w:eastAsia="宋体" w:cs="宋体"/>
          <w:kern w:val="0"/>
          <w:sz w:val="21"/>
          <w:szCs w:val="21"/>
          <w:lang w:val="en-US" w:eastAsia="zh-CN" w:bidi="ar"/>
        </w:rPr>
        <w:t>5.</w:t>
      </w:r>
      <w:r>
        <w:rPr>
          <w:rFonts w:ascii="宋体" w:hAnsi="宋体" w:eastAsia="宋体" w:cs="宋体"/>
          <w:kern w:val="0"/>
          <w:sz w:val="21"/>
          <w:szCs w:val="21"/>
          <w:lang w:val="en-US" w:eastAsia="zh-CN" w:bidi="ar"/>
        </w:rPr>
        <w:t>列入失信被执行人、重大税收违法失信主体名单、政府采购严重违法失信行为记录名单的，拒绝其参与政府采购活动。</w:t>
      </w:r>
    </w:p>
    <w:p w14:paraId="369F7EF0">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outlineLvl w:val="2"/>
        <w:rPr>
          <w:rFonts w:ascii="宋体" w:hAnsi="宋体" w:eastAsia="宋体" w:cs="宋体"/>
          <w:color w:val="FF0000"/>
          <w:kern w:val="0"/>
          <w:sz w:val="21"/>
          <w:szCs w:val="21"/>
          <w:lang w:val="en-US" w:eastAsia="zh-CN" w:bidi="ar"/>
        </w:rPr>
      </w:pPr>
      <w:r>
        <w:rPr>
          <w:rFonts w:hint="eastAsia" w:ascii="宋体" w:hAnsi="宋体" w:eastAsia="宋体" w:cs="宋体"/>
          <w:color w:val="auto"/>
          <w:kern w:val="0"/>
          <w:sz w:val="21"/>
          <w:szCs w:val="21"/>
          <w:lang w:val="en-US" w:eastAsia="zh-CN" w:bidi="ar"/>
        </w:rPr>
        <w:t>6.</w:t>
      </w:r>
      <w:r>
        <w:rPr>
          <w:rFonts w:ascii="宋体" w:hAnsi="宋体" w:eastAsia="宋体" w:cs="宋体"/>
          <w:color w:val="auto"/>
          <w:kern w:val="0"/>
          <w:sz w:val="21"/>
          <w:szCs w:val="21"/>
          <w:lang w:val="en-US" w:eastAsia="zh-CN" w:bidi="ar"/>
        </w:rPr>
        <w:t>联合体投标。本次招标</w:t>
      </w:r>
      <w:r>
        <w:rPr>
          <w:rFonts w:ascii="宋体" w:hAnsi="宋体" w:eastAsia="宋体" w:cs="宋体"/>
          <w:color w:val="auto"/>
          <w:kern w:val="0"/>
          <w:sz w:val="21"/>
          <w:szCs w:val="21"/>
          <w:u w:val="single"/>
          <w:lang w:val="en-US" w:eastAsia="zh-CN" w:bidi="ar"/>
        </w:rPr>
        <w:t>不接受</w:t>
      </w:r>
      <w:r>
        <w:rPr>
          <w:rFonts w:ascii="宋体" w:hAnsi="宋体" w:eastAsia="宋体" w:cs="宋体"/>
          <w:color w:val="auto"/>
          <w:kern w:val="0"/>
          <w:sz w:val="21"/>
          <w:szCs w:val="21"/>
          <w:lang w:val="en-US" w:eastAsia="zh-CN" w:bidi="ar"/>
        </w:rPr>
        <w:t>联合体投标。</w:t>
      </w:r>
      <w:r>
        <w:rPr>
          <w:rFonts w:ascii="宋体" w:hAnsi="宋体" w:eastAsia="宋体" w:cs="宋体"/>
          <w:color w:val="FF0000"/>
          <w:kern w:val="0"/>
          <w:sz w:val="21"/>
          <w:szCs w:val="21"/>
          <w:lang w:val="en-US" w:eastAsia="zh-CN" w:bidi="ar"/>
        </w:rPr>
        <w:t xml:space="preserve"> </w:t>
      </w:r>
      <w:bookmarkStart w:id="7" w:name="_Toc23434"/>
    </w:p>
    <w:p w14:paraId="7D0A6E89">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firstLine="420" w:firstLineChars="200"/>
        <w:jc w:val="left"/>
        <w:outlineLvl w:val="2"/>
        <w:rPr>
          <w:rFonts w:hint="eastAsia" w:ascii="宋体" w:hAnsi="宋体" w:eastAsia="宋体" w:cs="宋体"/>
          <w:color w:val="FF0000"/>
          <w:kern w:val="0"/>
          <w:sz w:val="21"/>
          <w:szCs w:val="21"/>
          <w:lang w:val="en-US" w:eastAsia="zh-CN" w:bidi="ar"/>
        </w:rPr>
      </w:pPr>
      <w:r>
        <w:rPr>
          <w:rFonts w:hint="eastAsia" w:ascii="宋体" w:hAnsi="宋体" w:eastAsia="宋体" w:cs="宋体"/>
          <w:kern w:val="0"/>
          <w:sz w:val="21"/>
          <w:szCs w:val="21"/>
          <w:lang w:val="en-US" w:eastAsia="zh-CN" w:bidi="ar"/>
        </w:rPr>
        <w:t>注：</w:t>
      </w:r>
      <w:r>
        <w:rPr>
          <w:rFonts w:hint="eastAsia" w:ascii="宋体" w:hAnsi="宋体" w:eastAsia="宋体" w:cs="宋体"/>
          <w:b/>
          <w:bCs/>
          <w:kern w:val="0"/>
          <w:sz w:val="21"/>
          <w:szCs w:val="21"/>
          <w:lang w:val="en-US" w:eastAsia="zh-CN" w:bidi="ar"/>
        </w:rPr>
        <w:t>① 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和税务登记证和社会保险登记证，符合基本资格条件的相关条款，供应商如是“三证合一或五证合一”请自行说明。②依据湖南省财政厅《关于政府采购促进中小企业发展有关措施的通知》，符合法定条件的供应商凭《湖南省政府采购供应商资格承诺函》（格式见招标文件）参与政府采购活动，无需提供财务状况、缴纳税收和社会保障资金等资格证明材料。</w:t>
      </w:r>
    </w:p>
    <w:p w14:paraId="167C81B3">
      <w:pPr>
        <w:keepNext w:val="0"/>
        <w:keepLines w:val="0"/>
        <w:pageBreakBefore w:val="0"/>
        <w:widowControl/>
        <w:suppressLineNumbers w:val="0"/>
        <w:kinsoku/>
        <w:wordWrap/>
        <w:overflowPunct/>
        <w:topLinePunct w:val="0"/>
        <w:autoSpaceDE/>
        <w:autoSpaceDN/>
        <w:bidi w:val="0"/>
        <w:spacing w:before="0" w:beforeAutospacing="0" w:after="0" w:line="240" w:lineRule="auto"/>
        <w:ind w:left="0" w:leftChars="0" w:firstLine="422" w:firstLineChars="200"/>
        <w:jc w:val="both"/>
        <w:outlineLvl w:val="1"/>
        <w:rPr>
          <w:rFonts w:ascii="Times New Roman" w:hAnsi="Times New Roman" w:eastAsia="宋体" w:cs="Times New Roman"/>
          <w:b/>
          <w:kern w:val="2"/>
          <w:sz w:val="21"/>
          <w:szCs w:val="21"/>
          <w:lang w:val="en-US" w:eastAsia="zh-CN" w:bidi="ar-SA"/>
        </w:rPr>
      </w:pPr>
      <w:bookmarkStart w:id="8" w:name="_Toc18182"/>
      <w:r>
        <w:rPr>
          <w:rFonts w:hint="eastAsia" w:ascii="Times New Roman" w:hAnsi="Times New Roman" w:eastAsia="宋体" w:cs="Times New Roman"/>
          <w:b/>
          <w:kern w:val="2"/>
          <w:sz w:val="21"/>
          <w:szCs w:val="21"/>
          <w:lang w:val="en-US" w:eastAsia="zh-CN" w:bidi="ar-SA"/>
        </w:rPr>
        <w:t>五</w:t>
      </w:r>
      <w:r>
        <w:rPr>
          <w:rFonts w:ascii="Times New Roman" w:hAnsi="Times New Roman" w:eastAsia="宋体" w:cs="Times New Roman"/>
          <w:b/>
          <w:kern w:val="2"/>
          <w:sz w:val="21"/>
          <w:szCs w:val="21"/>
          <w:lang w:val="en-US" w:eastAsia="zh-CN" w:bidi="ar-SA"/>
        </w:rPr>
        <w:t>、获取招标文件的时间、期限、地点及方式</w:t>
      </w:r>
      <w:bookmarkEnd w:id="7"/>
      <w:bookmarkEnd w:id="8"/>
    </w:p>
    <w:p w14:paraId="5D161419">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420" w:firstLineChars="200"/>
        <w:jc w:val="both"/>
        <w:textAlignment w:val="baseline"/>
        <w:rPr>
          <w:rFonts w:hint="eastAsia" w:ascii="Times New Roman" w:hAnsi="Times New Roman" w:eastAsia="宋体" w:cs="Times New Roman"/>
          <w:color w:val="auto"/>
          <w:kern w:val="2"/>
          <w:sz w:val="21"/>
          <w:szCs w:val="21"/>
          <w:lang w:val="en-US" w:eastAsia="zh-CN" w:bidi="ar-SA"/>
        </w:rPr>
      </w:pPr>
      <w:bookmarkStart w:id="9" w:name="_Toc22201059"/>
      <w:bookmarkStart w:id="10" w:name="_Toc40166569"/>
      <w:r>
        <w:rPr>
          <w:rFonts w:hint="eastAsia" w:ascii="Times New Roman" w:hAnsi="Times New Roman" w:eastAsia="宋体" w:cs="Times New Roman"/>
          <w:color w:val="auto"/>
          <w:kern w:val="2"/>
          <w:sz w:val="21"/>
          <w:szCs w:val="21"/>
          <w:lang w:val="en-US" w:eastAsia="zh-CN" w:bidi="ar-SA"/>
        </w:rPr>
        <w:t>有意参加投标者，请于</w:t>
      </w:r>
      <w:r>
        <w:rPr>
          <w:rFonts w:hint="eastAsia" w:ascii="Times New Roman" w:hAnsi="Times New Roman" w:eastAsia="宋体" w:cs="Times New Roman"/>
          <w:color w:val="FF0000"/>
          <w:kern w:val="2"/>
          <w:sz w:val="21"/>
          <w:szCs w:val="21"/>
          <w:lang w:val="en-US" w:eastAsia="zh-CN" w:bidi="ar-SA"/>
        </w:rPr>
        <w:t>2025年 7 月7 日起至2025年 7 月27 日止</w:t>
      </w:r>
      <w:r>
        <w:rPr>
          <w:rFonts w:hint="eastAsia" w:ascii="Times New Roman" w:hAnsi="Times New Roman" w:eastAsia="宋体" w:cs="Times New Roman"/>
          <w:color w:val="auto"/>
          <w:kern w:val="2"/>
          <w:sz w:val="21"/>
          <w:szCs w:val="21"/>
          <w:lang w:val="en-US" w:eastAsia="zh-CN" w:bidi="ar-SA"/>
        </w:rPr>
        <w:t>，每日08时00分到17时00分（北京时间），在张家界公共资源交易网（http：//ggzy.zjj.gov.cn）“政府采购→采购公告”栏进行网上下载/获取招标文件，逾期将不能获取文件。修改、澄清后的招标文件请投标人按以上方式登录网站自行下载，恕不另行通知，如有遗漏投标人自行承担全部责任。</w:t>
      </w:r>
      <w:r>
        <w:rPr>
          <w:rFonts w:hint="eastAsia" w:ascii="宋体" w:hAnsi="宋体" w:eastAsia="宋体" w:cs="微软雅黑"/>
          <w:color w:val="auto"/>
          <w:spacing w:val="-2"/>
          <w:kern w:val="0"/>
          <w:sz w:val="21"/>
          <w:szCs w:val="21"/>
          <w:lang w:val="en-US" w:eastAsia="zh-CN" w:bidi="ar-SA"/>
        </w:rPr>
        <w:t>本项目采用线上招标投标方式，投标人须办理数字证书ukey，在张家界市公共资源交易中心产权交易系统（https://www.zjjggzy.cn/portal/index）进行注册登记和CA认证。</w:t>
      </w:r>
    </w:p>
    <w:p w14:paraId="28A106BA">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420" w:firstLineChars="200"/>
        <w:jc w:val="both"/>
        <w:textAlignment w:val="baseline"/>
        <w:rPr>
          <w:rFonts w:hint="eastAsia" w:ascii="宋体" w:hAnsi="宋体" w:eastAsia="宋体" w:cs="微软雅黑"/>
          <w:color w:val="auto"/>
          <w:spacing w:val="-2"/>
          <w:kern w:val="0"/>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sym w:font="Wingdings" w:char="00FE"/>
      </w:r>
      <w:r>
        <w:rPr>
          <w:rFonts w:hint="eastAsia" w:ascii="宋体" w:hAnsi="宋体" w:eastAsia="宋体" w:cs="微软雅黑"/>
          <w:color w:val="auto"/>
          <w:spacing w:val="-2"/>
          <w:kern w:val="0"/>
          <w:sz w:val="21"/>
          <w:szCs w:val="21"/>
          <w:lang w:val="en-US" w:eastAsia="zh-CN" w:bidi="ar-SA"/>
        </w:rPr>
        <w:t>本项目实行电子交易，有意参加投标者，在http://ggzy.zjj.gov.cn获取电子版招标文件。</w:t>
      </w:r>
    </w:p>
    <w:p w14:paraId="47F0478D">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420" w:firstLineChars="200"/>
        <w:jc w:val="both"/>
        <w:textAlignment w:val="baseline"/>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sym w:font="Wingdings" w:char="00A8"/>
      </w:r>
      <w:r>
        <w:rPr>
          <w:rFonts w:hint="eastAsia" w:ascii="宋体" w:hAnsi="宋体" w:eastAsia="宋体" w:cs="微软雅黑"/>
          <w:color w:val="auto"/>
          <w:spacing w:val="-2"/>
          <w:kern w:val="0"/>
          <w:sz w:val="21"/>
          <w:szCs w:val="21"/>
          <w:lang w:val="en-US" w:eastAsia="zh-CN" w:bidi="ar-SA"/>
        </w:rPr>
        <w:t>本项目进行资格预审，招标文件将向所有通过资格预审的供应商提供。</w:t>
      </w:r>
      <w:bookmarkEnd w:id="9"/>
      <w:bookmarkEnd w:id="10"/>
      <w:bookmarkStart w:id="11" w:name="_Toc17502"/>
    </w:p>
    <w:p w14:paraId="4D10EE73">
      <w:pPr>
        <w:keepNext w:val="0"/>
        <w:keepLines w:val="0"/>
        <w:pageBreakBefore w:val="0"/>
        <w:widowControl/>
        <w:suppressLineNumbers w:val="0"/>
        <w:kinsoku/>
        <w:wordWrap/>
        <w:overflowPunct/>
        <w:topLinePunct w:val="0"/>
        <w:autoSpaceDE/>
        <w:autoSpaceDN/>
        <w:bidi w:val="0"/>
        <w:spacing w:before="0" w:beforeAutospacing="0" w:after="0" w:line="240" w:lineRule="auto"/>
        <w:ind w:left="0" w:leftChars="0" w:firstLine="422" w:firstLineChars="200"/>
        <w:jc w:val="both"/>
        <w:outlineLvl w:val="1"/>
        <w:rPr>
          <w:rFonts w:hint="eastAsia" w:ascii="Times New Roman" w:hAnsi="Times New Roman" w:eastAsia="宋体" w:cs="Times New Roman"/>
          <w:b/>
          <w:color w:val="auto"/>
          <w:kern w:val="2"/>
          <w:sz w:val="21"/>
          <w:szCs w:val="21"/>
          <w:lang w:val="en-US" w:eastAsia="zh-CN" w:bidi="ar-SA"/>
        </w:rPr>
      </w:pPr>
      <w:bookmarkStart w:id="12" w:name="_Toc3522"/>
      <w:r>
        <w:rPr>
          <w:rFonts w:hint="eastAsia" w:ascii="Times New Roman" w:hAnsi="Times New Roman" w:eastAsia="宋体" w:cs="Times New Roman"/>
          <w:b/>
          <w:color w:val="auto"/>
          <w:kern w:val="2"/>
          <w:sz w:val="21"/>
          <w:szCs w:val="21"/>
          <w:lang w:val="en-US" w:eastAsia="zh-CN" w:bidi="ar-SA"/>
        </w:rPr>
        <w:t>六</w:t>
      </w:r>
      <w:r>
        <w:rPr>
          <w:rFonts w:ascii="Times New Roman" w:hAnsi="Times New Roman" w:eastAsia="宋体" w:cs="Times New Roman"/>
          <w:b/>
          <w:color w:val="auto"/>
          <w:kern w:val="2"/>
          <w:sz w:val="21"/>
          <w:szCs w:val="21"/>
          <w:lang w:val="en-US" w:eastAsia="zh-CN" w:bidi="ar-SA"/>
        </w:rPr>
        <w:t>、投标截止时间、开标时间及地点</w:t>
      </w:r>
      <w:bookmarkEnd w:id="11"/>
      <w:bookmarkEnd w:id="12"/>
    </w:p>
    <w:p w14:paraId="5F585808">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420" w:firstLineChars="200"/>
        <w:jc w:val="both"/>
        <w:textAlignment w:val="baseline"/>
        <w:outlineLvl w:val="2"/>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1.提交投标文件的截止时间：2025年 7 月28 日 09:00（北京时间）</w:t>
      </w:r>
    </w:p>
    <w:p w14:paraId="1AC1C491">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240" w:lineRule="auto"/>
        <w:ind w:left="0" w:leftChars="0" w:firstLine="420" w:firstLineChars="200"/>
        <w:jc w:val="both"/>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2.提交投标文件地点：本项目属于电子标项目，具体操作为投标人在</w:t>
      </w:r>
      <w:r>
        <w:rPr>
          <w:rFonts w:hint="eastAsia" w:ascii="Times New Roman" w:hAnsi="Times New Roman" w:eastAsia="宋体" w:cs="Times New Roman"/>
          <w:kern w:val="2"/>
          <w:sz w:val="21"/>
          <w:szCs w:val="21"/>
          <w:lang w:val="en-US" w:eastAsia="zh-CN" w:bidi="ar-SA"/>
        </w:rPr>
        <w:t>张家界市公共资源交易中心产权交易系统（https://www.zjjggzy.cn/portal/index），即可浏览、查阅和下载相关项目招标文件，对意向项目点击“竞买申请”按钮，网上填报《竞买申请书》，点击银行获取交易中心在该银行开设账户的随机子账号，再缴纳保证金；系统确认保证金到账后，上传投标文件。</w:t>
      </w:r>
    </w:p>
    <w:p w14:paraId="458BD126">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420" w:firstLineChars="200"/>
        <w:jc w:val="both"/>
        <w:textAlignment w:val="baseline"/>
        <w:outlineLvl w:val="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w:t>
      </w:r>
      <w:r>
        <w:rPr>
          <w:rFonts w:hint="eastAsia" w:ascii="Times New Roman" w:hAnsi="Times New Roman" w:eastAsia="宋体" w:cs="Times New Roman"/>
          <w:kern w:val="2"/>
          <w:sz w:val="21"/>
          <w:szCs w:val="21"/>
          <w:lang w:val="en-US" w:eastAsia="zh-CN" w:bidi="ar-SA"/>
        </w:rPr>
        <w:t>.开标时间：2025年 7月 28 日 09:00（北京时间）</w:t>
      </w:r>
    </w:p>
    <w:p w14:paraId="499906AF">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420" w:firstLineChars="200"/>
        <w:jc w:val="both"/>
        <w:textAlignment w:val="baseline"/>
        <w:outlineLvl w:val="2"/>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000000"/>
          <w:kern w:val="2"/>
          <w:sz w:val="21"/>
          <w:szCs w:val="21"/>
          <w:highlight w:val="none"/>
          <w:lang w:val="en-US" w:eastAsia="zh-CN" w:bidi="ar-SA"/>
        </w:rPr>
        <w:t>4.开标地点：</w:t>
      </w:r>
      <w:r>
        <w:rPr>
          <w:rFonts w:ascii="宋体" w:hAnsi="宋体" w:eastAsia="宋体" w:cs="宋体"/>
          <w:color w:val="000000"/>
          <w:kern w:val="0"/>
          <w:sz w:val="21"/>
          <w:szCs w:val="21"/>
          <w:highlight w:val="none"/>
          <w:lang w:val="en-US" w:eastAsia="zh-CN" w:bidi="ar"/>
        </w:rPr>
        <w:t>张家界公共资源交易中心</w:t>
      </w:r>
      <w:r>
        <w:rPr>
          <w:rFonts w:hint="eastAsia" w:ascii="宋体" w:hAnsi="宋体" w:eastAsia="宋体" w:cs="宋体"/>
          <w:color w:val="000000"/>
          <w:kern w:val="0"/>
          <w:sz w:val="21"/>
          <w:szCs w:val="21"/>
          <w:highlight w:val="none"/>
          <w:lang w:val="en-US" w:eastAsia="zh-CN" w:bidi="ar"/>
        </w:rPr>
        <w:t>，</w:t>
      </w:r>
      <w:r>
        <w:rPr>
          <w:rFonts w:hint="eastAsia" w:ascii="Times New Roman" w:hAnsi="Times New Roman" w:eastAsia="宋体" w:cs="Times New Roman"/>
          <w:color w:val="000000"/>
          <w:kern w:val="2"/>
          <w:sz w:val="21"/>
          <w:szCs w:val="21"/>
          <w:highlight w:val="none"/>
          <w:lang w:val="en-US" w:eastAsia="zh-CN" w:bidi="ar-SA"/>
        </w:rPr>
        <w:t>本项目属于电子标项目，实行线上开标，所有投标人应当准时在线参加竞价，并在规定的时间内上传投标文件。</w:t>
      </w:r>
    </w:p>
    <w:p w14:paraId="16165D3F">
      <w:pPr>
        <w:keepNext w:val="0"/>
        <w:keepLines w:val="0"/>
        <w:pageBreakBefore w:val="0"/>
        <w:widowControl/>
        <w:suppressLineNumbers w:val="0"/>
        <w:kinsoku/>
        <w:wordWrap/>
        <w:overflowPunct/>
        <w:topLinePunct w:val="0"/>
        <w:autoSpaceDE/>
        <w:autoSpaceDN/>
        <w:bidi w:val="0"/>
        <w:spacing w:before="0" w:beforeAutospacing="0" w:after="0" w:line="240" w:lineRule="auto"/>
        <w:ind w:left="0" w:leftChars="0" w:firstLine="422" w:firstLineChars="200"/>
        <w:jc w:val="both"/>
        <w:outlineLvl w:val="1"/>
        <w:rPr>
          <w:rFonts w:ascii="Times New Roman" w:hAnsi="Times New Roman" w:eastAsia="宋体" w:cs="Times New Roman"/>
          <w:b/>
          <w:kern w:val="2"/>
          <w:sz w:val="21"/>
          <w:szCs w:val="21"/>
          <w:lang w:val="en-US" w:eastAsia="zh-CN" w:bidi="ar-SA"/>
        </w:rPr>
      </w:pPr>
      <w:bookmarkStart w:id="13" w:name="_Toc8056"/>
      <w:bookmarkStart w:id="14" w:name="_Toc26888"/>
      <w:r>
        <w:rPr>
          <w:rFonts w:hint="eastAsia" w:ascii="Times New Roman" w:hAnsi="Times New Roman" w:eastAsia="宋体" w:cs="Times New Roman"/>
          <w:b/>
          <w:kern w:val="2"/>
          <w:sz w:val="21"/>
          <w:szCs w:val="21"/>
          <w:lang w:val="en-US" w:eastAsia="zh-CN" w:bidi="ar-SA"/>
        </w:rPr>
        <w:t>七</w:t>
      </w:r>
      <w:r>
        <w:rPr>
          <w:rFonts w:ascii="Times New Roman" w:hAnsi="Times New Roman" w:eastAsia="宋体" w:cs="Times New Roman"/>
          <w:b/>
          <w:kern w:val="2"/>
          <w:sz w:val="21"/>
          <w:szCs w:val="21"/>
          <w:lang w:val="en-US" w:eastAsia="zh-CN" w:bidi="ar-SA"/>
        </w:rPr>
        <w:t>、公告期限</w:t>
      </w:r>
      <w:bookmarkEnd w:id="13"/>
      <w:bookmarkEnd w:id="14"/>
    </w:p>
    <w:p w14:paraId="1159068F">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rPr>
          <w:rFonts w:ascii="等线" w:hAnsi="等线" w:eastAsia="等线" w:cs="Times New Roman"/>
          <w:sz w:val="21"/>
          <w:szCs w:val="21"/>
        </w:rPr>
      </w:pPr>
      <w:r>
        <w:rPr>
          <w:rFonts w:ascii="宋体" w:hAnsi="宋体" w:eastAsia="宋体" w:cs="宋体"/>
          <w:kern w:val="0"/>
          <w:sz w:val="21"/>
          <w:szCs w:val="21"/>
          <w:lang w:val="en-US" w:eastAsia="zh-CN" w:bidi="ar"/>
        </w:rPr>
        <w:t>1</w:t>
      </w:r>
      <w:r>
        <w:rPr>
          <w:rFonts w:hint="eastAsia" w:ascii="宋体" w:hAnsi="宋体" w:eastAsia="宋体" w:cs="宋体"/>
          <w:kern w:val="0"/>
          <w:sz w:val="21"/>
          <w:szCs w:val="21"/>
          <w:lang w:val="en-US" w:eastAsia="zh-CN" w:bidi="ar"/>
        </w:rPr>
        <w:t>.</w:t>
      </w:r>
      <w:r>
        <w:rPr>
          <w:rFonts w:ascii="宋体" w:hAnsi="宋体" w:eastAsia="宋体" w:cs="宋体"/>
          <w:kern w:val="0"/>
          <w:sz w:val="21"/>
          <w:szCs w:val="21"/>
          <w:lang w:val="en-US" w:eastAsia="zh-CN" w:bidi="ar"/>
        </w:rPr>
        <w:t>本招标公告在中国湖南政府采购网（www.ccgp-hunan.gov.cn）发布。公告期限从本招标公告发布之日起</w:t>
      </w:r>
      <w:r>
        <w:rPr>
          <w:rFonts w:hint="eastAsia" w:ascii="宋体" w:hAnsi="宋体" w:eastAsia="宋体" w:cs="宋体"/>
          <w:kern w:val="0"/>
          <w:sz w:val="21"/>
          <w:szCs w:val="21"/>
          <w:lang w:val="en-US" w:eastAsia="zh-CN" w:bidi="ar"/>
        </w:rPr>
        <w:t>10</w:t>
      </w:r>
      <w:r>
        <w:rPr>
          <w:rFonts w:ascii="宋体" w:hAnsi="宋体" w:eastAsia="宋体" w:cs="宋体"/>
          <w:kern w:val="0"/>
          <w:sz w:val="21"/>
          <w:szCs w:val="21"/>
          <w:lang w:val="en-US" w:eastAsia="zh-CN" w:bidi="ar"/>
        </w:rPr>
        <w:t>个工作日。</w:t>
      </w:r>
    </w:p>
    <w:p w14:paraId="3A111F57">
      <w:pPr>
        <w:keepNext w:val="0"/>
        <w:keepLines w:val="0"/>
        <w:pageBreakBefore w:val="0"/>
        <w:widowControl/>
        <w:suppressLineNumbers w:val="0"/>
        <w:pBdr>
          <w:left w:val="none" w:color="auto" w:sz="0" w:space="0"/>
        </w:pBdr>
        <w:kinsoku/>
        <w:wordWrap/>
        <w:overflowPunct/>
        <w:topLinePunct w:val="0"/>
        <w:autoSpaceDE/>
        <w:autoSpaceDN/>
        <w:bidi w:val="0"/>
        <w:spacing w:beforeAutospacing="0" w:line="240" w:lineRule="auto"/>
        <w:ind w:left="0" w:leftChars="0" w:firstLine="420"/>
        <w:jc w:val="left"/>
        <w:rPr>
          <w:rFonts w:hint="eastAsia" w:ascii="等线" w:hAnsi="等线" w:eastAsia="等线" w:cs="Times New Roman"/>
          <w:sz w:val="21"/>
          <w:szCs w:val="21"/>
          <w:lang w:val="en-US" w:eastAsia="zh-CN"/>
        </w:rPr>
      </w:pPr>
      <w:r>
        <w:rPr>
          <w:rFonts w:ascii="宋体" w:hAnsi="宋体" w:eastAsia="宋体" w:cs="宋体"/>
          <w:kern w:val="0"/>
          <w:sz w:val="21"/>
          <w:szCs w:val="21"/>
          <w:lang w:val="en-US" w:eastAsia="zh-CN" w:bidi="ar"/>
        </w:rPr>
        <w:t>2</w:t>
      </w:r>
      <w:r>
        <w:rPr>
          <w:rFonts w:hint="eastAsia" w:ascii="宋体" w:hAnsi="宋体" w:eastAsia="宋体" w:cs="宋体"/>
          <w:kern w:val="0"/>
          <w:sz w:val="21"/>
          <w:szCs w:val="21"/>
          <w:lang w:val="en-US" w:eastAsia="zh-CN" w:bidi="ar"/>
        </w:rPr>
        <w:t>.</w:t>
      </w:r>
      <w:r>
        <w:rPr>
          <w:rFonts w:ascii="宋体" w:hAnsi="宋体" w:eastAsia="宋体" w:cs="宋体"/>
          <w:kern w:val="0"/>
          <w:sz w:val="21"/>
          <w:szCs w:val="21"/>
          <w:lang w:val="en-US" w:eastAsia="zh-CN" w:bidi="ar"/>
        </w:rPr>
        <w:t>在其他媒体发布的招标公告，公告内容以本招标公告指定媒体发布的公告为准；公告期限自本招标公告指定媒体最先发布公告之日起算。</w:t>
      </w:r>
      <w:bookmarkStart w:id="15" w:name="_Toc6023"/>
    </w:p>
    <w:p w14:paraId="6FCC6C26">
      <w:pPr>
        <w:keepNext w:val="0"/>
        <w:keepLines w:val="0"/>
        <w:pageBreakBefore w:val="0"/>
        <w:widowControl/>
        <w:suppressLineNumbers w:val="0"/>
        <w:kinsoku/>
        <w:wordWrap/>
        <w:overflowPunct/>
        <w:topLinePunct w:val="0"/>
        <w:autoSpaceDE/>
        <w:autoSpaceDN/>
        <w:bidi w:val="0"/>
        <w:spacing w:before="0" w:beforeAutospacing="0" w:after="0" w:line="240" w:lineRule="auto"/>
        <w:ind w:left="0" w:leftChars="0" w:firstLine="422" w:firstLineChars="200"/>
        <w:jc w:val="both"/>
        <w:outlineLvl w:val="1"/>
        <w:rPr>
          <w:rFonts w:ascii="Times New Roman" w:hAnsi="Times New Roman" w:eastAsia="宋体" w:cs="Times New Roman"/>
          <w:b/>
          <w:kern w:val="2"/>
          <w:sz w:val="21"/>
          <w:szCs w:val="21"/>
          <w:lang w:val="en-US" w:eastAsia="zh-CN" w:bidi="ar-SA"/>
        </w:rPr>
      </w:pPr>
      <w:bookmarkStart w:id="16" w:name="_Toc6665"/>
      <w:r>
        <w:rPr>
          <w:rFonts w:hint="eastAsia" w:ascii="Times New Roman" w:hAnsi="Times New Roman" w:eastAsia="宋体" w:cs="Times New Roman"/>
          <w:b/>
          <w:kern w:val="2"/>
          <w:sz w:val="21"/>
          <w:szCs w:val="21"/>
          <w:lang w:val="en-US" w:eastAsia="zh-CN" w:bidi="ar-SA"/>
        </w:rPr>
        <w:t>八</w:t>
      </w:r>
      <w:r>
        <w:rPr>
          <w:rFonts w:ascii="Times New Roman" w:hAnsi="Times New Roman" w:eastAsia="宋体" w:cs="Times New Roman"/>
          <w:b/>
          <w:kern w:val="2"/>
          <w:sz w:val="21"/>
          <w:szCs w:val="21"/>
          <w:lang w:val="en-US" w:eastAsia="zh-CN" w:bidi="ar-SA"/>
        </w:rPr>
        <w:t>、询问及质疑</w:t>
      </w:r>
      <w:bookmarkEnd w:id="15"/>
      <w:bookmarkEnd w:id="16"/>
    </w:p>
    <w:p w14:paraId="7E168EF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firstLineChars="200"/>
        <w:jc w:val="left"/>
        <w:textAlignment w:val="auto"/>
        <w:rPr>
          <w:rFonts w:ascii="等线" w:hAnsi="等线" w:eastAsia="等线" w:cs="Times New Roman"/>
          <w:sz w:val="21"/>
          <w:szCs w:val="21"/>
        </w:rPr>
      </w:pPr>
      <w:r>
        <w:rPr>
          <w:rFonts w:ascii="宋体" w:hAnsi="宋体" w:eastAsia="宋体" w:cs="宋体"/>
          <w:kern w:val="0"/>
          <w:sz w:val="21"/>
          <w:szCs w:val="21"/>
          <w:lang w:val="en-US" w:eastAsia="zh-CN" w:bidi="ar"/>
        </w:rPr>
        <w:t>1</w:t>
      </w:r>
      <w:r>
        <w:rPr>
          <w:rFonts w:hint="eastAsia" w:ascii="宋体" w:hAnsi="宋体" w:eastAsia="宋体" w:cs="宋体"/>
          <w:kern w:val="0"/>
          <w:sz w:val="21"/>
          <w:szCs w:val="21"/>
          <w:lang w:val="en-US" w:eastAsia="zh-CN" w:bidi="ar"/>
        </w:rPr>
        <w:t>.</w:t>
      </w:r>
      <w:r>
        <w:rPr>
          <w:rFonts w:ascii="宋体" w:hAnsi="宋体" w:eastAsia="宋体" w:cs="宋体"/>
          <w:kern w:val="0"/>
          <w:sz w:val="21"/>
          <w:szCs w:val="21"/>
          <w:lang w:val="en-US" w:eastAsia="zh-CN" w:bidi="ar"/>
        </w:rPr>
        <w:t>投标人对政府采购活动事项如有疑问的，可以向采购人、采购代理机构提出询问。采购人、采购代理机构将在3个工作日内作出答复。</w:t>
      </w:r>
    </w:p>
    <w:p w14:paraId="0545F5C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firstLineChars="200"/>
        <w:jc w:val="left"/>
        <w:textAlignment w:val="auto"/>
        <w:rPr>
          <w:rFonts w:ascii="等线" w:hAnsi="等线" w:eastAsia="等线" w:cs="Times New Roman"/>
          <w:sz w:val="21"/>
          <w:szCs w:val="21"/>
        </w:rPr>
      </w:pPr>
      <w:r>
        <w:rPr>
          <w:rFonts w:ascii="宋体" w:hAnsi="宋体" w:eastAsia="宋体" w:cs="宋体"/>
          <w:kern w:val="0"/>
          <w:sz w:val="21"/>
          <w:szCs w:val="21"/>
          <w:lang w:val="en-US" w:eastAsia="zh-CN" w:bidi="ar"/>
        </w:rPr>
        <w:t>2</w:t>
      </w:r>
      <w:r>
        <w:rPr>
          <w:rFonts w:hint="eastAsia" w:ascii="宋体" w:hAnsi="宋体" w:eastAsia="宋体" w:cs="宋体"/>
          <w:kern w:val="0"/>
          <w:sz w:val="21"/>
          <w:szCs w:val="21"/>
          <w:lang w:val="en-US" w:eastAsia="zh-CN" w:bidi="ar"/>
        </w:rPr>
        <w:t>.</w:t>
      </w:r>
      <w:r>
        <w:rPr>
          <w:rFonts w:ascii="宋体" w:hAnsi="宋体" w:eastAsia="宋体" w:cs="宋体"/>
          <w:kern w:val="0"/>
          <w:sz w:val="21"/>
          <w:szCs w:val="21"/>
          <w:lang w:val="en-US" w:eastAsia="zh-CN" w:bidi="ar"/>
        </w:rPr>
        <w:t>投标人对电子交易平台办理CA证书、操作等如有疑问，请咨询电子交易平台服务机构。</w:t>
      </w:r>
    </w:p>
    <w:p w14:paraId="61FCB9C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firstLineChars="200"/>
        <w:jc w:val="left"/>
        <w:textAlignment w:val="auto"/>
        <w:rPr>
          <w:rFonts w:hint="eastAsia" w:ascii="等线" w:hAnsi="等线" w:eastAsia="等线" w:cs="Times New Roman"/>
          <w:sz w:val="21"/>
          <w:szCs w:val="21"/>
          <w:lang w:val="en-US" w:eastAsia="zh-CN"/>
        </w:rPr>
      </w:pPr>
      <w:r>
        <w:rPr>
          <w:rFonts w:ascii="宋体" w:hAnsi="宋体" w:eastAsia="宋体" w:cs="宋体"/>
          <w:kern w:val="0"/>
          <w:sz w:val="21"/>
          <w:szCs w:val="21"/>
          <w:lang w:val="en-US" w:eastAsia="zh-CN" w:bidi="ar"/>
        </w:rPr>
        <w:t>3</w:t>
      </w:r>
      <w:r>
        <w:rPr>
          <w:rFonts w:hint="eastAsia" w:ascii="宋体" w:hAnsi="宋体" w:eastAsia="宋体" w:cs="宋体"/>
          <w:kern w:val="0"/>
          <w:sz w:val="21"/>
          <w:szCs w:val="21"/>
          <w:lang w:val="en-US" w:eastAsia="zh-CN" w:bidi="ar"/>
        </w:rPr>
        <w:t>.</w:t>
      </w:r>
      <w:r>
        <w:rPr>
          <w:rFonts w:ascii="宋体" w:hAnsi="宋体" w:eastAsia="宋体" w:cs="宋体"/>
          <w:kern w:val="0"/>
          <w:sz w:val="21"/>
          <w:szCs w:val="21"/>
          <w:lang w:val="en-US" w:eastAsia="zh-CN" w:bidi="ar"/>
        </w:rPr>
        <w:t>潜在投标人认为招标文件或招标公告使自己的合法权益受到损害的，可以在收到招标文件之日或招标公告期限届满之日起7个工作日内，</w:t>
      </w:r>
      <w:r>
        <w:rPr>
          <w:rFonts w:hint="eastAsia" w:ascii="宋体" w:hAnsi="宋体" w:eastAsia="宋体" w:cs="宋体"/>
          <w:kern w:val="0"/>
          <w:sz w:val="21"/>
          <w:szCs w:val="21"/>
          <w:lang w:val="en-US" w:eastAsia="zh-CN" w:bidi="ar"/>
        </w:rPr>
        <w:t>按照《政府采购质疑和投诉办法》（财政部令第94号）规定</w:t>
      </w:r>
      <w:r>
        <w:rPr>
          <w:rFonts w:ascii="宋体" w:hAnsi="宋体" w:eastAsia="宋体" w:cs="宋体"/>
          <w:kern w:val="0"/>
          <w:sz w:val="21"/>
          <w:szCs w:val="21"/>
          <w:lang w:val="en-US" w:eastAsia="zh-CN" w:bidi="ar"/>
        </w:rPr>
        <w:t xml:space="preserve">，以纸质书面形式向采购人、采购代理机构提出质疑。 </w:t>
      </w:r>
    </w:p>
    <w:p w14:paraId="51EDAB63">
      <w:pPr>
        <w:keepNext w:val="0"/>
        <w:keepLines w:val="0"/>
        <w:pageBreakBefore w:val="0"/>
        <w:widowControl/>
        <w:suppressLineNumbers w:val="0"/>
        <w:kinsoku/>
        <w:wordWrap/>
        <w:overflowPunct/>
        <w:topLinePunct w:val="0"/>
        <w:autoSpaceDE/>
        <w:autoSpaceDN/>
        <w:bidi w:val="0"/>
        <w:adjustRightInd/>
        <w:snapToGrid/>
        <w:spacing w:before="0" w:beforeAutospacing="0" w:after="0" w:line="240" w:lineRule="auto"/>
        <w:ind w:left="0" w:leftChars="0" w:firstLine="422" w:firstLineChars="200"/>
        <w:jc w:val="both"/>
        <w:textAlignment w:val="auto"/>
        <w:outlineLvl w:val="1"/>
        <w:rPr>
          <w:rFonts w:ascii="Times New Roman" w:hAnsi="Times New Roman" w:eastAsia="宋体" w:cs="Times New Roman"/>
          <w:b/>
          <w:kern w:val="2"/>
          <w:sz w:val="21"/>
          <w:szCs w:val="21"/>
          <w:lang w:val="en-US" w:eastAsia="zh-CN" w:bidi="ar-SA"/>
        </w:rPr>
      </w:pPr>
      <w:bookmarkStart w:id="17" w:name="_Toc14061"/>
      <w:r>
        <w:rPr>
          <w:rFonts w:hint="eastAsia" w:ascii="Times New Roman" w:hAnsi="Times New Roman" w:eastAsia="宋体" w:cs="Times New Roman"/>
          <w:b/>
          <w:kern w:val="2"/>
          <w:sz w:val="21"/>
          <w:szCs w:val="21"/>
          <w:lang w:val="en-US" w:eastAsia="zh-CN" w:bidi="ar-SA"/>
        </w:rPr>
        <w:t>九</w:t>
      </w:r>
      <w:r>
        <w:rPr>
          <w:rFonts w:ascii="Times New Roman" w:hAnsi="Times New Roman" w:eastAsia="宋体" w:cs="Times New Roman"/>
          <w:b/>
          <w:kern w:val="2"/>
          <w:sz w:val="21"/>
          <w:szCs w:val="21"/>
          <w:lang w:val="en-US" w:eastAsia="zh-CN" w:bidi="ar-SA"/>
        </w:rPr>
        <w:t>、投标说明</w:t>
      </w:r>
      <w:bookmarkEnd w:id="17"/>
    </w:p>
    <w:p w14:paraId="1482E45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jc w:val="left"/>
        <w:textAlignment w:val="auto"/>
        <w:outlineLvl w:val="9"/>
        <w:rPr>
          <w:rFonts w:ascii="等线" w:hAnsi="等线" w:eastAsia="等线" w:cs="Times New Roman"/>
          <w:sz w:val="21"/>
          <w:szCs w:val="21"/>
        </w:rPr>
      </w:pPr>
      <w:r>
        <w:rPr>
          <w:rFonts w:ascii="宋体" w:hAnsi="宋体" w:eastAsia="宋体" w:cs="宋体"/>
          <w:kern w:val="0"/>
          <w:sz w:val="21"/>
          <w:szCs w:val="21"/>
          <w:lang w:val="en-US" w:eastAsia="zh-CN" w:bidi="ar"/>
        </w:rPr>
        <w:t>1</w:t>
      </w:r>
      <w:r>
        <w:rPr>
          <w:rFonts w:hint="eastAsia" w:ascii="宋体" w:hAnsi="宋体" w:eastAsia="宋体" w:cs="宋体"/>
          <w:kern w:val="0"/>
          <w:sz w:val="21"/>
          <w:szCs w:val="21"/>
          <w:lang w:val="en-US" w:eastAsia="zh-CN" w:bidi="ar"/>
        </w:rPr>
        <w:t>.</w:t>
      </w:r>
      <w:r>
        <w:rPr>
          <w:rFonts w:ascii="宋体" w:hAnsi="宋体" w:eastAsia="宋体" w:cs="宋体"/>
          <w:kern w:val="0"/>
          <w:sz w:val="21"/>
          <w:szCs w:val="21"/>
          <w:lang w:val="en-US" w:eastAsia="zh-CN" w:bidi="ar"/>
        </w:rPr>
        <w:t>本公告选项：</w:t>
      </w:r>
      <w:r>
        <w:rPr>
          <w:rFonts w:ascii="宋体" w:hAnsi="宋体" w:eastAsia="宋体" w:cs="宋体"/>
          <w:kern w:val="0"/>
          <w:sz w:val="21"/>
          <w:szCs w:val="21"/>
          <w:lang w:val="en-US" w:eastAsia="zh-CN" w:bidi="ar"/>
        </w:rPr>
        <w:sym w:font="Wingdings" w:char="00FE"/>
      </w:r>
      <w:r>
        <w:rPr>
          <w:rFonts w:ascii="宋体" w:hAnsi="宋体" w:eastAsia="宋体" w:cs="宋体"/>
          <w:kern w:val="0"/>
          <w:sz w:val="21"/>
          <w:szCs w:val="21"/>
          <w:lang w:val="en-US" w:eastAsia="zh-CN" w:bidi="ar"/>
        </w:rPr>
        <w:t>表示选择，</w:t>
      </w:r>
      <w:r>
        <w:rPr>
          <w:rFonts w:ascii="宋体" w:hAnsi="宋体" w:eastAsia="宋体" w:cs="宋体"/>
          <w:kern w:val="0"/>
          <w:sz w:val="21"/>
          <w:szCs w:val="21"/>
          <w:lang w:val="en-US" w:eastAsia="zh-CN" w:bidi="ar"/>
        </w:rPr>
        <w:sym w:font="Wingdings" w:char="00A8"/>
      </w:r>
      <w:r>
        <w:rPr>
          <w:rFonts w:ascii="宋体" w:hAnsi="宋体" w:eastAsia="宋体" w:cs="宋体"/>
          <w:kern w:val="0"/>
          <w:sz w:val="21"/>
          <w:szCs w:val="21"/>
          <w:lang w:val="en-US" w:eastAsia="zh-CN" w:bidi="ar"/>
        </w:rPr>
        <w:t xml:space="preserve">表示未选择。 </w:t>
      </w:r>
    </w:p>
    <w:p w14:paraId="26D1E70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jc w:val="left"/>
        <w:textAlignment w:val="auto"/>
        <w:rPr>
          <w:rFonts w:ascii="等线" w:hAnsi="等线" w:eastAsia="等线" w:cs="Times New Roman"/>
          <w:color w:val="auto"/>
          <w:sz w:val="21"/>
          <w:szCs w:val="21"/>
        </w:rPr>
      </w:pPr>
      <w:r>
        <w:rPr>
          <w:rFonts w:ascii="宋体" w:hAnsi="宋体" w:eastAsia="宋体" w:cs="宋体"/>
          <w:kern w:val="0"/>
          <w:sz w:val="21"/>
          <w:szCs w:val="21"/>
          <w:lang w:val="en-US" w:eastAsia="zh-CN" w:bidi="ar"/>
        </w:rPr>
        <w:t>2</w:t>
      </w:r>
      <w:r>
        <w:rPr>
          <w:rFonts w:hint="eastAsia" w:ascii="宋体" w:hAnsi="宋体" w:eastAsia="宋体" w:cs="宋体"/>
          <w:kern w:val="0"/>
          <w:sz w:val="21"/>
          <w:szCs w:val="21"/>
          <w:lang w:val="en-US" w:eastAsia="zh-CN" w:bidi="ar"/>
        </w:rPr>
        <w:t>.</w:t>
      </w:r>
      <w:r>
        <w:rPr>
          <w:rFonts w:ascii="宋体" w:hAnsi="宋体" w:eastAsia="宋体" w:cs="宋体"/>
          <w:kern w:val="0"/>
          <w:sz w:val="21"/>
          <w:szCs w:val="21"/>
          <w:lang w:val="en-US" w:eastAsia="zh-CN" w:bidi="ar"/>
        </w:rPr>
        <w:t>投标人参与政府采购活动，无需向采购人、代理机构、交易平台缴纳任何费用。</w:t>
      </w:r>
    </w:p>
    <w:p w14:paraId="6CA6F777">
      <w:pPr>
        <w:keepNext w:val="0"/>
        <w:keepLines w:val="0"/>
        <w:pageBreakBefore w:val="0"/>
        <w:widowControl/>
        <w:suppressLineNumbers w:val="0"/>
        <w:kinsoku/>
        <w:wordWrap/>
        <w:overflowPunct/>
        <w:topLinePunct w:val="0"/>
        <w:autoSpaceDE/>
        <w:autoSpaceDN/>
        <w:bidi w:val="0"/>
        <w:adjustRightInd/>
        <w:snapToGrid/>
        <w:spacing w:before="0" w:beforeAutospacing="0" w:after="0" w:line="240" w:lineRule="auto"/>
        <w:ind w:left="0" w:leftChars="0" w:firstLine="422" w:firstLineChars="200"/>
        <w:jc w:val="both"/>
        <w:textAlignment w:val="auto"/>
        <w:outlineLvl w:val="1"/>
        <w:rPr>
          <w:rFonts w:ascii="Times New Roman" w:hAnsi="Times New Roman" w:eastAsia="宋体" w:cs="Times New Roman"/>
          <w:b/>
          <w:color w:val="auto"/>
          <w:kern w:val="2"/>
          <w:sz w:val="21"/>
          <w:szCs w:val="21"/>
          <w:lang w:val="en-US" w:eastAsia="zh-CN" w:bidi="ar-SA"/>
        </w:rPr>
      </w:pPr>
      <w:bookmarkStart w:id="18" w:name="_Toc10093"/>
      <w:r>
        <w:rPr>
          <w:rFonts w:ascii="Times New Roman" w:hAnsi="Times New Roman" w:eastAsia="宋体" w:cs="Times New Roman"/>
          <w:b/>
          <w:color w:val="auto"/>
          <w:kern w:val="2"/>
          <w:sz w:val="21"/>
          <w:szCs w:val="21"/>
          <w:lang w:val="en-US" w:eastAsia="zh-CN" w:bidi="ar-SA"/>
        </w:rPr>
        <w:t>十、采购项目联系人姓名和电话</w:t>
      </w:r>
      <w:bookmarkEnd w:id="18"/>
    </w:p>
    <w:p w14:paraId="6D599D2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jc w:val="left"/>
        <w:textAlignment w:val="auto"/>
        <w:rPr>
          <w:rFonts w:hint="default" w:ascii="等线" w:hAnsi="等线" w:eastAsia="宋体" w:cs="Times New Roman"/>
          <w:color w:val="000000"/>
          <w:sz w:val="21"/>
          <w:szCs w:val="21"/>
          <w:highlight w:val="none"/>
          <w:lang w:val="en-US" w:eastAsia="zh-CN"/>
        </w:rPr>
      </w:pPr>
      <w:r>
        <w:rPr>
          <w:rFonts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val="en-US" w:eastAsia="zh-CN" w:bidi="ar"/>
        </w:rPr>
        <w:t>.</w:t>
      </w:r>
      <w:r>
        <w:rPr>
          <w:rFonts w:ascii="宋体" w:hAnsi="宋体" w:eastAsia="宋体" w:cs="宋体"/>
          <w:color w:val="000000"/>
          <w:kern w:val="0"/>
          <w:sz w:val="21"/>
          <w:szCs w:val="21"/>
          <w:highlight w:val="none"/>
          <w:lang w:val="en-US" w:eastAsia="zh-CN" w:bidi="ar"/>
        </w:rPr>
        <w:t>联系人姓名：</w:t>
      </w:r>
      <w:r>
        <w:rPr>
          <w:rFonts w:hint="eastAsia" w:ascii="宋体" w:hAnsi="宋体" w:eastAsia="宋体" w:cs="宋体"/>
          <w:sz w:val="21"/>
          <w:szCs w:val="21"/>
          <w:u w:val="single"/>
          <w:lang w:val="en-US" w:eastAsia="zh-CN"/>
        </w:rPr>
        <w:t>李先生</w:t>
      </w:r>
    </w:p>
    <w:p w14:paraId="1AD4A3C2">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jc w:val="left"/>
        <w:textAlignment w:val="auto"/>
        <w:rPr>
          <w:rFonts w:ascii="等线" w:hAnsi="等线" w:eastAsia="等线" w:cs="Times New Roman"/>
          <w:color w:val="auto"/>
          <w:sz w:val="21"/>
          <w:szCs w:val="21"/>
        </w:rPr>
      </w:pPr>
      <w:r>
        <w:rPr>
          <w:rFonts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val="en-US" w:eastAsia="zh-CN" w:bidi="ar"/>
        </w:rPr>
        <w:t>.</w:t>
      </w:r>
      <w:r>
        <w:rPr>
          <w:rFonts w:ascii="宋体" w:hAnsi="宋体" w:eastAsia="宋体" w:cs="宋体"/>
          <w:color w:val="000000"/>
          <w:kern w:val="0"/>
          <w:sz w:val="21"/>
          <w:szCs w:val="21"/>
          <w:highlight w:val="none"/>
          <w:lang w:val="en-US" w:eastAsia="zh-CN" w:bidi="ar"/>
        </w:rPr>
        <w:t>电话：</w:t>
      </w:r>
      <w:r>
        <w:rPr>
          <w:rFonts w:hint="eastAsia" w:ascii="宋体" w:hAnsi="宋体" w:eastAsia="宋体" w:cs="宋体"/>
          <w:color w:val="000000"/>
          <w:kern w:val="0"/>
          <w:sz w:val="21"/>
          <w:szCs w:val="21"/>
          <w:highlight w:val="none"/>
          <w:u w:val="single"/>
          <w:lang w:val="en-US" w:eastAsia="zh-CN" w:bidi="ar"/>
        </w:rPr>
        <w:t>18711168733</w:t>
      </w:r>
    </w:p>
    <w:p w14:paraId="4D54A39B">
      <w:pPr>
        <w:keepNext w:val="0"/>
        <w:keepLines w:val="0"/>
        <w:pageBreakBefore w:val="0"/>
        <w:widowControl/>
        <w:suppressLineNumbers w:val="0"/>
        <w:kinsoku/>
        <w:wordWrap/>
        <w:overflowPunct/>
        <w:topLinePunct w:val="0"/>
        <w:autoSpaceDE/>
        <w:autoSpaceDN/>
        <w:bidi w:val="0"/>
        <w:adjustRightInd/>
        <w:snapToGrid/>
        <w:spacing w:before="0" w:beforeAutospacing="0" w:after="0" w:line="240" w:lineRule="auto"/>
        <w:ind w:left="0" w:leftChars="0" w:firstLine="422" w:firstLineChars="200"/>
        <w:jc w:val="both"/>
        <w:textAlignment w:val="auto"/>
        <w:outlineLvl w:val="1"/>
        <w:rPr>
          <w:rFonts w:ascii="Times New Roman" w:hAnsi="Times New Roman" w:eastAsia="宋体" w:cs="Times New Roman"/>
          <w:b/>
          <w:color w:val="auto"/>
          <w:kern w:val="2"/>
          <w:sz w:val="21"/>
          <w:szCs w:val="21"/>
          <w:lang w:val="en-US" w:eastAsia="zh-CN" w:bidi="ar-SA"/>
        </w:rPr>
      </w:pPr>
      <w:bookmarkStart w:id="19" w:name="_Toc31125"/>
      <w:r>
        <w:rPr>
          <w:rFonts w:ascii="Times New Roman" w:hAnsi="Times New Roman" w:eastAsia="宋体" w:cs="Times New Roman"/>
          <w:b/>
          <w:color w:val="auto"/>
          <w:kern w:val="2"/>
          <w:sz w:val="21"/>
          <w:szCs w:val="21"/>
          <w:lang w:val="en-US" w:eastAsia="zh-CN" w:bidi="ar-SA"/>
        </w:rPr>
        <w:t>十</w:t>
      </w:r>
      <w:r>
        <w:rPr>
          <w:rFonts w:hint="eastAsia" w:ascii="Times New Roman" w:hAnsi="Times New Roman" w:eastAsia="宋体" w:cs="Times New Roman"/>
          <w:b/>
          <w:color w:val="auto"/>
          <w:kern w:val="2"/>
          <w:sz w:val="21"/>
          <w:szCs w:val="21"/>
          <w:lang w:val="en-US" w:eastAsia="zh-CN" w:bidi="ar-SA"/>
        </w:rPr>
        <w:t>二</w:t>
      </w:r>
      <w:r>
        <w:rPr>
          <w:rFonts w:ascii="Times New Roman" w:hAnsi="Times New Roman" w:eastAsia="宋体" w:cs="Times New Roman"/>
          <w:b/>
          <w:color w:val="auto"/>
          <w:kern w:val="2"/>
          <w:sz w:val="21"/>
          <w:szCs w:val="21"/>
          <w:lang w:val="en-US" w:eastAsia="zh-CN" w:bidi="ar-SA"/>
        </w:rPr>
        <w:t>、采购人、采购代理机构的名称、地址和联系方法</w:t>
      </w:r>
      <w:bookmarkEnd w:id="19"/>
    </w:p>
    <w:p w14:paraId="4B64CDFD">
      <w:pPr>
        <w:keepNext w:val="0"/>
        <w:keepLines w:val="0"/>
        <w:pageBreakBefore w:val="0"/>
        <w:widowControl/>
        <w:suppressLineNumbers w:val="0"/>
        <w:kinsoku/>
        <w:wordWrap/>
        <w:overflowPunct/>
        <w:topLinePunct w:val="0"/>
        <w:autoSpaceDE/>
        <w:autoSpaceDN/>
        <w:bidi w:val="0"/>
        <w:adjustRightInd/>
        <w:snapToGrid/>
        <w:spacing w:before="0" w:beforeAutospacing="0" w:after="0" w:line="240" w:lineRule="auto"/>
        <w:ind w:left="0" w:leftChars="0" w:firstLine="422" w:firstLineChars="200"/>
        <w:jc w:val="both"/>
        <w:textAlignment w:val="auto"/>
        <w:outlineLvl w:val="2"/>
        <w:rPr>
          <w:rFonts w:ascii="Times New Roman" w:hAnsi="Times New Roman" w:eastAsia="宋体" w:cs="Times New Roman"/>
          <w:b/>
          <w:color w:val="auto"/>
          <w:kern w:val="2"/>
          <w:sz w:val="21"/>
          <w:szCs w:val="21"/>
          <w:lang w:val="en-US" w:eastAsia="zh-CN" w:bidi="ar-SA"/>
        </w:rPr>
      </w:pPr>
      <w:r>
        <w:rPr>
          <w:rFonts w:ascii="Times New Roman" w:hAnsi="Times New Roman" w:eastAsia="宋体" w:cs="Times New Roman"/>
          <w:b/>
          <w:color w:val="auto"/>
          <w:kern w:val="2"/>
          <w:sz w:val="21"/>
          <w:szCs w:val="21"/>
          <w:lang w:val="en-US" w:eastAsia="zh-CN" w:bidi="ar-SA"/>
        </w:rPr>
        <w:t>1</w:t>
      </w:r>
      <w:r>
        <w:rPr>
          <w:rFonts w:hint="eastAsia" w:ascii="Times New Roman" w:hAnsi="Times New Roman" w:eastAsia="宋体" w:cs="Times New Roman"/>
          <w:b/>
          <w:color w:val="auto"/>
          <w:kern w:val="2"/>
          <w:sz w:val="21"/>
          <w:szCs w:val="21"/>
          <w:lang w:val="en-US" w:eastAsia="zh-CN" w:bidi="ar-SA"/>
        </w:rPr>
        <w:t>.</w:t>
      </w:r>
      <w:r>
        <w:rPr>
          <w:rFonts w:ascii="Times New Roman" w:hAnsi="Times New Roman" w:eastAsia="宋体" w:cs="Times New Roman"/>
          <w:b/>
          <w:color w:val="auto"/>
          <w:kern w:val="2"/>
          <w:sz w:val="21"/>
          <w:szCs w:val="21"/>
          <w:lang w:val="en-US" w:eastAsia="zh-CN" w:bidi="ar-SA"/>
        </w:rPr>
        <w:t>采购人信息</w:t>
      </w:r>
    </w:p>
    <w:p w14:paraId="33607416">
      <w:pPr>
        <w:adjustRightInd w:val="0"/>
        <w:snapToGrid w:val="0"/>
        <w:spacing w:line="240" w:lineRule="auto"/>
        <w:ind w:firstLine="411" w:firstLineChars="196"/>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bCs/>
          <w:sz w:val="21"/>
          <w:szCs w:val="21"/>
        </w:rPr>
        <w:t>名  称：</w:t>
      </w:r>
      <w:r>
        <w:rPr>
          <w:rFonts w:hint="eastAsia" w:ascii="宋体" w:hAnsi="宋体" w:eastAsia="宋体" w:cs="宋体"/>
          <w:sz w:val="21"/>
          <w:szCs w:val="21"/>
          <w:u w:val="single"/>
          <w:lang w:eastAsia="zh-CN"/>
        </w:rPr>
        <w:t>张家界敦谊小学</w:t>
      </w:r>
    </w:p>
    <w:p w14:paraId="626DE907">
      <w:pPr>
        <w:adjustRightInd w:val="0"/>
        <w:snapToGrid w:val="0"/>
        <w:spacing w:line="240" w:lineRule="auto"/>
        <w:ind w:firstLine="420"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（2）地  址：</w:t>
      </w:r>
      <w:r>
        <w:rPr>
          <w:rFonts w:hint="eastAsia" w:ascii="宋体" w:hAnsi="宋体" w:eastAsia="宋体" w:cs="宋体"/>
          <w:sz w:val="21"/>
          <w:szCs w:val="21"/>
          <w:u w:val="single"/>
        </w:rPr>
        <w:t>湖南省张家界市永定区回龙路1号</w:t>
      </w:r>
      <w:r>
        <w:rPr>
          <w:rFonts w:hint="eastAsia" w:ascii="宋体" w:hAnsi="宋体" w:eastAsia="宋体" w:cs="宋体"/>
          <w:sz w:val="21"/>
          <w:szCs w:val="21"/>
        </w:rPr>
        <w:t> </w:t>
      </w:r>
    </w:p>
    <w:p w14:paraId="1B05A5B3">
      <w:pPr>
        <w:adjustRightInd w:val="0"/>
        <w:snapToGrid w:val="0"/>
        <w:spacing w:line="240" w:lineRule="auto"/>
        <w:ind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（3）联系人：</w:t>
      </w:r>
      <w:r>
        <w:rPr>
          <w:rFonts w:hint="eastAsia" w:ascii="宋体" w:hAnsi="宋体" w:eastAsia="宋体" w:cs="宋体"/>
          <w:color w:val="auto"/>
          <w:sz w:val="21"/>
          <w:szCs w:val="21"/>
          <w:u w:val="single"/>
          <w:lang w:val="en-US" w:eastAsia="zh-CN"/>
        </w:rPr>
        <w:t>吴女士</w:t>
      </w:r>
    </w:p>
    <w:p w14:paraId="3576CF72">
      <w:pPr>
        <w:adjustRightInd w:val="0"/>
        <w:snapToGri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（4）邮  编：</w:t>
      </w:r>
      <w:r>
        <w:rPr>
          <w:rFonts w:hint="eastAsia" w:ascii="宋体" w:hAnsi="宋体" w:eastAsia="宋体" w:cs="宋体"/>
          <w:sz w:val="21"/>
          <w:szCs w:val="21"/>
          <w:u w:val="single"/>
        </w:rPr>
        <w:t>427000</w:t>
      </w:r>
    </w:p>
    <w:p w14:paraId="1491AD2A">
      <w:pPr>
        <w:adjustRightInd w:val="0"/>
        <w:snapToGrid w:val="0"/>
        <w:spacing w:line="240" w:lineRule="auto"/>
        <w:ind w:firstLine="420" w:firstLineChars="200"/>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sz w:val="21"/>
          <w:szCs w:val="21"/>
        </w:rPr>
        <w:t>（5）电  话：</w:t>
      </w:r>
      <w:r>
        <w:rPr>
          <w:rFonts w:hint="eastAsia" w:ascii="宋体" w:hAnsi="宋体" w:eastAsia="宋体" w:cs="宋体"/>
          <w:color w:val="auto"/>
          <w:sz w:val="21"/>
          <w:szCs w:val="21"/>
          <w:u w:val="single"/>
        </w:rPr>
        <w:t>15074427802</w:t>
      </w:r>
    </w:p>
    <w:p w14:paraId="05BC6DEB">
      <w:pPr>
        <w:keepNext w:val="0"/>
        <w:keepLines w:val="0"/>
        <w:pageBreakBefore w:val="0"/>
        <w:widowControl/>
        <w:suppressLineNumbers w:val="0"/>
        <w:kinsoku/>
        <w:wordWrap/>
        <w:overflowPunct/>
        <w:topLinePunct w:val="0"/>
        <w:autoSpaceDE/>
        <w:autoSpaceDN/>
        <w:bidi w:val="0"/>
        <w:adjustRightInd/>
        <w:snapToGrid/>
        <w:spacing w:before="0" w:beforeAutospacing="0" w:after="0" w:line="240" w:lineRule="auto"/>
        <w:ind w:left="0" w:leftChars="0" w:firstLine="422" w:firstLineChars="200"/>
        <w:jc w:val="both"/>
        <w:textAlignment w:val="auto"/>
        <w:outlineLvl w:val="2"/>
        <w:rPr>
          <w:rFonts w:ascii="Times New Roman" w:hAnsi="Times New Roman" w:eastAsia="宋体" w:cs="Times New Roman"/>
          <w:b/>
          <w:kern w:val="2"/>
          <w:sz w:val="21"/>
          <w:szCs w:val="21"/>
          <w:lang w:val="en-US" w:eastAsia="zh-CN" w:bidi="ar-SA"/>
        </w:rPr>
      </w:pPr>
      <w:r>
        <w:rPr>
          <w:rFonts w:ascii="Times New Roman" w:hAnsi="Times New Roman" w:eastAsia="宋体" w:cs="Times New Roman"/>
          <w:b/>
          <w:kern w:val="2"/>
          <w:sz w:val="21"/>
          <w:szCs w:val="21"/>
          <w:lang w:val="en-US" w:eastAsia="zh-CN" w:bidi="ar-SA"/>
        </w:rPr>
        <w:t>2</w:t>
      </w:r>
      <w:r>
        <w:rPr>
          <w:rFonts w:hint="eastAsia" w:ascii="Times New Roman" w:hAnsi="Times New Roman" w:eastAsia="宋体" w:cs="Times New Roman"/>
          <w:b/>
          <w:kern w:val="2"/>
          <w:sz w:val="21"/>
          <w:szCs w:val="21"/>
          <w:lang w:val="en-US" w:eastAsia="zh-CN" w:bidi="ar-SA"/>
        </w:rPr>
        <w:t>.</w:t>
      </w:r>
      <w:r>
        <w:rPr>
          <w:rFonts w:ascii="Times New Roman" w:hAnsi="Times New Roman" w:eastAsia="宋体" w:cs="Times New Roman"/>
          <w:b/>
          <w:kern w:val="2"/>
          <w:sz w:val="21"/>
          <w:szCs w:val="21"/>
          <w:lang w:val="en-US" w:eastAsia="zh-CN" w:bidi="ar-SA"/>
        </w:rPr>
        <w:t>采购代理机构信息</w:t>
      </w:r>
    </w:p>
    <w:p w14:paraId="1361D861">
      <w:pPr>
        <w:adjustRightInd w:val="0"/>
        <w:snapToGrid w:val="0"/>
        <w:spacing w:line="240" w:lineRule="auto"/>
        <w:ind w:firstLine="411" w:firstLineChars="196"/>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bCs/>
          <w:sz w:val="21"/>
          <w:szCs w:val="21"/>
        </w:rPr>
        <w:t>名  称：</w:t>
      </w:r>
      <w:r>
        <w:rPr>
          <w:rFonts w:hint="eastAsia" w:ascii="宋体" w:hAnsi="宋体" w:eastAsia="宋体" w:cs="宋体"/>
          <w:sz w:val="21"/>
          <w:szCs w:val="21"/>
          <w:u w:val="single"/>
          <w:lang w:eastAsia="zh-CN"/>
        </w:rPr>
        <w:t>湖南华中源工程项目管理有限公司</w:t>
      </w:r>
    </w:p>
    <w:p w14:paraId="4915EC5B">
      <w:pPr>
        <w:adjustRightInd w:val="0"/>
        <w:snapToGri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（2）地  址：</w:t>
      </w:r>
      <w:r>
        <w:rPr>
          <w:rFonts w:hint="eastAsia" w:ascii="宋体" w:hAnsi="宋体" w:eastAsia="宋体" w:cs="宋体"/>
          <w:sz w:val="21"/>
          <w:szCs w:val="21"/>
          <w:u w:val="single"/>
          <w:lang w:eastAsia="zh-CN"/>
        </w:rPr>
        <w:t>张家界市永定区崇文路华宇新村华兴楼2单元201</w:t>
      </w:r>
    </w:p>
    <w:p w14:paraId="769AF7CD">
      <w:pPr>
        <w:adjustRightInd w:val="0"/>
        <w:snapToGri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（3）联系人：</w:t>
      </w:r>
      <w:r>
        <w:rPr>
          <w:rFonts w:hint="eastAsia" w:ascii="宋体" w:hAnsi="宋体" w:eastAsia="宋体" w:cs="宋体"/>
          <w:sz w:val="21"/>
          <w:szCs w:val="21"/>
          <w:u w:val="single"/>
          <w:lang w:val="en-US" w:eastAsia="zh-CN"/>
        </w:rPr>
        <w:t>李先生</w:t>
      </w:r>
    </w:p>
    <w:p w14:paraId="09942E7C">
      <w:pPr>
        <w:adjustRightInd w:val="0"/>
        <w:snapToGri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（4）邮  编：</w:t>
      </w:r>
      <w:r>
        <w:rPr>
          <w:rFonts w:hint="eastAsia" w:ascii="宋体" w:hAnsi="宋体" w:eastAsia="宋体" w:cs="宋体"/>
          <w:sz w:val="21"/>
          <w:szCs w:val="21"/>
          <w:u w:val="single"/>
        </w:rPr>
        <w:t>427000</w:t>
      </w:r>
    </w:p>
    <w:p w14:paraId="201A5318">
      <w:pPr>
        <w:adjustRightInd w:val="0"/>
        <w:snapToGrid w:val="0"/>
        <w:spacing w:line="24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（5）电  话：</w:t>
      </w:r>
      <w:r>
        <w:rPr>
          <w:rFonts w:hint="eastAsia" w:ascii="宋体" w:hAnsi="宋体" w:eastAsia="宋体" w:cs="宋体"/>
          <w:sz w:val="21"/>
          <w:szCs w:val="21"/>
          <w:u w:val="single"/>
          <w:lang w:val="en-US" w:eastAsia="zh-CN"/>
        </w:rPr>
        <w:t>18711168733</w:t>
      </w:r>
    </w:p>
    <w:p w14:paraId="78EC7A08">
      <w:pPr>
        <w:adjustRightInd w:val="0"/>
        <w:snapToGrid w:val="0"/>
        <w:spacing w:line="24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（6）电子邮箱：</w:t>
      </w:r>
      <w:r>
        <w:rPr>
          <w:rFonts w:hint="eastAsia" w:ascii="宋体" w:hAnsi="宋体" w:eastAsia="宋体" w:cs="宋体"/>
          <w:sz w:val="21"/>
          <w:szCs w:val="21"/>
          <w:u w:val="single"/>
          <w:lang w:val="en-US" w:eastAsia="zh-CN"/>
        </w:rPr>
        <w:t>383676784</w:t>
      </w:r>
      <w:r>
        <w:rPr>
          <w:rFonts w:hint="eastAsia" w:ascii="宋体" w:hAnsi="宋体" w:eastAsia="宋体" w:cs="宋体"/>
          <w:sz w:val="21"/>
          <w:szCs w:val="21"/>
          <w:u w:val="single"/>
        </w:rPr>
        <w:t>@qq.com</w:t>
      </w:r>
    </w:p>
    <w:p w14:paraId="1B1135E6">
      <w:pPr>
        <w:keepNext w:val="0"/>
        <w:keepLines w:val="0"/>
        <w:pageBreakBefore w:val="0"/>
        <w:widowControl/>
        <w:suppressLineNumbers w:val="0"/>
        <w:kinsoku/>
        <w:wordWrap/>
        <w:overflowPunct/>
        <w:topLinePunct w:val="0"/>
        <w:autoSpaceDE/>
        <w:autoSpaceDN/>
        <w:bidi w:val="0"/>
        <w:adjustRightInd/>
        <w:snapToGrid/>
        <w:spacing w:before="0" w:beforeAutospacing="0" w:after="0" w:line="240" w:lineRule="auto"/>
        <w:ind w:left="0" w:leftChars="0" w:firstLine="422" w:firstLineChars="200"/>
        <w:jc w:val="both"/>
        <w:textAlignment w:val="auto"/>
        <w:outlineLvl w:val="2"/>
        <w:rPr>
          <w:rFonts w:ascii="Times New Roman" w:hAnsi="Times New Roman" w:eastAsia="宋体" w:cs="Times New Roman"/>
          <w:b/>
          <w:kern w:val="2"/>
          <w:sz w:val="21"/>
          <w:szCs w:val="21"/>
          <w:lang w:val="en-US" w:eastAsia="zh-CN" w:bidi="ar-SA"/>
        </w:rPr>
      </w:pPr>
      <w:r>
        <w:rPr>
          <w:rFonts w:ascii="Times New Roman" w:hAnsi="Times New Roman" w:eastAsia="宋体" w:cs="Times New Roman"/>
          <w:b/>
          <w:kern w:val="2"/>
          <w:sz w:val="21"/>
          <w:szCs w:val="21"/>
          <w:lang w:val="en-US" w:eastAsia="zh-CN" w:bidi="ar-SA"/>
        </w:rPr>
        <w:t>3</w:t>
      </w:r>
      <w:r>
        <w:rPr>
          <w:rFonts w:hint="eastAsia" w:ascii="Times New Roman" w:hAnsi="Times New Roman" w:eastAsia="宋体" w:cs="Times New Roman"/>
          <w:b/>
          <w:kern w:val="2"/>
          <w:sz w:val="21"/>
          <w:szCs w:val="21"/>
          <w:lang w:val="en-US" w:eastAsia="zh-CN" w:bidi="ar-SA"/>
        </w:rPr>
        <w:t>.</w:t>
      </w:r>
      <w:r>
        <w:rPr>
          <w:rFonts w:ascii="Times New Roman" w:hAnsi="Times New Roman" w:eastAsia="宋体" w:cs="Times New Roman"/>
          <w:b/>
          <w:kern w:val="2"/>
          <w:sz w:val="21"/>
          <w:szCs w:val="21"/>
          <w:lang w:val="en-US" w:eastAsia="zh-CN" w:bidi="ar-SA"/>
        </w:rPr>
        <w:t>电子交易平台服务机构信息</w:t>
      </w:r>
    </w:p>
    <w:p w14:paraId="5D010B42">
      <w:pPr>
        <w:keepNext w:val="0"/>
        <w:keepLines w:val="0"/>
        <w:pageBreakBefore w:val="0"/>
        <w:kinsoku/>
        <w:wordWrap/>
        <w:overflowPunct/>
        <w:topLinePunct w:val="0"/>
        <w:autoSpaceDE/>
        <w:autoSpaceDN/>
        <w:bidi w:val="0"/>
        <w:adjustRightInd/>
        <w:snapToGrid/>
        <w:spacing w:line="240" w:lineRule="auto"/>
        <w:ind w:left="0" w:leftChars="0" w:firstLine="420" w:firstLineChars="200"/>
        <w:textAlignment w:val="auto"/>
        <w:rPr>
          <w:rFonts w:ascii="等线" w:hAnsi="等线" w:eastAsia="等线" w:cs="Times New Roman"/>
          <w:color w:val="auto"/>
          <w:sz w:val="21"/>
          <w:szCs w:val="21"/>
        </w:rPr>
      </w:pPr>
      <w:r>
        <w:rPr>
          <w:rFonts w:ascii="宋体" w:hAnsi="宋体" w:eastAsia="宋体" w:cs="宋体"/>
          <w:color w:val="auto"/>
          <w:kern w:val="0"/>
          <w:sz w:val="21"/>
          <w:szCs w:val="21"/>
          <w:lang w:val="en-US" w:eastAsia="zh-CN" w:bidi="ar"/>
        </w:rPr>
        <w:t xml:space="preserve">（1）名 称：张家界公共资源交易网 </w:t>
      </w:r>
    </w:p>
    <w:p w14:paraId="643C192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line="240" w:lineRule="auto"/>
        <w:ind w:left="0" w:leftChars="0" w:firstLine="420" w:firstLineChars="200"/>
        <w:jc w:val="left"/>
        <w:textAlignment w:val="auto"/>
        <w:rPr>
          <w:rFonts w:ascii="等线" w:hAnsi="等线" w:eastAsia="等线" w:cs="Times New Roman"/>
          <w:color w:val="auto"/>
          <w:sz w:val="21"/>
          <w:szCs w:val="21"/>
        </w:rPr>
      </w:pPr>
      <w:r>
        <w:rPr>
          <w:rFonts w:ascii="宋体" w:hAnsi="宋体" w:eastAsia="宋体" w:cs="宋体"/>
          <w:color w:val="auto"/>
          <w:kern w:val="0"/>
          <w:sz w:val="21"/>
          <w:szCs w:val="21"/>
          <w:lang w:val="en-US" w:eastAsia="zh-CN" w:bidi="ar"/>
        </w:rPr>
        <w:t>（2）联系人：</w:t>
      </w:r>
      <w:r>
        <w:rPr>
          <w:rFonts w:hint="eastAsia" w:ascii="宋体" w:hAnsi="宋体" w:eastAsia="宋体" w:cs="宋体"/>
          <w:color w:val="auto"/>
          <w:kern w:val="0"/>
          <w:sz w:val="21"/>
          <w:szCs w:val="21"/>
          <w:lang w:val="en-US" w:eastAsia="zh-CN" w:bidi="ar"/>
        </w:rPr>
        <w:t>技术人员</w:t>
      </w:r>
      <w:r>
        <w:rPr>
          <w:rFonts w:ascii="宋体" w:hAnsi="宋体" w:eastAsia="宋体" w:cs="宋体"/>
          <w:color w:val="auto"/>
          <w:kern w:val="0"/>
          <w:sz w:val="21"/>
          <w:szCs w:val="21"/>
          <w:lang w:val="en-US" w:eastAsia="zh-CN" w:bidi="ar"/>
        </w:rPr>
        <w:t xml:space="preserve"> </w:t>
      </w:r>
    </w:p>
    <w:p w14:paraId="47BF5170">
      <w:r>
        <w:rPr>
          <w:rFonts w:ascii="宋体" w:hAnsi="宋体" w:eastAsia="宋体" w:cs="宋体"/>
          <w:color w:val="auto"/>
          <w:kern w:val="0"/>
          <w:sz w:val="21"/>
          <w:szCs w:val="21"/>
          <w:lang w:val="en-US" w:eastAsia="zh-CN" w:bidi="ar"/>
        </w:rPr>
        <w:t>（3）电 话：</w:t>
      </w:r>
      <w:r>
        <w:rPr>
          <w:rFonts w:hint="eastAsia" w:ascii="宋体" w:hAnsi="宋体" w:eastAsia="宋体" w:cs="宋体"/>
          <w:color w:val="auto"/>
          <w:kern w:val="0"/>
          <w:sz w:val="21"/>
          <w:szCs w:val="21"/>
          <w:lang w:val="en-US" w:eastAsia="zh-CN" w:bidi="ar"/>
        </w:rPr>
        <w:t>0744-8833296</w:t>
      </w:r>
      <w:bookmarkStart w:id="20" w:name="_GoBack"/>
      <w:bookmarkEnd w:id="2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2000000000000000000"/>
    <w:charset w:val="86"/>
    <w:family w:val="auto"/>
    <w:pitch w:val="default"/>
    <w:sig w:usb0="A00002BF" w:usb1="38CF7CFA" w:usb2="00082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C984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2025-07-07T01:12:16Z</dcterms:created>
  <dc:creator>Administrator</dc:creator>
  <cp:lastModifiedBy>Administrator</cp:lastModifiedBy>
  <dcterms:modified xsi:type="dcterms:W3CDTF">2025-07-07T01:12:20Z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eyJoZGlkIjoiOTNkNzNhNGQwMTdlYWRiOWEwYTYwM2UzNzEwYWVmMTAiLCJ1c2VySWQiOiIxMDcwNTUwNjAxIn0=</vt:lpwstr>
  </property>
  <property fmtid="{D5CDD505-2E9C-101B-9397-08002B2CF9AE}" pid="4" name="ICV">
    <vt:lpwstr>AD54C4E8FE0840E5B4328E0957FBAD40_12</vt:lpwstr>
  </property>
</Properties>
</file>